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 ContentType="image/ti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A9C50DF" w14:textId="77777777" w:rsidR="005510E5" w:rsidRPr="003A3CA0" w:rsidRDefault="005510E5" w:rsidP="005510E5">
      <w:pPr>
        <w:rPr>
          <w:rFonts w:cs="Arial"/>
        </w:rPr>
      </w:pPr>
      <w:r w:rsidRPr="003A3CA0">
        <w:rPr>
          <w:rFonts w:cs="Arial"/>
          <w:noProof/>
        </w:rPr>
        <w:drawing>
          <wp:anchor distT="0" distB="0" distL="114300" distR="114300" simplePos="0" relativeHeight="251659264" behindDoc="0" locked="0" layoutInCell="1" hidden="0" allowOverlap="1" wp14:anchorId="5D5426AA" wp14:editId="005C2E0A">
            <wp:simplePos x="0" y="0"/>
            <wp:positionH relativeFrom="column">
              <wp:posOffset>1310652</wp:posOffset>
            </wp:positionH>
            <wp:positionV relativeFrom="paragraph">
              <wp:posOffset>-310514</wp:posOffset>
            </wp:positionV>
            <wp:extent cx="3036570" cy="1104265"/>
            <wp:effectExtent l="0" t="0" r="0" b="0"/>
            <wp:wrapNone/>
            <wp:docPr id="2141" name="image51.jpg" descr="\\ashopton\usr42\LSC\Arp10sm\ManW7\Desktop\logo.jpg"/>
            <wp:cNvGraphicFramePr/>
            <a:graphic xmlns:a="http://schemas.openxmlformats.org/drawingml/2006/main">
              <a:graphicData uri="http://schemas.openxmlformats.org/drawingml/2006/picture">
                <pic:pic xmlns:pic="http://schemas.openxmlformats.org/drawingml/2006/picture">
                  <pic:nvPicPr>
                    <pic:cNvPr id="0" name="image51.jpg" descr="\\ashopton\usr42\LSC\Arp10sm\ManW7\Desktop\logo.jpg"/>
                    <pic:cNvPicPr preferRelativeResize="0"/>
                  </pic:nvPicPr>
                  <pic:blipFill>
                    <a:blip r:embed="rId8"/>
                    <a:srcRect/>
                    <a:stretch>
                      <a:fillRect/>
                    </a:stretch>
                  </pic:blipFill>
                  <pic:spPr>
                    <a:xfrm>
                      <a:off x="0" y="0"/>
                      <a:ext cx="3036570" cy="1104265"/>
                    </a:xfrm>
                    <a:prstGeom prst="rect">
                      <a:avLst/>
                    </a:prstGeom>
                    <a:ln/>
                  </pic:spPr>
                </pic:pic>
              </a:graphicData>
            </a:graphic>
          </wp:anchor>
        </w:drawing>
      </w:r>
    </w:p>
    <w:p w14:paraId="69D75227" w14:textId="77777777" w:rsidR="005510E5" w:rsidRPr="003A3CA0" w:rsidRDefault="005510E5" w:rsidP="005510E5">
      <w:pPr>
        <w:rPr>
          <w:rFonts w:cs="Arial"/>
        </w:rPr>
      </w:pPr>
    </w:p>
    <w:p w14:paraId="04778587" w14:textId="77777777" w:rsidR="005510E5" w:rsidRPr="003A3CA0" w:rsidRDefault="005510E5" w:rsidP="005510E5">
      <w:pPr>
        <w:rPr>
          <w:rFonts w:cs="Arial"/>
        </w:rPr>
      </w:pPr>
    </w:p>
    <w:p w14:paraId="784A39F9" w14:textId="77777777" w:rsidR="005510E5" w:rsidRPr="003A3CA0" w:rsidRDefault="005510E5" w:rsidP="005510E5">
      <w:pPr>
        <w:rPr>
          <w:rFonts w:cs="Arial"/>
        </w:rPr>
      </w:pPr>
    </w:p>
    <w:p w14:paraId="529EEC8F" w14:textId="77777777" w:rsidR="005510E5" w:rsidRPr="003A3CA0" w:rsidRDefault="005510E5" w:rsidP="005510E5">
      <w:pPr>
        <w:jc w:val="center"/>
        <w:rPr>
          <w:rFonts w:cs="Arial"/>
        </w:rPr>
      </w:pPr>
    </w:p>
    <w:p w14:paraId="35E60164" w14:textId="77777777" w:rsidR="005510E5" w:rsidRPr="003A3CA0" w:rsidRDefault="005510E5" w:rsidP="005510E5">
      <w:pPr>
        <w:jc w:val="center"/>
        <w:rPr>
          <w:rFonts w:cs="Arial"/>
        </w:rPr>
      </w:pPr>
    </w:p>
    <w:p w14:paraId="53D03231" w14:textId="77777777" w:rsidR="005510E5" w:rsidRPr="003A3CA0" w:rsidRDefault="005510E5" w:rsidP="005510E5">
      <w:pPr>
        <w:jc w:val="center"/>
        <w:rPr>
          <w:rFonts w:cs="Arial"/>
        </w:rPr>
      </w:pPr>
    </w:p>
    <w:p w14:paraId="75226BF9" w14:textId="77777777" w:rsidR="005510E5" w:rsidRPr="003A3CA0" w:rsidRDefault="005510E5" w:rsidP="005510E5">
      <w:pPr>
        <w:jc w:val="center"/>
        <w:rPr>
          <w:rFonts w:cs="Arial"/>
        </w:rPr>
      </w:pPr>
    </w:p>
    <w:p w14:paraId="4495180F" w14:textId="77777777" w:rsidR="005510E5" w:rsidRPr="003A3CA0" w:rsidRDefault="005510E5" w:rsidP="005510E5">
      <w:pPr>
        <w:jc w:val="center"/>
        <w:rPr>
          <w:rFonts w:cs="Arial"/>
        </w:rPr>
      </w:pPr>
    </w:p>
    <w:p w14:paraId="26C8C0CE" w14:textId="77777777" w:rsidR="005510E5" w:rsidRPr="003A3CA0" w:rsidRDefault="005510E5" w:rsidP="005510E5">
      <w:pPr>
        <w:jc w:val="center"/>
        <w:rPr>
          <w:rFonts w:cs="Arial"/>
        </w:rPr>
      </w:pPr>
    </w:p>
    <w:p w14:paraId="7E997201" w14:textId="77777777" w:rsidR="005510E5" w:rsidRPr="003A3CA0" w:rsidRDefault="005510E5" w:rsidP="005510E5">
      <w:pPr>
        <w:jc w:val="center"/>
        <w:rPr>
          <w:rFonts w:cs="Arial"/>
        </w:rPr>
      </w:pPr>
    </w:p>
    <w:p w14:paraId="5FB78207" w14:textId="77777777" w:rsidR="005510E5" w:rsidRPr="003A3CA0" w:rsidRDefault="005510E5" w:rsidP="005510E5">
      <w:pPr>
        <w:jc w:val="center"/>
        <w:rPr>
          <w:rFonts w:cs="Arial"/>
          <w:b/>
          <w:color w:val="222222"/>
          <w:sz w:val="28"/>
          <w:szCs w:val="28"/>
          <w:highlight w:val="white"/>
        </w:rPr>
      </w:pPr>
    </w:p>
    <w:p w14:paraId="1E043584" w14:textId="77777777" w:rsidR="005510E5" w:rsidRPr="003A3CA0" w:rsidRDefault="005510E5" w:rsidP="005510E5">
      <w:pPr>
        <w:jc w:val="center"/>
        <w:rPr>
          <w:rFonts w:eastAsia="TUOS Blake" w:cs="Arial"/>
          <w:b/>
          <w:i/>
          <w:color w:val="222222"/>
          <w:sz w:val="28"/>
          <w:szCs w:val="28"/>
          <w:highlight w:val="white"/>
        </w:rPr>
      </w:pPr>
      <w:r w:rsidRPr="003A3CA0">
        <w:rPr>
          <w:rFonts w:eastAsia="TUOS Blake" w:cs="Arial"/>
          <w:b/>
          <w:i/>
          <w:color w:val="222222"/>
          <w:sz w:val="28"/>
          <w:szCs w:val="28"/>
          <w:highlight w:val="white"/>
        </w:rPr>
        <w:t>Title: The Microvascular Perfusion Characteristics of The Pain Matrix of The Brain in Subjects with Type 1 Diabetes and Painful Neuropathy</w:t>
      </w:r>
    </w:p>
    <w:p w14:paraId="2285BCCE" w14:textId="77777777" w:rsidR="005510E5" w:rsidRPr="003A3CA0" w:rsidRDefault="005510E5" w:rsidP="005510E5">
      <w:pPr>
        <w:jc w:val="center"/>
        <w:rPr>
          <w:rFonts w:eastAsia="TUOS Blake" w:cs="Arial"/>
          <w:b/>
          <w:sz w:val="28"/>
          <w:szCs w:val="28"/>
        </w:rPr>
      </w:pPr>
      <w:r w:rsidRPr="003A3CA0">
        <w:rPr>
          <w:rFonts w:eastAsia="TUOS Blake" w:cs="Arial"/>
          <w:b/>
          <w:color w:val="222222"/>
          <w:sz w:val="28"/>
          <w:szCs w:val="28"/>
        </w:rPr>
        <w:br/>
      </w:r>
      <w:r w:rsidRPr="003A3CA0">
        <w:rPr>
          <w:rFonts w:eastAsia="TUOS Blake" w:cs="Arial"/>
          <w:b/>
          <w:color w:val="222222"/>
          <w:sz w:val="28"/>
          <w:szCs w:val="28"/>
        </w:rPr>
        <w:br/>
      </w:r>
    </w:p>
    <w:p w14:paraId="7FA8F8FC" w14:textId="77777777" w:rsidR="005510E5" w:rsidRPr="003A3CA0" w:rsidRDefault="005510E5" w:rsidP="005510E5">
      <w:pPr>
        <w:jc w:val="center"/>
        <w:rPr>
          <w:rFonts w:eastAsia="TUOS Blake" w:cs="Arial"/>
        </w:rPr>
      </w:pPr>
    </w:p>
    <w:p w14:paraId="1064C6B3" w14:textId="77777777" w:rsidR="005510E5" w:rsidRPr="003A3CA0" w:rsidRDefault="005510E5" w:rsidP="005510E5">
      <w:pPr>
        <w:jc w:val="center"/>
        <w:rPr>
          <w:rFonts w:eastAsia="TUOS Blake" w:cs="Arial"/>
          <w:b/>
          <w:sz w:val="28"/>
          <w:szCs w:val="28"/>
        </w:rPr>
      </w:pPr>
    </w:p>
    <w:p w14:paraId="05276AEB" w14:textId="77777777" w:rsidR="005510E5" w:rsidRPr="003A3CA0" w:rsidRDefault="005510E5" w:rsidP="005510E5">
      <w:pPr>
        <w:jc w:val="center"/>
        <w:rPr>
          <w:rFonts w:eastAsia="TUOS Blake" w:cs="Arial"/>
          <w:b/>
          <w:sz w:val="28"/>
          <w:szCs w:val="28"/>
        </w:rPr>
      </w:pPr>
      <w:r w:rsidRPr="003A3CA0">
        <w:rPr>
          <w:rFonts w:eastAsia="TUOS Blake" w:cs="Arial"/>
          <w:b/>
          <w:sz w:val="28"/>
          <w:szCs w:val="28"/>
        </w:rPr>
        <w:t xml:space="preserve"> Marni Greig</w:t>
      </w:r>
    </w:p>
    <w:p w14:paraId="543D5B17" w14:textId="77777777" w:rsidR="005510E5" w:rsidRPr="003A3CA0" w:rsidRDefault="005510E5" w:rsidP="005510E5">
      <w:pPr>
        <w:jc w:val="center"/>
        <w:rPr>
          <w:rFonts w:cs="Arial"/>
          <w:b/>
          <w:sz w:val="28"/>
          <w:szCs w:val="28"/>
        </w:rPr>
      </w:pPr>
    </w:p>
    <w:p w14:paraId="50DC5127" w14:textId="77777777" w:rsidR="005510E5" w:rsidRPr="003A3CA0" w:rsidRDefault="005510E5" w:rsidP="005510E5">
      <w:pPr>
        <w:jc w:val="center"/>
        <w:rPr>
          <w:rFonts w:cs="Arial"/>
          <w:b/>
          <w:sz w:val="28"/>
          <w:szCs w:val="28"/>
        </w:rPr>
      </w:pPr>
    </w:p>
    <w:p w14:paraId="2F22302B" w14:textId="77777777" w:rsidR="005510E5" w:rsidRPr="003A3CA0" w:rsidRDefault="005510E5" w:rsidP="005510E5">
      <w:pPr>
        <w:rPr>
          <w:rFonts w:cs="Arial"/>
          <w:sz w:val="28"/>
          <w:szCs w:val="28"/>
        </w:rPr>
      </w:pPr>
    </w:p>
    <w:p w14:paraId="4D9EA3C8" w14:textId="77777777" w:rsidR="005510E5" w:rsidRPr="003A3CA0" w:rsidRDefault="005510E5" w:rsidP="005510E5">
      <w:pPr>
        <w:rPr>
          <w:rFonts w:cs="Arial"/>
        </w:rPr>
      </w:pPr>
    </w:p>
    <w:p w14:paraId="59FE1868" w14:textId="77777777" w:rsidR="005510E5" w:rsidRPr="003A3CA0" w:rsidRDefault="005510E5" w:rsidP="005510E5">
      <w:pPr>
        <w:rPr>
          <w:rFonts w:cs="Arial"/>
        </w:rPr>
      </w:pPr>
    </w:p>
    <w:p w14:paraId="03FB2514" w14:textId="77777777" w:rsidR="005510E5" w:rsidRPr="003A3CA0" w:rsidRDefault="005510E5" w:rsidP="005510E5">
      <w:pPr>
        <w:rPr>
          <w:rFonts w:cs="Arial"/>
        </w:rPr>
      </w:pPr>
    </w:p>
    <w:p w14:paraId="54CA14D4" w14:textId="77777777" w:rsidR="005510E5" w:rsidRPr="003A3CA0" w:rsidRDefault="005510E5" w:rsidP="005510E5">
      <w:pPr>
        <w:jc w:val="center"/>
        <w:rPr>
          <w:rFonts w:eastAsia="TUOS Blake" w:cs="Arial"/>
        </w:rPr>
      </w:pPr>
      <w:r w:rsidRPr="003A3CA0">
        <w:rPr>
          <w:rFonts w:eastAsia="TUOS Blake" w:cs="Arial"/>
        </w:rPr>
        <w:t>A thesis submitted in partial fulfilment of the requirements for the degree of</w:t>
      </w:r>
    </w:p>
    <w:p w14:paraId="678DFB6E" w14:textId="77777777" w:rsidR="005510E5" w:rsidRPr="003A3CA0" w:rsidRDefault="005510E5" w:rsidP="005510E5">
      <w:pPr>
        <w:jc w:val="center"/>
        <w:rPr>
          <w:rFonts w:eastAsia="TUOS Blake" w:cs="Arial"/>
        </w:rPr>
      </w:pPr>
      <w:r w:rsidRPr="003A3CA0">
        <w:rPr>
          <w:rFonts w:eastAsia="TUOS Blake" w:cs="Arial"/>
        </w:rPr>
        <w:t xml:space="preserve">Doctor of Philosophy </w:t>
      </w:r>
    </w:p>
    <w:p w14:paraId="4CF392D0" w14:textId="77777777" w:rsidR="005510E5" w:rsidRPr="003A3CA0" w:rsidRDefault="005510E5" w:rsidP="005510E5">
      <w:pPr>
        <w:jc w:val="center"/>
        <w:rPr>
          <w:rFonts w:cs="Arial"/>
        </w:rPr>
      </w:pPr>
    </w:p>
    <w:p w14:paraId="375405F6" w14:textId="77777777" w:rsidR="005510E5" w:rsidRPr="003A3CA0" w:rsidRDefault="005510E5" w:rsidP="005510E5">
      <w:pPr>
        <w:jc w:val="center"/>
        <w:rPr>
          <w:rFonts w:cs="Arial"/>
        </w:rPr>
      </w:pPr>
    </w:p>
    <w:p w14:paraId="2D758463" w14:textId="77777777" w:rsidR="005510E5" w:rsidRPr="003A3CA0" w:rsidRDefault="005510E5" w:rsidP="005510E5">
      <w:pPr>
        <w:jc w:val="center"/>
        <w:rPr>
          <w:rFonts w:cs="Arial"/>
        </w:rPr>
      </w:pPr>
    </w:p>
    <w:p w14:paraId="10649186" w14:textId="77777777" w:rsidR="005510E5" w:rsidRPr="003A3CA0" w:rsidRDefault="005510E5" w:rsidP="005510E5">
      <w:pPr>
        <w:jc w:val="center"/>
        <w:rPr>
          <w:rFonts w:eastAsia="TUOS Blake" w:cs="Arial"/>
        </w:rPr>
      </w:pPr>
      <w:r w:rsidRPr="003A3CA0">
        <w:rPr>
          <w:rFonts w:eastAsia="TUOS Blake" w:cs="Arial"/>
        </w:rPr>
        <w:t>The University of Sheffield</w:t>
      </w:r>
    </w:p>
    <w:p w14:paraId="7D2F870F" w14:textId="77777777" w:rsidR="005510E5" w:rsidRPr="003A3CA0" w:rsidRDefault="005510E5" w:rsidP="005510E5">
      <w:pPr>
        <w:jc w:val="center"/>
        <w:rPr>
          <w:rFonts w:eastAsia="TUOS Blake" w:cs="Arial"/>
        </w:rPr>
      </w:pPr>
      <w:r w:rsidRPr="003A3CA0">
        <w:rPr>
          <w:rFonts w:eastAsia="TUOS Blake" w:cs="Arial"/>
        </w:rPr>
        <w:t>Faculty of Medicine, Dentistry and Health</w:t>
      </w:r>
    </w:p>
    <w:p w14:paraId="235D524C" w14:textId="77777777" w:rsidR="005510E5" w:rsidRPr="003A3CA0" w:rsidRDefault="005510E5" w:rsidP="005510E5">
      <w:pPr>
        <w:jc w:val="center"/>
        <w:rPr>
          <w:rFonts w:eastAsia="TUOS Blake" w:cs="Arial"/>
        </w:rPr>
      </w:pPr>
      <w:r w:rsidRPr="003A3CA0">
        <w:rPr>
          <w:rFonts w:eastAsia="TUOS Blake" w:cs="Arial"/>
        </w:rPr>
        <w:t>Academic Unit of Radiology</w:t>
      </w:r>
    </w:p>
    <w:p w14:paraId="4E2AED39" w14:textId="77777777" w:rsidR="005510E5" w:rsidRPr="003A3CA0" w:rsidRDefault="005510E5" w:rsidP="005510E5">
      <w:pPr>
        <w:jc w:val="center"/>
        <w:rPr>
          <w:rFonts w:eastAsia="TUOS Blake" w:cs="Arial"/>
        </w:rPr>
      </w:pPr>
      <w:r w:rsidRPr="003A3CA0">
        <w:rPr>
          <w:rFonts w:eastAsia="TUOS Blake" w:cs="Arial"/>
        </w:rPr>
        <w:t>Department of Infection, Immunity and Cardiovascular Disease</w:t>
      </w:r>
    </w:p>
    <w:p w14:paraId="5FDB85B6" w14:textId="77777777" w:rsidR="005510E5" w:rsidRPr="003A3CA0" w:rsidRDefault="005510E5" w:rsidP="005510E5">
      <w:pPr>
        <w:jc w:val="center"/>
        <w:rPr>
          <w:rFonts w:eastAsia="Arial" w:cs="Arial"/>
          <w:sz w:val="32"/>
          <w:szCs w:val="32"/>
        </w:rPr>
      </w:pPr>
    </w:p>
    <w:p w14:paraId="03A58770" w14:textId="77777777" w:rsidR="005510E5" w:rsidRPr="003A3CA0" w:rsidRDefault="005510E5" w:rsidP="005510E5">
      <w:pPr>
        <w:jc w:val="center"/>
        <w:rPr>
          <w:rFonts w:eastAsia="TUOS Blake" w:cs="Arial"/>
        </w:rPr>
      </w:pPr>
    </w:p>
    <w:p w14:paraId="004991E2" w14:textId="77777777" w:rsidR="005510E5" w:rsidRPr="003A3CA0" w:rsidRDefault="005510E5" w:rsidP="005510E5">
      <w:pPr>
        <w:jc w:val="center"/>
        <w:rPr>
          <w:rFonts w:eastAsia="TUOS Blake" w:cs="Arial"/>
        </w:rPr>
      </w:pPr>
    </w:p>
    <w:p w14:paraId="216E3570" w14:textId="77777777" w:rsidR="005510E5" w:rsidRPr="003A3CA0" w:rsidRDefault="005510E5" w:rsidP="005510E5">
      <w:pPr>
        <w:jc w:val="center"/>
        <w:rPr>
          <w:rFonts w:eastAsia="TUOS Blake" w:cs="Arial"/>
        </w:rPr>
      </w:pPr>
    </w:p>
    <w:p w14:paraId="1C04D538" w14:textId="1BF2D852" w:rsidR="005510E5" w:rsidRDefault="005510E5" w:rsidP="005510E5">
      <w:pPr>
        <w:jc w:val="center"/>
        <w:rPr>
          <w:rFonts w:eastAsia="TUOS Blake" w:cs="Arial"/>
        </w:rPr>
      </w:pPr>
      <w:r w:rsidRPr="003A3CA0">
        <w:rPr>
          <w:rFonts w:eastAsia="TUOS Blake" w:cs="Arial"/>
        </w:rPr>
        <w:t>Submission Date</w:t>
      </w:r>
    </w:p>
    <w:p w14:paraId="4E6184C6" w14:textId="1A4DB1B1" w:rsidR="00F307CB" w:rsidRPr="003A3CA0" w:rsidRDefault="00F307CB" w:rsidP="005510E5">
      <w:pPr>
        <w:jc w:val="center"/>
        <w:rPr>
          <w:rFonts w:eastAsia="TUOS Blake" w:cs="Arial"/>
        </w:rPr>
      </w:pPr>
      <w:r>
        <w:rPr>
          <w:rFonts w:eastAsia="TUOS Blake" w:cs="Arial"/>
        </w:rPr>
        <w:t>September 2020</w:t>
      </w:r>
    </w:p>
    <w:p w14:paraId="00748ACE" w14:textId="77777777" w:rsidR="005510E5" w:rsidRPr="003A3CA0" w:rsidRDefault="005510E5" w:rsidP="005510E5">
      <w:pPr>
        <w:rPr>
          <w:rFonts w:cs="Arial"/>
        </w:rPr>
      </w:pPr>
    </w:p>
    <w:p w14:paraId="11FDC2ED" w14:textId="77777777" w:rsidR="005510E5" w:rsidRPr="003A3CA0" w:rsidRDefault="005510E5" w:rsidP="005510E5">
      <w:pPr>
        <w:rPr>
          <w:rFonts w:cs="Arial"/>
        </w:rPr>
      </w:pPr>
      <w:r w:rsidRPr="003A3CA0">
        <w:rPr>
          <w:rFonts w:cs="Arial"/>
        </w:rPr>
        <w:br w:type="page"/>
      </w:r>
    </w:p>
    <w:p w14:paraId="47774C84" w14:textId="77777777" w:rsidR="00792E3B" w:rsidRDefault="00792E3B" w:rsidP="005510E5">
      <w:pPr>
        <w:spacing w:line="360" w:lineRule="auto"/>
        <w:jc w:val="center"/>
        <w:rPr>
          <w:rFonts w:eastAsia="Times New Roman" w:cs="Arial"/>
          <w:color w:val="121212"/>
          <w:sz w:val="26"/>
          <w:szCs w:val="26"/>
          <w:shd w:val="clear" w:color="auto" w:fill="FFFFFF"/>
          <w:lang w:eastAsia="en-GB"/>
        </w:rPr>
      </w:pPr>
      <w:bookmarkStart w:id="0" w:name="_heading=h.gjdgxs" w:colFirst="0" w:colLast="0"/>
      <w:bookmarkStart w:id="1" w:name="_Toc48364617"/>
      <w:bookmarkEnd w:id="0"/>
    </w:p>
    <w:p w14:paraId="32AF5B0A" w14:textId="77777777" w:rsidR="00792E3B" w:rsidRDefault="00792E3B" w:rsidP="005510E5">
      <w:pPr>
        <w:spacing w:line="360" w:lineRule="auto"/>
        <w:jc w:val="center"/>
        <w:rPr>
          <w:rFonts w:eastAsia="Times New Roman" w:cs="Arial"/>
          <w:color w:val="121212"/>
          <w:sz w:val="26"/>
          <w:szCs w:val="26"/>
          <w:shd w:val="clear" w:color="auto" w:fill="FFFFFF"/>
          <w:lang w:eastAsia="en-GB"/>
        </w:rPr>
      </w:pPr>
    </w:p>
    <w:p w14:paraId="34BC9A69" w14:textId="77777777" w:rsidR="00792E3B" w:rsidRDefault="00792E3B" w:rsidP="005510E5">
      <w:pPr>
        <w:spacing w:line="360" w:lineRule="auto"/>
        <w:jc w:val="center"/>
        <w:rPr>
          <w:rFonts w:eastAsia="Times New Roman" w:cs="Arial"/>
          <w:color w:val="121212"/>
          <w:sz w:val="26"/>
          <w:szCs w:val="26"/>
          <w:shd w:val="clear" w:color="auto" w:fill="FFFFFF"/>
          <w:lang w:eastAsia="en-GB"/>
        </w:rPr>
      </w:pPr>
    </w:p>
    <w:p w14:paraId="3BEA3DB5" w14:textId="77777777" w:rsidR="00792E3B" w:rsidRDefault="00792E3B" w:rsidP="005510E5">
      <w:pPr>
        <w:spacing w:line="360" w:lineRule="auto"/>
        <w:jc w:val="center"/>
        <w:rPr>
          <w:rFonts w:eastAsia="Times New Roman" w:cs="Arial"/>
          <w:color w:val="121212"/>
          <w:sz w:val="26"/>
          <w:szCs w:val="26"/>
          <w:shd w:val="clear" w:color="auto" w:fill="FFFFFF"/>
          <w:lang w:eastAsia="en-GB"/>
        </w:rPr>
      </w:pPr>
    </w:p>
    <w:p w14:paraId="6195554A" w14:textId="77777777" w:rsidR="00792E3B" w:rsidRDefault="00792E3B" w:rsidP="005510E5">
      <w:pPr>
        <w:spacing w:line="360" w:lineRule="auto"/>
        <w:jc w:val="center"/>
        <w:rPr>
          <w:rFonts w:eastAsia="Times New Roman" w:cs="Arial"/>
          <w:color w:val="121212"/>
          <w:sz w:val="26"/>
          <w:szCs w:val="26"/>
          <w:shd w:val="clear" w:color="auto" w:fill="FFFFFF"/>
          <w:lang w:eastAsia="en-GB"/>
        </w:rPr>
      </w:pPr>
    </w:p>
    <w:p w14:paraId="4CB752A2" w14:textId="77777777" w:rsidR="00792E3B" w:rsidRDefault="00792E3B" w:rsidP="005510E5">
      <w:pPr>
        <w:spacing w:line="360" w:lineRule="auto"/>
        <w:jc w:val="center"/>
        <w:rPr>
          <w:rFonts w:eastAsia="Times New Roman" w:cs="Arial"/>
          <w:color w:val="121212"/>
          <w:sz w:val="26"/>
          <w:szCs w:val="26"/>
          <w:shd w:val="clear" w:color="auto" w:fill="FFFFFF"/>
          <w:lang w:eastAsia="en-GB"/>
        </w:rPr>
      </w:pPr>
    </w:p>
    <w:p w14:paraId="3C28169C" w14:textId="77777777" w:rsidR="00792E3B" w:rsidRDefault="00792E3B" w:rsidP="005510E5">
      <w:pPr>
        <w:spacing w:line="360" w:lineRule="auto"/>
        <w:jc w:val="center"/>
        <w:rPr>
          <w:rFonts w:eastAsia="Times New Roman" w:cs="Arial"/>
          <w:color w:val="121212"/>
          <w:sz w:val="26"/>
          <w:szCs w:val="26"/>
          <w:shd w:val="clear" w:color="auto" w:fill="FFFFFF"/>
          <w:lang w:eastAsia="en-GB"/>
        </w:rPr>
      </w:pPr>
    </w:p>
    <w:p w14:paraId="16BC3E55" w14:textId="77777777" w:rsidR="00792E3B" w:rsidRDefault="00792E3B" w:rsidP="005510E5">
      <w:pPr>
        <w:spacing w:line="360" w:lineRule="auto"/>
        <w:jc w:val="center"/>
        <w:rPr>
          <w:rFonts w:eastAsia="Times New Roman" w:cs="Arial"/>
          <w:color w:val="121212"/>
          <w:sz w:val="26"/>
          <w:szCs w:val="26"/>
          <w:shd w:val="clear" w:color="auto" w:fill="FFFFFF"/>
          <w:lang w:eastAsia="en-GB"/>
        </w:rPr>
      </w:pPr>
    </w:p>
    <w:p w14:paraId="50F5026F" w14:textId="77777777" w:rsidR="00792E3B" w:rsidRDefault="00792E3B" w:rsidP="005510E5">
      <w:pPr>
        <w:spacing w:line="360" w:lineRule="auto"/>
        <w:jc w:val="center"/>
        <w:rPr>
          <w:rFonts w:eastAsia="Times New Roman" w:cs="Arial"/>
          <w:color w:val="121212"/>
          <w:sz w:val="26"/>
          <w:szCs w:val="26"/>
          <w:shd w:val="clear" w:color="auto" w:fill="FFFFFF"/>
          <w:lang w:eastAsia="en-GB"/>
        </w:rPr>
      </w:pPr>
    </w:p>
    <w:p w14:paraId="48A49CED" w14:textId="77777777" w:rsidR="00792E3B" w:rsidRDefault="00792E3B" w:rsidP="005510E5">
      <w:pPr>
        <w:spacing w:line="360" w:lineRule="auto"/>
        <w:jc w:val="center"/>
        <w:rPr>
          <w:rFonts w:eastAsia="Times New Roman" w:cs="Arial"/>
          <w:color w:val="121212"/>
          <w:sz w:val="26"/>
          <w:szCs w:val="26"/>
          <w:shd w:val="clear" w:color="auto" w:fill="FFFFFF"/>
          <w:lang w:eastAsia="en-GB"/>
        </w:rPr>
      </w:pPr>
    </w:p>
    <w:p w14:paraId="1E5CC977" w14:textId="77777777" w:rsidR="00792E3B" w:rsidRDefault="00792E3B" w:rsidP="005510E5">
      <w:pPr>
        <w:spacing w:line="360" w:lineRule="auto"/>
        <w:jc w:val="center"/>
        <w:rPr>
          <w:rFonts w:eastAsia="Times New Roman" w:cs="Arial"/>
          <w:color w:val="121212"/>
          <w:sz w:val="26"/>
          <w:szCs w:val="26"/>
          <w:shd w:val="clear" w:color="auto" w:fill="FFFFFF"/>
          <w:lang w:eastAsia="en-GB"/>
        </w:rPr>
      </w:pPr>
    </w:p>
    <w:p w14:paraId="4D9C942E" w14:textId="77777777" w:rsidR="00792E3B" w:rsidRDefault="00792E3B" w:rsidP="005510E5">
      <w:pPr>
        <w:spacing w:line="360" w:lineRule="auto"/>
        <w:jc w:val="center"/>
        <w:rPr>
          <w:rFonts w:eastAsia="Times New Roman" w:cs="Arial"/>
          <w:color w:val="121212"/>
          <w:sz w:val="26"/>
          <w:szCs w:val="26"/>
          <w:shd w:val="clear" w:color="auto" w:fill="FFFFFF"/>
          <w:lang w:eastAsia="en-GB"/>
        </w:rPr>
      </w:pPr>
    </w:p>
    <w:p w14:paraId="4F2BB984" w14:textId="68A99A97" w:rsidR="005510E5" w:rsidRDefault="005510E5" w:rsidP="005510E5">
      <w:pPr>
        <w:spacing w:line="360" w:lineRule="auto"/>
        <w:jc w:val="center"/>
        <w:rPr>
          <w:rFonts w:eastAsia="Times New Roman" w:cs="Arial"/>
          <w:color w:val="121212"/>
          <w:sz w:val="26"/>
          <w:szCs w:val="26"/>
          <w:shd w:val="clear" w:color="auto" w:fill="FFFFFF"/>
          <w:lang w:eastAsia="en-GB"/>
        </w:rPr>
      </w:pPr>
      <w:r w:rsidRPr="002335CE">
        <w:rPr>
          <w:rFonts w:eastAsia="Times New Roman" w:cs="Arial"/>
          <w:color w:val="121212"/>
          <w:sz w:val="26"/>
          <w:szCs w:val="26"/>
          <w:shd w:val="clear" w:color="auto" w:fill="FFFFFF"/>
          <w:lang w:eastAsia="en-GB"/>
        </w:rPr>
        <w:t>“Remember to look up at the stars and not down at your feet. Try to make sense of what you see and wonder about what makes the universe exist. Be curious. And however difficult life may seem, there is always something you can do and succeed at. It matters that you don’t just give up.”</w:t>
      </w:r>
      <w:r>
        <w:rPr>
          <w:rFonts w:eastAsia="Times New Roman" w:cs="Arial"/>
          <w:color w:val="121212"/>
          <w:sz w:val="26"/>
          <w:szCs w:val="26"/>
          <w:shd w:val="clear" w:color="auto" w:fill="FFFFFF"/>
          <w:lang w:eastAsia="en-GB"/>
        </w:rPr>
        <w:t xml:space="preserve"> </w:t>
      </w:r>
    </w:p>
    <w:p w14:paraId="5B78E3DE" w14:textId="77777777" w:rsidR="005510E5" w:rsidRPr="002335CE" w:rsidRDefault="005510E5" w:rsidP="005510E5">
      <w:pPr>
        <w:spacing w:line="360" w:lineRule="auto"/>
        <w:jc w:val="center"/>
        <w:rPr>
          <w:rFonts w:eastAsia="Times New Roman" w:cs="Arial"/>
          <w:lang w:eastAsia="en-GB"/>
        </w:rPr>
      </w:pPr>
      <w:r>
        <w:rPr>
          <w:rFonts w:eastAsia="Times New Roman" w:cs="Arial"/>
          <w:color w:val="121212"/>
          <w:sz w:val="26"/>
          <w:szCs w:val="26"/>
          <w:shd w:val="clear" w:color="auto" w:fill="FFFFFF"/>
          <w:lang w:eastAsia="en-GB"/>
        </w:rPr>
        <w:t>Stephen Hawking</w:t>
      </w:r>
    </w:p>
    <w:p w14:paraId="47CA94D0" w14:textId="77777777" w:rsidR="005510E5" w:rsidRDefault="005510E5" w:rsidP="005510E5">
      <w:pPr>
        <w:rPr>
          <w:rFonts w:cs="Arial"/>
        </w:rPr>
      </w:pPr>
    </w:p>
    <w:p w14:paraId="41BBCF3F" w14:textId="77777777" w:rsidR="005510E5" w:rsidRDefault="005510E5" w:rsidP="005510E5">
      <w:pPr>
        <w:rPr>
          <w:rFonts w:cs="Arial"/>
        </w:rPr>
      </w:pPr>
      <w:r>
        <w:rPr>
          <w:rFonts w:cs="Arial"/>
        </w:rPr>
        <w:br w:type="page"/>
      </w:r>
    </w:p>
    <w:p w14:paraId="5D0A7C00" w14:textId="77777777" w:rsidR="005510E5" w:rsidRPr="00B6034F" w:rsidRDefault="005510E5" w:rsidP="0031237D">
      <w:pPr>
        <w:pStyle w:val="Heading1"/>
      </w:pPr>
      <w:bookmarkStart w:id="2" w:name="_Toc64723853"/>
      <w:r w:rsidRPr="00B6034F">
        <w:lastRenderedPageBreak/>
        <w:t>Acknowledgements:</w:t>
      </w:r>
      <w:bookmarkEnd w:id="1"/>
      <w:bookmarkEnd w:id="2"/>
    </w:p>
    <w:p w14:paraId="7643FD37" w14:textId="77777777" w:rsidR="005510E5" w:rsidRPr="00BB75E6" w:rsidRDefault="005510E5" w:rsidP="005510E5">
      <w:pPr>
        <w:spacing w:line="360" w:lineRule="auto"/>
        <w:rPr>
          <w:rFonts w:cs="Arial"/>
        </w:rPr>
      </w:pPr>
    </w:p>
    <w:p w14:paraId="2956126E" w14:textId="77777777" w:rsidR="005510E5" w:rsidRDefault="005510E5" w:rsidP="005510E5">
      <w:pPr>
        <w:spacing w:line="360" w:lineRule="auto"/>
        <w:rPr>
          <w:rFonts w:cs="Arial"/>
        </w:rPr>
      </w:pPr>
      <w:r w:rsidRPr="003A3CA0">
        <w:rPr>
          <w:rFonts w:cs="Arial"/>
        </w:rPr>
        <w:t xml:space="preserve">I would like to acknowledge my mentors and supervisors, Professor Solomon Tesfaye, Professor Iain Wilkinson and Dr Dinesh </w:t>
      </w:r>
      <w:proofErr w:type="spellStart"/>
      <w:r w:rsidRPr="003A3CA0">
        <w:rPr>
          <w:rFonts w:cs="Arial"/>
        </w:rPr>
        <w:t>Selvarajah</w:t>
      </w:r>
      <w:proofErr w:type="spellEnd"/>
      <w:r w:rsidRPr="003A3CA0">
        <w:rPr>
          <w:rFonts w:cs="Arial"/>
        </w:rPr>
        <w:t xml:space="preserve">, for giving me this amazing opportunity and </w:t>
      </w:r>
      <w:r>
        <w:rPr>
          <w:rFonts w:cs="Arial"/>
        </w:rPr>
        <w:t xml:space="preserve">thank them for </w:t>
      </w:r>
      <w:r w:rsidRPr="003A3CA0">
        <w:rPr>
          <w:rFonts w:cs="Arial"/>
        </w:rPr>
        <w:t xml:space="preserve">standing beside me through all the ups and downs of this study.  </w:t>
      </w:r>
    </w:p>
    <w:p w14:paraId="660DCBB8" w14:textId="71903602" w:rsidR="005510E5" w:rsidRDefault="005510E5" w:rsidP="005510E5">
      <w:pPr>
        <w:spacing w:line="360" w:lineRule="auto"/>
        <w:rPr>
          <w:rFonts w:cs="Arial"/>
        </w:rPr>
      </w:pPr>
      <w:r>
        <w:rPr>
          <w:rFonts w:cs="Arial"/>
        </w:rPr>
        <w:t>I would like to thank the E</w:t>
      </w:r>
      <w:r w:rsidR="009201F6">
        <w:rPr>
          <w:rFonts w:cs="Arial"/>
        </w:rPr>
        <w:t>F</w:t>
      </w:r>
      <w:r>
        <w:rPr>
          <w:rFonts w:cs="Arial"/>
        </w:rPr>
        <w:t xml:space="preserve">SD for their generous financial support of this study. </w:t>
      </w:r>
    </w:p>
    <w:p w14:paraId="3A4D2FCE" w14:textId="0402761A" w:rsidR="005510E5" w:rsidRDefault="005510E5" w:rsidP="005510E5">
      <w:pPr>
        <w:spacing w:line="360" w:lineRule="auto"/>
        <w:rPr>
          <w:rFonts w:cs="Arial"/>
        </w:rPr>
      </w:pPr>
      <w:r w:rsidRPr="003A3CA0">
        <w:rPr>
          <w:rFonts w:cs="Arial"/>
        </w:rPr>
        <w:t xml:space="preserve">I would like to thank Dr Sharon </w:t>
      </w:r>
      <w:proofErr w:type="spellStart"/>
      <w:r w:rsidRPr="003A3CA0">
        <w:rPr>
          <w:rFonts w:cs="Arial"/>
        </w:rPr>
        <w:t>Caunt</w:t>
      </w:r>
      <w:proofErr w:type="spellEnd"/>
      <w:r w:rsidRPr="003A3CA0">
        <w:rPr>
          <w:rFonts w:cs="Arial"/>
        </w:rPr>
        <w:t xml:space="preserve"> for her constant support for all aspects of this study, without her to use as a sounding board for all my ideas and a very broad shoulder to cry on there would have been no thesis.  I would like to thank my colleagues in the research office </w:t>
      </w:r>
      <w:r w:rsidR="007D65CA">
        <w:rPr>
          <w:rFonts w:cs="Arial"/>
        </w:rPr>
        <w:t xml:space="preserve">Dr “Rock” </w:t>
      </w:r>
      <w:r w:rsidRPr="003A3CA0">
        <w:rPr>
          <w:rFonts w:cs="Arial"/>
        </w:rPr>
        <w:t xml:space="preserve">Pavel </w:t>
      </w:r>
      <w:proofErr w:type="spellStart"/>
      <w:r w:rsidRPr="003A3CA0">
        <w:rPr>
          <w:rFonts w:cs="Arial"/>
        </w:rPr>
        <w:t>Rusev</w:t>
      </w:r>
      <w:proofErr w:type="spellEnd"/>
      <w:r w:rsidRPr="003A3CA0">
        <w:rPr>
          <w:rFonts w:cs="Arial"/>
        </w:rPr>
        <w:t xml:space="preserve">, Dr </w:t>
      </w:r>
      <w:proofErr w:type="spellStart"/>
      <w:r w:rsidRPr="003A3CA0">
        <w:rPr>
          <w:rFonts w:cs="Arial"/>
        </w:rPr>
        <w:t>Shillo</w:t>
      </w:r>
      <w:proofErr w:type="spellEnd"/>
      <w:r w:rsidRPr="003A3CA0">
        <w:rPr>
          <w:rFonts w:cs="Arial"/>
        </w:rPr>
        <w:t xml:space="preserve"> </w:t>
      </w:r>
      <w:proofErr w:type="spellStart"/>
      <w:r w:rsidRPr="003A3CA0">
        <w:rPr>
          <w:rFonts w:cs="Arial"/>
        </w:rPr>
        <w:t>Pallai</w:t>
      </w:r>
      <w:proofErr w:type="spellEnd"/>
      <w:r>
        <w:rPr>
          <w:rFonts w:cs="Arial"/>
        </w:rPr>
        <w:t>,</w:t>
      </w:r>
      <w:r w:rsidRPr="003A3CA0">
        <w:rPr>
          <w:rFonts w:cs="Arial"/>
        </w:rPr>
        <w:t xml:space="preserve"> and Dr Leanne Hunt for all their moral support, it wouldn’t have been worth it if we hadn’t gone through it together.  I would like to thank all the people who drove my kids around </w:t>
      </w:r>
      <w:r>
        <w:rPr>
          <w:rFonts w:cs="Arial"/>
        </w:rPr>
        <w:t xml:space="preserve">to events so I could stay at home and work on this project. </w:t>
      </w:r>
    </w:p>
    <w:p w14:paraId="3E2FC322" w14:textId="23553A53" w:rsidR="005510E5" w:rsidRPr="003A3CA0" w:rsidRDefault="005510E5" w:rsidP="005510E5">
      <w:pPr>
        <w:spacing w:line="360" w:lineRule="auto"/>
        <w:rPr>
          <w:rFonts w:cs="Arial"/>
        </w:rPr>
      </w:pPr>
      <w:r>
        <w:rPr>
          <w:rFonts w:cs="Arial"/>
        </w:rPr>
        <w:t xml:space="preserve">The radiographers at the MRI department have been instrumental in making this study happen.  Their technical ability in the scanning and control rooms ensured everything ran smoothly and they were always a great support to the </w:t>
      </w:r>
      <w:r w:rsidR="00E575FD">
        <w:rPr>
          <w:rFonts w:cs="Arial"/>
        </w:rPr>
        <w:t>participants</w:t>
      </w:r>
      <w:r>
        <w:rPr>
          <w:rFonts w:cs="Arial"/>
        </w:rPr>
        <w:t xml:space="preserve"> and to myself.  I especially would like to thank Julia Bigley who was the main contact for the study and helped with every aspect of the scanning process.  </w:t>
      </w:r>
    </w:p>
    <w:p w14:paraId="495DCC43" w14:textId="77777777" w:rsidR="005510E5" w:rsidRPr="003A3CA0" w:rsidRDefault="005510E5" w:rsidP="005510E5">
      <w:pPr>
        <w:spacing w:line="360" w:lineRule="auto"/>
        <w:rPr>
          <w:rFonts w:cs="Arial"/>
        </w:rPr>
      </w:pPr>
      <w:r w:rsidRPr="003A3CA0">
        <w:rPr>
          <w:rFonts w:cs="Arial"/>
        </w:rPr>
        <w:t>I would like to thank my family</w:t>
      </w:r>
      <w:r>
        <w:rPr>
          <w:rFonts w:cs="Arial"/>
        </w:rPr>
        <w:t>:</w:t>
      </w:r>
    </w:p>
    <w:p w14:paraId="2E72092C" w14:textId="77777777" w:rsidR="005510E5" w:rsidRPr="003A3CA0" w:rsidRDefault="005510E5" w:rsidP="005510E5">
      <w:pPr>
        <w:spacing w:line="360" w:lineRule="auto"/>
        <w:rPr>
          <w:rFonts w:cs="Arial"/>
        </w:rPr>
      </w:pPr>
      <w:r w:rsidRPr="003A3CA0">
        <w:rPr>
          <w:rFonts w:cs="Arial"/>
        </w:rPr>
        <w:t>Izzy and Toby who have understood</w:t>
      </w:r>
      <w:r>
        <w:rPr>
          <w:rFonts w:cs="Arial"/>
        </w:rPr>
        <w:t xml:space="preserve"> my need to focus on this project,</w:t>
      </w:r>
      <w:r w:rsidRPr="003A3CA0">
        <w:rPr>
          <w:rFonts w:cs="Arial"/>
        </w:rPr>
        <w:t xml:space="preserve"> given me hugs and cheered me on</w:t>
      </w:r>
      <w:r>
        <w:rPr>
          <w:rFonts w:cs="Arial"/>
        </w:rPr>
        <w:t xml:space="preserve"> at every stage. </w:t>
      </w:r>
      <w:r w:rsidRPr="003A3CA0">
        <w:rPr>
          <w:rFonts w:cs="Arial"/>
        </w:rPr>
        <w:t xml:space="preserve"> </w:t>
      </w:r>
    </w:p>
    <w:p w14:paraId="67D6A6DD" w14:textId="77777777" w:rsidR="005510E5" w:rsidRPr="003A3CA0" w:rsidRDefault="005510E5" w:rsidP="005510E5">
      <w:pPr>
        <w:spacing w:line="360" w:lineRule="auto"/>
        <w:rPr>
          <w:rFonts w:cs="Arial"/>
        </w:rPr>
      </w:pPr>
      <w:r w:rsidRPr="003A3CA0">
        <w:rPr>
          <w:rFonts w:cs="Arial"/>
        </w:rPr>
        <w:t xml:space="preserve">James who went through it all with me- without judging me and always believing in me and giving me the time and the space to achieve my dream.  </w:t>
      </w:r>
    </w:p>
    <w:p w14:paraId="3342B8EB" w14:textId="1F7444CF" w:rsidR="008B4A45" w:rsidRDefault="005510E5" w:rsidP="005510E5">
      <w:pPr>
        <w:spacing w:line="360" w:lineRule="auto"/>
        <w:rPr>
          <w:rFonts w:cs="Arial"/>
        </w:rPr>
      </w:pPr>
      <w:r>
        <w:rPr>
          <w:rFonts w:cs="Arial"/>
        </w:rPr>
        <w:t>Finally, and most importantly I would like to thank the participants.  This was an intensive study which took a lot of time and culminated in a lengthy MRI scan with the application of an uncomfortable stimulus.  I was inspired by their enthusiasm to participate and try and make the world a better place</w:t>
      </w:r>
      <w:r w:rsidR="00E575FD">
        <w:rPr>
          <w:rFonts w:cs="Arial"/>
        </w:rPr>
        <w:t>.</w:t>
      </w:r>
      <w:r>
        <w:rPr>
          <w:rFonts w:cs="Arial"/>
        </w:rPr>
        <w:t xml:space="preserve"> I learned so much from every single one of them.  Without sacrificing their precious time this study could never have taken place. </w:t>
      </w:r>
    </w:p>
    <w:p w14:paraId="21BCE0F8" w14:textId="77777777" w:rsidR="008B4A45" w:rsidRDefault="008B4A45" w:rsidP="008B4A45">
      <w:pPr>
        <w:spacing w:line="360" w:lineRule="auto"/>
        <w:rPr>
          <w:rFonts w:cs="Arial"/>
        </w:rPr>
      </w:pPr>
      <w:r w:rsidRPr="003A3CA0">
        <w:rPr>
          <w:rFonts w:cs="Arial"/>
        </w:rPr>
        <w:t xml:space="preserve">I am very proud of this thesis and what it says about my determination to see something through.  </w:t>
      </w:r>
    </w:p>
    <w:p w14:paraId="719DEA87" w14:textId="77777777" w:rsidR="005510E5" w:rsidRPr="00BB75E6" w:rsidRDefault="005510E5" w:rsidP="005510E5">
      <w:pPr>
        <w:spacing w:line="360" w:lineRule="auto"/>
        <w:rPr>
          <w:rFonts w:cs="Arial"/>
        </w:rPr>
      </w:pPr>
      <w:r w:rsidRPr="00BB75E6">
        <w:rPr>
          <w:rFonts w:cs="Arial"/>
        </w:rPr>
        <w:br w:type="page"/>
      </w:r>
    </w:p>
    <w:p w14:paraId="523B445D" w14:textId="77777777" w:rsidR="005510E5" w:rsidRPr="00B6034F" w:rsidRDefault="005510E5" w:rsidP="0031237D">
      <w:pPr>
        <w:pStyle w:val="Heading1"/>
      </w:pPr>
      <w:bookmarkStart w:id="3" w:name="_heading=h.30j0zll" w:colFirst="0" w:colLast="0"/>
      <w:bookmarkStart w:id="4" w:name="_Toc48364618"/>
      <w:bookmarkStart w:id="5" w:name="_Toc64723854"/>
      <w:bookmarkEnd w:id="3"/>
      <w:r w:rsidRPr="00B6034F">
        <w:lastRenderedPageBreak/>
        <w:t>Abstract</w:t>
      </w:r>
      <w:bookmarkEnd w:id="4"/>
      <w:bookmarkEnd w:id="5"/>
    </w:p>
    <w:tbl>
      <w:tblPr>
        <w:tblStyle w:val="GridTable7Colourful"/>
        <w:tblW w:w="10632" w:type="dxa"/>
        <w:tblInd w:w="-709" w:type="dxa"/>
        <w:tblLook w:val="04A0" w:firstRow="1" w:lastRow="0" w:firstColumn="1" w:lastColumn="0" w:noHBand="0" w:noVBand="1"/>
      </w:tblPr>
      <w:tblGrid>
        <w:gridCol w:w="1306"/>
        <w:gridCol w:w="1813"/>
        <w:gridCol w:w="1559"/>
        <w:gridCol w:w="1985"/>
        <w:gridCol w:w="2268"/>
        <w:gridCol w:w="1701"/>
      </w:tblGrid>
      <w:tr w:rsidR="005510E5" w:rsidRPr="00CB0FE5" w14:paraId="7BB731B1" w14:textId="77777777" w:rsidTr="00AB4128">
        <w:trPr>
          <w:cnfStyle w:val="100000000000" w:firstRow="1" w:lastRow="0" w:firstColumn="0" w:lastColumn="0" w:oddVBand="0" w:evenVBand="0" w:oddHBand="0" w:evenHBand="0" w:firstRowFirstColumn="0" w:firstRowLastColumn="0" w:lastRowFirstColumn="0" w:lastRowLastColumn="0"/>
          <w:trHeight w:val="142"/>
        </w:trPr>
        <w:tc>
          <w:tcPr>
            <w:cnfStyle w:val="001000000100" w:firstRow="0" w:lastRow="0" w:firstColumn="1" w:lastColumn="0" w:oddVBand="0" w:evenVBand="0" w:oddHBand="0" w:evenHBand="0" w:firstRowFirstColumn="1" w:firstRowLastColumn="0" w:lastRowFirstColumn="0" w:lastRowLastColumn="0"/>
            <w:tcW w:w="10632" w:type="dxa"/>
            <w:gridSpan w:val="6"/>
          </w:tcPr>
          <w:p w14:paraId="46BA7F6C" w14:textId="77777777" w:rsidR="005510E5" w:rsidRPr="00CB0FE5" w:rsidRDefault="005510E5" w:rsidP="00AB4128">
            <w:pPr>
              <w:rPr>
                <w:sz w:val="20"/>
                <w:szCs w:val="20"/>
              </w:rPr>
            </w:pPr>
            <w:r w:rsidRPr="00CB0FE5">
              <w:rPr>
                <w:sz w:val="20"/>
                <w:szCs w:val="20"/>
              </w:rPr>
              <w:t>Overview of the Studies</w:t>
            </w:r>
          </w:p>
        </w:tc>
      </w:tr>
      <w:tr w:rsidR="005510E5" w:rsidRPr="00CB0FE5" w14:paraId="610E942D" w14:textId="77777777" w:rsidTr="00AB41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6" w:type="dxa"/>
          </w:tcPr>
          <w:p w14:paraId="3DFA3CE0" w14:textId="77777777" w:rsidR="005510E5" w:rsidRPr="00CB0FE5" w:rsidRDefault="005510E5" w:rsidP="00AB4128">
            <w:pPr>
              <w:rPr>
                <w:sz w:val="20"/>
                <w:szCs w:val="20"/>
              </w:rPr>
            </w:pPr>
          </w:p>
        </w:tc>
        <w:tc>
          <w:tcPr>
            <w:tcW w:w="1813" w:type="dxa"/>
          </w:tcPr>
          <w:p w14:paraId="43FE34AB" w14:textId="77777777" w:rsidR="005510E5" w:rsidRPr="00CB0FE5" w:rsidRDefault="005510E5" w:rsidP="00AB4128">
            <w:pPr>
              <w:cnfStyle w:val="000000100000" w:firstRow="0" w:lastRow="0" w:firstColumn="0" w:lastColumn="0" w:oddVBand="0" w:evenVBand="0" w:oddHBand="1" w:evenHBand="0" w:firstRowFirstColumn="0" w:firstRowLastColumn="0" w:lastRowFirstColumn="0" w:lastRowLastColumn="0"/>
              <w:rPr>
                <w:sz w:val="20"/>
                <w:szCs w:val="20"/>
              </w:rPr>
            </w:pPr>
            <w:r w:rsidRPr="00CB0FE5">
              <w:rPr>
                <w:sz w:val="20"/>
                <w:szCs w:val="20"/>
              </w:rPr>
              <w:t>Chapter 2</w:t>
            </w:r>
          </w:p>
        </w:tc>
        <w:tc>
          <w:tcPr>
            <w:tcW w:w="1559" w:type="dxa"/>
          </w:tcPr>
          <w:p w14:paraId="0A374F0E" w14:textId="77777777" w:rsidR="005510E5" w:rsidRPr="00CB0FE5" w:rsidRDefault="005510E5" w:rsidP="00AB4128">
            <w:pPr>
              <w:cnfStyle w:val="000000100000" w:firstRow="0" w:lastRow="0" w:firstColumn="0" w:lastColumn="0" w:oddVBand="0" w:evenVBand="0" w:oddHBand="1" w:evenHBand="0" w:firstRowFirstColumn="0" w:firstRowLastColumn="0" w:lastRowFirstColumn="0" w:lastRowLastColumn="0"/>
              <w:rPr>
                <w:sz w:val="20"/>
                <w:szCs w:val="20"/>
              </w:rPr>
            </w:pPr>
            <w:r w:rsidRPr="00CB0FE5">
              <w:rPr>
                <w:sz w:val="20"/>
                <w:szCs w:val="20"/>
              </w:rPr>
              <w:t>Chapter 3</w:t>
            </w:r>
          </w:p>
        </w:tc>
        <w:tc>
          <w:tcPr>
            <w:tcW w:w="1985" w:type="dxa"/>
          </w:tcPr>
          <w:p w14:paraId="06E071C7" w14:textId="77777777" w:rsidR="005510E5" w:rsidRPr="00CB0FE5" w:rsidRDefault="005510E5" w:rsidP="00AB4128">
            <w:pPr>
              <w:cnfStyle w:val="000000100000" w:firstRow="0" w:lastRow="0" w:firstColumn="0" w:lastColumn="0" w:oddVBand="0" w:evenVBand="0" w:oddHBand="1" w:evenHBand="0" w:firstRowFirstColumn="0" w:firstRowLastColumn="0" w:lastRowFirstColumn="0" w:lastRowLastColumn="0"/>
              <w:rPr>
                <w:sz w:val="20"/>
                <w:szCs w:val="20"/>
              </w:rPr>
            </w:pPr>
            <w:r w:rsidRPr="00CB0FE5">
              <w:rPr>
                <w:sz w:val="20"/>
                <w:szCs w:val="20"/>
              </w:rPr>
              <w:t>Chapter 4</w:t>
            </w:r>
          </w:p>
        </w:tc>
        <w:tc>
          <w:tcPr>
            <w:tcW w:w="2268" w:type="dxa"/>
          </w:tcPr>
          <w:p w14:paraId="6B79A0C7" w14:textId="77777777" w:rsidR="005510E5" w:rsidRPr="00CB0FE5" w:rsidRDefault="005510E5" w:rsidP="00AB4128">
            <w:pPr>
              <w:cnfStyle w:val="000000100000" w:firstRow="0" w:lastRow="0" w:firstColumn="0" w:lastColumn="0" w:oddVBand="0" w:evenVBand="0" w:oddHBand="1" w:evenHBand="0" w:firstRowFirstColumn="0" w:firstRowLastColumn="0" w:lastRowFirstColumn="0" w:lastRowLastColumn="0"/>
              <w:rPr>
                <w:sz w:val="20"/>
                <w:szCs w:val="20"/>
              </w:rPr>
            </w:pPr>
            <w:r w:rsidRPr="00CB0FE5">
              <w:rPr>
                <w:sz w:val="20"/>
                <w:szCs w:val="20"/>
              </w:rPr>
              <w:t>Chapter 5</w:t>
            </w:r>
          </w:p>
        </w:tc>
        <w:tc>
          <w:tcPr>
            <w:tcW w:w="1701" w:type="dxa"/>
          </w:tcPr>
          <w:p w14:paraId="3419E90E" w14:textId="77777777" w:rsidR="005510E5" w:rsidRPr="00CB0FE5" w:rsidRDefault="005510E5" w:rsidP="00AB4128">
            <w:pPr>
              <w:cnfStyle w:val="000000100000" w:firstRow="0" w:lastRow="0" w:firstColumn="0" w:lastColumn="0" w:oddVBand="0" w:evenVBand="0" w:oddHBand="1" w:evenHBand="0" w:firstRowFirstColumn="0" w:firstRowLastColumn="0" w:lastRowFirstColumn="0" w:lastRowLastColumn="0"/>
              <w:rPr>
                <w:sz w:val="20"/>
                <w:szCs w:val="20"/>
              </w:rPr>
            </w:pPr>
            <w:r w:rsidRPr="00CB0FE5">
              <w:rPr>
                <w:sz w:val="20"/>
                <w:szCs w:val="20"/>
              </w:rPr>
              <w:t>Chapter 6</w:t>
            </w:r>
          </w:p>
        </w:tc>
      </w:tr>
      <w:tr w:rsidR="005510E5" w:rsidRPr="00CB0FE5" w14:paraId="137500B2" w14:textId="77777777" w:rsidTr="00AB4128">
        <w:tc>
          <w:tcPr>
            <w:cnfStyle w:val="001000000000" w:firstRow="0" w:lastRow="0" w:firstColumn="1" w:lastColumn="0" w:oddVBand="0" w:evenVBand="0" w:oddHBand="0" w:evenHBand="0" w:firstRowFirstColumn="0" w:firstRowLastColumn="0" w:lastRowFirstColumn="0" w:lastRowLastColumn="0"/>
            <w:tcW w:w="1306" w:type="dxa"/>
          </w:tcPr>
          <w:p w14:paraId="0757773D" w14:textId="77777777" w:rsidR="005510E5" w:rsidRPr="00CB0FE5" w:rsidRDefault="005510E5" w:rsidP="00AB4128">
            <w:pPr>
              <w:rPr>
                <w:sz w:val="20"/>
                <w:szCs w:val="20"/>
              </w:rPr>
            </w:pPr>
            <w:r w:rsidRPr="00CB0FE5">
              <w:rPr>
                <w:sz w:val="20"/>
                <w:szCs w:val="20"/>
              </w:rPr>
              <w:t>Title</w:t>
            </w:r>
          </w:p>
        </w:tc>
        <w:tc>
          <w:tcPr>
            <w:tcW w:w="1813" w:type="dxa"/>
          </w:tcPr>
          <w:p w14:paraId="4186206C" w14:textId="77777777" w:rsidR="005510E5" w:rsidRPr="00CB0FE5" w:rsidRDefault="005510E5" w:rsidP="00AB4128">
            <w:pPr>
              <w:cnfStyle w:val="000000000000" w:firstRow="0" w:lastRow="0" w:firstColumn="0" w:lastColumn="0" w:oddVBand="0" w:evenVBand="0" w:oddHBand="0" w:evenHBand="0" w:firstRowFirstColumn="0" w:firstRowLastColumn="0" w:lastRowFirstColumn="0" w:lastRowLastColumn="0"/>
              <w:rPr>
                <w:sz w:val="20"/>
                <w:szCs w:val="20"/>
              </w:rPr>
            </w:pPr>
            <w:r w:rsidRPr="00CB0FE5">
              <w:rPr>
                <w:sz w:val="20"/>
                <w:szCs w:val="20"/>
              </w:rPr>
              <w:t>Characterisation of clinical and metabolic phenotypes of group participants</w:t>
            </w:r>
          </w:p>
        </w:tc>
        <w:tc>
          <w:tcPr>
            <w:tcW w:w="1559" w:type="dxa"/>
          </w:tcPr>
          <w:p w14:paraId="5196B117" w14:textId="77777777" w:rsidR="005510E5" w:rsidRPr="00CB0FE5" w:rsidRDefault="005510E5" w:rsidP="00AB4128">
            <w:pPr>
              <w:cnfStyle w:val="000000000000" w:firstRow="0" w:lastRow="0" w:firstColumn="0" w:lastColumn="0" w:oddVBand="0" w:evenVBand="0" w:oddHBand="0" w:evenHBand="0" w:firstRowFirstColumn="0" w:firstRowLastColumn="0" w:lastRowFirstColumn="0" w:lastRowLastColumn="0"/>
              <w:rPr>
                <w:sz w:val="20"/>
                <w:szCs w:val="20"/>
              </w:rPr>
            </w:pPr>
            <w:r w:rsidRPr="00CB0FE5">
              <w:rPr>
                <w:sz w:val="20"/>
                <w:szCs w:val="20"/>
              </w:rPr>
              <w:t>Reproducibility of quantitative measurements of Dynamic Susceptibility Contrast (DSC) for cerebral microvascular perfusion.</w:t>
            </w:r>
          </w:p>
        </w:tc>
        <w:tc>
          <w:tcPr>
            <w:tcW w:w="1985" w:type="dxa"/>
          </w:tcPr>
          <w:p w14:paraId="1D14A1BD" w14:textId="300C046B" w:rsidR="005510E5" w:rsidRPr="00CB0FE5" w:rsidRDefault="007D7DEA" w:rsidP="00AB4128">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Microvascular</w:t>
            </w:r>
            <w:r w:rsidR="005510E5" w:rsidRPr="00CB0FE5">
              <w:rPr>
                <w:sz w:val="20"/>
                <w:szCs w:val="20"/>
              </w:rPr>
              <w:t xml:space="preserve"> perfusion characteristics of the thalamus and areas of the pain network (matrix) at baseline using dynamic susceptibility contrast</w:t>
            </w:r>
          </w:p>
        </w:tc>
        <w:tc>
          <w:tcPr>
            <w:tcW w:w="2268" w:type="dxa"/>
          </w:tcPr>
          <w:p w14:paraId="3B8D9618" w14:textId="77777777" w:rsidR="005510E5" w:rsidRPr="00CB0FE5" w:rsidRDefault="005510E5" w:rsidP="00AB4128">
            <w:pPr>
              <w:cnfStyle w:val="000000000000" w:firstRow="0" w:lastRow="0" w:firstColumn="0" w:lastColumn="0" w:oddVBand="0" w:evenVBand="0" w:oddHBand="0" w:evenHBand="0" w:firstRowFirstColumn="0" w:firstRowLastColumn="0" w:lastRowFirstColumn="0" w:lastRowLastColumn="0"/>
              <w:rPr>
                <w:sz w:val="20"/>
                <w:szCs w:val="20"/>
              </w:rPr>
            </w:pPr>
            <w:r w:rsidRPr="00CB0FE5">
              <w:rPr>
                <w:sz w:val="20"/>
                <w:szCs w:val="20"/>
              </w:rPr>
              <w:t>The effect of acute heat pain stimulus on the microvascular perfusion of the thalamus and areas of the pain matrix in P-DPN using dynamic susceptibility contrast</w:t>
            </w:r>
          </w:p>
        </w:tc>
        <w:tc>
          <w:tcPr>
            <w:tcW w:w="1701" w:type="dxa"/>
          </w:tcPr>
          <w:p w14:paraId="41C3E6AB" w14:textId="77777777" w:rsidR="005510E5" w:rsidRPr="00CB0FE5" w:rsidRDefault="005510E5" w:rsidP="00AB4128">
            <w:pPr>
              <w:cnfStyle w:val="000000000000" w:firstRow="0" w:lastRow="0" w:firstColumn="0" w:lastColumn="0" w:oddVBand="0" w:evenVBand="0" w:oddHBand="0" w:evenHBand="0" w:firstRowFirstColumn="0" w:firstRowLastColumn="0" w:lastRowFirstColumn="0" w:lastRowLastColumn="0"/>
              <w:rPr>
                <w:sz w:val="20"/>
                <w:szCs w:val="20"/>
              </w:rPr>
            </w:pPr>
            <w:r w:rsidRPr="00CB0FE5">
              <w:rPr>
                <w:sz w:val="20"/>
                <w:szCs w:val="20"/>
              </w:rPr>
              <w:t>Altered thalamic H</w:t>
            </w:r>
            <w:r w:rsidRPr="00CB0FE5">
              <w:rPr>
                <w:sz w:val="20"/>
                <w:szCs w:val="20"/>
                <w:vertAlign w:val="superscript"/>
              </w:rPr>
              <w:t>1-</w:t>
            </w:r>
            <w:r w:rsidRPr="00CB0FE5">
              <w:rPr>
                <w:sz w:val="20"/>
                <w:szCs w:val="20"/>
              </w:rPr>
              <w:t>MRS parameters are more strongly related to mood disorders than perfusion parameters</w:t>
            </w:r>
          </w:p>
        </w:tc>
      </w:tr>
      <w:tr w:rsidR="005510E5" w:rsidRPr="00CB0FE5" w14:paraId="71A0F323" w14:textId="77777777" w:rsidTr="00AB41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6" w:type="dxa"/>
          </w:tcPr>
          <w:p w14:paraId="0AA86696" w14:textId="77777777" w:rsidR="005510E5" w:rsidRPr="00CB0FE5" w:rsidRDefault="005510E5" w:rsidP="00AB4128">
            <w:pPr>
              <w:rPr>
                <w:sz w:val="20"/>
                <w:szCs w:val="20"/>
              </w:rPr>
            </w:pPr>
            <w:r w:rsidRPr="00CB0FE5">
              <w:rPr>
                <w:sz w:val="20"/>
                <w:szCs w:val="20"/>
              </w:rPr>
              <w:t>Aims</w:t>
            </w:r>
          </w:p>
        </w:tc>
        <w:tc>
          <w:tcPr>
            <w:tcW w:w="1813" w:type="dxa"/>
          </w:tcPr>
          <w:p w14:paraId="79744BA0" w14:textId="77777777" w:rsidR="005510E5" w:rsidRPr="00CB0FE5" w:rsidRDefault="005510E5" w:rsidP="00AB4128">
            <w:pPr>
              <w:cnfStyle w:val="000000100000" w:firstRow="0" w:lastRow="0" w:firstColumn="0" w:lastColumn="0" w:oddVBand="0" w:evenVBand="0" w:oddHBand="1" w:evenHBand="0" w:firstRowFirstColumn="0" w:firstRowLastColumn="0" w:lastRowFirstColumn="0" w:lastRowLastColumn="0"/>
              <w:rPr>
                <w:sz w:val="20"/>
                <w:szCs w:val="20"/>
              </w:rPr>
            </w:pPr>
            <w:r w:rsidRPr="00CB0FE5">
              <w:rPr>
                <w:sz w:val="20"/>
                <w:szCs w:val="20"/>
              </w:rPr>
              <w:t>To characterise participants using clinical and metabolic parameters.</w:t>
            </w:r>
          </w:p>
        </w:tc>
        <w:tc>
          <w:tcPr>
            <w:tcW w:w="1559" w:type="dxa"/>
          </w:tcPr>
          <w:p w14:paraId="7D862FBC" w14:textId="77777777" w:rsidR="005510E5" w:rsidRPr="00CB0FE5" w:rsidRDefault="005510E5" w:rsidP="00AB4128">
            <w:pPr>
              <w:cnfStyle w:val="000000100000" w:firstRow="0" w:lastRow="0" w:firstColumn="0" w:lastColumn="0" w:oddVBand="0" w:evenVBand="0" w:oddHBand="1" w:evenHBand="0" w:firstRowFirstColumn="0" w:firstRowLastColumn="0" w:lastRowFirstColumn="0" w:lastRowLastColumn="0"/>
              <w:rPr>
                <w:sz w:val="20"/>
                <w:szCs w:val="20"/>
              </w:rPr>
            </w:pPr>
            <w:r w:rsidRPr="00CB0FE5">
              <w:rPr>
                <w:sz w:val="20"/>
                <w:szCs w:val="20"/>
              </w:rPr>
              <w:t>To establish the reproducibility of the four perfusion parameters RBV, RBF, MTT, TTP measured by the DSC-MRI protocol and compare to published data.</w:t>
            </w:r>
          </w:p>
        </w:tc>
        <w:tc>
          <w:tcPr>
            <w:tcW w:w="1985" w:type="dxa"/>
          </w:tcPr>
          <w:p w14:paraId="1FE22DD2" w14:textId="77777777" w:rsidR="005510E5" w:rsidRPr="00CB0FE5" w:rsidRDefault="005510E5" w:rsidP="00AB4128">
            <w:pPr>
              <w:cnfStyle w:val="000000100000" w:firstRow="0" w:lastRow="0" w:firstColumn="0" w:lastColumn="0" w:oddVBand="0" w:evenVBand="0" w:oddHBand="1" w:evenHBand="0" w:firstRowFirstColumn="0" w:firstRowLastColumn="0" w:lastRowFirstColumn="0" w:lastRowLastColumn="0"/>
              <w:rPr>
                <w:sz w:val="20"/>
                <w:szCs w:val="20"/>
              </w:rPr>
            </w:pPr>
            <w:r w:rsidRPr="00CB0FE5">
              <w:rPr>
                <w:sz w:val="20"/>
                <w:szCs w:val="20"/>
              </w:rPr>
              <w:t xml:space="preserve">To determine differences in microvascular perfusion parameters in pain processing areas of the brain at rest between P-DPN and DPN, DM-NN and HV. </w:t>
            </w:r>
          </w:p>
        </w:tc>
        <w:tc>
          <w:tcPr>
            <w:tcW w:w="2268" w:type="dxa"/>
          </w:tcPr>
          <w:p w14:paraId="430481C5" w14:textId="77777777" w:rsidR="005510E5" w:rsidRPr="00CB0FE5" w:rsidRDefault="005510E5" w:rsidP="00AB4128">
            <w:pPr>
              <w:cnfStyle w:val="000000100000" w:firstRow="0" w:lastRow="0" w:firstColumn="0" w:lastColumn="0" w:oddVBand="0" w:evenVBand="0" w:oddHBand="1" w:evenHBand="0" w:firstRowFirstColumn="0" w:firstRowLastColumn="0" w:lastRowFirstColumn="0" w:lastRowLastColumn="0"/>
              <w:rPr>
                <w:sz w:val="20"/>
                <w:szCs w:val="20"/>
              </w:rPr>
            </w:pPr>
            <w:r w:rsidRPr="00CB0FE5">
              <w:rPr>
                <w:sz w:val="20"/>
                <w:szCs w:val="20"/>
              </w:rPr>
              <w:t>To determine differences in microvascular perfusion parameters in pain processing areas of the brain during a painful stimulus between P-DPN and DPN, DM-NN and HV.</w:t>
            </w:r>
          </w:p>
        </w:tc>
        <w:tc>
          <w:tcPr>
            <w:tcW w:w="1701" w:type="dxa"/>
          </w:tcPr>
          <w:p w14:paraId="1EF32A0D" w14:textId="77777777" w:rsidR="005510E5" w:rsidRPr="00CB0FE5" w:rsidRDefault="005510E5" w:rsidP="00AB4128">
            <w:pPr>
              <w:cnfStyle w:val="000000100000" w:firstRow="0" w:lastRow="0" w:firstColumn="0" w:lastColumn="0" w:oddVBand="0" w:evenVBand="0" w:oddHBand="1" w:evenHBand="0" w:firstRowFirstColumn="0" w:firstRowLastColumn="0" w:lastRowFirstColumn="0" w:lastRowLastColumn="0"/>
              <w:rPr>
                <w:sz w:val="20"/>
                <w:szCs w:val="20"/>
              </w:rPr>
            </w:pPr>
            <w:r w:rsidRPr="00CB0FE5">
              <w:rPr>
                <w:sz w:val="20"/>
                <w:szCs w:val="20"/>
              </w:rPr>
              <w:t>To compare H</w:t>
            </w:r>
            <w:r w:rsidRPr="00CB0FE5">
              <w:rPr>
                <w:sz w:val="20"/>
                <w:szCs w:val="20"/>
                <w:vertAlign w:val="superscript"/>
              </w:rPr>
              <w:t>1-</w:t>
            </w:r>
            <w:r w:rsidRPr="00CB0FE5">
              <w:rPr>
                <w:sz w:val="20"/>
                <w:szCs w:val="20"/>
              </w:rPr>
              <w:t>MRS, as a measure of neuronal function, with patient phenotype and perfusion parameters</w:t>
            </w:r>
          </w:p>
        </w:tc>
      </w:tr>
      <w:tr w:rsidR="005510E5" w:rsidRPr="00CB0FE5" w14:paraId="5C1A9FA8" w14:textId="77777777" w:rsidTr="00AB4128">
        <w:tc>
          <w:tcPr>
            <w:cnfStyle w:val="001000000000" w:firstRow="0" w:lastRow="0" w:firstColumn="1" w:lastColumn="0" w:oddVBand="0" w:evenVBand="0" w:oddHBand="0" w:evenHBand="0" w:firstRowFirstColumn="0" w:firstRowLastColumn="0" w:lastRowFirstColumn="0" w:lastRowLastColumn="0"/>
            <w:tcW w:w="1306" w:type="dxa"/>
          </w:tcPr>
          <w:p w14:paraId="469C6B51" w14:textId="77777777" w:rsidR="005510E5" w:rsidRPr="00CB0FE5" w:rsidRDefault="005510E5" w:rsidP="00AB4128">
            <w:pPr>
              <w:rPr>
                <w:sz w:val="20"/>
                <w:szCs w:val="20"/>
              </w:rPr>
            </w:pPr>
            <w:r w:rsidRPr="00CB0FE5">
              <w:rPr>
                <w:sz w:val="20"/>
                <w:szCs w:val="20"/>
              </w:rPr>
              <w:t>Design</w:t>
            </w:r>
          </w:p>
        </w:tc>
        <w:tc>
          <w:tcPr>
            <w:tcW w:w="1813" w:type="dxa"/>
          </w:tcPr>
          <w:p w14:paraId="79CDE7F3" w14:textId="77777777" w:rsidR="005510E5" w:rsidRPr="00CB0FE5" w:rsidRDefault="005510E5" w:rsidP="00AB4128">
            <w:pPr>
              <w:cnfStyle w:val="000000000000" w:firstRow="0" w:lastRow="0" w:firstColumn="0" w:lastColumn="0" w:oddVBand="0" w:evenVBand="0" w:oddHBand="0" w:evenHBand="0" w:firstRowFirstColumn="0" w:firstRowLastColumn="0" w:lastRowFirstColumn="0" w:lastRowLastColumn="0"/>
              <w:rPr>
                <w:sz w:val="20"/>
                <w:szCs w:val="20"/>
              </w:rPr>
            </w:pPr>
            <w:r w:rsidRPr="00CB0FE5">
              <w:rPr>
                <w:sz w:val="20"/>
                <w:szCs w:val="20"/>
              </w:rPr>
              <w:t>Cross-sectional study using clinical examination, questionnaires and blood tests.</w:t>
            </w:r>
          </w:p>
        </w:tc>
        <w:tc>
          <w:tcPr>
            <w:tcW w:w="1559" w:type="dxa"/>
          </w:tcPr>
          <w:p w14:paraId="6B485A33" w14:textId="77777777" w:rsidR="005510E5" w:rsidRPr="00CB0FE5" w:rsidRDefault="005510E5" w:rsidP="00AB4128">
            <w:pPr>
              <w:cnfStyle w:val="000000000000" w:firstRow="0" w:lastRow="0" w:firstColumn="0" w:lastColumn="0" w:oddVBand="0" w:evenVBand="0" w:oddHBand="0" w:evenHBand="0" w:firstRowFirstColumn="0" w:firstRowLastColumn="0" w:lastRowFirstColumn="0" w:lastRowLastColumn="0"/>
              <w:rPr>
                <w:sz w:val="20"/>
                <w:szCs w:val="20"/>
              </w:rPr>
            </w:pPr>
            <w:r w:rsidRPr="00CB0FE5">
              <w:rPr>
                <w:sz w:val="20"/>
                <w:szCs w:val="20"/>
              </w:rPr>
              <w:t xml:space="preserve">Cross sectional study using DSC-MRI measurements at baseline. Whole dataset blinded comparison of measurements by two raters. </w:t>
            </w:r>
          </w:p>
        </w:tc>
        <w:tc>
          <w:tcPr>
            <w:tcW w:w="1985" w:type="dxa"/>
          </w:tcPr>
          <w:p w14:paraId="51B9395B" w14:textId="77777777" w:rsidR="005510E5" w:rsidRPr="00CB0FE5" w:rsidRDefault="005510E5" w:rsidP="00AB4128">
            <w:pPr>
              <w:cnfStyle w:val="000000000000" w:firstRow="0" w:lastRow="0" w:firstColumn="0" w:lastColumn="0" w:oddVBand="0" w:evenVBand="0" w:oddHBand="0" w:evenHBand="0" w:firstRowFirstColumn="0" w:firstRowLastColumn="0" w:lastRowFirstColumn="0" w:lastRowLastColumn="0"/>
              <w:rPr>
                <w:sz w:val="20"/>
                <w:szCs w:val="20"/>
              </w:rPr>
            </w:pPr>
            <w:r w:rsidRPr="00CB0FE5">
              <w:rPr>
                <w:sz w:val="20"/>
                <w:szCs w:val="20"/>
              </w:rPr>
              <w:t>Cross sectional clinical study using DSC-MRI during a resting condition.</w:t>
            </w:r>
          </w:p>
        </w:tc>
        <w:tc>
          <w:tcPr>
            <w:tcW w:w="2268" w:type="dxa"/>
          </w:tcPr>
          <w:p w14:paraId="49DA4860" w14:textId="77777777" w:rsidR="005510E5" w:rsidRPr="00CB0FE5" w:rsidRDefault="005510E5" w:rsidP="00AB4128">
            <w:pPr>
              <w:cnfStyle w:val="000000000000" w:firstRow="0" w:lastRow="0" w:firstColumn="0" w:lastColumn="0" w:oddVBand="0" w:evenVBand="0" w:oddHBand="0" w:evenHBand="0" w:firstRowFirstColumn="0" w:firstRowLastColumn="0" w:lastRowFirstColumn="0" w:lastRowLastColumn="0"/>
              <w:rPr>
                <w:sz w:val="20"/>
                <w:szCs w:val="20"/>
              </w:rPr>
            </w:pPr>
            <w:r w:rsidRPr="00CB0FE5">
              <w:rPr>
                <w:sz w:val="20"/>
                <w:szCs w:val="20"/>
              </w:rPr>
              <w:t xml:space="preserve">Cross sectional clinical study using DSC-MRI during a painful thermal stimulus </w:t>
            </w:r>
          </w:p>
        </w:tc>
        <w:tc>
          <w:tcPr>
            <w:tcW w:w="1701" w:type="dxa"/>
          </w:tcPr>
          <w:p w14:paraId="56176F6E" w14:textId="77777777" w:rsidR="005510E5" w:rsidRPr="00CB0FE5" w:rsidRDefault="005510E5" w:rsidP="00AB4128">
            <w:pPr>
              <w:cnfStyle w:val="000000000000" w:firstRow="0" w:lastRow="0" w:firstColumn="0" w:lastColumn="0" w:oddVBand="0" w:evenVBand="0" w:oddHBand="0" w:evenHBand="0" w:firstRowFirstColumn="0" w:firstRowLastColumn="0" w:lastRowFirstColumn="0" w:lastRowLastColumn="0"/>
              <w:rPr>
                <w:sz w:val="20"/>
                <w:szCs w:val="20"/>
              </w:rPr>
            </w:pPr>
            <w:r w:rsidRPr="00CB0FE5">
              <w:rPr>
                <w:sz w:val="20"/>
                <w:szCs w:val="20"/>
              </w:rPr>
              <w:t>Cross sectional clinical study comparing H</w:t>
            </w:r>
            <w:r w:rsidRPr="00CB0FE5">
              <w:rPr>
                <w:sz w:val="20"/>
                <w:szCs w:val="20"/>
                <w:vertAlign w:val="superscript"/>
              </w:rPr>
              <w:t>1-</w:t>
            </w:r>
            <w:r w:rsidRPr="00CB0FE5">
              <w:rPr>
                <w:sz w:val="20"/>
                <w:szCs w:val="20"/>
              </w:rPr>
              <w:t xml:space="preserve">MRS to DSC-MRI and patient phenotype </w:t>
            </w:r>
          </w:p>
        </w:tc>
      </w:tr>
      <w:tr w:rsidR="005510E5" w:rsidRPr="00CB0FE5" w14:paraId="57B41754" w14:textId="77777777" w:rsidTr="00AB41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6" w:type="dxa"/>
          </w:tcPr>
          <w:p w14:paraId="046BE1ED" w14:textId="77777777" w:rsidR="005510E5" w:rsidRPr="00CB0FE5" w:rsidRDefault="005510E5" w:rsidP="00AB4128">
            <w:pPr>
              <w:rPr>
                <w:sz w:val="20"/>
                <w:szCs w:val="20"/>
              </w:rPr>
            </w:pPr>
            <w:r w:rsidRPr="00CB0FE5">
              <w:rPr>
                <w:sz w:val="20"/>
                <w:szCs w:val="20"/>
              </w:rPr>
              <w:t>Results</w:t>
            </w:r>
          </w:p>
        </w:tc>
        <w:tc>
          <w:tcPr>
            <w:tcW w:w="1813" w:type="dxa"/>
          </w:tcPr>
          <w:p w14:paraId="39C6F82C" w14:textId="77777777" w:rsidR="005510E5" w:rsidRPr="00CB0FE5" w:rsidRDefault="005510E5" w:rsidP="00AB4128">
            <w:pPr>
              <w:cnfStyle w:val="000000100000" w:firstRow="0" w:lastRow="0" w:firstColumn="0" w:lastColumn="0" w:oddVBand="0" w:evenVBand="0" w:oddHBand="1" w:evenHBand="0" w:firstRowFirstColumn="0" w:firstRowLastColumn="0" w:lastRowFirstColumn="0" w:lastRowLastColumn="0"/>
              <w:rPr>
                <w:sz w:val="20"/>
                <w:szCs w:val="20"/>
              </w:rPr>
            </w:pPr>
            <w:r w:rsidRPr="00CB0FE5">
              <w:rPr>
                <w:sz w:val="20"/>
                <w:szCs w:val="20"/>
              </w:rPr>
              <w:t xml:space="preserve">PILL and PCS score was significantly higher in the P-DPN group. Discriminant function analysis using measures of mood, and somatic focus significantly differentiates P-DPN from other groups. Methylglyoxal level not significantly correlated with P-DPN but glucose level  correlated </w:t>
            </w:r>
            <w:r w:rsidRPr="00CB0FE5">
              <w:rPr>
                <w:sz w:val="20"/>
                <w:szCs w:val="20"/>
              </w:rPr>
              <w:lastRenderedPageBreak/>
              <w:t>with WDT, DMA and DN4 score.</w:t>
            </w:r>
          </w:p>
        </w:tc>
        <w:tc>
          <w:tcPr>
            <w:tcW w:w="1559" w:type="dxa"/>
          </w:tcPr>
          <w:p w14:paraId="212B76DE" w14:textId="77777777" w:rsidR="005510E5" w:rsidRPr="00CB0FE5" w:rsidRDefault="005510E5" w:rsidP="00AB4128">
            <w:pPr>
              <w:cnfStyle w:val="000000100000" w:firstRow="0" w:lastRow="0" w:firstColumn="0" w:lastColumn="0" w:oddVBand="0" w:evenVBand="0" w:oddHBand="1" w:evenHBand="0" w:firstRowFirstColumn="0" w:firstRowLastColumn="0" w:lastRowFirstColumn="0" w:lastRowLastColumn="0"/>
              <w:rPr>
                <w:sz w:val="20"/>
                <w:szCs w:val="20"/>
              </w:rPr>
            </w:pPr>
            <w:r w:rsidRPr="00CB0FE5">
              <w:rPr>
                <w:sz w:val="20"/>
                <w:szCs w:val="20"/>
              </w:rPr>
              <w:lastRenderedPageBreak/>
              <w:t xml:space="preserve">Bland Altman plots of TTP show approximately 10% variability for the difference vs average plots. TTP has an “excellent” ICC of 0.837. ICC was good for RBF =0.710 and MTT= 0.618, and fair for RBV=0.443.  </w:t>
            </w:r>
          </w:p>
          <w:p w14:paraId="1B7BF60C" w14:textId="77777777" w:rsidR="005510E5" w:rsidRPr="00CB0FE5" w:rsidRDefault="005510E5" w:rsidP="00AB4128">
            <w:pPr>
              <w:cnfStyle w:val="000000100000" w:firstRow="0" w:lastRow="0" w:firstColumn="0" w:lastColumn="0" w:oddVBand="0" w:evenVBand="0" w:oddHBand="1" w:evenHBand="0" w:firstRowFirstColumn="0" w:firstRowLastColumn="0" w:lastRowFirstColumn="0" w:lastRowLastColumn="0"/>
              <w:rPr>
                <w:sz w:val="20"/>
                <w:szCs w:val="20"/>
              </w:rPr>
            </w:pPr>
          </w:p>
          <w:p w14:paraId="7D9AE433" w14:textId="77777777" w:rsidR="005510E5" w:rsidRPr="00CB0FE5" w:rsidRDefault="005510E5" w:rsidP="00AB4128">
            <w:pPr>
              <w:cnfStyle w:val="000000100000" w:firstRow="0" w:lastRow="0" w:firstColumn="0" w:lastColumn="0" w:oddVBand="0" w:evenVBand="0" w:oddHBand="1" w:evenHBand="0" w:firstRowFirstColumn="0" w:firstRowLastColumn="0" w:lastRowFirstColumn="0" w:lastRowLastColumn="0"/>
              <w:rPr>
                <w:sz w:val="20"/>
                <w:szCs w:val="20"/>
              </w:rPr>
            </w:pPr>
          </w:p>
        </w:tc>
        <w:tc>
          <w:tcPr>
            <w:tcW w:w="1985" w:type="dxa"/>
          </w:tcPr>
          <w:p w14:paraId="3A31816C" w14:textId="77777777" w:rsidR="005510E5" w:rsidRPr="00CB0FE5" w:rsidRDefault="005510E5" w:rsidP="00AB412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rPr>
            </w:pPr>
            <w:r w:rsidRPr="00CB0FE5">
              <w:rPr>
                <w:rFonts w:eastAsia="Times New Roman" w:cstheme="minorHAnsi"/>
                <w:color w:val="000000"/>
                <w:sz w:val="20"/>
                <w:szCs w:val="20"/>
              </w:rPr>
              <w:t>MTT was shorter at baseline between HV and all diabetes groups with the greatest difference between HV and DM-NN.</w:t>
            </w:r>
          </w:p>
          <w:p w14:paraId="183EE0AE" w14:textId="1A677650" w:rsidR="005510E5" w:rsidRPr="00CB0FE5" w:rsidRDefault="005510E5" w:rsidP="00AB412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rPr>
            </w:pPr>
            <w:r w:rsidRPr="00CB0FE5">
              <w:rPr>
                <w:rFonts w:eastAsia="Times New Roman" w:cstheme="minorHAnsi"/>
                <w:color w:val="000000"/>
                <w:sz w:val="20"/>
                <w:szCs w:val="20"/>
              </w:rPr>
              <w:t xml:space="preserve">TTP was significantly faster for P-DPN subjects if they had pain (P+) at the time of the scan, at all measured areas apart from the ACC. P+ patients also had significantly </w:t>
            </w:r>
            <w:r>
              <w:rPr>
                <w:rFonts w:eastAsia="Times New Roman" w:cstheme="minorHAnsi"/>
                <w:color w:val="000000"/>
                <w:sz w:val="20"/>
                <w:szCs w:val="20"/>
              </w:rPr>
              <w:t>shorter</w:t>
            </w:r>
            <w:r w:rsidRPr="00CB0FE5">
              <w:rPr>
                <w:rFonts w:eastAsia="Times New Roman" w:cstheme="minorHAnsi"/>
                <w:color w:val="000000"/>
                <w:sz w:val="20"/>
                <w:szCs w:val="20"/>
              </w:rPr>
              <w:t xml:space="preserve"> MTT at the </w:t>
            </w:r>
            <w:proofErr w:type="spellStart"/>
            <w:r w:rsidR="009968E0" w:rsidRPr="00CB0FE5">
              <w:rPr>
                <w:rFonts w:eastAsia="Times New Roman" w:cstheme="minorHAnsi"/>
                <w:color w:val="000000"/>
                <w:sz w:val="20"/>
                <w:szCs w:val="20"/>
              </w:rPr>
              <w:t>R</w:t>
            </w:r>
            <w:r w:rsidR="009968E0">
              <w:rPr>
                <w:rFonts w:eastAsia="Times New Roman" w:cstheme="minorHAnsi"/>
                <w:color w:val="000000"/>
                <w:sz w:val="20"/>
                <w:szCs w:val="20"/>
              </w:rPr>
              <w:t>T</w:t>
            </w:r>
            <w:r w:rsidR="009968E0" w:rsidRPr="00CB0FE5">
              <w:rPr>
                <w:rFonts w:eastAsia="Times New Roman" w:cstheme="minorHAnsi"/>
                <w:color w:val="000000"/>
                <w:sz w:val="20"/>
                <w:szCs w:val="20"/>
              </w:rPr>
              <w:t>hal</w:t>
            </w:r>
            <w:proofErr w:type="spellEnd"/>
            <w:r w:rsidRPr="00CB0FE5">
              <w:rPr>
                <w:rFonts w:eastAsia="Times New Roman" w:cstheme="minorHAnsi"/>
                <w:color w:val="000000"/>
                <w:sz w:val="20"/>
                <w:szCs w:val="20"/>
              </w:rPr>
              <w:t xml:space="preserve">.  </w:t>
            </w:r>
          </w:p>
          <w:p w14:paraId="3F3E41E3" w14:textId="77777777" w:rsidR="005510E5" w:rsidRPr="00CB0FE5" w:rsidRDefault="005510E5" w:rsidP="00AB4128">
            <w:pPr>
              <w:cnfStyle w:val="000000100000" w:firstRow="0" w:lastRow="0" w:firstColumn="0" w:lastColumn="0" w:oddVBand="0" w:evenVBand="0" w:oddHBand="1" w:evenHBand="0" w:firstRowFirstColumn="0" w:firstRowLastColumn="0" w:lastRowFirstColumn="0" w:lastRowLastColumn="0"/>
              <w:rPr>
                <w:sz w:val="20"/>
                <w:szCs w:val="20"/>
              </w:rPr>
            </w:pPr>
          </w:p>
        </w:tc>
        <w:tc>
          <w:tcPr>
            <w:tcW w:w="2268" w:type="dxa"/>
          </w:tcPr>
          <w:p w14:paraId="527270AA" w14:textId="1E81A9AA" w:rsidR="005510E5" w:rsidRPr="00CB0FE5" w:rsidRDefault="005510E5" w:rsidP="00AB4128">
            <w:pPr>
              <w:cnfStyle w:val="000000100000" w:firstRow="0" w:lastRow="0" w:firstColumn="0" w:lastColumn="0" w:oddVBand="0" w:evenVBand="0" w:oddHBand="1" w:evenHBand="0" w:firstRowFirstColumn="0" w:firstRowLastColumn="0" w:lastRowFirstColumn="0" w:lastRowLastColumn="0"/>
              <w:rPr>
                <w:sz w:val="20"/>
                <w:szCs w:val="20"/>
              </w:rPr>
            </w:pPr>
            <w:r w:rsidRPr="00CB0FE5">
              <w:rPr>
                <w:sz w:val="20"/>
                <w:szCs w:val="20"/>
              </w:rPr>
              <w:sym w:font="Symbol" w:char="F044"/>
            </w:r>
            <w:r w:rsidR="009968E0" w:rsidRPr="00CB0FE5">
              <w:rPr>
                <w:sz w:val="20"/>
                <w:szCs w:val="20"/>
              </w:rPr>
              <w:t>TTP when adjusted for pain perception (</w:t>
            </w:r>
            <w:r w:rsidR="009968E0">
              <w:rPr>
                <w:sz w:val="20"/>
                <w:szCs w:val="20"/>
              </w:rPr>
              <w:t>L</w:t>
            </w:r>
            <w:r w:rsidR="009968E0" w:rsidRPr="00CB0FE5">
              <w:rPr>
                <w:sz w:val="20"/>
                <w:szCs w:val="20"/>
              </w:rPr>
              <w:t xml:space="preserve">ikert scale) and group interaction was significantly longer for P-DPN as compared with HV, at the </w:t>
            </w:r>
            <w:r w:rsidR="00264184">
              <w:rPr>
                <w:sz w:val="20"/>
                <w:szCs w:val="20"/>
              </w:rPr>
              <w:t>LThal</w:t>
            </w:r>
            <w:r w:rsidR="009968E0" w:rsidRPr="00CB0FE5">
              <w:rPr>
                <w:sz w:val="20"/>
                <w:szCs w:val="20"/>
              </w:rPr>
              <w:t xml:space="preserve">, </w:t>
            </w:r>
            <w:proofErr w:type="spellStart"/>
            <w:r w:rsidR="009968E0" w:rsidRPr="00CB0FE5">
              <w:rPr>
                <w:sz w:val="20"/>
                <w:szCs w:val="20"/>
              </w:rPr>
              <w:t>R</w:t>
            </w:r>
            <w:r w:rsidR="003E5B22">
              <w:rPr>
                <w:sz w:val="20"/>
                <w:szCs w:val="20"/>
              </w:rPr>
              <w:t>T</w:t>
            </w:r>
            <w:r w:rsidR="009968E0" w:rsidRPr="00CB0FE5">
              <w:rPr>
                <w:sz w:val="20"/>
                <w:szCs w:val="20"/>
              </w:rPr>
              <w:t>hal</w:t>
            </w:r>
            <w:proofErr w:type="spellEnd"/>
            <w:r w:rsidR="009968E0" w:rsidRPr="00CB0FE5">
              <w:rPr>
                <w:sz w:val="20"/>
                <w:szCs w:val="20"/>
              </w:rPr>
              <w:t>, L</w:t>
            </w:r>
            <w:r w:rsidR="009968E0">
              <w:rPr>
                <w:sz w:val="20"/>
                <w:szCs w:val="20"/>
              </w:rPr>
              <w:t>INS</w:t>
            </w:r>
            <w:r w:rsidR="009968E0" w:rsidRPr="00CB0FE5">
              <w:rPr>
                <w:sz w:val="20"/>
                <w:szCs w:val="20"/>
              </w:rPr>
              <w:t>, R</w:t>
            </w:r>
            <w:r w:rsidR="009968E0">
              <w:rPr>
                <w:sz w:val="20"/>
                <w:szCs w:val="20"/>
              </w:rPr>
              <w:t>INS</w:t>
            </w:r>
            <w:r w:rsidR="009968E0" w:rsidRPr="00CB0FE5">
              <w:rPr>
                <w:sz w:val="20"/>
                <w:szCs w:val="20"/>
              </w:rPr>
              <w:t>, LPS</w:t>
            </w:r>
            <w:r w:rsidR="009968E0">
              <w:rPr>
                <w:sz w:val="20"/>
                <w:szCs w:val="20"/>
              </w:rPr>
              <w:t>C</w:t>
            </w:r>
            <w:r w:rsidR="009968E0" w:rsidRPr="00CB0FE5">
              <w:rPr>
                <w:sz w:val="20"/>
                <w:szCs w:val="20"/>
              </w:rPr>
              <w:t xml:space="preserve"> and RPS</w:t>
            </w:r>
            <w:r w:rsidR="009968E0">
              <w:rPr>
                <w:sz w:val="20"/>
                <w:szCs w:val="20"/>
              </w:rPr>
              <w:t>C</w:t>
            </w:r>
          </w:p>
        </w:tc>
        <w:tc>
          <w:tcPr>
            <w:tcW w:w="1701" w:type="dxa"/>
          </w:tcPr>
          <w:p w14:paraId="0B590360" w14:textId="7CB8383B" w:rsidR="005510E5" w:rsidRPr="00CB0FE5" w:rsidRDefault="005510E5" w:rsidP="00AB4128">
            <w:pPr>
              <w:cnfStyle w:val="000000100000" w:firstRow="0" w:lastRow="0" w:firstColumn="0" w:lastColumn="0" w:oddVBand="0" w:evenVBand="0" w:oddHBand="1" w:evenHBand="0" w:firstRowFirstColumn="0" w:firstRowLastColumn="0" w:lastRowFirstColumn="0" w:lastRowLastColumn="0"/>
              <w:rPr>
                <w:sz w:val="20"/>
                <w:szCs w:val="20"/>
              </w:rPr>
            </w:pPr>
            <w:r w:rsidRPr="00CB0FE5">
              <w:rPr>
                <w:sz w:val="20"/>
                <w:szCs w:val="20"/>
              </w:rPr>
              <w:t>There is a significant negative correlation between scores on HADS, Becks, S</w:t>
            </w:r>
            <w:r w:rsidR="003E5B22">
              <w:rPr>
                <w:sz w:val="20"/>
                <w:szCs w:val="20"/>
              </w:rPr>
              <w:t>t</w:t>
            </w:r>
            <w:r w:rsidRPr="00CB0FE5">
              <w:rPr>
                <w:sz w:val="20"/>
                <w:szCs w:val="20"/>
              </w:rPr>
              <w:t>at</w:t>
            </w:r>
            <w:r w:rsidR="003E5B22">
              <w:rPr>
                <w:sz w:val="20"/>
                <w:szCs w:val="20"/>
              </w:rPr>
              <w:t>e</w:t>
            </w:r>
            <w:r w:rsidRPr="00CB0FE5">
              <w:rPr>
                <w:sz w:val="20"/>
                <w:szCs w:val="20"/>
              </w:rPr>
              <w:t xml:space="preserve">/trait anxiety inventory and Behavioural Inhibition Scales and NAA/Cr ratio in the thalamus.  </w:t>
            </w:r>
          </w:p>
          <w:p w14:paraId="70E336A4" w14:textId="77777777" w:rsidR="005510E5" w:rsidRPr="00CB0FE5" w:rsidRDefault="005510E5" w:rsidP="00AB4128">
            <w:pPr>
              <w:cnfStyle w:val="000000100000" w:firstRow="0" w:lastRow="0" w:firstColumn="0" w:lastColumn="0" w:oddVBand="0" w:evenVBand="0" w:oddHBand="1" w:evenHBand="0" w:firstRowFirstColumn="0" w:firstRowLastColumn="0" w:lastRowFirstColumn="0" w:lastRowLastColumn="0"/>
              <w:rPr>
                <w:sz w:val="20"/>
                <w:szCs w:val="20"/>
              </w:rPr>
            </w:pPr>
          </w:p>
        </w:tc>
      </w:tr>
      <w:tr w:rsidR="005510E5" w:rsidRPr="00CB0FE5" w14:paraId="1333B850" w14:textId="77777777" w:rsidTr="00AB4128">
        <w:tc>
          <w:tcPr>
            <w:cnfStyle w:val="001000000000" w:firstRow="0" w:lastRow="0" w:firstColumn="1" w:lastColumn="0" w:oddVBand="0" w:evenVBand="0" w:oddHBand="0" w:evenHBand="0" w:firstRowFirstColumn="0" w:firstRowLastColumn="0" w:lastRowFirstColumn="0" w:lastRowLastColumn="0"/>
            <w:tcW w:w="1306" w:type="dxa"/>
          </w:tcPr>
          <w:p w14:paraId="32EFE522" w14:textId="77777777" w:rsidR="005510E5" w:rsidRPr="00CB0FE5" w:rsidRDefault="005510E5" w:rsidP="00AB4128">
            <w:pPr>
              <w:rPr>
                <w:sz w:val="20"/>
                <w:szCs w:val="20"/>
              </w:rPr>
            </w:pPr>
            <w:r w:rsidRPr="00CB0FE5">
              <w:rPr>
                <w:sz w:val="20"/>
                <w:szCs w:val="20"/>
              </w:rPr>
              <w:t>Conclusions</w:t>
            </w:r>
          </w:p>
        </w:tc>
        <w:tc>
          <w:tcPr>
            <w:tcW w:w="1813" w:type="dxa"/>
          </w:tcPr>
          <w:p w14:paraId="3836073E" w14:textId="77777777" w:rsidR="005510E5" w:rsidRPr="00CB0FE5" w:rsidRDefault="005510E5" w:rsidP="00AB4128">
            <w:pPr>
              <w:cnfStyle w:val="000000000000" w:firstRow="0" w:lastRow="0" w:firstColumn="0" w:lastColumn="0" w:oddVBand="0" w:evenVBand="0" w:oddHBand="0" w:evenHBand="0" w:firstRowFirstColumn="0" w:firstRowLastColumn="0" w:lastRowFirstColumn="0" w:lastRowLastColumn="0"/>
              <w:rPr>
                <w:sz w:val="20"/>
                <w:szCs w:val="20"/>
              </w:rPr>
            </w:pPr>
            <w:r w:rsidRPr="00CB0FE5">
              <w:rPr>
                <w:sz w:val="20"/>
                <w:szCs w:val="20"/>
              </w:rPr>
              <w:t xml:space="preserve">Somatic focus, mood and pain catastrophising must be accounted for in studies of P-DPN. Glucose level was correlated with DN-4, DMA and WDT, suggesting that although serum methylglyoxal is not a predictor of neuropathic pain, other more stable advanced glycation end-products may be implicated in the pathogenesis of P-DPN.    </w:t>
            </w:r>
          </w:p>
        </w:tc>
        <w:tc>
          <w:tcPr>
            <w:tcW w:w="1559" w:type="dxa"/>
          </w:tcPr>
          <w:p w14:paraId="0BC0B0B7" w14:textId="77777777" w:rsidR="005510E5" w:rsidRPr="00CB0FE5" w:rsidRDefault="005510E5" w:rsidP="00AB4128">
            <w:pPr>
              <w:cnfStyle w:val="000000000000" w:firstRow="0" w:lastRow="0" w:firstColumn="0" w:lastColumn="0" w:oddVBand="0" w:evenVBand="0" w:oddHBand="0" w:evenHBand="0" w:firstRowFirstColumn="0" w:firstRowLastColumn="0" w:lastRowFirstColumn="0" w:lastRowLastColumn="0"/>
              <w:rPr>
                <w:sz w:val="20"/>
                <w:szCs w:val="20"/>
              </w:rPr>
            </w:pPr>
            <w:r w:rsidRPr="00CB0FE5">
              <w:rPr>
                <w:sz w:val="20"/>
                <w:szCs w:val="20"/>
              </w:rPr>
              <w:t>TTP is the most robust measure of microvascular cerebral perfusion using DSC-MRI but other measures have acceptable reproducibility in line with previously published reports.  Our methodology is sufficiently robust to draw conclusions from group comparisons of microvascular cerebral perfusion measures</w:t>
            </w:r>
          </w:p>
        </w:tc>
        <w:tc>
          <w:tcPr>
            <w:tcW w:w="1985" w:type="dxa"/>
          </w:tcPr>
          <w:p w14:paraId="7A481220" w14:textId="77777777" w:rsidR="005510E5" w:rsidRPr="00CB0FE5" w:rsidRDefault="005510E5" w:rsidP="00AB4128">
            <w:pPr>
              <w:cnfStyle w:val="000000000000" w:firstRow="0" w:lastRow="0" w:firstColumn="0" w:lastColumn="0" w:oddVBand="0" w:evenVBand="0" w:oddHBand="0" w:evenHBand="0" w:firstRowFirstColumn="0" w:firstRowLastColumn="0" w:lastRowFirstColumn="0" w:lastRowLastColumn="0"/>
              <w:rPr>
                <w:sz w:val="20"/>
                <w:szCs w:val="20"/>
              </w:rPr>
            </w:pPr>
            <w:r w:rsidRPr="00CB0FE5">
              <w:rPr>
                <w:sz w:val="20"/>
                <w:szCs w:val="20"/>
              </w:rPr>
              <w:t xml:space="preserve">Subgroup analysis showed that TTP and MTT is significantly shorter in P-DPN subjects with pain (P+) at rest, which suggests that peripheral pain is measurable centrally and perfusion changes are secondary to pain perception rather than structural abnormalities. Pain at the time of the scan is an important parameter that must be accounted for in P-DPN studies. </w:t>
            </w:r>
          </w:p>
          <w:p w14:paraId="39EC57ED" w14:textId="77777777" w:rsidR="005510E5" w:rsidRPr="00CB0FE5" w:rsidRDefault="005510E5" w:rsidP="00AB4128">
            <w:pPr>
              <w:cnfStyle w:val="000000000000" w:firstRow="0" w:lastRow="0" w:firstColumn="0" w:lastColumn="0" w:oddVBand="0" w:evenVBand="0" w:oddHBand="0" w:evenHBand="0" w:firstRowFirstColumn="0" w:firstRowLastColumn="0" w:lastRowFirstColumn="0" w:lastRowLastColumn="0"/>
              <w:rPr>
                <w:sz w:val="20"/>
                <w:szCs w:val="20"/>
              </w:rPr>
            </w:pPr>
            <w:r w:rsidRPr="00CB0FE5">
              <w:rPr>
                <w:sz w:val="20"/>
                <w:szCs w:val="20"/>
              </w:rPr>
              <w:t xml:space="preserve"> MTT results suggest there may be hyper-perfusion in the </w:t>
            </w:r>
            <w:proofErr w:type="spellStart"/>
            <w:r w:rsidRPr="00CB0FE5">
              <w:rPr>
                <w:sz w:val="20"/>
                <w:szCs w:val="20"/>
              </w:rPr>
              <w:t>cerebro</w:t>
            </w:r>
            <w:proofErr w:type="spellEnd"/>
            <w:r w:rsidRPr="00CB0FE5">
              <w:rPr>
                <w:sz w:val="20"/>
                <w:szCs w:val="20"/>
              </w:rPr>
              <w:t xml:space="preserve">-vascular bed, analogous to hyper-perfusion in the kidney and peripheral nerve, in subjects with diabetes and particularly DM-NN.  </w:t>
            </w:r>
          </w:p>
        </w:tc>
        <w:tc>
          <w:tcPr>
            <w:tcW w:w="2268" w:type="dxa"/>
          </w:tcPr>
          <w:p w14:paraId="3AF5F424" w14:textId="77777777" w:rsidR="005510E5" w:rsidRPr="00CB0FE5" w:rsidRDefault="005510E5" w:rsidP="00AB4128">
            <w:pPr>
              <w:cnfStyle w:val="000000000000" w:firstRow="0" w:lastRow="0" w:firstColumn="0" w:lastColumn="0" w:oddVBand="0" w:evenVBand="0" w:oddHBand="0" w:evenHBand="0" w:firstRowFirstColumn="0" w:firstRowLastColumn="0" w:lastRowFirstColumn="0" w:lastRowLastColumn="0"/>
              <w:rPr>
                <w:sz w:val="20"/>
                <w:szCs w:val="20"/>
              </w:rPr>
            </w:pPr>
            <w:r w:rsidRPr="00CB0FE5">
              <w:rPr>
                <w:sz w:val="20"/>
                <w:szCs w:val="20"/>
              </w:rPr>
              <w:t xml:space="preserve">After adjustment for pain perception, TTP significantly lengthens during the application of experimental pain for subjects with P-DPN whilst HV shorten their TTP. Possibilities for the observation of this phenomena may be due to primed descending or ascending inhibition in the P-DPN group, or inappropriately sluggish response due to a failure of neurovascular coupling.  </w:t>
            </w:r>
          </w:p>
        </w:tc>
        <w:tc>
          <w:tcPr>
            <w:tcW w:w="1701" w:type="dxa"/>
          </w:tcPr>
          <w:p w14:paraId="08A3E924" w14:textId="414B437A" w:rsidR="005510E5" w:rsidRPr="00CB0FE5" w:rsidRDefault="005510E5" w:rsidP="00AB4128">
            <w:pPr>
              <w:cnfStyle w:val="000000000000" w:firstRow="0" w:lastRow="0" w:firstColumn="0" w:lastColumn="0" w:oddVBand="0" w:evenVBand="0" w:oddHBand="0" w:evenHBand="0" w:firstRowFirstColumn="0" w:firstRowLastColumn="0" w:lastRowFirstColumn="0" w:lastRowLastColumn="0"/>
              <w:rPr>
                <w:sz w:val="20"/>
                <w:szCs w:val="20"/>
              </w:rPr>
            </w:pPr>
            <w:r w:rsidRPr="00CB0FE5">
              <w:rPr>
                <w:sz w:val="20"/>
                <w:szCs w:val="20"/>
              </w:rPr>
              <w:t>NAA/Cr ratio is more strongly associated with measures of depression and anxiety than measures of perfusion or neuropathy.  H</w:t>
            </w:r>
            <w:r w:rsidRPr="00CB0FE5">
              <w:rPr>
                <w:sz w:val="20"/>
                <w:szCs w:val="20"/>
                <w:vertAlign w:val="superscript"/>
              </w:rPr>
              <w:t>1-</w:t>
            </w:r>
            <w:r w:rsidRPr="00CB0FE5">
              <w:rPr>
                <w:sz w:val="20"/>
                <w:szCs w:val="20"/>
              </w:rPr>
              <w:t>MRS studies must be carefully characterised for depressi</w:t>
            </w:r>
            <w:r>
              <w:rPr>
                <w:sz w:val="20"/>
                <w:szCs w:val="20"/>
              </w:rPr>
              <w:t>on</w:t>
            </w:r>
            <w:r w:rsidRPr="00CB0FE5">
              <w:rPr>
                <w:sz w:val="20"/>
                <w:szCs w:val="20"/>
              </w:rPr>
              <w:t xml:space="preserve"> and anxiety to minimise the confounding effect of mood disorders in studies of P-DPN.  </w:t>
            </w:r>
            <w:r w:rsidR="00633742">
              <w:rPr>
                <w:sz w:val="20"/>
                <w:szCs w:val="20"/>
              </w:rPr>
              <w:t>Alternatively,</w:t>
            </w:r>
            <w:r>
              <w:rPr>
                <w:sz w:val="20"/>
                <w:szCs w:val="20"/>
              </w:rPr>
              <w:t xml:space="preserve"> psychological states may be implicated in the pathogenesis of </w:t>
            </w:r>
            <w:r w:rsidR="004E59F7">
              <w:rPr>
                <w:sz w:val="20"/>
                <w:szCs w:val="20"/>
              </w:rPr>
              <w:t>P-DPN</w:t>
            </w:r>
            <w:r>
              <w:rPr>
                <w:sz w:val="20"/>
                <w:szCs w:val="20"/>
              </w:rPr>
              <w:t xml:space="preserve">. </w:t>
            </w:r>
          </w:p>
        </w:tc>
      </w:tr>
      <w:tr w:rsidR="005510E5" w:rsidRPr="00CB0FE5" w14:paraId="187BF4E2" w14:textId="77777777" w:rsidTr="00AB41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6" w:type="dxa"/>
          </w:tcPr>
          <w:p w14:paraId="42328B50" w14:textId="77777777" w:rsidR="005510E5" w:rsidRPr="00CB0FE5" w:rsidRDefault="005510E5" w:rsidP="00AB4128">
            <w:pPr>
              <w:rPr>
                <w:sz w:val="20"/>
                <w:szCs w:val="20"/>
              </w:rPr>
            </w:pPr>
            <w:r w:rsidRPr="00CB0FE5">
              <w:rPr>
                <w:sz w:val="20"/>
                <w:szCs w:val="20"/>
              </w:rPr>
              <w:t>Novelty</w:t>
            </w:r>
          </w:p>
        </w:tc>
        <w:tc>
          <w:tcPr>
            <w:tcW w:w="1813" w:type="dxa"/>
          </w:tcPr>
          <w:p w14:paraId="28174305" w14:textId="77777777" w:rsidR="005510E5" w:rsidRPr="00CB0FE5" w:rsidRDefault="005510E5" w:rsidP="00AB4128">
            <w:pPr>
              <w:cnfStyle w:val="000000100000" w:firstRow="0" w:lastRow="0" w:firstColumn="0" w:lastColumn="0" w:oddVBand="0" w:evenVBand="0" w:oddHBand="1" w:evenHBand="0" w:firstRowFirstColumn="0" w:firstRowLastColumn="0" w:lastRowFirstColumn="0" w:lastRowLastColumn="0"/>
              <w:rPr>
                <w:sz w:val="20"/>
                <w:szCs w:val="20"/>
              </w:rPr>
            </w:pPr>
            <w:r w:rsidRPr="00CB0FE5">
              <w:rPr>
                <w:sz w:val="20"/>
                <w:szCs w:val="20"/>
              </w:rPr>
              <w:t xml:space="preserve">This is the first study to show somatic focus as a correlate of P-DPN. </w:t>
            </w:r>
          </w:p>
          <w:p w14:paraId="1F72F12F" w14:textId="77777777" w:rsidR="005510E5" w:rsidRPr="00CB0FE5" w:rsidRDefault="005510E5" w:rsidP="00AB4128">
            <w:pPr>
              <w:cnfStyle w:val="000000100000" w:firstRow="0" w:lastRow="0" w:firstColumn="0" w:lastColumn="0" w:oddVBand="0" w:evenVBand="0" w:oddHBand="1" w:evenHBand="0" w:firstRowFirstColumn="0" w:firstRowLastColumn="0" w:lastRowFirstColumn="0" w:lastRowLastColumn="0"/>
              <w:rPr>
                <w:sz w:val="20"/>
                <w:szCs w:val="20"/>
              </w:rPr>
            </w:pPr>
            <w:r w:rsidRPr="00CB0FE5">
              <w:rPr>
                <w:sz w:val="20"/>
                <w:szCs w:val="20"/>
              </w:rPr>
              <w:t>This is the first study to compare methylglyoxal levels in T1D of relatively long duration between P-DPN and control groups</w:t>
            </w:r>
          </w:p>
        </w:tc>
        <w:tc>
          <w:tcPr>
            <w:tcW w:w="1559" w:type="dxa"/>
          </w:tcPr>
          <w:p w14:paraId="179B4DCD" w14:textId="77777777" w:rsidR="005510E5" w:rsidRPr="00CB0FE5" w:rsidRDefault="005510E5" w:rsidP="00AB4128">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Full DSC-MRI dataset analysed by two raters.</w:t>
            </w:r>
          </w:p>
        </w:tc>
        <w:tc>
          <w:tcPr>
            <w:tcW w:w="1985" w:type="dxa"/>
          </w:tcPr>
          <w:p w14:paraId="3C046E04" w14:textId="77777777" w:rsidR="005510E5" w:rsidRPr="00CB0FE5" w:rsidRDefault="005510E5" w:rsidP="00AB4128">
            <w:pPr>
              <w:cnfStyle w:val="000000100000" w:firstRow="0" w:lastRow="0" w:firstColumn="0" w:lastColumn="0" w:oddVBand="0" w:evenVBand="0" w:oddHBand="1" w:evenHBand="0" w:firstRowFirstColumn="0" w:firstRowLastColumn="0" w:lastRowFirstColumn="0" w:lastRowLastColumn="0"/>
              <w:rPr>
                <w:sz w:val="20"/>
                <w:szCs w:val="20"/>
              </w:rPr>
            </w:pPr>
            <w:r w:rsidRPr="00CB0FE5">
              <w:rPr>
                <w:sz w:val="20"/>
                <w:szCs w:val="20"/>
              </w:rPr>
              <w:t xml:space="preserve">This is the first study that describes a difference between P-DPN and other groups using CNS microvascular perfusion measures and can link this perfusion change to the perception of neuropathic pain.  This is the first study to show that there is hyper-perfusion in the central nervous system in the context of diabetes.  </w:t>
            </w:r>
          </w:p>
        </w:tc>
        <w:tc>
          <w:tcPr>
            <w:tcW w:w="2268" w:type="dxa"/>
          </w:tcPr>
          <w:p w14:paraId="10FD604E" w14:textId="77777777" w:rsidR="005510E5" w:rsidRPr="00CB0FE5" w:rsidRDefault="005510E5" w:rsidP="00AB4128">
            <w:pPr>
              <w:cnfStyle w:val="000000100000" w:firstRow="0" w:lastRow="0" w:firstColumn="0" w:lastColumn="0" w:oddVBand="0" w:evenVBand="0" w:oddHBand="1" w:evenHBand="0" w:firstRowFirstColumn="0" w:firstRowLastColumn="0" w:lastRowFirstColumn="0" w:lastRowLastColumn="0"/>
              <w:rPr>
                <w:sz w:val="20"/>
                <w:szCs w:val="20"/>
              </w:rPr>
            </w:pPr>
            <w:r w:rsidRPr="00CB0FE5">
              <w:rPr>
                <w:sz w:val="20"/>
                <w:szCs w:val="20"/>
              </w:rPr>
              <w:t xml:space="preserve">This is the first study to show that dynamic pain response is altered in those with P-DPN as compared to healthy volunteers </w:t>
            </w:r>
          </w:p>
        </w:tc>
        <w:tc>
          <w:tcPr>
            <w:tcW w:w="1701" w:type="dxa"/>
          </w:tcPr>
          <w:p w14:paraId="6364436F" w14:textId="77777777" w:rsidR="005510E5" w:rsidRPr="00CB0FE5" w:rsidRDefault="005510E5" w:rsidP="00AB4128">
            <w:pPr>
              <w:cnfStyle w:val="000000100000" w:firstRow="0" w:lastRow="0" w:firstColumn="0" w:lastColumn="0" w:oddVBand="0" w:evenVBand="0" w:oddHBand="1" w:evenHBand="0" w:firstRowFirstColumn="0" w:firstRowLastColumn="0" w:lastRowFirstColumn="0" w:lastRowLastColumn="0"/>
              <w:rPr>
                <w:sz w:val="20"/>
                <w:szCs w:val="20"/>
              </w:rPr>
            </w:pPr>
            <w:r w:rsidRPr="00CB0FE5">
              <w:rPr>
                <w:sz w:val="20"/>
                <w:szCs w:val="20"/>
              </w:rPr>
              <w:t>This is the first study to describe a link between mood disorders and H</w:t>
            </w:r>
            <w:r w:rsidRPr="00CB0FE5">
              <w:rPr>
                <w:sz w:val="20"/>
                <w:szCs w:val="20"/>
                <w:vertAlign w:val="superscript"/>
              </w:rPr>
              <w:t>1-</w:t>
            </w:r>
            <w:r w:rsidRPr="00CB0FE5">
              <w:rPr>
                <w:sz w:val="20"/>
                <w:szCs w:val="20"/>
              </w:rPr>
              <w:t>MRS in the context of P-DPN</w:t>
            </w:r>
          </w:p>
        </w:tc>
      </w:tr>
    </w:tbl>
    <w:p w14:paraId="666E49BB" w14:textId="77777777" w:rsidR="005510E5" w:rsidRPr="00CB0FE5" w:rsidRDefault="005510E5" w:rsidP="005510E5"/>
    <w:p w14:paraId="300F7DA6" w14:textId="77777777" w:rsidR="005510E5" w:rsidRPr="003A3CA0" w:rsidRDefault="005510E5" w:rsidP="005510E5">
      <w:pPr>
        <w:rPr>
          <w:rFonts w:cs="Arial"/>
        </w:rPr>
      </w:pPr>
    </w:p>
    <w:p w14:paraId="02F7A7BF" w14:textId="03021557" w:rsidR="00B861CA" w:rsidRDefault="007D65CA" w:rsidP="007D65CA">
      <w:pPr>
        <w:pStyle w:val="Heading1"/>
      </w:pPr>
      <w:bookmarkStart w:id="6" w:name="_Toc64723855"/>
      <w:r>
        <w:lastRenderedPageBreak/>
        <w:t>Table of Contents</w:t>
      </w:r>
      <w:bookmarkEnd w:id="6"/>
    </w:p>
    <w:p w14:paraId="0F0B114A" w14:textId="5D054961" w:rsidR="00CE7BE0" w:rsidRDefault="00936B81">
      <w:pPr>
        <w:pStyle w:val="TOC1"/>
        <w:tabs>
          <w:tab w:val="right" w:leader="dot" w:pos="9350"/>
        </w:tabs>
        <w:rPr>
          <w:rFonts w:asciiTheme="minorHAnsi" w:hAnsiTheme="minorHAnsi" w:cstheme="minorBidi"/>
          <w:b w:val="0"/>
          <w:bCs w:val="0"/>
          <w:noProof/>
          <w:sz w:val="24"/>
          <w:szCs w:val="24"/>
          <w:lang w:eastAsia="en-GB"/>
        </w:rPr>
      </w:pPr>
      <w:r>
        <w:rPr>
          <w:rFonts w:cs="Arial"/>
        </w:rPr>
        <w:fldChar w:fldCharType="begin"/>
      </w:r>
      <w:r>
        <w:rPr>
          <w:rFonts w:cs="Arial"/>
        </w:rPr>
        <w:instrText xml:space="preserve"> TOC \o "1-3" \h \z \u </w:instrText>
      </w:r>
      <w:r>
        <w:rPr>
          <w:rFonts w:cs="Arial"/>
        </w:rPr>
        <w:fldChar w:fldCharType="separate"/>
      </w:r>
      <w:hyperlink w:anchor="_Toc64723853" w:history="1">
        <w:r w:rsidR="00CE7BE0" w:rsidRPr="007B1712">
          <w:rPr>
            <w:rStyle w:val="Hyperlink"/>
            <w:noProof/>
          </w:rPr>
          <w:t>Acknowledgements:</w:t>
        </w:r>
        <w:r w:rsidR="00CE7BE0">
          <w:rPr>
            <w:noProof/>
            <w:webHidden/>
          </w:rPr>
          <w:tab/>
        </w:r>
        <w:r w:rsidR="00CE7BE0">
          <w:rPr>
            <w:noProof/>
            <w:webHidden/>
          </w:rPr>
          <w:fldChar w:fldCharType="begin"/>
        </w:r>
        <w:r w:rsidR="00CE7BE0">
          <w:rPr>
            <w:noProof/>
            <w:webHidden/>
          </w:rPr>
          <w:instrText xml:space="preserve"> PAGEREF _Toc64723853 \h </w:instrText>
        </w:r>
        <w:r w:rsidR="00CE7BE0">
          <w:rPr>
            <w:noProof/>
            <w:webHidden/>
          </w:rPr>
        </w:r>
        <w:r w:rsidR="00CE7BE0">
          <w:rPr>
            <w:noProof/>
            <w:webHidden/>
          </w:rPr>
          <w:fldChar w:fldCharType="separate"/>
        </w:r>
        <w:r w:rsidR="00CE7BE0">
          <w:rPr>
            <w:noProof/>
            <w:webHidden/>
          </w:rPr>
          <w:t>3</w:t>
        </w:r>
        <w:r w:rsidR="00CE7BE0">
          <w:rPr>
            <w:noProof/>
            <w:webHidden/>
          </w:rPr>
          <w:fldChar w:fldCharType="end"/>
        </w:r>
      </w:hyperlink>
    </w:p>
    <w:p w14:paraId="36A2FB1B" w14:textId="3BA2E1F8" w:rsidR="00CE7BE0" w:rsidRDefault="006D3518">
      <w:pPr>
        <w:pStyle w:val="TOC1"/>
        <w:tabs>
          <w:tab w:val="right" w:leader="dot" w:pos="9350"/>
        </w:tabs>
        <w:rPr>
          <w:rFonts w:asciiTheme="minorHAnsi" w:hAnsiTheme="minorHAnsi" w:cstheme="minorBidi"/>
          <w:b w:val="0"/>
          <w:bCs w:val="0"/>
          <w:noProof/>
          <w:sz w:val="24"/>
          <w:szCs w:val="24"/>
          <w:lang w:eastAsia="en-GB"/>
        </w:rPr>
      </w:pPr>
      <w:hyperlink w:anchor="_Toc64723854" w:history="1">
        <w:r w:rsidR="00CE7BE0" w:rsidRPr="007B1712">
          <w:rPr>
            <w:rStyle w:val="Hyperlink"/>
            <w:noProof/>
          </w:rPr>
          <w:t>Abstract</w:t>
        </w:r>
        <w:r w:rsidR="00CE7BE0">
          <w:rPr>
            <w:noProof/>
            <w:webHidden/>
          </w:rPr>
          <w:tab/>
        </w:r>
        <w:r w:rsidR="00CE7BE0">
          <w:rPr>
            <w:noProof/>
            <w:webHidden/>
          </w:rPr>
          <w:fldChar w:fldCharType="begin"/>
        </w:r>
        <w:r w:rsidR="00CE7BE0">
          <w:rPr>
            <w:noProof/>
            <w:webHidden/>
          </w:rPr>
          <w:instrText xml:space="preserve"> PAGEREF _Toc64723854 \h </w:instrText>
        </w:r>
        <w:r w:rsidR="00CE7BE0">
          <w:rPr>
            <w:noProof/>
            <w:webHidden/>
          </w:rPr>
        </w:r>
        <w:r w:rsidR="00CE7BE0">
          <w:rPr>
            <w:noProof/>
            <w:webHidden/>
          </w:rPr>
          <w:fldChar w:fldCharType="separate"/>
        </w:r>
        <w:r w:rsidR="00CE7BE0">
          <w:rPr>
            <w:noProof/>
            <w:webHidden/>
          </w:rPr>
          <w:t>4</w:t>
        </w:r>
        <w:r w:rsidR="00CE7BE0">
          <w:rPr>
            <w:noProof/>
            <w:webHidden/>
          </w:rPr>
          <w:fldChar w:fldCharType="end"/>
        </w:r>
      </w:hyperlink>
    </w:p>
    <w:p w14:paraId="25881DFF" w14:textId="4B4BBDC0" w:rsidR="00CE7BE0" w:rsidRDefault="006D3518">
      <w:pPr>
        <w:pStyle w:val="TOC1"/>
        <w:tabs>
          <w:tab w:val="right" w:leader="dot" w:pos="9350"/>
        </w:tabs>
        <w:rPr>
          <w:rFonts w:asciiTheme="minorHAnsi" w:hAnsiTheme="minorHAnsi" w:cstheme="minorBidi"/>
          <w:b w:val="0"/>
          <w:bCs w:val="0"/>
          <w:noProof/>
          <w:sz w:val="24"/>
          <w:szCs w:val="24"/>
          <w:lang w:eastAsia="en-GB"/>
        </w:rPr>
      </w:pPr>
      <w:hyperlink w:anchor="_Toc64723855" w:history="1">
        <w:r w:rsidR="00CE7BE0" w:rsidRPr="007B1712">
          <w:rPr>
            <w:rStyle w:val="Hyperlink"/>
            <w:noProof/>
          </w:rPr>
          <w:t>Table of Contents</w:t>
        </w:r>
        <w:r w:rsidR="00CE7BE0">
          <w:rPr>
            <w:noProof/>
            <w:webHidden/>
          </w:rPr>
          <w:tab/>
        </w:r>
        <w:r w:rsidR="00CE7BE0">
          <w:rPr>
            <w:noProof/>
            <w:webHidden/>
          </w:rPr>
          <w:fldChar w:fldCharType="begin"/>
        </w:r>
        <w:r w:rsidR="00CE7BE0">
          <w:rPr>
            <w:noProof/>
            <w:webHidden/>
          </w:rPr>
          <w:instrText xml:space="preserve"> PAGEREF _Toc64723855 \h </w:instrText>
        </w:r>
        <w:r w:rsidR="00CE7BE0">
          <w:rPr>
            <w:noProof/>
            <w:webHidden/>
          </w:rPr>
        </w:r>
        <w:r w:rsidR="00CE7BE0">
          <w:rPr>
            <w:noProof/>
            <w:webHidden/>
          </w:rPr>
          <w:fldChar w:fldCharType="separate"/>
        </w:r>
        <w:r w:rsidR="00CE7BE0">
          <w:rPr>
            <w:noProof/>
            <w:webHidden/>
          </w:rPr>
          <w:t>6</w:t>
        </w:r>
        <w:r w:rsidR="00CE7BE0">
          <w:rPr>
            <w:noProof/>
            <w:webHidden/>
          </w:rPr>
          <w:fldChar w:fldCharType="end"/>
        </w:r>
      </w:hyperlink>
    </w:p>
    <w:p w14:paraId="71F38DDC" w14:textId="73047B1C" w:rsidR="00CE7BE0" w:rsidRDefault="006D3518">
      <w:pPr>
        <w:pStyle w:val="TOC1"/>
        <w:tabs>
          <w:tab w:val="right" w:leader="dot" w:pos="9350"/>
        </w:tabs>
        <w:rPr>
          <w:rFonts w:asciiTheme="minorHAnsi" w:hAnsiTheme="minorHAnsi" w:cstheme="minorBidi"/>
          <w:b w:val="0"/>
          <w:bCs w:val="0"/>
          <w:noProof/>
          <w:sz w:val="24"/>
          <w:szCs w:val="24"/>
          <w:lang w:eastAsia="en-GB"/>
        </w:rPr>
      </w:pPr>
      <w:hyperlink w:anchor="_Toc64723856" w:history="1">
        <w:r w:rsidR="00CE7BE0" w:rsidRPr="007B1712">
          <w:rPr>
            <w:rStyle w:val="Hyperlink"/>
            <w:noProof/>
          </w:rPr>
          <w:t>Table of Figures</w:t>
        </w:r>
        <w:r w:rsidR="00CE7BE0">
          <w:rPr>
            <w:noProof/>
            <w:webHidden/>
          </w:rPr>
          <w:tab/>
        </w:r>
        <w:r w:rsidR="00CE7BE0">
          <w:rPr>
            <w:noProof/>
            <w:webHidden/>
          </w:rPr>
          <w:fldChar w:fldCharType="begin"/>
        </w:r>
        <w:r w:rsidR="00CE7BE0">
          <w:rPr>
            <w:noProof/>
            <w:webHidden/>
          </w:rPr>
          <w:instrText xml:space="preserve"> PAGEREF _Toc64723856 \h </w:instrText>
        </w:r>
        <w:r w:rsidR="00CE7BE0">
          <w:rPr>
            <w:noProof/>
            <w:webHidden/>
          </w:rPr>
        </w:r>
        <w:r w:rsidR="00CE7BE0">
          <w:rPr>
            <w:noProof/>
            <w:webHidden/>
          </w:rPr>
          <w:fldChar w:fldCharType="separate"/>
        </w:r>
        <w:r w:rsidR="00CE7BE0">
          <w:rPr>
            <w:noProof/>
            <w:webHidden/>
          </w:rPr>
          <w:t>10</w:t>
        </w:r>
        <w:r w:rsidR="00CE7BE0">
          <w:rPr>
            <w:noProof/>
            <w:webHidden/>
          </w:rPr>
          <w:fldChar w:fldCharType="end"/>
        </w:r>
      </w:hyperlink>
    </w:p>
    <w:p w14:paraId="2796230A" w14:textId="0BA94E3C" w:rsidR="00CE7BE0" w:rsidRDefault="006D3518">
      <w:pPr>
        <w:pStyle w:val="TOC1"/>
        <w:tabs>
          <w:tab w:val="right" w:leader="dot" w:pos="9350"/>
        </w:tabs>
        <w:rPr>
          <w:rFonts w:asciiTheme="minorHAnsi" w:hAnsiTheme="minorHAnsi" w:cstheme="minorBidi"/>
          <w:b w:val="0"/>
          <w:bCs w:val="0"/>
          <w:noProof/>
          <w:sz w:val="24"/>
          <w:szCs w:val="24"/>
          <w:lang w:eastAsia="en-GB"/>
        </w:rPr>
      </w:pPr>
      <w:hyperlink w:anchor="_Toc64723857" w:history="1">
        <w:r w:rsidR="00CE7BE0" w:rsidRPr="007B1712">
          <w:rPr>
            <w:rStyle w:val="Hyperlink"/>
            <w:noProof/>
          </w:rPr>
          <w:t>Table of Tables</w:t>
        </w:r>
        <w:r w:rsidR="00CE7BE0">
          <w:rPr>
            <w:noProof/>
            <w:webHidden/>
          </w:rPr>
          <w:tab/>
        </w:r>
        <w:r w:rsidR="00CE7BE0">
          <w:rPr>
            <w:noProof/>
            <w:webHidden/>
          </w:rPr>
          <w:fldChar w:fldCharType="begin"/>
        </w:r>
        <w:r w:rsidR="00CE7BE0">
          <w:rPr>
            <w:noProof/>
            <w:webHidden/>
          </w:rPr>
          <w:instrText xml:space="preserve"> PAGEREF _Toc64723857 \h </w:instrText>
        </w:r>
        <w:r w:rsidR="00CE7BE0">
          <w:rPr>
            <w:noProof/>
            <w:webHidden/>
          </w:rPr>
        </w:r>
        <w:r w:rsidR="00CE7BE0">
          <w:rPr>
            <w:noProof/>
            <w:webHidden/>
          </w:rPr>
          <w:fldChar w:fldCharType="separate"/>
        </w:r>
        <w:r w:rsidR="00CE7BE0">
          <w:rPr>
            <w:noProof/>
            <w:webHidden/>
          </w:rPr>
          <w:t>13</w:t>
        </w:r>
        <w:r w:rsidR="00CE7BE0">
          <w:rPr>
            <w:noProof/>
            <w:webHidden/>
          </w:rPr>
          <w:fldChar w:fldCharType="end"/>
        </w:r>
      </w:hyperlink>
    </w:p>
    <w:p w14:paraId="45CB02AF" w14:textId="32CD6600" w:rsidR="00CE7BE0" w:rsidRDefault="006D3518">
      <w:pPr>
        <w:pStyle w:val="TOC1"/>
        <w:tabs>
          <w:tab w:val="right" w:leader="dot" w:pos="9350"/>
        </w:tabs>
        <w:rPr>
          <w:rFonts w:asciiTheme="minorHAnsi" w:hAnsiTheme="minorHAnsi" w:cstheme="minorBidi"/>
          <w:b w:val="0"/>
          <w:bCs w:val="0"/>
          <w:noProof/>
          <w:sz w:val="24"/>
          <w:szCs w:val="24"/>
          <w:lang w:eastAsia="en-GB"/>
        </w:rPr>
      </w:pPr>
      <w:hyperlink w:anchor="_Toc64723858" w:history="1">
        <w:r w:rsidR="00CE7BE0" w:rsidRPr="007B1712">
          <w:rPr>
            <w:rStyle w:val="Hyperlink"/>
            <w:noProof/>
          </w:rPr>
          <w:t>List of Abbreviations</w:t>
        </w:r>
        <w:r w:rsidR="00CE7BE0">
          <w:rPr>
            <w:noProof/>
            <w:webHidden/>
          </w:rPr>
          <w:tab/>
        </w:r>
        <w:r w:rsidR="00CE7BE0">
          <w:rPr>
            <w:noProof/>
            <w:webHidden/>
          </w:rPr>
          <w:fldChar w:fldCharType="begin"/>
        </w:r>
        <w:r w:rsidR="00CE7BE0">
          <w:rPr>
            <w:noProof/>
            <w:webHidden/>
          </w:rPr>
          <w:instrText xml:space="preserve"> PAGEREF _Toc64723858 \h </w:instrText>
        </w:r>
        <w:r w:rsidR="00CE7BE0">
          <w:rPr>
            <w:noProof/>
            <w:webHidden/>
          </w:rPr>
        </w:r>
        <w:r w:rsidR="00CE7BE0">
          <w:rPr>
            <w:noProof/>
            <w:webHidden/>
          </w:rPr>
          <w:fldChar w:fldCharType="separate"/>
        </w:r>
        <w:r w:rsidR="00CE7BE0">
          <w:rPr>
            <w:noProof/>
            <w:webHidden/>
          </w:rPr>
          <w:t>16</w:t>
        </w:r>
        <w:r w:rsidR="00CE7BE0">
          <w:rPr>
            <w:noProof/>
            <w:webHidden/>
          </w:rPr>
          <w:fldChar w:fldCharType="end"/>
        </w:r>
      </w:hyperlink>
    </w:p>
    <w:p w14:paraId="1832DB6D" w14:textId="2A83B4D2" w:rsidR="00CE7BE0" w:rsidRDefault="006D3518">
      <w:pPr>
        <w:pStyle w:val="TOC1"/>
        <w:tabs>
          <w:tab w:val="right" w:leader="dot" w:pos="9350"/>
        </w:tabs>
        <w:rPr>
          <w:rFonts w:asciiTheme="minorHAnsi" w:hAnsiTheme="minorHAnsi" w:cstheme="minorBidi"/>
          <w:b w:val="0"/>
          <w:bCs w:val="0"/>
          <w:noProof/>
          <w:sz w:val="24"/>
          <w:szCs w:val="24"/>
          <w:lang w:eastAsia="en-GB"/>
        </w:rPr>
      </w:pPr>
      <w:hyperlink w:anchor="_Toc64723859" w:history="1">
        <w:r w:rsidR="00CE7BE0" w:rsidRPr="007B1712">
          <w:rPr>
            <w:rStyle w:val="Hyperlink"/>
            <w:noProof/>
          </w:rPr>
          <w:t>Authors Declaration</w:t>
        </w:r>
        <w:r w:rsidR="00CE7BE0">
          <w:rPr>
            <w:noProof/>
            <w:webHidden/>
          </w:rPr>
          <w:tab/>
        </w:r>
        <w:r w:rsidR="00CE7BE0">
          <w:rPr>
            <w:noProof/>
            <w:webHidden/>
          </w:rPr>
          <w:fldChar w:fldCharType="begin"/>
        </w:r>
        <w:r w:rsidR="00CE7BE0">
          <w:rPr>
            <w:noProof/>
            <w:webHidden/>
          </w:rPr>
          <w:instrText xml:space="preserve"> PAGEREF _Toc64723859 \h </w:instrText>
        </w:r>
        <w:r w:rsidR="00CE7BE0">
          <w:rPr>
            <w:noProof/>
            <w:webHidden/>
          </w:rPr>
        </w:r>
        <w:r w:rsidR="00CE7BE0">
          <w:rPr>
            <w:noProof/>
            <w:webHidden/>
          </w:rPr>
          <w:fldChar w:fldCharType="separate"/>
        </w:r>
        <w:r w:rsidR="00CE7BE0">
          <w:rPr>
            <w:noProof/>
            <w:webHidden/>
          </w:rPr>
          <w:t>19</w:t>
        </w:r>
        <w:r w:rsidR="00CE7BE0">
          <w:rPr>
            <w:noProof/>
            <w:webHidden/>
          </w:rPr>
          <w:fldChar w:fldCharType="end"/>
        </w:r>
      </w:hyperlink>
    </w:p>
    <w:p w14:paraId="7218B4FE" w14:textId="20835F59" w:rsidR="00CE7BE0" w:rsidRDefault="006D3518">
      <w:pPr>
        <w:pStyle w:val="TOC1"/>
        <w:tabs>
          <w:tab w:val="right" w:leader="dot" w:pos="9350"/>
        </w:tabs>
        <w:rPr>
          <w:rFonts w:asciiTheme="minorHAnsi" w:hAnsiTheme="minorHAnsi" w:cstheme="minorBidi"/>
          <w:b w:val="0"/>
          <w:bCs w:val="0"/>
          <w:noProof/>
          <w:sz w:val="24"/>
          <w:szCs w:val="24"/>
          <w:lang w:eastAsia="en-GB"/>
        </w:rPr>
      </w:pPr>
      <w:hyperlink w:anchor="_Toc64723860" w:history="1">
        <w:r w:rsidR="00CE7BE0" w:rsidRPr="007B1712">
          <w:rPr>
            <w:rStyle w:val="Hyperlink"/>
            <w:noProof/>
            <w:lang w:val="en-US"/>
          </w:rPr>
          <w:t>Chapter 1:  The Problem of Painful Diabetic Peripheral Neuropathy: Central Nervous System Manifestations (CNS), Measurement of CNS Correlates and Rationale for the Choice of Dynamic Susceptibility Contrast- Magnetic Resonance Imaging (DSC-MRI) as a Quantifiable Measure of CNS Perfusion.</w:t>
        </w:r>
        <w:r w:rsidR="00CE7BE0">
          <w:rPr>
            <w:noProof/>
            <w:webHidden/>
          </w:rPr>
          <w:tab/>
        </w:r>
        <w:r w:rsidR="00CE7BE0">
          <w:rPr>
            <w:noProof/>
            <w:webHidden/>
          </w:rPr>
          <w:fldChar w:fldCharType="begin"/>
        </w:r>
        <w:r w:rsidR="00CE7BE0">
          <w:rPr>
            <w:noProof/>
            <w:webHidden/>
          </w:rPr>
          <w:instrText xml:space="preserve"> PAGEREF _Toc64723860 \h </w:instrText>
        </w:r>
        <w:r w:rsidR="00CE7BE0">
          <w:rPr>
            <w:noProof/>
            <w:webHidden/>
          </w:rPr>
        </w:r>
        <w:r w:rsidR="00CE7BE0">
          <w:rPr>
            <w:noProof/>
            <w:webHidden/>
          </w:rPr>
          <w:fldChar w:fldCharType="separate"/>
        </w:r>
        <w:r w:rsidR="00CE7BE0">
          <w:rPr>
            <w:noProof/>
            <w:webHidden/>
          </w:rPr>
          <w:t>20</w:t>
        </w:r>
        <w:r w:rsidR="00CE7BE0">
          <w:rPr>
            <w:noProof/>
            <w:webHidden/>
          </w:rPr>
          <w:fldChar w:fldCharType="end"/>
        </w:r>
      </w:hyperlink>
    </w:p>
    <w:p w14:paraId="38E470A8" w14:textId="15A16C71" w:rsidR="00CE7BE0" w:rsidRDefault="006D3518">
      <w:pPr>
        <w:pStyle w:val="TOC2"/>
        <w:rPr>
          <w:rFonts w:asciiTheme="minorHAnsi" w:hAnsiTheme="minorHAnsi" w:cstheme="minorBidi"/>
          <w:iCs w:val="0"/>
          <w:noProof/>
          <w:sz w:val="24"/>
          <w:szCs w:val="24"/>
          <w:lang w:eastAsia="en-GB"/>
        </w:rPr>
      </w:pPr>
      <w:hyperlink w:anchor="_Toc64723861" w:history="1">
        <w:r w:rsidR="00CE7BE0" w:rsidRPr="007B1712">
          <w:rPr>
            <w:rStyle w:val="Hyperlink"/>
            <w:noProof/>
          </w:rPr>
          <w:t>Complications of Diabetes</w:t>
        </w:r>
        <w:r w:rsidR="00CE7BE0">
          <w:rPr>
            <w:noProof/>
            <w:webHidden/>
          </w:rPr>
          <w:tab/>
        </w:r>
        <w:r w:rsidR="00CE7BE0">
          <w:rPr>
            <w:noProof/>
            <w:webHidden/>
          </w:rPr>
          <w:fldChar w:fldCharType="begin"/>
        </w:r>
        <w:r w:rsidR="00CE7BE0">
          <w:rPr>
            <w:noProof/>
            <w:webHidden/>
          </w:rPr>
          <w:instrText xml:space="preserve"> PAGEREF _Toc64723861 \h </w:instrText>
        </w:r>
        <w:r w:rsidR="00CE7BE0">
          <w:rPr>
            <w:noProof/>
            <w:webHidden/>
          </w:rPr>
        </w:r>
        <w:r w:rsidR="00CE7BE0">
          <w:rPr>
            <w:noProof/>
            <w:webHidden/>
          </w:rPr>
          <w:fldChar w:fldCharType="separate"/>
        </w:r>
        <w:r w:rsidR="00CE7BE0">
          <w:rPr>
            <w:noProof/>
            <w:webHidden/>
          </w:rPr>
          <w:t>21</w:t>
        </w:r>
        <w:r w:rsidR="00CE7BE0">
          <w:rPr>
            <w:noProof/>
            <w:webHidden/>
          </w:rPr>
          <w:fldChar w:fldCharType="end"/>
        </w:r>
      </w:hyperlink>
    </w:p>
    <w:p w14:paraId="2EC2A497" w14:textId="5241B1D0" w:rsidR="00CE7BE0" w:rsidRDefault="006D3518">
      <w:pPr>
        <w:pStyle w:val="TOC2"/>
        <w:rPr>
          <w:rFonts w:asciiTheme="minorHAnsi" w:hAnsiTheme="minorHAnsi" w:cstheme="minorBidi"/>
          <w:iCs w:val="0"/>
          <w:noProof/>
          <w:sz w:val="24"/>
          <w:szCs w:val="24"/>
          <w:lang w:eastAsia="en-GB"/>
        </w:rPr>
      </w:pPr>
      <w:hyperlink w:anchor="_Toc64723862" w:history="1">
        <w:r w:rsidR="00CE7BE0" w:rsidRPr="007B1712">
          <w:rPr>
            <w:rStyle w:val="Hyperlink"/>
            <w:noProof/>
          </w:rPr>
          <w:t>Diabetic Distal Symmetrical Polyneuropathy</w:t>
        </w:r>
        <w:r w:rsidR="00CE7BE0">
          <w:rPr>
            <w:noProof/>
            <w:webHidden/>
          </w:rPr>
          <w:tab/>
        </w:r>
        <w:r w:rsidR="00CE7BE0">
          <w:rPr>
            <w:noProof/>
            <w:webHidden/>
          </w:rPr>
          <w:fldChar w:fldCharType="begin"/>
        </w:r>
        <w:r w:rsidR="00CE7BE0">
          <w:rPr>
            <w:noProof/>
            <w:webHidden/>
          </w:rPr>
          <w:instrText xml:space="preserve"> PAGEREF _Toc64723862 \h </w:instrText>
        </w:r>
        <w:r w:rsidR="00CE7BE0">
          <w:rPr>
            <w:noProof/>
            <w:webHidden/>
          </w:rPr>
        </w:r>
        <w:r w:rsidR="00CE7BE0">
          <w:rPr>
            <w:noProof/>
            <w:webHidden/>
          </w:rPr>
          <w:fldChar w:fldCharType="separate"/>
        </w:r>
        <w:r w:rsidR="00CE7BE0">
          <w:rPr>
            <w:noProof/>
            <w:webHidden/>
          </w:rPr>
          <w:t>21</w:t>
        </w:r>
        <w:r w:rsidR="00CE7BE0">
          <w:rPr>
            <w:noProof/>
            <w:webHidden/>
          </w:rPr>
          <w:fldChar w:fldCharType="end"/>
        </w:r>
      </w:hyperlink>
    </w:p>
    <w:p w14:paraId="7C30FA3C" w14:textId="213CFE8D" w:rsidR="00CE7BE0" w:rsidRDefault="006D3518">
      <w:pPr>
        <w:pStyle w:val="TOC3"/>
        <w:tabs>
          <w:tab w:val="right" w:leader="dot" w:pos="9350"/>
        </w:tabs>
        <w:rPr>
          <w:rFonts w:asciiTheme="minorHAnsi" w:hAnsiTheme="minorHAnsi" w:cstheme="minorBidi"/>
          <w:noProof/>
          <w:sz w:val="24"/>
          <w:szCs w:val="24"/>
          <w:lang w:eastAsia="en-GB"/>
        </w:rPr>
      </w:pPr>
      <w:hyperlink w:anchor="_Toc64723863" w:history="1">
        <w:r w:rsidR="00CE7BE0" w:rsidRPr="007B1712">
          <w:rPr>
            <w:rStyle w:val="Hyperlink"/>
            <w:noProof/>
          </w:rPr>
          <w:t>Definition</w:t>
        </w:r>
        <w:r w:rsidR="00CE7BE0">
          <w:rPr>
            <w:noProof/>
            <w:webHidden/>
          </w:rPr>
          <w:tab/>
        </w:r>
        <w:r w:rsidR="00CE7BE0">
          <w:rPr>
            <w:noProof/>
            <w:webHidden/>
          </w:rPr>
          <w:fldChar w:fldCharType="begin"/>
        </w:r>
        <w:r w:rsidR="00CE7BE0">
          <w:rPr>
            <w:noProof/>
            <w:webHidden/>
          </w:rPr>
          <w:instrText xml:space="preserve"> PAGEREF _Toc64723863 \h </w:instrText>
        </w:r>
        <w:r w:rsidR="00CE7BE0">
          <w:rPr>
            <w:noProof/>
            <w:webHidden/>
          </w:rPr>
        </w:r>
        <w:r w:rsidR="00CE7BE0">
          <w:rPr>
            <w:noProof/>
            <w:webHidden/>
          </w:rPr>
          <w:fldChar w:fldCharType="separate"/>
        </w:r>
        <w:r w:rsidR="00CE7BE0">
          <w:rPr>
            <w:noProof/>
            <w:webHidden/>
          </w:rPr>
          <w:t>21</w:t>
        </w:r>
        <w:r w:rsidR="00CE7BE0">
          <w:rPr>
            <w:noProof/>
            <w:webHidden/>
          </w:rPr>
          <w:fldChar w:fldCharType="end"/>
        </w:r>
      </w:hyperlink>
    </w:p>
    <w:p w14:paraId="7DFCD7A3" w14:textId="495A08E3" w:rsidR="00CE7BE0" w:rsidRDefault="006D3518">
      <w:pPr>
        <w:pStyle w:val="TOC3"/>
        <w:tabs>
          <w:tab w:val="right" w:leader="dot" w:pos="9350"/>
        </w:tabs>
        <w:rPr>
          <w:rFonts w:asciiTheme="minorHAnsi" w:hAnsiTheme="minorHAnsi" w:cstheme="minorBidi"/>
          <w:noProof/>
          <w:sz w:val="24"/>
          <w:szCs w:val="24"/>
          <w:lang w:eastAsia="en-GB"/>
        </w:rPr>
      </w:pPr>
      <w:hyperlink w:anchor="_Toc64723864" w:history="1">
        <w:r w:rsidR="00CE7BE0" w:rsidRPr="007B1712">
          <w:rPr>
            <w:rStyle w:val="Hyperlink"/>
            <w:noProof/>
          </w:rPr>
          <w:t>Complications of Diabetic Neuropathy</w:t>
        </w:r>
        <w:r w:rsidR="00CE7BE0">
          <w:rPr>
            <w:noProof/>
            <w:webHidden/>
          </w:rPr>
          <w:tab/>
        </w:r>
        <w:r w:rsidR="00CE7BE0">
          <w:rPr>
            <w:noProof/>
            <w:webHidden/>
          </w:rPr>
          <w:fldChar w:fldCharType="begin"/>
        </w:r>
        <w:r w:rsidR="00CE7BE0">
          <w:rPr>
            <w:noProof/>
            <w:webHidden/>
          </w:rPr>
          <w:instrText xml:space="preserve"> PAGEREF _Toc64723864 \h </w:instrText>
        </w:r>
        <w:r w:rsidR="00CE7BE0">
          <w:rPr>
            <w:noProof/>
            <w:webHidden/>
          </w:rPr>
        </w:r>
        <w:r w:rsidR="00CE7BE0">
          <w:rPr>
            <w:noProof/>
            <w:webHidden/>
          </w:rPr>
          <w:fldChar w:fldCharType="separate"/>
        </w:r>
        <w:r w:rsidR="00CE7BE0">
          <w:rPr>
            <w:noProof/>
            <w:webHidden/>
          </w:rPr>
          <w:t>21</w:t>
        </w:r>
        <w:r w:rsidR="00CE7BE0">
          <w:rPr>
            <w:noProof/>
            <w:webHidden/>
          </w:rPr>
          <w:fldChar w:fldCharType="end"/>
        </w:r>
      </w:hyperlink>
    </w:p>
    <w:p w14:paraId="67E9948E" w14:textId="2440BBD2" w:rsidR="00CE7BE0" w:rsidRDefault="006D3518">
      <w:pPr>
        <w:pStyle w:val="TOC3"/>
        <w:tabs>
          <w:tab w:val="right" w:leader="dot" w:pos="9350"/>
        </w:tabs>
        <w:rPr>
          <w:rFonts w:asciiTheme="minorHAnsi" w:hAnsiTheme="minorHAnsi" w:cstheme="minorBidi"/>
          <w:noProof/>
          <w:sz w:val="24"/>
          <w:szCs w:val="24"/>
          <w:lang w:eastAsia="en-GB"/>
        </w:rPr>
      </w:pPr>
      <w:hyperlink w:anchor="_Toc64723865" w:history="1">
        <w:r w:rsidR="00CE7BE0" w:rsidRPr="007B1712">
          <w:rPr>
            <w:rStyle w:val="Hyperlink"/>
            <w:noProof/>
          </w:rPr>
          <w:t>Painful Diabetic Peripheral Neuropathy</w:t>
        </w:r>
        <w:r w:rsidR="00CE7BE0">
          <w:rPr>
            <w:noProof/>
            <w:webHidden/>
          </w:rPr>
          <w:tab/>
        </w:r>
        <w:r w:rsidR="00CE7BE0">
          <w:rPr>
            <w:noProof/>
            <w:webHidden/>
          </w:rPr>
          <w:fldChar w:fldCharType="begin"/>
        </w:r>
        <w:r w:rsidR="00CE7BE0">
          <w:rPr>
            <w:noProof/>
            <w:webHidden/>
          </w:rPr>
          <w:instrText xml:space="preserve"> PAGEREF _Toc64723865 \h </w:instrText>
        </w:r>
        <w:r w:rsidR="00CE7BE0">
          <w:rPr>
            <w:noProof/>
            <w:webHidden/>
          </w:rPr>
        </w:r>
        <w:r w:rsidR="00CE7BE0">
          <w:rPr>
            <w:noProof/>
            <w:webHidden/>
          </w:rPr>
          <w:fldChar w:fldCharType="separate"/>
        </w:r>
        <w:r w:rsidR="00CE7BE0">
          <w:rPr>
            <w:noProof/>
            <w:webHidden/>
          </w:rPr>
          <w:t>22</w:t>
        </w:r>
        <w:r w:rsidR="00CE7BE0">
          <w:rPr>
            <w:noProof/>
            <w:webHidden/>
          </w:rPr>
          <w:fldChar w:fldCharType="end"/>
        </w:r>
      </w:hyperlink>
    </w:p>
    <w:p w14:paraId="06F4EDAC" w14:textId="3F6E22DC" w:rsidR="00CE7BE0" w:rsidRDefault="006D3518">
      <w:pPr>
        <w:pStyle w:val="TOC3"/>
        <w:tabs>
          <w:tab w:val="right" w:leader="dot" w:pos="9350"/>
        </w:tabs>
        <w:rPr>
          <w:rFonts w:asciiTheme="minorHAnsi" w:hAnsiTheme="minorHAnsi" w:cstheme="minorBidi"/>
          <w:noProof/>
          <w:sz w:val="24"/>
          <w:szCs w:val="24"/>
          <w:lang w:eastAsia="en-GB"/>
        </w:rPr>
      </w:pPr>
      <w:hyperlink w:anchor="_Toc64723866" w:history="1">
        <w:r w:rsidR="00CE7BE0" w:rsidRPr="007B1712">
          <w:rPr>
            <w:rStyle w:val="Hyperlink"/>
            <w:noProof/>
          </w:rPr>
          <w:t>Treatment of P-DPN</w:t>
        </w:r>
        <w:r w:rsidR="00CE7BE0">
          <w:rPr>
            <w:noProof/>
            <w:webHidden/>
          </w:rPr>
          <w:tab/>
        </w:r>
        <w:r w:rsidR="00CE7BE0">
          <w:rPr>
            <w:noProof/>
            <w:webHidden/>
          </w:rPr>
          <w:fldChar w:fldCharType="begin"/>
        </w:r>
        <w:r w:rsidR="00CE7BE0">
          <w:rPr>
            <w:noProof/>
            <w:webHidden/>
          </w:rPr>
          <w:instrText xml:space="preserve"> PAGEREF _Toc64723866 \h </w:instrText>
        </w:r>
        <w:r w:rsidR="00CE7BE0">
          <w:rPr>
            <w:noProof/>
            <w:webHidden/>
          </w:rPr>
        </w:r>
        <w:r w:rsidR="00CE7BE0">
          <w:rPr>
            <w:noProof/>
            <w:webHidden/>
          </w:rPr>
          <w:fldChar w:fldCharType="separate"/>
        </w:r>
        <w:r w:rsidR="00CE7BE0">
          <w:rPr>
            <w:noProof/>
            <w:webHidden/>
          </w:rPr>
          <w:t>23</w:t>
        </w:r>
        <w:r w:rsidR="00CE7BE0">
          <w:rPr>
            <w:noProof/>
            <w:webHidden/>
          </w:rPr>
          <w:fldChar w:fldCharType="end"/>
        </w:r>
      </w:hyperlink>
    </w:p>
    <w:p w14:paraId="7D4E8A0A" w14:textId="160CD69A" w:rsidR="00CE7BE0" w:rsidRDefault="006D3518">
      <w:pPr>
        <w:pStyle w:val="TOC3"/>
        <w:tabs>
          <w:tab w:val="right" w:leader="dot" w:pos="9350"/>
        </w:tabs>
        <w:rPr>
          <w:rFonts w:asciiTheme="minorHAnsi" w:hAnsiTheme="minorHAnsi" w:cstheme="minorBidi"/>
          <w:noProof/>
          <w:sz w:val="24"/>
          <w:szCs w:val="24"/>
          <w:lang w:eastAsia="en-GB"/>
        </w:rPr>
      </w:pPr>
      <w:hyperlink w:anchor="_Toc64723867" w:history="1">
        <w:r w:rsidR="00CE7BE0" w:rsidRPr="007B1712">
          <w:rPr>
            <w:rStyle w:val="Hyperlink"/>
            <w:noProof/>
          </w:rPr>
          <w:t>P-DPN pathogenesis: Vascular factors</w:t>
        </w:r>
        <w:r w:rsidR="00CE7BE0">
          <w:rPr>
            <w:noProof/>
            <w:webHidden/>
          </w:rPr>
          <w:tab/>
        </w:r>
        <w:r w:rsidR="00CE7BE0">
          <w:rPr>
            <w:noProof/>
            <w:webHidden/>
          </w:rPr>
          <w:fldChar w:fldCharType="begin"/>
        </w:r>
        <w:r w:rsidR="00CE7BE0">
          <w:rPr>
            <w:noProof/>
            <w:webHidden/>
          </w:rPr>
          <w:instrText xml:space="preserve"> PAGEREF _Toc64723867 \h </w:instrText>
        </w:r>
        <w:r w:rsidR="00CE7BE0">
          <w:rPr>
            <w:noProof/>
            <w:webHidden/>
          </w:rPr>
        </w:r>
        <w:r w:rsidR="00CE7BE0">
          <w:rPr>
            <w:noProof/>
            <w:webHidden/>
          </w:rPr>
          <w:fldChar w:fldCharType="separate"/>
        </w:r>
        <w:r w:rsidR="00CE7BE0">
          <w:rPr>
            <w:noProof/>
            <w:webHidden/>
          </w:rPr>
          <w:t>24</w:t>
        </w:r>
        <w:r w:rsidR="00CE7BE0">
          <w:rPr>
            <w:noProof/>
            <w:webHidden/>
          </w:rPr>
          <w:fldChar w:fldCharType="end"/>
        </w:r>
      </w:hyperlink>
    </w:p>
    <w:p w14:paraId="4912A86E" w14:textId="7E99198E" w:rsidR="00CE7BE0" w:rsidRDefault="006D3518">
      <w:pPr>
        <w:pStyle w:val="TOC3"/>
        <w:tabs>
          <w:tab w:val="right" w:leader="dot" w:pos="9350"/>
        </w:tabs>
        <w:rPr>
          <w:rFonts w:asciiTheme="minorHAnsi" w:hAnsiTheme="minorHAnsi" w:cstheme="minorBidi"/>
          <w:noProof/>
          <w:sz w:val="24"/>
          <w:szCs w:val="24"/>
          <w:lang w:eastAsia="en-GB"/>
        </w:rPr>
      </w:pPr>
      <w:hyperlink w:anchor="_Toc64723868" w:history="1">
        <w:r w:rsidR="00CE7BE0" w:rsidRPr="007B1712">
          <w:rPr>
            <w:rStyle w:val="Hyperlink"/>
            <w:noProof/>
          </w:rPr>
          <w:t>P-DPN pathogenesis: Metabolic factors</w:t>
        </w:r>
        <w:r w:rsidR="00CE7BE0">
          <w:rPr>
            <w:noProof/>
            <w:webHidden/>
          </w:rPr>
          <w:tab/>
        </w:r>
        <w:r w:rsidR="00CE7BE0">
          <w:rPr>
            <w:noProof/>
            <w:webHidden/>
          </w:rPr>
          <w:fldChar w:fldCharType="begin"/>
        </w:r>
        <w:r w:rsidR="00CE7BE0">
          <w:rPr>
            <w:noProof/>
            <w:webHidden/>
          </w:rPr>
          <w:instrText xml:space="preserve"> PAGEREF _Toc64723868 \h </w:instrText>
        </w:r>
        <w:r w:rsidR="00CE7BE0">
          <w:rPr>
            <w:noProof/>
            <w:webHidden/>
          </w:rPr>
        </w:r>
        <w:r w:rsidR="00CE7BE0">
          <w:rPr>
            <w:noProof/>
            <w:webHidden/>
          </w:rPr>
          <w:fldChar w:fldCharType="separate"/>
        </w:r>
        <w:r w:rsidR="00CE7BE0">
          <w:rPr>
            <w:noProof/>
            <w:webHidden/>
          </w:rPr>
          <w:t>25</w:t>
        </w:r>
        <w:r w:rsidR="00CE7BE0">
          <w:rPr>
            <w:noProof/>
            <w:webHidden/>
          </w:rPr>
          <w:fldChar w:fldCharType="end"/>
        </w:r>
      </w:hyperlink>
    </w:p>
    <w:p w14:paraId="6BD4551B" w14:textId="0C9E972B" w:rsidR="00CE7BE0" w:rsidRDefault="006D3518">
      <w:pPr>
        <w:pStyle w:val="TOC2"/>
        <w:rPr>
          <w:rFonts w:asciiTheme="minorHAnsi" w:hAnsiTheme="minorHAnsi" w:cstheme="minorBidi"/>
          <w:iCs w:val="0"/>
          <w:noProof/>
          <w:sz w:val="24"/>
          <w:szCs w:val="24"/>
          <w:lang w:eastAsia="en-GB"/>
        </w:rPr>
      </w:pPr>
      <w:hyperlink w:anchor="_Toc64723869" w:history="1">
        <w:r w:rsidR="00CE7BE0" w:rsidRPr="007B1712">
          <w:rPr>
            <w:rStyle w:val="Hyperlink"/>
            <w:noProof/>
          </w:rPr>
          <w:t>Central pain perception</w:t>
        </w:r>
        <w:r w:rsidR="00CE7BE0">
          <w:rPr>
            <w:noProof/>
            <w:webHidden/>
          </w:rPr>
          <w:tab/>
        </w:r>
        <w:r w:rsidR="00CE7BE0">
          <w:rPr>
            <w:noProof/>
            <w:webHidden/>
          </w:rPr>
          <w:fldChar w:fldCharType="begin"/>
        </w:r>
        <w:r w:rsidR="00CE7BE0">
          <w:rPr>
            <w:noProof/>
            <w:webHidden/>
          </w:rPr>
          <w:instrText xml:space="preserve"> PAGEREF _Toc64723869 \h </w:instrText>
        </w:r>
        <w:r w:rsidR="00CE7BE0">
          <w:rPr>
            <w:noProof/>
            <w:webHidden/>
          </w:rPr>
        </w:r>
        <w:r w:rsidR="00CE7BE0">
          <w:rPr>
            <w:noProof/>
            <w:webHidden/>
          </w:rPr>
          <w:fldChar w:fldCharType="separate"/>
        </w:r>
        <w:r w:rsidR="00CE7BE0">
          <w:rPr>
            <w:noProof/>
            <w:webHidden/>
          </w:rPr>
          <w:t>27</w:t>
        </w:r>
        <w:r w:rsidR="00CE7BE0">
          <w:rPr>
            <w:noProof/>
            <w:webHidden/>
          </w:rPr>
          <w:fldChar w:fldCharType="end"/>
        </w:r>
      </w:hyperlink>
    </w:p>
    <w:p w14:paraId="4BD1E225" w14:textId="77D2E04F" w:rsidR="00CE7BE0" w:rsidRDefault="006D3518">
      <w:pPr>
        <w:pStyle w:val="TOC3"/>
        <w:tabs>
          <w:tab w:val="right" w:leader="dot" w:pos="9350"/>
        </w:tabs>
        <w:rPr>
          <w:rFonts w:asciiTheme="minorHAnsi" w:hAnsiTheme="minorHAnsi" w:cstheme="minorBidi"/>
          <w:noProof/>
          <w:sz w:val="24"/>
          <w:szCs w:val="24"/>
          <w:lang w:eastAsia="en-GB"/>
        </w:rPr>
      </w:pPr>
      <w:hyperlink w:anchor="_Toc64723870" w:history="1">
        <w:r w:rsidR="00CE7BE0" w:rsidRPr="007B1712">
          <w:rPr>
            <w:rStyle w:val="Hyperlink"/>
            <w:noProof/>
          </w:rPr>
          <w:t>Supra-spinal mechanisms of pain processing</w:t>
        </w:r>
        <w:r w:rsidR="00CE7BE0">
          <w:rPr>
            <w:noProof/>
            <w:webHidden/>
          </w:rPr>
          <w:tab/>
        </w:r>
        <w:r w:rsidR="00CE7BE0">
          <w:rPr>
            <w:noProof/>
            <w:webHidden/>
          </w:rPr>
          <w:fldChar w:fldCharType="begin"/>
        </w:r>
        <w:r w:rsidR="00CE7BE0">
          <w:rPr>
            <w:noProof/>
            <w:webHidden/>
          </w:rPr>
          <w:instrText xml:space="preserve"> PAGEREF _Toc64723870 \h </w:instrText>
        </w:r>
        <w:r w:rsidR="00CE7BE0">
          <w:rPr>
            <w:noProof/>
            <w:webHidden/>
          </w:rPr>
        </w:r>
        <w:r w:rsidR="00CE7BE0">
          <w:rPr>
            <w:noProof/>
            <w:webHidden/>
          </w:rPr>
          <w:fldChar w:fldCharType="separate"/>
        </w:r>
        <w:r w:rsidR="00CE7BE0">
          <w:rPr>
            <w:noProof/>
            <w:webHidden/>
          </w:rPr>
          <w:t>27</w:t>
        </w:r>
        <w:r w:rsidR="00CE7BE0">
          <w:rPr>
            <w:noProof/>
            <w:webHidden/>
          </w:rPr>
          <w:fldChar w:fldCharType="end"/>
        </w:r>
      </w:hyperlink>
    </w:p>
    <w:p w14:paraId="4DDD90AA" w14:textId="77641071" w:rsidR="00CE7BE0" w:rsidRDefault="006D3518">
      <w:pPr>
        <w:pStyle w:val="TOC2"/>
        <w:rPr>
          <w:rFonts w:asciiTheme="minorHAnsi" w:hAnsiTheme="minorHAnsi" w:cstheme="minorBidi"/>
          <w:iCs w:val="0"/>
          <w:noProof/>
          <w:sz w:val="24"/>
          <w:szCs w:val="24"/>
          <w:lang w:eastAsia="en-GB"/>
        </w:rPr>
      </w:pPr>
      <w:hyperlink w:anchor="_Toc64723871" w:history="1">
        <w:r w:rsidR="00CE7BE0" w:rsidRPr="007B1712">
          <w:rPr>
            <w:rStyle w:val="Hyperlink"/>
            <w:noProof/>
          </w:rPr>
          <w:t>Perfusion Magnetic Resonance Imaging of the CNS</w:t>
        </w:r>
        <w:r w:rsidR="00CE7BE0">
          <w:rPr>
            <w:noProof/>
            <w:webHidden/>
          </w:rPr>
          <w:tab/>
        </w:r>
        <w:r w:rsidR="00CE7BE0">
          <w:rPr>
            <w:noProof/>
            <w:webHidden/>
          </w:rPr>
          <w:fldChar w:fldCharType="begin"/>
        </w:r>
        <w:r w:rsidR="00CE7BE0">
          <w:rPr>
            <w:noProof/>
            <w:webHidden/>
          </w:rPr>
          <w:instrText xml:space="preserve"> PAGEREF _Toc64723871 \h </w:instrText>
        </w:r>
        <w:r w:rsidR="00CE7BE0">
          <w:rPr>
            <w:noProof/>
            <w:webHidden/>
          </w:rPr>
        </w:r>
        <w:r w:rsidR="00CE7BE0">
          <w:rPr>
            <w:noProof/>
            <w:webHidden/>
          </w:rPr>
          <w:fldChar w:fldCharType="separate"/>
        </w:r>
        <w:r w:rsidR="00CE7BE0">
          <w:rPr>
            <w:noProof/>
            <w:webHidden/>
          </w:rPr>
          <w:t>29</w:t>
        </w:r>
        <w:r w:rsidR="00CE7BE0">
          <w:rPr>
            <w:noProof/>
            <w:webHidden/>
          </w:rPr>
          <w:fldChar w:fldCharType="end"/>
        </w:r>
      </w:hyperlink>
    </w:p>
    <w:p w14:paraId="4803A0D3" w14:textId="3F8888CF" w:rsidR="00CE7BE0" w:rsidRDefault="006D3518">
      <w:pPr>
        <w:pStyle w:val="TOC3"/>
        <w:tabs>
          <w:tab w:val="right" w:leader="dot" w:pos="9350"/>
        </w:tabs>
        <w:rPr>
          <w:rFonts w:asciiTheme="minorHAnsi" w:hAnsiTheme="minorHAnsi" w:cstheme="minorBidi"/>
          <w:noProof/>
          <w:sz w:val="24"/>
          <w:szCs w:val="24"/>
          <w:lang w:eastAsia="en-GB"/>
        </w:rPr>
      </w:pPr>
      <w:hyperlink w:anchor="_Toc64723872" w:history="1">
        <w:r w:rsidR="00CE7BE0" w:rsidRPr="007B1712">
          <w:rPr>
            <w:rStyle w:val="Hyperlink"/>
            <w:noProof/>
          </w:rPr>
          <w:t>Perfusion imaging by DSC-MRI technique</w:t>
        </w:r>
        <w:r w:rsidR="00CE7BE0">
          <w:rPr>
            <w:noProof/>
            <w:webHidden/>
          </w:rPr>
          <w:tab/>
        </w:r>
        <w:r w:rsidR="00CE7BE0">
          <w:rPr>
            <w:noProof/>
            <w:webHidden/>
          </w:rPr>
          <w:fldChar w:fldCharType="begin"/>
        </w:r>
        <w:r w:rsidR="00CE7BE0">
          <w:rPr>
            <w:noProof/>
            <w:webHidden/>
          </w:rPr>
          <w:instrText xml:space="preserve"> PAGEREF _Toc64723872 \h </w:instrText>
        </w:r>
        <w:r w:rsidR="00CE7BE0">
          <w:rPr>
            <w:noProof/>
            <w:webHidden/>
          </w:rPr>
        </w:r>
        <w:r w:rsidR="00CE7BE0">
          <w:rPr>
            <w:noProof/>
            <w:webHidden/>
          </w:rPr>
          <w:fldChar w:fldCharType="separate"/>
        </w:r>
        <w:r w:rsidR="00CE7BE0">
          <w:rPr>
            <w:noProof/>
            <w:webHidden/>
          </w:rPr>
          <w:t>30</w:t>
        </w:r>
        <w:r w:rsidR="00CE7BE0">
          <w:rPr>
            <w:noProof/>
            <w:webHidden/>
          </w:rPr>
          <w:fldChar w:fldCharType="end"/>
        </w:r>
      </w:hyperlink>
    </w:p>
    <w:p w14:paraId="4E3D9B0A" w14:textId="633AD5FA" w:rsidR="00CE7BE0" w:rsidRDefault="006D3518">
      <w:pPr>
        <w:pStyle w:val="TOC3"/>
        <w:tabs>
          <w:tab w:val="right" w:leader="dot" w:pos="9350"/>
        </w:tabs>
        <w:rPr>
          <w:rFonts w:asciiTheme="minorHAnsi" w:hAnsiTheme="minorHAnsi" w:cstheme="minorBidi"/>
          <w:noProof/>
          <w:sz w:val="24"/>
          <w:szCs w:val="24"/>
          <w:lang w:eastAsia="en-GB"/>
        </w:rPr>
      </w:pPr>
      <w:hyperlink w:anchor="_Toc64723873" w:history="1">
        <w:r w:rsidR="00CE7BE0" w:rsidRPr="007B1712">
          <w:rPr>
            <w:rStyle w:val="Hyperlink"/>
            <w:noProof/>
          </w:rPr>
          <w:t>Microvascular perfusion abnormalities in subjects with T1D using DSC-MRI</w:t>
        </w:r>
        <w:r w:rsidR="00CE7BE0">
          <w:rPr>
            <w:noProof/>
            <w:webHidden/>
          </w:rPr>
          <w:tab/>
        </w:r>
        <w:r w:rsidR="00CE7BE0">
          <w:rPr>
            <w:noProof/>
            <w:webHidden/>
          </w:rPr>
          <w:fldChar w:fldCharType="begin"/>
        </w:r>
        <w:r w:rsidR="00CE7BE0">
          <w:rPr>
            <w:noProof/>
            <w:webHidden/>
          </w:rPr>
          <w:instrText xml:space="preserve"> PAGEREF _Toc64723873 \h </w:instrText>
        </w:r>
        <w:r w:rsidR="00CE7BE0">
          <w:rPr>
            <w:noProof/>
            <w:webHidden/>
          </w:rPr>
        </w:r>
        <w:r w:rsidR="00CE7BE0">
          <w:rPr>
            <w:noProof/>
            <w:webHidden/>
          </w:rPr>
          <w:fldChar w:fldCharType="separate"/>
        </w:r>
        <w:r w:rsidR="00CE7BE0">
          <w:rPr>
            <w:noProof/>
            <w:webHidden/>
          </w:rPr>
          <w:t>33</w:t>
        </w:r>
        <w:r w:rsidR="00CE7BE0">
          <w:rPr>
            <w:noProof/>
            <w:webHidden/>
          </w:rPr>
          <w:fldChar w:fldCharType="end"/>
        </w:r>
      </w:hyperlink>
    </w:p>
    <w:p w14:paraId="2C71A70D" w14:textId="12E18705" w:rsidR="00CE7BE0" w:rsidRDefault="006D3518">
      <w:pPr>
        <w:pStyle w:val="TOC3"/>
        <w:tabs>
          <w:tab w:val="right" w:leader="dot" w:pos="9350"/>
        </w:tabs>
        <w:rPr>
          <w:rFonts w:asciiTheme="minorHAnsi" w:hAnsiTheme="minorHAnsi" w:cstheme="minorBidi"/>
          <w:noProof/>
          <w:sz w:val="24"/>
          <w:szCs w:val="24"/>
          <w:lang w:eastAsia="en-GB"/>
        </w:rPr>
      </w:pPr>
      <w:hyperlink w:anchor="_Toc64723874" w:history="1">
        <w:r w:rsidR="00CE7BE0" w:rsidRPr="007B1712">
          <w:rPr>
            <w:rStyle w:val="Hyperlink"/>
            <w:noProof/>
          </w:rPr>
          <w:t>Supporting evidence for increased perfusion in the thalamus in subjects with neuropathic pain using other MRI modalities</w:t>
        </w:r>
        <w:r w:rsidR="00CE7BE0">
          <w:rPr>
            <w:noProof/>
            <w:webHidden/>
          </w:rPr>
          <w:tab/>
        </w:r>
        <w:r w:rsidR="00CE7BE0">
          <w:rPr>
            <w:noProof/>
            <w:webHidden/>
          </w:rPr>
          <w:fldChar w:fldCharType="begin"/>
        </w:r>
        <w:r w:rsidR="00CE7BE0">
          <w:rPr>
            <w:noProof/>
            <w:webHidden/>
          </w:rPr>
          <w:instrText xml:space="preserve"> PAGEREF _Toc64723874 \h </w:instrText>
        </w:r>
        <w:r w:rsidR="00CE7BE0">
          <w:rPr>
            <w:noProof/>
            <w:webHidden/>
          </w:rPr>
        </w:r>
        <w:r w:rsidR="00CE7BE0">
          <w:rPr>
            <w:noProof/>
            <w:webHidden/>
          </w:rPr>
          <w:fldChar w:fldCharType="separate"/>
        </w:r>
        <w:r w:rsidR="00CE7BE0">
          <w:rPr>
            <w:noProof/>
            <w:webHidden/>
          </w:rPr>
          <w:t>35</w:t>
        </w:r>
        <w:r w:rsidR="00CE7BE0">
          <w:rPr>
            <w:noProof/>
            <w:webHidden/>
          </w:rPr>
          <w:fldChar w:fldCharType="end"/>
        </w:r>
      </w:hyperlink>
    </w:p>
    <w:p w14:paraId="1F225E17" w14:textId="44EE63FF" w:rsidR="00CE7BE0" w:rsidRDefault="006D3518">
      <w:pPr>
        <w:pStyle w:val="TOC3"/>
        <w:tabs>
          <w:tab w:val="right" w:leader="dot" w:pos="9350"/>
        </w:tabs>
        <w:rPr>
          <w:rFonts w:asciiTheme="minorHAnsi" w:hAnsiTheme="minorHAnsi" w:cstheme="minorBidi"/>
          <w:noProof/>
          <w:sz w:val="24"/>
          <w:szCs w:val="24"/>
          <w:lang w:eastAsia="en-GB"/>
        </w:rPr>
      </w:pPr>
      <w:hyperlink w:anchor="_Toc64723875" w:history="1">
        <w:r w:rsidR="00CE7BE0" w:rsidRPr="007B1712">
          <w:rPr>
            <w:rStyle w:val="Hyperlink"/>
            <w:noProof/>
          </w:rPr>
          <w:t>Studies finding decreased or unchanged perfusion in the thalamus in subjects with neuropathic pain using other MRI modalities</w:t>
        </w:r>
        <w:r w:rsidR="00CE7BE0">
          <w:rPr>
            <w:noProof/>
            <w:webHidden/>
          </w:rPr>
          <w:tab/>
        </w:r>
        <w:r w:rsidR="00CE7BE0">
          <w:rPr>
            <w:noProof/>
            <w:webHidden/>
          </w:rPr>
          <w:fldChar w:fldCharType="begin"/>
        </w:r>
        <w:r w:rsidR="00CE7BE0">
          <w:rPr>
            <w:noProof/>
            <w:webHidden/>
          </w:rPr>
          <w:instrText xml:space="preserve"> PAGEREF _Toc64723875 \h </w:instrText>
        </w:r>
        <w:r w:rsidR="00CE7BE0">
          <w:rPr>
            <w:noProof/>
            <w:webHidden/>
          </w:rPr>
        </w:r>
        <w:r w:rsidR="00CE7BE0">
          <w:rPr>
            <w:noProof/>
            <w:webHidden/>
          </w:rPr>
          <w:fldChar w:fldCharType="separate"/>
        </w:r>
        <w:r w:rsidR="00CE7BE0">
          <w:rPr>
            <w:noProof/>
            <w:webHidden/>
          </w:rPr>
          <w:t>35</w:t>
        </w:r>
        <w:r w:rsidR="00CE7BE0">
          <w:rPr>
            <w:noProof/>
            <w:webHidden/>
          </w:rPr>
          <w:fldChar w:fldCharType="end"/>
        </w:r>
      </w:hyperlink>
    </w:p>
    <w:p w14:paraId="04804CF6" w14:textId="05217EF6" w:rsidR="00CE7BE0" w:rsidRDefault="006D3518">
      <w:pPr>
        <w:pStyle w:val="TOC3"/>
        <w:tabs>
          <w:tab w:val="right" w:leader="dot" w:pos="9350"/>
        </w:tabs>
        <w:rPr>
          <w:rFonts w:asciiTheme="minorHAnsi" w:hAnsiTheme="minorHAnsi" w:cstheme="minorBidi"/>
          <w:noProof/>
          <w:sz w:val="24"/>
          <w:szCs w:val="24"/>
          <w:lang w:eastAsia="en-GB"/>
        </w:rPr>
      </w:pPr>
      <w:hyperlink w:anchor="_Toc64723876" w:history="1">
        <w:r w:rsidR="00CE7BE0" w:rsidRPr="007B1712">
          <w:rPr>
            <w:rStyle w:val="Hyperlink"/>
            <w:noProof/>
          </w:rPr>
          <w:t>Limitations of DSC method of assessing cerebral perfusion</w:t>
        </w:r>
        <w:r w:rsidR="00CE7BE0">
          <w:rPr>
            <w:noProof/>
            <w:webHidden/>
          </w:rPr>
          <w:tab/>
        </w:r>
        <w:r w:rsidR="00CE7BE0">
          <w:rPr>
            <w:noProof/>
            <w:webHidden/>
          </w:rPr>
          <w:fldChar w:fldCharType="begin"/>
        </w:r>
        <w:r w:rsidR="00CE7BE0">
          <w:rPr>
            <w:noProof/>
            <w:webHidden/>
          </w:rPr>
          <w:instrText xml:space="preserve"> PAGEREF _Toc64723876 \h </w:instrText>
        </w:r>
        <w:r w:rsidR="00CE7BE0">
          <w:rPr>
            <w:noProof/>
            <w:webHidden/>
          </w:rPr>
        </w:r>
        <w:r w:rsidR="00CE7BE0">
          <w:rPr>
            <w:noProof/>
            <w:webHidden/>
          </w:rPr>
          <w:fldChar w:fldCharType="separate"/>
        </w:r>
        <w:r w:rsidR="00CE7BE0">
          <w:rPr>
            <w:noProof/>
            <w:webHidden/>
          </w:rPr>
          <w:t>35</w:t>
        </w:r>
        <w:r w:rsidR="00CE7BE0">
          <w:rPr>
            <w:noProof/>
            <w:webHidden/>
          </w:rPr>
          <w:fldChar w:fldCharType="end"/>
        </w:r>
      </w:hyperlink>
    </w:p>
    <w:p w14:paraId="49151A1C" w14:textId="25BB0A41" w:rsidR="00CE7BE0" w:rsidRDefault="006D3518">
      <w:pPr>
        <w:pStyle w:val="TOC3"/>
        <w:tabs>
          <w:tab w:val="right" w:leader="dot" w:pos="9350"/>
        </w:tabs>
        <w:rPr>
          <w:rFonts w:asciiTheme="minorHAnsi" w:hAnsiTheme="minorHAnsi" w:cstheme="minorBidi"/>
          <w:noProof/>
          <w:sz w:val="24"/>
          <w:szCs w:val="24"/>
          <w:lang w:eastAsia="en-GB"/>
        </w:rPr>
      </w:pPr>
      <w:hyperlink w:anchor="_Toc64723877" w:history="1">
        <w:r w:rsidR="00CE7BE0" w:rsidRPr="007B1712">
          <w:rPr>
            <w:rStyle w:val="Hyperlink"/>
            <w:noProof/>
          </w:rPr>
          <w:t>Arterial Spin Labelling perfusion studies</w:t>
        </w:r>
        <w:r w:rsidR="00CE7BE0">
          <w:rPr>
            <w:noProof/>
            <w:webHidden/>
          </w:rPr>
          <w:tab/>
        </w:r>
        <w:r w:rsidR="00CE7BE0">
          <w:rPr>
            <w:noProof/>
            <w:webHidden/>
          </w:rPr>
          <w:fldChar w:fldCharType="begin"/>
        </w:r>
        <w:r w:rsidR="00CE7BE0">
          <w:rPr>
            <w:noProof/>
            <w:webHidden/>
          </w:rPr>
          <w:instrText xml:space="preserve"> PAGEREF _Toc64723877 \h </w:instrText>
        </w:r>
        <w:r w:rsidR="00CE7BE0">
          <w:rPr>
            <w:noProof/>
            <w:webHidden/>
          </w:rPr>
        </w:r>
        <w:r w:rsidR="00CE7BE0">
          <w:rPr>
            <w:noProof/>
            <w:webHidden/>
          </w:rPr>
          <w:fldChar w:fldCharType="separate"/>
        </w:r>
        <w:r w:rsidR="00CE7BE0">
          <w:rPr>
            <w:noProof/>
            <w:webHidden/>
          </w:rPr>
          <w:t>37</w:t>
        </w:r>
        <w:r w:rsidR="00CE7BE0">
          <w:rPr>
            <w:noProof/>
            <w:webHidden/>
          </w:rPr>
          <w:fldChar w:fldCharType="end"/>
        </w:r>
      </w:hyperlink>
    </w:p>
    <w:p w14:paraId="49978C79" w14:textId="3A9C7782" w:rsidR="00CE7BE0" w:rsidRDefault="006D3518">
      <w:pPr>
        <w:pStyle w:val="TOC3"/>
        <w:tabs>
          <w:tab w:val="right" w:leader="dot" w:pos="9350"/>
        </w:tabs>
        <w:rPr>
          <w:rFonts w:asciiTheme="minorHAnsi" w:hAnsiTheme="minorHAnsi" w:cstheme="minorBidi"/>
          <w:noProof/>
          <w:sz w:val="24"/>
          <w:szCs w:val="24"/>
          <w:lang w:eastAsia="en-GB"/>
        </w:rPr>
      </w:pPr>
      <w:hyperlink w:anchor="_Toc64723878" w:history="1">
        <w:r w:rsidR="00CE7BE0" w:rsidRPr="007B1712">
          <w:rPr>
            <w:rStyle w:val="Hyperlink"/>
            <w:noProof/>
          </w:rPr>
          <w:t>Technical difficulties encountered when using ASL</w:t>
        </w:r>
        <w:r w:rsidR="00CE7BE0">
          <w:rPr>
            <w:noProof/>
            <w:webHidden/>
          </w:rPr>
          <w:tab/>
        </w:r>
        <w:r w:rsidR="00CE7BE0">
          <w:rPr>
            <w:noProof/>
            <w:webHidden/>
          </w:rPr>
          <w:fldChar w:fldCharType="begin"/>
        </w:r>
        <w:r w:rsidR="00CE7BE0">
          <w:rPr>
            <w:noProof/>
            <w:webHidden/>
          </w:rPr>
          <w:instrText xml:space="preserve"> PAGEREF _Toc64723878 \h </w:instrText>
        </w:r>
        <w:r w:rsidR="00CE7BE0">
          <w:rPr>
            <w:noProof/>
            <w:webHidden/>
          </w:rPr>
        </w:r>
        <w:r w:rsidR="00CE7BE0">
          <w:rPr>
            <w:noProof/>
            <w:webHidden/>
          </w:rPr>
          <w:fldChar w:fldCharType="separate"/>
        </w:r>
        <w:r w:rsidR="00CE7BE0">
          <w:rPr>
            <w:noProof/>
            <w:webHidden/>
          </w:rPr>
          <w:t>37</w:t>
        </w:r>
        <w:r w:rsidR="00CE7BE0">
          <w:rPr>
            <w:noProof/>
            <w:webHidden/>
          </w:rPr>
          <w:fldChar w:fldCharType="end"/>
        </w:r>
      </w:hyperlink>
    </w:p>
    <w:p w14:paraId="55F4D1CD" w14:textId="30E455A8" w:rsidR="00CE7BE0" w:rsidRDefault="006D3518">
      <w:pPr>
        <w:pStyle w:val="TOC3"/>
        <w:tabs>
          <w:tab w:val="right" w:leader="dot" w:pos="9350"/>
        </w:tabs>
        <w:rPr>
          <w:rFonts w:asciiTheme="minorHAnsi" w:hAnsiTheme="minorHAnsi" w:cstheme="minorBidi"/>
          <w:noProof/>
          <w:sz w:val="24"/>
          <w:szCs w:val="24"/>
          <w:lang w:eastAsia="en-GB"/>
        </w:rPr>
      </w:pPr>
      <w:hyperlink w:anchor="_Toc64723879" w:history="1">
        <w:r w:rsidR="00CE7BE0" w:rsidRPr="007B1712">
          <w:rPr>
            <w:rStyle w:val="Hyperlink"/>
            <w:noProof/>
          </w:rPr>
          <w:t>ASL to quantify perfusion during pain perception</w:t>
        </w:r>
        <w:r w:rsidR="00CE7BE0">
          <w:rPr>
            <w:noProof/>
            <w:webHidden/>
          </w:rPr>
          <w:tab/>
        </w:r>
        <w:r w:rsidR="00CE7BE0">
          <w:rPr>
            <w:noProof/>
            <w:webHidden/>
          </w:rPr>
          <w:fldChar w:fldCharType="begin"/>
        </w:r>
        <w:r w:rsidR="00CE7BE0">
          <w:rPr>
            <w:noProof/>
            <w:webHidden/>
          </w:rPr>
          <w:instrText xml:space="preserve"> PAGEREF _Toc64723879 \h </w:instrText>
        </w:r>
        <w:r w:rsidR="00CE7BE0">
          <w:rPr>
            <w:noProof/>
            <w:webHidden/>
          </w:rPr>
        </w:r>
        <w:r w:rsidR="00CE7BE0">
          <w:rPr>
            <w:noProof/>
            <w:webHidden/>
          </w:rPr>
          <w:fldChar w:fldCharType="separate"/>
        </w:r>
        <w:r w:rsidR="00CE7BE0">
          <w:rPr>
            <w:noProof/>
            <w:webHidden/>
          </w:rPr>
          <w:t>38</w:t>
        </w:r>
        <w:r w:rsidR="00CE7BE0">
          <w:rPr>
            <w:noProof/>
            <w:webHidden/>
          </w:rPr>
          <w:fldChar w:fldCharType="end"/>
        </w:r>
      </w:hyperlink>
    </w:p>
    <w:p w14:paraId="2C218921" w14:textId="1D448DA3" w:rsidR="00CE7BE0" w:rsidRDefault="006D3518">
      <w:pPr>
        <w:pStyle w:val="TOC3"/>
        <w:tabs>
          <w:tab w:val="right" w:leader="dot" w:pos="9350"/>
        </w:tabs>
        <w:rPr>
          <w:rFonts w:asciiTheme="minorHAnsi" w:hAnsiTheme="minorHAnsi" w:cstheme="minorBidi"/>
          <w:noProof/>
          <w:sz w:val="24"/>
          <w:szCs w:val="24"/>
          <w:lang w:eastAsia="en-GB"/>
        </w:rPr>
      </w:pPr>
      <w:hyperlink w:anchor="_Toc64723880" w:history="1">
        <w:r w:rsidR="00CE7BE0" w:rsidRPr="007B1712">
          <w:rPr>
            <w:rStyle w:val="Hyperlink"/>
            <w:noProof/>
          </w:rPr>
          <w:t>Blood Oxygen level Dependent (BOLD) functional Magnetic Resonance Imaging</w:t>
        </w:r>
        <w:r w:rsidR="00CE7BE0">
          <w:rPr>
            <w:noProof/>
            <w:webHidden/>
          </w:rPr>
          <w:tab/>
        </w:r>
        <w:r w:rsidR="00CE7BE0">
          <w:rPr>
            <w:noProof/>
            <w:webHidden/>
          </w:rPr>
          <w:fldChar w:fldCharType="begin"/>
        </w:r>
        <w:r w:rsidR="00CE7BE0">
          <w:rPr>
            <w:noProof/>
            <w:webHidden/>
          </w:rPr>
          <w:instrText xml:space="preserve"> PAGEREF _Toc64723880 \h </w:instrText>
        </w:r>
        <w:r w:rsidR="00CE7BE0">
          <w:rPr>
            <w:noProof/>
            <w:webHidden/>
          </w:rPr>
        </w:r>
        <w:r w:rsidR="00CE7BE0">
          <w:rPr>
            <w:noProof/>
            <w:webHidden/>
          </w:rPr>
          <w:fldChar w:fldCharType="separate"/>
        </w:r>
        <w:r w:rsidR="00CE7BE0">
          <w:rPr>
            <w:noProof/>
            <w:webHidden/>
          </w:rPr>
          <w:t>38</w:t>
        </w:r>
        <w:r w:rsidR="00CE7BE0">
          <w:rPr>
            <w:noProof/>
            <w:webHidden/>
          </w:rPr>
          <w:fldChar w:fldCharType="end"/>
        </w:r>
      </w:hyperlink>
    </w:p>
    <w:p w14:paraId="1D9680CC" w14:textId="1AE505BC" w:rsidR="00CE7BE0" w:rsidRDefault="006D3518">
      <w:pPr>
        <w:pStyle w:val="TOC2"/>
        <w:rPr>
          <w:rFonts w:asciiTheme="minorHAnsi" w:hAnsiTheme="minorHAnsi" w:cstheme="minorBidi"/>
          <w:iCs w:val="0"/>
          <w:noProof/>
          <w:sz w:val="24"/>
          <w:szCs w:val="24"/>
          <w:lang w:eastAsia="en-GB"/>
        </w:rPr>
      </w:pPr>
      <w:hyperlink w:anchor="_Toc64723881" w:history="1">
        <w:r w:rsidR="00CE7BE0" w:rsidRPr="007B1712">
          <w:rPr>
            <w:rStyle w:val="Hyperlink"/>
            <w:noProof/>
          </w:rPr>
          <w:t>Role of Pain Matrix in P-DPN</w:t>
        </w:r>
        <w:r w:rsidR="00CE7BE0">
          <w:rPr>
            <w:noProof/>
            <w:webHidden/>
          </w:rPr>
          <w:tab/>
        </w:r>
        <w:r w:rsidR="00CE7BE0">
          <w:rPr>
            <w:noProof/>
            <w:webHidden/>
          </w:rPr>
          <w:fldChar w:fldCharType="begin"/>
        </w:r>
        <w:r w:rsidR="00CE7BE0">
          <w:rPr>
            <w:noProof/>
            <w:webHidden/>
          </w:rPr>
          <w:instrText xml:space="preserve"> PAGEREF _Toc64723881 \h </w:instrText>
        </w:r>
        <w:r w:rsidR="00CE7BE0">
          <w:rPr>
            <w:noProof/>
            <w:webHidden/>
          </w:rPr>
        </w:r>
        <w:r w:rsidR="00CE7BE0">
          <w:rPr>
            <w:noProof/>
            <w:webHidden/>
          </w:rPr>
          <w:fldChar w:fldCharType="separate"/>
        </w:r>
        <w:r w:rsidR="00CE7BE0">
          <w:rPr>
            <w:noProof/>
            <w:webHidden/>
          </w:rPr>
          <w:t>40</w:t>
        </w:r>
        <w:r w:rsidR="00CE7BE0">
          <w:rPr>
            <w:noProof/>
            <w:webHidden/>
          </w:rPr>
          <w:fldChar w:fldCharType="end"/>
        </w:r>
      </w:hyperlink>
    </w:p>
    <w:p w14:paraId="31D7C25D" w14:textId="7549773D" w:rsidR="00CE7BE0" w:rsidRDefault="006D3518">
      <w:pPr>
        <w:pStyle w:val="TOC2"/>
        <w:rPr>
          <w:rFonts w:asciiTheme="minorHAnsi" w:hAnsiTheme="minorHAnsi" w:cstheme="minorBidi"/>
          <w:iCs w:val="0"/>
          <w:noProof/>
          <w:sz w:val="24"/>
          <w:szCs w:val="24"/>
          <w:lang w:eastAsia="en-GB"/>
        </w:rPr>
      </w:pPr>
      <w:hyperlink w:anchor="_Toc64723882" w:history="1">
        <w:r w:rsidR="00CE7BE0" w:rsidRPr="007B1712">
          <w:rPr>
            <w:rStyle w:val="Hyperlink"/>
            <w:noProof/>
          </w:rPr>
          <w:t>Conclusion:</w:t>
        </w:r>
        <w:r w:rsidR="00CE7BE0">
          <w:rPr>
            <w:noProof/>
            <w:webHidden/>
          </w:rPr>
          <w:tab/>
        </w:r>
        <w:r w:rsidR="00CE7BE0">
          <w:rPr>
            <w:noProof/>
            <w:webHidden/>
          </w:rPr>
          <w:fldChar w:fldCharType="begin"/>
        </w:r>
        <w:r w:rsidR="00CE7BE0">
          <w:rPr>
            <w:noProof/>
            <w:webHidden/>
          </w:rPr>
          <w:instrText xml:space="preserve"> PAGEREF _Toc64723882 \h </w:instrText>
        </w:r>
        <w:r w:rsidR="00CE7BE0">
          <w:rPr>
            <w:noProof/>
            <w:webHidden/>
          </w:rPr>
        </w:r>
        <w:r w:rsidR="00CE7BE0">
          <w:rPr>
            <w:noProof/>
            <w:webHidden/>
          </w:rPr>
          <w:fldChar w:fldCharType="separate"/>
        </w:r>
        <w:r w:rsidR="00CE7BE0">
          <w:rPr>
            <w:noProof/>
            <w:webHidden/>
          </w:rPr>
          <w:t>41</w:t>
        </w:r>
        <w:r w:rsidR="00CE7BE0">
          <w:rPr>
            <w:noProof/>
            <w:webHidden/>
          </w:rPr>
          <w:fldChar w:fldCharType="end"/>
        </w:r>
      </w:hyperlink>
    </w:p>
    <w:p w14:paraId="3D4842BA" w14:textId="2E8387D8" w:rsidR="00CE7BE0" w:rsidRDefault="006D3518">
      <w:pPr>
        <w:pStyle w:val="TOC1"/>
        <w:tabs>
          <w:tab w:val="right" w:leader="dot" w:pos="9350"/>
        </w:tabs>
        <w:rPr>
          <w:rFonts w:asciiTheme="minorHAnsi" w:hAnsiTheme="minorHAnsi" w:cstheme="minorBidi"/>
          <w:b w:val="0"/>
          <w:bCs w:val="0"/>
          <w:noProof/>
          <w:sz w:val="24"/>
          <w:szCs w:val="24"/>
          <w:lang w:eastAsia="en-GB"/>
        </w:rPr>
      </w:pPr>
      <w:hyperlink w:anchor="_Toc64723883" w:history="1">
        <w:r w:rsidR="00CE7BE0" w:rsidRPr="007B1712">
          <w:rPr>
            <w:rStyle w:val="Hyperlink"/>
            <w:noProof/>
          </w:rPr>
          <w:t>Aims and Hypotheses</w:t>
        </w:r>
        <w:r w:rsidR="00CE7BE0">
          <w:rPr>
            <w:noProof/>
            <w:webHidden/>
          </w:rPr>
          <w:tab/>
        </w:r>
        <w:r w:rsidR="00CE7BE0">
          <w:rPr>
            <w:noProof/>
            <w:webHidden/>
          </w:rPr>
          <w:fldChar w:fldCharType="begin"/>
        </w:r>
        <w:r w:rsidR="00CE7BE0">
          <w:rPr>
            <w:noProof/>
            <w:webHidden/>
          </w:rPr>
          <w:instrText xml:space="preserve"> PAGEREF _Toc64723883 \h </w:instrText>
        </w:r>
        <w:r w:rsidR="00CE7BE0">
          <w:rPr>
            <w:noProof/>
            <w:webHidden/>
          </w:rPr>
        </w:r>
        <w:r w:rsidR="00CE7BE0">
          <w:rPr>
            <w:noProof/>
            <w:webHidden/>
          </w:rPr>
          <w:fldChar w:fldCharType="separate"/>
        </w:r>
        <w:r w:rsidR="00CE7BE0">
          <w:rPr>
            <w:noProof/>
            <w:webHidden/>
          </w:rPr>
          <w:t>43</w:t>
        </w:r>
        <w:r w:rsidR="00CE7BE0">
          <w:rPr>
            <w:noProof/>
            <w:webHidden/>
          </w:rPr>
          <w:fldChar w:fldCharType="end"/>
        </w:r>
      </w:hyperlink>
    </w:p>
    <w:p w14:paraId="1834A45A" w14:textId="467774E2" w:rsidR="00CE7BE0" w:rsidRDefault="006D3518">
      <w:pPr>
        <w:pStyle w:val="TOC2"/>
        <w:rPr>
          <w:rFonts w:asciiTheme="minorHAnsi" w:hAnsiTheme="minorHAnsi" w:cstheme="minorBidi"/>
          <w:iCs w:val="0"/>
          <w:noProof/>
          <w:sz w:val="24"/>
          <w:szCs w:val="24"/>
          <w:lang w:eastAsia="en-GB"/>
        </w:rPr>
      </w:pPr>
      <w:hyperlink w:anchor="_Toc64723884" w:history="1">
        <w:r w:rsidR="00CE7BE0" w:rsidRPr="007B1712">
          <w:rPr>
            <w:rStyle w:val="Hyperlink"/>
            <w:noProof/>
          </w:rPr>
          <w:t>Primary Aims:</w:t>
        </w:r>
        <w:r w:rsidR="00CE7BE0">
          <w:rPr>
            <w:noProof/>
            <w:webHidden/>
          </w:rPr>
          <w:tab/>
        </w:r>
        <w:r w:rsidR="00CE7BE0">
          <w:rPr>
            <w:noProof/>
            <w:webHidden/>
          </w:rPr>
          <w:fldChar w:fldCharType="begin"/>
        </w:r>
        <w:r w:rsidR="00CE7BE0">
          <w:rPr>
            <w:noProof/>
            <w:webHidden/>
          </w:rPr>
          <w:instrText xml:space="preserve"> PAGEREF _Toc64723884 \h </w:instrText>
        </w:r>
        <w:r w:rsidR="00CE7BE0">
          <w:rPr>
            <w:noProof/>
            <w:webHidden/>
          </w:rPr>
        </w:r>
        <w:r w:rsidR="00CE7BE0">
          <w:rPr>
            <w:noProof/>
            <w:webHidden/>
          </w:rPr>
          <w:fldChar w:fldCharType="separate"/>
        </w:r>
        <w:r w:rsidR="00CE7BE0">
          <w:rPr>
            <w:noProof/>
            <w:webHidden/>
          </w:rPr>
          <w:t>43</w:t>
        </w:r>
        <w:r w:rsidR="00CE7BE0">
          <w:rPr>
            <w:noProof/>
            <w:webHidden/>
          </w:rPr>
          <w:fldChar w:fldCharType="end"/>
        </w:r>
      </w:hyperlink>
    </w:p>
    <w:p w14:paraId="3691CED0" w14:textId="743D60D6" w:rsidR="00CE7BE0" w:rsidRDefault="006D3518">
      <w:pPr>
        <w:pStyle w:val="TOC3"/>
        <w:tabs>
          <w:tab w:val="right" w:leader="dot" w:pos="9350"/>
        </w:tabs>
        <w:rPr>
          <w:rFonts w:asciiTheme="minorHAnsi" w:hAnsiTheme="minorHAnsi" w:cstheme="minorBidi"/>
          <w:noProof/>
          <w:sz w:val="24"/>
          <w:szCs w:val="24"/>
          <w:lang w:eastAsia="en-GB"/>
        </w:rPr>
      </w:pPr>
      <w:hyperlink w:anchor="_Toc64723885" w:history="1">
        <w:r w:rsidR="00CE7BE0" w:rsidRPr="007B1712">
          <w:rPr>
            <w:rStyle w:val="Hyperlink"/>
            <w:noProof/>
          </w:rPr>
          <w:t>Aim 1:  To determine the microvascular perfusion characteristics of the thalamus and other areas of the pain network (matrix) in T1D subjects with P-DPN using dynamic susceptibility contrast.</w:t>
        </w:r>
        <w:r w:rsidR="00CE7BE0">
          <w:rPr>
            <w:noProof/>
            <w:webHidden/>
          </w:rPr>
          <w:tab/>
        </w:r>
        <w:r w:rsidR="00CE7BE0">
          <w:rPr>
            <w:noProof/>
            <w:webHidden/>
          </w:rPr>
          <w:fldChar w:fldCharType="begin"/>
        </w:r>
        <w:r w:rsidR="00CE7BE0">
          <w:rPr>
            <w:noProof/>
            <w:webHidden/>
          </w:rPr>
          <w:instrText xml:space="preserve"> PAGEREF _Toc64723885 \h </w:instrText>
        </w:r>
        <w:r w:rsidR="00CE7BE0">
          <w:rPr>
            <w:noProof/>
            <w:webHidden/>
          </w:rPr>
        </w:r>
        <w:r w:rsidR="00CE7BE0">
          <w:rPr>
            <w:noProof/>
            <w:webHidden/>
          </w:rPr>
          <w:fldChar w:fldCharType="separate"/>
        </w:r>
        <w:r w:rsidR="00CE7BE0">
          <w:rPr>
            <w:noProof/>
            <w:webHidden/>
          </w:rPr>
          <w:t>43</w:t>
        </w:r>
        <w:r w:rsidR="00CE7BE0">
          <w:rPr>
            <w:noProof/>
            <w:webHidden/>
          </w:rPr>
          <w:fldChar w:fldCharType="end"/>
        </w:r>
      </w:hyperlink>
    </w:p>
    <w:p w14:paraId="12B7CB4C" w14:textId="1464F8EA" w:rsidR="00CE7BE0" w:rsidRDefault="006D3518">
      <w:pPr>
        <w:pStyle w:val="TOC3"/>
        <w:tabs>
          <w:tab w:val="right" w:leader="dot" w:pos="9350"/>
        </w:tabs>
        <w:rPr>
          <w:rFonts w:asciiTheme="minorHAnsi" w:hAnsiTheme="minorHAnsi" w:cstheme="minorBidi"/>
          <w:noProof/>
          <w:sz w:val="24"/>
          <w:szCs w:val="24"/>
          <w:lang w:eastAsia="en-GB"/>
        </w:rPr>
      </w:pPr>
      <w:hyperlink w:anchor="_Toc64723886" w:history="1">
        <w:r w:rsidR="00CE7BE0" w:rsidRPr="007B1712">
          <w:rPr>
            <w:rStyle w:val="Hyperlink"/>
            <w:noProof/>
          </w:rPr>
          <w:t>Aim 2 :  To determine the effect of acute heat pain stimulus on the microvascular perfusion of the thalamus and other areas of the pain matrix in P-DPN using dynamic susceptibility contrast</w:t>
        </w:r>
        <w:r w:rsidR="00CE7BE0">
          <w:rPr>
            <w:noProof/>
            <w:webHidden/>
          </w:rPr>
          <w:tab/>
        </w:r>
        <w:r w:rsidR="00CE7BE0">
          <w:rPr>
            <w:noProof/>
            <w:webHidden/>
          </w:rPr>
          <w:fldChar w:fldCharType="begin"/>
        </w:r>
        <w:r w:rsidR="00CE7BE0">
          <w:rPr>
            <w:noProof/>
            <w:webHidden/>
          </w:rPr>
          <w:instrText xml:space="preserve"> PAGEREF _Toc64723886 \h </w:instrText>
        </w:r>
        <w:r w:rsidR="00CE7BE0">
          <w:rPr>
            <w:noProof/>
            <w:webHidden/>
          </w:rPr>
        </w:r>
        <w:r w:rsidR="00CE7BE0">
          <w:rPr>
            <w:noProof/>
            <w:webHidden/>
          </w:rPr>
          <w:fldChar w:fldCharType="separate"/>
        </w:r>
        <w:r w:rsidR="00CE7BE0">
          <w:rPr>
            <w:noProof/>
            <w:webHidden/>
          </w:rPr>
          <w:t>44</w:t>
        </w:r>
        <w:r w:rsidR="00CE7BE0">
          <w:rPr>
            <w:noProof/>
            <w:webHidden/>
          </w:rPr>
          <w:fldChar w:fldCharType="end"/>
        </w:r>
      </w:hyperlink>
    </w:p>
    <w:p w14:paraId="2FFECBE5" w14:textId="423F1813" w:rsidR="00CE7BE0" w:rsidRDefault="006D3518">
      <w:pPr>
        <w:pStyle w:val="TOC2"/>
        <w:rPr>
          <w:rFonts w:asciiTheme="minorHAnsi" w:hAnsiTheme="minorHAnsi" w:cstheme="minorBidi"/>
          <w:iCs w:val="0"/>
          <w:noProof/>
          <w:sz w:val="24"/>
          <w:szCs w:val="24"/>
          <w:lang w:eastAsia="en-GB"/>
        </w:rPr>
      </w:pPr>
      <w:hyperlink w:anchor="_Toc64723887" w:history="1">
        <w:r w:rsidR="00CE7BE0" w:rsidRPr="007B1712">
          <w:rPr>
            <w:rStyle w:val="Hyperlink"/>
            <w:noProof/>
          </w:rPr>
          <w:t>Secondary Aims:</w:t>
        </w:r>
        <w:r w:rsidR="00CE7BE0">
          <w:rPr>
            <w:noProof/>
            <w:webHidden/>
          </w:rPr>
          <w:tab/>
        </w:r>
        <w:r w:rsidR="00CE7BE0">
          <w:rPr>
            <w:noProof/>
            <w:webHidden/>
          </w:rPr>
          <w:fldChar w:fldCharType="begin"/>
        </w:r>
        <w:r w:rsidR="00CE7BE0">
          <w:rPr>
            <w:noProof/>
            <w:webHidden/>
          </w:rPr>
          <w:instrText xml:space="preserve"> PAGEREF _Toc64723887 \h </w:instrText>
        </w:r>
        <w:r w:rsidR="00CE7BE0">
          <w:rPr>
            <w:noProof/>
            <w:webHidden/>
          </w:rPr>
        </w:r>
        <w:r w:rsidR="00CE7BE0">
          <w:rPr>
            <w:noProof/>
            <w:webHidden/>
          </w:rPr>
          <w:fldChar w:fldCharType="separate"/>
        </w:r>
        <w:r w:rsidR="00CE7BE0">
          <w:rPr>
            <w:noProof/>
            <w:webHidden/>
          </w:rPr>
          <w:t>44</w:t>
        </w:r>
        <w:r w:rsidR="00CE7BE0">
          <w:rPr>
            <w:noProof/>
            <w:webHidden/>
          </w:rPr>
          <w:fldChar w:fldCharType="end"/>
        </w:r>
      </w:hyperlink>
    </w:p>
    <w:p w14:paraId="5CE0ED40" w14:textId="33ADF605" w:rsidR="00CE7BE0" w:rsidRDefault="006D3518">
      <w:pPr>
        <w:pStyle w:val="TOC3"/>
        <w:tabs>
          <w:tab w:val="right" w:leader="dot" w:pos="9350"/>
        </w:tabs>
        <w:rPr>
          <w:rFonts w:asciiTheme="minorHAnsi" w:hAnsiTheme="minorHAnsi" w:cstheme="minorBidi"/>
          <w:noProof/>
          <w:sz w:val="24"/>
          <w:szCs w:val="24"/>
          <w:lang w:eastAsia="en-GB"/>
        </w:rPr>
      </w:pPr>
      <w:hyperlink w:anchor="_Toc64723888" w:history="1">
        <w:r w:rsidR="00CE7BE0" w:rsidRPr="007B1712">
          <w:rPr>
            <w:rStyle w:val="Hyperlink"/>
            <w:noProof/>
          </w:rPr>
          <w:t>Aim 3:  To characterise the demographic and baseline neurological and psychological characteristics of participants within the four groups</w:t>
        </w:r>
        <w:r w:rsidR="00CE7BE0">
          <w:rPr>
            <w:noProof/>
            <w:webHidden/>
          </w:rPr>
          <w:tab/>
        </w:r>
        <w:r w:rsidR="00CE7BE0">
          <w:rPr>
            <w:noProof/>
            <w:webHidden/>
          </w:rPr>
          <w:fldChar w:fldCharType="begin"/>
        </w:r>
        <w:r w:rsidR="00CE7BE0">
          <w:rPr>
            <w:noProof/>
            <w:webHidden/>
          </w:rPr>
          <w:instrText xml:space="preserve"> PAGEREF _Toc64723888 \h </w:instrText>
        </w:r>
        <w:r w:rsidR="00CE7BE0">
          <w:rPr>
            <w:noProof/>
            <w:webHidden/>
          </w:rPr>
        </w:r>
        <w:r w:rsidR="00CE7BE0">
          <w:rPr>
            <w:noProof/>
            <w:webHidden/>
          </w:rPr>
          <w:fldChar w:fldCharType="separate"/>
        </w:r>
        <w:r w:rsidR="00CE7BE0">
          <w:rPr>
            <w:noProof/>
            <w:webHidden/>
          </w:rPr>
          <w:t>44</w:t>
        </w:r>
        <w:r w:rsidR="00CE7BE0">
          <w:rPr>
            <w:noProof/>
            <w:webHidden/>
          </w:rPr>
          <w:fldChar w:fldCharType="end"/>
        </w:r>
      </w:hyperlink>
    </w:p>
    <w:p w14:paraId="3BFAA105" w14:textId="31F53304" w:rsidR="00CE7BE0" w:rsidRDefault="006D3518">
      <w:pPr>
        <w:pStyle w:val="TOC3"/>
        <w:tabs>
          <w:tab w:val="right" w:leader="dot" w:pos="9350"/>
        </w:tabs>
        <w:rPr>
          <w:rFonts w:asciiTheme="minorHAnsi" w:hAnsiTheme="minorHAnsi" w:cstheme="minorBidi"/>
          <w:noProof/>
          <w:sz w:val="24"/>
          <w:szCs w:val="24"/>
          <w:lang w:eastAsia="en-GB"/>
        </w:rPr>
      </w:pPr>
      <w:hyperlink w:anchor="_Toc64723889" w:history="1">
        <w:r w:rsidR="00CE7BE0" w:rsidRPr="007B1712">
          <w:rPr>
            <w:rStyle w:val="Hyperlink"/>
            <w:noProof/>
          </w:rPr>
          <w:t>Aim 4: To determine the inter-rater reliability of Dynamic Susceptibility Contrast using an “off the shelf” post processing package</w:t>
        </w:r>
        <w:r w:rsidR="00CE7BE0">
          <w:rPr>
            <w:noProof/>
            <w:webHidden/>
          </w:rPr>
          <w:tab/>
        </w:r>
        <w:r w:rsidR="00CE7BE0">
          <w:rPr>
            <w:noProof/>
            <w:webHidden/>
          </w:rPr>
          <w:fldChar w:fldCharType="begin"/>
        </w:r>
        <w:r w:rsidR="00CE7BE0">
          <w:rPr>
            <w:noProof/>
            <w:webHidden/>
          </w:rPr>
          <w:instrText xml:space="preserve"> PAGEREF _Toc64723889 \h </w:instrText>
        </w:r>
        <w:r w:rsidR="00CE7BE0">
          <w:rPr>
            <w:noProof/>
            <w:webHidden/>
          </w:rPr>
        </w:r>
        <w:r w:rsidR="00CE7BE0">
          <w:rPr>
            <w:noProof/>
            <w:webHidden/>
          </w:rPr>
          <w:fldChar w:fldCharType="separate"/>
        </w:r>
        <w:r w:rsidR="00CE7BE0">
          <w:rPr>
            <w:noProof/>
            <w:webHidden/>
          </w:rPr>
          <w:t>44</w:t>
        </w:r>
        <w:r w:rsidR="00CE7BE0">
          <w:rPr>
            <w:noProof/>
            <w:webHidden/>
          </w:rPr>
          <w:fldChar w:fldCharType="end"/>
        </w:r>
      </w:hyperlink>
    </w:p>
    <w:p w14:paraId="18FFFE75" w14:textId="3335401D" w:rsidR="00CE7BE0" w:rsidRDefault="006D3518">
      <w:pPr>
        <w:pStyle w:val="TOC3"/>
        <w:tabs>
          <w:tab w:val="right" w:leader="dot" w:pos="9350"/>
        </w:tabs>
        <w:rPr>
          <w:rFonts w:asciiTheme="minorHAnsi" w:hAnsiTheme="minorHAnsi" w:cstheme="minorBidi"/>
          <w:noProof/>
          <w:sz w:val="24"/>
          <w:szCs w:val="24"/>
          <w:lang w:eastAsia="en-GB"/>
        </w:rPr>
      </w:pPr>
      <w:hyperlink w:anchor="_Toc64723890" w:history="1">
        <w:r w:rsidR="00CE7BE0" w:rsidRPr="007B1712">
          <w:rPr>
            <w:rStyle w:val="Hyperlink"/>
            <w:noProof/>
          </w:rPr>
          <w:t>Aim 5: To correlate measures of MR-Spectroscopy of the brain with painful neuropathy and any perfusion abnormalities measured by DSC-MRI</w:t>
        </w:r>
        <w:r w:rsidR="00CE7BE0">
          <w:rPr>
            <w:noProof/>
            <w:webHidden/>
          </w:rPr>
          <w:tab/>
        </w:r>
        <w:r w:rsidR="00CE7BE0">
          <w:rPr>
            <w:noProof/>
            <w:webHidden/>
          </w:rPr>
          <w:fldChar w:fldCharType="begin"/>
        </w:r>
        <w:r w:rsidR="00CE7BE0">
          <w:rPr>
            <w:noProof/>
            <w:webHidden/>
          </w:rPr>
          <w:instrText xml:space="preserve"> PAGEREF _Toc64723890 \h </w:instrText>
        </w:r>
        <w:r w:rsidR="00CE7BE0">
          <w:rPr>
            <w:noProof/>
            <w:webHidden/>
          </w:rPr>
        </w:r>
        <w:r w:rsidR="00CE7BE0">
          <w:rPr>
            <w:noProof/>
            <w:webHidden/>
          </w:rPr>
          <w:fldChar w:fldCharType="separate"/>
        </w:r>
        <w:r w:rsidR="00CE7BE0">
          <w:rPr>
            <w:noProof/>
            <w:webHidden/>
          </w:rPr>
          <w:t>45</w:t>
        </w:r>
        <w:r w:rsidR="00CE7BE0">
          <w:rPr>
            <w:noProof/>
            <w:webHidden/>
          </w:rPr>
          <w:fldChar w:fldCharType="end"/>
        </w:r>
      </w:hyperlink>
    </w:p>
    <w:p w14:paraId="2FD1867A" w14:textId="1BAF3F1E" w:rsidR="00CE7BE0" w:rsidRDefault="006D3518">
      <w:pPr>
        <w:pStyle w:val="TOC3"/>
        <w:tabs>
          <w:tab w:val="right" w:leader="dot" w:pos="9350"/>
        </w:tabs>
        <w:rPr>
          <w:rFonts w:asciiTheme="minorHAnsi" w:hAnsiTheme="minorHAnsi" w:cstheme="minorBidi"/>
          <w:noProof/>
          <w:sz w:val="24"/>
          <w:szCs w:val="24"/>
          <w:lang w:eastAsia="en-GB"/>
        </w:rPr>
      </w:pPr>
      <w:hyperlink w:anchor="_Toc64723891" w:history="1">
        <w:r w:rsidR="00CE7BE0" w:rsidRPr="007B1712">
          <w:rPr>
            <w:rStyle w:val="Hyperlink"/>
            <w:noProof/>
          </w:rPr>
          <w:t>Aim 6: To correlate methylglyoxal measurements with painful neuropathy and any measured perfusion abnormalities</w:t>
        </w:r>
        <w:r w:rsidR="00CE7BE0">
          <w:rPr>
            <w:noProof/>
            <w:webHidden/>
          </w:rPr>
          <w:tab/>
        </w:r>
        <w:r w:rsidR="00CE7BE0">
          <w:rPr>
            <w:noProof/>
            <w:webHidden/>
          </w:rPr>
          <w:fldChar w:fldCharType="begin"/>
        </w:r>
        <w:r w:rsidR="00CE7BE0">
          <w:rPr>
            <w:noProof/>
            <w:webHidden/>
          </w:rPr>
          <w:instrText xml:space="preserve"> PAGEREF _Toc64723891 \h </w:instrText>
        </w:r>
        <w:r w:rsidR="00CE7BE0">
          <w:rPr>
            <w:noProof/>
            <w:webHidden/>
          </w:rPr>
        </w:r>
        <w:r w:rsidR="00CE7BE0">
          <w:rPr>
            <w:noProof/>
            <w:webHidden/>
          </w:rPr>
          <w:fldChar w:fldCharType="separate"/>
        </w:r>
        <w:r w:rsidR="00CE7BE0">
          <w:rPr>
            <w:noProof/>
            <w:webHidden/>
          </w:rPr>
          <w:t>45</w:t>
        </w:r>
        <w:r w:rsidR="00CE7BE0">
          <w:rPr>
            <w:noProof/>
            <w:webHidden/>
          </w:rPr>
          <w:fldChar w:fldCharType="end"/>
        </w:r>
      </w:hyperlink>
    </w:p>
    <w:p w14:paraId="1420C419" w14:textId="1F64E1AF" w:rsidR="00CE7BE0" w:rsidRDefault="006D3518">
      <w:pPr>
        <w:pStyle w:val="TOC1"/>
        <w:tabs>
          <w:tab w:val="right" w:leader="dot" w:pos="9350"/>
        </w:tabs>
        <w:rPr>
          <w:rFonts w:asciiTheme="minorHAnsi" w:hAnsiTheme="minorHAnsi" w:cstheme="minorBidi"/>
          <w:b w:val="0"/>
          <w:bCs w:val="0"/>
          <w:noProof/>
          <w:sz w:val="24"/>
          <w:szCs w:val="24"/>
          <w:lang w:eastAsia="en-GB"/>
        </w:rPr>
      </w:pPr>
      <w:hyperlink w:anchor="_Toc64723892" w:history="1">
        <w:r w:rsidR="00CE7BE0" w:rsidRPr="007B1712">
          <w:rPr>
            <w:rStyle w:val="Hyperlink"/>
            <w:noProof/>
          </w:rPr>
          <w:t>Chapter 2: Psychological, Clinical and Metabolic Characteristics of Painful Diabetic Peripheral Neuropathy</w:t>
        </w:r>
        <w:r w:rsidR="00CE7BE0">
          <w:rPr>
            <w:noProof/>
            <w:webHidden/>
          </w:rPr>
          <w:tab/>
        </w:r>
        <w:r w:rsidR="00CE7BE0">
          <w:rPr>
            <w:noProof/>
            <w:webHidden/>
          </w:rPr>
          <w:fldChar w:fldCharType="begin"/>
        </w:r>
        <w:r w:rsidR="00CE7BE0">
          <w:rPr>
            <w:noProof/>
            <w:webHidden/>
          </w:rPr>
          <w:instrText xml:space="preserve"> PAGEREF _Toc64723892 \h </w:instrText>
        </w:r>
        <w:r w:rsidR="00CE7BE0">
          <w:rPr>
            <w:noProof/>
            <w:webHidden/>
          </w:rPr>
        </w:r>
        <w:r w:rsidR="00CE7BE0">
          <w:rPr>
            <w:noProof/>
            <w:webHidden/>
          </w:rPr>
          <w:fldChar w:fldCharType="separate"/>
        </w:r>
        <w:r w:rsidR="00CE7BE0">
          <w:rPr>
            <w:noProof/>
            <w:webHidden/>
          </w:rPr>
          <w:t>46</w:t>
        </w:r>
        <w:r w:rsidR="00CE7BE0">
          <w:rPr>
            <w:noProof/>
            <w:webHidden/>
          </w:rPr>
          <w:fldChar w:fldCharType="end"/>
        </w:r>
      </w:hyperlink>
    </w:p>
    <w:p w14:paraId="480FBB63" w14:textId="39FA6FE6" w:rsidR="00CE7BE0" w:rsidRDefault="006D3518">
      <w:pPr>
        <w:pStyle w:val="TOC2"/>
        <w:rPr>
          <w:rFonts w:asciiTheme="minorHAnsi" w:hAnsiTheme="minorHAnsi" w:cstheme="minorBidi"/>
          <w:iCs w:val="0"/>
          <w:noProof/>
          <w:sz w:val="24"/>
          <w:szCs w:val="24"/>
          <w:lang w:eastAsia="en-GB"/>
        </w:rPr>
      </w:pPr>
      <w:hyperlink w:anchor="_Toc64723893" w:history="1">
        <w:r w:rsidR="00CE7BE0" w:rsidRPr="007B1712">
          <w:rPr>
            <w:rStyle w:val="Hyperlink"/>
            <w:noProof/>
          </w:rPr>
          <w:t>Abstract:</w:t>
        </w:r>
        <w:r w:rsidR="00CE7BE0">
          <w:rPr>
            <w:noProof/>
            <w:webHidden/>
          </w:rPr>
          <w:tab/>
        </w:r>
        <w:r w:rsidR="00CE7BE0">
          <w:rPr>
            <w:noProof/>
            <w:webHidden/>
          </w:rPr>
          <w:fldChar w:fldCharType="begin"/>
        </w:r>
        <w:r w:rsidR="00CE7BE0">
          <w:rPr>
            <w:noProof/>
            <w:webHidden/>
          </w:rPr>
          <w:instrText xml:space="preserve"> PAGEREF _Toc64723893 \h </w:instrText>
        </w:r>
        <w:r w:rsidR="00CE7BE0">
          <w:rPr>
            <w:noProof/>
            <w:webHidden/>
          </w:rPr>
        </w:r>
        <w:r w:rsidR="00CE7BE0">
          <w:rPr>
            <w:noProof/>
            <w:webHidden/>
          </w:rPr>
          <w:fldChar w:fldCharType="separate"/>
        </w:r>
        <w:r w:rsidR="00CE7BE0">
          <w:rPr>
            <w:noProof/>
            <w:webHidden/>
          </w:rPr>
          <w:t>46</w:t>
        </w:r>
        <w:r w:rsidR="00CE7BE0">
          <w:rPr>
            <w:noProof/>
            <w:webHidden/>
          </w:rPr>
          <w:fldChar w:fldCharType="end"/>
        </w:r>
      </w:hyperlink>
    </w:p>
    <w:p w14:paraId="1E94A9AC" w14:textId="7BD5C16E" w:rsidR="00CE7BE0" w:rsidRDefault="006D3518">
      <w:pPr>
        <w:pStyle w:val="TOC2"/>
        <w:rPr>
          <w:rFonts w:asciiTheme="minorHAnsi" w:hAnsiTheme="minorHAnsi" w:cstheme="minorBidi"/>
          <w:iCs w:val="0"/>
          <w:noProof/>
          <w:sz w:val="24"/>
          <w:szCs w:val="24"/>
          <w:lang w:eastAsia="en-GB"/>
        </w:rPr>
      </w:pPr>
      <w:hyperlink w:anchor="_Toc64723894" w:history="1">
        <w:r w:rsidR="00CE7BE0" w:rsidRPr="007B1712">
          <w:rPr>
            <w:rStyle w:val="Hyperlink"/>
            <w:noProof/>
          </w:rPr>
          <w:t>Introduction:</w:t>
        </w:r>
        <w:r w:rsidR="00CE7BE0">
          <w:rPr>
            <w:noProof/>
            <w:webHidden/>
          </w:rPr>
          <w:tab/>
        </w:r>
        <w:r w:rsidR="00CE7BE0">
          <w:rPr>
            <w:noProof/>
            <w:webHidden/>
          </w:rPr>
          <w:fldChar w:fldCharType="begin"/>
        </w:r>
        <w:r w:rsidR="00CE7BE0">
          <w:rPr>
            <w:noProof/>
            <w:webHidden/>
          </w:rPr>
          <w:instrText xml:space="preserve"> PAGEREF _Toc64723894 \h </w:instrText>
        </w:r>
        <w:r w:rsidR="00CE7BE0">
          <w:rPr>
            <w:noProof/>
            <w:webHidden/>
          </w:rPr>
        </w:r>
        <w:r w:rsidR="00CE7BE0">
          <w:rPr>
            <w:noProof/>
            <w:webHidden/>
          </w:rPr>
          <w:fldChar w:fldCharType="separate"/>
        </w:r>
        <w:r w:rsidR="00CE7BE0">
          <w:rPr>
            <w:noProof/>
            <w:webHidden/>
          </w:rPr>
          <w:t>47</w:t>
        </w:r>
        <w:r w:rsidR="00CE7BE0">
          <w:rPr>
            <w:noProof/>
            <w:webHidden/>
          </w:rPr>
          <w:fldChar w:fldCharType="end"/>
        </w:r>
      </w:hyperlink>
    </w:p>
    <w:p w14:paraId="483DE3C1" w14:textId="5CAFAB8C" w:rsidR="00CE7BE0" w:rsidRDefault="006D3518">
      <w:pPr>
        <w:pStyle w:val="TOC2"/>
        <w:rPr>
          <w:rFonts w:asciiTheme="minorHAnsi" w:hAnsiTheme="minorHAnsi" w:cstheme="minorBidi"/>
          <w:iCs w:val="0"/>
          <w:noProof/>
          <w:sz w:val="24"/>
          <w:szCs w:val="24"/>
          <w:lang w:eastAsia="en-GB"/>
        </w:rPr>
      </w:pPr>
      <w:hyperlink w:anchor="_Toc64723895" w:history="1">
        <w:r w:rsidR="00CE7BE0" w:rsidRPr="007B1712">
          <w:rPr>
            <w:rStyle w:val="Hyperlink"/>
            <w:noProof/>
          </w:rPr>
          <w:t>Methods</w:t>
        </w:r>
        <w:r w:rsidR="00CE7BE0">
          <w:rPr>
            <w:noProof/>
            <w:webHidden/>
          </w:rPr>
          <w:tab/>
        </w:r>
        <w:r w:rsidR="00CE7BE0">
          <w:rPr>
            <w:noProof/>
            <w:webHidden/>
          </w:rPr>
          <w:fldChar w:fldCharType="begin"/>
        </w:r>
        <w:r w:rsidR="00CE7BE0">
          <w:rPr>
            <w:noProof/>
            <w:webHidden/>
          </w:rPr>
          <w:instrText xml:space="preserve"> PAGEREF _Toc64723895 \h </w:instrText>
        </w:r>
        <w:r w:rsidR="00CE7BE0">
          <w:rPr>
            <w:noProof/>
            <w:webHidden/>
          </w:rPr>
        </w:r>
        <w:r w:rsidR="00CE7BE0">
          <w:rPr>
            <w:noProof/>
            <w:webHidden/>
          </w:rPr>
          <w:fldChar w:fldCharType="separate"/>
        </w:r>
        <w:r w:rsidR="00CE7BE0">
          <w:rPr>
            <w:noProof/>
            <w:webHidden/>
          </w:rPr>
          <w:t>49</w:t>
        </w:r>
        <w:r w:rsidR="00CE7BE0">
          <w:rPr>
            <w:noProof/>
            <w:webHidden/>
          </w:rPr>
          <w:fldChar w:fldCharType="end"/>
        </w:r>
      </w:hyperlink>
    </w:p>
    <w:p w14:paraId="09574CC4" w14:textId="02D8DB68" w:rsidR="00CE7BE0" w:rsidRDefault="006D3518">
      <w:pPr>
        <w:pStyle w:val="TOC3"/>
        <w:tabs>
          <w:tab w:val="right" w:leader="dot" w:pos="9350"/>
        </w:tabs>
        <w:rPr>
          <w:rFonts w:asciiTheme="minorHAnsi" w:hAnsiTheme="minorHAnsi" w:cstheme="minorBidi"/>
          <w:noProof/>
          <w:sz w:val="24"/>
          <w:szCs w:val="24"/>
          <w:lang w:eastAsia="en-GB"/>
        </w:rPr>
      </w:pPr>
      <w:hyperlink w:anchor="_Toc64723896" w:history="1">
        <w:r w:rsidR="00CE7BE0" w:rsidRPr="007B1712">
          <w:rPr>
            <w:rStyle w:val="Hyperlink"/>
            <w:noProof/>
          </w:rPr>
          <w:t>Design</w:t>
        </w:r>
        <w:r w:rsidR="00CE7BE0">
          <w:rPr>
            <w:noProof/>
            <w:webHidden/>
          </w:rPr>
          <w:tab/>
        </w:r>
        <w:r w:rsidR="00CE7BE0">
          <w:rPr>
            <w:noProof/>
            <w:webHidden/>
          </w:rPr>
          <w:fldChar w:fldCharType="begin"/>
        </w:r>
        <w:r w:rsidR="00CE7BE0">
          <w:rPr>
            <w:noProof/>
            <w:webHidden/>
          </w:rPr>
          <w:instrText xml:space="preserve"> PAGEREF _Toc64723896 \h </w:instrText>
        </w:r>
        <w:r w:rsidR="00CE7BE0">
          <w:rPr>
            <w:noProof/>
            <w:webHidden/>
          </w:rPr>
        </w:r>
        <w:r w:rsidR="00CE7BE0">
          <w:rPr>
            <w:noProof/>
            <w:webHidden/>
          </w:rPr>
          <w:fldChar w:fldCharType="separate"/>
        </w:r>
        <w:r w:rsidR="00CE7BE0">
          <w:rPr>
            <w:noProof/>
            <w:webHidden/>
          </w:rPr>
          <w:t>49</w:t>
        </w:r>
        <w:r w:rsidR="00CE7BE0">
          <w:rPr>
            <w:noProof/>
            <w:webHidden/>
          </w:rPr>
          <w:fldChar w:fldCharType="end"/>
        </w:r>
      </w:hyperlink>
    </w:p>
    <w:p w14:paraId="7528B306" w14:textId="287F19BE" w:rsidR="00CE7BE0" w:rsidRDefault="006D3518">
      <w:pPr>
        <w:pStyle w:val="TOC3"/>
        <w:tabs>
          <w:tab w:val="right" w:leader="dot" w:pos="9350"/>
        </w:tabs>
        <w:rPr>
          <w:rFonts w:asciiTheme="minorHAnsi" w:hAnsiTheme="minorHAnsi" w:cstheme="minorBidi"/>
          <w:noProof/>
          <w:sz w:val="24"/>
          <w:szCs w:val="24"/>
          <w:lang w:eastAsia="en-GB"/>
        </w:rPr>
      </w:pPr>
      <w:hyperlink w:anchor="_Toc64723897" w:history="1">
        <w:r w:rsidR="00CE7BE0" w:rsidRPr="007B1712">
          <w:rPr>
            <w:rStyle w:val="Hyperlink"/>
            <w:noProof/>
          </w:rPr>
          <w:t>Ethical Approval</w:t>
        </w:r>
        <w:r w:rsidR="00CE7BE0">
          <w:rPr>
            <w:noProof/>
            <w:webHidden/>
          </w:rPr>
          <w:tab/>
        </w:r>
        <w:r w:rsidR="00CE7BE0">
          <w:rPr>
            <w:noProof/>
            <w:webHidden/>
          </w:rPr>
          <w:fldChar w:fldCharType="begin"/>
        </w:r>
        <w:r w:rsidR="00CE7BE0">
          <w:rPr>
            <w:noProof/>
            <w:webHidden/>
          </w:rPr>
          <w:instrText xml:space="preserve"> PAGEREF _Toc64723897 \h </w:instrText>
        </w:r>
        <w:r w:rsidR="00CE7BE0">
          <w:rPr>
            <w:noProof/>
            <w:webHidden/>
          </w:rPr>
        </w:r>
        <w:r w:rsidR="00CE7BE0">
          <w:rPr>
            <w:noProof/>
            <w:webHidden/>
          </w:rPr>
          <w:fldChar w:fldCharType="separate"/>
        </w:r>
        <w:r w:rsidR="00CE7BE0">
          <w:rPr>
            <w:noProof/>
            <w:webHidden/>
          </w:rPr>
          <w:t>51</w:t>
        </w:r>
        <w:r w:rsidR="00CE7BE0">
          <w:rPr>
            <w:noProof/>
            <w:webHidden/>
          </w:rPr>
          <w:fldChar w:fldCharType="end"/>
        </w:r>
      </w:hyperlink>
    </w:p>
    <w:p w14:paraId="3568D362" w14:textId="2CC9E837" w:rsidR="00CE7BE0" w:rsidRDefault="006D3518">
      <w:pPr>
        <w:pStyle w:val="TOC3"/>
        <w:tabs>
          <w:tab w:val="right" w:leader="dot" w:pos="9350"/>
        </w:tabs>
        <w:rPr>
          <w:rFonts w:asciiTheme="minorHAnsi" w:hAnsiTheme="minorHAnsi" w:cstheme="minorBidi"/>
          <w:noProof/>
          <w:sz w:val="24"/>
          <w:szCs w:val="24"/>
          <w:lang w:eastAsia="en-GB"/>
        </w:rPr>
      </w:pPr>
      <w:hyperlink w:anchor="_Toc64723898" w:history="1">
        <w:r w:rsidR="00CE7BE0" w:rsidRPr="007B1712">
          <w:rPr>
            <w:rStyle w:val="Hyperlink"/>
            <w:noProof/>
          </w:rPr>
          <w:t>Subjects</w:t>
        </w:r>
        <w:r w:rsidR="00CE7BE0">
          <w:rPr>
            <w:noProof/>
            <w:webHidden/>
          </w:rPr>
          <w:tab/>
        </w:r>
        <w:r w:rsidR="00CE7BE0">
          <w:rPr>
            <w:noProof/>
            <w:webHidden/>
          </w:rPr>
          <w:fldChar w:fldCharType="begin"/>
        </w:r>
        <w:r w:rsidR="00CE7BE0">
          <w:rPr>
            <w:noProof/>
            <w:webHidden/>
          </w:rPr>
          <w:instrText xml:space="preserve"> PAGEREF _Toc64723898 \h </w:instrText>
        </w:r>
        <w:r w:rsidR="00CE7BE0">
          <w:rPr>
            <w:noProof/>
            <w:webHidden/>
          </w:rPr>
        </w:r>
        <w:r w:rsidR="00CE7BE0">
          <w:rPr>
            <w:noProof/>
            <w:webHidden/>
          </w:rPr>
          <w:fldChar w:fldCharType="separate"/>
        </w:r>
        <w:r w:rsidR="00CE7BE0">
          <w:rPr>
            <w:noProof/>
            <w:webHidden/>
          </w:rPr>
          <w:t>51</w:t>
        </w:r>
        <w:r w:rsidR="00CE7BE0">
          <w:rPr>
            <w:noProof/>
            <w:webHidden/>
          </w:rPr>
          <w:fldChar w:fldCharType="end"/>
        </w:r>
      </w:hyperlink>
    </w:p>
    <w:p w14:paraId="11822727" w14:textId="526E3703" w:rsidR="00CE7BE0" w:rsidRDefault="006D3518">
      <w:pPr>
        <w:pStyle w:val="TOC3"/>
        <w:tabs>
          <w:tab w:val="right" w:leader="dot" w:pos="9350"/>
        </w:tabs>
        <w:rPr>
          <w:rFonts w:asciiTheme="minorHAnsi" w:hAnsiTheme="minorHAnsi" w:cstheme="minorBidi"/>
          <w:noProof/>
          <w:sz w:val="24"/>
          <w:szCs w:val="24"/>
          <w:lang w:eastAsia="en-GB"/>
        </w:rPr>
      </w:pPr>
      <w:hyperlink w:anchor="_Toc64723899" w:history="1">
        <w:r w:rsidR="00CE7BE0" w:rsidRPr="007B1712">
          <w:rPr>
            <w:rStyle w:val="Hyperlink"/>
            <w:noProof/>
          </w:rPr>
          <w:t>Physical Measurements</w:t>
        </w:r>
        <w:r w:rsidR="00CE7BE0">
          <w:rPr>
            <w:noProof/>
            <w:webHidden/>
          </w:rPr>
          <w:tab/>
        </w:r>
        <w:r w:rsidR="00CE7BE0">
          <w:rPr>
            <w:noProof/>
            <w:webHidden/>
          </w:rPr>
          <w:fldChar w:fldCharType="begin"/>
        </w:r>
        <w:r w:rsidR="00CE7BE0">
          <w:rPr>
            <w:noProof/>
            <w:webHidden/>
          </w:rPr>
          <w:instrText xml:space="preserve"> PAGEREF _Toc64723899 \h </w:instrText>
        </w:r>
        <w:r w:rsidR="00CE7BE0">
          <w:rPr>
            <w:noProof/>
            <w:webHidden/>
          </w:rPr>
        </w:r>
        <w:r w:rsidR="00CE7BE0">
          <w:rPr>
            <w:noProof/>
            <w:webHidden/>
          </w:rPr>
          <w:fldChar w:fldCharType="separate"/>
        </w:r>
        <w:r w:rsidR="00CE7BE0">
          <w:rPr>
            <w:noProof/>
            <w:webHidden/>
          </w:rPr>
          <w:t>52</w:t>
        </w:r>
        <w:r w:rsidR="00CE7BE0">
          <w:rPr>
            <w:noProof/>
            <w:webHidden/>
          </w:rPr>
          <w:fldChar w:fldCharType="end"/>
        </w:r>
      </w:hyperlink>
    </w:p>
    <w:p w14:paraId="4924C0C2" w14:textId="695BB1E5" w:rsidR="00CE7BE0" w:rsidRDefault="006D3518">
      <w:pPr>
        <w:pStyle w:val="TOC3"/>
        <w:tabs>
          <w:tab w:val="right" w:leader="dot" w:pos="9350"/>
        </w:tabs>
        <w:rPr>
          <w:rFonts w:asciiTheme="minorHAnsi" w:hAnsiTheme="minorHAnsi" w:cstheme="minorBidi"/>
          <w:noProof/>
          <w:sz w:val="24"/>
          <w:szCs w:val="24"/>
          <w:lang w:eastAsia="en-GB"/>
        </w:rPr>
      </w:pPr>
      <w:hyperlink w:anchor="_Toc64723900" w:history="1">
        <w:r w:rsidR="00CE7BE0" w:rsidRPr="007B1712">
          <w:rPr>
            <w:rStyle w:val="Hyperlink"/>
            <w:noProof/>
          </w:rPr>
          <w:t>Diagnosis of P-DPN</w:t>
        </w:r>
        <w:r w:rsidR="00CE7BE0">
          <w:rPr>
            <w:noProof/>
            <w:webHidden/>
          </w:rPr>
          <w:tab/>
        </w:r>
        <w:r w:rsidR="00CE7BE0">
          <w:rPr>
            <w:noProof/>
            <w:webHidden/>
          </w:rPr>
          <w:fldChar w:fldCharType="begin"/>
        </w:r>
        <w:r w:rsidR="00CE7BE0">
          <w:rPr>
            <w:noProof/>
            <w:webHidden/>
          </w:rPr>
          <w:instrText xml:space="preserve"> PAGEREF _Toc64723900 \h </w:instrText>
        </w:r>
        <w:r w:rsidR="00CE7BE0">
          <w:rPr>
            <w:noProof/>
            <w:webHidden/>
          </w:rPr>
        </w:r>
        <w:r w:rsidR="00CE7BE0">
          <w:rPr>
            <w:noProof/>
            <w:webHidden/>
          </w:rPr>
          <w:fldChar w:fldCharType="separate"/>
        </w:r>
        <w:r w:rsidR="00CE7BE0">
          <w:rPr>
            <w:noProof/>
            <w:webHidden/>
          </w:rPr>
          <w:t>53</w:t>
        </w:r>
        <w:r w:rsidR="00CE7BE0">
          <w:rPr>
            <w:noProof/>
            <w:webHidden/>
          </w:rPr>
          <w:fldChar w:fldCharType="end"/>
        </w:r>
      </w:hyperlink>
    </w:p>
    <w:p w14:paraId="2203B828" w14:textId="2DCE4E10" w:rsidR="00CE7BE0" w:rsidRDefault="006D3518">
      <w:pPr>
        <w:pStyle w:val="TOC3"/>
        <w:tabs>
          <w:tab w:val="right" w:leader="dot" w:pos="9350"/>
        </w:tabs>
        <w:rPr>
          <w:rFonts w:asciiTheme="minorHAnsi" w:hAnsiTheme="minorHAnsi" w:cstheme="minorBidi"/>
          <w:noProof/>
          <w:sz w:val="24"/>
          <w:szCs w:val="24"/>
          <w:lang w:eastAsia="en-GB"/>
        </w:rPr>
      </w:pPr>
      <w:hyperlink w:anchor="_Toc64723901" w:history="1">
        <w:r w:rsidR="00CE7BE0" w:rsidRPr="007B1712">
          <w:rPr>
            <w:rStyle w:val="Hyperlink"/>
            <w:noProof/>
          </w:rPr>
          <w:t>Peripheral Neurological Examination</w:t>
        </w:r>
        <w:r w:rsidR="00CE7BE0">
          <w:rPr>
            <w:noProof/>
            <w:webHidden/>
          </w:rPr>
          <w:tab/>
        </w:r>
        <w:r w:rsidR="00CE7BE0">
          <w:rPr>
            <w:noProof/>
            <w:webHidden/>
          </w:rPr>
          <w:fldChar w:fldCharType="begin"/>
        </w:r>
        <w:r w:rsidR="00CE7BE0">
          <w:rPr>
            <w:noProof/>
            <w:webHidden/>
          </w:rPr>
          <w:instrText xml:space="preserve"> PAGEREF _Toc64723901 \h </w:instrText>
        </w:r>
        <w:r w:rsidR="00CE7BE0">
          <w:rPr>
            <w:noProof/>
            <w:webHidden/>
          </w:rPr>
        </w:r>
        <w:r w:rsidR="00CE7BE0">
          <w:rPr>
            <w:noProof/>
            <w:webHidden/>
          </w:rPr>
          <w:fldChar w:fldCharType="separate"/>
        </w:r>
        <w:r w:rsidR="00CE7BE0">
          <w:rPr>
            <w:noProof/>
            <w:webHidden/>
          </w:rPr>
          <w:t>53</w:t>
        </w:r>
        <w:r w:rsidR="00CE7BE0">
          <w:rPr>
            <w:noProof/>
            <w:webHidden/>
          </w:rPr>
          <w:fldChar w:fldCharType="end"/>
        </w:r>
      </w:hyperlink>
    </w:p>
    <w:p w14:paraId="03BC9CAB" w14:textId="240331EA" w:rsidR="00CE7BE0" w:rsidRDefault="006D3518">
      <w:pPr>
        <w:pStyle w:val="TOC3"/>
        <w:tabs>
          <w:tab w:val="right" w:leader="dot" w:pos="9350"/>
        </w:tabs>
        <w:rPr>
          <w:rFonts w:asciiTheme="minorHAnsi" w:hAnsiTheme="minorHAnsi" w:cstheme="minorBidi"/>
          <w:noProof/>
          <w:sz w:val="24"/>
          <w:szCs w:val="24"/>
          <w:lang w:eastAsia="en-GB"/>
        </w:rPr>
      </w:pPr>
      <w:hyperlink w:anchor="_Toc64723902" w:history="1">
        <w:r w:rsidR="00CE7BE0" w:rsidRPr="007B1712">
          <w:rPr>
            <w:rStyle w:val="Hyperlink"/>
            <w:noProof/>
          </w:rPr>
          <w:t>Quantitative Sensory Testing</w:t>
        </w:r>
        <w:r w:rsidR="00CE7BE0">
          <w:rPr>
            <w:noProof/>
            <w:webHidden/>
          </w:rPr>
          <w:tab/>
        </w:r>
        <w:r w:rsidR="00CE7BE0">
          <w:rPr>
            <w:noProof/>
            <w:webHidden/>
          </w:rPr>
          <w:fldChar w:fldCharType="begin"/>
        </w:r>
        <w:r w:rsidR="00CE7BE0">
          <w:rPr>
            <w:noProof/>
            <w:webHidden/>
          </w:rPr>
          <w:instrText xml:space="preserve"> PAGEREF _Toc64723902 \h </w:instrText>
        </w:r>
        <w:r w:rsidR="00CE7BE0">
          <w:rPr>
            <w:noProof/>
            <w:webHidden/>
          </w:rPr>
        </w:r>
        <w:r w:rsidR="00CE7BE0">
          <w:rPr>
            <w:noProof/>
            <w:webHidden/>
          </w:rPr>
          <w:fldChar w:fldCharType="separate"/>
        </w:r>
        <w:r w:rsidR="00CE7BE0">
          <w:rPr>
            <w:noProof/>
            <w:webHidden/>
          </w:rPr>
          <w:t>54</w:t>
        </w:r>
        <w:r w:rsidR="00CE7BE0">
          <w:rPr>
            <w:noProof/>
            <w:webHidden/>
          </w:rPr>
          <w:fldChar w:fldCharType="end"/>
        </w:r>
      </w:hyperlink>
    </w:p>
    <w:p w14:paraId="75D30031" w14:textId="548F5AE4" w:rsidR="00CE7BE0" w:rsidRDefault="006D3518">
      <w:pPr>
        <w:pStyle w:val="TOC3"/>
        <w:tabs>
          <w:tab w:val="right" w:leader="dot" w:pos="9350"/>
        </w:tabs>
        <w:rPr>
          <w:rFonts w:asciiTheme="minorHAnsi" w:hAnsiTheme="minorHAnsi" w:cstheme="minorBidi"/>
          <w:noProof/>
          <w:sz w:val="24"/>
          <w:szCs w:val="24"/>
          <w:lang w:eastAsia="en-GB"/>
        </w:rPr>
      </w:pPr>
      <w:hyperlink w:anchor="_Toc64723903" w:history="1">
        <w:r w:rsidR="00CE7BE0" w:rsidRPr="007B1712">
          <w:rPr>
            <w:rStyle w:val="Hyperlink"/>
            <w:noProof/>
          </w:rPr>
          <w:t>Nerve conduction studies</w:t>
        </w:r>
        <w:r w:rsidR="00CE7BE0">
          <w:rPr>
            <w:noProof/>
            <w:webHidden/>
          </w:rPr>
          <w:tab/>
        </w:r>
        <w:r w:rsidR="00CE7BE0">
          <w:rPr>
            <w:noProof/>
            <w:webHidden/>
          </w:rPr>
          <w:fldChar w:fldCharType="begin"/>
        </w:r>
        <w:r w:rsidR="00CE7BE0">
          <w:rPr>
            <w:noProof/>
            <w:webHidden/>
          </w:rPr>
          <w:instrText xml:space="preserve"> PAGEREF _Toc64723903 \h </w:instrText>
        </w:r>
        <w:r w:rsidR="00CE7BE0">
          <w:rPr>
            <w:noProof/>
            <w:webHidden/>
          </w:rPr>
        </w:r>
        <w:r w:rsidR="00CE7BE0">
          <w:rPr>
            <w:noProof/>
            <w:webHidden/>
          </w:rPr>
          <w:fldChar w:fldCharType="separate"/>
        </w:r>
        <w:r w:rsidR="00CE7BE0">
          <w:rPr>
            <w:noProof/>
            <w:webHidden/>
          </w:rPr>
          <w:t>54</w:t>
        </w:r>
        <w:r w:rsidR="00CE7BE0">
          <w:rPr>
            <w:noProof/>
            <w:webHidden/>
          </w:rPr>
          <w:fldChar w:fldCharType="end"/>
        </w:r>
      </w:hyperlink>
    </w:p>
    <w:p w14:paraId="3ABB6138" w14:textId="2C8EA6FF" w:rsidR="00CE7BE0" w:rsidRDefault="006D3518">
      <w:pPr>
        <w:pStyle w:val="TOC3"/>
        <w:tabs>
          <w:tab w:val="right" w:leader="dot" w:pos="9350"/>
        </w:tabs>
        <w:rPr>
          <w:rFonts w:asciiTheme="minorHAnsi" w:hAnsiTheme="minorHAnsi" w:cstheme="minorBidi"/>
          <w:noProof/>
          <w:sz w:val="24"/>
          <w:szCs w:val="24"/>
          <w:lang w:eastAsia="en-GB"/>
        </w:rPr>
      </w:pPr>
      <w:hyperlink w:anchor="_Toc64723904" w:history="1">
        <w:r w:rsidR="00CE7BE0" w:rsidRPr="007B1712">
          <w:rPr>
            <w:rStyle w:val="Hyperlink"/>
            <w:noProof/>
          </w:rPr>
          <w:t>Autonomic Function Tests</w:t>
        </w:r>
        <w:r w:rsidR="00CE7BE0">
          <w:rPr>
            <w:noProof/>
            <w:webHidden/>
          </w:rPr>
          <w:tab/>
        </w:r>
        <w:r w:rsidR="00CE7BE0">
          <w:rPr>
            <w:noProof/>
            <w:webHidden/>
          </w:rPr>
          <w:fldChar w:fldCharType="begin"/>
        </w:r>
        <w:r w:rsidR="00CE7BE0">
          <w:rPr>
            <w:noProof/>
            <w:webHidden/>
          </w:rPr>
          <w:instrText xml:space="preserve"> PAGEREF _Toc64723904 \h </w:instrText>
        </w:r>
        <w:r w:rsidR="00CE7BE0">
          <w:rPr>
            <w:noProof/>
            <w:webHidden/>
          </w:rPr>
        </w:r>
        <w:r w:rsidR="00CE7BE0">
          <w:rPr>
            <w:noProof/>
            <w:webHidden/>
          </w:rPr>
          <w:fldChar w:fldCharType="separate"/>
        </w:r>
        <w:r w:rsidR="00CE7BE0">
          <w:rPr>
            <w:noProof/>
            <w:webHidden/>
          </w:rPr>
          <w:t>54</w:t>
        </w:r>
        <w:r w:rsidR="00CE7BE0">
          <w:rPr>
            <w:noProof/>
            <w:webHidden/>
          </w:rPr>
          <w:fldChar w:fldCharType="end"/>
        </w:r>
      </w:hyperlink>
    </w:p>
    <w:p w14:paraId="418D8047" w14:textId="2B8874D1" w:rsidR="00CE7BE0" w:rsidRDefault="006D3518">
      <w:pPr>
        <w:pStyle w:val="TOC3"/>
        <w:tabs>
          <w:tab w:val="right" w:leader="dot" w:pos="9350"/>
        </w:tabs>
        <w:rPr>
          <w:rFonts w:asciiTheme="minorHAnsi" w:hAnsiTheme="minorHAnsi" w:cstheme="minorBidi"/>
          <w:noProof/>
          <w:sz w:val="24"/>
          <w:szCs w:val="24"/>
          <w:lang w:eastAsia="en-GB"/>
        </w:rPr>
      </w:pPr>
      <w:hyperlink w:anchor="_Toc64723905" w:history="1">
        <w:r w:rsidR="00CE7BE0" w:rsidRPr="007B1712">
          <w:rPr>
            <w:rStyle w:val="Hyperlink"/>
            <w:noProof/>
          </w:rPr>
          <w:t>Laboratory examination</w:t>
        </w:r>
        <w:r w:rsidR="00CE7BE0">
          <w:rPr>
            <w:noProof/>
            <w:webHidden/>
          </w:rPr>
          <w:tab/>
        </w:r>
        <w:r w:rsidR="00CE7BE0">
          <w:rPr>
            <w:noProof/>
            <w:webHidden/>
          </w:rPr>
          <w:fldChar w:fldCharType="begin"/>
        </w:r>
        <w:r w:rsidR="00CE7BE0">
          <w:rPr>
            <w:noProof/>
            <w:webHidden/>
          </w:rPr>
          <w:instrText xml:space="preserve"> PAGEREF _Toc64723905 \h </w:instrText>
        </w:r>
        <w:r w:rsidR="00CE7BE0">
          <w:rPr>
            <w:noProof/>
            <w:webHidden/>
          </w:rPr>
        </w:r>
        <w:r w:rsidR="00CE7BE0">
          <w:rPr>
            <w:noProof/>
            <w:webHidden/>
          </w:rPr>
          <w:fldChar w:fldCharType="separate"/>
        </w:r>
        <w:r w:rsidR="00CE7BE0">
          <w:rPr>
            <w:noProof/>
            <w:webHidden/>
          </w:rPr>
          <w:t>54</w:t>
        </w:r>
        <w:r w:rsidR="00CE7BE0">
          <w:rPr>
            <w:noProof/>
            <w:webHidden/>
          </w:rPr>
          <w:fldChar w:fldCharType="end"/>
        </w:r>
      </w:hyperlink>
    </w:p>
    <w:p w14:paraId="6C7F02F3" w14:textId="04BF1865" w:rsidR="00CE7BE0" w:rsidRDefault="006D3518">
      <w:pPr>
        <w:pStyle w:val="TOC3"/>
        <w:tabs>
          <w:tab w:val="right" w:leader="dot" w:pos="9350"/>
        </w:tabs>
        <w:rPr>
          <w:rFonts w:asciiTheme="minorHAnsi" w:hAnsiTheme="minorHAnsi" w:cstheme="minorBidi"/>
          <w:noProof/>
          <w:sz w:val="24"/>
          <w:szCs w:val="24"/>
          <w:lang w:eastAsia="en-GB"/>
        </w:rPr>
      </w:pPr>
      <w:hyperlink w:anchor="_Toc64723906" w:history="1">
        <w:r w:rsidR="00CE7BE0" w:rsidRPr="007B1712">
          <w:rPr>
            <w:rStyle w:val="Hyperlink"/>
            <w:noProof/>
          </w:rPr>
          <w:t>Questionnaires</w:t>
        </w:r>
        <w:r w:rsidR="00CE7BE0">
          <w:rPr>
            <w:noProof/>
            <w:webHidden/>
          </w:rPr>
          <w:tab/>
        </w:r>
        <w:r w:rsidR="00CE7BE0">
          <w:rPr>
            <w:noProof/>
            <w:webHidden/>
          </w:rPr>
          <w:fldChar w:fldCharType="begin"/>
        </w:r>
        <w:r w:rsidR="00CE7BE0">
          <w:rPr>
            <w:noProof/>
            <w:webHidden/>
          </w:rPr>
          <w:instrText xml:space="preserve"> PAGEREF _Toc64723906 \h </w:instrText>
        </w:r>
        <w:r w:rsidR="00CE7BE0">
          <w:rPr>
            <w:noProof/>
            <w:webHidden/>
          </w:rPr>
        </w:r>
        <w:r w:rsidR="00CE7BE0">
          <w:rPr>
            <w:noProof/>
            <w:webHidden/>
          </w:rPr>
          <w:fldChar w:fldCharType="separate"/>
        </w:r>
        <w:r w:rsidR="00CE7BE0">
          <w:rPr>
            <w:noProof/>
            <w:webHidden/>
          </w:rPr>
          <w:t>55</w:t>
        </w:r>
        <w:r w:rsidR="00CE7BE0">
          <w:rPr>
            <w:noProof/>
            <w:webHidden/>
          </w:rPr>
          <w:fldChar w:fldCharType="end"/>
        </w:r>
      </w:hyperlink>
    </w:p>
    <w:p w14:paraId="5FA11857" w14:textId="0C323F78" w:rsidR="00CE7BE0" w:rsidRDefault="006D3518">
      <w:pPr>
        <w:pStyle w:val="TOC3"/>
        <w:tabs>
          <w:tab w:val="right" w:leader="dot" w:pos="9350"/>
        </w:tabs>
        <w:rPr>
          <w:rFonts w:asciiTheme="minorHAnsi" w:hAnsiTheme="minorHAnsi" w:cstheme="minorBidi"/>
          <w:noProof/>
          <w:sz w:val="24"/>
          <w:szCs w:val="24"/>
          <w:lang w:eastAsia="en-GB"/>
        </w:rPr>
      </w:pPr>
      <w:hyperlink w:anchor="_Toc64723907" w:history="1">
        <w:r w:rsidR="00CE7BE0" w:rsidRPr="007B1712">
          <w:rPr>
            <w:rStyle w:val="Hyperlink"/>
            <w:noProof/>
          </w:rPr>
          <w:t>Statistical Analysis</w:t>
        </w:r>
        <w:r w:rsidR="00CE7BE0">
          <w:rPr>
            <w:noProof/>
            <w:webHidden/>
          </w:rPr>
          <w:tab/>
        </w:r>
        <w:r w:rsidR="00CE7BE0">
          <w:rPr>
            <w:noProof/>
            <w:webHidden/>
          </w:rPr>
          <w:fldChar w:fldCharType="begin"/>
        </w:r>
        <w:r w:rsidR="00CE7BE0">
          <w:rPr>
            <w:noProof/>
            <w:webHidden/>
          </w:rPr>
          <w:instrText xml:space="preserve"> PAGEREF _Toc64723907 \h </w:instrText>
        </w:r>
        <w:r w:rsidR="00CE7BE0">
          <w:rPr>
            <w:noProof/>
            <w:webHidden/>
          </w:rPr>
        </w:r>
        <w:r w:rsidR="00CE7BE0">
          <w:rPr>
            <w:noProof/>
            <w:webHidden/>
          </w:rPr>
          <w:fldChar w:fldCharType="separate"/>
        </w:r>
        <w:r w:rsidR="00CE7BE0">
          <w:rPr>
            <w:noProof/>
            <w:webHidden/>
          </w:rPr>
          <w:t>55</w:t>
        </w:r>
        <w:r w:rsidR="00CE7BE0">
          <w:rPr>
            <w:noProof/>
            <w:webHidden/>
          </w:rPr>
          <w:fldChar w:fldCharType="end"/>
        </w:r>
      </w:hyperlink>
    </w:p>
    <w:p w14:paraId="422FA962" w14:textId="585CA8A8" w:rsidR="00CE7BE0" w:rsidRDefault="006D3518">
      <w:pPr>
        <w:pStyle w:val="TOC2"/>
        <w:rPr>
          <w:rFonts w:asciiTheme="minorHAnsi" w:hAnsiTheme="minorHAnsi" w:cstheme="minorBidi"/>
          <w:iCs w:val="0"/>
          <w:noProof/>
          <w:sz w:val="24"/>
          <w:szCs w:val="24"/>
          <w:lang w:eastAsia="en-GB"/>
        </w:rPr>
      </w:pPr>
      <w:hyperlink w:anchor="_Toc64723908" w:history="1">
        <w:r w:rsidR="00CE7BE0" w:rsidRPr="007B1712">
          <w:rPr>
            <w:rStyle w:val="Hyperlink"/>
            <w:noProof/>
          </w:rPr>
          <w:t>Results</w:t>
        </w:r>
        <w:r w:rsidR="00CE7BE0">
          <w:rPr>
            <w:noProof/>
            <w:webHidden/>
          </w:rPr>
          <w:tab/>
        </w:r>
        <w:r w:rsidR="00CE7BE0">
          <w:rPr>
            <w:noProof/>
            <w:webHidden/>
          </w:rPr>
          <w:fldChar w:fldCharType="begin"/>
        </w:r>
        <w:r w:rsidR="00CE7BE0">
          <w:rPr>
            <w:noProof/>
            <w:webHidden/>
          </w:rPr>
          <w:instrText xml:space="preserve"> PAGEREF _Toc64723908 \h </w:instrText>
        </w:r>
        <w:r w:rsidR="00CE7BE0">
          <w:rPr>
            <w:noProof/>
            <w:webHidden/>
          </w:rPr>
        </w:r>
        <w:r w:rsidR="00CE7BE0">
          <w:rPr>
            <w:noProof/>
            <w:webHidden/>
          </w:rPr>
          <w:fldChar w:fldCharType="separate"/>
        </w:r>
        <w:r w:rsidR="00CE7BE0">
          <w:rPr>
            <w:noProof/>
            <w:webHidden/>
          </w:rPr>
          <w:t>55</w:t>
        </w:r>
        <w:r w:rsidR="00CE7BE0">
          <w:rPr>
            <w:noProof/>
            <w:webHidden/>
          </w:rPr>
          <w:fldChar w:fldCharType="end"/>
        </w:r>
      </w:hyperlink>
    </w:p>
    <w:p w14:paraId="3981DE08" w14:textId="1F521D3D" w:rsidR="00CE7BE0" w:rsidRDefault="006D3518">
      <w:pPr>
        <w:pStyle w:val="TOC3"/>
        <w:tabs>
          <w:tab w:val="right" w:leader="dot" w:pos="9350"/>
        </w:tabs>
        <w:rPr>
          <w:rFonts w:asciiTheme="minorHAnsi" w:hAnsiTheme="minorHAnsi" w:cstheme="minorBidi"/>
          <w:noProof/>
          <w:sz w:val="24"/>
          <w:szCs w:val="24"/>
          <w:lang w:eastAsia="en-GB"/>
        </w:rPr>
      </w:pPr>
      <w:hyperlink w:anchor="_Toc64723909" w:history="1">
        <w:r w:rsidR="00CE7BE0" w:rsidRPr="007B1712">
          <w:rPr>
            <w:rStyle w:val="Hyperlink"/>
            <w:noProof/>
          </w:rPr>
          <w:t>Subjects</w:t>
        </w:r>
        <w:r w:rsidR="00CE7BE0">
          <w:rPr>
            <w:noProof/>
            <w:webHidden/>
          </w:rPr>
          <w:tab/>
        </w:r>
        <w:r w:rsidR="00CE7BE0">
          <w:rPr>
            <w:noProof/>
            <w:webHidden/>
          </w:rPr>
          <w:fldChar w:fldCharType="begin"/>
        </w:r>
        <w:r w:rsidR="00CE7BE0">
          <w:rPr>
            <w:noProof/>
            <w:webHidden/>
          </w:rPr>
          <w:instrText xml:space="preserve"> PAGEREF _Toc64723909 \h </w:instrText>
        </w:r>
        <w:r w:rsidR="00CE7BE0">
          <w:rPr>
            <w:noProof/>
            <w:webHidden/>
          </w:rPr>
        </w:r>
        <w:r w:rsidR="00CE7BE0">
          <w:rPr>
            <w:noProof/>
            <w:webHidden/>
          </w:rPr>
          <w:fldChar w:fldCharType="separate"/>
        </w:r>
        <w:r w:rsidR="00CE7BE0">
          <w:rPr>
            <w:noProof/>
            <w:webHidden/>
          </w:rPr>
          <w:t>55</w:t>
        </w:r>
        <w:r w:rsidR="00CE7BE0">
          <w:rPr>
            <w:noProof/>
            <w:webHidden/>
          </w:rPr>
          <w:fldChar w:fldCharType="end"/>
        </w:r>
      </w:hyperlink>
    </w:p>
    <w:p w14:paraId="462FB30C" w14:textId="3840FD9E" w:rsidR="00CE7BE0" w:rsidRDefault="006D3518">
      <w:pPr>
        <w:pStyle w:val="TOC3"/>
        <w:tabs>
          <w:tab w:val="right" w:leader="dot" w:pos="9350"/>
        </w:tabs>
        <w:rPr>
          <w:rFonts w:asciiTheme="minorHAnsi" w:hAnsiTheme="minorHAnsi" w:cstheme="minorBidi"/>
          <w:noProof/>
          <w:sz w:val="24"/>
          <w:szCs w:val="24"/>
          <w:lang w:eastAsia="en-GB"/>
        </w:rPr>
      </w:pPr>
      <w:hyperlink w:anchor="_Toc64723910" w:history="1">
        <w:r w:rsidR="00CE7BE0" w:rsidRPr="007B1712">
          <w:rPr>
            <w:rStyle w:val="Hyperlink"/>
            <w:noProof/>
          </w:rPr>
          <w:t>Demographic Details</w:t>
        </w:r>
        <w:r w:rsidR="00CE7BE0">
          <w:rPr>
            <w:noProof/>
            <w:webHidden/>
          </w:rPr>
          <w:tab/>
        </w:r>
        <w:r w:rsidR="00CE7BE0">
          <w:rPr>
            <w:noProof/>
            <w:webHidden/>
          </w:rPr>
          <w:fldChar w:fldCharType="begin"/>
        </w:r>
        <w:r w:rsidR="00CE7BE0">
          <w:rPr>
            <w:noProof/>
            <w:webHidden/>
          </w:rPr>
          <w:instrText xml:space="preserve"> PAGEREF _Toc64723910 \h </w:instrText>
        </w:r>
        <w:r w:rsidR="00CE7BE0">
          <w:rPr>
            <w:noProof/>
            <w:webHidden/>
          </w:rPr>
        </w:r>
        <w:r w:rsidR="00CE7BE0">
          <w:rPr>
            <w:noProof/>
            <w:webHidden/>
          </w:rPr>
          <w:fldChar w:fldCharType="separate"/>
        </w:r>
        <w:r w:rsidR="00CE7BE0">
          <w:rPr>
            <w:noProof/>
            <w:webHidden/>
          </w:rPr>
          <w:t>57</w:t>
        </w:r>
        <w:r w:rsidR="00CE7BE0">
          <w:rPr>
            <w:noProof/>
            <w:webHidden/>
          </w:rPr>
          <w:fldChar w:fldCharType="end"/>
        </w:r>
      </w:hyperlink>
    </w:p>
    <w:p w14:paraId="2EF49A8B" w14:textId="5E924AA4" w:rsidR="00CE7BE0" w:rsidRDefault="006D3518">
      <w:pPr>
        <w:pStyle w:val="TOC3"/>
        <w:tabs>
          <w:tab w:val="right" w:leader="dot" w:pos="9350"/>
        </w:tabs>
        <w:rPr>
          <w:rFonts w:asciiTheme="minorHAnsi" w:hAnsiTheme="minorHAnsi" w:cstheme="minorBidi"/>
          <w:noProof/>
          <w:sz w:val="24"/>
          <w:szCs w:val="24"/>
          <w:lang w:eastAsia="en-GB"/>
        </w:rPr>
      </w:pPr>
      <w:hyperlink w:anchor="_Toc64723911" w:history="1">
        <w:r w:rsidR="00CE7BE0" w:rsidRPr="007B1712">
          <w:rPr>
            <w:rStyle w:val="Hyperlink"/>
            <w:noProof/>
          </w:rPr>
          <w:t>Psychological Assessments</w:t>
        </w:r>
        <w:r w:rsidR="00CE7BE0">
          <w:rPr>
            <w:noProof/>
            <w:webHidden/>
          </w:rPr>
          <w:tab/>
        </w:r>
        <w:r w:rsidR="00CE7BE0">
          <w:rPr>
            <w:noProof/>
            <w:webHidden/>
          </w:rPr>
          <w:fldChar w:fldCharType="begin"/>
        </w:r>
        <w:r w:rsidR="00CE7BE0">
          <w:rPr>
            <w:noProof/>
            <w:webHidden/>
          </w:rPr>
          <w:instrText xml:space="preserve"> PAGEREF _Toc64723911 \h </w:instrText>
        </w:r>
        <w:r w:rsidR="00CE7BE0">
          <w:rPr>
            <w:noProof/>
            <w:webHidden/>
          </w:rPr>
        </w:r>
        <w:r w:rsidR="00CE7BE0">
          <w:rPr>
            <w:noProof/>
            <w:webHidden/>
          </w:rPr>
          <w:fldChar w:fldCharType="separate"/>
        </w:r>
        <w:r w:rsidR="00CE7BE0">
          <w:rPr>
            <w:noProof/>
            <w:webHidden/>
          </w:rPr>
          <w:t>59</w:t>
        </w:r>
        <w:r w:rsidR="00CE7BE0">
          <w:rPr>
            <w:noProof/>
            <w:webHidden/>
          </w:rPr>
          <w:fldChar w:fldCharType="end"/>
        </w:r>
      </w:hyperlink>
    </w:p>
    <w:p w14:paraId="78D98F66" w14:textId="0FD33A85" w:rsidR="00CE7BE0" w:rsidRDefault="006D3518">
      <w:pPr>
        <w:pStyle w:val="TOC3"/>
        <w:tabs>
          <w:tab w:val="right" w:leader="dot" w:pos="9350"/>
        </w:tabs>
        <w:rPr>
          <w:rFonts w:asciiTheme="minorHAnsi" w:hAnsiTheme="minorHAnsi" w:cstheme="minorBidi"/>
          <w:noProof/>
          <w:sz w:val="24"/>
          <w:szCs w:val="24"/>
          <w:lang w:eastAsia="en-GB"/>
        </w:rPr>
      </w:pPr>
      <w:hyperlink w:anchor="_Toc64723912" w:history="1">
        <w:r w:rsidR="00CE7BE0" w:rsidRPr="007B1712">
          <w:rPr>
            <w:rStyle w:val="Hyperlink"/>
            <w:noProof/>
          </w:rPr>
          <w:t>Methylglyoxal</w:t>
        </w:r>
        <w:r w:rsidR="00CE7BE0">
          <w:rPr>
            <w:noProof/>
            <w:webHidden/>
          </w:rPr>
          <w:tab/>
        </w:r>
        <w:r w:rsidR="00CE7BE0">
          <w:rPr>
            <w:noProof/>
            <w:webHidden/>
          </w:rPr>
          <w:fldChar w:fldCharType="begin"/>
        </w:r>
        <w:r w:rsidR="00CE7BE0">
          <w:rPr>
            <w:noProof/>
            <w:webHidden/>
          </w:rPr>
          <w:instrText xml:space="preserve"> PAGEREF _Toc64723912 \h </w:instrText>
        </w:r>
        <w:r w:rsidR="00CE7BE0">
          <w:rPr>
            <w:noProof/>
            <w:webHidden/>
          </w:rPr>
        </w:r>
        <w:r w:rsidR="00CE7BE0">
          <w:rPr>
            <w:noProof/>
            <w:webHidden/>
          </w:rPr>
          <w:fldChar w:fldCharType="separate"/>
        </w:r>
        <w:r w:rsidR="00CE7BE0">
          <w:rPr>
            <w:noProof/>
            <w:webHidden/>
          </w:rPr>
          <w:t>63</w:t>
        </w:r>
        <w:r w:rsidR="00CE7BE0">
          <w:rPr>
            <w:noProof/>
            <w:webHidden/>
          </w:rPr>
          <w:fldChar w:fldCharType="end"/>
        </w:r>
      </w:hyperlink>
    </w:p>
    <w:p w14:paraId="4D5F3224" w14:textId="103F1572" w:rsidR="00CE7BE0" w:rsidRDefault="006D3518">
      <w:pPr>
        <w:pStyle w:val="TOC3"/>
        <w:tabs>
          <w:tab w:val="right" w:leader="dot" w:pos="9350"/>
        </w:tabs>
        <w:rPr>
          <w:rFonts w:asciiTheme="minorHAnsi" w:hAnsiTheme="minorHAnsi" w:cstheme="minorBidi"/>
          <w:noProof/>
          <w:sz w:val="24"/>
          <w:szCs w:val="24"/>
          <w:lang w:eastAsia="en-GB"/>
        </w:rPr>
      </w:pPr>
      <w:hyperlink w:anchor="_Toc64723913" w:history="1">
        <w:r w:rsidR="00CE7BE0" w:rsidRPr="007B1712">
          <w:rPr>
            <w:rStyle w:val="Hyperlink"/>
            <w:noProof/>
          </w:rPr>
          <w:t>Correlation between methylglyoxal and characterization parameters of P-DPN and DPN</w:t>
        </w:r>
        <w:r w:rsidR="00CE7BE0">
          <w:rPr>
            <w:noProof/>
            <w:webHidden/>
          </w:rPr>
          <w:tab/>
        </w:r>
        <w:r w:rsidR="00CE7BE0">
          <w:rPr>
            <w:noProof/>
            <w:webHidden/>
          </w:rPr>
          <w:fldChar w:fldCharType="begin"/>
        </w:r>
        <w:r w:rsidR="00CE7BE0">
          <w:rPr>
            <w:noProof/>
            <w:webHidden/>
          </w:rPr>
          <w:instrText xml:space="preserve"> PAGEREF _Toc64723913 \h </w:instrText>
        </w:r>
        <w:r w:rsidR="00CE7BE0">
          <w:rPr>
            <w:noProof/>
            <w:webHidden/>
          </w:rPr>
        </w:r>
        <w:r w:rsidR="00CE7BE0">
          <w:rPr>
            <w:noProof/>
            <w:webHidden/>
          </w:rPr>
          <w:fldChar w:fldCharType="separate"/>
        </w:r>
        <w:r w:rsidR="00CE7BE0">
          <w:rPr>
            <w:noProof/>
            <w:webHidden/>
          </w:rPr>
          <w:t>65</w:t>
        </w:r>
        <w:r w:rsidR="00CE7BE0">
          <w:rPr>
            <w:noProof/>
            <w:webHidden/>
          </w:rPr>
          <w:fldChar w:fldCharType="end"/>
        </w:r>
      </w:hyperlink>
    </w:p>
    <w:p w14:paraId="5813731B" w14:textId="1EF8BBE6" w:rsidR="00CE7BE0" w:rsidRDefault="006D3518">
      <w:pPr>
        <w:pStyle w:val="TOC3"/>
        <w:tabs>
          <w:tab w:val="right" w:leader="dot" w:pos="9350"/>
        </w:tabs>
        <w:rPr>
          <w:rFonts w:asciiTheme="minorHAnsi" w:hAnsiTheme="minorHAnsi" w:cstheme="minorBidi"/>
          <w:noProof/>
          <w:sz w:val="24"/>
          <w:szCs w:val="24"/>
          <w:lang w:eastAsia="en-GB"/>
        </w:rPr>
      </w:pPr>
      <w:hyperlink w:anchor="_Toc64723914" w:history="1">
        <w:r w:rsidR="00CE7BE0" w:rsidRPr="007B1712">
          <w:rPr>
            <w:rStyle w:val="Hyperlink"/>
            <w:noProof/>
          </w:rPr>
          <w:t>DFNS protocol across groups</w:t>
        </w:r>
        <w:r w:rsidR="00CE7BE0">
          <w:rPr>
            <w:noProof/>
            <w:webHidden/>
          </w:rPr>
          <w:tab/>
        </w:r>
        <w:r w:rsidR="00CE7BE0">
          <w:rPr>
            <w:noProof/>
            <w:webHidden/>
          </w:rPr>
          <w:fldChar w:fldCharType="begin"/>
        </w:r>
        <w:r w:rsidR="00CE7BE0">
          <w:rPr>
            <w:noProof/>
            <w:webHidden/>
          </w:rPr>
          <w:instrText xml:space="preserve"> PAGEREF _Toc64723914 \h </w:instrText>
        </w:r>
        <w:r w:rsidR="00CE7BE0">
          <w:rPr>
            <w:noProof/>
            <w:webHidden/>
          </w:rPr>
        </w:r>
        <w:r w:rsidR="00CE7BE0">
          <w:rPr>
            <w:noProof/>
            <w:webHidden/>
          </w:rPr>
          <w:fldChar w:fldCharType="separate"/>
        </w:r>
        <w:r w:rsidR="00CE7BE0">
          <w:rPr>
            <w:noProof/>
            <w:webHidden/>
          </w:rPr>
          <w:t>65</w:t>
        </w:r>
        <w:r w:rsidR="00CE7BE0">
          <w:rPr>
            <w:noProof/>
            <w:webHidden/>
          </w:rPr>
          <w:fldChar w:fldCharType="end"/>
        </w:r>
      </w:hyperlink>
    </w:p>
    <w:p w14:paraId="7D33BF74" w14:textId="2EB066D0" w:rsidR="00CE7BE0" w:rsidRDefault="006D3518">
      <w:pPr>
        <w:pStyle w:val="TOC2"/>
        <w:rPr>
          <w:rFonts w:asciiTheme="minorHAnsi" w:hAnsiTheme="minorHAnsi" w:cstheme="minorBidi"/>
          <w:iCs w:val="0"/>
          <w:noProof/>
          <w:sz w:val="24"/>
          <w:szCs w:val="24"/>
          <w:lang w:eastAsia="en-GB"/>
        </w:rPr>
      </w:pPr>
      <w:hyperlink w:anchor="_Toc64723915" w:history="1">
        <w:r w:rsidR="00CE7BE0" w:rsidRPr="007B1712">
          <w:rPr>
            <w:rStyle w:val="Hyperlink"/>
            <w:noProof/>
          </w:rPr>
          <w:t>Discussion</w:t>
        </w:r>
        <w:r w:rsidR="00CE7BE0">
          <w:rPr>
            <w:noProof/>
            <w:webHidden/>
          </w:rPr>
          <w:tab/>
        </w:r>
        <w:r w:rsidR="00CE7BE0">
          <w:rPr>
            <w:noProof/>
            <w:webHidden/>
          </w:rPr>
          <w:fldChar w:fldCharType="begin"/>
        </w:r>
        <w:r w:rsidR="00CE7BE0">
          <w:rPr>
            <w:noProof/>
            <w:webHidden/>
          </w:rPr>
          <w:instrText xml:space="preserve"> PAGEREF _Toc64723915 \h </w:instrText>
        </w:r>
        <w:r w:rsidR="00CE7BE0">
          <w:rPr>
            <w:noProof/>
            <w:webHidden/>
          </w:rPr>
        </w:r>
        <w:r w:rsidR="00CE7BE0">
          <w:rPr>
            <w:noProof/>
            <w:webHidden/>
          </w:rPr>
          <w:fldChar w:fldCharType="separate"/>
        </w:r>
        <w:r w:rsidR="00CE7BE0">
          <w:rPr>
            <w:noProof/>
            <w:webHidden/>
          </w:rPr>
          <w:t>68</w:t>
        </w:r>
        <w:r w:rsidR="00CE7BE0">
          <w:rPr>
            <w:noProof/>
            <w:webHidden/>
          </w:rPr>
          <w:fldChar w:fldCharType="end"/>
        </w:r>
      </w:hyperlink>
    </w:p>
    <w:p w14:paraId="4544AD84" w14:textId="2D68EFD0" w:rsidR="00CE7BE0" w:rsidRDefault="006D3518">
      <w:pPr>
        <w:pStyle w:val="TOC2"/>
        <w:rPr>
          <w:rFonts w:asciiTheme="minorHAnsi" w:hAnsiTheme="minorHAnsi" w:cstheme="minorBidi"/>
          <w:iCs w:val="0"/>
          <w:noProof/>
          <w:sz w:val="24"/>
          <w:szCs w:val="24"/>
          <w:lang w:eastAsia="en-GB"/>
        </w:rPr>
      </w:pPr>
      <w:hyperlink w:anchor="_Toc64723916" w:history="1">
        <w:r w:rsidR="00CE7BE0" w:rsidRPr="007B1712">
          <w:rPr>
            <w:rStyle w:val="Hyperlink"/>
            <w:noProof/>
          </w:rPr>
          <w:t>Conclusion</w:t>
        </w:r>
        <w:r w:rsidR="00CE7BE0">
          <w:rPr>
            <w:noProof/>
            <w:webHidden/>
          </w:rPr>
          <w:tab/>
        </w:r>
        <w:r w:rsidR="00CE7BE0">
          <w:rPr>
            <w:noProof/>
            <w:webHidden/>
          </w:rPr>
          <w:fldChar w:fldCharType="begin"/>
        </w:r>
        <w:r w:rsidR="00CE7BE0">
          <w:rPr>
            <w:noProof/>
            <w:webHidden/>
          </w:rPr>
          <w:instrText xml:space="preserve"> PAGEREF _Toc64723916 \h </w:instrText>
        </w:r>
        <w:r w:rsidR="00CE7BE0">
          <w:rPr>
            <w:noProof/>
            <w:webHidden/>
          </w:rPr>
        </w:r>
        <w:r w:rsidR="00CE7BE0">
          <w:rPr>
            <w:noProof/>
            <w:webHidden/>
          </w:rPr>
          <w:fldChar w:fldCharType="separate"/>
        </w:r>
        <w:r w:rsidR="00CE7BE0">
          <w:rPr>
            <w:noProof/>
            <w:webHidden/>
          </w:rPr>
          <w:t>75</w:t>
        </w:r>
        <w:r w:rsidR="00CE7BE0">
          <w:rPr>
            <w:noProof/>
            <w:webHidden/>
          </w:rPr>
          <w:fldChar w:fldCharType="end"/>
        </w:r>
      </w:hyperlink>
    </w:p>
    <w:p w14:paraId="76C17BD7" w14:textId="0AE93AB8" w:rsidR="00CE7BE0" w:rsidRDefault="006D3518">
      <w:pPr>
        <w:pStyle w:val="TOC1"/>
        <w:tabs>
          <w:tab w:val="right" w:leader="dot" w:pos="9350"/>
        </w:tabs>
        <w:rPr>
          <w:rFonts w:asciiTheme="minorHAnsi" w:hAnsiTheme="minorHAnsi" w:cstheme="minorBidi"/>
          <w:b w:val="0"/>
          <w:bCs w:val="0"/>
          <w:noProof/>
          <w:sz w:val="24"/>
          <w:szCs w:val="24"/>
          <w:lang w:eastAsia="en-GB"/>
        </w:rPr>
      </w:pPr>
      <w:hyperlink w:anchor="_Toc64723917" w:history="1">
        <w:r w:rsidR="00CE7BE0" w:rsidRPr="007B1712">
          <w:rPr>
            <w:rStyle w:val="Hyperlink"/>
            <w:noProof/>
          </w:rPr>
          <w:t>Chapter 3: Reproducibility of Quantitative Measurements of Dynamic Susceptibility Contrast for Cerebral Microvascular Perfusion.</w:t>
        </w:r>
        <w:r w:rsidR="00CE7BE0">
          <w:rPr>
            <w:noProof/>
            <w:webHidden/>
          </w:rPr>
          <w:tab/>
        </w:r>
        <w:r w:rsidR="00CE7BE0">
          <w:rPr>
            <w:noProof/>
            <w:webHidden/>
          </w:rPr>
          <w:fldChar w:fldCharType="begin"/>
        </w:r>
        <w:r w:rsidR="00CE7BE0">
          <w:rPr>
            <w:noProof/>
            <w:webHidden/>
          </w:rPr>
          <w:instrText xml:space="preserve"> PAGEREF _Toc64723917 \h </w:instrText>
        </w:r>
        <w:r w:rsidR="00CE7BE0">
          <w:rPr>
            <w:noProof/>
            <w:webHidden/>
          </w:rPr>
        </w:r>
        <w:r w:rsidR="00CE7BE0">
          <w:rPr>
            <w:noProof/>
            <w:webHidden/>
          </w:rPr>
          <w:fldChar w:fldCharType="separate"/>
        </w:r>
        <w:r w:rsidR="00CE7BE0">
          <w:rPr>
            <w:noProof/>
            <w:webHidden/>
          </w:rPr>
          <w:t>77</w:t>
        </w:r>
        <w:r w:rsidR="00CE7BE0">
          <w:rPr>
            <w:noProof/>
            <w:webHidden/>
          </w:rPr>
          <w:fldChar w:fldCharType="end"/>
        </w:r>
      </w:hyperlink>
    </w:p>
    <w:p w14:paraId="77B8CD9B" w14:textId="44613366" w:rsidR="00CE7BE0" w:rsidRDefault="006D3518">
      <w:pPr>
        <w:pStyle w:val="TOC2"/>
        <w:rPr>
          <w:rFonts w:asciiTheme="minorHAnsi" w:hAnsiTheme="minorHAnsi" w:cstheme="minorBidi"/>
          <w:iCs w:val="0"/>
          <w:noProof/>
          <w:sz w:val="24"/>
          <w:szCs w:val="24"/>
          <w:lang w:eastAsia="en-GB"/>
        </w:rPr>
      </w:pPr>
      <w:hyperlink w:anchor="_Toc64723918" w:history="1">
        <w:r w:rsidR="00CE7BE0" w:rsidRPr="007B1712">
          <w:rPr>
            <w:rStyle w:val="Hyperlink"/>
            <w:noProof/>
          </w:rPr>
          <w:t>Abstract:</w:t>
        </w:r>
        <w:r w:rsidR="00CE7BE0">
          <w:rPr>
            <w:noProof/>
            <w:webHidden/>
          </w:rPr>
          <w:tab/>
        </w:r>
        <w:r w:rsidR="00CE7BE0">
          <w:rPr>
            <w:noProof/>
            <w:webHidden/>
          </w:rPr>
          <w:fldChar w:fldCharType="begin"/>
        </w:r>
        <w:r w:rsidR="00CE7BE0">
          <w:rPr>
            <w:noProof/>
            <w:webHidden/>
          </w:rPr>
          <w:instrText xml:space="preserve"> PAGEREF _Toc64723918 \h </w:instrText>
        </w:r>
        <w:r w:rsidR="00CE7BE0">
          <w:rPr>
            <w:noProof/>
            <w:webHidden/>
          </w:rPr>
        </w:r>
        <w:r w:rsidR="00CE7BE0">
          <w:rPr>
            <w:noProof/>
            <w:webHidden/>
          </w:rPr>
          <w:fldChar w:fldCharType="separate"/>
        </w:r>
        <w:r w:rsidR="00CE7BE0">
          <w:rPr>
            <w:noProof/>
            <w:webHidden/>
          </w:rPr>
          <w:t>77</w:t>
        </w:r>
        <w:r w:rsidR="00CE7BE0">
          <w:rPr>
            <w:noProof/>
            <w:webHidden/>
          </w:rPr>
          <w:fldChar w:fldCharType="end"/>
        </w:r>
      </w:hyperlink>
    </w:p>
    <w:p w14:paraId="07B49FBC" w14:textId="6A3AB6FD" w:rsidR="00CE7BE0" w:rsidRDefault="006D3518">
      <w:pPr>
        <w:pStyle w:val="TOC2"/>
        <w:rPr>
          <w:rFonts w:asciiTheme="minorHAnsi" w:hAnsiTheme="minorHAnsi" w:cstheme="minorBidi"/>
          <w:iCs w:val="0"/>
          <w:noProof/>
          <w:sz w:val="24"/>
          <w:szCs w:val="24"/>
          <w:lang w:eastAsia="en-GB"/>
        </w:rPr>
      </w:pPr>
      <w:hyperlink w:anchor="_Toc64723919" w:history="1">
        <w:r w:rsidR="00CE7BE0" w:rsidRPr="007B1712">
          <w:rPr>
            <w:rStyle w:val="Hyperlink"/>
            <w:noProof/>
          </w:rPr>
          <w:t>Introduction:</w:t>
        </w:r>
        <w:r w:rsidR="00CE7BE0">
          <w:rPr>
            <w:noProof/>
            <w:webHidden/>
          </w:rPr>
          <w:tab/>
        </w:r>
        <w:r w:rsidR="00CE7BE0">
          <w:rPr>
            <w:noProof/>
            <w:webHidden/>
          </w:rPr>
          <w:fldChar w:fldCharType="begin"/>
        </w:r>
        <w:r w:rsidR="00CE7BE0">
          <w:rPr>
            <w:noProof/>
            <w:webHidden/>
          </w:rPr>
          <w:instrText xml:space="preserve"> PAGEREF _Toc64723919 \h </w:instrText>
        </w:r>
        <w:r w:rsidR="00CE7BE0">
          <w:rPr>
            <w:noProof/>
            <w:webHidden/>
          </w:rPr>
        </w:r>
        <w:r w:rsidR="00CE7BE0">
          <w:rPr>
            <w:noProof/>
            <w:webHidden/>
          </w:rPr>
          <w:fldChar w:fldCharType="separate"/>
        </w:r>
        <w:r w:rsidR="00CE7BE0">
          <w:rPr>
            <w:noProof/>
            <w:webHidden/>
          </w:rPr>
          <w:t>78</w:t>
        </w:r>
        <w:r w:rsidR="00CE7BE0">
          <w:rPr>
            <w:noProof/>
            <w:webHidden/>
          </w:rPr>
          <w:fldChar w:fldCharType="end"/>
        </w:r>
      </w:hyperlink>
    </w:p>
    <w:p w14:paraId="37609C7B" w14:textId="55CE29F7" w:rsidR="00CE7BE0" w:rsidRDefault="006D3518">
      <w:pPr>
        <w:pStyle w:val="TOC2"/>
        <w:rPr>
          <w:rFonts w:asciiTheme="minorHAnsi" w:hAnsiTheme="minorHAnsi" w:cstheme="minorBidi"/>
          <w:iCs w:val="0"/>
          <w:noProof/>
          <w:sz w:val="24"/>
          <w:szCs w:val="24"/>
          <w:lang w:eastAsia="en-GB"/>
        </w:rPr>
      </w:pPr>
      <w:hyperlink w:anchor="_Toc64723920" w:history="1">
        <w:r w:rsidR="00CE7BE0" w:rsidRPr="007B1712">
          <w:rPr>
            <w:rStyle w:val="Hyperlink"/>
            <w:noProof/>
          </w:rPr>
          <w:t>Methods</w:t>
        </w:r>
        <w:r w:rsidR="00CE7BE0">
          <w:rPr>
            <w:noProof/>
            <w:webHidden/>
          </w:rPr>
          <w:tab/>
        </w:r>
        <w:r w:rsidR="00CE7BE0">
          <w:rPr>
            <w:noProof/>
            <w:webHidden/>
          </w:rPr>
          <w:fldChar w:fldCharType="begin"/>
        </w:r>
        <w:r w:rsidR="00CE7BE0">
          <w:rPr>
            <w:noProof/>
            <w:webHidden/>
          </w:rPr>
          <w:instrText xml:space="preserve"> PAGEREF _Toc64723920 \h </w:instrText>
        </w:r>
        <w:r w:rsidR="00CE7BE0">
          <w:rPr>
            <w:noProof/>
            <w:webHidden/>
          </w:rPr>
        </w:r>
        <w:r w:rsidR="00CE7BE0">
          <w:rPr>
            <w:noProof/>
            <w:webHidden/>
          </w:rPr>
          <w:fldChar w:fldCharType="separate"/>
        </w:r>
        <w:r w:rsidR="00CE7BE0">
          <w:rPr>
            <w:noProof/>
            <w:webHidden/>
          </w:rPr>
          <w:t>79</w:t>
        </w:r>
        <w:r w:rsidR="00CE7BE0">
          <w:rPr>
            <w:noProof/>
            <w:webHidden/>
          </w:rPr>
          <w:fldChar w:fldCharType="end"/>
        </w:r>
      </w:hyperlink>
    </w:p>
    <w:p w14:paraId="105FE278" w14:textId="2B894CD4" w:rsidR="00CE7BE0" w:rsidRDefault="006D3518">
      <w:pPr>
        <w:pStyle w:val="TOC3"/>
        <w:tabs>
          <w:tab w:val="right" w:leader="dot" w:pos="9350"/>
        </w:tabs>
        <w:rPr>
          <w:rFonts w:asciiTheme="minorHAnsi" w:hAnsiTheme="minorHAnsi" w:cstheme="minorBidi"/>
          <w:noProof/>
          <w:sz w:val="24"/>
          <w:szCs w:val="24"/>
          <w:lang w:eastAsia="en-GB"/>
        </w:rPr>
      </w:pPr>
      <w:hyperlink w:anchor="_Toc64723921" w:history="1">
        <w:r w:rsidR="00CE7BE0" w:rsidRPr="007B1712">
          <w:rPr>
            <w:rStyle w:val="Hyperlink"/>
            <w:noProof/>
          </w:rPr>
          <w:t>DSC analysis</w:t>
        </w:r>
        <w:r w:rsidR="00CE7BE0">
          <w:rPr>
            <w:noProof/>
            <w:webHidden/>
          </w:rPr>
          <w:tab/>
        </w:r>
        <w:r w:rsidR="00CE7BE0">
          <w:rPr>
            <w:noProof/>
            <w:webHidden/>
          </w:rPr>
          <w:fldChar w:fldCharType="begin"/>
        </w:r>
        <w:r w:rsidR="00CE7BE0">
          <w:rPr>
            <w:noProof/>
            <w:webHidden/>
          </w:rPr>
          <w:instrText xml:space="preserve"> PAGEREF _Toc64723921 \h </w:instrText>
        </w:r>
        <w:r w:rsidR="00CE7BE0">
          <w:rPr>
            <w:noProof/>
            <w:webHidden/>
          </w:rPr>
        </w:r>
        <w:r w:rsidR="00CE7BE0">
          <w:rPr>
            <w:noProof/>
            <w:webHidden/>
          </w:rPr>
          <w:fldChar w:fldCharType="separate"/>
        </w:r>
        <w:r w:rsidR="00CE7BE0">
          <w:rPr>
            <w:noProof/>
            <w:webHidden/>
          </w:rPr>
          <w:t>81</w:t>
        </w:r>
        <w:r w:rsidR="00CE7BE0">
          <w:rPr>
            <w:noProof/>
            <w:webHidden/>
          </w:rPr>
          <w:fldChar w:fldCharType="end"/>
        </w:r>
      </w:hyperlink>
    </w:p>
    <w:p w14:paraId="497FC985" w14:textId="2FA0C982" w:rsidR="00CE7BE0" w:rsidRDefault="006D3518">
      <w:pPr>
        <w:pStyle w:val="TOC3"/>
        <w:tabs>
          <w:tab w:val="right" w:leader="dot" w:pos="9350"/>
        </w:tabs>
        <w:rPr>
          <w:rFonts w:asciiTheme="minorHAnsi" w:hAnsiTheme="minorHAnsi" w:cstheme="minorBidi"/>
          <w:noProof/>
          <w:sz w:val="24"/>
          <w:szCs w:val="24"/>
          <w:lang w:eastAsia="en-GB"/>
        </w:rPr>
      </w:pPr>
      <w:hyperlink w:anchor="_Toc64723922" w:history="1">
        <w:r w:rsidR="00CE7BE0" w:rsidRPr="007B1712">
          <w:rPr>
            <w:rStyle w:val="Hyperlink"/>
            <w:noProof/>
          </w:rPr>
          <w:t>Reproducibility Protocol</w:t>
        </w:r>
        <w:r w:rsidR="00CE7BE0">
          <w:rPr>
            <w:noProof/>
            <w:webHidden/>
          </w:rPr>
          <w:tab/>
        </w:r>
        <w:r w:rsidR="00CE7BE0">
          <w:rPr>
            <w:noProof/>
            <w:webHidden/>
          </w:rPr>
          <w:fldChar w:fldCharType="begin"/>
        </w:r>
        <w:r w:rsidR="00CE7BE0">
          <w:rPr>
            <w:noProof/>
            <w:webHidden/>
          </w:rPr>
          <w:instrText xml:space="preserve"> PAGEREF _Toc64723922 \h </w:instrText>
        </w:r>
        <w:r w:rsidR="00CE7BE0">
          <w:rPr>
            <w:noProof/>
            <w:webHidden/>
          </w:rPr>
        </w:r>
        <w:r w:rsidR="00CE7BE0">
          <w:rPr>
            <w:noProof/>
            <w:webHidden/>
          </w:rPr>
          <w:fldChar w:fldCharType="separate"/>
        </w:r>
        <w:r w:rsidR="00CE7BE0">
          <w:rPr>
            <w:noProof/>
            <w:webHidden/>
          </w:rPr>
          <w:t>86</w:t>
        </w:r>
        <w:r w:rsidR="00CE7BE0">
          <w:rPr>
            <w:noProof/>
            <w:webHidden/>
          </w:rPr>
          <w:fldChar w:fldCharType="end"/>
        </w:r>
      </w:hyperlink>
    </w:p>
    <w:p w14:paraId="4662C86F" w14:textId="5F882EDB" w:rsidR="00CE7BE0" w:rsidRDefault="006D3518">
      <w:pPr>
        <w:pStyle w:val="TOC3"/>
        <w:tabs>
          <w:tab w:val="right" w:leader="dot" w:pos="9350"/>
        </w:tabs>
        <w:rPr>
          <w:rFonts w:asciiTheme="minorHAnsi" w:hAnsiTheme="minorHAnsi" w:cstheme="minorBidi"/>
          <w:noProof/>
          <w:sz w:val="24"/>
          <w:szCs w:val="24"/>
          <w:lang w:eastAsia="en-GB"/>
        </w:rPr>
      </w:pPr>
      <w:hyperlink w:anchor="_Toc64723923" w:history="1">
        <w:r w:rsidR="00CE7BE0" w:rsidRPr="007B1712">
          <w:rPr>
            <w:rStyle w:val="Hyperlink"/>
            <w:noProof/>
          </w:rPr>
          <w:t>Statistical Analysis</w:t>
        </w:r>
        <w:r w:rsidR="00CE7BE0">
          <w:rPr>
            <w:noProof/>
            <w:webHidden/>
          </w:rPr>
          <w:tab/>
        </w:r>
        <w:r w:rsidR="00CE7BE0">
          <w:rPr>
            <w:noProof/>
            <w:webHidden/>
          </w:rPr>
          <w:fldChar w:fldCharType="begin"/>
        </w:r>
        <w:r w:rsidR="00CE7BE0">
          <w:rPr>
            <w:noProof/>
            <w:webHidden/>
          </w:rPr>
          <w:instrText xml:space="preserve"> PAGEREF _Toc64723923 \h </w:instrText>
        </w:r>
        <w:r w:rsidR="00CE7BE0">
          <w:rPr>
            <w:noProof/>
            <w:webHidden/>
          </w:rPr>
        </w:r>
        <w:r w:rsidR="00CE7BE0">
          <w:rPr>
            <w:noProof/>
            <w:webHidden/>
          </w:rPr>
          <w:fldChar w:fldCharType="separate"/>
        </w:r>
        <w:r w:rsidR="00CE7BE0">
          <w:rPr>
            <w:noProof/>
            <w:webHidden/>
          </w:rPr>
          <w:t>86</w:t>
        </w:r>
        <w:r w:rsidR="00CE7BE0">
          <w:rPr>
            <w:noProof/>
            <w:webHidden/>
          </w:rPr>
          <w:fldChar w:fldCharType="end"/>
        </w:r>
      </w:hyperlink>
    </w:p>
    <w:p w14:paraId="56B03159" w14:textId="35F53772" w:rsidR="00CE7BE0" w:rsidRDefault="006D3518">
      <w:pPr>
        <w:pStyle w:val="TOC2"/>
        <w:rPr>
          <w:rFonts w:asciiTheme="minorHAnsi" w:hAnsiTheme="minorHAnsi" w:cstheme="minorBidi"/>
          <w:iCs w:val="0"/>
          <w:noProof/>
          <w:sz w:val="24"/>
          <w:szCs w:val="24"/>
          <w:lang w:eastAsia="en-GB"/>
        </w:rPr>
      </w:pPr>
      <w:hyperlink w:anchor="_Toc64723924" w:history="1">
        <w:r w:rsidR="00CE7BE0" w:rsidRPr="007B1712">
          <w:rPr>
            <w:rStyle w:val="Hyperlink"/>
            <w:noProof/>
          </w:rPr>
          <w:t>Results</w:t>
        </w:r>
        <w:r w:rsidR="00CE7BE0">
          <w:rPr>
            <w:noProof/>
            <w:webHidden/>
          </w:rPr>
          <w:tab/>
        </w:r>
        <w:r w:rsidR="00CE7BE0">
          <w:rPr>
            <w:noProof/>
            <w:webHidden/>
          </w:rPr>
          <w:fldChar w:fldCharType="begin"/>
        </w:r>
        <w:r w:rsidR="00CE7BE0">
          <w:rPr>
            <w:noProof/>
            <w:webHidden/>
          </w:rPr>
          <w:instrText xml:space="preserve"> PAGEREF _Toc64723924 \h </w:instrText>
        </w:r>
        <w:r w:rsidR="00CE7BE0">
          <w:rPr>
            <w:noProof/>
            <w:webHidden/>
          </w:rPr>
        </w:r>
        <w:r w:rsidR="00CE7BE0">
          <w:rPr>
            <w:noProof/>
            <w:webHidden/>
          </w:rPr>
          <w:fldChar w:fldCharType="separate"/>
        </w:r>
        <w:r w:rsidR="00CE7BE0">
          <w:rPr>
            <w:noProof/>
            <w:webHidden/>
          </w:rPr>
          <w:t>87</w:t>
        </w:r>
        <w:r w:rsidR="00CE7BE0">
          <w:rPr>
            <w:noProof/>
            <w:webHidden/>
          </w:rPr>
          <w:fldChar w:fldCharType="end"/>
        </w:r>
      </w:hyperlink>
    </w:p>
    <w:p w14:paraId="40621A2B" w14:textId="78B31A37" w:rsidR="00CE7BE0" w:rsidRDefault="006D3518">
      <w:pPr>
        <w:pStyle w:val="TOC3"/>
        <w:tabs>
          <w:tab w:val="right" w:leader="dot" w:pos="9350"/>
        </w:tabs>
        <w:rPr>
          <w:rFonts w:asciiTheme="minorHAnsi" w:hAnsiTheme="minorHAnsi" w:cstheme="minorBidi"/>
          <w:noProof/>
          <w:sz w:val="24"/>
          <w:szCs w:val="24"/>
          <w:lang w:eastAsia="en-GB"/>
        </w:rPr>
      </w:pPr>
      <w:hyperlink w:anchor="_Toc64723925" w:history="1">
        <w:r w:rsidR="00CE7BE0" w:rsidRPr="007B1712">
          <w:rPr>
            <w:rStyle w:val="Hyperlink"/>
            <w:noProof/>
          </w:rPr>
          <w:t>Arterial input function</w:t>
        </w:r>
        <w:r w:rsidR="00CE7BE0">
          <w:rPr>
            <w:noProof/>
            <w:webHidden/>
          </w:rPr>
          <w:tab/>
        </w:r>
        <w:r w:rsidR="00CE7BE0">
          <w:rPr>
            <w:noProof/>
            <w:webHidden/>
          </w:rPr>
          <w:fldChar w:fldCharType="begin"/>
        </w:r>
        <w:r w:rsidR="00CE7BE0">
          <w:rPr>
            <w:noProof/>
            <w:webHidden/>
          </w:rPr>
          <w:instrText xml:space="preserve"> PAGEREF _Toc64723925 \h </w:instrText>
        </w:r>
        <w:r w:rsidR="00CE7BE0">
          <w:rPr>
            <w:noProof/>
            <w:webHidden/>
          </w:rPr>
        </w:r>
        <w:r w:rsidR="00CE7BE0">
          <w:rPr>
            <w:noProof/>
            <w:webHidden/>
          </w:rPr>
          <w:fldChar w:fldCharType="separate"/>
        </w:r>
        <w:r w:rsidR="00CE7BE0">
          <w:rPr>
            <w:noProof/>
            <w:webHidden/>
          </w:rPr>
          <w:t>87</w:t>
        </w:r>
        <w:r w:rsidR="00CE7BE0">
          <w:rPr>
            <w:noProof/>
            <w:webHidden/>
          </w:rPr>
          <w:fldChar w:fldCharType="end"/>
        </w:r>
      </w:hyperlink>
    </w:p>
    <w:p w14:paraId="0E92C09C" w14:textId="2CF2E5FE" w:rsidR="00CE7BE0" w:rsidRDefault="006D3518">
      <w:pPr>
        <w:pStyle w:val="TOC3"/>
        <w:tabs>
          <w:tab w:val="right" w:leader="dot" w:pos="9350"/>
        </w:tabs>
        <w:rPr>
          <w:rFonts w:asciiTheme="minorHAnsi" w:hAnsiTheme="minorHAnsi" w:cstheme="minorBidi"/>
          <w:noProof/>
          <w:sz w:val="24"/>
          <w:szCs w:val="24"/>
          <w:lang w:eastAsia="en-GB"/>
        </w:rPr>
      </w:pPr>
      <w:hyperlink w:anchor="_Toc64723926" w:history="1">
        <w:r w:rsidR="00CE7BE0" w:rsidRPr="007B1712">
          <w:rPr>
            <w:rStyle w:val="Hyperlink"/>
            <w:noProof/>
          </w:rPr>
          <w:t>Reproducibility by perfusion parameter</w:t>
        </w:r>
        <w:r w:rsidR="00CE7BE0">
          <w:rPr>
            <w:noProof/>
            <w:webHidden/>
          </w:rPr>
          <w:tab/>
        </w:r>
        <w:r w:rsidR="00CE7BE0">
          <w:rPr>
            <w:noProof/>
            <w:webHidden/>
          </w:rPr>
          <w:fldChar w:fldCharType="begin"/>
        </w:r>
        <w:r w:rsidR="00CE7BE0">
          <w:rPr>
            <w:noProof/>
            <w:webHidden/>
          </w:rPr>
          <w:instrText xml:space="preserve"> PAGEREF _Toc64723926 \h </w:instrText>
        </w:r>
        <w:r w:rsidR="00CE7BE0">
          <w:rPr>
            <w:noProof/>
            <w:webHidden/>
          </w:rPr>
        </w:r>
        <w:r w:rsidR="00CE7BE0">
          <w:rPr>
            <w:noProof/>
            <w:webHidden/>
          </w:rPr>
          <w:fldChar w:fldCharType="separate"/>
        </w:r>
        <w:r w:rsidR="00CE7BE0">
          <w:rPr>
            <w:noProof/>
            <w:webHidden/>
          </w:rPr>
          <w:t>88</w:t>
        </w:r>
        <w:r w:rsidR="00CE7BE0">
          <w:rPr>
            <w:noProof/>
            <w:webHidden/>
          </w:rPr>
          <w:fldChar w:fldCharType="end"/>
        </w:r>
      </w:hyperlink>
    </w:p>
    <w:p w14:paraId="2EF3E41C" w14:textId="0F321EB2" w:rsidR="00CE7BE0" w:rsidRDefault="006D3518">
      <w:pPr>
        <w:pStyle w:val="TOC2"/>
        <w:rPr>
          <w:rFonts w:asciiTheme="minorHAnsi" w:hAnsiTheme="minorHAnsi" w:cstheme="minorBidi"/>
          <w:iCs w:val="0"/>
          <w:noProof/>
          <w:sz w:val="24"/>
          <w:szCs w:val="24"/>
          <w:lang w:eastAsia="en-GB"/>
        </w:rPr>
      </w:pPr>
      <w:hyperlink w:anchor="_Toc64723927" w:history="1">
        <w:r w:rsidR="00CE7BE0" w:rsidRPr="007B1712">
          <w:rPr>
            <w:rStyle w:val="Hyperlink"/>
            <w:noProof/>
          </w:rPr>
          <w:t>Discussion</w:t>
        </w:r>
        <w:r w:rsidR="00CE7BE0">
          <w:rPr>
            <w:noProof/>
            <w:webHidden/>
          </w:rPr>
          <w:tab/>
        </w:r>
        <w:r w:rsidR="00CE7BE0">
          <w:rPr>
            <w:noProof/>
            <w:webHidden/>
          </w:rPr>
          <w:fldChar w:fldCharType="begin"/>
        </w:r>
        <w:r w:rsidR="00CE7BE0">
          <w:rPr>
            <w:noProof/>
            <w:webHidden/>
          </w:rPr>
          <w:instrText xml:space="preserve"> PAGEREF _Toc64723927 \h </w:instrText>
        </w:r>
        <w:r w:rsidR="00CE7BE0">
          <w:rPr>
            <w:noProof/>
            <w:webHidden/>
          </w:rPr>
        </w:r>
        <w:r w:rsidR="00CE7BE0">
          <w:rPr>
            <w:noProof/>
            <w:webHidden/>
          </w:rPr>
          <w:fldChar w:fldCharType="separate"/>
        </w:r>
        <w:r w:rsidR="00CE7BE0">
          <w:rPr>
            <w:noProof/>
            <w:webHidden/>
          </w:rPr>
          <w:t>92</w:t>
        </w:r>
        <w:r w:rsidR="00CE7BE0">
          <w:rPr>
            <w:noProof/>
            <w:webHidden/>
          </w:rPr>
          <w:fldChar w:fldCharType="end"/>
        </w:r>
      </w:hyperlink>
    </w:p>
    <w:p w14:paraId="5D82CBEE" w14:textId="69E6F16C" w:rsidR="00CE7BE0" w:rsidRDefault="006D3518">
      <w:pPr>
        <w:pStyle w:val="TOC2"/>
        <w:rPr>
          <w:rFonts w:asciiTheme="minorHAnsi" w:hAnsiTheme="minorHAnsi" w:cstheme="minorBidi"/>
          <w:iCs w:val="0"/>
          <w:noProof/>
          <w:sz w:val="24"/>
          <w:szCs w:val="24"/>
          <w:lang w:eastAsia="en-GB"/>
        </w:rPr>
      </w:pPr>
      <w:hyperlink w:anchor="_Toc64723928" w:history="1">
        <w:r w:rsidR="00CE7BE0" w:rsidRPr="007B1712">
          <w:rPr>
            <w:rStyle w:val="Hyperlink"/>
            <w:noProof/>
          </w:rPr>
          <w:t>Conclusion:</w:t>
        </w:r>
        <w:r w:rsidR="00CE7BE0">
          <w:rPr>
            <w:noProof/>
            <w:webHidden/>
          </w:rPr>
          <w:tab/>
        </w:r>
        <w:r w:rsidR="00CE7BE0">
          <w:rPr>
            <w:noProof/>
            <w:webHidden/>
          </w:rPr>
          <w:fldChar w:fldCharType="begin"/>
        </w:r>
        <w:r w:rsidR="00CE7BE0">
          <w:rPr>
            <w:noProof/>
            <w:webHidden/>
          </w:rPr>
          <w:instrText xml:space="preserve"> PAGEREF _Toc64723928 \h </w:instrText>
        </w:r>
        <w:r w:rsidR="00CE7BE0">
          <w:rPr>
            <w:noProof/>
            <w:webHidden/>
          </w:rPr>
        </w:r>
        <w:r w:rsidR="00CE7BE0">
          <w:rPr>
            <w:noProof/>
            <w:webHidden/>
          </w:rPr>
          <w:fldChar w:fldCharType="separate"/>
        </w:r>
        <w:r w:rsidR="00CE7BE0">
          <w:rPr>
            <w:noProof/>
            <w:webHidden/>
          </w:rPr>
          <w:t>96</w:t>
        </w:r>
        <w:r w:rsidR="00CE7BE0">
          <w:rPr>
            <w:noProof/>
            <w:webHidden/>
          </w:rPr>
          <w:fldChar w:fldCharType="end"/>
        </w:r>
      </w:hyperlink>
    </w:p>
    <w:p w14:paraId="7DD6476B" w14:textId="57ED39B4" w:rsidR="00CE7BE0" w:rsidRDefault="006D3518">
      <w:pPr>
        <w:pStyle w:val="TOC1"/>
        <w:tabs>
          <w:tab w:val="right" w:leader="dot" w:pos="9350"/>
        </w:tabs>
        <w:rPr>
          <w:rFonts w:asciiTheme="minorHAnsi" w:hAnsiTheme="minorHAnsi" w:cstheme="minorBidi"/>
          <w:b w:val="0"/>
          <w:bCs w:val="0"/>
          <w:noProof/>
          <w:sz w:val="24"/>
          <w:szCs w:val="24"/>
          <w:lang w:eastAsia="en-GB"/>
        </w:rPr>
      </w:pPr>
      <w:hyperlink w:anchor="_Toc64723929" w:history="1">
        <w:r w:rsidR="00CE7BE0" w:rsidRPr="007B1712">
          <w:rPr>
            <w:rStyle w:val="Hyperlink"/>
            <w:noProof/>
          </w:rPr>
          <w:t>Chapter 4: Microvascular Perfusion Characteristics of the Thalamus and Areas of the Pain Matrix at Baseline Using Dynamic Susceptibility Contrast Magnetic Resonance Imaging.</w:t>
        </w:r>
        <w:r w:rsidR="00CE7BE0">
          <w:rPr>
            <w:noProof/>
            <w:webHidden/>
          </w:rPr>
          <w:tab/>
        </w:r>
        <w:r w:rsidR="00CE7BE0">
          <w:rPr>
            <w:noProof/>
            <w:webHidden/>
          </w:rPr>
          <w:fldChar w:fldCharType="begin"/>
        </w:r>
        <w:r w:rsidR="00CE7BE0">
          <w:rPr>
            <w:noProof/>
            <w:webHidden/>
          </w:rPr>
          <w:instrText xml:space="preserve"> PAGEREF _Toc64723929 \h </w:instrText>
        </w:r>
        <w:r w:rsidR="00CE7BE0">
          <w:rPr>
            <w:noProof/>
            <w:webHidden/>
          </w:rPr>
        </w:r>
        <w:r w:rsidR="00CE7BE0">
          <w:rPr>
            <w:noProof/>
            <w:webHidden/>
          </w:rPr>
          <w:fldChar w:fldCharType="separate"/>
        </w:r>
        <w:r w:rsidR="00CE7BE0">
          <w:rPr>
            <w:noProof/>
            <w:webHidden/>
          </w:rPr>
          <w:t>97</w:t>
        </w:r>
        <w:r w:rsidR="00CE7BE0">
          <w:rPr>
            <w:noProof/>
            <w:webHidden/>
          </w:rPr>
          <w:fldChar w:fldCharType="end"/>
        </w:r>
      </w:hyperlink>
    </w:p>
    <w:p w14:paraId="207ECB89" w14:textId="04BC496A" w:rsidR="00CE7BE0" w:rsidRDefault="006D3518">
      <w:pPr>
        <w:pStyle w:val="TOC2"/>
        <w:rPr>
          <w:rFonts w:asciiTheme="minorHAnsi" w:hAnsiTheme="minorHAnsi" w:cstheme="minorBidi"/>
          <w:iCs w:val="0"/>
          <w:noProof/>
          <w:sz w:val="24"/>
          <w:szCs w:val="24"/>
          <w:lang w:eastAsia="en-GB"/>
        </w:rPr>
      </w:pPr>
      <w:hyperlink w:anchor="_Toc64723930" w:history="1">
        <w:r w:rsidR="00CE7BE0" w:rsidRPr="007B1712">
          <w:rPr>
            <w:rStyle w:val="Hyperlink"/>
            <w:noProof/>
          </w:rPr>
          <w:t>Abstract</w:t>
        </w:r>
        <w:r w:rsidR="00CE7BE0">
          <w:rPr>
            <w:noProof/>
            <w:webHidden/>
          </w:rPr>
          <w:tab/>
        </w:r>
        <w:r w:rsidR="00CE7BE0">
          <w:rPr>
            <w:noProof/>
            <w:webHidden/>
          </w:rPr>
          <w:fldChar w:fldCharType="begin"/>
        </w:r>
        <w:r w:rsidR="00CE7BE0">
          <w:rPr>
            <w:noProof/>
            <w:webHidden/>
          </w:rPr>
          <w:instrText xml:space="preserve"> PAGEREF _Toc64723930 \h </w:instrText>
        </w:r>
        <w:r w:rsidR="00CE7BE0">
          <w:rPr>
            <w:noProof/>
            <w:webHidden/>
          </w:rPr>
        </w:r>
        <w:r w:rsidR="00CE7BE0">
          <w:rPr>
            <w:noProof/>
            <w:webHidden/>
          </w:rPr>
          <w:fldChar w:fldCharType="separate"/>
        </w:r>
        <w:r w:rsidR="00CE7BE0">
          <w:rPr>
            <w:noProof/>
            <w:webHidden/>
          </w:rPr>
          <w:t>97</w:t>
        </w:r>
        <w:r w:rsidR="00CE7BE0">
          <w:rPr>
            <w:noProof/>
            <w:webHidden/>
          </w:rPr>
          <w:fldChar w:fldCharType="end"/>
        </w:r>
      </w:hyperlink>
    </w:p>
    <w:p w14:paraId="3B52FD65" w14:textId="5FCDE323" w:rsidR="00CE7BE0" w:rsidRDefault="006D3518">
      <w:pPr>
        <w:pStyle w:val="TOC2"/>
        <w:rPr>
          <w:rFonts w:asciiTheme="minorHAnsi" w:hAnsiTheme="minorHAnsi" w:cstheme="minorBidi"/>
          <w:iCs w:val="0"/>
          <w:noProof/>
          <w:sz w:val="24"/>
          <w:szCs w:val="24"/>
          <w:lang w:eastAsia="en-GB"/>
        </w:rPr>
      </w:pPr>
      <w:hyperlink w:anchor="_Toc64723931" w:history="1">
        <w:r w:rsidR="00CE7BE0" w:rsidRPr="007B1712">
          <w:rPr>
            <w:rStyle w:val="Hyperlink"/>
            <w:noProof/>
          </w:rPr>
          <w:t>Introduction</w:t>
        </w:r>
        <w:r w:rsidR="00CE7BE0">
          <w:rPr>
            <w:noProof/>
            <w:webHidden/>
          </w:rPr>
          <w:tab/>
        </w:r>
        <w:r w:rsidR="00CE7BE0">
          <w:rPr>
            <w:noProof/>
            <w:webHidden/>
          </w:rPr>
          <w:fldChar w:fldCharType="begin"/>
        </w:r>
        <w:r w:rsidR="00CE7BE0">
          <w:rPr>
            <w:noProof/>
            <w:webHidden/>
          </w:rPr>
          <w:instrText xml:space="preserve"> PAGEREF _Toc64723931 \h </w:instrText>
        </w:r>
        <w:r w:rsidR="00CE7BE0">
          <w:rPr>
            <w:noProof/>
            <w:webHidden/>
          </w:rPr>
        </w:r>
        <w:r w:rsidR="00CE7BE0">
          <w:rPr>
            <w:noProof/>
            <w:webHidden/>
          </w:rPr>
          <w:fldChar w:fldCharType="separate"/>
        </w:r>
        <w:r w:rsidR="00CE7BE0">
          <w:rPr>
            <w:noProof/>
            <w:webHidden/>
          </w:rPr>
          <w:t>98</w:t>
        </w:r>
        <w:r w:rsidR="00CE7BE0">
          <w:rPr>
            <w:noProof/>
            <w:webHidden/>
          </w:rPr>
          <w:fldChar w:fldCharType="end"/>
        </w:r>
      </w:hyperlink>
    </w:p>
    <w:p w14:paraId="79CFCF20" w14:textId="044B020C" w:rsidR="00CE7BE0" w:rsidRDefault="006D3518">
      <w:pPr>
        <w:pStyle w:val="TOC2"/>
        <w:rPr>
          <w:rFonts w:asciiTheme="minorHAnsi" w:hAnsiTheme="minorHAnsi" w:cstheme="minorBidi"/>
          <w:iCs w:val="0"/>
          <w:noProof/>
          <w:sz w:val="24"/>
          <w:szCs w:val="24"/>
          <w:lang w:eastAsia="en-GB"/>
        </w:rPr>
      </w:pPr>
      <w:hyperlink w:anchor="_Toc64723932" w:history="1">
        <w:r w:rsidR="00CE7BE0" w:rsidRPr="007B1712">
          <w:rPr>
            <w:rStyle w:val="Hyperlink"/>
            <w:noProof/>
          </w:rPr>
          <w:t>Methods</w:t>
        </w:r>
        <w:r w:rsidR="00CE7BE0">
          <w:rPr>
            <w:noProof/>
            <w:webHidden/>
          </w:rPr>
          <w:tab/>
        </w:r>
        <w:r w:rsidR="00CE7BE0">
          <w:rPr>
            <w:noProof/>
            <w:webHidden/>
          </w:rPr>
          <w:fldChar w:fldCharType="begin"/>
        </w:r>
        <w:r w:rsidR="00CE7BE0">
          <w:rPr>
            <w:noProof/>
            <w:webHidden/>
          </w:rPr>
          <w:instrText xml:space="preserve"> PAGEREF _Toc64723932 \h </w:instrText>
        </w:r>
        <w:r w:rsidR="00CE7BE0">
          <w:rPr>
            <w:noProof/>
            <w:webHidden/>
          </w:rPr>
        </w:r>
        <w:r w:rsidR="00CE7BE0">
          <w:rPr>
            <w:noProof/>
            <w:webHidden/>
          </w:rPr>
          <w:fldChar w:fldCharType="separate"/>
        </w:r>
        <w:r w:rsidR="00CE7BE0">
          <w:rPr>
            <w:noProof/>
            <w:webHidden/>
          </w:rPr>
          <w:t>101</w:t>
        </w:r>
        <w:r w:rsidR="00CE7BE0">
          <w:rPr>
            <w:noProof/>
            <w:webHidden/>
          </w:rPr>
          <w:fldChar w:fldCharType="end"/>
        </w:r>
      </w:hyperlink>
    </w:p>
    <w:p w14:paraId="3449EABF" w14:textId="2A3C94F0" w:rsidR="00CE7BE0" w:rsidRDefault="006D3518">
      <w:pPr>
        <w:pStyle w:val="TOC3"/>
        <w:tabs>
          <w:tab w:val="right" w:leader="dot" w:pos="9350"/>
        </w:tabs>
        <w:rPr>
          <w:rFonts w:asciiTheme="minorHAnsi" w:hAnsiTheme="minorHAnsi" w:cstheme="minorBidi"/>
          <w:noProof/>
          <w:sz w:val="24"/>
          <w:szCs w:val="24"/>
          <w:lang w:eastAsia="en-GB"/>
        </w:rPr>
      </w:pPr>
      <w:hyperlink w:anchor="_Toc64723933" w:history="1">
        <w:r w:rsidR="00CE7BE0" w:rsidRPr="007B1712">
          <w:rPr>
            <w:rStyle w:val="Hyperlink"/>
            <w:noProof/>
          </w:rPr>
          <w:t>Statistical Analysis</w:t>
        </w:r>
        <w:r w:rsidR="00CE7BE0">
          <w:rPr>
            <w:noProof/>
            <w:webHidden/>
          </w:rPr>
          <w:tab/>
        </w:r>
        <w:r w:rsidR="00CE7BE0">
          <w:rPr>
            <w:noProof/>
            <w:webHidden/>
          </w:rPr>
          <w:fldChar w:fldCharType="begin"/>
        </w:r>
        <w:r w:rsidR="00CE7BE0">
          <w:rPr>
            <w:noProof/>
            <w:webHidden/>
          </w:rPr>
          <w:instrText xml:space="preserve"> PAGEREF _Toc64723933 \h </w:instrText>
        </w:r>
        <w:r w:rsidR="00CE7BE0">
          <w:rPr>
            <w:noProof/>
            <w:webHidden/>
          </w:rPr>
        </w:r>
        <w:r w:rsidR="00CE7BE0">
          <w:rPr>
            <w:noProof/>
            <w:webHidden/>
          </w:rPr>
          <w:fldChar w:fldCharType="separate"/>
        </w:r>
        <w:r w:rsidR="00CE7BE0">
          <w:rPr>
            <w:noProof/>
            <w:webHidden/>
          </w:rPr>
          <w:t>103</w:t>
        </w:r>
        <w:r w:rsidR="00CE7BE0">
          <w:rPr>
            <w:noProof/>
            <w:webHidden/>
          </w:rPr>
          <w:fldChar w:fldCharType="end"/>
        </w:r>
      </w:hyperlink>
    </w:p>
    <w:p w14:paraId="12BF7F6D" w14:textId="30FBEE84" w:rsidR="00CE7BE0" w:rsidRDefault="006D3518">
      <w:pPr>
        <w:pStyle w:val="TOC2"/>
        <w:rPr>
          <w:rFonts w:asciiTheme="minorHAnsi" w:hAnsiTheme="minorHAnsi" w:cstheme="minorBidi"/>
          <w:iCs w:val="0"/>
          <w:noProof/>
          <w:sz w:val="24"/>
          <w:szCs w:val="24"/>
          <w:lang w:eastAsia="en-GB"/>
        </w:rPr>
      </w:pPr>
      <w:hyperlink w:anchor="_Toc64723934" w:history="1">
        <w:r w:rsidR="00CE7BE0" w:rsidRPr="007B1712">
          <w:rPr>
            <w:rStyle w:val="Hyperlink"/>
            <w:noProof/>
          </w:rPr>
          <w:t>Results</w:t>
        </w:r>
        <w:r w:rsidR="00CE7BE0">
          <w:rPr>
            <w:noProof/>
            <w:webHidden/>
          </w:rPr>
          <w:tab/>
        </w:r>
        <w:r w:rsidR="00CE7BE0">
          <w:rPr>
            <w:noProof/>
            <w:webHidden/>
          </w:rPr>
          <w:fldChar w:fldCharType="begin"/>
        </w:r>
        <w:r w:rsidR="00CE7BE0">
          <w:rPr>
            <w:noProof/>
            <w:webHidden/>
          </w:rPr>
          <w:instrText xml:space="preserve"> PAGEREF _Toc64723934 \h </w:instrText>
        </w:r>
        <w:r w:rsidR="00CE7BE0">
          <w:rPr>
            <w:noProof/>
            <w:webHidden/>
          </w:rPr>
        </w:r>
        <w:r w:rsidR="00CE7BE0">
          <w:rPr>
            <w:noProof/>
            <w:webHidden/>
          </w:rPr>
          <w:fldChar w:fldCharType="separate"/>
        </w:r>
        <w:r w:rsidR="00CE7BE0">
          <w:rPr>
            <w:noProof/>
            <w:webHidden/>
          </w:rPr>
          <w:t>104</w:t>
        </w:r>
        <w:r w:rsidR="00CE7BE0">
          <w:rPr>
            <w:noProof/>
            <w:webHidden/>
          </w:rPr>
          <w:fldChar w:fldCharType="end"/>
        </w:r>
      </w:hyperlink>
    </w:p>
    <w:p w14:paraId="57882A80" w14:textId="649A5BF7" w:rsidR="00CE7BE0" w:rsidRDefault="006D3518">
      <w:pPr>
        <w:pStyle w:val="TOC3"/>
        <w:tabs>
          <w:tab w:val="right" w:leader="dot" w:pos="9350"/>
        </w:tabs>
        <w:rPr>
          <w:rFonts w:asciiTheme="minorHAnsi" w:hAnsiTheme="minorHAnsi" w:cstheme="minorBidi"/>
          <w:noProof/>
          <w:sz w:val="24"/>
          <w:szCs w:val="24"/>
          <w:lang w:eastAsia="en-GB"/>
        </w:rPr>
      </w:pPr>
      <w:hyperlink w:anchor="_Toc64723935" w:history="1">
        <w:r w:rsidR="00CE7BE0" w:rsidRPr="007B1712">
          <w:rPr>
            <w:rStyle w:val="Hyperlink"/>
            <w:noProof/>
          </w:rPr>
          <w:t>Baseline Characteristics</w:t>
        </w:r>
        <w:r w:rsidR="00CE7BE0">
          <w:rPr>
            <w:noProof/>
            <w:webHidden/>
          </w:rPr>
          <w:tab/>
        </w:r>
        <w:r w:rsidR="00CE7BE0">
          <w:rPr>
            <w:noProof/>
            <w:webHidden/>
          </w:rPr>
          <w:fldChar w:fldCharType="begin"/>
        </w:r>
        <w:r w:rsidR="00CE7BE0">
          <w:rPr>
            <w:noProof/>
            <w:webHidden/>
          </w:rPr>
          <w:instrText xml:space="preserve"> PAGEREF _Toc64723935 \h </w:instrText>
        </w:r>
        <w:r w:rsidR="00CE7BE0">
          <w:rPr>
            <w:noProof/>
            <w:webHidden/>
          </w:rPr>
        </w:r>
        <w:r w:rsidR="00CE7BE0">
          <w:rPr>
            <w:noProof/>
            <w:webHidden/>
          </w:rPr>
          <w:fldChar w:fldCharType="separate"/>
        </w:r>
        <w:r w:rsidR="00CE7BE0">
          <w:rPr>
            <w:noProof/>
            <w:webHidden/>
          </w:rPr>
          <w:t>104</w:t>
        </w:r>
        <w:r w:rsidR="00CE7BE0">
          <w:rPr>
            <w:noProof/>
            <w:webHidden/>
          </w:rPr>
          <w:fldChar w:fldCharType="end"/>
        </w:r>
      </w:hyperlink>
    </w:p>
    <w:p w14:paraId="1DD3494B" w14:textId="39590CBB" w:rsidR="00CE7BE0" w:rsidRDefault="006D3518">
      <w:pPr>
        <w:pStyle w:val="TOC3"/>
        <w:tabs>
          <w:tab w:val="right" w:leader="dot" w:pos="9350"/>
        </w:tabs>
        <w:rPr>
          <w:rFonts w:asciiTheme="minorHAnsi" w:hAnsiTheme="minorHAnsi" w:cstheme="minorBidi"/>
          <w:noProof/>
          <w:sz w:val="24"/>
          <w:szCs w:val="24"/>
          <w:lang w:eastAsia="en-GB"/>
        </w:rPr>
      </w:pPr>
      <w:hyperlink w:anchor="_Toc64723936" w:history="1">
        <w:r w:rsidR="00CE7BE0" w:rsidRPr="007B1712">
          <w:rPr>
            <w:rStyle w:val="Hyperlink"/>
            <w:noProof/>
          </w:rPr>
          <w:t>Baseline RBV</w:t>
        </w:r>
        <w:r w:rsidR="00CE7BE0">
          <w:rPr>
            <w:noProof/>
            <w:webHidden/>
          </w:rPr>
          <w:tab/>
        </w:r>
        <w:r w:rsidR="00CE7BE0">
          <w:rPr>
            <w:noProof/>
            <w:webHidden/>
          </w:rPr>
          <w:fldChar w:fldCharType="begin"/>
        </w:r>
        <w:r w:rsidR="00CE7BE0">
          <w:rPr>
            <w:noProof/>
            <w:webHidden/>
          </w:rPr>
          <w:instrText xml:space="preserve"> PAGEREF _Toc64723936 \h </w:instrText>
        </w:r>
        <w:r w:rsidR="00CE7BE0">
          <w:rPr>
            <w:noProof/>
            <w:webHidden/>
          </w:rPr>
        </w:r>
        <w:r w:rsidR="00CE7BE0">
          <w:rPr>
            <w:noProof/>
            <w:webHidden/>
          </w:rPr>
          <w:fldChar w:fldCharType="separate"/>
        </w:r>
        <w:r w:rsidR="00CE7BE0">
          <w:rPr>
            <w:noProof/>
            <w:webHidden/>
          </w:rPr>
          <w:t>107</w:t>
        </w:r>
        <w:r w:rsidR="00CE7BE0">
          <w:rPr>
            <w:noProof/>
            <w:webHidden/>
          </w:rPr>
          <w:fldChar w:fldCharType="end"/>
        </w:r>
      </w:hyperlink>
    </w:p>
    <w:p w14:paraId="4DAF7F16" w14:textId="0294131E" w:rsidR="00CE7BE0" w:rsidRDefault="006D3518">
      <w:pPr>
        <w:pStyle w:val="TOC3"/>
        <w:tabs>
          <w:tab w:val="right" w:leader="dot" w:pos="9350"/>
        </w:tabs>
        <w:rPr>
          <w:rFonts w:asciiTheme="minorHAnsi" w:hAnsiTheme="minorHAnsi" w:cstheme="minorBidi"/>
          <w:noProof/>
          <w:sz w:val="24"/>
          <w:szCs w:val="24"/>
          <w:lang w:eastAsia="en-GB"/>
        </w:rPr>
      </w:pPr>
      <w:hyperlink w:anchor="_Toc64723937" w:history="1">
        <w:r w:rsidR="00CE7BE0" w:rsidRPr="007B1712">
          <w:rPr>
            <w:rStyle w:val="Hyperlink"/>
            <w:noProof/>
          </w:rPr>
          <w:t>Baseline RBF</w:t>
        </w:r>
        <w:r w:rsidR="00CE7BE0">
          <w:rPr>
            <w:noProof/>
            <w:webHidden/>
          </w:rPr>
          <w:tab/>
        </w:r>
        <w:r w:rsidR="00CE7BE0">
          <w:rPr>
            <w:noProof/>
            <w:webHidden/>
          </w:rPr>
          <w:fldChar w:fldCharType="begin"/>
        </w:r>
        <w:r w:rsidR="00CE7BE0">
          <w:rPr>
            <w:noProof/>
            <w:webHidden/>
          </w:rPr>
          <w:instrText xml:space="preserve"> PAGEREF _Toc64723937 \h </w:instrText>
        </w:r>
        <w:r w:rsidR="00CE7BE0">
          <w:rPr>
            <w:noProof/>
            <w:webHidden/>
          </w:rPr>
        </w:r>
        <w:r w:rsidR="00CE7BE0">
          <w:rPr>
            <w:noProof/>
            <w:webHidden/>
          </w:rPr>
          <w:fldChar w:fldCharType="separate"/>
        </w:r>
        <w:r w:rsidR="00CE7BE0">
          <w:rPr>
            <w:noProof/>
            <w:webHidden/>
          </w:rPr>
          <w:t>107</w:t>
        </w:r>
        <w:r w:rsidR="00CE7BE0">
          <w:rPr>
            <w:noProof/>
            <w:webHidden/>
          </w:rPr>
          <w:fldChar w:fldCharType="end"/>
        </w:r>
      </w:hyperlink>
    </w:p>
    <w:p w14:paraId="60AB5BB6" w14:textId="7DF3CC90" w:rsidR="00CE7BE0" w:rsidRDefault="006D3518">
      <w:pPr>
        <w:pStyle w:val="TOC3"/>
        <w:tabs>
          <w:tab w:val="right" w:leader="dot" w:pos="9350"/>
        </w:tabs>
        <w:rPr>
          <w:rFonts w:asciiTheme="minorHAnsi" w:hAnsiTheme="minorHAnsi" w:cstheme="minorBidi"/>
          <w:noProof/>
          <w:sz w:val="24"/>
          <w:szCs w:val="24"/>
          <w:lang w:eastAsia="en-GB"/>
        </w:rPr>
      </w:pPr>
      <w:hyperlink w:anchor="_Toc64723938" w:history="1">
        <w:r w:rsidR="00CE7BE0" w:rsidRPr="007B1712">
          <w:rPr>
            <w:rStyle w:val="Hyperlink"/>
            <w:noProof/>
          </w:rPr>
          <w:t>Baseline MTT</w:t>
        </w:r>
        <w:r w:rsidR="00CE7BE0">
          <w:rPr>
            <w:noProof/>
            <w:webHidden/>
          </w:rPr>
          <w:tab/>
        </w:r>
        <w:r w:rsidR="00CE7BE0">
          <w:rPr>
            <w:noProof/>
            <w:webHidden/>
          </w:rPr>
          <w:fldChar w:fldCharType="begin"/>
        </w:r>
        <w:r w:rsidR="00CE7BE0">
          <w:rPr>
            <w:noProof/>
            <w:webHidden/>
          </w:rPr>
          <w:instrText xml:space="preserve"> PAGEREF _Toc64723938 \h </w:instrText>
        </w:r>
        <w:r w:rsidR="00CE7BE0">
          <w:rPr>
            <w:noProof/>
            <w:webHidden/>
          </w:rPr>
        </w:r>
        <w:r w:rsidR="00CE7BE0">
          <w:rPr>
            <w:noProof/>
            <w:webHidden/>
          </w:rPr>
          <w:fldChar w:fldCharType="separate"/>
        </w:r>
        <w:r w:rsidR="00CE7BE0">
          <w:rPr>
            <w:noProof/>
            <w:webHidden/>
          </w:rPr>
          <w:t>108</w:t>
        </w:r>
        <w:r w:rsidR="00CE7BE0">
          <w:rPr>
            <w:noProof/>
            <w:webHidden/>
          </w:rPr>
          <w:fldChar w:fldCharType="end"/>
        </w:r>
      </w:hyperlink>
    </w:p>
    <w:p w14:paraId="28EA4476" w14:textId="0EA9703A" w:rsidR="00CE7BE0" w:rsidRDefault="006D3518">
      <w:pPr>
        <w:pStyle w:val="TOC3"/>
        <w:tabs>
          <w:tab w:val="right" w:leader="dot" w:pos="9350"/>
        </w:tabs>
        <w:rPr>
          <w:rFonts w:asciiTheme="minorHAnsi" w:hAnsiTheme="minorHAnsi" w:cstheme="minorBidi"/>
          <w:noProof/>
          <w:sz w:val="24"/>
          <w:szCs w:val="24"/>
          <w:lang w:eastAsia="en-GB"/>
        </w:rPr>
      </w:pPr>
      <w:hyperlink w:anchor="_Toc64723939" w:history="1">
        <w:r w:rsidR="00CE7BE0" w:rsidRPr="007B1712">
          <w:rPr>
            <w:rStyle w:val="Hyperlink"/>
            <w:noProof/>
          </w:rPr>
          <w:t>MTT: further exploration</w:t>
        </w:r>
        <w:r w:rsidR="00CE7BE0">
          <w:rPr>
            <w:noProof/>
            <w:webHidden/>
          </w:rPr>
          <w:tab/>
        </w:r>
        <w:r w:rsidR="00CE7BE0">
          <w:rPr>
            <w:noProof/>
            <w:webHidden/>
          </w:rPr>
          <w:fldChar w:fldCharType="begin"/>
        </w:r>
        <w:r w:rsidR="00CE7BE0">
          <w:rPr>
            <w:noProof/>
            <w:webHidden/>
          </w:rPr>
          <w:instrText xml:space="preserve"> PAGEREF _Toc64723939 \h </w:instrText>
        </w:r>
        <w:r w:rsidR="00CE7BE0">
          <w:rPr>
            <w:noProof/>
            <w:webHidden/>
          </w:rPr>
        </w:r>
        <w:r w:rsidR="00CE7BE0">
          <w:rPr>
            <w:noProof/>
            <w:webHidden/>
          </w:rPr>
          <w:fldChar w:fldCharType="separate"/>
        </w:r>
        <w:r w:rsidR="00CE7BE0">
          <w:rPr>
            <w:noProof/>
            <w:webHidden/>
          </w:rPr>
          <w:t>109</w:t>
        </w:r>
        <w:r w:rsidR="00CE7BE0">
          <w:rPr>
            <w:noProof/>
            <w:webHidden/>
          </w:rPr>
          <w:fldChar w:fldCharType="end"/>
        </w:r>
      </w:hyperlink>
    </w:p>
    <w:p w14:paraId="3E51398F" w14:textId="61AEAB49" w:rsidR="00CE7BE0" w:rsidRDefault="006D3518">
      <w:pPr>
        <w:pStyle w:val="TOC3"/>
        <w:tabs>
          <w:tab w:val="right" w:leader="dot" w:pos="9350"/>
        </w:tabs>
        <w:rPr>
          <w:rFonts w:asciiTheme="minorHAnsi" w:hAnsiTheme="minorHAnsi" w:cstheme="minorBidi"/>
          <w:noProof/>
          <w:sz w:val="24"/>
          <w:szCs w:val="24"/>
          <w:lang w:eastAsia="en-GB"/>
        </w:rPr>
      </w:pPr>
      <w:hyperlink w:anchor="_Toc64723940" w:history="1">
        <w:r w:rsidR="00CE7BE0" w:rsidRPr="007B1712">
          <w:rPr>
            <w:rStyle w:val="Hyperlink"/>
            <w:noProof/>
          </w:rPr>
          <w:t>Baseline TTP</w:t>
        </w:r>
        <w:r w:rsidR="00CE7BE0">
          <w:rPr>
            <w:noProof/>
            <w:webHidden/>
          </w:rPr>
          <w:tab/>
        </w:r>
        <w:r w:rsidR="00CE7BE0">
          <w:rPr>
            <w:noProof/>
            <w:webHidden/>
          </w:rPr>
          <w:fldChar w:fldCharType="begin"/>
        </w:r>
        <w:r w:rsidR="00CE7BE0">
          <w:rPr>
            <w:noProof/>
            <w:webHidden/>
          </w:rPr>
          <w:instrText xml:space="preserve"> PAGEREF _Toc64723940 \h </w:instrText>
        </w:r>
        <w:r w:rsidR="00CE7BE0">
          <w:rPr>
            <w:noProof/>
            <w:webHidden/>
          </w:rPr>
        </w:r>
        <w:r w:rsidR="00CE7BE0">
          <w:rPr>
            <w:noProof/>
            <w:webHidden/>
          </w:rPr>
          <w:fldChar w:fldCharType="separate"/>
        </w:r>
        <w:r w:rsidR="00CE7BE0">
          <w:rPr>
            <w:noProof/>
            <w:webHidden/>
          </w:rPr>
          <w:t>110</w:t>
        </w:r>
        <w:r w:rsidR="00CE7BE0">
          <w:rPr>
            <w:noProof/>
            <w:webHidden/>
          </w:rPr>
          <w:fldChar w:fldCharType="end"/>
        </w:r>
      </w:hyperlink>
    </w:p>
    <w:p w14:paraId="4D1A02DB" w14:textId="04FCE006" w:rsidR="00CE7BE0" w:rsidRDefault="006D3518">
      <w:pPr>
        <w:pStyle w:val="TOC3"/>
        <w:tabs>
          <w:tab w:val="right" w:leader="dot" w:pos="9350"/>
        </w:tabs>
        <w:rPr>
          <w:rFonts w:asciiTheme="minorHAnsi" w:hAnsiTheme="minorHAnsi" w:cstheme="minorBidi"/>
          <w:noProof/>
          <w:sz w:val="24"/>
          <w:szCs w:val="24"/>
          <w:lang w:eastAsia="en-GB"/>
        </w:rPr>
      </w:pPr>
      <w:hyperlink w:anchor="_Toc64723941" w:history="1">
        <w:r w:rsidR="00CE7BE0" w:rsidRPr="007B1712">
          <w:rPr>
            <w:rStyle w:val="Hyperlink"/>
            <w:noProof/>
          </w:rPr>
          <w:t>Baseline values for P-DPN stratified by the presence of neuropathic pain at the time of scanning.</w:t>
        </w:r>
        <w:r w:rsidR="00CE7BE0">
          <w:rPr>
            <w:noProof/>
            <w:webHidden/>
          </w:rPr>
          <w:tab/>
        </w:r>
        <w:r w:rsidR="00CE7BE0">
          <w:rPr>
            <w:noProof/>
            <w:webHidden/>
          </w:rPr>
          <w:fldChar w:fldCharType="begin"/>
        </w:r>
        <w:r w:rsidR="00CE7BE0">
          <w:rPr>
            <w:noProof/>
            <w:webHidden/>
          </w:rPr>
          <w:instrText xml:space="preserve"> PAGEREF _Toc64723941 \h </w:instrText>
        </w:r>
        <w:r w:rsidR="00CE7BE0">
          <w:rPr>
            <w:noProof/>
            <w:webHidden/>
          </w:rPr>
        </w:r>
        <w:r w:rsidR="00CE7BE0">
          <w:rPr>
            <w:noProof/>
            <w:webHidden/>
          </w:rPr>
          <w:fldChar w:fldCharType="separate"/>
        </w:r>
        <w:r w:rsidR="00CE7BE0">
          <w:rPr>
            <w:noProof/>
            <w:webHidden/>
          </w:rPr>
          <w:t>111</w:t>
        </w:r>
        <w:r w:rsidR="00CE7BE0">
          <w:rPr>
            <w:noProof/>
            <w:webHidden/>
          </w:rPr>
          <w:fldChar w:fldCharType="end"/>
        </w:r>
      </w:hyperlink>
    </w:p>
    <w:p w14:paraId="79EC7893" w14:textId="0A2CFA12" w:rsidR="00CE7BE0" w:rsidRDefault="006D3518">
      <w:pPr>
        <w:pStyle w:val="TOC2"/>
        <w:rPr>
          <w:rFonts w:asciiTheme="minorHAnsi" w:hAnsiTheme="minorHAnsi" w:cstheme="minorBidi"/>
          <w:iCs w:val="0"/>
          <w:noProof/>
          <w:sz w:val="24"/>
          <w:szCs w:val="24"/>
          <w:lang w:eastAsia="en-GB"/>
        </w:rPr>
      </w:pPr>
      <w:hyperlink w:anchor="_Toc64723942" w:history="1">
        <w:r w:rsidR="00CE7BE0" w:rsidRPr="007B1712">
          <w:rPr>
            <w:rStyle w:val="Hyperlink"/>
            <w:noProof/>
          </w:rPr>
          <w:t>Discussion</w:t>
        </w:r>
        <w:r w:rsidR="00CE7BE0">
          <w:rPr>
            <w:noProof/>
            <w:webHidden/>
          </w:rPr>
          <w:tab/>
        </w:r>
        <w:r w:rsidR="00CE7BE0">
          <w:rPr>
            <w:noProof/>
            <w:webHidden/>
          </w:rPr>
          <w:fldChar w:fldCharType="begin"/>
        </w:r>
        <w:r w:rsidR="00CE7BE0">
          <w:rPr>
            <w:noProof/>
            <w:webHidden/>
          </w:rPr>
          <w:instrText xml:space="preserve"> PAGEREF _Toc64723942 \h </w:instrText>
        </w:r>
        <w:r w:rsidR="00CE7BE0">
          <w:rPr>
            <w:noProof/>
            <w:webHidden/>
          </w:rPr>
        </w:r>
        <w:r w:rsidR="00CE7BE0">
          <w:rPr>
            <w:noProof/>
            <w:webHidden/>
          </w:rPr>
          <w:fldChar w:fldCharType="separate"/>
        </w:r>
        <w:r w:rsidR="00CE7BE0">
          <w:rPr>
            <w:noProof/>
            <w:webHidden/>
          </w:rPr>
          <w:t>114</w:t>
        </w:r>
        <w:r w:rsidR="00CE7BE0">
          <w:rPr>
            <w:noProof/>
            <w:webHidden/>
          </w:rPr>
          <w:fldChar w:fldCharType="end"/>
        </w:r>
      </w:hyperlink>
    </w:p>
    <w:p w14:paraId="7FDAAA9E" w14:textId="3A251D16" w:rsidR="00CE7BE0" w:rsidRDefault="006D3518">
      <w:pPr>
        <w:pStyle w:val="TOC2"/>
        <w:rPr>
          <w:rFonts w:asciiTheme="minorHAnsi" w:hAnsiTheme="minorHAnsi" w:cstheme="minorBidi"/>
          <w:iCs w:val="0"/>
          <w:noProof/>
          <w:sz w:val="24"/>
          <w:szCs w:val="24"/>
          <w:lang w:eastAsia="en-GB"/>
        </w:rPr>
      </w:pPr>
      <w:hyperlink w:anchor="_Toc64723943" w:history="1">
        <w:r w:rsidR="00CE7BE0" w:rsidRPr="007B1712">
          <w:rPr>
            <w:rStyle w:val="Hyperlink"/>
            <w:noProof/>
          </w:rPr>
          <w:t>Conclusion:</w:t>
        </w:r>
        <w:r w:rsidR="00CE7BE0">
          <w:rPr>
            <w:noProof/>
            <w:webHidden/>
          </w:rPr>
          <w:tab/>
        </w:r>
        <w:r w:rsidR="00CE7BE0">
          <w:rPr>
            <w:noProof/>
            <w:webHidden/>
          </w:rPr>
          <w:fldChar w:fldCharType="begin"/>
        </w:r>
        <w:r w:rsidR="00CE7BE0">
          <w:rPr>
            <w:noProof/>
            <w:webHidden/>
          </w:rPr>
          <w:instrText xml:space="preserve"> PAGEREF _Toc64723943 \h </w:instrText>
        </w:r>
        <w:r w:rsidR="00CE7BE0">
          <w:rPr>
            <w:noProof/>
            <w:webHidden/>
          </w:rPr>
        </w:r>
        <w:r w:rsidR="00CE7BE0">
          <w:rPr>
            <w:noProof/>
            <w:webHidden/>
          </w:rPr>
          <w:fldChar w:fldCharType="separate"/>
        </w:r>
        <w:r w:rsidR="00CE7BE0">
          <w:rPr>
            <w:noProof/>
            <w:webHidden/>
          </w:rPr>
          <w:t>124</w:t>
        </w:r>
        <w:r w:rsidR="00CE7BE0">
          <w:rPr>
            <w:noProof/>
            <w:webHidden/>
          </w:rPr>
          <w:fldChar w:fldCharType="end"/>
        </w:r>
      </w:hyperlink>
    </w:p>
    <w:p w14:paraId="02D05C20" w14:textId="1FA226CB" w:rsidR="00CE7BE0" w:rsidRDefault="006D3518">
      <w:pPr>
        <w:pStyle w:val="TOC1"/>
        <w:tabs>
          <w:tab w:val="right" w:leader="dot" w:pos="9350"/>
        </w:tabs>
        <w:rPr>
          <w:rFonts w:asciiTheme="minorHAnsi" w:hAnsiTheme="minorHAnsi" w:cstheme="minorBidi"/>
          <w:b w:val="0"/>
          <w:bCs w:val="0"/>
          <w:noProof/>
          <w:sz w:val="24"/>
          <w:szCs w:val="24"/>
          <w:lang w:eastAsia="en-GB"/>
        </w:rPr>
      </w:pPr>
      <w:hyperlink w:anchor="_Toc64723944" w:history="1">
        <w:r w:rsidR="00CE7BE0" w:rsidRPr="007B1712">
          <w:rPr>
            <w:rStyle w:val="Hyperlink"/>
            <w:noProof/>
          </w:rPr>
          <w:t>Chapter 5: The Effect of a Noxious Thermal Stimulus on the Microvascular Perfusion of the Thalamus and Areas of the Pain Matrix, in Painful Diabetic Neuropathy Using Dynamic Susceptibility Contrast Magnetic Resonance Imaging</w:t>
        </w:r>
        <w:r w:rsidR="00CE7BE0">
          <w:rPr>
            <w:noProof/>
            <w:webHidden/>
          </w:rPr>
          <w:tab/>
        </w:r>
        <w:r w:rsidR="00CE7BE0">
          <w:rPr>
            <w:noProof/>
            <w:webHidden/>
          </w:rPr>
          <w:fldChar w:fldCharType="begin"/>
        </w:r>
        <w:r w:rsidR="00CE7BE0">
          <w:rPr>
            <w:noProof/>
            <w:webHidden/>
          </w:rPr>
          <w:instrText xml:space="preserve"> PAGEREF _Toc64723944 \h </w:instrText>
        </w:r>
        <w:r w:rsidR="00CE7BE0">
          <w:rPr>
            <w:noProof/>
            <w:webHidden/>
          </w:rPr>
        </w:r>
        <w:r w:rsidR="00CE7BE0">
          <w:rPr>
            <w:noProof/>
            <w:webHidden/>
          </w:rPr>
          <w:fldChar w:fldCharType="separate"/>
        </w:r>
        <w:r w:rsidR="00CE7BE0">
          <w:rPr>
            <w:noProof/>
            <w:webHidden/>
          </w:rPr>
          <w:t>125</w:t>
        </w:r>
        <w:r w:rsidR="00CE7BE0">
          <w:rPr>
            <w:noProof/>
            <w:webHidden/>
          </w:rPr>
          <w:fldChar w:fldCharType="end"/>
        </w:r>
      </w:hyperlink>
    </w:p>
    <w:p w14:paraId="0E6ADA52" w14:textId="74858387" w:rsidR="00CE7BE0" w:rsidRDefault="006D3518">
      <w:pPr>
        <w:pStyle w:val="TOC2"/>
        <w:rPr>
          <w:rFonts w:asciiTheme="minorHAnsi" w:hAnsiTheme="minorHAnsi" w:cstheme="minorBidi"/>
          <w:iCs w:val="0"/>
          <w:noProof/>
          <w:sz w:val="24"/>
          <w:szCs w:val="24"/>
          <w:lang w:eastAsia="en-GB"/>
        </w:rPr>
      </w:pPr>
      <w:hyperlink w:anchor="_Toc64723945" w:history="1">
        <w:r w:rsidR="00CE7BE0" w:rsidRPr="007B1712">
          <w:rPr>
            <w:rStyle w:val="Hyperlink"/>
            <w:noProof/>
          </w:rPr>
          <w:t>Abstract</w:t>
        </w:r>
        <w:r w:rsidR="00CE7BE0">
          <w:rPr>
            <w:noProof/>
            <w:webHidden/>
          </w:rPr>
          <w:tab/>
        </w:r>
        <w:r w:rsidR="00CE7BE0">
          <w:rPr>
            <w:noProof/>
            <w:webHidden/>
          </w:rPr>
          <w:fldChar w:fldCharType="begin"/>
        </w:r>
        <w:r w:rsidR="00CE7BE0">
          <w:rPr>
            <w:noProof/>
            <w:webHidden/>
          </w:rPr>
          <w:instrText xml:space="preserve"> PAGEREF _Toc64723945 \h </w:instrText>
        </w:r>
        <w:r w:rsidR="00CE7BE0">
          <w:rPr>
            <w:noProof/>
            <w:webHidden/>
          </w:rPr>
        </w:r>
        <w:r w:rsidR="00CE7BE0">
          <w:rPr>
            <w:noProof/>
            <w:webHidden/>
          </w:rPr>
          <w:fldChar w:fldCharType="separate"/>
        </w:r>
        <w:r w:rsidR="00CE7BE0">
          <w:rPr>
            <w:noProof/>
            <w:webHidden/>
          </w:rPr>
          <w:t>125</w:t>
        </w:r>
        <w:r w:rsidR="00CE7BE0">
          <w:rPr>
            <w:noProof/>
            <w:webHidden/>
          </w:rPr>
          <w:fldChar w:fldCharType="end"/>
        </w:r>
      </w:hyperlink>
    </w:p>
    <w:p w14:paraId="34463317" w14:textId="66E327EC" w:rsidR="00CE7BE0" w:rsidRDefault="006D3518">
      <w:pPr>
        <w:pStyle w:val="TOC2"/>
        <w:rPr>
          <w:rFonts w:asciiTheme="minorHAnsi" w:hAnsiTheme="minorHAnsi" w:cstheme="minorBidi"/>
          <w:iCs w:val="0"/>
          <w:noProof/>
          <w:sz w:val="24"/>
          <w:szCs w:val="24"/>
          <w:lang w:eastAsia="en-GB"/>
        </w:rPr>
      </w:pPr>
      <w:hyperlink w:anchor="_Toc64723946" w:history="1">
        <w:r w:rsidR="00CE7BE0" w:rsidRPr="007B1712">
          <w:rPr>
            <w:rStyle w:val="Hyperlink"/>
            <w:noProof/>
          </w:rPr>
          <w:t>Introduction</w:t>
        </w:r>
        <w:r w:rsidR="00CE7BE0">
          <w:rPr>
            <w:noProof/>
            <w:webHidden/>
          </w:rPr>
          <w:tab/>
        </w:r>
        <w:r w:rsidR="00CE7BE0">
          <w:rPr>
            <w:noProof/>
            <w:webHidden/>
          </w:rPr>
          <w:fldChar w:fldCharType="begin"/>
        </w:r>
        <w:r w:rsidR="00CE7BE0">
          <w:rPr>
            <w:noProof/>
            <w:webHidden/>
          </w:rPr>
          <w:instrText xml:space="preserve"> PAGEREF _Toc64723946 \h </w:instrText>
        </w:r>
        <w:r w:rsidR="00CE7BE0">
          <w:rPr>
            <w:noProof/>
            <w:webHidden/>
          </w:rPr>
        </w:r>
        <w:r w:rsidR="00CE7BE0">
          <w:rPr>
            <w:noProof/>
            <w:webHidden/>
          </w:rPr>
          <w:fldChar w:fldCharType="separate"/>
        </w:r>
        <w:r w:rsidR="00CE7BE0">
          <w:rPr>
            <w:noProof/>
            <w:webHidden/>
          </w:rPr>
          <w:t>126</w:t>
        </w:r>
        <w:r w:rsidR="00CE7BE0">
          <w:rPr>
            <w:noProof/>
            <w:webHidden/>
          </w:rPr>
          <w:fldChar w:fldCharType="end"/>
        </w:r>
      </w:hyperlink>
    </w:p>
    <w:p w14:paraId="0422C5C9" w14:textId="79652787" w:rsidR="00CE7BE0" w:rsidRDefault="006D3518">
      <w:pPr>
        <w:pStyle w:val="TOC2"/>
        <w:rPr>
          <w:rFonts w:asciiTheme="minorHAnsi" w:hAnsiTheme="minorHAnsi" w:cstheme="minorBidi"/>
          <w:iCs w:val="0"/>
          <w:noProof/>
          <w:sz w:val="24"/>
          <w:szCs w:val="24"/>
          <w:lang w:eastAsia="en-GB"/>
        </w:rPr>
      </w:pPr>
      <w:hyperlink w:anchor="_Toc64723947" w:history="1">
        <w:r w:rsidR="00CE7BE0" w:rsidRPr="007B1712">
          <w:rPr>
            <w:rStyle w:val="Hyperlink"/>
            <w:noProof/>
          </w:rPr>
          <w:t>Method:</w:t>
        </w:r>
        <w:r w:rsidR="00CE7BE0">
          <w:rPr>
            <w:noProof/>
            <w:webHidden/>
          </w:rPr>
          <w:tab/>
        </w:r>
        <w:r w:rsidR="00CE7BE0">
          <w:rPr>
            <w:noProof/>
            <w:webHidden/>
          </w:rPr>
          <w:fldChar w:fldCharType="begin"/>
        </w:r>
        <w:r w:rsidR="00CE7BE0">
          <w:rPr>
            <w:noProof/>
            <w:webHidden/>
          </w:rPr>
          <w:instrText xml:space="preserve"> PAGEREF _Toc64723947 \h </w:instrText>
        </w:r>
        <w:r w:rsidR="00CE7BE0">
          <w:rPr>
            <w:noProof/>
            <w:webHidden/>
          </w:rPr>
        </w:r>
        <w:r w:rsidR="00CE7BE0">
          <w:rPr>
            <w:noProof/>
            <w:webHidden/>
          </w:rPr>
          <w:fldChar w:fldCharType="separate"/>
        </w:r>
        <w:r w:rsidR="00CE7BE0">
          <w:rPr>
            <w:noProof/>
            <w:webHidden/>
          </w:rPr>
          <w:t>128</w:t>
        </w:r>
        <w:r w:rsidR="00CE7BE0">
          <w:rPr>
            <w:noProof/>
            <w:webHidden/>
          </w:rPr>
          <w:fldChar w:fldCharType="end"/>
        </w:r>
      </w:hyperlink>
    </w:p>
    <w:p w14:paraId="450A6DFC" w14:textId="31C7976B" w:rsidR="00CE7BE0" w:rsidRDefault="006D3518">
      <w:pPr>
        <w:pStyle w:val="TOC3"/>
        <w:tabs>
          <w:tab w:val="right" w:leader="dot" w:pos="9350"/>
        </w:tabs>
        <w:rPr>
          <w:rFonts w:asciiTheme="minorHAnsi" w:hAnsiTheme="minorHAnsi" w:cstheme="minorBidi"/>
          <w:noProof/>
          <w:sz w:val="24"/>
          <w:szCs w:val="24"/>
          <w:lang w:eastAsia="en-GB"/>
        </w:rPr>
      </w:pPr>
      <w:hyperlink w:anchor="_Toc64723948" w:history="1">
        <w:r w:rsidR="00CE7BE0" w:rsidRPr="007B1712">
          <w:rPr>
            <w:rStyle w:val="Hyperlink"/>
            <w:noProof/>
          </w:rPr>
          <w:t>Scanning Procedure:</w:t>
        </w:r>
        <w:r w:rsidR="00CE7BE0">
          <w:rPr>
            <w:noProof/>
            <w:webHidden/>
          </w:rPr>
          <w:tab/>
        </w:r>
        <w:r w:rsidR="00CE7BE0">
          <w:rPr>
            <w:noProof/>
            <w:webHidden/>
          </w:rPr>
          <w:fldChar w:fldCharType="begin"/>
        </w:r>
        <w:r w:rsidR="00CE7BE0">
          <w:rPr>
            <w:noProof/>
            <w:webHidden/>
          </w:rPr>
          <w:instrText xml:space="preserve"> PAGEREF _Toc64723948 \h </w:instrText>
        </w:r>
        <w:r w:rsidR="00CE7BE0">
          <w:rPr>
            <w:noProof/>
            <w:webHidden/>
          </w:rPr>
        </w:r>
        <w:r w:rsidR="00CE7BE0">
          <w:rPr>
            <w:noProof/>
            <w:webHidden/>
          </w:rPr>
          <w:fldChar w:fldCharType="separate"/>
        </w:r>
        <w:r w:rsidR="00CE7BE0">
          <w:rPr>
            <w:noProof/>
            <w:webHidden/>
          </w:rPr>
          <w:t>129</w:t>
        </w:r>
        <w:r w:rsidR="00CE7BE0">
          <w:rPr>
            <w:noProof/>
            <w:webHidden/>
          </w:rPr>
          <w:fldChar w:fldCharType="end"/>
        </w:r>
      </w:hyperlink>
    </w:p>
    <w:p w14:paraId="3C2A3EB4" w14:textId="018C5997" w:rsidR="00CE7BE0" w:rsidRDefault="006D3518">
      <w:pPr>
        <w:pStyle w:val="TOC3"/>
        <w:tabs>
          <w:tab w:val="right" w:leader="dot" w:pos="9350"/>
        </w:tabs>
        <w:rPr>
          <w:rFonts w:asciiTheme="minorHAnsi" w:hAnsiTheme="minorHAnsi" w:cstheme="minorBidi"/>
          <w:noProof/>
          <w:sz w:val="24"/>
          <w:szCs w:val="24"/>
          <w:lang w:eastAsia="en-GB"/>
        </w:rPr>
      </w:pPr>
      <w:hyperlink w:anchor="_Toc64723949" w:history="1">
        <w:r w:rsidR="00CE7BE0" w:rsidRPr="007B1712">
          <w:rPr>
            <w:rStyle w:val="Hyperlink"/>
            <w:noProof/>
          </w:rPr>
          <w:t>Comparison of Thermal Thresholds</w:t>
        </w:r>
        <w:r w:rsidR="00CE7BE0">
          <w:rPr>
            <w:noProof/>
            <w:webHidden/>
          </w:rPr>
          <w:tab/>
        </w:r>
        <w:r w:rsidR="00CE7BE0">
          <w:rPr>
            <w:noProof/>
            <w:webHidden/>
          </w:rPr>
          <w:fldChar w:fldCharType="begin"/>
        </w:r>
        <w:r w:rsidR="00CE7BE0">
          <w:rPr>
            <w:noProof/>
            <w:webHidden/>
          </w:rPr>
          <w:instrText xml:space="preserve"> PAGEREF _Toc64723949 \h </w:instrText>
        </w:r>
        <w:r w:rsidR="00CE7BE0">
          <w:rPr>
            <w:noProof/>
            <w:webHidden/>
          </w:rPr>
        </w:r>
        <w:r w:rsidR="00CE7BE0">
          <w:rPr>
            <w:noProof/>
            <w:webHidden/>
          </w:rPr>
          <w:fldChar w:fldCharType="separate"/>
        </w:r>
        <w:r w:rsidR="00CE7BE0">
          <w:rPr>
            <w:noProof/>
            <w:webHidden/>
          </w:rPr>
          <w:t>129</w:t>
        </w:r>
        <w:r w:rsidR="00CE7BE0">
          <w:rPr>
            <w:noProof/>
            <w:webHidden/>
          </w:rPr>
          <w:fldChar w:fldCharType="end"/>
        </w:r>
      </w:hyperlink>
    </w:p>
    <w:p w14:paraId="3BB45748" w14:textId="2D8875C4" w:rsidR="00CE7BE0" w:rsidRDefault="006D3518">
      <w:pPr>
        <w:pStyle w:val="TOC3"/>
        <w:tabs>
          <w:tab w:val="right" w:leader="dot" w:pos="9350"/>
        </w:tabs>
        <w:rPr>
          <w:rFonts w:asciiTheme="minorHAnsi" w:hAnsiTheme="minorHAnsi" w:cstheme="minorBidi"/>
          <w:noProof/>
          <w:sz w:val="24"/>
          <w:szCs w:val="24"/>
          <w:lang w:eastAsia="en-GB"/>
        </w:rPr>
      </w:pPr>
      <w:hyperlink w:anchor="_Toc64723950" w:history="1">
        <w:r w:rsidR="00CE7BE0" w:rsidRPr="007B1712">
          <w:rPr>
            <w:rStyle w:val="Hyperlink"/>
            <w:noProof/>
          </w:rPr>
          <w:t>Determination of 7/10 Pain threshold</w:t>
        </w:r>
        <w:r w:rsidR="00CE7BE0">
          <w:rPr>
            <w:noProof/>
            <w:webHidden/>
          </w:rPr>
          <w:tab/>
        </w:r>
        <w:r w:rsidR="00CE7BE0">
          <w:rPr>
            <w:noProof/>
            <w:webHidden/>
          </w:rPr>
          <w:fldChar w:fldCharType="begin"/>
        </w:r>
        <w:r w:rsidR="00CE7BE0">
          <w:rPr>
            <w:noProof/>
            <w:webHidden/>
          </w:rPr>
          <w:instrText xml:space="preserve"> PAGEREF _Toc64723950 \h </w:instrText>
        </w:r>
        <w:r w:rsidR="00CE7BE0">
          <w:rPr>
            <w:noProof/>
            <w:webHidden/>
          </w:rPr>
        </w:r>
        <w:r w:rsidR="00CE7BE0">
          <w:rPr>
            <w:noProof/>
            <w:webHidden/>
          </w:rPr>
          <w:fldChar w:fldCharType="separate"/>
        </w:r>
        <w:r w:rsidR="00CE7BE0">
          <w:rPr>
            <w:noProof/>
            <w:webHidden/>
          </w:rPr>
          <w:t>129</w:t>
        </w:r>
        <w:r w:rsidR="00CE7BE0">
          <w:rPr>
            <w:noProof/>
            <w:webHidden/>
          </w:rPr>
          <w:fldChar w:fldCharType="end"/>
        </w:r>
      </w:hyperlink>
    </w:p>
    <w:p w14:paraId="10854179" w14:textId="627C013A" w:rsidR="00CE7BE0" w:rsidRDefault="006D3518">
      <w:pPr>
        <w:pStyle w:val="TOC3"/>
        <w:tabs>
          <w:tab w:val="right" w:leader="dot" w:pos="9350"/>
        </w:tabs>
        <w:rPr>
          <w:rFonts w:asciiTheme="minorHAnsi" w:hAnsiTheme="minorHAnsi" w:cstheme="minorBidi"/>
          <w:noProof/>
          <w:sz w:val="24"/>
          <w:szCs w:val="24"/>
          <w:lang w:eastAsia="en-GB"/>
        </w:rPr>
      </w:pPr>
      <w:hyperlink w:anchor="_Toc64723951" w:history="1">
        <w:r w:rsidR="00CE7BE0" w:rsidRPr="007B1712">
          <w:rPr>
            <w:rStyle w:val="Hyperlink"/>
            <w:noProof/>
          </w:rPr>
          <w:t>Dynamic Susceptibility Sequence with 7/10 pain</w:t>
        </w:r>
        <w:r w:rsidR="00CE7BE0">
          <w:rPr>
            <w:noProof/>
            <w:webHidden/>
          </w:rPr>
          <w:tab/>
        </w:r>
        <w:r w:rsidR="00CE7BE0">
          <w:rPr>
            <w:noProof/>
            <w:webHidden/>
          </w:rPr>
          <w:fldChar w:fldCharType="begin"/>
        </w:r>
        <w:r w:rsidR="00CE7BE0">
          <w:rPr>
            <w:noProof/>
            <w:webHidden/>
          </w:rPr>
          <w:instrText xml:space="preserve"> PAGEREF _Toc64723951 \h </w:instrText>
        </w:r>
        <w:r w:rsidR="00CE7BE0">
          <w:rPr>
            <w:noProof/>
            <w:webHidden/>
          </w:rPr>
        </w:r>
        <w:r w:rsidR="00CE7BE0">
          <w:rPr>
            <w:noProof/>
            <w:webHidden/>
          </w:rPr>
          <w:fldChar w:fldCharType="separate"/>
        </w:r>
        <w:r w:rsidR="00CE7BE0">
          <w:rPr>
            <w:noProof/>
            <w:webHidden/>
          </w:rPr>
          <w:t>129</w:t>
        </w:r>
        <w:r w:rsidR="00CE7BE0">
          <w:rPr>
            <w:noProof/>
            <w:webHidden/>
          </w:rPr>
          <w:fldChar w:fldCharType="end"/>
        </w:r>
      </w:hyperlink>
    </w:p>
    <w:p w14:paraId="632D6A0A" w14:textId="4CF246E6" w:rsidR="00CE7BE0" w:rsidRDefault="006D3518">
      <w:pPr>
        <w:pStyle w:val="TOC3"/>
        <w:tabs>
          <w:tab w:val="right" w:leader="dot" w:pos="9350"/>
        </w:tabs>
        <w:rPr>
          <w:rFonts w:asciiTheme="minorHAnsi" w:hAnsiTheme="minorHAnsi" w:cstheme="minorBidi"/>
          <w:noProof/>
          <w:sz w:val="24"/>
          <w:szCs w:val="24"/>
          <w:lang w:eastAsia="en-GB"/>
        </w:rPr>
      </w:pPr>
      <w:hyperlink w:anchor="_Toc64723952" w:history="1">
        <w:r w:rsidR="00CE7BE0" w:rsidRPr="007B1712">
          <w:rPr>
            <w:rStyle w:val="Hyperlink"/>
            <w:noProof/>
          </w:rPr>
          <w:t>Statistical Analysis</w:t>
        </w:r>
        <w:r w:rsidR="00CE7BE0">
          <w:rPr>
            <w:noProof/>
            <w:webHidden/>
          </w:rPr>
          <w:tab/>
        </w:r>
        <w:r w:rsidR="00CE7BE0">
          <w:rPr>
            <w:noProof/>
            <w:webHidden/>
          </w:rPr>
          <w:fldChar w:fldCharType="begin"/>
        </w:r>
        <w:r w:rsidR="00CE7BE0">
          <w:rPr>
            <w:noProof/>
            <w:webHidden/>
          </w:rPr>
          <w:instrText xml:space="preserve"> PAGEREF _Toc64723952 \h </w:instrText>
        </w:r>
        <w:r w:rsidR="00CE7BE0">
          <w:rPr>
            <w:noProof/>
            <w:webHidden/>
          </w:rPr>
        </w:r>
        <w:r w:rsidR="00CE7BE0">
          <w:rPr>
            <w:noProof/>
            <w:webHidden/>
          </w:rPr>
          <w:fldChar w:fldCharType="separate"/>
        </w:r>
        <w:r w:rsidR="00CE7BE0">
          <w:rPr>
            <w:noProof/>
            <w:webHidden/>
          </w:rPr>
          <w:t>130</w:t>
        </w:r>
        <w:r w:rsidR="00CE7BE0">
          <w:rPr>
            <w:noProof/>
            <w:webHidden/>
          </w:rPr>
          <w:fldChar w:fldCharType="end"/>
        </w:r>
      </w:hyperlink>
    </w:p>
    <w:p w14:paraId="6049EC7B" w14:textId="51372FE8" w:rsidR="00CE7BE0" w:rsidRDefault="006D3518">
      <w:pPr>
        <w:pStyle w:val="TOC2"/>
        <w:rPr>
          <w:rFonts w:asciiTheme="minorHAnsi" w:hAnsiTheme="minorHAnsi" w:cstheme="minorBidi"/>
          <w:iCs w:val="0"/>
          <w:noProof/>
          <w:sz w:val="24"/>
          <w:szCs w:val="24"/>
          <w:lang w:eastAsia="en-GB"/>
        </w:rPr>
      </w:pPr>
      <w:hyperlink w:anchor="_Toc64723953" w:history="1">
        <w:r w:rsidR="00CE7BE0" w:rsidRPr="007B1712">
          <w:rPr>
            <w:rStyle w:val="Hyperlink"/>
            <w:noProof/>
          </w:rPr>
          <w:t>Results</w:t>
        </w:r>
        <w:r w:rsidR="00CE7BE0">
          <w:rPr>
            <w:noProof/>
            <w:webHidden/>
          </w:rPr>
          <w:tab/>
        </w:r>
        <w:r w:rsidR="00CE7BE0">
          <w:rPr>
            <w:noProof/>
            <w:webHidden/>
          </w:rPr>
          <w:fldChar w:fldCharType="begin"/>
        </w:r>
        <w:r w:rsidR="00CE7BE0">
          <w:rPr>
            <w:noProof/>
            <w:webHidden/>
          </w:rPr>
          <w:instrText xml:space="preserve"> PAGEREF _Toc64723953 \h </w:instrText>
        </w:r>
        <w:r w:rsidR="00CE7BE0">
          <w:rPr>
            <w:noProof/>
            <w:webHidden/>
          </w:rPr>
        </w:r>
        <w:r w:rsidR="00CE7BE0">
          <w:rPr>
            <w:noProof/>
            <w:webHidden/>
          </w:rPr>
          <w:fldChar w:fldCharType="separate"/>
        </w:r>
        <w:r w:rsidR="00CE7BE0">
          <w:rPr>
            <w:noProof/>
            <w:webHidden/>
          </w:rPr>
          <w:t>131</w:t>
        </w:r>
        <w:r w:rsidR="00CE7BE0">
          <w:rPr>
            <w:noProof/>
            <w:webHidden/>
          </w:rPr>
          <w:fldChar w:fldCharType="end"/>
        </w:r>
      </w:hyperlink>
    </w:p>
    <w:p w14:paraId="0F020546" w14:textId="4F0AE3E1" w:rsidR="00CE7BE0" w:rsidRDefault="006D3518">
      <w:pPr>
        <w:pStyle w:val="TOC3"/>
        <w:tabs>
          <w:tab w:val="right" w:leader="dot" w:pos="9350"/>
        </w:tabs>
        <w:rPr>
          <w:rFonts w:asciiTheme="minorHAnsi" w:hAnsiTheme="minorHAnsi" w:cstheme="minorBidi"/>
          <w:noProof/>
          <w:sz w:val="24"/>
          <w:szCs w:val="24"/>
          <w:lang w:eastAsia="en-GB"/>
        </w:rPr>
      </w:pPr>
      <w:hyperlink w:anchor="_Toc64723954" w:history="1">
        <w:r w:rsidR="00CE7BE0" w:rsidRPr="007B1712">
          <w:rPr>
            <w:rStyle w:val="Hyperlink"/>
            <w:noProof/>
          </w:rPr>
          <w:t>Baseline Characteristics Prior to Scan 3</w:t>
        </w:r>
        <w:r w:rsidR="00CE7BE0">
          <w:rPr>
            <w:noProof/>
            <w:webHidden/>
          </w:rPr>
          <w:tab/>
        </w:r>
        <w:r w:rsidR="00CE7BE0">
          <w:rPr>
            <w:noProof/>
            <w:webHidden/>
          </w:rPr>
          <w:fldChar w:fldCharType="begin"/>
        </w:r>
        <w:r w:rsidR="00CE7BE0">
          <w:rPr>
            <w:noProof/>
            <w:webHidden/>
          </w:rPr>
          <w:instrText xml:space="preserve"> PAGEREF _Toc64723954 \h </w:instrText>
        </w:r>
        <w:r w:rsidR="00CE7BE0">
          <w:rPr>
            <w:noProof/>
            <w:webHidden/>
          </w:rPr>
        </w:r>
        <w:r w:rsidR="00CE7BE0">
          <w:rPr>
            <w:noProof/>
            <w:webHidden/>
          </w:rPr>
          <w:fldChar w:fldCharType="separate"/>
        </w:r>
        <w:r w:rsidR="00CE7BE0">
          <w:rPr>
            <w:noProof/>
            <w:webHidden/>
          </w:rPr>
          <w:t>131</w:t>
        </w:r>
        <w:r w:rsidR="00CE7BE0">
          <w:rPr>
            <w:noProof/>
            <w:webHidden/>
          </w:rPr>
          <w:fldChar w:fldCharType="end"/>
        </w:r>
      </w:hyperlink>
    </w:p>
    <w:p w14:paraId="5B91190F" w14:textId="5EE17952" w:rsidR="00CE7BE0" w:rsidRDefault="006D3518">
      <w:pPr>
        <w:pStyle w:val="TOC3"/>
        <w:tabs>
          <w:tab w:val="right" w:leader="dot" w:pos="9350"/>
        </w:tabs>
        <w:rPr>
          <w:rFonts w:asciiTheme="minorHAnsi" w:hAnsiTheme="minorHAnsi" w:cstheme="minorBidi"/>
          <w:noProof/>
          <w:sz w:val="24"/>
          <w:szCs w:val="24"/>
          <w:lang w:eastAsia="en-GB"/>
        </w:rPr>
      </w:pPr>
      <w:hyperlink w:anchor="_Toc64723955" w:history="1">
        <w:r w:rsidR="00CE7BE0" w:rsidRPr="007B1712">
          <w:rPr>
            <w:rStyle w:val="Hyperlink"/>
            <w:noProof/>
          </w:rPr>
          <w:t>Regional Blood Volume</w:t>
        </w:r>
        <w:r w:rsidR="00CE7BE0">
          <w:rPr>
            <w:noProof/>
            <w:webHidden/>
          </w:rPr>
          <w:tab/>
        </w:r>
        <w:r w:rsidR="00CE7BE0">
          <w:rPr>
            <w:noProof/>
            <w:webHidden/>
          </w:rPr>
          <w:fldChar w:fldCharType="begin"/>
        </w:r>
        <w:r w:rsidR="00CE7BE0">
          <w:rPr>
            <w:noProof/>
            <w:webHidden/>
          </w:rPr>
          <w:instrText xml:space="preserve"> PAGEREF _Toc64723955 \h </w:instrText>
        </w:r>
        <w:r w:rsidR="00CE7BE0">
          <w:rPr>
            <w:noProof/>
            <w:webHidden/>
          </w:rPr>
        </w:r>
        <w:r w:rsidR="00CE7BE0">
          <w:rPr>
            <w:noProof/>
            <w:webHidden/>
          </w:rPr>
          <w:fldChar w:fldCharType="separate"/>
        </w:r>
        <w:r w:rsidR="00CE7BE0">
          <w:rPr>
            <w:noProof/>
            <w:webHidden/>
          </w:rPr>
          <w:t>132</w:t>
        </w:r>
        <w:r w:rsidR="00CE7BE0">
          <w:rPr>
            <w:noProof/>
            <w:webHidden/>
          </w:rPr>
          <w:fldChar w:fldCharType="end"/>
        </w:r>
      </w:hyperlink>
    </w:p>
    <w:p w14:paraId="687B2AFD" w14:textId="283829F7" w:rsidR="00CE7BE0" w:rsidRDefault="006D3518">
      <w:pPr>
        <w:pStyle w:val="TOC3"/>
        <w:tabs>
          <w:tab w:val="right" w:leader="dot" w:pos="9350"/>
        </w:tabs>
        <w:rPr>
          <w:rFonts w:asciiTheme="minorHAnsi" w:hAnsiTheme="minorHAnsi" w:cstheme="minorBidi"/>
          <w:noProof/>
          <w:sz w:val="24"/>
          <w:szCs w:val="24"/>
          <w:lang w:eastAsia="en-GB"/>
        </w:rPr>
      </w:pPr>
      <w:hyperlink w:anchor="_Toc64723956" w:history="1">
        <w:r w:rsidR="00CE7BE0" w:rsidRPr="007B1712">
          <w:rPr>
            <w:rStyle w:val="Hyperlink"/>
            <w:noProof/>
          </w:rPr>
          <w:t>Regional Blood Flow</w:t>
        </w:r>
        <w:r w:rsidR="00CE7BE0">
          <w:rPr>
            <w:noProof/>
            <w:webHidden/>
          </w:rPr>
          <w:tab/>
        </w:r>
        <w:r w:rsidR="00CE7BE0">
          <w:rPr>
            <w:noProof/>
            <w:webHidden/>
          </w:rPr>
          <w:fldChar w:fldCharType="begin"/>
        </w:r>
        <w:r w:rsidR="00CE7BE0">
          <w:rPr>
            <w:noProof/>
            <w:webHidden/>
          </w:rPr>
          <w:instrText xml:space="preserve"> PAGEREF _Toc64723956 \h </w:instrText>
        </w:r>
        <w:r w:rsidR="00CE7BE0">
          <w:rPr>
            <w:noProof/>
            <w:webHidden/>
          </w:rPr>
        </w:r>
        <w:r w:rsidR="00CE7BE0">
          <w:rPr>
            <w:noProof/>
            <w:webHidden/>
          </w:rPr>
          <w:fldChar w:fldCharType="separate"/>
        </w:r>
        <w:r w:rsidR="00CE7BE0">
          <w:rPr>
            <w:noProof/>
            <w:webHidden/>
          </w:rPr>
          <w:t>133</w:t>
        </w:r>
        <w:r w:rsidR="00CE7BE0">
          <w:rPr>
            <w:noProof/>
            <w:webHidden/>
          </w:rPr>
          <w:fldChar w:fldCharType="end"/>
        </w:r>
      </w:hyperlink>
    </w:p>
    <w:p w14:paraId="582D243E" w14:textId="0BCB76C4" w:rsidR="00CE7BE0" w:rsidRDefault="006D3518">
      <w:pPr>
        <w:pStyle w:val="TOC3"/>
        <w:tabs>
          <w:tab w:val="right" w:leader="dot" w:pos="9350"/>
        </w:tabs>
        <w:rPr>
          <w:rFonts w:asciiTheme="minorHAnsi" w:hAnsiTheme="minorHAnsi" w:cstheme="minorBidi"/>
          <w:noProof/>
          <w:sz w:val="24"/>
          <w:szCs w:val="24"/>
          <w:lang w:eastAsia="en-GB"/>
        </w:rPr>
      </w:pPr>
      <w:hyperlink w:anchor="_Toc64723957" w:history="1">
        <w:r w:rsidR="00CE7BE0" w:rsidRPr="007B1712">
          <w:rPr>
            <w:rStyle w:val="Hyperlink"/>
            <w:noProof/>
          </w:rPr>
          <w:t>Mean Transit Time</w:t>
        </w:r>
        <w:r w:rsidR="00CE7BE0">
          <w:rPr>
            <w:noProof/>
            <w:webHidden/>
          </w:rPr>
          <w:tab/>
        </w:r>
        <w:r w:rsidR="00CE7BE0">
          <w:rPr>
            <w:noProof/>
            <w:webHidden/>
          </w:rPr>
          <w:fldChar w:fldCharType="begin"/>
        </w:r>
        <w:r w:rsidR="00CE7BE0">
          <w:rPr>
            <w:noProof/>
            <w:webHidden/>
          </w:rPr>
          <w:instrText xml:space="preserve"> PAGEREF _Toc64723957 \h </w:instrText>
        </w:r>
        <w:r w:rsidR="00CE7BE0">
          <w:rPr>
            <w:noProof/>
            <w:webHidden/>
          </w:rPr>
        </w:r>
        <w:r w:rsidR="00CE7BE0">
          <w:rPr>
            <w:noProof/>
            <w:webHidden/>
          </w:rPr>
          <w:fldChar w:fldCharType="separate"/>
        </w:r>
        <w:r w:rsidR="00CE7BE0">
          <w:rPr>
            <w:noProof/>
            <w:webHidden/>
          </w:rPr>
          <w:t>134</w:t>
        </w:r>
        <w:r w:rsidR="00CE7BE0">
          <w:rPr>
            <w:noProof/>
            <w:webHidden/>
          </w:rPr>
          <w:fldChar w:fldCharType="end"/>
        </w:r>
      </w:hyperlink>
    </w:p>
    <w:p w14:paraId="56D453C9" w14:textId="4CDAA31E" w:rsidR="00CE7BE0" w:rsidRDefault="006D3518">
      <w:pPr>
        <w:pStyle w:val="TOC3"/>
        <w:tabs>
          <w:tab w:val="right" w:leader="dot" w:pos="9350"/>
        </w:tabs>
        <w:rPr>
          <w:rFonts w:asciiTheme="minorHAnsi" w:hAnsiTheme="minorHAnsi" w:cstheme="minorBidi"/>
          <w:noProof/>
          <w:sz w:val="24"/>
          <w:szCs w:val="24"/>
          <w:lang w:eastAsia="en-GB"/>
        </w:rPr>
      </w:pPr>
      <w:hyperlink w:anchor="_Toc64723958" w:history="1">
        <w:r w:rsidR="00CE7BE0" w:rsidRPr="007B1712">
          <w:rPr>
            <w:rStyle w:val="Hyperlink"/>
            <w:noProof/>
          </w:rPr>
          <w:t>Time-to-Peak Concentration</w:t>
        </w:r>
        <w:r w:rsidR="00CE7BE0">
          <w:rPr>
            <w:noProof/>
            <w:webHidden/>
          </w:rPr>
          <w:tab/>
        </w:r>
        <w:r w:rsidR="00CE7BE0">
          <w:rPr>
            <w:noProof/>
            <w:webHidden/>
          </w:rPr>
          <w:fldChar w:fldCharType="begin"/>
        </w:r>
        <w:r w:rsidR="00CE7BE0">
          <w:rPr>
            <w:noProof/>
            <w:webHidden/>
          </w:rPr>
          <w:instrText xml:space="preserve"> PAGEREF _Toc64723958 \h </w:instrText>
        </w:r>
        <w:r w:rsidR="00CE7BE0">
          <w:rPr>
            <w:noProof/>
            <w:webHidden/>
          </w:rPr>
        </w:r>
        <w:r w:rsidR="00CE7BE0">
          <w:rPr>
            <w:noProof/>
            <w:webHidden/>
          </w:rPr>
          <w:fldChar w:fldCharType="separate"/>
        </w:r>
        <w:r w:rsidR="00CE7BE0">
          <w:rPr>
            <w:noProof/>
            <w:webHidden/>
          </w:rPr>
          <w:t>135</w:t>
        </w:r>
        <w:r w:rsidR="00CE7BE0">
          <w:rPr>
            <w:noProof/>
            <w:webHidden/>
          </w:rPr>
          <w:fldChar w:fldCharType="end"/>
        </w:r>
      </w:hyperlink>
    </w:p>
    <w:p w14:paraId="2A9F2A20" w14:textId="09FFD4D8" w:rsidR="00CE7BE0" w:rsidRDefault="006D3518">
      <w:pPr>
        <w:pStyle w:val="TOC3"/>
        <w:tabs>
          <w:tab w:val="right" w:leader="dot" w:pos="9350"/>
        </w:tabs>
        <w:rPr>
          <w:rFonts w:asciiTheme="minorHAnsi" w:hAnsiTheme="minorHAnsi" w:cstheme="minorBidi"/>
          <w:noProof/>
          <w:sz w:val="24"/>
          <w:szCs w:val="24"/>
          <w:lang w:eastAsia="en-GB"/>
        </w:rPr>
      </w:pPr>
      <w:hyperlink w:anchor="_Toc64723959" w:history="1">
        <w:r w:rsidR="00CE7BE0" w:rsidRPr="007B1712">
          <w:rPr>
            <w:rStyle w:val="Hyperlink"/>
            <w:noProof/>
          </w:rPr>
          <w:t>Change in Regional Blood Volume in Response to Pain</w:t>
        </w:r>
        <w:r w:rsidR="00CE7BE0">
          <w:rPr>
            <w:noProof/>
            <w:webHidden/>
          </w:rPr>
          <w:tab/>
        </w:r>
        <w:r w:rsidR="00CE7BE0">
          <w:rPr>
            <w:noProof/>
            <w:webHidden/>
          </w:rPr>
          <w:fldChar w:fldCharType="begin"/>
        </w:r>
        <w:r w:rsidR="00CE7BE0">
          <w:rPr>
            <w:noProof/>
            <w:webHidden/>
          </w:rPr>
          <w:instrText xml:space="preserve"> PAGEREF _Toc64723959 \h </w:instrText>
        </w:r>
        <w:r w:rsidR="00CE7BE0">
          <w:rPr>
            <w:noProof/>
            <w:webHidden/>
          </w:rPr>
        </w:r>
        <w:r w:rsidR="00CE7BE0">
          <w:rPr>
            <w:noProof/>
            <w:webHidden/>
          </w:rPr>
          <w:fldChar w:fldCharType="separate"/>
        </w:r>
        <w:r w:rsidR="00CE7BE0">
          <w:rPr>
            <w:noProof/>
            <w:webHidden/>
          </w:rPr>
          <w:t>135</w:t>
        </w:r>
        <w:r w:rsidR="00CE7BE0">
          <w:rPr>
            <w:noProof/>
            <w:webHidden/>
          </w:rPr>
          <w:fldChar w:fldCharType="end"/>
        </w:r>
      </w:hyperlink>
    </w:p>
    <w:p w14:paraId="371FDAE0" w14:textId="5B274186" w:rsidR="00CE7BE0" w:rsidRDefault="006D3518">
      <w:pPr>
        <w:pStyle w:val="TOC3"/>
        <w:tabs>
          <w:tab w:val="right" w:leader="dot" w:pos="9350"/>
        </w:tabs>
        <w:rPr>
          <w:rFonts w:asciiTheme="minorHAnsi" w:hAnsiTheme="minorHAnsi" w:cstheme="minorBidi"/>
          <w:noProof/>
          <w:sz w:val="24"/>
          <w:szCs w:val="24"/>
          <w:lang w:eastAsia="en-GB"/>
        </w:rPr>
      </w:pPr>
      <w:hyperlink w:anchor="_Toc64723960" w:history="1">
        <w:r w:rsidR="00CE7BE0" w:rsidRPr="007B1712">
          <w:rPr>
            <w:rStyle w:val="Hyperlink"/>
            <w:noProof/>
          </w:rPr>
          <w:t>Change in Regional Blood Flow in Response to Pain</w:t>
        </w:r>
        <w:r w:rsidR="00CE7BE0">
          <w:rPr>
            <w:noProof/>
            <w:webHidden/>
          </w:rPr>
          <w:tab/>
        </w:r>
        <w:r w:rsidR="00CE7BE0">
          <w:rPr>
            <w:noProof/>
            <w:webHidden/>
          </w:rPr>
          <w:fldChar w:fldCharType="begin"/>
        </w:r>
        <w:r w:rsidR="00CE7BE0">
          <w:rPr>
            <w:noProof/>
            <w:webHidden/>
          </w:rPr>
          <w:instrText xml:space="preserve"> PAGEREF _Toc64723960 \h </w:instrText>
        </w:r>
        <w:r w:rsidR="00CE7BE0">
          <w:rPr>
            <w:noProof/>
            <w:webHidden/>
          </w:rPr>
        </w:r>
        <w:r w:rsidR="00CE7BE0">
          <w:rPr>
            <w:noProof/>
            <w:webHidden/>
          </w:rPr>
          <w:fldChar w:fldCharType="separate"/>
        </w:r>
        <w:r w:rsidR="00CE7BE0">
          <w:rPr>
            <w:noProof/>
            <w:webHidden/>
          </w:rPr>
          <w:t>138</w:t>
        </w:r>
        <w:r w:rsidR="00CE7BE0">
          <w:rPr>
            <w:noProof/>
            <w:webHidden/>
          </w:rPr>
          <w:fldChar w:fldCharType="end"/>
        </w:r>
      </w:hyperlink>
    </w:p>
    <w:p w14:paraId="5C1CA7A1" w14:textId="7AF28CA8" w:rsidR="00CE7BE0" w:rsidRDefault="006D3518">
      <w:pPr>
        <w:pStyle w:val="TOC3"/>
        <w:tabs>
          <w:tab w:val="right" w:leader="dot" w:pos="9350"/>
        </w:tabs>
        <w:rPr>
          <w:rFonts w:asciiTheme="minorHAnsi" w:hAnsiTheme="minorHAnsi" w:cstheme="minorBidi"/>
          <w:noProof/>
          <w:sz w:val="24"/>
          <w:szCs w:val="24"/>
          <w:lang w:eastAsia="en-GB"/>
        </w:rPr>
      </w:pPr>
      <w:hyperlink w:anchor="_Toc64723961" w:history="1">
        <w:r w:rsidR="00CE7BE0" w:rsidRPr="007B1712">
          <w:rPr>
            <w:rStyle w:val="Hyperlink"/>
            <w:noProof/>
          </w:rPr>
          <w:t>Change in Mean Transit Time in Response to Pain</w:t>
        </w:r>
        <w:r w:rsidR="00CE7BE0">
          <w:rPr>
            <w:noProof/>
            <w:webHidden/>
          </w:rPr>
          <w:tab/>
        </w:r>
        <w:r w:rsidR="00CE7BE0">
          <w:rPr>
            <w:noProof/>
            <w:webHidden/>
          </w:rPr>
          <w:fldChar w:fldCharType="begin"/>
        </w:r>
        <w:r w:rsidR="00CE7BE0">
          <w:rPr>
            <w:noProof/>
            <w:webHidden/>
          </w:rPr>
          <w:instrText xml:space="preserve"> PAGEREF _Toc64723961 \h </w:instrText>
        </w:r>
        <w:r w:rsidR="00CE7BE0">
          <w:rPr>
            <w:noProof/>
            <w:webHidden/>
          </w:rPr>
        </w:r>
        <w:r w:rsidR="00CE7BE0">
          <w:rPr>
            <w:noProof/>
            <w:webHidden/>
          </w:rPr>
          <w:fldChar w:fldCharType="separate"/>
        </w:r>
        <w:r w:rsidR="00CE7BE0">
          <w:rPr>
            <w:noProof/>
            <w:webHidden/>
          </w:rPr>
          <w:t>138</w:t>
        </w:r>
        <w:r w:rsidR="00CE7BE0">
          <w:rPr>
            <w:noProof/>
            <w:webHidden/>
          </w:rPr>
          <w:fldChar w:fldCharType="end"/>
        </w:r>
      </w:hyperlink>
    </w:p>
    <w:p w14:paraId="5257A6AD" w14:textId="4CDA0688" w:rsidR="00CE7BE0" w:rsidRDefault="006D3518">
      <w:pPr>
        <w:pStyle w:val="TOC3"/>
        <w:tabs>
          <w:tab w:val="right" w:leader="dot" w:pos="9350"/>
        </w:tabs>
        <w:rPr>
          <w:rFonts w:asciiTheme="minorHAnsi" w:hAnsiTheme="minorHAnsi" w:cstheme="minorBidi"/>
          <w:noProof/>
          <w:sz w:val="24"/>
          <w:szCs w:val="24"/>
          <w:lang w:eastAsia="en-GB"/>
        </w:rPr>
      </w:pPr>
      <w:hyperlink w:anchor="_Toc64723962" w:history="1">
        <w:r w:rsidR="00CE7BE0" w:rsidRPr="007B1712">
          <w:rPr>
            <w:rStyle w:val="Hyperlink"/>
            <w:noProof/>
          </w:rPr>
          <w:t>Change in Time-to-Peak Measurement in Response to Pain</w:t>
        </w:r>
        <w:r w:rsidR="00CE7BE0">
          <w:rPr>
            <w:noProof/>
            <w:webHidden/>
          </w:rPr>
          <w:tab/>
        </w:r>
        <w:r w:rsidR="00CE7BE0">
          <w:rPr>
            <w:noProof/>
            <w:webHidden/>
          </w:rPr>
          <w:fldChar w:fldCharType="begin"/>
        </w:r>
        <w:r w:rsidR="00CE7BE0">
          <w:rPr>
            <w:noProof/>
            <w:webHidden/>
          </w:rPr>
          <w:instrText xml:space="preserve"> PAGEREF _Toc64723962 \h </w:instrText>
        </w:r>
        <w:r w:rsidR="00CE7BE0">
          <w:rPr>
            <w:noProof/>
            <w:webHidden/>
          </w:rPr>
        </w:r>
        <w:r w:rsidR="00CE7BE0">
          <w:rPr>
            <w:noProof/>
            <w:webHidden/>
          </w:rPr>
          <w:fldChar w:fldCharType="separate"/>
        </w:r>
        <w:r w:rsidR="00CE7BE0">
          <w:rPr>
            <w:noProof/>
            <w:webHidden/>
          </w:rPr>
          <w:t>138</w:t>
        </w:r>
        <w:r w:rsidR="00CE7BE0">
          <w:rPr>
            <w:noProof/>
            <w:webHidden/>
          </w:rPr>
          <w:fldChar w:fldCharType="end"/>
        </w:r>
      </w:hyperlink>
    </w:p>
    <w:p w14:paraId="07A216DD" w14:textId="61C9ED5F" w:rsidR="00CE7BE0" w:rsidRDefault="006D3518">
      <w:pPr>
        <w:pStyle w:val="TOC3"/>
        <w:tabs>
          <w:tab w:val="right" w:leader="dot" w:pos="9350"/>
        </w:tabs>
        <w:rPr>
          <w:rFonts w:asciiTheme="minorHAnsi" w:hAnsiTheme="minorHAnsi" w:cstheme="minorBidi"/>
          <w:noProof/>
          <w:sz w:val="24"/>
          <w:szCs w:val="24"/>
          <w:lang w:eastAsia="en-GB"/>
        </w:rPr>
      </w:pPr>
      <w:hyperlink w:anchor="_Toc64723963" w:history="1">
        <w:r w:rsidR="00CE7BE0" w:rsidRPr="007B1712">
          <w:rPr>
            <w:rStyle w:val="Hyperlink"/>
            <w:noProof/>
          </w:rPr>
          <w:t>Contribution to Δ TTP</w:t>
        </w:r>
        <w:r w:rsidR="00CE7BE0">
          <w:rPr>
            <w:noProof/>
            <w:webHidden/>
          </w:rPr>
          <w:tab/>
        </w:r>
        <w:r w:rsidR="00CE7BE0">
          <w:rPr>
            <w:noProof/>
            <w:webHidden/>
          </w:rPr>
          <w:fldChar w:fldCharType="begin"/>
        </w:r>
        <w:r w:rsidR="00CE7BE0">
          <w:rPr>
            <w:noProof/>
            <w:webHidden/>
          </w:rPr>
          <w:instrText xml:space="preserve"> PAGEREF _Toc64723963 \h </w:instrText>
        </w:r>
        <w:r w:rsidR="00CE7BE0">
          <w:rPr>
            <w:noProof/>
            <w:webHidden/>
          </w:rPr>
        </w:r>
        <w:r w:rsidR="00CE7BE0">
          <w:rPr>
            <w:noProof/>
            <w:webHidden/>
          </w:rPr>
          <w:fldChar w:fldCharType="separate"/>
        </w:r>
        <w:r w:rsidR="00CE7BE0">
          <w:rPr>
            <w:noProof/>
            <w:webHidden/>
          </w:rPr>
          <w:t>143</w:t>
        </w:r>
        <w:r w:rsidR="00CE7BE0">
          <w:rPr>
            <w:noProof/>
            <w:webHidden/>
          </w:rPr>
          <w:fldChar w:fldCharType="end"/>
        </w:r>
      </w:hyperlink>
    </w:p>
    <w:p w14:paraId="7053D1DB" w14:textId="19412D6C" w:rsidR="00CE7BE0" w:rsidRDefault="006D3518">
      <w:pPr>
        <w:pStyle w:val="TOC3"/>
        <w:tabs>
          <w:tab w:val="right" w:leader="dot" w:pos="9350"/>
        </w:tabs>
        <w:rPr>
          <w:rFonts w:asciiTheme="minorHAnsi" w:hAnsiTheme="minorHAnsi" w:cstheme="minorBidi"/>
          <w:noProof/>
          <w:sz w:val="24"/>
          <w:szCs w:val="24"/>
          <w:lang w:eastAsia="en-GB"/>
        </w:rPr>
      </w:pPr>
      <w:hyperlink w:anchor="_Toc64723964" w:history="1">
        <w:r w:rsidR="00CE7BE0" w:rsidRPr="007B1712">
          <w:rPr>
            <w:rStyle w:val="Hyperlink"/>
            <w:noProof/>
          </w:rPr>
          <w:t>Comparison of perfusion measures between baseline and Visit 3, for P-DPN stratified by the presence of neuropathic pain at the time of scanning.</w:t>
        </w:r>
        <w:r w:rsidR="00CE7BE0">
          <w:rPr>
            <w:noProof/>
            <w:webHidden/>
          </w:rPr>
          <w:tab/>
        </w:r>
        <w:r w:rsidR="00CE7BE0">
          <w:rPr>
            <w:noProof/>
            <w:webHidden/>
          </w:rPr>
          <w:fldChar w:fldCharType="begin"/>
        </w:r>
        <w:r w:rsidR="00CE7BE0">
          <w:rPr>
            <w:noProof/>
            <w:webHidden/>
          </w:rPr>
          <w:instrText xml:space="preserve"> PAGEREF _Toc64723964 \h </w:instrText>
        </w:r>
        <w:r w:rsidR="00CE7BE0">
          <w:rPr>
            <w:noProof/>
            <w:webHidden/>
          </w:rPr>
        </w:r>
        <w:r w:rsidR="00CE7BE0">
          <w:rPr>
            <w:noProof/>
            <w:webHidden/>
          </w:rPr>
          <w:fldChar w:fldCharType="separate"/>
        </w:r>
        <w:r w:rsidR="00CE7BE0">
          <w:rPr>
            <w:noProof/>
            <w:webHidden/>
          </w:rPr>
          <w:t>144</w:t>
        </w:r>
        <w:r w:rsidR="00CE7BE0">
          <w:rPr>
            <w:noProof/>
            <w:webHidden/>
          </w:rPr>
          <w:fldChar w:fldCharType="end"/>
        </w:r>
      </w:hyperlink>
    </w:p>
    <w:p w14:paraId="5AA6B9E4" w14:textId="15DC3593" w:rsidR="00CE7BE0" w:rsidRDefault="006D3518">
      <w:pPr>
        <w:pStyle w:val="TOC3"/>
        <w:tabs>
          <w:tab w:val="right" w:leader="dot" w:pos="9350"/>
        </w:tabs>
        <w:rPr>
          <w:rFonts w:asciiTheme="minorHAnsi" w:hAnsiTheme="minorHAnsi" w:cstheme="minorBidi"/>
          <w:noProof/>
          <w:sz w:val="24"/>
          <w:szCs w:val="24"/>
          <w:lang w:eastAsia="en-GB"/>
        </w:rPr>
      </w:pPr>
      <w:hyperlink w:anchor="_Toc64723965" w:history="1">
        <w:r w:rsidR="00CE7BE0" w:rsidRPr="007B1712">
          <w:rPr>
            <w:rStyle w:val="Hyperlink"/>
            <w:noProof/>
          </w:rPr>
          <w:t>Change in Time-to-Peak Perfusion measurements stratified by the presence of neuropathic pain at the time of scanning.</w:t>
        </w:r>
        <w:r w:rsidR="00CE7BE0">
          <w:rPr>
            <w:noProof/>
            <w:webHidden/>
          </w:rPr>
          <w:tab/>
        </w:r>
        <w:r w:rsidR="00CE7BE0">
          <w:rPr>
            <w:noProof/>
            <w:webHidden/>
          </w:rPr>
          <w:fldChar w:fldCharType="begin"/>
        </w:r>
        <w:r w:rsidR="00CE7BE0">
          <w:rPr>
            <w:noProof/>
            <w:webHidden/>
          </w:rPr>
          <w:instrText xml:space="preserve"> PAGEREF _Toc64723965 \h </w:instrText>
        </w:r>
        <w:r w:rsidR="00CE7BE0">
          <w:rPr>
            <w:noProof/>
            <w:webHidden/>
          </w:rPr>
        </w:r>
        <w:r w:rsidR="00CE7BE0">
          <w:rPr>
            <w:noProof/>
            <w:webHidden/>
          </w:rPr>
          <w:fldChar w:fldCharType="separate"/>
        </w:r>
        <w:r w:rsidR="00CE7BE0">
          <w:rPr>
            <w:noProof/>
            <w:webHidden/>
          </w:rPr>
          <w:t>146</w:t>
        </w:r>
        <w:r w:rsidR="00CE7BE0">
          <w:rPr>
            <w:noProof/>
            <w:webHidden/>
          </w:rPr>
          <w:fldChar w:fldCharType="end"/>
        </w:r>
      </w:hyperlink>
    </w:p>
    <w:p w14:paraId="49363911" w14:textId="3D9F0776" w:rsidR="00CE7BE0" w:rsidRDefault="006D3518">
      <w:pPr>
        <w:pStyle w:val="TOC3"/>
        <w:tabs>
          <w:tab w:val="right" w:leader="dot" w:pos="9350"/>
        </w:tabs>
        <w:rPr>
          <w:rFonts w:asciiTheme="minorHAnsi" w:hAnsiTheme="minorHAnsi" w:cstheme="minorBidi"/>
          <w:noProof/>
          <w:sz w:val="24"/>
          <w:szCs w:val="24"/>
          <w:lang w:eastAsia="en-GB"/>
        </w:rPr>
      </w:pPr>
      <w:hyperlink w:anchor="_Toc64723966" w:history="1">
        <w:r w:rsidR="00CE7BE0" w:rsidRPr="007B1712">
          <w:rPr>
            <w:rStyle w:val="Hyperlink"/>
            <w:noProof/>
          </w:rPr>
          <w:t>Explanatory Factors for TTP- Depression</w:t>
        </w:r>
        <w:r w:rsidR="00CE7BE0">
          <w:rPr>
            <w:noProof/>
            <w:webHidden/>
          </w:rPr>
          <w:tab/>
        </w:r>
        <w:r w:rsidR="00CE7BE0">
          <w:rPr>
            <w:noProof/>
            <w:webHidden/>
          </w:rPr>
          <w:fldChar w:fldCharType="begin"/>
        </w:r>
        <w:r w:rsidR="00CE7BE0">
          <w:rPr>
            <w:noProof/>
            <w:webHidden/>
          </w:rPr>
          <w:instrText xml:space="preserve"> PAGEREF _Toc64723966 \h </w:instrText>
        </w:r>
        <w:r w:rsidR="00CE7BE0">
          <w:rPr>
            <w:noProof/>
            <w:webHidden/>
          </w:rPr>
        </w:r>
        <w:r w:rsidR="00CE7BE0">
          <w:rPr>
            <w:noProof/>
            <w:webHidden/>
          </w:rPr>
          <w:fldChar w:fldCharType="separate"/>
        </w:r>
        <w:r w:rsidR="00CE7BE0">
          <w:rPr>
            <w:noProof/>
            <w:webHidden/>
          </w:rPr>
          <w:t>149</w:t>
        </w:r>
        <w:r w:rsidR="00CE7BE0">
          <w:rPr>
            <w:noProof/>
            <w:webHidden/>
          </w:rPr>
          <w:fldChar w:fldCharType="end"/>
        </w:r>
      </w:hyperlink>
    </w:p>
    <w:p w14:paraId="403827D4" w14:textId="3165482B" w:rsidR="00CE7BE0" w:rsidRDefault="006D3518">
      <w:pPr>
        <w:pStyle w:val="TOC3"/>
        <w:tabs>
          <w:tab w:val="right" w:leader="dot" w:pos="9350"/>
        </w:tabs>
        <w:rPr>
          <w:rFonts w:asciiTheme="minorHAnsi" w:hAnsiTheme="minorHAnsi" w:cstheme="minorBidi"/>
          <w:noProof/>
          <w:sz w:val="24"/>
          <w:szCs w:val="24"/>
          <w:lang w:eastAsia="en-GB"/>
        </w:rPr>
      </w:pPr>
      <w:hyperlink w:anchor="_Toc64723967" w:history="1">
        <w:r w:rsidR="00CE7BE0" w:rsidRPr="007B1712">
          <w:rPr>
            <w:rStyle w:val="Hyperlink"/>
            <w:noProof/>
          </w:rPr>
          <w:t>Summary</w:t>
        </w:r>
        <w:r w:rsidR="00CE7BE0">
          <w:rPr>
            <w:noProof/>
            <w:webHidden/>
          </w:rPr>
          <w:tab/>
        </w:r>
        <w:r w:rsidR="00CE7BE0">
          <w:rPr>
            <w:noProof/>
            <w:webHidden/>
          </w:rPr>
          <w:fldChar w:fldCharType="begin"/>
        </w:r>
        <w:r w:rsidR="00CE7BE0">
          <w:rPr>
            <w:noProof/>
            <w:webHidden/>
          </w:rPr>
          <w:instrText xml:space="preserve"> PAGEREF _Toc64723967 \h </w:instrText>
        </w:r>
        <w:r w:rsidR="00CE7BE0">
          <w:rPr>
            <w:noProof/>
            <w:webHidden/>
          </w:rPr>
        </w:r>
        <w:r w:rsidR="00CE7BE0">
          <w:rPr>
            <w:noProof/>
            <w:webHidden/>
          </w:rPr>
          <w:fldChar w:fldCharType="separate"/>
        </w:r>
        <w:r w:rsidR="00CE7BE0">
          <w:rPr>
            <w:noProof/>
            <w:webHidden/>
          </w:rPr>
          <w:t>149</w:t>
        </w:r>
        <w:r w:rsidR="00CE7BE0">
          <w:rPr>
            <w:noProof/>
            <w:webHidden/>
          </w:rPr>
          <w:fldChar w:fldCharType="end"/>
        </w:r>
      </w:hyperlink>
    </w:p>
    <w:p w14:paraId="455CC403" w14:textId="127D8DA9" w:rsidR="00CE7BE0" w:rsidRDefault="006D3518">
      <w:pPr>
        <w:pStyle w:val="TOC2"/>
        <w:rPr>
          <w:rFonts w:asciiTheme="minorHAnsi" w:hAnsiTheme="minorHAnsi" w:cstheme="minorBidi"/>
          <w:iCs w:val="0"/>
          <w:noProof/>
          <w:sz w:val="24"/>
          <w:szCs w:val="24"/>
          <w:lang w:eastAsia="en-GB"/>
        </w:rPr>
      </w:pPr>
      <w:hyperlink w:anchor="_Toc64723968" w:history="1">
        <w:r w:rsidR="00CE7BE0" w:rsidRPr="007B1712">
          <w:rPr>
            <w:rStyle w:val="Hyperlink"/>
            <w:noProof/>
          </w:rPr>
          <w:t>Discussion</w:t>
        </w:r>
        <w:r w:rsidR="00CE7BE0">
          <w:rPr>
            <w:noProof/>
            <w:webHidden/>
          </w:rPr>
          <w:tab/>
        </w:r>
        <w:r w:rsidR="00CE7BE0">
          <w:rPr>
            <w:noProof/>
            <w:webHidden/>
          </w:rPr>
          <w:fldChar w:fldCharType="begin"/>
        </w:r>
        <w:r w:rsidR="00CE7BE0">
          <w:rPr>
            <w:noProof/>
            <w:webHidden/>
          </w:rPr>
          <w:instrText xml:space="preserve"> PAGEREF _Toc64723968 \h </w:instrText>
        </w:r>
        <w:r w:rsidR="00CE7BE0">
          <w:rPr>
            <w:noProof/>
            <w:webHidden/>
          </w:rPr>
        </w:r>
        <w:r w:rsidR="00CE7BE0">
          <w:rPr>
            <w:noProof/>
            <w:webHidden/>
          </w:rPr>
          <w:fldChar w:fldCharType="separate"/>
        </w:r>
        <w:r w:rsidR="00CE7BE0">
          <w:rPr>
            <w:noProof/>
            <w:webHidden/>
          </w:rPr>
          <w:t>149</w:t>
        </w:r>
        <w:r w:rsidR="00CE7BE0">
          <w:rPr>
            <w:noProof/>
            <w:webHidden/>
          </w:rPr>
          <w:fldChar w:fldCharType="end"/>
        </w:r>
      </w:hyperlink>
    </w:p>
    <w:p w14:paraId="12D87252" w14:textId="7AC81DBD" w:rsidR="00CE7BE0" w:rsidRDefault="006D3518">
      <w:pPr>
        <w:pStyle w:val="TOC2"/>
        <w:rPr>
          <w:rFonts w:asciiTheme="minorHAnsi" w:hAnsiTheme="minorHAnsi" w:cstheme="minorBidi"/>
          <w:iCs w:val="0"/>
          <w:noProof/>
          <w:sz w:val="24"/>
          <w:szCs w:val="24"/>
          <w:lang w:eastAsia="en-GB"/>
        </w:rPr>
      </w:pPr>
      <w:hyperlink w:anchor="_Toc64723969" w:history="1">
        <w:r w:rsidR="00CE7BE0" w:rsidRPr="007B1712">
          <w:rPr>
            <w:rStyle w:val="Hyperlink"/>
            <w:noProof/>
          </w:rPr>
          <w:t>Conclusion:</w:t>
        </w:r>
        <w:r w:rsidR="00CE7BE0">
          <w:rPr>
            <w:noProof/>
            <w:webHidden/>
          </w:rPr>
          <w:tab/>
        </w:r>
        <w:r w:rsidR="00CE7BE0">
          <w:rPr>
            <w:noProof/>
            <w:webHidden/>
          </w:rPr>
          <w:fldChar w:fldCharType="begin"/>
        </w:r>
        <w:r w:rsidR="00CE7BE0">
          <w:rPr>
            <w:noProof/>
            <w:webHidden/>
          </w:rPr>
          <w:instrText xml:space="preserve"> PAGEREF _Toc64723969 \h </w:instrText>
        </w:r>
        <w:r w:rsidR="00CE7BE0">
          <w:rPr>
            <w:noProof/>
            <w:webHidden/>
          </w:rPr>
        </w:r>
        <w:r w:rsidR="00CE7BE0">
          <w:rPr>
            <w:noProof/>
            <w:webHidden/>
          </w:rPr>
          <w:fldChar w:fldCharType="separate"/>
        </w:r>
        <w:r w:rsidR="00CE7BE0">
          <w:rPr>
            <w:noProof/>
            <w:webHidden/>
          </w:rPr>
          <w:t>160</w:t>
        </w:r>
        <w:r w:rsidR="00CE7BE0">
          <w:rPr>
            <w:noProof/>
            <w:webHidden/>
          </w:rPr>
          <w:fldChar w:fldCharType="end"/>
        </w:r>
      </w:hyperlink>
    </w:p>
    <w:p w14:paraId="14A6755B" w14:textId="2187E71F" w:rsidR="00CE7BE0" w:rsidRDefault="006D3518">
      <w:pPr>
        <w:pStyle w:val="TOC1"/>
        <w:tabs>
          <w:tab w:val="right" w:leader="dot" w:pos="9350"/>
        </w:tabs>
        <w:rPr>
          <w:rFonts w:asciiTheme="minorHAnsi" w:hAnsiTheme="minorHAnsi" w:cstheme="minorBidi"/>
          <w:b w:val="0"/>
          <w:bCs w:val="0"/>
          <w:noProof/>
          <w:sz w:val="24"/>
          <w:szCs w:val="24"/>
          <w:lang w:eastAsia="en-GB"/>
        </w:rPr>
      </w:pPr>
      <w:hyperlink w:anchor="_Toc64723970" w:history="1">
        <w:r w:rsidR="00CE7BE0" w:rsidRPr="007B1712">
          <w:rPr>
            <w:rStyle w:val="Hyperlink"/>
            <w:noProof/>
          </w:rPr>
          <w:t>Chapter 6: Thalamic Proton Magnetic Resonance Spectroscopy Metabolite Parameters are Related to Mood Disorders</w:t>
        </w:r>
        <w:r w:rsidR="00CE7BE0">
          <w:rPr>
            <w:noProof/>
            <w:webHidden/>
          </w:rPr>
          <w:tab/>
        </w:r>
        <w:r w:rsidR="00CE7BE0">
          <w:rPr>
            <w:noProof/>
            <w:webHidden/>
          </w:rPr>
          <w:fldChar w:fldCharType="begin"/>
        </w:r>
        <w:r w:rsidR="00CE7BE0">
          <w:rPr>
            <w:noProof/>
            <w:webHidden/>
          </w:rPr>
          <w:instrText xml:space="preserve"> PAGEREF _Toc64723970 \h </w:instrText>
        </w:r>
        <w:r w:rsidR="00CE7BE0">
          <w:rPr>
            <w:noProof/>
            <w:webHidden/>
          </w:rPr>
        </w:r>
        <w:r w:rsidR="00CE7BE0">
          <w:rPr>
            <w:noProof/>
            <w:webHidden/>
          </w:rPr>
          <w:fldChar w:fldCharType="separate"/>
        </w:r>
        <w:r w:rsidR="00CE7BE0">
          <w:rPr>
            <w:noProof/>
            <w:webHidden/>
          </w:rPr>
          <w:t>161</w:t>
        </w:r>
        <w:r w:rsidR="00CE7BE0">
          <w:rPr>
            <w:noProof/>
            <w:webHidden/>
          </w:rPr>
          <w:fldChar w:fldCharType="end"/>
        </w:r>
      </w:hyperlink>
    </w:p>
    <w:p w14:paraId="50F0D510" w14:textId="6C63EE6B" w:rsidR="00CE7BE0" w:rsidRDefault="006D3518">
      <w:pPr>
        <w:pStyle w:val="TOC2"/>
        <w:rPr>
          <w:rFonts w:asciiTheme="minorHAnsi" w:hAnsiTheme="minorHAnsi" w:cstheme="minorBidi"/>
          <w:iCs w:val="0"/>
          <w:noProof/>
          <w:sz w:val="24"/>
          <w:szCs w:val="24"/>
          <w:lang w:eastAsia="en-GB"/>
        </w:rPr>
      </w:pPr>
      <w:hyperlink w:anchor="_Toc64723971" w:history="1">
        <w:r w:rsidR="00CE7BE0" w:rsidRPr="007B1712">
          <w:rPr>
            <w:rStyle w:val="Hyperlink"/>
            <w:noProof/>
          </w:rPr>
          <w:t>Abstract:</w:t>
        </w:r>
        <w:r w:rsidR="00CE7BE0">
          <w:rPr>
            <w:noProof/>
            <w:webHidden/>
          </w:rPr>
          <w:tab/>
        </w:r>
        <w:r w:rsidR="00CE7BE0">
          <w:rPr>
            <w:noProof/>
            <w:webHidden/>
          </w:rPr>
          <w:fldChar w:fldCharType="begin"/>
        </w:r>
        <w:r w:rsidR="00CE7BE0">
          <w:rPr>
            <w:noProof/>
            <w:webHidden/>
          </w:rPr>
          <w:instrText xml:space="preserve"> PAGEREF _Toc64723971 \h </w:instrText>
        </w:r>
        <w:r w:rsidR="00CE7BE0">
          <w:rPr>
            <w:noProof/>
            <w:webHidden/>
          </w:rPr>
        </w:r>
        <w:r w:rsidR="00CE7BE0">
          <w:rPr>
            <w:noProof/>
            <w:webHidden/>
          </w:rPr>
          <w:fldChar w:fldCharType="separate"/>
        </w:r>
        <w:r w:rsidR="00CE7BE0">
          <w:rPr>
            <w:noProof/>
            <w:webHidden/>
          </w:rPr>
          <w:t>161</w:t>
        </w:r>
        <w:r w:rsidR="00CE7BE0">
          <w:rPr>
            <w:noProof/>
            <w:webHidden/>
          </w:rPr>
          <w:fldChar w:fldCharType="end"/>
        </w:r>
      </w:hyperlink>
    </w:p>
    <w:p w14:paraId="422A98B6" w14:textId="5AE553AC" w:rsidR="00CE7BE0" w:rsidRDefault="006D3518">
      <w:pPr>
        <w:pStyle w:val="TOC2"/>
        <w:rPr>
          <w:rFonts w:asciiTheme="minorHAnsi" w:hAnsiTheme="minorHAnsi" w:cstheme="minorBidi"/>
          <w:iCs w:val="0"/>
          <w:noProof/>
          <w:sz w:val="24"/>
          <w:szCs w:val="24"/>
          <w:lang w:eastAsia="en-GB"/>
        </w:rPr>
      </w:pPr>
      <w:hyperlink w:anchor="_Toc64723972" w:history="1">
        <w:r w:rsidR="00CE7BE0" w:rsidRPr="007B1712">
          <w:rPr>
            <w:rStyle w:val="Hyperlink"/>
            <w:noProof/>
          </w:rPr>
          <w:t>Introduction:</w:t>
        </w:r>
        <w:r w:rsidR="00CE7BE0">
          <w:rPr>
            <w:noProof/>
            <w:webHidden/>
          </w:rPr>
          <w:tab/>
        </w:r>
        <w:r w:rsidR="00CE7BE0">
          <w:rPr>
            <w:noProof/>
            <w:webHidden/>
          </w:rPr>
          <w:fldChar w:fldCharType="begin"/>
        </w:r>
        <w:r w:rsidR="00CE7BE0">
          <w:rPr>
            <w:noProof/>
            <w:webHidden/>
          </w:rPr>
          <w:instrText xml:space="preserve"> PAGEREF _Toc64723972 \h </w:instrText>
        </w:r>
        <w:r w:rsidR="00CE7BE0">
          <w:rPr>
            <w:noProof/>
            <w:webHidden/>
          </w:rPr>
        </w:r>
        <w:r w:rsidR="00CE7BE0">
          <w:rPr>
            <w:noProof/>
            <w:webHidden/>
          </w:rPr>
          <w:fldChar w:fldCharType="separate"/>
        </w:r>
        <w:r w:rsidR="00CE7BE0">
          <w:rPr>
            <w:noProof/>
            <w:webHidden/>
          </w:rPr>
          <w:t>162</w:t>
        </w:r>
        <w:r w:rsidR="00CE7BE0">
          <w:rPr>
            <w:noProof/>
            <w:webHidden/>
          </w:rPr>
          <w:fldChar w:fldCharType="end"/>
        </w:r>
      </w:hyperlink>
    </w:p>
    <w:p w14:paraId="7731460C" w14:textId="064BF5CE" w:rsidR="00CE7BE0" w:rsidRDefault="006D3518">
      <w:pPr>
        <w:pStyle w:val="TOC2"/>
        <w:rPr>
          <w:rFonts w:asciiTheme="minorHAnsi" w:hAnsiTheme="minorHAnsi" w:cstheme="minorBidi"/>
          <w:iCs w:val="0"/>
          <w:noProof/>
          <w:sz w:val="24"/>
          <w:szCs w:val="24"/>
          <w:lang w:eastAsia="en-GB"/>
        </w:rPr>
      </w:pPr>
      <w:hyperlink w:anchor="_Toc64723973" w:history="1">
        <w:r w:rsidR="00CE7BE0" w:rsidRPr="007B1712">
          <w:rPr>
            <w:rStyle w:val="Hyperlink"/>
            <w:noProof/>
          </w:rPr>
          <w:t>Method:</w:t>
        </w:r>
        <w:r w:rsidR="00CE7BE0">
          <w:rPr>
            <w:noProof/>
            <w:webHidden/>
          </w:rPr>
          <w:tab/>
        </w:r>
        <w:r w:rsidR="00CE7BE0">
          <w:rPr>
            <w:noProof/>
            <w:webHidden/>
          </w:rPr>
          <w:fldChar w:fldCharType="begin"/>
        </w:r>
        <w:r w:rsidR="00CE7BE0">
          <w:rPr>
            <w:noProof/>
            <w:webHidden/>
          </w:rPr>
          <w:instrText xml:space="preserve"> PAGEREF _Toc64723973 \h </w:instrText>
        </w:r>
        <w:r w:rsidR="00CE7BE0">
          <w:rPr>
            <w:noProof/>
            <w:webHidden/>
          </w:rPr>
        </w:r>
        <w:r w:rsidR="00CE7BE0">
          <w:rPr>
            <w:noProof/>
            <w:webHidden/>
          </w:rPr>
          <w:fldChar w:fldCharType="separate"/>
        </w:r>
        <w:r w:rsidR="00CE7BE0">
          <w:rPr>
            <w:noProof/>
            <w:webHidden/>
          </w:rPr>
          <w:t>164</w:t>
        </w:r>
        <w:r w:rsidR="00CE7BE0">
          <w:rPr>
            <w:noProof/>
            <w:webHidden/>
          </w:rPr>
          <w:fldChar w:fldCharType="end"/>
        </w:r>
      </w:hyperlink>
    </w:p>
    <w:p w14:paraId="38592296" w14:textId="44DCEF62" w:rsidR="00CE7BE0" w:rsidRDefault="006D3518">
      <w:pPr>
        <w:pStyle w:val="TOC2"/>
        <w:rPr>
          <w:rFonts w:asciiTheme="minorHAnsi" w:hAnsiTheme="minorHAnsi" w:cstheme="minorBidi"/>
          <w:iCs w:val="0"/>
          <w:noProof/>
          <w:sz w:val="24"/>
          <w:szCs w:val="24"/>
          <w:lang w:eastAsia="en-GB"/>
        </w:rPr>
      </w:pPr>
      <w:hyperlink w:anchor="_Toc64723974" w:history="1">
        <w:r w:rsidR="00CE7BE0" w:rsidRPr="007B1712">
          <w:rPr>
            <w:rStyle w:val="Hyperlink"/>
            <w:noProof/>
          </w:rPr>
          <w:t>Results:</w:t>
        </w:r>
        <w:r w:rsidR="00CE7BE0">
          <w:rPr>
            <w:noProof/>
            <w:webHidden/>
          </w:rPr>
          <w:tab/>
        </w:r>
        <w:r w:rsidR="00CE7BE0">
          <w:rPr>
            <w:noProof/>
            <w:webHidden/>
          </w:rPr>
          <w:fldChar w:fldCharType="begin"/>
        </w:r>
        <w:r w:rsidR="00CE7BE0">
          <w:rPr>
            <w:noProof/>
            <w:webHidden/>
          </w:rPr>
          <w:instrText xml:space="preserve"> PAGEREF _Toc64723974 \h </w:instrText>
        </w:r>
        <w:r w:rsidR="00CE7BE0">
          <w:rPr>
            <w:noProof/>
            <w:webHidden/>
          </w:rPr>
        </w:r>
        <w:r w:rsidR="00CE7BE0">
          <w:rPr>
            <w:noProof/>
            <w:webHidden/>
          </w:rPr>
          <w:fldChar w:fldCharType="separate"/>
        </w:r>
        <w:r w:rsidR="00CE7BE0">
          <w:rPr>
            <w:noProof/>
            <w:webHidden/>
          </w:rPr>
          <w:t>166</w:t>
        </w:r>
        <w:r w:rsidR="00CE7BE0">
          <w:rPr>
            <w:noProof/>
            <w:webHidden/>
          </w:rPr>
          <w:fldChar w:fldCharType="end"/>
        </w:r>
      </w:hyperlink>
    </w:p>
    <w:p w14:paraId="4E90A171" w14:textId="0FF20F6C" w:rsidR="00CE7BE0" w:rsidRDefault="006D3518">
      <w:pPr>
        <w:pStyle w:val="TOC3"/>
        <w:tabs>
          <w:tab w:val="right" w:leader="dot" w:pos="9350"/>
        </w:tabs>
        <w:rPr>
          <w:rFonts w:asciiTheme="minorHAnsi" w:hAnsiTheme="minorHAnsi" w:cstheme="minorBidi"/>
          <w:noProof/>
          <w:sz w:val="24"/>
          <w:szCs w:val="24"/>
          <w:lang w:eastAsia="en-GB"/>
        </w:rPr>
      </w:pPr>
      <w:hyperlink w:anchor="_Toc64723975" w:history="1">
        <w:r w:rsidR="00CE7BE0" w:rsidRPr="007B1712">
          <w:rPr>
            <w:rStyle w:val="Hyperlink"/>
            <w:noProof/>
          </w:rPr>
          <w:t>Spectroscopy correlated with baseline characteristics, perfusion measures and psychological factors.</w:t>
        </w:r>
        <w:r w:rsidR="00CE7BE0">
          <w:rPr>
            <w:noProof/>
            <w:webHidden/>
          </w:rPr>
          <w:tab/>
        </w:r>
        <w:r w:rsidR="00CE7BE0">
          <w:rPr>
            <w:noProof/>
            <w:webHidden/>
          </w:rPr>
          <w:fldChar w:fldCharType="begin"/>
        </w:r>
        <w:r w:rsidR="00CE7BE0">
          <w:rPr>
            <w:noProof/>
            <w:webHidden/>
          </w:rPr>
          <w:instrText xml:space="preserve"> PAGEREF _Toc64723975 \h </w:instrText>
        </w:r>
        <w:r w:rsidR="00CE7BE0">
          <w:rPr>
            <w:noProof/>
            <w:webHidden/>
          </w:rPr>
        </w:r>
        <w:r w:rsidR="00CE7BE0">
          <w:rPr>
            <w:noProof/>
            <w:webHidden/>
          </w:rPr>
          <w:fldChar w:fldCharType="separate"/>
        </w:r>
        <w:r w:rsidR="00CE7BE0">
          <w:rPr>
            <w:noProof/>
            <w:webHidden/>
          </w:rPr>
          <w:t>168</w:t>
        </w:r>
        <w:r w:rsidR="00CE7BE0">
          <w:rPr>
            <w:noProof/>
            <w:webHidden/>
          </w:rPr>
          <w:fldChar w:fldCharType="end"/>
        </w:r>
      </w:hyperlink>
    </w:p>
    <w:p w14:paraId="1D8E5ACC" w14:textId="79E24607" w:rsidR="00CE7BE0" w:rsidRDefault="006D3518">
      <w:pPr>
        <w:pStyle w:val="TOC2"/>
        <w:rPr>
          <w:rFonts w:asciiTheme="minorHAnsi" w:hAnsiTheme="minorHAnsi" w:cstheme="minorBidi"/>
          <w:iCs w:val="0"/>
          <w:noProof/>
          <w:sz w:val="24"/>
          <w:szCs w:val="24"/>
          <w:lang w:eastAsia="en-GB"/>
        </w:rPr>
      </w:pPr>
      <w:hyperlink w:anchor="_Toc64723976" w:history="1">
        <w:r w:rsidR="00CE7BE0" w:rsidRPr="007B1712">
          <w:rPr>
            <w:rStyle w:val="Hyperlink"/>
            <w:noProof/>
          </w:rPr>
          <w:t>Discussion:</w:t>
        </w:r>
        <w:r w:rsidR="00CE7BE0">
          <w:rPr>
            <w:noProof/>
            <w:webHidden/>
          </w:rPr>
          <w:tab/>
        </w:r>
        <w:r w:rsidR="00CE7BE0">
          <w:rPr>
            <w:noProof/>
            <w:webHidden/>
          </w:rPr>
          <w:fldChar w:fldCharType="begin"/>
        </w:r>
        <w:r w:rsidR="00CE7BE0">
          <w:rPr>
            <w:noProof/>
            <w:webHidden/>
          </w:rPr>
          <w:instrText xml:space="preserve"> PAGEREF _Toc64723976 \h </w:instrText>
        </w:r>
        <w:r w:rsidR="00CE7BE0">
          <w:rPr>
            <w:noProof/>
            <w:webHidden/>
          </w:rPr>
        </w:r>
        <w:r w:rsidR="00CE7BE0">
          <w:rPr>
            <w:noProof/>
            <w:webHidden/>
          </w:rPr>
          <w:fldChar w:fldCharType="separate"/>
        </w:r>
        <w:r w:rsidR="00CE7BE0">
          <w:rPr>
            <w:noProof/>
            <w:webHidden/>
          </w:rPr>
          <w:t>171</w:t>
        </w:r>
        <w:r w:rsidR="00CE7BE0">
          <w:rPr>
            <w:noProof/>
            <w:webHidden/>
          </w:rPr>
          <w:fldChar w:fldCharType="end"/>
        </w:r>
      </w:hyperlink>
    </w:p>
    <w:p w14:paraId="793E096A" w14:textId="17786B36" w:rsidR="00CE7BE0" w:rsidRDefault="006D3518">
      <w:pPr>
        <w:pStyle w:val="TOC2"/>
        <w:rPr>
          <w:rFonts w:asciiTheme="minorHAnsi" w:hAnsiTheme="minorHAnsi" w:cstheme="minorBidi"/>
          <w:iCs w:val="0"/>
          <w:noProof/>
          <w:sz w:val="24"/>
          <w:szCs w:val="24"/>
          <w:lang w:eastAsia="en-GB"/>
        </w:rPr>
      </w:pPr>
      <w:hyperlink w:anchor="_Toc64723977" w:history="1">
        <w:r w:rsidR="00CE7BE0" w:rsidRPr="007B1712">
          <w:rPr>
            <w:rStyle w:val="Hyperlink"/>
            <w:noProof/>
          </w:rPr>
          <w:t>Conclusion</w:t>
        </w:r>
        <w:r w:rsidR="00CE7BE0">
          <w:rPr>
            <w:noProof/>
            <w:webHidden/>
          </w:rPr>
          <w:tab/>
        </w:r>
        <w:r w:rsidR="00CE7BE0">
          <w:rPr>
            <w:noProof/>
            <w:webHidden/>
          </w:rPr>
          <w:fldChar w:fldCharType="begin"/>
        </w:r>
        <w:r w:rsidR="00CE7BE0">
          <w:rPr>
            <w:noProof/>
            <w:webHidden/>
          </w:rPr>
          <w:instrText xml:space="preserve"> PAGEREF _Toc64723977 \h </w:instrText>
        </w:r>
        <w:r w:rsidR="00CE7BE0">
          <w:rPr>
            <w:noProof/>
            <w:webHidden/>
          </w:rPr>
        </w:r>
        <w:r w:rsidR="00CE7BE0">
          <w:rPr>
            <w:noProof/>
            <w:webHidden/>
          </w:rPr>
          <w:fldChar w:fldCharType="separate"/>
        </w:r>
        <w:r w:rsidR="00CE7BE0">
          <w:rPr>
            <w:noProof/>
            <w:webHidden/>
          </w:rPr>
          <w:t>176</w:t>
        </w:r>
        <w:r w:rsidR="00CE7BE0">
          <w:rPr>
            <w:noProof/>
            <w:webHidden/>
          </w:rPr>
          <w:fldChar w:fldCharType="end"/>
        </w:r>
      </w:hyperlink>
    </w:p>
    <w:p w14:paraId="5BFC2862" w14:textId="149223CA" w:rsidR="00CE7BE0" w:rsidRDefault="006D3518">
      <w:pPr>
        <w:pStyle w:val="TOC1"/>
        <w:tabs>
          <w:tab w:val="right" w:leader="dot" w:pos="9350"/>
        </w:tabs>
        <w:rPr>
          <w:rFonts w:asciiTheme="minorHAnsi" w:hAnsiTheme="minorHAnsi" w:cstheme="minorBidi"/>
          <w:b w:val="0"/>
          <w:bCs w:val="0"/>
          <w:noProof/>
          <w:sz w:val="24"/>
          <w:szCs w:val="24"/>
          <w:lang w:eastAsia="en-GB"/>
        </w:rPr>
      </w:pPr>
      <w:hyperlink w:anchor="_Toc64723978" w:history="1">
        <w:r w:rsidR="00CE7BE0" w:rsidRPr="007B1712">
          <w:rPr>
            <w:rStyle w:val="Hyperlink"/>
            <w:noProof/>
          </w:rPr>
          <w:t>Chapter 7: Conclusions and Further Work</w:t>
        </w:r>
        <w:r w:rsidR="00CE7BE0">
          <w:rPr>
            <w:noProof/>
            <w:webHidden/>
          </w:rPr>
          <w:tab/>
        </w:r>
        <w:r w:rsidR="00CE7BE0">
          <w:rPr>
            <w:noProof/>
            <w:webHidden/>
          </w:rPr>
          <w:fldChar w:fldCharType="begin"/>
        </w:r>
        <w:r w:rsidR="00CE7BE0">
          <w:rPr>
            <w:noProof/>
            <w:webHidden/>
          </w:rPr>
          <w:instrText xml:space="preserve"> PAGEREF _Toc64723978 \h </w:instrText>
        </w:r>
        <w:r w:rsidR="00CE7BE0">
          <w:rPr>
            <w:noProof/>
            <w:webHidden/>
          </w:rPr>
        </w:r>
        <w:r w:rsidR="00CE7BE0">
          <w:rPr>
            <w:noProof/>
            <w:webHidden/>
          </w:rPr>
          <w:fldChar w:fldCharType="separate"/>
        </w:r>
        <w:r w:rsidR="00CE7BE0">
          <w:rPr>
            <w:noProof/>
            <w:webHidden/>
          </w:rPr>
          <w:t>177</w:t>
        </w:r>
        <w:r w:rsidR="00CE7BE0">
          <w:rPr>
            <w:noProof/>
            <w:webHidden/>
          </w:rPr>
          <w:fldChar w:fldCharType="end"/>
        </w:r>
      </w:hyperlink>
    </w:p>
    <w:p w14:paraId="73A6219F" w14:textId="4CE5E63F" w:rsidR="00CE7BE0" w:rsidRDefault="006D3518">
      <w:pPr>
        <w:pStyle w:val="TOC1"/>
        <w:tabs>
          <w:tab w:val="right" w:leader="dot" w:pos="9350"/>
        </w:tabs>
        <w:rPr>
          <w:rFonts w:asciiTheme="minorHAnsi" w:hAnsiTheme="minorHAnsi" w:cstheme="minorBidi"/>
          <w:b w:val="0"/>
          <w:bCs w:val="0"/>
          <w:noProof/>
          <w:sz w:val="24"/>
          <w:szCs w:val="24"/>
          <w:lang w:eastAsia="en-GB"/>
        </w:rPr>
      </w:pPr>
      <w:hyperlink w:anchor="_Toc64723979" w:history="1">
        <w:r w:rsidR="00CE7BE0" w:rsidRPr="007B1712">
          <w:rPr>
            <w:rStyle w:val="Hyperlink"/>
            <w:rFonts w:eastAsia="MS Gothic"/>
            <w:noProof/>
          </w:rPr>
          <w:t>Appendix A: Supplementary Results Tables for Chapter 2</w:t>
        </w:r>
        <w:r w:rsidR="00CE7BE0">
          <w:rPr>
            <w:noProof/>
            <w:webHidden/>
          </w:rPr>
          <w:tab/>
        </w:r>
        <w:r w:rsidR="00CE7BE0">
          <w:rPr>
            <w:noProof/>
            <w:webHidden/>
          </w:rPr>
          <w:fldChar w:fldCharType="begin"/>
        </w:r>
        <w:r w:rsidR="00CE7BE0">
          <w:rPr>
            <w:noProof/>
            <w:webHidden/>
          </w:rPr>
          <w:instrText xml:space="preserve"> PAGEREF _Toc64723979 \h </w:instrText>
        </w:r>
        <w:r w:rsidR="00CE7BE0">
          <w:rPr>
            <w:noProof/>
            <w:webHidden/>
          </w:rPr>
        </w:r>
        <w:r w:rsidR="00CE7BE0">
          <w:rPr>
            <w:noProof/>
            <w:webHidden/>
          </w:rPr>
          <w:fldChar w:fldCharType="separate"/>
        </w:r>
        <w:r w:rsidR="00CE7BE0">
          <w:rPr>
            <w:noProof/>
            <w:webHidden/>
          </w:rPr>
          <w:t>182</w:t>
        </w:r>
        <w:r w:rsidR="00CE7BE0">
          <w:rPr>
            <w:noProof/>
            <w:webHidden/>
          </w:rPr>
          <w:fldChar w:fldCharType="end"/>
        </w:r>
      </w:hyperlink>
    </w:p>
    <w:p w14:paraId="4764D1CA" w14:textId="43C95E14" w:rsidR="00CE7BE0" w:rsidRDefault="006D3518">
      <w:pPr>
        <w:pStyle w:val="TOC1"/>
        <w:tabs>
          <w:tab w:val="right" w:leader="dot" w:pos="9350"/>
        </w:tabs>
        <w:rPr>
          <w:rFonts w:asciiTheme="minorHAnsi" w:hAnsiTheme="minorHAnsi" w:cstheme="minorBidi"/>
          <w:b w:val="0"/>
          <w:bCs w:val="0"/>
          <w:noProof/>
          <w:sz w:val="24"/>
          <w:szCs w:val="24"/>
          <w:lang w:eastAsia="en-GB"/>
        </w:rPr>
      </w:pPr>
      <w:hyperlink w:anchor="_Toc64723980" w:history="1">
        <w:r w:rsidR="00CE7BE0" w:rsidRPr="007B1712">
          <w:rPr>
            <w:rStyle w:val="Hyperlink"/>
            <w:rFonts w:eastAsia="MS Gothic" w:cs="Arial"/>
            <w:noProof/>
          </w:rPr>
          <w:t xml:space="preserve">Appendix B: </w:t>
        </w:r>
        <w:r w:rsidR="00CE7BE0" w:rsidRPr="007B1712">
          <w:rPr>
            <w:rStyle w:val="Hyperlink"/>
            <w:rFonts w:eastAsia="MS Gothic"/>
            <w:noProof/>
          </w:rPr>
          <w:t>Supplementary Results Tables for Chapter 3</w:t>
        </w:r>
        <w:r w:rsidR="00CE7BE0">
          <w:rPr>
            <w:noProof/>
            <w:webHidden/>
          </w:rPr>
          <w:tab/>
        </w:r>
        <w:r w:rsidR="00CE7BE0">
          <w:rPr>
            <w:noProof/>
            <w:webHidden/>
          </w:rPr>
          <w:fldChar w:fldCharType="begin"/>
        </w:r>
        <w:r w:rsidR="00CE7BE0">
          <w:rPr>
            <w:noProof/>
            <w:webHidden/>
          </w:rPr>
          <w:instrText xml:space="preserve"> PAGEREF _Toc64723980 \h </w:instrText>
        </w:r>
        <w:r w:rsidR="00CE7BE0">
          <w:rPr>
            <w:noProof/>
            <w:webHidden/>
          </w:rPr>
        </w:r>
        <w:r w:rsidR="00CE7BE0">
          <w:rPr>
            <w:noProof/>
            <w:webHidden/>
          </w:rPr>
          <w:fldChar w:fldCharType="separate"/>
        </w:r>
        <w:r w:rsidR="00CE7BE0">
          <w:rPr>
            <w:noProof/>
            <w:webHidden/>
          </w:rPr>
          <w:t>189</w:t>
        </w:r>
        <w:r w:rsidR="00CE7BE0">
          <w:rPr>
            <w:noProof/>
            <w:webHidden/>
          </w:rPr>
          <w:fldChar w:fldCharType="end"/>
        </w:r>
      </w:hyperlink>
    </w:p>
    <w:p w14:paraId="01D10422" w14:textId="017AAAB7" w:rsidR="00CE7BE0" w:rsidRDefault="006D3518">
      <w:pPr>
        <w:pStyle w:val="TOC1"/>
        <w:tabs>
          <w:tab w:val="right" w:leader="dot" w:pos="9350"/>
        </w:tabs>
        <w:rPr>
          <w:rFonts w:asciiTheme="minorHAnsi" w:hAnsiTheme="minorHAnsi" w:cstheme="minorBidi"/>
          <w:b w:val="0"/>
          <w:bCs w:val="0"/>
          <w:noProof/>
          <w:sz w:val="24"/>
          <w:szCs w:val="24"/>
          <w:lang w:eastAsia="en-GB"/>
        </w:rPr>
      </w:pPr>
      <w:hyperlink w:anchor="_Toc64723981" w:history="1">
        <w:r w:rsidR="00CE7BE0" w:rsidRPr="007B1712">
          <w:rPr>
            <w:rStyle w:val="Hyperlink"/>
            <w:noProof/>
          </w:rPr>
          <w:t>Appendix C: Supplementary Results Tables for Chapter 4</w:t>
        </w:r>
        <w:r w:rsidR="00CE7BE0">
          <w:rPr>
            <w:noProof/>
            <w:webHidden/>
          </w:rPr>
          <w:tab/>
        </w:r>
        <w:r w:rsidR="00CE7BE0">
          <w:rPr>
            <w:noProof/>
            <w:webHidden/>
          </w:rPr>
          <w:fldChar w:fldCharType="begin"/>
        </w:r>
        <w:r w:rsidR="00CE7BE0">
          <w:rPr>
            <w:noProof/>
            <w:webHidden/>
          </w:rPr>
          <w:instrText xml:space="preserve"> PAGEREF _Toc64723981 \h </w:instrText>
        </w:r>
        <w:r w:rsidR="00CE7BE0">
          <w:rPr>
            <w:noProof/>
            <w:webHidden/>
          </w:rPr>
        </w:r>
        <w:r w:rsidR="00CE7BE0">
          <w:rPr>
            <w:noProof/>
            <w:webHidden/>
          </w:rPr>
          <w:fldChar w:fldCharType="separate"/>
        </w:r>
        <w:r w:rsidR="00CE7BE0">
          <w:rPr>
            <w:noProof/>
            <w:webHidden/>
          </w:rPr>
          <w:t>192</w:t>
        </w:r>
        <w:r w:rsidR="00CE7BE0">
          <w:rPr>
            <w:noProof/>
            <w:webHidden/>
          </w:rPr>
          <w:fldChar w:fldCharType="end"/>
        </w:r>
      </w:hyperlink>
    </w:p>
    <w:p w14:paraId="4A984659" w14:textId="0A3AB4F7" w:rsidR="00CE7BE0" w:rsidRDefault="006D3518">
      <w:pPr>
        <w:pStyle w:val="TOC3"/>
        <w:tabs>
          <w:tab w:val="right" w:leader="dot" w:pos="9350"/>
        </w:tabs>
        <w:rPr>
          <w:rFonts w:asciiTheme="minorHAnsi" w:hAnsiTheme="minorHAnsi" w:cstheme="minorBidi"/>
          <w:noProof/>
          <w:sz w:val="24"/>
          <w:szCs w:val="24"/>
          <w:lang w:eastAsia="en-GB"/>
        </w:rPr>
      </w:pPr>
      <w:hyperlink w:anchor="_Toc64723982" w:history="1">
        <w:r w:rsidR="00CE7BE0" w:rsidRPr="007B1712">
          <w:rPr>
            <w:rStyle w:val="Hyperlink"/>
            <w:noProof/>
          </w:rPr>
          <w:t>Polynomial Contrasts Examining the Effect of Diabetes on MTT</w:t>
        </w:r>
        <w:r w:rsidR="00CE7BE0">
          <w:rPr>
            <w:noProof/>
            <w:webHidden/>
          </w:rPr>
          <w:tab/>
        </w:r>
        <w:r w:rsidR="00CE7BE0">
          <w:rPr>
            <w:noProof/>
            <w:webHidden/>
          </w:rPr>
          <w:fldChar w:fldCharType="begin"/>
        </w:r>
        <w:r w:rsidR="00CE7BE0">
          <w:rPr>
            <w:noProof/>
            <w:webHidden/>
          </w:rPr>
          <w:instrText xml:space="preserve"> PAGEREF _Toc64723982 \h </w:instrText>
        </w:r>
        <w:r w:rsidR="00CE7BE0">
          <w:rPr>
            <w:noProof/>
            <w:webHidden/>
          </w:rPr>
        </w:r>
        <w:r w:rsidR="00CE7BE0">
          <w:rPr>
            <w:noProof/>
            <w:webHidden/>
          </w:rPr>
          <w:fldChar w:fldCharType="separate"/>
        </w:r>
        <w:r w:rsidR="00CE7BE0">
          <w:rPr>
            <w:noProof/>
            <w:webHidden/>
          </w:rPr>
          <w:t>198</w:t>
        </w:r>
        <w:r w:rsidR="00CE7BE0">
          <w:rPr>
            <w:noProof/>
            <w:webHidden/>
          </w:rPr>
          <w:fldChar w:fldCharType="end"/>
        </w:r>
      </w:hyperlink>
    </w:p>
    <w:p w14:paraId="4ECF8E70" w14:textId="29C9B80F" w:rsidR="00CE7BE0" w:rsidRDefault="006D3518">
      <w:pPr>
        <w:pStyle w:val="TOC1"/>
        <w:tabs>
          <w:tab w:val="right" w:leader="dot" w:pos="9350"/>
        </w:tabs>
        <w:rPr>
          <w:rFonts w:asciiTheme="minorHAnsi" w:hAnsiTheme="minorHAnsi" w:cstheme="minorBidi"/>
          <w:b w:val="0"/>
          <w:bCs w:val="0"/>
          <w:noProof/>
          <w:sz w:val="24"/>
          <w:szCs w:val="24"/>
          <w:lang w:eastAsia="en-GB"/>
        </w:rPr>
      </w:pPr>
      <w:hyperlink w:anchor="_Toc64723983" w:history="1">
        <w:r w:rsidR="00CE7BE0" w:rsidRPr="007B1712">
          <w:rPr>
            <w:rStyle w:val="Hyperlink"/>
            <w:rFonts w:eastAsia="MS Gothic" w:cs="Arial"/>
            <w:noProof/>
          </w:rPr>
          <w:t xml:space="preserve">Appendix D: </w:t>
        </w:r>
        <w:r w:rsidR="00CE7BE0" w:rsidRPr="007B1712">
          <w:rPr>
            <w:rStyle w:val="Hyperlink"/>
            <w:rFonts w:eastAsia="MS Gothic"/>
            <w:noProof/>
          </w:rPr>
          <w:t>Supplementary Results Tables for Chapter 5</w:t>
        </w:r>
        <w:r w:rsidR="00CE7BE0">
          <w:rPr>
            <w:noProof/>
            <w:webHidden/>
          </w:rPr>
          <w:tab/>
        </w:r>
        <w:r w:rsidR="00CE7BE0">
          <w:rPr>
            <w:noProof/>
            <w:webHidden/>
          </w:rPr>
          <w:fldChar w:fldCharType="begin"/>
        </w:r>
        <w:r w:rsidR="00CE7BE0">
          <w:rPr>
            <w:noProof/>
            <w:webHidden/>
          </w:rPr>
          <w:instrText xml:space="preserve"> PAGEREF _Toc64723983 \h </w:instrText>
        </w:r>
        <w:r w:rsidR="00CE7BE0">
          <w:rPr>
            <w:noProof/>
            <w:webHidden/>
          </w:rPr>
        </w:r>
        <w:r w:rsidR="00CE7BE0">
          <w:rPr>
            <w:noProof/>
            <w:webHidden/>
          </w:rPr>
          <w:fldChar w:fldCharType="separate"/>
        </w:r>
        <w:r w:rsidR="00CE7BE0">
          <w:rPr>
            <w:noProof/>
            <w:webHidden/>
          </w:rPr>
          <w:t>206</w:t>
        </w:r>
        <w:r w:rsidR="00CE7BE0">
          <w:rPr>
            <w:noProof/>
            <w:webHidden/>
          </w:rPr>
          <w:fldChar w:fldCharType="end"/>
        </w:r>
      </w:hyperlink>
    </w:p>
    <w:p w14:paraId="0B9841D2" w14:textId="1686C41A" w:rsidR="00CE7BE0" w:rsidRDefault="006D3518">
      <w:pPr>
        <w:pStyle w:val="TOC1"/>
        <w:tabs>
          <w:tab w:val="right" w:leader="dot" w:pos="9350"/>
        </w:tabs>
        <w:rPr>
          <w:rFonts w:asciiTheme="minorHAnsi" w:hAnsiTheme="minorHAnsi" w:cstheme="minorBidi"/>
          <w:b w:val="0"/>
          <w:bCs w:val="0"/>
          <w:noProof/>
          <w:sz w:val="24"/>
          <w:szCs w:val="24"/>
          <w:lang w:eastAsia="en-GB"/>
        </w:rPr>
      </w:pPr>
      <w:hyperlink w:anchor="_Toc64723984" w:history="1">
        <w:r w:rsidR="00CE7BE0" w:rsidRPr="007B1712">
          <w:rPr>
            <w:rStyle w:val="Hyperlink"/>
            <w:rFonts w:eastAsia="MS Gothic"/>
            <w:noProof/>
          </w:rPr>
          <w:t>Appendix E: Supplementary Results Tables for Chapter 6</w:t>
        </w:r>
        <w:r w:rsidR="00CE7BE0">
          <w:rPr>
            <w:noProof/>
            <w:webHidden/>
          </w:rPr>
          <w:tab/>
        </w:r>
        <w:r w:rsidR="00CE7BE0">
          <w:rPr>
            <w:noProof/>
            <w:webHidden/>
          </w:rPr>
          <w:fldChar w:fldCharType="begin"/>
        </w:r>
        <w:r w:rsidR="00CE7BE0">
          <w:rPr>
            <w:noProof/>
            <w:webHidden/>
          </w:rPr>
          <w:instrText xml:space="preserve"> PAGEREF _Toc64723984 \h </w:instrText>
        </w:r>
        <w:r w:rsidR="00CE7BE0">
          <w:rPr>
            <w:noProof/>
            <w:webHidden/>
          </w:rPr>
        </w:r>
        <w:r w:rsidR="00CE7BE0">
          <w:rPr>
            <w:noProof/>
            <w:webHidden/>
          </w:rPr>
          <w:fldChar w:fldCharType="separate"/>
        </w:r>
        <w:r w:rsidR="00CE7BE0">
          <w:rPr>
            <w:noProof/>
            <w:webHidden/>
          </w:rPr>
          <w:t>238</w:t>
        </w:r>
        <w:r w:rsidR="00CE7BE0">
          <w:rPr>
            <w:noProof/>
            <w:webHidden/>
          </w:rPr>
          <w:fldChar w:fldCharType="end"/>
        </w:r>
      </w:hyperlink>
    </w:p>
    <w:p w14:paraId="6B21D4AD" w14:textId="65B58BDF" w:rsidR="00CE7BE0" w:rsidRDefault="006D3518">
      <w:pPr>
        <w:pStyle w:val="TOC1"/>
        <w:tabs>
          <w:tab w:val="right" w:leader="dot" w:pos="9350"/>
        </w:tabs>
        <w:rPr>
          <w:rFonts w:asciiTheme="minorHAnsi" w:hAnsiTheme="minorHAnsi" w:cstheme="minorBidi"/>
          <w:b w:val="0"/>
          <w:bCs w:val="0"/>
          <w:noProof/>
          <w:sz w:val="24"/>
          <w:szCs w:val="24"/>
          <w:lang w:eastAsia="en-GB"/>
        </w:rPr>
      </w:pPr>
      <w:hyperlink w:anchor="_Toc64723985" w:history="1">
        <w:r w:rsidR="00CE7BE0" w:rsidRPr="007B1712">
          <w:rPr>
            <w:rStyle w:val="Hyperlink"/>
            <w:noProof/>
          </w:rPr>
          <w:t>Appendix F: Moderation/Potthoff Analysis</w:t>
        </w:r>
        <w:r w:rsidR="00CE7BE0">
          <w:rPr>
            <w:noProof/>
            <w:webHidden/>
          </w:rPr>
          <w:tab/>
        </w:r>
        <w:r w:rsidR="00CE7BE0">
          <w:rPr>
            <w:noProof/>
            <w:webHidden/>
          </w:rPr>
          <w:fldChar w:fldCharType="begin"/>
        </w:r>
        <w:r w:rsidR="00CE7BE0">
          <w:rPr>
            <w:noProof/>
            <w:webHidden/>
          </w:rPr>
          <w:instrText xml:space="preserve"> PAGEREF _Toc64723985 \h </w:instrText>
        </w:r>
        <w:r w:rsidR="00CE7BE0">
          <w:rPr>
            <w:noProof/>
            <w:webHidden/>
          </w:rPr>
        </w:r>
        <w:r w:rsidR="00CE7BE0">
          <w:rPr>
            <w:noProof/>
            <w:webHidden/>
          </w:rPr>
          <w:fldChar w:fldCharType="separate"/>
        </w:r>
        <w:r w:rsidR="00CE7BE0">
          <w:rPr>
            <w:noProof/>
            <w:webHidden/>
          </w:rPr>
          <w:t>243</w:t>
        </w:r>
        <w:r w:rsidR="00CE7BE0">
          <w:rPr>
            <w:noProof/>
            <w:webHidden/>
          </w:rPr>
          <w:fldChar w:fldCharType="end"/>
        </w:r>
      </w:hyperlink>
    </w:p>
    <w:p w14:paraId="0BE8E451" w14:textId="69B7E0DF" w:rsidR="00CE7BE0" w:rsidRDefault="006D3518">
      <w:pPr>
        <w:pStyle w:val="TOC1"/>
        <w:tabs>
          <w:tab w:val="right" w:leader="dot" w:pos="9350"/>
        </w:tabs>
        <w:rPr>
          <w:rFonts w:asciiTheme="minorHAnsi" w:hAnsiTheme="minorHAnsi" w:cstheme="minorBidi"/>
          <w:b w:val="0"/>
          <w:bCs w:val="0"/>
          <w:noProof/>
          <w:sz w:val="24"/>
          <w:szCs w:val="24"/>
          <w:lang w:eastAsia="en-GB"/>
        </w:rPr>
      </w:pPr>
      <w:hyperlink w:anchor="_Toc64723986" w:history="1">
        <w:r w:rsidR="00CE7BE0" w:rsidRPr="007B1712">
          <w:rPr>
            <w:rStyle w:val="Hyperlink"/>
            <w:noProof/>
          </w:rPr>
          <w:t>Bibliography</w:t>
        </w:r>
        <w:r w:rsidR="00CE7BE0">
          <w:rPr>
            <w:noProof/>
            <w:webHidden/>
          </w:rPr>
          <w:tab/>
        </w:r>
        <w:r w:rsidR="00CE7BE0">
          <w:rPr>
            <w:noProof/>
            <w:webHidden/>
          </w:rPr>
          <w:fldChar w:fldCharType="begin"/>
        </w:r>
        <w:r w:rsidR="00CE7BE0">
          <w:rPr>
            <w:noProof/>
            <w:webHidden/>
          </w:rPr>
          <w:instrText xml:space="preserve"> PAGEREF _Toc64723986 \h </w:instrText>
        </w:r>
        <w:r w:rsidR="00CE7BE0">
          <w:rPr>
            <w:noProof/>
            <w:webHidden/>
          </w:rPr>
        </w:r>
        <w:r w:rsidR="00CE7BE0">
          <w:rPr>
            <w:noProof/>
            <w:webHidden/>
          </w:rPr>
          <w:fldChar w:fldCharType="separate"/>
        </w:r>
        <w:r w:rsidR="00CE7BE0">
          <w:rPr>
            <w:noProof/>
            <w:webHidden/>
          </w:rPr>
          <w:t>244</w:t>
        </w:r>
        <w:r w:rsidR="00CE7BE0">
          <w:rPr>
            <w:noProof/>
            <w:webHidden/>
          </w:rPr>
          <w:fldChar w:fldCharType="end"/>
        </w:r>
      </w:hyperlink>
    </w:p>
    <w:p w14:paraId="501DE2AE" w14:textId="008BA776" w:rsidR="00C62606" w:rsidRDefault="00936B81">
      <w:r>
        <w:rPr>
          <w:rFonts w:cs="Arial"/>
        </w:rPr>
        <w:fldChar w:fldCharType="end"/>
      </w:r>
      <w:r w:rsidR="00C62606">
        <w:br w:type="page"/>
      </w:r>
    </w:p>
    <w:p w14:paraId="18FC057F" w14:textId="67788008" w:rsidR="003F46B5" w:rsidRDefault="003F46B5" w:rsidP="003F46B5">
      <w:pPr>
        <w:pStyle w:val="Heading1"/>
      </w:pPr>
      <w:bookmarkStart w:id="7" w:name="_Toc64723856"/>
      <w:r>
        <w:lastRenderedPageBreak/>
        <w:t>Table of Figures</w:t>
      </w:r>
      <w:bookmarkEnd w:id="7"/>
    </w:p>
    <w:p w14:paraId="2EB68A0A" w14:textId="3E0EA524" w:rsidR="00B41BC8" w:rsidRDefault="00196E9F">
      <w:pPr>
        <w:pStyle w:val="TableofFigures"/>
        <w:tabs>
          <w:tab w:val="right" w:leader="dot" w:pos="9350"/>
        </w:tabs>
        <w:rPr>
          <w:rFonts w:cstheme="minorBidi"/>
          <w:b w:val="0"/>
          <w:bCs w:val="0"/>
          <w:noProof/>
          <w:sz w:val="24"/>
          <w:szCs w:val="24"/>
          <w:lang w:eastAsia="en-GB"/>
        </w:rPr>
      </w:pPr>
      <w:r>
        <w:fldChar w:fldCharType="begin"/>
      </w:r>
      <w:r>
        <w:instrText xml:space="preserve"> TOC \h \z \t "Subtitle" \c </w:instrText>
      </w:r>
      <w:r>
        <w:fldChar w:fldCharType="separate"/>
      </w:r>
      <w:hyperlink w:anchor="_Toc64724162" w:history="1">
        <w:r w:rsidR="00B41BC8" w:rsidRPr="00EA1D0B">
          <w:rPr>
            <w:rStyle w:val="Hyperlink"/>
            <w:noProof/>
          </w:rPr>
          <w:t>Figure 1.1  Symptoms of Diabetic Peripheral Neuropathy</w:t>
        </w:r>
        <w:r w:rsidR="00B41BC8">
          <w:rPr>
            <w:noProof/>
            <w:webHidden/>
          </w:rPr>
          <w:tab/>
        </w:r>
        <w:r w:rsidR="00B41BC8">
          <w:rPr>
            <w:noProof/>
            <w:webHidden/>
          </w:rPr>
          <w:fldChar w:fldCharType="begin"/>
        </w:r>
        <w:r w:rsidR="00B41BC8">
          <w:rPr>
            <w:noProof/>
            <w:webHidden/>
          </w:rPr>
          <w:instrText xml:space="preserve"> PAGEREF _Toc64724162 \h </w:instrText>
        </w:r>
        <w:r w:rsidR="00B41BC8">
          <w:rPr>
            <w:noProof/>
            <w:webHidden/>
          </w:rPr>
        </w:r>
        <w:r w:rsidR="00B41BC8">
          <w:rPr>
            <w:noProof/>
            <w:webHidden/>
          </w:rPr>
          <w:fldChar w:fldCharType="separate"/>
        </w:r>
        <w:r w:rsidR="00B41BC8">
          <w:rPr>
            <w:noProof/>
            <w:webHidden/>
          </w:rPr>
          <w:t>22</w:t>
        </w:r>
        <w:r w:rsidR="00B41BC8">
          <w:rPr>
            <w:noProof/>
            <w:webHidden/>
          </w:rPr>
          <w:fldChar w:fldCharType="end"/>
        </w:r>
      </w:hyperlink>
    </w:p>
    <w:p w14:paraId="2BDA697E" w14:textId="51750E7F" w:rsidR="00B41BC8" w:rsidRDefault="006D3518">
      <w:pPr>
        <w:pStyle w:val="TableofFigures"/>
        <w:tabs>
          <w:tab w:val="right" w:leader="dot" w:pos="9350"/>
        </w:tabs>
        <w:rPr>
          <w:rFonts w:cstheme="minorBidi"/>
          <w:b w:val="0"/>
          <w:bCs w:val="0"/>
          <w:noProof/>
          <w:sz w:val="24"/>
          <w:szCs w:val="24"/>
          <w:lang w:eastAsia="en-GB"/>
        </w:rPr>
      </w:pPr>
      <w:hyperlink w:anchor="_Toc64724163" w:history="1">
        <w:r w:rsidR="00B41BC8" w:rsidRPr="00EA1D0B">
          <w:rPr>
            <w:rStyle w:val="Hyperlink"/>
            <w:noProof/>
          </w:rPr>
          <w:t>Figure 1.2  Schematic of Factors Thought to be Involved in the Pathogenesis of P-DPN</w:t>
        </w:r>
        <w:r w:rsidR="00B41BC8">
          <w:rPr>
            <w:noProof/>
            <w:webHidden/>
          </w:rPr>
          <w:tab/>
        </w:r>
        <w:r w:rsidR="00B41BC8">
          <w:rPr>
            <w:noProof/>
            <w:webHidden/>
          </w:rPr>
          <w:fldChar w:fldCharType="begin"/>
        </w:r>
        <w:r w:rsidR="00B41BC8">
          <w:rPr>
            <w:noProof/>
            <w:webHidden/>
          </w:rPr>
          <w:instrText xml:space="preserve"> PAGEREF _Toc64724163 \h </w:instrText>
        </w:r>
        <w:r w:rsidR="00B41BC8">
          <w:rPr>
            <w:noProof/>
            <w:webHidden/>
          </w:rPr>
        </w:r>
        <w:r w:rsidR="00B41BC8">
          <w:rPr>
            <w:noProof/>
            <w:webHidden/>
          </w:rPr>
          <w:fldChar w:fldCharType="separate"/>
        </w:r>
        <w:r w:rsidR="00B41BC8">
          <w:rPr>
            <w:noProof/>
            <w:webHidden/>
          </w:rPr>
          <w:t>26</w:t>
        </w:r>
        <w:r w:rsidR="00B41BC8">
          <w:rPr>
            <w:noProof/>
            <w:webHidden/>
          </w:rPr>
          <w:fldChar w:fldCharType="end"/>
        </w:r>
      </w:hyperlink>
    </w:p>
    <w:p w14:paraId="750DC1AA" w14:textId="76CB6141" w:rsidR="00B41BC8" w:rsidRDefault="006D3518">
      <w:pPr>
        <w:pStyle w:val="TableofFigures"/>
        <w:tabs>
          <w:tab w:val="right" w:leader="dot" w:pos="9350"/>
        </w:tabs>
        <w:rPr>
          <w:rFonts w:cstheme="minorBidi"/>
          <w:b w:val="0"/>
          <w:bCs w:val="0"/>
          <w:noProof/>
          <w:sz w:val="24"/>
          <w:szCs w:val="24"/>
          <w:lang w:eastAsia="en-GB"/>
        </w:rPr>
      </w:pPr>
      <w:hyperlink w:anchor="_Toc64724164" w:history="1">
        <w:r w:rsidR="00B41BC8" w:rsidRPr="00EA1D0B">
          <w:rPr>
            <w:rStyle w:val="Hyperlink"/>
            <w:noProof/>
          </w:rPr>
          <w:t>Figure 1.3  Neuroanatomy of Pain Processing</w:t>
        </w:r>
        <w:r w:rsidR="00B41BC8">
          <w:rPr>
            <w:noProof/>
            <w:webHidden/>
          </w:rPr>
          <w:tab/>
        </w:r>
        <w:r w:rsidR="00B41BC8">
          <w:rPr>
            <w:noProof/>
            <w:webHidden/>
          </w:rPr>
          <w:fldChar w:fldCharType="begin"/>
        </w:r>
        <w:r w:rsidR="00B41BC8">
          <w:rPr>
            <w:noProof/>
            <w:webHidden/>
          </w:rPr>
          <w:instrText xml:space="preserve"> PAGEREF _Toc64724164 \h </w:instrText>
        </w:r>
        <w:r w:rsidR="00B41BC8">
          <w:rPr>
            <w:noProof/>
            <w:webHidden/>
          </w:rPr>
        </w:r>
        <w:r w:rsidR="00B41BC8">
          <w:rPr>
            <w:noProof/>
            <w:webHidden/>
          </w:rPr>
          <w:fldChar w:fldCharType="separate"/>
        </w:r>
        <w:r w:rsidR="00B41BC8">
          <w:rPr>
            <w:noProof/>
            <w:webHidden/>
          </w:rPr>
          <w:t>28</w:t>
        </w:r>
        <w:r w:rsidR="00B41BC8">
          <w:rPr>
            <w:noProof/>
            <w:webHidden/>
          </w:rPr>
          <w:fldChar w:fldCharType="end"/>
        </w:r>
      </w:hyperlink>
    </w:p>
    <w:p w14:paraId="2BCB8E1F" w14:textId="2385FD00" w:rsidR="00B41BC8" w:rsidRDefault="006D3518">
      <w:pPr>
        <w:pStyle w:val="TableofFigures"/>
        <w:tabs>
          <w:tab w:val="right" w:leader="dot" w:pos="9350"/>
        </w:tabs>
        <w:rPr>
          <w:rFonts w:cstheme="minorBidi"/>
          <w:b w:val="0"/>
          <w:bCs w:val="0"/>
          <w:noProof/>
          <w:sz w:val="24"/>
          <w:szCs w:val="24"/>
          <w:lang w:eastAsia="en-GB"/>
        </w:rPr>
      </w:pPr>
      <w:hyperlink w:anchor="_Toc64724165" w:history="1">
        <w:r w:rsidR="00B41BC8" w:rsidRPr="00EA1D0B">
          <w:rPr>
            <w:rStyle w:val="Hyperlink"/>
            <w:noProof/>
          </w:rPr>
          <w:t>Figure 1.4  DSC-MRI technique- Converting the Signal Intensity Time Curve to Concentration Intensity Time Curve</w:t>
        </w:r>
        <w:r w:rsidR="00B41BC8">
          <w:rPr>
            <w:noProof/>
            <w:webHidden/>
          </w:rPr>
          <w:tab/>
        </w:r>
        <w:r w:rsidR="00B41BC8">
          <w:rPr>
            <w:noProof/>
            <w:webHidden/>
          </w:rPr>
          <w:fldChar w:fldCharType="begin"/>
        </w:r>
        <w:r w:rsidR="00B41BC8">
          <w:rPr>
            <w:noProof/>
            <w:webHidden/>
          </w:rPr>
          <w:instrText xml:space="preserve"> PAGEREF _Toc64724165 \h </w:instrText>
        </w:r>
        <w:r w:rsidR="00B41BC8">
          <w:rPr>
            <w:noProof/>
            <w:webHidden/>
          </w:rPr>
        </w:r>
        <w:r w:rsidR="00B41BC8">
          <w:rPr>
            <w:noProof/>
            <w:webHidden/>
          </w:rPr>
          <w:fldChar w:fldCharType="separate"/>
        </w:r>
        <w:r w:rsidR="00B41BC8">
          <w:rPr>
            <w:noProof/>
            <w:webHidden/>
          </w:rPr>
          <w:t>30</w:t>
        </w:r>
        <w:r w:rsidR="00B41BC8">
          <w:rPr>
            <w:noProof/>
            <w:webHidden/>
          </w:rPr>
          <w:fldChar w:fldCharType="end"/>
        </w:r>
      </w:hyperlink>
    </w:p>
    <w:p w14:paraId="3B17FC60" w14:textId="77AC92F6" w:rsidR="00B41BC8" w:rsidRDefault="006D3518">
      <w:pPr>
        <w:pStyle w:val="TableofFigures"/>
        <w:tabs>
          <w:tab w:val="right" w:leader="dot" w:pos="9350"/>
        </w:tabs>
        <w:rPr>
          <w:rFonts w:cstheme="minorBidi"/>
          <w:b w:val="0"/>
          <w:bCs w:val="0"/>
          <w:noProof/>
          <w:sz w:val="24"/>
          <w:szCs w:val="24"/>
          <w:lang w:eastAsia="en-GB"/>
        </w:rPr>
      </w:pPr>
      <w:hyperlink w:anchor="_Toc64724166" w:history="1">
        <w:r w:rsidR="00B41BC8" w:rsidRPr="00EA1D0B">
          <w:rPr>
            <w:rStyle w:val="Hyperlink"/>
            <w:noProof/>
          </w:rPr>
          <w:t>Figure 1.5  DSC-MRI technique: Deconvolution of the Arterial Input Function from the Tissue Concentration Curve for CBF, Integration of the Curves for CBV, and Derivation of MTT.</w:t>
        </w:r>
        <w:r w:rsidR="00B41BC8">
          <w:rPr>
            <w:noProof/>
            <w:webHidden/>
          </w:rPr>
          <w:tab/>
        </w:r>
        <w:r w:rsidR="00B41BC8">
          <w:rPr>
            <w:noProof/>
            <w:webHidden/>
          </w:rPr>
          <w:fldChar w:fldCharType="begin"/>
        </w:r>
        <w:r w:rsidR="00B41BC8">
          <w:rPr>
            <w:noProof/>
            <w:webHidden/>
          </w:rPr>
          <w:instrText xml:space="preserve"> PAGEREF _Toc64724166 \h </w:instrText>
        </w:r>
        <w:r w:rsidR="00B41BC8">
          <w:rPr>
            <w:noProof/>
            <w:webHidden/>
          </w:rPr>
        </w:r>
        <w:r w:rsidR="00B41BC8">
          <w:rPr>
            <w:noProof/>
            <w:webHidden/>
          </w:rPr>
          <w:fldChar w:fldCharType="separate"/>
        </w:r>
        <w:r w:rsidR="00B41BC8">
          <w:rPr>
            <w:noProof/>
            <w:webHidden/>
          </w:rPr>
          <w:t>32</w:t>
        </w:r>
        <w:r w:rsidR="00B41BC8">
          <w:rPr>
            <w:noProof/>
            <w:webHidden/>
          </w:rPr>
          <w:fldChar w:fldCharType="end"/>
        </w:r>
      </w:hyperlink>
    </w:p>
    <w:p w14:paraId="2239C2CC" w14:textId="6FAB93F9" w:rsidR="00B41BC8" w:rsidRDefault="006D3518">
      <w:pPr>
        <w:pStyle w:val="TableofFigures"/>
        <w:tabs>
          <w:tab w:val="right" w:leader="dot" w:pos="9350"/>
        </w:tabs>
        <w:rPr>
          <w:rFonts w:cstheme="minorBidi"/>
          <w:b w:val="0"/>
          <w:bCs w:val="0"/>
          <w:noProof/>
          <w:sz w:val="24"/>
          <w:szCs w:val="24"/>
          <w:lang w:eastAsia="en-GB"/>
        </w:rPr>
      </w:pPr>
      <w:hyperlink w:anchor="_Toc64724167" w:history="1">
        <w:r w:rsidR="00B41BC8" w:rsidRPr="00EA1D0B">
          <w:rPr>
            <w:rStyle w:val="Hyperlink"/>
            <w:noProof/>
          </w:rPr>
          <w:t>Figure 1.6  DSC-MRI technique: Representation of the Measures of Perfusion Using DSC-MRI and their Relationship to the Tissue Concentration Time Curve.</w:t>
        </w:r>
        <w:r w:rsidR="00B41BC8">
          <w:rPr>
            <w:noProof/>
            <w:webHidden/>
          </w:rPr>
          <w:tab/>
        </w:r>
        <w:r w:rsidR="00B41BC8">
          <w:rPr>
            <w:noProof/>
            <w:webHidden/>
          </w:rPr>
          <w:fldChar w:fldCharType="begin"/>
        </w:r>
        <w:r w:rsidR="00B41BC8">
          <w:rPr>
            <w:noProof/>
            <w:webHidden/>
          </w:rPr>
          <w:instrText xml:space="preserve"> PAGEREF _Toc64724167 \h </w:instrText>
        </w:r>
        <w:r w:rsidR="00B41BC8">
          <w:rPr>
            <w:noProof/>
            <w:webHidden/>
          </w:rPr>
        </w:r>
        <w:r w:rsidR="00B41BC8">
          <w:rPr>
            <w:noProof/>
            <w:webHidden/>
          </w:rPr>
          <w:fldChar w:fldCharType="separate"/>
        </w:r>
        <w:r w:rsidR="00B41BC8">
          <w:rPr>
            <w:noProof/>
            <w:webHidden/>
          </w:rPr>
          <w:t>33</w:t>
        </w:r>
        <w:r w:rsidR="00B41BC8">
          <w:rPr>
            <w:noProof/>
            <w:webHidden/>
          </w:rPr>
          <w:fldChar w:fldCharType="end"/>
        </w:r>
      </w:hyperlink>
    </w:p>
    <w:p w14:paraId="1CF2D05F" w14:textId="250ED285" w:rsidR="00B41BC8" w:rsidRDefault="006D3518">
      <w:pPr>
        <w:pStyle w:val="TableofFigures"/>
        <w:tabs>
          <w:tab w:val="right" w:leader="dot" w:pos="9350"/>
        </w:tabs>
        <w:rPr>
          <w:rFonts w:cstheme="minorBidi"/>
          <w:b w:val="0"/>
          <w:bCs w:val="0"/>
          <w:noProof/>
          <w:sz w:val="24"/>
          <w:szCs w:val="24"/>
          <w:lang w:eastAsia="en-GB"/>
        </w:rPr>
      </w:pPr>
      <w:hyperlink w:anchor="_Toc64724168" w:history="1">
        <w:r w:rsidR="00B41BC8" w:rsidRPr="00EA1D0B">
          <w:rPr>
            <w:rStyle w:val="Hyperlink"/>
            <w:noProof/>
          </w:rPr>
          <w:t>Figure 1.7  Concentration Time Profiles of Contrast Bolus through the Thalamus</w:t>
        </w:r>
        <w:r w:rsidR="00B41BC8">
          <w:rPr>
            <w:noProof/>
            <w:webHidden/>
          </w:rPr>
          <w:tab/>
        </w:r>
        <w:r w:rsidR="00B41BC8">
          <w:rPr>
            <w:noProof/>
            <w:webHidden/>
          </w:rPr>
          <w:fldChar w:fldCharType="begin"/>
        </w:r>
        <w:r w:rsidR="00B41BC8">
          <w:rPr>
            <w:noProof/>
            <w:webHidden/>
          </w:rPr>
          <w:instrText xml:space="preserve"> PAGEREF _Toc64724168 \h </w:instrText>
        </w:r>
        <w:r w:rsidR="00B41BC8">
          <w:rPr>
            <w:noProof/>
            <w:webHidden/>
          </w:rPr>
        </w:r>
        <w:r w:rsidR="00B41BC8">
          <w:rPr>
            <w:noProof/>
            <w:webHidden/>
          </w:rPr>
          <w:fldChar w:fldCharType="separate"/>
        </w:r>
        <w:r w:rsidR="00B41BC8">
          <w:rPr>
            <w:noProof/>
            <w:webHidden/>
          </w:rPr>
          <w:t>34</w:t>
        </w:r>
        <w:r w:rsidR="00B41BC8">
          <w:rPr>
            <w:noProof/>
            <w:webHidden/>
          </w:rPr>
          <w:fldChar w:fldCharType="end"/>
        </w:r>
      </w:hyperlink>
    </w:p>
    <w:p w14:paraId="2A309232" w14:textId="2DD83378" w:rsidR="00B41BC8" w:rsidRDefault="006D3518">
      <w:pPr>
        <w:pStyle w:val="TableofFigures"/>
        <w:tabs>
          <w:tab w:val="right" w:leader="dot" w:pos="9350"/>
        </w:tabs>
        <w:rPr>
          <w:rFonts w:cstheme="minorBidi"/>
          <w:b w:val="0"/>
          <w:bCs w:val="0"/>
          <w:noProof/>
          <w:sz w:val="24"/>
          <w:szCs w:val="24"/>
          <w:lang w:eastAsia="en-GB"/>
        </w:rPr>
      </w:pPr>
      <w:hyperlink w:anchor="_Toc64724169" w:history="1">
        <w:r w:rsidR="00B41BC8" w:rsidRPr="00EA1D0B">
          <w:rPr>
            <w:rStyle w:val="Hyperlink"/>
            <w:noProof/>
          </w:rPr>
          <w:t>Figure 1.8 Map of Meta-analysis of Brain Regions Activated by BOLD fMRI as a Result of a Noxious Stimulus</w:t>
        </w:r>
        <w:r w:rsidR="00B41BC8">
          <w:rPr>
            <w:noProof/>
            <w:webHidden/>
          </w:rPr>
          <w:tab/>
        </w:r>
        <w:r w:rsidR="00B41BC8">
          <w:rPr>
            <w:noProof/>
            <w:webHidden/>
          </w:rPr>
          <w:fldChar w:fldCharType="begin"/>
        </w:r>
        <w:r w:rsidR="00B41BC8">
          <w:rPr>
            <w:noProof/>
            <w:webHidden/>
          </w:rPr>
          <w:instrText xml:space="preserve"> PAGEREF _Toc64724169 \h </w:instrText>
        </w:r>
        <w:r w:rsidR="00B41BC8">
          <w:rPr>
            <w:noProof/>
            <w:webHidden/>
          </w:rPr>
        </w:r>
        <w:r w:rsidR="00B41BC8">
          <w:rPr>
            <w:noProof/>
            <w:webHidden/>
          </w:rPr>
          <w:fldChar w:fldCharType="separate"/>
        </w:r>
        <w:r w:rsidR="00B41BC8">
          <w:rPr>
            <w:noProof/>
            <w:webHidden/>
          </w:rPr>
          <w:t>41</w:t>
        </w:r>
        <w:r w:rsidR="00B41BC8">
          <w:rPr>
            <w:noProof/>
            <w:webHidden/>
          </w:rPr>
          <w:fldChar w:fldCharType="end"/>
        </w:r>
      </w:hyperlink>
    </w:p>
    <w:p w14:paraId="24655F28" w14:textId="5115D28A" w:rsidR="00B41BC8" w:rsidRDefault="006D3518">
      <w:pPr>
        <w:pStyle w:val="TableofFigures"/>
        <w:tabs>
          <w:tab w:val="right" w:leader="dot" w:pos="9350"/>
        </w:tabs>
        <w:rPr>
          <w:rFonts w:cstheme="minorBidi"/>
          <w:b w:val="0"/>
          <w:bCs w:val="0"/>
          <w:noProof/>
          <w:sz w:val="24"/>
          <w:szCs w:val="24"/>
          <w:lang w:eastAsia="en-GB"/>
        </w:rPr>
      </w:pPr>
      <w:hyperlink w:anchor="_Toc64724170" w:history="1">
        <w:r w:rsidR="00B41BC8" w:rsidRPr="00EA1D0B">
          <w:rPr>
            <w:rStyle w:val="Hyperlink"/>
            <w:noProof/>
          </w:rPr>
          <w:t>Figure 2.1 Overview of the Study Design</w:t>
        </w:r>
        <w:r w:rsidR="00B41BC8">
          <w:rPr>
            <w:noProof/>
            <w:webHidden/>
          </w:rPr>
          <w:tab/>
        </w:r>
        <w:r w:rsidR="00B41BC8">
          <w:rPr>
            <w:noProof/>
            <w:webHidden/>
          </w:rPr>
          <w:fldChar w:fldCharType="begin"/>
        </w:r>
        <w:r w:rsidR="00B41BC8">
          <w:rPr>
            <w:noProof/>
            <w:webHidden/>
          </w:rPr>
          <w:instrText xml:space="preserve"> PAGEREF _Toc64724170 \h </w:instrText>
        </w:r>
        <w:r w:rsidR="00B41BC8">
          <w:rPr>
            <w:noProof/>
            <w:webHidden/>
          </w:rPr>
        </w:r>
        <w:r w:rsidR="00B41BC8">
          <w:rPr>
            <w:noProof/>
            <w:webHidden/>
          </w:rPr>
          <w:fldChar w:fldCharType="separate"/>
        </w:r>
        <w:r w:rsidR="00B41BC8">
          <w:rPr>
            <w:noProof/>
            <w:webHidden/>
          </w:rPr>
          <w:t>51</w:t>
        </w:r>
        <w:r w:rsidR="00B41BC8">
          <w:rPr>
            <w:noProof/>
            <w:webHidden/>
          </w:rPr>
          <w:fldChar w:fldCharType="end"/>
        </w:r>
      </w:hyperlink>
    </w:p>
    <w:p w14:paraId="600056F3" w14:textId="1C5B9CF6" w:rsidR="00B41BC8" w:rsidRDefault="006D3518">
      <w:pPr>
        <w:pStyle w:val="TableofFigures"/>
        <w:tabs>
          <w:tab w:val="right" w:leader="dot" w:pos="9350"/>
        </w:tabs>
        <w:rPr>
          <w:rFonts w:cstheme="minorBidi"/>
          <w:b w:val="0"/>
          <w:bCs w:val="0"/>
          <w:noProof/>
          <w:sz w:val="24"/>
          <w:szCs w:val="24"/>
          <w:lang w:eastAsia="en-GB"/>
        </w:rPr>
      </w:pPr>
      <w:hyperlink w:anchor="_Toc64724171" w:history="1">
        <w:r w:rsidR="00B41BC8" w:rsidRPr="00EA1D0B">
          <w:rPr>
            <w:rStyle w:val="Hyperlink"/>
            <w:noProof/>
          </w:rPr>
          <w:t>Figure 2.2  Flow Chart for Inclusion of the Subjects in the Study</w:t>
        </w:r>
        <w:r w:rsidR="00B41BC8">
          <w:rPr>
            <w:noProof/>
            <w:webHidden/>
          </w:rPr>
          <w:tab/>
        </w:r>
        <w:r w:rsidR="00B41BC8">
          <w:rPr>
            <w:noProof/>
            <w:webHidden/>
          </w:rPr>
          <w:fldChar w:fldCharType="begin"/>
        </w:r>
        <w:r w:rsidR="00B41BC8">
          <w:rPr>
            <w:noProof/>
            <w:webHidden/>
          </w:rPr>
          <w:instrText xml:space="preserve"> PAGEREF _Toc64724171 \h </w:instrText>
        </w:r>
        <w:r w:rsidR="00B41BC8">
          <w:rPr>
            <w:noProof/>
            <w:webHidden/>
          </w:rPr>
        </w:r>
        <w:r w:rsidR="00B41BC8">
          <w:rPr>
            <w:noProof/>
            <w:webHidden/>
          </w:rPr>
          <w:fldChar w:fldCharType="separate"/>
        </w:r>
        <w:r w:rsidR="00B41BC8">
          <w:rPr>
            <w:noProof/>
            <w:webHidden/>
          </w:rPr>
          <w:t>56</w:t>
        </w:r>
        <w:r w:rsidR="00B41BC8">
          <w:rPr>
            <w:noProof/>
            <w:webHidden/>
          </w:rPr>
          <w:fldChar w:fldCharType="end"/>
        </w:r>
      </w:hyperlink>
    </w:p>
    <w:p w14:paraId="081484D1" w14:textId="352DAD47" w:rsidR="00B41BC8" w:rsidRDefault="006D3518">
      <w:pPr>
        <w:pStyle w:val="TableofFigures"/>
        <w:tabs>
          <w:tab w:val="right" w:leader="dot" w:pos="9350"/>
        </w:tabs>
        <w:rPr>
          <w:rFonts w:cstheme="minorBidi"/>
          <w:b w:val="0"/>
          <w:bCs w:val="0"/>
          <w:noProof/>
          <w:sz w:val="24"/>
          <w:szCs w:val="24"/>
          <w:lang w:eastAsia="en-GB"/>
        </w:rPr>
      </w:pPr>
      <w:hyperlink w:anchor="_Toc64724172" w:history="1">
        <w:r w:rsidR="00B41BC8" w:rsidRPr="00EA1D0B">
          <w:rPr>
            <w:rStyle w:val="Hyperlink"/>
            <w:noProof/>
          </w:rPr>
          <w:t>Figure 2.3  Autonomic Function: Frequencies of O’Brien’s Score by Group</w:t>
        </w:r>
        <w:r w:rsidR="00B41BC8">
          <w:rPr>
            <w:noProof/>
            <w:webHidden/>
          </w:rPr>
          <w:tab/>
        </w:r>
        <w:r w:rsidR="00B41BC8">
          <w:rPr>
            <w:noProof/>
            <w:webHidden/>
          </w:rPr>
          <w:fldChar w:fldCharType="begin"/>
        </w:r>
        <w:r w:rsidR="00B41BC8">
          <w:rPr>
            <w:noProof/>
            <w:webHidden/>
          </w:rPr>
          <w:instrText xml:space="preserve"> PAGEREF _Toc64724172 \h </w:instrText>
        </w:r>
        <w:r w:rsidR="00B41BC8">
          <w:rPr>
            <w:noProof/>
            <w:webHidden/>
          </w:rPr>
        </w:r>
        <w:r w:rsidR="00B41BC8">
          <w:rPr>
            <w:noProof/>
            <w:webHidden/>
          </w:rPr>
          <w:fldChar w:fldCharType="separate"/>
        </w:r>
        <w:r w:rsidR="00B41BC8">
          <w:rPr>
            <w:noProof/>
            <w:webHidden/>
          </w:rPr>
          <w:t>59</w:t>
        </w:r>
        <w:r w:rsidR="00B41BC8">
          <w:rPr>
            <w:noProof/>
            <w:webHidden/>
          </w:rPr>
          <w:fldChar w:fldCharType="end"/>
        </w:r>
      </w:hyperlink>
    </w:p>
    <w:p w14:paraId="163805EB" w14:textId="7329DD18" w:rsidR="00B41BC8" w:rsidRDefault="006D3518">
      <w:pPr>
        <w:pStyle w:val="TableofFigures"/>
        <w:tabs>
          <w:tab w:val="right" w:leader="dot" w:pos="9350"/>
        </w:tabs>
        <w:rPr>
          <w:rFonts w:cstheme="minorBidi"/>
          <w:b w:val="0"/>
          <w:bCs w:val="0"/>
          <w:noProof/>
          <w:sz w:val="24"/>
          <w:szCs w:val="24"/>
          <w:lang w:eastAsia="en-GB"/>
        </w:rPr>
      </w:pPr>
      <w:hyperlink w:anchor="_Toc64724173" w:history="1">
        <w:r w:rsidR="00B41BC8" w:rsidRPr="00EA1D0B">
          <w:rPr>
            <w:rStyle w:val="Hyperlink"/>
            <w:noProof/>
          </w:rPr>
          <w:t>Figure 2.4  Questionnaires: 95% Confidence Intervals for Behavioural Activation-Reward Responsiveness</w:t>
        </w:r>
        <w:r w:rsidR="00B41BC8">
          <w:rPr>
            <w:noProof/>
            <w:webHidden/>
          </w:rPr>
          <w:tab/>
        </w:r>
        <w:r w:rsidR="00B41BC8">
          <w:rPr>
            <w:noProof/>
            <w:webHidden/>
          </w:rPr>
          <w:fldChar w:fldCharType="begin"/>
        </w:r>
        <w:r w:rsidR="00B41BC8">
          <w:rPr>
            <w:noProof/>
            <w:webHidden/>
          </w:rPr>
          <w:instrText xml:space="preserve"> PAGEREF _Toc64724173 \h </w:instrText>
        </w:r>
        <w:r w:rsidR="00B41BC8">
          <w:rPr>
            <w:noProof/>
            <w:webHidden/>
          </w:rPr>
        </w:r>
        <w:r w:rsidR="00B41BC8">
          <w:rPr>
            <w:noProof/>
            <w:webHidden/>
          </w:rPr>
          <w:fldChar w:fldCharType="separate"/>
        </w:r>
        <w:r w:rsidR="00B41BC8">
          <w:rPr>
            <w:noProof/>
            <w:webHidden/>
          </w:rPr>
          <w:t>60</w:t>
        </w:r>
        <w:r w:rsidR="00B41BC8">
          <w:rPr>
            <w:noProof/>
            <w:webHidden/>
          </w:rPr>
          <w:fldChar w:fldCharType="end"/>
        </w:r>
      </w:hyperlink>
    </w:p>
    <w:p w14:paraId="7E47C07D" w14:textId="1E90109D" w:rsidR="00B41BC8" w:rsidRDefault="006D3518">
      <w:pPr>
        <w:pStyle w:val="TableofFigures"/>
        <w:tabs>
          <w:tab w:val="right" w:leader="dot" w:pos="9350"/>
        </w:tabs>
        <w:rPr>
          <w:rFonts w:cstheme="minorBidi"/>
          <w:b w:val="0"/>
          <w:bCs w:val="0"/>
          <w:noProof/>
          <w:sz w:val="24"/>
          <w:szCs w:val="24"/>
          <w:lang w:eastAsia="en-GB"/>
        </w:rPr>
      </w:pPr>
      <w:hyperlink w:anchor="_Toc64724174" w:history="1">
        <w:r w:rsidR="00B41BC8" w:rsidRPr="00EA1D0B">
          <w:rPr>
            <w:rStyle w:val="Hyperlink"/>
            <w:noProof/>
          </w:rPr>
          <w:t>Figure 2.5  Questionnaires: 95% Confidence Intervals for Pain Catastrophising Scale by Group</w:t>
        </w:r>
        <w:r w:rsidR="00B41BC8">
          <w:rPr>
            <w:noProof/>
            <w:webHidden/>
          </w:rPr>
          <w:tab/>
        </w:r>
        <w:r w:rsidR="00B41BC8">
          <w:rPr>
            <w:noProof/>
            <w:webHidden/>
          </w:rPr>
          <w:fldChar w:fldCharType="begin"/>
        </w:r>
        <w:r w:rsidR="00B41BC8">
          <w:rPr>
            <w:noProof/>
            <w:webHidden/>
          </w:rPr>
          <w:instrText xml:space="preserve"> PAGEREF _Toc64724174 \h </w:instrText>
        </w:r>
        <w:r w:rsidR="00B41BC8">
          <w:rPr>
            <w:noProof/>
            <w:webHidden/>
          </w:rPr>
        </w:r>
        <w:r w:rsidR="00B41BC8">
          <w:rPr>
            <w:noProof/>
            <w:webHidden/>
          </w:rPr>
          <w:fldChar w:fldCharType="separate"/>
        </w:r>
        <w:r w:rsidR="00B41BC8">
          <w:rPr>
            <w:noProof/>
            <w:webHidden/>
          </w:rPr>
          <w:t>60</w:t>
        </w:r>
        <w:r w:rsidR="00B41BC8">
          <w:rPr>
            <w:noProof/>
            <w:webHidden/>
          </w:rPr>
          <w:fldChar w:fldCharType="end"/>
        </w:r>
      </w:hyperlink>
    </w:p>
    <w:p w14:paraId="21B07D7D" w14:textId="30165D0F" w:rsidR="00B41BC8" w:rsidRDefault="006D3518">
      <w:pPr>
        <w:pStyle w:val="TableofFigures"/>
        <w:tabs>
          <w:tab w:val="right" w:leader="dot" w:pos="9350"/>
        </w:tabs>
        <w:rPr>
          <w:rFonts w:cstheme="minorBidi"/>
          <w:b w:val="0"/>
          <w:bCs w:val="0"/>
          <w:noProof/>
          <w:sz w:val="24"/>
          <w:szCs w:val="24"/>
          <w:lang w:eastAsia="en-GB"/>
        </w:rPr>
      </w:pPr>
      <w:hyperlink w:anchor="_Toc64724175" w:history="1">
        <w:r w:rsidR="00B41BC8" w:rsidRPr="00EA1D0B">
          <w:rPr>
            <w:rStyle w:val="Hyperlink"/>
            <w:noProof/>
          </w:rPr>
          <w:t>Figure 2.6  Questionnaires: 95% Confidence Intervals for Somatic Focus (PILL) by Group</w:t>
        </w:r>
        <w:r w:rsidR="00B41BC8">
          <w:rPr>
            <w:noProof/>
            <w:webHidden/>
          </w:rPr>
          <w:tab/>
        </w:r>
        <w:r w:rsidR="00B41BC8">
          <w:rPr>
            <w:noProof/>
            <w:webHidden/>
          </w:rPr>
          <w:fldChar w:fldCharType="begin"/>
        </w:r>
        <w:r w:rsidR="00B41BC8">
          <w:rPr>
            <w:noProof/>
            <w:webHidden/>
          </w:rPr>
          <w:instrText xml:space="preserve"> PAGEREF _Toc64724175 \h </w:instrText>
        </w:r>
        <w:r w:rsidR="00B41BC8">
          <w:rPr>
            <w:noProof/>
            <w:webHidden/>
          </w:rPr>
        </w:r>
        <w:r w:rsidR="00B41BC8">
          <w:rPr>
            <w:noProof/>
            <w:webHidden/>
          </w:rPr>
          <w:fldChar w:fldCharType="separate"/>
        </w:r>
        <w:r w:rsidR="00B41BC8">
          <w:rPr>
            <w:noProof/>
            <w:webHidden/>
          </w:rPr>
          <w:t>61</w:t>
        </w:r>
        <w:r w:rsidR="00B41BC8">
          <w:rPr>
            <w:noProof/>
            <w:webHidden/>
          </w:rPr>
          <w:fldChar w:fldCharType="end"/>
        </w:r>
      </w:hyperlink>
    </w:p>
    <w:p w14:paraId="0ACAE47A" w14:textId="101F0B75" w:rsidR="00B41BC8" w:rsidRDefault="006D3518">
      <w:pPr>
        <w:pStyle w:val="TableofFigures"/>
        <w:tabs>
          <w:tab w:val="right" w:leader="dot" w:pos="9350"/>
        </w:tabs>
        <w:rPr>
          <w:rFonts w:cstheme="minorBidi"/>
          <w:b w:val="0"/>
          <w:bCs w:val="0"/>
          <w:noProof/>
          <w:sz w:val="24"/>
          <w:szCs w:val="24"/>
          <w:lang w:eastAsia="en-GB"/>
        </w:rPr>
      </w:pPr>
      <w:hyperlink w:anchor="_Toc64724176" w:history="1">
        <w:r w:rsidR="00B41BC8" w:rsidRPr="00EA1D0B">
          <w:rPr>
            <w:rStyle w:val="Hyperlink"/>
            <w:noProof/>
          </w:rPr>
          <w:t>Figure 2.7  Graphical Representation of Discriminant Functions</w:t>
        </w:r>
        <w:r w:rsidR="00B41BC8">
          <w:rPr>
            <w:noProof/>
            <w:webHidden/>
          </w:rPr>
          <w:tab/>
        </w:r>
        <w:r w:rsidR="00B41BC8">
          <w:rPr>
            <w:noProof/>
            <w:webHidden/>
          </w:rPr>
          <w:fldChar w:fldCharType="begin"/>
        </w:r>
        <w:r w:rsidR="00B41BC8">
          <w:rPr>
            <w:noProof/>
            <w:webHidden/>
          </w:rPr>
          <w:instrText xml:space="preserve"> PAGEREF _Toc64724176 \h </w:instrText>
        </w:r>
        <w:r w:rsidR="00B41BC8">
          <w:rPr>
            <w:noProof/>
            <w:webHidden/>
          </w:rPr>
        </w:r>
        <w:r w:rsidR="00B41BC8">
          <w:rPr>
            <w:noProof/>
            <w:webHidden/>
          </w:rPr>
          <w:fldChar w:fldCharType="separate"/>
        </w:r>
        <w:r w:rsidR="00B41BC8">
          <w:rPr>
            <w:noProof/>
            <w:webHidden/>
          </w:rPr>
          <w:t>63</w:t>
        </w:r>
        <w:r w:rsidR="00B41BC8">
          <w:rPr>
            <w:noProof/>
            <w:webHidden/>
          </w:rPr>
          <w:fldChar w:fldCharType="end"/>
        </w:r>
      </w:hyperlink>
    </w:p>
    <w:p w14:paraId="24ABDB69" w14:textId="726EF040" w:rsidR="00B41BC8" w:rsidRDefault="006D3518">
      <w:pPr>
        <w:pStyle w:val="TableofFigures"/>
        <w:tabs>
          <w:tab w:val="right" w:leader="dot" w:pos="9350"/>
        </w:tabs>
        <w:rPr>
          <w:rFonts w:cstheme="minorBidi"/>
          <w:b w:val="0"/>
          <w:bCs w:val="0"/>
          <w:noProof/>
          <w:sz w:val="24"/>
          <w:szCs w:val="24"/>
          <w:lang w:eastAsia="en-GB"/>
        </w:rPr>
      </w:pPr>
      <w:hyperlink w:anchor="_Toc64724177" w:history="1">
        <w:r w:rsidR="00B41BC8" w:rsidRPr="00EA1D0B">
          <w:rPr>
            <w:rStyle w:val="Hyperlink"/>
            <w:noProof/>
          </w:rPr>
          <w:t>Figure 2.8  Mean Methylglyoxal Values by Group and 95% Confidence Intervals</w:t>
        </w:r>
        <w:r w:rsidR="00B41BC8">
          <w:rPr>
            <w:noProof/>
            <w:webHidden/>
          </w:rPr>
          <w:tab/>
        </w:r>
        <w:r w:rsidR="00B41BC8">
          <w:rPr>
            <w:noProof/>
            <w:webHidden/>
          </w:rPr>
          <w:fldChar w:fldCharType="begin"/>
        </w:r>
        <w:r w:rsidR="00B41BC8">
          <w:rPr>
            <w:noProof/>
            <w:webHidden/>
          </w:rPr>
          <w:instrText xml:space="preserve"> PAGEREF _Toc64724177 \h </w:instrText>
        </w:r>
        <w:r w:rsidR="00B41BC8">
          <w:rPr>
            <w:noProof/>
            <w:webHidden/>
          </w:rPr>
        </w:r>
        <w:r w:rsidR="00B41BC8">
          <w:rPr>
            <w:noProof/>
            <w:webHidden/>
          </w:rPr>
          <w:fldChar w:fldCharType="separate"/>
        </w:r>
        <w:r w:rsidR="00B41BC8">
          <w:rPr>
            <w:noProof/>
            <w:webHidden/>
          </w:rPr>
          <w:t>64</w:t>
        </w:r>
        <w:r w:rsidR="00B41BC8">
          <w:rPr>
            <w:noProof/>
            <w:webHidden/>
          </w:rPr>
          <w:fldChar w:fldCharType="end"/>
        </w:r>
      </w:hyperlink>
    </w:p>
    <w:p w14:paraId="700D22BC" w14:textId="0A059508" w:rsidR="00B41BC8" w:rsidRDefault="006D3518">
      <w:pPr>
        <w:pStyle w:val="TableofFigures"/>
        <w:tabs>
          <w:tab w:val="right" w:leader="dot" w:pos="9350"/>
        </w:tabs>
        <w:rPr>
          <w:rFonts w:cstheme="minorBidi"/>
          <w:b w:val="0"/>
          <w:bCs w:val="0"/>
          <w:noProof/>
          <w:sz w:val="24"/>
          <w:szCs w:val="24"/>
          <w:lang w:eastAsia="en-GB"/>
        </w:rPr>
      </w:pPr>
      <w:hyperlink w:anchor="_Toc64724178" w:history="1">
        <w:r w:rsidR="00B41BC8" w:rsidRPr="00EA1D0B">
          <w:rPr>
            <w:rStyle w:val="Hyperlink"/>
            <w:noProof/>
          </w:rPr>
          <w:t>Figure 2.9  Plasma Glucose Values by Group Measured. Mean and 95% Confidence Intervals</w:t>
        </w:r>
        <w:r w:rsidR="00B41BC8">
          <w:rPr>
            <w:noProof/>
            <w:webHidden/>
          </w:rPr>
          <w:tab/>
        </w:r>
        <w:r w:rsidR="00B41BC8">
          <w:rPr>
            <w:noProof/>
            <w:webHidden/>
          </w:rPr>
          <w:fldChar w:fldCharType="begin"/>
        </w:r>
        <w:r w:rsidR="00B41BC8">
          <w:rPr>
            <w:noProof/>
            <w:webHidden/>
          </w:rPr>
          <w:instrText xml:space="preserve"> PAGEREF _Toc64724178 \h </w:instrText>
        </w:r>
        <w:r w:rsidR="00B41BC8">
          <w:rPr>
            <w:noProof/>
            <w:webHidden/>
          </w:rPr>
        </w:r>
        <w:r w:rsidR="00B41BC8">
          <w:rPr>
            <w:noProof/>
            <w:webHidden/>
          </w:rPr>
          <w:fldChar w:fldCharType="separate"/>
        </w:r>
        <w:r w:rsidR="00B41BC8">
          <w:rPr>
            <w:noProof/>
            <w:webHidden/>
          </w:rPr>
          <w:t>64</w:t>
        </w:r>
        <w:r w:rsidR="00B41BC8">
          <w:rPr>
            <w:noProof/>
            <w:webHidden/>
          </w:rPr>
          <w:fldChar w:fldCharType="end"/>
        </w:r>
      </w:hyperlink>
    </w:p>
    <w:p w14:paraId="42FA6D19" w14:textId="5FED5A04" w:rsidR="00B41BC8" w:rsidRDefault="006D3518">
      <w:pPr>
        <w:pStyle w:val="TableofFigures"/>
        <w:tabs>
          <w:tab w:val="right" w:leader="dot" w:pos="9350"/>
        </w:tabs>
        <w:rPr>
          <w:rFonts w:cstheme="minorBidi"/>
          <w:b w:val="0"/>
          <w:bCs w:val="0"/>
          <w:noProof/>
          <w:sz w:val="24"/>
          <w:szCs w:val="24"/>
          <w:lang w:eastAsia="en-GB"/>
        </w:rPr>
      </w:pPr>
      <w:hyperlink w:anchor="_Toc64724179" w:history="1">
        <w:r w:rsidR="00B41BC8" w:rsidRPr="00EA1D0B">
          <w:rPr>
            <w:rStyle w:val="Hyperlink"/>
            <w:rFonts w:eastAsia="Arial Unicode MS" w:cs="Arial Unicode MS"/>
            <w:noProof/>
          </w:rPr>
          <w:t>Figure 2.10  Discriminant Function of QST Parameters by Group, Function 1 and Function 2</w:t>
        </w:r>
        <w:r w:rsidR="00B41BC8">
          <w:rPr>
            <w:noProof/>
            <w:webHidden/>
          </w:rPr>
          <w:tab/>
        </w:r>
        <w:r w:rsidR="00B41BC8">
          <w:rPr>
            <w:noProof/>
            <w:webHidden/>
          </w:rPr>
          <w:fldChar w:fldCharType="begin"/>
        </w:r>
        <w:r w:rsidR="00B41BC8">
          <w:rPr>
            <w:noProof/>
            <w:webHidden/>
          </w:rPr>
          <w:instrText xml:space="preserve"> PAGEREF _Toc64724179 \h </w:instrText>
        </w:r>
        <w:r w:rsidR="00B41BC8">
          <w:rPr>
            <w:noProof/>
            <w:webHidden/>
          </w:rPr>
        </w:r>
        <w:r w:rsidR="00B41BC8">
          <w:rPr>
            <w:noProof/>
            <w:webHidden/>
          </w:rPr>
          <w:fldChar w:fldCharType="separate"/>
        </w:r>
        <w:r w:rsidR="00B41BC8">
          <w:rPr>
            <w:noProof/>
            <w:webHidden/>
          </w:rPr>
          <w:t>67</w:t>
        </w:r>
        <w:r w:rsidR="00B41BC8">
          <w:rPr>
            <w:noProof/>
            <w:webHidden/>
          </w:rPr>
          <w:fldChar w:fldCharType="end"/>
        </w:r>
      </w:hyperlink>
    </w:p>
    <w:p w14:paraId="1C383A04" w14:textId="208B22C7" w:rsidR="00B41BC8" w:rsidRDefault="006D3518">
      <w:pPr>
        <w:pStyle w:val="TableofFigures"/>
        <w:tabs>
          <w:tab w:val="right" w:leader="dot" w:pos="9350"/>
        </w:tabs>
        <w:rPr>
          <w:rFonts w:cstheme="minorBidi"/>
          <w:b w:val="0"/>
          <w:bCs w:val="0"/>
          <w:noProof/>
          <w:sz w:val="24"/>
          <w:szCs w:val="24"/>
          <w:lang w:eastAsia="en-GB"/>
        </w:rPr>
      </w:pPr>
      <w:hyperlink w:anchor="_Toc64724180" w:history="1">
        <w:r w:rsidR="00B41BC8" w:rsidRPr="00EA1D0B">
          <w:rPr>
            <w:rStyle w:val="Hyperlink"/>
            <w:noProof/>
          </w:rPr>
          <w:t>Figure 3.1  Overview of the Study</w:t>
        </w:r>
        <w:r w:rsidR="00B41BC8">
          <w:rPr>
            <w:noProof/>
            <w:webHidden/>
          </w:rPr>
          <w:tab/>
        </w:r>
        <w:r w:rsidR="00B41BC8">
          <w:rPr>
            <w:noProof/>
            <w:webHidden/>
          </w:rPr>
          <w:fldChar w:fldCharType="begin"/>
        </w:r>
        <w:r w:rsidR="00B41BC8">
          <w:rPr>
            <w:noProof/>
            <w:webHidden/>
          </w:rPr>
          <w:instrText xml:space="preserve"> PAGEREF _Toc64724180 \h </w:instrText>
        </w:r>
        <w:r w:rsidR="00B41BC8">
          <w:rPr>
            <w:noProof/>
            <w:webHidden/>
          </w:rPr>
        </w:r>
        <w:r w:rsidR="00B41BC8">
          <w:rPr>
            <w:noProof/>
            <w:webHidden/>
          </w:rPr>
          <w:fldChar w:fldCharType="separate"/>
        </w:r>
        <w:r w:rsidR="00B41BC8">
          <w:rPr>
            <w:noProof/>
            <w:webHidden/>
          </w:rPr>
          <w:t>79</w:t>
        </w:r>
        <w:r w:rsidR="00B41BC8">
          <w:rPr>
            <w:noProof/>
            <w:webHidden/>
          </w:rPr>
          <w:fldChar w:fldCharType="end"/>
        </w:r>
      </w:hyperlink>
    </w:p>
    <w:p w14:paraId="34166E71" w14:textId="47B2F08B" w:rsidR="00B41BC8" w:rsidRDefault="006D3518">
      <w:pPr>
        <w:pStyle w:val="TableofFigures"/>
        <w:tabs>
          <w:tab w:val="right" w:leader="dot" w:pos="9350"/>
        </w:tabs>
        <w:rPr>
          <w:rFonts w:cstheme="minorBidi"/>
          <w:b w:val="0"/>
          <w:bCs w:val="0"/>
          <w:noProof/>
          <w:sz w:val="24"/>
          <w:szCs w:val="24"/>
          <w:lang w:eastAsia="en-GB"/>
        </w:rPr>
      </w:pPr>
      <w:hyperlink w:anchor="_Toc64724181" w:history="1">
        <w:r w:rsidR="00B41BC8" w:rsidRPr="00EA1D0B">
          <w:rPr>
            <w:rStyle w:val="Hyperlink"/>
            <w:noProof/>
          </w:rPr>
          <w:t>Figure 3.2  Example of the Position of the Region of Interest for the Thalamus</w:t>
        </w:r>
        <w:r w:rsidR="00B41BC8">
          <w:rPr>
            <w:noProof/>
            <w:webHidden/>
          </w:rPr>
          <w:tab/>
        </w:r>
        <w:r w:rsidR="00B41BC8">
          <w:rPr>
            <w:noProof/>
            <w:webHidden/>
          </w:rPr>
          <w:fldChar w:fldCharType="begin"/>
        </w:r>
        <w:r w:rsidR="00B41BC8">
          <w:rPr>
            <w:noProof/>
            <w:webHidden/>
          </w:rPr>
          <w:instrText xml:space="preserve"> PAGEREF _Toc64724181 \h </w:instrText>
        </w:r>
        <w:r w:rsidR="00B41BC8">
          <w:rPr>
            <w:noProof/>
            <w:webHidden/>
          </w:rPr>
        </w:r>
        <w:r w:rsidR="00B41BC8">
          <w:rPr>
            <w:noProof/>
            <w:webHidden/>
          </w:rPr>
          <w:fldChar w:fldCharType="separate"/>
        </w:r>
        <w:r w:rsidR="00B41BC8">
          <w:rPr>
            <w:noProof/>
            <w:webHidden/>
          </w:rPr>
          <w:t>82</w:t>
        </w:r>
        <w:r w:rsidR="00B41BC8">
          <w:rPr>
            <w:noProof/>
            <w:webHidden/>
          </w:rPr>
          <w:fldChar w:fldCharType="end"/>
        </w:r>
      </w:hyperlink>
    </w:p>
    <w:p w14:paraId="5B97A75C" w14:textId="5A59047B" w:rsidR="00B41BC8" w:rsidRDefault="006D3518">
      <w:pPr>
        <w:pStyle w:val="TableofFigures"/>
        <w:tabs>
          <w:tab w:val="right" w:leader="dot" w:pos="9350"/>
        </w:tabs>
        <w:rPr>
          <w:rFonts w:cstheme="minorBidi"/>
          <w:b w:val="0"/>
          <w:bCs w:val="0"/>
          <w:noProof/>
          <w:sz w:val="24"/>
          <w:szCs w:val="24"/>
          <w:lang w:eastAsia="en-GB"/>
        </w:rPr>
      </w:pPr>
      <w:hyperlink w:anchor="_Toc64724182" w:history="1">
        <w:r w:rsidR="00B41BC8" w:rsidRPr="00EA1D0B">
          <w:rPr>
            <w:rStyle w:val="Hyperlink"/>
            <w:noProof/>
          </w:rPr>
          <w:t>Figure 3.3  Example of the Position of the Region of Interest for the Insular Cortex</w:t>
        </w:r>
        <w:r w:rsidR="00B41BC8">
          <w:rPr>
            <w:noProof/>
            <w:webHidden/>
          </w:rPr>
          <w:tab/>
        </w:r>
        <w:r w:rsidR="00B41BC8">
          <w:rPr>
            <w:noProof/>
            <w:webHidden/>
          </w:rPr>
          <w:fldChar w:fldCharType="begin"/>
        </w:r>
        <w:r w:rsidR="00B41BC8">
          <w:rPr>
            <w:noProof/>
            <w:webHidden/>
          </w:rPr>
          <w:instrText xml:space="preserve"> PAGEREF _Toc64724182 \h </w:instrText>
        </w:r>
        <w:r w:rsidR="00B41BC8">
          <w:rPr>
            <w:noProof/>
            <w:webHidden/>
          </w:rPr>
        </w:r>
        <w:r w:rsidR="00B41BC8">
          <w:rPr>
            <w:noProof/>
            <w:webHidden/>
          </w:rPr>
          <w:fldChar w:fldCharType="separate"/>
        </w:r>
        <w:r w:rsidR="00B41BC8">
          <w:rPr>
            <w:noProof/>
            <w:webHidden/>
          </w:rPr>
          <w:t>84</w:t>
        </w:r>
        <w:r w:rsidR="00B41BC8">
          <w:rPr>
            <w:noProof/>
            <w:webHidden/>
          </w:rPr>
          <w:fldChar w:fldCharType="end"/>
        </w:r>
      </w:hyperlink>
    </w:p>
    <w:p w14:paraId="63FC6B1B" w14:textId="50033B83" w:rsidR="00B41BC8" w:rsidRDefault="006D3518">
      <w:pPr>
        <w:pStyle w:val="TableofFigures"/>
        <w:tabs>
          <w:tab w:val="right" w:leader="dot" w:pos="9350"/>
        </w:tabs>
        <w:rPr>
          <w:rFonts w:cstheme="minorBidi"/>
          <w:b w:val="0"/>
          <w:bCs w:val="0"/>
          <w:noProof/>
          <w:sz w:val="24"/>
          <w:szCs w:val="24"/>
          <w:lang w:eastAsia="en-GB"/>
        </w:rPr>
      </w:pPr>
      <w:hyperlink w:anchor="_Toc64724183" w:history="1">
        <w:r w:rsidR="00B41BC8" w:rsidRPr="00EA1D0B">
          <w:rPr>
            <w:rStyle w:val="Hyperlink"/>
            <w:noProof/>
          </w:rPr>
          <w:t>Figure 3.4  Example of the Position of the Region of Interest for the Anterior Cingulate Cortex</w:t>
        </w:r>
        <w:r w:rsidR="00B41BC8">
          <w:rPr>
            <w:noProof/>
            <w:webHidden/>
          </w:rPr>
          <w:tab/>
        </w:r>
        <w:r w:rsidR="00B41BC8">
          <w:rPr>
            <w:noProof/>
            <w:webHidden/>
          </w:rPr>
          <w:fldChar w:fldCharType="begin"/>
        </w:r>
        <w:r w:rsidR="00B41BC8">
          <w:rPr>
            <w:noProof/>
            <w:webHidden/>
          </w:rPr>
          <w:instrText xml:space="preserve"> PAGEREF _Toc64724183 \h </w:instrText>
        </w:r>
        <w:r w:rsidR="00B41BC8">
          <w:rPr>
            <w:noProof/>
            <w:webHidden/>
          </w:rPr>
        </w:r>
        <w:r w:rsidR="00B41BC8">
          <w:rPr>
            <w:noProof/>
            <w:webHidden/>
          </w:rPr>
          <w:fldChar w:fldCharType="separate"/>
        </w:r>
        <w:r w:rsidR="00B41BC8">
          <w:rPr>
            <w:noProof/>
            <w:webHidden/>
          </w:rPr>
          <w:t>84</w:t>
        </w:r>
        <w:r w:rsidR="00B41BC8">
          <w:rPr>
            <w:noProof/>
            <w:webHidden/>
          </w:rPr>
          <w:fldChar w:fldCharType="end"/>
        </w:r>
      </w:hyperlink>
    </w:p>
    <w:p w14:paraId="65A5E038" w14:textId="3FAFDB1E" w:rsidR="00B41BC8" w:rsidRDefault="006D3518">
      <w:pPr>
        <w:pStyle w:val="TableofFigures"/>
        <w:tabs>
          <w:tab w:val="right" w:leader="dot" w:pos="9350"/>
        </w:tabs>
        <w:rPr>
          <w:rFonts w:cstheme="minorBidi"/>
          <w:b w:val="0"/>
          <w:bCs w:val="0"/>
          <w:noProof/>
          <w:sz w:val="24"/>
          <w:szCs w:val="24"/>
          <w:lang w:eastAsia="en-GB"/>
        </w:rPr>
      </w:pPr>
      <w:hyperlink w:anchor="_Toc64724184" w:history="1">
        <w:r w:rsidR="00B41BC8" w:rsidRPr="00EA1D0B">
          <w:rPr>
            <w:rStyle w:val="Hyperlink"/>
            <w:noProof/>
          </w:rPr>
          <w:t>Figure 3.5  Example of the Position of the Region of Interest for the Parieto-Occipital White Matter</w:t>
        </w:r>
        <w:r w:rsidR="00B41BC8">
          <w:rPr>
            <w:noProof/>
            <w:webHidden/>
          </w:rPr>
          <w:tab/>
        </w:r>
        <w:r w:rsidR="00B41BC8">
          <w:rPr>
            <w:noProof/>
            <w:webHidden/>
          </w:rPr>
          <w:fldChar w:fldCharType="begin"/>
        </w:r>
        <w:r w:rsidR="00B41BC8">
          <w:rPr>
            <w:noProof/>
            <w:webHidden/>
          </w:rPr>
          <w:instrText xml:space="preserve"> PAGEREF _Toc64724184 \h </w:instrText>
        </w:r>
        <w:r w:rsidR="00B41BC8">
          <w:rPr>
            <w:noProof/>
            <w:webHidden/>
          </w:rPr>
        </w:r>
        <w:r w:rsidR="00B41BC8">
          <w:rPr>
            <w:noProof/>
            <w:webHidden/>
          </w:rPr>
          <w:fldChar w:fldCharType="separate"/>
        </w:r>
        <w:r w:rsidR="00B41BC8">
          <w:rPr>
            <w:noProof/>
            <w:webHidden/>
          </w:rPr>
          <w:t>85</w:t>
        </w:r>
        <w:r w:rsidR="00B41BC8">
          <w:rPr>
            <w:noProof/>
            <w:webHidden/>
          </w:rPr>
          <w:fldChar w:fldCharType="end"/>
        </w:r>
      </w:hyperlink>
    </w:p>
    <w:p w14:paraId="2797B663" w14:textId="513DB01E" w:rsidR="00B41BC8" w:rsidRDefault="006D3518">
      <w:pPr>
        <w:pStyle w:val="TableofFigures"/>
        <w:tabs>
          <w:tab w:val="right" w:leader="dot" w:pos="9350"/>
        </w:tabs>
        <w:rPr>
          <w:rFonts w:cstheme="minorBidi"/>
          <w:b w:val="0"/>
          <w:bCs w:val="0"/>
          <w:noProof/>
          <w:sz w:val="24"/>
          <w:szCs w:val="24"/>
          <w:lang w:eastAsia="en-GB"/>
        </w:rPr>
      </w:pPr>
      <w:hyperlink w:anchor="_Toc64724185" w:history="1">
        <w:r w:rsidR="00B41BC8" w:rsidRPr="00EA1D0B">
          <w:rPr>
            <w:rStyle w:val="Hyperlink"/>
            <w:noProof/>
          </w:rPr>
          <w:t>Figure 3.6  Example of the Position of the Region of Interest for the Primary Sensory Cortex</w:t>
        </w:r>
        <w:r w:rsidR="00B41BC8">
          <w:rPr>
            <w:noProof/>
            <w:webHidden/>
          </w:rPr>
          <w:tab/>
        </w:r>
        <w:r w:rsidR="00B41BC8">
          <w:rPr>
            <w:noProof/>
            <w:webHidden/>
          </w:rPr>
          <w:fldChar w:fldCharType="begin"/>
        </w:r>
        <w:r w:rsidR="00B41BC8">
          <w:rPr>
            <w:noProof/>
            <w:webHidden/>
          </w:rPr>
          <w:instrText xml:space="preserve"> PAGEREF _Toc64724185 \h </w:instrText>
        </w:r>
        <w:r w:rsidR="00B41BC8">
          <w:rPr>
            <w:noProof/>
            <w:webHidden/>
          </w:rPr>
        </w:r>
        <w:r w:rsidR="00B41BC8">
          <w:rPr>
            <w:noProof/>
            <w:webHidden/>
          </w:rPr>
          <w:fldChar w:fldCharType="separate"/>
        </w:r>
        <w:r w:rsidR="00B41BC8">
          <w:rPr>
            <w:noProof/>
            <w:webHidden/>
          </w:rPr>
          <w:t>86</w:t>
        </w:r>
        <w:r w:rsidR="00B41BC8">
          <w:rPr>
            <w:noProof/>
            <w:webHidden/>
          </w:rPr>
          <w:fldChar w:fldCharType="end"/>
        </w:r>
      </w:hyperlink>
    </w:p>
    <w:p w14:paraId="023CB8FA" w14:textId="0DA0F594" w:rsidR="00B41BC8" w:rsidRDefault="006D3518">
      <w:pPr>
        <w:pStyle w:val="TableofFigures"/>
        <w:tabs>
          <w:tab w:val="right" w:leader="dot" w:pos="9350"/>
        </w:tabs>
        <w:rPr>
          <w:rFonts w:cstheme="minorBidi"/>
          <w:b w:val="0"/>
          <w:bCs w:val="0"/>
          <w:noProof/>
          <w:sz w:val="24"/>
          <w:szCs w:val="24"/>
          <w:lang w:eastAsia="en-GB"/>
        </w:rPr>
      </w:pPr>
      <w:hyperlink w:anchor="_Toc64724186" w:history="1">
        <w:r w:rsidR="00B41BC8" w:rsidRPr="00EA1D0B">
          <w:rPr>
            <w:rStyle w:val="Hyperlink"/>
            <w:noProof/>
          </w:rPr>
          <w:t>Figure 3.7  Bland-Altman Plot: Difference vs Average for Arterial Input Function-Visit 2.  Rater 1 vs Rater 2</w:t>
        </w:r>
        <w:r w:rsidR="00B41BC8">
          <w:rPr>
            <w:noProof/>
            <w:webHidden/>
          </w:rPr>
          <w:tab/>
        </w:r>
        <w:r w:rsidR="00B41BC8">
          <w:rPr>
            <w:noProof/>
            <w:webHidden/>
          </w:rPr>
          <w:fldChar w:fldCharType="begin"/>
        </w:r>
        <w:r w:rsidR="00B41BC8">
          <w:rPr>
            <w:noProof/>
            <w:webHidden/>
          </w:rPr>
          <w:instrText xml:space="preserve"> PAGEREF _Toc64724186 \h </w:instrText>
        </w:r>
        <w:r w:rsidR="00B41BC8">
          <w:rPr>
            <w:noProof/>
            <w:webHidden/>
          </w:rPr>
        </w:r>
        <w:r w:rsidR="00B41BC8">
          <w:rPr>
            <w:noProof/>
            <w:webHidden/>
          </w:rPr>
          <w:fldChar w:fldCharType="separate"/>
        </w:r>
        <w:r w:rsidR="00B41BC8">
          <w:rPr>
            <w:noProof/>
            <w:webHidden/>
          </w:rPr>
          <w:t>87</w:t>
        </w:r>
        <w:r w:rsidR="00B41BC8">
          <w:rPr>
            <w:noProof/>
            <w:webHidden/>
          </w:rPr>
          <w:fldChar w:fldCharType="end"/>
        </w:r>
      </w:hyperlink>
    </w:p>
    <w:p w14:paraId="6E910D75" w14:textId="08C6B808" w:rsidR="00B41BC8" w:rsidRDefault="006D3518">
      <w:pPr>
        <w:pStyle w:val="TableofFigures"/>
        <w:tabs>
          <w:tab w:val="right" w:leader="dot" w:pos="9350"/>
        </w:tabs>
        <w:rPr>
          <w:rFonts w:cstheme="minorBidi"/>
          <w:b w:val="0"/>
          <w:bCs w:val="0"/>
          <w:noProof/>
          <w:sz w:val="24"/>
          <w:szCs w:val="24"/>
          <w:lang w:eastAsia="en-GB"/>
        </w:rPr>
      </w:pPr>
      <w:hyperlink w:anchor="_Toc64724187" w:history="1">
        <w:r w:rsidR="00B41BC8" w:rsidRPr="00EA1D0B">
          <w:rPr>
            <w:rStyle w:val="Hyperlink"/>
            <w:noProof/>
          </w:rPr>
          <w:t>Figure 3.8  Bland-Altman Plot: Difference vs Average for Arterial Input Function-Visit 3.  Rater 1 vs Rater 2</w:t>
        </w:r>
        <w:r w:rsidR="00B41BC8">
          <w:rPr>
            <w:noProof/>
            <w:webHidden/>
          </w:rPr>
          <w:tab/>
        </w:r>
        <w:r w:rsidR="00B41BC8">
          <w:rPr>
            <w:noProof/>
            <w:webHidden/>
          </w:rPr>
          <w:fldChar w:fldCharType="begin"/>
        </w:r>
        <w:r w:rsidR="00B41BC8">
          <w:rPr>
            <w:noProof/>
            <w:webHidden/>
          </w:rPr>
          <w:instrText xml:space="preserve"> PAGEREF _Toc64724187 \h </w:instrText>
        </w:r>
        <w:r w:rsidR="00B41BC8">
          <w:rPr>
            <w:noProof/>
            <w:webHidden/>
          </w:rPr>
        </w:r>
        <w:r w:rsidR="00B41BC8">
          <w:rPr>
            <w:noProof/>
            <w:webHidden/>
          </w:rPr>
          <w:fldChar w:fldCharType="separate"/>
        </w:r>
        <w:r w:rsidR="00B41BC8">
          <w:rPr>
            <w:noProof/>
            <w:webHidden/>
          </w:rPr>
          <w:t>88</w:t>
        </w:r>
        <w:r w:rsidR="00B41BC8">
          <w:rPr>
            <w:noProof/>
            <w:webHidden/>
          </w:rPr>
          <w:fldChar w:fldCharType="end"/>
        </w:r>
      </w:hyperlink>
    </w:p>
    <w:p w14:paraId="4DBE3C03" w14:textId="6271FE94" w:rsidR="00B41BC8" w:rsidRDefault="006D3518">
      <w:pPr>
        <w:pStyle w:val="TableofFigures"/>
        <w:tabs>
          <w:tab w:val="right" w:leader="dot" w:pos="9350"/>
        </w:tabs>
        <w:rPr>
          <w:rFonts w:cstheme="minorBidi"/>
          <w:b w:val="0"/>
          <w:bCs w:val="0"/>
          <w:noProof/>
          <w:sz w:val="24"/>
          <w:szCs w:val="24"/>
          <w:lang w:eastAsia="en-GB"/>
        </w:rPr>
      </w:pPr>
      <w:hyperlink w:anchor="_Toc64724188" w:history="1">
        <w:r w:rsidR="00B41BC8" w:rsidRPr="00EA1D0B">
          <w:rPr>
            <w:rStyle w:val="Hyperlink"/>
            <w:noProof/>
          </w:rPr>
          <w:t>Figure 3.9  Bland-Altman Difference vs Average Plot; Comparing Rater 1 and Rater 2 for Regional Blood Volume at the Left Thalamus</w:t>
        </w:r>
        <w:r w:rsidR="00B41BC8">
          <w:rPr>
            <w:noProof/>
            <w:webHidden/>
          </w:rPr>
          <w:tab/>
        </w:r>
        <w:r w:rsidR="00B41BC8">
          <w:rPr>
            <w:noProof/>
            <w:webHidden/>
          </w:rPr>
          <w:fldChar w:fldCharType="begin"/>
        </w:r>
        <w:r w:rsidR="00B41BC8">
          <w:rPr>
            <w:noProof/>
            <w:webHidden/>
          </w:rPr>
          <w:instrText xml:space="preserve"> PAGEREF _Toc64724188 \h </w:instrText>
        </w:r>
        <w:r w:rsidR="00B41BC8">
          <w:rPr>
            <w:noProof/>
            <w:webHidden/>
          </w:rPr>
        </w:r>
        <w:r w:rsidR="00B41BC8">
          <w:rPr>
            <w:noProof/>
            <w:webHidden/>
          </w:rPr>
          <w:fldChar w:fldCharType="separate"/>
        </w:r>
        <w:r w:rsidR="00B41BC8">
          <w:rPr>
            <w:noProof/>
            <w:webHidden/>
          </w:rPr>
          <w:t>89</w:t>
        </w:r>
        <w:r w:rsidR="00B41BC8">
          <w:rPr>
            <w:noProof/>
            <w:webHidden/>
          </w:rPr>
          <w:fldChar w:fldCharType="end"/>
        </w:r>
      </w:hyperlink>
    </w:p>
    <w:p w14:paraId="16112F43" w14:textId="13EC17F1" w:rsidR="00B41BC8" w:rsidRDefault="006D3518">
      <w:pPr>
        <w:pStyle w:val="TableofFigures"/>
        <w:tabs>
          <w:tab w:val="right" w:leader="dot" w:pos="9350"/>
        </w:tabs>
        <w:rPr>
          <w:rFonts w:cstheme="minorBidi"/>
          <w:b w:val="0"/>
          <w:bCs w:val="0"/>
          <w:noProof/>
          <w:sz w:val="24"/>
          <w:szCs w:val="24"/>
          <w:lang w:eastAsia="en-GB"/>
        </w:rPr>
      </w:pPr>
      <w:hyperlink w:anchor="_Toc64724189" w:history="1">
        <w:r w:rsidR="00B41BC8" w:rsidRPr="00EA1D0B">
          <w:rPr>
            <w:rStyle w:val="Hyperlink"/>
            <w:noProof/>
          </w:rPr>
          <w:t>Figure 3.10:  Bland-Altman Difference vs Average Plot; comparing Rater 1 and Rater 2 for Regional Blood Flow at the Left Thalamus</w:t>
        </w:r>
        <w:r w:rsidR="00B41BC8">
          <w:rPr>
            <w:noProof/>
            <w:webHidden/>
          </w:rPr>
          <w:tab/>
        </w:r>
        <w:r w:rsidR="00B41BC8">
          <w:rPr>
            <w:noProof/>
            <w:webHidden/>
          </w:rPr>
          <w:fldChar w:fldCharType="begin"/>
        </w:r>
        <w:r w:rsidR="00B41BC8">
          <w:rPr>
            <w:noProof/>
            <w:webHidden/>
          </w:rPr>
          <w:instrText xml:space="preserve"> PAGEREF _Toc64724189 \h </w:instrText>
        </w:r>
        <w:r w:rsidR="00B41BC8">
          <w:rPr>
            <w:noProof/>
            <w:webHidden/>
          </w:rPr>
        </w:r>
        <w:r w:rsidR="00B41BC8">
          <w:rPr>
            <w:noProof/>
            <w:webHidden/>
          </w:rPr>
          <w:fldChar w:fldCharType="separate"/>
        </w:r>
        <w:r w:rsidR="00B41BC8">
          <w:rPr>
            <w:noProof/>
            <w:webHidden/>
          </w:rPr>
          <w:t>89</w:t>
        </w:r>
        <w:r w:rsidR="00B41BC8">
          <w:rPr>
            <w:noProof/>
            <w:webHidden/>
          </w:rPr>
          <w:fldChar w:fldCharType="end"/>
        </w:r>
      </w:hyperlink>
    </w:p>
    <w:p w14:paraId="2C4ECD98" w14:textId="7E868314" w:rsidR="00B41BC8" w:rsidRDefault="006D3518">
      <w:pPr>
        <w:pStyle w:val="TableofFigures"/>
        <w:tabs>
          <w:tab w:val="right" w:leader="dot" w:pos="9350"/>
        </w:tabs>
        <w:rPr>
          <w:rFonts w:cstheme="minorBidi"/>
          <w:b w:val="0"/>
          <w:bCs w:val="0"/>
          <w:noProof/>
          <w:sz w:val="24"/>
          <w:szCs w:val="24"/>
          <w:lang w:eastAsia="en-GB"/>
        </w:rPr>
      </w:pPr>
      <w:hyperlink w:anchor="_Toc64724190" w:history="1">
        <w:r w:rsidR="00B41BC8" w:rsidRPr="00EA1D0B">
          <w:rPr>
            <w:rStyle w:val="Hyperlink"/>
            <w:rFonts w:eastAsia="Calibri"/>
            <w:noProof/>
          </w:rPr>
          <w:t>Figure 3.11 Bland-Altman Difference vs Average Plot; comparing Rater 1 and Rater 2 for Mean Transit Time at the Left Thalamus</w:t>
        </w:r>
        <w:r w:rsidR="00B41BC8">
          <w:rPr>
            <w:noProof/>
            <w:webHidden/>
          </w:rPr>
          <w:tab/>
        </w:r>
        <w:r w:rsidR="00B41BC8">
          <w:rPr>
            <w:noProof/>
            <w:webHidden/>
          </w:rPr>
          <w:fldChar w:fldCharType="begin"/>
        </w:r>
        <w:r w:rsidR="00B41BC8">
          <w:rPr>
            <w:noProof/>
            <w:webHidden/>
          </w:rPr>
          <w:instrText xml:space="preserve"> PAGEREF _Toc64724190 \h </w:instrText>
        </w:r>
        <w:r w:rsidR="00B41BC8">
          <w:rPr>
            <w:noProof/>
            <w:webHidden/>
          </w:rPr>
        </w:r>
        <w:r w:rsidR="00B41BC8">
          <w:rPr>
            <w:noProof/>
            <w:webHidden/>
          </w:rPr>
          <w:fldChar w:fldCharType="separate"/>
        </w:r>
        <w:r w:rsidR="00B41BC8">
          <w:rPr>
            <w:noProof/>
            <w:webHidden/>
          </w:rPr>
          <w:t>89</w:t>
        </w:r>
        <w:r w:rsidR="00B41BC8">
          <w:rPr>
            <w:noProof/>
            <w:webHidden/>
          </w:rPr>
          <w:fldChar w:fldCharType="end"/>
        </w:r>
      </w:hyperlink>
    </w:p>
    <w:p w14:paraId="66321928" w14:textId="48D63F30" w:rsidR="00B41BC8" w:rsidRDefault="006D3518">
      <w:pPr>
        <w:pStyle w:val="TableofFigures"/>
        <w:tabs>
          <w:tab w:val="right" w:leader="dot" w:pos="9350"/>
        </w:tabs>
        <w:rPr>
          <w:rFonts w:cstheme="minorBidi"/>
          <w:b w:val="0"/>
          <w:bCs w:val="0"/>
          <w:noProof/>
          <w:sz w:val="24"/>
          <w:szCs w:val="24"/>
          <w:lang w:eastAsia="en-GB"/>
        </w:rPr>
      </w:pPr>
      <w:hyperlink w:anchor="_Toc64724191" w:history="1">
        <w:r w:rsidR="00B41BC8" w:rsidRPr="00EA1D0B">
          <w:rPr>
            <w:rStyle w:val="Hyperlink"/>
            <w:noProof/>
          </w:rPr>
          <w:t>Figure 3.12 Bland-Altman Difference vs Average Plot; comparing Rater 1 and Rater 2 for Time to peak at the Left Thalamus</w:t>
        </w:r>
        <w:r w:rsidR="00B41BC8">
          <w:rPr>
            <w:noProof/>
            <w:webHidden/>
          </w:rPr>
          <w:tab/>
        </w:r>
        <w:r w:rsidR="00B41BC8">
          <w:rPr>
            <w:noProof/>
            <w:webHidden/>
          </w:rPr>
          <w:fldChar w:fldCharType="begin"/>
        </w:r>
        <w:r w:rsidR="00B41BC8">
          <w:rPr>
            <w:noProof/>
            <w:webHidden/>
          </w:rPr>
          <w:instrText xml:space="preserve"> PAGEREF _Toc64724191 \h </w:instrText>
        </w:r>
        <w:r w:rsidR="00B41BC8">
          <w:rPr>
            <w:noProof/>
            <w:webHidden/>
          </w:rPr>
        </w:r>
        <w:r w:rsidR="00B41BC8">
          <w:rPr>
            <w:noProof/>
            <w:webHidden/>
          </w:rPr>
          <w:fldChar w:fldCharType="separate"/>
        </w:r>
        <w:r w:rsidR="00B41BC8">
          <w:rPr>
            <w:noProof/>
            <w:webHidden/>
          </w:rPr>
          <w:t>90</w:t>
        </w:r>
        <w:r w:rsidR="00B41BC8">
          <w:rPr>
            <w:noProof/>
            <w:webHidden/>
          </w:rPr>
          <w:fldChar w:fldCharType="end"/>
        </w:r>
      </w:hyperlink>
    </w:p>
    <w:p w14:paraId="2AFC04AD" w14:textId="20590E6D" w:rsidR="00B41BC8" w:rsidRDefault="006D3518">
      <w:pPr>
        <w:pStyle w:val="TableofFigures"/>
        <w:tabs>
          <w:tab w:val="right" w:leader="dot" w:pos="9350"/>
        </w:tabs>
        <w:rPr>
          <w:rFonts w:cstheme="minorBidi"/>
          <w:b w:val="0"/>
          <w:bCs w:val="0"/>
          <w:noProof/>
          <w:sz w:val="24"/>
          <w:szCs w:val="24"/>
          <w:lang w:eastAsia="en-GB"/>
        </w:rPr>
      </w:pPr>
      <w:hyperlink w:anchor="_Toc64724192" w:history="1">
        <w:r w:rsidR="00B41BC8" w:rsidRPr="00EA1D0B">
          <w:rPr>
            <w:rStyle w:val="Hyperlink"/>
            <w:noProof/>
          </w:rPr>
          <w:t>Figure 3.13  Bland-Altman Difference vs Average Plot; comparing Rater 1 and Rater 2 for Regional Blood Volume at the Left Insula on visit 2.</w:t>
        </w:r>
        <w:r w:rsidR="00B41BC8">
          <w:rPr>
            <w:noProof/>
            <w:webHidden/>
          </w:rPr>
          <w:tab/>
        </w:r>
        <w:r w:rsidR="00B41BC8">
          <w:rPr>
            <w:noProof/>
            <w:webHidden/>
          </w:rPr>
          <w:fldChar w:fldCharType="begin"/>
        </w:r>
        <w:r w:rsidR="00B41BC8">
          <w:rPr>
            <w:noProof/>
            <w:webHidden/>
          </w:rPr>
          <w:instrText xml:space="preserve"> PAGEREF _Toc64724192 \h </w:instrText>
        </w:r>
        <w:r w:rsidR="00B41BC8">
          <w:rPr>
            <w:noProof/>
            <w:webHidden/>
          </w:rPr>
        </w:r>
        <w:r w:rsidR="00B41BC8">
          <w:rPr>
            <w:noProof/>
            <w:webHidden/>
          </w:rPr>
          <w:fldChar w:fldCharType="separate"/>
        </w:r>
        <w:r w:rsidR="00B41BC8">
          <w:rPr>
            <w:noProof/>
            <w:webHidden/>
          </w:rPr>
          <w:t>91</w:t>
        </w:r>
        <w:r w:rsidR="00B41BC8">
          <w:rPr>
            <w:noProof/>
            <w:webHidden/>
          </w:rPr>
          <w:fldChar w:fldCharType="end"/>
        </w:r>
      </w:hyperlink>
    </w:p>
    <w:p w14:paraId="214C1EF7" w14:textId="4DEBC86F" w:rsidR="00B41BC8" w:rsidRDefault="006D3518">
      <w:pPr>
        <w:pStyle w:val="TableofFigures"/>
        <w:tabs>
          <w:tab w:val="right" w:leader="dot" w:pos="9350"/>
        </w:tabs>
        <w:rPr>
          <w:rFonts w:cstheme="minorBidi"/>
          <w:b w:val="0"/>
          <w:bCs w:val="0"/>
          <w:noProof/>
          <w:sz w:val="24"/>
          <w:szCs w:val="24"/>
          <w:lang w:eastAsia="en-GB"/>
        </w:rPr>
      </w:pPr>
      <w:hyperlink w:anchor="_Toc64724193" w:history="1">
        <w:r w:rsidR="00B41BC8" w:rsidRPr="00EA1D0B">
          <w:rPr>
            <w:rStyle w:val="Hyperlink"/>
            <w:noProof/>
          </w:rPr>
          <w:t>Figure 3.14  Bland-Altman Difference vs Average Plot; comparing Rater 1 and Rater 2 for Regional Blood Volume at the ACC on visit 2.</w:t>
        </w:r>
        <w:r w:rsidR="00B41BC8">
          <w:rPr>
            <w:noProof/>
            <w:webHidden/>
          </w:rPr>
          <w:tab/>
        </w:r>
        <w:r w:rsidR="00B41BC8">
          <w:rPr>
            <w:noProof/>
            <w:webHidden/>
          </w:rPr>
          <w:fldChar w:fldCharType="begin"/>
        </w:r>
        <w:r w:rsidR="00B41BC8">
          <w:rPr>
            <w:noProof/>
            <w:webHidden/>
          </w:rPr>
          <w:instrText xml:space="preserve"> PAGEREF _Toc64724193 \h </w:instrText>
        </w:r>
        <w:r w:rsidR="00B41BC8">
          <w:rPr>
            <w:noProof/>
            <w:webHidden/>
          </w:rPr>
        </w:r>
        <w:r w:rsidR="00B41BC8">
          <w:rPr>
            <w:noProof/>
            <w:webHidden/>
          </w:rPr>
          <w:fldChar w:fldCharType="separate"/>
        </w:r>
        <w:r w:rsidR="00B41BC8">
          <w:rPr>
            <w:noProof/>
            <w:webHidden/>
          </w:rPr>
          <w:t>91</w:t>
        </w:r>
        <w:r w:rsidR="00B41BC8">
          <w:rPr>
            <w:noProof/>
            <w:webHidden/>
          </w:rPr>
          <w:fldChar w:fldCharType="end"/>
        </w:r>
      </w:hyperlink>
    </w:p>
    <w:p w14:paraId="004CB377" w14:textId="126BFCCA" w:rsidR="00B41BC8" w:rsidRDefault="006D3518">
      <w:pPr>
        <w:pStyle w:val="TableofFigures"/>
        <w:tabs>
          <w:tab w:val="right" w:leader="dot" w:pos="9350"/>
        </w:tabs>
        <w:rPr>
          <w:rFonts w:cstheme="minorBidi"/>
          <w:b w:val="0"/>
          <w:bCs w:val="0"/>
          <w:noProof/>
          <w:sz w:val="24"/>
          <w:szCs w:val="24"/>
          <w:lang w:eastAsia="en-GB"/>
        </w:rPr>
      </w:pPr>
      <w:hyperlink w:anchor="_Toc64724194" w:history="1">
        <w:r w:rsidR="00B41BC8" w:rsidRPr="00EA1D0B">
          <w:rPr>
            <w:rStyle w:val="Hyperlink"/>
            <w:noProof/>
          </w:rPr>
          <w:t>Figure 3.15  Bland-Altman Difference vs Average Plot; comparing Rater 1 and Rater 2 for Regional Blood Volume at the Parieto-Occipital White matter on visit 2.</w:t>
        </w:r>
        <w:r w:rsidR="00B41BC8">
          <w:rPr>
            <w:noProof/>
            <w:webHidden/>
          </w:rPr>
          <w:tab/>
        </w:r>
        <w:r w:rsidR="00B41BC8">
          <w:rPr>
            <w:noProof/>
            <w:webHidden/>
          </w:rPr>
          <w:fldChar w:fldCharType="begin"/>
        </w:r>
        <w:r w:rsidR="00B41BC8">
          <w:rPr>
            <w:noProof/>
            <w:webHidden/>
          </w:rPr>
          <w:instrText xml:space="preserve"> PAGEREF _Toc64724194 \h </w:instrText>
        </w:r>
        <w:r w:rsidR="00B41BC8">
          <w:rPr>
            <w:noProof/>
            <w:webHidden/>
          </w:rPr>
        </w:r>
        <w:r w:rsidR="00B41BC8">
          <w:rPr>
            <w:noProof/>
            <w:webHidden/>
          </w:rPr>
          <w:fldChar w:fldCharType="separate"/>
        </w:r>
        <w:r w:rsidR="00B41BC8">
          <w:rPr>
            <w:noProof/>
            <w:webHidden/>
          </w:rPr>
          <w:t>91</w:t>
        </w:r>
        <w:r w:rsidR="00B41BC8">
          <w:rPr>
            <w:noProof/>
            <w:webHidden/>
          </w:rPr>
          <w:fldChar w:fldCharType="end"/>
        </w:r>
      </w:hyperlink>
    </w:p>
    <w:p w14:paraId="198D8585" w14:textId="44CFAC44" w:rsidR="00B41BC8" w:rsidRDefault="006D3518">
      <w:pPr>
        <w:pStyle w:val="TableofFigures"/>
        <w:tabs>
          <w:tab w:val="right" w:leader="dot" w:pos="9350"/>
        </w:tabs>
        <w:rPr>
          <w:rFonts w:cstheme="minorBidi"/>
          <w:b w:val="0"/>
          <w:bCs w:val="0"/>
          <w:noProof/>
          <w:sz w:val="24"/>
          <w:szCs w:val="24"/>
          <w:lang w:eastAsia="en-GB"/>
        </w:rPr>
      </w:pPr>
      <w:hyperlink w:anchor="_Toc64724195" w:history="1">
        <w:r w:rsidR="00B41BC8" w:rsidRPr="00EA1D0B">
          <w:rPr>
            <w:rStyle w:val="Hyperlink"/>
            <w:noProof/>
          </w:rPr>
          <w:t>Figure 3.16  Bland-Altman Difference vs Average Plot; comparing Rater 1 and Rater 2 for Regional Blood Volume at the LPSC on visit 2.</w:t>
        </w:r>
        <w:r w:rsidR="00B41BC8">
          <w:rPr>
            <w:noProof/>
            <w:webHidden/>
          </w:rPr>
          <w:tab/>
        </w:r>
        <w:r w:rsidR="00B41BC8">
          <w:rPr>
            <w:noProof/>
            <w:webHidden/>
          </w:rPr>
          <w:fldChar w:fldCharType="begin"/>
        </w:r>
        <w:r w:rsidR="00B41BC8">
          <w:rPr>
            <w:noProof/>
            <w:webHidden/>
          </w:rPr>
          <w:instrText xml:space="preserve"> PAGEREF _Toc64724195 \h </w:instrText>
        </w:r>
        <w:r w:rsidR="00B41BC8">
          <w:rPr>
            <w:noProof/>
            <w:webHidden/>
          </w:rPr>
        </w:r>
        <w:r w:rsidR="00B41BC8">
          <w:rPr>
            <w:noProof/>
            <w:webHidden/>
          </w:rPr>
          <w:fldChar w:fldCharType="separate"/>
        </w:r>
        <w:r w:rsidR="00B41BC8">
          <w:rPr>
            <w:noProof/>
            <w:webHidden/>
          </w:rPr>
          <w:t>92</w:t>
        </w:r>
        <w:r w:rsidR="00B41BC8">
          <w:rPr>
            <w:noProof/>
            <w:webHidden/>
          </w:rPr>
          <w:fldChar w:fldCharType="end"/>
        </w:r>
      </w:hyperlink>
    </w:p>
    <w:p w14:paraId="6547F603" w14:textId="031C7CDF" w:rsidR="00B41BC8" w:rsidRDefault="006D3518">
      <w:pPr>
        <w:pStyle w:val="TableofFigures"/>
        <w:tabs>
          <w:tab w:val="right" w:leader="dot" w:pos="9350"/>
        </w:tabs>
        <w:rPr>
          <w:rFonts w:cstheme="minorBidi"/>
          <w:b w:val="0"/>
          <w:bCs w:val="0"/>
          <w:noProof/>
          <w:sz w:val="24"/>
          <w:szCs w:val="24"/>
          <w:lang w:eastAsia="en-GB"/>
        </w:rPr>
      </w:pPr>
      <w:hyperlink w:anchor="_Toc64724196" w:history="1">
        <w:r w:rsidR="00B41BC8" w:rsidRPr="00EA1D0B">
          <w:rPr>
            <w:rStyle w:val="Hyperlink"/>
            <w:noProof/>
          </w:rPr>
          <w:t>Figure 3.17. Automatic Selection of Arterial Input Function Using Cluster Analysis</w:t>
        </w:r>
        <w:r w:rsidR="00B41BC8">
          <w:rPr>
            <w:noProof/>
            <w:webHidden/>
          </w:rPr>
          <w:tab/>
        </w:r>
        <w:r w:rsidR="00B41BC8">
          <w:rPr>
            <w:noProof/>
            <w:webHidden/>
          </w:rPr>
          <w:fldChar w:fldCharType="begin"/>
        </w:r>
        <w:r w:rsidR="00B41BC8">
          <w:rPr>
            <w:noProof/>
            <w:webHidden/>
          </w:rPr>
          <w:instrText xml:space="preserve"> PAGEREF _Toc64724196 \h </w:instrText>
        </w:r>
        <w:r w:rsidR="00B41BC8">
          <w:rPr>
            <w:noProof/>
            <w:webHidden/>
          </w:rPr>
        </w:r>
        <w:r w:rsidR="00B41BC8">
          <w:rPr>
            <w:noProof/>
            <w:webHidden/>
          </w:rPr>
          <w:fldChar w:fldCharType="separate"/>
        </w:r>
        <w:r w:rsidR="00B41BC8">
          <w:rPr>
            <w:noProof/>
            <w:webHidden/>
          </w:rPr>
          <w:t>95</w:t>
        </w:r>
        <w:r w:rsidR="00B41BC8">
          <w:rPr>
            <w:noProof/>
            <w:webHidden/>
          </w:rPr>
          <w:fldChar w:fldCharType="end"/>
        </w:r>
      </w:hyperlink>
    </w:p>
    <w:p w14:paraId="14B5D03A" w14:textId="7939C8FE" w:rsidR="00B41BC8" w:rsidRDefault="006D3518">
      <w:pPr>
        <w:pStyle w:val="TableofFigures"/>
        <w:tabs>
          <w:tab w:val="right" w:leader="dot" w:pos="9350"/>
        </w:tabs>
        <w:rPr>
          <w:rFonts w:cstheme="minorBidi"/>
          <w:b w:val="0"/>
          <w:bCs w:val="0"/>
          <w:noProof/>
          <w:sz w:val="24"/>
          <w:szCs w:val="24"/>
          <w:lang w:eastAsia="en-GB"/>
        </w:rPr>
      </w:pPr>
      <w:hyperlink w:anchor="_Toc64724197" w:history="1">
        <w:r w:rsidR="00B41BC8" w:rsidRPr="00EA1D0B">
          <w:rPr>
            <w:rStyle w:val="Hyperlink"/>
            <w:noProof/>
          </w:rPr>
          <w:t>Figure 4.1  Overview of the Study</w:t>
        </w:r>
        <w:r w:rsidR="00B41BC8">
          <w:rPr>
            <w:noProof/>
            <w:webHidden/>
          </w:rPr>
          <w:tab/>
        </w:r>
        <w:r w:rsidR="00B41BC8">
          <w:rPr>
            <w:noProof/>
            <w:webHidden/>
          </w:rPr>
          <w:fldChar w:fldCharType="begin"/>
        </w:r>
        <w:r w:rsidR="00B41BC8">
          <w:rPr>
            <w:noProof/>
            <w:webHidden/>
          </w:rPr>
          <w:instrText xml:space="preserve"> PAGEREF _Toc64724197 \h </w:instrText>
        </w:r>
        <w:r w:rsidR="00B41BC8">
          <w:rPr>
            <w:noProof/>
            <w:webHidden/>
          </w:rPr>
        </w:r>
        <w:r w:rsidR="00B41BC8">
          <w:rPr>
            <w:noProof/>
            <w:webHidden/>
          </w:rPr>
          <w:fldChar w:fldCharType="separate"/>
        </w:r>
        <w:r w:rsidR="00B41BC8">
          <w:rPr>
            <w:noProof/>
            <w:webHidden/>
          </w:rPr>
          <w:t>102</w:t>
        </w:r>
        <w:r w:rsidR="00B41BC8">
          <w:rPr>
            <w:noProof/>
            <w:webHidden/>
          </w:rPr>
          <w:fldChar w:fldCharType="end"/>
        </w:r>
      </w:hyperlink>
    </w:p>
    <w:p w14:paraId="1E0205C8" w14:textId="6B9791A2" w:rsidR="00B41BC8" w:rsidRDefault="006D3518">
      <w:pPr>
        <w:pStyle w:val="TableofFigures"/>
        <w:tabs>
          <w:tab w:val="right" w:leader="dot" w:pos="9350"/>
        </w:tabs>
        <w:rPr>
          <w:rFonts w:cstheme="minorBidi"/>
          <w:b w:val="0"/>
          <w:bCs w:val="0"/>
          <w:noProof/>
          <w:sz w:val="24"/>
          <w:szCs w:val="24"/>
          <w:lang w:eastAsia="en-GB"/>
        </w:rPr>
      </w:pPr>
      <w:hyperlink w:anchor="_Toc64724198" w:history="1">
        <w:r w:rsidR="00B41BC8" w:rsidRPr="00EA1D0B">
          <w:rPr>
            <w:rStyle w:val="Hyperlink"/>
            <w:noProof/>
          </w:rPr>
          <w:t>Figure 4.2 Bar Chart for Self-Report of Pain as Measured by Likert Scale by Participants in the P-DPN group</w:t>
        </w:r>
        <w:r w:rsidR="00B41BC8">
          <w:rPr>
            <w:noProof/>
            <w:webHidden/>
          </w:rPr>
          <w:tab/>
        </w:r>
        <w:r w:rsidR="00B41BC8">
          <w:rPr>
            <w:noProof/>
            <w:webHidden/>
          </w:rPr>
          <w:fldChar w:fldCharType="begin"/>
        </w:r>
        <w:r w:rsidR="00B41BC8">
          <w:rPr>
            <w:noProof/>
            <w:webHidden/>
          </w:rPr>
          <w:instrText xml:space="preserve"> PAGEREF _Toc64724198 \h </w:instrText>
        </w:r>
        <w:r w:rsidR="00B41BC8">
          <w:rPr>
            <w:noProof/>
            <w:webHidden/>
          </w:rPr>
        </w:r>
        <w:r w:rsidR="00B41BC8">
          <w:rPr>
            <w:noProof/>
            <w:webHidden/>
          </w:rPr>
          <w:fldChar w:fldCharType="separate"/>
        </w:r>
        <w:r w:rsidR="00B41BC8">
          <w:rPr>
            <w:noProof/>
            <w:webHidden/>
          </w:rPr>
          <w:t>106</w:t>
        </w:r>
        <w:r w:rsidR="00B41BC8">
          <w:rPr>
            <w:noProof/>
            <w:webHidden/>
          </w:rPr>
          <w:fldChar w:fldCharType="end"/>
        </w:r>
      </w:hyperlink>
    </w:p>
    <w:p w14:paraId="4EA492C9" w14:textId="4DC810EC" w:rsidR="00B41BC8" w:rsidRDefault="006D3518">
      <w:pPr>
        <w:pStyle w:val="TableofFigures"/>
        <w:tabs>
          <w:tab w:val="right" w:leader="dot" w:pos="9350"/>
        </w:tabs>
        <w:rPr>
          <w:rFonts w:cstheme="minorBidi"/>
          <w:b w:val="0"/>
          <w:bCs w:val="0"/>
          <w:noProof/>
          <w:sz w:val="24"/>
          <w:szCs w:val="24"/>
          <w:lang w:eastAsia="en-GB"/>
        </w:rPr>
      </w:pPr>
      <w:hyperlink w:anchor="_Toc64724199" w:history="1">
        <w:r w:rsidR="00B41BC8" w:rsidRPr="00EA1D0B">
          <w:rPr>
            <w:rStyle w:val="Hyperlink"/>
            <w:rFonts w:eastAsia="Calibri"/>
            <w:noProof/>
          </w:rPr>
          <w:t>Figure 4.3  95% Confidence intervals for the Group Means and Regions of Interest for Regional Blood Volume at Visit 2</w:t>
        </w:r>
        <w:r w:rsidR="00B41BC8">
          <w:rPr>
            <w:noProof/>
            <w:webHidden/>
          </w:rPr>
          <w:tab/>
        </w:r>
        <w:r w:rsidR="00B41BC8">
          <w:rPr>
            <w:noProof/>
            <w:webHidden/>
          </w:rPr>
          <w:fldChar w:fldCharType="begin"/>
        </w:r>
        <w:r w:rsidR="00B41BC8">
          <w:rPr>
            <w:noProof/>
            <w:webHidden/>
          </w:rPr>
          <w:instrText xml:space="preserve"> PAGEREF _Toc64724199 \h </w:instrText>
        </w:r>
        <w:r w:rsidR="00B41BC8">
          <w:rPr>
            <w:noProof/>
            <w:webHidden/>
          </w:rPr>
        </w:r>
        <w:r w:rsidR="00B41BC8">
          <w:rPr>
            <w:noProof/>
            <w:webHidden/>
          </w:rPr>
          <w:fldChar w:fldCharType="separate"/>
        </w:r>
        <w:r w:rsidR="00B41BC8">
          <w:rPr>
            <w:noProof/>
            <w:webHidden/>
          </w:rPr>
          <w:t>107</w:t>
        </w:r>
        <w:r w:rsidR="00B41BC8">
          <w:rPr>
            <w:noProof/>
            <w:webHidden/>
          </w:rPr>
          <w:fldChar w:fldCharType="end"/>
        </w:r>
      </w:hyperlink>
    </w:p>
    <w:p w14:paraId="1AA00DA7" w14:textId="34DDA7EF" w:rsidR="00B41BC8" w:rsidRDefault="006D3518">
      <w:pPr>
        <w:pStyle w:val="TableofFigures"/>
        <w:tabs>
          <w:tab w:val="right" w:leader="dot" w:pos="9350"/>
        </w:tabs>
        <w:rPr>
          <w:rFonts w:cstheme="minorBidi"/>
          <w:b w:val="0"/>
          <w:bCs w:val="0"/>
          <w:noProof/>
          <w:sz w:val="24"/>
          <w:szCs w:val="24"/>
          <w:lang w:eastAsia="en-GB"/>
        </w:rPr>
      </w:pPr>
      <w:hyperlink w:anchor="_Toc64724200" w:history="1">
        <w:r w:rsidR="00B41BC8" w:rsidRPr="00EA1D0B">
          <w:rPr>
            <w:rStyle w:val="Hyperlink"/>
            <w:noProof/>
          </w:rPr>
          <w:t>Figure 4.4  95% Confidence Intervals for the Group Means and Regions of Interest for Regional Blood Flow at Visit 2</w:t>
        </w:r>
        <w:r w:rsidR="00B41BC8">
          <w:rPr>
            <w:noProof/>
            <w:webHidden/>
          </w:rPr>
          <w:tab/>
        </w:r>
        <w:r w:rsidR="00B41BC8">
          <w:rPr>
            <w:noProof/>
            <w:webHidden/>
          </w:rPr>
          <w:fldChar w:fldCharType="begin"/>
        </w:r>
        <w:r w:rsidR="00B41BC8">
          <w:rPr>
            <w:noProof/>
            <w:webHidden/>
          </w:rPr>
          <w:instrText xml:space="preserve"> PAGEREF _Toc64724200 \h </w:instrText>
        </w:r>
        <w:r w:rsidR="00B41BC8">
          <w:rPr>
            <w:noProof/>
            <w:webHidden/>
          </w:rPr>
        </w:r>
        <w:r w:rsidR="00B41BC8">
          <w:rPr>
            <w:noProof/>
            <w:webHidden/>
          </w:rPr>
          <w:fldChar w:fldCharType="separate"/>
        </w:r>
        <w:r w:rsidR="00B41BC8">
          <w:rPr>
            <w:noProof/>
            <w:webHidden/>
          </w:rPr>
          <w:t>108</w:t>
        </w:r>
        <w:r w:rsidR="00B41BC8">
          <w:rPr>
            <w:noProof/>
            <w:webHidden/>
          </w:rPr>
          <w:fldChar w:fldCharType="end"/>
        </w:r>
      </w:hyperlink>
    </w:p>
    <w:p w14:paraId="093870F9" w14:textId="269CBC2D" w:rsidR="00B41BC8" w:rsidRDefault="006D3518">
      <w:pPr>
        <w:pStyle w:val="TableofFigures"/>
        <w:tabs>
          <w:tab w:val="right" w:leader="dot" w:pos="9350"/>
        </w:tabs>
        <w:rPr>
          <w:rFonts w:cstheme="minorBidi"/>
          <w:b w:val="0"/>
          <w:bCs w:val="0"/>
          <w:noProof/>
          <w:sz w:val="24"/>
          <w:szCs w:val="24"/>
          <w:lang w:eastAsia="en-GB"/>
        </w:rPr>
      </w:pPr>
      <w:hyperlink w:anchor="_Toc64724201" w:history="1">
        <w:r w:rsidR="00B41BC8" w:rsidRPr="00EA1D0B">
          <w:rPr>
            <w:rStyle w:val="Hyperlink"/>
            <w:noProof/>
          </w:rPr>
          <w:t>Figure 4.5 95% Confidence Intervals for the Group Means and Regions of Interest for Mean Transit Time at Visit 2</w:t>
        </w:r>
        <w:r w:rsidR="00B41BC8">
          <w:rPr>
            <w:noProof/>
            <w:webHidden/>
          </w:rPr>
          <w:tab/>
        </w:r>
        <w:r w:rsidR="00B41BC8">
          <w:rPr>
            <w:noProof/>
            <w:webHidden/>
          </w:rPr>
          <w:fldChar w:fldCharType="begin"/>
        </w:r>
        <w:r w:rsidR="00B41BC8">
          <w:rPr>
            <w:noProof/>
            <w:webHidden/>
          </w:rPr>
          <w:instrText xml:space="preserve"> PAGEREF _Toc64724201 \h </w:instrText>
        </w:r>
        <w:r w:rsidR="00B41BC8">
          <w:rPr>
            <w:noProof/>
            <w:webHidden/>
          </w:rPr>
        </w:r>
        <w:r w:rsidR="00B41BC8">
          <w:rPr>
            <w:noProof/>
            <w:webHidden/>
          </w:rPr>
          <w:fldChar w:fldCharType="separate"/>
        </w:r>
        <w:r w:rsidR="00B41BC8">
          <w:rPr>
            <w:noProof/>
            <w:webHidden/>
          </w:rPr>
          <w:t>109</w:t>
        </w:r>
        <w:r w:rsidR="00B41BC8">
          <w:rPr>
            <w:noProof/>
            <w:webHidden/>
          </w:rPr>
          <w:fldChar w:fldCharType="end"/>
        </w:r>
      </w:hyperlink>
    </w:p>
    <w:p w14:paraId="5552C7DD" w14:textId="07BC6747" w:rsidR="00B41BC8" w:rsidRDefault="006D3518">
      <w:pPr>
        <w:pStyle w:val="TableofFigures"/>
        <w:tabs>
          <w:tab w:val="right" w:leader="dot" w:pos="9350"/>
        </w:tabs>
        <w:rPr>
          <w:rFonts w:cstheme="minorBidi"/>
          <w:b w:val="0"/>
          <w:bCs w:val="0"/>
          <w:noProof/>
          <w:sz w:val="24"/>
          <w:szCs w:val="24"/>
          <w:lang w:eastAsia="en-GB"/>
        </w:rPr>
      </w:pPr>
      <w:hyperlink w:anchor="_Toc64724202" w:history="1">
        <w:r w:rsidR="00B41BC8" w:rsidRPr="00EA1D0B">
          <w:rPr>
            <w:rStyle w:val="Hyperlink"/>
            <w:noProof/>
          </w:rPr>
          <w:t>Figure 4.6  95% Confidence intervals for the Group Means and Regions of Interest for Time-to-Peak at Visit 2</w:t>
        </w:r>
        <w:r w:rsidR="00B41BC8">
          <w:rPr>
            <w:noProof/>
            <w:webHidden/>
          </w:rPr>
          <w:tab/>
        </w:r>
        <w:r w:rsidR="00B41BC8">
          <w:rPr>
            <w:noProof/>
            <w:webHidden/>
          </w:rPr>
          <w:fldChar w:fldCharType="begin"/>
        </w:r>
        <w:r w:rsidR="00B41BC8">
          <w:rPr>
            <w:noProof/>
            <w:webHidden/>
          </w:rPr>
          <w:instrText xml:space="preserve"> PAGEREF _Toc64724202 \h </w:instrText>
        </w:r>
        <w:r w:rsidR="00B41BC8">
          <w:rPr>
            <w:noProof/>
            <w:webHidden/>
          </w:rPr>
        </w:r>
        <w:r w:rsidR="00B41BC8">
          <w:rPr>
            <w:noProof/>
            <w:webHidden/>
          </w:rPr>
          <w:fldChar w:fldCharType="separate"/>
        </w:r>
        <w:r w:rsidR="00B41BC8">
          <w:rPr>
            <w:noProof/>
            <w:webHidden/>
          </w:rPr>
          <w:t>111</w:t>
        </w:r>
        <w:r w:rsidR="00B41BC8">
          <w:rPr>
            <w:noProof/>
            <w:webHidden/>
          </w:rPr>
          <w:fldChar w:fldCharType="end"/>
        </w:r>
      </w:hyperlink>
    </w:p>
    <w:p w14:paraId="63CA4718" w14:textId="68C709C0" w:rsidR="00B41BC8" w:rsidRDefault="006D3518">
      <w:pPr>
        <w:pStyle w:val="TableofFigures"/>
        <w:tabs>
          <w:tab w:val="right" w:leader="dot" w:pos="9350"/>
        </w:tabs>
        <w:rPr>
          <w:rFonts w:cstheme="minorBidi"/>
          <w:b w:val="0"/>
          <w:bCs w:val="0"/>
          <w:noProof/>
          <w:sz w:val="24"/>
          <w:szCs w:val="24"/>
          <w:lang w:eastAsia="en-GB"/>
        </w:rPr>
      </w:pPr>
      <w:hyperlink w:anchor="_Toc64724203" w:history="1">
        <w:r w:rsidR="00B41BC8" w:rsidRPr="00EA1D0B">
          <w:rPr>
            <w:rStyle w:val="Hyperlink"/>
            <w:noProof/>
          </w:rPr>
          <w:t>Figure 4.7  95% Confidence Intervals for the Group means and Regions of Interest for Mean Transit Time at Visit 2, Stratified for Presence of Spontaneous Neuropathic Pain.</w:t>
        </w:r>
        <w:r w:rsidR="00B41BC8">
          <w:rPr>
            <w:noProof/>
            <w:webHidden/>
          </w:rPr>
          <w:tab/>
        </w:r>
        <w:r w:rsidR="00B41BC8">
          <w:rPr>
            <w:noProof/>
            <w:webHidden/>
          </w:rPr>
          <w:fldChar w:fldCharType="begin"/>
        </w:r>
        <w:r w:rsidR="00B41BC8">
          <w:rPr>
            <w:noProof/>
            <w:webHidden/>
          </w:rPr>
          <w:instrText xml:space="preserve"> PAGEREF _Toc64724203 \h </w:instrText>
        </w:r>
        <w:r w:rsidR="00B41BC8">
          <w:rPr>
            <w:noProof/>
            <w:webHidden/>
          </w:rPr>
        </w:r>
        <w:r w:rsidR="00B41BC8">
          <w:rPr>
            <w:noProof/>
            <w:webHidden/>
          </w:rPr>
          <w:fldChar w:fldCharType="separate"/>
        </w:r>
        <w:r w:rsidR="00B41BC8">
          <w:rPr>
            <w:noProof/>
            <w:webHidden/>
          </w:rPr>
          <w:t>112</w:t>
        </w:r>
        <w:r w:rsidR="00B41BC8">
          <w:rPr>
            <w:noProof/>
            <w:webHidden/>
          </w:rPr>
          <w:fldChar w:fldCharType="end"/>
        </w:r>
      </w:hyperlink>
    </w:p>
    <w:p w14:paraId="62164D71" w14:textId="619DAC38" w:rsidR="00B41BC8" w:rsidRDefault="006D3518">
      <w:pPr>
        <w:pStyle w:val="TableofFigures"/>
        <w:tabs>
          <w:tab w:val="right" w:leader="dot" w:pos="9350"/>
        </w:tabs>
        <w:rPr>
          <w:rFonts w:cstheme="minorBidi"/>
          <w:b w:val="0"/>
          <w:bCs w:val="0"/>
          <w:noProof/>
          <w:sz w:val="24"/>
          <w:szCs w:val="24"/>
          <w:lang w:eastAsia="en-GB"/>
        </w:rPr>
      </w:pPr>
      <w:hyperlink w:anchor="_Toc64724204" w:history="1">
        <w:r w:rsidR="00B41BC8" w:rsidRPr="00EA1D0B">
          <w:rPr>
            <w:rStyle w:val="Hyperlink"/>
            <w:noProof/>
          </w:rPr>
          <w:t>Figure 4.8  Scatter Plot of Time-to-Peak at the Right Thalamus and the Right Insula</w:t>
        </w:r>
        <w:r w:rsidR="00B41BC8">
          <w:rPr>
            <w:noProof/>
            <w:webHidden/>
          </w:rPr>
          <w:tab/>
        </w:r>
        <w:r w:rsidR="00B41BC8">
          <w:rPr>
            <w:noProof/>
            <w:webHidden/>
          </w:rPr>
          <w:fldChar w:fldCharType="begin"/>
        </w:r>
        <w:r w:rsidR="00B41BC8">
          <w:rPr>
            <w:noProof/>
            <w:webHidden/>
          </w:rPr>
          <w:instrText xml:space="preserve"> PAGEREF _Toc64724204 \h </w:instrText>
        </w:r>
        <w:r w:rsidR="00B41BC8">
          <w:rPr>
            <w:noProof/>
            <w:webHidden/>
          </w:rPr>
        </w:r>
        <w:r w:rsidR="00B41BC8">
          <w:rPr>
            <w:noProof/>
            <w:webHidden/>
          </w:rPr>
          <w:fldChar w:fldCharType="separate"/>
        </w:r>
        <w:r w:rsidR="00B41BC8">
          <w:rPr>
            <w:noProof/>
            <w:webHidden/>
          </w:rPr>
          <w:t>113</w:t>
        </w:r>
        <w:r w:rsidR="00B41BC8">
          <w:rPr>
            <w:noProof/>
            <w:webHidden/>
          </w:rPr>
          <w:fldChar w:fldCharType="end"/>
        </w:r>
      </w:hyperlink>
    </w:p>
    <w:p w14:paraId="0CA5CD35" w14:textId="4A2BAAF4" w:rsidR="00B41BC8" w:rsidRDefault="006D3518">
      <w:pPr>
        <w:pStyle w:val="TableofFigures"/>
        <w:tabs>
          <w:tab w:val="right" w:leader="dot" w:pos="9350"/>
        </w:tabs>
        <w:rPr>
          <w:rFonts w:cstheme="minorBidi"/>
          <w:b w:val="0"/>
          <w:bCs w:val="0"/>
          <w:noProof/>
          <w:sz w:val="24"/>
          <w:szCs w:val="24"/>
          <w:lang w:eastAsia="en-GB"/>
        </w:rPr>
      </w:pPr>
      <w:hyperlink w:anchor="_Toc64724205" w:history="1">
        <w:r w:rsidR="00B41BC8" w:rsidRPr="00EA1D0B">
          <w:rPr>
            <w:rStyle w:val="Hyperlink"/>
            <w:noProof/>
          </w:rPr>
          <w:t>Figure 4.9  Scatter Plot of Time-to-Peak at the Parieto-Occipital White Matter</w:t>
        </w:r>
        <w:r w:rsidR="00B41BC8">
          <w:rPr>
            <w:noProof/>
            <w:webHidden/>
          </w:rPr>
          <w:tab/>
        </w:r>
        <w:r w:rsidR="00B41BC8">
          <w:rPr>
            <w:noProof/>
            <w:webHidden/>
          </w:rPr>
          <w:fldChar w:fldCharType="begin"/>
        </w:r>
        <w:r w:rsidR="00B41BC8">
          <w:rPr>
            <w:noProof/>
            <w:webHidden/>
          </w:rPr>
          <w:instrText xml:space="preserve"> PAGEREF _Toc64724205 \h </w:instrText>
        </w:r>
        <w:r w:rsidR="00B41BC8">
          <w:rPr>
            <w:noProof/>
            <w:webHidden/>
          </w:rPr>
        </w:r>
        <w:r w:rsidR="00B41BC8">
          <w:rPr>
            <w:noProof/>
            <w:webHidden/>
          </w:rPr>
          <w:fldChar w:fldCharType="separate"/>
        </w:r>
        <w:r w:rsidR="00B41BC8">
          <w:rPr>
            <w:noProof/>
            <w:webHidden/>
          </w:rPr>
          <w:t>113</w:t>
        </w:r>
        <w:r w:rsidR="00B41BC8">
          <w:rPr>
            <w:noProof/>
            <w:webHidden/>
          </w:rPr>
          <w:fldChar w:fldCharType="end"/>
        </w:r>
      </w:hyperlink>
    </w:p>
    <w:p w14:paraId="4FBE25F9" w14:textId="67156A47" w:rsidR="00B41BC8" w:rsidRDefault="006D3518">
      <w:pPr>
        <w:pStyle w:val="TableofFigures"/>
        <w:tabs>
          <w:tab w:val="right" w:leader="dot" w:pos="9350"/>
        </w:tabs>
        <w:rPr>
          <w:rFonts w:cstheme="minorBidi"/>
          <w:b w:val="0"/>
          <w:bCs w:val="0"/>
          <w:noProof/>
          <w:sz w:val="24"/>
          <w:szCs w:val="24"/>
          <w:lang w:eastAsia="en-GB"/>
        </w:rPr>
      </w:pPr>
      <w:hyperlink w:anchor="_Toc64724206" w:history="1">
        <w:r w:rsidR="00B41BC8" w:rsidRPr="00EA1D0B">
          <w:rPr>
            <w:rStyle w:val="Hyperlink"/>
            <w:noProof/>
          </w:rPr>
          <w:t>Figure 5.1- Overview of the Study- Visit 3</w:t>
        </w:r>
        <w:r w:rsidR="00B41BC8">
          <w:rPr>
            <w:noProof/>
            <w:webHidden/>
          </w:rPr>
          <w:tab/>
        </w:r>
        <w:r w:rsidR="00B41BC8">
          <w:rPr>
            <w:noProof/>
            <w:webHidden/>
          </w:rPr>
          <w:fldChar w:fldCharType="begin"/>
        </w:r>
        <w:r w:rsidR="00B41BC8">
          <w:rPr>
            <w:noProof/>
            <w:webHidden/>
          </w:rPr>
          <w:instrText xml:space="preserve"> PAGEREF _Toc64724206 \h </w:instrText>
        </w:r>
        <w:r w:rsidR="00B41BC8">
          <w:rPr>
            <w:noProof/>
            <w:webHidden/>
          </w:rPr>
        </w:r>
        <w:r w:rsidR="00B41BC8">
          <w:rPr>
            <w:noProof/>
            <w:webHidden/>
          </w:rPr>
          <w:fldChar w:fldCharType="separate"/>
        </w:r>
        <w:r w:rsidR="00B41BC8">
          <w:rPr>
            <w:noProof/>
            <w:webHidden/>
          </w:rPr>
          <w:t>128</w:t>
        </w:r>
        <w:r w:rsidR="00B41BC8">
          <w:rPr>
            <w:noProof/>
            <w:webHidden/>
          </w:rPr>
          <w:fldChar w:fldCharType="end"/>
        </w:r>
      </w:hyperlink>
    </w:p>
    <w:p w14:paraId="4CC39261" w14:textId="58F3247B" w:rsidR="00B41BC8" w:rsidRDefault="006D3518">
      <w:pPr>
        <w:pStyle w:val="TableofFigures"/>
        <w:tabs>
          <w:tab w:val="right" w:leader="dot" w:pos="9350"/>
        </w:tabs>
        <w:rPr>
          <w:rFonts w:cstheme="minorBidi"/>
          <w:b w:val="0"/>
          <w:bCs w:val="0"/>
          <w:noProof/>
          <w:sz w:val="24"/>
          <w:szCs w:val="24"/>
          <w:lang w:eastAsia="en-GB"/>
        </w:rPr>
      </w:pPr>
      <w:hyperlink w:anchor="_Toc64724207" w:history="1">
        <w:r w:rsidR="00B41BC8" w:rsidRPr="00EA1D0B">
          <w:rPr>
            <w:rStyle w:val="Hyperlink"/>
            <w:noProof/>
          </w:rPr>
          <w:t>Figure 5.2. 95% Confidence Intervals for the Group Means and Regions of Interest for RBV at Visit 3 Adjusted for LIKERT</w:t>
        </w:r>
        <w:r w:rsidR="00B41BC8">
          <w:rPr>
            <w:noProof/>
            <w:webHidden/>
          </w:rPr>
          <w:tab/>
        </w:r>
        <w:r w:rsidR="00B41BC8">
          <w:rPr>
            <w:noProof/>
            <w:webHidden/>
          </w:rPr>
          <w:fldChar w:fldCharType="begin"/>
        </w:r>
        <w:r w:rsidR="00B41BC8">
          <w:rPr>
            <w:noProof/>
            <w:webHidden/>
          </w:rPr>
          <w:instrText xml:space="preserve"> PAGEREF _Toc64724207 \h </w:instrText>
        </w:r>
        <w:r w:rsidR="00B41BC8">
          <w:rPr>
            <w:noProof/>
            <w:webHidden/>
          </w:rPr>
        </w:r>
        <w:r w:rsidR="00B41BC8">
          <w:rPr>
            <w:noProof/>
            <w:webHidden/>
          </w:rPr>
          <w:fldChar w:fldCharType="separate"/>
        </w:r>
        <w:r w:rsidR="00B41BC8">
          <w:rPr>
            <w:noProof/>
            <w:webHidden/>
          </w:rPr>
          <w:t>133</w:t>
        </w:r>
        <w:r w:rsidR="00B41BC8">
          <w:rPr>
            <w:noProof/>
            <w:webHidden/>
          </w:rPr>
          <w:fldChar w:fldCharType="end"/>
        </w:r>
      </w:hyperlink>
    </w:p>
    <w:p w14:paraId="05D373AD" w14:textId="3D9CFA26" w:rsidR="00B41BC8" w:rsidRDefault="006D3518">
      <w:pPr>
        <w:pStyle w:val="TableofFigures"/>
        <w:tabs>
          <w:tab w:val="right" w:leader="dot" w:pos="9350"/>
        </w:tabs>
        <w:rPr>
          <w:rFonts w:cstheme="minorBidi"/>
          <w:b w:val="0"/>
          <w:bCs w:val="0"/>
          <w:noProof/>
          <w:sz w:val="24"/>
          <w:szCs w:val="24"/>
          <w:lang w:eastAsia="en-GB"/>
        </w:rPr>
      </w:pPr>
      <w:hyperlink w:anchor="_Toc64724208" w:history="1">
        <w:r w:rsidR="00B41BC8" w:rsidRPr="00EA1D0B">
          <w:rPr>
            <w:rStyle w:val="Hyperlink"/>
            <w:noProof/>
          </w:rPr>
          <w:t>Figure 5.3. 95% Confidence Intervals for the Group Means and Regions of Interest for RBF at Visit 3 Adjusted for LIKERT</w:t>
        </w:r>
        <w:r w:rsidR="00B41BC8">
          <w:rPr>
            <w:noProof/>
            <w:webHidden/>
          </w:rPr>
          <w:tab/>
        </w:r>
        <w:r w:rsidR="00B41BC8">
          <w:rPr>
            <w:noProof/>
            <w:webHidden/>
          </w:rPr>
          <w:fldChar w:fldCharType="begin"/>
        </w:r>
        <w:r w:rsidR="00B41BC8">
          <w:rPr>
            <w:noProof/>
            <w:webHidden/>
          </w:rPr>
          <w:instrText xml:space="preserve"> PAGEREF _Toc64724208 \h </w:instrText>
        </w:r>
        <w:r w:rsidR="00B41BC8">
          <w:rPr>
            <w:noProof/>
            <w:webHidden/>
          </w:rPr>
        </w:r>
        <w:r w:rsidR="00B41BC8">
          <w:rPr>
            <w:noProof/>
            <w:webHidden/>
          </w:rPr>
          <w:fldChar w:fldCharType="separate"/>
        </w:r>
        <w:r w:rsidR="00B41BC8">
          <w:rPr>
            <w:noProof/>
            <w:webHidden/>
          </w:rPr>
          <w:t>134</w:t>
        </w:r>
        <w:r w:rsidR="00B41BC8">
          <w:rPr>
            <w:noProof/>
            <w:webHidden/>
          </w:rPr>
          <w:fldChar w:fldCharType="end"/>
        </w:r>
      </w:hyperlink>
    </w:p>
    <w:p w14:paraId="1C095E8F" w14:textId="4FBEB0CB" w:rsidR="00B41BC8" w:rsidRDefault="006D3518">
      <w:pPr>
        <w:pStyle w:val="TableofFigures"/>
        <w:tabs>
          <w:tab w:val="right" w:leader="dot" w:pos="9350"/>
        </w:tabs>
        <w:rPr>
          <w:rFonts w:cstheme="minorBidi"/>
          <w:b w:val="0"/>
          <w:bCs w:val="0"/>
          <w:noProof/>
          <w:sz w:val="24"/>
          <w:szCs w:val="24"/>
          <w:lang w:eastAsia="en-GB"/>
        </w:rPr>
      </w:pPr>
      <w:hyperlink w:anchor="_Toc64724209" w:history="1">
        <w:r w:rsidR="00B41BC8" w:rsidRPr="00EA1D0B">
          <w:rPr>
            <w:rStyle w:val="Hyperlink"/>
            <w:noProof/>
          </w:rPr>
          <w:t>Figure 5.4. 95% Confidence Intervals for the Group Means and Regions of Interest for MTT at Visit 3 Adjusted for LIKERT</w:t>
        </w:r>
        <w:r w:rsidR="00B41BC8">
          <w:rPr>
            <w:noProof/>
            <w:webHidden/>
          </w:rPr>
          <w:tab/>
        </w:r>
        <w:r w:rsidR="00B41BC8">
          <w:rPr>
            <w:noProof/>
            <w:webHidden/>
          </w:rPr>
          <w:fldChar w:fldCharType="begin"/>
        </w:r>
        <w:r w:rsidR="00B41BC8">
          <w:rPr>
            <w:noProof/>
            <w:webHidden/>
          </w:rPr>
          <w:instrText xml:space="preserve"> PAGEREF _Toc64724209 \h </w:instrText>
        </w:r>
        <w:r w:rsidR="00B41BC8">
          <w:rPr>
            <w:noProof/>
            <w:webHidden/>
          </w:rPr>
        </w:r>
        <w:r w:rsidR="00B41BC8">
          <w:rPr>
            <w:noProof/>
            <w:webHidden/>
          </w:rPr>
          <w:fldChar w:fldCharType="separate"/>
        </w:r>
        <w:r w:rsidR="00B41BC8">
          <w:rPr>
            <w:noProof/>
            <w:webHidden/>
          </w:rPr>
          <w:t>134</w:t>
        </w:r>
        <w:r w:rsidR="00B41BC8">
          <w:rPr>
            <w:noProof/>
            <w:webHidden/>
          </w:rPr>
          <w:fldChar w:fldCharType="end"/>
        </w:r>
      </w:hyperlink>
    </w:p>
    <w:p w14:paraId="2E7D5BF5" w14:textId="0EECDAD1" w:rsidR="00B41BC8" w:rsidRDefault="006D3518">
      <w:pPr>
        <w:pStyle w:val="TableofFigures"/>
        <w:tabs>
          <w:tab w:val="right" w:leader="dot" w:pos="9350"/>
        </w:tabs>
        <w:rPr>
          <w:rFonts w:cstheme="minorBidi"/>
          <w:b w:val="0"/>
          <w:bCs w:val="0"/>
          <w:noProof/>
          <w:sz w:val="24"/>
          <w:szCs w:val="24"/>
          <w:lang w:eastAsia="en-GB"/>
        </w:rPr>
      </w:pPr>
      <w:hyperlink w:anchor="_Toc64724210" w:history="1">
        <w:r w:rsidR="00B41BC8" w:rsidRPr="00EA1D0B">
          <w:rPr>
            <w:rStyle w:val="Hyperlink"/>
            <w:noProof/>
          </w:rPr>
          <w:t>Figure 5.5. 95% Confidence intervals for Group Means and Regions of Interest for TTP at V3, Adjusted for Likert</w:t>
        </w:r>
        <w:r w:rsidR="00B41BC8">
          <w:rPr>
            <w:noProof/>
            <w:webHidden/>
          </w:rPr>
          <w:tab/>
        </w:r>
        <w:r w:rsidR="00B41BC8">
          <w:rPr>
            <w:noProof/>
            <w:webHidden/>
          </w:rPr>
          <w:fldChar w:fldCharType="begin"/>
        </w:r>
        <w:r w:rsidR="00B41BC8">
          <w:rPr>
            <w:noProof/>
            <w:webHidden/>
          </w:rPr>
          <w:instrText xml:space="preserve"> PAGEREF _Toc64724210 \h </w:instrText>
        </w:r>
        <w:r w:rsidR="00B41BC8">
          <w:rPr>
            <w:noProof/>
            <w:webHidden/>
          </w:rPr>
        </w:r>
        <w:r w:rsidR="00B41BC8">
          <w:rPr>
            <w:noProof/>
            <w:webHidden/>
          </w:rPr>
          <w:fldChar w:fldCharType="separate"/>
        </w:r>
        <w:r w:rsidR="00B41BC8">
          <w:rPr>
            <w:noProof/>
            <w:webHidden/>
          </w:rPr>
          <w:t>135</w:t>
        </w:r>
        <w:r w:rsidR="00B41BC8">
          <w:rPr>
            <w:noProof/>
            <w:webHidden/>
          </w:rPr>
          <w:fldChar w:fldCharType="end"/>
        </w:r>
      </w:hyperlink>
    </w:p>
    <w:p w14:paraId="1A3D8ED6" w14:textId="4E1B7969" w:rsidR="00B41BC8" w:rsidRDefault="006D3518">
      <w:pPr>
        <w:pStyle w:val="TableofFigures"/>
        <w:tabs>
          <w:tab w:val="right" w:leader="dot" w:pos="9350"/>
        </w:tabs>
        <w:rPr>
          <w:rFonts w:cstheme="minorBidi"/>
          <w:b w:val="0"/>
          <w:bCs w:val="0"/>
          <w:noProof/>
          <w:sz w:val="24"/>
          <w:szCs w:val="24"/>
          <w:lang w:eastAsia="en-GB"/>
        </w:rPr>
      </w:pPr>
      <w:hyperlink w:anchor="_Toc64724211" w:history="1">
        <w:r w:rsidR="00B41BC8" w:rsidRPr="00EA1D0B">
          <w:rPr>
            <w:rStyle w:val="Hyperlink"/>
            <w:noProof/>
          </w:rPr>
          <w:t>Figure 5.6.  95% Confidence Intervals for the Group Means and Regions of Interest for Δ RBV:  Unadjusted for Likert Scale</w:t>
        </w:r>
        <w:r w:rsidR="00B41BC8">
          <w:rPr>
            <w:noProof/>
            <w:webHidden/>
          </w:rPr>
          <w:tab/>
        </w:r>
        <w:r w:rsidR="00B41BC8">
          <w:rPr>
            <w:noProof/>
            <w:webHidden/>
          </w:rPr>
          <w:fldChar w:fldCharType="begin"/>
        </w:r>
        <w:r w:rsidR="00B41BC8">
          <w:rPr>
            <w:noProof/>
            <w:webHidden/>
          </w:rPr>
          <w:instrText xml:space="preserve"> PAGEREF _Toc64724211 \h </w:instrText>
        </w:r>
        <w:r w:rsidR="00B41BC8">
          <w:rPr>
            <w:noProof/>
            <w:webHidden/>
          </w:rPr>
        </w:r>
        <w:r w:rsidR="00B41BC8">
          <w:rPr>
            <w:noProof/>
            <w:webHidden/>
          </w:rPr>
          <w:fldChar w:fldCharType="separate"/>
        </w:r>
        <w:r w:rsidR="00B41BC8">
          <w:rPr>
            <w:noProof/>
            <w:webHidden/>
          </w:rPr>
          <w:t>136</w:t>
        </w:r>
        <w:r w:rsidR="00B41BC8">
          <w:rPr>
            <w:noProof/>
            <w:webHidden/>
          </w:rPr>
          <w:fldChar w:fldCharType="end"/>
        </w:r>
      </w:hyperlink>
    </w:p>
    <w:p w14:paraId="469D707F" w14:textId="21369C1A" w:rsidR="00B41BC8" w:rsidRDefault="006D3518">
      <w:pPr>
        <w:pStyle w:val="TableofFigures"/>
        <w:tabs>
          <w:tab w:val="right" w:leader="dot" w:pos="9350"/>
        </w:tabs>
        <w:rPr>
          <w:rFonts w:cstheme="minorBidi"/>
          <w:b w:val="0"/>
          <w:bCs w:val="0"/>
          <w:noProof/>
          <w:sz w:val="24"/>
          <w:szCs w:val="24"/>
          <w:lang w:eastAsia="en-GB"/>
        </w:rPr>
      </w:pPr>
      <w:hyperlink w:anchor="_Toc64724212" w:history="1">
        <w:r w:rsidR="00B41BC8" w:rsidRPr="00EA1D0B">
          <w:rPr>
            <w:rStyle w:val="Hyperlink"/>
            <w:noProof/>
          </w:rPr>
          <w:t>Figure 5.7. Scatter Plot of Group* LIKERT interaction for Δ-RBV at the POWM</w:t>
        </w:r>
        <w:r w:rsidR="00B41BC8">
          <w:rPr>
            <w:noProof/>
            <w:webHidden/>
          </w:rPr>
          <w:tab/>
        </w:r>
        <w:r w:rsidR="00B41BC8">
          <w:rPr>
            <w:noProof/>
            <w:webHidden/>
          </w:rPr>
          <w:fldChar w:fldCharType="begin"/>
        </w:r>
        <w:r w:rsidR="00B41BC8">
          <w:rPr>
            <w:noProof/>
            <w:webHidden/>
          </w:rPr>
          <w:instrText xml:space="preserve"> PAGEREF _Toc64724212 \h </w:instrText>
        </w:r>
        <w:r w:rsidR="00B41BC8">
          <w:rPr>
            <w:noProof/>
            <w:webHidden/>
          </w:rPr>
        </w:r>
        <w:r w:rsidR="00B41BC8">
          <w:rPr>
            <w:noProof/>
            <w:webHidden/>
          </w:rPr>
          <w:fldChar w:fldCharType="separate"/>
        </w:r>
        <w:r w:rsidR="00B41BC8">
          <w:rPr>
            <w:noProof/>
            <w:webHidden/>
          </w:rPr>
          <w:t>137</w:t>
        </w:r>
        <w:r w:rsidR="00B41BC8">
          <w:rPr>
            <w:noProof/>
            <w:webHidden/>
          </w:rPr>
          <w:fldChar w:fldCharType="end"/>
        </w:r>
      </w:hyperlink>
    </w:p>
    <w:p w14:paraId="20F1A04A" w14:textId="780A7468" w:rsidR="00B41BC8" w:rsidRDefault="006D3518">
      <w:pPr>
        <w:pStyle w:val="TableofFigures"/>
        <w:tabs>
          <w:tab w:val="right" w:leader="dot" w:pos="9350"/>
        </w:tabs>
        <w:rPr>
          <w:rFonts w:cstheme="minorBidi"/>
          <w:b w:val="0"/>
          <w:bCs w:val="0"/>
          <w:noProof/>
          <w:sz w:val="24"/>
          <w:szCs w:val="24"/>
          <w:lang w:eastAsia="en-GB"/>
        </w:rPr>
      </w:pPr>
      <w:hyperlink w:anchor="_Toc64724213" w:history="1">
        <w:r w:rsidR="00B41BC8" w:rsidRPr="00EA1D0B">
          <w:rPr>
            <w:rStyle w:val="Hyperlink"/>
            <w:noProof/>
          </w:rPr>
          <w:t>Figure 5.8. Scatter Plot of LIKERT vs Δ RBV RPSC</w:t>
        </w:r>
        <w:r w:rsidR="00B41BC8">
          <w:rPr>
            <w:noProof/>
            <w:webHidden/>
          </w:rPr>
          <w:tab/>
        </w:r>
        <w:r w:rsidR="00B41BC8">
          <w:rPr>
            <w:noProof/>
            <w:webHidden/>
          </w:rPr>
          <w:fldChar w:fldCharType="begin"/>
        </w:r>
        <w:r w:rsidR="00B41BC8">
          <w:rPr>
            <w:noProof/>
            <w:webHidden/>
          </w:rPr>
          <w:instrText xml:space="preserve"> PAGEREF _Toc64724213 \h </w:instrText>
        </w:r>
        <w:r w:rsidR="00B41BC8">
          <w:rPr>
            <w:noProof/>
            <w:webHidden/>
          </w:rPr>
        </w:r>
        <w:r w:rsidR="00B41BC8">
          <w:rPr>
            <w:noProof/>
            <w:webHidden/>
          </w:rPr>
          <w:fldChar w:fldCharType="separate"/>
        </w:r>
        <w:r w:rsidR="00B41BC8">
          <w:rPr>
            <w:noProof/>
            <w:webHidden/>
          </w:rPr>
          <w:t>137</w:t>
        </w:r>
        <w:r w:rsidR="00B41BC8">
          <w:rPr>
            <w:noProof/>
            <w:webHidden/>
          </w:rPr>
          <w:fldChar w:fldCharType="end"/>
        </w:r>
      </w:hyperlink>
    </w:p>
    <w:p w14:paraId="709EFCCA" w14:textId="501F43D1" w:rsidR="00B41BC8" w:rsidRDefault="006D3518">
      <w:pPr>
        <w:pStyle w:val="TableofFigures"/>
        <w:tabs>
          <w:tab w:val="right" w:leader="dot" w:pos="9350"/>
        </w:tabs>
        <w:rPr>
          <w:rFonts w:cstheme="minorBidi"/>
          <w:b w:val="0"/>
          <w:bCs w:val="0"/>
          <w:noProof/>
          <w:sz w:val="24"/>
          <w:szCs w:val="24"/>
          <w:lang w:eastAsia="en-GB"/>
        </w:rPr>
      </w:pPr>
      <w:hyperlink w:anchor="_Toc64724214" w:history="1">
        <w:r w:rsidR="00B41BC8" w:rsidRPr="00EA1D0B">
          <w:rPr>
            <w:rStyle w:val="Hyperlink"/>
            <w:noProof/>
          </w:rPr>
          <w:t>Figure 5.9. 95% Confidence Intervals for the Group Means and Regions of Interest for Δ TTP(s) Adjusted for LIKERT</w:t>
        </w:r>
        <w:r w:rsidR="00B41BC8">
          <w:rPr>
            <w:noProof/>
            <w:webHidden/>
          </w:rPr>
          <w:tab/>
        </w:r>
        <w:r w:rsidR="00B41BC8">
          <w:rPr>
            <w:noProof/>
            <w:webHidden/>
          </w:rPr>
          <w:fldChar w:fldCharType="begin"/>
        </w:r>
        <w:r w:rsidR="00B41BC8">
          <w:rPr>
            <w:noProof/>
            <w:webHidden/>
          </w:rPr>
          <w:instrText xml:space="preserve"> PAGEREF _Toc64724214 \h </w:instrText>
        </w:r>
        <w:r w:rsidR="00B41BC8">
          <w:rPr>
            <w:noProof/>
            <w:webHidden/>
          </w:rPr>
        </w:r>
        <w:r w:rsidR="00B41BC8">
          <w:rPr>
            <w:noProof/>
            <w:webHidden/>
          </w:rPr>
          <w:fldChar w:fldCharType="separate"/>
        </w:r>
        <w:r w:rsidR="00B41BC8">
          <w:rPr>
            <w:noProof/>
            <w:webHidden/>
          </w:rPr>
          <w:t>140</w:t>
        </w:r>
        <w:r w:rsidR="00B41BC8">
          <w:rPr>
            <w:noProof/>
            <w:webHidden/>
          </w:rPr>
          <w:fldChar w:fldCharType="end"/>
        </w:r>
      </w:hyperlink>
    </w:p>
    <w:p w14:paraId="1E54BD48" w14:textId="1C7C4B2E" w:rsidR="00B41BC8" w:rsidRDefault="006D3518">
      <w:pPr>
        <w:pStyle w:val="TableofFigures"/>
        <w:tabs>
          <w:tab w:val="right" w:leader="dot" w:pos="9350"/>
        </w:tabs>
        <w:rPr>
          <w:rFonts w:cstheme="minorBidi"/>
          <w:b w:val="0"/>
          <w:bCs w:val="0"/>
          <w:noProof/>
          <w:sz w:val="24"/>
          <w:szCs w:val="24"/>
          <w:lang w:eastAsia="en-GB"/>
        </w:rPr>
      </w:pPr>
      <w:hyperlink w:anchor="_Toc64724215" w:history="1">
        <w:r w:rsidR="00B41BC8" w:rsidRPr="00EA1D0B">
          <w:rPr>
            <w:rStyle w:val="Hyperlink"/>
            <w:noProof/>
          </w:rPr>
          <w:t>Figure 5.10. Absolute Values for TTP Visit 2 vs Visit 3 at RSPC</w:t>
        </w:r>
        <w:r w:rsidR="00B41BC8">
          <w:rPr>
            <w:noProof/>
            <w:webHidden/>
          </w:rPr>
          <w:tab/>
        </w:r>
        <w:r w:rsidR="00B41BC8">
          <w:rPr>
            <w:noProof/>
            <w:webHidden/>
          </w:rPr>
          <w:fldChar w:fldCharType="begin"/>
        </w:r>
        <w:r w:rsidR="00B41BC8">
          <w:rPr>
            <w:noProof/>
            <w:webHidden/>
          </w:rPr>
          <w:instrText xml:space="preserve"> PAGEREF _Toc64724215 \h </w:instrText>
        </w:r>
        <w:r w:rsidR="00B41BC8">
          <w:rPr>
            <w:noProof/>
            <w:webHidden/>
          </w:rPr>
        </w:r>
        <w:r w:rsidR="00B41BC8">
          <w:rPr>
            <w:noProof/>
            <w:webHidden/>
          </w:rPr>
          <w:fldChar w:fldCharType="separate"/>
        </w:r>
        <w:r w:rsidR="00B41BC8">
          <w:rPr>
            <w:noProof/>
            <w:webHidden/>
          </w:rPr>
          <w:t>141</w:t>
        </w:r>
        <w:r w:rsidR="00B41BC8">
          <w:rPr>
            <w:noProof/>
            <w:webHidden/>
          </w:rPr>
          <w:fldChar w:fldCharType="end"/>
        </w:r>
      </w:hyperlink>
    </w:p>
    <w:p w14:paraId="33EE3C36" w14:textId="32500816" w:rsidR="00B41BC8" w:rsidRDefault="006D3518">
      <w:pPr>
        <w:pStyle w:val="TableofFigures"/>
        <w:tabs>
          <w:tab w:val="right" w:leader="dot" w:pos="9350"/>
        </w:tabs>
        <w:rPr>
          <w:rFonts w:cstheme="minorBidi"/>
          <w:b w:val="0"/>
          <w:bCs w:val="0"/>
          <w:noProof/>
          <w:sz w:val="24"/>
          <w:szCs w:val="24"/>
          <w:lang w:eastAsia="en-GB"/>
        </w:rPr>
      </w:pPr>
      <w:hyperlink w:anchor="_Toc64724216" w:history="1">
        <w:r w:rsidR="00B41BC8" w:rsidRPr="00EA1D0B">
          <w:rPr>
            <w:rStyle w:val="Hyperlink"/>
            <w:noProof/>
          </w:rPr>
          <w:t>Figure 5.11. Scatter Plot of LIKERT vs Δ TTP RThal</w:t>
        </w:r>
        <w:r w:rsidR="00B41BC8">
          <w:rPr>
            <w:noProof/>
            <w:webHidden/>
          </w:rPr>
          <w:tab/>
        </w:r>
        <w:r w:rsidR="00B41BC8">
          <w:rPr>
            <w:noProof/>
            <w:webHidden/>
          </w:rPr>
          <w:fldChar w:fldCharType="begin"/>
        </w:r>
        <w:r w:rsidR="00B41BC8">
          <w:rPr>
            <w:noProof/>
            <w:webHidden/>
          </w:rPr>
          <w:instrText xml:space="preserve"> PAGEREF _Toc64724216 \h </w:instrText>
        </w:r>
        <w:r w:rsidR="00B41BC8">
          <w:rPr>
            <w:noProof/>
            <w:webHidden/>
          </w:rPr>
        </w:r>
        <w:r w:rsidR="00B41BC8">
          <w:rPr>
            <w:noProof/>
            <w:webHidden/>
          </w:rPr>
          <w:fldChar w:fldCharType="separate"/>
        </w:r>
        <w:r w:rsidR="00B41BC8">
          <w:rPr>
            <w:noProof/>
            <w:webHidden/>
          </w:rPr>
          <w:t>142</w:t>
        </w:r>
        <w:r w:rsidR="00B41BC8">
          <w:rPr>
            <w:noProof/>
            <w:webHidden/>
          </w:rPr>
          <w:fldChar w:fldCharType="end"/>
        </w:r>
      </w:hyperlink>
    </w:p>
    <w:p w14:paraId="5588C147" w14:textId="0B3D9CDF" w:rsidR="00B41BC8" w:rsidRDefault="006D3518">
      <w:pPr>
        <w:pStyle w:val="TableofFigures"/>
        <w:tabs>
          <w:tab w:val="right" w:leader="dot" w:pos="9350"/>
        </w:tabs>
        <w:rPr>
          <w:rFonts w:cstheme="minorBidi"/>
          <w:b w:val="0"/>
          <w:bCs w:val="0"/>
          <w:noProof/>
          <w:sz w:val="24"/>
          <w:szCs w:val="24"/>
          <w:lang w:eastAsia="en-GB"/>
        </w:rPr>
      </w:pPr>
      <w:hyperlink w:anchor="_Toc64724217" w:history="1">
        <w:r w:rsidR="00B41BC8" w:rsidRPr="00EA1D0B">
          <w:rPr>
            <w:rStyle w:val="Hyperlink"/>
            <w:noProof/>
          </w:rPr>
          <w:t>Figure 5.12. Scatter Plot of LIKERT vs TTP LINS</w:t>
        </w:r>
        <w:r w:rsidR="00B41BC8">
          <w:rPr>
            <w:noProof/>
            <w:webHidden/>
          </w:rPr>
          <w:tab/>
        </w:r>
        <w:r w:rsidR="00B41BC8">
          <w:rPr>
            <w:noProof/>
            <w:webHidden/>
          </w:rPr>
          <w:fldChar w:fldCharType="begin"/>
        </w:r>
        <w:r w:rsidR="00B41BC8">
          <w:rPr>
            <w:noProof/>
            <w:webHidden/>
          </w:rPr>
          <w:instrText xml:space="preserve"> PAGEREF _Toc64724217 \h </w:instrText>
        </w:r>
        <w:r w:rsidR="00B41BC8">
          <w:rPr>
            <w:noProof/>
            <w:webHidden/>
          </w:rPr>
        </w:r>
        <w:r w:rsidR="00B41BC8">
          <w:rPr>
            <w:noProof/>
            <w:webHidden/>
          </w:rPr>
          <w:fldChar w:fldCharType="separate"/>
        </w:r>
        <w:r w:rsidR="00B41BC8">
          <w:rPr>
            <w:noProof/>
            <w:webHidden/>
          </w:rPr>
          <w:t>142</w:t>
        </w:r>
        <w:r w:rsidR="00B41BC8">
          <w:rPr>
            <w:noProof/>
            <w:webHidden/>
          </w:rPr>
          <w:fldChar w:fldCharType="end"/>
        </w:r>
      </w:hyperlink>
    </w:p>
    <w:p w14:paraId="7A6B9C94" w14:textId="2EB4ACED" w:rsidR="00B41BC8" w:rsidRDefault="006D3518">
      <w:pPr>
        <w:pStyle w:val="TableofFigures"/>
        <w:tabs>
          <w:tab w:val="right" w:leader="dot" w:pos="9350"/>
        </w:tabs>
        <w:rPr>
          <w:rFonts w:cstheme="minorBidi"/>
          <w:b w:val="0"/>
          <w:bCs w:val="0"/>
          <w:noProof/>
          <w:sz w:val="24"/>
          <w:szCs w:val="24"/>
          <w:lang w:eastAsia="en-GB"/>
        </w:rPr>
      </w:pPr>
      <w:hyperlink w:anchor="_Toc64724218" w:history="1">
        <w:r w:rsidR="00B41BC8" w:rsidRPr="00EA1D0B">
          <w:rPr>
            <w:rStyle w:val="Hyperlink"/>
            <w:noProof/>
          </w:rPr>
          <w:t>Figure 5.13. Scatter Plot of Likert Scale vs TTP RPSC</w:t>
        </w:r>
        <w:r w:rsidR="00B41BC8">
          <w:rPr>
            <w:noProof/>
            <w:webHidden/>
          </w:rPr>
          <w:tab/>
        </w:r>
        <w:r w:rsidR="00B41BC8">
          <w:rPr>
            <w:noProof/>
            <w:webHidden/>
          </w:rPr>
          <w:fldChar w:fldCharType="begin"/>
        </w:r>
        <w:r w:rsidR="00B41BC8">
          <w:rPr>
            <w:noProof/>
            <w:webHidden/>
          </w:rPr>
          <w:instrText xml:space="preserve"> PAGEREF _Toc64724218 \h </w:instrText>
        </w:r>
        <w:r w:rsidR="00B41BC8">
          <w:rPr>
            <w:noProof/>
            <w:webHidden/>
          </w:rPr>
        </w:r>
        <w:r w:rsidR="00B41BC8">
          <w:rPr>
            <w:noProof/>
            <w:webHidden/>
          </w:rPr>
          <w:fldChar w:fldCharType="separate"/>
        </w:r>
        <w:r w:rsidR="00B41BC8">
          <w:rPr>
            <w:noProof/>
            <w:webHidden/>
          </w:rPr>
          <w:t>143</w:t>
        </w:r>
        <w:r w:rsidR="00B41BC8">
          <w:rPr>
            <w:noProof/>
            <w:webHidden/>
          </w:rPr>
          <w:fldChar w:fldCharType="end"/>
        </w:r>
      </w:hyperlink>
    </w:p>
    <w:p w14:paraId="0D62C72A" w14:textId="2E8AC767" w:rsidR="00B41BC8" w:rsidRDefault="006D3518">
      <w:pPr>
        <w:pStyle w:val="TableofFigures"/>
        <w:tabs>
          <w:tab w:val="right" w:leader="dot" w:pos="9350"/>
        </w:tabs>
        <w:rPr>
          <w:rFonts w:cstheme="minorBidi"/>
          <w:b w:val="0"/>
          <w:bCs w:val="0"/>
          <w:noProof/>
          <w:sz w:val="24"/>
          <w:szCs w:val="24"/>
          <w:lang w:eastAsia="en-GB"/>
        </w:rPr>
      </w:pPr>
      <w:hyperlink w:anchor="_Toc64724219" w:history="1">
        <w:r w:rsidR="00B41BC8" w:rsidRPr="00EA1D0B">
          <w:rPr>
            <w:rStyle w:val="Hyperlink"/>
            <w:noProof/>
          </w:rPr>
          <w:t>Figure 5.14 Scatter plot Δ RBF vs Δ TTP at the LThal</w:t>
        </w:r>
        <w:r w:rsidR="00B41BC8">
          <w:rPr>
            <w:noProof/>
            <w:webHidden/>
          </w:rPr>
          <w:tab/>
        </w:r>
        <w:r w:rsidR="00B41BC8">
          <w:rPr>
            <w:noProof/>
            <w:webHidden/>
          </w:rPr>
          <w:fldChar w:fldCharType="begin"/>
        </w:r>
        <w:r w:rsidR="00B41BC8">
          <w:rPr>
            <w:noProof/>
            <w:webHidden/>
          </w:rPr>
          <w:instrText xml:space="preserve"> PAGEREF _Toc64724219 \h </w:instrText>
        </w:r>
        <w:r w:rsidR="00B41BC8">
          <w:rPr>
            <w:noProof/>
            <w:webHidden/>
          </w:rPr>
        </w:r>
        <w:r w:rsidR="00B41BC8">
          <w:rPr>
            <w:noProof/>
            <w:webHidden/>
          </w:rPr>
          <w:fldChar w:fldCharType="separate"/>
        </w:r>
        <w:r w:rsidR="00B41BC8">
          <w:rPr>
            <w:noProof/>
            <w:webHidden/>
          </w:rPr>
          <w:t>144</w:t>
        </w:r>
        <w:r w:rsidR="00B41BC8">
          <w:rPr>
            <w:noProof/>
            <w:webHidden/>
          </w:rPr>
          <w:fldChar w:fldCharType="end"/>
        </w:r>
      </w:hyperlink>
    </w:p>
    <w:p w14:paraId="217F513B" w14:textId="376A19F2" w:rsidR="00B41BC8" w:rsidRDefault="006D3518">
      <w:pPr>
        <w:pStyle w:val="TableofFigures"/>
        <w:tabs>
          <w:tab w:val="right" w:leader="dot" w:pos="9350"/>
        </w:tabs>
        <w:rPr>
          <w:rFonts w:cstheme="minorBidi"/>
          <w:b w:val="0"/>
          <w:bCs w:val="0"/>
          <w:noProof/>
          <w:sz w:val="24"/>
          <w:szCs w:val="24"/>
          <w:lang w:eastAsia="en-GB"/>
        </w:rPr>
      </w:pPr>
      <w:hyperlink w:anchor="_Toc64724220" w:history="1">
        <w:r w:rsidR="00B41BC8" w:rsidRPr="00EA1D0B">
          <w:rPr>
            <w:rStyle w:val="Hyperlink"/>
            <w:noProof/>
          </w:rPr>
          <w:t>Figure 5.15 Scatter plot Δ MTT vs Δ TTP at the LThal</w:t>
        </w:r>
        <w:r w:rsidR="00B41BC8">
          <w:rPr>
            <w:noProof/>
            <w:webHidden/>
          </w:rPr>
          <w:tab/>
        </w:r>
        <w:r w:rsidR="00B41BC8">
          <w:rPr>
            <w:noProof/>
            <w:webHidden/>
          </w:rPr>
          <w:fldChar w:fldCharType="begin"/>
        </w:r>
        <w:r w:rsidR="00B41BC8">
          <w:rPr>
            <w:noProof/>
            <w:webHidden/>
          </w:rPr>
          <w:instrText xml:space="preserve"> PAGEREF _Toc64724220 \h </w:instrText>
        </w:r>
        <w:r w:rsidR="00B41BC8">
          <w:rPr>
            <w:noProof/>
            <w:webHidden/>
          </w:rPr>
        </w:r>
        <w:r w:rsidR="00B41BC8">
          <w:rPr>
            <w:noProof/>
            <w:webHidden/>
          </w:rPr>
          <w:fldChar w:fldCharType="separate"/>
        </w:r>
        <w:r w:rsidR="00B41BC8">
          <w:rPr>
            <w:noProof/>
            <w:webHidden/>
          </w:rPr>
          <w:t>144</w:t>
        </w:r>
        <w:r w:rsidR="00B41BC8">
          <w:rPr>
            <w:noProof/>
            <w:webHidden/>
          </w:rPr>
          <w:fldChar w:fldCharType="end"/>
        </w:r>
      </w:hyperlink>
    </w:p>
    <w:p w14:paraId="2C5BF60A" w14:textId="3A52FB93" w:rsidR="00B41BC8" w:rsidRDefault="006D3518">
      <w:pPr>
        <w:pStyle w:val="TableofFigures"/>
        <w:tabs>
          <w:tab w:val="right" w:leader="dot" w:pos="9350"/>
        </w:tabs>
        <w:rPr>
          <w:rFonts w:cstheme="minorBidi"/>
          <w:b w:val="0"/>
          <w:bCs w:val="0"/>
          <w:noProof/>
          <w:sz w:val="24"/>
          <w:szCs w:val="24"/>
          <w:lang w:eastAsia="en-GB"/>
        </w:rPr>
      </w:pPr>
      <w:hyperlink w:anchor="_Toc64724221" w:history="1">
        <w:r w:rsidR="00B41BC8" w:rsidRPr="00EA1D0B">
          <w:rPr>
            <w:rStyle w:val="Hyperlink"/>
            <w:noProof/>
          </w:rPr>
          <w:t>Figure 5.16  Comparison of Change in Report of Spontaneous Neuropathic Pain between V2 and V3 by Likert scale: P+ group</w:t>
        </w:r>
        <w:r w:rsidR="00B41BC8">
          <w:rPr>
            <w:noProof/>
            <w:webHidden/>
          </w:rPr>
          <w:tab/>
        </w:r>
        <w:r w:rsidR="00B41BC8">
          <w:rPr>
            <w:noProof/>
            <w:webHidden/>
          </w:rPr>
          <w:fldChar w:fldCharType="begin"/>
        </w:r>
        <w:r w:rsidR="00B41BC8">
          <w:rPr>
            <w:noProof/>
            <w:webHidden/>
          </w:rPr>
          <w:instrText xml:space="preserve"> PAGEREF _Toc64724221 \h </w:instrText>
        </w:r>
        <w:r w:rsidR="00B41BC8">
          <w:rPr>
            <w:noProof/>
            <w:webHidden/>
          </w:rPr>
        </w:r>
        <w:r w:rsidR="00B41BC8">
          <w:rPr>
            <w:noProof/>
            <w:webHidden/>
          </w:rPr>
          <w:fldChar w:fldCharType="separate"/>
        </w:r>
        <w:r w:rsidR="00B41BC8">
          <w:rPr>
            <w:noProof/>
            <w:webHidden/>
          </w:rPr>
          <w:t>145</w:t>
        </w:r>
        <w:r w:rsidR="00B41BC8">
          <w:rPr>
            <w:noProof/>
            <w:webHidden/>
          </w:rPr>
          <w:fldChar w:fldCharType="end"/>
        </w:r>
      </w:hyperlink>
    </w:p>
    <w:p w14:paraId="5EFA9A8C" w14:textId="117E77E8" w:rsidR="00B41BC8" w:rsidRDefault="006D3518">
      <w:pPr>
        <w:pStyle w:val="TableofFigures"/>
        <w:tabs>
          <w:tab w:val="right" w:leader="dot" w:pos="9350"/>
        </w:tabs>
        <w:rPr>
          <w:rFonts w:cstheme="minorBidi"/>
          <w:b w:val="0"/>
          <w:bCs w:val="0"/>
          <w:noProof/>
          <w:sz w:val="24"/>
          <w:szCs w:val="24"/>
          <w:lang w:eastAsia="en-GB"/>
        </w:rPr>
      </w:pPr>
      <w:hyperlink w:anchor="_Toc64724222" w:history="1">
        <w:r w:rsidR="00B41BC8" w:rsidRPr="00EA1D0B">
          <w:rPr>
            <w:rStyle w:val="Hyperlink"/>
            <w:noProof/>
          </w:rPr>
          <w:t>Figure 5.17  Comparison of Change in Report of Spontaneous Neuropathic Pain between V2 and V3 by Likert scale: P- group</w:t>
        </w:r>
        <w:r w:rsidR="00B41BC8">
          <w:rPr>
            <w:noProof/>
            <w:webHidden/>
          </w:rPr>
          <w:tab/>
        </w:r>
        <w:r w:rsidR="00B41BC8">
          <w:rPr>
            <w:noProof/>
            <w:webHidden/>
          </w:rPr>
          <w:fldChar w:fldCharType="begin"/>
        </w:r>
        <w:r w:rsidR="00B41BC8">
          <w:rPr>
            <w:noProof/>
            <w:webHidden/>
          </w:rPr>
          <w:instrText xml:space="preserve"> PAGEREF _Toc64724222 \h </w:instrText>
        </w:r>
        <w:r w:rsidR="00B41BC8">
          <w:rPr>
            <w:noProof/>
            <w:webHidden/>
          </w:rPr>
        </w:r>
        <w:r w:rsidR="00B41BC8">
          <w:rPr>
            <w:noProof/>
            <w:webHidden/>
          </w:rPr>
          <w:fldChar w:fldCharType="separate"/>
        </w:r>
        <w:r w:rsidR="00B41BC8">
          <w:rPr>
            <w:noProof/>
            <w:webHidden/>
          </w:rPr>
          <w:t>145</w:t>
        </w:r>
        <w:r w:rsidR="00B41BC8">
          <w:rPr>
            <w:noProof/>
            <w:webHidden/>
          </w:rPr>
          <w:fldChar w:fldCharType="end"/>
        </w:r>
      </w:hyperlink>
    </w:p>
    <w:p w14:paraId="4F07E08C" w14:textId="6FCB91A2" w:rsidR="00B41BC8" w:rsidRDefault="006D3518">
      <w:pPr>
        <w:pStyle w:val="TableofFigures"/>
        <w:tabs>
          <w:tab w:val="right" w:leader="dot" w:pos="9350"/>
        </w:tabs>
        <w:rPr>
          <w:rFonts w:cstheme="minorBidi"/>
          <w:b w:val="0"/>
          <w:bCs w:val="0"/>
          <w:noProof/>
          <w:sz w:val="24"/>
          <w:szCs w:val="24"/>
          <w:lang w:eastAsia="en-GB"/>
        </w:rPr>
      </w:pPr>
      <w:hyperlink w:anchor="_Toc64724223" w:history="1">
        <w:r w:rsidR="00B41BC8" w:rsidRPr="00EA1D0B">
          <w:rPr>
            <w:rStyle w:val="Hyperlink"/>
            <w:noProof/>
          </w:rPr>
          <w:t>Figure 5.18. 95% Confidence Intervals for the Group means and Regions of Interest for Δ TTP(s) Adjusted for LIKERT by group, with P+ and P-.</w:t>
        </w:r>
        <w:r w:rsidR="00B41BC8">
          <w:rPr>
            <w:noProof/>
            <w:webHidden/>
          </w:rPr>
          <w:tab/>
        </w:r>
        <w:r w:rsidR="00B41BC8">
          <w:rPr>
            <w:noProof/>
            <w:webHidden/>
          </w:rPr>
          <w:fldChar w:fldCharType="begin"/>
        </w:r>
        <w:r w:rsidR="00B41BC8">
          <w:rPr>
            <w:noProof/>
            <w:webHidden/>
          </w:rPr>
          <w:instrText xml:space="preserve"> PAGEREF _Toc64724223 \h </w:instrText>
        </w:r>
        <w:r w:rsidR="00B41BC8">
          <w:rPr>
            <w:noProof/>
            <w:webHidden/>
          </w:rPr>
        </w:r>
        <w:r w:rsidR="00B41BC8">
          <w:rPr>
            <w:noProof/>
            <w:webHidden/>
          </w:rPr>
          <w:fldChar w:fldCharType="separate"/>
        </w:r>
        <w:r w:rsidR="00B41BC8">
          <w:rPr>
            <w:noProof/>
            <w:webHidden/>
          </w:rPr>
          <w:t>148</w:t>
        </w:r>
        <w:r w:rsidR="00B41BC8">
          <w:rPr>
            <w:noProof/>
            <w:webHidden/>
          </w:rPr>
          <w:fldChar w:fldCharType="end"/>
        </w:r>
      </w:hyperlink>
    </w:p>
    <w:p w14:paraId="7C3E4614" w14:textId="554A2FBD" w:rsidR="00B41BC8" w:rsidRDefault="006D3518">
      <w:pPr>
        <w:pStyle w:val="TableofFigures"/>
        <w:tabs>
          <w:tab w:val="right" w:leader="dot" w:pos="9350"/>
        </w:tabs>
        <w:rPr>
          <w:rFonts w:cstheme="minorBidi"/>
          <w:b w:val="0"/>
          <w:bCs w:val="0"/>
          <w:noProof/>
          <w:sz w:val="24"/>
          <w:szCs w:val="24"/>
          <w:lang w:eastAsia="en-GB"/>
        </w:rPr>
      </w:pPr>
      <w:hyperlink w:anchor="_Toc64724224" w:history="1">
        <w:r w:rsidR="00B41BC8" w:rsidRPr="00EA1D0B">
          <w:rPr>
            <w:rStyle w:val="Hyperlink"/>
            <w:noProof/>
          </w:rPr>
          <w:t>Figure 5.19 Box Plot showing raw data values, median and 95% CI for Δ TTP at the RPSC by group, with P+ and P-</w:t>
        </w:r>
        <w:r w:rsidR="00B41BC8">
          <w:rPr>
            <w:noProof/>
            <w:webHidden/>
          </w:rPr>
          <w:tab/>
        </w:r>
        <w:r w:rsidR="00B41BC8">
          <w:rPr>
            <w:noProof/>
            <w:webHidden/>
          </w:rPr>
          <w:fldChar w:fldCharType="begin"/>
        </w:r>
        <w:r w:rsidR="00B41BC8">
          <w:rPr>
            <w:noProof/>
            <w:webHidden/>
          </w:rPr>
          <w:instrText xml:space="preserve"> PAGEREF _Toc64724224 \h </w:instrText>
        </w:r>
        <w:r w:rsidR="00B41BC8">
          <w:rPr>
            <w:noProof/>
            <w:webHidden/>
          </w:rPr>
        </w:r>
        <w:r w:rsidR="00B41BC8">
          <w:rPr>
            <w:noProof/>
            <w:webHidden/>
          </w:rPr>
          <w:fldChar w:fldCharType="separate"/>
        </w:r>
        <w:r w:rsidR="00B41BC8">
          <w:rPr>
            <w:noProof/>
            <w:webHidden/>
          </w:rPr>
          <w:t>148</w:t>
        </w:r>
        <w:r w:rsidR="00B41BC8">
          <w:rPr>
            <w:noProof/>
            <w:webHidden/>
          </w:rPr>
          <w:fldChar w:fldCharType="end"/>
        </w:r>
      </w:hyperlink>
    </w:p>
    <w:p w14:paraId="7C136AB1" w14:textId="375EE703" w:rsidR="00B41BC8" w:rsidRDefault="006D3518">
      <w:pPr>
        <w:pStyle w:val="TableofFigures"/>
        <w:tabs>
          <w:tab w:val="right" w:leader="dot" w:pos="9350"/>
        </w:tabs>
        <w:rPr>
          <w:rFonts w:cstheme="minorBidi"/>
          <w:b w:val="0"/>
          <w:bCs w:val="0"/>
          <w:noProof/>
          <w:sz w:val="24"/>
          <w:szCs w:val="24"/>
          <w:lang w:eastAsia="en-GB"/>
        </w:rPr>
      </w:pPr>
      <w:hyperlink w:anchor="_Toc64724225" w:history="1">
        <w:r w:rsidR="00B41BC8" w:rsidRPr="00EA1D0B">
          <w:rPr>
            <w:rStyle w:val="Hyperlink"/>
            <w:noProof/>
          </w:rPr>
          <w:t>Figure 5.20 TTP can be delayed under the following microvascular perfusion characteristics</w:t>
        </w:r>
        <w:r w:rsidR="00B41BC8">
          <w:rPr>
            <w:noProof/>
            <w:webHidden/>
          </w:rPr>
          <w:tab/>
        </w:r>
        <w:r w:rsidR="00B41BC8">
          <w:rPr>
            <w:noProof/>
            <w:webHidden/>
          </w:rPr>
          <w:fldChar w:fldCharType="begin"/>
        </w:r>
        <w:r w:rsidR="00B41BC8">
          <w:rPr>
            <w:noProof/>
            <w:webHidden/>
          </w:rPr>
          <w:instrText xml:space="preserve"> PAGEREF _Toc64724225 \h </w:instrText>
        </w:r>
        <w:r w:rsidR="00B41BC8">
          <w:rPr>
            <w:noProof/>
            <w:webHidden/>
          </w:rPr>
        </w:r>
        <w:r w:rsidR="00B41BC8">
          <w:rPr>
            <w:noProof/>
            <w:webHidden/>
          </w:rPr>
          <w:fldChar w:fldCharType="separate"/>
        </w:r>
        <w:r w:rsidR="00B41BC8">
          <w:rPr>
            <w:noProof/>
            <w:webHidden/>
          </w:rPr>
          <w:t>156</w:t>
        </w:r>
        <w:r w:rsidR="00B41BC8">
          <w:rPr>
            <w:noProof/>
            <w:webHidden/>
          </w:rPr>
          <w:fldChar w:fldCharType="end"/>
        </w:r>
      </w:hyperlink>
    </w:p>
    <w:p w14:paraId="0FF10B34" w14:textId="3289CD75" w:rsidR="00B41BC8" w:rsidRDefault="006D3518">
      <w:pPr>
        <w:pStyle w:val="TableofFigures"/>
        <w:tabs>
          <w:tab w:val="right" w:leader="dot" w:pos="9350"/>
        </w:tabs>
        <w:rPr>
          <w:rFonts w:cstheme="minorBidi"/>
          <w:b w:val="0"/>
          <w:bCs w:val="0"/>
          <w:noProof/>
          <w:sz w:val="24"/>
          <w:szCs w:val="24"/>
          <w:lang w:eastAsia="en-GB"/>
        </w:rPr>
      </w:pPr>
      <w:hyperlink w:anchor="_Toc64724226" w:history="1">
        <w:r w:rsidR="00B41BC8" w:rsidRPr="00EA1D0B">
          <w:rPr>
            <w:rStyle w:val="Hyperlink"/>
            <w:noProof/>
          </w:rPr>
          <w:t>Figure 5.21 Changes in cerebral blood flow (CBF) and tissue oxygen tension that must accompany increasing levels of capillary dysfunction to maintain tissue oxygen availability before stroke</w:t>
        </w:r>
        <w:r w:rsidR="00B41BC8">
          <w:rPr>
            <w:noProof/>
            <w:webHidden/>
          </w:rPr>
          <w:tab/>
        </w:r>
        <w:r w:rsidR="00B41BC8">
          <w:rPr>
            <w:noProof/>
            <w:webHidden/>
          </w:rPr>
          <w:fldChar w:fldCharType="begin"/>
        </w:r>
        <w:r w:rsidR="00B41BC8">
          <w:rPr>
            <w:noProof/>
            <w:webHidden/>
          </w:rPr>
          <w:instrText xml:space="preserve"> PAGEREF _Toc64724226 \h </w:instrText>
        </w:r>
        <w:r w:rsidR="00B41BC8">
          <w:rPr>
            <w:noProof/>
            <w:webHidden/>
          </w:rPr>
        </w:r>
        <w:r w:rsidR="00B41BC8">
          <w:rPr>
            <w:noProof/>
            <w:webHidden/>
          </w:rPr>
          <w:fldChar w:fldCharType="separate"/>
        </w:r>
        <w:r w:rsidR="00B41BC8">
          <w:rPr>
            <w:noProof/>
            <w:webHidden/>
          </w:rPr>
          <w:t>158</w:t>
        </w:r>
        <w:r w:rsidR="00B41BC8">
          <w:rPr>
            <w:noProof/>
            <w:webHidden/>
          </w:rPr>
          <w:fldChar w:fldCharType="end"/>
        </w:r>
      </w:hyperlink>
    </w:p>
    <w:p w14:paraId="2D4789F5" w14:textId="46766ED2" w:rsidR="00B41BC8" w:rsidRDefault="006D3518">
      <w:pPr>
        <w:pStyle w:val="TableofFigures"/>
        <w:tabs>
          <w:tab w:val="right" w:leader="dot" w:pos="9350"/>
        </w:tabs>
        <w:rPr>
          <w:rFonts w:cstheme="minorBidi"/>
          <w:b w:val="0"/>
          <w:bCs w:val="0"/>
          <w:noProof/>
          <w:sz w:val="24"/>
          <w:szCs w:val="24"/>
          <w:lang w:eastAsia="en-GB"/>
        </w:rPr>
      </w:pPr>
      <w:hyperlink w:anchor="_Toc64724227" w:history="1">
        <w:r w:rsidR="00B41BC8" w:rsidRPr="00EA1D0B">
          <w:rPr>
            <w:rStyle w:val="Hyperlink"/>
            <w:noProof/>
          </w:rPr>
          <w:t>Figure 6.1. Axial Section of MR Image of the Brain to Demonstrate Placement of Single Voxel Spectra</w:t>
        </w:r>
        <w:r w:rsidR="00B41BC8">
          <w:rPr>
            <w:noProof/>
            <w:webHidden/>
          </w:rPr>
          <w:tab/>
        </w:r>
        <w:r w:rsidR="00B41BC8">
          <w:rPr>
            <w:noProof/>
            <w:webHidden/>
          </w:rPr>
          <w:fldChar w:fldCharType="begin"/>
        </w:r>
        <w:r w:rsidR="00B41BC8">
          <w:rPr>
            <w:noProof/>
            <w:webHidden/>
          </w:rPr>
          <w:instrText xml:space="preserve"> PAGEREF _Toc64724227 \h </w:instrText>
        </w:r>
        <w:r w:rsidR="00B41BC8">
          <w:rPr>
            <w:noProof/>
            <w:webHidden/>
          </w:rPr>
        </w:r>
        <w:r w:rsidR="00B41BC8">
          <w:rPr>
            <w:noProof/>
            <w:webHidden/>
          </w:rPr>
          <w:fldChar w:fldCharType="separate"/>
        </w:r>
        <w:r w:rsidR="00B41BC8">
          <w:rPr>
            <w:noProof/>
            <w:webHidden/>
          </w:rPr>
          <w:t>165</w:t>
        </w:r>
        <w:r w:rsidR="00B41BC8">
          <w:rPr>
            <w:noProof/>
            <w:webHidden/>
          </w:rPr>
          <w:fldChar w:fldCharType="end"/>
        </w:r>
      </w:hyperlink>
    </w:p>
    <w:p w14:paraId="2C843B18" w14:textId="7208B607" w:rsidR="00B41BC8" w:rsidRDefault="006D3518">
      <w:pPr>
        <w:pStyle w:val="TableofFigures"/>
        <w:tabs>
          <w:tab w:val="right" w:leader="dot" w:pos="9350"/>
        </w:tabs>
        <w:rPr>
          <w:rFonts w:cstheme="minorBidi"/>
          <w:b w:val="0"/>
          <w:bCs w:val="0"/>
          <w:noProof/>
          <w:sz w:val="24"/>
          <w:szCs w:val="24"/>
          <w:lang w:eastAsia="en-GB"/>
        </w:rPr>
      </w:pPr>
      <w:hyperlink w:anchor="_Toc64724228" w:history="1">
        <w:r w:rsidR="00B41BC8" w:rsidRPr="00EA1D0B">
          <w:rPr>
            <w:rStyle w:val="Hyperlink"/>
            <w:noProof/>
          </w:rPr>
          <w:t>Figure 6.2. Means and 95%CI for N-Acetyl Aspartate to Creatine Ratios</w:t>
        </w:r>
        <w:r w:rsidR="00B41BC8">
          <w:rPr>
            <w:noProof/>
            <w:webHidden/>
          </w:rPr>
          <w:tab/>
        </w:r>
        <w:r w:rsidR="00B41BC8">
          <w:rPr>
            <w:noProof/>
            <w:webHidden/>
          </w:rPr>
          <w:fldChar w:fldCharType="begin"/>
        </w:r>
        <w:r w:rsidR="00B41BC8">
          <w:rPr>
            <w:noProof/>
            <w:webHidden/>
          </w:rPr>
          <w:instrText xml:space="preserve"> PAGEREF _Toc64724228 \h </w:instrText>
        </w:r>
        <w:r w:rsidR="00B41BC8">
          <w:rPr>
            <w:noProof/>
            <w:webHidden/>
          </w:rPr>
        </w:r>
        <w:r w:rsidR="00B41BC8">
          <w:rPr>
            <w:noProof/>
            <w:webHidden/>
          </w:rPr>
          <w:fldChar w:fldCharType="separate"/>
        </w:r>
        <w:r w:rsidR="00B41BC8">
          <w:rPr>
            <w:noProof/>
            <w:webHidden/>
          </w:rPr>
          <w:t>167</w:t>
        </w:r>
        <w:r w:rsidR="00B41BC8">
          <w:rPr>
            <w:noProof/>
            <w:webHidden/>
          </w:rPr>
          <w:fldChar w:fldCharType="end"/>
        </w:r>
      </w:hyperlink>
    </w:p>
    <w:p w14:paraId="67DBDF4F" w14:textId="2CEDAFE9" w:rsidR="00B41BC8" w:rsidRDefault="006D3518">
      <w:pPr>
        <w:pStyle w:val="TableofFigures"/>
        <w:tabs>
          <w:tab w:val="right" w:leader="dot" w:pos="9350"/>
        </w:tabs>
        <w:rPr>
          <w:rFonts w:cstheme="minorBidi"/>
          <w:b w:val="0"/>
          <w:bCs w:val="0"/>
          <w:noProof/>
          <w:sz w:val="24"/>
          <w:szCs w:val="24"/>
          <w:lang w:eastAsia="en-GB"/>
        </w:rPr>
      </w:pPr>
      <w:hyperlink w:anchor="_Toc64724229" w:history="1">
        <w:r w:rsidR="00B41BC8" w:rsidRPr="00EA1D0B">
          <w:rPr>
            <w:rStyle w:val="Hyperlink"/>
            <w:noProof/>
          </w:rPr>
          <w:t>Figure 6.3 Comparison of NAA/Creatine ratios by Group: Panel A- Healthy Volunteers vs All Diabetes, Panel B –Neuropathy vs No Neuropathy.</w:t>
        </w:r>
        <w:r w:rsidR="00B41BC8">
          <w:rPr>
            <w:noProof/>
            <w:webHidden/>
          </w:rPr>
          <w:tab/>
        </w:r>
        <w:r w:rsidR="00B41BC8">
          <w:rPr>
            <w:noProof/>
            <w:webHidden/>
          </w:rPr>
          <w:fldChar w:fldCharType="begin"/>
        </w:r>
        <w:r w:rsidR="00B41BC8">
          <w:rPr>
            <w:noProof/>
            <w:webHidden/>
          </w:rPr>
          <w:instrText xml:space="preserve"> PAGEREF _Toc64724229 \h </w:instrText>
        </w:r>
        <w:r w:rsidR="00B41BC8">
          <w:rPr>
            <w:noProof/>
            <w:webHidden/>
          </w:rPr>
        </w:r>
        <w:r w:rsidR="00B41BC8">
          <w:rPr>
            <w:noProof/>
            <w:webHidden/>
          </w:rPr>
          <w:fldChar w:fldCharType="separate"/>
        </w:r>
        <w:r w:rsidR="00B41BC8">
          <w:rPr>
            <w:noProof/>
            <w:webHidden/>
          </w:rPr>
          <w:t>167</w:t>
        </w:r>
        <w:r w:rsidR="00B41BC8">
          <w:rPr>
            <w:noProof/>
            <w:webHidden/>
          </w:rPr>
          <w:fldChar w:fldCharType="end"/>
        </w:r>
      </w:hyperlink>
    </w:p>
    <w:p w14:paraId="7912C07F" w14:textId="15CF1817" w:rsidR="00B41BC8" w:rsidRDefault="006D3518">
      <w:pPr>
        <w:pStyle w:val="TableofFigures"/>
        <w:tabs>
          <w:tab w:val="right" w:leader="dot" w:pos="9350"/>
        </w:tabs>
        <w:rPr>
          <w:rFonts w:cstheme="minorBidi"/>
          <w:b w:val="0"/>
          <w:bCs w:val="0"/>
          <w:noProof/>
          <w:sz w:val="24"/>
          <w:szCs w:val="24"/>
          <w:lang w:eastAsia="en-GB"/>
        </w:rPr>
      </w:pPr>
      <w:hyperlink w:anchor="_Toc64724230" w:history="1">
        <w:r w:rsidR="00B41BC8" w:rsidRPr="00EA1D0B">
          <w:rPr>
            <w:rStyle w:val="Hyperlink"/>
            <w:noProof/>
          </w:rPr>
          <w:t>Figure 6.4. Scatter Plot for the Relationship between NAA/Creatine Ratio and State Trait Anxiety Inventory- State score.</w:t>
        </w:r>
        <w:r w:rsidR="00B41BC8">
          <w:rPr>
            <w:noProof/>
            <w:webHidden/>
          </w:rPr>
          <w:tab/>
        </w:r>
        <w:r w:rsidR="00B41BC8">
          <w:rPr>
            <w:noProof/>
            <w:webHidden/>
          </w:rPr>
          <w:fldChar w:fldCharType="begin"/>
        </w:r>
        <w:r w:rsidR="00B41BC8">
          <w:rPr>
            <w:noProof/>
            <w:webHidden/>
          </w:rPr>
          <w:instrText xml:space="preserve"> PAGEREF _Toc64724230 \h </w:instrText>
        </w:r>
        <w:r w:rsidR="00B41BC8">
          <w:rPr>
            <w:noProof/>
            <w:webHidden/>
          </w:rPr>
        </w:r>
        <w:r w:rsidR="00B41BC8">
          <w:rPr>
            <w:noProof/>
            <w:webHidden/>
          </w:rPr>
          <w:fldChar w:fldCharType="separate"/>
        </w:r>
        <w:r w:rsidR="00B41BC8">
          <w:rPr>
            <w:noProof/>
            <w:webHidden/>
          </w:rPr>
          <w:t>171</w:t>
        </w:r>
        <w:r w:rsidR="00B41BC8">
          <w:rPr>
            <w:noProof/>
            <w:webHidden/>
          </w:rPr>
          <w:fldChar w:fldCharType="end"/>
        </w:r>
      </w:hyperlink>
    </w:p>
    <w:p w14:paraId="5F6FD06E" w14:textId="492F50F2" w:rsidR="00B41BC8" w:rsidRDefault="006D3518">
      <w:pPr>
        <w:pStyle w:val="TableofFigures"/>
        <w:tabs>
          <w:tab w:val="right" w:leader="dot" w:pos="9350"/>
        </w:tabs>
        <w:rPr>
          <w:rFonts w:cstheme="minorBidi"/>
          <w:b w:val="0"/>
          <w:bCs w:val="0"/>
          <w:noProof/>
          <w:sz w:val="24"/>
          <w:szCs w:val="24"/>
          <w:lang w:eastAsia="en-GB"/>
        </w:rPr>
      </w:pPr>
      <w:hyperlink w:anchor="_Toc64724231" w:history="1">
        <w:r w:rsidR="00B41BC8" w:rsidRPr="00EA1D0B">
          <w:rPr>
            <w:rStyle w:val="Hyperlink"/>
            <w:noProof/>
          </w:rPr>
          <w:t>Figure A.1 Questionnaires: 95% Confidence Intervals for HADS overall score by Group</w:t>
        </w:r>
        <w:r w:rsidR="00B41BC8">
          <w:rPr>
            <w:noProof/>
            <w:webHidden/>
          </w:rPr>
          <w:tab/>
        </w:r>
        <w:r w:rsidR="00B41BC8">
          <w:rPr>
            <w:noProof/>
            <w:webHidden/>
          </w:rPr>
          <w:fldChar w:fldCharType="begin"/>
        </w:r>
        <w:r w:rsidR="00B41BC8">
          <w:rPr>
            <w:noProof/>
            <w:webHidden/>
          </w:rPr>
          <w:instrText xml:space="preserve"> PAGEREF _Toc64724231 \h </w:instrText>
        </w:r>
        <w:r w:rsidR="00B41BC8">
          <w:rPr>
            <w:noProof/>
            <w:webHidden/>
          </w:rPr>
        </w:r>
        <w:r w:rsidR="00B41BC8">
          <w:rPr>
            <w:noProof/>
            <w:webHidden/>
          </w:rPr>
          <w:fldChar w:fldCharType="separate"/>
        </w:r>
        <w:r w:rsidR="00B41BC8">
          <w:rPr>
            <w:noProof/>
            <w:webHidden/>
          </w:rPr>
          <w:t>183</w:t>
        </w:r>
        <w:r w:rsidR="00B41BC8">
          <w:rPr>
            <w:noProof/>
            <w:webHidden/>
          </w:rPr>
          <w:fldChar w:fldCharType="end"/>
        </w:r>
      </w:hyperlink>
    </w:p>
    <w:p w14:paraId="5F9BF562" w14:textId="3B337828" w:rsidR="00B41BC8" w:rsidRDefault="006D3518">
      <w:pPr>
        <w:pStyle w:val="TableofFigures"/>
        <w:tabs>
          <w:tab w:val="right" w:leader="dot" w:pos="9350"/>
        </w:tabs>
        <w:rPr>
          <w:rFonts w:cstheme="minorBidi"/>
          <w:b w:val="0"/>
          <w:bCs w:val="0"/>
          <w:noProof/>
          <w:sz w:val="24"/>
          <w:szCs w:val="24"/>
          <w:lang w:eastAsia="en-GB"/>
        </w:rPr>
      </w:pPr>
      <w:hyperlink w:anchor="_Toc64724232" w:history="1">
        <w:r w:rsidR="00B41BC8" w:rsidRPr="00EA1D0B">
          <w:rPr>
            <w:rStyle w:val="Hyperlink"/>
            <w:noProof/>
          </w:rPr>
          <w:t>Figure A.2 Questionnaires: 95% Confidence Intervals for HADS anxiety score by Group</w:t>
        </w:r>
        <w:r w:rsidR="00B41BC8">
          <w:rPr>
            <w:noProof/>
            <w:webHidden/>
          </w:rPr>
          <w:tab/>
        </w:r>
        <w:r w:rsidR="00B41BC8">
          <w:rPr>
            <w:noProof/>
            <w:webHidden/>
          </w:rPr>
          <w:fldChar w:fldCharType="begin"/>
        </w:r>
        <w:r w:rsidR="00B41BC8">
          <w:rPr>
            <w:noProof/>
            <w:webHidden/>
          </w:rPr>
          <w:instrText xml:space="preserve"> PAGEREF _Toc64724232 \h </w:instrText>
        </w:r>
        <w:r w:rsidR="00B41BC8">
          <w:rPr>
            <w:noProof/>
            <w:webHidden/>
          </w:rPr>
        </w:r>
        <w:r w:rsidR="00B41BC8">
          <w:rPr>
            <w:noProof/>
            <w:webHidden/>
          </w:rPr>
          <w:fldChar w:fldCharType="separate"/>
        </w:r>
        <w:r w:rsidR="00B41BC8">
          <w:rPr>
            <w:noProof/>
            <w:webHidden/>
          </w:rPr>
          <w:t>184</w:t>
        </w:r>
        <w:r w:rsidR="00B41BC8">
          <w:rPr>
            <w:noProof/>
            <w:webHidden/>
          </w:rPr>
          <w:fldChar w:fldCharType="end"/>
        </w:r>
      </w:hyperlink>
    </w:p>
    <w:p w14:paraId="7D21A03E" w14:textId="00058197" w:rsidR="00B41BC8" w:rsidRDefault="006D3518">
      <w:pPr>
        <w:pStyle w:val="TableofFigures"/>
        <w:tabs>
          <w:tab w:val="right" w:leader="dot" w:pos="9350"/>
        </w:tabs>
        <w:rPr>
          <w:rFonts w:cstheme="minorBidi"/>
          <w:b w:val="0"/>
          <w:bCs w:val="0"/>
          <w:noProof/>
          <w:sz w:val="24"/>
          <w:szCs w:val="24"/>
          <w:lang w:eastAsia="en-GB"/>
        </w:rPr>
      </w:pPr>
      <w:hyperlink w:anchor="_Toc64724233" w:history="1">
        <w:r w:rsidR="00B41BC8" w:rsidRPr="00EA1D0B">
          <w:rPr>
            <w:rStyle w:val="Hyperlink"/>
            <w:noProof/>
          </w:rPr>
          <w:t>Figure A.3 Questionnaires: 95% Confidence Intervals for HADS depression score by Group</w:t>
        </w:r>
        <w:r w:rsidR="00B41BC8">
          <w:rPr>
            <w:noProof/>
            <w:webHidden/>
          </w:rPr>
          <w:tab/>
        </w:r>
        <w:r w:rsidR="00B41BC8">
          <w:rPr>
            <w:noProof/>
            <w:webHidden/>
          </w:rPr>
          <w:fldChar w:fldCharType="begin"/>
        </w:r>
        <w:r w:rsidR="00B41BC8">
          <w:rPr>
            <w:noProof/>
            <w:webHidden/>
          </w:rPr>
          <w:instrText xml:space="preserve"> PAGEREF _Toc64724233 \h </w:instrText>
        </w:r>
        <w:r w:rsidR="00B41BC8">
          <w:rPr>
            <w:noProof/>
            <w:webHidden/>
          </w:rPr>
        </w:r>
        <w:r w:rsidR="00B41BC8">
          <w:rPr>
            <w:noProof/>
            <w:webHidden/>
          </w:rPr>
          <w:fldChar w:fldCharType="separate"/>
        </w:r>
        <w:r w:rsidR="00B41BC8">
          <w:rPr>
            <w:noProof/>
            <w:webHidden/>
          </w:rPr>
          <w:t>184</w:t>
        </w:r>
        <w:r w:rsidR="00B41BC8">
          <w:rPr>
            <w:noProof/>
            <w:webHidden/>
          </w:rPr>
          <w:fldChar w:fldCharType="end"/>
        </w:r>
      </w:hyperlink>
    </w:p>
    <w:p w14:paraId="0E0D5D18" w14:textId="0DC88B24" w:rsidR="00B41BC8" w:rsidRDefault="006D3518">
      <w:pPr>
        <w:pStyle w:val="TableofFigures"/>
        <w:tabs>
          <w:tab w:val="right" w:leader="dot" w:pos="9350"/>
        </w:tabs>
        <w:rPr>
          <w:rFonts w:cstheme="minorBidi"/>
          <w:b w:val="0"/>
          <w:bCs w:val="0"/>
          <w:noProof/>
          <w:sz w:val="24"/>
          <w:szCs w:val="24"/>
          <w:lang w:eastAsia="en-GB"/>
        </w:rPr>
      </w:pPr>
      <w:hyperlink w:anchor="_Toc64724234" w:history="1">
        <w:r w:rsidR="00B41BC8" w:rsidRPr="00EA1D0B">
          <w:rPr>
            <w:rStyle w:val="Hyperlink"/>
            <w:noProof/>
          </w:rPr>
          <w:t>Figure A.4 Questionnaires: 95% Confidence Intervals for Becks Depression Inventory by Group</w:t>
        </w:r>
        <w:r w:rsidR="00B41BC8">
          <w:rPr>
            <w:noProof/>
            <w:webHidden/>
          </w:rPr>
          <w:tab/>
        </w:r>
        <w:r w:rsidR="00B41BC8">
          <w:rPr>
            <w:noProof/>
            <w:webHidden/>
          </w:rPr>
          <w:fldChar w:fldCharType="begin"/>
        </w:r>
        <w:r w:rsidR="00B41BC8">
          <w:rPr>
            <w:noProof/>
            <w:webHidden/>
          </w:rPr>
          <w:instrText xml:space="preserve"> PAGEREF _Toc64724234 \h </w:instrText>
        </w:r>
        <w:r w:rsidR="00B41BC8">
          <w:rPr>
            <w:noProof/>
            <w:webHidden/>
          </w:rPr>
        </w:r>
        <w:r w:rsidR="00B41BC8">
          <w:rPr>
            <w:noProof/>
            <w:webHidden/>
          </w:rPr>
          <w:fldChar w:fldCharType="separate"/>
        </w:r>
        <w:r w:rsidR="00B41BC8">
          <w:rPr>
            <w:noProof/>
            <w:webHidden/>
          </w:rPr>
          <w:t>185</w:t>
        </w:r>
        <w:r w:rsidR="00B41BC8">
          <w:rPr>
            <w:noProof/>
            <w:webHidden/>
          </w:rPr>
          <w:fldChar w:fldCharType="end"/>
        </w:r>
      </w:hyperlink>
    </w:p>
    <w:p w14:paraId="31B90ADB" w14:textId="5F1C8062" w:rsidR="00B41BC8" w:rsidRDefault="006D3518">
      <w:pPr>
        <w:pStyle w:val="TableofFigures"/>
        <w:tabs>
          <w:tab w:val="right" w:leader="dot" w:pos="9350"/>
        </w:tabs>
        <w:rPr>
          <w:rFonts w:cstheme="minorBidi"/>
          <w:b w:val="0"/>
          <w:bCs w:val="0"/>
          <w:noProof/>
          <w:sz w:val="24"/>
          <w:szCs w:val="24"/>
          <w:lang w:eastAsia="en-GB"/>
        </w:rPr>
      </w:pPr>
      <w:hyperlink w:anchor="_Toc64724235" w:history="1">
        <w:r w:rsidR="00B41BC8" w:rsidRPr="00EA1D0B">
          <w:rPr>
            <w:rStyle w:val="Hyperlink"/>
            <w:noProof/>
          </w:rPr>
          <w:t>Figure A.5 Questionnaires: 95% Confidence Intervals for STAI- S by Group</w:t>
        </w:r>
        <w:r w:rsidR="00B41BC8">
          <w:rPr>
            <w:noProof/>
            <w:webHidden/>
          </w:rPr>
          <w:tab/>
        </w:r>
        <w:r w:rsidR="00B41BC8">
          <w:rPr>
            <w:noProof/>
            <w:webHidden/>
          </w:rPr>
          <w:fldChar w:fldCharType="begin"/>
        </w:r>
        <w:r w:rsidR="00B41BC8">
          <w:rPr>
            <w:noProof/>
            <w:webHidden/>
          </w:rPr>
          <w:instrText xml:space="preserve"> PAGEREF _Toc64724235 \h </w:instrText>
        </w:r>
        <w:r w:rsidR="00B41BC8">
          <w:rPr>
            <w:noProof/>
            <w:webHidden/>
          </w:rPr>
        </w:r>
        <w:r w:rsidR="00B41BC8">
          <w:rPr>
            <w:noProof/>
            <w:webHidden/>
          </w:rPr>
          <w:fldChar w:fldCharType="separate"/>
        </w:r>
        <w:r w:rsidR="00B41BC8">
          <w:rPr>
            <w:noProof/>
            <w:webHidden/>
          </w:rPr>
          <w:t>185</w:t>
        </w:r>
        <w:r w:rsidR="00B41BC8">
          <w:rPr>
            <w:noProof/>
            <w:webHidden/>
          </w:rPr>
          <w:fldChar w:fldCharType="end"/>
        </w:r>
      </w:hyperlink>
    </w:p>
    <w:p w14:paraId="22E242AF" w14:textId="2F1E3B21" w:rsidR="00B41BC8" w:rsidRDefault="006D3518">
      <w:pPr>
        <w:pStyle w:val="TableofFigures"/>
        <w:tabs>
          <w:tab w:val="right" w:leader="dot" w:pos="9350"/>
        </w:tabs>
        <w:rPr>
          <w:rFonts w:cstheme="minorBidi"/>
          <w:b w:val="0"/>
          <w:bCs w:val="0"/>
          <w:noProof/>
          <w:sz w:val="24"/>
          <w:szCs w:val="24"/>
          <w:lang w:eastAsia="en-GB"/>
        </w:rPr>
      </w:pPr>
      <w:hyperlink w:anchor="_Toc64724236" w:history="1">
        <w:r w:rsidR="00B41BC8" w:rsidRPr="00EA1D0B">
          <w:rPr>
            <w:rStyle w:val="Hyperlink"/>
            <w:noProof/>
          </w:rPr>
          <w:t>Figure A.6 Questionnaires: 95% Confidence Intervals for STAI- T by Group</w:t>
        </w:r>
        <w:r w:rsidR="00B41BC8">
          <w:rPr>
            <w:noProof/>
            <w:webHidden/>
          </w:rPr>
          <w:tab/>
        </w:r>
        <w:r w:rsidR="00B41BC8">
          <w:rPr>
            <w:noProof/>
            <w:webHidden/>
          </w:rPr>
          <w:fldChar w:fldCharType="begin"/>
        </w:r>
        <w:r w:rsidR="00B41BC8">
          <w:rPr>
            <w:noProof/>
            <w:webHidden/>
          </w:rPr>
          <w:instrText xml:space="preserve"> PAGEREF _Toc64724236 \h </w:instrText>
        </w:r>
        <w:r w:rsidR="00B41BC8">
          <w:rPr>
            <w:noProof/>
            <w:webHidden/>
          </w:rPr>
        </w:r>
        <w:r w:rsidR="00B41BC8">
          <w:rPr>
            <w:noProof/>
            <w:webHidden/>
          </w:rPr>
          <w:fldChar w:fldCharType="separate"/>
        </w:r>
        <w:r w:rsidR="00B41BC8">
          <w:rPr>
            <w:noProof/>
            <w:webHidden/>
          </w:rPr>
          <w:t>186</w:t>
        </w:r>
        <w:r w:rsidR="00B41BC8">
          <w:rPr>
            <w:noProof/>
            <w:webHidden/>
          </w:rPr>
          <w:fldChar w:fldCharType="end"/>
        </w:r>
      </w:hyperlink>
    </w:p>
    <w:p w14:paraId="5D250638" w14:textId="159AB0C0" w:rsidR="00B41BC8" w:rsidRDefault="006D3518">
      <w:pPr>
        <w:pStyle w:val="TableofFigures"/>
        <w:tabs>
          <w:tab w:val="right" w:leader="dot" w:pos="9350"/>
        </w:tabs>
        <w:rPr>
          <w:rFonts w:cstheme="minorBidi"/>
          <w:b w:val="0"/>
          <w:bCs w:val="0"/>
          <w:noProof/>
          <w:sz w:val="24"/>
          <w:szCs w:val="24"/>
          <w:lang w:eastAsia="en-GB"/>
        </w:rPr>
      </w:pPr>
      <w:hyperlink w:anchor="_Toc64724237" w:history="1">
        <w:r w:rsidR="00B41BC8" w:rsidRPr="00EA1D0B">
          <w:rPr>
            <w:rStyle w:val="Hyperlink"/>
            <w:noProof/>
          </w:rPr>
          <w:t>Figure C.11  95% Confidence intervals for the Group means and Regions of Interest for TTP at visit 2 stratified for presence of spontaneous neuropathic pain.</w:t>
        </w:r>
        <w:r w:rsidR="00B41BC8">
          <w:rPr>
            <w:noProof/>
            <w:webHidden/>
          </w:rPr>
          <w:tab/>
        </w:r>
        <w:r w:rsidR="00B41BC8">
          <w:rPr>
            <w:noProof/>
            <w:webHidden/>
          </w:rPr>
          <w:fldChar w:fldCharType="begin"/>
        </w:r>
        <w:r w:rsidR="00B41BC8">
          <w:rPr>
            <w:noProof/>
            <w:webHidden/>
          </w:rPr>
          <w:instrText xml:space="preserve"> PAGEREF _Toc64724237 \h </w:instrText>
        </w:r>
        <w:r w:rsidR="00B41BC8">
          <w:rPr>
            <w:noProof/>
            <w:webHidden/>
          </w:rPr>
        </w:r>
        <w:r w:rsidR="00B41BC8">
          <w:rPr>
            <w:noProof/>
            <w:webHidden/>
          </w:rPr>
          <w:fldChar w:fldCharType="separate"/>
        </w:r>
        <w:r w:rsidR="00B41BC8">
          <w:rPr>
            <w:noProof/>
            <w:webHidden/>
          </w:rPr>
          <w:t>205</w:t>
        </w:r>
        <w:r w:rsidR="00B41BC8">
          <w:rPr>
            <w:noProof/>
            <w:webHidden/>
          </w:rPr>
          <w:fldChar w:fldCharType="end"/>
        </w:r>
      </w:hyperlink>
    </w:p>
    <w:p w14:paraId="706C7998" w14:textId="6E5AC9A0" w:rsidR="00B41BC8" w:rsidRDefault="006D3518">
      <w:pPr>
        <w:pStyle w:val="TableofFigures"/>
        <w:tabs>
          <w:tab w:val="right" w:leader="dot" w:pos="9350"/>
        </w:tabs>
        <w:rPr>
          <w:rFonts w:cstheme="minorBidi"/>
          <w:b w:val="0"/>
          <w:bCs w:val="0"/>
          <w:noProof/>
          <w:sz w:val="24"/>
          <w:szCs w:val="24"/>
          <w:lang w:eastAsia="en-GB"/>
        </w:rPr>
      </w:pPr>
      <w:hyperlink w:anchor="_Toc64724238" w:history="1">
        <w:r w:rsidR="00B41BC8" w:rsidRPr="00EA1D0B">
          <w:rPr>
            <w:rStyle w:val="Hyperlink"/>
            <w:noProof/>
          </w:rPr>
          <w:t>Figure D.1. Discriminant Function RBV ROI and LIKERT as predictors of group at visit 3</w:t>
        </w:r>
        <w:r w:rsidR="00B41BC8">
          <w:rPr>
            <w:noProof/>
            <w:webHidden/>
          </w:rPr>
          <w:tab/>
        </w:r>
        <w:r w:rsidR="00B41BC8">
          <w:rPr>
            <w:noProof/>
            <w:webHidden/>
          </w:rPr>
          <w:fldChar w:fldCharType="begin"/>
        </w:r>
        <w:r w:rsidR="00B41BC8">
          <w:rPr>
            <w:noProof/>
            <w:webHidden/>
          </w:rPr>
          <w:instrText xml:space="preserve"> PAGEREF _Toc64724238 \h </w:instrText>
        </w:r>
        <w:r w:rsidR="00B41BC8">
          <w:rPr>
            <w:noProof/>
            <w:webHidden/>
          </w:rPr>
        </w:r>
        <w:r w:rsidR="00B41BC8">
          <w:rPr>
            <w:noProof/>
            <w:webHidden/>
          </w:rPr>
          <w:fldChar w:fldCharType="separate"/>
        </w:r>
        <w:r w:rsidR="00B41BC8">
          <w:rPr>
            <w:noProof/>
            <w:webHidden/>
          </w:rPr>
          <w:t>209</w:t>
        </w:r>
        <w:r w:rsidR="00B41BC8">
          <w:rPr>
            <w:noProof/>
            <w:webHidden/>
          </w:rPr>
          <w:fldChar w:fldCharType="end"/>
        </w:r>
      </w:hyperlink>
    </w:p>
    <w:p w14:paraId="0C81A19A" w14:textId="620518D6" w:rsidR="00B41BC8" w:rsidRDefault="006D3518">
      <w:pPr>
        <w:pStyle w:val="TableofFigures"/>
        <w:tabs>
          <w:tab w:val="right" w:leader="dot" w:pos="9350"/>
        </w:tabs>
        <w:rPr>
          <w:rFonts w:cstheme="minorBidi"/>
          <w:b w:val="0"/>
          <w:bCs w:val="0"/>
          <w:noProof/>
          <w:sz w:val="24"/>
          <w:szCs w:val="24"/>
          <w:lang w:eastAsia="en-GB"/>
        </w:rPr>
      </w:pPr>
      <w:hyperlink w:anchor="_Toc64724239" w:history="1">
        <w:r w:rsidR="00B41BC8" w:rsidRPr="00EA1D0B">
          <w:rPr>
            <w:rStyle w:val="Hyperlink"/>
            <w:noProof/>
          </w:rPr>
          <w:t>Figure D.2. 95% Confidence intervals for the Group means and Regions of Interest for Delta RBF (ml/min) Adjusted for LIKERT</w:t>
        </w:r>
        <w:r w:rsidR="00B41BC8">
          <w:rPr>
            <w:noProof/>
            <w:webHidden/>
          </w:rPr>
          <w:tab/>
        </w:r>
        <w:r w:rsidR="00B41BC8">
          <w:rPr>
            <w:noProof/>
            <w:webHidden/>
          </w:rPr>
          <w:fldChar w:fldCharType="begin"/>
        </w:r>
        <w:r w:rsidR="00B41BC8">
          <w:rPr>
            <w:noProof/>
            <w:webHidden/>
          </w:rPr>
          <w:instrText xml:space="preserve"> PAGEREF _Toc64724239 \h </w:instrText>
        </w:r>
        <w:r w:rsidR="00B41BC8">
          <w:rPr>
            <w:noProof/>
            <w:webHidden/>
          </w:rPr>
        </w:r>
        <w:r w:rsidR="00B41BC8">
          <w:rPr>
            <w:noProof/>
            <w:webHidden/>
          </w:rPr>
          <w:fldChar w:fldCharType="separate"/>
        </w:r>
        <w:r w:rsidR="00B41BC8">
          <w:rPr>
            <w:noProof/>
            <w:webHidden/>
          </w:rPr>
          <w:t>221</w:t>
        </w:r>
        <w:r w:rsidR="00B41BC8">
          <w:rPr>
            <w:noProof/>
            <w:webHidden/>
          </w:rPr>
          <w:fldChar w:fldCharType="end"/>
        </w:r>
      </w:hyperlink>
    </w:p>
    <w:p w14:paraId="64213B47" w14:textId="7DAEAAA3" w:rsidR="00B41BC8" w:rsidRDefault="006D3518">
      <w:pPr>
        <w:pStyle w:val="TableofFigures"/>
        <w:tabs>
          <w:tab w:val="right" w:leader="dot" w:pos="9350"/>
        </w:tabs>
        <w:rPr>
          <w:rFonts w:cstheme="minorBidi"/>
          <w:b w:val="0"/>
          <w:bCs w:val="0"/>
          <w:noProof/>
          <w:sz w:val="24"/>
          <w:szCs w:val="24"/>
          <w:lang w:eastAsia="en-GB"/>
        </w:rPr>
      </w:pPr>
      <w:hyperlink w:anchor="_Toc64724240" w:history="1">
        <w:r w:rsidR="00B41BC8" w:rsidRPr="00EA1D0B">
          <w:rPr>
            <w:rStyle w:val="Hyperlink"/>
            <w:rFonts w:eastAsia="Calibri" w:cs="Calibri"/>
            <w:noProof/>
          </w:rPr>
          <w:t>Figure D.3. 95% Confidence intervals for the Group means and Regions of Interest for Delta MTT(s) Adjusted for LIKERT</w:t>
        </w:r>
        <w:r w:rsidR="00B41BC8">
          <w:rPr>
            <w:noProof/>
            <w:webHidden/>
          </w:rPr>
          <w:tab/>
        </w:r>
        <w:r w:rsidR="00B41BC8">
          <w:rPr>
            <w:noProof/>
            <w:webHidden/>
          </w:rPr>
          <w:fldChar w:fldCharType="begin"/>
        </w:r>
        <w:r w:rsidR="00B41BC8">
          <w:rPr>
            <w:noProof/>
            <w:webHidden/>
          </w:rPr>
          <w:instrText xml:space="preserve"> PAGEREF _Toc64724240 \h </w:instrText>
        </w:r>
        <w:r w:rsidR="00B41BC8">
          <w:rPr>
            <w:noProof/>
            <w:webHidden/>
          </w:rPr>
        </w:r>
        <w:r w:rsidR="00B41BC8">
          <w:rPr>
            <w:noProof/>
            <w:webHidden/>
          </w:rPr>
          <w:fldChar w:fldCharType="separate"/>
        </w:r>
        <w:r w:rsidR="00B41BC8">
          <w:rPr>
            <w:noProof/>
            <w:webHidden/>
          </w:rPr>
          <w:t>223</w:t>
        </w:r>
        <w:r w:rsidR="00B41BC8">
          <w:rPr>
            <w:noProof/>
            <w:webHidden/>
          </w:rPr>
          <w:fldChar w:fldCharType="end"/>
        </w:r>
      </w:hyperlink>
    </w:p>
    <w:p w14:paraId="69EC04AF" w14:textId="3D44B1A3" w:rsidR="00B41BC8" w:rsidRDefault="006D3518">
      <w:pPr>
        <w:pStyle w:val="TableofFigures"/>
        <w:tabs>
          <w:tab w:val="right" w:leader="dot" w:pos="9350"/>
        </w:tabs>
        <w:rPr>
          <w:rFonts w:cstheme="minorBidi"/>
          <w:b w:val="0"/>
          <w:bCs w:val="0"/>
          <w:noProof/>
          <w:sz w:val="24"/>
          <w:szCs w:val="24"/>
          <w:lang w:eastAsia="en-GB"/>
        </w:rPr>
      </w:pPr>
      <w:hyperlink w:anchor="_Toc64724241" w:history="1">
        <w:r w:rsidR="00B41BC8" w:rsidRPr="00EA1D0B">
          <w:rPr>
            <w:rStyle w:val="Hyperlink"/>
            <w:noProof/>
          </w:rPr>
          <w:t>Figure D.4. Scatter plot of LIKERT vs TTP LThal</w:t>
        </w:r>
        <w:r w:rsidR="00B41BC8">
          <w:rPr>
            <w:noProof/>
            <w:webHidden/>
          </w:rPr>
          <w:tab/>
        </w:r>
        <w:r w:rsidR="00B41BC8">
          <w:rPr>
            <w:noProof/>
            <w:webHidden/>
          </w:rPr>
          <w:fldChar w:fldCharType="begin"/>
        </w:r>
        <w:r w:rsidR="00B41BC8">
          <w:rPr>
            <w:noProof/>
            <w:webHidden/>
          </w:rPr>
          <w:instrText xml:space="preserve"> PAGEREF _Toc64724241 \h </w:instrText>
        </w:r>
        <w:r w:rsidR="00B41BC8">
          <w:rPr>
            <w:noProof/>
            <w:webHidden/>
          </w:rPr>
        </w:r>
        <w:r w:rsidR="00B41BC8">
          <w:rPr>
            <w:noProof/>
            <w:webHidden/>
          </w:rPr>
          <w:fldChar w:fldCharType="separate"/>
        </w:r>
        <w:r w:rsidR="00B41BC8">
          <w:rPr>
            <w:noProof/>
            <w:webHidden/>
          </w:rPr>
          <w:t>231</w:t>
        </w:r>
        <w:r w:rsidR="00B41BC8">
          <w:rPr>
            <w:noProof/>
            <w:webHidden/>
          </w:rPr>
          <w:fldChar w:fldCharType="end"/>
        </w:r>
      </w:hyperlink>
    </w:p>
    <w:p w14:paraId="1E7C8B03" w14:textId="74CA9A8A" w:rsidR="00B41BC8" w:rsidRDefault="006D3518">
      <w:pPr>
        <w:pStyle w:val="TableofFigures"/>
        <w:tabs>
          <w:tab w:val="right" w:leader="dot" w:pos="9350"/>
        </w:tabs>
        <w:rPr>
          <w:rFonts w:cstheme="minorBidi"/>
          <w:b w:val="0"/>
          <w:bCs w:val="0"/>
          <w:noProof/>
          <w:sz w:val="24"/>
          <w:szCs w:val="24"/>
          <w:lang w:eastAsia="en-GB"/>
        </w:rPr>
      </w:pPr>
      <w:hyperlink w:anchor="_Toc64724242" w:history="1">
        <w:r w:rsidR="00B41BC8" w:rsidRPr="00EA1D0B">
          <w:rPr>
            <w:rStyle w:val="Hyperlink"/>
            <w:noProof/>
          </w:rPr>
          <w:t>Figure D.5. Scatter plot of Likert scale vs Delta TTP LPS by group with Correlation</w:t>
        </w:r>
        <w:r w:rsidR="00B41BC8">
          <w:rPr>
            <w:noProof/>
            <w:webHidden/>
          </w:rPr>
          <w:tab/>
        </w:r>
        <w:r w:rsidR="00B41BC8">
          <w:rPr>
            <w:noProof/>
            <w:webHidden/>
          </w:rPr>
          <w:fldChar w:fldCharType="begin"/>
        </w:r>
        <w:r w:rsidR="00B41BC8">
          <w:rPr>
            <w:noProof/>
            <w:webHidden/>
          </w:rPr>
          <w:instrText xml:space="preserve"> PAGEREF _Toc64724242 \h </w:instrText>
        </w:r>
        <w:r w:rsidR="00B41BC8">
          <w:rPr>
            <w:noProof/>
            <w:webHidden/>
          </w:rPr>
        </w:r>
        <w:r w:rsidR="00B41BC8">
          <w:rPr>
            <w:noProof/>
            <w:webHidden/>
          </w:rPr>
          <w:fldChar w:fldCharType="separate"/>
        </w:r>
        <w:r w:rsidR="00B41BC8">
          <w:rPr>
            <w:noProof/>
            <w:webHidden/>
          </w:rPr>
          <w:t>231</w:t>
        </w:r>
        <w:r w:rsidR="00B41BC8">
          <w:rPr>
            <w:noProof/>
            <w:webHidden/>
          </w:rPr>
          <w:fldChar w:fldCharType="end"/>
        </w:r>
      </w:hyperlink>
    </w:p>
    <w:p w14:paraId="2AEDB8F9" w14:textId="522822EE" w:rsidR="00B41BC8" w:rsidRDefault="006D3518">
      <w:pPr>
        <w:pStyle w:val="TableofFigures"/>
        <w:tabs>
          <w:tab w:val="right" w:leader="dot" w:pos="9350"/>
        </w:tabs>
        <w:rPr>
          <w:rFonts w:cstheme="minorBidi"/>
          <w:b w:val="0"/>
          <w:bCs w:val="0"/>
          <w:noProof/>
          <w:sz w:val="24"/>
          <w:szCs w:val="24"/>
          <w:lang w:eastAsia="en-GB"/>
        </w:rPr>
      </w:pPr>
      <w:hyperlink w:anchor="_Toc64724243" w:history="1">
        <w:r w:rsidR="00B41BC8" w:rsidRPr="00EA1D0B">
          <w:rPr>
            <w:rStyle w:val="Hyperlink"/>
            <w:noProof/>
          </w:rPr>
          <w:t>Figure D.6 Scatter plot of Delta RBF vs Delta TTP at the RThal for the P-DPN group</w:t>
        </w:r>
        <w:r w:rsidR="00B41BC8">
          <w:rPr>
            <w:noProof/>
            <w:webHidden/>
          </w:rPr>
          <w:tab/>
        </w:r>
        <w:r w:rsidR="00B41BC8">
          <w:rPr>
            <w:noProof/>
            <w:webHidden/>
          </w:rPr>
          <w:fldChar w:fldCharType="begin"/>
        </w:r>
        <w:r w:rsidR="00B41BC8">
          <w:rPr>
            <w:noProof/>
            <w:webHidden/>
          </w:rPr>
          <w:instrText xml:space="preserve"> PAGEREF _Toc64724243 \h </w:instrText>
        </w:r>
        <w:r w:rsidR="00B41BC8">
          <w:rPr>
            <w:noProof/>
            <w:webHidden/>
          </w:rPr>
        </w:r>
        <w:r w:rsidR="00B41BC8">
          <w:rPr>
            <w:noProof/>
            <w:webHidden/>
          </w:rPr>
          <w:fldChar w:fldCharType="separate"/>
        </w:r>
        <w:r w:rsidR="00B41BC8">
          <w:rPr>
            <w:noProof/>
            <w:webHidden/>
          </w:rPr>
          <w:t>232</w:t>
        </w:r>
        <w:r w:rsidR="00B41BC8">
          <w:rPr>
            <w:noProof/>
            <w:webHidden/>
          </w:rPr>
          <w:fldChar w:fldCharType="end"/>
        </w:r>
      </w:hyperlink>
    </w:p>
    <w:p w14:paraId="7CDDFBD9" w14:textId="5CE85863" w:rsidR="00B41BC8" w:rsidRDefault="006D3518">
      <w:pPr>
        <w:pStyle w:val="TableofFigures"/>
        <w:tabs>
          <w:tab w:val="right" w:leader="dot" w:pos="9350"/>
        </w:tabs>
        <w:rPr>
          <w:rFonts w:cstheme="minorBidi"/>
          <w:b w:val="0"/>
          <w:bCs w:val="0"/>
          <w:noProof/>
          <w:sz w:val="24"/>
          <w:szCs w:val="24"/>
          <w:lang w:eastAsia="en-GB"/>
        </w:rPr>
      </w:pPr>
      <w:hyperlink w:anchor="_Toc64724244" w:history="1">
        <w:r w:rsidR="00B41BC8" w:rsidRPr="00EA1D0B">
          <w:rPr>
            <w:rStyle w:val="Hyperlink"/>
            <w:noProof/>
          </w:rPr>
          <w:t>Figure D.7 Scatter plot of Delta MTT vs Delta TTP  at the RINS for the P-DPN</w:t>
        </w:r>
        <w:r w:rsidR="00B41BC8">
          <w:rPr>
            <w:noProof/>
            <w:webHidden/>
          </w:rPr>
          <w:tab/>
        </w:r>
        <w:r w:rsidR="00B41BC8">
          <w:rPr>
            <w:noProof/>
            <w:webHidden/>
          </w:rPr>
          <w:fldChar w:fldCharType="begin"/>
        </w:r>
        <w:r w:rsidR="00B41BC8">
          <w:rPr>
            <w:noProof/>
            <w:webHidden/>
          </w:rPr>
          <w:instrText xml:space="preserve"> PAGEREF _Toc64724244 \h </w:instrText>
        </w:r>
        <w:r w:rsidR="00B41BC8">
          <w:rPr>
            <w:noProof/>
            <w:webHidden/>
          </w:rPr>
        </w:r>
        <w:r w:rsidR="00B41BC8">
          <w:rPr>
            <w:noProof/>
            <w:webHidden/>
          </w:rPr>
          <w:fldChar w:fldCharType="separate"/>
        </w:r>
        <w:r w:rsidR="00B41BC8">
          <w:rPr>
            <w:noProof/>
            <w:webHidden/>
          </w:rPr>
          <w:t>233</w:t>
        </w:r>
        <w:r w:rsidR="00B41BC8">
          <w:rPr>
            <w:noProof/>
            <w:webHidden/>
          </w:rPr>
          <w:fldChar w:fldCharType="end"/>
        </w:r>
      </w:hyperlink>
    </w:p>
    <w:p w14:paraId="6B13BA67" w14:textId="68B324A6" w:rsidR="00B41BC8" w:rsidRDefault="006D3518">
      <w:pPr>
        <w:pStyle w:val="TableofFigures"/>
        <w:tabs>
          <w:tab w:val="right" w:leader="dot" w:pos="9350"/>
        </w:tabs>
        <w:rPr>
          <w:rFonts w:cstheme="minorBidi"/>
          <w:b w:val="0"/>
          <w:bCs w:val="0"/>
          <w:noProof/>
          <w:sz w:val="24"/>
          <w:szCs w:val="24"/>
          <w:lang w:eastAsia="en-GB"/>
        </w:rPr>
      </w:pPr>
      <w:hyperlink w:anchor="_Toc64724245" w:history="1">
        <w:r w:rsidR="00B41BC8" w:rsidRPr="00EA1D0B">
          <w:rPr>
            <w:rStyle w:val="Hyperlink"/>
            <w:noProof/>
          </w:rPr>
          <w:t>group</w:t>
        </w:r>
        <w:r w:rsidR="00B41BC8">
          <w:rPr>
            <w:noProof/>
            <w:webHidden/>
          </w:rPr>
          <w:tab/>
        </w:r>
        <w:r w:rsidR="00B41BC8">
          <w:rPr>
            <w:noProof/>
            <w:webHidden/>
          </w:rPr>
          <w:fldChar w:fldCharType="begin"/>
        </w:r>
        <w:r w:rsidR="00B41BC8">
          <w:rPr>
            <w:noProof/>
            <w:webHidden/>
          </w:rPr>
          <w:instrText xml:space="preserve"> PAGEREF _Toc64724245 \h </w:instrText>
        </w:r>
        <w:r w:rsidR="00B41BC8">
          <w:rPr>
            <w:noProof/>
            <w:webHidden/>
          </w:rPr>
        </w:r>
        <w:r w:rsidR="00B41BC8">
          <w:rPr>
            <w:noProof/>
            <w:webHidden/>
          </w:rPr>
          <w:fldChar w:fldCharType="separate"/>
        </w:r>
        <w:r w:rsidR="00B41BC8">
          <w:rPr>
            <w:noProof/>
            <w:webHidden/>
          </w:rPr>
          <w:t>233</w:t>
        </w:r>
        <w:r w:rsidR="00B41BC8">
          <w:rPr>
            <w:noProof/>
            <w:webHidden/>
          </w:rPr>
          <w:fldChar w:fldCharType="end"/>
        </w:r>
      </w:hyperlink>
    </w:p>
    <w:p w14:paraId="6EE2E3F2" w14:textId="7D6A1136" w:rsidR="00B41BC8" w:rsidRDefault="006D3518">
      <w:pPr>
        <w:pStyle w:val="TableofFigures"/>
        <w:tabs>
          <w:tab w:val="right" w:leader="dot" w:pos="9350"/>
        </w:tabs>
        <w:rPr>
          <w:rFonts w:cstheme="minorBidi"/>
          <w:b w:val="0"/>
          <w:bCs w:val="0"/>
          <w:noProof/>
          <w:sz w:val="24"/>
          <w:szCs w:val="24"/>
          <w:lang w:eastAsia="en-GB"/>
        </w:rPr>
      </w:pPr>
      <w:hyperlink w:anchor="_Toc64724246" w:history="1">
        <w:r w:rsidR="00B41BC8" w:rsidRPr="00EA1D0B">
          <w:rPr>
            <w:rStyle w:val="Hyperlink"/>
            <w:noProof/>
          </w:rPr>
          <w:t>Figure D.8 Scatter plot of Delta RBF vs Delta TTP at the LPSC for the P-DPN</w:t>
        </w:r>
        <w:r w:rsidR="00B41BC8">
          <w:rPr>
            <w:noProof/>
            <w:webHidden/>
          </w:rPr>
          <w:tab/>
        </w:r>
        <w:r w:rsidR="00B41BC8">
          <w:rPr>
            <w:noProof/>
            <w:webHidden/>
          </w:rPr>
          <w:fldChar w:fldCharType="begin"/>
        </w:r>
        <w:r w:rsidR="00B41BC8">
          <w:rPr>
            <w:noProof/>
            <w:webHidden/>
          </w:rPr>
          <w:instrText xml:space="preserve"> PAGEREF _Toc64724246 \h </w:instrText>
        </w:r>
        <w:r w:rsidR="00B41BC8">
          <w:rPr>
            <w:noProof/>
            <w:webHidden/>
          </w:rPr>
        </w:r>
        <w:r w:rsidR="00B41BC8">
          <w:rPr>
            <w:noProof/>
            <w:webHidden/>
          </w:rPr>
          <w:fldChar w:fldCharType="separate"/>
        </w:r>
        <w:r w:rsidR="00B41BC8">
          <w:rPr>
            <w:noProof/>
            <w:webHidden/>
          </w:rPr>
          <w:t>233</w:t>
        </w:r>
        <w:r w:rsidR="00B41BC8">
          <w:rPr>
            <w:noProof/>
            <w:webHidden/>
          </w:rPr>
          <w:fldChar w:fldCharType="end"/>
        </w:r>
      </w:hyperlink>
    </w:p>
    <w:p w14:paraId="114FB5BA" w14:textId="1D70BD08" w:rsidR="00B41BC8" w:rsidRDefault="006D3518">
      <w:pPr>
        <w:pStyle w:val="TableofFigures"/>
        <w:tabs>
          <w:tab w:val="right" w:leader="dot" w:pos="9350"/>
        </w:tabs>
        <w:rPr>
          <w:rFonts w:cstheme="minorBidi"/>
          <w:b w:val="0"/>
          <w:bCs w:val="0"/>
          <w:noProof/>
          <w:sz w:val="24"/>
          <w:szCs w:val="24"/>
          <w:lang w:eastAsia="en-GB"/>
        </w:rPr>
      </w:pPr>
      <w:hyperlink w:anchor="_Toc64724247" w:history="1">
        <w:r w:rsidR="00B41BC8" w:rsidRPr="00EA1D0B">
          <w:rPr>
            <w:rStyle w:val="Hyperlink"/>
            <w:noProof/>
          </w:rPr>
          <w:t>group</w:t>
        </w:r>
        <w:r w:rsidR="00B41BC8">
          <w:rPr>
            <w:noProof/>
            <w:webHidden/>
          </w:rPr>
          <w:tab/>
        </w:r>
        <w:r w:rsidR="00B41BC8">
          <w:rPr>
            <w:noProof/>
            <w:webHidden/>
          </w:rPr>
          <w:fldChar w:fldCharType="begin"/>
        </w:r>
        <w:r w:rsidR="00B41BC8">
          <w:rPr>
            <w:noProof/>
            <w:webHidden/>
          </w:rPr>
          <w:instrText xml:space="preserve"> PAGEREF _Toc64724247 \h </w:instrText>
        </w:r>
        <w:r w:rsidR="00B41BC8">
          <w:rPr>
            <w:noProof/>
            <w:webHidden/>
          </w:rPr>
        </w:r>
        <w:r w:rsidR="00B41BC8">
          <w:rPr>
            <w:noProof/>
            <w:webHidden/>
          </w:rPr>
          <w:fldChar w:fldCharType="separate"/>
        </w:r>
        <w:r w:rsidR="00B41BC8">
          <w:rPr>
            <w:noProof/>
            <w:webHidden/>
          </w:rPr>
          <w:t>233</w:t>
        </w:r>
        <w:r w:rsidR="00B41BC8">
          <w:rPr>
            <w:noProof/>
            <w:webHidden/>
          </w:rPr>
          <w:fldChar w:fldCharType="end"/>
        </w:r>
      </w:hyperlink>
    </w:p>
    <w:p w14:paraId="39FB48F5" w14:textId="29AEDFE6" w:rsidR="00B41BC8" w:rsidRDefault="006D3518">
      <w:pPr>
        <w:pStyle w:val="TableofFigures"/>
        <w:tabs>
          <w:tab w:val="right" w:leader="dot" w:pos="9350"/>
        </w:tabs>
        <w:rPr>
          <w:rFonts w:cstheme="minorBidi"/>
          <w:b w:val="0"/>
          <w:bCs w:val="0"/>
          <w:noProof/>
          <w:sz w:val="24"/>
          <w:szCs w:val="24"/>
          <w:lang w:eastAsia="en-GB"/>
        </w:rPr>
      </w:pPr>
      <w:hyperlink w:anchor="_Toc64724248" w:history="1">
        <w:r w:rsidR="00B41BC8" w:rsidRPr="00EA1D0B">
          <w:rPr>
            <w:rStyle w:val="Hyperlink"/>
            <w:noProof/>
          </w:rPr>
          <w:t>Figure D.9 Scatter plot of Delta RBF vs Delta TTP at the RPSC for the P-DPN group</w:t>
        </w:r>
        <w:r w:rsidR="00B41BC8">
          <w:rPr>
            <w:noProof/>
            <w:webHidden/>
          </w:rPr>
          <w:tab/>
        </w:r>
        <w:r w:rsidR="00B41BC8">
          <w:rPr>
            <w:noProof/>
            <w:webHidden/>
          </w:rPr>
          <w:fldChar w:fldCharType="begin"/>
        </w:r>
        <w:r w:rsidR="00B41BC8">
          <w:rPr>
            <w:noProof/>
            <w:webHidden/>
          </w:rPr>
          <w:instrText xml:space="preserve"> PAGEREF _Toc64724248 \h </w:instrText>
        </w:r>
        <w:r w:rsidR="00B41BC8">
          <w:rPr>
            <w:noProof/>
            <w:webHidden/>
          </w:rPr>
        </w:r>
        <w:r w:rsidR="00B41BC8">
          <w:rPr>
            <w:noProof/>
            <w:webHidden/>
          </w:rPr>
          <w:fldChar w:fldCharType="separate"/>
        </w:r>
        <w:r w:rsidR="00B41BC8">
          <w:rPr>
            <w:noProof/>
            <w:webHidden/>
          </w:rPr>
          <w:t>234</w:t>
        </w:r>
        <w:r w:rsidR="00B41BC8">
          <w:rPr>
            <w:noProof/>
            <w:webHidden/>
          </w:rPr>
          <w:fldChar w:fldCharType="end"/>
        </w:r>
      </w:hyperlink>
    </w:p>
    <w:p w14:paraId="782AB52B" w14:textId="7992F850" w:rsidR="00B41BC8" w:rsidRDefault="006D3518">
      <w:pPr>
        <w:pStyle w:val="TableofFigures"/>
        <w:tabs>
          <w:tab w:val="right" w:leader="dot" w:pos="9350"/>
        </w:tabs>
        <w:rPr>
          <w:rFonts w:cstheme="minorBidi"/>
          <w:b w:val="0"/>
          <w:bCs w:val="0"/>
          <w:noProof/>
          <w:sz w:val="24"/>
          <w:szCs w:val="24"/>
          <w:lang w:eastAsia="en-GB"/>
        </w:rPr>
      </w:pPr>
      <w:hyperlink w:anchor="_Toc64724249" w:history="1">
        <w:r w:rsidR="00B41BC8" w:rsidRPr="00EA1D0B">
          <w:rPr>
            <w:rStyle w:val="Hyperlink"/>
            <w:noProof/>
          </w:rPr>
          <w:t>Figure E.1. Scatter plot of NAA/Creatine Ratio at the LThal vs RBF in the LThal at visit 2</w:t>
        </w:r>
        <w:r w:rsidR="00B41BC8">
          <w:rPr>
            <w:noProof/>
            <w:webHidden/>
          </w:rPr>
          <w:tab/>
        </w:r>
        <w:r w:rsidR="00B41BC8">
          <w:rPr>
            <w:noProof/>
            <w:webHidden/>
          </w:rPr>
          <w:fldChar w:fldCharType="begin"/>
        </w:r>
        <w:r w:rsidR="00B41BC8">
          <w:rPr>
            <w:noProof/>
            <w:webHidden/>
          </w:rPr>
          <w:instrText xml:space="preserve"> PAGEREF _Toc64724249 \h </w:instrText>
        </w:r>
        <w:r w:rsidR="00B41BC8">
          <w:rPr>
            <w:noProof/>
            <w:webHidden/>
          </w:rPr>
        </w:r>
        <w:r w:rsidR="00B41BC8">
          <w:rPr>
            <w:noProof/>
            <w:webHidden/>
          </w:rPr>
          <w:fldChar w:fldCharType="separate"/>
        </w:r>
        <w:r w:rsidR="00B41BC8">
          <w:rPr>
            <w:noProof/>
            <w:webHidden/>
          </w:rPr>
          <w:t>242</w:t>
        </w:r>
        <w:r w:rsidR="00B41BC8">
          <w:rPr>
            <w:noProof/>
            <w:webHidden/>
          </w:rPr>
          <w:fldChar w:fldCharType="end"/>
        </w:r>
      </w:hyperlink>
    </w:p>
    <w:p w14:paraId="5C3D4EB0" w14:textId="19752E7B" w:rsidR="00C62606" w:rsidRDefault="00196E9F">
      <w:r>
        <w:fldChar w:fldCharType="end"/>
      </w:r>
      <w:r w:rsidR="00C62606">
        <w:br w:type="page"/>
      </w:r>
    </w:p>
    <w:p w14:paraId="2DDA5CF9" w14:textId="0AE19D0F" w:rsidR="00C62606" w:rsidRDefault="00C62606" w:rsidP="007D65CA">
      <w:pPr>
        <w:pStyle w:val="Heading1"/>
      </w:pPr>
      <w:bookmarkStart w:id="8" w:name="_Toc64723857"/>
      <w:r>
        <w:lastRenderedPageBreak/>
        <w:t>Table of Tables</w:t>
      </w:r>
      <w:bookmarkEnd w:id="8"/>
    </w:p>
    <w:p w14:paraId="6F9157B1" w14:textId="65E88C09" w:rsidR="00CE7BE0" w:rsidRDefault="00196E9F">
      <w:pPr>
        <w:pStyle w:val="TableofFigures"/>
        <w:tabs>
          <w:tab w:val="right" w:leader="dot" w:pos="9350"/>
        </w:tabs>
        <w:rPr>
          <w:rFonts w:cstheme="minorBidi"/>
          <w:b w:val="0"/>
          <w:bCs w:val="0"/>
          <w:noProof/>
          <w:sz w:val="24"/>
          <w:szCs w:val="24"/>
          <w:lang w:eastAsia="en-GB"/>
        </w:rPr>
      </w:pPr>
      <w:r>
        <w:fldChar w:fldCharType="begin"/>
      </w:r>
      <w:r>
        <w:instrText xml:space="preserve"> TOC \h \z \t "Quote" \c </w:instrText>
      </w:r>
      <w:r>
        <w:fldChar w:fldCharType="separate"/>
      </w:r>
      <w:hyperlink w:anchor="_Toc64724076" w:history="1">
        <w:r w:rsidR="00CE7BE0" w:rsidRPr="00F86AA5">
          <w:rPr>
            <w:rStyle w:val="Hyperlink"/>
            <w:noProof/>
          </w:rPr>
          <w:t>Table 2.1  Inclusion and Exclusion Criteria</w:t>
        </w:r>
        <w:r w:rsidR="00CE7BE0">
          <w:rPr>
            <w:noProof/>
            <w:webHidden/>
          </w:rPr>
          <w:tab/>
        </w:r>
        <w:r w:rsidR="00CE7BE0">
          <w:rPr>
            <w:noProof/>
            <w:webHidden/>
          </w:rPr>
          <w:fldChar w:fldCharType="begin"/>
        </w:r>
        <w:r w:rsidR="00CE7BE0">
          <w:rPr>
            <w:noProof/>
            <w:webHidden/>
          </w:rPr>
          <w:instrText xml:space="preserve"> PAGEREF _Toc64724076 \h </w:instrText>
        </w:r>
        <w:r w:rsidR="00CE7BE0">
          <w:rPr>
            <w:noProof/>
            <w:webHidden/>
          </w:rPr>
        </w:r>
        <w:r w:rsidR="00CE7BE0">
          <w:rPr>
            <w:noProof/>
            <w:webHidden/>
          </w:rPr>
          <w:fldChar w:fldCharType="separate"/>
        </w:r>
        <w:r w:rsidR="00CE7BE0">
          <w:rPr>
            <w:noProof/>
            <w:webHidden/>
          </w:rPr>
          <w:t>52</w:t>
        </w:r>
        <w:r w:rsidR="00CE7BE0">
          <w:rPr>
            <w:noProof/>
            <w:webHidden/>
          </w:rPr>
          <w:fldChar w:fldCharType="end"/>
        </w:r>
      </w:hyperlink>
    </w:p>
    <w:p w14:paraId="35DE08DA" w14:textId="27E34E82" w:rsidR="00CE7BE0" w:rsidRDefault="006D3518">
      <w:pPr>
        <w:pStyle w:val="TableofFigures"/>
        <w:tabs>
          <w:tab w:val="right" w:leader="dot" w:pos="9350"/>
        </w:tabs>
        <w:rPr>
          <w:rFonts w:cstheme="minorBidi"/>
          <w:b w:val="0"/>
          <w:bCs w:val="0"/>
          <w:noProof/>
          <w:sz w:val="24"/>
          <w:szCs w:val="24"/>
          <w:lang w:eastAsia="en-GB"/>
        </w:rPr>
      </w:pPr>
      <w:hyperlink w:anchor="_Toc64724077" w:history="1">
        <w:r w:rsidR="00CE7BE0" w:rsidRPr="00F86AA5">
          <w:rPr>
            <w:rStyle w:val="Hyperlink"/>
            <w:noProof/>
          </w:rPr>
          <w:t>Table 2.2  Descriptive Statistics for Demographic Variables</w:t>
        </w:r>
        <w:r w:rsidR="00CE7BE0">
          <w:rPr>
            <w:noProof/>
            <w:webHidden/>
          </w:rPr>
          <w:tab/>
        </w:r>
        <w:r w:rsidR="00CE7BE0">
          <w:rPr>
            <w:noProof/>
            <w:webHidden/>
          </w:rPr>
          <w:fldChar w:fldCharType="begin"/>
        </w:r>
        <w:r w:rsidR="00CE7BE0">
          <w:rPr>
            <w:noProof/>
            <w:webHidden/>
          </w:rPr>
          <w:instrText xml:space="preserve"> PAGEREF _Toc64724077 \h </w:instrText>
        </w:r>
        <w:r w:rsidR="00CE7BE0">
          <w:rPr>
            <w:noProof/>
            <w:webHidden/>
          </w:rPr>
        </w:r>
        <w:r w:rsidR="00CE7BE0">
          <w:rPr>
            <w:noProof/>
            <w:webHidden/>
          </w:rPr>
          <w:fldChar w:fldCharType="separate"/>
        </w:r>
        <w:r w:rsidR="00CE7BE0">
          <w:rPr>
            <w:noProof/>
            <w:webHidden/>
          </w:rPr>
          <w:t>58</w:t>
        </w:r>
        <w:r w:rsidR="00CE7BE0">
          <w:rPr>
            <w:noProof/>
            <w:webHidden/>
          </w:rPr>
          <w:fldChar w:fldCharType="end"/>
        </w:r>
      </w:hyperlink>
    </w:p>
    <w:p w14:paraId="22066E3C" w14:textId="21DCD12A" w:rsidR="00CE7BE0" w:rsidRDefault="006D3518">
      <w:pPr>
        <w:pStyle w:val="TableofFigures"/>
        <w:tabs>
          <w:tab w:val="right" w:leader="dot" w:pos="9350"/>
        </w:tabs>
        <w:rPr>
          <w:rFonts w:cstheme="minorBidi"/>
          <w:b w:val="0"/>
          <w:bCs w:val="0"/>
          <w:noProof/>
          <w:sz w:val="24"/>
          <w:szCs w:val="24"/>
          <w:lang w:eastAsia="en-GB"/>
        </w:rPr>
      </w:pPr>
      <w:hyperlink w:anchor="_Toc64724078" w:history="1">
        <w:r w:rsidR="00CE7BE0" w:rsidRPr="00F86AA5">
          <w:rPr>
            <w:rStyle w:val="Hyperlink"/>
            <w:noProof/>
          </w:rPr>
          <w:t>Table 2.3  Structure Matrix for Discriminant Function Analysis</w:t>
        </w:r>
        <w:r w:rsidR="00CE7BE0">
          <w:rPr>
            <w:noProof/>
            <w:webHidden/>
          </w:rPr>
          <w:tab/>
        </w:r>
        <w:r w:rsidR="00CE7BE0">
          <w:rPr>
            <w:noProof/>
            <w:webHidden/>
          </w:rPr>
          <w:fldChar w:fldCharType="begin"/>
        </w:r>
        <w:r w:rsidR="00CE7BE0">
          <w:rPr>
            <w:noProof/>
            <w:webHidden/>
          </w:rPr>
          <w:instrText xml:space="preserve"> PAGEREF _Toc64724078 \h </w:instrText>
        </w:r>
        <w:r w:rsidR="00CE7BE0">
          <w:rPr>
            <w:noProof/>
            <w:webHidden/>
          </w:rPr>
        </w:r>
        <w:r w:rsidR="00CE7BE0">
          <w:rPr>
            <w:noProof/>
            <w:webHidden/>
          </w:rPr>
          <w:fldChar w:fldCharType="separate"/>
        </w:r>
        <w:r w:rsidR="00CE7BE0">
          <w:rPr>
            <w:noProof/>
            <w:webHidden/>
          </w:rPr>
          <w:t>62</w:t>
        </w:r>
        <w:r w:rsidR="00CE7BE0">
          <w:rPr>
            <w:noProof/>
            <w:webHidden/>
          </w:rPr>
          <w:fldChar w:fldCharType="end"/>
        </w:r>
      </w:hyperlink>
    </w:p>
    <w:p w14:paraId="6BBFC1DF" w14:textId="78B41E24" w:rsidR="00CE7BE0" w:rsidRDefault="006D3518">
      <w:pPr>
        <w:pStyle w:val="TableofFigures"/>
        <w:tabs>
          <w:tab w:val="right" w:leader="dot" w:pos="9350"/>
        </w:tabs>
        <w:rPr>
          <w:rFonts w:cstheme="minorBidi"/>
          <w:b w:val="0"/>
          <w:bCs w:val="0"/>
          <w:noProof/>
          <w:sz w:val="24"/>
          <w:szCs w:val="24"/>
          <w:lang w:eastAsia="en-GB"/>
        </w:rPr>
      </w:pPr>
      <w:hyperlink w:anchor="_Toc64724079" w:history="1">
        <w:r w:rsidR="00CE7BE0" w:rsidRPr="00F86AA5">
          <w:rPr>
            <w:rStyle w:val="Hyperlink"/>
            <w:noProof/>
          </w:rPr>
          <w:t>Table 2.4  Predictions for Group Membership according to questionnaire results</w:t>
        </w:r>
        <w:r w:rsidR="00CE7BE0">
          <w:rPr>
            <w:noProof/>
            <w:webHidden/>
          </w:rPr>
          <w:tab/>
        </w:r>
        <w:r w:rsidR="00CE7BE0">
          <w:rPr>
            <w:noProof/>
            <w:webHidden/>
          </w:rPr>
          <w:fldChar w:fldCharType="begin"/>
        </w:r>
        <w:r w:rsidR="00CE7BE0">
          <w:rPr>
            <w:noProof/>
            <w:webHidden/>
          </w:rPr>
          <w:instrText xml:space="preserve"> PAGEREF _Toc64724079 \h </w:instrText>
        </w:r>
        <w:r w:rsidR="00CE7BE0">
          <w:rPr>
            <w:noProof/>
            <w:webHidden/>
          </w:rPr>
        </w:r>
        <w:r w:rsidR="00CE7BE0">
          <w:rPr>
            <w:noProof/>
            <w:webHidden/>
          </w:rPr>
          <w:fldChar w:fldCharType="separate"/>
        </w:r>
        <w:r w:rsidR="00CE7BE0">
          <w:rPr>
            <w:noProof/>
            <w:webHidden/>
          </w:rPr>
          <w:t>62</w:t>
        </w:r>
        <w:r w:rsidR="00CE7BE0">
          <w:rPr>
            <w:noProof/>
            <w:webHidden/>
          </w:rPr>
          <w:fldChar w:fldCharType="end"/>
        </w:r>
      </w:hyperlink>
    </w:p>
    <w:p w14:paraId="367D6C31" w14:textId="77699F52" w:rsidR="00CE7BE0" w:rsidRDefault="006D3518">
      <w:pPr>
        <w:pStyle w:val="TableofFigures"/>
        <w:tabs>
          <w:tab w:val="right" w:leader="dot" w:pos="9350"/>
        </w:tabs>
        <w:rPr>
          <w:rFonts w:cstheme="minorBidi"/>
          <w:b w:val="0"/>
          <w:bCs w:val="0"/>
          <w:noProof/>
          <w:sz w:val="24"/>
          <w:szCs w:val="24"/>
          <w:lang w:eastAsia="en-GB"/>
        </w:rPr>
      </w:pPr>
      <w:hyperlink w:anchor="_Toc64724080" w:history="1">
        <w:r w:rsidR="00CE7BE0" w:rsidRPr="00F86AA5">
          <w:rPr>
            <w:rStyle w:val="Hyperlink"/>
            <w:noProof/>
          </w:rPr>
          <w:t>Table 2.5  Structure Matrix for Discriminating Variables of QST measurements obtained by the DFNS protocol</w:t>
        </w:r>
        <w:r w:rsidR="00CE7BE0">
          <w:rPr>
            <w:noProof/>
            <w:webHidden/>
          </w:rPr>
          <w:tab/>
        </w:r>
        <w:r w:rsidR="00CE7BE0">
          <w:rPr>
            <w:noProof/>
            <w:webHidden/>
          </w:rPr>
          <w:fldChar w:fldCharType="begin"/>
        </w:r>
        <w:r w:rsidR="00CE7BE0">
          <w:rPr>
            <w:noProof/>
            <w:webHidden/>
          </w:rPr>
          <w:instrText xml:space="preserve"> PAGEREF _Toc64724080 \h </w:instrText>
        </w:r>
        <w:r w:rsidR="00CE7BE0">
          <w:rPr>
            <w:noProof/>
            <w:webHidden/>
          </w:rPr>
        </w:r>
        <w:r w:rsidR="00CE7BE0">
          <w:rPr>
            <w:noProof/>
            <w:webHidden/>
          </w:rPr>
          <w:fldChar w:fldCharType="separate"/>
        </w:r>
        <w:r w:rsidR="00CE7BE0">
          <w:rPr>
            <w:noProof/>
            <w:webHidden/>
          </w:rPr>
          <w:t>66</w:t>
        </w:r>
        <w:r w:rsidR="00CE7BE0">
          <w:rPr>
            <w:noProof/>
            <w:webHidden/>
          </w:rPr>
          <w:fldChar w:fldCharType="end"/>
        </w:r>
      </w:hyperlink>
    </w:p>
    <w:p w14:paraId="04AC6819" w14:textId="6B4381C3" w:rsidR="00CE7BE0" w:rsidRDefault="006D3518">
      <w:pPr>
        <w:pStyle w:val="TableofFigures"/>
        <w:tabs>
          <w:tab w:val="right" w:leader="dot" w:pos="9350"/>
        </w:tabs>
        <w:rPr>
          <w:rFonts w:cstheme="minorBidi"/>
          <w:b w:val="0"/>
          <w:bCs w:val="0"/>
          <w:noProof/>
          <w:sz w:val="24"/>
          <w:szCs w:val="24"/>
          <w:lang w:eastAsia="en-GB"/>
        </w:rPr>
      </w:pPr>
      <w:hyperlink w:anchor="_Toc64724081" w:history="1">
        <w:r w:rsidR="00CE7BE0" w:rsidRPr="00F86AA5">
          <w:rPr>
            <w:rStyle w:val="Hyperlink"/>
            <w:noProof/>
          </w:rPr>
          <w:t>Table 2.6  Classification Results using the Discriminant Functions  for QST Measurements Obtained by the DFNS protocol</w:t>
        </w:r>
        <w:r w:rsidR="00CE7BE0">
          <w:rPr>
            <w:noProof/>
            <w:webHidden/>
          </w:rPr>
          <w:tab/>
        </w:r>
        <w:r w:rsidR="00CE7BE0">
          <w:rPr>
            <w:noProof/>
            <w:webHidden/>
          </w:rPr>
          <w:fldChar w:fldCharType="begin"/>
        </w:r>
        <w:r w:rsidR="00CE7BE0">
          <w:rPr>
            <w:noProof/>
            <w:webHidden/>
          </w:rPr>
          <w:instrText xml:space="preserve"> PAGEREF _Toc64724081 \h </w:instrText>
        </w:r>
        <w:r w:rsidR="00CE7BE0">
          <w:rPr>
            <w:noProof/>
            <w:webHidden/>
          </w:rPr>
        </w:r>
        <w:r w:rsidR="00CE7BE0">
          <w:rPr>
            <w:noProof/>
            <w:webHidden/>
          </w:rPr>
          <w:fldChar w:fldCharType="separate"/>
        </w:r>
        <w:r w:rsidR="00CE7BE0">
          <w:rPr>
            <w:noProof/>
            <w:webHidden/>
          </w:rPr>
          <w:t>67</w:t>
        </w:r>
        <w:r w:rsidR="00CE7BE0">
          <w:rPr>
            <w:noProof/>
            <w:webHidden/>
          </w:rPr>
          <w:fldChar w:fldCharType="end"/>
        </w:r>
      </w:hyperlink>
    </w:p>
    <w:p w14:paraId="652247D1" w14:textId="5F41F6B0" w:rsidR="00CE7BE0" w:rsidRDefault="006D3518">
      <w:pPr>
        <w:pStyle w:val="TableofFigures"/>
        <w:tabs>
          <w:tab w:val="right" w:leader="dot" w:pos="9350"/>
        </w:tabs>
        <w:rPr>
          <w:rFonts w:cstheme="minorBidi"/>
          <w:b w:val="0"/>
          <w:bCs w:val="0"/>
          <w:noProof/>
          <w:sz w:val="24"/>
          <w:szCs w:val="24"/>
          <w:lang w:eastAsia="en-GB"/>
        </w:rPr>
      </w:pPr>
      <w:hyperlink w:anchor="_Toc64724082" w:history="1">
        <w:r w:rsidR="00CE7BE0" w:rsidRPr="00F86AA5">
          <w:rPr>
            <w:rStyle w:val="Hyperlink"/>
            <w:noProof/>
          </w:rPr>
          <w:t>Table 3.2  Bland-Altman Statistics Comparing Perfusion Measurements by Rater</w:t>
        </w:r>
        <w:r w:rsidR="00CE7BE0">
          <w:rPr>
            <w:noProof/>
            <w:webHidden/>
          </w:rPr>
          <w:tab/>
        </w:r>
        <w:r w:rsidR="00CE7BE0">
          <w:rPr>
            <w:noProof/>
            <w:webHidden/>
          </w:rPr>
          <w:fldChar w:fldCharType="begin"/>
        </w:r>
        <w:r w:rsidR="00CE7BE0">
          <w:rPr>
            <w:noProof/>
            <w:webHidden/>
          </w:rPr>
          <w:instrText xml:space="preserve"> PAGEREF _Toc64724082 \h </w:instrText>
        </w:r>
        <w:r w:rsidR="00CE7BE0">
          <w:rPr>
            <w:noProof/>
            <w:webHidden/>
          </w:rPr>
        </w:r>
        <w:r w:rsidR="00CE7BE0">
          <w:rPr>
            <w:noProof/>
            <w:webHidden/>
          </w:rPr>
          <w:fldChar w:fldCharType="separate"/>
        </w:r>
        <w:r w:rsidR="00CE7BE0">
          <w:rPr>
            <w:noProof/>
            <w:webHidden/>
          </w:rPr>
          <w:t>88</w:t>
        </w:r>
        <w:r w:rsidR="00CE7BE0">
          <w:rPr>
            <w:noProof/>
            <w:webHidden/>
          </w:rPr>
          <w:fldChar w:fldCharType="end"/>
        </w:r>
      </w:hyperlink>
    </w:p>
    <w:p w14:paraId="6F2A1ABA" w14:textId="7204E145" w:rsidR="00CE7BE0" w:rsidRDefault="006D3518">
      <w:pPr>
        <w:pStyle w:val="TableofFigures"/>
        <w:tabs>
          <w:tab w:val="right" w:leader="dot" w:pos="9350"/>
        </w:tabs>
        <w:rPr>
          <w:rFonts w:cstheme="minorBidi"/>
          <w:b w:val="0"/>
          <w:bCs w:val="0"/>
          <w:noProof/>
          <w:sz w:val="24"/>
          <w:szCs w:val="24"/>
          <w:lang w:eastAsia="en-GB"/>
        </w:rPr>
      </w:pPr>
      <w:hyperlink w:anchor="_Toc64724083" w:history="1">
        <w:r w:rsidR="00CE7BE0" w:rsidRPr="00F86AA5">
          <w:rPr>
            <w:rStyle w:val="Hyperlink"/>
            <w:noProof/>
          </w:rPr>
          <w:t>Table 3.3: Bland-Altman Statistics Comparing Regional Blood Volume by Rater and Region of Interest</w:t>
        </w:r>
        <w:r w:rsidR="00CE7BE0">
          <w:rPr>
            <w:noProof/>
            <w:webHidden/>
          </w:rPr>
          <w:tab/>
        </w:r>
        <w:r w:rsidR="00CE7BE0">
          <w:rPr>
            <w:noProof/>
            <w:webHidden/>
          </w:rPr>
          <w:fldChar w:fldCharType="begin"/>
        </w:r>
        <w:r w:rsidR="00CE7BE0">
          <w:rPr>
            <w:noProof/>
            <w:webHidden/>
          </w:rPr>
          <w:instrText xml:space="preserve"> PAGEREF _Toc64724083 \h </w:instrText>
        </w:r>
        <w:r w:rsidR="00CE7BE0">
          <w:rPr>
            <w:noProof/>
            <w:webHidden/>
          </w:rPr>
        </w:r>
        <w:r w:rsidR="00CE7BE0">
          <w:rPr>
            <w:noProof/>
            <w:webHidden/>
          </w:rPr>
          <w:fldChar w:fldCharType="separate"/>
        </w:r>
        <w:r w:rsidR="00CE7BE0">
          <w:rPr>
            <w:noProof/>
            <w:webHidden/>
          </w:rPr>
          <w:t>90</w:t>
        </w:r>
        <w:r w:rsidR="00CE7BE0">
          <w:rPr>
            <w:noProof/>
            <w:webHidden/>
          </w:rPr>
          <w:fldChar w:fldCharType="end"/>
        </w:r>
      </w:hyperlink>
    </w:p>
    <w:p w14:paraId="3D5050CD" w14:textId="719EB83A" w:rsidR="00CE7BE0" w:rsidRDefault="006D3518">
      <w:pPr>
        <w:pStyle w:val="TableofFigures"/>
        <w:tabs>
          <w:tab w:val="right" w:leader="dot" w:pos="9350"/>
        </w:tabs>
        <w:rPr>
          <w:rFonts w:cstheme="minorBidi"/>
          <w:b w:val="0"/>
          <w:bCs w:val="0"/>
          <w:noProof/>
          <w:sz w:val="24"/>
          <w:szCs w:val="24"/>
          <w:lang w:eastAsia="en-GB"/>
        </w:rPr>
      </w:pPr>
      <w:hyperlink w:anchor="_Toc64724084" w:history="1">
        <w:r w:rsidR="00CE7BE0" w:rsidRPr="00F86AA5">
          <w:rPr>
            <w:rStyle w:val="Hyperlink"/>
            <w:noProof/>
          </w:rPr>
          <w:t>Table 4.1  Descriptive Statistics for Visit 2 Baseline Characteristics</w:t>
        </w:r>
        <w:r w:rsidR="00CE7BE0">
          <w:rPr>
            <w:noProof/>
            <w:webHidden/>
          </w:rPr>
          <w:tab/>
        </w:r>
        <w:r w:rsidR="00CE7BE0">
          <w:rPr>
            <w:noProof/>
            <w:webHidden/>
          </w:rPr>
          <w:fldChar w:fldCharType="begin"/>
        </w:r>
        <w:r w:rsidR="00CE7BE0">
          <w:rPr>
            <w:noProof/>
            <w:webHidden/>
          </w:rPr>
          <w:instrText xml:space="preserve"> PAGEREF _Toc64724084 \h </w:instrText>
        </w:r>
        <w:r w:rsidR="00CE7BE0">
          <w:rPr>
            <w:noProof/>
            <w:webHidden/>
          </w:rPr>
        </w:r>
        <w:r w:rsidR="00CE7BE0">
          <w:rPr>
            <w:noProof/>
            <w:webHidden/>
          </w:rPr>
          <w:fldChar w:fldCharType="separate"/>
        </w:r>
        <w:r w:rsidR="00CE7BE0">
          <w:rPr>
            <w:noProof/>
            <w:webHidden/>
          </w:rPr>
          <w:t>104</w:t>
        </w:r>
        <w:r w:rsidR="00CE7BE0">
          <w:rPr>
            <w:noProof/>
            <w:webHidden/>
          </w:rPr>
          <w:fldChar w:fldCharType="end"/>
        </w:r>
      </w:hyperlink>
    </w:p>
    <w:p w14:paraId="4D388C6F" w14:textId="4EE92CD5" w:rsidR="00CE7BE0" w:rsidRDefault="006D3518">
      <w:pPr>
        <w:pStyle w:val="TableofFigures"/>
        <w:tabs>
          <w:tab w:val="right" w:leader="dot" w:pos="9350"/>
        </w:tabs>
        <w:rPr>
          <w:rFonts w:cstheme="minorBidi"/>
          <w:b w:val="0"/>
          <w:bCs w:val="0"/>
          <w:noProof/>
          <w:sz w:val="24"/>
          <w:szCs w:val="24"/>
          <w:lang w:eastAsia="en-GB"/>
        </w:rPr>
      </w:pPr>
      <w:hyperlink w:anchor="_Toc64724085" w:history="1">
        <w:r w:rsidR="00CE7BE0" w:rsidRPr="00F86AA5">
          <w:rPr>
            <w:rStyle w:val="Hyperlink"/>
            <w:noProof/>
          </w:rPr>
          <w:t>Table 5.1. Baseline Metabolic and Cardiovascular Characteristics of Participants at the time of Visit 3</w:t>
        </w:r>
        <w:r w:rsidR="00CE7BE0">
          <w:rPr>
            <w:noProof/>
            <w:webHidden/>
          </w:rPr>
          <w:tab/>
        </w:r>
        <w:r w:rsidR="00CE7BE0">
          <w:rPr>
            <w:noProof/>
            <w:webHidden/>
          </w:rPr>
          <w:fldChar w:fldCharType="begin"/>
        </w:r>
        <w:r w:rsidR="00CE7BE0">
          <w:rPr>
            <w:noProof/>
            <w:webHidden/>
          </w:rPr>
          <w:instrText xml:space="preserve"> PAGEREF _Toc64724085 \h </w:instrText>
        </w:r>
        <w:r w:rsidR="00CE7BE0">
          <w:rPr>
            <w:noProof/>
            <w:webHidden/>
          </w:rPr>
        </w:r>
        <w:r w:rsidR="00CE7BE0">
          <w:rPr>
            <w:noProof/>
            <w:webHidden/>
          </w:rPr>
          <w:fldChar w:fldCharType="separate"/>
        </w:r>
        <w:r w:rsidR="00CE7BE0">
          <w:rPr>
            <w:noProof/>
            <w:webHidden/>
          </w:rPr>
          <w:t>131</w:t>
        </w:r>
        <w:r w:rsidR="00CE7BE0">
          <w:rPr>
            <w:noProof/>
            <w:webHidden/>
          </w:rPr>
          <w:fldChar w:fldCharType="end"/>
        </w:r>
      </w:hyperlink>
    </w:p>
    <w:p w14:paraId="0D704E80" w14:textId="4FFF7445" w:rsidR="00CE7BE0" w:rsidRDefault="006D3518">
      <w:pPr>
        <w:pStyle w:val="TableofFigures"/>
        <w:tabs>
          <w:tab w:val="right" w:leader="dot" w:pos="9350"/>
        </w:tabs>
        <w:rPr>
          <w:rFonts w:cstheme="minorBidi"/>
          <w:b w:val="0"/>
          <w:bCs w:val="0"/>
          <w:noProof/>
          <w:sz w:val="24"/>
          <w:szCs w:val="24"/>
          <w:lang w:eastAsia="en-GB"/>
        </w:rPr>
      </w:pPr>
      <w:hyperlink w:anchor="_Toc64724086" w:history="1">
        <w:r w:rsidR="00CE7BE0" w:rsidRPr="00F86AA5">
          <w:rPr>
            <w:rStyle w:val="Hyperlink"/>
            <w:noProof/>
          </w:rPr>
          <w:t>Table 5.2 Descriptive Statistics for Thermal Thresholds and Pain Perception by Group.</w:t>
        </w:r>
        <w:r w:rsidR="00CE7BE0">
          <w:rPr>
            <w:noProof/>
            <w:webHidden/>
          </w:rPr>
          <w:tab/>
        </w:r>
        <w:r w:rsidR="00CE7BE0">
          <w:rPr>
            <w:noProof/>
            <w:webHidden/>
          </w:rPr>
          <w:fldChar w:fldCharType="begin"/>
        </w:r>
        <w:r w:rsidR="00CE7BE0">
          <w:rPr>
            <w:noProof/>
            <w:webHidden/>
          </w:rPr>
          <w:instrText xml:space="preserve"> PAGEREF _Toc64724086 \h </w:instrText>
        </w:r>
        <w:r w:rsidR="00CE7BE0">
          <w:rPr>
            <w:noProof/>
            <w:webHidden/>
          </w:rPr>
        </w:r>
        <w:r w:rsidR="00CE7BE0">
          <w:rPr>
            <w:noProof/>
            <w:webHidden/>
          </w:rPr>
          <w:fldChar w:fldCharType="separate"/>
        </w:r>
        <w:r w:rsidR="00CE7BE0">
          <w:rPr>
            <w:noProof/>
            <w:webHidden/>
          </w:rPr>
          <w:t>132</w:t>
        </w:r>
        <w:r w:rsidR="00CE7BE0">
          <w:rPr>
            <w:noProof/>
            <w:webHidden/>
          </w:rPr>
          <w:fldChar w:fldCharType="end"/>
        </w:r>
      </w:hyperlink>
    </w:p>
    <w:p w14:paraId="2880459D" w14:textId="60EFBB87" w:rsidR="00CE7BE0" w:rsidRDefault="006D3518">
      <w:pPr>
        <w:pStyle w:val="TableofFigures"/>
        <w:tabs>
          <w:tab w:val="right" w:leader="dot" w:pos="9350"/>
        </w:tabs>
        <w:rPr>
          <w:rFonts w:cstheme="minorBidi"/>
          <w:b w:val="0"/>
          <w:bCs w:val="0"/>
          <w:noProof/>
          <w:sz w:val="24"/>
          <w:szCs w:val="24"/>
          <w:lang w:eastAsia="en-GB"/>
        </w:rPr>
      </w:pPr>
      <w:hyperlink w:anchor="_Toc64724087" w:history="1">
        <w:r w:rsidR="00CE7BE0" w:rsidRPr="00F86AA5">
          <w:rPr>
            <w:rStyle w:val="Hyperlink"/>
            <w:noProof/>
          </w:rPr>
          <w:t>Table 5.3: Univariate ANCOVA Comparing Δ-TTP - Reported by Region of Interest- Adjusted for LIKERT</w:t>
        </w:r>
        <w:r w:rsidR="00CE7BE0" w:rsidRPr="00F86AA5">
          <w:rPr>
            <w:rStyle w:val="Hyperlink"/>
            <w:noProof/>
            <w:vertAlign w:val="superscript"/>
          </w:rPr>
          <w:t>a</w:t>
        </w:r>
        <w:r w:rsidR="00CE7BE0">
          <w:rPr>
            <w:noProof/>
            <w:webHidden/>
          </w:rPr>
          <w:tab/>
        </w:r>
        <w:r w:rsidR="00CE7BE0">
          <w:rPr>
            <w:noProof/>
            <w:webHidden/>
          </w:rPr>
          <w:fldChar w:fldCharType="begin"/>
        </w:r>
        <w:r w:rsidR="00CE7BE0">
          <w:rPr>
            <w:noProof/>
            <w:webHidden/>
          </w:rPr>
          <w:instrText xml:space="preserve"> PAGEREF _Toc64724087 \h </w:instrText>
        </w:r>
        <w:r w:rsidR="00CE7BE0">
          <w:rPr>
            <w:noProof/>
            <w:webHidden/>
          </w:rPr>
        </w:r>
        <w:r w:rsidR="00CE7BE0">
          <w:rPr>
            <w:noProof/>
            <w:webHidden/>
          </w:rPr>
          <w:fldChar w:fldCharType="separate"/>
        </w:r>
        <w:r w:rsidR="00CE7BE0">
          <w:rPr>
            <w:noProof/>
            <w:webHidden/>
          </w:rPr>
          <w:t>139</w:t>
        </w:r>
        <w:r w:rsidR="00CE7BE0">
          <w:rPr>
            <w:noProof/>
            <w:webHidden/>
          </w:rPr>
          <w:fldChar w:fldCharType="end"/>
        </w:r>
      </w:hyperlink>
    </w:p>
    <w:p w14:paraId="5BFB6BF4" w14:textId="4165EED6" w:rsidR="00CE7BE0" w:rsidRDefault="006D3518">
      <w:pPr>
        <w:pStyle w:val="TableofFigures"/>
        <w:tabs>
          <w:tab w:val="right" w:leader="dot" w:pos="9350"/>
        </w:tabs>
        <w:rPr>
          <w:rFonts w:cstheme="minorBidi"/>
          <w:b w:val="0"/>
          <w:bCs w:val="0"/>
          <w:noProof/>
          <w:sz w:val="24"/>
          <w:szCs w:val="24"/>
          <w:lang w:eastAsia="en-GB"/>
        </w:rPr>
      </w:pPr>
      <w:hyperlink w:anchor="_Toc64724088" w:history="1">
        <w:r w:rsidR="00CE7BE0" w:rsidRPr="00F86AA5">
          <w:rPr>
            <w:rStyle w:val="Hyperlink"/>
            <w:noProof/>
          </w:rPr>
          <w:t>Table 5.4: Correlation between Δ TTP and RBV, RBF, MTT at the LThal</w:t>
        </w:r>
        <w:r w:rsidR="00CE7BE0">
          <w:rPr>
            <w:noProof/>
            <w:webHidden/>
          </w:rPr>
          <w:tab/>
        </w:r>
        <w:r w:rsidR="00CE7BE0">
          <w:rPr>
            <w:noProof/>
            <w:webHidden/>
          </w:rPr>
          <w:fldChar w:fldCharType="begin"/>
        </w:r>
        <w:r w:rsidR="00CE7BE0">
          <w:rPr>
            <w:noProof/>
            <w:webHidden/>
          </w:rPr>
          <w:instrText xml:space="preserve"> PAGEREF _Toc64724088 \h </w:instrText>
        </w:r>
        <w:r w:rsidR="00CE7BE0">
          <w:rPr>
            <w:noProof/>
            <w:webHidden/>
          </w:rPr>
        </w:r>
        <w:r w:rsidR="00CE7BE0">
          <w:rPr>
            <w:noProof/>
            <w:webHidden/>
          </w:rPr>
          <w:fldChar w:fldCharType="separate"/>
        </w:r>
        <w:r w:rsidR="00CE7BE0">
          <w:rPr>
            <w:noProof/>
            <w:webHidden/>
          </w:rPr>
          <w:t>143</w:t>
        </w:r>
        <w:r w:rsidR="00CE7BE0">
          <w:rPr>
            <w:noProof/>
            <w:webHidden/>
          </w:rPr>
          <w:fldChar w:fldCharType="end"/>
        </w:r>
      </w:hyperlink>
    </w:p>
    <w:p w14:paraId="57695A43" w14:textId="36EC1810" w:rsidR="00CE7BE0" w:rsidRDefault="006D3518">
      <w:pPr>
        <w:pStyle w:val="TableofFigures"/>
        <w:tabs>
          <w:tab w:val="right" w:leader="dot" w:pos="9350"/>
        </w:tabs>
        <w:rPr>
          <w:rFonts w:cstheme="minorBidi"/>
          <w:b w:val="0"/>
          <w:bCs w:val="0"/>
          <w:noProof/>
          <w:sz w:val="24"/>
          <w:szCs w:val="24"/>
          <w:lang w:eastAsia="en-GB"/>
        </w:rPr>
      </w:pPr>
      <w:hyperlink w:anchor="_Toc64724089" w:history="1">
        <w:r w:rsidR="00CE7BE0" w:rsidRPr="00F86AA5">
          <w:rPr>
            <w:rStyle w:val="Hyperlink"/>
            <w:noProof/>
          </w:rPr>
          <w:t>Table 5.5: Descriptive Statistics for Spontaneous Neuropathic Pain Between Subgroups P+ and P-</w:t>
        </w:r>
        <w:r w:rsidR="00CE7BE0">
          <w:rPr>
            <w:noProof/>
            <w:webHidden/>
          </w:rPr>
          <w:tab/>
        </w:r>
        <w:r w:rsidR="00CE7BE0">
          <w:rPr>
            <w:noProof/>
            <w:webHidden/>
          </w:rPr>
          <w:fldChar w:fldCharType="begin"/>
        </w:r>
        <w:r w:rsidR="00CE7BE0">
          <w:rPr>
            <w:noProof/>
            <w:webHidden/>
          </w:rPr>
          <w:instrText xml:space="preserve"> PAGEREF _Toc64724089 \h </w:instrText>
        </w:r>
        <w:r w:rsidR="00CE7BE0">
          <w:rPr>
            <w:noProof/>
            <w:webHidden/>
          </w:rPr>
        </w:r>
        <w:r w:rsidR="00CE7BE0">
          <w:rPr>
            <w:noProof/>
            <w:webHidden/>
          </w:rPr>
          <w:fldChar w:fldCharType="separate"/>
        </w:r>
        <w:r w:rsidR="00CE7BE0">
          <w:rPr>
            <w:noProof/>
            <w:webHidden/>
          </w:rPr>
          <w:t>146</w:t>
        </w:r>
        <w:r w:rsidR="00CE7BE0">
          <w:rPr>
            <w:noProof/>
            <w:webHidden/>
          </w:rPr>
          <w:fldChar w:fldCharType="end"/>
        </w:r>
      </w:hyperlink>
    </w:p>
    <w:p w14:paraId="7FB8A862" w14:textId="4800D6AE" w:rsidR="00CE7BE0" w:rsidRDefault="006D3518">
      <w:pPr>
        <w:pStyle w:val="TableofFigures"/>
        <w:tabs>
          <w:tab w:val="right" w:leader="dot" w:pos="9350"/>
        </w:tabs>
        <w:rPr>
          <w:rFonts w:cstheme="minorBidi"/>
          <w:b w:val="0"/>
          <w:bCs w:val="0"/>
          <w:noProof/>
          <w:sz w:val="24"/>
          <w:szCs w:val="24"/>
          <w:lang w:eastAsia="en-GB"/>
        </w:rPr>
      </w:pPr>
      <w:hyperlink w:anchor="_Toc64724090" w:history="1">
        <w:r w:rsidR="00CE7BE0" w:rsidRPr="00F86AA5">
          <w:rPr>
            <w:rStyle w:val="Hyperlink"/>
            <w:noProof/>
          </w:rPr>
          <w:t>Table 5.6: Univariate ANCOVA Comparing Δ-TTP - Reported by Region of Interest- Adjusted for LIKERT, Including the Subgroups of P-DPN: P+ and P-</w:t>
        </w:r>
        <w:r w:rsidR="00CE7BE0">
          <w:rPr>
            <w:noProof/>
            <w:webHidden/>
          </w:rPr>
          <w:tab/>
        </w:r>
        <w:r w:rsidR="00CE7BE0">
          <w:rPr>
            <w:noProof/>
            <w:webHidden/>
          </w:rPr>
          <w:fldChar w:fldCharType="begin"/>
        </w:r>
        <w:r w:rsidR="00CE7BE0">
          <w:rPr>
            <w:noProof/>
            <w:webHidden/>
          </w:rPr>
          <w:instrText xml:space="preserve"> PAGEREF _Toc64724090 \h </w:instrText>
        </w:r>
        <w:r w:rsidR="00CE7BE0">
          <w:rPr>
            <w:noProof/>
            <w:webHidden/>
          </w:rPr>
        </w:r>
        <w:r w:rsidR="00CE7BE0">
          <w:rPr>
            <w:noProof/>
            <w:webHidden/>
          </w:rPr>
          <w:fldChar w:fldCharType="separate"/>
        </w:r>
        <w:r w:rsidR="00CE7BE0">
          <w:rPr>
            <w:noProof/>
            <w:webHidden/>
          </w:rPr>
          <w:t>147</w:t>
        </w:r>
        <w:r w:rsidR="00CE7BE0">
          <w:rPr>
            <w:noProof/>
            <w:webHidden/>
          </w:rPr>
          <w:fldChar w:fldCharType="end"/>
        </w:r>
      </w:hyperlink>
    </w:p>
    <w:p w14:paraId="6A20B4F4" w14:textId="0C2D54F2" w:rsidR="00CE7BE0" w:rsidRDefault="006D3518">
      <w:pPr>
        <w:pStyle w:val="TableofFigures"/>
        <w:tabs>
          <w:tab w:val="right" w:leader="dot" w:pos="9350"/>
        </w:tabs>
        <w:rPr>
          <w:rFonts w:cstheme="minorBidi"/>
          <w:b w:val="0"/>
          <w:bCs w:val="0"/>
          <w:noProof/>
          <w:sz w:val="24"/>
          <w:szCs w:val="24"/>
          <w:lang w:eastAsia="en-GB"/>
        </w:rPr>
      </w:pPr>
      <w:hyperlink w:anchor="_Toc64724091" w:history="1">
        <w:r w:rsidR="00CE7BE0" w:rsidRPr="00F86AA5">
          <w:rPr>
            <w:rStyle w:val="Hyperlink"/>
            <w:noProof/>
          </w:rPr>
          <w:t>Table 5.4: Distinguishing abnormal perfusion states using perfusion imaging</w:t>
        </w:r>
        <w:r w:rsidR="00CE7BE0">
          <w:rPr>
            <w:noProof/>
            <w:webHidden/>
          </w:rPr>
          <w:tab/>
        </w:r>
        <w:r w:rsidR="00CE7BE0">
          <w:rPr>
            <w:noProof/>
            <w:webHidden/>
          </w:rPr>
          <w:fldChar w:fldCharType="begin"/>
        </w:r>
        <w:r w:rsidR="00CE7BE0">
          <w:rPr>
            <w:noProof/>
            <w:webHidden/>
          </w:rPr>
          <w:instrText xml:space="preserve"> PAGEREF _Toc64724091 \h </w:instrText>
        </w:r>
        <w:r w:rsidR="00CE7BE0">
          <w:rPr>
            <w:noProof/>
            <w:webHidden/>
          </w:rPr>
        </w:r>
        <w:r w:rsidR="00CE7BE0">
          <w:rPr>
            <w:noProof/>
            <w:webHidden/>
          </w:rPr>
          <w:fldChar w:fldCharType="separate"/>
        </w:r>
        <w:r w:rsidR="00CE7BE0">
          <w:rPr>
            <w:noProof/>
            <w:webHidden/>
          </w:rPr>
          <w:t>156</w:t>
        </w:r>
        <w:r w:rsidR="00CE7BE0">
          <w:rPr>
            <w:noProof/>
            <w:webHidden/>
          </w:rPr>
          <w:fldChar w:fldCharType="end"/>
        </w:r>
      </w:hyperlink>
    </w:p>
    <w:p w14:paraId="03CAF080" w14:textId="207FFA21" w:rsidR="00CE7BE0" w:rsidRDefault="006D3518">
      <w:pPr>
        <w:pStyle w:val="TableofFigures"/>
        <w:tabs>
          <w:tab w:val="right" w:leader="dot" w:pos="9350"/>
        </w:tabs>
        <w:rPr>
          <w:rFonts w:cstheme="minorBidi"/>
          <w:b w:val="0"/>
          <w:bCs w:val="0"/>
          <w:noProof/>
          <w:sz w:val="24"/>
          <w:szCs w:val="24"/>
          <w:lang w:eastAsia="en-GB"/>
        </w:rPr>
      </w:pPr>
      <w:hyperlink w:anchor="_Toc64724092" w:history="1">
        <w:r w:rsidR="00CE7BE0" w:rsidRPr="00F86AA5">
          <w:rPr>
            <w:rStyle w:val="Hyperlink"/>
            <w:noProof/>
          </w:rPr>
          <w:t>Table 6.1  Comparison of Mean Spectroscopy Values within the Left Thalamus</w:t>
        </w:r>
        <w:r w:rsidR="00CE7BE0">
          <w:rPr>
            <w:noProof/>
            <w:webHidden/>
          </w:rPr>
          <w:tab/>
        </w:r>
        <w:r w:rsidR="00CE7BE0">
          <w:rPr>
            <w:noProof/>
            <w:webHidden/>
          </w:rPr>
          <w:fldChar w:fldCharType="begin"/>
        </w:r>
        <w:r w:rsidR="00CE7BE0">
          <w:rPr>
            <w:noProof/>
            <w:webHidden/>
          </w:rPr>
          <w:instrText xml:space="preserve"> PAGEREF _Toc64724092 \h </w:instrText>
        </w:r>
        <w:r w:rsidR="00CE7BE0">
          <w:rPr>
            <w:noProof/>
            <w:webHidden/>
          </w:rPr>
        </w:r>
        <w:r w:rsidR="00CE7BE0">
          <w:rPr>
            <w:noProof/>
            <w:webHidden/>
          </w:rPr>
          <w:fldChar w:fldCharType="separate"/>
        </w:r>
        <w:r w:rsidR="00CE7BE0">
          <w:rPr>
            <w:noProof/>
            <w:webHidden/>
          </w:rPr>
          <w:t>166</w:t>
        </w:r>
        <w:r w:rsidR="00CE7BE0">
          <w:rPr>
            <w:noProof/>
            <w:webHidden/>
          </w:rPr>
          <w:fldChar w:fldCharType="end"/>
        </w:r>
      </w:hyperlink>
    </w:p>
    <w:p w14:paraId="1B791BA5" w14:textId="0346B41D" w:rsidR="00CE7BE0" w:rsidRDefault="006D3518">
      <w:pPr>
        <w:pStyle w:val="TableofFigures"/>
        <w:tabs>
          <w:tab w:val="right" w:leader="dot" w:pos="9350"/>
        </w:tabs>
        <w:rPr>
          <w:rFonts w:cstheme="minorBidi"/>
          <w:b w:val="0"/>
          <w:bCs w:val="0"/>
          <w:noProof/>
          <w:sz w:val="24"/>
          <w:szCs w:val="24"/>
          <w:lang w:eastAsia="en-GB"/>
        </w:rPr>
      </w:pPr>
      <w:hyperlink w:anchor="_Toc64724093" w:history="1">
        <w:r w:rsidR="00CE7BE0" w:rsidRPr="00F86AA5">
          <w:rPr>
            <w:rStyle w:val="Hyperlink"/>
            <w:rFonts w:eastAsia="Arial Unicode MS" w:cs="Arial Unicode MS"/>
            <w:noProof/>
          </w:rPr>
          <w:t>Table 6.2  Correlations for Spectroscopy Ratios of the Left Thalamus and Perfusion Parameters Measured at the Left Thalamus during an Experimental Pain Condition</w:t>
        </w:r>
        <w:r w:rsidR="00CE7BE0">
          <w:rPr>
            <w:noProof/>
            <w:webHidden/>
          </w:rPr>
          <w:tab/>
        </w:r>
        <w:r w:rsidR="00CE7BE0">
          <w:rPr>
            <w:noProof/>
            <w:webHidden/>
          </w:rPr>
          <w:fldChar w:fldCharType="begin"/>
        </w:r>
        <w:r w:rsidR="00CE7BE0">
          <w:rPr>
            <w:noProof/>
            <w:webHidden/>
          </w:rPr>
          <w:instrText xml:space="preserve"> PAGEREF _Toc64724093 \h </w:instrText>
        </w:r>
        <w:r w:rsidR="00CE7BE0">
          <w:rPr>
            <w:noProof/>
            <w:webHidden/>
          </w:rPr>
        </w:r>
        <w:r w:rsidR="00CE7BE0">
          <w:rPr>
            <w:noProof/>
            <w:webHidden/>
          </w:rPr>
          <w:fldChar w:fldCharType="separate"/>
        </w:r>
        <w:r w:rsidR="00CE7BE0">
          <w:rPr>
            <w:noProof/>
            <w:webHidden/>
          </w:rPr>
          <w:t>168</w:t>
        </w:r>
        <w:r w:rsidR="00CE7BE0">
          <w:rPr>
            <w:noProof/>
            <w:webHidden/>
          </w:rPr>
          <w:fldChar w:fldCharType="end"/>
        </w:r>
      </w:hyperlink>
    </w:p>
    <w:p w14:paraId="102644D0" w14:textId="149CA492" w:rsidR="00CE7BE0" w:rsidRDefault="006D3518">
      <w:pPr>
        <w:pStyle w:val="TableofFigures"/>
        <w:tabs>
          <w:tab w:val="right" w:leader="dot" w:pos="9350"/>
        </w:tabs>
        <w:rPr>
          <w:rFonts w:cstheme="minorBidi"/>
          <w:b w:val="0"/>
          <w:bCs w:val="0"/>
          <w:noProof/>
          <w:sz w:val="24"/>
          <w:szCs w:val="24"/>
          <w:lang w:eastAsia="en-GB"/>
        </w:rPr>
      </w:pPr>
      <w:hyperlink w:anchor="_Toc64724094" w:history="1">
        <w:r w:rsidR="00CE7BE0" w:rsidRPr="00F86AA5">
          <w:rPr>
            <w:rStyle w:val="Hyperlink"/>
            <w:noProof/>
          </w:rPr>
          <w:t>Table 6.3  Correlations for Spectroscopy ratios of the Left Thalamus and the Difference between Perfusion Parameters Measured at the Left Thalamus during an Experimental Pain Condition and Baseline.</w:t>
        </w:r>
        <w:r w:rsidR="00CE7BE0">
          <w:rPr>
            <w:noProof/>
            <w:webHidden/>
          </w:rPr>
          <w:tab/>
        </w:r>
        <w:r w:rsidR="00CE7BE0">
          <w:rPr>
            <w:noProof/>
            <w:webHidden/>
          </w:rPr>
          <w:fldChar w:fldCharType="begin"/>
        </w:r>
        <w:r w:rsidR="00CE7BE0">
          <w:rPr>
            <w:noProof/>
            <w:webHidden/>
          </w:rPr>
          <w:instrText xml:space="preserve"> PAGEREF _Toc64724094 \h </w:instrText>
        </w:r>
        <w:r w:rsidR="00CE7BE0">
          <w:rPr>
            <w:noProof/>
            <w:webHidden/>
          </w:rPr>
        </w:r>
        <w:r w:rsidR="00CE7BE0">
          <w:rPr>
            <w:noProof/>
            <w:webHidden/>
          </w:rPr>
          <w:fldChar w:fldCharType="separate"/>
        </w:r>
        <w:r w:rsidR="00CE7BE0">
          <w:rPr>
            <w:noProof/>
            <w:webHidden/>
          </w:rPr>
          <w:t>169</w:t>
        </w:r>
        <w:r w:rsidR="00CE7BE0">
          <w:rPr>
            <w:noProof/>
            <w:webHidden/>
          </w:rPr>
          <w:fldChar w:fldCharType="end"/>
        </w:r>
      </w:hyperlink>
    </w:p>
    <w:p w14:paraId="272A980F" w14:textId="33BDA39A" w:rsidR="00CE7BE0" w:rsidRDefault="006D3518">
      <w:pPr>
        <w:pStyle w:val="TableofFigures"/>
        <w:tabs>
          <w:tab w:val="right" w:leader="dot" w:pos="9350"/>
        </w:tabs>
        <w:rPr>
          <w:rFonts w:cstheme="minorBidi"/>
          <w:b w:val="0"/>
          <w:bCs w:val="0"/>
          <w:noProof/>
          <w:sz w:val="24"/>
          <w:szCs w:val="24"/>
          <w:lang w:eastAsia="en-GB"/>
        </w:rPr>
      </w:pPr>
      <w:hyperlink w:anchor="_Toc64724095" w:history="1">
        <w:r w:rsidR="00CE7BE0" w:rsidRPr="00F86AA5">
          <w:rPr>
            <w:rStyle w:val="Hyperlink"/>
            <w:noProof/>
          </w:rPr>
          <w:t>Table 6.4  Pearson’s R correlations for Spectroscopy ratios of the Left Thalamus and Scores from Questionnaires Measuring Symptoms of Mood</w:t>
        </w:r>
        <w:r w:rsidR="00CE7BE0">
          <w:rPr>
            <w:noProof/>
            <w:webHidden/>
          </w:rPr>
          <w:tab/>
        </w:r>
        <w:r w:rsidR="00CE7BE0">
          <w:rPr>
            <w:noProof/>
            <w:webHidden/>
          </w:rPr>
          <w:fldChar w:fldCharType="begin"/>
        </w:r>
        <w:r w:rsidR="00CE7BE0">
          <w:rPr>
            <w:noProof/>
            <w:webHidden/>
          </w:rPr>
          <w:instrText xml:space="preserve"> PAGEREF _Toc64724095 \h </w:instrText>
        </w:r>
        <w:r w:rsidR="00CE7BE0">
          <w:rPr>
            <w:noProof/>
            <w:webHidden/>
          </w:rPr>
        </w:r>
        <w:r w:rsidR="00CE7BE0">
          <w:rPr>
            <w:noProof/>
            <w:webHidden/>
          </w:rPr>
          <w:fldChar w:fldCharType="separate"/>
        </w:r>
        <w:r w:rsidR="00CE7BE0">
          <w:rPr>
            <w:noProof/>
            <w:webHidden/>
          </w:rPr>
          <w:t>169</w:t>
        </w:r>
        <w:r w:rsidR="00CE7BE0">
          <w:rPr>
            <w:noProof/>
            <w:webHidden/>
          </w:rPr>
          <w:fldChar w:fldCharType="end"/>
        </w:r>
      </w:hyperlink>
    </w:p>
    <w:p w14:paraId="28184FA4" w14:textId="4E698197" w:rsidR="00CE7BE0" w:rsidRDefault="006D3518">
      <w:pPr>
        <w:pStyle w:val="TableofFigures"/>
        <w:tabs>
          <w:tab w:val="right" w:leader="dot" w:pos="9350"/>
        </w:tabs>
        <w:rPr>
          <w:rFonts w:cstheme="minorBidi"/>
          <w:b w:val="0"/>
          <w:bCs w:val="0"/>
          <w:noProof/>
          <w:sz w:val="24"/>
          <w:szCs w:val="24"/>
          <w:lang w:eastAsia="en-GB"/>
        </w:rPr>
      </w:pPr>
      <w:hyperlink w:anchor="_Toc64724096" w:history="1">
        <w:r w:rsidR="00CE7BE0" w:rsidRPr="00F86AA5">
          <w:rPr>
            <w:rStyle w:val="Hyperlink"/>
            <w:noProof/>
          </w:rPr>
          <w:t>Table A.1: Number of Respondents per Questionnaire by Group</w:t>
        </w:r>
        <w:r w:rsidR="00CE7BE0">
          <w:rPr>
            <w:noProof/>
            <w:webHidden/>
          </w:rPr>
          <w:tab/>
        </w:r>
        <w:r w:rsidR="00CE7BE0">
          <w:rPr>
            <w:noProof/>
            <w:webHidden/>
          </w:rPr>
          <w:fldChar w:fldCharType="begin"/>
        </w:r>
        <w:r w:rsidR="00CE7BE0">
          <w:rPr>
            <w:noProof/>
            <w:webHidden/>
          </w:rPr>
          <w:instrText xml:space="preserve"> PAGEREF _Toc64724096 \h </w:instrText>
        </w:r>
        <w:r w:rsidR="00CE7BE0">
          <w:rPr>
            <w:noProof/>
            <w:webHidden/>
          </w:rPr>
        </w:r>
        <w:r w:rsidR="00CE7BE0">
          <w:rPr>
            <w:noProof/>
            <w:webHidden/>
          </w:rPr>
          <w:fldChar w:fldCharType="separate"/>
        </w:r>
        <w:r w:rsidR="00CE7BE0">
          <w:rPr>
            <w:noProof/>
            <w:webHidden/>
          </w:rPr>
          <w:t>182</w:t>
        </w:r>
        <w:r w:rsidR="00CE7BE0">
          <w:rPr>
            <w:noProof/>
            <w:webHidden/>
          </w:rPr>
          <w:fldChar w:fldCharType="end"/>
        </w:r>
      </w:hyperlink>
    </w:p>
    <w:p w14:paraId="47B41866" w14:textId="77B15138" w:rsidR="00CE7BE0" w:rsidRDefault="006D3518">
      <w:pPr>
        <w:pStyle w:val="TableofFigures"/>
        <w:tabs>
          <w:tab w:val="right" w:leader="dot" w:pos="9350"/>
        </w:tabs>
        <w:rPr>
          <w:rFonts w:cstheme="minorBidi"/>
          <w:b w:val="0"/>
          <w:bCs w:val="0"/>
          <w:noProof/>
          <w:sz w:val="24"/>
          <w:szCs w:val="24"/>
          <w:lang w:eastAsia="en-GB"/>
        </w:rPr>
      </w:pPr>
      <w:hyperlink w:anchor="_Toc64724097" w:history="1">
        <w:r w:rsidR="00CE7BE0" w:rsidRPr="00F86AA5">
          <w:rPr>
            <w:rStyle w:val="Hyperlink"/>
            <w:noProof/>
          </w:rPr>
          <w:t>Table A.2: Descriptive Statistics for Questionnaire Responses by Group</w:t>
        </w:r>
        <w:r w:rsidR="00CE7BE0">
          <w:rPr>
            <w:noProof/>
            <w:webHidden/>
          </w:rPr>
          <w:tab/>
        </w:r>
        <w:r w:rsidR="00CE7BE0">
          <w:rPr>
            <w:noProof/>
            <w:webHidden/>
          </w:rPr>
          <w:fldChar w:fldCharType="begin"/>
        </w:r>
        <w:r w:rsidR="00CE7BE0">
          <w:rPr>
            <w:noProof/>
            <w:webHidden/>
          </w:rPr>
          <w:instrText xml:space="preserve"> PAGEREF _Toc64724097 \h </w:instrText>
        </w:r>
        <w:r w:rsidR="00CE7BE0">
          <w:rPr>
            <w:noProof/>
            <w:webHidden/>
          </w:rPr>
        </w:r>
        <w:r w:rsidR="00CE7BE0">
          <w:rPr>
            <w:noProof/>
            <w:webHidden/>
          </w:rPr>
          <w:fldChar w:fldCharType="separate"/>
        </w:r>
        <w:r w:rsidR="00CE7BE0">
          <w:rPr>
            <w:noProof/>
            <w:webHidden/>
          </w:rPr>
          <w:t>182</w:t>
        </w:r>
        <w:r w:rsidR="00CE7BE0">
          <w:rPr>
            <w:noProof/>
            <w:webHidden/>
          </w:rPr>
          <w:fldChar w:fldCharType="end"/>
        </w:r>
      </w:hyperlink>
    </w:p>
    <w:p w14:paraId="6318E861" w14:textId="76DDC3E7" w:rsidR="00CE7BE0" w:rsidRDefault="006D3518">
      <w:pPr>
        <w:pStyle w:val="TableofFigures"/>
        <w:tabs>
          <w:tab w:val="right" w:leader="dot" w:pos="9350"/>
        </w:tabs>
        <w:rPr>
          <w:rFonts w:cstheme="minorBidi"/>
          <w:b w:val="0"/>
          <w:bCs w:val="0"/>
          <w:noProof/>
          <w:sz w:val="24"/>
          <w:szCs w:val="24"/>
          <w:lang w:eastAsia="en-GB"/>
        </w:rPr>
      </w:pPr>
      <w:hyperlink w:anchor="_Toc64724098" w:history="1">
        <w:r w:rsidR="00CE7BE0" w:rsidRPr="00F86AA5">
          <w:rPr>
            <w:rStyle w:val="Hyperlink"/>
            <w:noProof/>
          </w:rPr>
          <w:t>Table A.3: Descriptive Statistics reported for QST measurements obtained by the DFNS protocol</w:t>
        </w:r>
        <w:r w:rsidR="00CE7BE0">
          <w:rPr>
            <w:noProof/>
            <w:webHidden/>
          </w:rPr>
          <w:tab/>
        </w:r>
        <w:r w:rsidR="00CE7BE0">
          <w:rPr>
            <w:noProof/>
            <w:webHidden/>
          </w:rPr>
          <w:fldChar w:fldCharType="begin"/>
        </w:r>
        <w:r w:rsidR="00CE7BE0">
          <w:rPr>
            <w:noProof/>
            <w:webHidden/>
          </w:rPr>
          <w:instrText xml:space="preserve"> PAGEREF _Toc64724098 \h </w:instrText>
        </w:r>
        <w:r w:rsidR="00CE7BE0">
          <w:rPr>
            <w:noProof/>
            <w:webHidden/>
          </w:rPr>
        </w:r>
        <w:r w:rsidR="00CE7BE0">
          <w:rPr>
            <w:noProof/>
            <w:webHidden/>
          </w:rPr>
          <w:fldChar w:fldCharType="separate"/>
        </w:r>
        <w:r w:rsidR="00CE7BE0">
          <w:rPr>
            <w:noProof/>
            <w:webHidden/>
          </w:rPr>
          <w:t>186</w:t>
        </w:r>
        <w:r w:rsidR="00CE7BE0">
          <w:rPr>
            <w:noProof/>
            <w:webHidden/>
          </w:rPr>
          <w:fldChar w:fldCharType="end"/>
        </w:r>
      </w:hyperlink>
    </w:p>
    <w:p w14:paraId="4D97BD96" w14:textId="00E947CB" w:rsidR="00CE7BE0" w:rsidRDefault="006D3518">
      <w:pPr>
        <w:pStyle w:val="TableofFigures"/>
        <w:tabs>
          <w:tab w:val="right" w:leader="dot" w:pos="9350"/>
        </w:tabs>
        <w:rPr>
          <w:rFonts w:cstheme="minorBidi"/>
          <w:b w:val="0"/>
          <w:bCs w:val="0"/>
          <w:noProof/>
          <w:sz w:val="24"/>
          <w:szCs w:val="24"/>
          <w:lang w:eastAsia="en-GB"/>
        </w:rPr>
      </w:pPr>
      <w:hyperlink w:anchor="_Toc64724099" w:history="1">
        <w:r w:rsidR="00CE7BE0" w:rsidRPr="00F86AA5">
          <w:rPr>
            <w:rStyle w:val="Hyperlink"/>
            <w:noProof/>
          </w:rPr>
          <w:t>Table C.1 Age as a Covariant for Perfusion Factors by linear regression</w:t>
        </w:r>
        <w:r w:rsidR="00CE7BE0">
          <w:rPr>
            <w:noProof/>
            <w:webHidden/>
          </w:rPr>
          <w:tab/>
        </w:r>
        <w:r w:rsidR="00CE7BE0">
          <w:rPr>
            <w:noProof/>
            <w:webHidden/>
          </w:rPr>
          <w:fldChar w:fldCharType="begin"/>
        </w:r>
        <w:r w:rsidR="00CE7BE0">
          <w:rPr>
            <w:noProof/>
            <w:webHidden/>
          </w:rPr>
          <w:instrText xml:space="preserve"> PAGEREF _Toc64724099 \h </w:instrText>
        </w:r>
        <w:r w:rsidR="00CE7BE0">
          <w:rPr>
            <w:noProof/>
            <w:webHidden/>
          </w:rPr>
        </w:r>
        <w:r w:rsidR="00CE7BE0">
          <w:rPr>
            <w:noProof/>
            <w:webHidden/>
          </w:rPr>
          <w:fldChar w:fldCharType="separate"/>
        </w:r>
        <w:r w:rsidR="00CE7BE0">
          <w:rPr>
            <w:noProof/>
            <w:webHidden/>
          </w:rPr>
          <w:t>192</w:t>
        </w:r>
        <w:r w:rsidR="00CE7BE0">
          <w:rPr>
            <w:noProof/>
            <w:webHidden/>
          </w:rPr>
          <w:fldChar w:fldCharType="end"/>
        </w:r>
      </w:hyperlink>
    </w:p>
    <w:p w14:paraId="5150EFFE" w14:textId="0DEEFB31" w:rsidR="00CE7BE0" w:rsidRDefault="006D3518">
      <w:pPr>
        <w:pStyle w:val="TableofFigures"/>
        <w:tabs>
          <w:tab w:val="right" w:leader="dot" w:pos="9350"/>
        </w:tabs>
        <w:rPr>
          <w:rFonts w:cstheme="minorBidi"/>
          <w:b w:val="0"/>
          <w:bCs w:val="0"/>
          <w:noProof/>
          <w:sz w:val="24"/>
          <w:szCs w:val="24"/>
          <w:lang w:eastAsia="en-GB"/>
        </w:rPr>
      </w:pPr>
      <w:hyperlink w:anchor="_Toc64724100" w:history="1">
        <w:r w:rsidR="00CE7BE0" w:rsidRPr="00F86AA5">
          <w:rPr>
            <w:rStyle w:val="Hyperlink"/>
            <w:noProof/>
          </w:rPr>
          <w:t>Table C.2. Univariate ANOVA for RBV Visit 2</w:t>
        </w:r>
        <w:r w:rsidR="00CE7BE0">
          <w:rPr>
            <w:noProof/>
            <w:webHidden/>
          </w:rPr>
          <w:tab/>
        </w:r>
        <w:r w:rsidR="00CE7BE0">
          <w:rPr>
            <w:noProof/>
            <w:webHidden/>
          </w:rPr>
          <w:fldChar w:fldCharType="begin"/>
        </w:r>
        <w:r w:rsidR="00CE7BE0">
          <w:rPr>
            <w:noProof/>
            <w:webHidden/>
          </w:rPr>
          <w:instrText xml:space="preserve"> PAGEREF _Toc64724100 \h </w:instrText>
        </w:r>
        <w:r w:rsidR="00CE7BE0">
          <w:rPr>
            <w:noProof/>
            <w:webHidden/>
          </w:rPr>
        </w:r>
        <w:r w:rsidR="00CE7BE0">
          <w:rPr>
            <w:noProof/>
            <w:webHidden/>
          </w:rPr>
          <w:fldChar w:fldCharType="separate"/>
        </w:r>
        <w:r w:rsidR="00CE7BE0">
          <w:rPr>
            <w:noProof/>
            <w:webHidden/>
          </w:rPr>
          <w:t>192</w:t>
        </w:r>
        <w:r w:rsidR="00CE7BE0">
          <w:rPr>
            <w:noProof/>
            <w:webHidden/>
          </w:rPr>
          <w:fldChar w:fldCharType="end"/>
        </w:r>
      </w:hyperlink>
    </w:p>
    <w:p w14:paraId="2913CE93" w14:textId="3BA698CC" w:rsidR="00CE7BE0" w:rsidRDefault="006D3518">
      <w:pPr>
        <w:pStyle w:val="TableofFigures"/>
        <w:tabs>
          <w:tab w:val="right" w:leader="dot" w:pos="9350"/>
        </w:tabs>
        <w:rPr>
          <w:rFonts w:cstheme="minorBidi"/>
          <w:b w:val="0"/>
          <w:bCs w:val="0"/>
          <w:noProof/>
          <w:sz w:val="24"/>
          <w:szCs w:val="24"/>
          <w:lang w:eastAsia="en-GB"/>
        </w:rPr>
      </w:pPr>
      <w:hyperlink w:anchor="_Toc64724101" w:history="1">
        <w:r w:rsidR="00CE7BE0" w:rsidRPr="00F86AA5">
          <w:rPr>
            <w:rStyle w:val="Hyperlink"/>
            <w:noProof/>
          </w:rPr>
          <w:t>Table C.3. Univariate ANOVA for RBF Visit 2</w:t>
        </w:r>
        <w:r w:rsidR="00CE7BE0">
          <w:rPr>
            <w:noProof/>
            <w:webHidden/>
          </w:rPr>
          <w:tab/>
        </w:r>
        <w:r w:rsidR="00CE7BE0">
          <w:rPr>
            <w:noProof/>
            <w:webHidden/>
          </w:rPr>
          <w:fldChar w:fldCharType="begin"/>
        </w:r>
        <w:r w:rsidR="00CE7BE0">
          <w:rPr>
            <w:noProof/>
            <w:webHidden/>
          </w:rPr>
          <w:instrText xml:space="preserve"> PAGEREF _Toc64724101 \h </w:instrText>
        </w:r>
        <w:r w:rsidR="00CE7BE0">
          <w:rPr>
            <w:noProof/>
            <w:webHidden/>
          </w:rPr>
        </w:r>
        <w:r w:rsidR="00CE7BE0">
          <w:rPr>
            <w:noProof/>
            <w:webHidden/>
          </w:rPr>
          <w:fldChar w:fldCharType="separate"/>
        </w:r>
        <w:r w:rsidR="00CE7BE0">
          <w:rPr>
            <w:noProof/>
            <w:webHidden/>
          </w:rPr>
          <w:t>194</w:t>
        </w:r>
        <w:r w:rsidR="00CE7BE0">
          <w:rPr>
            <w:noProof/>
            <w:webHidden/>
          </w:rPr>
          <w:fldChar w:fldCharType="end"/>
        </w:r>
      </w:hyperlink>
    </w:p>
    <w:p w14:paraId="77E89512" w14:textId="528931F3" w:rsidR="00CE7BE0" w:rsidRDefault="006D3518">
      <w:pPr>
        <w:pStyle w:val="TableofFigures"/>
        <w:tabs>
          <w:tab w:val="right" w:leader="dot" w:pos="9350"/>
        </w:tabs>
        <w:rPr>
          <w:rFonts w:cstheme="minorBidi"/>
          <w:b w:val="0"/>
          <w:bCs w:val="0"/>
          <w:noProof/>
          <w:sz w:val="24"/>
          <w:szCs w:val="24"/>
          <w:lang w:eastAsia="en-GB"/>
        </w:rPr>
      </w:pPr>
      <w:hyperlink w:anchor="_Toc64724102" w:history="1">
        <w:r w:rsidR="00CE7BE0" w:rsidRPr="00F86AA5">
          <w:rPr>
            <w:rStyle w:val="Hyperlink"/>
            <w:noProof/>
          </w:rPr>
          <w:t>Table C.4. Univariate ANOVA for MTT Visit 2</w:t>
        </w:r>
        <w:r w:rsidR="00CE7BE0">
          <w:rPr>
            <w:noProof/>
            <w:webHidden/>
          </w:rPr>
          <w:tab/>
        </w:r>
        <w:r w:rsidR="00CE7BE0">
          <w:rPr>
            <w:noProof/>
            <w:webHidden/>
          </w:rPr>
          <w:fldChar w:fldCharType="begin"/>
        </w:r>
        <w:r w:rsidR="00CE7BE0">
          <w:rPr>
            <w:noProof/>
            <w:webHidden/>
          </w:rPr>
          <w:instrText xml:space="preserve"> PAGEREF _Toc64724102 \h </w:instrText>
        </w:r>
        <w:r w:rsidR="00CE7BE0">
          <w:rPr>
            <w:noProof/>
            <w:webHidden/>
          </w:rPr>
        </w:r>
        <w:r w:rsidR="00CE7BE0">
          <w:rPr>
            <w:noProof/>
            <w:webHidden/>
          </w:rPr>
          <w:fldChar w:fldCharType="separate"/>
        </w:r>
        <w:r w:rsidR="00CE7BE0">
          <w:rPr>
            <w:noProof/>
            <w:webHidden/>
          </w:rPr>
          <w:t>195</w:t>
        </w:r>
        <w:r w:rsidR="00CE7BE0">
          <w:rPr>
            <w:noProof/>
            <w:webHidden/>
          </w:rPr>
          <w:fldChar w:fldCharType="end"/>
        </w:r>
      </w:hyperlink>
    </w:p>
    <w:p w14:paraId="30ABD22B" w14:textId="27475BE7" w:rsidR="00CE7BE0" w:rsidRDefault="006D3518">
      <w:pPr>
        <w:pStyle w:val="TableofFigures"/>
        <w:tabs>
          <w:tab w:val="right" w:leader="dot" w:pos="9350"/>
        </w:tabs>
        <w:rPr>
          <w:rFonts w:cstheme="minorBidi"/>
          <w:b w:val="0"/>
          <w:bCs w:val="0"/>
          <w:noProof/>
          <w:sz w:val="24"/>
          <w:szCs w:val="24"/>
          <w:lang w:eastAsia="en-GB"/>
        </w:rPr>
      </w:pPr>
      <w:hyperlink w:anchor="_Toc64724103" w:history="1">
        <w:r w:rsidR="00CE7BE0" w:rsidRPr="00F86AA5">
          <w:rPr>
            <w:rStyle w:val="Hyperlink"/>
            <w:noProof/>
          </w:rPr>
          <w:t>Table C.5 Possible contributors to baseline differences in MTT at the LINS linear modelling</w:t>
        </w:r>
        <w:r w:rsidR="00CE7BE0">
          <w:rPr>
            <w:noProof/>
            <w:webHidden/>
          </w:rPr>
          <w:tab/>
        </w:r>
        <w:r w:rsidR="00CE7BE0">
          <w:rPr>
            <w:noProof/>
            <w:webHidden/>
          </w:rPr>
          <w:fldChar w:fldCharType="begin"/>
        </w:r>
        <w:r w:rsidR="00CE7BE0">
          <w:rPr>
            <w:noProof/>
            <w:webHidden/>
          </w:rPr>
          <w:instrText xml:space="preserve"> PAGEREF _Toc64724103 \h </w:instrText>
        </w:r>
        <w:r w:rsidR="00CE7BE0">
          <w:rPr>
            <w:noProof/>
            <w:webHidden/>
          </w:rPr>
        </w:r>
        <w:r w:rsidR="00CE7BE0">
          <w:rPr>
            <w:noProof/>
            <w:webHidden/>
          </w:rPr>
          <w:fldChar w:fldCharType="separate"/>
        </w:r>
        <w:r w:rsidR="00CE7BE0">
          <w:rPr>
            <w:noProof/>
            <w:webHidden/>
          </w:rPr>
          <w:t>197</w:t>
        </w:r>
        <w:r w:rsidR="00CE7BE0">
          <w:rPr>
            <w:noProof/>
            <w:webHidden/>
          </w:rPr>
          <w:fldChar w:fldCharType="end"/>
        </w:r>
      </w:hyperlink>
    </w:p>
    <w:p w14:paraId="4AAA9490" w14:textId="4A7079C5" w:rsidR="00CE7BE0" w:rsidRDefault="006D3518">
      <w:pPr>
        <w:pStyle w:val="TableofFigures"/>
        <w:tabs>
          <w:tab w:val="right" w:leader="dot" w:pos="9350"/>
        </w:tabs>
        <w:rPr>
          <w:rFonts w:cstheme="minorBidi"/>
          <w:b w:val="0"/>
          <w:bCs w:val="0"/>
          <w:noProof/>
          <w:sz w:val="24"/>
          <w:szCs w:val="24"/>
          <w:lang w:eastAsia="en-GB"/>
        </w:rPr>
      </w:pPr>
      <w:hyperlink w:anchor="_Toc64724104" w:history="1">
        <w:r w:rsidR="00CE7BE0" w:rsidRPr="00F86AA5">
          <w:rPr>
            <w:rStyle w:val="Hyperlink"/>
            <w:noProof/>
          </w:rPr>
          <w:t>Table C.6 Tests of Between-Subjects Effects-ANCOVA with Diastolic BP as the covariate</w:t>
        </w:r>
        <w:r w:rsidR="00CE7BE0">
          <w:rPr>
            <w:noProof/>
            <w:webHidden/>
          </w:rPr>
          <w:tab/>
        </w:r>
        <w:r w:rsidR="00CE7BE0">
          <w:rPr>
            <w:noProof/>
            <w:webHidden/>
          </w:rPr>
          <w:fldChar w:fldCharType="begin"/>
        </w:r>
        <w:r w:rsidR="00CE7BE0">
          <w:rPr>
            <w:noProof/>
            <w:webHidden/>
          </w:rPr>
          <w:instrText xml:space="preserve"> PAGEREF _Toc64724104 \h </w:instrText>
        </w:r>
        <w:r w:rsidR="00CE7BE0">
          <w:rPr>
            <w:noProof/>
            <w:webHidden/>
          </w:rPr>
        </w:r>
        <w:r w:rsidR="00CE7BE0">
          <w:rPr>
            <w:noProof/>
            <w:webHidden/>
          </w:rPr>
          <w:fldChar w:fldCharType="separate"/>
        </w:r>
        <w:r w:rsidR="00CE7BE0">
          <w:rPr>
            <w:noProof/>
            <w:webHidden/>
          </w:rPr>
          <w:t>197</w:t>
        </w:r>
        <w:r w:rsidR="00CE7BE0">
          <w:rPr>
            <w:noProof/>
            <w:webHidden/>
          </w:rPr>
          <w:fldChar w:fldCharType="end"/>
        </w:r>
      </w:hyperlink>
    </w:p>
    <w:p w14:paraId="0D122318" w14:textId="1C1CE23F" w:rsidR="00CE7BE0" w:rsidRDefault="006D3518">
      <w:pPr>
        <w:pStyle w:val="TableofFigures"/>
        <w:tabs>
          <w:tab w:val="right" w:leader="dot" w:pos="9350"/>
        </w:tabs>
        <w:rPr>
          <w:rFonts w:cstheme="minorBidi"/>
          <w:b w:val="0"/>
          <w:bCs w:val="0"/>
          <w:noProof/>
          <w:sz w:val="24"/>
          <w:szCs w:val="24"/>
          <w:lang w:eastAsia="en-GB"/>
        </w:rPr>
      </w:pPr>
      <w:hyperlink w:anchor="_Toc64724105" w:history="1">
        <w:r w:rsidR="00CE7BE0" w:rsidRPr="00F86AA5">
          <w:rPr>
            <w:rStyle w:val="Hyperlink"/>
            <w:noProof/>
          </w:rPr>
          <w:t>Table C.7 Univariate ANOVA for MTT Visit 2- Female only participants</w:t>
        </w:r>
        <w:r w:rsidR="00CE7BE0">
          <w:rPr>
            <w:noProof/>
            <w:webHidden/>
          </w:rPr>
          <w:tab/>
        </w:r>
        <w:r w:rsidR="00CE7BE0">
          <w:rPr>
            <w:noProof/>
            <w:webHidden/>
          </w:rPr>
          <w:fldChar w:fldCharType="begin"/>
        </w:r>
        <w:r w:rsidR="00CE7BE0">
          <w:rPr>
            <w:noProof/>
            <w:webHidden/>
          </w:rPr>
          <w:instrText xml:space="preserve"> PAGEREF _Toc64724105 \h </w:instrText>
        </w:r>
        <w:r w:rsidR="00CE7BE0">
          <w:rPr>
            <w:noProof/>
            <w:webHidden/>
          </w:rPr>
        </w:r>
        <w:r w:rsidR="00CE7BE0">
          <w:rPr>
            <w:noProof/>
            <w:webHidden/>
          </w:rPr>
          <w:fldChar w:fldCharType="separate"/>
        </w:r>
        <w:r w:rsidR="00CE7BE0">
          <w:rPr>
            <w:noProof/>
            <w:webHidden/>
          </w:rPr>
          <w:t>198</w:t>
        </w:r>
        <w:r w:rsidR="00CE7BE0">
          <w:rPr>
            <w:noProof/>
            <w:webHidden/>
          </w:rPr>
          <w:fldChar w:fldCharType="end"/>
        </w:r>
      </w:hyperlink>
    </w:p>
    <w:p w14:paraId="0BD90DD6" w14:textId="6E10FDD9" w:rsidR="00CE7BE0" w:rsidRDefault="006D3518">
      <w:pPr>
        <w:pStyle w:val="TableofFigures"/>
        <w:tabs>
          <w:tab w:val="right" w:leader="dot" w:pos="9350"/>
        </w:tabs>
        <w:rPr>
          <w:rFonts w:cstheme="minorBidi"/>
          <w:b w:val="0"/>
          <w:bCs w:val="0"/>
          <w:noProof/>
          <w:sz w:val="24"/>
          <w:szCs w:val="24"/>
          <w:lang w:eastAsia="en-GB"/>
        </w:rPr>
      </w:pPr>
      <w:hyperlink w:anchor="_Toc64724106" w:history="1">
        <w:r w:rsidR="00CE7BE0" w:rsidRPr="00F86AA5">
          <w:rPr>
            <w:rStyle w:val="Hyperlink"/>
            <w:noProof/>
          </w:rPr>
          <w:t>Table C.8 Univariate ANOVA for TTP Visit 2</w:t>
        </w:r>
        <w:r w:rsidR="00CE7BE0">
          <w:rPr>
            <w:noProof/>
            <w:webHidden/>
          </w:rPr>
          <w:tab/>
        </w:r>
        <w:r w:rsidR="00CE7BE0">
          <w:rPr>
            <w:noProof/>
            <w:webHidden/>
          </w:rPr>
          <w:fldChar w:fldCharType="begin"/>
        </w:r>
        <w:r w:rsidR="00CE7BE0">
          <w:rPr>
            <w:noProof/>
            <w:webHidden/>
          </w:rPr>
          <w:instrText xml:space="preserve"> PAGEREF _Toc64724106 \h </w:instrText>
        </w:r>
        <w:r w:rsidR="00CE7BE0">
          <w:rPr>
            <w:noProof/>
            <w:webHidden/>
          </w:rPr>
        </w:r>
        <w:r w:rsidR="00CE7BE0">
          <w:rPr>
            <w:noProof/>
            <w:webHidden/>
          </w:rPr>
          <w:fldChar w:fldCharType="separate"/>
        </w:r>
        <w:r w:rsidR="00CE7BE0">
          <w:rPr>
            <w:noProof/>
            <w:webHidden/>
          </w:rPr>
          <w:t>200</w:t>
        </w:r>
        <w:r w:rsidR="00CE7BE0">
          <w:rPr>
            <w:noProof/>
            <w:webHidden/>
          </w:rPr>
          <w:fldChar w:fldCharType="end"/>
        </w:r>
      </w:hyperlink>
    </w:p>
    <w:p w14:paraId="20F49479" w14:textId="7346B504" w:rsidR="00CE7BE0" w:rsidRDefault="006D3518">
      <w:pPr>
        <w:pStyle w:val="TableofFigures"/>
        <w:tabs>
          <w:tab w:val="right" w:leader="dot" w:pos="9350"/>
        </w:tabs>
        <w:rPr>
          <w:rFonts w:cstheme="minorBidi"/>
          <w:b w:val="0"/>
          <w:bCs w:val="0"/>
          <w:noProof/>
          <w:sz w:val="24"/>
          <w:szCs w:val="24"/>
          <w:lang w:eastAsia="en-GB"/>
        </w:rPr>
      </w:pPr>
      <w:hyperlink w:anchor="_Toc64724107" w:history="1">
        <w:r w:rsidR="00CE7BE0" w:rsidRPr="00F86AA5">
          <w:rPr>
            <w:rStyle w:val="Hyperlink"/>
            <w:noProof/>
          </w:rPr>
          <w:t>Table C.9 Baseline demographic statistics, measurements comparing the groups P+ and P-,  DPN, DM-NN and HV by ANOVA</w:t>
        </w:r>
        <w:r w:rsidR="00CE7BE0">
          <w:rPr>
            <w:noProof/>
            <w:webHidden/>
          </w:rPr>
          <w:tab/>
        </w:r>
        <w:r w:rsidR="00CE7BE0">
          <w:rPr>
            <w:noProof/>
            <w:webHidden/>
          </w:rPr>
          <w:fldChar w:fldCharType="begin"/>
        </w:r>
        <w:r w:rsidR="00CE7BE0">
          <w:rPr>
            <w:noProof/>
            <w:webHidden/>
          </w:rPr>
          <w:instrText xml:space="preserve"> PAGEREF _Toc64724107 \h </w:instrText>
        </w:r>
        <w:r w:rsidR="00CE7BE0">
          <w:rPr>
            <w:noProof/>
            <w:webHidden/>
          </w:rPr>
        </w:r>
        <w:r w:rsidR="00CE7BE0">
          <w:rPr>
            <w:noProof/>
            <w:webHidden/>
          </w:rPr>
          <w:fldChar w:fldCharType="separate"/>
        </w:r>
        <w:r w:rsidR="00CE7BE0">
          <w:rPr>
            <w:noProof/>
            <w:webHidden/>
          </w:rPr>
          <w:t>201</w:t>
        </w:r>
        <w:r w:rsidR="00CE7BE0">
          <w:rPr>
            <w:noProof/>
            <w:webHidden/>
          </w:rPr>
          <w:fldChar w:fldCharType="end"/>
        </w:r>
      </w:hyperlink>
    </w:p>
    <w:p w14:paraId="61F0B59B" w14:textId="2B98F972" w:rsidR="00CE7BE0" w:rsidRDefault="006D3518">
      <w:pPr>
        <w:pStyle w:val="TableofFigures"/>
        <w:tabs>
          <w:tab w:val="right" w:leader="dot" w:pos="9350"/>
        </w:tabs>
        <w:rPr>
          <w:rFonts w:cstheme="minorBidi"/>
          <w:b w:val="0"/>
          <w:bCs w:val="0"/>
          <w:noProof/>
          <w:sz w:val="24"/>
          <w:szCs w:val="24"/>
          <w:lang w:eastAsia="en-GB"/>
        </w:rPr>
      </w:pPr>
      <w:hyperlink w:anchor="_Toc64724108" w:history="1">
        <w:r w:rsidR="00CE7BE0" w:rsidRPr="00F86AA5">
          <w:rPr>
            <w:rStyle w:val="Hyperlink"/>
            <w:noProof/>
          </w:rPr>
          <w:t>Table C.10 Baseline demographic statistics, measurements comparing the groups P+ and P- by Students T test</w:t>
        </w:r>
        <w:r w:rsidR="00CE7BE0">
          <w:rPr>
            <w:noProof/>
            <w:webHidden/>
          </w:rPr>
          <w:tab/>
        </w:r>
        <w:r w:rsidR="00CE7BE0">
          <w:rPr>
            <w:noProof/>
            <w:webHidden/>
          </w:rPr>
          <w:fldChar w:fldCharType="begin"/>
        </w:r>
        <w:r w:rsidR="00CE7BE0">
          <w:rPr>
            <w:noProof/>
            <w:webHidden/>
          </w:rPr>
          <w:instrText xml:space="preserve"> PAGEREF _Toc64724108 \h </w:instrText>
        </w:r>
        <w:r w:rsidR="00CE7BE0">
          <w:rPr>
            <w:noProof/>
            <w:webHidden/>
          </w:rPr>
        </w:r>
        <w:r w:rsidR="00CE7BE0">
          <w:rPr>
            <w:noProof/>
            <w:webHidden/>
          </w:rPr>
          <w:fldChar w:fldCharType="separate"/>
        </w:r>
        <w:r w:rsidR="00CE7BE0">
          <w:rPr>
            <w:noProof/>
            <w:webHidden/>
          </w:rPr>
          <w:t>204</w:t>
        </w:r>
        <w:r w:rsidR="00CE7BE0">
          <w:rPr>
            <w:noProof/>
            <w:webHidden/>
          </w:rPr>
          <w:fldChar w:fldCharType="end"/>
        </w:r>
      </w:hyperlink>
    </w:p>
    <w:p w14:paraId="6A73D85E" w14:textId="5A817765" w:rsidR="00CE7BE0" w:rsidRDefault="006D3518">
      <w:pPr>
        <w:pStyle w:val="TableofFigures"/>
        <w:tabs>
          <w:tab w:val="right" w:leader="dot" w:pos="9350"/>
        </w:tabs>
        <w:rPr>
          <w:rFonts w:cstheme="minorBidi"/>
          <w:b w:val="0"/>
          <w:bCs w:val="0"/>
          <w:noProof/>
          <w:sz w:val="24"/>
          <w:szCs w:val="24"/>
          <w:lang w:eastAsia="en-GB"/>
        </w:rPr>
      </w:pPr>
      <w:hyperlink w:anchor="_Toc64724109" w:history="1">
        <w:r w:rsidR="00CE7BE0" w:rsidRPr="00F86AA5">
          <w:rPr>
            <w:rStyle w:val="Hyperlink"/>
            <w:noProof/>
          </w:rPr>
          <w:t>Table D.1 Age as a Covariant for Perfusion Factors</w:t>
        </w:r>
        <w:r w:rsidR="00CE7BE0">
          <w:rPr>
            <w:noProof/>
            <w:webHidden/>
          </w:rPr>
          <w:tab/>
        </w:r>
        <w:r w:rsidR="00CE7BE0">
          <w:rPr>
            <w:noProof/>
            <w:webHidden/>
          </w:rPr>
          <w:fldChar w:fldCharType="begin"/>
        </w:r>
        <w:r w:rsidR="00CE7BE0">
          <w:rPr>
            <w:noProof/>
            <w:webHidden/>
          </w:rPr>
          <w:instrText xml:space="preserve"> PAGEREF _Toc64724109 \h </w:instrText>
        </w:r>
        <w:r w:rsidR="00CE7BE0">
          <w:rPr>
            <w:noProof/>
            <w:webHidden/>
          </w:rPr>
        </w:r>
        <w:r w:rsidR="00CE7BE0">
          <w:rPr>
            <w:noProof/>
            <w:webHidden/>
          </w:rPr>
          <w:fldChar w:fldCharType="separate"/>
        </w:r>
        <w:r w:rsidR="00CE7BE0">
          <w:rPr>
            <w:noProof/>
            <w:webHidden/>
          </w:rPr>
          <w:t>206</w:t>
        </w:r>
        <w:r w:rsidR="00CE7BE0">
          <w:rPr>
            <w:noProof/>
            <w:webHidden/>
          </w:rPr>
          <w:fldChar w:fldCharType="end"/>
        </w:r>
      </w:hyperlink>
    </w:p>
    <w:p w14:paraId="79407EEA" w14:textId="2D9313F1" w:rsidR="00CE7BE0" w:rsidRDefault="006D3518">
      <w:pPr>
        <w:pStyle w:val="TableofFigures"/>
        <w:tabs>
          <w:tab w:val="right" w:leader="dot" w:pos="9350"/>
        </w:tabs>
        <w:rPr>
          <w:rFonts w:cstheme="minorBidi"/>
          <w:b w:val="0"/>
          <w:bCs w:val="0"/>
          <w:noProof/>
          <w:sz w:val="24"/>
          <w:szCs w:val="24"/>
          <w:lang w:eastAsia="en-GB"/>
        </w:rPr>
      </w:pPr>
      <w:hyperlink w:anchor="_Toc64724110" w:history="1">
        <w:r w:rsidR="00CE7BE0" w:rsidRPr="00F86AA5">
          <w:rPr>
            <w:rStyle w:val="Hyperlink"/>
            <w:noProof/>
          </w:rPr>
          <w:t>Table D.2 differences between metabolic and cardiovascular parameters between groups</w:t>
        </w:r>
        <w:r w:rsidR="00CE7BE0">
          <w:rPr>
            <w:noProof/>
            <w:webHidden/>
          </w:rPr>
          <w:tab/>
        </w:r>
        <w:r w:rsidR="00CE7BE0">
          <w:rPr>
            <w:noProof/>
            <w:webHidden/>
          </w:rPr>
          <w:fldChar w:fldCharType="begin"/>
        </w:r>
        <w:r w:rsidR="00CE7BE0">
          <w:rPr>
            <w:noProof/>
            <w:webHidden/>
          </w:rPr>
          <w:instrText xml:space="preserve"> PAGEREF _Toc64724110 \h </w:instrText>
        </w:r>
        <w:r w:rsidR="00CE7BE0">
          <w:rPr>
            <w:noProof/>
            <w:webHidden/>
          </w:rPr>
        </w:r>
        <w:r w:rsidR="00CE7BE0">
          <w:rPr>
            <w:noProof/>
            <w:webHidden/>
          </w:rPr>
          <w:fldChar w:fldCharType="separate"/>
        </w:r>
        <w:r w:rsidR="00CE7BE0">
          <w:rPr>
            <w:noProof/>
            <w:webHidden/>
          </w:rPr>
          <w:t>207</w:t>
        </w:r>
        <w:r w:rsidR="00CE7BE0">
          <w:rPr>
            <w:noProof/>
            <w:webHidden/>
          </w:rPr>
          <w:fldChar w:fldCharType="end"/>
        </w:r>
      </w:hyperlink>
    </w:p>
    <w:p w14:paraId="3A51BF02" w14:textId="452C7EC2" w:rsidR="00CE7BE0" w:rsidRDefault="006D3518">
      <w:pPr>
        <w:pStyle w:val="TableofFigures"/>
        <w:tabs>
          <w:tab w:val="right" w:leader="dot" w:pos="9350"/>
        </w:tabs>
        <w:rPr>
          <w:rFonts w:cstheme="minorBidi"/>
          <w:b w:val="0"/>
          <w:bCs w:val="0"/>
          <w:noProof/>
          <w:sz w:val="24"/>
          <w:szCs w:val="24"/>
          <w:lang w:eastAsia="en-GB"/>
        </w:rPr>
      </w:pPr>
      <w:hyperlink w:anchor="_Toc64724111" w:history="1">
        <w:r w:rsidR="00CE7BE0" w:rsidRPr="00F86AA5">
          <w:rPr>
            <w:rStyle w:val="Hyperlink"/>
            <w:noProof/>
          </w:rPr>
          <w:t>Table D.3 Descriptive statistics for thermal thresholds and pain perception by group</w:t>
        </w:r>
        <w:r w:rsidR="00CE7BE0">
          <w:rPr>
            <w:noProof/>
            <w:webHidden/>
          </w:rPr>
          <w:tab/>
        </w:r>
        <w:r w:rsidR="00CE7BE0">
          <w:rPr>
            <w:noProof/>
            <w:webHidden/>
          </w:rPr>
          <w:fldChar w:fldCharType="begin"/>
        </w:r>
        <w:r w:rsidR="00CE7BE0">
          <w:rPr>
            <w:noProof/>
            <w:webHidden/>
          </w:rPr>
          <w:instrText xml:space="preserve"> PAGEREF _Toc64724111 \h </w:instrText>
        </w:r>
        <w:r w:rsidR="00CE7BE0">
          <w:rPr>
            <w:noProof/>
            <w:webHidden/>
          </w:rPr>
        </w:r>
        <w:r w:rsidR="00CE7BE0">
          <w:rPr>
            <w:noProof/>
            <w:webHidden/>
          </w:rPr>
          <w:fldChar w:fldCharType="separate"/>
        </w:r>
        <w:r w:rsidR="00CE7BE0">
          <w:rPr>
            <w:noProof/>
            <w:webHidden/>
          </w:rPr>
          <w:t>208</w:t>
        </w:r>
        <w:r w:rsidR="00CE7BE0">
          <w:rPr>
            <w:noProof/>
            <w:webHidden/>
          </w:rPr>
          <w:fldChar w:fldCharType="end"/>
        </w:r>
      </w:hyperlink>
    </w:p>
    <w:p w14:paraId="6D198E0F" w14:textId="0E6639C2" w:rsidR="00CE7BE0" w:rsidRDefault="006D3518">
      <w:pPr>
        <w:pStyle w:val="TableofFigures"/>
        <w:tabs>
          <w:tab w:val="right" w:leader="dot" w:pos="9350"/>
        </w:tabs>
        <w:rPr>
          <w:rFonts w:cstheme="minorBidi"/>
          <w:b w:val="0"/>
          <w:bCs w:val="0"/>
          <w:noProof/>
          <w:sz w:val="24"/>
          <w:szCs w:val="24"/>
          <w:lang w:eastAsia="en-GB"/>
        </w:rPr>
      </w:pPr>
      <w:hyperlink w:anchor="_Toc64724112" w:history="1">
        <w:r w:rsidR="00CE7BE0" w:rsidRPr="00F86AA5">
          <w:rPr>
            <w:rStyle w:val="Hyperlink"/>
            <w:noProof/>
          </w:rPr>
          <w:t>Table D.4 Multivariate ANCOVA comparing group RBV during a pain condition adjusted by pain perception</w:t>
        </w:r>
        <w:r w:rsidR="00CE7BE0" w:rsidRPr="00F86AA5">
          <w:rPr>
            <w:rStyle w:val="Hyperlink"/>
            <w:noProof/>
            <w:vertAlign w:val="superscript"/>
          </w:rPr>
          <w:t>a</w:t>
        </w:r>
        <w:r w:rsidR="00CE7BE0" w:rsidRPr="00F86AA5">
          <w:rPr>
            <w:rStyle w:val="Hyperlink"/>
            <w:noProof/>
          </w:rPr>
          <w:t xml:space="preserve"> by region of interest.</w:t>
        </w:r>
        <w:r w:rsidR="00CE7BE0">
          <w:rPr>
            <w:noProof/>
            <w:webHidden/>
          </w:rPr>
          <w:tab/>
        </w:r>
        <w:r w:rsidR="00CE7BE0">
          <w:rPr>
            <w:noProof/>
            <w:webHidden/>
          </w:rPr>
          <w:fldChar w:fldCharType="begin"/>
        </w:r>
        <w:r w:rsidR="00CE7BE0">
          <w:rPr>
            <w:noProof/>
            <w:webHidden/>
          </w:rPr>
          <w:instrText xml:space="preserve"> PAGEREF _Toc64724112 \h </w:instrText>
        </w:r>
        <w:r w:rsidR="00CE7BE0">
          <w:rPr>
            <w:noProof/>
            <w:webHidden/>
          </w:rPr>
        </w:r>
        <w:r w:rsidR="00CE7BE0">
          <w:rPr>
            <w:noProof/>
            <w:webHidden/>
          </w:rPr>
          <w:fldChar w:fldCharType="separate"/>
        </w:r>
        <w:r w:rsidR="00CE7BE0">
          <w:rPr>
            <w:noProof/>
            <w:webHidden/>
          </w:rPr>
          <w:t>209</w:t>
        </w:r>
        <w:r w:rsidR="00CE7BE0">
          <w:rPr>
            <w:noProof/>
            <w:webHidden/>
          </w:rPr>
          <w:fldChar w:fldCharType="end"/>
        </w:r>
      </w:hyperlink>
    </w:p>
    <w:p w14:paraId="086BC998" w14:textId="73597518" w:rsidR="00CE7BE0" w:rsidRDefault="006D3518">
      <w:pPr>
        <w:pStyle w:val="TableofFigures"/>
        <w:tabs>
          <w:tab w:val="right" w:leader="dot" w:pos="9350"/>
        </w:tabs>
        <w:rPr>
          <w:rFonts w:cstheme="minorBidi"/>
          <w:b w:val="0"/>
          <w:bCs w:val="0"/>
          <w:noProof/>
          <w:sz w:val="24"/>
          <w:szCs w:val="24"/>
          <w:lang w:eastAsia="en-GB"/>
        </w:rPr>
      </w:pPr>
      <w:hyperlink w:anchor="_Toc64724113" w:history="1">
        <w:r w:rsidR="00CE7BE0" w:rsidRPr="00F86AA5">
          <w:rPr>
            <w:rStyle w:val="Hyperlink"/>
            <w:noProof/>
          </w:rPr>
          <w:t>Table D.5: Univariate ANCOVA comparing group RBF during a pain condition adjusted by LIKERT by ROI.</w:t>
        </w:r>
        <w:r w:rsidR="00CE7BE0">
          <w:rPr>
            <w:noProof/>
            <w:webHidden/>
          </w:rPr>
          <w:tab/>
        </w:r>
        <w:r w:rsidR="00CE7BE0">
          <w:rPr>
            <w:noProof/>
            <w:webHidden/>
          </w:rPr>
          <w:fldChar w:fldCharType="begin"/>
        </w:r>
        <w:r w:rsidR="00CE7BE0">
          <w:rPr>
            <w:noProof/>
            <w:webHidden/>
          </w:rPr>
          <w:instrText xml:space="preserve"> PAGEREF _Toc64724113 \h </w:instrText>
        </w:r>
        <w:r w:rsidR="00CE7BE0">
          <w:rPr>
            <w:noProof/>
            <w:webHidden/>
          </w:rPr>
        </w:r>
        <w:r w:rsidR="00CE7BE0">
          <w:rPr>
            <w:noProof/>
            <w:webHidden/>
          </w:rPr>
          <w:fldChar w:fldCharType="separate"/>
        </w:r>
        <w:r w:rsidR="00CE7BE0">
          <w:rPr>
            <w:noProof/>
            <w:webHidden/>
          </w:rPr>
          <w:t>211</w:t>
        </w:r>
        <w:r w:rsidR="00CE7BE0">
          <w:rPr>
            <w:noProof/>
            <w:webHidden/>
          </w:rPr>
          <w:fldChar w:fldCharType="end"/>
        </w:r>
      </w:hyperlink>
    </w:p>
    <w:p w14:paraId="2A216E50" w14:textId="729BDD0D" w:rsidR="00CE7BE0" w:rsidRDefault="006D3518">
      <w:pPr>
        <w:pStyle w:val="TableofFigures"/>
        <w:tabs>
          <w:tab w:val="right" w:leader="dot" w:pos="9350"/>
        </w:tabs>
        <w:rPr>
          <w:rFonts w:cstheme="minorBidi"/>
          <w:b w:val="0"/>
          <w:bCs w:val="0"/>
          <w:noProof/>
          <w:sz w:val="24"/>
          <w:szCs w:val="24"/>
          <w:lang w:eastAsia="en-GB"/>
        </w:rPr>
      </w:pPr>
      <w:hyperlink w:anchor="_Toc64724114" w:history="1">
        <w:r w:rsidR="00CE7BE0" w:rsidRPr="00F86AA5">
          <w:rPr>
            <w:rStyle w:val="Hyperlink"/>
            <w:noProof/>
          </w:rPr>
          <w:t>Table D.6. Multivariate ANCOVA comparing group MTT during a pain condition adjusted by pain perception by region of interest.</w:t>
        </w:r>
        <w:r w:rsidR="00CE7BE0">
          <w:rPr>
            <w:noProof/>
            <w:webHidden/>
          </w:rPr>
          <w:tab/>
        </w:r>
        <w:r w:rsidR="00CE7BE0">
          <w:rPr>
            <w:noProof/>
            <w:webHidden/>
          </w:rPr>
          <w:fldChar w:fldCharType="begin"/>
        </w:r>
        <w:r w:rsidR="00CE7BE0">
          <w:rPr>
            <w:noProof/>
            <w:webHidden/>
          </w:rPr>
          <w:instrText xml:space="preserve"> PAGEREF _Toc64724114 \h </w:instrText>
        </w:r>
        <w:r w:rsidR="00CE7BE0">
          <w:rPr>
            <w:noProof/>
            <w:webHidden/>
          </w:rPr>
        </w:r>
        <w:r w:rsidR="00CE7BE0">
          <w:rPr>
            <w:noProof/>
            <w:webHidden/>
          </w:rPr>
          <w:fldChar w:fldCharType="separate"/>
        </w:r>
        <w:r w:rsidR="00CE7BE0">
          <w:rPr>
            <w:noProof/>
            <w:webHidden/>
          </w:rPr>
          <w:t>212</w:t>
        </w:r>
        <w:r w:rsidR="00CE7BE0">
          <w:rPr>
            <w:noProof/>
            <w:webHidden/>
          </w:rPr>
          <w:fldChar w:fldCharType="end"/>
        </w:r>
      </w:hyperlink>
    </w:p>
    <w:p w14:paraId="5F91BF57" w14:textId="03F221AA" w:rsidR="00CE7BE0" w:rsidRDefault="006D3518">
      <w:pPr>
        <w:pStyle w:val="TableofFigures"/>
        <w:tabs>
          <w:tab w:val="right" w:leader="dot" w:pos="9350"/>
        </w:tabs>
        <w:rPr>
          <w:rFonts w:cstheme="minorBidi"/>
          <w:b w:val="0"/>
          <w:bCs w:val="0"/>
          <w:noProof/>
          <w:sz w:val="24"/>
          <w:szCs w:val="24"/>
          <w:lang w:eastAsia="en-GB"/>
        </w:rPr>
      </w:pPr>
      <w:hyperlink w:anchor="_Toc64724115" w:history="1">
        <w:r w:rsidR="00CE7BE0" w:rsidRPr="00F86AA5">
          <w:rPr>
            <w:rStyle w:val="Hyperlink"/>
            <w:noProof/>
          </w:rPr>
          <w:t>Table D.7: Multivariate ANCOVA comparing TTP by group and ROI adjusted by LIKERT</w:t>
        </w:r>
        <w:r w:rsidR="00CE7BE0" w:rsidRPr="00F86AA5">
          <w:rPr>
            <w:rStyle w:val="Hyperlink"/>
            <w:rFonts w:ascii="Times New Roman" w:hAnsi="Times New Roman"/>
            <w:noProof/>
          </w:rPr>
          <w:t>.</w:t>
        </w:r>
        <w:r w:rsidR="00CE7BE0">
          <w:rPr>
            <w:noProof/>
            <w:webHidden/>
          </w:rPr>
          <w:tab/>
        </w:r>
        <w:r w:rsidR="00CE7BE0">
          <w:rPr>
            <w:noProof/>
            <w:webHidden/>
          </w:rPr>
          <w:fldChar w:fldCharType="begin"/>
        </w:r>
        <w:r w:rsidR="00CE7BE0">
          <w:rPr>
            <w:noProof/>
            <w:webHidden/>
          </w:rPr>
          <w:instrText xml:space="preserve"> PAGEREF _Toc64724115 \h </w:instrText>
        </w:r>
        <w:r w:rsidR="00CE7BE0">
          <w:rPr>
            <w:noProof/>
            <w:webHidden/>
          </w:rPr>
        </w:r>
        <w:r w:rsidR="00CE7BE0">
          <w:rPr>
            <w:noProof/>
            <w:webHidden/>
          </w:rPr>
          <w:fldChar w:fldCharType="separate"/>
        </w:r>
        <w:r w:rsidR="00CE7BE0">
          <w:rPr>
            <w:noProof/>
            <w:webHidden/>
          </w:rPr>
          <w:t>213</w:t>
        </w:r>
        <w:r w:rsidR="00CE7BE0">
          <w:rPr>
            <w:noProof/>
            <w:webHidden/>
          </w:rPr>
          <w:fldChar w:fldCharType="end"/>
        </w:r>
      </w:hyperlink>
    </w:p>
    <w:p w14:paraId="756642FF" w14:textId="67C58849" w:rsidR="00CE7BE0" w:rsidRDefault="006D3518">
      <w:pPr>
        <w:pStyle w:val="TableofFigures"/>
        <w:tabs>
          <w:tab w:val="right" w:leader="dot" w:pos="9350"/>
        </w:tabs>
        <w:rPr>
          <w:rFonts w:cstheme="minorBidi"/>
          <w:b w:val="0"/>
          <w:bCs w:val="0"/>
          <w:noProof/>
          <w:sz w:val="24"/>
          <w:szCs w:val="24"/>
          <w:lang w:eastAsia="en-GB"/>
        </w:rPr>
      </w:pPr>
      <w:hyperlink w:anchor="_Toc64724116" w:history="1">
        <w:r w:rsidR="00CE7BE0" w:rsidRPr="00F86AA5">
          <w:rPr>
            <w:rStyle w:val="Hyperlink"/>
            <w:noProof/>
          </w:rPr>
          <w:t>Table D.8: -Multivariate Tests for Delta RBV</w:t>
        </w:r>
        <w:r w:rsidR="00CE7BE0">
          <w:rPr>
            <w:noProof/>
            <w:webHidden/>
          </w:rPr>
          <w:tab/>
        </w:r>
        <w:r w:rsidR="00CE7BE0">
          <w:rPr>
            <w:noProof/>
            <w:webHidden/>
          </w:rPr>
          <w:fldChar w:fldCharType="begin"/>
        </w:r>
        <w:r w:rsidR="00CE7BE0">
          <w:rPr>
            <w:noProof/>
            <w:webHidden/>
          </w:rPr>
          <w:instrText xml:space="preserve"> PAGEREF _Toc64724116 \h </w:instrText>
        </w:r>
        <w:r w:rsidR="00CE7BE0">
          <w:rPr>
            <w:noProof/>
            <w:webHidden/>
          </w:rPr>
        </w:r>
        <w:r w:rsidR="00CE7BE0">
          <w:rPr>
            <w:noProof/>
            <w:webHidden/>
          </w:rPr>
          <w:fldChar w:fldCharType="separate"/>
        </w:r>
        <w:r w:rsidR="00CE7BE0">
          <w:rPr>
            <w:noProof/>
            <w:webHidden/>
          </w:rPr>
          <w:t>214</w:t>
        </w:r>
        <w:r w:rsidR="00CE7BE0">
          <w:rPr>
            <w:noProof/>
            <w:webHidden/>
          </w:rPr>
          <w:fldChar w:fldCharType="end"/>
        </w:r>
      </w:hyperlink>
    </w:p>
    <w:p w14:paraId="6F251B08" w14:textId="5796FE62" w:rsidR="00CE7BE0" w:rsidRDefault="006D3518">
      <w:pPr>
        <w:pStyle w:val="TableofFigures"/>
        <w:tabs>
          <w:tab w:val="right" w:leader="dot" w:pos="9350"/>
        </w:tabs>
        <w:rPr>
          <w:rFonts w:cstheme="minorBidi"/>
          <w:b w:val="0"/>
          <w:bCs w:val="0"/>
          <w:noProof/>
          <w:sz w:val="24"/>
          <w:szCs w:val="24"/>
          <w:lang w:eastAsia="en-GB"/>
        </w:rPr>
      </w:pPr>
      <w:hyperlink w:anchor="_Toc64724117" w:history="1">
        <w:r w:rsidR="00CE7BE0" w:rsidRPr="00F86AA5">
          <w:rPr>
            <w:rStyle w:val="Hyperlink"/>
            <w:noProof/>
          </w:rPr>
          <w:t>Table D.9 Delta RBV:  Univariate ANCOVA tests with group as the fixed factor and Likert as the covariant reported by region of interest- Model 1.</w:t>
        </w:r>
        <w:r w:rsidR="00CE7BE0">
          <w:rPr>
            <w:noProof/>
            <w:webHidden/>
          </w:rPr>
          <w:tab/>
        </w:r>
        <w:r w:rsidR="00CE7BE0">
          <w:rPr>
            <w:noProof/>
            <w:webHidden/>
          </w:rPr>
          <w:fldChar w:fldCharType="begin"/>
        </w:r>
        <w:r w:rsidR="00CE7BE0">
          <w:rPr>
            <w:noProof/>
            <w:webHidden/>
          </w:rPr>
          <w:instrText xml:space="preserve"> PAGEREF _Toc64724117 \h </w:instrText>
        </w:r>
        <w:r w:rsidR="00CE7BE0">
          <w:rPr>
            <w:noProof/>
            <w:webHidden/>
          </w:rPr>
        </w:r>
        <w:r w:rsidR="00CE7BE0">
          <w:rPr>
            <w:noProof/>
            <w:webHidden/>
          </w:rPr>
          <w:fldChar w:fldCharType="separate"/>
        </w:r>
        <w:r w:rsidR="00CE7BE0">
          <w:rPr>
            <w:noProof/>
            <w:webHidden/>
          </w:rPr>
          <w:t>215</w:t>
        </w:r>
        <w:r w:rsidR="00CE7BE0">
          <w:rPr>
            <w:noProof/>
            <w:webHidden/>
          </w:rPr>
          <w:fldChar w:fldCharType="end"/>
        </w:r>
      </w:hyperlink>
    </w:p>
    <w:p w14:paraId="7D8AFF68" w14:textId="1856E99A" w:rsidR="00CE7BE0" w:rsidRDefault="006D3518">
      <w:pPr>
        <w:pStyle w:val="TableofFigures"/>
        <w:tabs>
          <w:tab w:val="right" w:leader="dot" w:pos="9350"/>
        </w:tabs>
        <w:rPr>
          <w:rFonts w:cstheme="minorBidi"/>
          <w:b w:val="0"/>
          <w:bCs w:val="0"/>
          <w:noProof/>
          <w:sz w:val="24"/>
          <w:szCs w:val="24"/>
          <w:lang w:eastAsia="en-GB"/>
        </w:rPr>
      </w:pPr>
      <w:hyperlink w:anchor="_Toc64724118" w:history="1">
        <w:r w:rsidR="00CE7BE0" w:rsidRPr="00F86AA5">
          <w:rPr>
            <w:rStyle w:val="Hyperlink"/>
            <w:noProof/>
          </w:rPr>
          <w:t>Table D.10 Delta RBV:  Linear regression of LIKERT for GROUP at POWM</w:t>
        </w:r>
        <w:r w:rsidR="00CE7BE0">
          <w:rPr>
            <w:noProof/>
            <w:webHidden/>
          </w:rPr>
          <w:tab/>
        </w:r>
        <w:r w:rsidR="00CE7BE0">
          <w:rPr>
            <w:noProof/>
            <w:webHidden/>
          </w:rPr>
          <w:fldChar w:fldCharType="begin"/>
        </w:r>
        <w:r w:rsidR="00CE7BE0">
          <w:rPr>
            <w:noProof/>
            <w:webHidden/>
          </w:rPr>
          <w:instrText xml:space="preserve"> PAGEREF _Toc64724118 \h </w:instrText>
        </w:r>
        <w:r w:rsidR="00CE7BE0">
          <w:rPr>
            <w:noProof/>
            <w:webHidden/>
          </w:rPr>
        </w:r>
        <w:r w:rsidR="00CE7BE0">
          <w:rPr>
            <w:noProof/>
            <w:webHidden/>
          </w:rPr>
          <w:fldChar w:fldCharType="separate"/>
        </w:r>
        <w:r w:rsidR="00CE7BE0">
          <w:rPr>
            <w:noProof/>
            <w:webHidden/>
          </w:rPr>
          <w:t>216</w:t>
        </w:r>
        <w:r w:rsidR="00CE7BE0">
          <w:rPr>
            <w:noProof/>
            <w:webHidden/>
          </w:rPr>
          <w:fldChar w:fldCharType="end"/>
        </w:r>
      </w:hyperlink>
    </w:p>
    <w:p w14:paraId="58754293" w14:textId="625FD136" w:rsidR="00CE7BE0" w:rsidRDefault="006D3518">
      <w:pPr>
        <w:pStyle w:val="TableofFigures"/>
        <w:tabs>
          <w:tab w:val="right" w:leader="dot" w:pos="9350"/>
        </w:tabs>
        <w:rPr>
          <w:rFonts w:cstheme="minorBidi"/>
          <w:b w:val="0"/>
          <w:bCs w:val="0"/>
          <w:noProof/>
          <w:sz w:val="24"/>
          <w:szCs w:val="24"/>
          <w:lang w:eastAsia="en-GB"/>
        </w:rPr>
      </w:pPr>
      <w:hyperlink w:anchor="_Toc64724119" w:history="1">
        <w:r w:rsidR="00CE7BE0" w:rsidRPr="00F86AA5">
          <w:rPr>
            <w:rStyle w:val="Hyperlink"/>
            <w:noProof/>
          </w:rPr>
          <w:t>Table D.11: ANOVA comparing regression slopes and intercepts for statistical significance for delta RBV-POWM and LIKERT by group</w:t>
        </w:r>
        <w:r w:rsidR="00CE7BE0">
          <w:rPr>
            <w:noProof/>
            <w:webHidden/>
          </w:rPr>
          <w:tab/>
        </w:r>
        <w:r w:rsidR="00CE7BE0">
          <w:rPr>
            <w:noProof/>
            <w:webHidden/>
          </w:rPr>
          <w:fldChar w:fldCharType="begin"/>
        </w:r>
        <w:r w:rsidR="00CE7BE0">
          <w:rPr>
            <w:noProof/>
            <w:webHidden/>
          </w:rPr>
          <w:instrText xml:space="preserve"> PAGEREF _Toc64724119 \h </w:instrText>
        </w:r>
        <w:r w:rsidR="00CE7BE0">
          <w:rPr>
            <w:noProof/>
            <w:webHidden/>
          </w:rPr>
        </w:r>
        <w:r w:rsidR="00CE7BE0">
          <w:rPr>
            <w:noProof/>
            <w:webHidden/>
          </w:rPr>
          <w:fldChar w:fldCharType="separate"/>
        </w:r>
        <w:r w:rsidR="00CE7BE0">
          <w:rPr>
            <w:noProof/>
            <w:webHidden/>
          </w:rPr>
          <w:t>216</w:t>
        </w:r>
        <w:r w:rsidR="00CE7BE0">
          <w:rPr>
            <w:noProof/>
            <w:webHidden/>
          </w:rPr>
          <w:fldChar w:fldCharType="end"/>
        </w:r>
      </w:hyperlink>
    </w:p>
    <w:p w14:paraId="2587DCBE" w14:textId="43D0CFA0" w:rsidR="00CE7BE0" w:rsidRDefault="006D3518">
      <w:pPr>
        <w:pStyle w:val="TableofFigures"/>
        <w:tabs>
          <w:tab w:val="right" w:leader="dot" w:pos="9350"/>
        </w:tabs>
        <w:rPr>
          <w:rFonts w:cstheme="minorBidi"/>
          <w:b w:val="0"/>
          <w:bCs w:val="0"/>
          <w:noProof/>
          <w:sz w:val="24"/>
          <w:szCs w:val="24"/>
          <w:lang w:eastAsia="en-GB"/>
        </w:rPr>
      </w:pPr>
      <w:hyperlink w:anchor="_Toc64724120" w:history="1">
        <w:r w:rsidR="00CE7BE0" w:rsidRPr="00F86AA5">
          <w:rPr>
            <w:rStyle w:val="Hyperlink"/>
            <w:noProof/>
          </w:rPr>
          <w:t>Table D.12 Post Hoc T-tests comparing Intercepts and Slopes of regression of RBV-POWM and pain perception as measured by LIKERT for groups</w:t>
        </w:r>
        <w:r w:rsidR="00CE7BE0">
          <w:rPr>
            <w:noProof/>
            <w:webHidden/>
          </w:rPr>
          <w:tab/>
        </w:r>
        <w:r w:rsidR="00CE7BE0">
          <w:rPr>
            <w:noProof/>
            <w:webHidden/>
          </w:rPr>
          <w:fldChar w:fldCharType="begin"/>
        </w:r>
        <w:r w:rsidR="00CE7BE0">
          <w:rPr>
            <w:noProof/>
            <w:webHidden/>
          </w:rPr>
          <w:instrText xml:space="preserve"> PAGEREF _Toc64724120 \h </w:instrText>
        </w:r>
        <w:r w:rsidR="00CE7BE0">
          <w:rPr>
            <w:noProof/>
            <w:webHidden/>
          </w:rPr>
        </w:r>
        <w:r w:rsidR="00CE7BE0">
          <w:rPr>
            <w:noProof/>
            <w:webHidden/>
          </w:rPr>
          <w:fldChar w:fldCharType="separate"/>
        </w:r>
        <w:r w:rsidR="00CE7BE0">
          <w:rPr>
            <w:noProof/>
            <w:webHidden/>
          </w:rPr>
          <w:t>217</w:t>
        </w:r>
        <w:r w:rsidR="00CE7BE0">
          <w:rPr>
            <w:noProof/>
            <w:webHidden/>
          </w:rPr>
          <w:fldChar w:fldCharType="end"/>
        </w:r>
      </w:hyperlink>
    </w:p>
    <w:p w14:paraId="682C289B" w14:textId="06B083FF" w:rsidR="00CE7BE0" w:rsidRDefault="006D3518">
      <w:pPr>
        <w:pStyle w:val="TableofFigures"/>
        <w:tabs>
          <w:tab w:val="right" w:leader="dot" w:pos="9350"/>
        </w:tabs>
        <w:rPr>
          <w:rFonts w:cstheme="minorBidi"/>
          <w:b w:val="0"/>
          <w:bCs w:val="0"/>
          <w:noProof/>
          <w:sz w:val="24"/>
          <w:szCs w:val="24"/>
          <w:lang w:eastAsia="en-GB"/>
        </w:rPr>
      </w:pPr>
      <w:hyperlink w:anchor="_Toc64724121" w:history="1">
        <w:r w:rsidR="00CE7BE0" w:rsidRPr="00F86AA5">
          <w:rPr>
            <w:rStyle w:val="Hyperlink"/>
            <w:noProof/>
          </w:rPr>
          <w:t>Table D.14: ANOVA comparing regression slopes and intercepts for statistical significance for delta RBV-RPSC</w:t>
        </w:r>
        <w:r w:rsidR="00CE7BE0">
          <w:rPr>
            <w:noProof/>
            <w:webHidden/>
          </w:rPr>
          <w:tab/>
        </w:r>
        <w:r w:rsidR="00CE7BE0">
          <w:rPr>
            <w:noProof/>
            <w:webHidden/>
          </w:rPr>
          <w:fldChar w:fldCharType="begin"/>
        </w:r>
        <w:r w:rsidR="00CE7BE0">
          <w:rPr>
            <w:noProof/>
            <w:webHidden/>
          </w:rPr>
          <w:instrText xml:space="preserve"> PAGEREF _Toc64724121 \h </w:instrText>
        </w:r>
        <w:r w:rsidR="00CE7BE0">
          <w:rPr>
            <w:noProof/>
            <w:webHidden/>
          </w:rPr>
        </w:r>
        <w:r w:rsidR="00CE7BE0">
          <w:rPr>
            <w:noProof/>
            <w:webHidden/>
          </w:rPr>
          <w:fldChar w:fldCharType="separate"/>
        </w:r>
        <w:r w:rsidR="00CE7BE0">
          <w:rPr>
            <w:noProof/>
            <w:webHidden/>
          </w:rPr>
          <w:t>218</w:t>
        </w:r>
        <w:r w:rsidR="00CE7BE0">
          <w:rPr>
            <w:noProof/>
            <w:webHidden/>
          </w:rPr>
          <w:fldChar w:fldCharType="end"/>
        </w:r>
      </w:hyperlink>
    </w:p>
    <w:p w14:paraId="011EBC5F" w14:textId="5367C3D6" w:rsidR="00CE7BE0" w:rsidRDefault="006D3518">
      <w:pPr>
        <w:pStyle w:val="TableofFigures"/>
        <w:tabs>
          <w:tab w:val="right" w:leader="dot" w:pos="9350"/>
        </w:tabs>
        <w:rPr>
          <w:rFonts w:cstheme="minorBidi"/>
          <w:b w:val="0"/>
          <w:bCs w:val="0"/>
          <w:noProof/>
          <w:sz w:val="24"/>
          <w:szCs w:val="24"/>
          <w:lang w:eastAsia="en-GB"/>
        </w:rPr>
      </w:pPr>
      <w:hyperlink w:anchor="_Toc64724122" w:history="1">
        <w:r w:rsidR="00CE7BE0" w:rsidRPr="00F86AA5">
          <w:rPr>
            <w:rStyle w:val="Hyperlink"/>
            <w:noProof/>
          </w:rPr>
          <w:t>Table D.15: Post Hoc T-Test Comparisons of Regression Intercepts and slopes for Delta RBV-RPSC</w:t>
        </w:r>
        <w:r w:rsidR="00CE7BE0">
          <w:rPr>
            <w:noProof/>
            <w:webHidden/>
          </w:rPr>
          <w:tab/>
        </w:r>
        <w:r w:rsidR="00CE7BE0">
          <w:rPr>
            <w:noProof/>
            <w:webHidden/>
          </w:rPr>
          <w:fldChar w:fldCharType="begin"/>
        </w:r>
        <w:r w:rsidR="00CE7BE0">
          <w:rPr>
            <w:noProof/>
            <w:webHidden/>
          </w:rPr>
          <w:instrText xml:space="preserve"> PAGEREF _Toc64724122 \h </w:instrText>
        </w:r>
        <w:r w:rsidR="00CE7BE0">
          <w:rPr>
            <w:noProof/>
            <w:webHidden/>
          </w:rPr>
        </w:r>
        <w:r w:rsidR="00CE7BE0">
          <w:rPr>
            <w:noProof/>
            <w:webHidden/>
          </w:rPr>
          <w:fldChar w:fldCharType="separate"/>
        </w:r>
        <w:r w:rsidR="00CE7BE0">
          <w:rPr>
            <w:noProof/>
            <w:webHidden/>
          </w:rPr>
          <w:t>218</w:t>
        </w:r>
        <w:r w:rsidR="00CE7BE0">
          <w:rPr>
            <w:noProof/>
            <w:webHidden/>
          </w:rPr>
          <w:fldChar w:fldCharType="end"/>
        </w:r>
      </w:hyperlink>
    </w:p>
    <w:p w14:paraId="132D37DF" w14:textId="43D89CB4" w:rsidR="00CE7BE0" w:rsidRDefault="006D3518">
      <w:pPr>
        <w:pStyle w:val="TableofFigures"/>
        <w:tabs>
          <w:tab w:val="right" w:leader="dot" w:pos="9350"/>
        </w:tabs>
        <w:rPr>
          <w:rFonts w:cstheme="minorBidi"/>
          <w:b w:val="0"/>
          <w:bCs w:val="0"/>
          <w:noProof/>
          <w:sz w:val="24"/>
          <w:szCs w:val="24"/>
          <w:lang w:eastAsia="en-GB"/>
        </w:rPr>
      </w:pPr>
      <w:hyperlink w:anchor="_Toc64724123" w:history="1">
        <w:r w:rsidR="00CE7BE0" w:rsidRPr="00F86AA5">
          <w:rPr>
            <w:rStyle w:val="Hyperlink"/>
            <w:noProof/>
          </w:rPr>
          <w:t>Table D.16: -Multivariate Tests for Delta RBF  and Region of Interest Model 1-4</w:t>
        </w:r>
        <w:r w:rsidR="00CE7BE0">
          <w:rPr>
            <w:noProof/>
            <w:webHidden/>
          </w:rPr>
          <w:tab/>
        </w:r>
        <w:r w:rsidR="00CE7BE0">
          <w:rPr>
            <w:noProof/>
            <w:webHidden/>
          </w:rPr>
          <w:fldChar w:fldCharType="begin"/>
        </w:r>
        <w:r w:rsidR="00CE7BE0">
          <w:rPr>
            <w:noProof/>
            <w:webHidden/>
          </w:rPr>
          <w:instrText xml:space="preserve"> PAGEREF _Toc64724123 \h </w:instrText>
        </w:r>
        <w:r w:rsidR="00CE7BE0">
          <w:rPr>
            <w:noProof/>
            <w:webHidden/>
          </w:rPr>
        </w:r>
        <w:r w:rsidR="00CE7BE0">
          <w:rPr>
            <w:noProof/>
            <w:webHidden/>
          </w:rPr>
          <w:fldChar w:fldCharType="separate"/>
        </w:r>
        <w:r w:rsidR="00CE7BE0">
          <w:rPr>
            <w:noProof/>
            <w:webHidden/>
          </w:rPr>
          <w:t>219</w:t>
        </w:r>
        <w:r w:rsidR="00CE7BE0">
          <w:rPr>
            <w:noProof/>
            <w:webHidden/>
          </w:rPr>
          <w:fldChar w:fldCharType="end"/>
        </w:r>
      </w:hyperlink>
    </w:p>
    <w:p w14:paraId="48C511B2" w14:textId="7B08DFEA" w:rsidR="00CE7BE0" w:rsidRDefault="006D3518">
      <w:pPr>
        <w:pStyle w:val="TableofFigures"/>
        <w:tabs>
          <w:tab w:val="right" w:leader="dot" w:pos="9350"/>
        </w:tabs>
        <w:rPr>
          <w:rFonts w:cstheme="minorBidi"/>
          <w:b w:val="0"/>
          <w:bCs w:val="0"/>
          <w:noProof/>
          <w:sz w:val="24"/>
          <w:szCs w:val="24"/>
          <w:lang w:eastAsia="en-GB"/>
        </w:rPr>
      </w:pPr>
      <w:hyperlink w:anchor="_Toc64724124" w:history="1">
        <w:r w:rsidR="00CE7BE0" w:rsidRPr="00F86AA5">
          <w:rPr>
            <w:rStyle w:val="Hyperlink"/>
            <w:noProof/>
          </w:rPr>
          <w:t>Table D.17: Univariate ANCOVA comparing delta-RBF - reported by region of interest- Model 1</w:t>
        </w:r>
        <w:r w:rsidR="00CE7BE0">
          <w:rPr>
            <w:noProof/>
            <w:webHidden/>
          </w:rPr>
          <w:tab/>
        </w:r>
        <w:r w:rsidR="00CE7BE0">
          <w:rPr>
            <w:noProof/>
            <w:webHidden/>
          </w:rPr>
          <w:fldChar w:fldCharType="begin"/>
        </w:r>
        <w:r w:rsidR="00CE7BE0">
          <w:rPr>
            <w:noProof/>
            <w:webHidden/>
          </w:rPr>
          <w:instrText xml:space="preserve"> PAGEREF _Toc64724124 \h </w:instrText>
        </w:r>
        <w:r w:rsidR="00CE7BE0">
          <w:rPr>
            <w:noProof/>
            <w:webHidden/>
          </w:rPr>
        </w:r>
        <w:r w:rsidR="00CE7BE0">
          <w:rPr>
            <w:noProof/>
            <w:webHidden/>
          </w:rPr>
          <w:fldChar w:fldCharType="separate"/>
        </w:r>
        <w:r w:rsidR="00CE7BE0">
          <w:rPr>
            <w:noProof/>
            <w:webHidden/>
          </w:rPr>
          <w:t>219</w:t>
        </w:r>
        <w:r w:rsidR="00CE7BE0">
          <w:rPr>
            <w:noProof/>
            <w:webHidden/>
          </w:rPr>
          <w:fldChar w:fldCharType="end"/>
        </w:r>
      </w:hyperlink>
    </w:p>
    <w:p w14:paraId="4B44BB08" w14:textId="17F5456F" w:rsidR="00CE7BE0" w:rsidRDefault="006D3518">
      <w:pPr>
        <w:pStyle w:val="TableofFigures"/>
        <w:tabs>
          <w:tab w:val="right" w:leader="dot" w:pos="9350"/>
        </w:tabs>
        <w:rPr>
          <w:rFonts w:cstheme="minorBidi"/>
          <w:b w:val="0"/>
          <w:bCs w:val="0"/>
          <w:noProof/>
          <w:sz w:val="24"/>
          <w:szCs w:val="24"/>
          <w:lang w:eastAsia="en-GB"/>
        </w:rPr>
      </w:pPr>
      <w:hyperlink w:anchor="_Toc64724125" w:history="1">
        <w:r w:rsidR="00CE7BE0" w:rsidRPr="00F86AA5">
          <w:rPr>
            <w:rStyle w:val="Hyperlink"/>
            <w:noProof/>
          </w:rPr>
          <w:t>Table D.18: -Multivariate Tests for Delta MTT and Region of Interest Model 1-4</w:t>
        </w:r>
        <w:r w:rsidR="00CE7BE0">
          <w:rPr>
            <w:noProof/>
            <w:webHidden/>
          </w:rPr>
          <w:tab/>
        </w:r>
        <w:r w:rsidR="00CE7BE0">
          <w:rPr>
            <w:noProof/>
            <w:webHidden/>
          </w:rPr>
          <w:fldChar w:fldCharType="begin"/>
        </w:r>
        <w:r w:rsidR="00CE7BE0">
          <w:rPr>
            <w:noProof/>
            <w:webHidden/>
          </w:rPr>
          <w:instrText xml:space="preserve"> PAGEREF _Toc64724125 \h </w:instrText>
        </w:r>
        <w:r w:rsidR="00CE7BE0">
          <w:rPr>
            <w:noProof/>
            <w:webHidden/>
          </w:rPr>
        </w:r>
        <w:r w:rsidR="00CE7BE0">
          <w:rPr>
            <w:noProof/>
            <w:webHidden/>
          </w:rPr>
          <w:fldChar w:fldCharType="separate"/>
        </w:r>
        <w:r w:rsidR="00CE7BE0">
          <w:rPr>
            <w:noProof/>
            <w:webHidden/>
          </w:rPr>
          <w:t>221</w:t>
        </w:r>
        <w:r w:rsidR="00CE7BE0">
          <w:rPr>
            <w:noProof/>
            <w:webHidden/>
          </w:rPr>
          <w:fldChar w:fldCharType="end"/>
        </w:r>
      </w:hyperlink>
    </w:p>
    <w:p w14:paraId="26C81081" w14:textId="2B1F5ECF" w:rsidR="00CE7BE0" w:rsidRDefault="006D3518">
      <w:pPr>
        <w:pStyle w:val="TableofFigures"/>
        <w:tabs>
          <w:tab w:val="right" w:leader="dot" w:pos="9350"/>
        </w:tabs>
        <w:rPr>
          <w:rFonts w:cstheme="minorBidi"/>
          <w:b w:val="0"/>
          <w:bCs w:val="0"/>
          <w:noProof/>
          <w:sz w:val="24"/>
          <w:szCs w:val="24"/>
          <w:lang w:eastAsia="en-GB"/>
        </w:rPr>
      </w:pPr>
      <w:hyperlink w:anchor="_Toc64724126" w:history="1">
        <w:r w:rsidR="00CE7BE0" w:rsidRPr="00F86AA5">
          <w:rPr>
            <w:rStyle w:val="Hyperlink"/>
            <w:noProof/>
          </w:rPr>
          <w:t>Table D.19: Univariate ANCOVA comparing delta-MTT - reported by region of interest- Model 1</w:t>
        </w:r>
        <w:r w:rsidR="00CE7BE0">
          <w:rPr>
            <w:noProof/>
            <w:webHidden/>
          </w:rPr>
          <w:tab/>
        </w:r>
        <w:r w:rsidR="00CE7BE0">
          <w:rPr>
            <w:noProof/>
            <w:webHidden/>
          </w:rPr>
          <w:fldChar w:fldCharType="begin"/>
        </w:r>
        <w:r w:rsidR="00CE7BE0">
          <w:rPr>
            <w:noProof/>
            <w:webHidden/>
          </w:rPr>
          <w:instrText xml:space="preserve"> PAGEREF _Toc64724126 \h </w:instrText>
        </w:r>
        <w:r w:rsidR="00CE7BE0">
          <w:rPr>
            <w:noProof/>
            <w:webHidden/>
          </w:rPr>
        </w:r>
        <w:r w:rsidR="00CE7BE0">
          <w:rPr>
            <w:noProof/>
            <w:webHidden/>
          </w:rPr>
          <w:fldChar w:fldCharType="separate"/>
        </w:r>
        <w:r w:rsidR="00CE7BE0">
          <w:rPr>
            <w:noProof/>
            <w:webHidden/>
          </w:rPr>
          <w:t>222</w:t>
        </w:r>
        <w:r w:rsidR="00CE7BE0">
          <w:rPr>
            <w:noProof/>
            <w:webHidden/>
          </w:rPr>
          <w:fldChar w:fldCharType="end"/>
        </w:r>
      </w:hyperlink>
    </w:p>
    <w:p w14:paraId="642DDC3C" w14:textId="7605E37B" w:rsidR="00CE7BE0" w:rsidRDefault="006D3518">
      <w:pPr>
        <w:pStyle w:val="TableofFigures"/>
        <w:tabs>
          <w:tab w:val="right" w:leader="dot" w:pos="9350"/>
        </w:tabs>
        <w:rPr>
          <w:rFonts w:cstheme="minorBidi"/>
          <w:b w:val="0"/>
          <w:bCs w:val="0"/>
          <w:noProof/>
          <w:sz w:val="24"/>
          <w:szCs w:val="24"/>
          <w:lang w:eastAsia="en-GB"/>
        </w:rPr>
      </w:pPr>
      <w:hyperlink w:anchor="_Toc64724127" w:history="1">
        <w:r w:rsidR="00CE7BE0" w:rsidRPr="00F86AA5">
          <w:rPr>
            <w:rStyle w:val="Hyperlink"/>
            <w:noProof/>
          </w:rPr>
          <w:t>Table D.20: Multivariate Tests for Delta TTP and Region of Interest Model 1-4</w:t>
        </w:r>
        <w:r w:rsidR="00CE7BE0">
          <w:rPr>
            <w:noProof/>
            <w:webHidden/>
          </w:rPr>
          <w:tab/>
        </w:r>
        <w:r w:rsidR="00CE7BE0">
          <w:rPr>
            <w:noProof/>
            <w:webHidden/>
          </w:rPr>
          <w:fldChar w:fldCharType="begin"/>
        </w:r>
        <w:r w:rsidR="00CE7BE0">
          <w:rPr>
            <w:noProof/>
            <w:webHidden/>
          </w:rPr>
          <w:instrText xml:space="preserve"> PAGEREF _Toc64724127 \h </w:instrText>
        </w:r>
        <w:r w:rsidR="00CE7BE0">
          <w:rPr>
            <w:noProof/>
            <w:webHidden/>
          </w:rPr>
        </w:r>
        <w:r w:rsidR="00CE7BE0">
          <w:rPr>
            <w:noProof/>
            <w:webHidden/>
          </w:rPr>
          <w:fldChar w:fldCharType="separate"/>
        </w:r>
        <w:r w:rsidR="00CE7BE0">
          <w:rPr>
            <w:noProof/>
            <w:webHidden/>
          </w:rPr>
          <w:t>223</w:t>
        </w:r>
        <w:r w:rsidR="00CE7BE0">
          <w:rPr>
            <w:noProof/>
            <w:webHidden/>
          </w:rPr>
          <w:fldChar w:fldCharType="end"/>
        </w:r>
      </w:hyperlink>
    </w:p>
    <w:p w14:paraId="4E66CC8D" w14:textId="07F41B9E" w:rsidR="00CE7BE0" w:rsidRDefault="006D3518">
      <w:pPr>
        <w:pStyle w:val="TableofFigures"/>
        <w:tabs>
          <w:tab w:val="right" w:leader="dot" w:pos="9350"/>
        </w:tabs>
        <w:rPr>
          <w:rFonts w:cstheme="minorBidi"/>
          <w:b w:val="0"/>
          <w:bCs w:val="0"/>
          <w:noProof/>
          <w:sz w:val="24"/>
          <w:szCs w:val="24"/>
          <w:lang w:eastAsia="en-GB"/>
        </w:rPr>
      </w:pPr>
      <w:hyperlink w:anchor="_Toc64724128" w:history="1">
        <w:r w:rsidR="00CE7BE0" w:rsidRPr="00F86AA5">
          <w:rPr>
            <w:rStyle w:val="Hyperlink"/>
            <w:noProof/>
          </w:rPr>
          <w:t>Table D.21 Delta TTP:  Linear regression of pain perception as measured by Likert scale for Left Thalamus reporting coefficientsa.</w:t>
        </w:r>
        <w:r w:rsidR="00CE7BE0">
          <w:rPr>
            <w:noProof/>
            <w:webHidden/>
          </w:rPr>
          <w:tab/>
        </w:r>
        <w:r w:rsidR="00CE7BE0">
          <w:rPr>
            <w:noProof/>
            <w:webHidden/>
          </w:rPr>
          <w:fldChar w:fldCharType="begin"/>
        </w:r>
        <w:r w:rsidR="00CE7BE0">
          <w:rPr>
            <w:noProof/>
            <w:webHidden/>
          </w:rPr>
          <w:instrText xml:space="preserve"> PAGEREF _Toc64724128 \h </w:instrText>
        </w:r>
        <w:r w:rsidR="00CE7BE0">
          <w:rPr>
            <w:noProof/>
            <w:webHidden/>
          </w:rPr>
        </w:r>
        <w:r w:rsidR="00CE7BE0">
          <w:rPr>
            <w:noProof/>
            <w:webHidden/>
          </w:rPr>
          <w:fldChar w:fldCharType="separate"/>
        </w:r>
        <w:r w:rsidR="00CE7BE0">
          <w:rPr>
            <w:noProof/>
            <w:webHidden/>
          </w:rPr>
          <w:t>224</w:t>
        </w:r>
        <w:r w:rsidR="00CE7BE0">
          <w:rPr>
            <w:noProof/>
            <w:webHidden/>
          </w:rPr>
          <w:fldChar w:fldCharType="end"/>
        </w:r>
      </w:hyperlink>
    </w:p>
    <w:p w14:paraId="58C2267F" w14:textId="10973319" w:rsidR="00CE7BE0" w:rsidRDefault="006D3518">
      <w:pPr>
        <w:pStyle w:val="TableofFigures"/>
        <w:tabs>
          <w:tab w:val="right" w:leader="dot" w:pos="9350"/>
        </w:tabs>
        <w:rPr>
          <w:rFonts w:cstheme="minorBidi"/>
          <w:b w:val="0"/>
          <w:bCs w:val="0"/>
          <w:noProof/>
          <w:sz w:val="24"/>
          <w:szCs w:val="24"/>
          <w:lang w:eastAsia="en-GB"/>
        </w:rPr>
      </w:pPr>
      <w:hyperlink w:anchor="_Toc64724129" w:history="1">
        <w:r w:rsidR="00CE7BE0" w:rsidRPr="00F86AA5">
          <w:rPr>
            <w:rStyle w:val="Hyperlink"/>
            <w:noProof/>
          </w:rPr>
          <w:t>Table D.22: ANOVA comparing regression slopes and intercepts for statistical significance for delta TTP_LThal</w:t>
        </w:r>
        <w:r w:rsidR="00CE7BE0">
          <w:rPr>
            <w:noProof/>
            <w:webHidden/>
          </w:rPr>
          <w:tab/>
        </w:r>
        <w:r w:rsidR="00CE7BE0">
          <w:rPr>
            <w:noProof/>
            <w:webHidden/>
          </w:rPr>
          <w:fldChar w:fldCharType="begin"/>
        </w:r>
        <w:r w:rsidR="00CE7BE0">
          <w:rPr>
            <w:noProof/>
            <w:webHidden/>
          </w:rPr>
          <w:instrText xml:space="preserve"> PAGEREF _Toc64724129 \h </w:instrText>
        </w:r>
        <w:r w:rsidR="00CE7BE0">
          <w:rPr>
            <w:noProof/>
            <w:webHidden/>
          </w:rPr>
        </w:r>
        <w:r w:rsidR="00CE7BE0">
          <w:rPr>
            <w:noProof/>
            <w:webHidden/>
          </w:rPr>
          <w:fldChar w:fldCharType="separate"/>
        </w:r>
        <w:r w:rsidR="00CE7BE0">
          <w:rPr>
            <w:noProof/>
            <w:webHidden/>
          </w:rPr>
          <w:t>224</w:t>
        </w:r>
        <w:r w:rsidR="00CE7BE0">
          <w:rPr>
            <w:noProof/>
            <w:webHidden/>
          </w:rPr>
          <w:fldChar w:fldCharType="end"/>
        </w:r>
      </w:hyperlink>
    </w:p>
    <w:p w14:paraId="2B4BB7D8" w14:textId="3311A5E5" w:rsidR="00CE7BE0" w:rsidRDefault="006D3518">
      <w:pPr>
        <w:pStyle w:val="TableofFigures"/>
        <w:tabs>
          <w:tab w:val="right" w:leader="dot" w:pos="9350"/>
        </w:tabs>
        <w:rPr>
          <w:rFonts w:cstheme="minorBidi"/>
          <w:b w:val="0"/>
          <w:bCs w:val="0"/>
          <w:noProof/>
          <w:sz w:val="24"/>
          <w:szCs w:val="24"/>
          <w:lang w:eastAsia="en-GB"/>
        </w:rPr>
      </w:pPr>
      <w:hyperlink w:anchor="_Toc64724130" w:history="1">
        <w:r w:rsidR="00CE7BE0" w:rsidRPr="00F86AA5">
          <w:rPr>
            <w:rStyle w:val="Hyperlink"/>
            <w:noProof/>
          </w:rPr>
          <w:t>Table D.23: Post Hoc T-Test Comparisons of Regression Intercepts and slopes for Delta TTP-L-thal</w:t>
        </w:r>
        <w:r w:rsidR="00CE7BE0">
          <w:rPr>
            <w:noProof/>
            <w:webHidden/>
          </w:rPr>
          <w:tab/>
        </w:r>
        <w:r w:rsidR="00CE7BE0">
          <w:rPr>
            <w:noProof/>
            <w:webHidden/>
          </w:rPr>
          <w:fldChar w:fldCharType="begin"/>
        </w:r>
        <w:r w:rsidR="00CE7BE0">
          <w:rPr>
            <w:noProof/>
            <w:webHidden/>
          </w:rPr>
          <w:instrText xml:space="preserve"> PAGEREF _Toc64724130 \h </w:instrText>
        </w:r>
        <w:r w:rsidR="00CE7BE0">
          <w:rPr>
            <w:noProof/>
            <w:webHidden/>
          </w:rPr>
        </w:r>
        <w:r w:rsidR="00CE7BE0">
          <w:rPr>
            <w:noProof/>
            <w:webHidden/>
          </w:rPr>
          <w:fldChar w:fldCharType="separate"/>
        </w:r>
        <w:r w:rsidR="00CE7BE0">
          <w:rPr>
            <w:noProof/>
            <w:webHidden/>
          </w:rPr>
          <w:t>225</w:t>
        </w:r>
        <w:r w:rsidR="00CE7BE0">
          <w:rPr>
            <w:noProof/>
            <w:webHidden/>
          </w:rPr>
          <w:fldChar w:fldCharType="end"/>
        </w:r>
      </w:hyperlink>
    </w:p>
    <w:p w14:paraId="12D8ADEB" w14:textId="73EB0745" w:rsidR="00CE7BE0" w:rsidRDefault="006D3518">
      <w:pPr>
        <w:pStyle w:val="TableofFigures"/>
        <w:tabs>
          <w:tab w:val="right" w:leader="dot" w:pos="9350"/>
        </w:tabs>
        <w:rPr>
          <w:rFonts w:cstheme="minorBidi"/>
          <w:b w:val="0"/>
          <w:bCs w:val="0"/>
          <w:noProof/>
          <w:sz w:val="24"/>
          <w:szCs w:val="24"/>
          <w:lang w:eastAsia="en-GB"/>
        </w:rPr>
      </w:pPr>
      <w:hyperlink w:anchor="_Toc64724131" w:history="1">
        <w:r w:rsidR="00CE7BE0" w:rsidRPr="00F86AA5">
          <w:rPr>
            <w:rStyle w:val="Hyperlink"/>
            <w:noProof/>
          </w:rPr>
          <w:t>Table D.24 Delta TTP:  Linear regression of pain perception as measured by Likert scale for Right Thalamus reporting coefficients.</w:t>
        </w:r>
        <w:r w:rsidR="00CE7BE0">
          <w:rPr>
            <w:noProof/>
            <w:webHidden/>
          </w:rPr>
          <w:tab/>
        </w:r>
        <w:r w:rsidR="00CE7BE0">
          <w:rPr>
            <w:noProof/>
            <w:webHidden/>
          </w:rPr>
          <w:fldChar w:fldCharType="begin"/>
        </w:r>
        <w:r w:rsidR="00CE7BE0">
          <w:rPr>
            <w:noProof/>
            <w:webHidden/>
          </w:rPr>
          <w:instrText xml:space="preserve"> PAGEREF _Toc64724131 \h </w:instrText>
        </w:r>
        <w:r w:rsidR="00CE7BE0">
          <w:rPr>
            <w:noProof/>
            <w:webHidden/>
          </w:rPr>
        </w:r>
        <w:r w:rsidR="00CE7BE0">
          <w:rPr>
            <w:noProof/>
            <w:webHidden/>
          </w:rPr>
          <w:fldChar w:fldCharType="separate"/>
        </w:r>
        <w:r w:rsidR="00CE7BE0">
          <w:rPr>
            <w:noProof/>
            <w:webHidden/>
          </w:rPr>
          <w:t>225</w:t>
        </w:r>
        <w:r w:rsidR="00CE7BE0">
          <w:rPr>
            <w:noProof/>
            <w:webHidden/>
          </w:rPr>
          <w:fldChar w:fldCharType="end"/>
        </w:r>
      </w:hyperlink>
    </w:p>
    <w:p w14:paraId="1D94B8AF" w14:textId="7DE56C03" w:rsidR="00CE7BE0" w:rsidRDefault="006D3518">
      <w:pPr>
        <w:pStyle w:val="TableofFigures"/>
        <w:tabs>
          <w:tab w:val="right" w:leader="dot" w:pos="9350"/>
        </w:tabs>
        <w:rPr>
          <w:rFonts w:cstheme="minorBidi"/>
          <w:b w:val="0"/>
          <w:bCs w:val="0"/>
          <w:noProof/>
          <w:sz w:val="24"/>
          <w:szCs w:val="24"/>
          <w:lang w:eastAsia="en-GB"/>
        </w:rPr>
      </w:pPr>
      <w:hyperlink w:anchor="_Toc64724132" w:history="1">
        <w:r w:rsidR="00CE7BE0" w:rsidRPr="00F86AA5">
          <w:rPr>
            <w:rStyle w:val="Hyperlink"/>
            <w:noProof/>
          </w:rPr>
          <w:t>Table D.25: ANOVA comparing regression slopes and intercepts for statistical significance for delta TTP RThal</w:t>
        </w:r>
        <w:r w:rsidR="00CE7BE0">
          <w:rPr>
            <w:noProof/>
            <w:webHidden/>
          </w:rPr>
          <w:tab/>
        </w:r>
        <w:r w:rsidR="00CE7BE0">
          <w:rPr>
            <w:noProof/>
            <w:webHidden/>
          </w:rPr>
          <w:fldChar w:fldCharType="begin"/>
        </w:r>
        <w:r w:rsidR="00CE7BE0">
          <w:rPr>
            <w:noProof/>
            <w:webHidden/>
          </w:rPr>
          <w:instrText xml:space="preserve"> PAGEREF _Toc64724132 \h </w:instrText>
        </w:r>
        <w:r w:rsidR="00CE7BE0">
          <w:rPr>
            <w:noProof/>
            <w:webHidden/>
          </w:rPr>
        </w:r>
        <w:r w:rsidR="00CE7BE0">
          <w:rPr>
            <w:noProof/>
            <w:webHidden/>
          </w:rPr>
          <w:fldChar w:fldCharType="separate"/>
        </w:r>
        <w:r w:rsidR="00CE7BE0">
          <w:rPr>
            <w:noProof/>
            <w:webHidden/>
          </w:rPr>
          <w:t>226</w:t>
        </w:r>
        <w:r w:rsidR="00CE7BE0">
          <w:rPr>
            <w:noProof/>
            <w:webHidden/>
          </w:rPr>
          <w:fldChar w:fldCharType="end"/>
        </w:r>
      </w:hyperlink>
    </w:p>
    <w:p w14:paraId="6D7DE0C5" w14:textId="017C79B7" w:rsidR="00CE7BE0" w:rsidRDefault="006D3518">
      <w:pPr>
        <w:pStyle w:val="TableofFigures"/>
        <w:tabs>
          <w:tab w:val="right" w:leader="dot" w:pos="9350"/>
        </w:tabs>
        <w:rPr>
          <w:rFonts w:cstheme="minorBidi"/>
          <w:b w:val="0"/>
          <w:bCs w:val="0"/>
          <w:noProof/>
          <w:sz w:val="24"/>
          <w:szCs w:val="24"/>
          <w:lang w:eastAsia="en-GB"/>
        </w:rPr>
      </w:pPr>
      <w:hyperlink w:anchor="_Toc64724133" w:history="1">
        <w:r w:rsidR="00CE7BE0" w:rsidRPr="00F86AA5">
          <w:rPr>
            <w:rStyle w:val="Hyperlink"/>
            <w:rFonts w:eastAsia="MS Mincho"/>
            <w:noProof/>
          </w:rPr>
          <w:t>Table D.26: Post-Hoc T-Test Comparisons of Regression Intercepts and slopesa for Delta TTP-R-thal</w:t>
        </w:r>
        <w:r w:rsidR="00CE7BE0">
          <w:rPr>
            <w:noProof/>
            <w:webHidden/>
          </w:rPr>
          <w:tab/>
        </w:r>
        <w:r w:rsidR="00CE7BE0">
          <w:rPr>
            <w:noProof/>
            <w:webHidden/>
          </w:rPr>
          <w:fldChar w:fldCharType="begin"/>
        </w:r>
        <w:r w:rsidR="00CE7BE0">
          <w:rPr>
            <w:noProof/>
            <w:webHidden/>
          </w:rPr>
          <w:instrText xml:space="preserve"> PAGEREF _Toc64724133 \h </w:instrText>
        </w:r>
        <w:r w:rsidR="00CE7BE0">
          <w:rPr>
            <w:noProof/>
            <w:webHidden/>
          </w:rPr>
        </w:r>
        <w:r w:rsidR="00CE7BE0">
          <w:rPr>
            <w:noProof/>
            <w:webHidden/>
          </w:rPr>
          <w:fldChar w:fldCharType="separate"/>
        </w:r>
        <w:r w:rsidR="00CE7BE0">
          <w:rPr>
            <w:noProof/>
            <w:webHidden/>
          </w:rPr>
          <w:t>226</w:t>
        </w:r>
        <w:r w:rsidR="00CE7BE0">
          <w:rPr>
            <w:noProof/>
            <w:webHidden/>
          </w:rPr>
          <w:fldChar w:fldCharType="end"/>
        </w:r>
      </w:hyperlink>
    </w:p>
    <w:p w14:paraId="1124E58C" w14:textId="094582AD" w:rsidR="00CE7BE0" w:rsidRDefault="006D3518">
      <w:pPr>
        <w:pStyle w:val="TableofFigures"/>
        <w:tabs>
          <w:tab w:val="right" w:leader="dot" w:pos="9350"/>
        </w:tabs>
        <w:rPr>
          <w:rFonts w:cstheme="minorBidi"/>
          <w:b w:val="0"/>
          <w:bCs w:val="0"/>
          <w:noProof/>
          <w:sz w:val="24"/>
          <w:szCs w:val="24"/>
          <w:lang w:eastAsia="en-GB"/>
        </w:rPr>
      </w:pPr>
      <w:hyperlink w:anchor="_Toc64724134" w:history="1">
        <w:r w:rsidR="00CE7BE0" w:rsidRPr="00F86AA5">
          <w:rPr>
            <w:rStyle w:val="Hyperlink"/>
            <w:noProof/>
          </w:rPr>
          <w:t>Table D.27 Delta TTP:  Linear regression of pain perception as measured by Likert scale for Left Insula reporting co-efficientsa.</w:t>
        </w:r>
        <w:r w:rsidR="00CE7BE0">
          <w:rPr>
            <w:noProof/>
            <w:webHidden/>
          </w:rPr>
          <w:tab/>
        </w:r>
        <w:r w:rsidR="00CE7BE0">
          <w:rPr>
            <w:noProof/>
            <w:webHidden/>
          </w:rPr>
          <w:fldChar w:fldCharType="begin"/>
        </w:r>
        <w:r w:rsidR="00CE7BE0">
          <w:rPr>
            <w:noProof/>
            <w:webHidden/>
          </w:rPr>
          <w:instrText xml:space="preserve"> PAGEREF _Toc64724134 \h </w:instrText>
        </w:r>
        <w:r w:rsidR="00CE7BE0">
          <w:rPr>
            <w:noProof/>
            <w:webHidden/>
          </w:rPr>
        </w:r>
        <w:r w:rsidR="00CE7BE0">
          <w:rPr>
            <w:noProof/>
            <w:webHidden/>
          </w:rPr>
          <w:fldChar w:fldCharType="separate"/>
        </w:r>
        <w:r w:rsidR="00CE7BE0">
          <w:rPr>
            <w:noProof/>
            <w:webHidden/>
          </w:rPr>
          <w:t>227</w:t>
        </w:r>
        <w:r w:rsidR="00CE7BE0">
          <w:rPr>
            <w:noProof/>
            <w:webHidden/>
          </w:rPr>
          <w:fldChar w:fldCharType="end"/>
        </w:r>
      </w:hyperlink>
    </w:p>
    <w:p w14:paraId="4F86E8A0" w14:textId="08891699" w:rsidR="00CE7BE0" w:rsidRDefault="006D3518">
      <w:pPr>
        <w:pStyle w:val="TableofFigures"/>
        <w:tabs>
          <w:tab w:val="right" w:leader="dot" w:pos="9350"/>
        </w:tabs>
        <w:rPr>
          <w:rFonts w:cstheme="minorBidi"/>
          <w:b w:val="0"/>
          <w:bCs w:val="0"/>
          <w:noProof/>
          <w:sz w:val="24"/>
          <w:szCs w:val="24"/>
          <w:lang w:eastAsia="en-GB"/>
        </w:rPr>
      </w:pPr>
      <w:hyperlink w:anchor="_Toc64724135" w:history="1">
        <w:r w:rsidR="00CE7BE0" w:rsidRPr="00F86AA5">
          <w:rPr>
            <w:rStyle w:val="Hyperlink"/>
            <w:noProof/>
          </w:rPr>
          <w:t>Table D.28: ANOVA comparing regression slopes and intercepts for statistical significance for delta TTP LINS</w:t>
        </w:r>
        <w:r w:rsidR="00CE7BE0">
          <w:rPr>
            <w:noProof/>
            <w:webHidden/>
          </w:rPr>
          <w:tab/>
        </w:r>
        <w:r w:rsidR="00CE7BE0">
          <w:rPr>
            <w:noProof/>
            <w:webHidden/>
          </w:rPr>
          <w:fldChar w:fldCharType="begin"/>
        </w:r>
        <w:r w:rsidR="00CE7BE0">
          <w:rPr>
            <w:noProof/>
            <w:webHidden/>
          </w:rPr>
          <w:instrText xml:space="preserve"> PAGEREF _Toc64724135 \h </w:instrText>
        </w:r>
        <w:r w:rsidR="00CE7BE0">
          <w:rPr>
            <w:noProof/>
            <w:webHidden/>
          </w:rPr>
        </w:r>
        <w:r w:rsidR="00CE7BE0">
          <w:rPr>
            <w:noProof/>
            <w:webHidden/>
          </w:rPr>
          <w:fldChar w:fldCharType="separate"/>
        </w:r>
        <w:r w:rsidR="00CE7BE0">
          <w:rPr>
            <w:noProof/>
            <w:webHidden/>
          </w:rPr>
          <w:t>227</w:t>
        </w:r>
        <w:r w:rsidR="00CE7BE0">
          <w:rPr>
            <w:noProof/>
            <w:webHidden/>
          </w:rPr>
          <w:fldChar w:fldCharType="end"/>
        </w:r>
      </w:hyperlink>
    </w:p>
    <w:p w14:paraId="059727E2" w14:textId="1F883BAA" w:rsidR="00CE7BE0" w:rsidRDefault="006D3518">
      <w:pPr>
        <w:pStyle w:val="TableofFigures"/>
        <w:tabs>
          <w:tab w:val="right" w:leader="dot" w:pos="9350"/>
        </w:tabs>
        <w:rPr>
          <w:rFonts w:cstheme="minorBidi"/>
          <w:b w:val="0"/>
          <w:bCs w:val="0"/>
          <w:noProof/>
          <w:sz w:val="24"/>
          <w:szCs w:val="24"/>
          <w:lang w:eastAsia="en-GB"/>
        </w:rPr>
      </w:pPr>
      <w:hyperlink w:anchor="_Toc64724136" w:history="1">
        <w:r w:rsidR="00CE7BE0" w:rsidRPr="00F86AA5">
          <w:rPr>
            <w:rStyle w:val="Hyperlink"/>
            <w:noProof/>
          </w:rPr>
          <w:t>Table D.29: Post Hoc T-Test Comparisons of Regression Intercepts and slopesa for Delta TTP LINS</w:t>
        </w:r>
        <w:r w:rsidR="00CE7BE0">
          <w:rPr>
            <w:noProof/>
            <w:webHidden/>
          </w:rPr>
          <w:tab/>
        </w:r>
        <w:r w:rsidR="00CE7BE0">
          <w:rPr>
            <w:noProof/>
            <w:webHidden/>
          </w:rPr>
          <w:fldChar w:fldCharType="begin"/>
        </w:r>
        <w:r w:rsidR="00CE7BE0">
          <w:rPr>
            <w:noProof/>
            <w:webHidden/>
          </w:rPr>
          <w:instrText xml:space="preserve"> PAGEREF _Toc64724136 \h </w:instrText>
        </w:r>
        <w:r w:rsidR="00CE7BE0">
          <w:rPr>
            <w:noProof/>
            <w:webHidden/>
          </w:rPr>
        </w:r>
        <w:r w:rsidR="00CE7BE0">
          <w:rPr>
            <w:noProof/>
            <w:webHidden/>
          </w:rPr>
          <w:fldChar w:fldCharType="separate"/>
        </w:r>
        <w:r w:rsidR="00CE7BE0">
          <w:rPr>
            <w:noProof/>
            <w:webHidden/>
          </w:rPr>
          <w:t>227</w:t>
        </w:r>
        <w:r w:rsidR="00CE7BE0">
          <w:rPr>
            <w:noProof/>
            <w:webHidden/>
          </w:rPr>
          <w:fldChar w:fldCharType="end"/>
        </w:r>
      </w:hyperlink>
    </w:p>
    <w:p w14:paraId="12E1AFD8" w14:textId="080D3FEA" w:rsidR="00CE7BE0" w:rsidRDefault="006D3518">
      <w:pPr>
        <w:pStyle w:val="TableofFigures"/>
        <w:tabs>
          <w:tab w:val="right" w:leader="dot" w:pos="9350"/>
        </w:tabs>
        <w:rPr>
          <w:rFonts w:cstheme="minorBidi"/>
          <w:b w:val="0"/>
          <w:bCs w:val="0"/>
          <w:noProof/>
          <w:sz w:val="24"/>
          <w:szCs w:val="24"/>
          <w:lang w:eastAsia="en-GB"/>
        </w:rPr>
      </w:pPr>
      <w:hyperlink w:anchor="_Toc64724137" w:history="1">
        <w:r w:rsidR="00CE7BE0" w:rsidRPr="00F86AA5">
          <w:rPr>
            <w:rStyle w:val="Hyperlink"/>
            <w:noProof/>
          </w:rPr>
          <w:t>Table D.30 Delta TTP:  Linear regression of pain perception as measured by Likert scale for Left Primary Sensory Cortex reporting co-efficientsa.</w:t>
        </w:r>
        <w:r w:rsidR="00CE7BE0">
          <w:rPr>
            <w:noProof/>
            <w:webHidden/>
          </w:rPr>
          <w:tab/>
        </w:r>
        <w:r w:rsidR="00CE7BE0">
          <w:rPr>
            <w:noProof/>
            <w:webHidden/>
          </w:rPr>
          <w:fldChar w:fldCharType="begin"/>
        </w:r>
        <w:r w:rsidR="00CE7BE0">
          <w:rPr>
            <w:noProof/>
            <w:webHidden/>
          </w:rPr>
          <w:instrText xml:space="preserve"> PAGEREF _Toc64724137 \h </w:instrText>
        </w:r>
        <w:r w:rsidR="00CE7BE0">
          <w:rPr>
            <w:noProof/>
            <w:webHidden/>
          </w:rPr>
        </w:r>
        <w:r w:rsidR="00CE7BE0">
          <w:rPr>
            <w:noProof/>
            <w:webHidden/>
          </w:rPr>
          <w:fldChar w:fldCharType="separate"/>
        </w:r>
        <w:r w:rsidR="00CE7BE0">
          <w:rPr>
            <w:noProof/>
            <w:webHidden/>
          </w:rPr>
          <w:t>228</w:t>
        </w:r>
        <w:r w:rsidR="00CE7BE0">
          <w:rPr>
            <w:noProof/>
            <w:webHidden/>
          </w:rPr>
          <w:fldChar w:fldCharType="end"/>
        </w:r>
      </w:hyperlink>
    </w:p>
    <w:p w14:paraId="7723A16B" w14:textId="0004491E" w:rsidR="00CE7BE0" w:rsidRDefault="006D3518">
      <w:pPr>
        <w:pStyle w:val="TableofFigures"/>
        <w:tabs>
          <w:tab w:val="right" w:leader="dot" w:pos="9350"/>
        </w:tabs>
        <w:rPr>
          <w:rFonts w:cstheme="minorBidi"/>
          <w:b w:val="0"/>
          <w:bCs w:val="0"/>
          <w:noProof/>
          <w:sz w:val="24"/>
          <w:szCs w:val="24"/>
          <w:lang w:eastAsia="en-GB"/>
        </w:rPr>
      </w:pPr>
      <w:hyperlink w:anchor="_Toc64724138" w:history="1">
        <w:r w:rsidR="00CE7BE0" w:rsidRPr="00F86AA5">
          <w:rPr>
            <w:rStyle w:val="Hyperlink"/>
            <w:noProof/>
          </w:rPr>
          <w:t>Table D.31: ANOVA comparing regression slopes and intercepts for statistical significance for delta TTP_LPSC</w:t>
        </w:r>
        <w:r w:rsidR="00CE7BE0">
          <w:rPr>
            <w:noProof/>
            <w:webHidden/>
          </w:rPr>
          <w:tab/>
        </w:r>
        <w:r w:rsidR="00CE7BE0">
          <w:rPr>
            <w:noProof/>
            <w:webHidden/>
          </w:rPr>
          <w:fldChar w:fldCharType="begin"/>
        </w:r>
        <w:r w:rsidR="00CE7BE0">
          <w:rPr>
            <w:noProof/>
            <w:webHidden/>
          </w:rPr>
          <w:instrText xml:space="preserve"> PAGEREF _Toc64724138 \h </w:instrText>
        </w:r>
        <w:r w:rsidR="00CE7BE0">
          <w:rPr>
            <w:noProof/>
            <w:webHidden/>
          </w:rPr>
        </w:r>
        <w:r w:rsidR="00CE7BE0">
          <w:rPr>
            <w:noProof/>
            <w:webHidden/>
          </w:rPr>
          <w:fldChar w:fldCharType="separate"/>
        </w:r>
        <w:r w:rsidR="00CE7BE0">
          <w:rPr>
            <w:noProof/>
            <w:webHidden/>
          </w:rPr>
          <w:t>228</w:t>
        </w:r>
        <w:r w:rsidR="00CE7BE0">
          <w:rPr>
            <w:noProof/>
            <w:webHidden/>
          </w:rPr>
          <w:fldChar w:fldCharType="end"/>
        </w:r>
      </w:hyperlink>
    </w:p>
    <w:p w14:paraId="2CF48FAA" w14:textId="77F4F4FF" w:rsidR="00CE7BE0" w:rsidRDefault="006D3518">
      <w:pPr>
        <w:pStyle w:val="TableofFigures"/>
        <w:tabs>
          <w:tab w:val="right" w:leader="dot" w:pos="9350"/>
        </w:tabs>
        <w:rPr>
          <w:rFonts w:cstheme="minorBidi"/>
          <w:b w:val="0"/>
          <w:bCs w:val="0"/>
          <w:noProof/>
          <w:sz w:val="24"/>
          <w:szCs w:val="24"/>
          <w:lang w:eastAsia="en-GB"/>
        </w:rPr>
      </w:pPr>
      <w:hyperlink w:anchor="_Toc64724139" w:history="1">
        <w:r w:rsidR="00CE7BE0" w:rsidRPr="00F86AA5">
          <w:rPr>
            <w:rStyle w:val="Hyperlink"/>
            <w:rFonts w:eastAsia="MS Mincho"/>
            <w:noProof/>
          </w:rPr>
          <w:t>Table D.32: Post Hoc T-Test Comparisons of Regression Intercepts and slopes</w:t>
        </w:r>
        <w:r w:rsidR="00CE7BE0" w:rsidRPr="00F86AA5">
          <w:rPr>
            <w:rStyle w:val="Hyperlink"/>
            <w:rFonts w:eastAsia="MS Mincho"/>
            <w:noProof/>
            <w:vertAlign w:val="superscript"/>
          </w:rPr>
          <w:t xml:space="preserve">a </w:t>
        </w:r>
        <w:r w:rsidR="00CE7BE0" w:rsidRPr="00F86AA5">
          <w:rPr>
            <w:rStyle w:val="Hyperlink"/>
            <w:rFonts w:eastAsia="MS Mincho"/>
            <w:noProof/>
          </w:rPr>
          <w:t>for Delta TTP LPSC</w:t>
        </w:r>
        <w:r w:rsidR="00CE7BE0">
          <w:rPr>
            <w:noProof/>
            <w:webHidden/>
          </w:rPr>
          <w:tab/>
        </w:r>
        <w:r w:rsidR="00CE7BE0">
          <w:rPr>
            <w:noProof/>
            <w:webHidden/>
          </w:rPr>
          <w:fldChar w:fldCharType="begin"/>
        </w:r>
        <w:r w:rsidR="00CE7BE0">
          <w:rPr>
            <w:noProof/>
            <w:webHidden/>
          </w:rPr>
          <w:instrText xml:space="preserve"> PAGEREF _Toc64724139 \h </w:instrText>
        </w:r>
        <w:r w:rsidR="00CE7BE0">
          <w:rPr>
            <w:noProof/>
            <w:webHidden/>
          </w:rPr>
        </w:r>
        <w:r w:rsidR="00CE7BE0">
          <w:rPr>
            <w:noProof/>
            <w:webHidden/>
          </w:rPr>
          <w:fldChar w:fldCharType="separate"/>
        </w:r>
        <w:r w:rsidR="00CE7BE0">
          <w:rPr>
            <w:noProof/>
            <w:webHidden/>
          </w:rPr>
          <w:t>229</w:t>
        </w:r>
        <w:r w:rsidR="00CE7BE0">
          <w:rPr>
            <w:noProof/>
            <w:webHidden/>
          </w:rPr>
          <w:fldChar w:fldCharType="end"/>
        </w:r>
      </w:hyperlink>
    </w:p>
    <w:p w14:paraId="3D384819" w14:textId="6A3B775A" w:rsidR="00CE7BE0" w:rsidRDefault="006D3518">
      <w:pPr>
        <w:pStyle w:val="TableofFigures"/>
        <w:tabs>
          <w:tab w:val="right" w:leader="dot" w:pos="9350"/>
        </w:tabs>
        <w:rPr>
          <w:rFonts w:cstheme="minorBidi"/>
          <w:b w:val="0"/>
          <w:bCs w:val="0"/>
          <w:noProof/>
          <w:sz w:val="24"/>
          <w:szCs w:val="24"/>
          <w:lang w:eastAsia="en-GB"/>
        </w:rPr>
      </w:pPr>
      <w:hyperlink w:anchor="_Toc64724140" w:history="1">
        <w:r w:rsidR="00CE7BE0" w:rsidRPr="00F86AA5">
          <w:rPr>
            <w:rStyle w:val="Hyperlink"/>
            <w:rFonts w:eastAsia="MS Mincho"/>
            <w:noProof/>
          </w:rPr>
          <w:t>Table D.33 Delta TTP:  Linear regression of pain perception as measured by Likert scale for Right Primary Sensory Cortex reporting co-efficients</w:t>
        </w:r>
        <w:r w:rsidR="00CE7BE0">
          <w:rPr>
            <w:noProof/>
            <w:webHidden/>
          </w:rPr>
          <w:tab/>
        </w:r>
        <w:r w:rsidR="00CE7BE0">
          <w:rPr>
            <w:noProof/>
            <w:webHidden/>
          </w:rPr>
          <w:fldChar w:fldCharType="begin"/>
        </w:r>
        <w:r w:rsidR="00CE7BE0">
          <w:rPr>
            <w:noProof/>
            <w:webHidden/>
          </w:rPr>
          <w:instrText xml:space="preserve"> PAGEREF _Toc64724140 \h </w:instrText>
        </w:r>
        <w:r w:rsidR="00CE7BE0">
          <w:rPr>
            <w:noProof/>
            <w:webHidden/>
          </w:rPr>
        </w:r>
        <w:r w:rsidR="00CE7BE0">
          <w:rPr>
            <w:noProof/>
            <w:webHidden/>
          </w:rPr>
          <w:fldChar w:fldCharType="separate"/>
        </w:r>
        <w:r w:rsidR="00CE7BE0">
          <w:rPr>
            <w:noProof/>
            <w:webHidden/>
          </w:rPr>
          <w:t>229</w:t>
        </w:r>
        <w:r w:rsidR="00CE7BE0">
          <w:rPr>
            <w:noProof/>
            <w:webHidden/>
          </w:rPr>
          <w:fldChar w:fldCharType="end"/>
        </w:r>
      </w:hyperlink>
    </w:p>
    <w:p w14:paraId="3332AAAB" w14:textId="648406F9" w:rsidR="00CE7BE0" w:rsidRDefault="006D3518">
      <w:pPr>
        <w:pStyle w:val="TableofFigures"/>
        <w:tabs>
          <w:tab w:val="right" w:leader="dot" w:pos="9350"/>
        </w:tabs>
        <w:rPr>
          <w:rFonts w:cstheme="minorBidi"/>
          <w:b w:val="0"/>
          <w:bCs w:val="0"/>
          <w:noProof/>
          <w:sz w:val="24"/>
          <w:szCs w:val="24"/>
          <w:lang w:eastAsia="en-GB"/>
        </w:rPr>
      </w:pPr>
      <w:hyperlink w:anchor="_Toc64724141" w:history="1">
        <w:r w:rsidR="00CE7BE0" w:rsidRPr="00F86AA5">
          <w:rPr>
            <w:rStyle w:val="Hyperlink"/>
            <w:noProof/>
          </w:rPr>
          <w:t>Table D.34: ANOVA comparing regression slopes and intercepts for statistical significance for delta TTP_LPSC</w:t>
        </w:r>
        <w:r w:rsidR="00CE7BE0">
          <w:rPr>
            <w:noProof/>
            <w:webHidden/>
          </w:rPr>
          <w:tab/>
        </w:r>
        <w:r w:rsidR="00CE7BE0">
          <w:rPr>
            <w:noProof/>
            <w:webHidden/>
          </w:rPr>
          <w:fldChar w:fldCharType="begin"/>
        </w:r>
        <w:r w:rsidR="00CE7BE0">
          <w:rPr>
            <w:noProof/>
            <w:webHidden/>
          </w:rPr>
          <w:instrText xml:space="preserve"> PAGEREF _Toc64724141 \h </w:instrText>
        </w:r>
        <w:r w:rsidR="00CE7BE0">
          <w:rPr>
            <w:noProof/>
            <w:webHidden/>
          </w:rPr>
        </w:r>
        <w:r w:rsidR="00CE7BE0">
          <w:rPr>
            <w:noProof/>
            <w:webHidden/>
          </w:rPr>
          <w:fldChar w:fldCharType="separate"/>
        </w:r>
        <w:r w:rsidR="00CE7BE0">
          <w:rPr>
            <w:noProof/>
            <w:webHidden/>
          </w:rPr>
          <w:t>230</w:t>
        </w:r>
        <w:r w:rsidR="00CE7BE0">
          <w:rPr>
            <w:noProof/>
            <w:webHidden/>
          </w:rPr>
          <w:fldChar w:fldCharType="end"/>
        </w:r>
      </w:hyperlink>
    </w:p>
    <w:p w14:paraId="39CA35D1" w14:textId="727C2ED2" w:rsidR="00CE7BE0" w:rsidRDefault="006D3518">
      <w:pPr>
        <w:pStyle w:val="TableofFigures"/>
        <w:tabs>
          <w:tab w:val="right" w:leader="dot" w:pos="9350"/>
        </w:tabs>
        <w:rPr>
          <w:rFonts w:cstheme="minorBidi"/>
          <w:b w:val="0"/>
          <w:bCs w:val="0"/>
          <w:noProof/>
          <w:sz w:val="24"/>
          <w:szCs w:val="24"/>
          <w:lang w:eastAsia="en-GB"/>
        </w:rPr>
      </w:pPr>
      <w:hyperlink w:anchor="_Toc64724142" w:history="1">
        <w:r w:rsidR="00CE7BE0" w:rsidRPr="00F86AA5">
          <w:rPr>
            <w:rStyle w:val="Hyperlink"/>
            <w:noProof/>
          </w:rPr>
          <w:t>Table D.35: Post Hoc T-Test Comparisons of Regression Intercepts and slopesa for Delta TTP LPSC</w:t>
        </w:r>
        <w:r w:rsidR="00CE7BE0">
          <w:rPr>
            <w:noProof/>
            <w:webHidden/>
          </w:rPr>
          <w:tab/>
        </w:r>
        <w:r w:rsidR="00CE7BE0">
          <w:rPr>
            <w:noProof/>
            <w:webHidden/>
          </w:rPr>
          <w:fldChar w:fldCharType="begin"/>
        </w:r>
        <w:r w:rsidR="00CE7BE0">
          <w:rPr>
            <w:noProof/>
            <w:webHidden/>
          </w:rPr>
          <w:instrText xml:space="preserve"> PAGEREF _Toc64724142 \h </w:instrText>
        </w:r>
        <w:r w:rsidR="00CE7BE0">
          <w:rPr>
            <w:noProof/>
            <w:webHidden/>
          </w:rPr>
        </w:r>
        <w:r w:rsidR="00CE7BE0">
          <w:rPr>
            <w:noProof/>
            <w:webHidden/>
          </w:rPr>
          <w:fldChar w:fldCharType="separate"/>
        </w:r>
        <w:r w:rsidR="00CE7BE0">
          <w:rPr>
            <w:noProof/>
            <w:webHidden/>
          </w:rPr>
          <w:t>230</w:t>
        </w:r>
        <w:r w:rsidR="00CE7BE0">
          <w:rPr>
            <w:noProof/>
            <w:webHidden/>
          </w:rPr>
          <w:fldChar w:fldCharType="end"/>
        </w:r>
      </w:hyperlink>
    </w:p>
    <w:p w14:paraId="1D7F68A5" w14:textId="2A348A11" w:rsidR="00CE7BE0" w:rsidRDefault="006D3518">
      <w:pPr>
        <w:pStyle w:val="TableofFigures"/>
        <w:tabs>
          <w:tab w:val="right" w:leader="dot" w:pos="9350"/>
        </w:tabs>
        <w:rPr>
          <w:rFonts w:cstheme="minorBidi"/>
          <w:b w:val="0"/>
          <w:bCs w:val="0"/>
          <w:noProof/>
          <w:sz w:val="24"/>
          <w:szCs w:val="24"/>
          <w:lang w:eastAsia="en-GB"/>
        </w:rPr>
      </w:pPr>
      <w:hyperlink w:anchor="_Toc64724143" w:history="1">
        <w:r w:rsidR="00CE7BE0" w:rsidRPr="00F86AA5">
          <w:rPr>
            <w:rStyle w:val="Hyperlink"/>
            <w:noProof/>
          </w:rPr>
          <w:t>Table D.36 : Correlation between Delta TTP and RBV, RBF, MTT at the RThal</w:t>
        </w:r>
        <w:r w:rsidR="00CE7BE0">
          <w:rPr>
            <w:noProof/>
            <w:webHidden/>
          </w:rPr>
          <w:tab/>
        </w:r>
        <w:r w:rsidR="00CE7BE0">
          <w:rPr>
            <w:noProof/>
            <w:webHidden/>
          </w:rPr>
          <w:fldChar w:fldCharType="begin"/>
        </w:r>
        <w:r w:rsidR="00CE7BE0">
          <w:rPr>
            <w:noProof/>
            <w:webHidden/>
          </w:rPr>
          <w:instrText xml:space="preserve"> PAGEREF _Toc64724143 \h </w:instrText>
        </w:r>
        <w:r w:rsidR="00CE7BE0">
          <w:rPr>
            <w:noProof/>
            <w:webHidden/>
          </w:rPr>
        </w:r>
        <w:r w:rsidR="00CE7BE0">
          <w:rPr>
            <w:noProof/>
            <w:webHidden/>
          </w:rPr>
          <w:fldChar w:fldCharType="separate"/>
        </w:r>
        <w:r w:rsidR="00CE7BE0">
          <w:rPr>
            <w:noProof/>
            <w:webHidden/>
          </w:rPr>
          <w:t>232</w:t>
        </w:r>
        <w:r w:rsidR="00CE7BE0">
          <w:rPr>
            <w:noProof/>
            <w:webHidden/>
          </w:rPr>
          <w:fldChar w:fldCharType="end"/>
        </w:r>
      </w:hyperlink>
    </w:p>
    <w:p w14:paraId="3BDE53FD" w14:textId="4CE27E94" w:rsidR="00CE7BE0" w:rsidRDefault="006D3518">
      <w:pPr>
        <w:pStyle w:val="TableofFigures"/>
        <w:tabs>
          <w:tab w:val="right" w:leader="dot" w:pos="9350"/>
        </w:tabs>
        <w:rPr>
          <w:rFonts w:cstheme="minorBidi"/>
          <w:b w:val="0"/>
          <w:bCs w:val="0"/>
          <w:noProof/>
          <w:sz w:val="24"/>
          <w:szCs w:val="24"/>
          <w:lang w:eastAsia="en-GB"/>
        </w:rPr>
      </w:pPr>
      <w:hyperlink w:anchor="_Toc64724144" w:history="1">
        <w:r w:rsidR="00CE7BE0" w:rsidRPr="00F86AA5">
          <w:rPr>
            <w:rStyle w:val="Hyperlink"/>
            <w:noProof/>
          </w:rPr>
          <w:t>Table D.37 : Correlation between Delta TTP and RBV, RBF, MTT at the LINS</w:t>
        </w:r>
        <w:r w:rsidR="00CE7BE0">
          <w:rPr>
            <w:noProof/>
            <w:webHidden/>
          </w:rPr>
          <w:tab/>
        </w:r>
        <w:r w:rsidR="00CE7BE0">
          <w:rPr>
            <w:noProof/>
            <w:webHidden/>
          </w:rPr>
          <w:fldChar w:fldCharType="begin"/>
        </w:r>
        <w:r w:rsidR="00CE7BE0">
          <w:rPr>
            <w:noProof/>
            <w:webHidden/>
          </w:rPr>
          <w:instrText xml:space="preserve"> PAGEREF _Toc64724144 \h </w:instrText>
        </w:r>
        <w:r w:rsidR="00CE7BE0">
          <w:rPr>
            <w:noProof/>
            <w:webHidden/>
          </w:rPr>
        </w:r>
        <w:r w:rsidR="00CE7BE0">
          <w:rPr>
            <w:noProof/>
            <w:webHidden/>
          </w:rPr>
          <w:fldChar w:fldCharType="separate"/>
        </w:r>
        <w:r w:rsidR="00CE7BE0">
          <w:rPr>
            <w:noProof/>
            <w:webHidden/>
          </w:rPr>
          <w:t>232</w:t>
        </w:r>
        <w:r w:rsidR="00CE7BE0">
          <w:rPr>
            <w:noProof/>
            <w:webHidden/>
          </w:rPr>
          <w:fldChar w:fldCharType="end"/>
        </w:r>
      </w:hyperlink>
    </w:p>
    <w:p w14:paraId="5B48E6C7" w14:textId="474442B0" w:rsidR="00CE7BE0" w:rsidRDefault="006D3518">
      <w:pPr>
        <w:pStyle w:val="TableofFigures"/>
        <w:tabs>
          <w:tab w:val="right" w:leader="dot" w:pos="9350"/>
        </w:tabs>
        <w:rPr>
          <w:rFonts w:cstheme="minorBidi"/>
          <w:b w:val="0"/>
          <w:bCs w:val="0"/>
          <w:noProof/>
          <w:sz w:val="24"/>
          <w:szCs w:val="24"/>
          <w:lang w:eastAsia="en-GB"/>
        </w:rPr>
      </w:pPr>
      <w:hyperlink w:anchor="_Toc64724145" w:history="1">
        <w:r w:rsidR="00CE7BE0" w:rsidRPr="00F86AA5">
          <w:rPr>
            <w:rStyle w:val="Hyperlink"/>
            <w:noProof/>
          </w:rPr>
          <w:t>Table D.38 : Correlation between Delta TTP and RBV, RBF, MTT at the LINS</w:t>
        </w:r>
        <w:r w:rsidR="00CE7BE0">
          <w:rPr>
            <w:noProof/>
            <w:webHidden/>
          </w:rPr>
          <w:tab/>
        </w:r>
        <w:r w:rsidR="00CE7BE0">
          <w:rPr>
            <w:noProof/>
            <w:webHidden/>
          </w:rPr>
          <w:fldChar w:fldCharType="begin"/>
        </w:r>
        <w:r w:rsidR="00CE7BE0">
          <w:rPr>
            <w:noProof/>
            <w:webHidden/>
          </w:rPr>
          <w:instrText xml:space="preserve"> PAGEREF _Toc64724145 \h </w:instrText>
        </w:r>
        <w:r w:rsidR="00CE7BE0">
          <w:rPr>
            <w:noProof/>
            <w:webHidden/>
          </w:rPr>
        </w:r>
        <w:r w:rsidR="00CE7BE0">
          <w:rPr>
            <w:noProof/>
            <w:webHidden/>
          </w:rPr>
          <w:fldChar w:fldCharType="separate"/>
        </w:r>
        <w:r w:rsidR="00CE7BE0">
          <w:rPr>
            <w:noProof/>
            <w:webHidden/>
          </w:rPr>
          <w:t>233</w:t>
        </w:r>
        <w:r w:rsidR="00CE7BE0">
          <w:rPr>
            <w:noProof/>
            <w:webHidden/>
          </w:rPr>
          <w:fldChar w:fldCharType="end"/>
        </w:r>
      </w:hyperlink>
    </w:p>
    <w:p w14:paraId="16CA4047" w14:textId="6132C910" w:rsidR="00CE7BE0" w:rsidRDefault="006D3518">
      <w:pPr>
        <w:pStyle w:val="TableofFigures"/>
        <w:tabs>
          <w:tab w:val="right" w:leader="dot" w:pos="9350"/>
        </w:tabs>
        <w:rPr>
          <w:rFonts w:cstheme="minorBidi"/>
          <w:b w:val="0"/>
          <w:bCs w:val="0"/>
          <w:noProof/>
          <w:sz w:val="24"/>
          <w:szCs w:val="24"/>
          <w:lang w:eastAsia="en-GB"/>
        </w:rPr>
      </w:pPr>
      <w:hyperlink w:anchor="_Toc64724146" w:history="1">
        <w:r w:rsidR="00CE7BE0" w:rsidRPr="00F86AA5">
          <w:rPr>
            <w:rStyle w:val="Hyperlink"/>
            <w:noProof/>
          </w:rPr>
          <w:t>Table D.39: Correlation between Delta TTP and RBV, RBF, MTT at the RPSC</w:t>
        </w:r>
        <w:r w:rsidR="00CE7BE0">
          <w:rPr>
            <w:noProof/>
            <w:webHidden/>
          </w:rPr>
          <w:tab/>
        </w:r>
        <w:r w:rsidR="00CE7BE0">
          <w:rPr>
            <w:noProof/>
            <w:webHidden/>
          </w:rPr>
          <w:fldChar w:fldCharType="begin"/>
        </w:r>
        <w:r w:rsidR="00CE7BE0">
          <w:rPr>
            <w:noProof/>
            <w:webHidden/>
          </w:rPr>
          <w:instrText xml:space="preserve"> PAGEREF _Toc64724146 \h </w:instrText>
        </w:r>
        <w:r w:rsidR="00CE7BE0">
          <w:rPr>
            <w:noProof/>
            <w:webHidden/>
          </w:rPr>
        </w:r>
        <w:r w:rsidR="00CE7BE0">
          <w:rPr>
            <w:noProof/>
            <w:webHidden/>
          </w:rPr>
          <w:fldChar w:fldCharType="separate"/>
        </w:r>
        <w:r w:rsidR="00CE7BE0">
          <w:rPr>
            <w:noProof/>
            <w:webHidden/>
          </w:rPr>
          <w:t>234</w:t>
        </w:r>
        <w:r w:rsidR="00CE7BE0">
          <w:rPr>
            <w:noProof/>
            <w:webHidden/>
          </w:rPr>
          <w:fldChar w:fldCharType="end"/>
        </w:r>
      </w:hyperlink>
    </w:p>
    <w:p w14:paraId="6810B16B" w14:textId="78C3E333" w:rsidR="00CE7BE0" w:rsidRDefault="006D3518">
      <w:pPr>
        <w:pStyle w:val="TableofFigures"/>
        <w:tabs>
          <w:tab w:val="right" w:leader="dot" w:pos="9350"/>
        </w:tabs>
        <w:rPr>
          <w:rFonts w:cstheme="minorBidi"/>
          <w:b w:val="0"/>
          <w:bCs w:val="0"/>
          <w:noProof/>
          <w:sz w:val="24"/>
          <w:szCs w:val="24"/>
          <w:lang w:eastAsia="en-GB"/>
        </w:rPr>
      </w:pPr>
      <w:hyperlink w:anchor="_Toc64724147" w:history="1">
        <w:r w:rsidR="00CE7BE0" w:rsidRPr="00F86AA5">
          <w:rPr>
            <w:rStyle w:val="Hyperlink"/>
            <w:noProof/>
          </w:rPr>
          <w:t>Table D.40: Descriptive statistics and ANOVA for characteristics of the groups including the subgroups P+ and P- of the P-DPN group.</w:t>
        </w:r>
        <w:r w:rsidR="00CE7BE0">
          <w:rPr>
            <w:noProof/>
            <w:webHidden/>
          </w:rPr>
          <w:tab/>
        </w:r>
        <w:r w:rsidR="00CE7BE0">
          <w:rPr>
            <w:noProof/>
            <w:webHidden/>
          </w:rPr>
          <w:fldChar w:fldCharType="begin"/>
        </w:r>
        <w:r w:rsidR="00CE7BE0">
          <w:rPr>
            <w:noProof/>
            <w:webHidden/>
          </w:rPr>
          <w:instrText xml:space="preserve"> PAGEREF _Toc64724147 \h </w:instrText>
        </w:r>
        <w:r w:rsidR="00CE7BE0">
          <w:rPr>
            <w:noProof/>
            <w:webHidden/>
          </w:rPr>
        </w:r>
        <w:r w:rsidR="00CE7BE0">
          <w:rPr>
            <w:noProof/>
            <w:webHidden/>
          </w:rPr>
          <w:fldChar w:fldCharType="separate"/>
        </w:r>
        <w:r w:rsidR="00CE7BE0">
          <w:rPr>
            <w:noProof/>
            <w:webHidden/>
          </w:rPr>
          <w:t>234</w:t>
        </w:r>
        <w:r w:rsidR="00CE7BE0">
          <w:rPr>
            <w:noProof/>
            <w:webHidden/>
          </w:rPr>
          <w:fldChar w:fldCharType="end"/>
        </w:r>
      </w:hyperlink>
    </w:p>
    <w:p w14:paraId="6373369A" w14:textId="56D68253" w:rsidR="00CE7BE0" w:rsidRDefault="006D3518">
      <w:pPr>
        <w:pStyle w:val="TableofFigures"/>
        <w:tabs>
          <w:tab w:val="right" w:leader="dot" w:pos="9350"/>
        </w:tabs>
        <w:rPr>
          <w:rFonts w:cstheme="minorBidi"/>
          <w:b w:val="0"/>
          <w:bCs w:val="0"/>
          <w:noProof/>
          <w:sz w:val="24"/>
          <w:szCs w:val="24"/>
          <w:lang w:eastAsia="en-GB"/>
        </w:rPr>
      </w:pPr>
      <w:hyperlink w:anchor="_Toc64724148" w:history="1">
        <w:r w:rsidR="00CE7BE0" w:rsidRPr="00F86AA5">
          <w:rPr>
            <w:rStyle w:val="Hyperlink"/>
            <w:noProof/>
          </w:rPr>
          <w:t>Table D.41: Depression does not explain magnitude or direction of Delta TTP: ANOVA for depression scores of the groups including the subgroups P+ and P- of the P-DPN group adjusted for BDI score</w:t>
        </w:r>
        <w:r w:rsidR="00CE7BE0">
          <w:rPr>
            <w:noProof/>
            <w:webHidden/>
          </w:rPr>
          <w:tab/>
        </w:r>
        <w:r w:rsidR="00CE7BE0">
          <w:rPr>
            <w:noProof/>
            <w:webHidden/>
          </w:rPr>
          <w:fldChar w:fldCharType="begin"/>
        </w:r>
        <w:r w:rsidR="00CE7BE0">
          <w:rPr>
            <w:noProof/>
            <w:webHidden/>
          </w:rPr>
          <w:instrText xml:space="preserve"> PAGEREF _Toc64724148 \h </w:instrText>
        </w:r>
        <w:r w:rsidR="00CE7BE0">
          <w:rPr>
            <w:noProof/>
            <w:webHidden/>
          </w:rPr>
        </w:r>
        <w:r w:rsidR="00CE7BE0">
          <w:rPr>
            <w:noProof/>
            <w:webHidden/>
          </w:rPr>
          <w:fldChar w:fldCharType="separate"/>
        </w:r>
        <w:r w:rsidR="00CE7BE0">
          <w:rPr>
            <w:noProof/>
            <w:webHidden/>
          </w:rPr>
          <w:t>235</w:t>
        </w:r>
        <w:r w:rsidR="00CE7BE0">
          <w:rPr>
            <w:noProof/>
            <w:webHidden/>
          </w:rPr>
          <w:fldChar w:fldCharType="end"/>
        </w:r>
      </w:hyperlink>
    </w:p>
    <w:p w14:paraId="56029EE4" w14:textId="66828883" w:rsidR="00CE7BE0" w:rsidRDefault="006D3518">
      <w:pPr>
        <w:pStyle w:val="TableofFigures"/>
        <w:tabs>
          <w:tab w:val="right" w:leader="dot" w:pos="9350"/>
        </w:tabs>
        <w:rPr>
          <w:rFonts w:cstheme="minorBidi"/>
          <w:b w:val="0"/>
          <w:bCs w:val="0"/>
          <w:noProof/>
          <w:sz w:val="24"/>
          <w:szCs w:val="24"/>
          <w:lang w:eastAsia="en-GB"/>
        </w:rPr>
      </w:pPr>
      <w:hyperlink w:anchor="_Toc64724149" w:history="1">
        <w:r w:rsidR="00CE7BE0" w:rsidRPr="00F86AA5">
          <w:rPr>
            <w:rStyle w:val="Hyperlink"/>
            <w:noProof/>
          </w:rPr>
          <w:t>Table D.42: Depression does not explain magnitude or direction of Delta TTP: ANOVA for Delta TTP comparing subjects with moderate-severe depression to subjects with mild or no depression</w:t>
        </w:r>
        <w:r w:rsidR="00CE7BE0">
          <w:rPr>
            <w:noProof/>
            <w:webHidden/>
          </w:rPr>
          <w:tab/>
        </w:r>
        <w:r w:rsidR="00CE7BE0">
          <w:rPr>
            <w:noProof/>
            <w:webHidden/>
          </w:rPr>
          <w:fldChar w:fldCharType="begin"/>
        </w:r>
        <w:r w:rsidR="00CE7BE0">
          <w:rPr>
            <w:noProof/>
            <w:webHidden/>
          </w:rPr>
          <w:instrText xml:space="preserve"> PAGEREF _Toc64724149 \h </w:instrText>
        </w:r>
        <w:r w:rsidR="00CE7BE0">
          <w:rPr>
            <w:noProof/>
            <w:webHidden/>
          </w:rPr>
        </w:r>
        <w:r w:rsidR="00CE7BE0">
          <w:rPr>
            <w:noProof/>
            <w:webHidden/>
          </w:rPr>
          <w:fldChar w:fldCharType="separate"/>
        </w:r>
        <w:r w:rsidR="00CE7BE0">
          <w:rPr>
            <w:noProof/>
            <w:webHidden/>
          </w:rPr>
          <w:t>236</w:t>
        </w:r>
        <w:r w:rsidR="00CE7BE0">
          <w:rPr>
            <w:noProof/>
            <w:webHidden/>
          </w:rPr>
          <w:fldChar w:fldCharType="end"/>
        </w:r>
      </w:hyperlink>
    </w:p>
    <w:p w14:paraId="3D966EB7" w14:textId="3D46943C" w:rsidR="00CE7BE0" w:rsidRDefault="006D3518">
      <w:pPr>
        <w:pStyle w:val="TableofFigures"/>
        <w:tabs>
          <w:tab w:val="right" w:leader="dot" w:pos="9350"/>
        </w:tabs>
        <w:rPr>
          <w:rFonts w:cstheme="minorBidi"/>
          <w:b w:val="0"/>
          <w:bCs w:val="0"/>
          <w:noProof/>
          <w:sz w:val="24"/>
          <w:szCs w:val="24"/>
          <w:lang w:eastAsia="en-GB"/>
        </w:rPr>
      </w:pPr>
      <w:hyperlink w:anchor="_Toc64724150" w:history="1">
        <w:r w:rsidR="00CE7BE0" w:rsidRPr="00F86AA5">
          <w:rPr>
            <w:rStyle w:val="Hyperlink"/>
            <w:rFonts w:eastAsia="MS Mincho"/>
            <w:noProof/>
          </w:rPr>
          <w:t>Table D.43: Depression does not explain magnitude or direction of Delta TTP: Descriptive statistics for Delta TTP comparing subjects with moderate-severe depression to subjects with mild or no depression</w:t>
        </w:r>
        <w:r w:rsidR="00CE7BE0">
          <w:rPr>
            <w:noProof/>
            <w:webHidden/>
          </w:rPr>
          <w:tab/>
        </w:r>
        <w:r w:rsidR="00CE7BE0">
          <w:rPr>
            <w:noProof/>
            <w:webHidden/>
          </w:rPr>
          <w:fldChar w:fldCharType="begin"/>
        </w:r>
        <w:r w:rsidR="00CE7BE0">
          <w:rPr>
            <w:noProof/>
            <w:webHidden/>
          </w:rPr>
          <w:instrText xml:space="preserve"> PAGEREF _Toc64724150 \h </w:instrText>
        </w:r>
        <w:r w:rsidR="00CE7BE0">
          <w:rPr>
            <w:noProof/>
            <w:webHidden/>
          </w:rPr>
        </w:r>
        <w:r w:rsidR="00CE7BE0">
          <w:rPr>
            <w:noProof/>
            <w:webHidden/>
          </w:rPr>
          <w:fldChar w:fldCharType="separate"/>
        </w:r>
        <w:r w:rsidR="00CE7BE0">
          <w:rPr>
            <w:noProof/>
            <w:webHidden/>
          </w:rPr>
          <w:t>236</w:t>
        </w:r>
        <w:r w:rsidR="00CE7BE0">
          <w:rPr>
            <w:noProof/>
            <w:webHidden/>
          </w:rPr>
          <w:fldChar w:fldCharType="end"/>
        </w:r>
      </w:hyperlink>
    </w:p>
    <w:p w14:paraId="4F222CCF" w14:textId="48A3D71C" w:rsidR="00CE7BE0" w:rsidRDefault="006D3518">
      <w:pPr>
        <w:pStyle w:val="TableofFigures"/>
        <w:tabs>
          <w:tab w:val="right" w:leader="dot" w:pos="9350"/>
        </w:tabs>
        <w:rPr>
          <w:rFonts w:cstheme="minorBidi"/>
          <w:b w:val="0"/>
          <w:bCs w:val="0"/>
          <w:noProof/>
          <w:sz w:val="24"/>
          <w:szCs w:val="24"/>
          <w:lang w:eastAsia="en-GB"/>
        </w:rPr>
      </w:pPr>
      <w:hyperlink w:anchor="_Toc64724151" w:history="1">
        <w:r w:rsidR="00CE7BE0" w:rsidRPr="00F86AA5">
          <w:rPr>
            <w:rStyle w:val="Hyperlink"/>
            <w:noProof/>
          </w:rPr>
          <w:t>Table E.1 Test of Homogeneity of Variances- Levene’s statistic for ANOVA comparing group means for Metabolite ratios</w:t>
        </w:r>
        <w:r w:rsidR="00CE7BE0">
          <w:rPr>
            <w:noProof/>
            <w:webHidden/>
          </w:rPr>
          <w:tab/>
        </w:r>
        <w:r w:rsidR="00CE7BE0">
          <w:rPr>
            <w:noProof/>
            <w:webHidden/>
          </w:rPr>
          <w:fldChar w:fldCharType="begin"/>
        </w:r>
        <w:r w:rsidR="00CE7BE0">
          <w:rPr>
            <w:noProof/>
            <w:webHidden/>
          </w:rPr>
          <w:instrText xml:space="preserve"> PAGEREF _Toc64724151 \h </w:instrText>
        </w:r>
        <w:r w:rsidR="00CE7BE0">
          <w:rPr>
            <w:noProof/>
            <w:webHidden/>
          </w:rPr>
        </w:r>
        <w:r w:rsidR="00CE7BE0">
          <w:rPr>
            <w:noProof/>
            <w:webHidden/>
          </w:rPr>
          <w:fldChar w:fldCharType="separate"/>
        </w:r>
        <w:r w:rsidR="00CE7BE0">
          <w:rPr>
            <w:noProof/>
            <w:webHidden/>
          </w:rPr>
          <w:t>238</w:t>
        </w:r>
        <w:r w:rsidR="00CE7BE0">
          <w:rPr>
            <w:noProof/>
            <w:webHidden/>
          </w:rPr>
          <w:fldChar w:fldCharType="end"/>
        </w:r>
      </w:hyperlink>
    </w:p>
    <w:p w14:paraId="6D1DE23B" w14:textId="4A084FAA" w:rsidR="00CE7BE0" w:rsidRDefault="006D3518">
      <w:pPr>
        <w:pStyle w:val="TableofFigures"/>
        <w:tabs>
          <w:tab w:val="right" w:leader="dot" w:pos="9350"/>
        </w:tabs>
        <w:rPr>
          <w:rFonts w:cstheme="minorBidi"/>
          <w:b w:val="0"/>
          <w:bCs w:val="0"/>
          <w:noProof/>
          <w:sz w:val="24"/>
          <w:szCs w:val="24"/>
          <w:lang w:eastAsia="en-GB"/>
        </w:rPr>
      </w:pPr>
      <w:hyperlink w:anchor="_Toc64724152" w:history="1">
        <w:r w:rsidR="00CE7BE0" w:rsidRPr="00F86AA5">
          <w:rPr>
            <w:rStyle w:val="Hyperlink"/>
            <w:rFonts w:eastAsia="MS Mincho"/>
            <w:noProof/>
          </w:rPr>
          <w:t>Table E.2. Planned Contrast Coefficients for Spectroscopy Comparisons between groups</w:t>
        </w:r>
        <w:r w:rsidR="00CE7BE0">
          <w:rPr>
            <w:noProof/>
            <w:webHidden/>
          </w:rPr>
          <w:tab/>
        </w:r>
        <w:r w:rsidR="00CE7BE0">
          <w:rPr>
            <w:noProof/>
            <w:webHidden/>
          </w:rPr>
          <w:fldChar w:fldCharType="begin"/>
        </w:r>
        <w:r w:rsidR="00CE7BE0">
          <w:rPr>
            <w:noProof/>
            <w:webHidden/>
          </w:rPr>
          <w:instrText xml:space="preserve"> PAGEREF _Toc64724152 \h </w:instrText>
        </w:r>
        <w:r w:rsidR="00CE7BE0">
          <w:rPr>
            <w:noProof/>
            <w:webHidden/>
          </w:rPr>
        </w:r>
        <w:r w:rsidR="00CE7BE0">
          <w:rPr>
            <w:noProof/>
            <w:webHidden/>
          </w:rPr>
          <w:fldChar w:fldCharType="separate"/>
        </w:r>
        <w:r w:rsidR="00CE7BE0">
          <w:rPr>
            <w:noProof/>
            <w:webHidden/>
          </w:rPr>
          <w:t>238</w:t>
        </w:r>
        <w:r w:rsidR="00CE7BE0">
          <w:rPr>
            <w:noProof/>
            <w:webHidden/>
          </w:rPr>
          <w:fldChar w:fldCharType="end"/>
        </w:r>
      </w:hyperlink>
    </w:p>
    <w:p w14:paraId="2E7CD3E4" w14:textId="6E42AF45" w:rsidR="00CE7BE0" w:rsidRDefault="006D3518">
      <w:pPr>
        <w:pStyle w:val="TableofFigures"/>
        <w:tabs>
          <w:tab w:val="right" w:leader="dot" w:pos="9350"/>
        </w:tabs>
        <w:rPr>
          <w:rFonts w:cstheme="minorBidi"/>
          <w:b w:val="0"/>
          <w:bCs w:val="0"/>
          <w:noProof/>
          <w:sz w:val="24"/>
          <w:szCs w:val="24"/>
          <w:lang w:eastAsia="en-GB"/>
        </w:rPr>
      </w:pPr>
      <w:hyperlink w:anchor="_Toc64724153" w:history="1">
        <w:r w:rsidR="00CE7BE0" w:rsidRPr="00F86AA5">
          <w:rPr>
            <w:rStyle w:val="Hyperlink"/>
            <w:noProof/>
          </w:rPr>
          <w:t>Table E.3: Results of Contrast Tests</w:t>
        </w:r>
        <w:r w:rsidR="00CE7BE0">
          <w:rPr>
            <w:noProof/>
            <w:webHidden/>
          </w:rPr>
          <w:tab/>
        </w:r>
        <w:r w:rsidR="00CE7BE0">
          <w:rPr>
            <w:noProof/>
            <w:webHidden/>
          </w:rPr>
          <w:fldChar w:fldCharType="begin"/>
        </w:r>
        <w:r w:rsidR="00CE7BE0">
          <w:rPr>
            <w:noProof/>
            <w:webHidden/>
          </w:rPr>
          <w:instrText xml:space="preserve"> PAGEREF _Toc64724153 \h </w:instrText>
        </w:r>
        <w:r w:rsidR="00CE7BE0">
          <w:rPr>
            <w:noProof/>
            <w:webHidden/>
          </w:rPr>
        </w:r>
        <w:r w:rsidR="00CE7BE0">
          <w:rPr>
            <w:noProof/>
            <w:webHidden/>
          </w:rPr>
          <w:fldChar w:fldCharType="separate"/>
        </w:r>
        <w:r w:rsidR="00CE7BE0">
          <w:rPr>
            <w:noProof/>
            <w:webHidden/>
          </w:rPr>
          <w:t>238</w:t>
        </w:r>
        <w:r w:rsidR="00CE7BE0">
          <w:rPr>
            <w:noProof/>
            <w:webHidden/>
          </w:rPr>
          <w:fldChar w:fldCharType="end"/>
        </w:r>
      </w:hyperlink>
    </w:p>
    <w:p w14:paraId="05D99F62" w14:textId="421FCD2F" w:rsidR="00CE7BE0" w:rsidRDefault="006D3518">
      <w:pPr>
        <w:pStyle w:val="TableofFigures"/>
        <w:tabs>
          <w:tab w:val="right" w:leader="dot" w:pos="9350"/>
        </w:tabs>
        <w:rPr>
          <w:rFonts w:cstheme="minorBidi"/>
          <w:b w:val="0"/>
          <w:bCs w:val="0"/>
          <w:noProof/>
          <w:sz w:val="24"/>
          <w:szCs w:val="24"/>
          <w:lang w:eastAsia="en-GB"/>
        </w:rPr>
      </w:pPr>
      <w:hyperlink w:anchor="_Toc64724154" w:history="1">
        <w:r w:rsidR="00CE7BE0" w:rsidRPr="00F86AA5">
          <w:rPr>
            <w:rStyle w:val="Hyperlink"/>
            <w:noProof/>
          </w:rPr>
          <w:t>Table E.4: Correlations for Spectroscopy ratios at the left thalamus and demographics, measure of diabetes and baseline measurement of neuropathy</w:t>
        </w:r>
        <w:r w:rsidR="00CE7BE0">
          <w:rPr>
            <w:noProof/>
            <w:webHidden/>
          </w:rPr>
          <w:tab/>
        </w:r>
        <w:r w:rsidR="00CE7BE0">
          <w:rPr>
            <w:noProof/>
            <w:webHidden/>
          </w:rPr>
          <w:fldChar w:fldCharType="begin"/>
        </w:r>
        <w:r w:rsidR="00CE7BE0">
          <w:rPr>
            <w:noProof/>
            <w:webHidden/>
          </w:rPr>
          <w:instrText xml:space="preserve"> PAGEREF _Toc64724154 \h </w:instrText>
        </w:r>
        <w:r w:rsidR="00CE7BE0">
          <w:rPr>
            <w:noProof/>
            <w:webHidden/>
          </w:rPr>
        </w:r>
        <w:r w:rsidR="00CE7BE0">
          <w:rPr>
            <w:noProof/>
            <w:webHidden/>
          </w:rPr>
          <w:fldChar w:fldCharType="separate"/>
        </w:r>
        <w:r w:rsidR="00CE7BE0">
          <w:rPr>
            <w:noProof/>
            <w:webHidden/>
          </w:rPr>
          <w:t>239</w:t>
        </w:r>
        <w:r w:rsidR="00CE7BE0">
          <w:rPr>
            <w:noProof/>
            <w:webHidden/>
          </w:rPr>
          <w:fldChar w:fldCharType="end"/>
        </w:r>
      </w:hyperlink>
    </w:p>
    <w:p w14:paraId="08C42602" w14:textId="52815E8C" w:rsidR="00CE7BE0" w:rsidRDefault="006D3518">
      <w:pPr>
        <w:pStyle w:val="TableofFigures"/>
        <w:tabs>
          <w:tab w:val="right" w:leader="dot" w:pos="9350"/>
        </w:tabs>
        <w:rPr>
          <w:rFonts w:cstheme="minorBidi"/>
          <w:b w:val="0"/>
          <w:bCs w:val="0"/>
          <w:noProof/>
          <w:sz w:val="24"/>
          <w:szCs w:val="24"/>
          <w:lang w:eastAsia="en-GB"/>
        </w:rPr>
      </w:pPr>
      <w:hyperlink w:anchor="_Toc64724155" w:history="1">
        <w:r w:rsidR="00CE7BE0" w:rsidRPr="00F86AA5">
          <w:rPr>
            <w:rStyle w:val="Hyperlink"/>
            <w:noProof/>
          </w:rPr>
          <w:t>Table E.5: Correlations for Spectroscopy ratios at the left thalamus and measures of QST (DFNS)</w:t>
        </w:r>
        <w:r w:rsidR="00CE7BE0">
          <w:rPr>
            <w:noProof/>
            <w:webHidden/>
          </w:rPr>
          <w:tab/>
        </w:r>
        <w:r w:rsidR="00CE7BE0">
          <w:rPr>
            <w:noProof/>
            <w:webHidden/>
          </w:rPr>
          <w:fldChar w:fldCharType="begin"/>
        </w:r>
        <w:r w:rsidR="00CE7BE0">
          <w:rPr>
            <w:noProof/>
            <w:webHidden/>
          </w:rPr>
          <w:instrText xml:space="preserve"> PAGEREF _Toc64724155 \h </w:instrText>
        </w:r>
        <w:r w:rsidR="00CE7BE0">
          <w:rPr>
            <w:noProof/>
            <w:webHidden/>
          </w:rPr>
        </w:r>
        <w:r w:rsidR="00CE7BE0">
          <w:rPr>
            <w:noProof/>
            <w:webHidden/>
          </w:rPr>
          <w:fldChar w:fldCharType="separate"/>
        </w:r>
        <w:r w:rsidR="00CE7BE0">
          <w:rPr>
            <w:noProof/>
            <w:webHidden/>
          </w:rPr>
          <w:t>239</w:t>
        </w:r>
        <w:r w:rsidR="00CE7BE0">
          <w:rPr>
            <w:noProof/>
            <w:webHidden/>
          </w:rPr>
          <w:fldChar w:fldCharType="end"/>
        </w:r>
      </w:hyperlink>
    </w:p>
    <w:p w14:paraId="67F2BF11" w14:textId="09F80C0D" w:rsidR="00CE7BE0" w:rsidRDefault="006D3518">
      <w:pPr>
        <w:pStyle w:val="TableofFigures"/>
        <w:tabs>
          <w:tab w:val="right" w:leader="dot" w:pos="9350"/>
        </w:tabs>
        <w:rPr>
          <w:rFonts w:cstheme="minorBidi"/>
          <w:b w:val="0"/>
          <w:bCs w:val="0"/>
          <w:noProof/>
          <w:sz w:val="24"/>
          <w:szCs w:val="24"/>
          <w:lang w:eastAsia="en-GB"/>
        </w:rPr>
      </w:pPr>
      <w:hyperlink w:anchor="_Toc64724156" w:history="1">
        <w:r w:rsidR="00CE7BE0" w:rsidRPr="00F86AA5">
          <w:rPr>
            <w:rStyle w:val="Hyperlink"/>
            <w:noProof/>
          </w:rPr>
          <w:t>Table E.6: Correlations between spectroscopy ratios at the left thalamus and cardiovascular and glycaemic measures at the third visit</w:t>
        </w:r>
        <w:r w:rsidR="00CE7BE0">
          <w:rPr>
            <w:noProof/>
            <w:webHidden/>
          </w:rPr>
          <w:tab/>
        </w:r>
        <w:r w:rsidR="00CE7BE0">
          <w:rPr>
            <w:noProof/>
            <w:webHidden/>
          </w:rPr>
          <w:fldChar w:fldCharType="begin"/>
        </w:r>
        <w:r w:rsidR="00CE7BE0">
          <w:rPr>
            <w:noProof/>
            <w:webHidden/>
          </w:rPr>
          <w:instrText xml:space="preserve"> PAGEREF _Toc64724156 \h </w:instrText>
        </w:r>
        <w:r w:rsidR="00CE7BE0">
          <w:rPr>
            <w:noProof/>
            <w:webHidden/>
          </w:rPr>
        </w:r>
        <w:r w:rsidR="00CE7BE0">
          <w:rPr>
            <w:noProof/>
            <w:webHidden/>
          </w:rPr>
          <w:fldChar w:fldCharType="separate"/>
        </w:r>
        <w:r w:rsidR="00CE7BE0">
          <w:rPr>
            <w:noProof/>
            <w:webHidden/>
          </w:rPr>
          <w:t>240</w:t>
        </w:r>
        <w:r w:rsidR="00CE7BE0">
          <w:rPr>
            <w:noProof/>
            <w:webHidden/>
          </w:rPr>
          <w:fldChar w:fldCharType="end"/>
        </w:r>
      </w:hyperlink>
    </w:p>
    <w:p w14:paraId="6698CCAF" w14:textId="534ED0EE" w:rsidR="00CE7BE0" w:rsidRDefault="006D3518">
      <w:pPr>
        <w:pStyle w:val="TableofFigures"/>
        <w:tabs>
          <w:tab w:val="right" w:leader="dot" w:pos="9350"/>
        </w:tabs>
        <w:rPr>
          <w:rFonts w:cstheme="minorBidi"/>
          <w:b w:val="0"/>
          <w:bCs w:val="0"/>
          <w:noProof/>
          <w:sz w:val="24"/>
          <w:szCs w:val="24"/>
          <w:lang w:eastAsia="en-GB"/>
        </w:rPr>
      </w:pPr>
      <w:hyperlink w:anchor="_Toc64724157" w:history="1">
        <w:r w:rsidR="00CE7BE0" w:rsidRPr="00F86AA5">
          <w:rPr>
            <w:rStyle w:val="Hyperlink"/>
            <w:noProof/>
          </w:rPr>
          <w:t>Table E.7: Correlations for Spectroscopy ratios at the left thalamus and nerve conduction study parameters at baseline</w:t>
        </w:r>
        <w:r w:rsidR="00CE7BE0">
          <w:rPr>
            <w:noProof/>
            <w:webHidden/>
          </w:rPr>
          <w:tab/>
        </w:r>
        <w:r w:rsidR="00CE7BE0">
          <w:rPr>
            <w:noProof/>
            <w:webHidden/>
          </w:rPr>
          <w:fldChar w:fldCharType="begin"/>
        </w:r>
        <w:r w:rsidR="00CE7BE0">
          <w:rPr>
            <w:noProof/>
            <w:webHidden/>
          </w:rPr>
          <w:instrText xml:space="preserve"> PAGEREF _Toc64724157 \h </w:instrText>
        </w:r>
        <w:r w:rsidR="00CE7BE0">
          <w:rPr>
            <w:noProof/>
            <w:webHidden/>
          </w:rPr>
        </w:r>
        <w:r w:rsidR="00CE7BE0">
          <w:rPr>
            <w:noProof/>
            <w:webHidden/>
          </w:rPr>
          <w:fldChar w:fldCharType="separate"/>
        </w:r>
        <w:r w:rsidR="00CE7BE0">
          <w:rPr>
            <w:noProof/>
            <w:webHidden/>
          </w:rPr>
          <w:t>241</w:t>
        </w:r>
        <w:r w:rsidR="00CE7BE0">
          <w:rPr>
            <w:noProof/>
            <w:webHidden/>
          </w:rPr>
          <w:fldChar w:fldCharType="end"/>
        </w:r>
      </w:hyperlink>
    </w:p>
    <w:p w14:paraId="0EF149CB" w14:textId="3C69B0B6" w:rsidR="00CE7BE0" w:rsidRDefault="006D3518">
      <w:pPr>
        <w:pStyle w:val="TableofFigures"/>
        <w:tabs>
          <w:tab w:val="right" w:leader="dot" w:pos="9350"/>
        </w:tabs>
        <w:rPr>
          <w:rFonts w:cstheme="minorBidi"/>
          <w:b w:val="0"/>
          <w:bCs w:val="0"/>
          <w:noProof/>
          <w:sz w:val="24"/>
          <w:szCs w:val="24"/>
          <w:lang w:eastAsia="en-GB"/>
        </w:rPr>
      </w:pPr>
      <w:hyperlink w:anchor="_Toc64724158" w:history="1">
        <w:r w:rsidR="00CE7BE0" w:rsidRPr="00F86AA5">
          <w:rPr>
            <w:rStyle w:val="Hyperlink"/>
            <w:noProof/>
          </w:rPr>
          <w:t>Table E.8 : Correlations for Spectroscopy ratios measured at the left thalamus  and Perfusion parameters measured at baseline at the left thalamus</w:t>
        </w:r>
        <w:r w:rsidR="00CE7BE0">
          <w:rPr>
            <w:noProof/>
            <w:webHidden/>
          </w:rPr>
          <w:tab/>
        </w:r>
        <w:r w:rsidR="00CE7BE0">
          <w:rPr>
            <w:noProof/>
            <w:webHidden/>
          </w:rPr>
          <w:fldChar w:fldCharType="begin"/>
        </w:r>
        <w:r w:rsidR="00CE7BE0">
          <w:rPr>
            <w:noProof/>
            <w:webHidden/>
          </w:rPr>
          <w:instrText xml:space="preserve"> PAGEREF _Toc64724158 \h </w:instrText>
        </w:r>
        <w:r w:rsidR="00CE7BE0">
          <w:rPr>
            <w:noProof/>
            <w:webHidden/>
          </w:rPr>
        </w:r>
        <w:r w:rsidR="00CE7BE0">
          <w:rPr>
            <w:noProof/>
            <w:webHidden/>
          </w:rPr>
          <w:fldChar w:fldCharType="separate"/>
        </w:r>
        <w:r w:rsidR="00CE7BE0">
          <w:rPr>
            <w:noProof/>
            <w:webHidden/>
          </w:rPr>
          <w:t>241</w:t>
        </w:r>
        <w:r w:rsidR="00CE7BE0">
          <w:rPr>
            <w:noProof/>
            <w:webHidden/>
          </w:rPr>
          <w:fldChar w:fldCharType="end"/>
        </w:r>
      </w:hyperlink>
    </w:p>
    <w:p w14:paraId="59A899A8" w14:textId="164B8F7B" w:rsidR="00CE7BE0" w:rsidRDefault="006D3518">
      <w:pPr>
        <w:pStyle w:val="TableofFigures"/>
        <w:tabs>
          <w:tab w:val="right" w:leader="dot" w:pos="9350"/>
        </w:tabs>
        <w:rPr>
          <w:rFonts w:cstheme="minorBidi"/>
          <w:b w:val="0"/>
          <w:bCs w:val="0"/>
          <w:noProof/>
          <w:sz w:val="24"/>
          <w:szCs w:val="24"/>
          <w:lang w:eastAsia="en-GB"/>
        </w:rPr>
      </w:pPr>
      <w:hyperlink w:anchor="_Toc64724159" w:history="1">
        <w:r w:rsidR="00CE7BE0" w:rsidRPr="00F86AA5">
          <w:rPr>
            <w:rStyle w:val="Hyperlink"/>
            <w:noProof/>
          </w:rPr>
          <w:t>Table E.9: Correlations for Spectroscopy ratios and psychophysical measurements of pain measured at the third visit</w:t>
        </w:r>
        <w:r w:rsidR="00CE7BE0">
          <w:rPr>
            <w:noProof/>
            <w:webHidden/>
          </w:rPr>
          <w:tab/>
        </w:r>
        <w:r w:rsidR="00CE7BE0">
          <w:rPr>
            <w:noProof/>
            <w:webHidden/>
          </w:rPr>
          <w:fldChar w:fldCharType="begin"/>
        </w:r>
        <w:r w:rsidR="00CE7BE0">
          <w:rPr>
            <w:noProof/>
            <w:webHidden/>
          </w:rPr>
          <w:instrText xml:space="preserve"> PAGEREF _Toc64724159 \h </w:instrText>
        </w:r>
        <w:r w:rsidR="00CE7BE0">
          <w:rPr>
            <w:noProof/>
            <w:webHidden/>
          </w:rPr>
        </w:r>
        <w:r w:rsidR="00CE7BE0">
          <w:rPr>
            <w:noProof/>
            <w:webHidden/>
          </w:rPr>
          <w:fldChar w:fldCharType="separate"/>
        </w:r>
        <w:r w:rsidR="00CE7BE0">
          <w:rPr>
            <w:noProof/>
            <w:webHidden/>
          </w:rPr>
          <w:t>242</w:t>
        </w:r>
        <w:r w:rsidR="00CE7BE0">
          <w:rPr>
            <w:noProof/>
            <w:webHidden/>
          </w:rPr>
          <w:fldChar w:fldCharType="end"/>
        </w:r>
      </w:hyperlink>
    </w:p>
    <w:p w14:paraId="0C52FA48" w14:textId="341BA29D" w:rsidR="00C62606" w:rsidRDefault="00196E9F">
      <w:r>
        <w:fldChar w:fldCharType="end"/>
      </w:r>
    </w:p>
    <w:p w14:paraId="63C0395C" w14:textId="60656AC4" w:rsidR="00C62606" w:rsidRDefault="00C62606">
      <w:r>
        <w:br w:type="page"/>
      </w:r>
    </w:p>
    <w:p w14:paraId="667D7B79" w14:textId="77777777" w:rsidR="00C62606" w:rsidRPr="00196E9F" w:rsidRDefault="00C62606" w:rsidP="0031237D">
      <w:pPr>
        <w:pStyle w:val="Heading1"/>
      </w:pPr>
      <w:bookmarkStart w:id="9" w:name="_Toc431375243"/>
      <w:bookmarkStart w:id="10" w:name="_Toc48364621"/>
      <w:bookmarkStart w:id="11" w:name="_Toc64723858"/>
      <w:r w:rsidRPr="00196E9F">
        <w:lastRenderedPageBreak/>
        <w:t>List of Abbreviations</w:t>
      </w:r>
      <w:bookmarkEnd w:id="9"/>
      <w:bookmarkEnd w:id="10"/>
      <w:bookmarkEnd w:id="11"/>
    </w:p>
    <w:p w14:paraId="7DC93D7F" w14:textId="77777777" w:rsidR="00C62606" w:rsidRDefault="00C62606" w:rsidP="00C62606">
      <w:pPr>
        <w:spacing w:line="276" w:lineRule="auto"/>
        <w:rPr>
          <w:rFonts w:cs="Arial"/>
        </w:rPr>
      </w:pPr>
      <w:r w:rsidRPr="003A3CA0">
        <w:rPr>
          <w:rFonts w:cs="Arial"/>
        </w:rPr>
        <w:t>ACC</w:t>
      </w:r>
      <w:r w:rsidRPr="003A3CA0">
        <w:rPr>
          <w:rFonts w:cs="Arial"/>
        </w:rPr>
        <w:tab/>
      </w:r>
      <w:r w:rsidRPr="003A3CA0">
        <w:rPr>
          <w:rFonts w:cs="Arial"/>
        </w:rPr>
        <w:tab/>
        <w:t>Anterior Cingulate Cortex</w:t>
      </w:r>
    </w:p>
    <w:p w14:paraId="2C4928CC" w14:textId="77777777" w:rsidR="00C62606" w:rsidRDefault="00C62606" w:rsidP="00C62606">
      <w:pPr>
        <w:spacing w:line="276" w:lineRule="auto"/>
        <w:rPr>
          <w:rFonts w:cs="Arial"/>
        </w:rPr>
      </w:pPr>
      <w:r>
        <w:rPr>
          <w:rFonts w:cs="Arial"/>
        </w:rPr>
        <w:t>AFT</w:t>
      </w:r>
      <w:r>
        <w:rPr>
          <w:rFonts w:cs="Arial"/>
        </w:rPr>
        <w:tab/>
      </w:r>
      <w:r>
        <w:rPr>
          <w:rFonts w:cs="Arial"/>
        </w:rPr>
        <w:tab/>
        <w:t>Autonomic function tests</w:t>
      </w:r>
    </w:p>
    <w:p w14:paraId="0DAEF719" w14:textId="77777777" w:rsidR="00C62606" w:rsidRPr="003A3CA0" w:rsidRDefault="00C62606" w:rsidP="00C62606">
      <w:pPr>
        <w:spacing w:line="276" w:lineRule="auto"/>
        <w:rPr>
          <w:rFonts w:cs="Arial"/>
        </w:rPr>
      </w:pPr>
      <w:r>
        <w:rPr>
          <w:rFonts w:cs="Arial"/>
        </w:rPr>
        <w:t>AGE</w:t>
      </w:r>
      <w:r>
        <w:rPr>
          <w:rFonts w:cs="Arial"/>
        </w:rPr>
        <w:tab/>
      </w:r>
      <w:r>
        <w:rPr>
          <w:rFonts w:cs="Arial"/>
        </w:rPr>
        <w:tab/>
        <w:t>Advanced Glycation End products</w:t>
      </w:r>
    </w:p>
    <w:p w14:paraId="0C4A3D85" w14:textId="0937FB78" w:rsidR="00C62606" w:rsidRDefault="00C62606" w:rsidP="00C62606">
      <w:pPr>
        <w:spacing w:line="276" w:lineRule="auto"/>
        <w:rPr>
          <w:rFonts w:cs="Arial"/>
        </w:rPr>
      </w:pPr>
      <w:r w:rsidRPr="003A3CA0">
        <w:rPr>
          <w:rFonts w:cs="Arial"/>
        </w:rPr>
        <w:t>AIF</w:t>
      </w:r>
      <w:r w:rsidRPr="003A3CA0">
        <w:rPr>
          <w:rFonts w:cs="Arial"/>
        </w:rPr>
        <w:tab/>
      </w:r>
      <w:r w:rsidRPr="003A3CA0">
        <w:rPr>
          <w:rFonts w:cs="Arial"/>
        </w:rPr>
        <w:tab/>
        <w:t>Arterial Input Function</w:t>
      </w:r>
    </w:p>
    <w:p w14:paraId="43B6CE69" w14:textId="5548ECD4" w:rsidR="00475C8B" w:rsidRDefault="00475C8B" w:rsidP="00C62606">
      <w:pPr>
        <w:spacing w:line="276" w:lineRule="auto"/>
        <w:rPr>
          <w:rFonts w:cs="Arial"/>
        </w:rPr>
      </w:pPr>
      <w:r>
        <w:rPr>
          <w:rFonts w:cs="Arial"/>
        </w:rPr>
        <w:t>ALL-DM</w:t>
      </w:r>
      <w:r>
        <w:rPr>
          <w:rFonts w:cs="Arial"/>
        </w:rPr>
        <w:tab/>
        <w:t>All groups with T1D combined</w:t>
      </w:r>
    </w:p>
    <w:p w14:paraId="1726DD14" w14:textId="77777777" w:rsidR="00C62606" w:rsidRDefault="00C62606" w:rsidP="00C62606">
      <w:pPr>
        <w:spacing w:line="276" w:lineRule="auto"/>
        <w:rPr>
          <w:rFonts w:cs="Arial"/>
        </w:rPr>
      </w:pPr>
      <w:r>
        <w:rPr>
          <w:rFonts w:cs="Arial"/>
        </w:rPr>
        <w:t>ANOVA</w:t>
      </w:r>
      <w:r>
        <w:rPr>
          <w:rFonts w:cs="Arial"/>
        </w:rPr>
        <w:tab/>
        <w:t>Analysis of variance</w:t>
      </w:r>
    </w:p>
    <w:p w14:paraId="48FBFFDD" w14:textId="77777777" w:rsidR="00C62606" w:rsidRPr="003A3CA0" w:rsidRDefault="00C62606" w:rsidP="00C62606">
      <w:pPr>
        <w:spacing w:line="276" w:lineRule="auto"/>
        <w:rPr>
          <w:rFonts w:cs="Arial"/>
        </w:rPr>
      </w:pPr>
      <w:r>
        <w:rPr>
          <w:rFonts w:cs="Arial"/>
        </w:rPr>
        <w:t>ANCOVA</w:t>
      </w:r>
      <w:r>
        <w:rPr>
          <w:rFonts w:cs="Arial"/>
        </w:rPr>
        <w:tab/>
        <w:t>Analysis of co-variance</w:t>
      </w:r>
    </w:p>
    <w:p w14:paraId="06939296" w14:textId="77777777" w:rsidR="00C62606" w:rsidRDefault="00C62606" w:rsidP="00C62606">
      <w:pPr>
        <w:spacing w:line="276" w:lineRule="auto"/>
        <w:rPr>
          <w:rFonts w:cs="Arial"/>
        </w:rPr>
      </w:pPr>
      <w:r w:rsidRPr="003A3CA0">
        <w:rPr>
          <w:rFonts w:cs="Arial"/>
        </w:rPr>
        <w:t>ASL</w:t>
      </w:r>
      <w:r w:rsidRPr="003A3CA0">
        <w:rPr>
          <w:rFonts w:cs="Arial"/>
        </w:rPr>
        <w:tab/>
      </w:r>
      <w:r w:rsidRPr="003A3CA0">
        <w:rPr>
          <w:rFonts w:cs="Arial"/>
        </w:rPr>
        <w:tab/>
        <w:t>Arterial Spin Label</w:t>
      </w:r>
    </w:p>
    <w:p w14:paraId="69ED9EEB" w14:textId="34F8212A" w:rsidR="00522CA9" w:rsidRDefault="00C62606" w:rsidP="00C62606">
      <w:pPr>
        <w:spacing w:line="276" w:lineRule="auto"/>
        <w:rPr>
          <w:rFonts w:cs="Arial"/>
        </w:rPr>
      </w:pPr>
      <w:r>
        <w:rPr>
          <w:rFonts w:cs="Arial"/>
        </w:rPr>
        <w:t>BDI</w:t>
      </w:r>
      <w:r>
        <w:rPr>
          <w:rFonts w:cs="Arial"/>
        </w:rPr>
        <w:tab/>
      </w:r>
      <w:r>
        <w:rPr>
          <w:rFonts w:cs="Arial"/>
        </w:rPr>
        <w:tab/>
        <w:t>Beck’s Depression Inventory</w:t>
      </w:r>
    </w:p>
    <w:p w14:paraId="067FBDAC" w14:textId="32E2D7ED" w:rsidR="00423962" w:rsidRDefault="00423962" w:rsidP="00C62606">
      <w:pPr>
        <w:spacing w:line="276" w:lineRule="auto"/>
        <w:rPr>
          <w:rFonts w:cs="Arial"/>
        </w:rPr>
      </w:pPr>
      <w:r>
        <w:rPr>
          <w:rFonts w:cs="Arial"/>
        </w:rPr>
        <w:t>BDNF</w:t>
      </w:r>
      <w:r>
        <w:rPr>
          <w:rFonts w:cs="Arial"/>
        </w:rPr>
        <w:tab/>
      </w:r>
      <w:r>
        <w:rPr>
          <w:rFonts w:cs="Arial"/>
        </w:rPr>
        <w:tab/>
      </w:r>
      <w:r w:rsidR="00187FE0">
        <w:rPr>
          <w:rFonts w:cs="Arial"/>
        </w:rPr>
        <w:t>Brain-derived Neurotrophic Factor</w:t>
      </w:r>
    </w:p>
    <w:p w14:paraId="666B3B0A" w14:textId="39137A5F" w:rsidR="00C62606" w:rsidRPr="003A3CA0" w:rsidRDefault="00522CA9" w:rsidP="00C62606">
      <w:pPr>
        <w:spacing w:line="276" w:lineRule="auto"/>
        <w:rPr>
          <w:rFonts w:cs="Arial"/>
        </w:rPr>
      </w:pPr>
      <w:r>
        <w:rPr>
          <w:rFonts w:cs="Arial"/>
        </w:rPr>
        <w:t>BG</w:t>
      </w:r>
      <w:r>
        <w:rPr>
          <w:rFonts w:cs="Arial"/>
        </w:rPr>
        <w:tab/>
      </w:r>
      <w:r>
        <w:rPr>
          <w:rFonts w:cs="Arial"/>
        </w:rPr>
        <w:tab/>
        <w:t>Blood Glucose</w:t>
      </w:r>
      <w:r w:rsidR="00C62606">
        <w:rPr>
          <w:rFonts w:cs="Arial"/>
        </w:rPr>
        <w:t xml:space="preserve"> </w:t>
      </w:r>
    </w:p>
    <w:p w14:paraId="3AC4D177" w14:textId="77777777" w:rsidR="00C62606" w:rsidRDefault="00C62606" w:rsidP="00C62606">
      <w:pPr>
        <w:spacing w:line="276" w:lineRule="auto"/>
        <w:rPr>
          <w:rFonts w:cs="Arial"/>
        </w:rPr>
      </w:pPr>
      <w:r w:rsidRPr="003A3CA0">
        <w:rPr>
          <w:rFonts w:cs="Arial"/>
        </w:rPr>
        <w:t>BOLD</w:t>
      </w:r>
      <w:r w:rsidRPr="003A3CA0">
        <w:rPr>
          <w:rFonts w:cs="Arial"/>
        </w:rPr>
        <w:tab/>
      </w:r>
      <w:r w:rsidRPr="003A3CA0">
        <w:rPr>
          <w:rFonts w:cs="Arial"/>
        </w:rPr>
        <w:tab/>
        <w:t>Blood Oxygen Level Dependent</w:t>
      </w:r>
    </w:p>
    <w:p w14:paraId="2BA48C1D" w14:textId="77777777" w:rsidR="00C62606" w:rsidRDefault="00C62606" w:rsidP="00C62606">
      <w:pPr>
        <w:spacing w:line="276" w:lineRule="auto"/>
        <w:rPr>
          <w:rFonts w:cs="Arial"/>
        </w:rPr>
      </w:pPr>
      <w:r>
        <w:rPr>
          <w:rFonts w:cs="Arial"/>
        </w:rPr>
        <w:t>BIS/BAS</w:t>
      </w:r>
      <w:r>
        <w:rPr>
          <w:rFonts w:cs="Arial"/>
        </w:rPr>
        <w:tab/>
        <w:t>Behavioural inhibition Behavioural activation scale</w:t>
      </w:r>
    </w:p>
    <w:p w14:paraId="629FEBC1" w14:textId="77777777" w:rsidR="00C62606" w:rsidRDefault="00C62606" w:rsidP="00C62606">
      <w:pPr>
        <w:spacing w:line="276" w:lineRule="auto"/>
        <w:rPr>
          <w:rFonts w:cs="Arial"/>
        </w:rPr>
      </w:pPr>
      <w:r>
        <w:rPr>
          <w:rFonts w:cs="Arial"/>
        </w:rPr>
        <w:t>BIS</w:t>
      </w:r>
      <w:r>
        <w:rPr>
          <w:rFonts w:cs="Arial"/>
        </w:rPr>
        <w:tab/>
      </w:r>
      <w:r>
        <w:rPr>
          <w:rFonts w:cs="Arial"/>
        </w:rPr>
        <w:tab/>
        <w:t>Behavioural inhibition</w:t>
      </w:r>
    </w:p>
    <w:p w14:paraId="2C24464C" w14:textId="347F097D" w:rsidR="00C62606" w:rsidRDefault="00C62606" w:rsidP="00C62606">
      <w:pPr>
        <w:spacing w:line="276" w:lineRule="auto"/>
        <w:rPr>
          <w:rFonts w:cs="Arial"/>
        </w:rPr>
      </w:pPr>
      <w:r>
        <w:rPr>
          <w:rFonts w:cs="Arial"/>
        </w:rPr>
        <w:t>BAS-D</w:t>
      </w:r>
      <w:r>
        <w:rPr>
          <w:rFonts w:cs="Arial"/>
        </w:rPr>
        <w:tab/>
      </w:r>
      <w:r w:rsidR="00792E3B">
        <w:rPr>
          <w:rFonts w:cs="Arial"/>
        </w:rPr>
        <w:t>B</w:t>
      </w:r>
      <w:r>
        <w:rPr>
          <w:rFonts w:cs="Arial"/>
        </w:rPr>
        <w:t>ehavioural activation Drive</w:t>
      </w:r>
    </w:p>
    <w:p w14:paraId="06A99CC4" w14:textId="77777777" w:rsidR="00C62606" w:rsidRDefault="00C62606" w:rsidP="00C62606">
      <w:pPr>
        <w:spacing w:line="276" w:lineRule="auto"/>
        <w:rPr>
          <w:rFonts w:cs="Arial"/>
        </w:rPr>
      </w:pPr>
      <w:r>
        <w:rPr>
          <w:rFonts w:cs="Arial"/>
        </w:rPr>
        <w:t>BAS-F</w:t>
      </w:r>
      <w:r>
        <w:rPr>
          <w:rFonts w:cs="Arial"/>
        </w:rPr>
        <w:tab/>
      </w:r>
      <w:r>
        <w:rPr>
          <w:rFonts w:cs="Arial"/>
        </w:rPr>
        <w:tab/>
        <w:t>Behavioural activation- Fun seeking</w:t>
      </w:r>
    </w:p>
    <w:p w14:paraId="33EFC5CC" w14:textId="57A74B03" w:rsidR="00C62606" w:rsidRPr="003A3CA0" w:rsidRDefault="00C62606" w:rsidP="00C62606">
      <w:pPr>
        <w:spacing w:line="276" w:lineRule="auto"/>
        <w:rPr>
          <w:rFonts w:cs="Arial"/>
        </w:rPr>
      </w:pPr>
      <w:r>
        <w:rPr>
          <w:rFonts w:cs="Arial"/>
        </w:rPr>
        <w:t>BAS-RR</w:t>
      </w:r>
      <w:r>
        <w:rPr>
          <w:rFonts w:cs="Arial"/>
        </w:rPr>
        <w:tab/>
        <w:t>Behavioural activation- reward responsiveness</w:t>
      </w:r>
    </w:p>
    <w:p w14:paraId="1083FE9A" w14:textId="77777777" w:rsidR="00C62606" w:rsidRDefault="00C62606" w:rsidP="00C62606">
      <w:pPr>
        <w:spacing w:line="276" w:lineRule="auto"/>
        <w:rPr>
          <w:rFonts w:cs="Arial"/>
        </w:rPr>
      </w:pPr>
      <w:r w:rsidRPr="003A3CA0">
        <w:rPr>
          <w:rFonts w:cs="Arial"/>
        </w:rPr>
        <w:t>BP</w:t>
      </w:r>
      <w:r w:rsidRPr="003A3CA0">
        <w:rPr>
          <w:rFonts w:cs="Arial"/>
        </w:rPr>
        <w:tab/>
      </w:r>
      <w:r w:rsidRPr="003A3CA0">
        <w:rPr>
          <w:rFonts w:cs="Arial"/>
        </w:rPr>
        <w:tab/>
        <w:t>Blood Pressure</w:t>
      </w:r>
    </w:p>
    <w:p w14:paraId="32CB051B" w14:textId="77777777" w:rsidR="00C62606" w:rsidRPr="003A3CA0" w:rsidRDefault="00C62606" w:rsidP="00C62606">
      <w:pPr>
        <w:spacing w:line="276" w:lineRule="auto"/>
        <w:rPr>
          <w:rFonts w:cs="Arial"/>
        </w:rPr>
      </w:pPr>
      <w:r>
        <w:rPr>
          <w:rFonts w:cs="Arial"/>
        </w:rPr>
        <w:t>BPI</w:t>
      </w:r>
      <w:r>
        <w:rPr>
          <w:rFonts w:cs="Arial"/>
        </w:rPr>
        <w:tab/>
      </w:r>
      <w:r>
        <w:rPr>
          <w:rFonts w:cs="Arial"/>
        </w:rPr>
        <w:tab/>
        <w:t>Modified Brief Pain Inventory</w:t>
      </w:r>
    </w:p>
    <w:p w14:paraId="6F36E8CE" w14:textId="77777777" w:rsidR="00C62606" w:rsidRPr="003A3CA0" w:rsidRDefault="00C62606" w:rsidP="00C62606">
      <w:pPr>
        <w:spacing w:line="276" w:lineRule="auto"/>
        <w:rPr>
          <w:rFonts w:cs="Arial"/>
        </w:rPr>
      </w:pPr>
      <w:r w:rsidRPr="003A3CA0">
        <w:rPr>
          <w:rFonts w:cs="Arial"/>
        </w:rPr>
        <w:t>CBF</w:t>
      </w:r>
      <w:r w:rsidRPr="003A3CA0">
        <w:rPr>
          <w:rFonts w:cs="Arial"/>
        </w:rPr>
        <w:tab/>
      </w:r>
      <w:r w:rsidRPr="003A3CA0">
        <w:rPr>
          <w:rFonts w:cs="Arial"/>
        </w:rPr>
        <w:tab/>
        <w:t>Cerebral Blood Flow</w:t>
      </w:r>
    </w:p>
    <w:p w14:paraId="288E1834" w14:textId="77777777" w:rsidR="00C62606" w:rsidRPr="003A3CA0" w:rsidRDefault="00C62606" w:rsidP="00C62606">
      <w:pPr>
        <w:spacing w:line="276" w:lineRule="auto"/>
        <w:rPr>
          <w:rFonts w:cs="Arial"/>
        </w:rPr>
      </w:pPr>
      <w:r w:rsidRPr="003A3CA0">
        <w:rPr>
          <w:rFonts w:cs="Arial"/>
        </w:rPr>
        <w:t>CBV</w:t>
      </w:r>
      <w:r w:rsidRPr="003A3CA0">
        <w:rPr>
          <w:rFonts w:cs="Arial"/>
        </w:rPr>
        <w:tab/>
      </w:r>
      <w:r w:rsidRPr="003A3CA0">
        <w:rPr>
          <w:rFonts w:cs="Arial"/>
        </w:rPr>
        <w:tab/>
        <w:t>Cerebral blood Volume</w:t>
      </w:r>
    </w:p>
    <w:p w14:paraId="6E4355FC" w14:textId="77777777" w:rsidR="00C62606" w:rsidRDefault="00C62606" w:rsidP="00C62606">
      <w:pPr>
        <w:spacing w:line="276" w:lineRule="auto"/>
        <w:rPr>
          <w:rFonts w:cs="Arial"/>
        </w:rPr>
      </w:pPr>
      <w:r w:rsidRPr="003A3CA0">
        <w:rPr>
          <w:rFonts w:cs="Arial"/>
        </w:rPr>
        <w:t>CDT</w:t>
      </w:r>
      <w:r w:rsidRPr="003A3CA0">
        <w:rPr>
          <w:rFonts w:cs="Arial"/>
        </w:rPr>
        <w:tab/>
      </w:r>
      <w:r w:rsidRPr="003A3CA0">
        <w:rPr>
          <w:rFonts w:cs="Arial"/>
        </w:rPr>
        <w:tab/>
        <w:t>Cold detection threshold</w:t>
      </w:r>
    </w:p>
    <w:p w14:paraId="28468F3F" w14:textId="77777777" w:rsidR="00C62606" w:rsidRDefault="00C62606" w:rsidP="00C62606">
      <w:pPr>
        <w:spacing w:line="276" w:lineRule="auto"/>
        <w:rPr>
          <w:rFonts w:cs="Arial"/>
        </w:rPr>
      </w:pPr>
      <w:r>
        <w:rPr>
          <w:rFonts w:cs="Arial"/>
        </w:rPr>
        <w:t>Cho</w:t>
      </w:r>
      <w:r>
        <w:rPr>
          <w:rFonts w:cs="Arial"/>
        </w:rPr>
        <w:tab/>
      </w:r>
      <w:r>
        <w:rPr>
          <w:rFonts w:cs="Arial"/>
        </w:rPr>
        <w:tab/>
        <w:t>Choline</w:t>
      </w:r>
    </w:p>
    <w:p w14:paraId="35F2308A" w14:textId="77777777" w:rsidR="00C62606" w:rsidRDefault="00C62606" w:rsidP="00C62606">
      <w:pPr>
        <w:spacing w:line="276" w:lineRule="auto"/>
        <w:rPr>
          <w:rFonts w:cs="Arial"/>
        </w:rPr>
      </w:pPr>
      <w:r>
        <w:rPr>
          <w:rFonts w:cs="Arial"/>
        </w:rPr>
        <w:t>CI</w:t>
      </w:r>
      <w:r>
        <w:rPr>
          <w:rFonts w:cs="Arial"/>
        </w:rPr>
        <w:tab/>
      </w:r>
      <w:r>
        <w:rPr>
          <w:rFonts w:cs="Arial"/>
        </w:rPr>
        <w:tab/>
        <w:t>Confidence interval</w:t>
      </w:r>
    </w:p>
    <w:p w14:paraId="273CF101" w14:textId="73C98204" w:rsidR="00C62606" w:rsidRDefault="00C62606" w:rsidP="00C62606">
      <w:pPr>
        <w:spacing w:line="276" w:lineRule="auto"/>
        <w:rPr>
          <w:rFonts w:cs="Arial"/>
        </w:rPr>
      </w:pPr>
      <w:r>
        <w:rPr>
          <w:rFonts w:cs="Arial"/>
        </w:rPr>
        <w:t>CNS</w:t>
      </w:r>
      <w:r>
        <w:rPr>
          <w:rFonts w:cs="Arial"/>
        </w:rPr>
        <w:tab/>
      </w:r>
      <w:r>
        <w:rPr>
          <w:rFonts w:cs="Arial"/>
        </w:rPr>
        <w:tab/>
        <w:t>Central Nervous System</w:t>
      </w:r>
    </w:p>
    <w:p w14:paraId="148DCE1D" w14:textId="56EE3456" w:rsidR="00522CA9" w:rsidRDefault="00522CA9" w:rsidP="00C62606">
      <w:pPr>
        <w:spacing w:line="276" w:lineRule="auto"/>
        <w:rPr>
          <w:rFonts w:cs="Arial"/>
        </w:rPr>
      </w:pPr>
      <w:r>
        <w:rPr>
          <w:rFonts w:cs="Arial"/>
        </w:rPr>
        <w:t>COX2</w:t>
      </w:r>
      <w:r>
        <w:rPr>
          <w:rFonts w:cs="Arial"/>
        </w:rPr>
        <w:tab/>
      </w:r>
      <w:r>
        <w:rPr>
          <w:rFonts w:cs="Arial"/>
        </w:rPr>
        <w:tab/>
        <w:t xml:space="preserve">Cyclo-oxygenase 2 </w:t>
      </w:r>
    </w:p>
    <w:p w14:paraId="67F68927" w14:textId="77777777" w:rsidR="00C62606" w:rsidRDefault="00C62606" w:rsidP="00C62606">
      <w:pPr>
        <w:spacing w:line="276" w:lineRule="auto"/>
        <w:rPr>
          <w:rFonts w:cs="Arial"/>
          <w:iCs/>
        </w:rPr>
      </w:pPr>
      <w:r w:rsidRPr="003A3CA0">
        <w:rPr>
          <w:rFonts w:cs="Arial"/>
          <w:iCs/>
        </w:rPr>
        <w:t>CPT</w:t>
      </w:r>
      <w:r w:rsidRPr="003A3CA0">
        <w:rPr>
          <w:rFonts w:cs="Arial"/>
          <w:iCs/>
        </w:rPr>
        <w:tab/>
      </w:r>
      <w:r w:rsidRPr="003A3CA0">
        <w:rPr>
          <w:rFonts w:cs="Arial"/>
          <w:iCs/>
        </w:rPr>
        <w:tab/>
        <w:t>cold pain threshold</w:t>
      </w:r>
    </w:p>
    <w:p w14:paraId="77F89C8B" w14:textId="6CEDF271" w:rsidR="00C62606" w:rsidRDefault="00C62606" w:rsidP="00C62606">
      <w:pPr>
        <w:spacing w:line="276" w:lineRule="auto"/>
        <w:rPr>
          <w:rFonts w:cs="Arial"/>
          <w:iCs/>
        </w:rPr>
      </w:pPr>
      <w:r>
        <w:rPr>
          <w:rFonts w:cs="Arial"/>
          <w:iCs/>
        </w:rPr>
        <w:t>Cr</w:t>
      </w:r>
      <w:r>
        <w:rPr>
          <w:rFonts w:cs="Arial"/>
          <w:iCs/>
        </w:rPr>
        <w:tab/>
      </w:r>
      <w:r>
        <w:rPr>
          <w:rFonts w:cs="Arial"/>
          <w:iCs/>
        </w:rPr>
        <w:tab/>
        <w:t>Creatine</w:t>
      </w:r>
    </w:p>
    <w:p w14:paraId="7F7ABF2D" w14:textId="256E27D5" w:rsidR="00522CA9" w:rsidRPr="00B52EE7" w:rsidRDefault="00522CA9" w:rsidP="00C62606">
      <w:pPr>
        <w:spacing w:line="276" w:lineRule="auto"/>
        <w:rPr>
          <w:rFonts w:cs="Arial"/>
          <w:iCs/>
        </w:rPr>
      </w:pPr>
      <w:r>
        <w:rPr>
          <w:rFonts w:cs="Arial"/>
          <w:iCs/>
        </w:rPr>
        <w:t>CTTH</w:t>
      </w:r>
      <w:r>
        <w:rPr>
          <w:rFonts w:cs="Arial"/>
          <w:iCs/>
        </w:rPr>
        <w:tab/>
      </w:r>
      <w:r>
        <w:rPr>
          <w:rFonts w:cs="Arial"/>
          <w:iCs/>
        </w:rPr>
        <w:tab/>
        <w:t>Capillary transit time heterogeneity</w:t>
      </w:r>
    </w:p>
    <w:p w14:paraId="179A789C" w14:textId="77777777" w:rsidR="00C62606" w:rsidRPr="003A3CA0" w:rsidRDefault="00C62606" w:rsidP="00C62606">
      <w:pPr>
        <w:spacing w:line="276" w:lineRule="auto"/>
        <w:rPr>
          <w:rFonts w:cs="Arial"/>
        </w:rPr>
      </w:pPr>
      <w:r w:rsidRPr="003A3CA0">
        <w:rPr>
          <w:rFonts w:cs="Arial"/>
        </w:rPr>
        <w:t>DCCT</w:t>
      </w:r>
      <w:r w:rsidRPr="003A3CA0">
        <w:rPr>
          <w:rFonts w:cs="Arial"/>
        </w:rPr>
        <w:tab/>
      </w:r>
      <w:r w:rsidRPr="003A3CA0">
        <w:rPr>
          <w:rFonts w:cs="Arial"/>
        </w:rPr>
        <w:tab/>
        <w:t>Diabetes Control and Complications Trial</w:t>
      </w:r>
    </w:p>
    <w:p w14:paraId="1C11B2BE" w14:textId="6E2766B6" w:rsidR="00C62606" w:rsidRDefault="00C62606" w:rsidP="00C62606">
      <w:pPr>
        <w:spacing w:line="276" w:lineRule="auto"/>
        <w:rPr>
          <w:rFonts w:cs="Arial"/>
        </w:rPr>
      </w:pPr>
      <w:r w:rsidRPr="003A3CA0">
        <w:rPr>
          <w:rFonts w:cs="Arial"/>
        </w:rPr>
        <w:t>DFNS</w:t>
      </w:r>
      <w:r w:rsidRPr="003A3CA0">
        <w:rPr>
          <w:rFonts w:cs="Arial"/>
        </w:rPr>
        <w:tab/>
      </w:r>
      <w:r w:rsidRPr="003A3CA0">
        <w:rPr>
          <w:rFonts w:cs="Arial"/>
        </w:rPr>
        <w:tab/>
      </w:r>
      <w:proofErr w:type="spellStart"/>
      <w:r w:rsidRPr="003A3CA0">
        <w:rPr>
          <w:rFonts w:cs="Arial"/>
        </w:rPr>
        <w:t>Deutchse</w:t>
      </w:r>
      <w:proofErr w:type="spellEnd"/>
      <w:r w:rsidRPr="003A3CA0">
        <w:rPr>
          <w:rFonts w:cs="Arial"/>
        </w:rPr>
        <w:t xml:space="preserve"> </w:t>
      </w:r>
      <w:proofErr w:type="spellStart"/>
      <w:r w:rsidRPr="003A3CA0">
        <w:rPr>
          <w:rFonts w:cs="Arial"/>
        </w:rPr>
        <w:t>Forschungsverbund</w:t>
      </w:r>
      <w:proofErr w:type="spellEnd"/>
      <w:r w:rsidRPr="003A3CA0">
        <w:rPr>
          <w:rFonts w:cs="Arial"/>
        </w:rPr>
        <w:t xml:space="preserve"> </w:t>
      </w:r>
      <w:proofErr w:type="spellStart"/>
      <w:r w:rsidRPr="003A3CA0">
        <w:rPr>
          <w:rFonts w:cs="Arial"/>
        </w:rPr>
        <w:t>Neuropathischer</w:t>
      </w:r>
      <w:proofErr w:type="spellEnd"/>
      <w:r w:rsidRPr="003A3CA0">
        <w:rPr>
          <w:rFonts w:cs="Arial"/>
        </w:rPr>
        <w:t xml:space="preserve"> </w:t>
      </w:r>
      <w:proofErr w:type="spellStart"/>
      <w:r w:rsidRPr="003A3CA0">
        <w:rPr>
          <w:rFonts w:cs="Arial"/>
        </w:rPr>
        <w:t>Schmerz</w:t>
      </w:r>
      <w:proofErr w:type="spellEnd"/>
      <w:r w:rsidRPr="003A3CA0">
        <w:rPr>
          <w:rFonts w:cs="Arial"/>
        </w:rPr>
        <w:t xml:space="preserve"> </w:t>
      </w:r>
      <w:r w:rsidR="009E106D">
        <w:rPr>
          <w:rFonts w:cs="Arial"/>
        </w:rPr>
        <w:t xml:space="preserve"> </w:t>
      </w:r>
      <w:r w:rsidR="009E106D">
        <w:rPr>
          <w:rFonts w:cs="Arial"/>
        </w:rPr>
        <w:tab/>
      </w:r>
      <w:r w:rsidR="009E106D">
        <w:rPr>
          <w:rFonts w:cs="Arial"/>
        </w:rPr>
        <w:tab/>
      </w:r>
      <w:r w:rsidR="009E106D">
        <w:rPr>
          <w:rFonts w:cs="Arial"/>
        </w:rPr>
        <w:tab/>
      </w:r>
      <w:r w:rsidR="009E106D">
        <w:rPr>
          <w:rFonts w:cs="Arial"/>
        </w:rPr>
        <w:tab/>
      </w:r>
      <w:r w:rsidR="009E106D">
        <w:rPr>
          <w:rFonts w:cs="Arial"/>
        </w:rPr>
        <w:tab/>
      </w:r>
      <w:r w:rsidRPr="003A3CA0">
        <w:rPr>
          <w:rFonts w:cs="Arial"/>
        </w:rPr>
        <w:t>(German Research network on neuropathic pain)</w:t>
      </w:r>
    </w:p>
    <w:p w14:paraId="6E02F418" w14:textId="43827364" w:rsidR="00C62606" w:rsidRDefault="00C62606" w:rsidP="00C62606">
      <w:pPr>
        <w:spacing w:line="276" w:lineRule="auto"/>
        <w:rPr>
          <w:rFonts w:cs="Arial"/>
        </w:rPr>
      </w:pPr>
      <w:r>
        <w:rPr>
          <w:rFonts w:cs="Arial"/>
        </w:rPr>
        <w:t>DICOM ®</w:t>
      </w:r>
      <w:r>
        <w:rPr>
          <w:rFonts w:cs="Arial"/>
        </w:rPr>
        <w:tab/>
        <w:t>Digital Imaging and Communications in Medicine</w:t>
      </w:r>
    </w:p>
    <w:p w14:paraId="7E91AA6D" w14:textId="5A86526B" w:rsidR="00187FE0" w:rsidRDefault="00187FE0" w:rsidP="00C62606">
      <w:pPr>
        <w:spacing w:line="276" w:lineRule="auto"/>
        <w:rPr>
          <w:rFonts w:cs="Arial"/>
        </w:rPr>
      </w:pPr>
      <w:r>
        <w:rPr>
          <w:rFonts w:cs="Arial"/>
        </w:rPr>
        <w:t>DLPFC</w:t>
      </w:r>
      <w:r>
        <w:rPr>
          <w:rFonts w:cs="Arial"/>
        </w:rPr>
        <w:tab/>
        <w:t>Dorsolateral prefrontal cortex</w:t>
      </w:r>
    </w:p>
    <w:p w14:paraId="025B2B18" w14:textId="3E3849B4" w:rsidR="00C62606" w:rsidRDefault="00C62606" w:rsidP="00C62606">
      <w:pPr>
        <w:spacing w:line="276" w:lineRule="auto"/>
        <w:rPr>
          <w:rFonts w:cs="Arial"/>
          <w:iCs/>
        </w:rPr>
      </w:pPr>
      <w:r w:rsidRPr="003A3CA0">
        <w:rPr>
          <w:rFonts w:cs="Arial"/>
          <w:iCs/>
        </w:rPr>
        <w:t>DMA</w:t>
      </w:r>
      <w:r w:rsidRPr="003A3CA0">
        <w:rPr>
          <w:rFonts w:cs="Arial"/>
          <w:iCs/>
        </w:rPr>
        <w:tab/>
      </w:r>
      <w:r w:rsidRPr="003A3CA0">
        <w:rPr>
          <w:rFonts w:cs="Arial"/>
          <w:iCs/>
        </w:rPr>
        <w:tab/>
        <w:t xml:space="preserve">dynamic mechanical allodynia </w:t>
      </w:r>
    </w:p>
    <w:p w14:paraId="10706040" w14:textId="74E3EC6E" w:rsidR="0068734B" w:rsidRPr="0028795E" w:rsidRDefault="0068734B" w:rsidP="00C62606">
      <w:pPr>
        <w:spacing w:line="276" w:lineRule="auto"/>
        <w:rPr>
          <w:rFonts w:cs="Arial"/>
          <w:iCs/>
        </w:rPr>
      </w:pPr>
      <w:r>
        <w:rPr>
          <w:rFonts w:cs="Arial"/>
          <w:iCs/>
        </w:rPr>
        <w:t>DM-NEUR</w:t>
      </w:r>
      <w:r>
        <w:rPr>
          <w:rFonts w:cs="Arial"/>
          <w:iCs/>
        </w:rPr>
        <w:tab/>
      </w:r>
      <w:r w:rsidRPr="00052BEA">
        <w:rPr>
          <w:rFonts w:cs="Arial"/>
        </w:rPr>
        <w:t>Diabetes with Neuropathy</w:t>
      </w:r>
      <w:r w:rsidR="00D7216F">
        <w:rPr>
          <w:rFonts w:cs="Arial"/>
        </w:rPr>
        <w:t xml:space="preserve"> (PDPN+DPN)</w:t>
      </w:r>
    </w:p>
    <w:p w14:paraId="7FF4A415" w14:textId="77777777" w:rsidR="009E106D" w:rsidRPr="003A3CA0" w:rsidRDefault="009E106D" w:rsidP="009E106D">
      <w:pPr>
        <w:spacing w:line="276" w:lineRule="auto"/>
        <w:rPr>
          <w:rFonts w:cs="Arial"/>
        </w:rPr>
      </w:pPr>
      <w:r w:rsidRPr="003A3CA0">
        <w:rPr>
          <w:rFonts w:eastAsia="Arial" w:cs="Arial"/>
        </w:rPr>
        <w:t>DM-NN</w:t>
      </w:r>
      <w:r w:rsidRPr="003A3CA0">
        <w:rPr>
          <w:rFonts w:cs="Arial"/>
        </w:rPr>
        <w:tab/>
        <w:t xml:space="preserve">Subject group- </w:t>
      </w:r>
      <w:r w:rsidRPr="003A3CA0">
        <w:rPr>
          <w:rFonts w:eastAsia="Arial" w:cs="Arial"/>
        </w:rPr>
        <w:t>T1D</w:t>
      </w:r>
      <w:r w:rsidRPr="003A3CA0">
        <w:rPr>
          <w:rFonts w:cs="Arial"/>
        </w:rPr>
        <w:t xml:space="preserve"> and no signs or symptoms of neuropathy</w:t>
      </w:r>
    </w:p>
    <w:p w14:paraId="3A09621D" w14:textId="77777777" w:rsidR="00A014BE" w:rsidRPr="003A3CA0" w:rsidRDefault="00A014BE" w:rsidP="00A014BE">
      <w:pPr>
        <w:spacing w:line="276" w:lineRule="auto"/>
        <w:rPr>
          <w:rFonts w:cs="Arial"/>
        </w:rPr>
      </w:pPr>
      <w:r>
        <w:rPr>
          <w:rFonts w:cs="Arial"/>
        </w:rPr>
        <w:t>DN</w:t>
      </w:r>
      <w:r>
        <w:rPr>
          <w:rFonts w:cs="Arial"/>
        </w:rPr>
        <w:tab/>
      </w:r>
      <w:r>
        <w:rPr>
          <w:rFonts w:cs="Arial"/>
        </w:rPr>
        <w:tab/>
        <w:t>Diabetic Neuropathy (both painful and painless)</w:t>
      </w:r>
    </w:p>
    <w:p w14:paraId="16120C12" w14:textId="77777777" w:rsidR="00C62606" w:rsidRPr="003A3CA0" w:rsidRDefault="00C62606" w:rsidP="00C62606">
      <w:pPr>
        <w:spacing w:line="276" w:lineRule="auto"/>
        <w:rPr>
          <w:rFonts w:cs="Arial"/>
        </w:rPr>
      </w:pPr>
      <w:r w:rsidRPr="003A3CA0">
        <w:rPr>
          <w:rFonts w:cs="Arial"/>
        </w:rPr>
        <w:t>DSC</w:t>
      </w:r>
      <w:r w:rsidRPr="003A3CA0">
        <w:rPr>
          <w:rFonts w:cs="Arial"/>
        </w:rPr>
        <w:tab/>
      </w:r>
      <w:r w:rsidRPr="003A3CA0">
        <w:rPr>
          <w:rFonts w:cs="Arial"/>
        </w:rPr>
        <w:tab/>
        <w:t>Dynamic Susceptibility Contrast</w:t>
      </w:r>
    </w:p>
    <w:p w14:paraId="4D65BCEB" w14:textId="77777777" w:rsidR="00C62606" w:rsidRPr="003A3CA0" w:rsidRDefault="00C62606" w:rsidP="00C62606">
      <w:pPr>
        <w:spacing w:line="276" w:lineRule="auto"/>
        <w:rPr>
          <w:rFonts w:cs="Arial"/>
        </w:rPr>
      </w:pPr>
      <w:r w:rsidRPr="003A3CA0">
        <w:rPr>
          <w:rFonts w:cs="Arial"/>
        </w:rPr>
        <w:t>DTI</w:t>
      </w:r>
      <w:r w:rsidRPr="003A3CA0">
        <w:rPr>
          <w:rFonts w:cs="Arial"/>
        </w:rPr>
        <w:tab/>
      </w:r>
      <w:r w:rsidRPr="003A3CA0">
        <w:rPr>
          <w:rFonts w:cs="Arial"/>
        </w:rPr>
        <w:tab/>
        <w:t>Diffusion Tensor Imaging</w:t>
      </w:r>
    </w:p>
    <w:p w14:paraId="530D6DEB" w14:textId="77777777" w:rsidR="00C62606" w:rsidRPr="003A3CA0" w:rsidRDefault="00C62606" w:rsidP="00C62606">
      <w:pPr>
        <w:spacing w:line="276" w:lineRule="auto"/>
        <w:rPr>
          <w:rFonts w:cs="Arial"/>
        </w:rPr>
      </w:pPr>
      <w:r w:rsidRPr="003A3CA0">
        <w:rPr>
          <w:rFonts w:cs="Arial"/>
        </w:rPr>
        <w:t>ECG</w:t>
      </w:r>
      <w:r w:rsidRPr="003A3CA0">
        <w:rPr>
          <w:rFonts w:cs="Arial"/>
        </w:rPr>
        <w:tab/>
      </w:r>
      <w:r w:rsidRPr="003A3CA0">
        <w:rPr>
          <w:rFonts w:cs="Arial"/>
        </w:rPr>
        <w:tab/>
        <w:t>Electrocardiograph</w:t>
      </w:r>
    </w:p>
    <w:p w14:paraId="453EB573" w14:textId="6832F394" w:rsidR="00C62606" w:rsidRDefault="00C62606" w:rsidP="00C62606">
      <w:pPr>
        <w:spacing w:line="276" w:lineRule="auto"/>
        <w:rPr>
          <w:rFonts w:cs="Arial"/>
        </w:rPr>
      </w:pPr>
      <w:r w:rsidRPr="003A3CA0">
        <w:rPr>
          <w:rFonts w:cs="Arial"/>
        </w:rPr>
        <w:t>EDIC</w:t>
      </w:r>
      <w:r w:rsidRPr="003A3CA0">
        <w:rPr>
          <w:rFonts w:cs="Arial"/>
        </w:rPr>
        <w:tab/>
      </w:r>
      <w:r w:rsidRPr="003A3CA0">
        <w:rPr>
          <w:rFonts w:cs="Arial"/>
        </w:rPr>
        <w:tab/>
        <w:t>Epidemiology of Diabetes Interventions and Complications</w:t>
      </w:r>
      <w:r w:rsidR="009E106D">
        <w:rPr>
          <w:rFonts w:cs="Arial"/>
        </w:rPr>
        <w:t xml:space="preserve"> </w:t>
      </w:r>
      <w:r w:rsidRPr="003A3CA0">
        <w:rPr>
          <w:rFonts w:cs="Arial"/>
        </w:rPr>
        <w:t>Trial</w:t>
      </w:r>
    </w:p>
    <w:p w14:paraId="3B59A53B" w14:textId="561A6AF3" w:rsidR="003E5B22" w:rsidRPr="003A3CA0" w:rsidRDefault="003E5B22" w:rsidP="00C62606">
      <w:pPr>
        <w:spacing w:line="276" w:lineRule="auto"/>
        <w:rPr>
          <w:rFonts w:cs="Arial"/>
        </w:rPr>
      </w:pPr>
      <w:r>
        <w:rPr>
          <w:rFonts w:cs="Arial"/>
        </w:rPr>
        <w:lastRenderedPageBreak/>
        <w:t>EFSD</w:t>
      </w:r>
      <w:r>
        <w:rPr>
          <w:rFonts w:cs="Arial"/>
        </w:rPr>
        <w:tab/>
      </w:r>
      <w:r>
        <w:rPr>
          <w:rFonts w:cs="Arial"/>
        </w:rPr>
        <w:tab/>
        <w:t>European Foundation for the Study of Diabetes</w:t>
      </w:r>
    </w:p>
    <w:p w14:paraId="11C3D7E5" w14:textId="1D749B9F" w:rsidR="00C62606" w:rsidRPr="003A3CA0" w:rsidRDefault="00233478" w:rsidP="00C62606">
      <w:pPr>
        <w:spacing w:line="276" w:lineRule="auto"/>
        <w:rPr>
          <w:rFonts w:cs="Arial"/>
        </w:rPr>
      </w:pPr>
      <w:r>
        <w:rPr>
          <w:rFonts w:cs="Arial"/>
        </w:rPr>
        <w:t>eGFR</w:t>
      </w:r>
      <w:r w:rsidR="00C62606" w:rsidRPr="003A3CA0">
        <w:rPr>
          <w:rFonts w:cs="Arial"/>
        </w:rPr>
        <w:tab/>
      </w:r>
      <w:r w:rsidR="00C62606" w:rsidRPr="003A3CA0">
        <w:rPr>
          <w:rFonts w:cs="Arial"/>
        </w:rPr>
        <w:tab/>
        <w:t>estimated Glomerular Filtration Rate</w:t>
      </w:r>
    </w:p>
    <w:p w14:paraId="213E1AE0" w14:textId="77777777" w:rsidR="00C62606" w:rsidRDefault="00C62606" w:rsidP="00C62606">
      <w:pPr>
        <w:spacing w:line="276" w:lineRule="auto"/>
        <w:rPr>
          <w:rFonts w:cs="Arial"/>
        </w:rPr>
      </w:pPr>
      <w:r w:rsidRPr="003A3CA0">
        <w:rPr>
          <w:rFonts w:cs="Arial"/>
        </w:rPr>
        <w:t>EPI</w:t>
      </w:r>
      <w:r w:rsidRPr="003A3CA0">
        <w:rPr>
          <w:rFonts w:cs="Arial"/>
        </w:rPr>
        <w:tab/>
      </w:r>
      <w:r w:rsidRPr="003A3CA0">
        <w:rPr>
          <w:rFonts w:cs="Arial"/>
        </w:rPr>
        <w:tab/>
        <w:t>Echo Planar Imaging</w:t>
      </w:r>
    </w:p>
    <w:p w14:paraId="6699BD11" w14:textId="77777777" w:rsidR="00C62606" w:rsidRPr="003A3CA0" w:rsidRDefault="00C62606" w:rsidP="00C62606">
      <w:pPr>
        <w:spacing w:line="276" w:lineRule="auto"/>
        <w:rPr>
          <w:rFonts w:cs="Arial"/>
        </w:rPr>
      </w:pPr>
      <w:r>
        <w:rPr>
          <w:rFonts w:cs="Arial"/>
        </w:rPr>
        <w:t>FDG</w:t>
      </w:r>
      <w:r>
        <w:rPr>
          <w:rFonts w:cs="Arial"/>
        </w:rPr>
        <w:tab/>
      </w:r>
      <w:r>
        <w:rPr>
          <w:rFonts w:cs="Arial"/>
        </w:rPr>
        <w:tab/>
        <w:t>fluorodeoxyglucose</w:t>
      </w:r>
    </w:p>
    <w:p w14:paraId="32F73022" w14:textId="77777777" w:rsidR="00C62606" w:rsidRPr="003A3CA0" w:rsidRDefault="00C62606" w:rsidP="00C62606">
      <w:pPr>
        <w:spacing w:line="276" w:lineRule="auto"/>
        <w:rPr>
          <w:rFonts w:cs="Arial"/>
        </w:rPr>
      </w:pPr>
      <w:r w:rsidRPr="003A3CA0">
        <w:rPr>
          <w:rFonts w:cs="Arial"/>
        </w:rPr>
        <w:t>FFE</w:t>
      </w:r>
      <w:r w:rsidRPr="003A3CA0">
        <w:rPr>
          <w:rFonts w:cs="Arial"/>
        </w:rPr>
        <w:tab/>
      </w:r>
      <w:r w:rsidRPr="003A3CA0">
        <w:rPr>
          <w:rFonts w:cs="Arial"/>
        </w:rPr>
        <w:tab/>
        <w:t>Fast Field Echo</w:t>
      </w:r>
    </w:p>
    <w:p w14:paraId="4FFE64F6" w14:textId="77777777" w:rsidR="00C62606" w:rsidRPr="003A3CA0" w:rsidRDefault="00C62606" w:rsidP="00C62606">
      <w:pPr>
        <w:spacing w:line="276" w:lineRule="auto"/>
        <w:rPr>
          <w:rFonts w:cs="Arial"/>
        </w:rPr>
      </w:pPr>
      <w:r w:rsidRPr="003A3CA0">
        <w:rPr>
          <w:rFonts w:cs="Arial"/>
        </w:rPr>
        <w:t>fMRI</w:t>
      </w:r>
      <w:r w:rsidRPr="003A3CA0">
        <w:rPr>
          <w:rFonts w:cs="Arial"/>
        </w:rPr>
        <w:tab/>
      </w:r>
      <w:r w:rsidRPr="003A3CA0">
        <w:rPr>
          <w:rFonts w:cs="Arial"/>
        </w:rPr>
        <w:tab/>
        <w:t>Functional Magnetic Resonance Imaging</w:t>
      </w:r>
    </w:p>
    <w:p w14:paraId="6D741EAF" w14:textId="77777777" w:rsidR="00C62606" w:rsidRPr="003A3CA0" w:rsidRDefault="00C62606" w:rsidP="00C62606">
      <w:pPr>
        <w:spacing w:line="276" w:lineRule="auto"/>
        <w:rPr>
          <w:rFonts w:cs="Arial"/>
        </w:rPr>
      </w:pPr>
      <w:r w:rsidRPr="003A3CA0">
        <w:rPr>
          <w:rFonts w:cs="Arial"/>
        </w:rPr>
        <w:t>FOV</w:t>
      </w:r>
      <w:r w:rsidRPr="003A3CA0">
        <w:rPr>
          <w:rFonts w:cs="Arial"/>
        </w:rPr>
        <w:tab/>
      </w:r>
      <w:r w:rsidRPr="003A3CA0">
        <w:rPr>
          <w:rFonts w:cs="Arial"/>
        </w:rPr>
        <w:tab/>
        <w:t>Field of View</w:t>
      </w:r>
    </w:p>
    <w:p w14:paraId="1ACA204E" w14:textId="77777777" w:rsidR="00C62606" w:rsidRDefault="00C62606" w:rsidP="00C62606">
      <w:pPr>
        <w:spacing w:line="276" w:lineRule="auto"/>
        <w:rPr>
          <w:rFonts w:cs="Arial"/>
        </w:rPr>
      </w:pPr>
      <w:r>
        <w:rPr>
          <w:rFonts w:cs="Arial"/>
        </w:rPr>
        <w:t>GABA</w:t>
      </w:r>
      <w:r>
        <w:rPr>
          <w:rFonts w:cs="Arial"/>
        </w:rPr>
        <w:tab/>
      </w:r>
      <w:r>
        <w:rPr>
          <w:rFonts w:cs="Arial"/>
        </w:rPr>
        <w:tab/>
        <w:t>Gamma aminobutyric acid</w:t>
      </w:r>
    </w:p>
    <w:p w14:paraId="57460635" w14:textId="77777777" w:rsidR="00C62606" w:rsidRDefault="00C62606" w:rsidP="00C62606">
      <w:pPr>
        <w:spacing w:line="276" w:lineRule="auto"/>
        <w:rPr>
          <w:rFonts w:cs="Arial"/>
        </w:rPr>
      </w:pPr>
      <w:r w:rsidRPr="003A3CA0">
        <w:rPr>
          <w:rFonts w:cs="Arial"/>
        </w:rPr>
        <w:t>GAD</w:t>
      </w:r>
      <w:r w:rsidRPr="003A3CA0">
        <w:rPr>
          <w:rFonts w:cs="Arial"/>
        </w:rPr>
        <w:tab/>
      </w:r>
      <w:r w:rsidRPr="003A3CA0">
        <w:rPr>
          <w:rFonts w:cs="Arial"/>
        </w:rPr>
        <w:tab/>
        <w:t>Gadolinium</w:t>
      </w:r>
    </w:p>
    <w:p w14:paraId="34691019" w14:textId="77777777" w:rsidR="00C62606" w:rsidRDefault="00C62606" w:rsidP="00C62606">
      <w:pPr>
        <w:spacing w:line="276" w:lineRule="auto"/>
        <w:rPr>
          <w:rFonts w:cs="Arial"/>
        </w:rPr>
      </w:pPr>
      <w:r>
        <w:rPr>
          <w:rFonts w:cs="Arial"/>
        </w:rPr>
        <w:t>HADS</w:t>
      </w:r>
      <w:r>
        <w:rPr>
          <w:rFonts w:cs="Arial"/>
        </w:rPr>
        <w:tab/>
      </w:r>
      <w:r>
        <w:rPr>
          <w:rFonts w:cs="Arial"/>
        </w:rPr>
        <w:tab/>
        <w:t>Hospital Anxiety and Depression scale</w:t>
      </w:r>
    </w:p>
    <w:p w14:paraId="3D9B57B0" w14:textId="77777777" w:rsidR="00C62606" w:rsidRDefault="00C62606" w:rsidP="00C62606">
      <w:pPr>
        <w:spacing w:line="276" w:lineRule="auto"/>
        <w:rPr>
          <w:rFonts w:cs="Arial"/>
        </w:rPr>
      </w:pPr>
      <w:r>
        <w:rPr>
          <w:rFonts w:cs="Arial"/>
        </w:rPr>
        <w:t>HADS-A</w:t>
      </w:r>
      <w:r>
        <w:rPr>
          <w:rFonts w:cs="Arial"/>
        </w:rPr>
        <w:tab/>
        <w:t>Hospital Anxiety and Depression scale- Anxiety component</w:t>
      </w:r>
    </w:p>
    <w:p w14:paraId="0B7FD528" w14:textId="77777777" w:rsidR="00C62606" w:rsidRPr="003A3CA0" w:rsidRDefault="00C62606" w:rsidP="00C62606">
      <w:pPr>
        <w:spacing w:line="276" w:lineRule="auto"/>
        <w:rPr>
          <w:rFonts w:cs="Arial"/>
        </w:rPr>
      </w:pPr>
      <w:r>
        <w:rPr>
          <w:rFonts w:cs="Arial"/>
        </w:rPr>
        <w:t>HADS-D</w:t>
      </w:r>
      <w:r>
        <w:rPr>
          <w:rFonts w:cs="Arial"/>
        </w:rPr>
        <w:tab/>
        <w:t>Hospital Anxiety and Depression scale- Depression component</w:t>
      </w:r>
    </w:p>
    <w:p w14:paraId="42210752" w14:textId="42523B66" w:rsidR="00C62606" w:rsidRDefault="00C62606" w:rsidP="00C62606">
      <w:pPr>
        <w:spacing w:line="276" w:lineRule="auto"/>
        <w:rPr>
          <w:rFonts w:cs="Arial"/>
        </w:rPr>
      </w:pPr>
      <w:r w:rsidRPr="003A3CA0">
        <w:rPr>
          <w:rFonts w:cs="Arial"/>
        </w:rPr>
        <w:t>HBA1c</w:t>
      </w:r>
      <w:r w:rsidRPr="003A3CA0">
        <w:rPr>
          <w:rFonts w:cs="Arial"/>
        </w:rPr>
        <w:tab/>
      </w:r>
      <w:r>
        <w:rPr>
          <w:rFonts w:cs="Arial"/>
        </w:rPr>
        <w:t>G</w:t>
      </w:r>
      <w:r w:rsidRPr="003A3CA0">
        <w:rPr>
          <w:rFonts w:cs="Arial"/>
        </w:rPr>
        <w:t>lycosylated haemoglobin- Haemoglobin A1c</w:t>
      </w:r>
    </w:p>
    <w:p w14:paraId="67BD9D95" w14:textId="001B542E" w:rsidR="003E5B22" w:rsidRPr="003E5B22" w:rsidRDefault="003E5B22" w:rsidP="00C62606">
      <w:pPr>
        <w:spacing w:line="276" w:lineRule="auto"/>
        <w:rPr>
          <w:rFonts w:cs="Arial"/>
        </w:rPr>
      </w:pPr>
      <w:r>
        <w:rPr>
          <w:rFonts w:cs="Arial"/>
          <w:vertAlign w:val="superscript"/>
        </w:rPr>
        <w:t>1</w:t>
      </w:r>
      <w:r>
        <w:rPr>
          <w:rFonts w:cs="Arial"/>
        </w:rPr>
        <w:t>HMRS</w:t>
      </w:r>
      <w:r>
        <w:rPr>
          <w:rFonts w:cs="Arial"/>
        </w:rPr>
        <w:tab/>
        <w:t>Proton magnetic resonance spectroscopy</w:t>
      </w:r>
    </w:p>
    <w:p w14:paraId="08229994" w14:textId="77777777" w:rsidR="00C62606" w:rsidRDefault="00C62606" w:rsidP="00C62606">
      <w:pPr>
        <w:spacing w:line="276" w:lineRule="auto"/>
        <w:rPr>
          <w:rFonts w:cs="Arial"/>
          <w:iCs/>
        </w:rPr>
      </w:pPr>
      <w:r w:rsidRPr="003A3CA0">
        <w:rPr>
          <w:rFonts w:cs="Arial"/>
          <w:iCs/>
        </w:rPr>
        <w:t>HPT</w:t>
      </w:r>
      <w:r w:rsidRPr="003A3CA0">
        <w:rPr>
          <w:rFonts w:cs="Arial"/>
          <w:iCs/>
        </w:rPr>
        <w:tab/>
      </w:r>
      <w:r w:rsidRPr="003A3CA0">
        <w:rPr>
          <w:rFonts w:cs="Arial"/>
          <w:iCs/>
        </w:rPr>
        <w:tab/>
        <w:t xml:space="preserve">heat pain threshold </w:t>
      </w:r>
    </w:p>
    <w:p w14:paraId="4793DC66" w14:textId="77777777" w:rsidR="009E106D" w:rsidRDefault="009E106D" w:rsidP="009E106D">
      <w:pPr>
        <w:spacing w:line="276" w:lineRule="auto"/>
        <w:rPr>
          <w:rFonts w:cs="Arial"/>
        </w:rPr>
      </w:pPr>
      <w:r w:rsidRPr="003A3CA0">
        <w:rPr>
          <w:rFonts w:cs="Arial"/>
        </w:rPr>
        <w:t>HV</w:t>
      </w:r>
      <w:r w:rsidRPr="003A3CA0">
        <w:rPr>
          <w:rFonts w:cs="Arial"/>
        </w:rPr>
        <w:tab/>
      </w:r>
      <w:r w:rsidRPr="003A3CA0">
        <w:rPr>
          <w:rFonts w:cs="Arial"/>
        </w:rPr>
        <w:tab/>
        <w:t>Healthy Volunteers</w:t>
      </w:r>
    </w:p>
    <w:p w14:paraId="326A6C80" w14:textId="77777777" w:rsidR="00C62606" w:rsidRPr="00B52EE7" w:rsidRDefault="00C62606" w:rsidP="00C62606">
      <w:pPr>
        <w:spacing w:line="276" w:lineRule="auto"/>
        <w:rPr>
          <w:rFonts w:cs="Arial"/>
          <w:iCs/>
        </w:rPr>
      </w:pPr>
      <w:r>
        <w:rPr>
          <w:rFonts w:cs="Arial"/>
          <w:iCs/>
        </w:rPr>
        <w:t>IASP</w:t>
      </w:r>
      <w:r>
        <w:rPr>
          <w:rFonts w:cs="Arial"/>
          <w:iCs/>
        </w:rPr>
        <w:tab/>
      </w:r>
      <w:r>
        <w:rPr>
          <w:rFonts w:cs="Arial"/>
          <w:iCs/>
        </w:rPr>
        <w:tab/>
        <w:t xml:space="preserve">International Association for the study of pain </w:t>
      </w:r>
    </w:p>
    <w:p w14:paraId="37D14B02" w14:textId="77777777" w:rsidR="00C62606" w:rsidRDefault="00C62606" w:rsidP="00C62606">
      <w:pPr>
        <w:spacing w:line="276" w:lineRule="auto"/>
        <w:rPr>
          <w:rFonts w:cs="Arial"/>
        </w:rPr>
      </w:pPr>
      <w:r>
        <w:rPr>
          <w:rFonts w:cs="Arial"/>
        </w:rPr>
        <w:t>ICA</w:t>
      </w:r>
      <w:r>
        <w:rPr>
          <w:rFonts w:cs="Arial"/>
        </w:rPr>
        <w:tab/>
      </w:r>
      <w:r>
        <w:rPr>
          <w:rFonts w:cs="Arial"/>
        </w:rPr>
        <w:tab/>
        <w:t>Internal Carotid Artery</w:t>
      </w:r>
    </w:p>
    <w:p w14:paraId="733763C4" w14:textId="77777777" w:rsidR="00C62606" w:rsidRDefault="00C62606" w:rsidP="00C62606">
      <w:pPr>
        <w:spacing w:line="276" w:lineRule="auto"/>
        <w:rPr>
          <w:rFonts w:cs="Arial"/>
        </w:rPr>
      </w:pPr>
      <w:r>
        <w:rPr>
          <w:rFonts w:cs="Arial"/>
        </w:rPr>
        <w:t>ICC</w:t>
      </w:r>
      <w:r>
        <w:rPr>
          <w:rFonts w:cs="Arial"/>
        </w:rPr>
        <w:tab/>
      </w:r>
      <w:r>
        <w:rPr>
          <w:rFonts w:cs="Arial"/>
        </w:rPr>
        <w:tab/>
        <w:t>Intraclass correlation co-efficient</w:t>
      </w:r>
    </w:p>
    <w:p w14:paraId="2EFB4074" w14:textId="77777777" w:rsidR="00C62606" w:rsidRDefault="00C62606" w:rsidP="00C62606">
      <w:pPr>
        <w:spacing w:line="276" w:lineRule="auto"/>
        <w:rPr>
          <w:rFonts w:cs="Arial"/>
        </w:rPr>
      </w:pPr>
      <w:r>
        <w:rPr>
          <w:rFonts w:cs="Arial"/>
        </w:rPr>
        <w:t>INS</w:t>
      </w:r>
      <w:r>
        <w:rPr>
          <w:rFonts w:cs="Arial"/>
        </w:rPr>
        <w:tab/>
      </w:r>
      <w:r>
        <w:rPr>
          <w:rFonts w:cs="Arial"/>
        </w:rPr>
        <w:tab/>
        <w:t>Insula</w:t>
      </w:r>
    </w:p>
    <w:p w14:paraId="77E46B7E" w14:textId="77777777" w:rsidR="00C62606" w:rsidRDefault="00C62606" w:rsidP="00792E3B">
      <w:pPr>
        <w:spacing w:line="276" w:lineRule="auto"/>
        <w:ind w:left="1440" w:hanging="1440"/>
        <w:rPr>
          <w:rFonts w:cs="Arial"/>
        </w:rPr>
      </w:pPr>
      <w:r>
        <w:rPr>
          <w:rFonts w:cs="Arial"/>
        </w:rPr>
        <w:t>IMMPACT</w:t>
      </w:r>
      <w:r>
        <w:rPr>
          <w:rFonts w:cs="Arial"/>
        </w:rPr>
        <w:tab/>
      </w:r>
      <w:r w:rsidRPr="006764AA">
        <w:rPr>
          <w:rFonts w:cs="Arial"/>
        </w:rPr>
        <w:t>Initiative on Methods, Measurement, and Pain Assessment in Clinical Trials</w:t>
      </w:r>
    </w:p>
    <w:p w14:paraId="10FCBA4F" w14:textId="77777777" w:rsidR="00C62606" w:rsidRDefault="00C62606" w:rsidP="00C62606">
      <w:pPr>
        <w:spacing w:line="276" w:lineRule="auto"/>
        <w:rPr>
          <w:rFonts w:cs="Arial"/>
        </w:rPr>
      </w:pPr>
      <w:r>
        <w:rPr>
          <w:rFonts w:cs="Arial"/>
        </w:rPr>
        <w:t>K</w:t>
      </w:r>
      <w:r>
        <w:rPr>
          <w:rFonts w:cs="Arial"/>
        </w:rPr>
        <w:tab/>
      </w:r>
      <w:r>
        <w:rPr>
          <w:rFonts w:cs="Arial"/>
        </w:rPr>
        <w:tab/>
        <w:t>Potassium</w:t>
      </w:r>
    </w:p>
    <w:p w14:paraId="4A843427" w14:textId="77777777" w:rsidR="00C62606" w:rsidRDefault="00C62606" w:rsidP="00C62606">
      <w:pPr>
        <w:spacing w:line="276" w:lineRule="auto"/>
        <w:rPr>
          <w:rFonts w:cs="Arial"/>
        </w:rPr>
      </w:pPr>
      <w:r>
        <w:rPr>
          <w:rFonts w:cs="Arial"/>
        </w:rPr>
        <w:t>L</w:t>
      </w:r>
      <w:r>
        <w:rPr>
          <w:rFonts w:cs="Arial"/>
        </w:rPr>
        <w:tab/>
      </w:r>
      <w:r>
        <w:rPr>
          <w:rFonts w:cs="Arial"/>
        </w:rPr>
        <w:tab/>
        <w:t>Left</w:t>
      </w:r>
    </w:p>
    <w:p w14:paraId="4CD192A2" w14:textId="77777777" w:rsidR="00C62606" w:rsidRDefault="00C62606" w:rsidP="00C62606">
      <w:pPr>
        <w:spacing w:line="276" w:lineRule="auto"/>
        <w:rPr>
          <w:rFonts w:cs="Arial"/>
        </w:rPr>
      </w:pPr>
      <w:r>
        <w:rPr>
          <w:rFonts w:cs="Arial"/>
        </w:rPr>
        <w:t>M</w:t>
      </w:r>
      <w:r>
        <w:rPr>
          <w:rFonts w:cs="Arial"/>
        </w:rPr>
        <w:tab/>
      </w:r>
      <w:r>
        <w:rPr>
          <w:rFonts w:cs="Arial"/>
        </w:rPr>
        <w:tab/>
        <w:t>Mean</w:t>
      </w:r>
    </w:p>
    <w:p w14:paraId="1EF34238" w14:textId="77777777" w:rsidR="00C62606" w:rsidRDefault="00C62606" w:rsidP="00C62606">
      <w:pPr>
        <w:spacing w:line="276" w:lineRule="auto"/>
        <w:rPr>
          <w:rFonts w:cs="Arial"/>
        </w:rPr>
      </w:pPr>
      <w:r>
        <w:rPr>
          <w:rFonts w:cs="Arial"/>
        </w:rPr>
        <w:t>MANOVA</w:t>
      </w:r>
      <w:r>
        <w:rPr>
          <w:rFonts w:cs="Arial"/>
        </w:rPr>
        <w:tab/>
        <w:t>Multivariate Analysis of Variance</w:t>
      </w:r>
    </w:p>
    <w:p w14:paraId="7540315D" w14:textId="77777777" w:rsidR="00C62606" w:rsidRDefault="00C62606" w:rsidP="00C62606">
      <w:pPr>
        <w:spacing w:line="276" w:lineRule="auto"/>
        <w:rPr>
          <w:rFonts w:cs="Arial"/>
        </w:rPr>
      </w:pPr>
      <w:r>
        <w:rPr>
          <w:rFonts w:cs="Arial"/>
        </w:rPr>
        <w:t>MANCOVA</w:t>
      </w:r>
      <w:r>
        <w:rPr>
          <w:rFonts w:cs="Arial"/>
        </w:rPr>
        <w:tab/>
        <w:t>Multivariate Analysis of Co-variance</w:t>
      </w:r>
    </w:p>
    <w:p w14:paraId="3AB2A084" w14:textId="77777777" w:rsidR="00C62606" w:rsidRDefault="00C62606" w:rsidP="00C62606">
      <w:pPr>
        <w:spacing w:line="276" w:lineRule="auto"/>
        <w:rPr>
          <w:rFonts w:cs="Arial"/>
        </w:rPr>
      </w:pPr>
      <w:r>
        <w:rPr>
          <w:rFonts w:cs="Arial"/>
        </w:rPr>
        <w:t>MCA</w:t>
      </w:r>
      <w:r>
        <w:rPr>
          <w:rFonts w:cs="Arial"/>
        </w:rPr>
        <w:tab/>
      </w:r>
      <w:r>
        <w:rPr>
          <w:rFonts w:cs="Arial"/>
        </w:rPr>
        <w:tab/>
        <w:t xml:space="preserve">Middle Cerebral Artery </w:t>
      </w:r>
    </w:p>
    <w:p w14:paraId="71C4B8CC" w14:textId="77777777" w:rsidR="00C62606" w:rsidRPr="00243B32" w:rsidRDefault="00C62606" w:rsidP="00C62606">
      <w:pPr>
        <w:spacing w:line="276" w:lineRule="auto"/>
        <w:rPr>
          <w:rFonts w:cs="Arial"/>
          <w:iCs/>
        </w:rPr>
      </w:pPr>
      <w:r w:rsidRPr="003A3CA0">
        <w:rPr>
          <w:rFonts w:cs="Arial"/>
          <w:iCs/>
        </w:rPr>
        <w:t>MDT</w:t>
      </w:r>
      <w:r w:rsidRPr="003A3CA0">
        <w:rPr>
          <w:rFonts w:cs="Arial"/>
          <w:iCs/>
        </w:rPr>
        <w:tab/>
      </w:r>
      <w:r w:rsidRPr="003A3CA0">
        <w:rPr>
          <w:rFonts w:cs="Arial"/>
          <w:iCs/>
        </w:rPr>
        <w:tab/>
        <w:t xml:space="preserve">mechanical detection threshold </w:t>
      </w:r>
    </w:p>
    <w:p w14:paraId="48D6F188" w14:textId="77777777" w:rsidR="00C62606" w:rsidRPr="003A3CA0" w:rsidRDefault="00C62606" w:rsidP="00C62606">
      <w:pPr>
        <w:spacing w:line="276" w:lineRule="auto"/>
        <w:rPr>
          <w:rFonts w:cs="Arial"/>
          <w:iCs/>
        </w:rPr>
      </w:pPr>
      <w:r w:rsidRPr="003A3CA0">
        <w:rPr>
          <w:rFonts w:cs="Arial"/>
          <w:iCs/>
        </w:rPr>
        <w:t>MPT</w:t>
      </w:r>
      <w:r w:rsidRPr="003A3CA0">
        <w:rPr>
          <w:rFonts w:cs="Arial"/>
          <w:iCs/>
        </w:rPr>
        <w:tab/>
      </w:r>
      <w:r w:rsidRPr="003A3CA0">
        <w:rPr>
          <w:rFonts w:cs="Arial"/>
          <w:iCs/>
        </w:rPr>
        <w:tab/>
        <w:t xml:space="preserve">mechanical pain threshold </w:t>
      </w:r>
    </w:p>
    <w:p w14:paraId="78FCC3F9" w14:textId="77777777" w:rsidR="00C62606" w:rsidRPr="00DE4D50" w:rsidRDefault="00C62606" w:rsidP="00C62606">
      <w:pPr>
        <w:spacing w:line="276" w:lineRule="auto"/>
        <w:rPr>
          <w:rFonts w:cs="Arial"/>
          <w:iCs/>
        </w:rPr>
      </w:pPr>
      <w:r w:rsidRPr="003A3CA0">
        <w:rPr>
          <w:rFonts w:cs="Arial"/>
          <w:iCs/>
        </w:rPr>
        <w:t>MPS</w:t>
      </w:r>
      <w:r w:rsidRPr="003A3CA0">
        <w:rPr>
          <w:rFonts w:cs="Arial"/>
          <w:iCs/>
        </w:rPr>
        <w:tab/>
      </w:r>
      <w:r w:rsidRPr="003A3CA0">
        <w:rPr>
          <w:rFonts w:cs="Arial"/>
          <w:iCs/>
        </w:rPr>
        <w:tab/>
      </w:r>
      <w:r>
        <w:rPr>
          <w:rFonts w:cs="Arial"/>
          <w:iCs/>
        </w:rPr>
        <w:t>m</w:t>
      </w:r>
      <w:r w:rsidRPr="003A3CA0">
        <w:rPr>
          <w:rFonts w:cs="Arial"/>
          <w:iCs/>
        </w:rPr>
        <w:t xml:space="preserve">echanical </w:t>
      </w:r>
      <w:r>
        <w:rPr>
          <w:rFonts w:cs="Arial"/>
          <w:iCs/>
        </w:rPr>
        <w:t>p</w:t>
      </w:r>
      <w:r w:rsidRPr="003A3CA0">
        <w:rPr>
          <w:rFonts w:cs="Arial"/>
          <w:iCs/>
        </w:rPr>
        <w:t xml:space="preserve">ain sensation </w:t>
      </w:r>
    </w:p>
    <w:p w14:paraId="13F711EF" w14:textId="77777777" w:rsidR="00C62606" w:rsidRPr="003A3CA0" w:rsidRDefault="00C62606" w:rsidP="00C62606">
      <w:pPr>
        <w:spacing w:line="276" w:lineRule="auto"/>
        <w:rPr>
          <w:rFonts w:cs="Arial"/>
        </w:rPr>
      </w:pPr>
      <w:r w:rsidRPr="003A3CA0">
        <w:rPr>
          <w:rFonts w:cs="Arial"/>
        </w:rPr>
        <w:t>MR</w:t>
      </w:r>
      <w:r w:rsidRPr="003A3CA0">
        <w:rPr>
          <w:rFonts w:cs="Arial"/>
        </w:rPr>
        <w:tab/>
      </w:r>
      <w:r w:rsidRPr="003A3CA0">
        <w:rPr>
          <w:rFonts w:cs="Arial"/>
        </w:rPr>
        <w:tab/>
        <w:t>Magnetic Resonance</w:t>
      </w:r>
    </w:p>
    <w:p w14:paraId="0877B5A6" w14:textId="77777777" w:rsidR="00C62606" w:rsidRPr="003A3CA0" w:rsidRDefault="00C62606" w:rsidP="00C62606">
      <w:pPr>
        <w:spacing w:line="276" w:lineRule="auto"/>
        <w:rPr>
          <w:rFonts w:cs="Arial"/>
        </w:rPr>
      </w:pPr>
      <w:r w:rsidRPr="003A3CA0">
        <w:rPr>
          <w:rFonts w:cs="Arial"/>
        </w:rPr>
        <w:t>MRI</w:t>
      </w:r>
      <w:r w:rsidRPr="003A3CA0">
        <w:rPr>
          <w:rFonts w:cs="Arial"/>
        </w:rPr>
        <w:tab/>
      </w:r>
      <w:r w:rsidRPr="003A3CA0">
        <w:rPr>
          <w:rFonts w:cs="Arial"/>
        </w:rPr>
        <w:tab/>
        <w:t>Magnetic Resonance Imaging</w:t>
      </w:r>
    </w:p>
    <w:p w14:paraId="73806124" w14:textId="77777777" w:rsidR="00C62606" w:rsidRPr="003A3CA0" w:rsidRDefault="00C62606" w:rsidP="00C62606">
      <w:pPr>
        <w:spacing w:line="276" w:lineRule="auto"/>
        <w:rPr>
          <w:rFonts w:cs="Arial"/>
        </w:rPr>
      </w:pPr>
      <w:r w:rsidRPr="003A3CA0">
        <w:rPr>
          <w:rFonts w:cs="Arial"/>
        </w:rPr>
        <w:t>MTT</w:t>
      </w:r>
      <w:r w:rsidRPr="003A3CA0">
        <w:rPr>
          <w:rFonts w:cs="Arial"/>
        </w:rPr>
        <w:tab/>
      </w:r>
      <w:r w:rsidRPr="003A3CA0">
        <w:rPr>
          <w:rFonts w:cs="Arial"/>
        </w:rPr>
        <w:tab/>
        <w:t>Mean Transit Time</w:t>
      </w:r>
    </w:p>
    <w:p w14:paraId="1F1B98FE" w14:textId="77777777" w:rsidR="00C62606" w:rsidRDefault="00C62606" w:rsidP="00C62606">
      <w:pPr>
        <w:spacing w:line="276" w:lineRule="auto"/>
        <w:rPr>
          <w:rFonts w:cs="Arial"/>
        </w:rPr>
      </w:pPr>
      <w:r w:rsidRPr="003A3CA0">
        <w:rPr>
          <w:rFonts w:cs="Arial"/>
        </w:rPr>
        <w:t>Na</w:t>
      </w:r>
      <w:r w:rsidRPr="003A3CA0">
        <w:rPr>
          <w:rFonts w:cs="Arial"/>
        </w:rPr>
        <w:tab/>
      </w:r>
      <w:r w:rsidRPr="003A3CA0">
        <w:rPr>
          <w:rFonts w:cs="Arial"/>
        </w:rPr>
        <w:tab/>
        <w:t>Sodium</w:t>
      </w:r>
    </w:p>
    <w:p w14:paraId="00C905F2" w14:textId="6689DB3A" w:rsidR="00C62606" w:rsidRDefault="00C62606" w:rsidP="00C62606">
      <w:pPr>
        <w:spacing w:line="276" w:lineRule="auto"/>
        <w:rPr>
          <w:rFonts w:cs="Arial"/>
        </w:rPr>
      </w:pPr>
      <w:r>
        <w:rPr>
          <w:rFonts w:cs="Arial"/>
        </w:rPr>
        <w:t>NAA</w:t>
      </w:r>
      <w:r>
        <w:rPr>
          <w:rFonts w:cs="Arial"/>
        </w:rPr>
        <w:tab/>
      </w:r>
      <w:r>
        <w:rPr>
          <w:rFonts w:cs="Arial"/>
        </w:rPr>
        <w:tab/>
        <w:t>N-acetyl aspartate</w:t>
      </w:r>
    </w:p>
    <w:p w14:paraId="51AC3269" w14:textId="181E2F3F" w:rsidR="00522CA9" w:rsidRDefault="00522CA9" w:rsidP="00C62606">
      <w:pPr>
        <w:spacing w:line="276" w:lineRule="auto"/>
        <w:rPr>
          <w:rFonts w:cs="Arial"/>
        </w:rPr>
      </w:pPr>
      <w:r>
        <w:rPr>
          <w:rFonts w:cs="Arial"/>
        </w:rPr>
        <w:t>NBR</w:t>
      </w:r>
      <w:r>
        <w:rPr>
          <w:rFonts w:cs="Arial"/>
        </w:rPr>
        <w:tab/>
      </w:r>
      <w:r>
        <w:rPr>
          <w:rFonts w:cs="Arial"/>
        </w:rPr>
        <w:tab/>
        <w:t>Negative Bold Response</w:t>
      </w:r>
    </w:p>
    <w:p w14:paraId="3AF5B4D6" w14:textId="5D95007B" w:rsidR="00C62606" w:rsidRDefault="00C62606" w:rsidP="00C62606">
      <w:pPr>
        <w:spacing w:line="276" w:lineRule="auto"/>
        <w:rPr>
          <w:rFonts w:cs="Arial"/>
        </w:rPr>
      </w:pPr>
      <w:r w:rsidRPr="003A3CA0">
        <w:rPr>
          <w:rFonts w:cs="Arial"/>
        </w:rPr>
        <w:t>NIS-LL</w:t>
      </w:r>
      <w:r w:rsidRPr="003A3CA0">
        <w:rPr>
          <w:rFonts w:cs="Arial"/>
        </w:rPr>
        <w:tab/>
        <w:t>Neuropathic Impairment score – lower limb</w:t>
      </w:r>
    </w:p>
    <w:p w14:paraId="7F2737C0" w14:textId="77777777" w:rsidR="00C62606" w:rsidRPr="003A3CA0" w:rsidRDefault="00C62606" w:rsidP="00C62606">
      <w:pPr>
        <w:spacing w:line="276" w:lineRule="auto"/>
        <w:rPr>
          <w:rFonts w:cs="Arial"/>
        </w:rPr>
      </w:pPr>
      <w:r>
        <w:rPr>
          <w:rFonts w:cs="Arial"/>
        </w:rPr>
        <w:t>NNL</w:t>
      </w:r>
      <w:r>
        <w:rPr>
          <w:rFonts w:cs="Arial"/>
        </w:rPr>
        <w:tab/>
      </w:r>
      <w:r>
        <w:rPr>
          <w:rFonts w:cs="Arial"/>
        </w:rPr>
        <w:tab/>
        <w:t xml:space="preserve">Nordic </w:t>
      </w:r>
      <w:proofErr w:type="spellStart"/>
      <w:r>
        <w:rPr>
          <w:rFonts w:cs="Arial"/>
        </w:rPr>
        <w:t>Neurolab</w:t>
      </w:r>
      <w:proofErr w:type="spellEnd"/>
    </w:p>
    <w:p w14:paraId="1E92CD65" w14:textId="0B5AB4DE" w:rsidR="00C62606" w:rsidRDefault="00C62606" w:rsidP="00C62606">
      <w:pPr>
        <w:spacing w:line="276" w:lineRule="auto"/>
        <w:rPr>
          <w:rFonts w:eastAsia="Arial" w:cs="Arial"/>
        </w:rPr>
      </w:pPr>
      <w:r w:rsidRPr="003A3CA0">
        <w:rPr>
          <w:rFonts w:eastAsia="Arial" w:cs="Arial"/>
        </w:rPr>
        <w:t>NNT</w:t>
      </w:r>
      <w:r w:rsidRPr="003A3CA0">
        <w:rPr>
          <w:rFonts w:eastAsia="Arial" w:cs="Arial"/>
        </w:rPr>
        <w:tab/>
      </w:r>
      <w:r w:rsidRPr="003A3CA0">
        <w:rPr>
          <w:rFonts w:eastAsia="Arial" w:cs="Arial"/>
        </w:rPr>
        <w:tab/>
        <w:t>Number Needed to Treat</w:t>
      </w:r>
    </w:p>
    <w:p w14:paraId="31D95229" w14:textId="75698A5C" w:rsidR="00522CA9" w:rsidRDefault="00522CA9" w:rsidP="00C62606">
      <w:pPr>
        <w:spacing w:line="276" w:lineRule="auto"/>
        <w:rPr>
          <w:rFonts w:eastAsia="Arial" w:cs="Arial"/>
        </w:rPr>
      </w:pPr>
      <w:r>
        <w:rPr>
          <w:rFonts w:eastAsia="Arial" w:cs="Arial"/>
        </w:rPr>
        <w:t>NO</w:t>
      </w:r>
      <w:r>
        <w:rPr>
          <w:rFonts w:eastAsia="Arial" w:cs="Arial"/>
        </w:rPr>
        <w:tab/>
      </w:r>
      <w:r>
        <w:rPr>
          <w:rFonts w:eastAsia="Arial" w:cs="Arial"/>
        </w:rPr>
        <w:tab/>
        <w:t>Nitrous Oxide</w:t>
      </w:r>
    </w:p>
    <w:p w14:paraId="00DE4CEC" w14:textId="4B8BD26C" w:rsidR="00C62606" w:rsidRDefault="00C62606" w:rsidP="00C62606">
      <w:pPr>
        <w:spacing w:line="276" w:lineRule="auto"/>
        <w:rPr>
          <w:rFonts w:eastAsia="Arial" w:cs="Arial"/>
        </w:rPr>
      </w:pPr>
      <w:r>
        <w:rPr>
          <w:rFonts w:eastAsia="Arial" w:cs="Arial"/>
        </w:rPr>
        <w:t>NPSI</w:t>
      </w:r>
      <w:r>
        <w:rPr>
          <w:rFonts w:eastAsia="Arial" w:cs="Arial"/>
        </w:rPr>
        <w:tab/>
      </w:r>
      <w:r>
        <w:rPr>
          <w:rFonts w:eastAsia="Arial" w:cs="Arial"/>
        </w:rPr>
        <w:tab/>
        <w:t>Neuropathic Symptom Inventory</w:t>
      </w:r>
    </w:p>
    <w:p w14:paraId="4E1464AE" w14:textId="221106C0" w:rsidR="009E106D" w:rsidRPr="003A3CA0" w:rsidRDefault="009E106D" w:rsidP="00C62606">
      <w:pPr>
        <w:spacing w:line="276" w:lineRule="auto"/>
        <w:rPr>
          <w:rFonts w:eastAsia="Arial" w:cs="Arial"/>
        </w:rPr>
      </w:pPr>
      <w:r>
        <w:rPr>
          <w:rFonts w:eastAsia="Arial" w:cs="Arial"/>
        </w:rPr>
        <w:t>NSA</w:t>
      </w:r>
      <w:r>
        <w:rPr>
          <w:rFonts w:eastAsia="Arial" w:cs="Arial"/>
        </w:rPr>
        <w:tab/>
      </w:r>
      <w:r>
        <w:rPr>
          <w:rFonts w:eastAsia="Arial" w:cs="Arial"/>
        </w:rPr>
        <w:tab/>
        <w:t>Number of signals averages</w:t>
      </w:r>
    </w:p>
    <w:p w14:paraId="69DE04F8" w14:textId="77777777" w:rsidR="00C62606" w:rsidRPr="003A3CA0" w:rsidRDefault="00C62606" w:rsidP="00C62606">
      <w:pPr>
        <w:spacing w:line="276" w:lineRule="auto"/>
        <w:rPr>
          <w:rFonts w:cs="Arial"/>
        </w:rPr>
      </w:pPr>
      <w:r>
        <w:rPr>
          <w:rFonts w:cs="Arial"/>
        </w:rPr>
        <w:t>PCS</w:t>
      </w:r>
      <w:r>
        <w:rPr>
          <w:rFonts w:cs="Arial"/>
        </w:rPr>
        <w:tab/>
      </w:r>
      <w:r>
        <w:rPr>
          <w:rFonts w:cs="Arial"/>
        </w:rPr>
        <w:tab/>
        <w:t>Pain catastrophising scale questionnaire</w:t>
      </w:r>
    </w:p>
    <w:p w14:paraId="574F5622" w14:textId="77777777" w:rsidR="009E106D" w:rsidRPr="003A3CA0" w:rsidRDefault="009E106D" w:rsidP="009E106D">
      <w:pPr>
        <w:spacing w:line="276" w:lineRule="auto"/>
        <w:rPr>
          <w:rFonts w:cs="Arial"/>
        </w:rPr>
      </w:pPr>
      <w:r w:rsidRPr="003A3CA0">
        <w:rPr>
          <w:rFonts w:eastAsia="Arial" w:cs="Arial"/>
        </w:rPr>
        <w:lastRenderedPageBreak/>
        <w:t>P-DPN</w:t>
      </w:r>
      <w:r w:rsidRPr="003A3CA0">
        <w:rPr>
          <w:rFonts w:cs="Arial"/>
        </w:rPr>
        <w:tab/>
        <w:t>Painful Diabetic Peripheral Neuropathy</w:t>
      </w:r>
    </w:p>
    <w:p w14:paraId="05718CB1" w14:textId="77777777" w:rsidR="00C62606" w:rsidRDefault="00C62606" w:rsidP="00C62606">
      <w:pPr>
        <w:spacing w:line="276" w:lineRule="auto"/>
        <w:rPr>
          <w:rFonts w:cs="Arial"/>
        </w:rPr>
      </w:pPr>
      <w:r w:rsidRPr="003A3CA0">
        <w:rPr>
          <w:rFonts w:cs="Arial"/>
        </w:rPr>
        <w:t>PET</w:t>
      </w:r>
      <w:r w:rsidRPr="003A3CA0">
        <w:rPr>
          <w:rFonts w:cs="Arial"/>
        </w:rPr>
        <w:tab/>
      </w:r>
      <w:r w:rsidRPr="003A3CA0">
        <w:rPr>
          <w:rFonts w:cs="Arial"/>
        </w:rPr>
        <w:tab/>
        <w:t>Positron Emission Tomography</w:t>
      </w:r>
    </w:p>
    <w:p w14:paraId="702F19AC" w14:textId="77777777" w:rsidR="00C62606" w:rsidRDefault="00C62606" w:rsidP="00C62606">
      <w:pPr>
        <w:spacing w:line="276" w:lineRule="auto"/>
        <w:rPr>
          <w:rFonts w:cs="Arial"/>
        </w:rPr>
      </w:pPr>
      <w:r w:rsidRPr="003A3CA0">
        <w:rPr>
          <w:rFonts w:cs="Arial"/>
          <w:iCs/>
        </w:rPr>
        <w:t>PHS</w:t>
      </w:r>
      <w:r w:rsidRPr="003A3CA0">
        <w:rPr>
          <w:rFonts w:cs="Arial"/>
          <w:iCs/>
        </w:rPr>
        <w:tab/>
      </w:r>
      <w:r w:rsidRPr="003A3CA0">
        <w:rPr>
          <w:rFonts w:cs="Arial"/>
          <w:iCs/>
        </w:rPr>
        <w:tab/>
        <w:t>paradoxical heat sensation</w:t>
      </w:r>
    </w:p>
    <w:p w14:paraId="59F8BE3D" w14:textId="77777777" w:rsidR="00C62606" w:rsidRDefault="00C62606" w:rsidP="00C62606">
      <w:pPr>
        <w:spacing w:line="276" w:lineRule="auto"/>
        <w:rPr>
          <w:rFonts w:cs="Arial"/>
        </w:rPr>
      </w:pPr>
      <w:r>
        <w:rPr>
          <w:rFonts w:cs="Arial"/>
        </w:rPr>
        <w:t>PILL</w:t>
      </w:r>
      <w:r>
        <w:rPr>
          <w:rFonts w:cs="Arial"/>
        </w:rPr>
        <w:tab/>
      </w:r>
      <w:r>
        <w:rPr>
          <w:rFonts w:cs="Arial"/>
        </w:rPr>
        <w:tab/>
        <w:t>Pennebaker inventory of limbic languidness</w:t>
      </w:r>
    </w:p>
    <w:p w14:paraId="36A71396" w14:textId="756B612A" w:rsidR="00C62606" w:rsidRDefault="00C62606" w:rsidP="00C62606">
      <w:pPr>
        <w:spacing w:line="276" w:lineRule="auto"/>
        <w:rPr>
          <w:rFonts w:cs="Arial"/>
        </w:rPr>
      </w:pPr>
      <w:r>
        <w:rPr>
          <w:rFonts w:cs="Arial"/>
        </w:rPr>
        <w:t>POWM</w:t>
      </w:r>
      <w:r>
        <w:rPr>
          <w:rFonts w:cs="Arial"/>
        </w:rPr>
        <w:tab/>
        <w:t>Parieto-occipital white matter</w:t>
      </w:r>
    </w:p>
    <w:p w14:paraId="337B8A69" w14:textId="1C3E7F5F" w:rsidR="00671500" w:rsidRDefault="00671500" w:rsidP="00C62606">
      <w:pPr>
        <w:spacing w:line="276" w:lineRule="auto"/>
        <w:rPr>
          <w:rFonts w:cs="Arial"/>
        </w:rPr>
      </w:pPr>
      <w:r>
        <w:rPr>
          <w:rFonts w:cs="Arial"/>
        </w:rPr>
        <w:t>ppm</w:t>
      </w:r>
      <w:r>
        <w:rPr>
          <w:rFonts w:cs="Arial"/>
        </w:rPr>
        <w:tab/>
      </w:r>
      <w:r>
        <w:rPr>
          <w:rFonts w:cs="Arial"/>
        </w:rPr>
        <w:tab/>
        <w:t>parts per million</w:t>
      </w:r>
    </w:p>
    <w:p w14:paraId="42A72AC6" w14:textId="00D991CA" w:rsidR="00C62606" w:rsidRDefault="00C62606" w:rsidP="00C62606">
      <w:pPr>
        <w:spacing w:line="276" w:lineRule="auto"/>
        <w:rPr>
          <w:rFonts w:cs="Arial"/>
          <w:iCs/>
        </w:rPr>
      </w:pPr>
      <w:r w:rsidRPr="003A3CA0">
        <w:rPr>
          <w:rFonts w:cs="Arial"/>
          <w:iCs/>
        </w:rPr>
        <w:t>PPT</w:t>
      </w:r>
      <w:r w:rsidRPr="003A3CA0">
        <w:rPr>
          <w:rFonts w:cs="Arial"/>
          <w:iCs/>
        </w:rPr>
        <w:tab/>
      </w:r>
      <w:r w:rsidRPr="003A3CA0">
        <w:rPr>
          <w:rFonts w:cs="Arial"/>
          <w:iCs/>
        </w:rPr>
        <w:tab/>
        <w:t xml:space="preserve">pressure pain threshold </w:t>
      </w:r>
    </w:p>
    <w:p w14:paraId="35BA90E1" w14:textId="3CA5F8FE" w:rsidR="00F34C65" w:rsidRPr="00B52EE7" w:rsidRDefault="00F34C65" w:rsidP="00F34C65">
      <w:pPr>
        <w:spacing w:line="276" w:lineRule="auto"/>
        <w:rPr>
          <w:rFonts w:cs="Arial"/>
          <w:iCs/>
        </w:rPr>
      </w:pPr>
      <w:r>
        <w:rPr>
          <w:rFonts w:cs="Arial"/>
          <w:iCs/>
        </w:rPr>
        <w:t>PRESS</w:t>
      </w:r>
      <w:r>
        <w:rPr>
          <w:rFonts w:cs="Arial"/>
          <w:iCs/>
        </w:rPr>
        <w:tab/>
      </w:r>
      <w:r w:rsidRPr="00F34C65">
        <w:rPr>
          <w:rFonts w:cs="Arial"/>
          <w:iCs/>
        </w:rPr>
        <w:t xml:space="preserve">Point </w:t>
      </w:r>
      <w:proofErr w:type="spellStart"/>
      <w:r w:rsidRPr="00F34C65">
        <w:rPr>
          <w:rFonts w:cs="Arial"/>
          <w:iCs/>
        </w:rPr>
        <w:t>RESolved</w:t>
      </w:r>
      <w:proofErr w:type="spellEnd"/>
      <w:r w:rsidRPr="00F34C65">
        <w:rPr>
          <w:rFonts w:cs="Arial"/>
          <w:iCs/>
        </w:rPr>
        <w:t xml:space="preserve"> Spectroscopy</w:t>
      </w:r>
    </w:p>
    <w:p w14:paraId="2220BA22" w14:textId="77777777" w:rsidR="00C62606" w:rsidRPr="003A3CA0" w:rsidRDefault="00C62606" w:rsidP="00C62606">
      <w:pPr>
        <w:spacing w:line="276" w:lineRule="auto"/>
        <w:rPr>
          <w:rFonts w:cs="Arial"/>
        </w:rPr>
      </w:pPr>
      <w:r>
        <w:rPr>
          <w:rFonts w:cs="Arial"/>
        </w:rPr>
        <w:t>PSC</w:t>
      </w:r>
      <w:r>
        <w:rPr>
          <w:rFonts w:cs="Arial"/>
        </w:rPr>
        <w:tab/>
      </w:r>
      <w:r>
        <w:rPr>
          <w:rFonts w:cs="Arial"/>
        </w:rPr>
        <w:tab/>
        <w:t>Primary sensory cortex</w:t>
      </w:r>
    </w:p>
    <w:p w14:paraId="5C9179C6" w14:textId="77777777" w:rsidR="00C62606" w:rsidRDefault="00C62606" w:rsidP="00C62606">
      <w:pPr>
        <w:spacing w:line="276" w:lineRule="auto"/>
        <w:rPr>
          <w:rFonts w:cs="Arial"/>
        </w:rPr>
      </w:pPr>
      <w:r w:rsidRPr="003A3CA0">
        <w:rPr>
          <w:rFonts w:cs="Arial"/>
        </w:rPr>
        <w:t>QST</w:t>
      </w:r>
      <w:r w:rsidRPr="003A3CA0">
        <w:rPr>
          <w:rFonts w:cs="Arial"/>
        </w:rPr>
        <w:tab/>
      </w:r>
      <w:r w:rsidRPr="003A3CA0">
        <w:rPr>
          <w:rFonts w:cs="Arial"/>
        </w:rPr>
        <w:tab/>
        <w:t>Quantitative Sensory Testing</w:t>
      </w:r>
    </w:p>
    <w:p w14:paraId="53F98F73" w14:textId="77777777" w:rsidR="00C62606" w:rsidRDefault="00C62606" w:rsidP="00C62606">
      <w:pPr>
        <w:spacing w:line="276" w:lineRule="auto"/>
        <w:rPr>
          <w:rFonts w:cs="Arial"/>
        </w:rPr>
      </w:pPr>
      <w:r>
        <w:rPr>
          <w:rFonts w:cs="Arial"/>
        </w:rPr>
        <w:t>R</w:t>
      </w:r>
      <w:r>
        <w:rPr>
          <w:rFonts w:cs="Arial"/>
        </w:rPr>
        <w:tab/>
      </w:r>
      <w:r>
        <w:rPr>
          <w:rFonts w:cs="Arial"/>
        </w:rPr>
        <w:tab/>
        <w:t>Right</w:t>
      </w:r>
    </w:p>
    <w:p w14:paraId="2801058C" w14:textId="77777777" w:rsidR="00C62606" w:rsidRPr="003A3CA0" w:rsidRDefault="00C62606" w:rsidP="00C62606">
      <w:pPr>
        <w:spacing w:line="276" w:lineRule="auto"/>
        <w:rPr>
          <w:rFonts w:cs="Arial"/>
        </w:rPr>
      </w:pPr>
      <w:r>
        <w:rPr>
          <w:rFonts w:cs="Arial"/>
        </w:rPr>
        <w:t>RAGE</w:t>
      </w:r>
      <w:r>
        <w:rPr>
          <w:rFonts w:cs="Arial"/>
        </w:rPr>
        <w:tab/>
      </w:r>
      <w:r>
        <w:rPr>
          <w:rFonts w:cs="Arial"/>
        </w:rPr>
        <w:tab/>
        <w:t>Receptor for advanced glycation end products</w:t>
      </w:r>
    </w:p>
    <w:p w14:paraId="4A3E8C5F" w14:textId="77777777" w:rsidR="00C62606" w:rsidRDefault="00C62606" w:rsidP="00C62606">
      <w:pPr>
        <w:spacing w:line="276" w:lineRule="auto"/>
        <w:rPr>
          <w:rFonts w:cs="Arial"/>
        </w:rPr>
      </w:pPr>
      <w:r>
        <w:rPr>
          <w:rFonts w:cs="Arial"/>
        </w:rPr>
        <w:t>RBF</w:t>
      </w:r>
      <w:r>
        <w:rPr>
          <w:rFonts w:cs="Arial"/>
        </w:rPr>
        <w:tab/>
      </w:r>
      <w:r>
        <w:rPr>
          <w:rFonts w:cs="Arial"/>
        </w:rPr>
        <w:tab/>
        <w:t>Regional Blood Flow</w:t>
      </w:r>
    </w:p>
    <w:p w14:paraId="5C9C0169" w14:textId="77777777" w:rsidR="00C62606" w:rsidRDefault="00C62606" w:rsidP="00C62606">
      <w:pPr>
        <w:spacing w:line="276" w:lineRule="auto"/>
        <w:rPr>
          <w:rFonts w:cs="Arial"/>
        </w:rPr>
      </w:pPr>
      <w:r>
        <w:rPr>
          <w:rFonts w:cs="Arial"/>
        </w:rPr>
        <w:t>RBV</w:t>
      </w:r>
      <w:r>
        <w:rPr>
          <w:rFonts w:cs="Arial"/>
        </w:rPr>
        <w:tab/>
      </w:r>
      <w:r>
        <w:rPr>
          <w:rFonts w:cs="Arial"/>
        </w:rPr>
        <w:tab/>
        <w:t>Regional Blood Volume</w:t>
      </w:r>
    </w:p>
    <w:p w14:paraId="67EEFE5F" w14:textId="77777777" w:rsidR="00C62606" w:rsidRPr="003A3CA0" w:rsidRDefault="00C62606" w:rsidP="00C62606">
      <w:pPr>
        <w:spacing w:line="276" w:lineRule="auto"/>
        <w:rPr>
          <w:rFonts w:cs="Arial"/>
        </w:rPr>
      </w:pPr>
      <w:r w:rsidRPr="003A3CA0">
        <w:rPr>
          <w:rFonts w:cs="Arial"/>
        </w:rPr>
        <w:t>R-R interval</w:t>
      </w:r>
      <w:r w:rsidRPr="003A3CA0">
        <w:rPr>
          <w:rFonts w:cs="Arial"/>
        </w:rPr>
        <w:tab/>
        <w:t>Time period between successive R waves</w:t>
      </w:r>
      <w:r w:rsidRPr="003A3CA0">
        <w:rPr>
          <w:rFonts w:cs="Arial"/>
        </w:rPr>
        <w:tab/>
      </w:r>
      <w:r w:rsidRPr="003A3CA0">
        <w:rPr>
          <w:rFonts w:cs="Arial"/>
        </w:rPr>
        <w:tab/>
      </w:r>
    </w:p>
    <w:p w14:paraId="56A16B8F" w14:textId="77777777" w:rsidR="00C62606" w:rsidRPr="003A3CA0" w:rsidRDefault="00C62606" w:rsidP="00C62606">
      <w:pPr>
        <w:spacing w:line="276" w:lineRule="auto"/>
        <w:rPr>
          <w:rFonts w:cs="Arial"/>
        </w:rPr>
      </w:pPr>
      <w:r w:rsidRPr="003A3CA0">
        <w:rPr>
          <w:rFonts w:cs="Arial"/>
        </w:rPr>
        <w:t>ROI</w:t>
      </w:r>
      <w:r w:rsidRPr="003A3CA0">
        <w:rPr>
          <w:rFonts w:cs="Arial"/>
        </w:rPr>
        <w:tab/>
      </w:r>
      <w:r w:rsidRPr="003A3CA0">
        <w:rPr>
          <w:rFonts w:cs="Arial"/>
        </w:rPr>
        <w:tab/>
        <w:t>Region of interest</w:t>
      </w:r>
    </w:p>
    <w:p w14:paraId="09A8401E" w14:textId="77777777" w:rsidR="00C62606" w:rsidRDefault="00C62606" w:rsidP="00C62606">
      <w:pPr>
        <w:spacing w:line="276" w:lineRule="auto"/>
        <w:rPr>
          <w:rFonts w:cs="Arial"/>
        </w:rPr>
      </w:pPr>
      <w:r>
        <w:rPr>
          <w:rFonts w:cs="Arial"/>
        </w:rPr>
        <w:t>s</w:t>
      </w:r>
      <w:r>
        <w:rPr>
          <w:rFonts w:cs="Arial"/>
        </w:rPr>
        <w:tab/>
      </w:r>
      <w:r>
        <w:rPr>
          <w:rFonts w:cs="Arial"/>
        </w:rPr>
        <w:tab/>
        <w:t>seconds</w:t>
      </w:r>
    </w:p>
    <w:p w14:paraId="16B07958" w14:textId="77777777" w:rsidR="00C62606" w:rsidRDefault="00C62606" w:rsidP="00C62606">
      <w:pPr>
        <w:spacing w:line="276" w:lineRule="auto"/>
        <w:rPr>
          <w:rFonts w:cs="Arial"/>
        </w:rPr>
      </w:pPr>
      <w:r>
        <w:rPr>
          <w:rFonts w:cs="Arial"/>
        </w:rPr>
        <w:t>SD</w:t>
      </w:r>
      <w:r>
        <w:rPr>
          <w:rFonts w:cs="Arial"/>
        </w:rPr>
        <w:tab/>
      </w:r>
      <w:r>
        <w:rPr>
          <w:rFonts w:cs="Arial"/>
        </w:rPr>
        <w:tab/>
        <w:t>Standard deviation</w:t>
      </w:r>
    </w:p>
    <w:p w14:paraId="0B2BF286" w14:textId="33792614" w:rsidR="00C62606" w:rsidRDefault="00C62606" w:rsidP="00C62606">
      <w:pPr>
        <w:spacing w:line="276" w:lineRule="auto"/>
        <w:rPr>
          <w:rFonts w:cs="Arial"/>
        </w:rPr>
      </w:pPr>
      <w:r w:rsidRPr="003A3CA0">
        <w:rPr>
          <w:rFonts w:cs="Arial"/>
        </w:rPr>
        <w:t>SENSE</w:t>
      </w:r>
      <w:r w:rsidRPr="003A3CA0">
        <w:rPr>
          <w:rFonts w:cs="Arial"/>
        </w:rPr>
        <w:tab/>
        <w:t>sensitivity encoding for Philips MR</w:t>
      </w:r>
    </w:p>
    <w:p w14:paraId="3003B215" w14:textId="77777777" w:rsidR="00C62606" w:rsidRPr="003A3CA0" w:rsidRDefault="00C62606" w:rsidP="00C62606">
      <w:pPr>
        <w:spacing w:line="276" w:lineRule="auto"/>
        <w:rPr>
          <w:rFonts w:cs="Arial"/>
        </w:rPr>
      </w:pPr>
      <w:r>
        <w:rPr>
          <w:rFonts w:cs="Arial"/>
        </w:rPr>
        <w:t>SNR</w:t>
      </w:r>
      <w:r>
        <w:rPr>
          <w:rFonts w:cs="Arial"/>
        </w:rPr>
        <w:tab/>
      </w:r>
      <w:r>
        <w:rPr>
          <w:rFonts w:cs="Arial"/>
        </w:rPr>
        <w:tab/>
        <w:t>signal to noise ratio</w:t>
      </w:r>
    </w:p>
    <w:p w14:paraId="18D39A56" w14:textId="49B69E0A" w:rsidR="00C62606" w:rsidRDefault="00C62606" w:rsidP="00C62606">
      <w:pPr>
        <w:spacing w:line="276" w:lineRule="auto"/>
        <w:rPr>
          <w:rFonts w:cs="Arial"/>
        </w:rPr>
      </w:pPr>
      <w:r w:rsidRPr="003A3CA0">
        <w:rPr>
          <w:rFonts w:cs="Arial"/>
        </w:rPr>
        <w:t>SPECT</w:t>
      </w:r>
      <w:r w:rsidRPr="003A3CA0">
        <w:rPr>
          <w:rFonts w:cs="Arial"/>
        </w:rPr>
        <w:tab/>
        <w:t>Single Photon Emission Computerised Tomography</w:t>
      </w:r>
    </w:p>
    <w:p w14:paraId="08D48C65" w14:textId="77777777" w:rsidR="00C62606" w:rsidRDefault="00C62606" w:rsidP="00C62606">
      <w:pPr>
        <w:spacing w:line="276" w:lineRule="auto"/>
        <w:rPr>
          <w:rFonts w:cs="Arial"/>
        </w:rPr>
      </w:pPr>
      <w:proofErr w:type="spellStart"/>
      <w:r>
        <w:rPr>
          <w:rFonts w:cs="Arial"/>
        </w:rPr>
        <w:t>st</w:t>
      </w:r>
      <w:proofErr w:type="spellEnd"/>
      <w:r>
        <w:rPr>
          <w:rFonts w:cs="Arial"/>
        </w:rPr>
        <w:tab/>
      </w:r>
      <w:r>
        <w:rPr>
          <w:rFonts w:cs="Arial"/>
        </w:rPr>
        <w:tab/>
        <w:t>Standardised</w:t>
      </w:r>
    </w:p>
    <w:p w14:paraId="5D1AA62D" w14:textId="7DD9C683" w:rsidR="00C62606" w:rsidRDefault="00C62606" w:rsidP="00C62606">
      <w:pPr>
        <w:spacing w:line="276" w:lineRule="auto"/>
        <w:rPr>
          <w:rFonts w:cs="Arial"/>
        </w:rPr>
      </w:pPr>
      <w:r>
        <w:rPr>
          <w:rFonts w:cs="Arial"/>
        </w:rPr>
        <w:t>STAI-S</w:t>
      </w:r>
      <w:r>
        <w:rPr>
          <w:rFonts w:cs="Arial"/>
        </w:rPr>
        <w:tab/>
        <w:t>State Trait Anxiety inventory – State component</w:t>
      </w:r>
    </w:p>
    <w:p w14:paraId="626601FC" w14:textId="26A18A79" w:rsidR="00C62606" w:rsidRDefault="00C62606" w:rsidP="00C62606">
      <w:pPr>
        <w:spacing w:line="276" w:lineRule="auto"/>
        <w:rPr>
          <w:rFonts w:cs="Arial"/>
        </w:rPr>
      </w:pPr>
      <w:r>
        <w:rPr>
          <w:rFonts w:cs="Arial"/>
        </w:rPr>
        <w:t>STAI-T</w:t>
      </w:r>
      <w:r>
        <w:rPr>
          <w:rFonts w:cs="Arial"/>
        </w:rPr>
        <w:tab/>
        <w:t>State Trait Anxiety inventory – Trait component</w:t>
      </w:r>
    </w:p>
    <w:p w14:paraId="7E670120" w14:textId="77777777" w:rsidR="00C62606" w:rsidRPr="003A3CA0" w:rsidRDefault="00C62606" w:rsidP="00C62606">
      <w:pPr>
        <w:spacing w:line="276" w:lineRule="auto"/>
        <w:rPr>
          <w:rFonts w:cs="Arial"/>
        </w:rPr>
      </w:pPr>
      <w:r>
        <w:rPr>
          <w:rFonts w:cs="Arial"/>
        </w:rPr>
        <w:t>T</w:t>
      </w:r>
      <w:r>
        <w:rPr>
          <w:rFonts w:cs="Arial"/>
        </w:rPr>
        <w:tab/>
      </w:r>
      <w:r>
        <w:rPr>
          <w:rFonts w:cs="Arial"/>
        </w:rPr>
        <w:tab/>
        <w:t>Tesla</w:t>
      </w:r>
    </w:p>
    <w:p w14:paraId="50A32DFF" w14:textId="77777777" w:rsidR="00C62606" w:rsidRPr="003A3CA0" w:rsidRDefault="00C62606" w:rsidP="00C62606">
      <w:pPr>
        <w:spacing w:line="276" w:lineRule="auto"/>
        <w:rPr>
          <w:rFonts w:cs="Arial"/>
        </w:rPr>
      </w:pPr>
      <w:r w:rsidRPr="003A3CA0">
        <w:rPr>
          <w:rFonts w:cs="Arial"/>
        </w:rPr>
        <w:t>T1</w:t>
      </w:r>
      <w:r w:rsidRPr="003A3CA0">
        <w:rPr>
          <w:rFonts w:cs="Arial"/>
        </w:rPr>
        <w:tab/>
      </w:r>
      <w:r w:rsidRPr="003A3CA0">
        <w:rPr>
          <w:rFonts w:cs="Arial"/>
        </w:rPr>
        <w:tab/>
        <w:t>Longitudinal relaxation time</w:t>
      </w:r>
    </w:p>
    <w:p w14:paraId="1F2875C4" w14:textId="77777777" w:rsidR="00C62606" w:rsidRPr="003A3CA0" w:rsidRDefault="00C62606" w:rsidP="00C62606">
      <w:pPr>
        <w:spacing w:line="276" w:lineRule="auto"/>
        <w:rPr>
          <w:rFonts w:cs="Arial"/>
        </w:rPr>
      </w:pPr>
      <w:r w:rsidRPr="003A3CA0">
        <w:rPr>
          <w:rFonts w:eastAsia="Arial" w:cs="Arial"/>
        </w:rPr>
        <w:t>T1D</w:t>
      </w:r>
      <w:r w:rsidRPr="003A3CA0">
        <w:rPr>
          <w:rFonts w:cs="Arial"/>
        </w:rPr>
        <w:tab/>
      </w:r>
      <w:r w:rsidRPr="003A3CA0">
        <w:rPr>
          <w:rFonts w:cs="Arial"/>
        </w:rPr>
        <w:tab/>
        <w:t>Type 1 Diabetes</w:t>
      </w:r>
    </w:p>
    <w:p w14:paraId="6E3AA9C8" w14:textId="1BE04A33" w:rsidR="00C62606" w:rsidRDefault="00C62606" w:rsidP="00C62606">
      <w:pPr>
        <w:spacing w:line="276" w:lineRule="auto"/>
        <w:rPr>
          <w:rFonts w:eastAsia="Arial" w:cs="Arial"/>
        </w:rPr>
      </w:pPr>
      <w:r w:rsidRPr="003A3CA0">
        <w:rPr>
          <w:rFonts w:eastAsia="Arial" w:cs="Arial"/>
        </w:rPr>
        <w:t>T2D</w:t>
      </w:r>
      <w:r w:rsidRPr="003A3CA0">
        <w:rPr>
          <w:rFonts w:eastAsia="Arial" w:cs="Arial"/>
        </w:rPr>
        <w:tab/>
      </w:r>
      <w:r w:rsidRPr="003A3CA0">
        <w:rPr>
          <w:rFonts w:eastAsia="Arial" w:cs="Arial"/>
        </w:rPr>
        <w:tab/>
        <w:t>Type 2 Diabetes</w:t>
      </w:r>
    </w:p>
    <w:p w14:paraId="5B9045BB" w14:textId="202A0D9C" w:rsidR="00C62606" w:rsidRDefault="00C62606" w:rsidP="00C62606">
      <w:pPr>
        <w:spacing w:line="276" w:lineRule="auto"/>
        <w:rPr>
          <w:rFonts w:cs="Arial"/>
        </w:rPr>
      </w:pPr>
      <w:r w:rsidRPr="003A3CA0">
        <w:rPr>
          <w:rFonts w:cs="Arial"/>
        </w:rPr>
        <w:t>TE</w:t>
      </w:r>
      <w:r w:rsidRPr="003A3CA0">
        <w:rPr>
          <w:rFonts w:cs="Arial"/>
        </w:rPr>
        <w:tab/>
      </w:r>
      <w:r w:rsidRPr="003A3CA0">
        <w:rPr>
          <w:rFonts w:cs="Arial"/>
        </w:rPr>
        <w:tab/>
        <w:t>Time to echo</w:t>
      </w:r>
    </w:p>
    <w:p w14:paraId="0858E0DC" w14:textId="5D4621C1" w:rsidR="00522CA9" w:rsidRDefault="00522CA9" w:rsidP="00C62606">
      <w:pPr>
        <w:spacing w:line="276" w:lineRule="auto"/>
        <w:rPr>
          <w:rFonts w:cs="Arial"/>
        </w:rPr>
      </w:pPr>
      <w:r>
        <w:rPr>
          <w:rFonts w:cs="Arial"/>
        </w:rPr>
        <w:t>TENS</w:t>
      </w:r>
      <w:r>
        <w:rPr>
          <w:rFonts w:cs="Arial"/>
        </w:rPr>
        <w:tab/>
      </w:r>
      <w:r>
        <w:rPr>
          <w:rFonts w:cs="Arial"/>
        </w:rPr>
        <w:tab/>
        <w:t>Trans-cutaneous electrical stimulation</w:t>
      </w:r>
    </w:p>
    <w:p w14:paraId="48CFFC50" w14:textId="77777777" w:rsidR="00C62606" w:rsidRPr="003A3CA0" w:rsidRDefault="00C62606" w:rsidP="00C62606">
      <w:pPr>
        <w:spacing w:line="276" w:lineRule="auto"/>
        <w:rPr>
          <w:rFonts w:cs="Arial"/>
        </w:rPr>
      </w:pPr>
      <w:r>
        <w:rPr>
          <w:rFonts w:cs="Arial"/>
        </w:rPr>
        <w:t>Thal</w:t>
      </w:r>
      <w:r>
        <w:rPr>
          <w:rFonts w:cs="Arial"/>
        </w:rPr>
        <w:tab/>
      </w:r>
      <w:r>
        <w:rPr>
          <w:rFonts w:cs="Arial"/>
        </w:rPr>
        <w:tab/>
        <w:t>Thalamus</w:t>
      </w:r>
    </w:p>
    <w:p w14:paraId="6E0F59AF" w14:textId="77777777" w:rsidR="00C62606" w:rsidRDefault="00C62606" w:rsidP="00C62606">
      <w:pPr>
        <w:spacing w:line="276" w:lineRule="auto"/>
        <w:rPr>
          <w:rFonts w:cs="Arial"/>
        </w:rPr>
      </w:pPr>
      <w:r w:rsidRPr="003A3CA0">
        <w:rPr>
          <w:rFonts w:cs="Arial"/>
        </w:rPr>
        <w:t>TR</w:t>
      </w:r>
      <w:r w:rsidRPr="003A3CA0">
        <w:rPr>
          <w:rFonts w:cs="Arial"/>
        </w:rPr>
        <w:tab/>
      </w:r>
      <w:r w:rsidRPr="003A3CA0">
        <w:rPr>
          <w:rFonts w:cs="Arial"/>
        </w:rPr>
        <w:tab/>
        <w:t>Repetition time</w:t>
      </w:r>
    </w:p>
    <w:p w14:paraId="5DF0797F" w14:textId="1F22CEBB" w:rsidR="00C62606" w:rsidRDefault="00C62606" w:rsidP="00C62606">
      <w:pPr>
        <w:spacing w:line="276" w:lineRule="auto"/>
        <w:rPr>
          <w:rFonts w:cs="Arial"/>
          <w:iCs/>
        </w:rPr>
      </w:pPr>
      <w:r w:rsidRPr="003A3CA0">
        <w:rPr>
          <w:rFonts w:cs="Arial"/>
          <w:iCs/>
        </w:rPr>
        <w:t>TSL</w:t>
      </w:r>
      <w:r w:rsidRPr="003A3CA0">
        <w:rPr>
          <w:rFonts w:cs="Arial"/>
          <w:iCs/>
        </w:rPr>
        <w:tab/>
      </w:r>
      <w:r w:rsidRPr="003A3CA0">
        <w:rPr>
          <w:rFonts w:cs="Arial"/>
          <w:iCs/>
        </w:rPr>
        <w:tab/>
        <w:t xml:space="preserve">thermal sensory limen </w:t>
      </w:r>
    </w:p>
    <w:p w14:paraId="156199C1" w14:textId="1534720F" w:rsidR="00C02BBA" w:rsidRPr="003D65ED" w:rsidRDefault="00C02BBA" w:rsidP="00C62606">
      <w:pPr>
        <w:spacing w:line="276" w:lineRule="auto"/>
        <w:rPr>
          <w:rFonts w:cs="Arial"/>
          <w:iCs/>
        </w:rPr>
      </w:pPr>
      <w:r>
        <w:rPr>
          <w:rFonts w:cs="Arial"/>
          <w:iCs/>
        </w:rPr>
        <w:t>TTP</w:t>
      </w:r>
      <w:r>
        <w:rPr>
          <w:rFonts w:cs="Arial"/>
          <w:iCs/>
        </w:rPr>
        <w:tab/>
      </w:r>
      <w:r>
        <w:rPr>
          <w:rFonts w:cs="Arial"/>
          <w:iCs/>
        </w:rPr>
        <w:tab/>
        <w:t>Time-to-peak concentration</w:t>
      </w:r>
    </w:p>
    <w:p w14:paraId="6D71DEC4" w14:textId="5AEECB5D" w:rsidR="00C62606" w:rsidRDefault="00C62606" w:rsidP="00522CA9">
      <w:pPr>
        <w:spacing w:line="276" w:lineRule="auto"/>
        <w:ind w:left="1440" w:hanging="1440"/>
        <w:rPr>
          <w:rFonts w:cs="Arial"/>
        </w:rPr>
      </w:pPr>
      <w:r w:rsidRPr="003A3CA0">
        <w:rPr>
          <w:rFonts w:cs="Arial"/>
        </w:rPr>
        <w:t>V</w:t>
      </w:r>
      <w:r w:rsidR="00522CA9">
        <w:rPr>
          <w:rFonts w:cs="Arial"/>
        </w:rPr>
        <w:tab/>
      </w:r>
      <w:r w:rsidRPr="003A3CA0">
        <w:rPr>
          <w:rFonts w:cs="Arial"/>
        </w:rPr>
        <w:t>Voltage gated</w:t>
      </w:r>
    </w:p>
    <w:p w14:paraId="15FC89FA" w14:textId="483B3F47" w:rsidR="00522CA9" w:rsidRDefault="00522CA9" w:rsidP="00522CA9">
      <w:pPr>
        <w:spacing w:line="276" w:lineRule="auto"/>
        <w:ind w:left="1440" w:hanging="1440"/>
        <w:rPr>
          <w:rFonts w:cs="Arial"/>
        </w:rPr>
      </w:pPr>
      <w:r>
        <w:rPr>
          <w:rFonts w:cs="Arial"/>
        </w:rPr>
        <w:t>V2</w:t>
      </w:r>
      <w:r>
        <w:rPr>
          <w:rFonts w:cs="Arial"/>
        </w:rPr>
        <w:tab/>
        <w:t>Visit 2</w:t>
      </w:r>
    </w:p>
    <w:p w14:paraId="23F75ED6" w14:textId="3ED8D9D8" w:rsidR="00522CA9" w:rsidRDefault="00522CA9" w:rsidP="00522CA9">
      <w:pPr>
        <w:spacing w:line="276" w:lineRule="auto"/>
        <w:ind w:left="1440" w:hanging="1440"/>
        <w:rPr>
          <w:rFonts w:cs="Arial"/>
        </w:rPr>
      </w:pPr>
      <w:r>
        <w:rPr>
          <w:rFonts w:cs="Arial"/>
        </w:rPr>
        <w:t>V3</w:t>
      </w:r>
      <w:r>
        <w:rPr>
          <w:rFonts w:cs="Arial"/>
        </w:rPr>
        <w:tab/>
        <w:t>Visit 3</w:t>
      </w:r>
    </w:p>
    <w:p w14:paraId="447BF90B" w14:textId="77777777" w:rsidR="00C62606" w:rsidRPr="003A3CA0" w:rsidRDefault="00C62606" w:rsidP="00C62606">
      <w:pPr>
        <w:spacing w:line="276" w:lineRule="auto"/>
        <w:ind w:left="1440" w:hanging="1440"/>
        <w:rPr>
          <w:rFonts w:cs="Arial"/>
        </w:rPr>
      </w:pPr>
      <w:r w:rsidRPr="003A3CA0">
        <w:rPr>
          <w:rFonts w:cs="Arial"/>
        </w:rPr>
        <w:t>VAS</w:t>
      </w:r>
      <w:r w:rsidRPr="003A3CA0">
        <w:rPr>
          <w:rFonts w:cs="Arial"/>
        </w:rPr>
        <w:tab/>
        <w:t>Visual analogue score of pain intensity</w:t>
      </w:r>
    </w:p>
    <w:p w14:paraId="630DEDF1" w14:textId="77777777" w:rsidR="00C62606" w:rsidRDefault="00C62606" w:rsidP="00C62606">
      <w:pPr>
        <w:spacing w:line="276" w:lineRule="auto"/>
        <w:rPr>
          <w:rFonts w:cs="Arial"/>
        </w:rPr>
      </w:pPr>
      <w:r w:rsidRPr="003A3CA0">
        <w:rPr>
          <w:rFonts w:cs="Arial"/>
        </w:rPr>
        <w:t>VDT</w:t>
      </w:r>
      <w:r w:rsidRPr="003A3CA0">
        <w:rPr>
          <w:rFonts w:cs="Arial"/>
        </w:rPr>
        <w:tab/>
      </w:r>
      <w:r w:rsidRPr="003A3CA0">
        <w:rPr>
          <w:rFonts w:cs="Arial"/>
        </w:rPr>
        <w:tab/>
        <w:t>vibration detection threshold</w:t>
      </w:r>
    </w:p>
    <w:p w14:paraId="286E1350" w14:textId="77777777" w:rsidR="00C62606" w:rsidRDefault="00C62606" w:rsidP="00C62606">
      <w:pPr>
        <w:spacing w:line="276" w:lineRule="auto"/>
        <w:rPr>
          <w:rFonts w:cs="Arial"/>
          <w:iCs/>
        </w:rPr>
      </w:pPr>
      <w:r w:rsidRPr="003A3CA0">
        <w:rPr>
          <w:rFonts w:cs="Arial"/>
          <w:iCs/>
        </w:rPr>
        <w:t>WDT</w:t>
      </w:r>
      <w:r w:rsidRPr="003A3CA0">
        <w:rPr>
          <w:rFonts w:cs="Arial"/>
          <w:iCs/>
        </w:rPr>
        <w:tab/>
      </w:r>
      <w:r w:rsidRPr="003A3CA0">
        <w:rPr>
          <w:rFonts w:cs="Arial"/>
          <w:iCs/>
        </w:rPr>
        <w:tab/>
        <w:t>warm detection threshold</w:t>
      </w:r>
    </w:p>
    <w:p w14:paraId="21E7B8F5" w14:textId="77777777" w:rsidR="00C62606" w:rsidRPr="003A3CA0" w:rsidRDefault="00C62606" w:rsidP="00C62606">
      <w:pPr>
        <w:spacing w:line="276" w:lineRule="auto"/>
        <w:rPr>
          <w:rFonts w:cs="Arial"/>
          <w:iCs/>
        </w:rPr>
      </w:pPr>
      <w:r w:rsidRPr="003A3CA0">
        <w:rPr>
          <w:rFonts w:cs="Arial"/>
          <w:iCs/>
        </w:rPr>
        <w:t>WUR</w:t>
      </w:r>
      <w:r w:rsidRPr="003A3CA0">
        <w:rPr>
          <w:rFonts w:cs="Arial"/>
          <w:iCs/>
        </w:rPr>
        <w:tab/>
      </w:r>
      <w:r w:rsidRPr="003A3CA0">
        <w:rPr>
          <w:rFonts w:cs="Arial"/>
          <w:iCs/>
        </w:rPr>
        <w:tab/>
        <w:t xml:space="preserve">wind up ratio- (ratio of the series of pain ratings to a single pain rating) </w:t>
      </w:r>
    </w:p>
    <w:p w14:paraId="51AF6120" w14:textId="77777777" w:rsidR="00C62606" w:rsidRPr="003A3CA0" w:rsidRDefault="00C62606" w:rsidP="00C62606">
      <w:pPr>
        <w:spacing w:line="276" w:lineRule="auto"/>
        <w:rPr>
          <w:rFonts w:cs="Arial"/>
          <w:iCs/>
        </w:rPr>
      </w:pPr>
    </w:p>
    <w:p w14:paraId="502DE576" w14:textId="77777777" w:rsidR="00C62606" w:rsidRPr="003A3CA0" w:rsidRDefault="00C62606" w:rsidP="00C62606">
      <w:pPr>
        <w:ind w:left="1440" w:hanging="1440"/>
        <w:rPr>
          <w:rFonts w:eastAsia="Arial" w:cs="Arial"/>
        </w:rPr>
        <w:sectPr w:rsidR="00C62606" w:rsidRPr="003A3CA0" w:rsidSect="000C4457">
          <w:footerReference w:type="even" r:id="rId9"/>
          <w:footerReference w:type="default" r:id="rId10"/>
          <w:pgSz w:w="11900" w:h="16840"/>
          <w:pgMar w:top="1440" w:right="1418" w:bottom="1440" w:left="1418" w:header="709" w:footer="709" w:gutter="0"/>
          <w:pgNumType w:start="1"/>
          <w:cols w:space="720" w:equalWidth="0">
            <w:col w:w="9360"/>
          </w:cols>
        </w:sectPr>
      </w:pPr>
      <w:r w:rsidRPr="003A3CA0">
        <w:rPr>
          <w:rFonts w:cs="Arial"/>
        </w:rPr>
        <w:t xml:space="preserve"> </w:t>
      </w:r>
    </w:p>
    <w:p w14:paraId="0BC8BBBC" w14:textId="77777777" w:rsidR="00C62606" w:rsidRPr="00196E9F" w:rsidRDefault="00C62606" w:rsidP="0031237D">
      <w:pPr>
        <w:pStyle w:val="Heading1"/>
      </w:pPr>
      <w:bookmarkStart w:id="12" w:name="_heading=h.3dy6vkm" w:colFirst="0" w:colLast="0"/>
      <w:bookmarkStart w:id="13" w:name="_Toc48364622"/>
      <w:bookmarkStart w:id="14" w:name="_Toc64723859"/>
      <w:bookmarkEnd w:id="12"/>
      <w:r w:rsidRPr="00196E9F">
        <w:lastRenderedPageBreak/>
        <w:t>Authors Declaration</w:t>
      </w:r>
      <w:bookmarkEnd w:id="13"/>
      <w:bookmarkEnd w:id="14"/>
    </w:p>
    <w:p w14:paraId="2ED6C2EF" w14:textId="77777777" w:rsidR="00C62606" w:rsidRPr="003A3CA0" w:rsidRDefault="00C62606" w:rsidP="00C62606">
      <w:pPr>
        <w:rPr>
          <w:rFonts w:cs="Arial"/>
        </w:rPr>
      </w:pPr>
    </w:p>
    <w:p w14:paraId="4769B99C" w14:textId="77777777" w:rsidR="00C62606" w:rsidRPr="003A3CA0" w:rsidRDefault="00C62606" w:rsidP="00C62606">
      <w:pPr>
        <w:spacing w:line="360" w:lineRule="auto"/>
        <w:rPr>
          <w:rFonts w:eastAsia="Arial" w:cs="Arial"/>
        </w:rPr>
      </w:pPr>
      <w:r w:rsidRPr="003A3CA0">
        <w:rPr>
          <w:rFonts w:eastAsia="Arial" w:cs="Arial"/>
        </w:rPr>
        <w:t>The study was undertaken in the University of Sheffield in collaboration with the Department of Infection, Immunity and Cardiovascular disease, the Academic unit of Radiology and the Academic unit of Diabetes. My contributions were the following:</w:t>
      </w:r>
    </w:p>
    <w:p w14:paraId="7F5FE9E7" w14:textId="6E8832D8" w:rsidR="00C62606" w:rsidRDefault="00C62606" w:rsidP="00C62606">
      <w:pPr>
        <w:numPr>
          <w:ilvl w:val="0"/>
          <w:numId w:val="1"/>
        </w:numPr>
        <w:pBdr>
          <w:top w:val="nil"/>
          <w:left w:val="nil"/>
          <w:bottom w:val="nil"/>
          <w:right w:val="nil"/>
          <w:between w:val="nil"/>
        </w:pBdr>
        <w:spacing w:line="360" w:lineRule="auto"/>
        <w:rPr>
          <w:rFonts w:eastAsia="Arial" w:cs="Arial"/>
          <w:color w:val="000000"/>
          <w:sz w:val="22"/>
          <w:szCs w:val="22"/>
        </w:rPr>
      </w:pPr>
      <w:r>
        <w:rPr>
          <w:rFonts w:eastAsia="Arial" w:cs="Arial"/>
          <w:color w:val="000000"/>
          <w:sz w:val="22"/>
          <w:szCs w:val="22"/>
        </w:rPr>
        <w:t xml:space="preserve">The original concept of the study was generated by Dr </w:t>
      </w:r>
      <w:proofErr w:type="spellStart"/>
      <w:r>
        <w:rPr>
          <w:rFonts w:eastAsia="Arial" w:cs="Arial"/>
          <w:color w:val="000000"/>
          <w:sz w:val="22"/>
          <w:szCs w:val="22"/>
        </w:rPr>
        <w:t>Selvarajah</w:t>
      </w:r>
      <w:proofErr w:type="spellEnd"/>
      <w:r>
        <w:rPr>
          <w:rFonts w:eastAsia="Arial" w:cs="Arial"/>
          <w:color w:val="000000"/>
          <w:sz w:val="22"/>
          <w:szCs w:val="22"/>
        </w:rPr>
        <w:t>, Professor Wilkinson and Professor Tesfaye and this idea was converted to a successful grant application to the E</w:t>
      </w:r>
      <w:r w:rsidR="003E5B22">
        <w:rPr>
          <w:rFonts w:eastAsia="Arial" w:cs="Arial"/>
          <w:color w:val="000000"/>
          <w:sz w:val="22"/>
          <w:szCs w:val="22"/>
        </w:rPr>
        <w:t>F</w:t>
      </w:r>
      <w:r>
        <w:rPr>
          <w:rFonts w:eastAsia="Arial" w:cs="Arial"/>
          <w:color w:val="000000"/>
          <w:sz w:val="22"/>
          <w:szCs w:val="22"/>
        </w:rPr>
        <w:t>SD. I added the ideas to use quantifiable dynamic susceptibility contrast, spectroscopy, the measures of somatic focus,</w:t>
      </w:r>
      <w:r w:rsidR="00511785">
        <w:rPr>
          <w:rFonts w:eastAsia="Arial" w:cs="Arial"/>
          <w:color w:val="000000"/>
          <w:sz w:val="22"/>
          <w:szCs w:val="22"/>
        </w:rPr>
        <w:t xml:space="preserve"> </w:t>
      </w:r>
      <w:r w:rsidR="009F2173">
        <w:rPr>
          <w:rFonts w:eastAsia="Arial" w:cs="Arial"/>
          <w:color w:val="000000"/>
          <w:sz w:val="22"/>
          <w:szCs w:val="22"/>
        </w:rPr>
        <w:t>methylglyoxal</w:t>
      </w:r>
      <w:r>
        <w:rPr>
          <w:rFonts w:eastAsia="Arial" w:cs="Arial"/>
          <w:color w:val="000000"/>
          <w:sz w:val="22"/>
          <w:szCs w:val="22"/>
        </w:rPr>
        <w:t xml:space="preserve">, and designed the pain experiment.  </w:t>
      </w:r>
    </w:p>
    <w:p w14:paraId="1D9D472B" w14:textId="25316A70" w:rsidR="00C62606" w:rsidRPr="003A3CA0" w:rsidRDefault="00C62606" w:rsidP="00C62606">
      <w:pPr>
        <w:numPr>
          <w:ilvl w:val="0"/>
          <w:numId w:val="1"/>
        </w:numPr>
        <w:pBdr>
          <w:top w:val="nil"/>
          <w:left w:val="nil"/>
          <w:bottom w:val="nil"/>
          <w:right w:val="nil"/>
          <w:between w:val="nil"/>
        </w:pBdr>
        <w:spacing w:line="360" w:lineRule="auto"/>
        <w:rPr>
          <w:rFonts w:eastAsia="Arial" w:cs="Arial"/>
          <w:color w:val="000000"/>
          <w:sz w:val="22"/>
          <w:szCs w:val="22"/>
        </w:rPr>
      </w:pPr>
      <w:r w:rsidRPr="003A3CA0">
        <w:rPr>
          <w:rFonts w:eastAsia="Arial" w:cs="Arial"/>
          <w:color w:val="000000"/>
          <w:sz w:val="22"/>
          <w:szCs w:val="22"/>
        </w:rPr>
        <w:t xml:space="preserve">The primary role in the </w:t>
      </w:r>
      <w:r w:rsidR="00AF361E">
        <w:rPr>
          <w:rFonts w:eastAsia="Arial" w:cs="Arial"/>
          <w:color w:val="000000"/>
          <w:sz w:val="22"/>
          <w:szCs w:val="22"/>
        </w:rPr>
        <w:t xml:space="preserve">final </w:t>
      </w:r>
      <w:r w:rsidRPr="003A3CA0">
        <w:rPr>
          <w:rFonts w:eastAsia="Arial" w:cs="Arial"/>
          <w:color w:val="000000"/>
          <w:sz w:val="22"/>
          <w:szCs w:val="22"/>
        </w:rPr>
        <w:t>design of the study, write up of the protocol, and research ethics application</w:t>
      </w:r>
    </w:p>
    <w:p w14:paraId="35C00707" w14:textId="77777777" w:rsidR="00C62606" w:rsidRPr="003A3CA0" w:rsidRDefault="00C62606" w:rsidP="00C62606">
      <w:pPr>
        <w:numPr>
          <w:ilvl w:val="0"/>
          <w:numId w:val="1"/>
        </w:numPr>
        <w:pBdr>
          <w:top w:val="nil"/>
          <w:left w:val="nil"/>
          <w:bottom w:val="nil"/>
          <w:right w:val="nil"/>
          <w:between w:val="nil"/>
        </w:pBdr>
        <w:spacing w:line="360" w:lineRule="auto"/>
        <w:rPr>
          <w:rFonts w:eastAsia="Arial" w:cs="Arial"/>
          <w:color w:val="000000"/>
          <w:sz w:val="22"/>
          <w:szCs w:val="22"/>
        </w:rPr>
      </w:pPr>
      <w:r w:rsidRPr="003A3CA0">
        <w:rPr>
          <w:rFonts w:eastAsia="Arial" w:cs="Arial"/>
          <w:color w:val="000000"/>
          <w:sz w:val="22"/>
          <w:szCs w:val="22"/>
        </w:rPr>
        <w:t>Recruitment, and clinical assessments of the subjects</w:t>
      </w:r>
    </w:p>
    <w:p w14:paraId="22DA592F" w14:textId="77777777" w:rsidR="00C62606" w:rsidRPr="003A3CA0" w:rsidRDefault="00C62606" w:rsidP="00C62606">
      <w:pPr>
        <w:numPr>
          <w:ilvl w:val="0"/>
          <w:numId w:val="1"/>
        </w:numPr>
        <w:pBdr>
          <w:top w:val="nil"/>
          <w:left w:val="nil"/>
          <w:bottom w:val="nil"/>
          <w:right w:val="nil"/>
          <w:between w:val="nil"/>
        </w:pBdr>
        <w:spacing w:line="360" w:lineRule="auto"/>
        <w:rPr>
          <w:rFonts w:eastAsia="Arial" w:cs="Arial"/>
          <w:color w:val="000000"/>
          <w:sz w:val="22"/>
          <w:szCs w:val="22"/>
        </w:rPr>
      </w:pPr>
      <w:r w:rsidRPr="003A3CA0">
        <w:rPr>
          <w:rFonts w:eastAsia="Arial" w:cs="Arial"/>
          <w:color w:val="000000"/>
          <w:sz w:val="22"/>
          <w:szCs w:val="22"/>
        </w:rPr>
        <w:t>I designed</w:t>
      </w:r>
      <w:r>
        <w:rPr>
          <w:rFonts w:eastAsia="Arial" w:cs="Arial"/>
          <w:color w:val="000000"/>
          <w:sz w:val="22"/>
          <w:szCs w:val="22"/>
        </w:rPr>
        <w:t xml:space="preserve"> the noxious thermal stimulus paradigm</w:t>
      </w:r>
      <w:r w:rsidRPr="003A3CA0">
        <w:rPr>
          <w:rFonts w:eastAsia="Arial" w:cs="Arial"/>
          <w:color w:val="000000"/>
          <w:sz w:val="22"/>
          <w:szCs w:val="22"/>
        </w:rPr>
        <w:t xml:space="preserve"> and programmed the machine that delivered the experimental pain </w:t>
      </w:r>
    </w:p>
    <w:p w14:paraId="2D9C180C" w14:textId="77777777" w:rsidR="00C62606" w:rsidRPr="003A3CA0" w:rsidRDefault="00C62606" w:rsidP="00C62606">
      <w:pPr>
        <w:numPr>
          <w:ilvl w:val="0"/>
          <w:numId w:val="1"/>
        </w:numPr>
        <w:pBdr>
          <w:top w:val="nil"/>
          <w:left w:val="nil"/>
          <w:bottom w:val="nil"/>
          <w:right w:val="nil"/>
          <w:between w:val="nil"/>
        </w:pBdr>
        <w:spacing w:line="360" w:lineRule="auto"/>
        <w:rPr>
          <w:rFonts w:eastAsia="Arial" w:cs="Arial"/>
          <w:color w:val="000000"/>
          <w:sz w:val="22"/>
          <w:szCs w:val="22"/>
        </w:rPr>
      </w:pPr>
      <w:r w:rsidRPr="003A3CA0">
        <w:rPr>
          <w:rFonts w:eastAsia="Arial" w:cs="Arial"/>
          <w:color w:val="000000"/>
          <w:sz w:val="22"/>
          <w:szCs w:val="22"/>
        </w:rPr>
        <w:t>I consented the subjects and arranged their appointments</w:t>
      </w:r>
    </w:p>
    <w:p w14:paraId="58535222" w14:textId="77777777" w:rsidR="00C62606" w:rsidRPr="003A3CA0" w:rsidRDefault="00C62606" w:rsidP="00C62606">
      <w:pPr>
        <w:numPr>
          <w:ilvl w:val="0"/>
          <w:numId w:val="1"/>
        </w:numPr>
        <w:pBdr>
          <w:top w:val="nil"/>
          <w:left w:val="nil"/>
          <w:bottom w:val="nil"/>
          <w:right w:val="nil"/>
          <w:between w:val="nil"/>
        </w:pBdr>
        <w:spacing w:line="360" w:lineRule="auto"/>
        <w:rPr>
          <w:rFonts w:eastAsia="Arial" w:cs="Arial"/>
          <w:color w:val="000000"/>
          <w:sz w:val="22"/>
          <w:szCs w:val="22"/>
        </w:rPr>
      </w:pPr>
      <w:r w:rsidRPr="003A3CA0">
        <w:rPr>
          <w:rFonts w:eastAsia="Arial" w:cs="Arial"/>
          <w:color w:val="000000"/>
          <w:sz w:val="22"/>
          <w:szCs w:val="22"/>
        </w:rPr>
        <w:t>I was present for all the scans and was responsible for administering the pain during the scans and cannulating the patients for the scans.</w:t>
      </w:r>
    </w:p>
    <w:p w14:paraId="0F82D106" w14:textId="2536C917" w:rsidR="00C62606" w:rsidRDefault="00C62606" w:rsidP="00C62606">
      <w:pPr>
        <w:numPr>
          <w:ilvl w:val="0"/>
          <w:numId w:val="1"/>
        </w:numPr>
        <w:pBdr>
          <w:top w:val="nil"/>
          <w:left w:val="nil"/>
          <w:bottom w:val="nil"/>
          <w:right w:val="nil"/>
          <w:between w:val="nil"/>
        </w:pBdr>
        <w:spacing w:line="360" w:lineRule="auto"/>
        <w:rPr>
          <w:rFonts w:eastAsia="Arial" w:cs="Arial"/>
          <w:color w:val="000000"/>
          <w:sz w:val="22"/>
          <w:szCs w:val="22"/>
        </w:rPr>
      </w:pPr>
      <w:r w:rsidRPr="003A3CA0">
        <w:rPr>
          <w:rFonts w:eastAsia="Arial" w:cs="Arial"/>
          <w:color w:val="000000"/>
          <w:sz w:val="22"/>
          <w:szCs w:val="22"/>
        </w:rPr>
        <w:t xml:space="preserve">MR imaging: Professor I.D Wilkinson </w:t>
      </w:r>
      <w:r w:rsidR="00AF361E">
        <w:rPr>
          <w:rFonts w:eastAsia="Arial" w:cs="Arial"/>
          <w:color w:val="000000"/>
          <w:sz w:val="22"/>
          <w:szCs w:val="22"/>
        </w:rPr>
        <w:t>and I</w:t>
      </w:r>
      <w:r w:rsidRPr="003A3CA0">
        <w:rPr>
          <w:rFonts w:eastAsia="Arial" w:cs="Arial"/>
          <w:color w:val="000000"/>
          <w:sz w:val="22"/>
          <w:szCs w:val="22"/>
        </w:rPr>
        <w:t xml:space="preserve"> designed the MR protocols and the scanning was performed by the departmental radiographers and clinically assessed by neuroradiologist Professor N Hoggard. </w:t>
      </w:r>
    </w:p>
    <w:p w14:paraId="28999186" w14:textId="77777777" w:rsidR="00C62606" w:rsidRPr="003A3CA0" w:rsidRDefault="00C62606" w:rsidP="00C62606">
      <w:pPr>
        <w:numPr>
          <w:ilvl w:val="0"/>
          <w:numId w:val="1"/>
        </w:numPr>
        <w:pBdr>
          <w:top w:val="nil"/>
          <w:left w:val="nil"/>
          <w:bottom w:val="nil"/>
          <w:right w:val="nil"/>
          <w:between w:val="nil"/>
        </w:pBdr>
        <w:spacing w:line="360" w:lineRule="auto"/>
        <w:rPr>
          <w:rFonts w:eastAsia="Arial" w:cs="Arial"/>
          <w:color w:val="000000"/>
          <w:sz w:val="22"/>
          <w:szCs w:val="22"/>
        </w:rPr>
      </w:pPr>
      <w:r>
        <w:rPr>
          <w:rFonts w:eastAsia="Arial" w:cs="Arial"/>
          <w:color w:val="000000"/>
          <w:sz w:val="22"/>
          <w:szCs w:val="22"/>
        </w:rPr>
        <w:t>I arranged the ordering of all stock required for the study</w:t>
      </w:r>
    </w:p>
    <w:p w14:paraId="267079F4" w14:textId="77777777" w:rsidR="00C62606" w:rsidRPr="003A3CA0" w:rsidRDefault="00C62606" w:rsidP="00C62606">
      <w:pPr>
        <w:numPr>
          <w:ilvl w:val="0"/>
          <w:numId w:val="1"/>
        </w:numPr>
        <w:pBdr>
          <w:top w:val="nil"/>
          <w:left w:val="nil"/>
          <w:bottom w:val="nil"/>
          <w:right w:val="nil"/>
          <w:between w:val="nil"/>
        </w:pBdr>
        <w:spacing w:line="360" w:lineRule="auto"/>
        <w:rPr>
          <w:rFonts w:eastAsia="Arial" w:cs="Arial"/>
          <w:color w:val="000000"/>
          <w:sz w:val="22"/>
          <w:szCs w:val="22"/>
        </w:rPr>
      </w:pPr>
      <w:r w:rsidRPr="003A3CA0">
        <w:rPr>
          <w:rFonts w:eastAsia="Arial" w:cs="Arial"/>
          <w:color w:val="000000"/>
          <w:sz w:val="22"/>
          <w:szCs w:val="22"/>
        </w:rPr>
        <w:t>I undertook collation of the data, image analysis and statistical analysis for the study.</w:t>
      </w:r>
    </w:p>
    <w:p w14:paraId="440348ED" w14:textId="77777777" w:rsidR="00C62606" w:rsidRPr="003A3CA0" w:rsidRDefault="00C62606" w:rsidP="00C62606">
      <w:pPr>
        <w:numPr>
          <w:ilvl w:val="0"/>
          <w:numId w:val="1"/>
        </w:numPr>
        <w:pBdr>
          <w:top w:val="nil"/>
          <w:left w:val="nil"/>
          <w:bottom w:val="nil"/>
          <w:right w:val="nil"/>
          <w:between w:val="nil"/>
        </w:pBdr>
        <w:spacing w:line="360" w:lineRule="auto"/>
        <w:rPr>
          <w:rFonts w:eastAsia="Arial" w:cs="Arial"/>
          <w:color w:val="000000"/>
          <w:sz w:val="22"/>
          <w:szCs w:val="22"/>
        </w:rPr>
      </w:pPr>
      <w:r w:rsidRPr="003A3CA0">
        <w:rPr>
          <w:rFonts w:eastAsia="Arial" w:cs="Arial"/>
          <w:color w:val="000000"/>
          <w:sz w:val="22"/>
          <w:szCs w:val="22"/>
        </w:rPr>
        <w:t xml:space="preserve">Reproducibility assessments were performed by </w:t>
      </w:r>
      <w:r>
        <w:rPr>
          <w:rFonts w:eastAsia="Arial" w:cs="Arial"/>
          <w:color w:val="000000"/>
          <w:sz w:val="22"/>
          <w:szCs w:val="22"/>
        </w:rPr>
        <w:t xml:space="preserve">myself and </w:t>
      </w:r>
      <w:r w:rsidRPr="003A3CA0">
        <w:rPr>
          <w:rFonts w:eastAsia="Arial" w:cs="Arial"/>
          <w:color w:val="000000"/>
          <w:sz w:val="22"/>
          <w:szCs w:val="22"/>
        </w:rPr>
        <w:t xml:space="preserve">Dr Fang </w:t>
      </w:r>
      <w:proofErr w:type="spellStart"/>
      <w:r w:rsidRPr="003A3CA0">
        <w:rPr>
          <w:rFonts w:eastAsia="Arial" w:cs="Arial"/>
          <w:color w:val="000000"/>
          <w:sz w:val="22"/>
          <w:szCs w:val="22"/>
        </w:rPr>
        <w:t>Fang</w:t>
      </w:r>
      <w:proofErr w:type="spellEnd"/>
      <w:r>
        <w:rPr>
          <w:rFonts w:eastAsia="Arial" w:cs="Arial"/>
          <w:color w:val="000000"/>
          <w:sz w:val="22"/>
          <w:szCs w:val="22"/>
        </w:rPr>
        <w:t xml:space="preserve"> was the second rater</w:t>
      </w:r>
    </w:p>
    <w:p w14:paraId="4D118A48" w14:textId="77777777" w:rsidR="00C62606" w:rsidRPr="003A3CA0" w:rsidRDefault="00C62606" w:rsidP="00C62606">
      <w:pPr>
        <w:numPr>
          <w:ilvl w:val="0"/>
          <w:numId w:val="1"/>
        </w:numPr>
        <w:pBdr>
          <w:top w:val="nil"/>
          <w:left w:val="nil"/>
          <w:bottom w:val="nil"/>
          <w:right w:val="nil"/>
          <w:between w:val="nil"/>
        </w:pBdr>
        <w:spacing w:line="360" w:lineRule="auto"/>
        <w:rPr>
          <w:rFonts w:eastAsia="Arial" w:cs="Arial"/>
          <w:color w:val="000000"/>
          <w:sz w:val="22"/>
          <w:szCs w:val="22"/>
        </w:rPr>
      </w:pPr>
      <w:r w:rsidRPr="003A3CA0">
        <w:rPr>
          <w:rFonts w:eastAsia="Arial" w:cs="Arial"/>
          <w:color w:val="000000"/>
          <w:sz w:val="22"/>
          <w:szCs w:val="22"/>
        </w:rPr>
        <w:t>I was supervised by Professor I.D Wilkinson</w:t>
      </w:r>
      <w:r>
        <w:rPr>
          <w:rFonts w:eastAsia="Arial" w:cs="Arial"/>
          <w:color w:val="000000"/>
          <w:sz w:val="22"/>
          <w:szCs w:val="22"/>
        </w:rPr>
        <w:t xml:space="preserve"> and Professor Tesfaye and Dr </w:t>
      </w:r>
      <w:proofErr w:type="spellStart"/>
      <w:r>
        <w:rPr>
          <w:rFonts w:eastAsia="Arial" w:cs="Arial"/>
          <w:color w:val="000000"/>
          <w:sz w:val="22"/>
          <w:szCs w:val="22"/>
        </w:rPr>
        <w:t>Selvarajah</w:t>
      </w:r>
      <w:proofErr w:type="spellEnd"/>
      <w:r w:rsidRPr="003A3CA0">
        <w:rPr>
          <w:rFonts w:eastAsia="Arial" w:cs="Arial"/>
          <w:color w:val="000000"/>
          <w:sz w:val="22"/>
          <w:szCs w:val="22"/>
        </w:rPr>
        <w:t>.</w:t>
      </w:r>
    </w:p>
    <w:p w14:paraId="34F2D25C" w14:textId="77777777" w:rsidR="00C62606" w:rsidRPr="003A3CA0" w:rsidRDefault="00C62606" w:rsidP="00C62606">
      <w:pPr>
        <w:numPr>
          <w:ilvl w:val="0"/>
          <w:numId w:val="1"/>
        </w:numPr>
        <w:pBdr>
          <w:top w:val="nil"/>
          <w:left w:val="nil"/>
          <w:bottom w:val="nil"/>
          <w:right w:val="nil"/>
          <w:between w:val="nil"/>
        </w:pBdr>
        <w:spacing w:line="360" w:lineRule="auto"/>
        <w:rPr>
          <w:rFonts w:eastAsia="Arial" w:cs="Arial"/>
          <w:color w:val="000000"/>
          <w:sz w:val="22"/>
          <w:szCs w:val="22"/>
        </w:rPr>
      </w:pPr>
      <w:r w:rsidRPr="003A3CA0">
        <w:rPr>
          <w:rFonts w:eastAsia="Arial" w:cs="Arial"/>
          <w:color w:val="000000"/>
          <w:sz w:val="22"/>
          <w:szCs w:val="22"/>
        </w:rPr>
        <w:t>I was responsible for writing up the thesis, abstract submissions from the work and presentations and posters (first author).</w:t>
      </w:r>
    </w:p>
    <w:p w14:paraId="627CE3F8" w14:textId="77777777" w:rsidR="00C62606" w:rsidRPr="003A3CA0" w:rsidRDefault="00C62606" w:rsidP="00C62606">
      <w:pPr>
        <w:spacing w:line="360" w:lineRule="auto"/>
        <w:rPr>
          <w:rFonts w:eastAsia="Arial" w:cs="Arial"/>
        </w:rPr>
      </w:pPr>
    </w:p>
    <w:p w14:paraId="6C42850C" w14:textId="77777777" w:rsidR="00C62606" w:rsidRPr="003A3CA0" w:rsidRDefault="00C62606" w:rsidP="00C62606">
      <w:pPr>
        <w:spacing w:line="360" w:lineRule="auto"/>
        <w:rPr>
          <w:rFonts w:eastAsia="Arial" w:cs="Arial"/>
        </w:rPr>
      </w:pPr>
    </w:p>
    <w:p w14:paraId="4EF70309" w14:textId="77777777" w:rsidR="00C62606" w:rsidRPr="003A3CA0" w:rsidRDefault="00C62606" w:rsidP="00C62606">
      <w:pPr>
        <w:spacing w:line="360" w:lineRule="auto"/>
        <w:rPr>
          <w:rFonts w:eastAsia="Arial" w:cs="Arial"/>
          <w:b/>
        </w:rPr>
      </w:pPr>
    </w:p>
    <w:p w14:paraId="753C5CD6" w14:textId="77777777" w:rsidR="00C62606" w:rsidRPr="003A3CA0" w:rsidRDefault="00C62606" w:rsidP="00C62606">
      <w:pPr>
        <w:spacing w:line="360" w:lineRule="auto"/>
        <w:rPr>
          <w:rFonts w:eastAsia="Arial" w:cs="Arial"/>
          <w:b/>
        </w:rPr>
      </w:pPr>
      <w:r w:rsidRPr="003A3CA0">
        <w:rPr>
          <w:rFonts w:eastAsia="Arial" w:cs="Arial"/>
          <w:b/>
        </w:rPr>
        <w:tab/>
      </w:r>
      <w:r w:rsidRPr="003A3CA0">
        <w:rPr>
          <w:rFonts w:eastAsia="Arial" w:cs="Arial"/>
          <w:b/>
        </w:rPr>
        <w:tab/>
      </w:r>
      <w:r w:rsidRPr="003A3CA0">
        <w:rPr>
          <w:rFonts w:eastAsia="Arial" w:cs="Arial"/>
          <w:b/>
        </w:rPr>
        <w:tab/>
      </w:r>
      <w:r w:rsidRPr="003A3CA0">
        <w:rPr>
          <w:rFonts w:eastAsia="Arial" w:cs="Arial"/>
          <w:b/>
        </w:rPr>
        <w:tab/>
      </w:r>
      <w:r w:rsidRPr="003A3CA0">
        <w:rPr>
          <w:rFonts w:eastAsia="Arial" w:cs="Arial"/>
          <w:b/>
        </w:rPr>
        <w:tab/>
      </w:r>
      <w:r w:rsidRPr="003A3CA0">
        <w:rPr>
          <w:rFonts w:eastAsia="Arial" w:cs="Arial"/>
          <w:b/>
        </w:rPr>
        <w:tab/>
      </w:r>
      <w:r w:rsidRPr="003A3CA0">
        <w:rPr>
          <w:rFonts w:eastAsia="Arial" w:cs="Arial"/>
          <w:b/>
        </w:rPr>
        <w:tab/>
      </w:r>
      <w:r w:rsidRPr="003A3CA0">
        <w:rPr>
          <w:rFonts w:eastAsia="Arial" w:cs="Arial"/>
          <w:b/>
        </w:rPr>
        <w:tab/>
      </w:r>
      <w:r w:rsidRPr="003A3CA0">
        <w:rPr>
          <w:rFonts w:eastAsia="Arial" w:cs="Arial"/>
          <w:b/>
        </w:rPr>
        <w:tab/>
        <w:t>Dr Marni Greig</w:t>
      </w:r>
    </w:p>
    <w:p w14:paraId="27C28584" w14:textId="77777777" w:rsidR="00C62606" w:rsidRPr="003A3CA0" w:rsidRDefault="00C62606" w:rsidP="00C62606">
      <w:pPr>
        <w:rPr>
          <w:rFonts w:cs="Arial"/>
        </w:rPr>
      </w:pPr>
      <w:r w:rsidRPr="003A3CA0">
        <w:rPr>
          <w:rFonts w:cs="Arial"/>
        </w:rPr>
        <w:br w:type="page"/>
      </w:r>
    </w:p>
    <w:p w14:paraId="5D9C0977" w14:textId="2061550F" w:rsidR="00AF0E0B" w:rsidRPr="00AF0E0B" w:rsidRDefault="00AF0E0B" w:rsidP="0031237D">
      <w:pPr>
        <w:pStyle w:val="Heading1"/>
      </w:pPr>
      <w:bookmarkStart w:id="15" w:name="_Toc64723860"/>
      <w:bookmarkStart w:id="16" w:name="_Toc235118480"/>
      <w:bookmarkStart w:id="17" w:name="_Toc431375269"/>
      <w:bookmarkStart w:id="18" w:name="_Toc48364648"/>
      <w:r w:rsidRPr="00AF0E0B">
        <w:rPr>
          <w:lang w:val="en-US"/>
        </w:rPr>
        <w:lastRenderedPageBreak/>
        <w:t xml:space="preserve">Chapter 1:  The </w:t>
      </w:r>
      <w:r w:rsidR="00273966">
        <w:rPr>
          <w:lang w:val="en-US"/>
        </w:rPr>
        <w:t>P</w:t>
      </w:r>
      <w:r w:rsidRPr="00AF0E0B">
        <w:rPr>
          <w:lang w:val="en-US"/>
        </w:rPr>
        <w:t>roblem of Painful Diabetic Peripheral Neuropathy: C</w:t>
      </w:r>
      <w:r w:rsidR="007D7DEA">
        <w:rPr>
          <w:lang w:val="en-US"/>
        </w:rPr>
        <w:t xml:space="preserve">entral </w:t>
      </w:r>
      <w:r w:rsidR="00273966">
        <w:rPr>
          <w:lang w:val="en-US"/>
        </w:rPr>
        <w:t>N</w:t>
      </w:r>
      <w:r w:rsidR="007D7DEA">
        <w:rPr>
          <w:lang w:val="en-US"/>
        </w:rPr>
        <w:t xml:space="preserve">ervous </w:t>
      </w:r>
      <w:r w:rsidR="00273966">
        <w:rPr>
          <w:lang w:val="en-US"/>
        </w:rPr>
        <w:t>S</w:t>
      </w:r>
      <w:r w:rsidR="007D7DEA">
        <w:rPr>
          <w:lang w:val="en-US"/>
        </w:rPr>
        <w:t>ystem</w:t>
      </w:r>
      <w:r w:rsidRPr="00AF0E0B">
        <w:rPr>
          <w:lang w:val="en-US"/>
        </w:rPr>
        <w:t xml:space="preserve"> </w:t>
      </w:r>
      <w:r w:rsidR="00273966">
        <w:rPr>
          <w:lang w:val="en-US"/>
        </w:rPr>
        <w:t>M</w:t>
      </w:r>
      <w:r w:rsidRPr="00AF0E0B">
        <w:rPr>
          <w:lang w:val="en-US"/>
        </w:rPr>
        <w:t>anifestations</w:t>
      </w:r>
      <w:r w:rsidR="00794E56">
        <w:rPr>
          <w:lang w:val="en-US"/>
        </w:rPr>
        <w:t xml:space="preserve"> (CNS)</w:t>
      </w:r>
      <w:r w:rsidRPr="00AF0E0B">
        <w:rPr>
          <w:lang w:val="en-US"/>
        </w:rPr>
        <w:t xml:space="preserve">, </w:t>
      </w:r>
      <w:r w:rsidR="00273966">
        <w:rPr>
          <w:lang w:val="en-US"/>
        </w:rPr>
        <w:t>M</w:t>
      </w:r>
      <w:r w:rsidRPr="00AF0E0B">
        <w:rPr>
          <w:lang w:val="en-US"/>
        </w:rPr>
        <w:t xml:space="preserve">easurement of </w:t>
      </w:r>
      <w:r w:rsidR="00794E56">
        <w:rPr>
          <w:lang w:val="en-US"/>
        </w:rPr>
        <w:t>CNS</w:t>
      </w:r>
      <w:r w:rsidR="007D7DEA">
        <w:rPr>
          <w:lang w:val="en-US"/>
        </w:rPr>
        <w:t xml:space="preserve"> </w:t>
      </w:r>
      <w:r w:rsidR="00273966">
        <w:rPr>
          <w:lang w:val="en-US"/>
        </w:rPr>
        <w:t>C</w:t>
      </w:r>
      <w:r w:rsidRPr="00AF0E0B">
        <w:rPr>
          <w:lang w:val="en-US"/>
        </w:rPr>
        <w:t xml:space="preserve">orrelates and </w:t>
      </w:r>
      <w:r w:rsidR="00273966">
        <w:rPr>
          <w:lang w:val="en-US"/>
        </w:rPr>
        <w:t>R</w:t>
      </w:r>
      <w:r w:rsidRPr="00AF0E0B">
        <w:rPr>
          <w:lang w:val="en-US"/>
        </w:rPr>
        <w:t xml:space="preserve">ationale for the </w:t>
      </w:r>
      <w:r w:rsidR="00273966">
        <w:rPr>
          <w:lang w:val="en-US"/>
        </w:rPr>
        <w:t>C</w:t>
      </w:r>
      <w:r w:rsidRPr="00AF0E0B">
        <w:rPr>
          <w:lang w:val="en-US"/>
        </w:rPr>
        <w:t xml:space="preserve">hoice of </w:t>
      </w:r>
      <w:r w:rsidR="007D7DEA">
        <w:rPr>
          <w:lang w:val="en-US"/>
        </w:rPr>
        <w:t>Dynamic Susceptibility Contrast</w:t>
      </w:r>
      <w:r w:rsidR="00794E56">
        <w:rPr>
          <w:lang w:val="en-US"/>
        </w:rPr>
        <w:t xml:space="preserve">- Magnetic </w:t>
      </w:r>
      <w:r w:rsidR="00273966">
        <w:rPr>
          <w:lang w:val="en-US"/>
        </w:rPr>
        <w:t>R</w:t>
      </w:r>
      <w:r w:rsidR="00794E56">
        <w:rPr>
          <w:lang w:val="en-US"/>
        </w:rPr>
        <w:t xml:space="preserve">esonance </w:t>
      </w:r>
      <w:r w:rsidR="00273966">
        <w:rPr>
          <w:lang w:val="en-US"/>
        </w:rPr>
        <w:t>I</w:t>
      </w:r>
      <w:r w:rsidR="00794E56">
        <w:rPr>
          <w:lang w:val="en-US"/>
        </w:rPr>
        <w:t xml:space="preserve">maging (DSC-MRI) </w:t>
      </w:r>
      <w:r w:rsidR="00D251FC">
        <w:rPr>
          <w:lang w:val="en-US"/>
        </w:rPr>
        <w:t>as</w:t>
      </w:r>
      <w:r w:rsidRPr="00AF0E0B">
        <w:rPr>
          <w:lang w:val="en-US"/>
        </w:rPr>
        <w:t xml:space="preserve"> a </w:t>
      </w:r>
      <w:r w:rsidR="00273966">
        <w:rPr>
          <w:lang w:val="en-US"/>
        </w:rPr>
        <w:t>Q</w:t>
      </w:r>
      <w:r w:rsidRPr="00AF0E0B">
        <w:rPr>
          <w:lang w:val="en-US"/>
        </w:rPr>
        <w:t xml:space="preserve">uantifiable </w:t>
      </w:r>
      <w:r w:rsidR="00273966">
        <w:rPr>
          <w:lang w:val="en-US"/>
        </w:rPr>
        <w:t>M</w:t>
      </w:r>
      <w:r w:rsidRPr="00AF0E0B">
        <w:rPr>
          <w:lang w:val="en-US"/>
        </w:rPr>
        <w:t xml:space="preserve">easure of </w:t>
      </w:r>
      <w:r w:rsidR="00D251FC">
        <w:rPr>
          <w:lang w:val="en-US"/>
        </w:rPr>
        <w:t xml:space="preserve">CNS </w:t>
      </w:r>
      <w:r w:rsidR="008E3830">
        <w:rPr>
          <w:lang w:val="en-US"/>
        </w:rPr>
        <w:t>P</w:t>
      </w:r>
      <w:r w:rsidRPr="00AF0E0B">
        <w:rPr>
          <w:lang w:val="en-US"/>
        </w:rPr>
        <w:t>erfusion.</w:t>
      </w:r>
      <w:bookmarkEnd w:id="15"/>
    </w:p>
    <w:p w14:paraId="54D42409" w14:textId="77777777" w:rsidR="001913C2" w:rsidRDefault="001913C2" w:rsidP="00AF0E0B">
      <w:pPr>
        <w:pBdr>
          <w:top w:val="nil"/>
          <w:left w:val="nil"/>
          <w:bottom w:val="nil"/>
          <w:right w:val="nil"/>
          <w:between w:val="nil"/>
          <w:bar w:val="nil"/>
        </w:pBdr>
        <w:tabs>
          <w:tab w:val="left" w:pos="1560"/>
        </w:tabs>
        <w:suppressAutoHyphens/>
        <w:spacing w:line="360" w:lineRule="auto"/>
        <w:rPr>
          <w:rFonts w:eastAsia="Arial Unicode MS" w:cs="Arial Unicode MS"/>
          <w:color w:val="000000"/>
          <w:u w:color="000000"/>
          <w:bdr w:val="nil"/>
          <w:lang w:val="en-US" w:eastAsia="en-GB"/>
        </w:rPr>
      </w:pPr>
    </w:p>
    <w:p w14:paraId="6C03CBF6" w14:textId="3F556423" w:rsidR="00AF0E0B" w:rsidRPr="00AF0E0B" w:rsidRDefault="00AF0E0B" w:rsidP="00AF0E0B">
      <w:pPr>
        <w:pBdr>
          <w:top w:val="nil"/>
          <w:left w:val="nil"/>
          <w:bottom w:val="nil"/>
          <w:right w:val="nil"/>
          <w:between w:val="nil"/>
          <w:bar w:val="nil"/>
        </w:pBdr>
        <w:tabs>
          <w:tab w:val="left" w:pos="1560"/>
        </w:tabs>
        <w:suppressAutoHyphens/>
        <w:spacing w:line="360" w:lineRule="auto"/>
        <w:rPr>
          <w:rFonts w:eastAsia="Arial Unicode MS" w:cs="Arial Unicode MS"/>
          <w:color w:val="000000"/>
          <w:u w:color="000000"/>
          <w:bdr w:val="nil"/>
          <w:lang w:val="en-US" w:eastAsia="en-GB"/>
        </w:rPr>
      </w:pPr>
      <w:r w:rsidRPr="00AF0E0B">
        <w:rPr>
          <w:rFonts w:eastAsia="Arial Unicode MS" w:cs="Arial Unicode MS"/>
          <w:color w:val="000000"/>
          <w:u w:color="000000"/>
          <w:bdr w:val="nil"/>
          <w:lang w:val="en-US" w:eastAsia="en-GB"/>
        </w:rPr>
        <w:t xml:space="preserve">Abnormalities in blood flow have long been associated with diabetes, and the association between diabetes and the development of peripheral vascular and cardiovascular disease is well </w:t>
      </w:r>
      <w:proofErr w:type="spellStart"/>
      <w:r w:rsidRPr="00AF0E0B">
        <w:rPr>
          <w:rFonts w:eastAsia="Arial Unicode MS" w:cs="Arial Unicode MS"/>
          <w:color w:val="000000"/>
          <w:u w:color="000000"/>
          <w:bdr w:val="nil"/>
          <w:lang w:val="en-US" w:eastAsia="en-GB"/>
        </w:rPr>
        <w:t>recognised</w:t>
      </w:r>
      <w:proofErr w:type="spellEnd"/>
      <w:r w:rsidRPr="00AF0E0B">
        <w:rPr>
          <w:rFonts w:eastAsia="Arial Unicode MS" w:cs="Arial Unicode MS"/>
          <w:color w:val="000000"/>
          <w:u w:color="000000"/>
          <w:bdr w:val="nil"/>
          <w:lang w:val="en-US" w:eastAsia="en-GB"/>
        </w:rPr>
        <w:t xml:space="preserve"> </w:t>
      </w:r>
      <w:r w:rsidRPr="00AF0E0B">
        <w:rPr>
          <w:rFonts w:eastAsia="Arial Unicode MS" w:cs="Arial Unicode MS"/>
          <w:color w:val="000000"/>
          <w:u w:color="000000"/>
          <w:bdr w:val="nil"/>
          <w:lang w:val="it-IT" w:eastAsia="en-GB"/>
        </w:rPr>
        <w:fldChar w:fldCharType="begin">
          <w:fldData xml:space="preserve">PEVuZE5vdGU+PENpdGU+PEF1dGhvcj5OYXRoYW48L0F1dGhvcj48WWVhcj4xOTkzPC9ZZWFyPjxS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</w:fldData>
        </w:fldChar>
      </w:r>
      <w:r w:rsidR="00AA1E25">
        <w:rPr>
          <w:rFonts w:eastAsia="Arial Unicode MS" w:cs="Arial Unicode MS"/>
          <w:color w:val="000000"/>
          <w:u w:color="000000"/>
          <w:bdr w:val="nil"/>
          <w:lang w:val="it-IT" w:eastAsia="en-GB"/>
        </w:rPr>
        <w:instrText xml:space="preserve"> ADDIN EN.CITE </w:instrText>
      </w:r>
      <w:r w:rsidR="00AA1E25">
        <w:rPr>
          <w:rFonts w:eastAsia="Arial Unicode MS" w:cs="Arial Unicode MS"/>
          <w:color w:val="000000"/>
          <w:u w:color="000000"/>
          <w:bdr w:val="nil"/>
          <w:lang w:val="it-IT" w:eastAsia="en-GB"/>
        </w:rPr>
        <w:fldChar w:fldCharType="begin">
          <w:fldData xml:space="preserve">PEVuZE5vdGU+PENpdGU+PEF1dGhvcj5OYXRoYW48L0F1dGhvcj48WWVhcj4xOTkzPC9ZZWFyPjxS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</w:fldData>
        </w:fldChar>
      </w:r>
      <w:r w:rsidR="00AA1E25">
        <w:rPr>
          <w:rFonts w:eastAsia="Arial Unicode MS" w:cs="Arial Unicode MS"/>
          <w:color w:val="000000"/>
          <w:u w:color="000000"/>
          <w:bdr w:val="nil"/>
          <w:lang w:val="it-IT" w:eastAsia="en-GB"/>
        </w:rPr>
        <w:instrText xml:space="preserve"> ADDIN EN.CITE.DATA </w:instrText>
      </w:r>
      <w:r w:rsidR="00AA1E25">
        <w:rPr>
          <w:rFonts w:eastAsia="Arial Unicode MS" w:cs="Arial Unicode MS"/>
          <w:color w:val="000000"/>
          <w:u w:color="000000"/>
          <w:bdr w:val="nil"/>
          <w:lang w:val="it-IT" w:eastAsia="en-GB"/>
        </w:rPr>
      </w:r>
      <w:r w:rsidR="00AA1E25">
        <w:rPr>
          <w:rFonts w:eastAsia="Arial Unicode MS" w:cs="Arial Unicode MS"/>
          <w:color w:val="000000"/>
          <w:u w:color="000000"/>
          <w:bdr w:val="nil"/>
          <w:lang w:val="it-IT" w:eastAsia="en-GB"/>
        </w:rPr>
        <w:fldChar w:fldCharType="end"/>
      </w:r>
      <w:r w:rsidRPr="00AF0E0B">
        <w:rPr>
          <w:rFonts w:eastAsia="Arial Unicode MS" w:cs="Arial Unicode MS"/>
          <w:color w:val="000000"/>
          <w:u w:color="000000"/>
          <w:bdr w:val="nil"/>
          <w:lang w:val="it-IT" w:eastAsia="en-GB"/>
        </w:rPr>
      </w:r>
      <w:r w:rsidRPr="00AF0E0B">
        <w:rPr>
          <w:rFonts w:eastAsia="Arial Unicode MS" w:cs="Arial Unicode MS"/>
          <w:color w:val="000000"/>
          <w:u w:color="000000"/>
          <w:bdr w:val="nil"/>
          <w:lang w:val="it-IT" w:eastAsia="en-GB"/>
        </w:rPr>
        <w:fldChar w:fldCharType="separate"/>
      </w:r>
      <w:r w:rsidR="00AA1E25">
        <w:rPr>
          <w:rFonts w:eastAsia="Arial Unicode MS" w:cs="Arial Unicode MS"/>
          <w:noProof/>
          <w:color w:val="000000"/>
          <w:u w:color="000000"/>
          <w:bdr w:val="nil"/>
          <w:lang w:val="it-IT" w:eastAsia="en-GB"/>
        </w:rPr>
        <w:t>(Nathan, 1993, Nathan et al., 2005, Pambianco et al., 2006)</w:t>
      </w:r>
      <w:r w:rsidRPr="00AF0E0B">
        <w:rPr>
          <w:rFonts w:eastAsia="Arial Unicode MS" w:cs="Arial Unicode MS"/>
          <w:color w:val="000000"/>
          <w:u w:color="000000"/>
          <w:bdr w:val="nil"/>
          <w:lang w:val="it-IT" w:eastAsia="en-GB"/>
        </w:rPr>
        <w:fldChar w:fldCharType="end"/>
      </w:r>
      <w:r w:rsidRPr="00AF0E0B">
        <w:rPr>
          <w:rFonts w:eastAsia="Arial Unicode MS" w:cs="Arial Unicode MS"/>
          <w:color w:val="000000"/>
          <w:u w:color="000000"/>
          <w:bdr w:val="nil"/>
          <w:lang w:val="en-US" w:eastAsia="en-GB"/>
        </w:rPr>
        <w:t xml:space="preserve">.  Cerebrovascular disease in patients with diabetes has also been widely reported </w:t>
      </w:r>
      <w:r w:rsidRPr="00AF0E0B">
        <w:rPr>
          <w:rFonts w:eastAsia="Arial Unicode MS" w:cs="Arial Unicode MS"/>
          <w:color w:val="000000"/>
          <w:u w:color="000000"/>
          <w:bdr w:val="nil"/>
          <w:lang w:val="en-US" w:eastAsia="en-GB"/>
        </w:rPr>
        <w:fldChar w:fldCharType="begin"/>
      </w:r>
      <w:r w:rsidRPr="00AF0E0B">
        <w:rPr>
          <w:rFonts w:eastAsia="Arial Unicode MS" w:cs="Arial Unicode MS"/>
          <w:color w:val="000000"/>
          <w:u w:color="000000"/>
          <w:bdr w:val="nil"/>
          <w:lang w:val="en-US" w:eastAsia="en-GB"/>
        </w:rPr>
        <w:instrText xml:space="preserve"> ADDIN EN.CITE &lt;EndNote&gt;&lt;Cite  &gt;&lt;Author&gt;Sundquist&lt;/Author&gt;&lt;Year&gt;2006&lt;/Year&gt;&lt;RecNum&gt;754&lt;/RecNum&gt;&lt;DisplayText&gt;(Sundquist and Li, 2006, Secrest et al., 2013)&lt;/DisplayText&gt;&lt;record&gt;&lt;dates&gt;&lt;pub-dates&gt;&lt;date&gt;Nov&lt;/date&gt;&lt;/pub-dates&gt;&lt;year&gt;2006&lt;/year&gt;&lt;/dates&gt;&lt;urls&gt;&lt;related-urls&gt;&lt;url&gt;&amp;lt;Go to ISI&amp;gt;://WOS:000241367000018&lt;/url&gt;&lt;/related-urls&gt;&lt;/urls&gt;&lt;isbn&gt;0742-3071&lt;/isbn&gt;&lt;titles&gt;&lt;title&gt;Type 1 diabetes as a risk factor for stroke in men and women aged 15-49: a nationwide study from Sweden&lt;/title&gt;&lt;secondary-title&gt;Diabetic Medicine&lt;/secondary-title&gt;&lt;/titles&gt;&lt;pages&gt;1261-1267&lt;/pages&gt;&lt;number&gt;11&lt;/number&gt;&lt;contributors&gt;&lt;authors&gt;&lt;author&gt;Sundquist, K.&lt;/author&gt;&lt;author&gt;Li, X.&lt;/author&gt;&lt;/authors&gt;&lt;/contributors&gt;&lt;added-date format="utc"&gt;1373359784&lt;/added-date&gt;&lt;ref-type name="Journal Article"&gt;17&lt;/ref-type&gt;&lt;rec-number&gt;754&lt;/rec-number&gt;&lt;last-updated-date format="utc"&gt;1373359784&lt;/last-updated-date&gt;&lt;accession-num&gt;WOS:000241367000018&lt;/accession-num&gt;&lt;electronic-resource-num&gt;10.1111/j.1464-5491.2006.01959.x&lt;/electronic-resource-num&gt;&lt;volume&gt;23&lt;/volume&gt;&lt;/record&gt;&lt;/Cite&gt;&lt;Cite  &gt;&lt;Author&gt;Secrest&lt;/Author&gt;&lt;Year&gt;2013&lt;/Year&gt;&lt;RecNum&gt;753&lt;/RecNum&gt;&lt;record&gt;&lt;dates&gt;&lt;pub-dates&gt;&lt;date&gt;Jan&lt;/date&gt;&lt;/pub-dates&gt;&lt;year&gt;2013&lt;/year&gt;&lt;/dates&gt;&lt;urls&gt;&lt;related-urls&gt;&lt;url&gt;&amp;lt;Go to ISI&amp;gt;://WOS:000314327900001&lt;/url&gt;&lt;/related-urls&gt;&lt;/urls&gt;&lt;isbn&gt;1479-1641&lt;/isbn&gt;&lt;titles&gt;&lt;title&gt;Predictors of and survival after incident stroke in type I diabetes&lt;/title&gt;&lt;secondary-title&gt;Diabetes &amp;amp; Vascular Disease Research&lt;/secondary-title&gt;&lt;/titles&gt;&lt;pages&gt;3-10&lt;/pages&gt;&lt;number&gt;1&lt;/number&gt;&lt;contributors&gt;&lt;authors&gt;&lt;author&gt;Secrest, Aaron M.&lt;/author&gt;&lt;author&gt;Prince, Catherine T.&lt;/author&gt;&lt;author&gt;Costacou, Tina&lt;/author&gt;&lt;author&gt;Miller, Rachel G.&lt;/author&gt;&lt;author&gt;Orchard, Trevor J.&lt;/author&gt;&lt;/authors&gt;&lt;/contributors&gt;&lt;added-date format="utc"&gt;1373359650&lt;/added-date&gt;&lt;ref-type name="Journal Article"&gt;17&lt;/ref-type&gt;&lt;rec-number&gt;753&lt;/rec-number&gt;&lt;last-updated-date format="utc"&gt;1373359650&lt;/last-updated-date&gt;&lt;accession-num&gt;WOS:000314327900001&lt;/accession-num&gt;&lt;electronic-resource-num&gt;10.1177/1479164112441006&lt;/electronic-resource-num&gt;&lt;volume&gt;10&lt;/volume&gt;&lt;/record&gt;&lt;/Cite&gt;&lt;/EndNote&gt;</w:instrText>
      </w:r>
      <w:r w:rsidRPr="00AF0E0B">
        <w:rPr>
          <w:rFonts w:eastAsia="Arial Unicode MS" w:cs="Arial Unicode MS"/>
          <w:color w:val="000000"/>
          <w:u w:color="000000"/>
          <w:bdr w:val="nil"/>
          <w:lang w:val="en-US" w:eastAsia="en-GB"/>
        </w:rPr>
        <w:fldChar w:fldCharType="separate"/>
      </w:r>
      <w:r w:rsidRPr="00AF0E0B">
        <w:rPr>
          <w:rFonts w:eastAsia="Arial Unicode MS" w:cs="Arial Unicode MS"/>
          <w:color w:val="000000"/>
          <w:u w:color="000000"/>
          <w:bdr w:val="nil"/>
          <w:lang w:val="en-US" w:eastAsia="en-GB"/>
        </w:rPr>
        <w:t>(Sundquist and Li, 2006, Secrest et al., 2013)</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t xml:space="preserve">  Research from our group and others has reported that  diabetic peripheral neuropathy (DN) may also involve the CNS </w:t>
      </w:r>
      <w:r w:rsidRPr="00AF0E0B">
        <w:rPr>
          <w:rFonts w:eastAsia="Arial Unicode MS" w:cs="Arial Unicode MS"/>
          <w:color w:val="000000"/>
          <w:u w:color="000000"/>
          <w:bdr w:val="nil"/>
          <w:lang w:val="en-US" w:eastAsia="en-GB"/>
        </w:rPr>
        <w:fldChar w:fldCharType="begin"/>
      </w:r>
      <w:r w:rsidRPr="00AF0E0B">
        <w:rPr>
          <w:rFonts w:eastAsia="Arial Unicode MS" w:cs="Arial Unicode MS"/>
          <w:color w:val="000000"/>
          <w:u w:color="000000"/>
          <w:bdr w:val="nil"/>
          <w:lang w:val="en-US" w:eastAsia="en-GB"/>
        </w:rPr>
        <w:instrText xml:space="preserve"> ADDIN EN.CITE &lt;EndNote&gt;&lt;Cite  &gt;&lt;Author&gt;Tesfaye&lt;/Author&gt;&lt;Year&gt;2016&lt;/Year&gt;&lt;RecNum&gt;856&lt;/RecNum&gt;&lt;DisplayText&gt;(Tesfaye et al., 2016)&lt;/DisplayText&gt;&lt;record&gt;&lt;dates&gt;&lt;pub-dates&gt;&lt;date&gt;2016-Feb&lt;/date&gt;&lt;/pub-dates&gt;&lt;year&gt;2016&lt;/year&gt;&lt;/dates&gt;&lt;urls&gt;&lt;related-urls&gt;&lt;url&gt;&amp;lt;Go to ISI&amp;gt;://MEDLINE:26785159&lt;/url&gt;&lt;/related-urls&gt;&lt;/urls&gt;&lt;titles&gt;&lt;title&gt;Diabetic peripheral neuropathy may not be as its name suggests: evidence from magnetic resonance imaging&lt;/title&gt;&lt;secondary-title&gt;Pain&lt;/secondary-title&gt;&lt;/titles&gt;&lt;pages&gt;S72-80&lt;/pages&gt;&lt;contributors&gt;&lt;authors&gt;&lt;author&gt;Tesfaye, Solomon&lt;/author&gt;&lt;author&gt;Selvarajah, Dinesh&lt;/author&gt;&lt;author&gt;Gandhi, Rajiv&lt;/author&gt;&lt;author&gt;Greig, Marni&lt;/author&gt;&lt;author&gt;Shillo, Pallai&lt;/author&gt;&lt;author&gt;Fang, Fang&lt;/author&gt;&lt;author&gt;Wilkinson, Iain D.&lt;/author&gt;&lt;/authors&gt;&lt;/contributors&gt;&lt;added-date format="utc"&gt;1462812223&lt;/added-date&gt;&lt;ref-type name="Journal Article"&gt;17&lt;/ref-type&gt;&lt;rec-number&gt;856&lt;/rec-number&gt;&lt;last-updated-date format="utc"&gt;1462812223&lt;/last-updated-date&gt;&lt;accession-num&gt;MEDLINE:26785159&lt;/accession-num&gt;&lt;electronic-resource-num&gt;10.1097/j.pain.0000000000000465&lt;/electronic-resource-num&gt;&lt;volume&gt;157 Suppl 1&lt;/volume&gt;&lt;/record&gt;&lt;/Cite&gt;&lt;/EndNote&gt;</w:instrText>
      </w:r>
      <w:r w:rsidRPr="00AF0E0B">
        <w:rPr>
          <w:rFonts w:eastAsia="Arial Unicode MS" w:cs="Arial Unicode MS"/>
          <w:color w:val="000000"/>
          <w:u w:color="000000"/>
          <w:bdr w:val="nil"/>
          <w:lang w:val="en-US" w:eastAsia="en-GB"/>
        </w:rPr>
        <w:fldChar w:fldCharType="separate"/>
      </w:r>
      <w:r w:rsidRPr="00AF0E0B">
        <w:rPr>
          <w:rFonts w:eastAsia="Arial Unicode MS" w:cs="Arial Unicode MS"/>
          <w:color w:val="000000"/>
          <w:u w:color="000000"/>
          <w:bdr w:val="nil"/>
          <w:lang w:val="en-US" w:eastAsia="en-GB"/>
        </w:rPr>
        <w:t>(Tesfaye et al., 2016)</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t xml:space="preserve">.  A number of research questions emerge regarding the relationship of cerebrovascular perfusion and neuropathy phenotype in diabetes. For example, what are the consequences of altered cerebral </w:t>
      </w:r>
      <w:r w:rsidR="007D7DEA">
        <w:rPr>
          <w:rFonts w:eastAsia="Arial Unicode MS" w:cs="Arial Unicode MS"/>
          <w:color w:val="000000"/>
          <w:u w:color="000000"/>
          <w:bdr w:val="nil"/>
          <w:lang w:val="en-US" w:eastAsia="en-GB"/>
        </w:rPr>
        <w:t>microvascular</w:t>
      </w:r>
      <w:r w:rsidRPr="00AF0E0B">
        <w:rPr>
          <w:rFonts w:eastAsia="Arial Unicode MS" w:cs="Arial Unicode MS"/>
          <w:color w:val="000000"/>
          <w:u w:color="000000"/>
          <w:bdr w:val="nil"/>
          <w:lang w:val="en-US" w:eastAsia="en-GB"/>
        </w:rPr>
        <w:t xml:space="preserve"> perfusion on subjects with painful diabetic peripheral neuropathy (P-DPN)? Could alterations in cerebral </w:t>
      </w:r>
      <w:r w:rsidR="007D7DEA">
        <w:rPr>
          <w:rFonts w:eastAsia="Arial Unicode MS" w:cs="Arial Unicode MS"/>
          <w:color w:val="000000"/>
          <w:u w:color="000000"/>
          <w:bdr w:val="nil"/>
          <w:lang w:val="en-US" w:eastAsia="en-GB"/>
        </w:rPr>
        <w:t>microvascular</w:t>
      </w:r>
      <w:r w:rsidRPr="00AF0E0B">
        <w:rPr>
          <w:rFonts w:eastAsia="Arial Unicode MS" w:cs="Arial Unicode MS"/>
          <w:color w:val="000000"/>
          <w:u w:color="000000"/>
          <w:bdr w:val="nil"/>
          <w:lang w:val="en-US" w:eastAsia="en-GB"/>
        </w:rPr>
        <w:t xml:space="preserve"> perfusion signal the perception of pain in the brain in those with P-DPN?</w:t>
      </w:r>
    </w:p>
    <w:p w14:paraId="68B47A2D" w14:textId="22E0E3B5"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eastAsia="Arial Unicode MS" w:cs="Arial Unicode MS"/>
          <w:color w:val="000000"/>
          <w:u w:color="000000"/>
          <w:bdr w:val="nil"/>
          <w:lang w:val="en-US" w:eastAsia="en-GB"/>
        </w:rPr>
        <w:t xml:space="preserve">In 1994, Tesfaye et al., identified abnormal microvasculature involving the vasa nervorum which appeared to contribute to neural perfusion and neuropathic pain </w:t>
      </w:r>
      <w:r w:rsidRPr="00AF0E0B">
        <w:rPr>
          <w:rFonts w:eastAsia="Arial Unicode MS" w:cs="Arial Unicode MS"/>
          <w:color w:val="000000"/>
          <w:u w:color="000000"/>
          <w:bdr w:val="nil"/>
          <w:lang w:val="en-US" w:eastAsia="en-GB"/>
        </w:rPr>
        <w:fldChar w:fldCharType="begin"/>
      </w:r>
      <w:r w:rsidRPr="00AF0E0B">
        <w:rPr>
          <w:rFonts w:eastAsia="Arial Unicode MS" w:cs="Arial Unicode MS"/>
          <w:color w:val="000000"/>
          <w:u w:color="000000"/>
          <w:bdr w:val="nil"/>
          <w:lang w:val="en-US" w:eastAsia="en-GB"/>
        </w:rPr>
        <w:instrText xml:space="preserve"> ADDIN EN.CITE &lt;EndNote&gt;&lt;Cite  &gt;&lt;Author&gt;Tesfaye&lt;/Author&gt;&lt;Year&gt;1996&lt;/Year&gt;&lt;RecNum&gt;554&lt;/RecNum&gt;&lt;DisplayText&gt;(Tesfaye et al., 1996a)&lt;/DisplayText&gt;&lt;record&gt;&lt;dates&gt;&lt;pub-dates&gt;&lt;date&gt;Mar&lt;/date&gt;&lt;/pub-dates&gt;&lt;year&gt;1996&lt;/year&gt;&lt;/dates&gt;&lt;urls&gt;&lt;related-urls&gt;&lt;url&gt;&amp;lt;Go to ISI&amp;gt;://WOS:A1996TX95100012&lt;/url&gt;&lt;/related-urls&gt;&lt;/urls&gt;&lt;isbn&gt;0012-186X&lt;/isbn&gt;&lt;titles&gt;&lt;title&gt;Arterio-venous shunting and proliferating new vessels in acute painful neuropathy of rapid glycaemic control (insulin neuritis)&lt;/title&gt;&lt;secondary-title&gt;Diabetologia&lt;/secondary-title&gt;&lt;/titles&gt;&lt;number&gt;3&lt;/number&gt;&lt;contributors&gt;&lt;authors&gt;&lt;author&gt;Tesfaye, S.&lt;/author&gt;&lt;author&gt;Malik, R.&lt;/author&gt;&lt;author&gt;Harris, N.&lt;/author&gt;&lt;author&gt;Jakubowski, J. J.&lt;/author&gt;&lt;author&gt;Mody, C.&lt;/author&gt;&lt;author&gt;Rennie, I. G.&lt;/author&gt;&lt;author&gt;Ward, J. D.&lt;/author&gt;&lt;/authors&gt;&lt;/contributors&gt;&lt;added-date format="utc"&gt;1356971621&lt;/added-date&gt;&lt;ref-type name="Journal Article"&gt;17&lt;/ref-type&gt;&lt;rec-number&gt;554&lt;/rec-number&gt;&lt;last-updated-date format="utc"&gt;1356971621&lt;/last-updated-date&gt;&lt;accession-num&gt;WOS:A1996TX95100012&lt;/accession-num&gt;&lt;electronic-resource-num&gt;10.1007/bf00418349&lt;/electronic-resource-num&gt;&lt;volume&gt;39&lt;/volume&gt;&lt;/record&gt;&lt;/Cite&gt;&lt;/EndNote&gt;</w:instrText>
      </w:r>
      <w:r w:rsidRPr="00AF0E0B">
        <w:rPr>
          <w:rFonts w:eastAsia="Arial Unicode MS" w:cs="Arial Unicode MS"/>
          <w:color w:val="000000"/>
          <w:u w:color="000000"/>
          <w:bdr w:val="nil"/>
          <w:lang w:val="en-US" w:eastAsia="en-GB"/>
        </w:rPr>
        <w:fldChar w:fldCharType="separate"/>
      </w:r>
      <w:r w:rsidRPr="00AF0E0B">
        <w:rPr>
          <w:rFonts w:eastAsia="Arial Unicode MS" w:cs="Arial Unicode MS"/>
          <w:color w:val="000000"/>
          <w:u w:color="000000"/>
          <w:bdr w:val="nil"/>
          <w:lang w:val="en-US" w:eastAsia="en-GB"/>
        </w:rPr>
        <w:t>(Tesfaye et al., 1996a)</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t xml:space="preserve">.  In 2005, a link between vascular risk factors and the development of DPN was shown in the </w:t>
      </w:r>
      <w:proofErr w:type="spellStart"/>
      <w:r w:rsidRPr="00AF0E0B">
        <w:rPr>
          <w:rFonts w:eastAsia="Arial Unicode MS" w:cs="Arial Unicode MS"/>
          <w:color w:val="000000"/>
          <w:u w:color="000000"/>
          <w:bdr w:val="nil"/>
          <w:lang w:val="en-US" w:eastAsia="en-GB"/>
        </w:rPr>
        <w:t>Eurodiab</w:t>
      </w:r>
      <w:proofErr w:type="spellEnd"/>
      <w:r w:rsidRPr="00AF0E0B">
        <w:rPr>
          <w:rFonts w:eastAsia="Arial Unicode MS" w:cs="Arial Unicode MS"/>
          <w:color w:val="000000"/>
          <w:u w:color="000000"/>
          <w:bdr w:val="nil"/>
          <w:lang w:val="en-US" w:eastAsia="en-GB"/>
        </w:rPr>
        <w:t xml:space="preserve"> study</w:t>
      </w:r>
      <w:r w:rsidRPr="00AF0E0B">
        <w:rPr>
          <w:rFonts w:eastAsia="Arial Unicode MS" w:cs="Arial Unicode MS"/>
          <w:color w:val="000000"/>
          <w:u w:color="000000"/>
          <w:bdr w:val="nil"/>
          <w:lang w:val="fr-FR" w:eastAsia="en-GB"/>
        </w:rPr>
        <w:fldChar w:fldCharType="begin"/>
      </w:r>
      <w:r w:rsidRPr="00AF0E0B">
        <w:rPr>
          <w:rFonts w:eastAsia="Arial Unicode MS" w:cs="Arial Unicode MS"/>
          <w:color w:val="000000"/>
          <w:u w:color="000000"/>
          <w:bdr w:val="nil"/>
          <w:lang w:val="fr-FR" w:eastAsia="en-GB"/>
        </w:rPr>
        <w:instrText xml:space="preserve"> ADDIN EN.CITE &lt;EndNote&gt;&lt;Cite  &gt;&lt;Author&gt;Tesfaye&lt;/Author&gt;&lt;Year&gt;2005&lt;/Year&gt;&lt;RecNum&gt;470&lt;/RecNum&gt;&lt;DisplayText&gt;(Tesfaye et al., 2005)&lt;/DisplayText&gt;&lt;record&gt;&lt;dates&gt;&lt;pub-dates&gt;&lt;date&gt;Jan 27&lt;/date&gt;&lt;/pub-dates&gt;&lt;year&gt;2005&lt;/year&gt;&lt;/dates&gt;&lt;urls&gt;&lt;related-urls&gt;&lt;url&gt;&amp;lt;Go to ISI&amp;gt;://WOS:000226535900006&lt;/url&gt;&lt;/related-urls&gt;&lt;/urls&gt;&lt;isbn&gt;0028-4793&lt;/isbn&gt;&lt;titles&gt;&lt;title&gt;Vascular risk factors and diabetic neuropathy&lt;/title&gt;&lt;secondary-title&gt;New England Journal of Medicine&lt;/secondary-title&gt;&lt;/titles&gt;&lt;number&gt;4&lt;/number&gt;&lt;contributors&gt;&lt;authors&gt;&lt;author&gt;Tesfaye, S.&lt;/author&gt;&lt;author&gt;Chaturvedi, N.&lt;/author&gt;&lt;author&gt;Eaton, S. E. M.&lt;/author&gt;&lt;author&gt;Ward, J. D.&lt;/author&gt;&lt;author&gt;Manes, C.&lt;/author&gt;&lt;author&gt;Ionescu-Tirgoviste, C.&lt;/author&gt;&lt;author&gt;Witte, D. R.&lt;/author&gt;&lt;author&gt;Fuller, J. H.&lt;/author&gt;&lt;author&gt;Eurodiab Prospective Complications&lt;/author&gt;&lt;/authors&gt;&lt;/contributors&gt;&lt;added-date format="utc"&gt;1355924625&lt;/added-date&gt;&lt;ref-type name="Journal Article"&gt;17&lt;/ref-type&gt;&lt;rec-number&gt;470&lt;/rec-number&gt;&lt;last-updated-date format="utc"&gt;1356263700&lt;/last-updated-date&gt;&lt;accession-num&gt;WOS:000226535900006&lt;/accession-num&gt;&lt;electronic-resource-num&gt;10.1056/NEJMoa032782&lt;/electronic-resource-num&gt;&lt;volume&gt;352&lt;/volume&gt;&lt;/record&gt;&lt;/Cite&gt;&lt;/EndNote&gt;</w:instrText>
      </w:r>
      <w:r w:rsidRPr="00AF0E0B">
        <w:rPr>
          <w:rFonts w:eastAsia="Arial Unicode MS" w:cs="Arial Unicode MS"/>
          <w:color w:val="000000"/>
          <w:u w:color="000000"/>
          <w:bdr w:val="nil"/>
          <w:lang w:val="fr-FR" w:eastAsia="en-GB"/>
        </w:rPr>
        <w:fldChar w:fldCharType="separate"/>
      </w:r>
      <w:r w:rsidRPr="00AF0E0B">
        <w:rPr>
          <w:rFonts w:eastAsia="Arial Unicode MS" w:cs="Arial Unicode MS"/>
          <w:color w:val="000000"/>
          <w:u w:color="000000"/>
          <w:bdr w:val="nil"/>
          <w:lang w:val="fr-FR" w:eastAsia="en-GB"/>
        </w:rPr>
        <w:t>(Tesfaye et al., 2005)</w:t>
      </w:r>
      <w:r w:rsidRPr="00AF0E0B">
        <w:rPr>
          <w:rFonts w:eastAsia="Arial Unicode MS" w:cs="Arial Unicode MS"/>
          <w:color w:val="000000"/>
          <w:u w:color="000000"/>
          <w:bdr w:val="nil"/>
          <w:lang w:val="fr-FR" w:eastAsia="en-GB"/>
        </w:rPr>
        <w:fldChar w:fldCharType="end"/>
      </w:r>
      <w:r w:rsidRPr="00AF0E0B">
        <w:rPr>
          <w:rFonts w:eastAsia="Arial Unicode MS" w:cs="Arial Unicode MS"/>
          <w:color w:val="000000"/>
          <w:u w:color="000000"/>
          <w:bdr w:val="nil"/>
          <w:lang w:val="en-US" w:eastAsia="en-GB"/>
        </w:rPr>
        <w:t xml:space="preserve">.  In a pilot study with a small number of subjects, </w:t>
      </w:r>
      <w:proofErr w:type="spellStart"/>
      <w:r w:rsidRPr="00AF0E0B">
        <w:rPr>
          <w:rFonts w:eastAsia="Arial Unicode MS" w:cs="Arial Unicode MS"/>
          <w:color w:val="000000"/>
          <w:u w:color="000000"/>
          <w:bdr w:val="nil"/>
          <w:lang w:val="en-US" w:eastAsia="en-GB"/>
        </w:rPr>
        <w:t>Selvarajah</w:t>
      </w:r>
      <w:proofErr w:type="spellEnd"/>
      <w:r w:rsidRPr="00AF0E0B">
        <w:rPr>
          <w:rFonts w:eastAsia="Arial Unicode MS" w:cs="Arial Unicode MS"/>
          <w:color w:val="000000"/>
          <w:u w:color="000000"/>
          <w:bdr w:val="nil"/>
          <w:lang w:val="en-US" w:eastAsia="en-GB"/>
        </w:rPr>
        <w:t xml:space="preserve"> et al. identified a difference in microvascular perfusion of the thalamus between subjects with P-DPN and painless diabetic neuropathy (DPN) </w:t>
      </w:r>
      <w:r w:rsidRPr="00AF0E0B">
        <w:rPr>
          <w:rFonts w:eastAsia="Arial Unicode MS" w:cs="Arial Unicode MS"/>
          <w:color w:val="000000"/>
          <w:u w:color="000000"/>
          <w:bdr w:val="nil"/>
          <w:lang w:val="en-US" w:eastAsia="en-GB"/>
        </w:rPr>
        <w:fldChar w:fldCharType="begin"/>
      </w:r>
      <w:r w:rsidR="009968E0">
        <w:rPr>
          <w:rFonts w:eastAsia="Arial Unicode MS" w:cs="Arial Unicode MS"/>
          <w:color w:val="000000"/>
          <w:u w:color="000000"/>
          <w:bdr w:val="nil"/>
          <w:lang w:val="en-US" w:eastAsia="en-GB"/>
        </w:rPr>
        <w:instrText xml:space="preserve"> ADDIN EN.CITE &lt;EndNote&gt;&lt;Cite&gt;&lt;Author&gt;Selvarajah&lt;/Author&gt;&lt;Year&gt;2011&lt;/Year&gt;&lt;RecNum&gt;3&lt;/RecNum&gt;&lt;DisplayText&gt;(Selvarajah et al., 2011b)&lt;/DisplayText&gt;&lt;record&gt;&lt;dates&gt;&lt;pub-dates&gt;&lt;date&gt;Mar&lt;/date&gt;&lt;/pub-dates&gt;&lt;year&gt;2011&lt;/year&gt;&lt;/dates&gt;&lt;urls&gt;&lt;related-urls&gt;&lt;url&gt;http://www.ncbi.nlm.nih.gov/pubmed/21282344&lt;/url&gt;&lt;/related-urls&gt;&lt;/urls&gt;&lt;isbn&gt;1935-5548&lt;/isbn&gt;&lt;custom2&gt;PMC3041213&lt;/custom2&gt;&lt;titles&gt;&lt;title&gt;Microvascular perfusion abnormalities of the Thalamus in painful but not painless diabetic polyneuropathy: a clue to the pathogenesis of pain in type 1 diabetes&lt;/title&gt;&lt;secondary-title&gt;Diabetes Care&lt;/secondary-title&gt;&lt;/titles&gt;&lt;pages&gt;718-20&lt;/pages&gt;&lt;number&gt;3&lt;/number&gt;&lt;contributors&gt;&lt;authors&gt;&lt;author&gt;Selvarajah, D.&lt;/author&gt;&lt;author&gt;Wilkinson, I. D.&lt;/author&gt;&lt;author&gt;Gandhi, R.&lt;/author&gt;&lt;author&gt;Griffiths, P. D.&lt;/author&gt;&lt;author&gt;Tesfaye, S.&lt;/author&gt;&lt;/authors&gt;&lt;/contributors&gt;&lt;language&gt;eng&lt;/language&gt;&lt;added-date format="utc"&gt;1349953630&lt;/added-date&gt;&lt;ref-type name="Journal Article"&gt;17&lt;/ref-type&gt;&lt;auth-address&gt;Diabetes Research Department, Royal Hallamshire Hospital, Sheffield, UK. dinesh.selvarajah@gmail.com&lt;/auth-address&gt;&lt;rec-number&gt;3&lt;/rec-number&gt;&lt;last-updated-date format="utc"&gt;1349953630&lt;/last-updated-date&gt;&lt;accession-num&gt;21282344&lt;/accession-num&gt;&lt;electronic-resource-num&gt;dc10-1550 [pii]&amp;#xD; 10.2337/dc10-1550&lt;/electronic-resource-num&gt;&lt;volume&gt;34&lt;/volume&gt;&lt;/record&gt;&lt;/Cite&gt;&lt;/EndNote&gt;</w:instrText>
      </w:r>
      <w:r w:rsidRPr="00AF0E0B">
        <w:rPr>
          <w:rFonts w:eastAsia="Arial Unicode MS" w:cs="Arial Unicode MS"/>
          <w:color w:val="000000"/>
          <w:u w:color="000000"/>
          <w:bdr w:val="nil"/>
          <w:lang w:val="en-US" w:eastAsia="en-GB"/>
        </w:rPr>
        <w:fldChar w:fldCharType="separate"/>
      </w:r>
      <w:r w:rsidR="009968E0">
        <w:rPr>
          <w:rFonts w:eastAsia="Arial Unicode MS" w:cs="Arial Unicode MS"/>
          <w:noProof/>
          <w:color w:val="000000"/>
          <w:u w:color="000000"/>
          <w:bdr w:val="nil"/>
          <w:lang w:val="en-US" w:eastAsia="en-GB"/>
        </w:rPr>
        <w:t>(Selvarajah et al., 2011b)</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t xml:space="preserve">. The hypothesis of this study was that there are unique </w:t>
      </w:r>
      <w:r w:rsidR="007D7DEA">
        <w:rPr>
          <w:rFonts w:eastAsia="Arial Unicode MS" w:cs="Arial Unicode MS"/>
          <w:color w:val="000000"/>
          <w:u w:color="000000"/>
          <w:bdr w:val="nil"/>
          <w:lang w:val="en-US" w:eastAsia="en-GB"/>
        </w:rPr>
        <w:t>microvascular</w:t>
      </w:r>
      <w:r w:rsidRPr="00AF0E0B">
        <w:rPr>
          <w:rFonts w:eastAsia="Arial Unicode MS" w:cs="Arial Unicode MS"/>
          <w:color w:val="000000"/>
          <w:u w:color="000000"/>
          <w:bdr w:val="nil"/>
          <w:lang w:val="en-US" w:eastAsia="en-GB"/>
        </w:rPr>
        <w:t xml:space="preserve"> perfusion abnormalities in the brain of individuals with type 1 diabetes (T1D) and P-DPN that are associated with the perception of pain. The hypothesis will be tested with a larger cohort of well-</w:t>
      </w:r>
      <w:proofErr w:type="spellStart"/>
      <w:r w:rsidRPr="00AF0E0B">
        <w:rPr>
          <w:rFonts w:eastAsia="Arial Unicode MS" w:cs="Arial Unicode MS"/>
          <w:color w:val="000000"/>
          <w:u w:color="000000"/>
          <w:bdr w:val="nil"/>
          <w:lang w:val="en-US" w:eastAsia="en-GB"/>
        </w:rPr>
        <w:t>characterised</w:t>
      </w:r>
      <w:proofErr w:type="spellEnd"/>
      <w:r w:rsidRPr="00AF0E0B">
        <w:rPr>
          <w:rFonts w:eastAsia="Arial Unicode MS" w:cs="Arial Unicode MS"/>
          <w:color w:val="000000"/>
          <w:u w:color="000000"/>
          <w:bdr w:val="nil"/>
          <w:lang w:val="en-US" w:eastAsia="en-GB"/>
        </w:rPr>
        <w:t xml:space="preserve"> subjects with T1D and P-DPN, DPN (painless DPN), T1D and no DPN (DM-NN), and healthy volunteers (HV).</w:t>
      </w:r>
    </w:p>
    <w:p w14:paraId="6EBFFA12" w14:textId="77777777"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p>
    <w:p w14:paraId="55E969B1" w14:textId="77777777"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eastAsia="Arial Unicode MS" w:cs="Arial Unicode MS"/>
          <w:color w:val="000000"/>
          <w:u w:color="000000"/>
          <w:bdr w:val="nil"/>
          <w:lang w:val="en-US" w:eastAsia="en-GB"/>
        </w:rPr>
        <w:lastRenderedPageBreak/>
        <w:t>The introduction will examine the problems associated with P-DPN, and outline what is known about its development.  CNS findings for subjects with non-diabetic neuropathy, diabetes without neuropathy, and P-DPN will also be discussed below.  Potential methods of assessing microvascular perfusion in the CNS will also be discussed.</w:t>
      </w:r>
    </w:p>
    <w:p w14:paraId="76888D87" w14:textId="3675B690" w:rsidR="00AF0E0B" w:rsidRPr="00AF0E0B" w:rsidRDefault="001913C2" w:rsidP="00E745CE">
      <w:pPr>
        <w:pStyle w:val="Heading2"/>
      </w:pPr>
      <w:bookmarkStart w:id="19" w:name="_Toc64723861"/>
      <w:r>
        <w:t>Complications of Diabetes</w:t>
      </w:r>
      <w:bookmarkEnd w:id="19"/>
    </w:p>
    <w:p w14:paraId="6FAA7943" w14:textId="286C6D3C"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eastAsia="Arial Unicode MS" w:cs="Arial Unicode MS"/>
          <w:color w:val="000000"/>
          <w:u w:color="000000"/>
          <w:bdr w:val="nil"/>
          <w:lang w:val="en-US" w:eastAsia="en-GB"/>
        </w:rPr>
        <w:t>Diabetes is a highly prevalent metabolic disease.  It is estimated that in 2017</w:t>
      </w:r>
      <w:r w:rsidRPr="00AF0E0B">
        <w:rPr>
          <w:rFonts w:eastAsia="Arial Unicode MS" w:cs="Arial Unicode MS"/>
          <w:color w:val="2E2E2E"/>
          <w:u w:color="2E2E2E"/>
          <w:bdr w:val="nil"/>
          <w:lang w:val="en-US" w:eastAsia="en-GB"/>
        </w:rPr>
        <w:t xml:space="preserve"> there were </w:t>
      </w:r>
      <w:r w:rsidRPr="00AF0E0B">
        <w:rPr>
          <w:rFonts w:eastAsia="Arial Unicode MS" w:cs="Arial Unicode MS"/>
          <w:color w:val="000000"/>
          <w:u w:color="000000"/>
          <w:bdr w:val="nil"/>
          <w:lang w:val="en-US" w:eastAsia="en-GB"/>
        </w:rPr>
        <w:t>451 million adults with diabetes worldwide, and this is expected to increase to 693 million by 2045</w:t>
      </w:r>
      <w:r w:rsidRPr="00AF0E0B">
        <w:rPr>
          <w:rFonts w:eastAsia="Arial Unicode MS" w:cs="Arial Unicode MS"/>
          <w:color w:val="2E2E2E"/>
          <w:u w:color="2E2E2E"/>
          <w:bdr w:val="nil"/>
          <w:lang w:val="en-US" w:eastAsia="en-GB"/>
        </w:rPr>
        <w:t xml:space="preserve"> </w:t>
      </w:r>
      <w:r w:rsidRPr="00AF0E0B">
        <w:rPr>
          <w:rFonts w:eastAsia="Arial Unicode MS" w:cs="Arial Unicode MS"/>
          <w:color w:val="2E2E2E"/>
          <w:u w:color="2E2E2E"/>
          <w:bdr w:val="nil"/>
          <w:lang w:val="en-US" w:eastAsia="en-GB"/>
        </w:rPr>
        <w:fldChar w:fldCharType="begin"/>
      </w:r>
      <w:r w:rsidRPr="00AF0E0B">
        <w:rPr>
          <w:rFonts w:eastAsia="Arial Unicode MS" w:cs="Arial Unicode MS"/>
          <w:color w:val="2E2E2E"/>
          <w:u w:color="2E2E2E"/>
          <w:bdr w:val="nil"/>
          <w:lang w:val="en-US" w:eastAsia="en-GB"/>
        </w:rPr>
        <w:instrText xml:space="preserve"> ADDIN EN.CITE &lt;EndNote&gt;&lt;Cite  &gt;&lt;Author&gt;Cho&lt;/Author&gt;&lt;Year&gt;2018&lt;/Year&gt;&lt;RecNum&gt;1141&lt;/RecNum&gt;&lt;DisplayText&gt;(Cho et al., 2018)&lt;/DisplayText&gt;&lt;record&gt;&lt;keywords&gt;&lt;keyword&gt;Diabetes Prevalence&lt;/keyword&gt;&lt;keyword&gt;Health Economics&lt;/keyword&gt;&lt;keyword&gt;Mortality&lt;/keyword&gt;&lt;keyword&gt;Epidemiology&lt;/keyword&gt;&lt;keyword&gt;Impaired Glucose Tolerance&lt;/keyword&gt;&lt;keyword&gt;Gestational Diabetes&lt;/keyword&gt;&lt;/keywords&gt;&lt;isbn&gt;0168-8227&lt;/isbn&gt;&lt;titles&gt;&lt;title&gt;IDF Diabetes Atlas: Global estimates of diabetes prevalence for 2017 and projections for 2045&lt;/title&gt;&lt;secondary-title&gt;Diabetes Research and Clinical Practice&lt;/secondary-title&gt;&lt;/titles&gt;&lt;pages&gt;271-281&lt;/pages&gt;&lt;contributors&gt;&lt;authors&gt;&lt;author&gt;Cho, N. H.&lt;/author&gt;&lt;author&gt;Shaw, J. E.&lt;/author&gt;&lt;author&gt;Karuranga, S.&lt;/author&gt;&lt;author&gt;Huang, Y.&lt;/author&gt;&lt;author&gt;Da Rocha Fernandes, J. D.&lt;/author&gt;&lt;author&gt;Ohlrogge, A. W.&lt;/author&gt;&lt;author&gt;Malanda, B.&lt;/author&gt;&lt;/authors&gt;&lt;/contributors&gt;&lt;added-date format="utc"&gt;1569750484&lt;/added-date&gt;&lt;ref-type name="Journal Article"&gt;17&lt;/ref-type&gt;&lt;dates&gt;&lt;year&gt;2018&lt;/year&gt;&lt;/dates&gt;&lt;rec-number&gt;1141&lt;/rec-number&gt;&lt;last-updated-date format="utc"&gt;1569750484&lt;/last-updated-date&gt;&lt;electronic-resource-num&gt;10.1016/j.diabres.2018.02.023&lt;/electronic-resource-num&gt;&lt;volume&gt;138&lt;/volume&gt;&lt;/record&gt;&lt;/Cite&gt;&lt;/EndNote&gt;</w:instrText>
      </w:r>
      <w:r w:rsidRPr="00AF0E0B">
        <w:rPr>
          <w:rFonts w:eastAsia="Arial Unicode MS" w:cs="Arial Unicode MS"/>
          <w:color w:val="2E2E2E"/>
          <w:u w:color="2E2E2E"/>
          <w:bdr w:val="nil"/>
          <w:lang w:val="en-US" w:eastAsia="en-GB"/>
        </w:rPr>
        <w:fldChar w:fldCharType="separate"/>
      </w:r>
      <w:r w:rsidRPr="00AF0E0B">
        <w:rPr>
          <w:rFonts w:eastAsia="Arial Unicode MS" w:cs="Arial Unicode MS"/>
          <w:color w:val="2E2E2E"/>
          <w:u w:color="2E2E2E"/>
          <w:bdr w:val="nil"/>
          <w:lang w:val="en-US" w:eastAsia="en-GB"/>
        </w:rPr>
        <w:t>(Cho et al., 2018)</w:t>
      </w:r>
      <w:r w:rsidRPr="00AF0E0B">
        <w:rPr>
          <w:rFonts w:eastAsia="Arial Unicode MS" w:cs="Arial Unicode MS"/>
          <w:color w:val="2E2E2E"/>
          <w:u w:color="2E2E2E"/>
          <w:bdr w:val="nil"/>
          <w:lang w:val="en-US" w:eastAsia="en-GB"/>
        </w:rPr>
        <w:fldChar w:fldCharType="end"/>
      </w:r>
      <w:r w:rsidRPr="00AF0E0B">
        <w:rPr>
          <w:rFonts w:eastAsia="Arial Unicode MS" w:cs="Arial Unicode MS"/>
          <w:color w:val="2E2E2E"/>
          <w:u w:color="2E2E2E"/>
          <w:bdr w:val="nil"/>
          <w:lang w:val="en-US" w:eastAsia="en-GB"/>
        </w:rPr>
        <w:t xml:space="preserve">. </w:t>
      </w:r>
      <w:r w:rsidRPr="00AF0E0B">
        <w:rPr>
          <w:rFonts w:eastAsia="Arial Unicode MS" w:cs="Arial Unicode MS"/>
          <w:color w:val="000000"/>
          <w:u w:color="000000"/>
          <w:bdr w:val="nil"/>
          <w:lang w:val="en-US" w:eastAsia="en-GB"/>
        </w:rPr>
        <w:t xml:space="preserve"> The chronic nature of T1D and type 2 diabetes (T2D) has the potential to lead to irreversible complications that are separate from the dangers of acute uncontrolled fluctuation in levels of plasma glucose </w:t>
      </w:r>
      <w:r w:rsidRPr="00AF0E0B">
        <w:rPr>
          <w:rFonts w:eastAsia="Arial Unicode MS" w:cs="Arial Unicode MS"/>
          <w:color w:val="000000"/>
          <w:u w:color="000000"/>
          <w:bdr w:val="nil"/>
          <w:lang w:val="en-US" w:eastAsia="en-GB"/>
        </w:rPr>
        <w:fldChar w:fldCharType="begin"/>
      </w:r>
      <w:r w:rsidRPr="00AF0E0B">
        <w:rPr>
          <w:rFonts w:eastAsia="Arial Unicode MS" w:cs="Arial Unicode MS"/>
          <w:color w:val="000000"/>
          <w:u w:color="000000"/>
          <w:bdr w:val="nil"/>
          <w:lang w:val="en-US" w:eastAsia="en-GB"/>
        </w:rPr>
        <w:instrText xml:space="preserve"> ADDIN EN.CITE &lt;EndNote&gt;&lt;Cite  &gt;&lt;Author&gt;Pirart&lt;/Author&gt;&lt;Year&gt;1977&lt;/Year&gt;&lt;RecNum&gt;82&lt;/RecNum&gt;&lt;DisplayText&gt;(Pirart, 1977, Shamoon et al., 1993, Nathan et al., 2005)&lt;/DisplayText&gt;&lt;record&gt;&lt;dates&gt;&lt;pub-dates&gt;&lt;date&gt;Jun&lt;/date&gt;&lt;/pub-dates&gt;&lt;year&gt;1977&lt;/year&gt;&lt;/dates&gt;&lt;keywords&gt;&lt;keyword&gt;Blood Glucose/metabolism&lt;/keyword&gt;&lt;keyword&gt;Diabetes Complications&lt;/keyword&gt;&lt;keyword&gt;Diabetes Mellitus/epidemiology/physiopathology/therapy&lt;/keyword&gt;&lt;keyword&gt;Female&lt;/keyword&gt;&lt;keyword&gt;Humans&lt;/keyword&gt;&lt;keyword&gt;Male&lt;/keyword&gt;&lt;keyword&gt;Prospective Studies&lt;/keyword&gt;&lt;keyword&gt;Time Factors&lt;/keyword&gt;&lt;/keywords&gt;&lt;isbn&gt;0338-1684 (Print)&amp;#13;0338-1684 (Linking)&lt;/isbn&gt;&lt;titles&gt;&lt;title&gt;[Diabetes mellitus and its degenerative complications: a prospective study of 4,400 patients observed between 1947 and 1973 (author's transl)]&lt;/title&gt;&lt;secondary-title&gt;Diabete Metab&lt;/secondary-title&gt;&lt;alt-title&gt;Diabete &amp;amp; metabolisme&lt;/alt-title&gt;&lt;/titles&gt;&lt;pages&gt;97-107&lt;/pages&gt;&lt;number&gt;2&lt;/number&gt;&lt;contributors&gt;&lt;authors&gt;&lt;author&gt;Pirart, J.&lt;/author&gt;&lt;/authors&gt;&lt;/contributors&gt;&lt;edition&gt;1977/06/01&lt;/edition&gt;&lt;language&gt;fre&lt;/language&gt;&lt;added-date format="utc"&gt;1350066972&lt;/added-date&gt;&lt;ref-type name="Journal Article"&gt;17&lt;/ref-type&gt;&lt;remote-database-provider&gt;NLM&lt;/remote-database-provider&gt;&lt;rec-number&gt;82&lt;/rec-number&gt;&lt;last-updated-date format="utc"&gt;1350067255&lt;/last-updated-date&gt;&lt;accession-num&gt;892130&lt;/accession-num&gt;&lt;orig-pub&gt;Diabete et complications degeneratives presentation d'une etude prospective portant sur 4400 cas observes entre 1947 et 1973. (Premiere partie).&lt;/orig-pub&gt;&lt;volume&gt;3&lt;/volume&gt;&lt;/record&gt;&lt;/Cite&gt;&lt;Cite  &gt;&lt;Author&gt;Shamoon&lt;/Author&gt;&lt;Year&gt;1993&lt;/Year&gt;&lt;RecNum&gt;112&lt;/RecNum&gt;&lt;record&gt;&lt;dates&gt;&lt;pub-dates&gt;&lt;date&gt;Sep 30&lt;/date&gt;&lt;/pub-dates&gt;&lt;year&gt;1993&lt;/year&gt;&lt;/dates&gt;&lt;urls&gt;&lt;related-urls&gt;&lt;url&gt;&amp;lt;Go to ISI&amp;gt;://WOS:A1993LY58700001&lt;/url&gt;&lt;/related-urls&gt;&lt;/urls&gt;&lt;isbn&gt;0028-4793&lt;/isbn&gt;&lt;titles&gt;&lt;title&gt;THE EFFECT OF INTENSIVE TREATMENT OF DIABETES ON THE DEVELOPMENT AND PROGRESSION OF LONG-TERM COMPLICATIONS IN INSULIN-DEPENDENT DIABETES-MELLITUS&lt;/title&gt;&lt;secondary-title&gt;New England Journal of Medicine&lt;/secondary-title&gt;&lt;/titles&gt;&lt;number&gt;14&lt;/number&gt;&lt;contributors&gt;&lt;authors&gt;&lt;author&gt;Shamoon, H.&lt;/author&gt;&lt;author&gt;Duffy, H.&lt;/author&gt;&lt;author&gt;Fleischer, N.&lt;/author&gt;&lt;author&gt;Engel, S.&lt;/author&gt;&lt;author&gt;Saenger, P.&lt;/author&gt;&lt;author&gt;Strelzyn, M.&lt;/author&gt;&lt;author&gt;et al,.&lt;/author&gt;&lt;/authors&gt;&lt;/contributors&gt;&lt;added-date format="utc"&gt;1350578559&lt;/added-date&gt;&lt;ref-type name="Journal Article"&gt;17&lt;/ref-type&gt;&lt;rec-number&gt;112&lt;/rec-number&gt;&lt;last-updated-date format="utc"&gt;1357793094&lt;/last-updated-date&gt;&lt;accession-num&gt;WOS:A1993LY58700001&lt;/accession-num&gt;&lt;volume&gt;329&lt;/volume&gt;&lt;/record&gt;&lt;/Cite&gt;&lt;Cite  &gt;&lt;Author&gt;Nathan&lt;/Author&gt;&lt;Year&gt;2005&lt;/Year&gt;&lt;RecNum&gt;349&lt;/RecNum&gt;&lt;record&gt;&lt;dates&gt;&lt;pub-dates&gt;&lt;date&gt;Dec 22&lt;/date&gt;&lt;/pub-dates&gt;&lt;year&gt;2005&lt;/year&gt;&lt;/dates&gt;&lt;urls&gt;&lt;related-urls&gt;&lt;url&gt;&amp;lt;Go to ISI&amp;gt;://WOS:000234094400005&lt;/url&gt;&lt;/related-urls&gt;&lt;/urls&gt;&lt;isbn&gt;0028-4793&lt;/isbn&gt;&lt;titles&gt;&lt;title&gt;Intensive diabetes treatment and cardiovascular disease in patients with type 1 diabetes&lt;/title&gt;&lt;secondary-title&gt;New England Journal of Medicine&lt;/secondary-title&gt;&lt;/titles&gt;&lt;number&gt;25&lt;/number&gt;&lt;contributors&gt;&lt;authors&gt;&lt;author&gt;Nathan, D. M.&lt;/author&gt;&lt;author&gt;Cleary, P. A.&lt;/author&gt;&lt;author&gt;Backlund, J. Y. C.&lt;/author&gt;&lt;author&gt;Genuth, S. M.&lt;/author&gt;&lt;author&gt;Lachin, J. M.&lt;/author&gt;&lt;author&gt;Orchard, T. J.&lt;/author&gt;&lt;author&gt;Raskin, P.&lt;/author&gt;&lt;author&gt;Zinman, B.&lt;/author&gt;&lt;author&gt;Dcct Edic Stury Res Grp&lt;/author&gt;&lt;/authors&gt;&lt;/contributors&gt;&lt;added-date format="utc"&gt;1354116782&lt;/added-date&gt;&lt;ref-type name="Journal Article"&gt;17&lt;/ref-type&gt;&lt;rec-number&gt;349&lt;/rec-number&gt;&lt;last-updated-date format="utc"&gt;1356280789&lt;/last-updated-date&gt;&lt;accession-num&gt;WOS:000234094400005&lt;/accession-num&gt;&lt;volume&gt;353&lt;/volume&gt;&lt;/record&gt;&lt;/Cite&gt;&lt;/EndNote&gt;</w:instrText>
      </w:r>
      <w:r w:rsidRPr="00AF0E0B">
        <w:rPr>
          <w:rFonts w:eastAsia="Arial Unicode MS" w:cs="Arial Unicode MS"/>
          <w:color w:val="000000"/>
          <w:u w:color="000000"/>
          <w:bdr w:val="nil"/>
          <w:lang w:val="en-US" w:eastAsia="en-GB"/>
        </w:rPr>
        <w:fldChar w:fldCharType="separate"/>
      </w:r>
      <w:r w:rsidRPr="00AF0E0B">
        <w:rPr>
          <w:rFonts w:eastAsia="Arial Unicode MS" w:cs="Arial Unicode MS"/>
          <w:color w:val="000000"/>
          <w:u w:color="000000"/>
          <w:bdr w:val="nil"/>
          <w:lang w:val="en-US" w:eastAsia="en-GB"/>
        </w:rPr>
        <w:t>(Pirart, 1977, Shamoon et al., 1993, Nathan et al., 2005)</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t xml:space="preserve">.  The DCCT and EDIC studies showed that some complications of diabetes </w:t>
      </w:r>
      <w:r w:rsidR="009648B3">
        <w:rPr>
          <w:rFonts w:eastAsia="Arial Unicode MS" w:cs="Arial Unicode MS"/>
          <w:color w:val="000000"/>
          <w:u w:color="000000"/>
          <w:bdr w:val="nil"/>
          <w:lang w:val="en-US" w:eastAsia="en-GB"/>
        </w:rPr>
        <w:t>are</w:t>
      </w:r>
      <w:r w:rsidRPr="00AF0E0B">
        <w:rPr>
          <w:rFonts w:eastAsia="Arial Unicode MS" w:cs="Arial Unicode MS"/>
          <w:color w:val="000000"/>
          <w:u w:color="000000"/>
          <w:bdr w:val="nil"/>
          <w:lang w:val="en-US" w:eastAsia="en-GB"/>
        </w:rPr>
        <w:t xml:space="preserve"> associated with elevated blood glucose levels.  These included microvascular complications (retinopathy, nephropathy, neuropathy) and a weaker association was found with macrovascular complications including peripheral vascular disease, coronary artery disease and stroke </w:t>
      </w:r>
      <w:r w:rsidRPr="00AF0E0B">
        <w:rPr>
          <w:rFonts w:eastAsia="Arial Unicode MS" w:cs="Arial Unicode MS"/>
          <w:color w:val="000000"/>
          <w:u w:color="000000"/>
          <w:bdr w:val="nil"/>
          <w:lang w:val="en-US" w:eastAsia="en-GB"/>
        </w:rPr>
        <w:fldChar w:fldCharType="begin"/>
      </w:r>
      <w:r w:rsidRPr="00AF0E0B">
        <w:rPr>
          <w:rFonts w:eastAsia="Arial Unicode MS" w:cs="Arial Unicode MS"/>
          <w:color w:val="000000"/>
          <w:u w:color="000000"/>
          <w:bdr w:val="nil"/>
          <w:lang w:val="en-US" w:eastAsia="en-GB"/>
        </w:rPr>
        <w:instrText xml:space="preserve"> ADDIN EN.CITE &lt;EndNote&gt;&lt;Cite  &gt;&lt;Author&gt;Nathan&lt;/Author&gt;&lt;Year&gt;2005&lt;/Year&gt;&lt;RecNum&gt;349&lt;/RecNum&gt;&lt;DisplayText&gt;(Nathan et al., 2005)&lt;/DisplayText&gt;&lt;record&gt;&lt;dates&gt;&lt;pub-dates&gt;&lt;date&gt;Dec 22&lt;/date&gt;&lt;/pub-dates&gt;&lt;year&gt;2005&lt;/year&gt;&lt;/dates&gt;&lt;urls&gt;&lt;related-urls&gt;&lt;url&gt;&amp;lt;Go to ISI&amp;gt;://WOS:000234094400005&lt;/url&gt;&lt;/related-urls&gt;&lt;/urls&gt;&lt;isbn&gt;0028-4793&lt;/isbn&gt;&lt;titles&gt;&lt;title&gt;Intensive diabetes treatment and cardiovascular disease in patients with type 1 diabetes&lt;/title&gt;&lt;secondary-title&gt;New England Journal of Medicine&lt;/secondary-title&gt;&lt;/titles&gt;&lt;number&gt;25&lt;/number&gt;&lt;contributors&gt;&lt;authors&gt;&lt;author&gt;Nathan, D. M.&lt;/author&gt;&lt;author&gt;Cleary, P. A.&lt;/author&gt;&lt;author&gt;Backlund, J. Y. C.&lt;/author&gt;&lt;author&gt;Genuth, S. M.&lt;/author&gt;&lt;author&gt;Lachin, J. M.&lt;/author&gt;&lt;author&gt;Orchard, T. J.&lt;/author&gt;&lt;author&gt;Raskin, P.&lt;/author&gt;&lt;author&gt;Zinman, B.&lt;/author&gt;&lt;author&gt;Dcct Edic Stury Res Grp&lt;/author&gt;&lt;/authors&gt;&lt;/contributors&gt;&lt;added-date format="utc"&gt;1354116782&lt;/added-date&gt;&lt;ref-type name="Journal Article"&gt;17&lt;/ref-type&gt;&lt;rec-number&gt;349&lt;/rec-number&gt;&lt;last-updated-date format="utc"&gt;1356280789&lt;/last-updated-date&gt;&lt;accession-num&gt;WOS:000234094400005&lt;/accession-num&gt;&lt;volume&gt;353&lt;/volume&gt;&lt;/record&gt;&lt;/Cite&gt;&lt;/EndNote&gt;</w:instrText>
      </w:r>
      <w:r w:rsidRPr="00AF0E0B">
        <w:rPr>
          <w:rFonts w:eastAsia="Arial Unicode MS" w:cs="Arial Unicode MS"/>
          <w:color w:val="000000"/>
          <w:u w:color="000000"/>
          <w:bdr w:val="nil"/>
          <w:lang w:val="en-US" w:eastAsia="en-GB"/>
        </w:rPr>
        <w:fldChar w:fldCharType="separate"/>
      </w:r>
      <w:r w:rsidRPr="00AF0E0B">
        <w:rPr>
          <w:rFonts w:eastAsia="Arial Unicode MS" w:cs="Arial Unicode MS"/>
          <w:color w:val="000000"/>
          <w:u w:color="000000"/>
          <w:bdr w:val="nil"/>
          <w:lang w:val="en-US" w:eastAsia="en-GB"/>
        </w:rPr>
        <w:t>(Nathan et al., 2005)</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t>.</w:t>
      </w:r>
    </w:p>
    <w:p w14:paraId="79FAFE0A" w14:textId="77777777" w:rsidR="00AF0E0B" w:rsidRPr="007F741E" w:rsidRDefault="00AF0E0B" w:rsidP="00E745CE">
      <w:pPr>
        <w:pStyle w:val="Heading2"/>
      </w:pPr>
      <w:bookmarkStart w:id="20" w:name="_Toc49972675"/>
      <w:bookmarkStart w:id="21" w:name="_Toc64723862"/>
      <w:r w:rsidRPr="007F741E">
        <w:t>Diabetic Distal Symmetrical Polyneuropathy</w:t>
      </w:r>
      <w:bookmarkEnd w:id="20"/>
      <w:bookmarkEnd w:id="21"/>
      <w:r w:rsidRPr="007F741E">
        <w:t xml:space="preserve"> </w:t>
      </w:r>
    </w:p>
    <w:p w14:paraId="2CF0CBD5" w14:textId="77777777" w:rsidR="00AF0E0B" w:rsidRPr="00C8005D" w:rsidRDefault="00AF0E0B" w:rsidP="00C8005D">
      <w:pPr>
        <w:pStyle w:val="Heading3"/>
      </w:pPr>
      <w:bookmarkStart w:id="22" w:name="_Toc49972676"/>
      <w:bookmarkStart w:id="23" w:name="_Toc64723863"/>
      <w:r w:rsidRPr="00C8005D">
        <w:t>Definition</w:t>
      </w:r>
      <w:bookmarkEnd w:id="22"/>
      <w:bookmarkEnd w:id="23"/>
      <w:r w:rsidRPr="00C8005D">
        <w:t xml:space="preserve"> </w:t>
      </w:r>
    </w:p>
    <w:p w14:paraId="2CC86A25" w14:textId="19AEE7DC"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eastAsia="Arial Unicode MS" w:cs="Arial Unicode MS"/>
          <w:color w:val="000000"/>
          <w:u w:color="000000"/>
          <w:bdr w:val="nil"/>
          <w:lang w:val="en-US" w:eastAsia="en-GB"/>
        </w:rPr>
        <w:t xml:space="preserve">Diabetic distal symmetrical polyneuropathy or diabetic neuropathy (DN) is defined as “symmetrical length dependent sensorimotor polyneuropathy attributable to chronic </w:t>
      </w:r>
      <w:proofErr w:type="spellStart"/>
      <w:r w:rsidRPr="00AF0E0B">
        <w:rPr>
          <w:rFonts w:eastAsia="Arial Unicode MS" w:cs="Arial Unicode MS"/>
          <w:color w:val="000000"/>
          <w:u w:color="000000"/>
          <w:bdr w:val="nil"/>
          <w:lang w:val="en-US" w:eastAsia="en-GB"/>
        </w:rPr>
        <w:t>hyperglycaemia</w:t>
      </w:r>
      <w:proofErr w:type="spellEnd"/>
      <w:r w:rsidRPr="00AF0E0B">
        <w:rPr>
          <w:rFonts w:eastAsia="Arial Unicode MS" w:cs="Arial Unicode MS"/>
          <w:color w:val="000000"/>
          <w:u w:color="000000"/>
          <w:bdr w:val="nil"/>
          <w:lang w:val="en-US" w:eastAsia="en-GB"/>
        </w:rPr>
        <w:t xml:space="preserve">, associated metabolic derangements, cardiovascular risk covariates and micro vessel alterations” </w:t>
      </w:r>
      <w:r w:rsidRPr="00AF0E0B">
        <w:rPr>
          <w:rFonts w:eastAsia="Arial Unicode MS" w:cs="Arial Unicode MS"/>
          <w:color w:val="000000"/>
          <w:u w:color="000000"/>
          <w:bdr w:val="nil"/>
          <w:lang w:val="en-US" w:eastAsia="en-GB"/>
        </w:rPr>
        <w:fldChar w:fldCharType="begin"/>
      </w:r>
      <w:r w:rsidR="00D06F2D">
        <w:rPr>
          <w:rFonts w:eastAsia="Arial Unicode MS" w:cs="Arial Unicode MS"/>
          <w:color w:val="000000"/>
          <w:u w:color="000000"/>
          <w:bdr w:val="nil"/>
          <w:lang w:val="en-US" w:eastAsia="en-GB"/>
        </w:rPr>
        <w:instrText xml:space="preserve"> ADDIN EN.CITE &lt;EndNote&gt;&lt;Cite&gt;&lt;Author&gt;Dyck&lt;/Author&gt;&lt;Year&gt;2011&lt;/Year&gt;&lt;RecNum&gt;119&lt;/RecNum&gt;&lt;DisplayText&gt;(Dyck et al., 2011a)&lt;/DisplayText&gt;&lt;record&gt;&lt;dates&gt;&lt;pub-dates&gt;&lt;date&gt;Jun&lt;/date&gt;&lt;/pub-dates&gt;&lt;year&gt;2011&lt;/year&gt;&lt;/dates&gt;&lt;urls&gt;&lt;related-urls&gt;&lt;url&gt;http://www.ncbi.nlm.nih.gov/pubmed/21695763&lt;/url&gt;&lt;/related-urls&gt;&lt;/urls&gt;&lt;isbn&gt;1520-7560&lt;/isbn&gt;&lt;titles&gt;&lt;title&gt;Diabetic Polyneuropathies: Update on Research Definition, Diagnostic Criteria and Estimation of Severity&lt;/title&gt;&lt;secondary-title&gt;Diabetes Metab Res Rev&lt;/secondary-title&gt;&lt;/titles&gt;&lt;contributors&gt;&lt;authors&gt;&lt;author&gt;Dyck, P. J.&lt;/author&gt;&lt;author&gt;Albers, J. W.&lt;/author&gt;&lt;author&gt;Andersen, H.&lt;/author&gt;&lt;author&gt;Arezzo, J. C.&lt;/author&gt;&lt;author&gt;Biessels, G. J.&lt;/author&gt;&lt;author&gt;Bril, V.&lt;/author&gt;&lt;author&gt;Feldman, E. L.&lt;/author&gt;&lt;author&gt;Litchy, W. J.&lt;/author&gt;&lt;author&gt;O&amp;apos;Brien, P. C.&lt;/author&gt;&lt;author&gt;Russell, J. W.&lt;/author&gt;&lt;author&gt;on behalf of the Toronto Expert Panel on Diabetic Neuropathy*&lt;/author&gt;&lt;/authors&gt;&lt;/contributors&gt;&lt;language&gt;ENG&lt;/language&gt;&lt;added-date format="utc"&gt;1351091009&lt;/added-date&gt;&lt;ref-type name="Journal Article"&gt;17&lt;/ref-type&gt;&lt;auth-address&gt;Department of Neurology, Mayo Clinic, Rochester, MN, USA. dyck.peter@mayo.edu.&lt;/auth-address&gt;&lt;rec-number&gt;119&lt;/rec-number&gt;&lt;last-updated-date format="utc"&gt;1357494940&lt;/last-updated-date&gt;&lt;accession-num&gt;21695763&lt;/accession-num&gt;&lt;electronic-resource-num&gt;10.1002/dmrr.1226&lt;/electronic-resource-num&gt;&lt;pages&gt;620-628&lt;/pages&gt;&lt;volume&gt;27&lt;/volume&gt;&lt;/record&gt;&lt;/Cite&gt;&lt;/EndNote&gt;</w:instrText>
      </w:r>
      <w:r w:rsidRPr="00AF0E0B">
        <w:rPr>
          <w:rFonts w:eastAsia="Arial Unicode MS" w:cs="Arial Unicode MS"/>
          <w:color w:val="000000"/>
          <w:u w:color="000000"/>
          <w:bdr w:val="nil"/>
          <w:lang w:val="en-US" w:eastAsia="en-GB"/>
        </w:rPr>
        <w:fldChar w:fldCharType="separate"/>
      </w:r>
      <w:r w:rsidR="00D06F2D">
        <w:rPr>
          <w:rFonts w:eastAsia="Arial Unicode MS" w:cs="Arial Unicode MS"/>
          <w:noProof/>
          <w:color w:val="000000"/>
          <w:u w:color="000000"/>
          <w:bdr w:val="nil"/>
          <w:lang w:val="en-US" w:eastAsia="en-GB"/>
        </w:rPr>
        <w:t>(Dyck et al., 2011a)</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t xml:space="preserve">. Recent studies have shown the prevalence of clinically diagnosed DN to range between 20-35% of those with T1D and T2D </w:t>
      </w:r>
      <w:r w:rsidRPr="00AF0E0B">
        <w:rPr>
          <w:rFonts w:eastAsia="Arial Unicode MS" w:cs="Arial Unicode MS"/>
          <w:color w:val="000000"/>
          <w:u w:color="000000"/>
          <w:bdr w:val="nil"/>
          <w:lang w:val="en-US" w:eastAsia="en-GB"/>
        </w:rPr>
        <w:fldChar w:fldCharType="begin"/>
      </w:r>
      <w:r w:rsidRPr="00AF0E0B">
        <w:rPr>
          <w:rFonts w:eastAsia="Arial Unicode MS" w:cs="Arial Unicode MS"/>
          <w:color w:val="000000"/>
          <w:u w:color="000000"/>
          <w:bdr w:val="nil"/>
          <w:lang w:val="en-US" w:eastAsia="en-GB"/>
        </w:rPr>
        <w:instrText xml:space="preserve"> ADDIN EN.CITE &lt;EndNote&gt;&lt;Cite  &gt;&lt;Author&gt;Tesfaye&lt;/Author&gt;&lt;Year&gt;1996&lt;/Year&gt;&lt;RecNum&gt;81&lt;/RecNum&gt;&lt;DisplayText&gt;(Tesfaye et al., 1996b, Abbott et al., 1998, Cabezas-Cerrato, 1998, Pop-Busui et al., 2010)&lt;/DisplayText&gt;&lt;record&gt;&lt;dates&gt;&lt;pub-dates&gt;&lt;date&gt;Nov&lt;/date&gt;&lt;/pub-dates&gt;&lt;year&gt;1996&lt;/year&gt;&lt;/dates&gt;&lt;keywords&gt;&lt;keyword&gt;insulin-dependent diabetes mellitus&lt;/keyword&gt;&lt;keyword&gt;diabetic neuropathy&lt;/keyword&gt;&lt;keyword&gt;prevalence&lt;/keyword&gt;&lt;keyword&gt;glycaemic control&lt;/keyword&gt;&lt;keyword&gt;microalbuminuria&lt;/keyword&gt;&lt;keyword&gt;impotence&lt;/keyword&gt;&lt;keyword&gt;epidemiology&lt;/keyword&gt;&lt;keyword&gt;NERVE BLOOD-FLOW&lt;/keyword&gt;&lt;keyword&gt;SENSORY NEUROPATHY&lt;/keyword&gt;&lt;keyword&gt;AUTONOMIC NEUROPATHY&lt;/keyword&gt;&lt;keyword&gt;POPULATION&lt;/keyword&gt;&lt;keyword&gt;EPIDEMIOLOGY&lt;/keyword&gt;&lt;keyword&gt;PHOTOGRAPHY&lt;/keyword&gt;&lt;keyword&gt;RETINOPATHY&lt;/keyword&gt;&lt;keyword&gt;NEPHROPATHY&lt;/keyword&gt;&lt;keyword&gt;SEVERITY&lt;/keyword&gt;&lt;/keywords&gt;&lt;urls&gt;&lt;related-urls&gt;&lt;url&gt;&amp;lt;Go to ISI&amp;gt;://WOS:A1996VQ31000022&lt;/url&gt;&lt;/related-urls&gt;&lt;/urls&gt;&lt;isbn&gt;0012-186X&lt;/isbn&gt;&lt;work-type&gt;Article&lt;/work-type&gt;&lt;titles&gt;&lt;title&gt;Prevalence of diabetic peripheral neuropathy and its relation to glycaemic control and potential risk factors: The EURODIAB IDDM Complications Study&lt;/title&gt;&lt;secondary-title&gt;Diabetologia&lt;/secondary-title&gt;&lt;alt-title&gt;Diabetologia&lt;/alt-title&gt;&lt;/titles&gt;&lt;pages&gt;1377-1384&lt;/pages&gt;&lt;number&gt;11&lt;/number&gt;&lt;contributors&gt;&lt;authors&gt;&lt;author&gt;Tesfaye, S.&lt;/author&gt;&lt;author&gt;Stevens, L. K.&lt;/author&gt;&lt;author&gt;Stephenson, J. M.&lt;/author&gt;&lt;author&gt;Fuller, J. H.&lt;/author&gt;&lt;author&gt;Plater, M.&lt;/author&gt;&lt;author&gt;IonescuTirgoviste, C.&lt;/author&gt;&lt;author&gt;Nuber, A.&lt;/author&gt;&lt;author&gt;Pozza, G.&lt;/author&gt;&lt;author&gt;Ward, J. D.&lt;/author&gt;&lt;/authors&gt;&lt;/contributors&gt;&lt;language&gt;English&lt;/language&gt;&lt;added-date format="utc"&gt;1350051705&lt;/added-date&gt;&lt;ref-type name="Journal Article"&gt;17&lt;/ref-type&gt;&lt;auth-address&gt;UCL, DEPT EPIDEMIOL &amp;amp; PUBL HLTH, EURODIAB, LONDON, ENGLAND. ROYAL HALLAMSHIRE HOSP, DIABET RES UNIT, SHEFFIELD S10 2JF, S YORKSHIRE, ENGLAND. INST N PAULESCU, DIABET CLIN, BUCHAREST, ROMANIA. CITY HOSP SCHWABING, MUNICH, GERMANY. UNIV MILAN, OSPED SAN RAFFAELE, I-20127 MILAN, ITALY.&amp;#13;Tesfaye, S (reprint author), ROYAL LIVERPOOL UNIV HOSP, DIABET UNIT, LINK 7C, PRESCOT ST, LIVERPOOL L7 8XP, MERSEYSIDE, ENGLAND.&lt;/auth-address&gt;&lt;rec-number&gt;81&lt;/rec-number&gt;&lt;last-updated-date format="utc"&gt;1350052855&lt;/last-updated-date&gt;&lt;accession-num&gt;WOS:A1996VQ31000022&lt;/accession-num&gt;&lt;electronic-resource-num&gt;10.1007/s001250050586&lt;/electronic-resource-num&gt;&lt;volume&gt;39&lt;/volume&gt;&lt;/record&gt;&lt;/Cite&gt;&lt;Cite  &gt;&lt;Author&gt;Abbott&lt;/Author&gt;&lt;Year&gt;1998&lt;/Year&gt;&lt;RecNum&gt;343&lt;/RecNum&gt;&lt;record&gt;&lt;dates&gt;&lt;pub-dates&gt;&lt;date&gt;Jul&lt;/date&gt;&lt;/pub-dates&gt;&lt;year&gt;1998&lt;/year&gt;&lt;/dates&gt;&lt;keywords&gt;&lt;keyword&gt;LOWER-EXTREMITY&lt;/keyword&gt;&lt;keyword&gt;AMPUTATION&lt;/keyword&gt;&lt;keyword&gt;PREVENTION&lt;/keyword&gt;&lt;keyword&gt;EPIDEMIOLOGY&lt;/keyword&gt;&lt;/keywords&gt;&lt;urls&gt;&lt;related-urls&gt;&lt;url&gt;&amp;lt;Go to ISI&amp;gt;://WOS:000074416800008&lt;/url&gt;&lt;/related-urls&gt;&lt;/urls&gt;&lt;isbn&gt;0149-5992&lt;/isbn&gt;&lt;work-type&gt;Article&lt;/work-type&gt;&lt;titles&gt;&lt;title&gt;Multicenter study of the incidence of and predictive risk factors for diabetic neuropathic foot ulceration&lt;/title&gt;&lt;secondary-title&gt;Diabetes Care&lt;/secondary-title&gt;&lt;alt-title&gt;Diabetes Care&lt;/alt-title&gt;&lt;/titles&gt;&lt;pages&gt;1071-1075&lt;/pages&gt;&lt;number&gt;7&lt;/number&gt;&lt;contributors&gt;&lt;authors&gt;&lt;author&gt;Abbott, C. A.&lt;/author&gt;&lt;author&gt;Vileikyte, L.&lt;/author&gt;&lt;author&gt;Williamson, S.&lt;/author&gt;&lt;author&gt;Carrington, A. L.&lt;/author&gt;&lt;author&gt;Boulton, A. J. M.&lt;/author&gt;&lt;/authors&gt;&lt;/contributors&gt;&lt;language&gt;English&lt;/language&gt;&lt;added-date format="utc"&gt;1354019255&lt;/added-date&gt;&lt;ref-type name="Journal Article"&gt;17&lt;/ref-type&gt;&lt;auth-address&gt;Manchester Royal Infirm, Dept Med, Manchester M13 9WL, Lancs, England.&amp;#13;Abbott, CA (reprint author), Withington Hosp, Disablement Serv Ctr, Diabet Foot Clin, Cavendish Rd, Manchester M20 8LB, Lancs, England.&amp;#13;caroline@footclinic.demon.co.uk&lt;/auth-address&gt;&lt;rec-number&gt;343&lt;/rec-number&gt;&lt;last-updated-date format="utc"&gt;1354097606&lt;/last-updated-date&gt;&lt;accession-num&gt;WOS:000074416800008&lt;/accession-num&gt;&lt;electronic-resource-num&gt;10.2337/diacare.21.7.1071&lt;/electronic-resource-num&gt;&lt;volume&gt;21&lt;/volume&gt;&lt;/record&gt;&lt;/Cite&gt;&lt;Cite  &gt;&lt;Author&gt;Cabezas-Cerrato&lt;/Author&gt;&lt;Year&gt;1998&lt;/Year&gt;&lt;RecNum&gt;93&lt;/RecNum&gt;&lt;record&gt;&lt;research-notes&gt;no mention of painful neuropathy in this study and very small numbers of type 1&lt;/research-notes&gt;&lt;dates&gt;&lt;pub-dates&gt;&lt;date&gt;Nov&lt;/date&gt;&lt;/pub-dates&gt;&lt;year&gt;1998&lt;/year&gt;&lt;/dates&gt;&lt;keywords&gt;&lt;keyword&gt;Adolescent&lt;/keyword&gt;&lt;keyword&gt;Adult&lt;/keyword&gt;&lt;keyword&gt;Age Factors&lt;/keyword&gt;&lt;keyword&gt;Aged&lt;/keyword&gt;&lt;keyword&gt;Confidence Intervals&lt;/keyword&gt;&lt;keyword&gt;Diabetes Mellitus, Type 1&lt;/keyword&gt;&lt;keyword&gt;Diabetes Mellitus, Type 2&lt;/keyword&gt;&lt;keyword&gt;Diabetic Neuropathies&lt;/keyword&gt;&lt;keyword&gt;Family Practice&lt;/keyword&gt;&lt;keyword&gt;Female&lt;/keyword&gt;&lt;keyword&gt;Humans&lt;/keyword&gt;&lt;keyword&gt;Male&lt;/keyword&gt;&lt;keyword&gt;Middle Aged&lt;/keyword&gt;&lt;keyword&gt;Outpatient Clinics, Hospital&lt;/keyword&gt;&lt;keyword&gt;Prevalence&lt;/keyword&gt;&lt;keyword&gt;Regression Analysis&lt;/keyword&gt;&lt;keyword&gt;Sex Factors&lt;/keyword&gt;&lt;keyword&gt;Spain&lt;/keyword&gt;&lt;keyword&gt;Time Factors&lt;/keyword&gt;&lt;/keywords&gt;&lt;urls&gt;&lt;related-urls&gt;&lt;url&gt;http://www.ncbi.nlm.nih.gov/pubmed/9833931&lt;/url&gt;&lt;/related-urls&gt;&lt;/urls&gt;&lt;isbn&gt;0012-186X&lt;/isbn&gt;&lt;titles&gt;&lt;title&gt;The prevalence of clinical diabetic polyneuropathy in Spain: a study in primary care and hospital clinic groups. Neuropathy Spanish Study Group of the Spanish Diabetes Society (SDS)&lt;/title&gt;&lt;secondary-title&gt;Diabetologia&lt;/secondary-title&gt;&lt;/titles&gt;&lt;pages&gt;1263-9&lt;/pages&gt;&lt;number&gt;11&lt;/number&gt;&lt;contributors&gt;&lt;authors&gt;&lt;author&gt;Cabezas-Cerrato, J.&lt;/author&gt;&lt;/authors&gt;&lt;/contributors&gt;&lt;language&gt;eng&lt;/language&gt;&lt;added-date format="utc"&gt;1350300222&lt;/added-date&gt;&lt;ref-type name="Journal Article"&gt;17&lt;/ref-type&gt;&lt;auth-address&gt;Department of Endocrinology and Nutrition, C.H.U.S., Santiago de Compostela, Spain.&lt;/auth-address&gt;&lt;rec-number&gt;93&lt;/rec-number&gt;&lt;last-updated-date format="utc"&gt;1350312087&lt;/last-updated-date&gt;&lt;accession-num&gt;9833931&lt;/accession-num&gt;&lt;volume&gt;41&lt;/volume&gt;&lt;/record&gt;&lt;/Cite&gt;&lt;Cite  &gt;&lt;Author&gt;Pop-Busui&lt;/Author&gt;&lt;Year&gt;2010&lt;/Year&gt;&lt;RecNum&gt;122&lt;/RecNum&gt;&lt;record&gt;&lt;dates&gt;&lt;pub-dates&gt;&lt;date&gt;Aug&lt;/date&gt;&lt;/pub-dates&gt;&lt;year&gt;2010&lt;/year&gt;&lt;/dates&gt;&lt;urls&gt;&lt;related-urls&gt;&lt;url&gt;&amp;lt;Go to ISI&amp;gt;://WOS:000279128900004&lt;/url&gt;&lt;/related-urls&gt;&lt;/urls&gt;&lt;isbn&gt;1534-4827&lt;/isbn&gt;&lt;titles&gt;&lt;title&gt;DCCT and EDIC Studies in Type 1 Diabetes: Lessons for Diabetic Neuropathy Regarding Metabolic Memory and Natural History&lt;/title&gt;&lt;secondary-title&gt;Current Diabetes Reports&lt;/secondary-title&gt;&lt;/titles&gt;&lt;pages&gt;276-282&lt;/pages&gt;&lt;number&gt;4&lt;/number&gt;&lt;contributors&gt;&lt;authors&gt;&lt;author&gt;Pop-Busui, Rodica&lt;/author&gt;&lt;author&gt;Herman, William H.&lt;/author&gt;&lt;author&gt;Feldman, Eva L.&lt;/author&gt;&lt;author&gt;Low, Phillip A.&lt;/author&gt;&lt;author&gt;Martin, Catherine L.&lt;/author&gt;&lt;author&gt;Cleary, Patricia A.&lt;/author&gt;&lt;author&gt;Waberski, Barbara H.&lt;/author&gt;&lt;author&gt;Lachin, John M.&lt;/author&gt;&lt;author&gt;Albers, James W.&lt;/author&gt;&lt;author&gt;Dcct Edic Res Grp&lt;/author&gt;&lt;/authors&gt;&lt;/contributors&gt;&lt;added-date format="utc"&gt;1351606878&lt;/added-date&gt;&lt;ref-type name="Journal Article"&gt;17&lt;/ref-type&gt;&lt;rec-number&gt;122&lt;/rec-number&gt;&lt;last-updated-date format="utc"&gt;1352729552&lt;/last-updated-date&gt;&lt;accession-num&gt;WOS:000279128900004&lt;/accession-num&gt;&lt;electronic-resource-num&gt;10.1007/s11892-010-0120-8&lt;/electronic-resource-num&gt;&lt;volume&gt;10&lt;/volume&gt;&lt;/record&gt;&lt;/Cite&gt;&lt;/EndNote&gt;</w:instrText>
      </w:r>
      <w:r w:rsidRPr="00AF0E0B">
        <w:rPr>
          <w:rFonts w:eastAsia="Arial Unicode MS" w:cs="Arial Unicode MS"/>
          <w:color w:val="000000"/>
          <w:u w:color="000000"/>
          <w:bdr w:val="nil"/>
          <w:lang w:val="en-US" w:eastAsia="en-GB"/>
        </w:rPr>
        <w:fldChar w:fldCharType="separate"/>
      </w:r>
      <w:r w:rsidRPr="00AF0E0B">
        <w:rPr>
          <w:rFonts w:eastAsia="Arial Unicode MS" w:cs="Arial Unicode MS"/>
          <w:color w:val="000000"/>
          <w:u w:color="000000"/>
          <w:bdr w:val="nil"/>
          <w:lang w:val="en-US" w:eastAsia="en-GB"/>
        </w:rPr>
        <w:t>(Tesfaye et al., 1996b, Abbott et al., 1998, Cabezas-Cerrato, 1998, Pop-Busui et al., 2010)</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t>.</w:t>
      </w:r>
    </w:p>
    <w:p w14:paraId="1F9CD706" w14:textId="77777777" w:rsidR="00AF0E0B" w:rsidRPr="00AF0E0B" w:rsidRDefault="00AF0E0B" w:rsidP="0031237D">
      <w:pPr>
        <w:pStyle w:val="Heading3"/>
      </w:pPr>
      <w:bookmarkStart w:id="24" w:name="_Toc49972677"/>
      <w:bookmarkStart w:id="25" w:name="_Toc64723864"/>
      <w:r w:rsidRPr="00AF0E0B">
        <w:t>Complications of Diabetic Neuropathy</w:t>
      </w:r>
      <w:bookmarkEnd w:id="24"/>
      <w:bookmarkEnd w:id="25"/>
    </w:p>
    <w:p w14:paraId="5EF1C2E4" w14:textId="2B015ADD"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eastAsia="Arial Unicode MS" w:cs="Arial Unicode MS"/>
          <w:color w:val="000000"/>
          <w:u w:color="000000"/>
          <w:bdr w:val="nil"/>
          <w:lang w:val="en-US" w:eastAsia="en-GB"/>
        </w:rPr>
        <w:t xml:space="preserve">DN has complications of its own.  Insensitivity to trauma due to “negative symptoms” including hypo- or an-aesthesia, and hypo- or an-algesia,  predispose one to foot ulceration </w:t>
      </w:r>
      <w:r w:rsidRPr="00AF0E0B">
        <w:rPr>
          <w:rFonts w:eastAsia="Arial Unicode MS" w:cs="Arial Unicode MS"/>
          <w:color w:val="000000"/>
          <w:u w:color="000000"/>
          <w:bdr w:val="nil"/>
          <w:lang w:val="en-US" w:eastAsia="en-GB"/>
        </w:rPr>
        <w:fldChar w:fldCharType="begin">
          <w:fldData xml:space="preserve">PEVuZE5vdGU+PENpdGU+PEF1dGhvcj5BYmJvdHQ8L0F1dGhvcj48WWVhcj4xOTk4PC9ZZWFyPjxS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</w:fldData>
        </w:fldChar>
      </w:r>
      <w:r w:rsidR="009968E0">
        <w:rPr>
          <w:rFonts w:eastAsia="Arial Unicode MS" w:cs="Arial Unicode MS"/>
          <w:color w:val="000000"/>
          <w:u w:color="000000"/>
          <w:bdr w:val="nil"/>
          <w:lang w:val="en-US" w:eastAsia="en-GB"/>
        </w:rPr>
        <w:instrText xml:space="preserve"> ADDIN EN.CITE </w:instrText>
      </w:r>
      <w:r w:rsidR="009968E0">
        <w:rPr>
          <w:rFonts w:eastAsia="Arial Unicode MS" w:cs="Arial Unicode MS"/>
          <w:color w:val="000000"/>
          <w:u w:color="000000"/>
          <w:bdr w:val="nil"/>
          <w:lang w:val="en-US" w:eastAsia="en-GB"/>
        </w:rPr>
        <w:fldChar w:fldCharType="begin">
          <w:fldData xml:space="preserve">PEVuZE5vdGU+PENpdGU+PEF1dGhvcj5BYmJvdHQ8L0F1dGhvcj48WWVhcj4xOTk4PC9ZZWFyPjxS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</w:fldData>
        </w:fldChar>
      </w:r>
      <w:r w:rsidR="009968E0">
        <w:rPr>
          <w:rFonts w:eastAsia="Arial Unicode MS" w:cs="Arial Unicode MS"/>
          <w:color w:val="000000"/>
          <w:u w:color="000000"/>
          <w:bdr w:val="nil"/>
          <w:lang w:val="en-US" w:eastAsia="en-GB"/>
        </w:rPr>
        <w:instrText xml:space="preserve"> ADDIN EN.CITE.DATA </w:instrText>
      </w:r>
      <w:r w:rsidR="009968E0">
        <w:rPr>
          <w:rFonts w:eastAsia="Arial Unicode MS" w:cs="Arial Unicode MS"/>
          <w:color w:val="000000"/>
          <w:u w:color="000000"/>
          <w:bdr w:val="nil"/>
          <w:lang w:val="en-US" w:eastAsia="en-GB"/>
        </w:rPr>
      </w:r>
      <w:r w:rsidR="009968E0">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r>
      <w:r w:rsidRPr="00AF0E0B">
        <w:rPr>
          <w:rFonts w:eastAsia="Arial Unicode MS" w:cs="Arial Unicode MS"/>
          <w:color w:val="000000"/>
          <w:u w:color="000000"/>
          <w:bdr w:val="nil"/>
          <w:lang w:val="en-US" w:eastAsia="en-GB"/>
        </w:rPr>
        <w:fldChar w:fldCharType="separate"/>
      </w:r>
      <w:r w:rsidR="009968E0">
        <w:rPr>
          <w:rFonts w:eastAsia="Arial Unicode MS" w:cs="Arial Unicode MS"/>
          <w:noProof/>
          <w:color w:val="000000"/>
          <w:u w:color="000000"/>
          <w:bdr w:val="nil"/>
          <w:lang w:val="en-US" w:eastAsia="en-GB"/>
        </w:rPr>
        <w:t>(Abbott et al., 1998, Abbott et al., 2002, Jude and Boulton, 1999)</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t xml:space="preserve">; Charcot neuro-arthropathy of the foot </w:t>
      </w:r>
      <w:r w:rsidRPr="00AF0E0B">
        <w:rPr>
          <w:rFonts w:eastAsia="Arial Unicode MS" w:cs="Arial Unicode MS"/>
          <w:color w:val="000000"/>
          <w:u w:color="000000"/>
          <w:bdr w:val="nil"/>
          <w:lang w:val="fr-FR" w:eastAsia="en-GB"/>
        </w:rPr>
        <w:fldChar w:fldCharType="begin"/>
      </w:r>
      <w:r w:rsidRPr="00AF0E0B">
        <w:rPr>
          <w:rFonts w:eastAsia="Arial Unicode MS" w:cs="Arial Unicode MS"/>
          <w:color w:val="000000"/>
          <w:u w:color="000000"/>
          <w:bdr w:val="nil"/>
          <w:lang w:val="fr-FR" w:eastAsia="en-GB"/>
        </w:rPr>
        <w:instrText xml:space="preserve"> ADDIN EN.CITE &lt;EndNote&gt;&lt;Cite  &gt;&lt;Author&gt;Rogers&lt;/Author&gt;&lt;Year&gt;2011&lt;/Year&gt;&lt;RecNum&gt;351&lt;/RecNum&gt;&lt;DisplayText&gt;(Rogers et al., 2011)&lt;/DisplayText&gt;&lt;record&gt;&lt;dates&gt;&lt;pub-dates&gt;&lt;date&gt;Sep&lt;/date&gt;&lt;/pub-dates&gt;&lt;year&gt;2011&lt;/year&gt;&lt;/dates&gt;&lt;urls&gt;&lt;related-urls&gt;&lt;url&gt;&amp;lt;Go to ISI&amp;gt;://WOS:000295195100041&lt;/url&gt;&lt;/related-urls&gt;&lt;/urls&gt;&lt;isbn&gt;0149-5992&lt;/isbn&gt;&lt;titles&gt;&lt;title&gt;The Charcot Foot in Diabetes&lt;/title&gt;&lt;secondary-title&gt;Diabetes Care&lt;/secondary-title&gt;&lt;/titles&gt;&lt;number&gt;9&lt;/number&gt;&lt;contributors&gt;&lt;authors&gt;&lt;author&gt;Rogers, Lee C.&lt;/author&gt;&lt;author&gt;Frykberg, Robert G.&lt;/author&gt;&lt;author&gt;Armstrong, David G.&lt;/author&gt;&lt;author&gt;Boulton, Andrew J. M.&lt;/author&gt;&lt;author&gt;Edmonds, Michael&lt;/author&gt;&lt;author&gt;Ha Van, Georges&lt;/author&gt;&lt;author&gt;Hartemann, Agnes&lt;/author&gt;&lt;author&gt;Game, Frances&lt;/author&gt;&lt;author&gt;Jefecoate, William&lt;/author&gt;&lt;author&gt;Jirkovska, Alexandra&lt;/author&gt;&lt;author&gt;Jude, Edward&lt;/author&gt;&lt;author&gt;Morbach, Stephan&lt;/author&gt;&lt;author&gt;Morrison, William B.&lt;/author&gt;&lt;author&gt;Pinzur, Michael&lt;/author&gt;&lt;author&gt;Pitocco, Dario&lt;/author&gt;&lt;author&gt;Sanders, Lee&lt;/author&gt;&lt;author&gt;Wukich, Dane K.&lt;/author&gt;&lt;author&gt;Uccioli, Luigi&lt;/author&gt;&lt;/authors&gt;&lt;/contributors&gt;&lt;added-date format="utc"&gt;1354101916&lt;/added-date&gt;&lt;ref-type name="Journal Article"&gt;17&lt;/ref-type&gt;&lt;rec-number&gt;351&lt;/rec-number&gt;&lt;last-updated-date format="utc"&gt;1354885189&lt;/last-updated-date&gt;&lt;accession-num&gt;WOS:000295195100041&lt;/accession-num&gt;&lt;electronic-resource-num&gt;10.2337/dc11-0844&lt;/electronic-resource-num&gt;&lt;volume&gt;34&lt;/volume&gt;&lt;/record&gt;&lt;/Cite&gt;&lt;/EndNote&gt;</w:instrText>
      </w:r>
      <w:r w:rsidRPr="00AF0E0B">
        <w:rPr>
          <w:rFonts w:eastAsia="Arial Unicode MS" w:cs="Arial Unicode MS"/>
          <w:color w:val="000000"/>
          <w:u w:color="000000"/>
          <w:bdr w:val="nil"/>
          <w:lang w:val="fr-FR" w:eastAsia="en-GB"/>
        </w:rPr>
        <w:fldChar w:fldCharType="separate"/>
      </w:r>
      <w:r w:rsidRPr="00AF0E0B">
        <w:rPr>
          <w:rFonts w:eastAsia="Arial Unicode MS" w:cs="Arial Unicode MS"/>
          <w:color w:val="000000"/>
          <w:u w:color="000000"/>
          <w:bdr w:val="nil"/>
          <w:lang w:val="fr-FR" w:eastAsia="en-GB"/>
        </w:rPr>
        <w:t>(Rogers et al., 2011)</w:t>
      </w:r>
      <w:r w:rsidRPr="00AF0E0B">
        <w:rPr>
          <w:rFonts w:eastAsia="Arial Unicode MS" w:cs="Arial Unicode MS"/>
          <w:color w:val="000000"/>
          <w:u w:color="000000"/>
          <w:bdr w:val="nil"/>
          <w:lang w:val="fr-FR" w:eastAsia="en-GB"/>
        </w:rPr>
        <w:fldChar w:fldCharType="end"/>
      </w:r>
      <w:r w:rsidRPr="00AF0E0B">
        <w:rPr>
          <w:rFonts w:eastAsia="Arial Unicode MS" w:cs="Arial Unicode MS"/>
          <w:color w:val="000000"/>
          <w:u w:color="000000"/>
          <w:bdr w:val="nil"/>
          <w:lang w:val="en-US" w:eastAsia="en-GB"/>
        </w:rPr>
        <w:t xml:space="preserve">; and amputation </w:t>
      </w:r>
      <w:r w:rsidRPr="00AF0E0B">
        <w:rPr>
          <w:rFonts w:eastAsia="Arial Unicode MS" w:cs="Arial Unicode MS"/>
          <w:color w:val="000000"/>
          <w:u w:color="000000"/>
          <w:bdr w:val="nil"/>
          <w:lang w:val="da-DK" w:eastAsia="en-GB"/>
        </w:rPr>
        <w:fldChar w:fldCharType="begin"/>
      </w:r>
      <w:r w:rsidRPr="00AF0E0B">
        <w:rPr>
          <w:rFonts w:eastAsia="Arial Unicode MS" w:cs="Arial Unicode MS"/>
          <w:color w:val="000000"/>
          <w:u w:color="000000"/>
          <w:bdr w:val="nil"/>
          <w:lang w:val="da-DK" w:eastAsia="en-GB"/>
        </w:rPr>
        <w:instrText xml:space="preserve"> ADDIN EN.CITE &lt;EndNote&gt;&lt;Cite  &gt;&lt;Author&gt;Adler&lt;/Author&gt;&lt;Year&gt;1999&lt;/Year&gt;&lt;RecNum&gt;346&lt;/RecNum&gt;&lt;DisplayText&gt;(Adler et al., 1999)&lt;/DisplayText&gt;&lt;record&gt;&lt;dates&gt;&lt;pub-dates&gt;&lt;date&gt;Jul&lt;/date&gt;&lt;/pub-dates&gt;&lt;year&gt;1999&lt;/year&gt;&lt;/dates&gt;&lt;urls&gt;&lt;related-urls&gt;&lt;url&gt;&amp;lt;Go to ISI&amp;gt;://WOS:000081018900003&lt;/url&gt;&lt;/related-urls&gt;&lt;/urls&gt;&lt;isbn&gt;0149-5992&lt;/isbn&gt;&lt;titles&gt;&lt;title&gt;Lower-extremity amputation in diabetes - The independent effects of peripheral vascular disease, sensory neuropathy, and foot ulcers&lt;/title&gt;&lt;secondary-title&gt;Diabetes Care&lt;/secondary-title&gt;&lt;/titles&gt;&lt;number&gt;7&lt;/number&gt;&lt;contributors&gt;&lt;authors&gt;&lt;author&gt;Adler, A. I.&lt;/author&gt;&lt;author&gt;Boyko, E. J.&lt;/author&gt;&lt;author&gt;Ahroni, J. H.&lt;/author&gt;&lt;author&gt;Smith, D. G.&lt;/author&gt;&lt;/authors&gt;&lt;/contributors&gt;&lt;added-date format="utc"&gt;1354022082&lt;/added-date&gt;&lt;ref-type name="Journal Article"&gt;17&lt;/ref-type&gt;&lt;rec-number&gt;346&lt;/rec-number&gt;&lt;last-updated-date format="utc"&gt;1354097673&lt;/last-updated-date&gt;&lt;accession-num&gt;WOS:000081018900003&lt;/accession-num&gt;&lt;electronic-resource-num&gt;10.2337/diacare.22.7.1029&lt;/electronic-resource-num&gt;&lt;volume&gt;22&lt;/volume&gt;&lt;/record&gt;&lt;/Cite&gt;&lt;/EndNote&gt;</w:instrText>
      </w:r>
      <w:r w:rsidRPr="00AF0E0B">
        <w:rPr>
          <w:rFonts w:eastAsia="Arial Unicode MS" w:cs="Arial Unicode MS"/>
          <w:color w:val="000000"/>
          <w:u w:color="000000"/>
          <w:bdr w:val="nil"/>
          <w:lang w:val="da-DK" w:eastAsia="en-GB"/>
        </w:rPr>
        <w:fldChar w:fldCharType="separate"/>
      </w:r>
      <w:r w:rsidRPr="00AF0E0B">
        <w:rPr>
          <w:rFonts w:eastAsia="Arial Unicode MS" w:cs="Arial Unicode MS"/>
          <w:color w:val="000000"/>
          <w:u w:color="000000"/>
          <w:bdr w:val="nil"/>
          <w:lang w:val="da-DK" w:eastAsia="en-GB"/>
        </w:rPr>
        <w:t>(Adler et al., 1999)</w:t>
      </w:r>
      <w:r w:rsidRPr="00AF0E0B">
        <w:rPr>
          <w:rFonts w:eastAsia="Arial Unicode MS" w:cs="Arial Unicode MS"/>
          <w:color w:val="000000"/>
          <w:u w:color="000000"/>
          <w:bdr w:val="nil"/>
          <w:lang w:val="da-DK" w:eastAsia="en-GB"/>
        </w:rPr>
        <w:fldChar w:fldCharType="end"/>
      </w:r>
      <w:r w:rsidRPr="00AF0E0B">
        <w:rPr>
          <w:rFonts w:eastAsia="Arial Unicode MS" w:cs="Arial Unicode MS"/>
          <w:color w:val="000000"/>
          <w:u w:color="000000"/>
          <w:bdr w:val="nil"/>
          <w:lang w:val="en-US" w:eastAsia="en-GB"/>
        </w:rPr>
        <w:t xml:space="preserve">. Lower limb amputations secondary to DN are associated with increased mortality </w:t>
      </w:r>
      <w:r w:rsidRPr="00AF0E0B">
        <w:rPr>
          <w:rFonts w:eastAsia="Arial Unicode MS" w:cs="Arial Unicode MS"/>
          <w:color w:val="000000"/>
          <w:u w:color="000000"/>
          <w:bdr w:val="nil"/>
          <w:lang w:val="en-US" w:eastAsia="en-GB"/>
        </w:rPr>
        <w:fldChar w:fldCharType="begin"/>
      </w:r>
      <w:r w:rsidRPr="00AF0E0B">
        <w:rPr>
          <w:rFonts w:eastAsia="Arial Unicode MS" w:cs="Arial Unicode MS"/>
          <w:color w:val="000000"/>
          <w:u w:color="000000"/>
          <w:bdr w:val="nil"/>
          <w:lang w:val="en-US" w:eastAsia="en-GB"/>
        </w:rPr>
        <w:instrText xml:space="preserve"> ADDIN EN.CITE &lt;EndNote&gt;&lt;Cite  &gt;&lt;Author&gt;Ramsey&lt;/Author&gt;&lt;Year&gt;1999&lt;/Year&gt;&lt;RecNum&gt;354&lt;/RecNum&gt;&lt;DisplayText&gt;(Ramsey et al., 1999, Jeffcoate et al., 2006, Brownrigg et al., 2012)&lt;/DisplayText&gt;&lt;record&gt;&lt;dates&gt;&lt;pub-dates&gt;&lt;date&gt;Mar&lt;/date&gt;&lt;/pub-dates&gt;&lt;year&gt;1999&lt;/year&gt;&lt;/dates&gt;&lt;urls&gt;&lt;related-urls&gt;&lt;url&gt;&amp;lt;Go to ISI&amp;gt;://WOS:000078806400002&lt;/url&gt;&lt;/related-urls&gt;&lt;/urls&gt;&lt;isbn&gt;0149-5992&lt;/isbn&gt;&lt;titles&gt;&lt;title&gt;Incidence, outcomes, and cost of foot ulcers in patients with diabetes&lt;/title&gt;&lt;secondary-title&gt;Diabetes Care&lt;/secondary-title&gt;&lt;/titles&gt;&lt;pages&gt;382-387&lt;/pages&gt;&lt;number&gt;3&lt;/number&gt;&lt;contributors&gt;&lt;authors&gt;&lt;author&gt;Ramsey, S. D.&lt;/author&gt;&lt;author&gt;Sandhu, N.&lt;/author&gt;&lt;author&gt;Newton, K.&lt;/author&gt;&lt;author&gt;Reiber, G. E.&lt;/author&gt;&lt;author&gt;Blough, D.&lt;/author&gt;&lt;author&gt;Wagner, E. H.&lt;/author&gt;&lt;author&gt;McCullough, D. K.&lt;/author&gt;&lt;/authors&gt;&lt;/contributors&gt;&lt;added-date format="utc"&gt;1354103877&lt;/added-date&gt;&lt;ref-type name="Journal Article"&gt;17&lt;/ref-type&gt;&lt;rec-number&gt;354&lt;/rec-number&gt;&lt;last-updated-date format="utc"&gt;1354885189&lt;/last-updated-date&gt;&lt;accession-num&gt;WOS:000078806400002&lt;/accession-num&gt;&lt;electronic-resource-num&gt;10.2337/diacare.22.3.382&lt;/electronic-resource-num&gt;&lt;volume&gt;22&lt;/volume&gt;&lt;/record&gt;&lt;/Cite&gt;&lt;Cite  &gt;&lt;Author&gt;Jeffcoate&lt;/Author&gt;&lt;Year&gt;2006&lt;/Year&gt;&lt;RecNum&gt;352&lt;/RecNum&gt;&lt;record&gt;&lt;dates&gt;&lt;pub-dates&gt;&lt;date&gt;Aug&lt;/date&gt;&lt;/pub-dates&gt;&lt;year&gt;2006&lt;/year&gt;&lt;/dates&gt;&lt;keywords&gt;&lt;keyword&gt;CLASSIFICATION&lt;/keyword&gt;&lt;keyword&gt;VALIDATION&lt;/keyword&gt;&lt;keyword&gt;SYSTEM&lt;/keyword&gt;&lt;/keywords&gt;&lt;urls&gt;&lt;related-urls&gt;&lt;url&gt;&amp;lt;Go to ISI&amp;gt;://WOS:000239589000010&lt;/url&gt;&lt;/related-urls&gt;&lt;/urls&gt;&lt;isbn&gt;0149-5992&lt;/isbn&gt;&lt;work-type&gt;Article&lt;/work-type&gt;&lt;titles&gt;&lt;title&gt;Assessing the outcome of the management of diabetic foot ulcers using ulcer-related and person-related measures&lt;/title&gt;&lt;secondary-title&gt;Diabetes Care&lt;/secondary-title&gt;&lt;alt-title&gt;Diabetes Care&lt;/alt-title&gt;&lt;/titles&gt;&lt;pages&gt;1784-1787&lt;/pages&gt;&lt;number&gt;8&lt;/number&gt;&lt;contributors&gt;&lt;authors&gt;&lt;author&gt;Jeffcoate, W. J.&lt;/author&gt;&lt;author&gt;Chipchase, S. Y.&lt;/author&gt;&lt;author&gt;Ince, P.&lt;/author&gt;&lt;author&gt;Game, F. L.&lt;/author&gt;&lt;/authors&gt;&lt;/contributors&gt;&lt;language&gt;English&lt;/language&gt;&lt;added-date format="utc"&gt;1354103539&lt;/added-date&gt;&lt;ref-type name="Journal Article"&gt;17&lt;/ref-type&gt;&lt;auth-address&gt;City Hosp, Dept Diabet &amp;amp; Endocrinol, Foot Ulcer Trials Unit, Nottingham NG5 1PB, England.&amp;#13;Jeffcoate, WJ (reprint author), City Hosp, Dept Diabet &amp;amp; Endocrinol, Foot Ulcer Trials Unit, Nottingham NG5 1PB, England.&amp;#13;wjeffcoate@futu.co.uk&lt;/auth-address&gt;&lt;rec-number&gt;352&lt;/rec-number&gt;&lt;last-updated-date format="utc"&gt;1354885085&lt;/last-updated-date&gt;&lt;accession-num&gt;WOS:000239589000010&lt;/accession-num&gt;&lt;electronic-resource-num&gt;10.2337/dc06-0306&lt;/electronic-resource-num&gt;&lt;volume&gt;29&lt;/volume&gt;&lt;/record&gt;&lt;/Cite&gt;&lt;Cite  &gt;&lt;Author&gt;Brownrigg&lt;/Author&gt;&lt;Year&gt;2012&lt;/Year&gt;&lt;RecNum&gt;353&lt;/RecNum&gt;&lt;record&gt;&lt;dates&gt;&lt;pub-dates&gt;&lt;date&gt;Nov&lt;/date&gt;&lt;/pub-dates&gt;&lt;year&gt;2012&lt;/year&gt;&lt;/dates&gt;&lt;keywords&gt;&lt;keyword&gt;Cardiovascular mortality&lt;/keyword&gt;&lt;keyword&gt;Diabetes&lt;/keyword&gt;&lt;keyword&gt;Diabetic foot ulcer&lt;/keyword&gt;&lt;keyword&gt;Meta-analysis&lt;/keyword&gt;&lt;keyword&gt;Mortality&lt;/keyword&gt;&lt;keyword&gt;RISK-FACTORS&lt;/keyword&gt;&lt;keyword&gt;MELLITUS&lt;/keyword&gt;&lt;keyword&gt;ULCERS&lt;/keyword&gt;&lt;keyword&gt;MEN&lt;/keyword&gt;&lt;keyword&gt;MICROALBUMINURIA&lt;/keyword&gt;&lt;keyword&gt;COMPLICATIONS&lt;/keyword&gt;&lt;keyword&gt;AMPUTATION&lt;/keyword&gt;&lt;keyword&gt;DURATION&lt;/keyword&gt;&lt;keyword&gt;PEOPLE&lt;/keyword&gt;&lt;keyword&gt;IMPACT&lt;/keyword&gt;&lt;/keywords&gt;&lt;urls&gt;&lt;related-urls&gt;&lt;url&gt;&amp;lt;Go to ISI&amp;gt;://WOS:000309561600005&lt;/url&gt;&lt;/related-urls&gt;&lt;/urls&gt;&lt;isbn&gt;0012-186X&lt;/isbn&gt;&lt;work-type&gt;Article&lt;/work-type&gt;&lt;titles&gt;&lt;title&gt;The association of ulceration of the foot with cardiovascular and all-cause mortality in patients with diabetes: a meta-analysis&lt;/title&gt;&lt;secondary-title&gt;Diabetologia&lt;/secondary-title&gt;&lt;alt-title&gt;Diabetologia&lt;/alt-title&gt;&lt;/titles&gt;&lt;pages&gt;2906-2912&lt;/pages&gt;&lt;number&gt;11&lt;/number&gt;&lt;contributors&gt;&lt;authors&gt;&lt;author&gt;Brownrigg, J. R. W.&lt;/author&gt;&lt;author&gt;Davey, J.&lt;/author&gt;&lt;author&gt;Holt, P. J.&lt;/author&gt;&lt;author&gt;Davis, W. A.&lt;/author&gt;&lt;author&gt;Thompson, M. M.&lt;/author&gt;&lt;author&gt;Ray, K. K.&lt;/author&gt;&lt;author&gt;Hinchliffe, R. J.&lt;/author&gt;&lt;/authors&gt;&lt;/contributors&gt;&lt;language&gt;English&lt;/language&gt;&lt;added-date format="utc"&gt;1354103842&lt;/added-date&gt;&lt;ref-type name="Journal Article"&gt;17&lt;/ref-type&gt;&lt;auth-address&gt;[Davey, J.&amp;#13;Ray, K. K.&amp;#13;Hinchliffe, R. J.] St Georges Univ London, London, England. [Brownrigg, J. R. W.&amp;#13;Holt, P. J.&amp;#13;Thompson, M. M.&amp;#13;Hinchliffe, R. J.] St Georges Healthcare NHS Trust, St Georges Vasc Inst, London SW17 0QT, England. [Davis, W. A.] Univ Western Australia, Fremantle Hosp, Sch Med &amp;amp; Pharmacol, Fremantle, WA, Australia.&amp;#13;Hinchliffe, RJ (reprint author), St Georges Univ London, London, England.&amp;#13;rhinchli@sgul.ac.uk&lt;/auth-address&gt;&lt;rec-number&gt;353&lt;/rec-number&gt;&lt;last-updated-date format="utc"&gt;1354884994&lt;/last-updated-date&gt;&lt;accession-num&gt;WOS:000309561600005&lt;/accession-num&gt;&lt;electronic-resource-num&gt;10.1007/s00125-012-2673-3&lt;/electronic-resource-num&gt;&lt;volume&gt;55&lt;/volume&gt;&lt;/record&gt;&lt;/Cite&gt;&lt;/EndNote&gt;</w:instrText>
      </w:r>
      <w:r w:rsidRPr="00AF0E0B">
        <w:rPr>
          <w:rFonts w:eastAsia="Arial Unicode MS" w:cs="Arial Unicode MS"/>
          <w:color w:val="000000"/>
          <w:u w:color="000000"/>
          <w:bdr w:val="nil"/>
          <w:lang w:val="en-US" w:eastAsia="en-GB"/>
        </w:rPr>
        <w:fldChar w:fldCharType="separate"/>
      </w:r>
      <w:r w:rsidRPr="00AF0E0B">
        <w:rPr>
          <w:rFonts w:eastAsia="Arial Unicode MS" w:cs="Arial Unicode MS"/>
          <w:color w:val="000000"/>
          <w:u w:color="000000"/>
          <w:bdr w:val="nil"/>
          <w:lang w:val="en-US" w:eastAsia="en-GB"/>
        </w:rPr>
        <w:t>(Ramsey et al., 1999, Jeffcoate et al., 2006, Brownrigg et al., 2012)</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t xml:space="preserve">.  Paradoxically, </w:t>
      </w:r>
      <w:r w:rsidRPr="00AF0E0B">
        <w:rPr>
          <w:rFonts w:eastAsia="Arial Unicode MS" w:cs="Arial Unicode MS"/>
          <w:color w:val="000000"/>
          <w:u w:color="000000"/>
          <w:bdr w:val="nil"/>
          <w:lang w:val="en-US" w:eastAsia="en-GB"/>
        </w:rPr>
        <w:lastRenderedPageBreak/>
        <w:t>patients with varying degrees of sensory loss can also experience “positive symptoms” that can be painful (</w:t>
      </w:r>
      <w:proofErr w:type="spellStart"/>
      <w:r w:rsidRPr="00AF0E0B">
        <w:rPr>
          <w:rFonts w:eastAsia="Arial Unicode MS" w:cs="Arial Unicode MS"/>
          <w:color w:val="000000"/>
          <w:u w:color="000000"/>
          <w:bdr w:val="nil"/>
          <w:lang w:val="en-US" w:eastAsia="en-GB"/>
        </w:rPr>
        <w:t>dysaesthesia</w:t>
      </w:r>
      <w:proofErr w:type="spellEnd"/>
      <w:r w:rsidRPr="00AF0E0B">
        <w:rPr>
          <w:rFonts w:eastAsia="Arial Unicode MS" w:cs="Arial Unicode MS"/>
          <w:color w:val="000000"/>
          <w:u w:color="000000"/>
          <w:bdr w:val="nil"/>
          <w:lang w:val="en-US" w:eastAsia="en-GB"/>
        </w:rPr>
        <w:t>): including burning, paroxysmal “electric shock”, “stabbing knife like” and unremitting aching pains; and non-painful (</w:t>
      </w:r>
      <w:proofErr w:type="spellStart"/>
      <w:r w:rsidRPr="00AF0E0B">
        <w:rPr>
          <w:rFonts w:eastAsia="Arial Unicode MS" w:cs="Arial Unicode MS"/>
          <w:color w:val="000000"/>
          <w:u w:color="000000"/>
          <w:bdr w:val="nil"/>
          <w:lang w:val="en-US" w:eastAsia="en-GB"/>
        </w:rPr>
        <w:t>paraesthesia</w:t>
      </w:r>
      <w:proofErr w:type="spellEnd"/>
      <w:r w:rsidRPr="00AF0E0B">
        <w:rPr>
          <w:rFonts w:eastAsia="Arial Unicode MS" w:cs="Arial Unicode MS"/>
          <w:color w:val="000000"/>
          <w:u w:color="000000"/>
          <w:bdr w:val="nil"/>
          <w:lang w:val="en-US" w:eastAsia="en-GB"/>
        </w:rPr>
        <w:t xml:space="preserve">): including tingling or pins and needles symptoms. A relative minority experience allodynia (a non-painful stimulus perceived as painful) and hyperalgesia (a slightly painful sensation perceived as being very painful). There is a large spectrum of combinations of both positive and negative symptoms </w:t>
      </w:r>
      <w:r w:rsidRPr="00AF0E0B">
        <w:rPr>
          <w:rFonts w:eastAsia="Arial Unicode MS" w:cs="Arial Unicode MS"/>
          <w:color w:val="000000"/>
          <w:u w:color="000000"/>
          <w:bdr w:val="nil"/>
          <w:lang w:val="en-US" w:eastAsia="en-GB"/>
        </w:rPr>
        <w:fldChar w:fldCharType="begin"/>
      </w:r>
      <w:r w:rsidRPr="00AF0E0B">
        <w:rPr>
          <w:rFonts w:eastAsia="Arial Unicode MS" w:cs="Arial Unicode MS"/>
          <w:color w:val="000000"/>
          <w:u w:color="000000"/>
          <w:bdr w:val="nil"/>
          <w:lang w:val="en-US" w:eastAsia="en-GB"/>
        </w:rPr>
        <w:instrText xml:space="preserve"> ADDIN EN.CITE &lt;EndNote&gt;&lt;Cite  &gt;&lt;Author&gt;Tesfaye&lt;/Author&gt;&lt;Year&gt;2011&lt;/Year&gt;&lt;RecNum&gt;256&lt;/RecNum&gt;&lt;DisplayText&gt;(Tesfaye et al., 2011)&lt;/DisplayText&gt;&lt;record&gt;&lt;dates&gt;&lt;pub-dates&gt;&lt;date&gt;Oct&lt;/date&gt;&lt;/pub-dates&gt;&lt;year&gt;2011&lt;/year&gt;&lt;/dates&gt;&lt;urls&gt;&lt;related-urls&gt;&lt;url&gt;&amp;lt;Go to ISI&amp;gt;://WOS:000300106100003&lt;/url&gt;&lt;/related-urls&gt;&lt;/urls&gt;&lt;isbn&gt;1520-7552&lt;/isbn&gt;&lt;titles&gt;&lt;title&gt;Painful diabetic peripheral neuropathy: consensus recommendations on diagnosis, assessment and management&lt;/title&gt;&lt;secondary-title&gt;Diabetes-Metabolism Research and Reviews&lt;/secondary-title&gt;&lt;/titles&gt;&lt;pages&gt;629-638&lt;/pages&gt;&lt;number&gt;7&lt;/number&gt;&lt;contributors&gt;&lt;authors&gt;&lt;author&gt;Tesfaye, S.&lt;/author&gt;&lt;author&gt;Vileikyte, L.&lt;/author&gt;&lt;author&gt;Rayman, G.&lt;/author&gt;&lt;author&gt;Sindrup, S. H.&lt;/author&gt;&lt;author&gt;Perkins, B. A.&lt;/author&gt;&lt;author&gt;Baconja, M.&lt;/author&gt;&lt;author&gt;Vinik, A. I.&lt;/author&gt;&lt;author&gt;Boulton, A. J. M.&lt;/author&gt;&lt;author&gt;Toronto Expert Panel, Diabet&lt;/author&gt;&lt;/authors&gt;&lt;/contributors&gt;&lt;added-date format="utc"&gt;1353073110&lt;/added-date&gt;&lt;ref-type name="Journal Article"&gt;17&lt;/ref-type&gt;&lt;rec-number&gt;256&lt;/rec-number&gt;&lt;last-updated-date format="utc"&gt;1353077842&lt;/last-updated-date&gt;&lt;accession-num&gt;WOS:000300106100003&lt;/accession-num&gt;&lt;electronic-resource-num&gt;10.1002/dmrr.1225&lt;/electronic-resource-num&gt;&lt;volume&gt;27&lt;/volume&gt;&lt;/record&gt;&lt;/Cite&gt;&lt;/EndNote&gt;</w:instrText>
      </w:r>
      <w:r w:rsidRPr="00AF0E0B">
        <w:rPr>
          <w:rFonts w:eastAsia="Arial Unicode MS" w:cs="Arial Unicode MS"/>
          <w:color w:val="000000"/>
          <w:u w:color="000000"/>
          <w:bdr w:val="nil"/>
          <w:lang w:val="en-US" w:eastAsia="en-GB"/>
        </w:rPr>
        <w:fldChar w:fldCharType="separate"/>
      </w:r>
      <w:r w:rsidRPr="00AF0E0B">
        <w:rPr>
          <w:rFonts w:eastAsia="Arial Unicode MS" w:cs="Arial Unicode MS"/>
          <w:color w:val="000000"/>
          <w:u w:color="000000"/>
          <w:bdr w:val="nil"/>
          <w:lang w:val="en-US" w:eastAsia="en-GB"/>
        </w:rPr>
        <w:t>(Tesfaye et al., 2011)</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t xml:space="preserve">.  These symptoms can be very distressing, and result in a decreased quality of life despite treatment </w:t>
      </w:r>
      <w:r w:rsidRPr="00AF0E0B">
        <w:rPr>
          <w:rFonts w:eastAsia="Arial Unicode MS" w:cs="Arial Unicode MS"/>
          <w:color w:val="000000"/>
          <w:u w:color="000000"/>
          <w:bdr w:val="nil"/>
          <w:lang w:val="en-US" w:eastAsia="en-GB"/>
        </w:rPr>
        <w:fldChar w:fldCharType="begin">
          <w:fldData xml:space="preserve">PEVuZE5vdGU+PENpdGU+PEF1dGhvcj5CZW5ib3c8L0F1dGhvcj48WWVhcj4xOTk4PC9ZZWFyPjxS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</w:fldData>
        </w:fldChar>
      </w:r>
      <w:r w:rsidR="00187FE0">
        <w:rPr>
          <w:rFonts w:eastAsia="Arial Unicode MS" w:cs="Arial Unicode MS"/>
          <w:color w:val="000000"/>
          <w:u w:color="000000"/>
          <w:bdr w:val="nil"/>
          <w:lang w:val="en-US" w:eastAsia="en-GB"/>
        </w:rPr>
        <w:instrText xml:space="preserve"> ADDIN EN.CITE </w:instrText>
      </w:r>
      <w:r w:rsidR="00187FE0">
        <w:rPr>
          <w:rFonts w:eastAsia="Arial Unicode MS" w:cs="Arial Unicode MS"/>
          <w:color w:val="000000"/>
          <w:u w:color="000000"/>
          <w:bdr w:val="nil"/>
          <w:lang w:val="en-US" w:eastAsia="en-GB"/>
        </w:rPr>
        <w:fldChar w:fldCharType="begin">
          <w:fldData xml:space="preserve">PEVuZE5vdGU+PENpdGU+PEF1dGhvcj5CZW5ib3c8L0F1dGhvcj48WWVhcj4xOTk4PC9ZZWFyPjxS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</w:fldData>
        </w:fldChar>
      </w:r>
      <w:r w:rsidR="00187FE0">
        <w:rPr>
          <w:rFonts w:eastAsia="Arial Unicode MS" w:cs="Arial Unicode MS"/>
          <w:color w:val="000000"/>
          <w:u w:color="000000"/>
          <w:bdr w:val="nil"/>
          <w:lang w:val="en-US" w:eastAsia="en-GB"/>
        </w:rPr>
        <w:instrText xml:space="preserve"> ADDIN EN.CITE.DATA </w:instrText>
      </w:r>
      <w:r w:rsidR="00187FE0">
        <w:rPr>
          <w:rFonts w:eastAsia="Arial Unicode MS" w:cs="Arial Unicode MS"/>
          <w:color w:val="000000"/>
          <w:u w:color="000000"/>
          <w:bdr w:val="nil"/>
          <w:lang w:val="en-US" w:eastAsia="en-GB"/>
        </w:rPr>
      </w:r>
      <w:r w:rsidR="00187FE0">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r>
      <w:r w:rsidRPr="00AF0E0B">
        <w:rPr>
          <w:rFonts w:eastAsia="Arial Unicode MS" w:cs="Arial Unicode MS"/>
          <w:color w:val="000000"/>
          <w:u w:color="000000"/>
          <w:bdr w:val="nil"/>
          <w:lang w:val="en-US" w:eastAsia="en-GB"/>
        </w:rPr>
        <w:fldChar w:fldCharType="separate"/>
      </w:r>
      <w:r w:rsidR="00187FE0">
        <w:rPr>
          <w:rFonts w:eastAsia="Arial Unicode MS" w:cs="Arial Unicode MS"/>
          <w:noProof/>
          <w:color w:val="000000"/>
          <w:u w:color="000000"/>
          <w:bdr w:val="nil"/>
          <w:lang w:val="en-US" w:eastAsia="en-GB"/>
        </w:rPr>
        <w:t>(Benbow et al., 1998, Gore et al., 2005, Currie et al., 2006, Tolle et al., 2006, Jensen et al., 2007, Viala-Danten et al., 2008, Doth et al., 2010, Hoffman et al., 2010, daCosta DiBonaventura et al., 2011)</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t xml:space="preserve">.  </w:t>
      </w:r>
    </w:p>
    <w:p w14:paraId="7BCE8A21" w14:textId="2C456A55" w:rsidR="00AF0E0B" w:rsidRPr="00AF0E0B" w:rsidRDefault="00AF0E0B" w:rsidP="009F58A0">
      <w:pPr>
        <w:pStyle w:val="Subtitle"/>
      </w:pPr>
      <w:bookmarkStart w:id="26" w:name="_headingh.26in1rg"/>
      <w:bookmarkStart w:id="27" w:name="_Toc49972740"/>
      <w:bookmarkStart w:id="28" w:name="_Toc64724162"/>
      <w:bookmarkEnd w:id="26"/>
      <w:r w:rsidRPr="00AF0E0B">
        <w:t xml:space="preserve">Figure 1.1  Symptoms of </w:t>
      </w:r>
      <w:r w:rsidR="00457903">
        <w:t>D</w:t>
      </w:r>
      <w:r w:rsidRPr="00AF0E0B">
        <w:t xml:space="preserve">iabetic </w:t>
      </w:r>
      <w:r w:rsidR="00457903">
        <w:t>P</w:t>
      </w:r>
      <w:r w:rsidRPr="00AF0E0B">
        <w:t xml:space="preserve">eripheral </w:t>
      </w:r>
      <w:r w:rsidR="00457903">
        <w:t>N</w:t>
      </w:r>
      <w:r w:rsidRPr="00AF0E0B">
        <w:t>europathy</w:t>
      </w:r>
      <w:bookmarkEnd w:id="27"/>
      <w:bookmarkEnd w:id="28"/>
    </w:p>
    <w:p w14:paraId="3D960402" w14:textId="77777777"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eastAsia="Arial Unicode MS" w:cs="Arial Unicode MS"/>
          <w:noProof/>
          <w:color w:val="000000"/>
          <w:u w:color="000000"/>
          <w:bdr w:val="nil"/>
          <w:lang w:val="en-US" w:eastAsia="en-GB"/>
        </w:rPr>
        <w:drawing>
          <wp:anchor distT="0" distB="0" distL="0" distR="0" simplePos="0" relativeHeight="251661312" behindDoc="0" locked="0" layoutInCell="1" allowOverlap="1" wp14:anchorId="3348130E" wp14:editId="1C884D99">
            <wp:simplePos x="0" y="0"/>
            <wp:positionH relativeFrom="column">
              <wp:posOffset>-36829</wp:posOffset>
            </wp:positionH>
            <wp:positionV relativeFrom="line">
              <wp:posOffset>172720</wp:posOffset>
            </wp:positionV>
            <wp:extent cx="3632200" cy="3183467"/>
            <wp:effectExtent l="0" t="0" r="0" b="4445"/>
            <wp:wrapNone/>
            <wp:docPr id="1073741825" name="officeArt object" descr="image.jpeg"/>
            <wp:cNvGraphicFramePr/>
            <a:graphic xmlns:a="http://schemas.openxmlformats.org/drawingml/2006/main">
              <a:graphicData uri="http://schemas.openxmlformats.org/drawingml/2006/picture">
                <pic:pic xmlns:pic="http://schemas.openxmlformats.org/drawingml/2006/picture">
                  <pic:nvPicPr>
                    <pic:cNvPr id="1073741825" name="image.jpeg" descr="image.jpeg"/>
                    <pic:cNvPicPr>
                      <a:picLocks noChangeAspect="1"/>
                    </pic:cNvPicPr>
                  </pic:nvPicPr>
                  <pic:blipFill>
                    <a:blip r:embed="rId11"/>
                    <a:stretch>
                      <a:fillRect/>
                    </a:stretch>
                  </pic:blipFill>
                  <pic:spPr>
                    <a:xfrm>
                      <a:off x="0" y="0"/>
                      <a:ext cx="3641612" cy="3191717"/>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3F24897B" w14:textId="77777777"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p>
    <w:p w14:paraId="77BB1BD5" w14:textId="77777777"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p>
    <w:p w14:paraId="6027A6A6" w14:textId="77777777"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p>
    <w:p w14:paraId="6C311A46" w14:textId="77777777"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p>
    <w:p w14:paraId="32C9E5D1" w14:textId="77777777"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p>
    <w:p w14:paraId="06825C78" w14:textId="77777777"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p>
    <w:p w14:paraId="52221D64" w14:textId="77777777"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p>
    <w:p w14:paraId="01CE6F35" w14:textId="77777777"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p>
    <w:p w14:paraId="678CEA9D" w14:textId="77777777"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p>
    <w:p w14:paraId="2411893E" w14:textId="77777777"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p>
    <w:p w14:paraId="4FCAD1D6" w14:textId="77777777"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p>
    <w:p w14:paraId="32E0CF11" w14:textId="77777777"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p>
    <w:p w14:paraId="3B8A85B5" w14:textId="77777777" w:rsidR="009648B3" w:rsidRDefault="009648B3" w:rsidP="00AF0E0B">
      <w:pPr>
        <w:pBdr>
          <w:top w:val="nil"/>
          <w:left w:val="nil"/>
          <w:bottom w:val="nil"/>
          <w:right w:val="nil"/>
          <w:between w:val="nil"/>
          <w:bar w:val="nil"/>
        </w:pBdr>
        <w:suppressAutoHyphens/>
        <w:spacing w:line="360" w:lineRule="auto"/>
        <w:rPr>
          <w:rFonts w:eastAsia="Arial" w:cs="Arial"/>
          <w:i/>
          <w:iCs/>
          <w:color w:val="808080"/>
          <w:sz w:val="21"/>
          <w:szCs w:val="21"/>
          <w:u w:color="808080"/>
          <w:bdr w:val="nil"/>
          <w:lang w:val="en-US" w:eastAsia="en-GB"/>
        </w:rPr>
      </w:pPr>
    </w:p>
    <w:p w14:paraId="75748E39" w14:textId="31CB7E39" w:rsidR="00AF0E0B" w:rsidRPr="00AF0E0B" w:rsidRDefault="00AF0E0B" w:rsidP="00AF0E0B">
      <w:pPr>
        <w:pBdr>
          <w:top w:val="nil"/>
          <w:left w:val="nil"/>
          <w:bottom w:val="nil"/>
          <w:right w:val="nil"/>
          <w:between w:val="nil"/>
          <w:bar w:val="nil"/>
        </w:pBdr>
        <w:suppressAutoHyphens/>
        <w:spacing w:line="360" w:lineRule="auto"/>
        <w:rPr>
          <w:rFonts w:eastAsia="Arial" w:cs="Arial"/>
          <w:i/>
          <w:iCs/>
          <w:color w:val="808080"/>
          <w:sz w:val="21"/>
          <w:szCs w:val="21"/>
          <w:u w:color="808080"/>
          <w:bdr w:val="nil"/>
          <w:lang w:val="en-US"/>
        </w:rPr>
      </w:pPr>
      <w:r w:rsidRPr="00AF0E0B">
        <w:rPr>
          <w:rFonts w:eastAsia="Arial" w:cs="Arial"/>
          <w:i/>
          <w:iCs/>
          <w:color w:val="808080"/>
          <w:sz w:val="21"/>
          <w:szCs w:val="21"/>
          <w:u w:color="808080"/>
          <w:bdr w:val="nil"/>
          <w:lang w:val="en-US" w:eastAsia="en-GB"/>
        </w:rPr>
        <w:t xml:space="preserve">Figure depicting the symptoms of DN from Tesfaye, S; </w:t>
      </w:r>
      <w:r w:rsidRPr="00AF0E0B">
        <w:rPr>
          <w:rFonts w:ascii="Arial Unicode MS" w:eastAsia="Arial Unicode MS" w:hAnsi="Arial Unicode MS" w:cs="Arial Unicode MS"/>
          <w:color w:val="808080"/>
          <w:sz w:val="21"/>
          <w:szCs w:val="21"/>
          <w:u w:color="808080"/>
          <w:bdr w:val="nil"/>
          <w:lang w:val="en-US" w:eastAsia="en-GB"/>
        </w:rPr>
        <w:br/>
      </w:r>
      <w:r w:rsidRPr="00AF0E0B">
        <w:rPr>
          <w:rFonts w:eastAsia="Arial" w:cs="Arial"/>
          <w:i/>
          <w:iCs/>
          <w:color w:val="808080"/>
          <w:sz w:val="21"/>
          <w:szCs w:val="21"/>
          <w:u w:color="808080"/>
          <w:bdr w:val="nil"/>
          <w:lang w:val="en-US" w:eastAsia="en-GB"/>
        </w:rPr>
        <w:t xml:space="preserve">Neuropathy in diabetes, 2015, Medicine 43(1)26-32.  </w:t>
      </w:r>
      <w:r w:rsidRPr="00AF0E0B">
        <w:rPr>
          <w:rFonts w:eastAsia="Arial" w:cs="Arial"/>
          <w:i/>
          <w:iCs/>
          <w:color w:val="808080"/>
          <w:sz w:val="21"/>
          <w:szCs w:val="21"/>
          <w:u w:color="808080"/>
          <w:bdr w:val="nil"/>
          <w:lang w:val="en-US" w:eastAsia="en-GB"/>
        </w:rPr>
        <w:fldChar w:fldCharType="begin"/>
      </w:r>
      <w:r w:rsidRPr="00AF0E0B">
        <w:rPr>
          <w:rFonts w:eastAsia="Arial" w:cs="Arial"/>
          <w:i/>
          <w:iCs/>
          <w:color w:val="808080"/>
          <w:sz w:val="21"/>
          <w:szCs w:val="21"/>
          <w:u w:color="808080"/>
          <w:bdr w:val="nil"/>
          <w:lang w:val="en-US" w:eastAsia="en-GB"/>
        </w:rPr>
        <w:instrText xml:space="preserve"> ADDIN EN.CITE &lt;EndNote&gt;&lt;Cite  &gt;&lt;Author&gt;Tesfaye&lt;/Author&gt;&lt;Year&gt;2015&lt;/Year&gt;&lt;RecNum&gt;1325&lt;/RecNum&gt;&lt;DisplayText&gt;(Tesfaye, 2015)&lt;/DisplayText&gt;&lt;record&gt;&lt;titles&gt;&lt;title&gt;Neuropathy in diabetes&lt;/title&gt;&lt;secondary-title&gt;Medicine&lt;/secondary-title&gt;&lt;/titles&gt;&lt;pages&gt;26-32&lt;/pages&gt;&lt;number&gt;1&lt;/number&gt;&lt;contributors&gt;&lt;authors&gt;&lt;author&gt;Tesfaye, S.&lt;/author&gt;&lt;/authors&gt;&lt;/contributors&gt;&lt;edition&gt;4 December 2014&lt;/edition&gt;&lt;added-date format="utc"&gt;1598433157&lt;/added-date&gt;&lt;ref-type name="Journal Article"&gt;17&lt;/ref-type&gt;&lt;dates&gt;&lt;year&gt;2015&lt;/year&gt;&lt;/dates&gt;&lt;rec-number&gt;1325&lt;/rec-number&gt;&lt;last-updated-date format="utc"&gt;1598433235&lt;/last-updated-date&gt;&lt;volume&gt;43&lt;/volume&gt;&lt;/record&gt;&lt;/Cite&gt;&lt;/EndNote&gt;</w:instrText>
      </w:r>
      <w:r w:rsidRPr="00AF0E0B">
        <w:rPr>
          <w:rFonts w:eastAsia="Arial" w:cs="Arial"/>
          <w:i/>
          <w:iCs/>
          <w:color w:val="808080"/>
          <w:sz w:val="21"/>
          <w:szCs w:val="21"/>
          <w:u w:color="808080"/>
          <w:bdr w:val="nil"/>
          <w:lang w:val="en-US" w:eastAsia="en-GB"/>
        </w:rPr>
        <w:fldChar w:fldCharType="separate"/>
      </w:r>
      <w:r w:rsidRPr="00AF0E0B">
        <w:rPr>
          <w:rFonts w:eastAsia="Arial" w:cs="Arial"/>
          <w:i/>
          <w:iCs/>
          <w:color w:val="808080"/>
          <w:sz w:val="21"/>
          <w:szCs w:val="21"/>
          <w:u w:color="808080"/>
          <w:bdr w:val="nil"/>
          <w:lang w:val="en-US" w:eastAsia="en-GB"/>
        </w:rPr>
        <w:t>(Tesfaye, 2015)</w:t>
      </w:r>
      <w:r w:rsidRPr="00AF0E0B">
        <w:rPr>
          <w:rFonts w:eastAsia="Arial" w:cs="Arial"/>
          <w:i/>
          <w:iCs/>
          <w:color w:val="808080"/>
          <w:sz w:val="21"/>
          <w:szCs w:val="21"/>
          <w:u w:color="808080"/>
          <w:bdr w:val="nil"/>
          <w:lang w:val="en-US" w:eastAsia="en-GB"/>
        </w:rPr>
        <w:fldChar w:fldCharType="end"/>
      </w:r>
      <w:r w:rsidR="00407CD6">
        <w:rPr>
          <w:rFonts w:eastAsia="Arial" w:cs="Arial"/>
          <w:i/>
          <w:iCs/>
          <w:color w:val="808080"/>
          <w:sz w:val="21"/>
          <w:szCs w:val="21"/>
          <w:u w:color="808080"/>
          <w:bdr w:val="nil"/>
          <w:lang w:val="en-US" w:eastAsia="en-GB"/>
        </w:rPr>
        <w:t xml:space="preserve"> </w:t>
      </w:r>
      <w:r w:rsidR="007800A1">
        <w:rPr>
          <w:rFonts w:eastAsia="Arial" w:cs="Arial"/>
          <w:i/>
          <w:iCs/>
          <w:color w:val="808080"/>
          <w:sz w:val="21"/>
          <w:szCs w:val="21"/>
          <w:u w:color="808080"/>
          <w:bdr w:val="nil"/>
          <w:lang w:val="en-US" w:eastAsia="en-GB"/>
        </w:rPr>
        <w:t>Reproduced with permission,</w:t>
      </w:r>
      <w:r w:rsidR="007800A1" w:rsidRPr="007800A1">
        <w:rPr>
          <w:rFonts w:eastAsia="Arial" w:cs="Arial"/>
          <w:i/>
          <w:iCs/>
          <w:color w:val="808080"/>
          <w:sz w:val="21"/>
          <w:szCs w:val="21"/>
          <w:u w:color="808080"/>
          <w:bdr w:val="nil"/>
          <w:lang w:eastAsia="en-GB"/>
        </w:rPr>
        <w:t xml:space="preserve">© </w:t>
      </w:r>
      <w:r w:rsidR="007800A1">
        <w:rPr>
          <w:rFonts w:eastAsia="Arial" w:cs="Arial"/>
          <w:i/>
          <w:iCs/>
          <w:color w:val="808080"/>
          <w:sz w:val="21"/>
          <w:szCs w:val="21"/>
          <w:u w:color="808080"/>
          <w:bdr w:val="nil"/>
          <w:lang w:eastAsia="en-GB"/>
        </w:rPr>
        <w:t>20</w:t>
      </w:r>
      <w:r w:rsidR="007800A1">
        <w:rPr>
          <w:rFonts w:eastAsia="Arial" w:cs="Arial"/>
          <w:i/>
          <w:iCs/>
          <w:color w:val="808080"/>
          <w:sz w:val="21"/>
          <w:szCs w:val="21"/>
          <w:u w:color="808080"/>
          <w:bdr w:val="nil"/>
          <w:lang w:eastAsia="en-GB"/>
        </w:rPr>
        <w:t>15</w:t>
      </w:r>
      <w:r w:rsidR="007800A1">
        <w:rPr>
          <w:rFonts w:eastAsia="Arial" w:cs="Arial"/>
          <w:i/>
          <w:iCs/>
          <w:color w:val="808080"/>
          <w:sz w:val="21"/>
          <w:szCs w:val="21"/>
          <w:u w:color="808080"/>
          <w:bdr w:val="nil"/>
          <w:lang w:eastAsia="en-GB"/>
        </w:rPr>
        <w:t>,</w:t>
      </w:r>
      <w:r w:rsidR="007800A1">
        <w:rPr>
          <w:rFonts w:eastAsia="Arial" w:cs="Arial"/>
          <w:i/>
          <w:iCs/>
          <w:color w:val="808080"/>
          <w:sz w:val="21"/>
          <w:szCs w:val="21"/>
          <w:u w:color="808080"/>
          <w:bdr w:val="nil"/>
          <w:lang w:eastAsia="en-GB"/>
        </w:rPr>
        <w:t xml:space="preserve"> Elsevier.  </w:t>
      </w:r>
    </w:p>
    <w:p w14:paraId="25ABBDC4" w14:textId="77777777" w:rsidR="007F741E" w:rsidRPr="00457903" w:rsidRDefault="007F741E" w:rsidP="00457903">
      <w:pPr>
        <w:pStyle w:val="Heading3"/>
      </w:pPr>
      <w:bookmarkStart w:id="29" w:name="_Toc49972678"/>
      <w:bookmarkStart w:id="30" w:name="_Toc64723865"/>
      <w:r w:rsidRPr="00457903">
        <w:t>Painful Diabetic Peripheral Neuropathy</w:t>
      </w:r>
      <w:bookmarkEnd w:id="29"/>
      <w:bookmarkEnd w:id="30"/>
    </w:p>
    <w:p w14:paraId="59B914E8" w14:textId="77777777"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eastAsia="Arial Unicode MS" w:cs="Arial Unicode MS"/>
          <w:color w:val="000000"/>
          <w:u w:color="000000"/>
          <w:bdr w:val="nil"/>
          <w:lang w:val="en-US" w:eastAsia="en-GB"/>
        </w:rPr>
        <w:t xml:space="preserve">The Toronto Expert Panel on Diabetic Neuropathy defined P-DPN as “pain arising as a direct consequence of abnormalities in the somatosensory system in people with diabetes” </w:t>
      </w:r>
      <w:r w:rsidRPr="00AF0E0B">
        <w:rPr>
          <w:rFonts w:eastAsia="Arial Unicode MS" w:cs="Arial Unicode MS"/>
          <w:color w:val="000000"/>
          <w:u w:color="000000"/>
          <w:bdr w:val="nil"/>
          <w:lang w:val="en-US" w:eastAsia="en-GB"/>
        </w:rPr>
        <w:fldChar w:fldCharType="begin"/>
      </w:r>
      <w:r w:rsidRPr="00AF0E0B">
        <w:rPr>
          <w:rFonts w:eastAsia="Arial Unicode MS" w:cs="Arial Unicode MS"/>
          <w:color w:val="000000"/>
          <w:u w:color="000000"/>
          <w:bdr w:val="nil"/>
          <w:lang w:val="en-US" w:eastAsia="en-GB"/>
        </w:rPr>
        <w:instrText xml:space="preserve"> ADDIN EN.CITE &lt;EndNote&gt;&lt;Cite  &gt;&lt;Author&gt;Tesfaye&lt;/Author&gt;&lt;Year&gt;2011&lt;/Year&gt;&lt;RecNum&gt;256&lt;/RecNum&gt;&lt;DisplayText&gt;(Tesfaye et al., 2011)&lt;/DisplayText&gt;&lt;record&gt;&lt;dates&gt;&lt;pub-dates&gt;&lt;date&gt;Oct&lt;/date&gt;&lt;/pub-dates&gt;&lt;year&gt;2011&lt;/year&gt;&lt;/dates&gt;&lt;urls&gt;&lt;related-urls&gt;&lt;url&gt;&amp;lt;Go to ISI&amp;gt;://WOS:000300106100003&lt;/url&gt;&lt;/related-urls&gt;&lt;/urls&gt;&lt;isbn&gt;1520-7552&lt;/isbn&gt;&lt;titles&gt;&lt;title&gt;Painful diabetic peripheral neuropathy: consensus recommendations on diagnosis, assessment and management&lt;/title&gt;&lt;secondary-title&gt;Diabetes-Metabolism Research and Reviews&lt;/secondary-title&gt;&lt;/titles&gt;&lt;pages&gt;629-638&lt;/pages&gt;&lt;number&gt;7&lt;/number&gt;&lt;contributors&gt;&lt;authors&gt;&lt;author&gt;Tesfaye, S.&lt;/author&gt;&lt;author&gt;Vileikyte, L.&lt;/author&gt;&lt;author&gt;Rayman, G.&lt;/author&gt;&lt;author&gt;Sindrup, S. H.&lt;/author&gt;&lt;author&gt;Perkins, B. A.&lt;/author&gt;&lt;author&gt;Baconja, M.&lt;/author&gt;&lt;author&gt;Vinik, A. I.&lt;/author&gt;&lt;author&gt;Boulton, A. J. M.&lt;/author&gt;&lt;author&gt;Toronto Expert Panel, Diabet&lt;/author&gt;&lt;/authors&gt;&lt;/contributors&gt;&lt;added-date format="utc"&gt;1353073110&lt;/added-date&gt;&lt;ref-type name="Journal Article"&gt;17&lt;/ref-type&gt;&lt;rec-number&gt;256&lt;/rec-number&gt;&lt;last-updated-date format="utc"&gt;1353077842&lt;/last-updated-date&gt;&lt;accession-num&gt;WOS:000300106100003&lt;/accession-num&gt;&lt;electronic-resource-num&gt;10.1002/dmrr.1225&lt;/electronic-resource-num&gt;&lt;volume&gt;27&lt;/volume&gt;&lt;/record&gt;&lt;/Cite&gt;&lt;/EndNote&gt;</w:instrText>
      </w:r>
      <w:r w:rsidRPr="00AF0E0B">
        <w:rPr>
          <w:rFonts w:eastAsia="Arial Unicode MS" w:cs="Arial Unicode MS"/>
          <w:color w:val="000000"/>
          <w:u w:color="000000"/>
          <w:bdr w:val="nil"/>
          <w:lang w:val="en-US" w:eastAsia="en-GB"/>
        </w:rPr>
        <w:fldChar w:fldCharType="separate"/>
      </w:r>
      <w:r w:rsidRPr="00AF0E0B">
        <w:rPr>
          <w:rFonts w:eastAsia="Arial Unicode MS" w:cs="Arial Unicode MS"/>
          <w:color w:val="000000"/>
          <w:u w:color="000000"/>
          <w:bdr w:val="nil"/>
          <w:lang w:val="en-US" w:eastAsia="en-GB"/>
        </w:rPr>
        <w:t>(Tesfaye et al., 2011)</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t xml:space="preserve">. In order to study neuropathic pain, reliable and reproducible measurements must be made.  The Toronto expert panel advocated that </w:t>
      </w:r>
      <w:r w:rsidRPr="00AF0E0B">
        <w:rPr>
          <w:rFonts w:eastAsia="Arial Unicode MS" w:cs="Arial Unicode MS"/>
          <w:color w:val="000000"/>
          <w:u w:color="000000"/>
          <w:bdr w:val="nil"/>
          <w:lang w:val="en-US" w:eastAsia="en-GB"/>
        </w:rPr>
        <w:lastRenderedPageBreak/>
        <w:t xml:space="preserve">the diagnosis of P-DPN should rest on clinical description of pain and its context </w:t>
      </w:r>
      <w:r w:rsidRPr="00AF0E0B">
        <w:rPr>
          <w:rFonts w:eastAsia="Arial Unicode MS" w:cs="Arial Unicode MS"/>
          <w:color w:val="000000"/>
          <w:u w:color="000000"/>
          <w:bdr w:val="nil"/>
          <w:lang w:val="en-US" w:eastAsia="en-GB"/>
        </w:rPr>
        <w:fldChar w:fldCharType="begin"/>
      </w:r>
      <w:r w:rsidRPr="00AF0E0B">
        <w:rPr>
          <w:rFonts w:eastAsia="Arial Unicode MS" w:cs="Arial Unicode MS"/>
          <w:color w:val="000000"/>
          <w:u w:color="000000"/>
          <w:bdr w:val="nil"/>
          <w:lang w:val="en-US" w:eastAsia="en-GB"/>
        </w:rPr>
        <w:instrText xml:space="preserve"> ADDIN EN.CITE &lt;EndNote&gt;&lt;Cite  &gt;&lt;Author&gt;Tesfaye&lt;/Author&gt;&lt;Year&gt;2011&lt;/Year&gt;&lt;RecNum&gt;256&lt;/RecNum&gt;&lt;DisplayText&gt;(Tesfaye et al., 2011)&lt;/DisplayText&gt;&lt;record&gt;&lt;dates&gt;&lt;pub-dates&gt;&lt;date&gt;Oct&lt;/date&gt;&lt;/pub-dates&gt;&lt;year&gt;2011&lt;/year&gt;&lt;/dates&gt;&lt;urls&gt;&lt;related-urls&gt;&lt;url&gt;&amp;lt;Go to ISI&amp;gt;://WOS:000300106100003&lt;/url&gt;&lt;/related-urls&gt;&lt;/urls&gt;&lt;isbn&gt;1520-7552&lt;/isbn&gt;&lt;titles&gt;&lt;title&gt;Painful diabetic peripheral neuropathy: consensus recommendations on diagnosis, assessment and management&lt;/title&gt;&lt;secondary-title&gt;Diabetes-Metabolism Research and Reviews&lt;/secondary-title&gt;&lt;/titles&gt;&lt;pages&gt;629-638&lt;/pages&gt;&lt;number&gt;7&lt;/number&gt;&lt;contributors&gt;&lt;authors&gt;&lt;author&gt;Tesfaye, S.&lt;/author&gt;&lt;author&gt;Vileikyte, L.&lt;/author&gt;&lt;author&gt;Rayman, G.&lt;/author&gt;&lt;author&gt;Sindrup, S. H.&lt;/author&gt;&lt;author&gt;Perkins, B. A.&lt;/author&gt;&lt;author&gt;Baconja, M.&lt;/author&gt;&lt;author&gt;Vinik, A. I.&lt;/author&gt;&lt;author&gt;Boulton, A. J. M.&lt;/author&gt;&lt;author&gt;Toronto Expert Panel, Diabet&lt;/author&gt;&lt;/authors&gt;&lt;/contributors&gt;&lt;added-date format="utc"&gt;1353073110&lt;/added-date&gt;&lt;ref-type name="Journal Article"&gt;17&lt;/ref-type&gt;&lt;rec-number&gt;256&lt;/rec-number&gt;&lt;last-updated-date format="utc"&gt;1353077842&lt;/last-updated-date&gt;&lt;accession-num&gt;WOS:000300106100003&lt;/accession-num&gt;&lt;electronic-resource-num&gt;10.1002/dmrr.1225&lt;/electronic-resource-num&gt;&lt;volume&gt;27&lt;/volume&gt;&lt;/record&gt;&lt;/Cite&gt;&lt;/EndNote&gt;</w:instrText>
      </w:r>
      <w:r w:rsidRPr="00AF0E0B">
        <w:rPr>
          <w:rFonts w:eastAsia="Arial Unicode MS" w:cs="Arial Unicode MS"/>
          <w:color w:val="000000"/>
          <w:u w:color="000000"/>
          <w:bdr w:val="nil"/>
          <w:lang w:val="en-US" w:eastAsia="en-GB"/>
        </w:rPr>
        <w:fldChar w:fldCharType="separate"/>
      </w:r>
      <w:r w:rsidRPr="00AF0E0B">
        <w:rPr>
          <w:rFonts w:eastAsia="Arial Unicode MS" w:cs="Arial Unicode MS"/>
          <w:color w:val="000000"/>
          <w:u w:color="000000"/>
          <w:bdr w:val="nil"/>
          <w:lang w:val="en-US" w:eastAsia="en-GB"/>
        </w:rPr>
        <w:t>(Tesfaye et al., 2011)</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t xml:space="preserve">.  As pain is a subjective experience, scales and questionnaires have been recommended by the expert group that can reproducibly measure pain symptoms. These include the 11- point Likert scale (also known as Numeric Rating Scale – NRS), the Neuropathic Pain Symptom Inventory (NPSI), the modified Brief Pain Inventory (BPI), and the McGill Pain Questionnaire </w:t>
      </w:r>
      <w:r w:rsidRPr="00AF0E0B">
        <w:rPr>
          <w:rFonts w:eastAsia="Arial Unicode MS" w:cs="Arial Unicode MS"/>
          <w:color w:val="000000"/>
          <w:u w:color="000000"/>
          <w:bdr w:val="nil"/>
          <w:lang w:val="en-US" w:eastAsia="en-GB"/>
        </w:rPr>
        <w:fldChar w:fldCharType="begin"/>
      </w:r>
      <w:r w:rsidRPr="00AF0E0B">
        <w:rPr>
          <w:rFonts w:eastAsia="Arial Unicode MS" w:cs="Arial Unicode MS"/>
          <w:color w:val="000000"/>
          <w:u w:color="000000"/>
          <w:bdr w:val="nil"/>
          <w:lang w:val="en-US" w:eastAsia="en-GB"/>
        </w:rPr>
        <w:instrText xml:space="preserve"> ADDIN EN.CITE &lt;EndNote&gt;&lt;Cite  &gt;&lt;Author&gt;Tesfaye&lt;/Author&gt;&lt;Year&gt;2011&lt;/Year&gt;&lt;RecNum&gt;256&lt;/RecNum&gt;&lt;DisplayText&gt;(Tesfaye et al., 2011)&lt;/DisplayText&gt;&lt;record&gt;&lt;dates&gt;&lt;pub-dates&gt;&lt;date&gt;Oct&lt;/date&gt;&lt;/pub-dates&gt;&lt;year&gt;2011&lt;/year&gt;&lt;/dates&gt;&lt;urls&gt;&lt;related-urls&gt;&lt;url&gt;&amp;lt;Go to ISI&amp;gt;://WOS:000300106100003&lt;/url&gt;&lt;/related-urls&gt;&lt;/urls&gt;&lt;isbn&gt;1520-7552&lt;/isbn&gt;&lt;titles&gt;&lt;title&gt;Painful diabetic peripheral neuropathy: consensus recommendations on diagnosis, assessment and management&lt;/title&gt;&lt;secondary-title&gt;Diabetes-Metabolism Research and Reviews&lt;/secondary-title&gt;&lt;/titles&gt;&lt;pages&gt;629-638&lt;/pages&gt;&lt;number&gt;7&lt;/number&gt;&lt;contributors&gt;&lt;authors&gt;&lt;author&gt;Tesfaye, S.&lt;/author&gt;&lt;author&gt;Vileikyte, L.&lt;/author&gt;&lt;author&gt;Rayman, G.&lt;/author&gt;&lt;author&gt;Sindrup, S. H.&lt;/author&gt;&lt;author&gt;Perkins, B. A.&lt;/author&gt;&lt;author&gt;Baconja, M.&lt;/author&gt;&lt;author&gt;Vinik, A. I.&lt;/author&gt;&lt;author&gt;Boulton, A. J. M.&lt;/author&gt;&lt;author&gt;Toronto Expert Panel, Diabet&lt;/author&gt;&lt;/authors&gt;&lt;/contributors&gt;&lt;added-date format="utc"&gt;1353073110&lt;/added-date&gt;&lt;ref-type name="Journal Article"&gt;17&lt;/ref-type&gt;&lt;rec-number&gt;256&lt;/rec-number&gt;&lt;last-updated-date format="utc"&gt;1353077842&lt;/last-updated-date&gt;&lt;accession-num&gt;WOS:000300106100003&lt;/accession-num&gt;&lt;electronic-resource-num&gt;10.1002/dmrr.1225&lt;/electronic-resource-num&gt;&lt;volume&gt;27&lt;/volume&gt;&lt;/record&gt;&lt;/Cite&gt;&lt;/EndNote&gt;</w:instrText>
      </w:r>
      <w:r w:rsidRPr="00AF0E0B">
        <w:rPr>
          <w:rFonts w:eastAsia="Arial Unicode MS" w:cs="Arial Unicode MS"/>
          <w:color w:val="000000"/>
          <w:u w:color="000000"/>
          <w:bdr w:val="nil"/>
          <w:lang w:val="en-US" w:eastAsia="en-GB"/>
        </w:rPr>
        <w:fldChar w:fldCharType="separate"/>
      </w:r>
      <w:r w:rsidRPr="00AF0E0B">
        <w:rPr>
          <w:rFonts w:eastAsia="Arial Unicode MS" w:cs="Arial Unicode MS"/>
          <w:color w:val="000000"/>
          <w:u w:color="000000"/>
          <w:bdr w:val="nil"/>
          <w:lang w:val="en-US" w:eastAsia="en-GB"/>
        </w:rPr>
        <w:t>(Tesfaye et al., 2011)</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t xml:space="preserve">.  </w:t>
      </w:r>
    </w:p>
    <w:p w14:paraId="2C63FB39" w14:textId="0CBE5EDB" w:rsidR="00AF0E0B" w:rsidRPr="00AF0E0B" w:rsidRDefault="00AF0E0B" w:rsidP="00AF0E0B">
      <w:pPr>
        <w:widowControl w:val="0"/>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eastAsia="Arial Unicode MS" w:cs="Arial Unicode MS"/>
          <w:color w:val="000000"/>
          <w:u w:color="000000"/>
          <w:bdr w:val="nil"/>
          <w:lang w:val="en-US" w:eastAsia="en-GB"/>
        </w:rPr>
        <w:t xml:space="preserve">Measurement of the severity of DPN as a composite score was recommended by the Toronto Expert Panel for research purposes </w:t>
      </w:r>
      <w:r w:rsidRPr="00AF0E0B">
        <w:rPr>
          <w:rFonts w:eastAsia="Arial Unicode MS" w:cs="Arial Unicode MS"/>
          <w:color w:val="000000"/>
          <w:u w:color="000000"/>
          <w:bdr w:val="nil"/>
          <w:lang w:val="en-US" w:eastAsia="en-GB"/>
        </w:rPr>
        <w:fldChar w:fldCharType="begin"/>
      </w:r>
      <w:r w:rsidR="00D06F2D">
        <w:rPr>
          <w:rFonts w:eastAsia="Arial Unicode MS" w:cs="Arial Unicode MS"/>
          <w:color w:val="000000"/>
          <w:u w:color="000000"/>
          <w:bdr w:val="nil"/>
          <w:lang w:val="en-US" w:eastAsia="en-GB"/>
        </w:rPr>
        <w:instrText xml:space="preserve"> ADDIN EN.CITE &lt;EndNote&gt;&lt;Cite&gt;&lt;Author&gt;Dyck&lt;/Author&gt;&lt;Year&gt;2011&lt;/Year&gt;&lt;RecNum&gt;119&lt;/RecNum&gt;&lt;DisplayText&gt;(Dyck et al., 2011a)&lt;/DisplayText&gt;&lt;record&gt;&lt;dates&gt;&lt;pub-dates&gt;&lt;date&gt;Jun&lt;/date&gt;&lt;/pub-dates&gt;&lt;year&gt;2011&lt;/year&gt;&lt;/dates&gt;&lt;urls&gt;&lt;related-urls&gt;&lt;url&gt;http://www.ncbi.nlm.nih.gov/pubmed/21695763&lt;/url&gt;&lt;/related-urls&gt;&lt;/urls&gt;&lt;isbn&gt;1520-7560&lt;/isbn&gt;&lt;titles&gt;&lt;title&gt;Diabetic Polyneuropathies: Update on Research Definition, Diagnostic Criteria and Estimation of Severity&lt;/title&gt;&lt;secondary-title&gt;Diabetes Metab Res Rev&lt;/secondary-title&gt;&lt;/titles&gt;&lt;pages&gt;620-628&lt;/pages&gt;&lt;contributors&gt;&lt;authors&gt;&lt;author&gt;Dyck, P. J.&lt;/author&gt;&lt;author&gt;Albers, J. W.&lt;/author&gt;&lt;author&gt;Andersen, H.&lt;/author&gt;&lt;author&gt;Arezzo, J. C.&lt;/author&gt;&lt;author&gt;Biessels, G. J.&lt;/author&gt;&lt;author&gt;Bril, V.&lt;/author&gt;&lt;author&gt;Feldman, E. L.&lt;/author&gt;&lt;author&gt;Litchy, W. J.&lt;/author&gt;&lt;author&gt;O&amp;apos;Brien, P. C.&lt;/author&gt;&lt;author&gt;Russell, J. W.&lt;/author&gt;&lt;author&gt;on behalf of the Toronto Expert Panel on Diabetic Neuropathy*&lt;/author&gt;&lt;/authors&gt;&lt;/contributors&gt;&lt;language&gt;ENG&lt;/language&gt;&lt;added-date format="utc"&gt;1351091009&lt;/added-date&gt;&lt;ref-type name="Journal Article"&gt;17&lt;/ref-type&gt;&lt;auth-address&gt;Department of Neurology, Mayo Clinic, Rochester, MN, USA. dyck.peter@mayo.edu.&lt;/auth-address&gt;&lt;rec-number&gt;119&lt;/rec-number&gt;&lt;last-updated-date format="utc"&gt;1357494940&lt;/last-updated-date&gt;&lt;accession-num&gt;21695763&lt;/accession-num&gt;&lt;electronic-resource-num&gt;10.1002/dmrr.1226&lt;/electronic-resource-num&gt;&lt;volume&gt;27&lt;/volume&gt;&lt;/record&gt;&lt;/Cite&gt;&lt;/EndNote&gt;</w:instrText>
      </w:r>
      <w:r w:rsidRPr="00AF0E0B">
        <w:rPr>
          <w:rFonts w:eastAsia="Arial Unicode MS" w:cs="Arial Unicode MS"/>
          <w:color w:val="000000"/>
          <w:u w:color="000000"/>
          <w:bdr w:val="nil"/>
          <w:lang w:val="en-US" w:eastAsia="en-GB"/>
        </w:rPr>
        <w:fldChar w:fldCharType="separate"/>
      </w:r>
      <w:r w:rsidR="00D06F2D">
        <w:rPr>
          <w:rFonts w:eastAsia="Arial Unicode MS" w:cs="Arial Unicode MS"/>
          <w:noProof/>
          <w:color w:val="000000"/>
          <w:u w:color="000000"/>
          <w:bdr w:val="nil"/>
          <w:lang w:val="en-US" w:eastAsia="en-GB"/>
        </w:rPr>
        <w:t>(Dyck et al., 2011a)</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t xml:space="preserve">. </w:t>
      </w:r>
      <w:r w:rsidR="009648B3">
        <w:rPr>
          <w:rFonts w:eastAsia="Arial Unicode MS" w:cs="Arial Unicode MS"/>
          <w:color w:val="000000"/>
          <w:u w:color="000000"/>
          <w:bdr w:val="nil"/>
          <w:lang w:val="en-US" w:eastAsia="en-GB"/>
        </w:rPr>
        <w:t xml:space="preserve">The </w:t>
      </w:r>
      <w:r w:rsidRPr="00AF0E0B">
        <w:rPr>
          <w:rFonts w:eastAsia="Arial Unicode MS" w:cs="Arial Unicode MS"/>
          <w:color w:val="000000"/>
          <w:u w:color="000000"/>
          <w:bdr w:val="nil"/>
          <w:lang w:val="en-US" w:eastAsia="en-GB"/>
        </w:rPr>
        <w:t xml:space="preserve">Neuropathy Impairment Score of the lower limbs plus 7 measures of nerve function (NIS-LL+7) is one such composite measure.  It includes the Neuropathy Impairment Score (NIS), the sum of the normal deviate scores of peroneal nerve velocity, amplitude, distal latency, tibial distal latency, sural amplitude, and quantitative sensory testing (QST-which is a standardized measurement of small and large </w:t>
      </w:r>
      <w:proofErr w:type="spellStart"/>
      <w:r w:rsidRPr="00AF0E0B">
        <w:rPr>
          <w:rFonts w:eastAsia="Arial Unicode MS" w:cs="Arial Unicode MS"/>
          <w:color w:val="000000"/>
          <w:u w:color="000000"/>
          <w:bdr w:val="nil"/>
          <w:lang w:val="en-US" w:eastAsia="en-GB"/>
        </w:rPr>
        <w:t>fibre</w:t>
      </w:r>
      <w:proofErr w:type="spellEnd"/>
      <w:r w:rsidRPr="00AF0E0B">
        <w:rPr>
          <w:rFonts w:eastAsia="Arial Unicode MS" w:cs="Arial Unicode MS"/>
          <w:color w:val="000000"/>
          <w:u w:color="000000"/>
          <w:bdr w:val="nil"/>
          <w:lang w:val="en-US" w:eastAsia="en-GB"/>
        </w:rPr>
        <w:t xml:space="preserve"> thresholds) </w:t>
      </w:r>
      <w:r w:rsidRPr="00AF0E0B">
        <w:rPr>
          <w:rFonts w:eastAsia="Arial Unicode MS" w:cs="Arial Unicode MS"/>
          <w:color w:val="000000"/>
          <w:u w:color="000000"/>
          <w:bdr w:val="nil"/>
          <w:lang w:val="sv-SE" w:eastAsia="en-GB"/>
        </w:rPr>
        <w:fldChar w:fldCharType="begin"/>
      </w:r>
      <w:r w:rsidR="009968E0">
        <w:rPr>
          <w:rFonts w:eastAsia="Arial Unicode MS" w:cs="Arial Unicode MS"/>
          <w:color w:val="000000"/>
          <w:u w:color="000000"/>
          <w:bdr w:val="nil"/>
          <w:lang w:val="sv-SE" w:eastAsia="en-GB"/>
        </w:rPr>
        <w:instrText xml:space="preserve"> ADDIN EN.CITE &lt;EndNote&gt;&lt;Cite&gt;&lt;Author&gt;Dyck&lt;/Author&gt;&lt;Year&gt;1993&lt;/Year&gt;&lt;RecNum&gt;615&lt;/RecNum&gt;&lt;DisplayText&gt;(Dyck et al., 1993d)&lt;/DisplayText&gt;&lt;record&gt;&lt;dates&gt;&lt;pub-dates&gt;&lt;date&gt;Aug&lt;/date&gt;&lt;/pub-dates&gt;&lt;year&gt;1993&lt;/year&gt;&lt;/dates&gt;&lt;isbn&gt;0028-3878&lt;/isbn&gt;&lt;titles&gt;&lt;title&gt;COOL, WARM, AND HEAT-PAIN DETECTION THRESHOLDS - TESTING METHODS AND INFERENCES ABOUT ANATOMIC DISTRIBUTION OF RECEPTORS&lt;/title&gt;&lt;secondary-title&gt;Neurology&lt;/secondary-title&gt;&lt;/titles&gt;&lt;pages&gt;1500-1508&lt;/pages&gt;&lt;number&gt;8&lt;/number&gt;&lt;contributors&gt;&lt;authors&gt;&lt;author&gt;Dyck, P. J.&lt;/author&gt;&lt;author&gt;Zimmerman, I.&lt;/author&gt;&lt;author&gt;Gillen, D. A.&lt;/author&gt;&lt;author&gt;Johnson, D.&lt;/author&gt;&lt;author&gt;Karnes, J. L.&lt;/author&gt;&lt;author&gt;Obrien, P. C.&lt;/author&gt;&lt;/authors&gt;&lt;/contributors&gt;&lt;added-date format="utc"&gt;1357496558&lt;/added-date&gt;&lt;ref-type name="Journal Article"&gt;17&lt;/ref-type&gt;&lt;rec-number&gt;615&lt;/rec-number&gt;&lt;last-updated-date format="utc"&gt;1479818526&lt;/last-updated-date&gt;&lt;accession-num&gt;WOS:A1993LR50000010&lt;/accession-num&gt;&lt;volume&gt;43&lt;/volume&gt;&lt;/record&gt;&lt;/Cite&gt;&lt;/EndNote&gt;</w:instrText>
      </w:r>
      <w:r w:rsidRPr="00AF0E0B">
        <w:rPr>
          <w:rFonts w:eastAsia="Arial Unicode MS" w:cs="Arial Unicode MS"/>
          <w:color w:val="000000"/>
          <w:u w:color="000000"/>
          <w:bdr w:val="nil"/>
          <w:lang w:val="sv-SE" w:eastAsia="en-GB"/>
        </w:rPr>
        <w:fldChar w:fldCharType="separate"/>
      </w:r>
      <w:r w:rsidR="009968E0">
        <w:rPr>
          <w:rFonts w:eastAsia="Arial Unicode MS" w:cs="Arial Unicode MS"/>
          <w:noProof/>
          <w:color w:val="000000"/>
          <w:u w:color="000000"/>
          <w:bdr w:val="nil"/>
          <w:lang w:val="sv-SE" w:eastAsia="en-GB"/>
        </w:rPr>
        <w:t>(Dyck et al., 1993d)</w:t>
      </w:r>
      <w:r w:rsidRPr="00AF0E0B">
        <w:rPr>
          <w:rFonts w:eastAsia="Arial Unicode MS" w:cs="Arial Unicode MS"/>
          <w:color w:val="000000"/>
          <w:u w:color="000000"/>
          <w:bdr w:val="nil"/>
          <w:lang w:val="sv-SE" w:eastAsia="en-GB"/>
        </w:rPr>
        <w:fldChar w:fldCharType="end"/>
      </w:r>
      <w:r w:rsidRPr="00AF0E0B">
        <w:rPr>
          <w:rFonts w:eastAsia="Arial Unicode MS" w:cs="Arial Unicode MS"/>
          <w:color w:val="231F20"/>
          <w:u w:color="231F20"/>
          <w:bdr w:val="nil"/>
          <w:lang w:val="en-US" w:eastAsia="en-GB"/>
        </w:rPr>
        <w:t>.  Alternatively, the American Academy of Neurology has proposed that a case definition of distal symmetric polyneuropathy must include abnormal nerve conduction studies (</w:t>
      </w:r>
      <w:r w:rsidR="009648B3">
        <w:rPr>
          <w:rFonts w:eastAsia="Arial Unicode MS" w:cs="Arial Unicode MS"/>
          <w:color w:val="231F20"/>
          <w:u w:color="231F20"/>
          <w:bdr w:val="nil"/>
          <w:lang w:val="en-US" w:eastAsia="en-GB"/>
        </w:rPr>
        <w:t>i.e.</w:t>
      </w:r>
      <w:r w:rsidRPr="00AF0E0B">
        <w:rPr>
          <w:rFonts w:eastAsia="Arial Unicode MS" w:cs="Arial Unicode MS"/>
          <w:color w:val="231F20"/>
          <w:u w:color="231F20"/>
          <w:bdr w:val="nil"/>
          <w:lang w:val="en-US" w:eastAsia="en-GB"/>
        </w:rPr>
        <w:t xml:space="preserve"> an abnormality of the sural nerve and one other), and neuropathic symptoms; and at least one of decreased or absent ankle reflexes, decreased distal sensation and distal muscle weakness or atrophy (in the rare case of lack of neuropathic symptoms then all three will be required) </w:t>
      </w:r>
      <w:r w:rsidRPr="00AF0E0B">
        <w:rPr>
          <w:rFonts w:eastAsia="Arial Unicode MS" w:cs="Arial Unicode MS"/>
          <w:color w:val="231F20"/>
          <w:u w:color="231F20"/>
          <w:bdr w:val="nil"/>
          <w:lang w:val="en-US" w:eastAsia="en-GB"/>
        </w:rPr>
        <w:fldChar w:fldCharType="begin"/>
      </w:r>
      <w:r w:rsidRPr="00AF0E0B">
        <w:rPr>
          <w:rFonts w:eastAsia="Arial Unicode MS" w:cs="Arial Unicode MS"/>
          <w:color w:val="231F20"/>
          <w:u w:color="231F20"/>
          <w:bdr w:val="nil"/>
          <w:lang w:val="en-US" w:eastAsia="en-GB"/>
        </w:rPr>
        <w:instrText xml:space="preserve"> ADDIN EN.CITE &lt;EndNote&gt;&lt;Cite  &gt;&lt;Author&gt;England&lt;/Author&gt;&lt;Year&gt;2005&lt;/Year&gt;&lt;RecNum&gt;663&lt;/RecNum&gt;&lt;DisplayText&gt;(England et al., 2005)&lt;/DisplayText&gt;&lt;record&gt;&lt;dates&gt;&lt;pub-dates&gt;&lt;date&gt;Jan 25&lt;/date&gt;&lt;/pub-dates&gt;&lt;year&gt;2005&lt;/year&gt;&lt;/dates&gt;&lt;isbn&gt;0028-3878&lt;/isbn&gt;&lt;titles&gt;&lt;title&gt;Distal symmetric polyneuropathy: A definition for clinical research - Report of the American Academy of Neurology, the American Association of Electrodiagnostic Medicine, and the American Academy of Physical Medicine and Rehabilitation&lt;/title&gt;&lt;secondary-title&gt;Neurology&lt;/secondary-title&gt;&lt;/titles&gt;&lt;number&gt;2&lt;/number&gt;&lt;contributors&gt;&lt;authors&gt;&lt;author&gt;England, J. D.&lt;/author&gt;&lt;author&gt;Gronseth, G. S.&lt;/author&gt;&lt;author&gt;Franklin, G.&lt;/author&gt;&lt;author&gt;Miller, R. G.&lt;/author&gt;&lt;author&gt;Asbury, A. K.&lt;/author&gt;&lt;author&gt;Carter, G. T.&lt;/author&gt;&lt;author&gt;Cohen, J. A.&lt;/author&gt;&lt;author&gt;Fisher, M. A.&lt;/author&gt;&lt;author&gt;Howard, J. F.&lt;/author&gt;&lt;author&gt;Kinsella, L. J.&lt;/author&gt;&lt;author&gt;Latov, N.&lt;/author&gt;&lt;author&gt;Lewis, R. A.&lt;/author&gt;&lt;author&gt;Low, P. A.&lt;/author&gt;&lt;author&gt;Sumner, A. J.&lt;/author&gt;&lt;/authors&gt;&lt;/contributors&gt;&lt;added-date format="utc"&gt;1357678714&lt;/added-date&gt;&lt;ref-type name="Journal Article"&gt;17&lt;/ref-type&gt;&lt;rec-number&gt;663&lt;/rec-number&gt;&lt;last-updated-date format="utc"&gt;1479818617&lt;/last-updated-date&gt;&lt;accession-num&gt;WOS:000226507200006&lt;/accession-num&gt;&lt;volume&gt;64&lt;/volume&gt;&lt;/record&gt;&lt;/Cite&gt;&lt;/EndNote&gt;</w:instrText>
      </w:r>
      <w:r w:rsidRPr="00AF0E0B">
        <w:rPr>
          <w:rFonts w:eastAsia="Arial Unicode MS" w:cs="Arial Unicode MS"/>
          <w:color w:val="231F20"/>
          <w:u w:color="231F20"/>
          <w:bdr w:val="nil"/>
          <w:lang w:val="en-US" w:eastAsia="en-GB"/>
        </w:rPr>
        <w:fldChar w:fldCharType="separate"/>
      </w:r>
      <w:r w:rsidRPr="00AF0E0B">
        <w:rPr>
          <w:rFonts w:eastAsia="Arial Unicode MS" w:cs="Arial Unicode MS"/>
          <w:color w:val="231F20"/>
          <w:u w:color="231F20"/>
          <w:bdr w:val="nil"/>
          <w:lang w:val="en-US" w:eastAsia="en-GB"/>
        </w:rPr>
        <w:t>(England et al., 2005)</w:t>
      </w:r>
      <w:r w:rsidRPr="00AF0E0B">
        <w:rPr>
          <w:rFonts w:eastAsia="Arial Unicode MS" w:cs="Arial Unicode MS"/>
          <w:color w:val="231F20"/>
          <w:u w:color="231F20"/>
          <w:bdr w:val="nil"/>
          <w:lang w:val="en-US" w:eastAsia="en-GB"/>
        </w:rPr>
        <w:fldChar w:fldCharType="end"/>
      </w:r>
      <w:r w:rsidRPr="00AF0E0B">
        <w:rPr>
          <w:rFonts w:eastAsia="Arial Unicode MS" w:cs="Arial Unicode MS"/>
          <w:color w:val="231F20"/>
          <w:u w:color="231F20"/>
          <w:bdr w:val="nil"/>
          <w:lang w:val="en-US" w:eastAsia="en-GB"/>
        </w:rPr>
        <w:t xml:space="preserve">. </w:t>
      </w:r>
      <w:r w:rsidRPr="00AF0E0B">
        <w:rPr>
          <w:rFonts w:eastAsia="Arial Unicode MS" w:cs="Arial Unicode MS"/>
          <w:color w:val="000000"/>
          <w:u w:color="000000"/>
          <w:bdr w:val="nil"/>
          <w:lang w:val="en-US" w:eastAsia="en-GB"/>
        </w:rPr>
        <w:t xml:space="preserve">Measurement of intra epidermal nerve </w:t>
      </w:r>
      <w:proofErr w:type="spellStart"/>
      <w:r w:rsidRPr="00AF0E0B">
        <w:rPr>
          <w:rFonts w:eastAsia="Arial Unicode MS" w:cs="Arial Unicode MS"/>
          <w:color w:val="000000"/>
          <w:u w:color="000000"/>
          <w:bdr w:val="nil"/>
          <w:lang w:val="en-US" w:eastAsia="en-GB"/>
        </w:rPr>
        <w:t>fibre</w:t>
      </w:r>
      <w:proofErr w:type="spellEnd"/>
      <w:r w:rsidRPr="00AF0E0B">
        <w:rPr>
          <w:rFonts w:eastAsia="Arial Unicode MS" w:cs="Arial Unicode MS"/>
          <w:color w:val="000000"/>
          <w:u w:color="000000"/>
          <w:bdr w:val="nil"/>
          <w:lang w:val="en-US" w:eastAsia="en-GB"/>
        </w:rPr>
        <w:t xml:space="preserve"> density (IENFD) is an objective measure of early small-</w:t>
      </w:r>
      <w:proofErr w:type="spellStart"/>
      <w:r w:rsidRPr="00AF0E0B">
        <w:rPr>
          <w:rFonts w:eastAsia="Arial Unicode MS" w:cs="Arial Unicode MS"/>
          <w:color w:val="000000"/>
          <w:u w:color="000000"/>
          <w:bdr w:val="nil"/>
          <w:lang w:val="en-US" w:eastAsia="en-GB"/>
        </w:rPr>
        <w:t>fibre</w:t>
      </w:r>
      <w:proofErr w:type="spellEnd"/>
      <w:r w:rsidRPr="00AF0E0B">
        <w:rPr>
          <w:rFonts w:eastAsia="Arial Unicode MS" w:cs="Arial Unicode MS"/>
          <w:color w:val="000000"/>
          <w:u w:color="000000"/>
          <w:bdr w:val="nil"/>
          <w:lang w:val="en-US" w:eastAsia="en-GB"/>
        </w:rPr>
        <w:t xml:space="preserve"> neuropathy and is advocated as part of the research evaluation of small-</w:t>
      </w:r>
      <w:proofErr w:type="spellStart"/>
      <w:r w:rsidRPr="00AF0E0B">
        <w:rPr>
          <w:rFonts w:eastAsia="Arial Unicode MS" w:cs="Arial Unicode MS"/>
          <w:color w:val="000000"/>
          <w:u w:color="000000"/>
          <w:bdr w:val="nil"/>
          <w:lang w:val="en-US" w:eastAsia="en-GB"/>
        </w:rPr>
        <w:t>fibre</w:t>
      </w:r>
      <w:proofErr w:type="spellEnd"/>
      <w:r w:rsidRPr="00AF0E0B">
        <w:rPr>
          <w:rFonts w:eastAsia="Arial Unicode MS" w:cs="Arial Unicode MS"/>
          <w:color w:val="000000"/>
          <w:u w:color="000000"/>
          <w:bdr w:val="nil"/>
          <w:lang w:val="en-US" w:eastAsia="en-GB"/>
        </w:rPr>
        <w:t xml:space="preserve"> neuropathy, which also includes quantitative sensory testing </w:t>
      </w:r>
      <w:r w:rsidRPr="00AF0E0B">
        <w:rPr>
          <w:rFonts w:eastAsia="Arial Unicode MS" w:cs="Arial Unicode MS"/>
          <w:color w:val="000000"/>
          <w:u w:color="000000"/>
          <w:bdr w:val="nil"/>
          <w:lang w:val="en-US" w:eastAsia="en-GB"/>
        </w:rPr>
        <w:fldChar w:fldCharType="begin"/>
      </w:r>
      <w:r w:rsidRPr="00AF0E0B">
        <w:rPr>
          <w:rFonts w:eastAsia="Arial Unicode MS" w:cs="Arial Unicode MS"/>
          <w:color w:val="000000"/>
          <w:u w:color="000000"/>
          <w:bdr w:val="nil"/>
          <w:lang w:val="en-US" w:eastAsia="en-GB"/>
        </w:rPr>
        <w:instrText xml:space="preserve"> ADDIN EN.CITE &lt;EndNote&gt;&lt;Cite  &gt;&lt;Author&gt;Malik&lt;/Author&gt;&lt;Year&gt;2011&lt;/Year&gt;&lt;RecNum&gt;378&lt;/RecNum&gt;&lt;DisplayText&gt;(Malik et al., 2011)&lt;/DisplayText&gt;&lt;record&gt;&lt;dates&gt;&lt;pub-dates&gt;&lt;date&gt;Oct&lt;/date&gt;&lt;/pub-dates&gt;&lt;year&gt;2011&lt;/year&gt;&lt;/dates&gt;&lt;urls&gt;&lt;related-urls&gt;&lt;url&gt;&amp;lt;Go to ISI&amp;gt;://WOS:000300106100007&lt;/url&gt;&lt;/related-urls&gt;&lt;/urls&gt;&lt;isbn&gt;1520-7552&lt;/isbn&gt;&lt;titles&gt;&lt;title&gt;Small fibre neuropathy: role in the diagnosis of diabetic sensorimotor polyneuropathy&lt;/title&gt;&lt;secondary-title&gt;Diabetes-Metabolism Research and Reviews&lt;/secondary-title&gt;&lt;/titles&gt;&lt;pages&gt;678-684&lt;/pages&gt;&lt;number&gt;7&lt;/number&gt;&lt;contributors&gt;&lt;authors&gt;&lt;author&gt;Malik, R. A.&lt;/author&gt;&lt;author&gt;Veves, A.&lt;/author&gt;&lt;author&gt;Tesfaye, S.&lt;/author&gt;&lt;author&gt;Smith, G.&lt;/author&gt;&lt;author&gt;Cameron, N.&lt;/author&gt;&lt;author&gt;Zochodne, D.&lt;/author&gt;&lt;author&gt;Lauria, G.&lt;/author&gt;&lt;author&gt;Toronto Consensus Panel, Diabet&lt;/author&gt;&lt;/authors&gt;&lt;/contributors&gt;&lt;added-date format="utc"&gt;1354879840&lt;/added-date&gt;&lt;ref-type name="Journal Article"&gt;17&lt;/ref-type&gt;&lt;rec-number&gt;378&lt;/rec-number&gt;&lt;last-updated-date format="utc"&gt;1356885149&lt;/last-updated-date&gt;&lt;accession-num&gt;WOS:000300106100007&lt;/accession-num&gt;&lt;electronic-resource-num&gt;10.1002/dmrr.1222&lt;/electronic-resource-num&gt;&lt;volume&gt;27&lt;/volume&gt;&lt;/record&gt;&lt;/Cite&gt;&lt;/EndNote&gt;</w:instrText>
      </w:r>
      <w:r w:rsidRPr="00AF0E0B">
        <w:rPr>
          <w:rFonts w:eastAsia="Arial Unicode MS" w:cs="Arial Unicode MS"/>
          <w:color w:val="000000"/>
          <w:u w:color="000000"/>
          <w:bdr w:val="nil"/>
          <w:lang w:val="en-US" w:eastAsia="en-GB"/>
        </w:rPr>
        <w:fldChar w:fldCharType="separate"/>
      </w:r>
      <w:r w:rsidRPr="00AF0E0B">
        <w:rPr>
          <w:rFonts w:eastAsia="Arial Unicode MS" w:cs="Arial Unicode MS"/>
          <w:color w:val="000000"/>
          <w:u w:color="000000"/>
          <w:bdr w:val="nil"/>
          <w:lang w:val="en-US" w:eastAsia="en-GB"/>
        </w:rPr>
        <w:t>(Malik et al., 2011)</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t>.  Unlike the diagnosis of DN which can be measured objectively, the assessment of pain relies solely on an individual’s subjective description.  Currently there is increasing research aimed at developing objective correlates of P-DPN symptoms for clinical and research purposes.</w:t>
      </w:r>
    </w:p>
    <w:p w14:paraId="0C778B97" w14:textId="2D2A2CD1" w:rsidR="00AF0E0B" w:rsidRPr="00484C21" w:rsidRDefault="00AF0E0B" w:rsidP="00484C21">
      <w:pPr>
        <w:pStyle w:val="Heading3"/>
      </w:pPr>
      <w:bookmarkStart w:id="31" w:name="_Toc49972679"/>
      <w:bookmarkStart w:id="32" w:name="_Toc64723866"/>
      <w:r w:rsidRPr="00457903">
        <w:t>Treatment of P-DPN</w:t>
      </w:r>
      <w:bookmarkEnd w:id="31"/>
      <w:bookmarkEnd w:id="32"/>
    </w:p>
    <w:p w14:paraId="6132D221" w14:textId="1E86EA2D"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eastAsia="Arial Unicode MS" w:cs="Arial Unicode MS"/>
          <w:color w:val="000000"/>
          <w:u w:color="000000"/>
          <w:bdr w:val="nil"/>
          <w:lang w:val="en-US" w:eastAsia="en-GB"/>
        </w:rPr>
        <w:t xml:space="preserve">Most neuropathic pain management guidelines recommend duloxetine, pregabalin, gabapentin and amitriptyline as first line agents for symptomatic treatment of P-DPN </w:t>
      </w:r>
      <w:r w:rsidRPr="00AF0E0B">
        <w:rPr>
          <w:rFonts w:eastAsia="Arial Unicode MS" w:cs="Arial Unicode MS"/>
          <w:color w:val="000000"/>
          <w:u w:color="000000"/>
          <w:bdr w:val="nil"/>
          <w:lang w:val="en-US" w:eastAsia="en-GB"/>
        </w:rPr>
        <w:fldChar w:fldCharType="begin">
          <w:fldData xml:space="preserve">PEVuZE5vdGU+PENpdGU+PEF1dGhvcj5DcnVjY3U8L0F1dGhvcj48WWVhcj4yMDEwPC9ZZWFyPjxS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</w:fldData>
        </w:fldChar>
      </w:r>
      <w:r w:rsidR="009968E0">
        <w:rPr>
          <w:rFonts w:eastAsia="Arial Unicode MS" w:cs="Arial Unicode MS"/>
          <w:color w:val="000000"/>
          <w:u w:color="000000"/>
          <w:bdr w:val="nil"/>
          <w:lang w:val="en-US" w:eastAsia="en-GB"/>
        </w:rPr>
        <w:instrText xml:space="preserve"> ADDIN EN.CITE </w:instrText>
      </w:r>
      <w:r w:rsidR="009968E0">
        <w:rPr>
          <w:rFonts w:eastAsia="Arial Unicode MS" w:cs="Arial Unicode MS"/>
          <w:color w:val="000000"/>
          <w:u w:color="000000"/>
          <w:bdr w:val="nil"/>
          <w:lang w:val="en-US" w:eastAsia="en-GB"/>
        </w:rPr>
        <w:fldChar w:fldCharType="begin">
          <w:fldData xml:space="preserve">PEVuZE5vdGU+PENpdGU+PEF1dGhvcj5DcnVjY3U8L0F1dGhvcj48WWVhcj4yMDEwPC9ZZWFyPjxS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</w:fldData>
        </w:fldChar>
      </w:r>
      <w:r w:rsidR="009968E0">
        <w:rPr>
          <w:rFonts w:eastAsia="Arial Unicode MS" w:cs="Arial Unicode MS"/>
          <w:color w:val="000000"/>
          <w:u w:color="000000"/>
          <w:bdr w:val="nil"/>
          <w:lang w:val="en-US" w:eastAsia="en-GB"/>
        </w:rPr>
        <w:instrText xml:space="preserve"> ADDIN EN.CITE.DATA </w:instrText>
      </w:r>
      <w:r w:rsidR="009968E0">
        <w:rPr>
          <w:rFonts w:eastAsia="Arial Unicode MS" w:cs="Arial Unicode MS"/>
          <w:color w:val="000000"/>
          <w:u w:color="000000"/>
          <w:bdr w:val="nil"/>
          <w:lang w:val="en-US" w:eastAsia="en-GB"/>
        </w:rPr>
      </w:r>
      <w:r w:rsidR="009968E0">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r>
      <w:r w:rsidRPr="00AF0E0B">
        <w:rPr>
          <w:rFonts w:eastAsia="Arial Unicode MS" w:cs="Arial Unicode MS"/>
          <w:color w:val="000000"/>
          <w:u w:color="000000"/>
          <w:bdr w:val="nil"/>
          <w:lang w:val="en-US" w:eastAsia="en-GB"/>
        </w:rPr>
        <w:fldChar w:fldCharType="separate"/>
      </w:r>
      <w:r w:rsidR="009968E0">
        <w:rPr>
          <w:rFonts w:eastAsia="Arial Unicode MS" w:cs="Arial Unicode MS"/>
          <w:noProof/>
          <w:color w:val="000000"/>
          <w:u w:color="000000"/>
          <w:bdr w:val="nil"/>
          <w:lang w:val="en-US" w:eastAsia="en-GB"/>
        </w:rPr>
        <w:t>(Cruccu et al., 2010, Tesfaye et al., 2011, Tesfaye and Selvarajah, 2012, Ziegler, 2011, Bril, 2012, Devitt, 2012)</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t xml:space="preserve">.  Second line agents with efficacy include tramadol </w:t>
      </w:r>
      <w:r w:rsidRPr="00AF0E0B">
        <w:rPr>
          <w:rFonts w:eastAsia="Arial Unicode MS" w:cs="Arial Unicode MS"/>
          <w:color w:val="000000"/>
          <w:u w:color="000000"/>
          <w:bdr w:val="nil"/>
          <w:lang w:val="en-US" w:eastAsia="en-GB"/>
        </w:rPr>
        <w:fldChar w:fldCharType="begin"/>
      </w:r>
      <w:r w:rsidRPr="00AF0E0B">
        <w:rPr>
          <w:rFonts w:eastAsia="Arial Unicode MS" w:cs="Arial Unicode MS"/>
          <w:color w:val="000000"/>
          <w:u w:color="000000"/>
          <w:bdr w:val="nil"/>
          <w:lang w:val="en-US" w:eastAsia="en-GB"/>
        </w:rPr>
        <w:instrText xml:space="preserve"> ADDIN EN.CITE &lt;EndNote&gt;&lt;Cite  &gt;&lt;Author&gt;Harati&lt;/Author&gt;&lt;Year&gt;1998&lt;/Year&gt;&lt;RecNum&gt;616&lt;/RecNum&gt;&lt;DisplayText&gt;(Harati et al., 1998)&lt;/DisplayText&gt;&lt;record&gt;&lt;dates&gt;&lt;pub-dates&gt;&lt;date&gt;Jun&lt;/date&gt;&lt;/pub-dates&gt;&lt;year&gt;1998&lt;/year&gt;&lt;/dates&gt;&lt;isbn&gt;0028-3878&lt;/isbn&gt;&lt;titles&gt;&lt;title&gt;Double-blind randomized trial of tramadol for the treatment of the pain of diabetic neuropathy&lt;/title&gt;&lt;secondary-title&gt;Neurology&lt;/secondary-title&gt;&lt;/titles&gt;&lt;pages&gt;1842-1846&lt;/pages&gt;&lt;number&gt;6&lt;/number&gt;&lt;contributors&gt;&lt;authors&gt;&lt;author&gt;Harati, Y.&lt;/author&gt;&lt;author&gt;Gooch, C.&lt;/author&gt;&lt;author&gt;Swenson, M.&lt;/author&gt;&lt;author&gt;Edelman, S.&lt;/author&gt;&lt;author&gt;Greene, D.&lt;/author&gt;&lt;author&gt;Raskin, P.&lt;/author&gt;&lt;author&gt;Donofrio, P.&lt;/author&gt;&lt;author&gt;Cornblath, D.&lt;/author&gt;&lt;author&gt;Sachdeo, R.&lt;/author&gt;&lt;author&gt;Siu, C. O.&lt;/author&gt;&lt;author&gt;Kamin, M.&lt;/author&gt;&lt;/authors&gt;&lt;/contributors&gt;&lt;added-date format="utc"&gt;1357504749&lt;/added-date&gt;&lt;ref-type name="Journal Article"&gt;17&lt;/ref-type&gt;&lt;rec-number&gt;616&lt;/rec-number&gt;&lt;last-updated-date format="utc"&gt;1479819562&lt;/last-updated-date&gt;&lt;accession-num&gt;WOS:000074226700053&lt;/accession-num&gt;&lt;volume&gt;50&lt;/volume&gt;&lt;/record&gt;&lt;/Cite&gt;&lt;/EndNote&gt;</w:instrText>
      </w:r>
      <w:r w:rsidRPr="00AF0E0B">
        <w:rPr>
          <w:rFonts w:eastAsia="Arial Unicode MS" w:cs="Arial Unicode MS"/>
          <w:color w:val="000000"/>
          <w:u w:color="000000"/>
          <w:bdr w:val="nil"/>
          <w:lang w:val="en-US" w:eastAsia="en-GB"/>
        </w:rPr>
        <w:fldChar w:fldCharType="separate"/>
      </w:r>
      <w:r w:rsidRPr="00AF0E0B">
        <w:rPr>
          <w:rFonts w:eastAsia="Arial Unicode MS" w:cs="Arial Unicode MS"/>
          <w:color w:val="000000"/>
          <w:u w:color="000000"/>
          <w:bdr w:val="nil"/>
          <w:lang w:val="en-US" w:eastAsia="en-GB"/>
        </w:rPr>
        <w:t>(Harati et al., 1998)</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da-DK" w:eastAsia="en-GB"/>
        </w:rPr>
        <w:t xml:space="preserve">, </w:t>
      </w:r>
      <w:proofErr w:type="spellStart"/>
      <w:r w:rsidRPr="00AF0E0B">
        <w:rPr>
          <w:rFonts w:eastAsia="Arial Unicode MS" w:cs="Arial Unicode MS"/>
          <w:color w:val="000000"/>
          <w:u w:color="000000"/>
          <w:bdr w:val="nil"/>
          <w:lang w:val="da-DK" w:eastAsia="en-GB"/>
        </w:rPr>
        <w:t>morphine</w:t>
      </w:r>
      <w:proofErr w:type="spellEnd"/>
      <w:r w:rsidRPr="00AF0E0B">
        <w:rPr>
          <w:rFonts w:eastAsia="Arial Unicode MS" w:cs="Arial Unicode MS"/>
          <w:color w:val="000000"/>
          <w:u w:color="000000"/>
          <w:bdr w:val="nil"/>
          <w:lang w:val="da-DK" w:eastAsia="en-GB"/>
        </w:rPr>
        <w:t xml:space="preserve"> </w:t>
      </w:r>
      <w:r w:rsidRPr="00AF0E0B">
        <w:rPr>
          <w:rFonts w:eastAsia="Arial Unicode MS" w:cs="Arial Unicode MS"/>
          <w:color w:val="000000"/>
          <w:u w:color="000000"/>
          <w:bdr w:val="nil"/>
          <w:lang w:val="fr-FR" w:eastAsia="en-GB"/>
        </w:rPr>
        <w:fldChar w:fldCharType="begin"/>
      </w:r>
      <w:r w:rsidRPr="00AF0E0B">
        <w:rPr>
          <w:rFonts w:eastAsia="Arial Unicode MS" w:cs="Arial Unicode MS"/>
          <w:color w:val="000000"/>
          <w:u w:color="000000"/>
          <w:bdr w:val="nil"/>
          <w:lang w:val="fr-FR" w:eastAsia="en-GB"/>
        </w:rPr>
        <w:instrText xml:space="preserve"> ADDIN EN.CITE &lt;EndNote&gt;&lt;Cite  &gt;&lt;Author&gt;Gilron&lt;/Author&gt;&lt;Year&gt;2005&lt;/Year&gt;&lt;RecNum&gt;617&lt;/RecNum&gt;&lt;DisplayText&gt;(Gilron et al., 2005)&lt;/DisplayText&gt;&lt;record&gt;&lt;dates&gt;&lt;pub-dates&gt;&lt;date&gt;Mar&lt;/date&gt;&lt;/pub-dates&gt;&lt;year&gt;2005&lt;/year&gt;&lt;/dates&gt;&lt;urls&gt;&lt;related-urls&gt;&lt;url&gt;&amp;lt;Go to ISI&amp;gt;://WOS:000227998300009&lt;/url&gt;&lt;/related-urls&gt;&lt;/urls&gt;&lt;isbn&gt;0028-4793&lt;/isbn&gt;&lt;titles&gt;&lt;title&gt;Morphine, gabapentin, or their combination for neuropathic pain&lt;/title&gt;&lt;secondary-title&gt;New England Journal of Medicine&lt;/secondary-title&gt;&lt;/titles&gt;&lt;pages&gt;1324-1334&lt;/pages&gt;&lt;number&gt;13&lt;/number&gt;&lt;contributors&gt;&lt;authors&gt;&lt;author&gt;Gilron, I.&lt;/author&gt;&lt;author&gt;Bailey, J. M.&lt;/author&gt;&lt;author&gt;Tu, D. S.&lt;/author&gt;&lt;author&gt;Holden, R. R.&lt;/author&gt;&lt;author&gt;Weaver, D. F.&lt;/author&gt;&lt;author&gt;Houlden, R. L.&lt;/author&gt;&lt;/authors&gt;&lt;/contributors&gt;&lt;added-date format="utc"&gt;1357522843&lt;/added-date&gt;&lt;ref-type name="Journal Article"&gt;17&lt;/ref-type&gt;&lt;rec-number&gt;617&lt;/rec-number&gt;&lt;last-updated-date format="utc"&gt;1479837226&lt;/last-updated-date&gt;&lt;accession-num&gt;WOS:000227998300009&lt;/accession-num&gt;&lt;electronic-resource-num&gt;10.1056/NEJMoa042580&lt;/electronic-resource-num&gt;&lt;volume&gt;352&lt;/volume&gt;&lt;/record&gt;&lt;/Cite&gt;&lt;/EndNote&gt;</w:instrText>
      </w:r>
      <w:r w:rsidRPr="00AF0E0B">
        <w:rPr>
          <w:rFonts w:eastAsia="Arial Unicode MS" w:cs="Arial Unicode MS"/>
          <w:color w:val="000000"/>
          <w:u w:color="000000"/>
          <w:bdr w:val="nil"/>
          <w:lang w:val="fr-FR" w:eastAsia="en-GB"/>
        </w:rPr>
        <w:fldChar w:fldCharType="separate"/>
      </w:r>
      <w:r w:rsidRPr="00AF0E0B">
        <w:rPr>
          <w:rFonts w:eastAsia="Arial Unicode MS" w:cs="Arial Unicode MS"/>
          <w:color w:val="000000"/>
          <w:u w:color="000000"/>
          <w:bdr w:val="nil"/>
          <w:lang w:val="fr-FR" w:eastAsia="en-GB"/>
        </w:rPr>
        <w:t>(</w:t>
      </w:r>
      <w:proofErr w:type="spellStart"/>
      <w:r w:rsidRPr="00AF0E0B">
        <w:rPr>
          <w:rFonts w:eastAsia="Arial Unicode MS" w:cs="Arial Unicode MS"/>
          <w:color w:val="000000"/>
          <w:u w:color="000000"/>
          <w:bdr w:val="nil"/>
          <w:lang w:val="fr-FR" w:eastAsia="en-GB"/>
        </w:rPr>
        <w:t>Gilron</w:t>
      </w:r>
      <w:proofErr w:type="spellEnd"/>
      <w:r w:rsidRPr="00AF0E0B">
        <w:rPr>
          <w:rFonts w:eastAsia="Arial Unicode MS" w:cs="Arial Unicode MS"/>
          <w:color w:val="000000"/>
          <w:u w:color="000000"/>
          <w:bdr w:val="nil"/>
          <w:lang w:val="fr-FR" w:eastAsia="en-GB"/>
        </w:rPr>
        <w:t xml:space="preserve"> et al., 2005)</w:t>
      </w:r>
      <w:r w:rsidRPr="00AF0E0B">
        <w:rPr>
          <w:rFonts w:eastAsia="Arial Unicode MS" w:cs="Arial Unicode MS"/>
          <w:color w:val="000000"/>
          <w:u w:color="000000"/>
          <w:bdr w:val="nil"/>
          <w:lang w:val="fr-FR" w:eastAsia="en-GB"/>
        </w:rPr>
        <w:fldChar w:fldCharType="end"/>
      </w:r>
      <w:r w:rsidRPr="00AF0E0B">
        <w:rPr>
          <w:rFonts w:eastAsia="Arial Unicode MS" w:cs="Arial Unicode MS"/>
          <w:color w:val="000000"/>
          <w:u w:color="000000"/>
          <w:bdr w:val="nil"/>
          <w:lang w:val="en-US" w:eastAsia="en-GB"/>
        </w:rPr>
        <w:t>, oxycodone</w:t>
      </w:r>
      <w:r w:rsidRPr="00AF0E0B">
        <w:rPr>
          <w:rFonts w:eastAsia="Arial Unicode MS" w:cs="Arial Unicode MS"/>
          <w:color w:val="000000"/>
          <w:u w:color="000000"/>
          <w:bdr w:val="nil"/>
          <w:lang w:val="en-US" w:eastAsia="en-GB"/>
        </w:rPr>
        <w:fldChar w:fldCharType="begin"/>
      </w:r>
      <w:r w:rsidRPr="00AF0E0B">
        <w:rPr>
          <w:rFonts w:eastAsia="Arial Unicode MS" w:cs="Arial Unicode MS"/>
          <w:color w:val="000000"/>
          <w:u w:color="000000"/>
          <w:bdr w:val="nil"/>
          <w:lang w:val="en-US" w:eastAsia="en-GB"/>
        </w:rPr>
        <w:instrText xml:space="preserve"> ADDIN EN.CITE &lt;EndNote&gt;&lt;Cite  &gt;&lt;Author&gt;Gimbel&lt;/Author&gt;&lt;Year&gt;2003&lt;/Year&gt;&lt;RecNum&gt;786&lt;/RecNum&gt;&lt;DisplayText&gt;(Gimbel et al., 2003)&lt;/DisplayText&gt;&lt;record&gt;&lt;dates&gt;&lt;pub-dates&gt;&lt;date&gt;Mar 25&lt;/date&gt;&lt;/pub-dates&gt;&lt;year&gt;2003&lt;/year&gt;&lt;/dates&gt;&lt;urls&gt;&lt;related-urls&gt;&lt;url&gt;&amp;lt;Go to ISI&amp;gt;://WOS:000182948600009&lt;/url&gt;&lt;/related-urls&gt;&lt;/urls&gt;&lt;isbn&gt;0028-3878&lt;/isbn&gt;&lt;titles&gt;&lt;title&gt;Controlled-release oxycodone for pain in diabetic neuropathy - A randomized controlled trial&lt;/title&gt;&lt;secondary-title&gt;Neurology&lt;/secondary-title&gt;&lt;/titles&gt;&lt;pages&gt;927-934&lt;/pages&gt;&lt;number&gt;6&lt;/number&gt;&lt;contributors&gt;&lt;authors&gt;&lt;author&gt;Gimbel, J. S.&lt;/author&gt;&lt;author&gt;Richards, P.&lt;/author&gt;&lt;author&gt;Portenoy, R. K.&lt;/author&gt;&lt;/authors&gt;&lt;/contributors&gt;&lt;added-date format="utc"&gt;1376444715&lt;/added-date&gt;&lt;ref-type name="Journal Article"&gt;17&lt;/ref-type&gt;&lt;rec-number&gt;786&lt;/rec-number&gt;&lt;last-updated-date format="utc"&gt;1479837234&lt;/last-updated-date&gt;&lt;accession-num&gt;WOS:000182948600009&lt;/accession-num&gt;&lt;volume&gt;60&lt;/volume&gt;&lt;/record&gt;&lt;/Cite&gt;&lt;/EndNote&gt;</w:instrText>
      </w:r>
      <w:r w:rsidRPr="00AF0E0B">
        <w:rPr>
          <w:rFonts w:eastAsia="Arial Unicode MS" w:cs="Arial Unicode MS"/>
          <w:color w:val="000000"/>
          <w:u w:color="000000"/>
          <w:bdr w:val="nil"/>
          <w:lang w:val="en-US" w:eastAsia="en-GB"/>
        </w:rPr>
        <w:fldChar w:fldCharType="separate"/>
      </w:r>
      <w:r w:rsidRPr="00AF0E0B">
        <w:rPr>
          <w:rFonts w:eastAsia="Arial Unicode MS" w:cs="Arial Unicode MS"/>
          <w:color w:val="000000"/>
          <w:u w:color="000000"/>
          <w:bdr w:val="nil"/>
          <w:lang w:val="en-US" w:eastAsia="en-GB"/>
        </w:rPr>
        <w:t>(Gimbel et al., 2003)</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t xml:space="preserve"> </w:t>
      </w:r>
      <w:proofErr w:type="spellStart"/>
      <w:r w:rsidRPr="00AF0E0B">
        <w:rPr>
          <w:rFonts w:eastAsia="Arial Unicode MS" w:cs="Arial Unicode MS"/>
          <w:color w:val="000000"/>
          <w:u w:color="000000"/>
          <w:bdr w:val="nil"/>
          <w:lang w:val="en-US" w:eastAsia="en-GB"/>
        </w:rPr>
        <w:t>tapentadol</w:t>
      </w:r>
      <w:proofErr w:type="spellEnd"/>
      <w:r w:rsidRPr="00AF0E0B">
        <w:rPr>
          <w:rFonts w:eastAsia="Arial Unicode MS" w:cs="Arial Unicode MS"/>
          <w:color w:val="000000"/>
          <w:u w:color="000000"/>
          <w:bdr w:val="nil"/>
          <w:lang w:val="en-US" w:eastAsia="en-GB"/>
        </w:rPr>
        <w:t xml:space="preserve"> slow release </w:t>
      </w:r>
      <w:r w:rsidRPr="00AF0E0B">
        <w:rPr>
          <w:rFonts w:eastAsia="Arial Unicode MS" w:cs="Arial Unicode MS"/>
          <w:color w:val="000000"/>
          <w:u w:color="000000"/>
          <w:bdr w:val="nil"/>
          <w:lang w:val="de-DE" w:eastAsia="en-GB"/>
        </w:rPr>
        <w:fldChar w:fldCharType="begin"/>
      </w:r>
      <w:r w:rsidRPr="00AF0E0B">
        <w:rPr>
          <w:rFonts w:eastAsia="Arial Unicode MS" w:cs="Arial Unicode MS"/>
          <w:color w:val="000000"/>
          <w:u w:color="000000"/>
          <w:bdr w:val="nil"/>
          <w:lang w:val="de-DE" w:eastAsia="en-GB"/>
        </w:rPr>
        <w:instrText xml:space="preserve"> ADDIN EN.CITE &lt;EndNote&gt;&lt;Cite  &gt;&lt;Author&gt;Schwartz&lt;/Author&gt;&lt;Year&gt;2011&lt;/Year&gt;&lt;RecNum&gt;788&lt;/RecNum&gt;&lt;DisplayText&gt;(Schwartz et al., 2011)&lt;/DisplayText&gt;&lt;record&gt;&lt;dates&gt;&lt;pub-dates&gt;&lt;date&gt;Jan&lt;/date&gt;&lt;/pub-dates&gt;&lt;year&gt;2011&lt;/year&gt;&lt;/dates&gt;&lt;urls&gt;&lt;related-urls&gt;&lt;url&gt;&amp;lt;Go to ISI&amp;gt;://WOS:000285416200016&lt;/url&gt;&lt;/related-urls&gt;&lt;/urls&gt;&lt;isbn&gt;0300-7995&lt;/isbn&gt;&lt;titles&gt;&lt;title&gt;Safety and efficacy of tapentadol ER in patients with painful diabetic peripheral neuropathy: results of a randomized-withdrawal, placebo-controlled trial&lt;/title&gt;&lt;secondary-title&gt;Current Medical Research and Opinion&lt;/secondary-title&gt;&lt;/titles&gt;&lt;pages&gt;151-162&lt;/pages&gt;&lt;number&gt;1&lt;/number&gt;&lt;contributors&gt;&lt;authors&gt;&lt;author&gt;Schwartz, Sherwyn&lt;/author&gt;&lt;author&gt;Etropolski, Mila&lt;/author&gt;&lt;author&gt;Shapiro, Douglas Y.&lt;/author&gt;&lt;author&gt;Okamoto, Akiko&lt;/author&gt;&lt;author&gt;Lange, Robert&lt;/author&gt;&lt;author&gt;Haeussler, Juergen&lt;/author&gt;&lt;author&gt;Rauschkolb, Christine&lt;/author&gt;&lt;/authors&gt;&lt;/contributors&gt;&lt;added-date format="utc"&gt;1376445282&lt;/added-date&gt;&lt;ref-type name="Journal Article"&gt;17&lt;/ref-type&gt;&lt;rec-number&gt;788&lt;/rec-number&gt;&lt;last-updated-date format="utc"&gt;1376445282&lt;/last-updated-date&gt;&lt;accession-num&gt;WOS:000285416200016&lt;/accession-num&gt;&lt;electronic-resource-num&gt;10.1185/03007995.2010.537589&lt;/electronic-resource-num&gt;&lt;volume&gt;27&lt;/volume&gt;&lt;/record&gt;&lt;/Cite&gt;&lt;/EndNote&gt;</w:instrText>
      </w:r>
      <w:r w:rsidRPr="00AF0E0B">
        <w:rPr>
          <w:rFonts w:eastAsia="Arial Unicode MS" w:cs="Arial Unicode MS"/>
          <w:color w:val="000000"/>
          <w:u w:color="000000"/>
          <w:bdr w:val="nil"/>
          <w:lang w:val="de-DE" w:eastAsia="en-GB"/>
        </w:rPr>
        <w:fldChar w:fldCharType="separate"/>
      </w:r>
      <w:r w:rsidRPr="00AF0E0B">
        <w:rPr>
          <w:rFonts w:eastAsia="Arial Unicode MS" w:cs="Arial Unicode MS"/>
          <w:color w:val="000000"/>
          <w:u w:color="000000"/>
          <w:bdr w:val="nil"/>
          <w:lang w:val="de-DE" w:eastAsia="en-GB"/>
        </w:rPr>
        <w:t>(Schwartz et al., 2011)</w:t>
      </w:r>
      <w:r w:rsidRPr="00AF0E0B">
        <w:rPr>
          <w:rFonts w:eastAsia="Arial Unicode MS" w:cs="Arial Unicode MS"/>
          <w:color w:val="000000"/>
          <w:u w:color="000000"/>
          <w:bdr w:val="nil"/>
          <w:lang w:val="de-DE" w:eastAsia="en-GB"/>
        </w:rPr>
        <w:fldChar w:fldCharType="end"/>
      </w:r>
      <w:r w:rsidRPr="00AF0E0B">
        <w:rPr>
          <w:rFonts w:eastAsia="Arial Unicode MS" w:cs="Arial Unicode MS"/>
          <w:color w:val="000000"/>
          <w:u w:color="000000"/>
          <w:bdr w:val="nil"/>
          <w:lang w:val="en-US" w:eastAsia="en-GB"/>
        </w:rPr>
        <w:t xml:space="preserve"> and capsaicin 8% patch </w:t>
      </w:r>
      <w:r w:rsidRPr="00AF0E0B">
        <w:rPr>
          <w:rFonts w:eastAsia="Arial Unicode MS" w:cs="Arial Unicode MS"/>
          <w:color w:val="000000"/>
          <w:u w:color="000000"/>
          <w:bdr w:val="nil"/>
          <w:lang w:val="en-US" w:eastAsia="en-GB"/>
        </w:rPr>
        <w:fldChar w:fldCharType="begin"/>
      </w:r>
      <w:r w:rsidRPr="00AF0E0B">
        <w:rPr>
          <w:rFonts w:eastAsia="Arial Unicode MS" w:cs="Arial Unicode MS"/>
          <w:color w:val="000000"/>
          <w:u w:color="000000"/>
          <w:bdr w:val="nil"/>
          <w:lang w:val="en-US" w:eastAsia="en-GB"/>
        </w:rPr>
        <w:instrText xml:space="preserve"> ADDIN EN.CITE &lt;EndNote&gt;&lt;Cite  &gt;&lt;Author&gt;Anand&lt;/Author&gt;&lt;Year&gt;2011&lt;/Year&gt;&lt;RecNum&gt;814&lt;/RecNum&gt;&lt;DisplayText&gt;(Anand and Bley, 2011)&lt;/DisplayText&gt;&lt;record&gt;&lt;dates&gt;&lt;pub-dates&gt;&lt;date&gt;Oct&lt;/date&gt;&lt;/pub-dates&gt;&lt;year&gt;2011&lt;/year&gt;&lt;/dates&gt;&lt;urls&gt;&lt;related-urls&gt;&lt;url&gt;&amp;lt;Go to ISI&amp;gt;://WOS:000294807400003&lt;/url&gt;&lt;/related-urls&gt;&lt;/urls&gt;&lt;isbn&gt;0007-0912&lt;/isbn&gt;&lt;titles&gt;&lt;title&gt;Topical capsaicin for pain management: therapeutic potential and mechanisms of action of the new high-concentration capsaicin 8% patch&lt;/title&gt;&lt;secondary-title&gt;British Journal of Anaesthesia&lt;/secondary-title&gt;&lt;/titles&gt;&lt;pages&gt;490-502&lt;/pages&gt;&lt;number&gt;4&lt;/number&gt;&lt;contributors&gt;&lt;authors&gt;&lt;author&gt;Anand, P.&lt;/author&gt;&lt;author&gt;Bley, K.&lt;/author&gt;&lt;/authors&gt;&lt;/contributors&gt;&lt;added-date format="utc"&gt;1379376654&lt;/added-date&gt;&lt;ref-type name="Journal Article"&gt;17&lt;/ref-type&gt;&lt;rec-number&gt;814&lt;/rec-number&gt;&lt;last-updated-date format="utc"&gt;1479833942&lt;/last-updated-date&gt;&lt;accession-num&gt;WOS:000294807400003&lt;/accession-num&gt;&lt;electronic-resource-num&gt;10.1093/bja/aer260&lt;/electronic-resource-num&gt;&lt;volume&gt;107&lt;/volume&gt;&lt;/record&gt;&lt;/Cite&gt;&lt;/EndNote&gt;</w:instrText>
      </w:r>
      <w:r w:rsidRPr="00AF0E0B">
        <w:rPr>
          <w:rFonts w:eastAsia="Arial Unicode MS" w:cs="Arial Unicode MS"/>
          <w:color w:val="000000"/>
          <w:u w:color="000000"/>
          <w:bdr w:val="nil"/>
          <w:lang w:val="en-US" w:eastAsia="en-GB"/>
        </w:rPr>
        <w:fldChar w:fldCharType="separate"/>
      </w:r>
      <w:r w:rsidRPr="00AF0E0B">
        <w:rPr>
          <w:rFonts w:eastAsia="Arial Unicode MS" w:cs="Arial Unicode MS"/>
          <w:color w:val="000000"/>
          <w:u w:color="000000"/>
          <w:bdr w:val="nil"/>
          <w:lang w:val="en-US" w:eastAsia="en-GB"/>
        </w:rPr>
        <w:t>(Anand and Bley, 2011)</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t xml:space="preserve">.  A recent meta-analysis of pharmacological agents used to treat neuropathic pain, </w:t>
      </w:r>
      <w:r w:rsidRPr="00AF0E0B">
        <w:rPr>
          <w:rFonts w:eastAsia="Arial Unicode MS" w:cs="Arial Unicode MS"/>
          <w:color w:val="000000"/>
          <w:u w:color="000000"/>
          <w:bdr w:val="nil"/>
          <w:lang w:val="en-US" w:eastAsia="en-GB"/>
        </w:rPr>
        <w:lastRenderedPageBreak/>
        <w:t xml:space="preserve">estimated that the Number Needed to Treat (NNT) for 50% pain intensity reduction was 3.6 for amitriptyline, 6.4 for duloxetine, 6.3 for gabapentin and 7.7 for pregabalin.  For every one patient that has a significant reduction in pain, between 3 and 7 patients do not get any significant relief </w:t>
      </w:r>
      <w:r w:rsidRPr="00AF0E0B">
        <w:rPr>
          <w:rFonts w:eastAsia="Arial Unicode MS" w:cs="Arial Unicode MS"/>
          <w:color w:val="000000"/>
          <w:u w:color="000000"/>
          <w:bdr w:val="nil"/>
          <w:lang w:val="en-US" w:eastAsia="en-GB"/>
        </w:rPr>
        <w:fldChar w:fldCharType="begin"/>
      </w:r>
      <w:r w:rsidRPr="00AF0E0B">
        <w:rPr>
          <w:rFonts w:eastAsia="Arial Unicode MS" w:cs="Arial Unicode MS"/>
          <w:color w:val="000000"/>
          <w:u w:color="000000"/>
          <w:bdr w:val="nil"/>
          <w:lang w:val="en-US" w:eastAsia="en-GB"/>
        </w:rPr>
        <w:instrText xml:space="preserve"> ADDIN EN.CITE &lt;EndNote&gt;&lt;Cite  &gt;&lt;Author&gt;Finnerup&lt;/Author&gt;&lt;Year&gt;2015&lt;/Year&gt;&lt;DisplayText&gt;(Finnerup et al., 2015)&lt;/DisplayText&gt;&lt;record&gt;&lt;keywords&gt;&lt;keyword&gt;Adults – Analysis&lt;/keyword&gt;&lt;keyword&gt;Neurosciences – Analysis&lt;/keyword&gt;&lt;keyword&gt;Pain Management – Analysis&lt;/keyword&gt;&lt;keyword&gt;Medical Schools – Analysis&lt;/keyword&gt;&lt;keyword&gt;Analgesics – Analysis&lt;/keyword&gt;&lt;/keywords&gt;&lt;isbn&gt;1474-4422&lt;/isbn&gt;&lt;titles&gt;&lt;title&gt;Pharmacotherapy for neuropathic pain in adults: a systematic review and meta-analysis&lt;/title&gt;&lt;secondary-title&gt;Lancet Neurology&lt;/secondary-title&gt;&lt;/titles&gt;&lt;pages&gt;162-173&lt;/pages&gt;&lt;number&gt;2&lt;/number&gt;&lt;contributors&gt;&lt;authors&gt;&lt;author&gt;Finnerup, Nanna B.&lt;/author&gt;&lt;author&gt;Attal, Nadine&lt;/author&gt;&lt;author&gt;Haroutounian, Simon&lt;/author&gt;&lt;author&gt;McNicol, Ewan&lt;/author&gt;&lt;author&gt;Baron, Ralf&lt;/author&gt;&lt;author&gt;Dworkin, Robert H.&lt;/author&gt;&lt;author&gt;Gilron, Ian&lt;/author&gt;&lt;author&gt;Haanpää, Maija&lt;/author&gt;&lt;author&gt;Hansson, Per&lt;/author&gt;&lt;author&gt;Jensen, Troels S.&lt;/author&gt;&lt;author&gt;Kamerman, Peter R.&lt;/author&gt;&lt;author&gt;Lund, Karen&lt;/author&gt;&lt;author&gt;Moore, Andrew&lt;/author&gt;&lt;author&gt;Raja, Srinivasa N.&lt;/author&gt;&lt;author&gt;Rice, Andrew S. C.&lt;/author&gt;&lt;author&gt;Rowbotham, Michael&lt;/author&gt;&lt;author&gt;Sena, Emily&lt;/author&gt;&lt;author&gt;Siddall, Philip&lt;/author&gt;&lt;author&gt;Smith, Blair H.&lt;/author&gt;&lt;author&gt;Wallace, Mark&lt;/author&gt;&lt;/authors&gt;&lt;/contributors&gt;&lt;added-date format="utc"&gt;1569751177&lt;/added-date&gt;&lt;ref-type name="Journal Article"&gt;17&lt;/ref-type&gt;&lt;dates&gt;&lt;year&gt;2015&lt;/year&gt;&lt;/dates&gt;&lt;rec-number&gt;1143&lt;/rec-number&gt;&lt;last-updated-date format="utc"&gt;1569751177&lt;/last-updated-date&gt;&lt;electronic-resource-num&gt;10.1016/S1474-4422(14)70251-0&lt;/electronic-resource-num&gt;&lt;volume&gt;14&lt;/volume&gt;&lt;/record&gt;&lt;/Cite&gt;&lt;/EndNote&gt;</w:instrText>
      </w:r>
      <w:r w:rsidRPr="00AF0E0B">
        <w:rPr>
          <w:rFonts w:eastAsia="Arial Unicode MS" w:cs="Arial Unicode MS"/>
          <w:color w:val="000000"/>
          <w:u w:color="000000"/>
          <w:bdr w:val="nil"/>
          <w:lang w:val="en-US" w:eastAsia="en-GB"/>
        </w:rPr>
        <w:fldChar w:fldCharType="separate"/>
      </w:r>
      <w:r w:rsidRPr="00AF0E0B">
        <w:rPr>
          <w:rFonts w:eastAsia="Arial Unicode MS" w:cs="Arial Unicode MS"/>
          <w:color w:val="000000"/>
          <w:u w:color="000000"/>
          <w:bdr w:val="nil"/>
          <w:lang w:val="en-US" w:eastAsia="en-GB"/>
        </w:rPr>
        <w:t>(Finnerup et al., 2015)</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t xml:space="preserve">.  Severe P-DPN unresponsive to pharmacotherapy may be treated with implantable spinal cord stimulation </w:t>
      </w:r>
      <w:r w:rsidRPr="00AF0E0B">
        <w:rPr>
          <w:rFonts w:eastAsia="Arial Unicode MS" w:cs="Arial Unicode MS"/>
          <w:color w:val="000000"/>
          <w:u w:color="000000"/>
          <w:bdr w:val="nil"/>
          <w:lang w:val="fr-FR" w:eastAsia="en-GB"/>
        </w:rPr>
        <w:fldChar w:fldCharType="begin"/>
      </w:r>
      <w:r w:rsidRPr="00AF0E0B">
        <w:rPr>
          <w:rFonts w:eastAsia="Arial Unicode MS" w:cs="Arial Unicode MS"/>
          <w:color w:val="000000"/>
          <w:u w:color="000000"/>
          <w:bdr w:val="nil"/>
          <w:lang w:val="fr-FR" w:eastAsia="en-GB"/>
        </w:rPr>
        <w:instrText xml:space="preserve"> ADDIN EN.CITE &lt;EndNote&gt;&lt;Cite  &gt;&lt;Author&gt;Tesfaye&lt;/Author&gt;&lt;Year&gt;1996&lt;/Year&gt;&lt;RecNum&gt;551&lt;/RecNum&gt;&lt;DisplayText&gt;(Tesfaye et al., 1996c, Daousi et al., 2005, de Vos et al., 2009)&lt;/DisplayText&gt;&lt;record&gt;&lt;dates&gt;&lt;pub-dates&gt;&lt;date&gt;Dec 21&lt;/date&gt;&lt;/pub-dates&gt;&lt;year&gt;1996&lt;/year&gt;&lt;/dates&gt;&lt;urls&gt;&lt;related-urls&gt;&lt;url&gt;&amp;lt;Go to ISI&amp;gt;://WOS:A1996VZ76600013&lt;/url&gt;&lt;/related-urls&gt;&lt;/urls&gt;&lt;isbn&gt;0140-6736&lt;/isbn&gt;&lt;titles&gt;&lt;title&gt;Electrical spinal-cord stimulation for painful diabetic peripheral neuropathy&lt;/title&gt;&lt;secondary-title&gt;Lancet&lt;/secondary-title&gt;&lt;/titles&gt;&lt;number&gt;9043&lt;/number&gt;&lt;contributors&gt;&lt;authors&gt;&lt;author&gt;Tesfaye, S.&lt;/author&gt;&lt;author&gt;Watt, J.&lt;/author&gt;&lt;author&gt;Benbow, S. J.&lt;/author&gt;&lt;author&gt;Pang, K. A.&lt;/author&gt;&lt;author&gt;Miles, J.&lt;/author&gt;&lt;author&gt;MacFarlane, I. A.&lt;/author&gt;&lt;/authors&gt;&lt;/contributors&gt;&lt;added-date format="utc"&gt;1356971621&lt;/added-date&gt;&lt;ref-type name="Journal Article"&gt;17&lt;/ref-type&gt;&lt;rec-number&gt;551&lt;/rec-number&gt;&lt;last-updated-date format="utc"&gt;1356971621&lt;/last-updated-date&gt;&lt;accession-num&gt;WOS:A1996VZ76600013&lt;/accession-num&gt;&lt;electronic-resource-num&gt;10.1016/s0140-6736(96)02467-1&lt;/electronic-resource-num&gt;&lt;volume&gt;348&lt;/volume&gt;&lt;/record&gt;&lt;/Cite&gt;&lt;Cite  &gt;&lt;Author&gt;Daousi&lt;/Author&gt;&lt;Year&gt;2005&lt;/Year&gt;&lt;RecNum&gt;652&lt;/RecNum&gt;&lt;record&gt;&lt;dates&gt;&lt;pub-dates&gt;&lt;date&gt;Apr&lt;/date&gt;&lt;/pub-dates&gt;&lt;year&gt;2005&lt;/year&gt;&lt;/dates&gt;&lt;isbn&gt;0742-3071&lt;/isbn&gt;&lt;titles&gt;&lt;title&gt;Electrical spinal cord stimulation in the long-term treatment of chronic painful diabetic neuropathy&lt;/title&gt;&lt;secondary-title&gt;Diabetic Medicine&lt;/secondary-title&gt;&lt;/titles&gt;&lt;pages&gt;393-398&lt;/pages&gt;&lt;number&gt;4&lt;/number&gt;&lt;contributors&gt;&lt;authors&gt;&lt;author&gt;Daousi, C.&lt;/author&gt;&lt;author&gt;Benbow, S. J.&lt;/author&gt;&lt;author&gt;MacFarlane, I. A.&lt;/author&gt;&lt;/authors&gt;&lt;/contributors&gt;&lt;added-date format="utc"&gt;1357560862&lt;/added-date&gt;&lt;ref-type name="Journal Article"&gt;17&lt;/ref-type&gt;&lt;rec-number&gt;652&lt;/rec-number&gt;&lt;last-updated-date format="utc"&gt;1479817464&lt;/last-updated-date&gt;&lt;accession-num&gt;WOS:000227774900006&lt;/accession-num&gt;&lt;electronic-resource-num&gt;10.1111/j.1464-5491.2004.01410.x&lt;/electronic-resource-num&gt;&lt;volume&gt;22&lt;/volume&gt;&lt;/record&gt;&lt;/Cite&gt;&lt;Cite  &gt;&lt;Author&gt;de Vos&lt;/Author&gt;&lt;Year&gt;2009&lt;/Year&gt;&lt;RecNum&gt;651&lt;/RecNum&gt;&lt;record&gt;&lt;dates&gt;&lt;pub-dates&gt;&lt;date&gt;Jan-Feb&lt;/date&gt;&lt;/pub-dates&gt;&lt;year&gt;2009&lt;/year&gt;&lt;/dates&gt;&lt;isbn&gt;1056-8727&lt;/isbn&gt;&lt;titles&gt;&lt;title&gt;Effect and safety of spinal cord stimulation for treatment of chronic pain caused by diabetic neuropathy&lt;/title&gt;&lt;secondary-title&gt;Journal of Diabetes and Its Complications&lt;/secondary-title&gt;&lt;/titles&gt;&lt;pages&gt;40-45&lt;/pages&gt;&lt;number&gt;1&lt;/number&gt;&lt;contributors&gt;&lt;authors&gt;&lt;author&gt;de Vos, C. C.&lt;/author&gt;&lt;author&gt;Rajan, V.&lt;/author&gt;&lt;author&gt;Steenbergen, W.&lt;/author&gt;&lt;author&gt;van der Aa, H. E.&lt;/author&gt;&lt;author&gt;Buschman, H. P. J.&lt;/author&gt;&lt;/authors&gt;&lt;/contributors&gt;&lt;added-date format="utc"&gt;1357560826&lt;/added-date&gt;&lt;ref-type name="Journal Article"&gt;17&lt;/ref-type&gt;&lt;rec-number&gt;651&lt;/rec-number&gt;&lt;last-updated-date format="utc"&gt;1479817566&lt;/last-updated-date&gt;&lt;accession-num&gt;WOS:000261708900007&lt;/accession-num&gt;&lt;electronic-resource-num&gt;10.1016/j.jdiacomp.2007.08.002&lt;/electronic-resource-num&gt;&lt;volume&gt;23&lt;/volume&gt;&lt;/record&gt;&lt;/Cite&gt;&lt;/EndNote&gt;</w:instrText>
      </w:r>
      <w:r w:rsidRPr="00AF0E0B">
        <w:rPr>
          <w:rFonts w:eastAsia="Arial Unicode MS" w:cs="Arial Unicode MS"/>
          <w:color w:val="000000"/>
          <w:u w:color="000000"/>
          <w:bdr w:val="nil"/>
          <w:lang w:val="fr-FR" w:eastAsia="en-GB"/>
        </w:rPr>
        <w:fldChar w:fldCharType="separate"/>
      </w:r>
      <w:r w:rsidRPr="00AF0E0B">
        <w:rPr>
          <w:rFonts w:eastAsia="Arial Unicode MS" w:cs="Arial Unicode MS"/>
          <w:color w:val="000000"/>
          <w:u w:color="000000"/>
          <w:bdr w:val="nil"/>
          <w:lang w:val="fr-FR" w:eastAsia="en-GB"/>
        </w:rPr>
        <w:t>(Tesfaye et al., 1996c, Daousi et al., 2005, de Vos et al., 2009)</w:t>
      </w:r>
      <w:r w:rsidRPr="00AF0E0B">
        <w:rPr>
          <w:rFonts w:eastAsia="Arial Unicode MS" w:cs="Arial Unicode MS"/>
          <w:color w:val="000000"/>
          <w:u w:color="000000"/>
          <w:bdr w:val="nil"/>
          <w:lang w:val="fr-FR" w:eastAsia="en-GB"/>
        </w:rPr>
        <w:fldChar w:fldCharType="end"/>
      </w:r>
      <w:r w:rsidRPr="00AF0E0B">
        <w:rPr>
          <w:rFonts w:eastAsia="Arial Unicode MS" w:cs="Arial Unicode MS"/>
          <w:color w:val="000000"/>
          <w:u w:color="000000"/>
          <w:bdr w:val="nil"/>
          <w:lang w:val="en-US" w:eastAsia="en-GB"/>
        </w:rPr>
        <w:t>.</w:t>
      </w:r>
    </w:p>
    <w:p w14:paraId="75B4379E" w14:textId="52595082"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eastAsia="Arial Unicode MS" w:cs="Arial Unicode MS"/>
          <w:color w:val="000000"/>
          <w:u w:color="000000"/>
          <w:bdr w:val="nil"/>
          <w:lang w:val="en-US" w:eastAsia="en-GB"/>
        </w:rPr>
        <w:t xml:space="preserve">There are no universally accepted disease modifying treatments for diabetic neuropathy or it’s subset P-DPN, but agents that have approvals in several countries include the antioxidant alpha-lipoic acid </w:t>
      </w:r>
      <w:r w:rsidRPr="00AF0E0B">
        <w:rPr>
          <w:rFonts w:eastAsia="Arial Unicode MS" w:cs="Arial Unicode MS"/>
          <w:color w:val="000000"/>
          <w:u w:color="000000"/>
          <w:bdr w:val="nil"/>
          <w:lang w:val="en-US" w:eastAsia="en-GB"/>
        </w:rPr>
        <w:fldChar w:fldCharType="begin"/>
      </w:r>
      <w:r w:rsidRPr="00AF0E0B">
        <w:rPr>
          <w:rFonts w:eastAsia="Arial Unicode MS" w:cs="Arial Unicode MS"/>
          <w:color w:val="000000"/>
          <w:u w:color="000000"/>
          <w:bdr w:val="nil"/>
          <w:lang w:val="en-US" w:eastAsia="en-GB"/>
        </w:rPr>
        <w:instrText xml:space="preserve"> ADDIN EN.CITE &lt;EndNote&gt;&lt;Cite  &gt;&lt;Author&gt;Ziegler&lt;/Author&gt;&lt;Year&gt;2006&lt;/Year&gt;&lt;RecNum&gt;626&lt;/RecNum&gt;&lt;DisplayText&gt;(Ziegler et al., 2006)&lt;/DisplayText&gt;&lt;record&gt;&lt;dates&gt;&lt;pub-dates&gt;&lt;date&gt;Nov&lt;/date&gt;&lt;/pub-dates&gt;&lt;year&gt;2006&lt;/year&gt;&lt;/dates&gt;&lt;urls&gt;&lt;related-urls&gt;&lt;url&gt;&amp;lt;Go to ISI&amp;gt;://WOS:000242030200005&lt;/url&gt;&lt;/related-urls&gt;&lt;/urls&gt;&lt;isbn&gt;0149-5992&lt;/isbn&gt;&lt;titles&gt;&lt;title&gt;Oral treatment with alpha-lipoic acid improves symptomatic diabetic polyneuropathy - The SYDNEY 2 trial&lt;/title&gt;&lt;secondary-title&gt;Diabetes Care&lt;/secondary-title&gt;&lt;/titles&gt;&lt;pages&gt;2365-2370&lt;/pages&gt;&lt;number&gt;11&lt;/number&gt;&lt;contributors&gt;&lt;authors&gt;&lt;author&gt;Ziegler, D.&lt;/author&gt;&lt;author&gt;Ametov, A.&lt;/author&gt;&lt;author&gt;Barinov, A.&lt;/author&gt;&lt;author&gt;Dyck, P. J.&lt;/author&gt;&lt;author&gt;Gurieva, I.&lt;/author&gt;&lt;author&gt;Low, P. A.&lt;/author&gt;&lt;author&gt;Munzel, U.&lt;/author&gt;&lt;author&gt;Yakhno, N.&lt;/author&gt;&lt;author&gt;Raz, I.&lt;/author&gt;&lt;author&gt;Novosadova, M.&lt;/author&gt;&lt;author&gt;Maus, J.&lt;/author&gt;&lt;author&gt;Samigullin, R.&lt;/author&gt;&lt;/authors&gt;&lt;/contributors&gt;&lt;added-date format="utc"&gt;1357509547&lt;/added-date&gt;&lt;ref-type name="Journal Article"&gt;17&lt;/ref-type&gt;&lt;rec-number&gt;626&lt;/rec-number&gt;&lt;last-updated-date format="utc"&gt;1357509547&lt;/last-updated-date&gt;&lt;accession-num&gt;WOS:000242030200005&lt;/accession-num&gt;&lt;electronic-resource-num&gt;10.2337/dc06-1216&lt;/electronic-resource-num&gt;&lt;volume&gt;29&lt;/volume&gt;&lt;/record&gt;&lt;/Cite&gt;&lt;/EndNote&gt;</w:instrText>
      </w:r>
      <w:r w:rsidRPr="00AF0E0B">
        <w:rPr>
          <w:rFonts w:eastAsia="Arial Unicode MS" w:cs="Arial Unicode MS"/>
          <w:color w:val="000000"/>
          <w:u w:color="000000"/>
          <w:bdr w:val="nil"/>
          <w:lang w:val="en-US" w:eastAsia="en-GB"/>
        </w:rPr>
        <w:fldChar w:fldCharType="separate"/>
      </w:r>
      <w:r w:rsidRPr="00AF0E0B">
        <w:rPr>
          <w:rFonts w:eastAsia="Arial Unicode MS" w:cs="Arial Unicode MS"/>
          <w:color w:val="000000"/>
          <w:u w:color="000000"/>
          <w:bdr w:val="nil"/>
          <w:lang w:val="en-US" w:eastAsia="en-GB"/>
        </w:rPr>
        <w:t>(Ziegler et al., 2006)</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t xml:space="preserve">, and the aldose reductase inhibitor, </w:t>
      </w:r>
      <w:proofErr w:type="spellStart"/>
      <w:r w:rsidRPr="00AF0E0B">
        <w:rPr>
          <w:rFonts w:eastAsia="Arial Unicode MS" w:cs="Arial Unicode MS"/>
          <w:color w:val="000000"/>
          <w:u w:color="000000"/>
          <w:bdr w:val="nil"/>
          <w:lang w:val="en-US" w:eastAsia="en-GB"/>
        </w:rPr>
        <w:t>epalrestat</w:t>
      </w:r>
      <w:proofErr w:type="spellEnd"/>
      <w:r w:rsidRPr="00AF0E0B">
        <w:rPr>
          <w:rFonts w:eastAsia="Arial Unicode MS" w:cs="Arial Unicode MS"/>
          <w:color w:val="000000"/>
          <w:u w:color="000000"/>
          <w:bdr w:val="nil"/>
          <w:lang w:val="en-US" w:eastAsia="en-GB"/>
        </w:rPr>
        <w:t xml:space="preserve"> </w:t>
      </w:r>
      <w:r w:rsidRPr="00AF0E0B">
        <w:rPr>
          <w:rFonts w:eastAsia="Arial Unicode MS" w:cs="Arial Unicode MS"/>
          <w:color w:val="000000"/>
          <w:u w:color="000000"/>
          <w:bdr w:val="nil"/>
          <w:lang w:val="en-US" w:eastAsia="en-GB"/>
        </w:rPr>
        <w:fldChar w:fldCharType="begin"/>
      </w:r>
      <w:r w:rsidRPr="00AF0E0B">
        <w:rPr>
          <w:rFonts w:eastAsia="Arial Unicode MS" w:cs="Arial Unicode MS"/>
          <w:color w:val="000000"/>
          <w:u w:color="000000"/>
          <w:bdr w:val="nil"/>
          <w:lang w:val="en-US" w:eastAsia="en-GB"/>
        </w:rPr>
        <w:instrText xml:space="preserve"> ADDIN EN.CITE &lt;EndNote&gt;&lt;Cite  &gt;&lt;Author&gt;Hotta&lt;/Author&gt;&lt;Year&gt;2006&lt;/Year&gt;&lt;RecNum&gt;635&lt;/RecNum&gt;&lt;DisplayText&gt;(Hotta et al., 2006)&lt;/DisplayText&gt;&lt;record&gt;&lt;dates&gt;&lt;pub-dates&gt;&lt;date&gt;Jul&lt;/date&gt;&lt;/pub-dates&gt;&lt;year&gt;2006&lt;/year&gt;&lt;/dates&gt;&lt;isbn&gt;0149-5992&lt;/isbn&gt;&lt;titles&gt;&lt;title&gt;Long-term clinical effects of epalrestat, an aldose reductase inhibitor, on diabetic peripheral neuropathy - The 3-year, multicenter, comparative aldose reductase inhibitor-diabetes complications trial&lt;/title&gt;&lt;secondary-title&gt;Diabetes Care&lt;/secondary-title&gt;&lt;/titles&gt;&lt;pages&gt;1538-1544&lt;/pages&gt;&lt;number&gt;7&lt;/number&gt;&lt;contributors&gt;&lt;authors&gt;&lt;author&gt;Hotta, N.&lt;/author&gt;&lt;author&gt;Akanuma, Y.&lt;/author&gt;&lt;author&gt;Kawamori, R.&lt;/author&gt;&lt;author&gt;Matsuoka, K.&lt;/author&gt;&lt;author&gt;Oka, Y.&lt;/author&gt;&lt;author&gt;Shichiri, M.&lt;/author&gt;&lt;author&gt;Toyota, T.&lt;/author&gt;&lt;author&gt;Nakashima, M.&lt;/author&gt;&lt;author&gt;Yoshimura, I.&lt;/author&gt;&lt;author&gt;Sakamoto, N.&lt;/author&gt;&lt;author&gt;Shigeta, Y.&lt;/author&gt;&lt;author&gt;Adct Study Grp&lt;/author&gt;&lt;/authors&gt;&lt;/contributors&gt;&lt;added-date format="utc"&gt;1357511037&lt;/added-date&gt;&lt;ref-type name="Journal Article"&gt;17&lt;/ref-type&gt;&lt;rec-number&gt;635&lt;/rec-number&gt;&lt;last-updated-date format="utc"&gt;1479819597&lt;/last-updated-date&gt;&lt;accession-num&gt;WOS:000238854000013&lt;/accession-num&gt;&lt;electronic-resource-num&gt;10.2337/dc.05-2370&lt;/electronic-resource-num&gt;&lt;volume&gt;29&lt;/volume&gt;&lt;/record&gt;&lt;/Cite&gt;&lt;/EndNote&gt;</w:instrText>
      </w:r>
      <w:r w:rsidRPr="00AF0E0B">
        <w:rPr>
          <w:rFonts w:eastAsia="Arial Unicode MS" w:cs="Arial Unicode MS"/>
          <w:color w:val="000000"/>
          <w:u w:color="000000"/>
          <w:bdr w:val="nil"/>
          <w:lang w:val="en-US" w:eastAsia="en-GB"/>
        </w:rPr>
        <w:fldChar w:fldCharType="separate"/>
      </w:r>
      <w:r w:rsidRPr="00AF0E0B">
        <w:rPr>
          <w:rFonts w:eastAsia="Arial Unicode MS" w:cs="Arial Unicode MS"/>
          <w:color w:val="000000"/>
          <w:u w:color="000000"/>
          <w:bdr w:val="nil"/>
          <w:lang w:val="en-US" w:eastAsia="en-GB"/>
        </w:rPr>
        <w:t>(</w:t>
      </w:r>
      <w:proofErr w:type="spellStart"/>
      <w:r w:rsidRPr="00AF0E0B">
        <w:rPr>
          <w:rFonts w:eastAsia="Arial Unicode MS" w:cs="Arial Unicode MS"/>
          <w:color w:val="000000"/>
          <w:u w:color="000000"/>
          <w:bdr w:val="nil"/>
          <w:lang w:val="en-US" w:eastAsia="en-GB"/>
        </w:rPr>
        <w:t>Hotta</w:t>
      </w:r>
      <w:proofErr w:type="spellEnd"/>
      <w:r w:rsidRPr="00AF0E0B">
        <w:rPr>
          <w:rFonts w:eastAsia="Arial Unicode MS" w:cs="Arial Unicode MS"/>
          <w:color w:val="000000"/>
          <w:u w:color="000000"/>
          <w:bdr w:val="nil"/>
          <w:lang w:val="en-US" w:eastAsia="en-GB"/>
        </w:rPr>
        <w:t xml:space="preserve"> et al., 2006)</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t>.  Improvement in glucose control slow</w:t>
      </w:r>
      <w:r w:rsidR="009648B3">
        <w:rPr>
          <w:rFonts w:eastAsia="Arial Unicode MS" w:cs="Arial Unicode MS"/>
          <w:color w:val="000000"/>
          <w:u w:color="000000"/>
          <w:bdr w:val="nil"/>
          <w:lang w:val="en-US" w:eastAsia="en-GB"/>
        </w:rPr>
        <w:t>s</w:t>
      </w:r>
      <w:r w:rsidRPr="00AF0E0B">
        <w:rPr>
          <w:rFonts w:eastAsia="Arial Unicode MS" w:cs="Arial Unicode MS"/>
          <w:color w:val="000000"/>
          <w:u w:color="000000"/>
          <w:bdr w:val="nil"/>
          <w:lang w:val="en-US" w:eastAsia="en-GB"/>
        </w:rPr>
        <w:t xml:space="preserve"> the rate of progression of established neuropathy but </w:t>
      </w:r>
      <w:r w:rsidR="009648B3">
        <w:rPr>
          <w:rFonts w:eastAsia="Arial Unicode MS" w:cs="Arial Unicode MS"/>
          <w:color w:val="000000"/>
          <w:u w:color="000000"/>
          <w:bdr w:val="nil"/>
          <w:lang w:val="en-US" w:eastAsia="en-GB"/>
        </w:rPr>
        <w:t>does</w:t>
      </w:r>
      <w:r w:rsidRPr="00AF0E0B">
        <w:rPr>
          <w:rFonts w:eastAsia="Arial Unicode MS" w:cs="Arial Unicode MS"/>
          <w:color w:val="000000"/>
          <w:u w:color="000000"/>
          <w:bdr w:val="nil"/>
          <w:lang w:val="en-US" w:eastAsia="en-GB"/>
        </w:rPr>
        <w:t xml:space="preserve"> not reverse the condition </w:t>
      </w:r>
      <w:r w:rsidRPr="00AF0E0B">
        <w:rPr>
          <w:rFonts w:eastAsia="Arial Unicode MS" w:cs="Arial Unicode MS"/>
          <w:color w:val="000000"/>
          <w:u w:color="000000"/>
          <w:bdr w:val="nil"/>
          <w:lang w:val="en-US" w:eastAsia="en-GB"/>
        </w:rPr>
        <w:fldChar w:fldCharType="begin">
          <w:fldData xml:space="preserve">PEVuZE5vdGU+PENpdGU+PEF1dGhvcj5BbGxlbjwvQXV0aG9yPjxZZWFyPjE5OTc8L1llYXI+PFJl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</w:fldData>
        </w:fldChar>
      </w:r>
      <w:r w:rsidR="00D06F2D">
        <w:rPr>
          <w:rFonts w:eastAsia="Arial Unicode MS" w:cs="Arial Unicode MS"/>
          <w:color w:val="000000"/>
          <w:u w:color="000000"/>
          <w:bdr w:val="nil"/>
          <w:lang w:val="en-US" w:eastAsia="en-GB"/>
        </w:rPr>
        <w:instrText xml:space="preserve"> ADDIN EN.CITE </w:instrText>
      </w:r>
      <w:r w:rsidR="00D06F2D">
        <w:rPr>
          <w:rFonts w:eastAsia="Arial Unicode MS" w:cs="Arial Unicode MS"/>
          <w:color w:val="000000"/>
          <w:u w:color="000000"/>
          <w:bdr w:val="nil"/>
          <w:lang w:val="en-US" w:eastAsia="en-GB"/>
        </w:rPr>
        <w:fldChar w:fldCharType="begin">
          <w:fldData xml:space="preserve">PEVuZE5vdGU+PENpdGU+PEF1dGhvcj5BbGxlbjwvQXV0aG9yPjxZZWFyPjE5OTc8L1llYXI+PFJl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</w:fldData>
        </w:fldChar>
      </w:r>
      <w:r w:rsidR="00D06F2D">
        <w:rPr>
          <w:rFonts w:eastAsia="Arial Unicode MS" w:cs="Arial Unicode MS"/>
          <w:color w:val="000000"/>
          <w:u w:color="000000"/>
          <w:bdr w:val="nil"/>
          <w:lang w:val="en-US" w:eastAsia="en-GB"/>
        </w:rPr>
        <w:instrText xml:space="preserve"> ADDIN EN.CITE.DATA </w:instrText>
      </w:r>
      <w:r w:rsidR="00D06F2D">
        <w:rPr>
          <w:rFonts w:eastAsia="Arial Unicode MS" w:cs="Arial Unicode MS"/>
          <w:color w:val="000000"/>
          <w:u w:color="000000"/>
          <w:bdr w:val="nil"/>
          <w:lang w:val="en-US" w:eastAsia="en-GB"/>
        </w:rPr>
      </w:r>
      <w:r w:rsidR="00D06F2D">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r>
      <w:r w:rsidRPr="00AF0E0B">
        <w:rPr>
          <w:rFonts w:eastAsia="Arial Unicode MS" w:cs="Arial Unicode MS"/>
          <w:color w:val="000000"/>
          <w:u w:color="000000"/>
          <w:bdr w:val="nil"/>
          <w:lang w:val="en-US" w:eastAsia="en-GB"/>
        </w:rPr>
        <w:fldChar w:fldCharType="separate"/>
      </w:r>
      <w:r w:rsidR="00D06F2D">
        <w:rPr>
          <w:rFonts w:eastAsia="Arial Unicode MS" w:cs="Arial Unicode MS"/>
          <w:noProof/>
          <w:color w:val="000000"/>
          <w:u w:color="000000"/>
          <w:bdr w:val="nil"/>
          <w:lang w:val="en-US" w:eastAsia="en-GB"/>
        </w:rPr>
        <w:t>(Allen et al., 1997, Nathan et al., 2005, Perkins et al., 2010, Pop-Busui et al., 2010, Bril, 2012, Lachin et al., 2017b)</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t xml:space="preserve">.  </w:t>
      </w:r>
    </w:p>
    <w:p w14:paraId="1DC69D5D" w14:textId="77777777"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eastAsia="Arial Unicode MS" w:cs="Arial Unicode MS"/>
          <w:color w:val="000000"/>
          <w:u w:color="000000"/>
          <w:bdr w:val="nil"/>
          <w:lang w:val="en-US" w:eastAsia="en-GB"/>
        </w:rPr>
        <w:t>In summary, available treatments may do no more than partially alleviate symptoms or decrease the rate of progression of P-DPN. The lack of efficacious treatments, and the impact of pain on quality of life make it essential to understand the pathogenesis of the condition in order to develop more effective treatment targets and therapies.</w:t>
      </w:r>
    </w:p>
    <w:p w14:paraId="678FC117" w14:textId="77777777"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p>
    <w:p w14:paraId="10EF7410" w14:textId="5449C13E" w:rsidR="00AF0E0B" w:rsidRPr="00AF0E0B" w:rsidRDefault="00AF0E0B" w:rsidP="00337DE9">
      <w:pPr>
        <w:pStyle w:val="Heading3"/>
      </w:pPr>
      <w:bookmarkStart w:id="33" w:name="_Toc49972680"/>
      <w:bookmarkStart w:id="34" w:name="_Toc64723867"/>
      <w:r w:rsidRPr="00AF0E0B">
        <w:t xml:space="preserve">P-DPN pathogenesis: </w:t>
      </w:r>
      <w:r w:rsidR="00457903">
        <w:t>V</w:t>
      </w:r>
      <w:r w:rsidRPr="00AF0E0B">
        <w:t>ascular factors</w:t>
      </w:r>
      <w:bookmarkEnd w:id="33"/>
      <w:bookmarkEnd w:id="34"/>
    </w:p>
    <w:p w14:paraId="4D444215" w14:textId="13A99E5D" w:rsidR="00AF0E0B" w:rsidRPr="00DA197B" w:rsidRDefault="00AF0E0B" w:rsidP="00DA197B">
      <w:pPr>
        <w:spacing w:line="360" w:lineRule="auto"/>
      </w:pPr>
      <w:r w:rsidRPr="00AF0E0B">
        <w:rPr>
          <w:rFonts w:eastAsia="Arial Unicode MS"/>
          <w:u w:color="000000"/>
          <w:bdr w:val="nil"/>
          <w:lang w:val="en-US" w:eastAsia="en-GB"/>
        </w:rPr>
        <w:t xml:space="preserve">P-DPN is defined as pain caused by a lesion or disease of the somatosensory nervous system caused by diabetes </w:t>
      </w:r>
      <w:r w:rsidRPr="00AF0E0B">
        <w:rPr>
          <w:rFonts w:eastAsia="Arial Unicode MS"/>
          <w:u w:color="000000"/>
          <w:bdr w:val="nil"/>
          <w:lang w:val="en-US" w:eastAsia="en-GB"/>
        </w:rPr>
        <w:fldChar w:fldCharType="begin"/>
      </w:r>
      <w:r w:rsidRPr="00AF0E0B">
        <w:rPr>
          <w:rFonts w:eastAsia="Arial Unicode MS"/>
          <w:u w:color="000000"/>
          <w:bdr w:val="nil"/>
          <w:lang w:val="en-US" w:eastAsia="en-GB"/>
        </w:rPr>
        <w:instrText xml:space="preserve"> ADDIN EN.CITE &lt;EndNote&gt;&lt;Cite  &gt;&lt;Author&gt;IASP&lt;/Author&gt;&lt;Year&gt;2017&lt;/Year&gt;&lt;RecNum&gt;975&lt;/RecNum&gt;&lt;DisplayText&gt;(IASP, 2017)&lt;/DisplayText&gt;&lt;record&gt;&lt;urls&gt;&lt;related-urls&gt;&lt;url&gt;https://www.iasp-pain.org/Education/Content.aspx?ItemNumber=1698#Neuropathicpain&lt;/url&gt;&lt;/related-urls&gt;&lt;/urls&gt;&lt;titles&gt;&lt;title&gt;IASP Terminology&lt;/title&gt;&lt;/titles&gt;&lt;number&gt;9/11/2018&lt;/number&gt;&lt;contributors&gt;&lt;authors&gt;&lt;author&gt;IASP&lt;/author&gt;&lt;/authors&gt;&lt;/contributors&gt;&lt;added-date format="utc"&gt;1541756957&lt;/added-date&gt;&lt;ref-type name="Web Page"&gt;12&lt;/ref-type&gt;&lt;dates&gt;&lt;year&gt;2017&lt;/year&gt;&lt;/dates&gt;&lt;rec-number&gt;975&lt;/rec-number&gt;&lt;last-updated-date format="utc"&gt;1598169840&lt;/last-updated-date&gt;&lt;volume&gt;2020&lt;/volume&gt;&lt;/record&gt;&lt;/Cite&gt;&lt;/EndNote&gt;</w:instrText>
      </w:r>
      <w:r w:rsidRPr="00AF0E0B">
        <w:rPr>
          <w:rFonts w:eastAsia="Arial Unicode MS"/>
          <w:u w:color="000000"/>
          <w:bdr w:val="nil"/>
          <w:lang w:val="en-US" w:eastAsia="en-GB"/>
        </w:rPr>
        <w:fldChar w:fldCharType="separate"/>
      </w:r>
      <w:r w:rsidRPr="00AF0E0B">
        <w:rPr>
          <w:rFonts w:eastAsia="Arial Unicode MS"/>
          <w:u w:color="000000"/>
          <w:bdr w:val="nil"/>
          <w:lang w:val="en-US" w:eastAsia="en-GB"/>
        </w:rPr>
        <w:t>(IASP, 2017)</w:t>
      </w:r>
      <w:r w:rsidRPr="00AF0E0B">
        <w:rPr>
          <w:rFonts w:eastAsia="Arial Unicode MS"/>
          <w:u w:color="000000"/>
          <w:bdr w:val="nil"/>
          <w:lang w:val="en-US" w:eastAsia="en-GB"/>
        </w:rPr>
        <w:fldChar w:fldCharType="end"/>
      </w:r>
      <w:r w:rsidRPr="00AF0E0B">
        <w:rPr>
          <w:rFonts w:eastAsia="Arial Unicode MS"/>
          <w:u w:color="000000"/>
          <w:bdr w:val="nil"/>
          <w:lang w:val="en-US" w:eastAsia="en-GB"/>
        </w:rPr>
        <w:t xml:space="preserve">.  However, the lesion that differentiates DPN and P-DPN has not been identifiable histologically.  Changes which are common to both P-DPN and DPN are peripheral nerve axonal degeneration, reduction in </w:t>
      </w:r>
      <w:proofErr w:type="spellStart"/>
      <w:r w:rsidRPr="00AF0E0B">
        <w:rPr>
          <w:rFonts w:eastAsia="Arial Unicode MS"/>
          <w:u w:color="000000"/>
          <w:bdr w:val="nil"/>
          <w:lang w:val="en-US" w:eastAsia="en-GB"/>
        </w:rPr>
        <w:t>fibre</w:t>
      </w:r>
      <w:proofErr w:type="spellEnd"/>
      <w:r w:rsidRPr="00AF0E0B">
        <w:rPr>
          <w:rFonts w:eastAsia="Arial Unicode MS"/>
          <w:u w:color="000000"/>
          <w:bdr w:val="nil"/>
          <w:lang w:val="en-US" w:eastAsia="en-GB"/>
        </w:rPr>
        <w:t xml:space="preserve"> counts, and changes in the peripheral nerve microvasculature </w:t>
      </w:r>
      <w:r w:rsidRPr="00AF0E0B">
        <w:rPr>
          <w:rFonts w:eastAsia="Arial Unicode MS"/>
          <w:u w:color="000000"/>
          <w:bdr w:val="nil"/>
          <w:lang w:val="en-US" w:eastAsia="en-GB"/>
        </w:rPr>
        <w:fldChar w:fldCharType="begin"/>
      </w:r>
      <w:r w:rsidRPr="00AF0E0B">
        <w:rPr>
          <w:rFonts w:eastAsia="Arial Unicode MS"/>
          <w:u w:color="000000"/>
          <w:bdr w:val="nil"/>
          <w:lang w:val="en-US" w:eastAsia="en-GB"/>
        </w:rPr>
        <w:instrText xml:space="preserve"> ADDIN EN.CITE &lt;EndNote&gt;&lt;Cite  &gt;&lt;Author&gt;Malik&lt;/Author&gt;&lt;Year&gt;1989&lt;/Year&gt;&lt;RecNum&gt;270&lt;/RecNum&gt;&lt;DisplayText&gt;(Malik et al., 1989)&lt;/DisplayText&gt;&lt;record&gt;&lt;dates&gt;&lt;pub-dates&gt;&lt;date&gt;Feb&lt;/date&gt;&lt;/pub-dates&gt;&lt;year&gt;1989&lt;/year&gt;&lt;/dates&gt;&lt;urls&gt;&lt;related-urls&gt;&lt;url&gt;&amp;lt;Go to ISI&amp;gt;://WOS:A1989T942800003&lt;/url&gt;&lt;/related-urls&gt;&lt;/urls&gt;&lt;isbn&gt;0012-186X&lt;/isbn&gt;&lt;titles&gt;&lt;title&gt;MICROANGIOPATHY IN HUMAN DIABETIC NEUROPATHY - RELATIONSHIP BETWEEN CAPILLARY ABNORMALITIES AND THE SEVERITY OF NEUROPATHY&lt;/title&gt;&lt;secondary-title&gt;Diabetologia&lt;/secondary-title&gt;&lt;/titles&gt;&lt;pages&gt;92-102&lt;/pages&gt;&lt;number&gt;2&lt;/number&gt;&lt;contributors&gt;&lt;authors&gt;&lt;author&gt;Malik, R. A.&lt;/author&gt;&lt;author&gt;Newrick, P. G.&lt;/author&gt;&lt;author&gt;Sharma, A. K.&lt;/author&gt;&lt;author&gt;Jennings, A.&lt;/author&gt;&lt;author&gt;Ahsee, A. K.&lt;/author&gt;&lt;author&gt;Mayhew, T. M.&lt;/author&gt;&lt;author&gt;Jakubowski, J.&lt;/author&gt;&lt;author&gt;Boulton, A. J. M.&lt;/author&gt;&lt;author&gt;Ward, J. D.&lt;/author&gt;&lt;/authors&gt;&lt;/contributors&gt;&lt;added-date format="utc"&gt;1353493543&lt;/added-date&gt;&lt;ref-type name="Journal Article"&gt;17&lt;/ref-type&gt;&lt;rec-number&gt;270&lt;/rec-number&gt;&lt;last-updated-date format="utc"&gt;1354888209&lt;/last-updated-date&gt;&lt;accession-num&gt;WOS:A1989T942800003&lt;/accession-num&gt;&lt;electronic-resource-num&gt;10.1007/bf00505180&lt;/electronic-resource-num&gt;&lt;volume&gt;32&lt;/volume&gt;&lt;/record&gt;&lt;/Cite&gt;&lt;/EndNote&gt;</w:instrText>
      </w:r>
      <w:r w:rsidRPr="00AF0E0B">
        <w:rPr>
          <w:rFonts w:eastAsia="Arial Unicode MS"/>
          <w:u w:color="000000"/>
          <w:bdr w:val="nil"/>
          <w:lang w:val="en-US" w:eastAsia="en-GB"/>
        </w:rPr>
        <w:fldChar w:fldCharType="separate"/>
      </w:r>
      <w:r w:rsidRPr="00AF0E0B">
        <w:rPr>
          <w:rFonts w:eastAsia="Arial Unicode MS"/>
          <w:u w:color="000000"/>
          <w:bdr w:val="nil"/>
          <w:lang w:val="en-US" w:eastAsia="en-GB"/>
        </w:rPr>
        <w:t>(Malik et al., 1989)</w:t>
      </w:r>
      <w:r w:rsidRPr="00AF0E0B">
        <w:rPr>
          <w:rFonts w:eastAsia="Arial Unicode MS"/>
          <w:u w:color="000000"/>
          <w:bdr w:val="nil"/>
          <w:lang w:val="en-US" w:eastAsia="en-GB"/>
        </w:rPr>
        <w:fldChar w:fldCharType="end"/>
      </w:r>
      <w:r w:rsidRPr="00AF0E0B">
        <w:rPr>
          <w:rFonts w:eastAsia="Arial Unicode MS"/>
          <w:u w:color="000000"/>
          <w:bdr w:val="nil"/>
          <w:lang w:val="en-US" w:eastAsia="en-GB"/>
        </w:rPr>
        <w:t xml:space="preserve">.  On electron microscopic examination, vessels were shown to have increased basement membranes and reduction in luminal area </w:t>
      </w:r>
      <w:r w:rsidRPr="00AF0E0B">
        <w:rPr>
          <w:rFonts w:eastAsia="Arial Unicode MS"/>
          <w:u w:color="000000"/>
          <w:bdr w:val="nil"/>
          <w:lang w:val="en-US" w:eastAsia="en-GB"/>
        </w:rPr>
        <w:fldChar w:fldCharType="begin"/>
      </w:r>
      <w:r w:rsidRPr="00AF0E0B">
        <w:rPr>
          <w:rFonts w:eastAsia="Arial Unicode MS"/>
          <w:u w:color="000000"/>
          <w:bdr w:val="nil"/>
          <w:lang w:val="en-US" w:eastAsia="en-GB"/>
        </w:rPr>
        <w:instrText xml:space="preserve"> ADDIN EN.CITE &lt;EndNote&gt;&lt;Cite  &gt;&lt;Author&gt;Malik&lt;/Author&gt;&lt;Year&gt;1989&lt;/Year&gt;&lt;RecNum&gt;270&lt;/RecNum&gt;&lt;DisplayText&gt;(Malik et al., 1989)&lt;/DisplayText&gt;&lt;record&gt;&lt;dates&gt;&lt;pub-dates&gt;&lt;date&gt;Feb&lt;/date&gt;&lt;/pub-dates&gt;&lt;year&gt;1989&lt;/year&gt;&lt;/dates&gt;&lt;urls&gt;&lt;related-urls&gt;&lt;url&gt;&amp;lt;Go to ISI&amp;gt;://WOS:A1989T942800003&lt;/url&gt;&lt;/related-urls&gt;&lt;/urls&gt;&lt;isbn&gt;0012-186X&lt;/isbn&gt;&lt;titles&gt;&lt;title&gt;MICROANGIOPATHY IN HUMAN DIABETIC NEUROPATHY - RELATIONSHIP BETWEEN CAPILLARY ABNORMALITIES AND THE SEVERITY OF NEUROPATHY&lt;/title&gt;&lt;secondary-title&gt;Diabetologia&lt;/secondary-title&gt;&lt;/titles&gt;&lt;pages&gt;92-102&lt;/pages&gt;&lt;number&gt;2&lt;/number&gt;&lt;contributors&gt;&lt;authors&gt;&lt;author&gt;Malik, R. A.&lt;/author&gt;&lt;author&gt;Newrick, P. G.&lt;/author&gt;&lt;author&gt;Sharma, A. K.&lt;/author&gt;&lt;author&gt;Jennings, A.&lt;/author&gt;&lt;author&gt;Ahsee, A. K.&lt;/author&gt;&lt;author&gt;Mayhew, T. M.&lt;/author&gt;&lt;author&gt;Jakubowski, J.&lt;/author&gt;&lt;author&gt;Boulton, A. J. M.&lt;/author&gt;&lt;author&gt;Ward, J. D.&lt;/author&gt;&lt;/authors&gt;&lt;/contributors&gt;&lt;added-date format="utc"&gt;1353493543&lt;/added-date&gt;&lt;ref-type name="Journal Article"&gt;17&lt;/ref-type&gt;&lt;rec-number&gt;270&lt;/rec-number&gt;&lt;last-updated-date format="utc"&gt;1354888209&lt;/last-updated-date&gt;&lt;accession-num&gt;WOS:A1989T942800003&lt;/accession-num&gt;&lt;electronic-resource-num&gt;10.1007/bf00505180&lt;/electronic-resource-num&gt;&lt;volume&gt;32&lt;/volume&gt;&lt;/record&gt;&lt;/Cite&gt;&lt;/EndNote&gt;</w:instrText>
      </w:r>
      <w:r w:rsidRPr="00AF0E0B">
        <w:rPr>
          <w:rFonts w:eastAsia="Arial Unicode MS"/>
          <w:u w:color="000000"/>
          <w:bdr w:val="nil"/>
          <w:lang w:val="en-US" w:eastAsia="en-GB"/>
        </w:rPr>
        <w:fldChar w:fldCharType="separate"/>
      </w:r>
      <w:r w:rsidRPr="00AF0E0B">
        <w:rPr>
          <w:rFonts w:eastAsia="Arial Unicode MS"/>
          <w:u w:color="000000"/>
          <w:bdr w:val="nil"/>
          <w:lang w:val="en-US" w:eastAsia="en-GB"/>
        </w:rPr>
        <w:t>(Malik et al., 1989)</w:t>
      </w:r>
      <w:r w:rsidRPr="00AF0E0B">
        <w:rPr>
          <w:rFonts w:eastAsia="Arial Unicode MS"/>
          <w:u w:color="000000"/>
          <w:bdr w:val="nil"/>
          <w:lang w:val="en-US" w:eastAsia="en-GB"/>
        </w:rPr>
        <w:fldChar w:fldCharType="end"/>
      </w:r>
      <w:r w:rsidRPr="00AF0E0B">
        <w:rPr>
          <w:rFonts w:eastAsia="Arial Unicode MS"/>
          <w:u w:color="000000"/>
          <w:bdr w:val="nil"/>
          <w:lang w:val="en-US" w:eastAsia="en-GB"/>
        </w:rPr>
        <w:t xml:space="preserve">.  Changes in blood supply to the peripheral nerves including </w:t>
      </w:r>
      <w:proofErr w:type="spellStart"/>
      <w:r w:rsidRPr="00AF0E0B">
        <w:rPr>
          <w:rFonts w:eastAsia="Arial Unicode MS"/>
          <w:u w:color="000000"/>
          <w:bdr w:val="nil"/>
          <w:lang w:val="en-US" w:eastAsia="en-GB"/>
        </w:rPr>
        <w:t>epinuerial</w:t>
      </w:r>
      <w:proofErr w:type="spellEnd"/>
      <w:r w:rsidRPr="00AF0E0B">
        <w:rPr>
          <w:rFonts w:eastAsia="Arial Unicode MS"/>
          <w:u w:color="000000"/>
          <w:bdr w:val="nil"/>
          <w:lang w:val="en-US" w:eastAsia="en-GB"/>
        </w:rPr>
        <w:t xml:space="preserve"> arteriolar attenuation, venous </w:t>
      </w:r>
      <w:r w:rsidR="009648B3">
        <w:rPr>
          <w:rFonts w:eastAsia="Arial Unicode MS"/>
          <w:u w:color="000000"/>
          <w:bdr w:val="nil"/>
          <w:lang w:val="en-US" w:eastAsia="en-GB"/>
        </w:rPr>
        <w:t xml:space="preserve">distension and </w:t>
      </w:r>
      <w:r w:rsidRPr="00AF0E0B">
        <w:rPr>
          <w:rFonts w:eastAsia="Arial Unicode MS"/>
          <w:u w:color="000000"/>
          <w:bdr w:val="nil"/>
          <w:lang w:val="en-US" w:eastAsia="en-GB"/>
        </w:rPr>
        <w:t>tortuosity</w:t>
      </w:r>
      <w:r w:rsidR="009648B3">
        <w:rPr>
          <w:rFonts w:eastAsia="Arial Unicode MS"/>
          <w:u w:color="000000"/>
          <w:bdr w:val="nil"/>
          <w:lang w:val="en-US" w:eastAsia="en-GB"/>
        </w:rPr>
        <w:t>,</w:t>
      </w:r>
      <w:r w:rsidRPr="00AF0E0B">
        <w:rPr>
          <w:rFonts w:eastAsia="Arial Unicode MS"/>
          <w:u w:color="000000"/>
          <w:bdr w:val="nil"/>
          <w:lang w:val="en-US" w:eastAsia="en-GB"/>
        </w:rPr>
        <w:t xml:space="preserve"> and shunting of blood flow away from the endoneurium causing </w:t>
      </w:r>
      <w:proofErr w:type="spellStart"/>
      <w:r w:rsidRPr="00AF0E0B">
        <w:rPr>
          <w:rFonts w:eastAsia="Arial Unicode MS"/>
          <w:u w:color="000000"/>
          <w:bdr w:val="nil"/>
          <w:lang w:val="en-US" w:eastAsia="en-GB"/>
        </w:rPr>
        <w:t>ischaemia</w:t>
      </w:r>
      <w:proofErr w:type="spellEnd"/>
      <w:r w:rsidRPr="00AF0E0B">
        <w:rPr>
          <w:rFonts w:eastAsia="Arial Unicode MS"/>
          <w:u w:color="000000"/>
          <w:bdr w:val="nil"/>
          <w:lang w:val="en-US" w:eastAsia="en-GB"/>
        </w:rPr>
        <w:t xml:space="preserve"> have been described in both DPN and P-DPN </w:t>
      </w:r>
      <w:r w:rsidRPr="00AF0E0B">
        <w:rPr>
          <w:rFonts w:eastAsia="Arial Unicode MS"/>
          <w:u w:color="000000"/>
          <w:bdr w:val="nil"/>
          <w:lang w:val="en-US" w:eastAsia="en-GB"/>
        </w:rPr>
        <w:fldChar w:fldCharType="begin"/>
      </w:r>
      <w:r w:rsidRPr="00AF0E0B">
        <w:rPr>
          <w:rFonts w:eastAsia="Arial Unicode MS"/>
          <w:u w:color="000000"/>
          <w:bdr w:val="nil"/>
          <w:lang w:val="en-US" w:eastAsia="en-GB"/>
        </w:rPr>
        <w:instrText xml:space="preserve"> ADDIN EN.CITE &lt;EndNote&gt;&lt;Cite  &gt;&lt;Author&gt;Tesfaye&lt;/Author&gt;&lt;Year&gt;1994&lt;/Year&gt;&lt;RecNum&gt;272&lt;/RecNum&gt;&lt;DisplayText&gt;(Tesfaye et al., 1994)&lt;/DisplayText&gt;&lt;record&gt;&lt;dates&gt;&lt;pub-dates&gt;&lt;date&gt;Sep&lt;/date&gt;&lt;/pub-dates&gt;&lt;year&gt;1994&lt;/year&gt;&lt;/dates&gt;&lt;urls&gt;&lt;related-urls&gt;&lt;url&gt;&amp;lt;Go to ISI&amp;gt;://WOS:A1994PE39800001&lt;/url&gt;&lt;/related-urls&gt;&lt;/urls&gt;&lt;isbn&gt;0012-186X&lt;/isbn&gt;&lt;titles&gt;&lt;title&gt;VASCULAR FACTORS IN DIABETIC NEUROPATHY&lt;/title&gt;&lt;secondary-title&gt;Diabetologia&lt;/secondary-title&gt;&lt;/titles&gt;&lt;pages&gt;847-854&lt;/pages&gt;&lt;number&gt;9&lt;/number&gt;&lt;contributors&gt;&lt;authors&gt;&lt;author&gt;Tesfaye, S.&lt;/author&gt;&lt;author&gt;Malik, R.&lt;/author&gt;&lt;author&gt;Ward, J. D.&lt;/author&gt;&lt;/authors&gt;&lt;/contributors&gt;&lt;added-date format="utc"&gt;1353493543&lt;/added-date&gt;&lt;ref-type name="Journal Article"&gt;17&lt;/ref-type&gt;&lt;rec-number&gt;272&lt;/rec-number&gt;&lt;last-updated-date format="utc"&gt;1354890321&lt;/last-updated-date&gt;&lt;accession-num&gt;WOS:A1994PE39800001&lt;/accession-num&gt;&lt;electronic-resource-num&gt;10.1007/bf00400938&lt;/electronic-resource-num&gt;&lt;volume&gt;37&lt;/volume&gt;&lt;/record&gt;&lt;/Cite&gt;&lt;/EndNote&gt;</w:instrText>
      </w:r>
      <w:r w:rsidRPr="00AF0E0B">
        <w:rPr>
          <w:rFonts w:eastAsia="Arial Unicode MS"/>
          <w:u w:color="000000"/>
          <w:bdr w:val="nil"/>
          <w:lang w:val="en-US" w:eastAsia="en-GB"/>
        </w:rPr>
        <w:fldChar w:fldCharType="separate"/>
      </w:r>
      <w:r w:rsidRPr="00AF0E0B">
        <w:rPr>
          <w:rFonts w:eastAsia="Arial Unicode MS"/>
          <w:u w:color="000000"/>
          <w:bdr w:val="nil"/>
          <w:lang w:val="en-US" w:eastAsia="en-GB"/>
        </w:rPr>
        <w:t>(Tesfaye et al., 1994)</w:t>
      </w:r>
      <w:r w:rsidRPr="00AF0E0B">
        <w:rPr>
          <w:rFonts w:eastAsia="Arial Unicode MS"/>
          <w:u w:color="000000"/>
          <w:bdr w:val="nil"/>
          <w:lang w:val="en-US" w:eastAsia="en-GB"/>
        </w:rPr>
        <w:fldChar w:fldCharType="end"/>
      </w:r>
      <w:r w:rsidRPr="00AF0E0B">
        <w:rPr>
          <w:rFonts w:eastAsia="Arial Unicode MS"/>
          <w:u w:color="000000"/>
          <w:bdr w:val="nil"/>
          <w:lang w:val="en-US" w:eastAsia="en-GB"/>
        </w:rPr>
        <w:t xml:space="preserve">.  Vascular changes </w:t>
      </w:r>
      <w:r w:rsidR="009648B3">
        <w:rPr>
          <w:rFonts w:eastAsia="Arial Unicode MS"/>
          <w:u w:color="000000"/>
          <w:bdr w:val="nil"/>
          <w:lang w:val="en-US" w:eastAsia="en-GB"/>
        </w:rPr>
        <w:t>have</w:t>
      </w:r>
      <w:r w:rsidRPr="00AF0E0B">
        <w:rPr>
          <w:rFonts w:eastAsia="Arial Unicode MS"/>
          <w:u w:color="000000"/>
          <w:bdr w:val="nil"/>
          <w:lang w:val="en-US" w:eastAsia="en-GB"/>
        </w:rPr>
        <w:t xml:space="preserve"> </w:t>
      </w:r>
      <w:r w:rsidR="009648B3">
        <w:rPr>
          <w:rFonts w:eastAsia="Arial Unicode MS"/>
          <w:u w:color="000000"/>
          <w:bdr w:val="nil"/>
          <w:lang w:val="en-US" w:eastAsia="en-GB"/>
        </w:rPr>
        <w:t>been</w:t>
      </w:r>
      <w:r w:rsidRPr="00AF0E0B">
        <w:rPr>
          <w:rFonts w:eastAsia="Arial Unicode MS"/>
          <w:u w:color="000000"/>
          <w:bdr w:val="nil"/>
          <w:lang w:val="en-US" w:eastAsia="en-GB"/>
        </w:rPr>
        <w:t xml:space="preserve"> demonstrated in animal models of both DPN </w:t>
      </w:r>
      <w:r w:rsidR="009648B3" w:rsidRPr="00AF0E0B">
        <w:rPr>
          <w:rFonts w:eastAsia="Arial Unicode MS"/>
          <w:u w:color="000000"/>
          <w:bdr w:val="nil"/>
          <w:lang w:val="en-US" w:eastAsia="en-GB"/>
        </w:rPr>
        <w:t xml:space="preserve">and P-DPN </w:t>
      </w:r>
      <w:r w:rsidRPr="00AF0E0B">
        <w:rPr>
          <w:rFonts w:eastAsia="Arial Unicode MS"/>
          <w:u w:color="000000"/>
          <w:bdr w:val="nil"/>
          <w:lang w:val="en-US" w:eastAsia="en-GB"/>
        </w:rPr>
        <w:fldChar w:fldCharType="begin"/>
      </w:r>
      <w:r w:rsidRPr="00AF0E0B">
        <w:rPr>
          <w:rFonts w:eastAsia="Arial Unicode MS"/>
          <w:u w:color="000000"/>
          <w:bdr w:val="nil"/>
          <w:lang w:val="en-US" w:eastAsia="en-GB"/>
        </w:rPr>
        <w:instrText xml:space="preserve"> ADDIN EN.CITE &lt;EndNote&gt;&lt;Cite  &gt;&lt;Author&gt;Tuck&lt;/Author&gt;&lt;Year&gt;1984&lt;/Year&gt;&lt;RecNum&gt;650&lt;/RecNum&gt;&lt;DisplayText&gt;(Tuck et al., 1984, Cameron et al., 1991)&lt;/DisplayText&gt;&lt;record&gt;&lt;dates&gt;&lt;pub-dates&gt;&lt;date&gt;1984&lt;/date&gt;&lt;/pub-dates&gt;&lt;year&gt;1984&lt;/year&gt;&lt;/dates&gt;&lt;urls&gt;&lt;related-urls&gt;&lt;url&gt;&amp;lt;Go to ISI&amp;gt;://WOS:A1984TK30100013&lt;/url&gt;&lt;/related-urls&gt;&lt;/urls&gt;&lt;isbn&gt;0006-8950&lt;/isbn&gt;&lt;titles&gt;&lt;title&gt;ENDONEURIAL BLOOD-FLOW AND OXYGEN-TENSION IN THE SCIATIC-NERVES OF RATS WITH EXPERIMENTAL DIABETIC NEUROPATHY&lt;/title&gt;&lt;secondary-title&gt;Brain&lt;/secondary-title&gt;&lt;/titles&gt;&lt;number&gt;SEP&lt;/number&gt;&lt;contributors&gt;&lt;authors&gt;&lt;author&gt;Tuck, R. R.&lt;/author&gt;&lt;author&gt;Schmelzer, J. D.&lt;/author&gt;&lt;author&gt;Low, P. A.&lt;/author&gt;&lt;/authors&gt;&lt;/contributors&gt;&lt;added-date format="utc"&gt;1357560673&lt;/added-date&gt;&lt;ref-type name="Journal Article"&gt;17&lt;/ref-type&gt;&lt;rec-number&gt;650&lt;/rec-number&gt;&lt;last-updated-date format="utc"&gt;1357560673&lt;/last-updated-date&gt;&lt;accession-num&gt;WOS:A1984TK30100013&lt;/accession-num&gt;&lt;electronic-resource-num&gt;10.1093/brain/107.3.935&lt;/electronic-resource-num&gt;&lt;volume&gt;107&lt;/volume&gt;&lt;/record&gt;&lt;/Cite&gt;&lt;Cite  &gt;&lt;Author&gt;Cameron&lt;/Author&gt;&lt;Year&gt;1991&lt;/Year&gt;&lt;RecNum&gt;645&lt;/RecNum&gt;&lt;record&gt;&lt;dates&gt;&lt;pub-dates&gt;&lt;date&gt;Jul&lt;/date&gt;&lt;/pub-dates&gt;&lt;year&gt;1991&lt;/year&gt;&lt;/dates&gt;&lt;isbn&gt;0002-9513&lt;/isbn&gt;&lt;titles&gt;&lt;title&gt;NERVE BLOOD-FLOW IN EARLY EXPERIMENTAL DIABETES IN RATS - RELATION TO CONDUCTION DEFICITS&lt;/title&gt;&lt;secondary-title&gt;American Journal of Physiology&lt;/secondary-title&gt;&lt;/titles&gt;&lt;number&gt;1&lt;/number&gt;&lt;contributors&gt;&lt;authors&gt;&lt;author&gt;Cameron, N. E.&lt;/author&gt;&lt;author&gt;Cotter, M. A.&lt;/author&gt;&lt;author&gt;Low, P. A.&lt;/author&gt;&lt;/authors&gt;&lt;/contributors&gt;&lt;added-date format="utc"&gt;1357559944&lt;/added-date&gt;&lt;ref-type name="Journal Article"&gt;17&lt;/ref-type&gt;&lt;rec-number&gt;645&lt;/rec-number&gt;&lt;last-updated-date format="utc"&gt;1479817289&lt;/last-updated-date&gt;&lt;accession-num&gt;WOS:A1991FY35600025&lt;/accession-num&gt;&lt;volume&gt;261&lt;/volume&gt;&lt;/record&gt;&lt;/Cite&gt;&lt;/EndNote&gt;</w:instrText>
      </w:r>
      <w:r w:rsidRPr="00AF0E0B">
        <w:rPr>
          <w:rFonts w:eastAsia="Arial Unicode MS"/>
          <w:u w:color="000000"/>
          <w:bdr w:val="nil"/>
          <w:lang w:val="en-US" w:eastAsia="en-GB"/>
        </w:rPr>
        <w:fldChar w:fldCharType="separate"/>
      </w:r>
      <w:r w:rsidRPr="00AF0E0B">
        <w:rPr>
          <w:rFonts w:eastAsia="Arial Unicode MS"/>
          <w:u w:color="000000"/>
          <w:bdr w:val="nil"/>
          <w:lang w:val="en-US" w:eastAsia="en-GB"/>
        </w:rPr>
        <w:t>(Tuck et al., 1984, Cameron et al., 1991)</w:t>
      </w:r>
      <w:r w:rsidRPr="00AF0E0B">
        <w:rPr>
          <w:rFonts w:eastAsia="Arial Unicode MS"/>
          <w:u w:color="000000"/>
          <w:bdr w:val="nil"/>
          <w:lang w:val="en-US" w:eastAsia="en-GB"/>
        </w:rPr>
        <w:fldChar w:fldCharType="end"/>
      </w:r>
      <w:r w:rsidRPr="00AF0E0B">
        <w:rPr>
          <w:rFonts w:eastAsia="Arial Unicode MS"/>
          <w:u w:color="000000"/>
          <w:bdr w:val="nil"/>
          <w:lang w:val="en-US" w:eastAsia="en-GB"/>
        </w:rPr>
        <w:t xml:space="preserve">.  However, DPN could be differentiated </w:t>
      </w:r>
      <w:r w:rsidR="009648B3">
        <w:rPr>
          <w:rFonts w:eastAsia="Arial Unicode MS"/>
          <w:u w:color="000000"/>
          <w:bdr w:val="nil"/>
          <w:lang w:val="en-US" w:eastAsia="en-GB"/>
        </w:rPr>
        <w:t xml:space="preserve">from P-DPN </w:t>
      </w:r>
      <w:r w:rsidRPr="00AF0E0B">
        <w:rPr>
          <w:rFonts w:eastAsia="Arial Unicode MS"/>
          <w:u w:color="000000"/>
          <w:bdr w:val="nil"/>
          <w:lang w:val="en-US" w:eastAsia="en-GB"/>
        </w:rPr>
        <w:t xml:space="preserve">by </w:t>
      </w:r>
      <w:r w:rsidR="009648B3">
        <w:rPr>
          <w:rFonts w:eastAsia="Arial Unicode MS"/>
          <w:u w:color="000000"/>
          <w:bdr w:val="nil"/>
          <w:lang w:val="en-US" w:eastAsia="en-GB"/>
        </w:rPr>
        <w:t xml:space="preserve">lower </w:t>
      </w:r>
      <w:r w:rsidRPr="00AF0E0B">
        <w:rPr>
          <w:rFonts w:eastAsia="Arial Unicode MS"/>
          <w:u w:color="000000"/>
          <w:bdr w:val="nil"/>
          <w:lang w:val="en-US" w:eastAsia="en-GB"/>
        </w:rPr>
        <w:t xml:space="preserve">epineural oxygen saturation and blood flow using microlight guided spectrophotometry </w:t>
      </w:r>
      <w:r w:rsidRPr="00DA197B">
        <w:t xml:space="preserve">and fluorescein angiography </w:t>
      </w:r>
      <w:r w:rsidRPr="00DA197B">
        <w:fldChar w:fldCharType="begin"/>
      </w:r>
      <w:r w:rsidRPr="00DA197B">
        <w:instrText xml:space="preserve"> ADDIN EN.CITE &lt;EndNote&gt;&lt;Cite  &gt;&lt;Author&gt;Eaton&lt;/Author&gt;&lt;Year&gt;2003&lt;/Year&gt;&lt;RecNum&gt;469&lt;/RecNum&gt;&lt;DisplayText&gt;(Eaton et al., 2003)&lt;/DisplayText&gt;&lt;record&gt;&lt;dates&gt;&lt;pub-dates&gt;&lt;date&gt;Jul&lt;/date&gt;&lt;/pub-dates&gt;&lt;year&gt;2003&lt;/year&gt;&lt;/dates&gt;&lt;keywords&gt;&lt;keyword&gt;diabetes mellitus&lt;/keyword&gt;&lt;keyword&gt;diabetic neuropathy&lt;/keyword&gt;&lt;keyword&gt;painful&lt;/keyword&gt;&lt;keyword&gt;pain&lt;/keyword&gt;&lt;keyword&gt;hypoxia&lt;/keyword&gt;&lt;keyword&gt;epineurium&lt;/keyword&gt;&lt;keyword&gt;fluorescein angiography&lt;/keyword&gt;&lt;keyword&gt;spectrophotometry&lt;/keyword&gt;&lt;keyword&gt;CAPILLARY ABNORMALITIES&lt;/keyword&gt;&lt;keyword&gt;POLYNEUROPATHY&lt;/keyword&gt;&lt;keyword&gt;PATHOGENESIS&lt;/keyword&gt;&lt;keyword&gt;SEVERITY&lt;/keyword&gt;&lt;keyword&gt;PATTERNS&lt;/keyword&gt;&lt;keyword&gt;DAMAGE&lt;/keyword&gt;&lt;/keywords&gt;&lt;urls&gt;&lt;related-urls&gt;&lt;url&gt;&amp;lt;Go to ISI&amp;gt;://WOS:000184644300008&lt;/url&gt;&lt;/related-urls&gt;&lt;/urls&gt;&lt;isbn&gt;0012-186X&lt;/isbn&gt;&lt;work-type&gt;Article&lt;/work-type&gt;&lt;titles&gt;&lt;title&gt;Increased sural nerve epineurial blood flow in human subjects with painful diabetic neuropathy&lt;/title&gt;&lt;secondary-title&gt;Diabetologia&lt;/secondary-title&gt;&lt;alt-title&gt;Diabetologia&lt;/alt-title&gt;&lt;/titles&gt;&lt;pages&gt;934-939&lt;/pages&gt;&lt;number&gt;7&lt;/number&gt;&lt;contributors&gt;&lt;authors&gt;&lt;author&gt;Eaton, S. E. M.&lt;/author&gt;&lt;author&gt;Harris, N. D.&lt;/author&gt;&lt;author&gt;Ibrahim, S.&lt;/author&gt;&lt;author&gt;Patel, K. A.&lt;/author&gt;&lt;author&gt;Selmi, F.&lt;/author&gt;&lt;author&gt;Radatz, M.&lt;/author&gt;&lt;author&gt;Ward, J. D.&lt;/author&gt;&lt;author&gt;Tesfaye, S.&lt;/author&gt;&lt;/authors&gt;&lt;/contributors&gt;&lt;language&gt;English&lt;/language&gt;&lt;added-date format="utc"&gt;1355762819&lt;/added-date&gt;&lt;ref-type name="Journal Article"&gt;17&lt;/ref-type&gt;&lt;auth-address&gt;Royal Hallamshire Hosp, Diabet Res Unit, Sheffield S10 2JF, S Yorkshire, England. Royal Hallamshire Hosp, Dept Phys Med, Sheffield S10 2JF, S Yorkshire, England. Royal Hallamshire Hosp, Dept Surg &amp;amp; Anaesthet Sci, Sheffield S10 2JF, S Yorkshire, England. Royal Hallamshire Hosp, Dept Neurosurg, Sheffield S10 2JF, S Yorkshire, England.&amp;#13;Tesfaye, S (reprint author), Royal Hallamshire Hosp, Diabet Res Unit, Glossop Rd, Sheffield S10 2JF, S Yorkshire, England.&lt;/auth-address&gt;&lt;rec-number&gt;469&lt;/rec-number&gt;&lt;last-updated-date format="utc"&gt;1356262578&lt;/last-updated-date&gt;&lt;accession-num&gt;WOS:000184644300008&lt;/accession-num&gt;&lt;electronic-resource-num&gt;10.1007/s00125-003-1127-3&lt;/electronic-resource-num&gt;&lt;volume&gt;46&lt;/volume&gt;&lt;/record&gt;&lt;/Cite&gt;&lt;/EndNote&gt;</w:instrText>
      </w:r>
      <w:r w:rsidRPr="00DA197B">
        <w:fldChar w:fldCharType="separate"/>
      </w:r>
      <w:r w:rsidRPr="00DA197B">
        <w:t>(Eaton et al., 2003)</w:t>
      </w:r>
      <w:r w:rsidRPr="00DA197B">
        <w:fldChar w:fldCharType="end"/>
      </w:r>
      <w:r w:rsidRPr="00DA197B">
        <w:t xml:space="preserve">.  </w:t>
      </w:r>
    </w:p>
    <w:p w14:paraId="4EA80947" w14:textId="3D24B294" w:rsidR="00AF0E0B" w:rsidRPr="00AF0E0B" w:rsidRDefault="009648B3" w:rsidP="00DA197B">
      <w:pPr>
        <w:spacing w:line="360" w:lineRule="auto"/>
        <w:rPr>
          <w:rFonts w:eastAsia="Arial Unicode MS"/>
          <w:u w:color="000000"/>
          <w:bdr w:val="nil"/>
          <w:lang w:val="en-US" w:eastAsia="en-GB"/>
        </w:rPr>
      </w:pPr>
      <w:r w:rsidRPr="00DA197B">
        <w:lastRenderedPageBreak/>
        <w:t>Diabetes is a generalised metabolic disorder and p</w:t>
      </w:r>
      <w:r w:rsidR="00AF0E0B" w:rsidRPr="00DA197B">
        <w:t xml:space="preserve">erhaps vascular changes such as shunting and tortuosity and basement membrane thickening are more widespread than just the peripheral nervous system.  Although CNS histopathology changes of any type have not been reported specifically in P-DPN, widespread capillary basement membrane thickening was prevalent in an autopsy series of brain specimens from subjects  with diabetes </w:t>
      </w:r>
      <w:r w:rsidR="00AF0E0B" w:rsidRPr="00DA197B">
        <w:fldChar w:fldCharType="begin"/>
      </w:r>
      <w:r w:rsidR="00AF0E0B" w:rsidRPr="00DA197B">
        <w:instrText xml:space="preserve"> ADDIN EN.CITE &lt;EndNote&gt;&lt;Cite  &gt;&lt;Author&gt;Reske-Nielsen&lt;/Author&gt;&lt;Year&gt;1963&lt;/Year&gt;&lt;RecNum&gt;369&lt;/RecNum&gt;&lt;DisplayText&gt;(Reske-Nielsen and Lundbaek, 1963, Reske-Nielsen and Lundbaek, 1968)&lt;/DisplayText&gt;&lt;record&gt;&lt;dates&gt;&lt;pub-dates&gt;&lt;date&gt;1963&lt;/date&gt;&lt;/pub-dates&gt;&lt;year&gt;1963&lt;/year&gt;&lt;/dates&gt;&lt;urls&gt;&lt;related-urls&gt;&lt;url&gt;&amp;lt;Go to ISI&amp;gt;://MEDLINE:14057514&lt;/url&gt;&lt;/related-urls&gt;&lt;/urls&gt;&lt;isbn&gt;0065-1427&lt;/isbn&gt;&lt;titles&gt;&lt;title&gt;DIABETIC ENCEPHALOPATHY. DIFFUSE AND FOCAL LESIONS OF THE BRAIN IN LONG-TERM DIABETES&lt;/title&gt;&lt;secondary-title&gt;Acta neurologica Scandinavica. Supplementum&lt;/secondary-title&gt;&lt;/titles&gt;&lt;number&gt;4&lt;/number&gt;&lt;contributors&gt;&lt;authors&gt;&lt;author&gt;Reske-Nielsen, E.&lt;/author&gt;&lt;author&gt;Lundbaek, K.&lt;/author&gt;&lt;/authors&gt;&lt;/contributors&gt;&lt;added-date format="utc"&gt;1354830540&lt;/added-date&gt;&lt;ref-type name="Journal Article"&gt;17&lt;/ref-type&gt;&lt;rec-number&gt;369&lt;/rec-number&gt;&lt;last-updated-date format="utc"&gt;1354897921&lt;/last-updated-date&gt;&lt;accession-num&gt;MEDLINE:14057514&lt;/accession-num&gt;&lt;volume&gt;39&lt;/volume&gt;&lt;/record&gt;&lt;/Cite&gt;&lt;Cite  &gt;&lt;Author&gt;Reske-Nielsen&lt;/Author&gt;&lt;Year&gt;1968&lt;/Year&gt;&lt;RecNum&gt;368&lt;/RecNum&gt;&lt;record&gt;&lt;dates&gt;&lt;pub-dates&gt;&lt;date&gt;1968-Jan&lt;/date&gt;&lt;/pub-dates&gt;&lt;year&gt;1968&lt;/year&gt;&lt;/dates&gt;&lt;urls&gt;&lt;related-urls&gt;&lt;url&gt;&amp;lt;Go to ISI&amp;gt;://MEDLINE:4190608&lt;/url&gt;&lt;/related-urls&gt;&lt;/urls&gt;&lt;isbn&gt;0012-186X&lt;/isbn&gt;&lt;titles&gt;&lt;title&gt;Pathological changes in the central and peripheral nervous system of young long-term diabetics. II. The spinal cord and peripheral nerves&lt;/title&gt;&lt;secondary-title&gt;Diabetologia&lt;/secondary-title&gt;&lt;/titles&gt;&lt;number&gt;1&lt;/number&gt;&lt;contributors&gt;&lt;authors&gt;&lt;author&gt;Reske-Nielsen, E.&lt;/author&gt;&lt;author&gt;Lundbaek, K.&lt;/author&gt;&lt;/authors&gt;&lt;/contributors&gt;&lt;added-date format="utc"&gt;1354829648&lt;/added-date&gt;&lt;ref-type name="Journal Article"&gt;17&lt;/ref-type&gt;&lt;rec-number&gt;368&lt;/rec-number&gt;&lt;last-updated-date format="utc"&gt;1354897921&lt;/last-updated-date&gt;&lt;accession-num&gt;MEDLINE:4190608&lt;/accession-num&gt;&lt;electronic-resource-num&gt;10.1007/bf01241031&lt;/electronic-resource-num&gt;&lt;volume&gt;4&lt;/volume&gt;&lt;/record&gt;&lt;/Cite&gt;&lt;/EndNote&gt;</w:instrText>
      </w:r>
      <w:r w:rsidR="00AF0E0B" w:rsidRPr="00DA197B">
        <w:fldChar w:fldCharType="separate"/>
      </w:r>
      <w:r w:rsidR="00AF0E0B" w:rsidRPr="00DA197B">
        <w:t>(Reske-Nielsen and Lundbaek, 1963, Reske-Nielsen and Lundbaek, 1968)</w:t>
      </w:r>
      <w:r w:rsidR="00AF0E0B" w:rsidRPr="00DA197B">
        <w:fldChar w:fldCharType="end"/>
      </w:r>
      <w:r w:rsidR="00AF0E0B" w:rsidRPr="00DA197B">
        <w:t>.  A contemporary post mortem case series examining small vessel</w:t>
      </w:r>
      <w:r w:rsidR="00AF0E0B" w:rsidRPr="00AF0E0B">
        <w:rPr>
          <w:rFonts w:eastAsia="Arial Unicode MS"/>
          <w:u w:color="000000"/>
          <w:bdr w:val="nil"/>
          <w:lang w:val="en-US" w:eastAsia="en-GB"/>
        </w:rPr>
        <w:t xml:space="preserve"> disease in T2D, demonstrated </w:t>
      </w:r>
      <w:r w:rsidR="007D7DEA">
        <w:rPr>
          <w:rFonts w:eastAsia="Arial Unicode MS"/>
          <w:u w:color="000000"/>
          <w:bdr w:val="nil"/>
          <w:lang w:val="en-US" w:eastAsia="en-GB"/>
        </w:rPr>
        <w:t>microvascular</w:t>
      </w:r>
      <w:r w:rsidR="00AF0E0B" w:rsidRPr="00AF0E0B">
        <w:rPr>
          <w:rFonts w:eastAsia="Arial Unicode MS"/>
          <w:u w:color="000000"/>
          <w:bdr w:val="nil"/>
          <w:lang w:val="en-US" w:eastAsia="en-GB"/>
        </w:rPr>
        <w:t xml:space="preserve"> damage and possible perivascular angiogenesis, white matter rarefaction and gliosis </w:t>
      </w:r>
      <w:r w:rsidR="00AF0E0B" w:rsidRPr="00AF0E0B">
        <w:rPr>
          <w:rFonts w:eastAsia="Arial Unicode MS"/>
          <w:u w:color="000000"/>
          <w:bdr w:val="nil"/>
          <w:lang w:val="fr-FR" w:eastAsia="en-GB"/>
        </w:rPr>
        <w:fldChar w:fldCharType="begin"/>
      </w:r>
      <w:r w:rsidR="00AF0E0B" w:rsidRPr="00AF0E0B">
        <w:rPr>
          <w:rFonts w:eastAsia="Arial Unicode MS"/>
          <w:u w:color="000000"/>
          <w:bdr w:val="nil"/>
          <w:lang w:val="fr-FR" w:eastAsia="en-GB"/>
        </w:rPr>
        <w:instrText xml:space="preserve"> ADDIN EN.CITE &lt;EndNote&gt;&lt;Cite  &gt;&lt;Author&gt;Nelson&lt;/Author&gt;&lt;Year&gt;2009&lt;/Year&gt;&lt;RecNum&gt;182&lt;/RecNum&gt;&lt;DisplayText&gt;(Nelson et al., 2009)&lt;/DisplayText&gt;&lt;record&gt;&lt;dates&gt;&lt;pub-dates&gt;&lt;date&gt;May&lt;/date&gt;&lt;/pub-dates&gt;&lt;year&gt;2009&lt;/year&gt;&lt;/dates&gt;&lt;keywords&gt;&lt;keyword&gt;Diabetes&lt;/keyword&gt;&lt;keyword&gt;Alzheimer's&lt;/keyword&gt;&lt;keyword&gt;Cerebrovascular&lt;/keyword&gt;&lt;keyword&gt;Stroke&lt;/keyword&gt;&lt;keyword&gt;Cognition&lt;/keyword&gt;&lt;keyword&gt;Clinicopathological&lt;/keyword&gt;&lt;keyword&gt;Radiographical&lt;/keyword&gt;&lt;keyword&gt;Pathology&lt;/keyword&gt;&lt;keyword&gt;Review&lt;/keyword&gt;&lt;keyword&gt;VASCULAR RISK-FACTORS&lt;/keyword&gt;&lt;keyword&gt;GLYCATION END-PRODUCTS&lt;/keyword&gt;&lt;keyword&gt;CENTRAL-NERVOUS-SYSTEM&lt;/keyword&gt;&lt;keyword&gt;WHITE-MATTER HYPERINTENSITIES&lt;/keyword&gt;&lt;keyword&gt;INCIDENT ALZHEIMER-DISEASE&lt;/keyword&gt;&lt;keyword&gt;TRANSGENIC&lt;/keyword&gt;&lt;keyword&gt;MOUSE MODEL&lt;/keyword&gt;&lt;keyword&gt;CHRONIC KIDNEY-DISEASE&lt;/keyword&gt;&lt;keyword&gt;MIDDLE-AGED COHORT&lt;/keyword&gt;&lt;keyword&gt;MAGNETIC-RESONANCE&lt;/keyword&gt;&lt;keyword&gt;COGNITIVE DYSFUNCTION&lt;/keyword&gt;&lt;/keywords&gt;&lt;urls&gt;&lt;related-urls&gt;&lt;url&gt;&amp;lt;Go to ISI&amp;gt;://WOS:000265956700009&lt;/url&gt;&lt;/related-urls&gt;&lt;/urls&gt;&lt;isbn&gt;0925-4439&lt;/isbn&gt;&lt;work-type&gt;Review&lt;/work-type&gt;&lt;titles&gt;&lt;title&gt;Human cerebral neuropathology of Type 2 diabetes mellitus&lt;/title&gt;&lt;secondary-title&gt;Biochimica Et Biophysica Acta-Molecular Basis of Disease&lt;/secondary-title&gt;&lt;alt-title&gt;Biochim. Biophys. Acta-Mol. Basis Dis.&lt;/alt-title&gt;&lt;/titles&gt;&lt;pages&gt;454-469&lt;/pages&gt;&lt;number&gt;5&lt;/number&gt;&lt;contributors&gt;&lt;authors&gt;&lt;author&gt;Nelson, P. T.&lt;/author&gt;&lt;author&gt;Smith, C. D.&lt;/author&gt;&lt;author&gt;Abner, E. A.&lt;/author&gt;&lt;author&gt;Schmitt, F. A.&lt;/author&gt;&lt;author&gt;Scheff, S. W.&lt;/author&gt;&lt;author&gt;Davis, G. J.&lt;/author&gt;&lt;author&gt;Keller, J. N.&lt;/author&gt;&lt;author&gt;Jicha, G. A.&lt;/author&gt;&lt;author&gt;Davis, D.&lt;/author&gt;&lt;author&gt;Wang-Xia, W.&lt;/author&gt;&lt;author&gt;Hartman, A.&lt;/author&gt;&lt;author&gt;Katz, D. G.&lt;/author&gt;&lt;author&gt;Markesbery, W. R.&lt;/author&gt;&lt;/authors&gt;&lt;/contributors&gt;&lt;language&gt;English&lt;/language&gt;&lt;added-date format="utc"&gt;1352466637&lt;/added-date&gt;&lt;ref-type name="Journal Article"&gt;17&lt;/ref-type&gt;&lt;auth-address&gt;[Nelson, Peter T.] Univ Kentucky, Sanders Brown Ctr Aging, Div Neuropathol, Dept Pathol,Med Ctr, Lexington, KY 40536 USA. Univ Kentucky, Rush Alzheimers Dis Ctr, Lexington, KY 40536 USA.&amp;#13;Nelson, PT (reprint author), Univ Kentucky, Sanders Brown Ctr Aging, Div Neuropathol, Dept Pathol,Med Ctr, Rm 311,Sanders Brown Bldg,800 S Limestone, Lexington, KY 40536 USA.&amp;#13;pnels2@email.uky.edu&lt;/auth-address&gt;&lt;rec-number&gt;182&lt;/rec-number&gt;&lt;last-updated-date format="utc"&gt;1354811227&lt;/last-updated-date&gt;&lt;accession-num&gt;WOS:000265956700009&lt;/accession-num&gt;&lt;electronic-resource-num&gt;10.1016/j.bbadis.2008.08.005&lt;/electronic-resource-num&gt;&lt;volume&gt;1792&lt;/volume&gt;&lt;/record&gt;&lt;/Cite&gt;&lt;/EndNote&gt;</w:instrText>
      </w:r>
      <w:r w:rsidR="00AF0E0B" w:rsidRPr="00AF0E0B">
        <w:rPr>
          <w:rFonts w:eastAsia="Arial Unicode MS"/>
          <w:u w:color="000000"/>
          <w:bdr w:val="nil"/>
          <w:lang w:val="fr-FR" w:eastAsia="en-GB"/>
        </w:rPr>
        <w:fldChar w:fldCharType="separate"/>
      </w:r>
      <w:r w:rsidR="00AF0E0B" w:rsidRPr="00AF0E0B">
        <w:rPr>
          <w:rFonts w:eastAsia="Arial Unicode MS"/>
          <w:u w:color="000000"/>
          <w:bdr w:val="nil"/>
          <w:lang w:val="fr-FR" w:eastAsia="en-GB"/>
        </w:rPr>
        <w:t>(Nelson et al., 2009)</w:t>
      </w:r>
      <w:r w:rsidR="00AF0E0B" w:rsidRPr="00AF0E0B">
        <w:rPr>
          <w:rFonts w:eastAsia="Arial Unicode MS"/>
          <w:u w:color="000000"/>
          <w:bdr w:val="nil"/>
          <w:lang w:val="fr-FR" w:eastAsia="en-GB"/>
        </w:rPr>
        <w:fldChar w:fldCharType="end"/>
      </w:r>
      <w:r w:rsidR="00AF0E0B" w:rsidRPr="00AF0E0B">
        <w:rPr>
          <w:rFonts w:eastAsia="Arial Unicode MS"/>
          <w:u w:color="000000"/>
          <w:bdr w:val="nil"/>
          <w:lang w:val="en-US" w:eastAsia="en-GB"/>
        </w:rPr>
        <w:t xml:space="preserve">.  An earlier series reported thickened cerebral cortical capillary membranes in human subjects with diabetes </w:t>
      </w:r>
      <w:r w:rsidR="00AF0E0B" w:rsidRPr="00AF0E0B">
        <w:rPr>
          <w:rFonts w:eastAsia="Arial Unicode MS"/>
          <w:u w:color="000000"/>
          <w:bdr w:val="nil"/>
          <w:lang w:val="fr-FR" w:eastAsia="en-GB"/>
        </w:rPr>
        <w:fldChar w:fldCharType="begin"/>
      </w:r>
      <w:r w:rsidR="00AF0E0B" w:rsidRPr="00AF0E0B">
        <w:rPr>
          <w:rFonts w:eastAsia="Arial Unicode MS"/>
          <w:u w:color="000000"/>
          <w:bdr w:val="nil"/>
          <w:lang w:val="fr-FR" w:eastAsia="en-GB"/>
        </w:rPr>
        <w:instrText xml:space="preserve"> ADDIN EN.CITE &lt;EndNote&gt;&lt;Cite  &gt;&lt;Author&gt;Johnson&lt;/Author&gt;&lt;Year&gt;1982&lt;/Year&gt;&lt;RecNum&gt;647&lt;/RecNum&gt;&lt;DisplayText&gt;(Johnson et al., 1982)&lt;/DisplayText&gt;&lt;record&gt;&lt;dates&gt;&lt;pub-dates&gt;&lt;date&gt;1982&lt;/date&gt;&lt;/pub-dates&gt;&lt;year&gt;1982&lt;/year&gt;&lt;/dates&gt;&lt;isbn&gt;0003-9985&lt;/isbn&gt;&lt;titles&gt;&lt;title&gt;THICKENED CEREBRAL CORTICAL CAPILLARY BASEMENT-MEMBRANES IN DIABETICS&lt;/title&gt;&lt;secondary-title&gt;Archives of Pathology &amp;amp;amp; Laboratory Medicine&lt;/secondary-title&gt;&lt;/titles&gt;&lt;number&gt;5&lt;/number&gt;&lt;contributors&gt;&lt;authors&gt;&lt;author&gt;Johnson, P. C.&lt;/author&gt;&lt;author&gt;Brendel, K.&lt;/author&gt;&lt;author&gt;Meezan, E.&lt;/author&gt;&lt;/authors&gt;&lt;/contributors&gt;&lt;added-date format="utc"&gt;1357560313&lt;/added-date&gt;&lt;ref-type name="Journal Article"&gt;17&lt;/ref-type&gt;&lt;rec-number&gt;647&lt;/rec-number&gt;&lt;last-updated-date format="utc"&gt;1479819969&lt;/last-updated-date&gt;&lt;accession-num&gt;WOS:A1982NN63500002&lt;/accession-num&gt;&lt;volume&gt;106&lt;/volume&gt;&lt;/record&gt;&lt;/Cite&gt;&lt;/EndNote&gt;</w:instrText>
      </w:r>
      <w:r w:rsidR="00AF0E0B" w:rsidRPr="00AF0E0B">
        <w:rPr>
          <w:rFonts w:eastAsia="Arial Unicode MS"/>
          <w:u w:color="000000"/>
          <w:bdr w:val="nil"/>
          <w:lang w:val="fr-FR" w:eastAsia="en-GB"/>
        </w:rPr>
        <w:fldChar w:fldCharType="separate"/>
      </w:r>
      <w:r w:rsidR="00AF0E0B" w:rsidRPr="00AF0E0B">
        <w:rPr>
          <w:rFonts w:eastAsia="Arial Unicode MS"/>
          <w:u w:color="000000"/>
          <w:bdr w:val="nil"/>
          <w:lang w:val="fr-FR" w:eastAsia="en-GB"/>
        </w:rPr>
        <w:t>(Johnson et al., 1982)</w:t>
      </w:r>
      <w:r w:rsidR="00AF0E0B" w:rsidRPr="00AF0E0B">
        <w:rPr>
          <w:rFonts w:eastAsia="Arial Unicode MS"/>
          <w:u w:color="000000"/>
          <w:bdr w:val="nil"/>
          <w:lang w:val="fr-FR" w:eastAsia="en-GB"/>
        </w:rPr>
        <w:fldChar w:fldCharType="end"/>
      </w:r>
      <w:r w:rsidR="00AF0E0B" w:rsidRPr="00AF0E0B">
        <w:rPr>
          <w:rFonts w:eastAsia="Arial Unicode MS"/>
          <w:u w:color="000000"/>
          <w:bdr w:val="nil"/>
          <w:lang w:val="en-US" w:eastAsia="en-GB"/>
        </w:rPr>
        <w:t xml:space="preserve">.  Animal Models have also shown CNS changes to capillary basement membrane thickness </w:t>
      </w:r>
      <w:r w:rsidR="00AF0E0B" w:rsidRPr="00AF0E0B">
        <w:rPr>
          <w:rFonts w:eastAsia="Arial Unicode MS"/>
          <w:u w:color="000000"/>
          <w:bdr w:val="nil"/>
          <w:lang w:val="en-US" w:eastAsia="en-GB"/>
        </w:rPr>
        <w:fldChar w:fldCharType="begin"/>
      </w:r>
      <w:r w:rsidR="00AF0E0B" w:rsidRPr="00AF0E0B">
        <w:rPr>
          <w:rFonts w:eastAsia="Arial Unicode MS"/>
          <w:u w:color="000000"/>
          <w:bdr w:val="nil"/>
          <w:lang w:val="en-US" w:eastAsia="en-GB"/>
        </w:rPr>
        <w:instrText xml:space="preserve"> ADDIN EN.CITE &lt;EndNote&gt;&lt;Cite  &gt;&lt;Author&gt;Mukai&lt;/Author&gt;&lt;Year&gt;1979&lt;/Year&gt;&lt;RecNum&gt;664&lt;/RecNum&gt;&lt;DisplayText&gt;(Mukai and Hori, 1979, Junker et al., 1985)&lt;/DisplayText&gt;&lt;record&gt;&lt;urls&gt;&lt;related-urls&gt;&lt;url&gt;&amp;lt;Go to ISI&amp;gt;://WOS:A1979GU74700105&lt;/url&gt;&lt;/related-urls&gt;&lt;/urls&gt;&lt;isbn&gt;0022-3069&lt;/isbn&gt;&lt;titles&gt;&lt;title&gt;CEREBRAL VASCULAR-LESIONS OF STREPTOZOTOCIN-INDUCED DIABETIC RATS&lt;/title&gt;&lt;secondary-title&gt;Journal of Neuropathology and Experimental Neurology&lt;/secondary-title&gt;&lt;/titles&gt;&lt;pages&gt;333-333&lt;/pages&gt;&lt;number&gt;3&lt;/number&gt;&lt;contributors&gt;&lt;authors&gt;&lt;author&gt;Mukai, N.&lt;/author&gt;&lt;author&gt;Hori, S.&lt;/author&gt;&lt;/authors&gt;&lt;/contributors&gt;&lt;added-date format="utc"&gt;1357680946&lt;/added-date&gt;&lt;ref-type name="Journal Article"&gt;17&lt;/ref-type&gt;&lt;dates&gt;&lt;year&gt;1979&lt;/year&gt;&lt;/dates&gt;&lt;rec-number&gt;664&lt;/rec-number&gt;&lt;last-updated-date format="utc"&gt;1357680946&lt;/last-updated-date&gt;&lt;accession-num&gt;WOS:A1979GU74700105&lt;/accession-num&gt;&lt;electronic-resource-num&gt;10.1097/00005072-197905000-00106&lt;/electronic-resource-num&gt;&lt;volume&gt;38&lt;/volume&gt;&lt;/record&gt;&lt;/Cite&gt;&lt;Cite  &gt;&lt;Author&gt;Junker&lt;/Author&gt;&lt;Year&gt;1985&lt;/Year&gt;&lt;RecNum&gt;648&lt;/RecNum&gt;&lt;record&gt;&lt;dates&gt;&lt;pub-dates&gt;&lt;date&gt;1985&lt;/date&gt;&lt;/pub-dates&gt;&lt;year&gt;1985&lt;/year&gt;&lt;/dates&gt;&lt;isbn&gt;0001-6322&lt;/isbn&gt;&lt;titles&gt;&lt;title&gt;BASEMENT-MEMBRANE OF HYPOTHALAMUS AND CORTEX CAPILLARIES FROM NORMOTENSIVE AND SPONTANEOUSLY HYPERTENSIVE RATS WITH STREPTOZOTOCIN-INDUCED DIABETES&lt;/title&gt;&lt;secondary-title&gt;Acta Neuropathologica&lt;/secondary-title&gt;&lt;/titles&gt;&lt;number&gt;3-4&lt;/number&gt;&lt;contributors&gt;&lt;authors&gt;&lt;author&gt;Junker, U.&lt;/author&gt;&lt;author&gt;Jaggi, C.&lt;/author&gt;&lt;author&gt;Bestetti, G.&lt;/author&gt;&lt;author&gt;Rossi, G. L.&lt;/author&gt;&lt;/authors&gt;&lt;/contributors&gt;&lt;added-date format="utc"&gt;1357560496&lt;/added-date&gt;&lt;ref-type name="Journal Article"&gt;17&lt;/ref-type&gt;&lt;rec-number&gt;648&lt;/rec-number&gt;&lt;last-updated-date format="utc"&gt;1479820057&lt;/last-updated-date&gt;&lt;accession-num&gt;WOS:A1985AHH1100004&lt;/accession-num&gt;&lt;volume&gt;65&lt;/volume&gt;&lt;/record&gt;&lt;/Cite&gt;&lt;/EndNote&gt;</w:instrText>
      </w:r>
      <w:r w:rsidR="00AF0E0B" w:rsidRPr="00AF0E0B">
        <w:rPr>
          <w:rFonts w:eastAsia="Arial Unicode MS"/>
          <w:u w:color="000000"/>
          <w:bdr w:val="nil"/>
          <w:lang w:val="en-US" w:eastAsia="en-GB"/>
        </w:rPr>
        <w:fldChar w:fldCharType="separate"/>
      </w:r>
      <w:r w:rsidR="00AF0E0B" w:rsidRPr="00AF0E0B">
        <w:rPr>
          <w:rFonts w:eastAsia="Arial Unicode MS"/>
          <w:u w:color="000000"/>
          <w:bdr w:val="nil"/>
          <w:lang w:val="en-US" w:eastAsia="en-GB"/>
        </w:rPr>
        <w:t>(Mukai and Hori, 1979, Junker et al., 1985)</w:t>
      </w:r>
      <w:r w:rsidR="00AF0E0B" w:rsidRPr="00AF0E0B">
        <w:rPr>
          <w:rFonts w:eastAsia="Arial Unicode MS"/>
          <w:u w:color="000000"/>
          <w:bdr w:val="nil"/>
          <w:lang w:val="en-US" w:eastAsia="en-GB"/>
        </w:rPr>
        <w:fldChar w:fldCharType="end"/>
      </w:r>
      <w:r w:rsidR="00AF0E0B" w:rsidRPr="00AF0E0B">
        <w:rPr>
          <w:rFonts w:eastAsia="Arial Unicode MS"/>
          <w:u w:color="000000"/>
          <w:bdr w:val="nil"/>
          <w:lang w:val="en-US" w:eastAsia="en-GB"/>
        </w:rPr>
        <w:t xml:space="preserve">.  Thus, it is possible that some of the neural and </w:t>
      </w:r>
      <w:r w:rsidR="007D7DEA">
        <w:rPr>
          <w:rFonts w:eastAsia="Arial Unicode MS"/>
          <w:u w:color="000000"/>
          <w:bdr w:val="nil"/>
          <w:lang w:val="en-US" w:eastAsia="en-GB"/>
        </w:rPr>
        <w:t>microvascular</w:t>
      </w:r>
      <w:r w:rsidR="00AF0E0B" w:rsidRPr="00AF0E0B">
        <w:rPr>
          <w:rFonts w:eastAsia="Arial Unicode MS"/>
          <w:u w:color="000000"/>
          <w:bdr w:val="nil"/>
          <w:lang w:val="en-US" w:eastAsia="en-GB"/>
        </w:rPr>
        <w:t xml:space="preserve"> changes that are seen in autopsy series, may exist in individuals with P-DPN and may alter perfusion to pain processing areas of the brain, potentially impacting on the central perception of neuropathic pain. </w:t>
      </w:r>
    </w:p>
    <w:p w14:paraId="1F78C6FB" w14:textId="2891C8FE" w:rsidR="00AF0E0B" w:rsidRPr="00337DE9" w:rsidRDefault="00AF0E0B" w:rsidP="00337DE9">
      <w:pPr>
        <w:pStyle w:val="Heading3"/>
      </w:pPr>
      <w:bookmarkStart w:id="35" w:name="_Toc49972681"/>
      <w:bookmarkStart w:id="36" w:name="_Toc64723868"/>
      <w:r w:rsidRPr="00337DE9">
        <w:t xml:space="preserve">P-DPN pathogenesis: </w:t>
      </w:r>
      <w:r w:rsidR="00337DE9">
        <w:t>M</w:t>
      </w:r>
      <w:r w:rsidRPr="00337DE9">
        <w:t>etabolic factors</w:t>
      </w:r>
      <w:bookmarkEnd w:id="35"/>
      <w:bookmarkEnd w:id="36"/>
    </w:p>
    <w:p w14:paraId="77764B05" w14:textId="0C991094"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eastAsia="Arial Unicode MS" w:cs="Arial Unicode MS"/>
          <w:color w:val="000000"/>
          <w:u w:color="000000"/>
          <w:bdr w:val="nil"/>
          <w:lang w:val="en-US" w:eastAsia="en-GB"/>
        </w:rPr>
        <w:t xml:space="preserve">The </w:t>
      </w:r>
      <w:r w:rsidR="009648B3">
        <w:rPr>
          <w:rFonts w:eastAsia="Arial Unicode MS" w:cs="Arial Unicode MS"/>
          <w:color w:val="000000"/>
          <w:u w:color="000000"/>
          <w:bdr w:val="nil"/>
          <w:lang w:val="en-US" w:eastAsia="en-GB"/>
        </w:rPr>
        <w:t>factors</w:t>
      </w:r>
      <w:r w:rsidRPr="00AF0E0B">
        <w:rPr>
          <w:rFonts w:eastAsia="Arial Unicode MS" w:cs="Arial Unicode MS"/>
          <w:color w:val="000000"/>
          <w:u w:color="000000"/>
          <w:bdr w:val="nil"/>
          <w:lang w:val="en-US" w:eastAsia="en-GB"/>
        </w:rPr>
        <w:t xml:space="preserve"> that are proposed to lead to P-DPN are outlined in figure 1.2 </w:t>
      </w:r>
      <w:r w:rsidRPr="00AF0E0B">
        <w:rPr>
          <w:rFonts w:eastAsia="Arial Unicode MS" w:cs="Arial Unicode MS"/>
          <w:color w:val="000000"/>
          <w:u w:color="000000"/>
          <w:bdr w:val="nil"/>
          <w:lang w:val="en-US" w:eastAsia="en-GB"/>
        </w:rPr>
        <w:fldChar w:fldCharType="begin"/>
      </w:r>
      <w:r w:rsidRPr="00AF0E0B">
        <w:rPr>
          <w:rFonts w:eastAsia="Arial Unicode MS" w:cs="Arial Unicode MS"/>
          <w:color w:val="000000"/>
          <w:u w:color="000000"/>
          <w:bdr w:val="nil"/>
          <w:lang w:val="en-US" w:eastAsia="en-GB"/>
        </w:rPr>
        <w:instrText xml:space="preserve"> ADDIN EN.CITE &lt;EndNote&gt;&lt;Cite  &gt;&lt;Author&gt;Feldman&lt;/Author&gt;&lt;Year&gt;2019&lt;/Year&gt;&lt;RecNum&gt;1332&lt;/RecNum&gt;&lt;DisplayText&gt;(Feldman et al., 2019)&lt;/DisplayText&gt;&lt;record&gt;&lt;keywords&gt;&lt;keyword&gt;Diabetic Neuropathies - epidemiology&lt;/keyword&gt;&lt;keyword&gt;Diabetic Neuropathies - diagnosis&lt;/keyword&gt;&lt;keyword&gt;Quality of Life - psychology&lt;/keyword&gt;&lt;keyword&gt;Diabetic Neuropathies - therapy&lt;/keyword&gt;&lt;keyword&gt;Humans&lt;/keyword&gt;&lt;keyword&gt;Risk Factors&lt;/keyword&gt;&lt;/keywords&gt;&lt;isbn&gt;2056-676X&lt;/isbn&gt;&lt;titles&gt;&lt;title&gt;Diabetic neuropathy&lt;/title&gt;&lt;secondary-title&gt;Nat Rev Dis Primers&lt;/secondary-title&gt;&lt;/titles&gt;&lt;pages&gt;42-42&lt;/pages&gt;&lt;number&gt;1&lt;/number&gt;&lt;contributors&gt;&lt;authors&gt;&lt;author&gt;Feldman, E.&lt;/author&gt;&lt;author&gt;Callaghan, B.&lt;/author&gt;&lt;author&gt;Pop-Busui, R.&lt;/author&gt;&lt;author&gt;Zochodne, D.&lt;/author&gt;&lt;author&gt;Wright, D.&lt;/author&gt;&lt;author&gt;Bennett, D.&lt;/author&gt;&lt;author&gt;Bril, V.&lt;/author&gt;&lt;author&gt;Russell, J.&lt;/author&gt;&lt;author&gt;Viswanathan, V.&lt;/author&gt;&lt;/authors&gt;&lt;/contributors&gt;&lt;added-date format="utc"&gt;1598462876&lt;/added-date&gt;&lt;pub-location&gt;England&lt;/pub-location&gt;&lt;ref-type name="Journal Article"&gt;17&lt;/ref-type&gt;&lt;dates&gt;&lt;year&gt;2019&lt;/year&gt;&lt;/dates&gt;&lt;rec-number&gt;1332&lt;/rec-number&gt;&lt;publisher&gt;England: Nature Publishing Group&lt;/publisher&gt;&lt;last-updated-date format="utc"&gt;1598463203&lt;/last-updated-date&gt;&lt;electronic-resource-num&gt;10.1038/s41572-019-0097-9&lt;/electronic-resource-num&gt;&lt;volume&gt;5&lt;/volume&gt;&lt;/record&gt;&lt;/Cite&gt;&lt;/EndNote&gt;</w:instrText>
      </w:r>
      <w:r w:rsidRPr="00AF0E0B">
        <w:rPr>
          <w:rFonts w:eastAsia="Arial Unicode MS" w:cs="Arial Unicode MS"/>
          <w:color w:val="000000"/>
          <w:u w:color="000000"/>
          <w:bdr w:val="nil"/>
          <w:lang w:val="en-US" w:eastAsia="en-GB"/>
        </w:rPr>
        <w:fldChar w:fldCharType="separate"/>
      </w:r>
      <w:r w:rsidRPr="00AF0E0B">
        <w:rPr>
          <w:rFonts w:eastAsia="Arial Unicode MS" w:cs="Arial Unicode MS"/>
          <w:color w:val="000000"/>
          <w:u w:color="000000"/>
          <w:bdr w:val="nil"/>
          <w:lang w:val="en-US" w:eastAsia="en-GB"/>
        </w:rPr>
        <w:t>(Feldman et al., 2019)</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t>.</w:t>
      </w:r>
    </w:p>
    <w:p w14:paraId="1028F5BB" w14:textId="77777777"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ascii="Arial Unicode MS" w:eastAsia="Arial Unicode MS" w:hAnsi="Arial Unicode MS" w:cs="Arial Unicode MS"/>
          <w:color w:val="000000"/>
          <w:u w:color="000000"/>
          <w:bdr w:val="nil"/>
          <w:lang w:val="en-US" w:eastAsia="en-GB"/>
        </w:rPr>
        <w:br w:type="page"/>
      </w:r>
    </w:p>
    <w:p w14:paraId="0E67C49A" w14:textId="673B3058" w:rsidR="00AF0E0B" w:rsidRPr="007F741E" w:rsidRDefault="00AF0E0B" w:rsidP="009F58A0">
      <w:pPr>
        <w:pStyle w:val="Subtitle"/>
      </w:pPr>
      <w:bookmarkStart w:id="37" w:name="_Toc49972741"/>
      <w:bookmarkStart w:id="38" w:name="_Toc64724163"/>
      <w:r w:rsidRPr="007F741E">
        <w:lastRenderedPageBreak/>
        <w:t xml:space="preserve">Figure 1.2  Schematic of </w:t>
      </w:r>
      <w:r w:rsidR="00337DE9">
        <w:t>F</w:t>
      </w:r>
      <w:r w:rsidRPr="007F741E">
        <w:t xml:space="preserve">actors </w:t>
      </w:r>
      <w:r w:rsidR="00337DE9">
        <w:t>T</w:t>
      </w:r>
      <w:r w:rsidRPr="007F741E">
        <w:t xml:space="preserve">hought to be </w:t>
      </w:r>
      <w:r w:rsidR="00337DE9">
        <w:t>I</w:t>
      </w:r>
      <w:r w:rsidRPr="007F741E">
        <w:t xml:space="preserve">nvolved in the </w:t>
      </w:r>
      <w:r w:rsidR="00337DE9">
        <w:t>P</w:t>
      </w:r>
      <w:r w:rsidRPr="007F741E">
        <w:t>athogenesis of P-DPN</w:t>
      </w:r>
      <w:bookmarkEnd w:id="37"/>
      <w:bookmarkEnd w:id="38"/>
    </w:p>
    <w:p w14:paraId="3DEE0E3A" w14:textId="77777777" w:rsidR="00AF0E0B" w:rsidRPr="00AF0E0B" w:rsidRDefault="00AF0E0B" w:rsidP="00AF0E0B">
      <w:pPr>
        <w:pBdr>
          <w:top w:val="nil"/>
          <w:left w:val="nil"/>
          <w:bottom w:val="nil"/>
          <w:right w:val="nil"/>
          <w:between w:val="nil"/>
          <w:bar w:val="nil"/>
        </w:pBdr>
        <w:suppressAutoHyphens/>
        <w:spacing w:line="360" w:lineRule="auto"/>
        <w:rPr>
          <w:rFonts w:ascii="Times New Roman" w:eastAsia="Times New Roman" w:hAnsi="Times New Roman" w:cs="Times New Roman"/>
          <w:color w:val="000000"/>
          <w:u w:color="000000"/>
          <w:bdr w:val="nil"/>
          <w:lang w:val="en-US" w:eastAsia="en-GB"/>
        </w:rPr>
      </w:pPr>
      <w:r w:rsidRPr="00AF0E0B">
        <w:rPr>
          <w:rFonts w:ascii="Times New Roman" w:eastAsia="Times New Roman" w:hAnsi="Times New Roman" w:cs="Times New Roman"/>
          <w:noProof/>
          <w:color w:val="000000"/>
          <w:u w:color="000000"/>
          <w:bdr w:val="nil"/>
          <w:lang w:val="en-US" w:eastAsia="en-GB"/>
        </w:rPr>
        <w:drawing>
          <wp:inline distT="0" distB="0" distL="0" distR="0" wp14:anchorId="4F5BBCEE" wp14:editId="7ADFCBA9">
            <wp:extent cx="5727700" cy="6038216"/>
            <wp:effectExtent l="25400" t="25400" r="25400" b="19685"/>
            <wp:docPr id="1073741826" name="officeArt object" descr="figure4"/>
            <wp:cNvGraphicFramePr/>
            <a:graphic xmlns:a="http://schemas.openxmlformats.org/drawingml/2006/main">
              <a:graphicData uri="http://schemas.openxmlformats.org/drawingml/2006/picture">
                <pic:pic xmlns:pic="http://schemas.openxmlformats.org/drawingml/2006/picture">
                  <pic:nvPicPr>
                    <pic:cNvPr id="1073741826" name="figure4" descr="figure4"/>
                    <pic:cNvPicPr>
                      <a:picLocks noChangeAspect="1"/>
                    </pic:cNvPicPr>
                  </pic:nvPicPr>
                  <pic:blipFill>
                    <a:blip r:embed="rId12"/>
                    <a:stretch>
                      <a:fillRect/>
                    </a:stretch>
                  </pic:blipFill>
                  <pic:spPr>
                    <a:xfrm>
                      <a:off x="0" y="0"/>
                      <a:ext cx="5727700" cy="6038216"/>
                    </a:xfrm>
                    <a:prstGeom prst="rect">
                      <a:avLst/>
                    </a:prstGeom>
                    <a:ln w="19050" cap="flat">
                      <a:solidFill>
                        <a:schemeClr val="accent1"/>
                      </a:solidFill>
                      <a:prstDash val="solid"/>
                      <a:round/>
                    </a:ln>
                    <a:effectLst/>
                  </pic:spPr>
                </pic:pic>
              </a:graphicData>
            </a:graphic>
          </wp:inline>
        </w:drawing>
      </w:r>
    </w:p>
    <w:p w14:paraId="6E14E391" w14:textId="4E35CD4D" w:rsidR="00355D1C" w:rsidRPr="00355D1C" w:rsidRDefault="00AF0E0B" w:rsidP="00355D1C">
      <w:pPr>
        <w:pBdr>
          <w:top w:val="nil"/>
          <w:left w:val="nil"/>
          <w:bottom w:val="nil"/>
          <w:right w:val="nil"/>
          <w:between w:val="nil"/>
          <w:bar w:val="nil"/>
        </w:pBdr>
        <w:suppressAutoHyphens/>
        <w:spacing w:line="360" w:lineRule="auto"/>
        <w:rPr>
          <w:rFonts w:eastAsia="Arial" w:cs="Arial"/>
          <w:i/>
          <w:iCs/>
          <w:color w:val="808080"/>
          <w:sz w:val="21"/>
          <w:szCs w:val="21"/>
          <w:u w:color="808080"/>
          <w:bdr w:val="nil"/>
          <w:lang w:eastAsia="en-GB"/>
        </w:rPr>
      </w:pPr>
      <w:r w:rsidRPr="00AF0E0B">
        <w:rPr>
          <w:rFonts w:eastAsia="Arial" w:cs="Arial"/>
          <w:i/>
          <w:iCs/>
          <w:color w:val="808080"/>
          <w:sz w:val="21"/>
          <w:szCs w:val="21"/>
          <w:u w:color="808080"/>
          <w:bdr w:val="nil"/>
          <w:lang w:val="en-US" w:eastAsia="en-GB"/>
        </w:rPr>
        <w:t>| “Several alterations to peripheral and central neurons contribute to the pathophysiology of painful diabetic neuropathy. Ion channels at the terminals of nociceptors can undergo glycation through the addition of methylglyoxal to form advanced glycation end-products (AGEs), which can contribute to gain of function of these channels and neuronal hyperexcitability. Changes at the perikaryon include increased expression of voltage-gated sodium channels, such as Nav1.8, which can lead to hyperexcitability. In myelinated axons, the expression of shaker-type potassium (</w:t>
      </w:r>
      <w:proofErr w:type="spellStart"/>
      <w:r w:rsidRPr="00AF0E0B">
        <w:rPr>
          <w:rFonts w:eastAsia="Arial" w:cs="Arial"/>
          <w:i/>
          <w:iCs/>
          <w:color w:val="808080"/>
          <w:sz w:val="21"/>
          <w:szCs w:val="21"/>
          <w:u w:color="808080"/>
          <w:bdr w:val="nil"/>
          <w:lang w:val="en-US" w:eastAsia="en-GB"/>
        </w:rPr>
        <w:t>Kv</w:t>
      </w:r>
      <w:proofErr w:type="spellEnd"/>
      <w:r w:rsidRPr="00AF0E0B">
        <w:rPr>
          <w:rFonts w:eastAsia="Arial" w:cs="Arial"/>
          <w:i/>
          <w:iCs/>
          <w:color w:val="808080"/>
          <w:sz w:val="21"/>
          <w:szCs w:val="21"/>
          <w:u w:color="808080"/>
          <w:bdr w:val="nil"/>
          <w:lang w:val="en-US" w:eastAsia="en-GB"/>
        </w:rPr>
        <w:t xml:space="preserve">) channels is reduced, which can also contribute to hyperexcitability. Hyperexcitability of neurons leads to increased stimulus responses and ectopic neuronal activity, leading to excessive nociceptive input to the spinal cord. In the spinal cord, microglia become activated and further enhance excitability within the dorsal horn.  b | Several ascending pathways are involved in pain perception and the </w:t>
      </w:r>
      <w:r w:rsidRPr="00AF0E0B">
        <w:rPr>
          <w:rFonts w:eastAsia="Arial" w:cs="Arial"/>
          <w:i/>
          <w:iCs/>
          <w:color w:val="808080"/>
          <w:sz w:val="21"/>
          <w:szCs w:val="21"/>
          <w:u w:color="808080"/>
          <w:bdr w:val="nil"/>
          <w:lang w:val="en-US" w:eastAsia="en-GB"/>
        </w:rPr>
        <w:lastRenderedPageBreak/>
        <w:t xml:space="preserve">psychological changes associated with pain, for example, the spinothalamic pathway (1), which is involved in pain perception, and the </w:t>
      </w:r>
      <w:proofErr w:type="spellStart"/>
      <w:r w:rsidRPr="00AF0E0B">
        <w:rPr>
          <w:rFonts w:eastAsia="Arial" w:cs="Arial"/>
          <w:i/>
          <w:iCs/>
          <w:color w:val="808080"/>
          <w:sz w:val="21"/>
          <w:szCs w:val="21"/>
          <w:u w:color="808080"/>
          <w:bdr w:val="nil"/>
          <w:lang w:val="en-US" w:eastAsia="en-GB"/>
        </w:rPr>
        <w:t>spinoreticular</w:t>
      </w:r>
      <w:proofErr w:type="spellEnd"/>
      <w:r w:rsidRPr="00AF0E0B">
        <w:rPr>
          <w:rFonts w:eastAsia="Arial" w:cs="Arial"/>
          <w:i/>
          <w:iCs/>
          <w:color w:val="808080"/>
          <w:sz w:val="21"/>
          <w:szCs w:val="21"/>
          <w:u w:color="808080"/>
          <w:bdr w:val="nil"/>
          <w:lang w:val="en-US" w:eastAsia="en-GB"/>
        </w:rPr>
        <w:t xml:space="preserve"> tract. In addition, ascending pathways that travel via the parabrachial nucleus (2) to the hypothalamus and amygdala (3) are involved in autonomic function, fear and anxiety. Descending pathways inhibit or facilitate the transmission of nociceptive information at the spinal level (4)”. from Feldman et al., 2019 Diabetic Neuropathies</w:t>
      </w:r>
      <w:r w:rsidR="00355D1C">
        <w:rPr>
          <w:rFonts w:eastAsia="Arial" w:cs="Arial"/>
          <w:i/>
          <w:iCs/>
          <w:color w:val="808080"/>
          <w:sz w:val="21"/>
          <w:szCs w:val="21"/>
          <w:u w:color="808080"/>
          <w:bdr w:val="nil"/>
          <w:lang w:val="en-US" w:eastAsia="en-GB"/>
        </w:rPr>
        <w:t xml:space="preserve">. Reproduced with permission, </w:t>
      </w:r>
      <w:r w:rsidR="007800A1" w:rsidRPr="007800A1">
        <w:rPr>
          <w:rFonts w:eastAsia="Arial" w:cs="Arial"/>
          <w:i/>
          <w:iCs/>
          <w:color w:val="808080"/>
          <w:sz w:val="21"/>
          <w:szCs w:val="21"/>
          <w:u w:color="808080"/>
          <w:bdr w:val="nil"/>
          <w:lang w:eastAsia="en-GB"/>
        </w:rPr>
        <w:t xml:space="preserve">© </w:t>
      </w:r>
      <w:r w:rsidR="007800A1">
        <w:rPr>
          <w:rFonts w:eastAsia="Arial" w:cs="Arial"/>
          <w:i/>
          <w:iCs/>
          <w:color w:val="808080"/>
          <w:sz w:val="21"/>
          <w:szCs w:val="21"/>
          <w:u w:color="808080"/>
          <w:bdr w:val="nil"/>
          <w:lang w:eastAsia="en-GB"/>
        </w:rPr>
        <w:t>2003,</w:t>
      </w:r>
      <w:r w:rsidR="007800A1" w:rsidRPr="007800A1">
        <w:rPr>
          <w:rFonts w:eastAsia="Arial" w:cs="Arial"/>
          <w:i/>
          <w:iCs/>
          <w:color w:val="808080"/>
          <w:sz w:val="21"/>
          <w:szCs w:val="21"/>
          <w:u w:color="808080"/>
          <w:bdr w:val="nil"/>
          <w:lang w:eastAsia="en-GB"/>
        </w:rPr>
        <w:t xml:space="preserve"> </w:t>
      </w:r>
      <w:r w:rsidR="007800A1">
        <w:rPr>
          <w:rFonts w:eastAsia="Arial" w:cs="Arial"/>
          <w:i/>
          <w:iCs/>
          <w:color w:val="808080"/>
          <w:sz w:val="21"/>
          <w:szCs w:val="21"/>
          <w:u w:color="808080"/>
          <w:bdr w:val="nil"/>
          <w:lang w:val="en-US" w:eastAsia="en-GB"/>
        </w:rPr>
        <w:t>Springer</w:t>
      </w:r>
      <w:r w:rsidR="00355D1C" w:rsidRPr="00355D1C">
        <w:rPr>
          <w:rFonts w:eastAsia="Arial" w:cs="Arial"/>
          <w:i/>
          <w:iCs/>
          <w:color w:val="808080"/>
          <w:sz w:val="21"/>
          <w:szCs w:val="21"/>
          <w:u w:color="808080"/>
          <w:bdr w:val="nil"/>
          <w:lang w:eastAsia="en-GB"/>
        </w:rPr>
        <w:t>.</w:t>
      </w:r>
    </w:p>
    <w:p w14:paraId="70A4AF71" w14:textId="326B1F39" w:rsidR="00AF0E0B" w:rsidRPr="00AF0E0B" w:rsidRDefault="00AF0E0B" w:rsidP="00AF0E0B">
      <w:pPr>
        <w:pBdr>
          <w:top w:val="nil"/>
          <w:left w:val="nil"/>
          <w:bottom w:val="nil"/>
          <w:right w:val="nil"/>
          <w:between w:val="nil"/>
          <w:bar w:val="nil"/>
        </w:pBdr>
        <w:suppressAutoHyphens/>
        <w:spacing w:line="360" w:lineRule="auto"/>
        <w:rPr>
          <w:rFonts w:eastAsia="Arial" w:cs="Arial"/>
          <w:i/>
          <w:iCs/>
          <w:color w:val="808080"/>
          <w:sz w:val="21"/>
          <w:szCs w:val="21"/>
          <w:u w:color="808080"/>
          <w:bdr w:val="nil"/>
          <w:lang w:val="en-US" w:eastAsia="en-GB"/>
        </w:rPr>
      </w:pPr>
    </w:p>
    <w:p w14:paraId="78EB8339" w14:textId="77777777" w:rsidR="00AF0E0B" w:rsidRPr="00AF0E0B" w:rsidRDefault="00AF0E0B" w:rsidP="00AF0E0B">
      <w:pPr>
        <w:pBdr>
          <w:top w:val="nil"/>
          <w:left w:val="nil"/>
          <w:bottom w:val="nil"/>
          <w:right w:val="nil"/>
          <w:between w:val="nil"/>
          <w:bar w:val="nil"/>
        </w:pBdr>
        <w:suppressAutoHyphens/>
        <w:spacing w:line="360" w:lineRule="auto"/>
        <w:rPr>
          <w:rFonts w:eastAsia="Arial" w:cs="Arial"/>
          <w:i/>
          <w:iCs/>
          <w:color w:val="000000"/>
          <w:u w:color="000000"/>
          <w:bdr w:val="nil"/>
          <w:lang w:val="en-US" w:eastAsia="en-GB"/>
        </w:rPr>
      </w:pPr>
    </w:p>
    <w:p w14:paraId="7E16279A" w14:textId="2464A12E"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eastAsia="Arial Unicode MS" w:cs="Arial Unicode MS"/>
          <w:color w:val="000000"/>
          <w:u w:color="000000"/>
          <w:bdr w:val="nil"/>
          <w:lang w:val="en-US" w:eastAsia="en-GB"/>
        </w:rPr>
        <w:t>Evidence for the metabolic mechanism for P-DPN is presented in Figure 1.2.  Sodium channel receptor modification Na</w:t>
      </w:r>
      <w:r w:rsidRPr="00AF0E0B">
        <w:rPr>
          <w:rFonts w:eastAsia="Arial Unicode MS" w:cs="Arial Unicode MS"/>
          <w:color w:val="000000"/>
          <w:u w:color="000000"/>
          <w:bdr w:val="nil"/>
          <w:vertAlign w:val="subscript"/>
          <w:lang w:val="en-US" w:eastAsia="en-GB"/>
        </w:rPr>
        <w:t>V</w:t>
      </w:r>
      <w:r w:rsidRPr="00AF0E0B">
        <w:rPr>
          <w:rFonts w:eastAsia="Arial Unicode MS" w:cs="Arial Unicode MS"/>
          <w:color w:val="000000"/>
          <w:u w:color="000000"/>
          <w:bdr w:val="nil"/>
          <w:lang w:val="en-US" w:eastAsia="en-GB"/>
        </w:rPr>
        <w:t xml:space="preserve">1.8 by an advanced glycation end product (methylglyoxal) has been described as a possible method of pain generation in P-DPN </w:t>
      </w:r>
      <w:r w:rsidRPr="00AF0E0B">
        <w:rPr>
          <w:rFonts w:eastAsia="Arial Unicode MS" w:cs="Arial Unicode MS"/>
          <w:color w:val="000000"/>
          <w:u w:color="000000"/>
          <w:bdr w:val="nil"/>
          <w:lang w:val="de-DE" w:eastAsia="en-GB"/>
        </w:rPr>
        <w:fldChar w:fldCharType="begin"/>
      </w:r>
      <w:r w:rsidRPr="00AF0E0B">
        <w:rPr>
          <w:rFonts w:eastAsia="Arial Unicode MS" w:cs="Arial Unicode MS"/>
          <w:color w:val="000000"/>
          <w:u w:color="000000"/>
          <w:bdr w:val="nil"/>
          <w:lang w:val="de-DE" w:eastAsia="en-GB"/>
        </w:rPr>
        <w:instrText xml:space="preserve"> ADDIN EN.CITE &lt;EndNote&gt;&lt;Cite  &gt;&lt;Author&gt;Bierhaus&lt;/Author&gt;&lt;Year&gt;2012&lt;/Year&gt;&lt;RecNum&gt;72&lt;/RecNum&gt;&lt;DisplayText&gt;(Bierhaus et al., 2012)&lt;/DisplayText&gt;&lt;record&gt;&lt;dates&gt;&lt;pub-dates&gt;&lt;date&gt;Jun&lt;/date&gt;&lt;/pub-dates&gt;&lt;year&gt;2012&lt;/year&gt;&lt;/dates&gt;&lt;urls&gt;&lt;related-urls&gt;&lt;url&gt;&amp;lt;Go to ISI&amp;gt;://WOS:000305116600030&lt;/url&gt;&lt;/related-urls&gt;&lt;/urls&gt;&lt;isbn&gt;1078-8956&lt;/isbn&gt;&lt;titles&gt;&lt;title&gt;Methylglyoxal modification of Na(v)1.8 facilitates nociceptive neuron firing and causes hyperalgesia in diabetic neuropathy&lt;/title&gt;&lt;secondary-title&gt;Nature Medicine&lt;/secondary-title&gt;&lt;/titles&gt;&lt;number&gt;6&lt;/number&gt;&lt;contributors&gt;&lt;authors&gt;&lt;author&gt;Bierhaus, Angelika&lt;/author&gt;&lt;author&gt;Fleming, Thomas&lt;/author&gt;&lt;author&gt;Stoyanov, Stoyan&lt;/author&gt;&lt;author&gt;Leffler, Andreas&lt;/author&gt;&lt;author&gt;Babes, Alexandru&lt;/author&gt;&lt;author&gt;Neacsu, Cristian&lt;/author&gt;&lt;author&gt;Sauer, Susanne K.&lt;/author&gt;&lt;author&gt;Eberhardt, Mirjam&lt;/author&gt;&lt;author&gt;Schnoelzer, Martina&lt;/author&gt;&lt;author&gt;Lasischka, Felix&lt;/author&gt;&lt;author&gt;Neuhuber, Winfried L.&lt;/author&gt;&lt;author&gt;Kichko, Tatjana I.&lt;/author&gt;&lt;author&gt;Konrade, Ilze&lt;/author&gt;&lt;author&gt;Elvert, Ralf&lt;/author&gt;&lt;author&gt;Mier, Walter&lt;/author&gt;&lt;author&gt;Pirags, Valdis&lt;/author&gt;&lt;author&gt;Lukic, Ivan K.&lt;/author&gt;&lt;author&gt;Morcos, Michael&lt;/author&gt;&lt;author&gt;Dehmer, Thomas&lt;/author&gt;&lt;author&gt;Rabbani, Naila&lt;/author&gt;&lt;author&gt;Thornalley, Paul J.&lt;/author&gt;&lt;author&gt;Edelstein, Diane&lt;/author&gt;&lt;author&gt;Nau, Carla&lt;/author&gt;&lt;author&gt;Forbes, Josephine&lt;/author&gt;&lt;author&gt;Humpert, Per M.&lt;/author&gt;&lt;author&gt;Schwaninger, Markus&lt;/author&gt;&lt;author&gt;Ziegler, Dan&lt;/author&gt;&lt;author&gt;Stern, David M.&lt;/author&gt;&lt;author&gt;Cooper, Mark E.&lt;/author&gt;&lt;author&gt;Haberkorn, Uwe&lt;/author&gt;&lt;author&gt;Brownlee, Michael&lt;/author&gt;&lt;author&gt;Reeh, Peter W.&lt;/author&gt;&lt;author&gt;Nawroth, Peter P.&lt;/author&gt;&lt;/authors&gt;&lt;/contributors&gt;&lt;added-date format="utc"&gt;1350031129&lt;/added-date&gt;&lt;ref-type name="Journal Article"&gt;17&lt;/ref-type&gt;&lt;rec-number&gt;72&lt;/rec-number&gt;&lt;last-updated-date format="utc"&gt;1350031438&lt;/last-updated-date&gt;&lt;accession-num&gt;WOS:000305116600030&lt;/accession-num&gt;&lt;electronic-resource-num&gt;10.1038/nm.2750&lt;/electronic-resource-num&gt;&lt;volume&gt;18&lt;/volume&gt;&lt;/record&gt;&lt;/Cite&gt;&lt;/EndNote&gt;</w:instrText>
      </w:r>
      <w:r w:rsidRPr="00AF0E0B">
        <w:rPr>
          <w:rFonts w:eastAsia="Arial Unicode MS" w:cs="Arial Unicode MS"/>
          <w:color w:val="000000"/>
          <w:u w:color="000000"/>
          <w:bdr w:val="nil"/>
          <w:lang w:val="de-DE" w:eastAsia="en-GB"/>
        </w:rPr>
        <w:fldChar w:fldCharType="separate"/>
      </w:r>
      <w:r w:rsidRPr="00AF0E0B">
        <w:rPr>
          <w:rFonts w:eastAsia="Arial Unicode MS" w:cs="Arial Unicode MS"/>
          <w:color w:val="000000"/>
          <w:u w:color="000000"/>
          <w:bdr w:val="nil"/>
          <w:lang w:val="de-DE" w:eastAsia="en-GB"/>
        </w:rPr>
        <w:t>(Bierhaus et al., 2012)</w:t>
      </w:r>
      <w:r w:rsidRPr="00AF0E0B">
        <w:rPr>
          <w:rFonts w:eastAsia="Arial Unicode MS" w:cs="Arial Unicode MS"/>
          <w:color w:val="000000"/>
          <w:u w:color="000000"/>
          <w:bdr w:val="nil"/>
          <w:lang w:val="de-DE" w:eastAsia="en-GB"/>
        </w:rPr>
        <w:fldChar w:fldCharType="end"/>
      </w:r>
      <w:r w:rsidRPr="00AF0E0B">
        <w:rPr>
          <w:rFonts w:eastAsia="Arial Unicode MS" w:cs="Arial Unicode MS"/>
          <w:color w:val="000000"/>
          <w:u w:color="000000"/>
          <w:bdr w:val="nil"/>
          <w:lang w:val="en-US" w:eastAsia="en-GB"/>
        </w:rPr>
        <w:t>.  Other sodium channel subtypes such as Na</w:t>
      </w:r>
      <w:r w:rsidRPr="00AF0E0B">
        <w:rPr>
          <w:rFonts w:eastAsia="Arial Unicode MS" w:cs="Arial Unicode MS"/>
          <w:color w:val="000000"/>
          <w:u w:color="000000"/>
          <w:bdr w:val="nil"/>
          <w:vertAlign w:val="subscript"/>
          <w:lang w:val="en-US" w:eastAsia="en-GB"/>
        </w:rPr>
        <w:t>V</w:t>
      </w:r>
      <w:r w:rsidRPr="00AF0E0B">
        <w:rPr>
          <w:rFonts w:eastAsia="Arial Unicode MS" w:cs="Arial Unicode MS"/>
          <w:color w:val="000000"/>
          <w:u w:color="000000"/>
          <w:bdr w:val="nil"/>
          <w:lang w:val="en-US" w:eastAsia="en-GB"/>
        </w:rPr>
        <w:t xml:space="preserve">1.7, which is present in small </w:t>
      </w:r>
      <w:proofErr w:type="spellStart"/>
      <w:r w:rsidRPr="00AF0E0B">
        <w:rPr>
          <w:rFonts w:eastAsia="Arial Unicode MS" w:cs="Arial Unicode MS"/>
          <w:color w:val="000000"/>
          <w:u w:color="000000"/>
          <w:bdr w:val="nil"/>
          <w:lang w:val="en-US" w:eastAsia="en-GB"/>
        </w:rPr>
        <w:t>fibre</w:t>
      </w:r>
      <w:proofErr w:type="spellEnd"/>
      <w:r w:rsidRPr="00AF0E0B">
        <w:rPr>
          <w:rFonts w:eastAsia="Arial Unicode MS" w:cs="Arial Unicode MS"/>
          <w:color w:val="000000"/>
          <w:u w:color="000000"/>
          <w:bdr w:val="nil"/>
          <w:lang w:val="en-US" w:eastAsia="en-GB"/>
        </w:rPr>
        <w:t xml:space="preserve"> neuropathies, may be an important target, even though a recent trial of Na</w:t>
      </w:r>
      <w:r w:rsidRPr="00AF0E0B">
        <w:rPr>
          <w:rFonts w:eastAsia="Arial Unicode MS" w:cs="Arial Unicode MS"/>
          <w:color w:val="000000"/>
          <w:u w:color="000000"/>
          <w:bdr w:val="nil"/>
          <w:vertAlign w:val="subscript"/>
          <w:lang w:val="en-US" w:eastAsia="en-GB"/>
        </w:rPr>
        <w:t>V</w:t>
      </w:r>
      <w:r w:rsidRPr="00AF0E0B">
        <w:rPr>
          <w:rFonts w:eastAsia="Arial Unicode MS" w:cs="Arial Unicode MS"/>
          <w:color w:val="000000"/>
          <w:u w:color="000000"/>
          <w:bdr w:val="nil"/>
          <w:lang w:val="en-US" w:eastAsia="en-GB"/>
        </w:rPr>
        <w:t xml:space="preserve">1.7 blockade in a group with P-DPN did not show efficacy compared with placebo and pregabalin.  Calcium channels are thought to perhaps play a part in pain generation due to the responsiveness of P-DPN to gabapentin </w:t>
      </w:r>
      <w:r w:rsidRPr="00AF0E0B">
        <w:rPr>
          <w:rFonts w:eastAsia="Arial Unicode MS" w:cs="Arial Unicode MS"/>
          <w:color w:val="000000"/>
          <w:u w:color="000000"/>
          <w:bdr w:val="nil"/>
          <w:lang w:val="en-US" w:eastAsia="en-GB"/>
        </w:rPr>
        <w:fldChar w:fldCharType="begin"/>
      </w:r>
      <w:r w:rsidRPr="00AF0E0B">
        <w:rPr>
          <w:rFonts w:eastAsia="Arial Unicode MS" w:cs="Arial Unicode MS"/>
          <w:color w:val="000000"/>
          <w:u w:color="000000"/>
          <w:bdr w:val="nil"/>
          <w:lang w:val="en-US" w:eastAsia="en-GB"/>
        </w:rPr>
        <w:instrText xml:space="preserve"> ADDIN EN.CITE &lt;EndNote&gt;&lt;Cite  &gt;&lt;Author&gt;Fernyhough&lt;/Author&gt;&lt;Year&gt;2010&lt;/Year&gt;&lt;RecNum&gt;359&lt;/RecNum&gt;&lt;DisplayText&gt;(Fernyhough and Calcutt, 2010)&lt;/DisplayText&gt;&lt;record&gt;&lt;dates&gt;&lt;pub-dates&gt;&lt;date&gt;Feb&lt;/date&gt;&lt;/pub-dates&gt;&lt;year&gt;2010&lt;/year&gt;&lt;/dates&gt;&lt;urls&gt;&lt;related-urls&gt;&lt;url&gt;&amp;lt;Go to ISI&amp;gt;://WOS:000276683600005&lt;/url&gt;&lt;/related-urls&gt;&lt;/urls&gt;&lt;isbn&gt;0143-4160&lt;/isbn&gt;&lt;titles&gt;&lt;title&gt;Abnormal calcium homeostasis in peripheral neuropathies&lt;/title&gt;&lt;secondary-title&gt;Cell Calcium&lt;/secondary-title&gt;&lt;/titles&gt;&lt;pages&gt;130-139&lt;/pages&gt;&lt;number&gt;2&lt;/number&gt;&lt;contributors&gt;&lt;authors&gt;&lt;author&gt;Fernyhough, P.&lt;/author&gt;&lt;author&gt;Calcutt, N. A.&lt;/author&gt;&lt;/authors&gt;&lt;/contributors&gt;&lt;added-date format="utc"&gt;1354112670&lt;/added-date&gt;&lt;ref-type name="Journal Article"&gt;17&lt;/ref-type&gt;&lt;rec-number&gt;359&lt;/rec-number&gt;&lt;last-updated-date format="utc"&gt;1354885216&lt;/last-updated-date&gt;&lt;accession-num&gt;WOS:000276683600005&lt;/accession-num&gt;&lt;electronic-resource-num&gt;10.1016/j.ceca.2009.11.008&lt;/electronic-resource-num&gt;&lt;volume&gt;47&lt;/volume&gt;&lt;/record&gt;&lt;/Cite&gt;&lt;/EndNote&gt;</w:instrText>
      </w:r>
      <w:r w:rsidRPr="00AF0E0B">
        <w:rPr>
          <w:rFonts w:eastAsia="Arial Unicode MS" w:cs="Arial Unicode MS"/>
          <w:color w:val="000000"/>
          <w:u w:color="000000"/>
          <w:bdr w:val="nil"/>
          <w:lang w:val="en-US" w:eastAsia="en-GB"/>
        </w:rPr>
        <w:fldChar w:fldCharType="separate"/>
      </w:r>
      <w:r w:rsidRPr="00AF0E0B">
        <w:rPr>
          <w:rFonts w:eastAsia="Arial Unicode MS" w:cs="Arial Unicode MS"/>
          <w:color w:val="000000"/>
          <w:u w:color="000000"/>
          <w:bdr w:val="nil"/>
          <w:lang w:val="en-US" w:eastAsia="en-GB"/>
        </w:rPr>
        <w:t>(Fernyhough and Calcutt, 2010)</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it-IT" w:eastAsia="en-GB"/>
        </w:rPr>
        <w:t xml:space="preserve">.  </w:t>
      </w:r>
      <w:proofErr w:type="spellStart"/>
      <w:r w:rsidRPr="00AF0E0B">
        <w:rPr>
          <w:rFonts w:eastAsia="Arial Unicode MS" w:cs="Arial Unicode MS"/>
          <w:color w:val="000000"/>
          <w:u w:color="000000"/>
          <w:bdr w:val="nil"/>
          <w:lang w:val="it-IT" w:eastAsia="en-GB"/>
        </w:rPr>
        <w:t>Calcium</w:t>
      </w:r>
      <w:proofErr w:type="spellEnd"/>
      <w:r w:rsidRPr="00AF0E0B">
        <w:rPr>
          <w:rFonts w:eastAsia="Arial Unicode MS" w:cs="Arial Unicode MS"/>
          <w:color w:val="000000"/>
          <w:u w:color="000000"/>
          <w:bdr w:val="nil"/>
          <w:lang w:val="it-IT" w:eastAsia="en-GB"/>
        </w:rPr>
        <w:t xml:space="preserve"> </w:t>
      </w:r>
      <w:proofErr w:type="spellStart"/>
      <w:r w:rsidRPr="00AF0E0B">
        <w:rPr>
          <w:rFonts w:eastAsia="Arial Unicode MS" w:cs="Arial Unicode MS"/>
          <w:color w:val="000000"/>
          <w:u w:color="000000"/>
          <w:bdr w:val="nil"/>
          <w:lang w:val="it-IT" w:eastAsia="en-GB"/>
        </w:rPr>
        <w:t>channel</w:t>
      </w:r>
      <w:proofErr w:type="spellEnd"/>
      <w:r w:rsidRPr="00AF0E0B">
        <w:rPr>
          <w:rFonts w:eastAsia="Arial Unicode MS" w:cs="Arial Unicode MS"/>
          <w:color w:val="000000"/>
          <w:u w:color="000000"/>
          <w:bdr w:val="nil"/>
          <w:lang w:val="it-IT" w:eastAsia="en-GB"/>
        </w:rPr>
        <w:t xml:space="preserve"> Ca</w:t>
      </w:r>
      <w:r w:rsidRPr="00AF0E0B">
        <w:rPr>
          <w:rFonts w:eastAsia="Arial Unicode MS" w:cs="Arial Unicode MS"/>
          <w:color w:val="000000"/>
          <w:u w:color="000000"/>
          <w:bdr w:val="nil"/>
          <w:vertAlign w:val="subscript"/>
          <w:lang w:val="en-US" w:eastAsia="en-GB"/>
        </w:rPr>
        <w:t>V</w:t>
      </w:r>
      <w:r w:rsidRPr="00AF0E0B">
        <w:rPr>
          <w:rFonts w:eastAsia="Arial Unicode MS" w:cs="Arial Unicode MS"/>
          <w:color w:val="000000"/>
          <w:u w:color="000000"/>
          <w:bdr w:val="nil"/>
          <w:lang w:val="en-US" w:eastAsia="en-GB"/>
        </w:rPr>
        <w:t xml:space="preserve">3.2 has been shown to become hyperexcitable secondary to glycosylation, reversal of the glycosylation resulted in a decrease in pain </w:t>
      </w:r>
      <w:proofErr w:type="spellStart"/>
      <w:r w:rsidRPr="00AF0E0B">
        <w:rPr>
          <w:rFonts w:eastAsia="Arial Unicode MS" w:cs="Arial Unicode MS"/>
          <w:color w:val="000000"/>
          <w:u w:color="000000"/>
          <w:bdr w:val="nil"/>
          <w:lang w:val="en-US" w:eastAsia="en-GB"/>
        </w:rPr>
        <w:t>behaviours</w:t>
      </w:r>
      <w:proofErr w:type="spellEnd"/>
      <w:r w:rsidRPr="00AF0E0B">
        <w:rPr>
          <w:rFonts w:eastAsia="Arial Unicode MS" w:cs="Arial Unicode MS"/>
          <w:color w:val="000000"/>
          <w:u w:color="000000"/>
          <w:bdr w:val="nil"/>
          <w:lang w:val="en-US" w:eastAsia="en-GB"/>
        </w:rPr>
        <w:t xml:space="preserve"> in </w:t>
      </w:r>
      <w:proofErr w:type="spellStart"/>
      <w:r w:rsidRPr="00AF0E0B">
        <w:rPr>
          <w:rFonts w:eastAsia="Arial Unicode MS" w:cs="Arial Unicode MS"/>
          <w:color w:val="000000"/>
          <w:u w:color="000000"/>
          <w:bdr w:val="nil"/>
          <w:lang w:val="en-US" w:eastAsia="en-GB"/>
        </w:rPr>
        <w:t>ob</w:t>
      </w:r>
      <w:proofErr w:type="spellEnd"/>
      <w:r w:rsidRPr="00AF0E0B">
        <w:rPr>
          <w:rFonts w:eastAsia="Arial Unicode MS" w:cs="Arial Unicode MS"/>
          <w:color w:val="000000"/>
          <w:u w:color="000000"/>
          <w:bdr w:val="nil"/>
          <w:lang w:val="en-US" w:eastAsia="en-GB"/>
        </w:rPr>
        <w:t>/</w:t>
      </w:r>
      <w:proofErr w:type="spellStart"/>
      <w:r w:rsidRPr="00AF0E0B">
        <w:rPr>
          <w:rFonts w:eastAsia="Arial Unicode MS" w:cs="Arial Unicode MS"/>
          <w:color w:val="000000"/>
          <w:u w:color="000000"/>
          <w:bdr w:val="nil"/>
          <w:lang w:val="en-US" w:eastAsia="en-GB"/>
        </w:rPr>
        <w:t>ob</w:t>
      </w:r>
      <w:proofErr w:type="spellEnd"/>
      <w:r w:rsidRPr="00AF0E0B">
        <w:rPr>
          <w:rFonts w:eastAsia="Arial Unicode MS" w:cs="Arial Unicode MS"/>
          <w:color w:val="000000"/>
          <w:u w:color="000000"/>
          <w:bdr w:val="nil"/>
          <w:lang w:val="en-US" w:eastAsia="en-GB"/>
        </w:rPr>
        <w:t xml:space="preserve"> mice.  “Shaker” type potassium channel numbers are decreased in models of P-DPN close to the node of Ranvier and therefore suppression of hyperexcitable impulses due to pain may be impaired </w:t>
      </w:r>
      <w:r w:rsidRPr="00AF0E0B">
        <w:rPr>
          <w:rFonts w:eastAsia="Arial Unicode MS" w:cs="Arial Unicode MS"/>
          <w:color w:val="000000"/>
          <w:u w:color="000000"/>
          <w:bdr w:val="nil"/>
          <w:lang w:val="en-US" w:eastAsia="en-GB"/>
        </w:rPr>
        <w:fldChar w:fldCharType="begin"/>
      </w:r>
      <w:r w:rsidRPr="00AF0E0B">
        <w:rPr>
          <w:rFonts w:eastAsia="Arial Unicode MS" w:cs="Arial Unicode MS"/>
          <w:color w:val="000000"/>
          <w:u w:color="000000"/>
          <w:bdr w:val="nil"/>
          <w:lang w:val="en-US" w:eastAsia="en-GB"/>
        </w:rPr>
        <w:instrText xml:space="preserve"> ADDIN EN.CITE &lt;EndNote&gt;&lt;Cite  &gt;&lt;Author&gt;Zenker&lt;/Author&gt;&lt;Year&gt;2012&lt;/Year&gt;&lt;DisplayText&gt;(Zenker et al., 2012)&lt;/DisplayText&gt;&lt;record&gt;&lt;keywords&gt;&lt;keyword&gt;Action Potentials - genetics&lt;/keyword&gt;&lt;keyword&gt;Electric Stimulation&lt;/keyword&gt;&lt;keyword&gt;Age Factors&lt;/keyword&gt;&lt;keyword&gt;Receptors, Leptin - genetics&lt;/keyword&gt;&lt;keyword&gt;Humans&lt;/keyword&gt;&lt;keyword&gt;Body Weight - drug effects&lt;/keyword&gt;&lt;keyword&gt;Male&lt;/keyword&gt;&lt;keyword&gt;Ranvier's Nodes - metabolism&lt;/keyword&gt;&lt;keyword&gt;Body Weight - genetics&lt;/keyword&gt;&lt;keyword&gt;Protein Subunits - metabolism&lt;/keyword&gt;&lt;keyword&gt;Mice, Mutant Strains&lt;/keyword&gt;&lt;keyword&gt;Sodium Channels - metabolism&lt;/keyword&gt;&lt;keyword&gt;Peripheral Nerves - metabolism&lt;/keyword&gt;&lt;keyword&gt;Peripheral Nervous System Diseases - pathology&lt;/keyword&gt;&lt;keyword&gt;Tetrodotoxin - pharmacology&lt;/keyword&gt;&lt;keyword&gt;Action Potentials - drug effects&lt;/keyword&gt;&lt;keyword&gt;Diabetes Mellitus, Type 2 - complications&lt;/keyword&gt;&lt;keyword&gt;Potassium Channel Blockers - pharmacology&lt;/keyword&gt;&lt;keyword&gt;Disease Models, Animal&lt;/keyword&gt;&lt;keyword&gt;Peripheral Nervous System Diseases - etiology&lt;/keyword&gt;&lt;keyword&gt;Neural Conduction - physiology&lt;/keyword&gt;&lt;keyword&gt;Sodium Channel Blockers - pharmacology&lt;/keyword&gt;&lt;keyword&gt;Mutation - genetics&lt;/keyword&gt;&lt;keyword&gt;Peripheral Nerves - physiopathology&lt;/keyword&gt;&lt;keyword&gt;Animals&lt;/keyword&gt;&lt;keyword&gt;Kv1.2 Potassium Channel - metabolism&lt;/keyword&gt;&lt;keyword&gt;Mice&lt;/keyword&gt;&lt;keyword&gt;Diabetes Mellitus, Type 2 - pathology&lt;/keyword&gt;&lt;keyword&gt;Blood Glucose - metabolism&lt;/keyword&gt;&lt;keyword&gt;Brief Communications&lt;/keyword&gt;&lt;/keywords&gt;&lt;isbn&gt;0270-6474&lt;/isbn&gt;&lt;titles&gt;&lt;title&gt;Altered distribution of juxtaparanodal kv1.2 subunits mediates peripheral nerve hyperexcitability in type 2 diabetes mellitus&lt;/title&gt;&lt;secondary-title&gt;J Neurosci&lt;/secondary-title&gt;&lt;/titles&gt;&lt;pages&gt;7493-7498&lt;/pages&gt;&lt;number&gt;22&lt;/number&gt;&lt;contributors&gt;&lt;authors&gt;&lt;author&gt;Zenker, Jennifer&lt;/author&gt;&lt;author&gt;Poirot, Olivier&lt;/author&gt;&lt;author&gt;de Preux Charles, Anne-Sophie&lt;/author&gt;&lt;author&gt;Arnaud, Estelle&lt;/author&gt;&lt;author&gt;Médard, Jean-Jacques&lt;/author&gt;&lt;author&gt;Lacroix, Catherine&lt;/author&gt;&lt;author&gt;Kuntzer, Thierry&lt;/author&gt;&lt;author&gt;Chrast, Roman&lt;/author&gt;&lt;/authors&gt;&lt;/contributors&gt;&lt;added-date format="utc"&gt;1598459912&lt;/added-date&gt;&lt;pub-location&gt;United States&lt;/pub-location&gt;&lt;ref-type name="Journal Article"&gt;17&lt;/ref-type&gt;&lt;dates&gt;&lt;year&gt;2012&lt;/year&gt;&lt;/dates&gt;&lt;rec-number&gt;1326&lt;/rec-number&gt;&lt;publisher&gt;United States: Society for Neuroscience&lt;/publisher&gt;&lt;last-updated-date format="utc"&gt;1598460111&lt;/last-updated-date&gt;&lt;electronic-resource-num&gt;10.1523/JNEUROSCI.0719-12.2012&lt;/electronic-resource-num&gt;&lt;volume&gt;32&lt;/volume&gt;&lt;/record&gt;&lt;/Cite&gt;&lt;/EndNote&gt;</w:instrText>
      </w:r>
      <w:r w:rsidRPr="00AF0E0B">
        <w:rPr>
          <w:rFonts w:eastAsia="Arial Unicode MS" w:cs="Arial Unicode MS"/>
          <w:color w:val="000000"/>
          <w:u w:color="000000"/>
          <w:bdr w:val="nil"/>
          <w:lang w:val="en-US" w:eastAsia="en-GB"/>
        </w:rPr>
        <w:fldChar w:fldCharType="separate"/>
      </w:r>
      <w:r w:rsidRPr="00AF0E0B">
        <w:rPr>
          <w:rFonts w:eastAsia="Arial Unicode MS" w:cs="Arial Unicode MS"/>
          <w:color w:val="000000"/>
          <w:u w:color="000000"/>
          <w:bdr w:val="nil"/>
          <w:lang w:val="en-US" w:eastAsia="en-GB"/>
        </w:rPr>
        <w:t>(Zenker et al., 2012)</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t xml:space="preserve">.  Peripheral nerve </w:t>
      </w:r>
      <w:r w:rsidR="009648B3">
        <w:rPr>
          <w:rFonts w:eastAsia="Arial Unicode MS" w:cs="Arial Unicode MS"/>
          <w:color w:val="000000"/>
          <w:u w:color="000000"/>
          <w:bdr w:val="nil"/>
          <w:lang w:val="en-US" w:eastAsia="en-GB"/>
        </w:rPr>
        <w:t>(</w:t>
      </w:r>
      <w:proofErr w:type="spellStart"/>
      <w:r w:rsidRPr="00AF0E0B">
        <w:rPr>
          <w:rFonts w:eastAsia="Arial Unicode MS" w:cs="Arial Unicode MS"/>
          <w:color w:val="000000"/>
          <w:u w:color="000000"/>
          <w:bdr w:val="nil"/>
          <w:lang w:val="en-US" w:eastAsia="en-GB"/>
        </w:rPr>
        <w:t>Aδ</w:t>
      </w:r>
      <w:proofErr w:type="spellEnd"/>
      <w:r w:rsidRPr="00AF0E0B">
        <w:rPr>
          <w:rFonts w:eastAsia="Arial Unicode MS" w:cs="Arial Unicode MS"/>
          <w:color w:val="000000"/>
          <w:u w:color="000000"/>
          <w:bdr w:val="nil"/>
          <w:lang w:val="en-US" w:eastAsia="en-GB"/>
        </w:rPr>
        <w:t xml:space="preserve">, C) </w:t>
      </w:r>
      <w:proofErr w:type="spellStart"/>
      <w:r w:rsidRPr="00AF0E0B">
        <w:rPr>
          <w:rFonts w:eastAsia="Arial Unicode MS" w:cs="Arial Unicode MS"/>
          <w:color w:val="000000"/>
          <w:u w:color="000000"/>
          <w:bdr w:val="nil"/>
          <w:lang w:val="en-US" w:eastAsia="en-GB"/>
        </w:rPr>
        <w:t>fibres</w:t>
      </w:r>
      <w:proofErr w:type="spellEnd"/>
      <w:r w:rsidRPr="00AF0E0B">
        <w:rPr>
          <w:rFonts w:eastAsia="Arial Unicode MS" w:cs="Arial Unicode MS"/>
          <w:color w:val="000000"/>
          <w:u w:color="000000"/>
          <w:bdr w:val="nil"/>
          <w:lang w:val="en-US" w:eastAsia="en-GB"/>
        </w:rPr>
        <w:t xml:space="preserve"> thought to carry pain messages synapse in the dorsal horn of the spinal cord.  It is thought that there is GABA and opioid mediated synaptic inhibition in the dorsal root ganglion, which is mediated directly by descending connections from the rostro-ventral medulla and the periaqueductal gray matter, and indirectly by upregulation of GABA mediated  interneurons </w:t>
      </w:r>
      <w:r w:rsidRPr="00AF0E0B">
        <w:rPr>
          <w:rFonts w:eastAsia="Arial Unicode MS" w:cs="Arial Unicode MS"/>
          <w:color w:val="000000"/>
          <w:u w:color="000000"/>
          <w:bdr w:val="nil"/>
          <w:lang w:val="en-US" w:eastAsia="en-GB"/>
        </w:rPr>
        <w:fldChar w:fldCharType="begin"/>
      </w:r>
      <w:r w:rsidRPr="00AF0E0B">
        <w:rPr>
          <w:rFonts w:eastAsia="Arial Unicode MS" w:cs="Arial Unicode MS"/>
          <w:color w:val="000000"/>
          <w:u w:color="000000"/>
          <w:bdr w:val="nil"/>
          <w:lang w:val="en-US" w:eastAsia="en-GB"/>
        </w:rPr>
        <w:instrText xml:space="preserve"> ADDIN EN.CITE &lt;EndNote&gt;&lt;Cite  &gt;&lt;Author&gt;Bannister&lt;/Author&gt;&lt;Year&gt;2019&lt;/Year&gt;&lt;RecNum&gt;1333&lt;/RecNum&gt;&lt;DisplayText&gt;(Bannister, 2019)&lt;/DisplayText&gt;&lt;record&gt;&lt;isbn&gt;2468-8673&lt;/isbn&gt;&lt;titles&gt;&lt;title&gt;Descending pain modulation: influence and impact&lt;/title&gt;&lt;secondary-title&gt;Current Opinion in Physiology&lt;/secondary-title&gt;&lt;/titles&gt;&lt;pages&gt;62-66&lt;/pages&gt;&lt;contributors&gt;&lt;authors&gt;&lt;author&gt;Bannister, K.&lt;/author&gt;&lt;/authors&gt;&lt;/contributors&gt;&lt;added-date format="utc"&gt;1598473973&lt;/added-date&gt;&lt;ref-type name="Journal Article"&gt;17&lt;/ref-type&gt;&lt;dates&gt;&lt;year&gt;2019&lt;/year&gt;&lt;/dates&gt;&lt;rec-number&gt;1333&lt;/rec-number&gt;&lt;publisher&gt;Elsevier Ltd&lt;/publisher&gt;&lt;last-updated-date format="utc"&gt;1598474012&lt;/last-updated-date&gt;&lt;electronic-resource-num&gt;10.1016/j.cophys.2019.06.004&lt;/electronic-resource-num&gt;&lt;volume&gt;11&lt;/volume&gt;&lt;/record&gt;&lt;/Cite&gt;&lt;/EndNote&gt;</w:instrText>
      </w:r>
      <w:r w:rsidRPr="00AF0E0B">
        <w:rPr>
          <w:rFonts w:eastAsia="Arial Unicode MS" w:cs="Arial Unicode MS"/>
          <w:color w:val="000000"/>
          <w:u w:color="000000"/>
          <w:bdr w:val="nil"/>
          <w:lang w:val="en-US" w:eastAsia="en-GB"/>
        </w:rPr>
        <w:fldChar w:fldCharType="separate"/>
      </w:r>
      <w:r w:rsidRPr="00AF0E0B">
        <w:rPr>
          <w:rFonts w:eastAsia="Arial Unicode MS" w:cs="Arial Unicode MS"/>
          <w:color w:val="000000"/>
          <w:u w:color="000000"/>
          <w:bdr w:val="nil"/>
          <w:lang w:val="en-US" w:eastAsia="en-GB"/>
        </w:rPr>
        <w:t>(Bannister, 2019)</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t xml:space="preserve">.  </w:t>
      </w:r>
    </w:p>
    <w:p w14:paraId="32FA2F90" w14:textId="77777777"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eastAsia="Arial Unicode MS" w:cs="Arial Unicode MS"/>
          <w:color w:val="000000"/>
          <w:u w:color="000000"/>
          <w:bdr w:val="nil"/>
          <w:lang w:val="en-US" w:eastAsia="en-GB"/>
        </w:rPr>
        <w:t xml:space="preserve">In summary, a complex interplay of vascular and metabolic factors appears to contribute to pain perception in P-DPN.  </w:t>
      </w:r>
    </w:p>
    <w:p w14:paraId="42FF8174" w14:textId="77777777" w:rsidR="00AF0E0B" w:rsidRPr="00AF0E0B" w:rsidRDefault="00AF0E0B" w:rsidP="00476DAF">
      <w:pPr>
        <w:pStyle w:val="Heading2"/>
      </w:pPr>
      <w:bookmarkStart w:id="39" w:name="_Toc49972682"/>
      <w:bookmarkStart w:id="40" w:name="_Toc64723869"/>
      <w:r w:rsidRPr="00AF0E0B">
        <w:t>Central pain perception</w:t>
      </w:r>
      <w:bookmarkEnd w:id="39"/>
      <w:bookmarkEnd w:id="40"/>
    </w:p>
    <w:p w14:paraId="5F160652" w14:textId="77777777" w:rsidR="00AF0E0B" w:rsidRPr="00476DAF" w:rsidRDefault="00AF0E0B" w:rsidP="00476DAF">
      <w:pPr>
        <w:pStyle w:val="Heading3"/>
      </w:pPr>
      <w:bookmarkStart w:id="41" w:name="_Toc49972683"/>
      <w:bookmarkStart w:id="42" w:name="_Toc64723870"/>
      <w:r w:rsidRPr="00476DAF">
        <w:t>Supra-spinal mechanisms of pain processing</w:t>
      </w:r>
      <w:bookmarkEnd w:id="41"/>
      <w:bookmarkEnd w:id="42"/>
      <w:r w:rsidRPr="00476DAF">
        <w:t xml:space="preserve"> </w:t>
      </w:r>
    </w:p>
    <w:p w14:paraId="6AFD670E" w14:textId="17CB81B0"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eastAsia="Arial Unicode MS" w:cs="Arial Unicode MS"/>
          <w:color w:val="000000"/>
          <w:u w:color="000000"/>
          <w:bdr w:val="nil"/>
          <w:lang w:val="en-US" w:eastAsia="en-GB"/>
        </w:rPr>
        <w:t>The ‘</w:t>
      </w:r>
      <w:r w:rsidRPr="00AF0E0B">
        <w:rPr>
          <w:rFonts w:eastAsia="Arial Unicode MS" w:cs="Arial Unicode MS"/>
          <w:color w:val="000000"/>
          <w:u w:color="000000"/>
          <w:bdr w:val="nil"/>
          <w:lang w:val="fr-FR" w:eastAsia="en-GB"/>
        </w:rPr>
        <w:t>pain matrix</w:t>
      </w:r>
      <w:r w:rsidRPr="00AF0E0B">
        <w:rPr>
          <w:rFonts w:eastAsia="Arial Unicode MS" w:cs="Arial Unicode MS"/>
          <w:color w:val="000000"/>
          <w:u w:color="000000"/>
          <w:bdr w:val="nil"/>
          <w:lang w:val="en-US" w:eastAsia="en-GB"/>
        </w:rPr>
        <w:t xml:space="preserve">’ or </w:t>
      </w:r>
      <w:proofErr w:type="spellStart"/>
      <w:r w:rsidRPr="00AF0E0B">
        <w:rPr>
          <w:rFonts w:eastAsia="Arial Unicode MS" w:cs="Arial Unicode MS"/>
          <w:color w:val="000000"/>
          <w:u w:color="000000"/>
          <w:bdr w:val="nil"/>
          <w:lang w:val="en-US" w:eastAsia="en-GB"/>
        </w:rPr>
        <w:t>neuromatrix</w:t>
      </w:r>
      <w:proofErr w:type="spellEnd"/>
      <w:r w:rsidRPr="00AF0E0B">
        <w:rPr>
          <w:rFonts w:eastAsia="Arial Unicode MS" w:cs="Arial Unicode MS"/>
          <w:color w:val="000000"/>
          <w:u w:color="000000"/>
          <w:bdr w:val="nil"/>
          <w:lang w:val="en-US" w:eastAsia="en-GB"/>
        </w:rPr>
        <w:t xml:space="preserve"> has been </w:t>
      </w:r>
      <w:proofErr w:type="spellStart"/>
      <w:r w:rsidRPr="00AF0E0B">
        <w:rPr>
          <w:rFonts w:eastAsia="Arial Unicode MS" w:cs="Arial Unicode MS"/>
          <w:color w:val="000000"/>
          <w:u w:color="000000"/>
          <w:bdr w:val="nil"/>
          <w:lang w:val="en-US" w:eastAsia="en-GB"/>
        </w:rPr>
        <w:t>hypothesised</w:t>
      </w:r>
      <w:proofErr w:type="spellEnd"/>
      <w:r w:rsidRPr="00AF0E0B">
        <w:rPr>
          <w:rFonts w:eastAsia="Arial Unicode MS" w:cs="Arial Unicode MS"/>
          <w:color w:val="000000"/>
          <w:u w:color="000000"/>
          <w:bdr w:val="nil"/>
          <w:lang w:val="en-US" w:eastAsia="en-GB"/>
        </w:rPr>
        <w:t xml:space="preserve"> as a pathway through the brain that noxious signals may follow to allow the perception of pain.  After ascending sensory neurons of the spinothalamic tract synapse in the thalamus, multiple outputs and </w:t>
      </w:r>
      <w:r w:rsidRPr="00AF0E0B">
        <w:rPr>
          <w:rFonts w:eastAsia="Arial Unicode MS" w:cs="Arial Unicode MS"/>
          <w:color w:val="000000"/>
          <w:u w:color="000000"/>
          <w:bdr w:val="nil"/>
          <w:lang w:val="en-US" w:eastAsia="en-GB"/>
        </w:rPr>
        <w:lastRenderedPageBreak/>
        <w:t>parallel pathways arise that synapse and activate various regions of the brain.  Functional imaging studies have consistently identified the insula</w:t>
      </w:r>
      <w:r w:rsidR="00B4740C">
        <w:rPr>
          <w:rFonts w:eastAsia="Arial Unicode MS" w:cs="Arial Unicode MS"/>
          <w:color w:val="000000"/>
          <w:u w:color="000000"/>
          <w:bdr w:val="nil"/>
          <w:lang w:val="en-US" w:eastAsia="en-GB"/>
        </w:rPr>
        <w:t xml:space="preserve"> (INS)</w:t>
      </w:r>
      <w:r w:rsidRPr="00AF0E0B">
        <w:rPr>
          <w:rFonts w:eastAsia="Arial Unicode MS" w:cs="Arial Unicode MS"/>
          <w:color w:val="000000"/>
          <w:u w:color="000000"/>
          <w:bdr w:val="nil"/>
          <w:lang w:val="en-US" w:eastAsia="en-GB"/>
        </w:rPr>
        <w:t>, the anterior cingulate cortex (ACC), the sensory cortex and the thalamus</w:t>
      </w:r>
      <w:r w:rsidR="00B4740C">
        <w:rPr>
          <w:rFonts w:eastAsia="Arial Unicode MS" w:cs="Arial Unicode MS"/>
          <w:color w:val="000000"/>
          <w:u w:color="000000"/>
          <w:bdr w:val="nil"/>
          <w:lang w:val="en-US" w:eastAsia="en-GB"/>
        </w:rPr>
        <w:t xml:space="preserve"> (Thal)</w:t>
      </w:r>
      <w:r w:rsidRPr="00AF0E0B">
        <w:rPr>
          <w:rFonts w:eastAsia="Arial Unicode MS" w:cs="Arial Unicode MS"/>
          <w:color w:val="000000"/>
          <w:u w:color="000000"/>
          <w:bdr w:val="nil"/>
          <w:lang w:val="en-US" w:eastAsia="en-GB"/>
        </w:rPr>
        <w:t xml:space="preserve"> as part of the pain matrix, amongst other areas (see Figure 1.3). </w:t>
      </w:r>
      <w:r w:rsidRPr="00AF0E0B">
        <w:rPr>
          <w:rFonts w:eastAsia="Arial Unicode MS" w:cs="Arial Unicode MS"/>
          <w:color w:val="000000"/>
          <w:u w:color="000000"/>
          <w:bdr w:val="nil"/>
          <w:lang w:val="en-US" w:eastAsia="en-GB"/>
        </w:rPr>
        <w:fldChar w:fldCharType="begin"/>
      </w:r>
      <w:r w:rsidRPr="00AF0E0B">
        <w:rPr>
          <w:rFonts w:eastAsia="Arial Unicode MS" w:cs="Arial Unicode MS"/>
          <w:color w:val="000000"/>
          <w:u w:color="000000"/>
          <w:bdr w:val="nil"/>
          <w:lang w:val="en-US" w:eastAsia="en-GB"/>
        </w:rPr>
        <w:instrText xml:space="preserve"> ADDIN EN.CITE &lt;EndNote&gt;&lt;Cite  &gt;&lt;Author&gt;Tracey&lt;/Author&gt;&lt;Year&gt;2007&lt;/Year&gt;&lt;RecNum&gt;441&lt;/RecNum&gt;&lt;DisplayText&gt;(Tracey and Mantyh, 2007, Duerden and Albanese, 2013, Tanasescu et al., 2016)&lt;/DisplayText&gt;&lt;record&gt;&lt;dates&gt;&lt;pub-dates&gt;&lt;date&gt;Aug 2&lt;/date&gt;&lt;/pub-dates&gt;&lt;year&gt;2007&lt;/year&gt;&lt;/dates&gt;&lt;urls&gt;&lt;related-urls&gt;&lt;url&gt;&amp;lt;Go to ISI&amp;gt;://WOS:000248711000007&lt;/url&gt;&lt;/related-urls&gt;&lt;/urls&gt;&lt;isbn&gt;0896-6273&lt;/isbn&gt;&lt;titles&gt;&lt;title&gt;The cerebral signature and its modulation for pain perception&lt;/title&gt;&lt;secondary-title&gt;Neuron&lt;/secondary-title&gt;&lt;/titles&gt;&lt;number&gt;3&lt;/number&gt;&lt;contributors&gt;&lt;authors&gt;&lt;author&gt;Tracey, Irene&lt;/author&gt;&lt;author&gt;Mantyh, Patrick W.&lt;/author&gt;&lt;/authors&gt;&lt;/contributors&gt;&lt;added-date format="utc"&gt;1355328523&lt;/added-date&gt;&lt;ref-type name="Journal Article"&gt;17&lt;/ref-type&gt;&lt;rec-number&gt;441&lt;/rec-number&gt;&lt;last-updated-date format="utc"&gt;1356263798&lt;/last-updated-date&gt;&lt;accession-num&gt;WOS:000248711000007&lt;/accession-num&gt;&lt;electronic-resource-num&gt;10.1016/j.neuron.2007.07.012&lt;/electronic-resource-num&gt;&lt;volume&gt;55&lt;/volume&gt;&lt;/record&gt;&lt;/Cite&gt;&lt;Cite  &gt;&lt;Author&gt;Duerden&lt;/Author&gt;&lt;Year&gt;2013&lt;/Year&gt;&lt;RecNum&gt;696&lt;/RecNum&gt;&lt;record&gt;&lt;dates&gt;&lt;pub-dates&gt;&lt;date&gt;Jan&lt;/date&gt;&lt;/pub-dates&gt;&lt;year&gt;2013&lt;/year&gt;&lt;/dates&gt;&lt;keywords&gt;&lt;keyword&gt;pain&lt;/keyword&gt;&lt;keyword&gt;fMRI&lt;/keyword&gt;&lt;keyword&gt;PET&lt;/keyword&gt;&lt;keyword&gt;brain&lt;/keyword&gt;&lt;keyword&gt;human&lt;/keyword&gt;&lt;keyword&gt;POSITRON-EMISSION-TOMOGRAPHY&lt;/keyword&gt;&lt;keyword&gt;ANTERIOR CINGULATE CORTEX&lt;/keyword&gt;&lt;keyword&gt;PRIMARY&lt;/keyword&gt;&lt;keyword&gt;SOMATOSENSORY CORTEX&lt;/keyword&gt;&lt;keyword&gt;SINGLE-TRIAL FMRI&lt;/keyword&gt;&lt;keyword&gt;NOXIOUS THERMAL-STIMULATION&lt;/keyword&gt;&lt;keyword&gt;CEREBRAL-BLOOD-FLOW&lt;/keyword&gt;&lt;keyword&gt;FALSE DISCOVERY RATE&lt;/keyword&gt;&lt;keyword&gt;FUNCTIONAL MRI&lt;/keyword&gt;&lt;keyword&gt;MUSCLE PAIN&lt;/keyword&gt;&lt;keyword&gt;INSULAR CORTEX&lt;/keyword&gt;&lt;/keywords&gt;&lt;isbn&gt;1065-9471&lt;/isbn&gt;&lt;work-type&gt;Review&lt;/work-type&gt;&lt;titles&gt;&lt;title&gt;Localization of pain-related brain activation: A meta-analysis of neuroimaging data&lt;/title&gt;&lt;secondary-title&gt;Human Brain Mapping&lt;/secondary-title&gt;&lt;alt-title&gt;Hum. Brain Mapp.&lt;/alt-title&gt;&lt;/titles&gt;&lt;pages&gt;109-149&lt;/pages&gt;&lt;number&gt;1&lt;/number&gt;&lt;contributors&gt;&lt;authors&gt;&lt;author&gt;Duerden, E. G.&lt;/author&gt;&lt;author&gt;Albanese, M. C.&lt;/author&gt;&lt;/authors&gt;&lt;/contributors&gt;&lt;language&gt;English&lt;/language&gt;&lt;added-date format="utc"&gt;1358423763&lt;/added-date&gt;&lt;ref-type name="Journal Article"&gt;17&lt;/ref-type&gt;&lt;auth-address&gt;[Duerden, Emma G.] Univ Montreal, Dept Physiol, Grp Rech Syst Nerveux Cent, Montreal, PQ H3C 3J7, Canada. [Duerden, Emma G.] Inst Univ Geriat Montreal, Ctr Rech, Montreal, PQ, Canada. [Albanese, Marie-Claire] McGill Univ, Dept Psychol, Montreal, PQ, Canada.&amp;#13;Duerden, EG (reprint author), Hosp Sick Children, Dept Diagnost Imaging, 555 Univ Ave, Toronto, ON M5G 1Z8, Canada.&amp;#13;emma.duerden@sickkids.ca&lt;/auth-address&gt;&lt;rec-number&gt;696&lt;/rec-number&gt;&lt;last-updated-date format="utc"&gt;1479817885&lt;/last-updated-date&gt;&lt;accession-num&gt;WOS:000312538200008&lt;/accession-num&gt;&lt;electronic-resource-num&gt;10.1002/hbm.21416&lt;/electronic-resource-num&gt;&lt;volume&gt;34&lt;/volume&gt;&lt;/record&gt;&lt;/Cite&gt;&lt;Cite  &gt;&lt;Author&gt;Tanasescu&lt;/Author&gt;&lt;Year&gt;2016&lt;/Year&gt;&lt;RecNum&gt;881&lt;/RecNum&gt;&lt;record&gt;&lt;dates&gt;&lt;pub-dates&gt;&lt;date&gt;Sep&lt;/date&gt;&lt;/pub-dates&gt;&lt;year&gt;2016&lt;/year&gt;&lt;/dates&gt;&lt;urls&gt;&lt;related-urls&gt;&lt;url&gt;https://www.ncbi.nlm.nih.gov/pubmed/27168346&lt;/url&gt;&lt;/related-urls&gt;&lt;/urls&gt;&lt;isbn&gt;1873-7528&lt;/isbn&gt;&lt;titles&gt;&lt;title&gt;Functional reorganisation in chronic pain and neural correlates of pain sensitisation: A coordinate based meta-analysis of 266 cutaneous pain fMRI studies&lt;/title&gt;&lt;secondary-title&gt;Neurosci Biobehav Rev&lt;/secondary-title&gt;&lt;/titles&gt;&lt;pages&gt;120-33&lt;/pages&gt;&lt;contributors&gt;&lt;authors&gt;&lt;author&gt;Tanasescu, R.&lt;/author&gt;&lt;author&gt;Cottam, W. J.&lt;/author&gt;&lt;author&gt;Condon, L.&lt;/author&gt;&lt;author&gt;Tench, C. R.&lt;/author&gt;&lt;author&gt;Auer, D. P.&lt;/author&gt;&lt;/authors&gt;&lt;/contributors&gt;&lt;edition&gt;2016/05/07&lt;/edition&gt;&lt;language&gt;eng&lt;/language&gt;&lt;added-date format="utc"&gt;1501252131&lt;/added-date&gt;&lt;ref-type name="Journal Article"&gt;17&lt;/ref-type&gt;&lt;rec-number&gt;881&lt;/rec-number&gt;&lt;last-updated-date format="utc"&gt;1501252131&lt;/last-updated-date&gt;&lt;accession-num&gt;27168346&lt;/accession-num&gt;&lt;electronic-resource-num&gt;10.1016/j.neubiorev.2016.04.001&lt;/electronic-resource-num&gt;&lt;volume&gt;68&lt;/volume&gt;&lt;/record&gt;&lt;/Cite&gt;&lt;/EndNote&gt;</w:instrText>
      </w:r>
      <w:r w:rsidRPr="00AF0E0B">
        <w:rPr>
          <w:rFonts w:eastAsia="Arial Unicode MS" w:cs="Arial Unicode MS"/>
          <w:color w:val="000000"/>
          <w:u w:color="000000"/>
          <w:bdr w:val="nil"/>
          <w:lang w:val="en-US" w:eastAsia="en-GB"/>
        </w:rPr>
        <w:fldChar w:fldCharType="separate"/>
      </w:r>
      <w:r w:rsidRPr="00AF0E0B">
        <w:rPr>
          <w:rFonts w:eastAsia="Arial Unicode MS" w:cs="Arial Unicode MS"/>
          <w:color w:val="000000"/>
          <w:u w:color="000000"/>
          <w:bdr w:val="nil"/>
          <w:lang w:val="en-US" w:eastAsia="en-GB"/>
        </w:rPr>
        <w:t>(Tracey and Mantyh, 2007, Duerden and Albanese, 2013, Tanasescu et al., 2016)</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t>.</w:t>
      </w:r>
    </w:p>
    <w:p w14:paraId="16677A2D" w14:textId="77777777" w:rsidR="00AF0E0B" w:rsidRPr="00AF0E0B" w:rsidRDefault="00AF0E0B" w:rsidP="00AF0E0B">
      <w:pPr>
        <w:pBdr>
          <w:top w:val="nil"/>
          <w:left w:val="nil"/>
          <w:bottom w:val="nil"/>
          <w:right w:val="nil"/>
          <w:between w:val="nil"/>
          <w:bar w:val="nil"/>
        </w:pBdr>
        <w:suppressAutoHyphens/>
        <w:spacing w:line="360" w:lineRule="auto"/>
        <w:outlineLvl w:val="4"/>
        <w:rPr>
          <w:rFonts w:eastAsia="Arial" w:cs="Arial"/>
          <w:i/>
          <w:iCs/>
          <w:color w:val="4F81BD"/>
          <w:u w:color="4F81BD"/>
          <w:bdr w:val="nil"/>
          <w:lang w:val="en-US" w:eastAsia="en-GB"/>
        </w:rPr>
      </w:pPr>
    </w:p>
    <w:p w14:paraId="1AC6CE04" w14:textId="77777777" w:rsidR="00AF0E0B" w:rsidRPr="00AF0E0B" w:rsidRDefault="00AF0E0B" w:rsidP="009F58A0">
      <w:pPr>
        <w:pStyle w:val="Subtitle"/>
      </w:pPr>
      <w:bookmarkStart w:id="43" w:name="_Toc49972742"/>
      <w:bookmarkStart w:id="44" w:name="_Toc64724164"/>
      <w:r w:rsidRPr="00AF0E0B">
        <w:t>Figure 1.3  Neuroanatomy of Pain Processing</w:t>
      </w:r>
      <w:bookmarkEnd w:id="43"/>
      <w:bookmarkEnd w:id="44"/>
    </w:p>
    <w:p w14:paraId="57DA35BC" w14:textId="77777777" w:rsidR="00AF0E0B" w:rsidRPr="00AF0E0B" w:rsidRDefault="00AF0E0B" w:rsidP="00AF0E0B">
      <w:pPr>
        <w:pBdr>
          <w:top w:val="nil"/>
          <w:left w:val="nil"/>
          <w:bottom w:val="nil"/>
          <w:right w:val="nil"/>
          <w:between w:val="nil"/>
          <w:bar w:val="nil"/>
        </w:pBdr>
        <w:suppressAutoHyphens/>
        <w:spacing w:line="360" w:lineRule="auto"/>
        <w:outlineLvl w:val="4"/>
        <w:rPr>
          <w:rFonts w:eastAsia="Arial" w:cs="Arial"/>
          <w:i/>
          <w:iCs/>
          <w:color w:val="4F81BD"/>
          <w:u w:color="4F81BD"/>
          <w:bdr w:val="nil"/>
          <w:lang w:val="en-US" w:eastAsia="en-GB"/>
        </w:rPr>
      </w:pPr>
    </w:p>
    <w:p w14:paraId="694C55AB" w14:textId="77777777"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484C21">
        <w:rPr>
          <w:rFonts w:eastAsia="Arial Unicode MS" w:cs="Arial Unicode MS"/>
          <w:noProof/>
          <w:color w:val="000000"/>
          <w:u w:color="000000"/>
          <w:bdr w:val="nil"/>
          <w:shd w:val="clear" w:color="auto" w:fill="4472C4" w:themeFill="accent1"/>
          <w:lang w:val="en-US" w:eastAsia="en-GB"/>
        </w:rPr>
        <w:drawing>
          <wp:inline distT="0" distB="0" distL="0" distR="0" wp14:anchorId="7EFD0ACB" wp14:editId="4955F194">
            <wp:extent cx="2730500" cy="2984500"/>
            <wp:effectExtent l="25400" t="25400" r="25400" b="25400"/>
            <wp:docPr id="1073741827" name="officeArt object" descr="A close up of a map&#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27" name="A close up of a map&#10;&#10;Description automatically generated" descr="A close up of a mapDescription automatically generated"/>
                    <pic:cNvPicPr>
                      <a:picLocks noChangeAspect="1"/>
                    </pic:cNvPicPr>
                  </pic:nvPicPr>
                  <pic:blipFill>
                    <a:blip r:embed="rId13"/>
                    <a:stretch>
                      <a:fillRect/>
                    </a:stretch>
                  </pic:blipFill>
                  <pic:spPr>
                    <a:xfrm>
                      <a:off x="0" y="0"/>
                      <a:ext cx="2730500" cy="2984500"/>
                    </a:xfrm>
                    <a:prstGeom prst="rect">
                      <a:avLst/>
                    </a:prstGeom>
                    <a:ln w="19050" cap="flat">
                      <a:solidFill>
                        <a:srgbClr val="4472C4"/>
                      </a:solidFill>
                      <a:prstDash val="solid"/>
                      <a:round/>
                    </a:ln>
                    <a:effectLst/>
                  </pic:spPr>
                </pic:pic>
              </a:graphicData>
            </a:graphic>
          </wp:inline>
        </w:drawing>
      </w:r>
    </w:p>
    <w:p w14:paraId="06BA3843" w14:textId="3A549923" w:rsidR="007800A1" w:rsidRDefault="00AF0E0B" w:rsidP="00AF0E0B">
      <w:pPr>
        <w:pBdr>
          <w:top w:val="nil"/>
          <w:left w:val="nil"/>
          <w:bottom w:val="nil"/>
          <w:right w:val="nil"/>
          <w:between w:val="nil"/>
          <w:bar w:val="nil"/>
        </w:pBdr>
        <w:suppressAutoHyphens/>
        <w:spacing w:line="360" w:lineRule="auto"/>
        <w:rPr>
          <w:rFonts w:eastAsia="Arial" w:cs="Arial"/>
          <w:i/>
          <w:iCs/>
          <w:color w:val="808080"/>
          <w:sz w:val="21"/>
          <w:szCs w:val="21"/>
          <w:u w:color="808080"/>
          <w:bdr w:val="nil"/>
          <w:lang w:eastAsia="en-GB"/>
        </w:rPr>
      </w:pPr>
      <w:r w:rsidRPr="00AF0E0B">
        <w:rPr>
          <w:rFonts w:eastAsia="Arial" w:cs="Arial"/>
          <w:i/>
          <w:iCs/>
          <w:color w:val="808080"/>
          <w:sz w:val="21"/>
          <w:szCs w:val="21"/>
          <w:u w:color="808080"/>
          <w:bdr w:val="nil"/>
          <w:lang w:val="en-US" w:eastAsia="en-GB"/>
        </w:rPr>
        <w:t xml:space="preserve">Depiction of the main brain regions that activate during a painful experience, highlighted as bilaterally active but with increased activation on the contralateral hemisphere (orange) </w:t>
      </w:r>
      <w:r w:rsidRPr="00AF0E0B">
        <w:rPr>
          <w:rFonts w:eastAsia="Arial" w:cs="Arial"/>
          <w:i/>
          <w:iCs/>
          <w:color w:val="808080"/>
          <w:sz w:val="21"/>
          <w:szCs w:val="21"/>
          <w:u w:color="808080"/>
          <w:bdr w:val="nil"/>
          <w:lang w:val="en-US" w:eastAsia="en-GB"/>
        </w:rPr>
        <w:fldChar w:fldCharType="begin"/>
      </w:r>
      <w:r w:rsidRPr="00AF0E0B">
        <w:rPr>
          <w:rFonts w:eastAsia="Arial" w:cs="Arial"/>
          <w:i/>
          <w:iCs/>
          <w:color w:val="808080"/>
          <w:sz w:val="21"/>
          <w:szCs w:val="21"/>
          <w:u w:color="808080"/>
          <w:bdr w:val="nil"/>
          <w:lang w:val="en-US" w:eastAsia="en-GB"/>
        </w:rPr>
        <w:instrText xml:space="preserve"> ADDIN EN.CITE &lt;EndNote&gt;&lt;Cite  &gt;&lt;Author&gt;Tracey&lt;/Author&gt;&lt;Year&gt;2007&lt;/Year&gt;&lt;RecNum&gt;441&lt;/RecNum&gt;&lt;DisplayText&gt;(Tracey and Mantyh, 2007)&lt;/DisplayText&gt;&lt;record&gt;&lt;dates&gt;&lt;pub-dates&gt;&lt;date&gt;Aug 2&lt;/date&gt;&lt;/pub-dates&gt;&lt;year&gt;2007&lt;/year&gt;&lt;/dates&gt;&lt;urls&gt;&lt;related-urls&gt;&lt;url&gt;&amp;lt;Go to ISI&amp;gt;://WOS:000248711000007&lt;/url&gt;&lt;/related-urls&gt;&lt;/urls&gt;&lt;isbn&gt;0896-6273&lt;/isbn&gt;&lt;titles&gt;&lt;title&gt;The cerebral signature and its modulation for pain perception&lt;/title&gt;&lt;secondary-title&gt;Neuron&lt;/secondary-title&gt;&lt;/titles&gt;&lt;number&gt;3&lt;/number&gt;&lt;contributors&gt;&lt;authors&gt;&lt;author&gt;Tracey, Irene&lt;/author&gt;&lt;author&gt;Mantyh, Patrick W.&lt;/author&gt;&lt;/authors&gt;&lt;/contributors&gt;&lt;added-date format="utc"&gt;1355346523&lt;/added-date&gt;&lt;ref-type name="Journal Article"&gt;17&lt;/ref-type&gt;&lt;rec-number&gt;441&lt;/rec-number&gt;&lt;last-updated-date format="utc"&gt;1356281798&lt;/last-updated-date&gt;&lt;accession-num&gt;WOS:000248711000007&lt;/accession-num&gt;&lt;electronic-resource-num&gt;10.1016/j.neuron.2007.07.012&lt;/electronic-resource-num&gt;&lt;volume&gt;55&lt;/volume&gt;&lt;/record&gt;&lt;/Cite&gt;&lt;/EndNote&gt;</w:instrText>
      </w:r>
      <w:r w:rsidRPr="00AF0E0B">
        <w:rPr>
          <w:rFonts w:eastAsia="Arial" w:cs="Arial"/>
          <w:i/>
          <w:iCs/>
          <w:color w:val="808080"/>
          <w:sz w:val="21"/>
          <w:szCs w:val="21"/>
          <w:u w:color="808080"/>
          <w:bdr w:val="nil"/>
          <w:lang w:val="en-US" w:eastAsia="en-GB"/>
        </w:rPr>
        <w:fldChar w:fldCharType="separate"/>
      </w:r>
      <w:r w:rsidRPr="00AF0E0B">
        <w:rPr>
          <w:rFonts w:eastAsia="Arial" w:cs="Arial"/>
          <w:i/>
          <w:iCs/>
          <w:color w:val="808080"/>
          <w:sz w:val="21"/>
          <w:szCs w:val="21"/>
          <w:u w:color="808080"/>
          <w:bdr w:val="nil"/>
          <w:lang w:val="en-US" w:eastAsia="en-GB"/>
        </w:rPr>
        <w:t xml:space="preserve">(Tracey and </w:t>
      </w:r>
      <w:proofErr w:type="spellStart"/>
      <w:r w:rsidRPr="00AF0E0B">
        <w:rPr>
          <w:rFonts w:eastAsia="Arial" w:cs="Arial"/>
          <w:i/>
          <w:iCs/>
          <w:color w:val="808080"/>
          <w:sz w:val="21"/>
          <w:szCs w:val="21"/>
          <w:u w:color="808080"/>
          <w:bdr w:val="nil"/>
          <w:lang w:val="en-US" w:eastAsia="en-GB"/>
        </w:rPr>
        <w:t>Mantyh</w:t>
      </w:r>
      <w:proofErr w:type="spellEnd"/>
      <w:r w:rsidRPr="00AF0E0B">
        <w:rPr>
          <w:rFonts w:eastAsia="Arial" w:cs="Arial"/>
          <w:i/>
          <w:iCs/>
          <w:color w:val="808080"/>
          <w:sz w:val="21"/>
          <w:szCs w:val="21"/>
          <w:u w:color="808080"/>
          <w:bdr w:val="nil"/>
          <w:lang w:val="en-US" w:eastAsia="en-GB"/>
        </w:rPr>
        <w:t>, 200</w:t>
      </w:r>
      <w:r w:rsidR="007800A1">
        <w:rPr>
          <w:rFonts w:eastAsia="Arial" w:cs="Arial"/>
          <w:i/>
          <w:iCs/>
          <w:color w:val="808080"/>
          <w:sz w:val="21"/>
          <w:szCs w:val="21"/>
          <w:u w:color="808080"/>
          <w:bdr w:val="nil"/>
          <w:lang w:val="en-US" w:eastAsia="en-GB"/>
        </w:rPr>
        <w:t>7</w:t>
      </w:r>
      <w:r w:rsidRPr="00AF0E0B">
        <w:rPr>
          <w:rFonts w:eastAsia="Arial" w:cs="Arial"/>
          <w:i/>
          <w:iCs/>
          <w:color w:val="808080"/>
          <w:sz w:val="21"/>
          <w:szCs w:val="21"/>
          <w:u w:color="808080"/>
          <w:bdr w:val="nil"/>
          <w:lang w:val="en-US" w:eastAsia="en-GB"/>
        </w:rPr>
        <w:t>)</w:t>
      </w:r>
      <w:r w:rsidRPr="00AF0E0B">
        <w:rPr>
          <w:rFonts w:eastAsia="Arial" w:cs="Arial"/>
          <w:i/>
          <w:iCs/>
          <w:color w:val="808080"/>
          <w:sz w:val="21"/>
          <w:szCs w:val="21"/>
          <w:u w:color="808080"/>
          <w:bdr w:val="nil"/>
          <w:lang w:val="en-US" w:eastAsia="en-GB"/>
        </w:rPr>
        <w:fldChar w:fldCharType="end"/>
      </w:r>
      <w:r w:rsidR="007800A1" w:rsidRPr="007800A1">
        <w:rPr>
          <w:rFonts w:eastAsia="Times New Roman" w:cs="Arial"/>
          <w:color w:val="000000"/>
          <w:sz w:val="20"/>
          <w:szCs w:val="20"/>
          <w:shd w:val="clear" w:color="auto" w:fill="FFFFFF"/>
          <w:lang w:eastAsia="en-GB"/>
        </w:rPr>
        <w:t xml:space="preserve"> </w:t>
      </w:r>
      <w:r w:rsidR="007800A1" w:rsidRPr="007800A1">
        <w:rPr>
          <w:rFonts w:eastAsia="Arial" w:cs="Arial"/>
          <w:i/>
          <w:iCs/>
          <w:color w:val="808080"/>
          <w:sz w:val="21"/>
          <w:szCs w:val="21"/>
          <w:u w:color="808080"/>
          <w:bdr w:val="nil"/>
          <w:lang w:eastAsia="en-GB"/>
        </w:rPr>
        <w:t>reproduced with permission</w:t>
      </w:r>
      <w:r w:rsidR="007800A1">
        <w:rPr>
          <w:rFonts w:eastAsia="Times New Roman" w:cs="Arial"/>
          <w:color w:val="000000"/>
          <w:sz w:val="20"/>
          <w:szCs w:val="20"/>
          <w:shd w:val="clear" w:color="auto" w:fill="FFFFFF"/>
          <w:lang w:eastAsia="en-GB"/>
        </w:rPr>
        <w:t xml:space="preserve"> </w:t>
      </w:r>
      <w:r w:rsidR="007800A1" w:rsidRPr="007800A1">
        <w:rPr>
          <w:rFonts w:eastAsia="Arial" w:cs="Arial"/>
          <w:i/>
          <w:iCs/>
          <w:color w:val="808080"/>
          <w:sz w:val="21"/>
          <w:szCs w:val="21"/>
          <w:u w:color="808080"/>
          <w:bdr w:val="nil"/>
          <w:lang w:eastAsia="en-GB"/>
        </w:rPr>
        <w:t xml:space="preserve">© </w:t>
      </w:r>
      <w:r w:rsidR="007800A1">
        <w:rPr>
          <w:rFonts w:eastAsia="Arial" w:cs="Arial"/>
          <w:i/>
          <w:iCs/>
          <w:color w:val="808080"/>
          <w:sz w:val="21"/>
          <w:szCs w:val="21"/>
          <w:u w:color="808080"/>
          <w:bdr w:val="nil"/>
          <w:lang w:eastAsia="en-GB"/>
        </w:rPr>
        <w:t>2003,</w:t>
      </w:r>
      <w:r w:rsidR="007800A1" w:rsidRPr="007800A1">
        <w:rPr>
          <w:rFonts w:eastAsia="Arial" w:cs="Arial"/>
          <w:i/>
          <w:iCs/>
          <w:color w:val="808080"/>
          <w:sz w:val="21"/>
          <w:szCs w:val="21"/>
          <w:u w:color="808080"/>
          <w:bdr w:val="nil"/>
          <w:lang w:eastAsia="en-GB"/>
        </w:rPr>
        <w:t xml:space="preserve"> </w:t>
      </w:r>
      <w:r w:rsidR="007800A1">
        <w:rPr>
          <w:rFonts w:eastAsia="Arial" w:cs="Arial"/>
          <w:i/>
          <w:iCs/>
          <w:color w:val="808080"/>
          <w:sz w:val="21"/>
          <w:szCs w:val="21"/>
          <w:u w:color="808080"/>
          <w:bdr w:val="nil"/>
          <w:lang w:eastAsia="en-GB"/>
        </w:rPr>
        <w:t>Elsevier</w:t>
      </w:r>
    </w:p>
    <w:p w14:paraId="41EBBE9F" w14:textId="2EDD9C19" w:rsidR="00AF0E0B" w:rsidRPr="007800A1" w:rsidRDefault="00AF0E0B" w:rsidP="00AF0E0B">
      <w:pPr>
        <w:pBdr>
          <w:top w:val="nil"/>
          <w:left w:val="nil"/>
          <w:bottom w:val="nil"/>
          <w:right w:val="nil"/>
          <w:between w:val="nil"/>
          <w:bar w:val="nil"/>
        </w:pBdr>
        <w:suppressAutoHyphens/>
        <w:spacing w:line="360" w:lineRule="auto"/>
        <w:rPr>
          <w:rFonts w:eastAsia="Arial" w:cs="Arial"/>
          <w:i/>
          <w:iCs/>
          <w:color w:val="808080"/>
          <w:sz w:val="21"/>
          <w:szCs w:val="21"/>
          <w:u w:color="808080"/>
          <w:bdr w:val="nil"/>
          <w:lang w:eastAsia="en-GB"/>
        </w:rPr>
      </w:pPr>
      <w:proofErr w:type="spellStart"/>
      <w:r w:rsidRPr="00AF0E0B">
        <w:rPr>
          <w:rFonts w:eastAsia="Arial Unicode MS" w:cs="Arial Unicode MS"/>
          <w:color w:val="000000"/>
          <w:u w:color="000000"/>
          <w:bdr w:val="nil"/>
          <w:lang w:val="en-US" w:eastAsia="en-GB"/>
        </w:rPr>
        <w:t>Melzack</w:t>
      </w:r>
      <w:proofErr w:type="spellEnd"/>
      <w:r w:rsidRPr="00AF0E0B">
        <w:rPr>
          <w:rFonts w:eastAsia="Arial Unicode MS" w:cs="Arial Unicode MS"/>
          <w:color w:val="000000"/>
          <w:u w:color="000000"/>
          <w:bdr w:val="nil"/>
          <w:lang w:val="en-US" w:eastAsia="en-GB"/>
        </w:rPr>
        <w:t xml:space="preserve"> described the theory of the </w:t>
      </w:r>
      <w:proofErr w:type="spellStart"/>
      <w:r w:rsidRPr="00AF0E0B">
        <w:rPr>
          <w:rFonts w:eastAsia="Arial Unicode MS" w:cs="Arial Unicode MS"/>
          <w:color w:val="000000"/>
          <w:u w:color="000000"/>
          <w:bdr w:val="nil"/>
          <w:lang w:val="en-US" w:eastAsia="en-GB"/>
        </w:rPr>
        <w:t>neuromatrix</w:t>
      </w:r>
      <w:proofErr w:type="spellEnd"/>
      <w:r w:rsidRPr="00AF0E0B">
        <w:rPr>
          <w:rFonts w:eastAsia="Arial Unicode MS" w:cs="Arial Unicode MS"/>
          <w:color w:val="000000"/>
          <w:u w:color="000000"/>
          <w:bdr w:val="nil"/>
          <w:lang w:val="en-US" w:eastAsia="en-GB"/>
        </w:rPr>
        <w:t xml:space="preserve"> as follows: “The </w:t>
      </w:r>
      <w:proofErr w:type="spellStart"/>
      <w:r w:rsidRPr="00AF0E0B">
        <w:rPr>
          <w:rFonts w:eastAsia="Arial Unicode MS" w:cs="Arial Unicode MS"/>
          <w:color w:val="000000"/>
          <w:u w:color="000000"/>
          <w:bdr w:val="nil"/>
          <w:lang w:val="en-US" w:eastAsia="en-GB"/>
        </w:rPr>
        <w:t>neuromatrix</w:t>
      </w:r>
      <w:proofErr w:type="spellEnd"/>
      <w:r w:rsidRPr="00AF0E0B">
        <w:rPr>
          <w:rFonts w:eastAsia="Arial Unicode MS" w:cs="Arial Unicode MS"/>
          <w:color w:val="000000"/>
          <w:u w:color="000000"/>
          <w:bdr w:val="nil"/>
          <w:lang w:val="en-US" w:eastAsia="en-GB"/>
        </w:rPr>
        <w:t xml:space="preserve"> which is genetically determined and modified by sensory experience is the primary mechanism that generates the neural pattern that produces pain. Its output is determined by multiple influences of which sensory input is just a part, that converge on the </w:t>
      </w:r>
      <w:proofErr w:type="spellStart"/>
      <w:r w:rsidRPr="00AF0E0B">
        <w:rPr>
          <w:rFonts w:eastAsia="Arial Unicode MS" w:cs="Arial Unicode MS"/>
          <w:color w:val="000000"/>
          <w:u w:color="000000"/>
          <w:bdr w:val="nil"/>
          <w:lang w:val="en-US" w:eastAsia="en-GB"/>
        </w:rPr>
        <w:t>neuromatrix</w:t>
      </w:r>
      <w:proofErr w:type="spellEnd"/>
      <w:r w:rsidRPr="00AF0E0B">
        <w:rPr>
          <w:rFonts w:eastAsia="Arial Unicode MS" w:cs="Arial Unicode MS"/>
          <w:color w:val="000000"/>
          <w:u w:color="000000"/>
          <w:bdr w:val="nil"/>
          <w:lang w:val="en-US" w:eastAsia="en-GB"/>
        </w:rPr>
        <w:t xml:space="preserve">”.  This theory was put forward to explain the individual nature of chronic pain, including the part that central </w:t>
      </w:r>
      <w:proofErr w:type="spellStart"/>
      <w:r w:rsidRPr="00AF0E0B">
        <w:rPr>
          <w:rFonts w:eastAsia="Arial Unicode MS" w:cs="Arial Unicode MS"/>
          <w:color w:val="000000"/>
          <w:u w:color="000000"/>
          <w:bdr w:val="nil"/>
          <w:lang w:val="en-US" w:eastAsia="en-GB"/>
        </w:rPr>
        <w:t>sensitisation</w:t>
      </w:r>
      <w:proofErr w:type="spellEnd"/>
      <w:r w:rsidRPr="00AF0E0B">
        <w:rPr>
          <w:rFonts w:eastAsia="Arial Unicode MS" w:cs="Arial Unicode MS"/>
          <w:color w:val="000000"/>
          <w:u w:color="000000"/>
          <w:bdr w:val="nil"/>
          <w:lang w:val="en-US" w:eastAsia="en-GB"/>
        </w:rPr>
        <w:t xml:space="preserve">, personality and affect, as well as stress and other influences may have </w:t>
      </w:r>
      <w:r w:rsidRPr="00AF0E0B">
        <w:rPr>
          <w:rFonts w:eastAsia="Arial Unicode MS" w:cs="Arial Unicode MS"/>
          <w:color w:val="000000"/>
          <w:u w:color="000000"/>
          <w:bdr w:val="nil"/>
          <w:lang w:val="it-IT" w:eastAsia="en-GB"/>
        </w:rPr>
        <w:fldChar w:fldCharType="begin"/>
      </w:r>
      <w:r w:rsidRPr="00AF0E0B">
        <w:rPr>
          <w:rFonts w:eastAsia="Arial Unicode MS" w:cs="Arial Unicode MS"/>
          <w:color w:val="000000"/>
          <w:u w:color="000000"/>
          <w:bdr w:val="nil"/>
          <w:lang w:val="it-IT" w:eastAsia="en-GB"/>
        </w:rPr>
        <w:instrText xml:space="preserve"> ADDIN EN.CITE &lt;EndNote&gt;&lt;Cite  &gt;&lt;Author&gt;Melzack&lt;/Author&gt;&lt;Year&gt;2001&lt;/Year&gt;&lt;RecNum&gt;513&lt;/RecNum&gt;&lt;DisplayText&gt;(Melzack, 2001)&lt;/DisplayText&gt;&lt;record&gt;&lt;dates&gt;&lt;pub-dates&gt;&lt;date&gt;Dec&lt;/date&gt;&lt;/pub-dates&gt;&lt;year&gt;2001&lt;/year&gt;&lt;/dates&gt;&lt;keywords&gt;&lt;keyword&gt;Acute Disease&lt;/keyword&gt;&lt;keyword&gt;Behavior&lt;/keyword&gt;&lt;keyword&gt;Brain/*physiopathology&lt;/keyword&gt;&lt;keyword&gt;Chronic Disease&lt;/keyword&gt;&lt;keyword&gt;Homeostasis/physiology&lt;/keyword&gt;&lt;keyword&gt;Humans&lt;/keyword&gt;&lt;keyword&gt;Nerve Net/*physiopathology&lt;/keyword&gt;&lt;keyword&gt;Neural Pathways/physiopathology&lt;/keyword&gt;&lt;keyword&gt;Pain/*physiopathology/psychology&lt;/keyword&gt;&lt;keyword&gt;Sensation/physiology&lt;/keyword&gt;&lt;keyword&gt;Stress, Physiological/physiopathology&lt;/keyword&gt;&lt;keyword&gt;Stress, Psychological/physiopathology&lt;/keyword&gt;&lt;keyword&gt;Synaptic Transmission/physiology&lt;/keyword&gt;&lt;/keywords&gt;&lt;isbn&gt;0022-0337 (Print)&amp;#13;0022-0337 (Linking)&lt;/isbn&gt;&lt;titles&gt;&lt;title&gt;Pain and the neuromatrix in the brain&lt;/title&gt;&lt;secondary-title&gt;J Dent Educ.&lt;/secondary-title&gt;&lt;/titles&gt;&lt;pages&gt;1378-82.&lt;/pages&gt;&lt;number&gt;12&lt;/number&gt;&lt;contributors&gt;&lt;authors&gt;&lt;author&gt;Melzack, R.&lt;/author&gt;&lt;/authors&gt;&lt;/contributors&gt;&lt;added-date format="utc"&gt;1356951594&lt;/added-date&gt;&lt;ref-type name="Journal Article"&gt;17&lt;/ref-type&gt;&lt;rec-number&gt;513&lt;/rec-number&gt;&lt;last-updated-date format="utc"&gt;1356951594&lt;/last-updated-date&gt;&lt;volume&gt;65&lt;/volume&gt;&lt;/record&gt;&lt;/Cite&gt;&lt;/EndNote&gt;</w:instrText>
      </w:r>
      <w:r w:rsidRPr="00AF0E0B">
        <w:rPr>
          <w:rFonts w:eastAsia="Arial Unicode MS" w:cs="Arial Unicode MS"/>
          <w:color w:val="000000"/>
          <w:u w:color="000000"/>
          <w:bdr w:val="nil"/>
          <w:lang w:val="it-IT" w:eastAsia="en-GB"/>
        </w:rPr>
        <w:fldChar w:fldCharType="separate"/>
      </w:r>
      <w:r w:rsidRPr="00AF0E0B">
        <w:rPr>
          <w:rFonts w:eastAsia="Arial Unicode MS" w:cs="Arial Unicode MS"/>
          <w:color w:val="000000"/>
          <w:u w:color="000000"/>
          <w:bdr w:val="nil"/>
          <w:lang w:val="it-IT" w:eastAsia="en-GB"/>
        </w:rPr>
        <w:t>(Melzack, 2001)</w:t>
      </w:r>
      <w:r w:rsidRPr="00AF0E0B">
        <w:rPr>
          <w:rFonts w:eastAsia="Arial Unicode MS" w:cs="Arial Unicode MS"/>
          <w:color w:val="000000"/>
          <w:u w:color="000000"/>
          <w:bdr w:val="nil"/>
          <w:lang w:val="it-IT" w:eastAsia="en-GB"/>
        </w:rPr>
        <w:fldChar w:fldCharType="end"/>
      </w:r>
      <w:r w:rsidRPr="00AF0E0B">
        <w:rPr>
          <w:rFonts w:eastAsia="Arial Unicode MS" w:cs="Arial Unicode MS"/>
          <w:color w:val="000000"/>
          <w:u w:color="000000"/>
          <w:bdr w:val="nil"/>
          <w:lang w:val="en-US" w:eastAsia="en-GB"/>
        </w:rPr>
        <w:t xml:space="preserve">.  </w:t>
      </w:r>
    </w:p>
    <w:p w14:paraId="0BFCACDC" w14:textId="77777777"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eastAsia="Arial Unicode MS" w:cs="Arial Unicode MS"/>
          <w:color w:val="000000"/>
          <w:u w:color="000000"/>
          <w:bdr w:val="nil"/>
          <w:lang w:val="en-US" w:eastAsia="en-GB"/>
        </w:rPr>
        <w:t xml:space="preserve">Given this framework in which pain might be understood, we require a method of collecting data not just about brain structures in vivo, but also the areas of the brain that are active whilst assimilating and processing information from our environment on a </w:t>
      </w:r>
      <w:r w:rsidRPr="00AF0E0B">
        <w:rPr>
          <w:rFonts w:eastAsia="Arial Unicode MS" w:cs="Arial Unicode MS"/>
          <w:color w:val="000000"/>
          <w:u w:color="000000"/>
          <w:bdr w:val="nil"/>
          <w:lang w:val="en-US" w:eastAsia="en-GB"/>
        </w:rPr>
        <w:lastRenderedPageBreak/>
        <w:t>moment to moment basis - a crude map of how the brain is “thinking”.  This may provide a clue as to what might be different in those with P-DPN.</w:t>
      </w:r>
    </w:p>
    <w:p w14:paraId="77803841" w14:textId="77777777"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eastAsia="Arial Unicode MS" w:cs="Arial Unicode MS"/>
          <w:color w:val="000000"/>
          <w:u w:color="000000"/>
          <w:bdr w:val="nil"/>
          <w:lang w:val="en-US" w:eastAsia="en-GB"/>
        </w:rPr>
        <w:t xml:space="preserve">Functional and structural MR imaging studies of the brain have been undertaken in many forms of chronic pain, to try to reveal any common pathways or areas of the brain that are activated, that may provide a biomarker for pain perception, or a way of understanding the neuropathology of painful syndromes </w:t>
      </w:r>
      <w:r w:rsidRPr="00AF0E0B">
        <w:rPr>
          <w:rFonts w:eastAsia="Arial Unicode MS" w:cs="Arial Unicode MS"/>
          <w:color w:val="000000"/>
          <w:u w:color="000000"/>
          <w:bdr w:val="nil"/>
          <w:lang w:val="de-DE" w:eastAsia="en-GB"/>
        </w:rPr>
        <w:fldChar w:fldCharType="begin"/>
      </w:r>
      <w:r w:rsidRPr="00AF0E0B">
        <w:rPr>
          <w:rFonts w:eastAsia="Arial Unicode MS" w:cs="Arial Unicode MS"/>
          <w:color w:val="000000"/>
          <w:u w:color="000000"/>
          <w:bdr w:val="nil"/>
          <w:lang w:val="de-DE" w:eastAsia="en-GB"/>
        </w:rPr>
        <w:instrText xml:space="preserve"> ADDIN EN.CITE &lt;EndNote&gt;&lt;Cite  &gt;&lt;Author&gt;Seifert&lt;/Author&gt;&lt;Year&gt;2009&lt;/Year&gt;&lt;DisplayText&gt;(Seifert and Maihoefner, 2009, Seifert and Maihofner, 2011)&lt;/DisplayText&gt;&lt;record&gt;&lt;dates&gt;&lt;pub-dates&gt;&lt;date&gt;Feb&lt;/date&gt;&lt;/pub-dates&gt;&lt;year&gt;2009&lt;/year&gt;&lt;/dates&gt;&lt;urls&gt;&lt;related-urls&gt;&lt;url&gt;&amp;lt;Go to ISI&amp;gt;://WOS:000263002900003&lt;/url&gt;&lt;/related-urls&gt;&lt;/urls&gt;&lt;isbn&gt;1420-682X&lt;/isbn&gt;&lt;titles&gt;&lt;title&gt;Central mechanisms of experimental and chronic neuropathic pain: Findings from functional imaging studies&lt;/title&gt;&lt;secondary-title&gt;Cellular and Molecular Life Sciences&lt;/secondary-title&gt;&lt;/titles&gt;&lt;pages&gt;375-390&lt;/pages&gt;&lt;number&gt;3&lt;/number&gt;&lt;contributors&gt;&lt;authors&gt;&lt;author&gt;Seifert, F.&lt;/author&gt;&lt;author&gt;Maihoefner, C.&lt;/author&gt;&lt;/authors&gt;&lt;/contributors&gt;&lt;section&gt;375   &lt;/section&gt;&lt;added-date format="utc"&gt;1355328523&lt;/added-date&gt;&lt;ref-type name="Journal Article"&gt;17&lt;/ref-type&gt;&lt;rec-number&gt;440&lt;/rec-number&gt;&lt;last-updated-date format="utc"&gt;1356951884&lt;/last-updated-date&gt;&lt;accession-num&gt;WOS:000263002900003&lt;/accession-num&gt;&lt;electronic-resource-num&gt;10.1007/s00018-008-8428-0&lt;/electronic-resource-num&gt;&lt;volume&gt;66&lt;/volume&gt;&lt;/record&gt;&lt;/Cite&gt;&lt;Cite  &gt;&lt;Author&gt;Seifert&lt;/Author&gt;&lt;Year&gt;2011&lt;/Year&gt;&lt;RecNum&gt;410&lt;/RecNum&gt;&lt;record&gt;&lt;dates&gt;&lt;pub-dates&gt;&lt;date&gt;Oct&lt;/date&gt;&lt;/pub-dates&gt;&lt;year&gt;2011&lt;/year&gt;&lt;/dates&gt;&lt;keywords&gt;&lt;keyword&gt;central sensitization&lt;/keyword&gt;&lt;keyword&gt;cortical reorganization&lt;/keyword&gt;&lt;keyword&gt;endogenous pain control&lt;/keyword&gt;&lt;keyword&gt;system&lt;/keyword&gt;&lt;keyword&gt;functional magnetic resonance imaging&lt;/keyword&gt;&lt;keyword&gt;functional imaging&lt;/keyword&gt;&lt;keyword&gt;neuropathic pain&lt;/keyword&gt;&lt;keyword&gt;pain&lt;/keyword&gt;&lt;keyword&gt;resting state connectivity&lt;/keyword&gt;&lt;keyword&gt;voxel-based&lt;/keyword&gt;&lt;keyword&gt;morphometry&lt;/keyword&gt;&lt;keyword&gt;PHANTOM-LIMB PAIN&lt;/keyword&gt;&lt;keyword&gt;POSITRON-EMISSION-TOMOGRAPHY&lt;/keyword&gt;&lt;keyword&gt;DIABETIC NEUROPATHIC&lt;/keyword&gt;&lt;keyword&gt;PAIN&lt;/keyword&gt;&lt;keyword&gt;CARPAL-TUNNEL-SYNDROME&lt;/keyword&gt;&lt;keyword&gt;SPINAL-CORD-INJURY&lt;/keyword&gt;&lt;keyword&gt;SOMATOSENSORY CORTICAL&lt;/keyword&gt;&lt;keyword&gt;PLASTICITY&lt;/keyword&gt;&lt;keyword&gt;HUMAN ANTERIOR CINGULATE&lt;/keyword&gt;&lt;keyword&gt;VOXEL-BASED MORPHOMETRY&lt;/keyword&gt;&lt;keyword&gt;BRUSH-EVOKED ALLODYNIA&lt;/keyword&gt;&lt;keyword&gt;ALTERED RESTING STATE&lt;/keyword&gt;&lt;/keywords&gt;&lt;urls&gt;&lt;related-urls&gt;&lt;url&gt;&amp;lt;Go to ISI&amp;gt;://WOS:000294680900008&lt;/url&gt;&lt;/related-urls&gt;&lt;/urls&gt;&lt;isbn&gt;0952-7907&lt;/isbn&gt;&lt;work-type&gt;Article&lt;/work-type&gt;&lt;titles&gt;&lt;title&gt;Functional and structural imaging of pain-induced neuroplasticity&lt;/title&gt;&lt;secondary-title&gt;Current Opinion in Anesthesiology&lt;/secondary-title&gt;&lt;alt-title&gt;Curr. Opin. Anesthesiol.&lt;/alt-title&gt;&lt;/titles&gt;&lt;pages&gt;515-523&lt;/pages&gt;&lt;number&gt;5&lt;/number&gt;&lt;contributors&gt;&lt;authors&gt;&lt;author&gt;Seifert, F.&lt;/author&gt;&lt;author&gt;Maihofner, C.&lt;/author&gt;&lt;/authors&gt;&lt;/contributors&gt;&lt;language&gt;English&lt;/language&gt;&lt;added-date format="utc"&gt;1355318913&lt;/added-date&gt;&lt;ref-type name="Journal Article"&gt;17&lt;/ref-type&gt;&lt;auth-address&gt;[Seifert, Frank&amp;#13;Maihoefner, Christian] Univ Erlangen Nurnberg, Dept Neurol, D-91054 Erlangen, Germany.&amp;#13;Maihofner, C (reprint author), Univ Erlangen Nurnberg, Dept Neurol, Schwabachanlage 6, D-91054 Erlangen, Germany.&amp;#13;christian.maihoefner@uk-erlangen.de&lt;/auth-address&gt;&lt;rec-number&gt;410&lt;/rec-number&gt;&lt;last-updated-date format="utc"&gt;1356263588&lt;/last-updated-date&gt;&lt;accession-num&gt;WOS:000294680900008&lt;/accession-num&gt;&lt;electronic-resource-num&gt;10.1097/ACO.0b013e32834a1079&lt;/electronic-resource-num&gt;&lt;volume&gt;24&lt;/volume&gt;&lt;/record&gt;&lt;/Cite&gt;&lt;/EndNote&gt;</w:instrText>
      </w:r>
      <w:r w:rsidRPr="00AF0E0B">
        <w:rPr>
          <w:rFonts w:eastAsia="Arial Unicode MS" w:cs="Arial Unicode MS"/>
          <w:color w:val="000000"/>
          <w:u w:color="000000"/>
          <w:bdr w:val="nil"/>
          <w:lang w:val="de-DE" w:eastAsia="en-GB"/>
        </w:rPr>
        <w:fldChar w:fldCharType="separate"/>
      </w:r>
      <w:r w:rsidRPr="00AF0E0B">
        <w:rPr>
          <w:rFonts w:eastAsia="Arial Unicode MS" w:cs="Arial Unicode MS"/>
          <w:color w:val="000000"/>
          <w:u w:color="000000"/>
          <w:bdr w:val="nil"/>
          <w:lang w:val="de-DE" w:eastAsia="en-GB"/>
        </w:rPr>
        <w:t>(Seifert and Maihoefner, 2009, Seifert and Maihofner, 2011)</w:t>
      </w:r>
      <w:r w:rsidRPr="00AF0E0B">
        <w:rPr>
          <w:rFonts w:eastAsia="Arial Unicode MS" w:cs="Arial Unicode MS"/>
          <w:color w:val="000000"/>
          <w:u w:color="000000"/>
          <w:bdr w:val="nil"/>
          <w:lang w:val="de-DE" w:eastAsia="en-GB"/>
        </w:rPr>
        <w:fldChar w:fldCharType="end"/>
      </w:r>
      <w:r w:rsidRPr="00AF0E0B">
        <w:rPr>
          <w:rFonts w:eastAsia="Arial Unicode MS" w:cs="Arial Unicode MS"/>
          <w:color w:val="000000"/>
          <w:u w:color="000000"/>
          <w:bdr w:val="nil"/>
          <w:lang w:val="en-US" w:eastAsia="en-GB"/>
        </w:rPr>
        <w:t xml:space="preserve">.  </w:t>
      </w:r>
    </w:p>
    <w:p w14:paraId="0CFB08A2" w14:textId="77777777" w:rsidR="00AF0E0B" w:rsidRPr="00AF0E0B" w:rsidRDefault="00AF0E0B" w:rsidP="00E745CE">
      <w:pPr>
        <w:pStyle w:val="Heading2"/>
      </w:pPr>
      <w:bookmarkStart w:id="45" w:name="_Toc49972684"/>
      <w:bookmarkStart w:id="46" w:name="_Toc64723871"/>
      <w:r w:rsidRPr="00AF0E0B">
        <w:t>Perfusion Magnetic Resonance Imaging of the CNS</w:t>
      </w:r>
      <w:bookmarkEnd w:id="45"/>
      <w:bookmarkEnd w:id="46"/>
    </w:p>
    <w:p w14:paraId="719D0E15" w14:textId="77777777"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eastAsia="Arial Unicode MS" w:cs="Arial Unicode MS"/>
          <w:color w:val="000000"/>
          <w:u w:color="000000"/>
          <w:bdr w:val="nil"/>
          <w:lang w:val="en-US" w:eastAsia="en-GB"/>
        </w:rPr>
        <w:t xml:space="preserve">Magnetic resonance imaging (MRI) presents a non-invasive and highly anatomically detailed picture of the CNS.  With the advent of higher tesla magnetic resonance scanners, those interested in assessing the brain during function are able to quantify metabolism and perfusion and more detailed correlates of structure </w:t>
      </w:r>
      <w:r w:rsidRPr="00AF0E0B">
        <w:rPr>
          <w:rFonts w:eastAsia="Arial Unicode MS" w:cs="Arial Unicode MS"/>
          <w:color w:val="000000"/>
          <w:u w:color="000000"/>
          <w:bdr w:val="nil"/>
          <w:lang w:val="en-US" w:eastAsia="en-GB"/>
        </w:rPr>
        <w:fldChar w:fldCharType="begin"/>
      </w:r>
      <w:r w:rsidRPr="00AF0E0B">
        <w:rPr>
          <w:rFonts w:eastAsia="Arial Unicode MS" w:cs="Arial Unicode MS"/>
          <w:color w:val="000000"/>
          <w:u w:color="000000"/>
          <w:bdr w:val="nil"/>
          <w:lang w:val="en-US" w:eastAsia="en-GB"/>
        </w:rPr>
        <w:instrText xml:space="preserve"> ADDIN EN.CITE &lt;EndNote&gt;&lt;Cite  &gt;&lt;Author&gt;Wilkinson&lt;/Author&gt;&lt;Year&gt;2008&lt;/Year&gt;&lt;RecNum&gt;642&lt;/RecNum&gt;&lt;DisplayText&gt;(Wilkinson and Paley, 2008)&lt;/DisplayText&gt;&lt;record&gt;&lt;keywords&gt;&lt;keyword&gt;Radiology, Medical&lt;/keyword&gt;&lt;keyword&gt;Diagnostic imaging&lt;/keyword&gt;&lt;/keywords&gt;&lt;custom1&gt;1. Imaging Techniques and General Issues&lt;/custom1&gt;&lt;titles&gt;&lt;title&gt;Grainger and Allison's diagnostic radiology : a textbook of medical imaging. Vol.1&lt;/title&gt;&lt;secondary-title&gt;Diagnostic radiology&lt;/secondary-title&gt;&lt;/titles&gt;&lt;pages&gt;87-107&lt;/pages&gt;&lt;contributors&gt;&lt;authors&gt;&lt;author&gt;Wilkinson, I.&lt;/author&gt;&lt;author&gt;Paley, M&lt;/author&gt;&lt;/authors&gt;&lt;/contributors&gt;&lt;section&gt;5&lt;/section&gt;&lt;edition&gt;5th Edition&lt;/edition&gt;&lt;added-date format="utc"&gt;1357555713&lt;/added-date&gt;&lt;pub-location&gt;Philadelphia, Pa.&lt;/pub-location&gt;&lt;ref-type name="Book Section"&gt;5&lt;/ref-type&gt;&lt;dates&gt;&lt;year&gt;2008&lt;/year&gt;&lt;/dates&gt;&lt;rec-number&gt;642&lt;/rec-number&gt;&lt;publisher&gt;Philadelphia, Pa. : Churchill Livingstone Elsevier, c2008&lt;/publisher&gt;&lt;last-updated-date format="utc"&gt;1357555935&lt;/last-updated-date&gt;&lt;contributors&gt;&lt;secondary-authors&gt;&lt;author&gt;Adam, Andy&lt;/author&gt;&lt;author&gt;Dixon, Adrian K.&lt;/author&gt;&lt;author&gt;Grainger, Ronald G.&lt;/author&gt;&lt;author&gt;Allison, David J.&lt;/author&gt;&lt;/secondary-authors&gt;&lt;/contributors&gt;&lt;volume&gt;1&lt;/volume&gt;&lt;num-vols&gt;2&lt;/num-vols&gt;&lt;/record&gt;&lt;/Cite&gt;&lt;/EndNote&gt;</w:instrText>
      </w:r>
      <w:r w:rsidRPr="00AF0E0B">
        <w:rPr>
          <w:rFonts w:eastAsia="Arial Unicode MS" w:cs="Arial Unicode MS"/>
          <w:color w:val="000000"/>
          <w:u w:color="000000"/>
          <w:bdr w:val="nil"/>
          <w:lang w:val="en-US" w:eastAsia="en-GB"/>
        </w:rPr>
        <w:fldChar w:fldCharType="separate"/>
      </w:r>
      <w:r w:rsidRPr="00AF0E0B">
        <w:rPr>
          <w:rFonts w:eastAsia="Arial Unicode MS" w:cs="Arial Unicode MS"/>
          <w:color w:val="000000"/>
          <w:u w:color="000000"/>
          <w:bdr w:val="nil"/>
          <w:lang w:val="en-US" w:eastAsia="en-GB"/>
        </w:rPr>
        <w:t>(Wilkinson and Paley, 2008)</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t xml:space="preserve">.  MRI employs the paramagnetic properties of water or other molecules within a strong magnetic field, manipulates them using magnetic and radiofrequency gradients, thereby producing a magnetic signal that is read by the receiving coils.  The pattern of magnetic charges is read into K space and mapped to a co-ordinate location in order to produce an image </w:t>
      </w:r>
      <w:r w:rsidRPr="00AF0E0B">
        <w:rPr>
          <w:rFonts w:eastAsia="Arial Unicode MS" w:cs="Arial Unicode MS"/>
          <w:color w:val="000000"/>
          <w:u w:color="000000"/>
          <w:bdr w:val="nil"/>
          <w:lang w:val="it-IT" w:eastAsia="en-GB"/>
        </w:rPr>
        <w:fldChar w:fldCharType="begin"/>
      </w:r>
      <w:r w:rsidRPr="00AF0E0B">
        <w:rPr>
          <w:rFonts w:eastAsia="Arial Unicode MS" w:cs="Arial Unicode MS"/>
          <w:color w:val="000000"/>
          <w:u w:color="000000"/>
          <w:bdr w:val="nil"/>
          <w:lang w:val="it-IT" w:eastAsia="en-GB"/>
        </w:rPr>
        <w:instrText xml:space="preserve"> ADDIN EN.CITE &lt;EndNote&gt;&lt;Cite  &gt;&lt;Author&gt;Zhuo&lt;/Author&gt;&lt;Year&gt;2006&lt;/Year&gt;&lt;RecNum&gt;662&lt;/RecNum&gt;&lt;DisplayText&gt;(Zhuo and Gullapalli, 2006)&lt;/DisplayText&gt;&lt;record&gt;&lt;urls&gt;&lt;related-urls&gt;&lt;url&gt;http://radiographics.rsna.org/content/26/1/275.abstract&lt;/url&gt;&lt;/related-urls&gt;&lt;/urls&gt;&lt;titles&gt;&lt;title&gt;MR Artifacts, Safety, and Quality Control1&lt;/title&gt;&lt;secondary-title&gt;Radiographics&lt;/secondary-title&gt;&lt;/titles&gt;&lt;pages&gt;275-297&lt;/pages&gt;&lt;number&gt;1&lt;/number&gt;&lt;contributors&gt;&lt;authors&gt;&lt;author&gt;Zhuo, Jiachen&lt;/author&gt;&lt;author&gt;Gullapalli, Rao P.&lt;/author&gt;&lt;/authors&gt;&lt;/contributors&gt;&lt;added-date format="utc"&gt;1357599053&lt;/added-date&gt;&lt;ref-type name="Journal Article"&gt;17&lt;/ref-type&gt;&lt;dates&gt;&lt;year&gt;2006&lt;/year&gt;&lt;/dates&gt;&lt;rec-number&gt;662&lt;/rec-number&gt;&lt;last-updated-date format="utc"&gt;1357599053&lt;/last-updated-date&gt;&lt;electronic-resource-num&gt;10.1148/rg.261055134&lt;/electronic-resource-num&gt;&lt;volume&gt;26&lt;/volume&gt;&lt;/record&gt;&lt;/Cite&gt;&lt;/EndNote&gt;</w:instrText>
      </w:r>
      <w:r w:rsidRPr="00AF0E0B">
        <w:rPr>
          <w:rFonts w:eastAsia="Arial Unicode MS" w:cs="Arial Unicode MS"/>
          <w:color w:val="000000"/>
          <w:u w:color="000000"/>
          <w:bdr w:val="nil"/>
          <w:lang w:val="it-IT" w:eastAsia="en-GB"/>
        </w:rPr>
        <w:fldChar w:fldCharType="separate"/>
      </w:r>
      <w:r w:rsidRPr="00AF0E0B">
        <w:rPr>
          <w:rFonts w:eastAsia="Arial Unicode MS" w:cs="Arial Unicode MS"/>
          <w:color w:val="000000"/>
          <w:u w:color="000000"/>
          <w:bdr w:val="nil"/>
          <w:lang w:val="it-IT" w:eastAsia="en-GB"/>
        </w:rPr>
        <w:t>(Zhuo and Gullapalli, 2006)</w:t>
      </w:r>
      <w:r w:rsidRPr="00AF0E0B">
        <w:rPr>
          <w:rFonts w:eastAsia="Arial Unicode MS" w:cs="Arial Unicode MS"/>
          <w:color w:val="000000"/>
          <w:u w:color="000000"/>
          <w:bdr w:val="nil"/>
          <w:lang w:val="it-IT" w:eastAsia="en-GB"/>
        </w:rPr>
        <w:fldChar w:fldCharType="end"/>
      </w:r>
      <w:r w:rsidRPr="00AF0E0B">
        <w:rPr>
          <w:rFonts w:eastAsia="Arial Unicode MS" w:cs="Arial Unicode MS"/>
          <w:color w:val="000000"/>
          <w:u w:color="000000"/>
          <w:bdr w:val="nil"/>
          <w:lang w:val="en-US" w:eastAsia="en-GB"/>
        </w:rPr>
        <w:t xml:space="preserve">. </w:t>
      </w:r>
    </w:p>
    <w:p w14:paraId="313236E3" w14:textId="77777777"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eastAsia="Arial Unicode MS" w:cs="Arial Unicode MS"/>
          <w:color w:val="000000"/>
          <w:u w:color="000000"/>
          <w:bdr w:val="nil"/>
          <w:lang w:val="en-US" w:eastAsia="en-GB"/>
        </w:rPr>
        <w:t xml:space="preserve">MRI methods could be usefully employed to look into the pathophysiological mechanisms of CNS correlates of P-DPN by helping to: </w:t>
      </w:r>
    </w:p>
    <w:p w14:paraId="6E7074A9" w14:textId="70BB88F6"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eastAsia="Arial Unicode MS" w:cs="Arial Unicode MS"/>
          <w:color w:val="000000"/>
          <w:u w:color="000000"/>
          <w:bdr w:val="nil"/>
          <w:lang w:val="en-US" w:eastAsia="en-GB"/>
        </w:rPr>
        <w:t xml:space="preserve">1. understand the individual CNS factors that might differentiate those who develop P-DPN from those who do </w:t>
      </w:r>
      <w:proofErr w:type="gramStart"/>
      <w:r w:rsidRPr="00AF0E0B">
        <w:rPr>
          <w:rFonts w:eastAsia="Arial Unicode MS" w:cs="Arial Unicode MS"/>
          <w:color w:val="000000"/>
          <w:u w:color="000000"/>
          <w:bdr w:val="nil"/>
          <w:lang w:val="en-US" w:eastAsia="en-GB"/>
        </w:rPr>
        <w:t>not</w:t>
      </w:r>
      <w:r w:rsidR="00B4740C">
        <w:rPr>
          <w:rFonts w:eastAsia="Arial Unicode MS" w:cs="Arial Unicode MS"/>
          <w:color w:val="000000"/>
          <w:u w:color="000000"/>
          <w:bdr w:val="nil"/>
          <w:lang w:val="en-US" w:eastAsia="en-GB"/>
        </w:rPr>
        <w:t>;</w:t>
      </w:r>
      <w:proofErr w:type="gramEnd"/>
    </w:p>
    <w:p w14:paraId="6B385B32" w14:textId="4CB9B85F"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eastAsia="Arial Unicode MS" w:cs="Arial Unicode MS"/>
          <w:color w:val="000000"/>
          <w:u w:color="000000"/>
          <w:bdr w:val="nil"/>
          <w:lang w:val="en-US" w:eastAsia="en-GB"/>
        </w:rPr>
        <w:t xml:space="preserve"> 2. define the factors that differentiate responders from non-responders to different treatment types in P-DPN</w:t>
      </w:r>
      <w:r w:rsidR="00B4740C">
        <w:rPr>
          <w:rFonts w:eastAsia="Arial Unicode MS" w:cs="Arial Unicode MS"/>
          <w:color w:val="000000"/>
          <w:u w:color="000000"/>
          <w:bdr w:val="nil"/>
          <w:lang w:val="en-US" w:eastAsia="en-GB"/>
        </w:rPr>
        <w:t>; and</w:t>
      </w:r>
      <w:r w:rsidRPr="00AF0E0B">
        <w:rPr>
          <w:rFonts w:eastAsia="Arial Unicode MS" w:cs="Arial Unicode MS"/>
          <w:color w:val="000000"/>
          <w:u w:color="000000"/>
          <w:bdr w:val="nil"/>
          <w:lang w:val="en-US" w:eastAsia="en-GB"/>
        </w:rPr>
        <w:t xml:space="preserve"> </w:t>
      </w:r>
    </w:p>
    <w:p w14:paraId="6C0F8B44" w14:textId="77777777"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eastAsia="Arial Unicode MS" w:cs="Arial Unicode MS"/>
          <w:color w:val="000000"/>
          <w:u w:color="000000"/>
          <w:bdr w:val="nil"/>
          <w:lang w:val="en-US" w:eastAsia="en-GB"/>
        </w:rPr>
        <w:t>3. develop a biomarker that is reliable for indicating the presence of P-DPN.</w:t>
      </w:r>
    </w:p>
    <w:p w14:paraId="2B5EA485" w14:textId="77777777"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eastAsia="Arial Unicode MS" w:cs="Arial Unicode MS"/>
          <w:color w:val="000000"/>
          <w:u w:color="000000"/>
          <w:bdr w:val="nil"/>
          <w:lang w:val="en-US" w:eastAsia="en-GB"/>
        </w:rPr>
        <w:t>The following sections detail imaging techniques and findings relevant to the CNS perfusion imaging of P-DPN.</w:t>
      </w:r>
    </w:p>
    <w:p w14:paraId="1756F286" w14:textId="08959F26"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eastAsia="Arial Unicode MS" w:cs="Arial Unicode MS"/>
          <w:color w:val="000000"/>
          <w:u w:color="000000"/>
          <w:bdr w:val="nil"/>
          <w:lang w:val="en-US" w:eastAsia="en-GB"/>
        </w:rPr>
        <w:t xml:space="preserve">Roy and Sherrington proved in 1890 that blood flow was a marker of neuronal activity </w:t>
      </w:r>
      <w:r w:rsidRPr="00AF0E0B">
        <w:rPr>
          <w:rFonts w:eastAsia="Arial Unicode MS" w:cs="Arial Unicode MS"/>
          <w:color w:val="000000"/>
          <w:u w:color="000000"/>
          <w:bdr w:val="nil"/>
          <w:lang w:val="en-US" w:eastAsia="en-GB"/>
        </w:rPr>
        <w:fldChar w:fldCharType="begin"/>
      </w:r>
      <w:r w:rsidR="00B4740C">
        <w:rPr>
          <w:rFonts w:eastAsia="Arial Unicode MS" w:cs="Arial Unicode MS"/>
          <w:color w:val="000000"/>
          <w:u w:color="000000"/>
          <w:bdr w:val="nil"/>
          <w:lang w:val="en-US" w:eastAsia="en-GB"/>
        </w:rPr>
        <w:instrText xml:space="preserve"> ADDIN EN.CITE &lt;EndNote&gt;&lt;Cite&gt;&lt;Author&gt;Roy&lt;/Author&gt;&lt;Year&gt;1890&lt;/Year&gt;&lt;IDText&gt;On the Regulation of the Blood-supply of the Brain&lt;/IDText&gt;&lt;DisplayText&gt;(Roy and Sherrington, 1890, Friedland and Iadecola, 1991)&lt;/DisplayText&gt;&lt;record&gt;&lt;dates&gt;&lt;pub-dates&gt;&lt;date&gt;1890-Jan&lt;/date&gt;&lt;/pub-dates&gt;&lt;year&gt;1890&lt;/year&gt;&lt;/dates&gt;&lt;urls&gt;&lt;related-urls&gt;&lt;url&gt;&amp;lt;Go to ISI&amp;gt;://MEDLINE:16991945&lt;/url&gt;&lt;/related-urls&gt;&lt;/urls&gt;&lt;isbn&gt;0022-3751&lt;/isbn&gt;&lt;titles&gt;&lt;title&gt;On the Regulation of the Blood-supply of the Brain&lt;/title&gt;&lt;secondary-title&gt;The Journal of physiology&lt;/secondary-title&gt;&lt;/titles&gt;&lt;pages&gt;85-158.17&lt;/pages&gt;&lt;number&gt;1-2&lt;/number&gt;&lt;contributors&gt;&lt;authors&gt;&lt;author&gt;Roy, C. S.&lt;/author&gt;&lt;author&gt;Sherrington, C. S.&lt;/author&gt;&lt;/authors&gt;&lt;/contributors&gt;&lt;added-date format="utc"&gt;1562086468&lt;/added-date&gt;&lt;ref-type name="Journal Article"&gt;17&lt;/ref-type&gt;&lt;rec-number&gt;1047&lt;/rec-number&gt;&lt;last-updated-date format="utc"&gt;1562086468&lt;/last-updated-date&gt;&lt;accession-num&gt;MEDLINE:16991945&lt;/accession-num&gt;&lt;volume&gt;11&lt;/volume&gt;&lt;/record&gt;&lt;/Cite&gt;&lt;Cite&gt;&lt;Author&gt;Friedland&lt;/Author&gt;&lt;Year&gt;1991&lt;/Year&gt;&lt;RecNum&gt;571&lt;/RecNum&gt;&lt;record&gt;&lt;dates&gt;&lt;pub-dates&gt;&lt;date&gt;Jan&lt;/date&gt;&lt;/pub-dates&gt;&lt;year&gt;1991&lt;/year&gt;&lt;/dates&gt;&lt;isbn&gt;0028-3878&lt;/isbn&gt;&lt;titles&gt;&lt;title&gt;ROY AND SHERRINGTON (1890) - A CENTENNIAL REEXAMINATION OF ON THE REGULATION OF THE BLOOD-SUPPLY OF THE BRAIN&lt;/title&gt;&lt;secondary-title&gt;Neurology&lt;/secondary-title&gt;&lt;/titles&gt;&lt;pages&gt;10-14&lt;/pages&gt;&lt;number&gt;1&lt;/number&gt;&lt;contributors&gt;&lt;authors&gt;&lt;author&gt;Friedland, R. P.&lt;/author&gt;&lt;author&gt;Iadecola, C.&lt;/author&gt;&lt;/authors&gt;&lt;/contributors&gt;&lt;added-date format="utc"&gt;1357128354&lt;/added-date&gt;&lt;ref-type name="Journal Article"&gt;17&lt;/ref-type&gt;&lt;rec-number&gt;571&lt;/rec-number&gt;&lt;last-updated-date format="utc"&gt;1479818811&lt;/last-updated-date&gt;&lt;accession-num&gt;WOS:A1991ER63300002&lt;/accession-num&gt;&lt;volume&gt;41&lt;/volume&gt;&lt;/record&gt;&lt;/Cite&gt;&lt;/EndNote&gt;</w:instrText>
      </w:r>
      <w:r w:rsidRPr="00AF0E0B">
        <w:rPr>
          <w:rFonts w:eastAsia="Arial Unicode MS" w:cs="Arial Unicode MS"/>
          <w:color w:val="000000"/>
          <w:u w:color="000000"/>
          <w:bdr w:val="nil"/>
          <w:lang w:val="en-US" w:eastAsia="en-GB"/>
        </w:rPr>
        <w:fldChar w:fldCharType="separate"/>
      </w:r>
      <w:r w:rsidR="00B4740C">
        <w:rPr>
          <w:rFonts w:eastAsia="Arial Unicode MS" w:cs="Arial Unicode MS"/>
          <w:noProof/>
          <w:color w:val="000000"/>
          <w:u w:color="000000"/>
          <w:bdr w:val="nil"/>
          <w:lang w:val="en-US" w:eastAsia="en-GB"/>
        </w:rPr>
        <w:t>(Roy and Sherrington, 1890, Friedland and Iadecola, 1991)</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t xml:space="preserve">, the so called “neuro-vascular coupling” response.  Using this principle in the late 1980s and early 1990s studies of perfusion, i.e. “the volume of blood passing through a given volume or mass element of tissue per unit time” </w:t>
      </w:r>
      <w:r w:rsidRPr="00AF0E0B">
        <w:rPr>
          <w:rFonts w:eastAsia="Arial Unicode MS" w:cs="Arial Unicode MS"/>
          <w:color w:val="000000"/>
          <w:u w:color="000000"/>
          <w:bdr w:val="nil"/>
          <w:lang w:val="en-US" w:eastAsia="en-GB"/>
        </w:rPr>
        <w:fldChar w:fldCharType="begin"/>
      </w:r>
      <w:r w:rsidRPr="00AF0E0B">
        <w:rPr>
          <w:rFonts w:eastAsia="Arial Unicode MS" w:cs="Arial Unicode MS"/>
          <w:color w:val="000000"/>
          <w:u w:color="000000"/>
          <w:bdr w:val="nil"/>
          <w:lang w:val="en-US" w:eastAsia="en-GB"/>
        </w:rPr>
        <w:instrText xml:space="preserve"> ADDIN EN.CITE &lt;EndNote&gt;&lt;Cite  &gt;&lt;Author&gt;Knutsson&lt;/Author&gt;&lt;Year&gt;2010&lt;/Year&gt;&lt;RecNum&gt;501&lt;/RecNum&gt;&lt;DisplayText&gt;(Knutsson et al., 2010a)&lt;/DisplayText&gt;&lt;record&gt;&lt;dates&gt;&lt;pub-dates&gt;&lt;date&gt;Feb&lt;/date&gt;&lt;/pub-dates&gt;&lt;year&gt;2010&lt;/year&gt;&lt;/dates&gt;&lt;keywords&gt;&lt;keyword&gt;Perfusion&lt;/keyword&gt;&lt;keyword&gt;Cerebral blood flow&lt;/keyword&gt;&lt;keyword&gt;Dynamic susceptibility contrast MRI&lt;/keyword&gt;&lt;keyword&gt;Arterial input function&lt;/keyword&gt;&lt;keyword&gt;Quantification&lt;/keyword&gt;&lt;keyword&gt;CEREBRAL-BLOOD-FLOW&lt;/keyword&gt;&lt;keyword&gt;ARTERIAL INPUT FUNCTION&lt;/keyword&gt;&lt;keyword&gt;BOLUS-TRACKING MRI&lt;/keyword&gt;&lt;keyword&gt;SINGULAR-VALUE DECOMPOSITION&lt;/keyword&gt;&lt;keyword&gt;INDEPENDENT COMPONENT ANALYSIS&lt;/keyword&gt;&lt;keyword&gt;SIGNAL-TO-NOISE&lt;/keyword&gt;&lt;keyword&gt;POSITRON-EMISSION-TOMOGRAPHY&lt;/keyword&gt;&lt;keyword&gt;HIGH-RESOLUTION&lt;/keyword&gt;&lt;keyword&gt;MEASUREMENT&lt;/keyword&gt;&lt;keyword&gt;MEAN TRANSIT-TIME&lt;/keyword&gt;&lt;keyword&gt;ENHANCED MRI&lt;/keyword&gt;&lt;/keywords&gt;&lt;isbn&gt;0968-5243&lt;/isbn&gt;&lt;work-type&gt;Review&lt;/work-type&gt;&lt;titles&gt;&lt;title&gt;Absolute quantification of perfusion using dynamic susceptibility contrast MRI: pitfalls and possibilities&lt;/title&gt;&lt;secondary-title&gt;Magnetic Resonance Materials in Physics Biology and Medicine&lt;/secondary-title&gt;&lt;alt-title&gt;Magn. Reson. Mat. Phys. Biol. Med.&lt;/alt-title&gt;&lt;/titles&gt;&lt;pages&gt;1-21&lt;/pages&gt;&lt;number&gt;1&lt;/number&gt;&lt;contributors&gt;&lt;authors&gt;&lt;author&gt;Knutsson, L.&lt;/author&gt;&lt;author&gt;Stahlberg, F.&lt;/author&gt;&lt;author&gt;Wirestam, R.&lt;/author&gt;&lt;/authors&gt;&lt;/contributors&gt;&lt;language&gt;English&lt;/language&gt;&lt;added-date format="utc"&gt;1356688796&lt;/added-date&gt;&lt;ref-type name="Journal Article"&gt;17&lt;/ref-type&gt;&lt;auth-address&gt;[Knutsson, Linda|Stahlberg, Freddy|Wirestam, Ronnie] Lund Univ, Univ Lund Hosp, Dept Med Radiat Phys, S-22185 Lund, Sweden. [Stahlberg, Freddy] Lund Univ, Univ Lund Hosp, Dept Diagnost Radiol, S-22185 Lund, Sweden.&amp;#13;Knutsson, L (reprint author), Lund Univ, Univ Lund Hosp, Dept Med Radiat Phys, S-22185 Lund, Sweden.&amp;#13;Linda.Knutsson@med.lu.se&lt;/auth-address&gt;&lt;rec-number&gt;501&lt;/rec-number&gt;&lt;last-updated-date format="utc"&gt;1479820339&lt;/last-updated-date&gt;&lt;accession-num&gt;WOS:000274299500001&lt;/accession-num&gt;&lt;electronic-resource-num&gt;10.1007/s10334-009-0190-2&lt;/electronic-resource-num&gt;&lt;volume&gt;23&lt;/volume&gt;&lt;/record&gt;&lt;/Cite&gt;&lt;/EndNote&gt;</w:instrText>
      </w:r>
      <w:r w:rsidRPr="00AF0E0B">
        <w:rPr>
          <w:rFonts w:eastAsia="Arial Unicode MS" w:cs="Arial Unicode MS"/>
          <w:color w:val="000000"/>
          <w:u w:color="000000"/>
          <w:bdr w:val="nil"/>
          <w:lang w:val="en-US" w:eastAsia="en-GB"/>
        </w:rPr>
        <w:fldChar w:fldCharType="separate"/>
      </w:r>
      <w:r w:rsidRPr="00AF0E0B">
        <w:rPr>
          <w:rFonts w:eastAsia="Arial Unicode MS" w:cs="Arial Unicode MS"/>
          <w:color w:val="000000"/>
          <w:u w:color="000000"/>
          <w:bdr w:val="nil"/>
          <w:lang w:val="en-US" w:eastAsia="en-GB"/>
        </w:rPr>
        <w:t>(Knutsson et al., 2010a)</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t xml:space="preserve">, was used to study activation of brain regions to infer increased activity on a regional basis in humans.  It was hoped </w:t>
      </w:r>
      <w:r w:rsidRPr="00AF0E0B">
        <w:rPr>
          <w:rFonts w:eastAsia="Arial Unicode MS" w:cs="Arial Unicode MS"/>
          <w:color w:val="000000"/>
          <w:u w:color="000000"/>
          <w:bdr w:val="nil"/>
          <w:lang w:val="en-US" w:eastAsia="en-GB"/>
        </w:rPr>
        <w:lastRenderedPageBreak/>
        <w:t xml:space="preserve">that this would give an increasing understanding of the areas that processed pain in vivo </w:t>
      </w:r>
      <w:r w:rsidRPr="00AF0E0B">
        <w:rPr>
          <w:rFonts w:eastAsia="Arial Unicode MS" w:cs="Arial Unicode MS"/>
          <w:color w:val="000000"/>
          <w:u w:color="000000"/>
          <w:bdr w:val="nil"/>
          <w:lang w:val="en-US" w:eastAsia="en-GB"/>
        </w:rPr>
        <w:fldChar w:fldCharType="begin"/>
      </w:r>
      <w:r w:rsidRPr="00AF0E0B">
        <w:rPr>
          <w:rFonts w:eastAsia="Arial Unicode MS" w:cs="Arial Unicode MS"/>
          <w:color w:val="000000"/>
          <w:u w:color="000000"/>
          <w:bdr w:val="nil"/>
          <w:lang w:val="en-US" w:eastAsia="en-GB"/>
        </w:rPr>
        <w:instrText xml:space="preserve"> ADDIN EN.CITE &lt;EndNote&gt;&lt;Cite  &gt;&lt;Author&gt;Apkarian&lt;/Author&gt;&lt;Year&gt;1995&lt;/Year&gt;&lt;RecNum&gt;570&lt;/RecNum&gt;&lt;DisplayText&gt;(Apkarian, 1995)&lt;/DisplayText&gt;&lt;record&gt;&lt;dates&gt;&lt;pub-dates&gt;&lt;date&gt;Aug&lt;/date&gt;&lt;/pub-dates&gt;&lt;year&gt;1995&lt;/year&gt;&lt;/dates&gt;&lt;keywords&gt;&lt;keyword&gt;ACUTE, CHRONIC, CLINICAL PAIN&lt;/keyword&gt;&lt;keyword&gt;PET&lt;/keyword&gt;&lt;keyword&gt;SPECT&lt;/keyword&gt;&lt;keyword&gt;FMRI&lt;/keyword&gt;&lt;keyword&gt;CORTEX&lt;/keyword&gt;&lt;keyword&gt;POSITRON EMISSION TOMOGRAPHY&lt;/keyword&gt;&lt;keyword&gt;SMI CORTICAL-NEURONS&lt;/keyword&gt;&lt;keyword&gt;BLOOD-FLOW&lt;/keyword&gt;&lt;keyword&gt;ELECTRICAL-STIMULATION&lt;/keyword&gt;&lt;keyword&gt;FORMALIN PAIN&lt;/keyword&gt;&lt;keyword&gt;INVOLVEMENT&lt;/keyword&gt;&lt;keyword&gt;ATTENTION&lt;/keyword&gt;&lt;keyword&gt;RAT&lt;/keyword&gt;&lt;keyword&gt;RESPONSIVENESS&lt;/keyword&gt;&lt;keyword&gt;INFLAMMATION&lt;/keyword&gt;&lt;/keywords&gt;&lt;isbn&gt;1044-5765&lt;/isbn&gt;&lt;work-type&gt;Article&lt;/work-type&gt;&lt;titles&gt;&lt;title&gt;FUNCTIONAL IMAGING OF PAIN - NEW INSIGHTS REGARDING THE ROLE OF THE CEREBRAL-CORTEX IN HUMAN PAIN PERCEPTION&lt;/title&gt;&lt;secondary-title&gt;Seminars in the Neurosciences&lt;/secondary-title&gt;&lt;alt-title&gt;Semin. Neurosci.&lt;/alt-title&gt;&lt;/titles&gt;&lt;pages&gt;279-293&lt;/pages&gt;&lt;number&gt;4&lt;/number&gt;&lt;contributors&gt;&lt;authors&gt;&lt;author&gt;Apkarian, A. V.&lt;/author&gt;&lt;/authors&gt;&lt;/contributors&gt;&lt;language&gt;English&lt;/language&gt;&lt;added-date format="utc"&gt;1357128084&lt;/added-date&gt;&lt;ref-type name="Journal Article"&gt;17&lt;/ref-type&gt;&lt;auth-address&gt;SUNY HLTH SCI CTR,NEUROSURG RES LAB,PROGRAM NEUROSCI,SYRACUSE,NY 13210.&amp;#13;APKARIAN, AV (reprint author), SUNY HLTH SCI CTR,NEUROSURG RES LAB,DEPT NEUROSURG,3118 WSK HALL,766 IRVING AVE,SYRACUSE,NY 13210, USA.&lt;/auth-address&gt;&lt;rec-number&gt;570&lt;/rec-number&gt;&lt;last-updated-date format="utc"&gt;1479816691&lt;/last-updated-date&gt;&lt;accession-num&gt;WOS:A1995RQ07400010&lt;/accession-num&gt;&lt;volume&gt;7&lt;/volume&gt;&lt;/record&gt;&lt;/Cite&gt;&lt;/EndNote&gt;</w:instrText>
      </w:r>
      <w:r w:rsidRPr="00AF0E0B">
        <w:rPr>
          <w:rFonts w:eastAsia="Arial Unicode MS" w:cs="Arial Unicode MS"/>
          <w:color w:val="000000"/>
          <w:u w:color="000000"/>
          <w:bdr w:val="nil"/>
          <w:lang w:val="en-US" w:eastAsia="en-GB"/>
        </w:rPr>
        <w:fldChar w:fldCharType="separate"/>
      </w:r>
      <w:r w:rsidRPr="00AF0E0B">
        <w:rPr>
          <w:rFonts w:eastAsia="Arial Unicode MS" w:cs="Arial Unicode MS"/>
          <w:color w:val="000000"/>
          <w:u w:color="000000"/>
          <w:bdr w:val="nil"/>
          <w:lang w:val="en-US" w:eastAsia="en-GB"/>
        </w:rPr>
        <w:t>(Apkarian, 1995)</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t xml:space="preserve">. </w:t>
      </w:r>
    </w:p>
    <w:p w14:paraId="6634B338" w14:textId="24CC3F85" w:rsidR="00AF0E0B" w:rsidRPr="00AF0E0B" w:rsidRDefault="00AF0E0B" w:rsidP="00476DAF">
      <w:pPr>
        <w:pStyle w:val="Heading3"/>
      </w:pPr>
      <w:bookmarkStart w:id="47" w:name="_Toc49972686"/>
      <w:bookmarkStart w:id="48" w:name="_Toc64723872"/>
      <w:r w:rsidRPr="00AF0E0B">
        <w:t xml:space="preserve">Perfusion imaging by </w:t>
      </w:r>
      <w:r w:rsidR="008F3EA7">
        <w:t>DSC-MRI</w:t>
      </w:r>
      <w:r w:rsidRPr="00AF0E0B">
        <w:t xml:space="preserve"> technique</w:t>
      </w:r>
      <w:bookmarkEnd w:id="47"/>
      <w:bookmarkEnd w:id="48"/>
    </w:p>
    <w:p w14:paraId="0ECC4C61" w14:textId="2D44A7AE"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eastAsia="Arial Unicode MS" w:cs="Arial Unicode MS"/>
          <w:color w:val="000000"/>
          <w:u w:color="000000"/>
          <w:bdr w:val="nil"/>
          <w:lang w:val="en-US" w:eastAsia="en-GB"/>
        </w:rPr>
        <w:t xml:space="preserve"> </w:t>
      </w:r>
      <w:r w:rsidRPr="00AF0E0B">
        <w:rPr>
          <w:rFonts w:eastAsia="Arial Unicode MS" w:cs="Arial Unicode MS"/>
          <w:color w:val="000000"/>
          <w:u w:color="000000"/>
          <w:bdr w:val="nil"/>
          <w:lang w:val="de-DE" w:eastAsia="en-GB"/>
        </w:rPr>
        <w:t>DSC</w:t>
      </w:r>
      <w:r w:rsidR="008F3EA7">
        <w:rPr>
          <w:rFonts w:eastAsia="Arial Unicode MS" w:cs="Arial Unicode MS"/>
          <w:color w:val="000000"/>
          <w:u w:color="000000"/>
          <w:bdr w:val="nil"/>
          <w:lang w:val="de-DE" w:eastAsia="en-GB"/>
        </w:rPr>
        <w:t>-</w:t>
      </w:r>
      <w:r w:rsidRPr="00AF0E0B">
        <w:rPr>
          <w:rFonts w:eastAsia="Arial Unicode MS" w:cs="Arial Unicode MS"/>
          <w:color w:val="000000"/>
          <w:u w:color="000000"/>
          <w:bdr w:val="nil"/>
          <w:lang w:val="de-DE" w:eastAsia="en-GB"/>
        </w:rPr>
        <w:t>MRI</w:t>
      </w:r>
      <w:r w:rsidRPr="00AF0E0B">
        <w:rPr>
          <w:rFonts w:eastAsia="Arial Unicode MS" w:cs="Arial Unicode MS"/>
          <w:color w:val="000000"/>
          <w:u w:color="000000"/>
          <w:bdr w:val="nil"/>
          <w:lang w:val="en-US" w:eastAsia="en-GB"/>
        </w:rPr>
        <w:t xml:space="preserve"> </w:t>
      </w:r>
      <w:proofErr w:type="spellStart"/>
      <w:r w:rsidRPr="00AF0E0B">
        <w:rPr>
          <w:rFonts w:eastAsia="Arial Unicode MS" w:cs="Arial Unicode MS"/>
          <w:color w:val="000000"/>
          <w:u w:color="000000"/>
          <w:bdr w:val="nil"/>
          <w:lang w:val="en-US" w:eastAsia="en-GB"/>
        </w:rPr>
        <w:t>utilises</w:t>
      </w:r>
      <w:proofErr w:type="spellEnd"/>
      <w:r w:rsidRPr="00AF0E0B">
        <w:rPr>
          <w:rFonts w:eastAsia="Arial Unicode MS" w:cs="Arial Unicode MS"/>
          <w:color w:val="000000"/>
          <w:u w:color="000000"/>
          <w:bdr w:val="nil"/>
          <w:lang w:val="en-US" w:eastAsia="en-GB"/>
        </w:rPr>
        <w:t xml:space="preserve"> local magnetic field gradients created by exogenous contrast, and can allow measurement of cerebral blood volume (CBV)</w:t>
      </w:r>
      <w:r w:rsidRPr="00AF0E0B">
        <w:rPr>
          <w:rFonts w:eastAsia="Arial Unicode MS" w:cs="Arial Unicode MS"/>
          <w:color w:val="000000"/>
          <w:u w:color="000000"/>
          <w:bdr w:val="nil"/>
          <w:vertAlign w:val="superscript"/>
          <w:lang w:val="en-US" w:eastAsia="en-GB"/>
        </w:rPr>
        <w:t xml:space="preserve"> </w:t>
      </w:r>
      <w:r w:rsidRPr="00AF0E0B">
        <w:rPr>
          <w:rFonts w:eastAsia="Arial Unicode MS" w:cs="Arial Unicode MS"/>
          <w:color w:val="000000"/>
          <w:u w:color="000000"/>
          <w:bdr w:val="nil"/>
          <w:vertAlign w:val="superscript"/>
          <w:lang w:val="en-US" w:eastAsia="en-GB"/>
        </w:rPr>
        <w:footnoteReference w:id="1"/>
      </w:r>
      <w:r w:rsidRPr="00AF0E0B">
        <w:rPr>
          <w:rFonts w:eastAsia="Arial Unicode MS" w:cs="Arial Unicode MS"/>
          <w:color w:val="000000"/>
          <w:u w:color="000000"/>
          <w:bdr w:val="nil"/>
          <w:lang w:val="en-US" w:eastAsia="en-GB"/>
        </w:rPr>
        <w:t xml:space="preserve">; cerebral blood flow (CBF), mean transit time of the bolus (MTT), time-to-peak (TTP) concentration of the bolus and other parameters derived from kinetic tracer theory  (Figure 1.4) </w:t>
      </w:r>
      <w:r w:rsidRPr="00AF0E0B">
        <w:rPr>
          <w:rFonts w:eastAsia="Arial Unicode MS" w:cs="Arial Unicode MS"/>
          <w:color w:val="000000"/>
          <w:u w:color="000000"/>
          <w:bdr w:val="nil"/>
          <w:lang w:val="en-US" w:eastAsia="en-GB"/>
        </w:rPr>
        <w:fldChar w:fldCharType="begin"/>
      </w:r>
      <w:r w:rsidRPr="00AF0E0B">
        <w:rPr>
          <w:rFonts w:eastAsia="Arial Unicode MS" w:cs="Arial Unicode MS"/>
          <w:color w:val="000000"/>
          <w:u w:color="000000"/>
          <w:bdr w:val="nil"/>
          <w:lang w:val="en-US" w:eastAsia="en-GB"/>
        </w:rPr>
        <w:instrText xml:space="preserve"> ADDIN EN.CITE &lt;EndNote&gt;&lt;Cite  &gt;&lt;Author&gt;Edelman&lt;/Author&gt;&lt;Year&gt;1990&lt;/Year&gt;&lt;RecNum&gt;761&lt;/RecNum&gt;&lt;DisplayText&gt;(Edelman et al., 1990, Knutsson et al., 2010b)&lt;/DisplayText&gt;&lt;record&gt;&lt;dates&gt;&lt;pub-dates&gt;&lt;date&gt;Jul&lt;/date&gt;&lt;/pub-dates&gt;&lt;year&gt;1990&lt;/year&gt;&lt;/dates&gt;&lt;isbn&gt;0033-8419&lt;/isbn&gt;&lt;titles&gt;&lt;title&gt;CEREBRAL BLOOD-FLOW - ASSESSMENT WITH DYNAMIC CONTRAST-ENHANCED T2-STAR-WEIGHTED MR IMAGING AT 1.5-T&lt;/title&gt;&lt;secondary-title&gt;Radiology&lt;/secondary-title&gt;&lt;/titles&gt;&lt;pages&gt;211-220&lt;/pages&gt;&lt;number&gt;1&lt;/number&gt;&lt;contributors&gt;&lt;authors&gt;&lt;author&gt;Edelman, R. R.&lt;/author&gt;&lt;author&gt;Mattle, H. P.&lt;/author&gt;&lt;author&gt;Atkinson, D. J.&lt;/author&gt;&lt;author&gt;Hill, T.&lt;/author&gt;&lt;author&gt;Finn, J. P.&lt;/author&gt;&lt;author&gt;Mayman, C.&lt;/author&gt;&lt;author&gt;Ronthal, M.&lt;/author&gt;&lt;author&gt;Hoogewoud, H. M.&lt;/author&gt;&lt;author&gt;Kleefield, J.&lt;/author&gt;&lt;/authors&gt;&lt;/contributors&gt;&lt;added-date format="utc"&gt;1373445286&lt;/added-date&gt;&lt;ref-type name="Journal Article"&gt;17&lt;/ref-type&gt;&lt;rec-number&gt;761&lt;/rec-number&gt;&lt;last-updated-date format="utc"&gt;1479818598&lt;/last-updated-date&gt;&lt;accession-num&gt;WOS:A1990DJ99600046&lt;/accession-num&gt;&lt;volume&gt;176&lt;/volume&gt;&lt;/record&gt;&lt;/Cite&gt;&lt;Cite  &gt;&lt;Author&gt;Knutsson&lt;/Author&gt;&lt;Year&gt;2010&lt;/Year&gt;&lt;RecNum&gt;502&lt;/RecNum&gt;&lt;record&gt;&lt;dates&gt;&lt;pub-dates&gt;&lt;date&gt;Jan&lt;/date&gt;&lt;/pub-dates&gt;&lt;year&gt;2010&lt;/year&gt;&lt;/dates&gt;&lt;isbn&gt;0730-725X&lt;/isbn&gt;&lt;titles&gt;&lt;title&gt;Absolute quantification of cerebral blood flow: correlation between dynamic susceptibility contrast MRI and model-free arterial spin labeling&lt;/title&gt;&lt;secondary-title&gt;Magnetic Resonance Imaging&lt;/secondary-title&gt;&lt;/titles&gt;&lt;pages&gt;1-7&lt;/pages&gt;&lt;number&gt;1&lt;/number&gt;&lt;contributors&gt;&lt;authors&gt;&lt;author&gt;Knutsson, L.&lt;/author&gt;&lt;author&gt;van Westen, D.&lt;/author&gt;&lt;author&gt;Petersen, E. T.&lt;/author&gt;&lt;author&gt;Bloch, K. M.&lt;/author&gt;&lt;author&gt;Holtas, S.&lt;/author&gt;&lt;author&gt;Stahlberg, F.&lt;/author&gt;&lt;author&gt;Wirestam, R.&lt;/author&gt;&lt;/authors&gt;&lt;/contributors&gt;&lt;added-date format="utc"&gt;1356688837&lt;/added-date&gt;&lt;ref-type name="Journal Article"&gt;17&lt;/ref-type&gt;&lt;rec-number&gt;502&lt;/rec-number&gt;&lt;last-updated-date format="utc"&gt;1479820294&lt;/last-updated-date&gt;&lt;accession-num&gt;WOS:000276648600001&lt;/accession-num&gt;&lt;electronic-resource-num&gt;10.1016/j.mri.2009.06.006&lt;/electronic-resource-num&gt;&lt;volume&gt;28&lt;/volume&gt;&lt;/record&gt;&lt;/Cite&gt;&lt;/EndNote&gt;</w:instrText>
      </w:r>
      <w:r w:rsidRPr="00AF0E0B">
        <w:rPr>
          <w:rFonts w:eastAsia="Arial Unicode MS" w:cs="Arial Unicode MS"/>
          <w:color w:val="000000"/>
          <w:u w:color="000000"/>
          <w:bdr w:val="nil"/>
          <w:lang w:val="en-US" w:eastAsia="en-GB"/>
        </w:rPr>
        <w:fldChar w:fldCharType="separate"/>
      </w:r>
      <w:r w:rsidRPr="00AF0E0B">
        <w:rPr>
          <w:rFonts w:eastAsia="Arial Unicode MS" w:cs="Arial Unicode MS"/>
          <w:color w:val="000000"/>
          <w:u w:color="000000"/>
          <w:bdr w:val="nil"/>
          <w:lang w:val="en-US" w:eastAsia="en-GB"/>
        </w:rPr>
        <w:t>(Edelman et al., 1990, Knutsson et al., 2010b)</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t xml:space="preserve">.  The advantage to this technique is that unlike other techniques that can measure flow, this technique provides a quantifiable result. This would make it ideal as a technique to use as a biomarker.  It is quantitative as opposed to  blood oxygen level dependent functional magnetic resonance imaging (BOLD fMRI) </w:t>
      </w:r>
      <w:r w:rsidRPr="00AF0E0B">
        <w:rPr>
          <w:rFonts w:eastAsia="Arial Unicode MS" w:cs="Arial Unicode MS"/>
          <w:color w:val="000000"/>
          <w:u w:color="000000"/>
          <w:bdr w:val="nil"/>
          <w:lang w:val="en-US" w:eastAsia="en-GB"/>
        </w:rPr>
        <w:fldChar w:fldCharType="begin"/>
      </w:r>
      <w:r w:rsidRPr="00AF0E0B">
        <w:rPr>
          <w:rFonts w:eastAsia="Arial Unicode MS" w:cs="Arial Unicode MS"/>
          <w:color w:val="000000"/>
          <w:u w:color="000000"/>
          <w:bdr w:val="nil"/>
          <w:lang w:val="en-US" w:eastAsia="en-GB"/>
        </w:rPr>
        <w:instrText xml:space="preserve"> ADDIN EN.CITE &lt;EndNote&gt;&lt;Cite  &gt;&lt;Author&gt;Tegeler&lt;/Author&gt;&lt;Year&gt;1999&lt;/Year&gt;&lt;DisplayText&gt;(Tegeler et al., 1999)&lt;/DisplayText&gt;&lt;record&gt;&lt;keywords&gt;&lt;keyword&gt;Adult–Physiology&lt;/keyword&gt;&lt;keyword&gt;Brain Mapping–Standards&lt;/keyword&gt;&lt;keyword&gt;Female–Physiology&lt;/keyword&gt;&lt;keyword&gt;Fingers–Physiology&lt;/keyword&gt;&lt;keyword&gt;Humans–Physiology&lt;/keyword&gt;&lt;keyword&gt;Magnetic Resonance Imaging–Physiology&lt;/keyword&gt;&lt;keyword&gt;Male–Physiology&lt;/keyword&gt;&lt;keyword&gt;Models, Neurological–Physiology&lt;/keyword&gt;&lt;keyword&gt;Motor Cortex–Physiology&lt;/keyword&gt;&lt;keyword&gt;Multivariate Analysis–Physiology&lt;/keyword&gt;&lt;keyword&gt;Occipital Lobe–Physiology&lt;/keyword&gt;&lt;keyword&gt;Reproducibility of Results–Physiology&lt;/keyword&gt;&lt;keyword&gt;Sensory Thresholds–Physiology&lt;/keyword&gt;&lt;keyword&gt;Somatosensory Cortex–Physiology&lt;/keyword&gt;&lt;/keywords&gt;&lt;isbn&gt;1065-9471&lt;/isbn&gt;&lt;titles&gt;&lt;title&gt;Reproducibility of BOLD-based functional MRI obtained at 4 T&lt;/title&gt;&lt;secondary-title&gt;Human brain mapping&lt;/secondary-title&gt;&lt;/titles&gt;&lt;pages&gt;267-283&lt;/pages&gt;&lt;number&gt;4&lt;/number&gt;&lt;contributors&gt;&lt;authors&gt;&lt;author&gt;Tegeler, C.&lt;/author&gt;&lt;author&gt;Strother, S. C.&lt;/author&gt;&lt;author&gt;Anderson, J. R.&lt;/author&gt;&lt;author&gt;Kim, S. G.&lt;/author&gt;&lt;/authors&gt;&lt;/contributors&gt;&lt;added-date format="utc"&gt;1570892837&lt;/added-date&gt;&lt;ref-type name="Journal Article"&gt;17&lt;/ref-type&gt;&lt;dates&gt;&lt;year&gt;1999&lt;/year&gt;&lt;/dates&gt;&lt;rec-number&gt;1149&lt;/rec-number&gt;&lt;last-updated-date format="utc"&gt;1570892837&lt;/last-updated-date&gt;&lt;contributors&gt;&lt;secondary-authors&gt;&lt;author&gt;Tegeler, C.&lt;/author&gt;&lt;/secondary-authors&gt;&lt;/contributors&gt;&lt;electronic-resource-num&gt;10.1002/(SICI)1097-0193(1999)7:43.3.CO;2-V&lt;/electronic-resource-num&gt;&lt;volume&gt;7&lt;/volume&gt;&lt;/record&gt;&lt;/Cite&gt;&lt;/EndNote&gt;</w:instrText>
      </w:r>
      <w:r w:rsidRPr="00AF0E0B">
        <w:rPr>
          <w:rFonts w:eastAsia="Arial Unicode MS" w:cs="Arial Unicode MS"/>
          <w:color w:val="000000"/>
          <w:u w:color="000000"/>
          <w:bdr w:val="nil"/>
          <w:lang w:val="en-US" w:eastAsia="en-GB"/>
        </w:rPr>
        <w:fldChar w:fldCharType="separate"/>
      </w:r>
      <w:r w:rsidRPr="00AF0E0B">
        <w:rPr>
          <w:rFonts w:eastAsia="Arial Unicode MS" w:cs="Arial Unicode MS"/>
          <w:color w:val="000000"/>
          <w:u w:color="000000"/>
          <w:bdr w:val="nil"/>
          <w:lang w:val="en-US" w:eastAsia="en-GB"/>
        </w:rPr>
        <w:t>(Tegeler et al., 1999)</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t xml:space="preserve">, which means that baseline differences can be more accurately compared.  This is of utmost importance as diabetes is a vascular disease, and event-related and non-quantitative techniques may mask true baseline differences. </w:t>
      </w:r>
    </w:p>
    <w:p w14:paraId="4E9AE155" w14:textId="77777777"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p>
    <w:p w14:paraId="26C34748" w14:textId="7154DF2F" w:rsidR="00AF0E0B" w:rsidRPr="0004450D" w:rsidRDefault="00AF0E0B" w:rsidP="009F58A0">
      <w:pPr>
        <w:pStyle w:val="Subtitle"/>
      </w:pPr>
      <w:bookmarkStart w:id="49" w:name="_Toc49972743"/>
      <w:bookmarkStart w:id="50" w:name="_Toc64724165"/>
      <w:r w:rsidRPr="0004450D">
        <w:t xml:space="preserve">Figure 1.4  DSC-MRI technique- </w:t>
      </w:r>
      <w:r w:rsidR="008F3EA7">
        <w:t>C</w:t>
      </w:r>
      <w:r w:rsidRPr="0004450D">
        <w:t xml:space="preserve">onverting </w:t>
      </w:r>
      <w:r w:rsidR="008F3EA7">
        <w:t>the S</w:t>
      </w:r>
      <w:r w:rsidRPr="0004450D">
        <w:t xml:space="preserve">ignal </w:t>
      </w:r>
      <w:r w:rsidR="008F3EA7">
        <w:t>I</w:t>
      </w:r>
      <w:r w:rsidRPr="0004450D">
        <w:t xml:space="preserve">ntensity </w:t>
      </w:r>
      <w:r w:rsidR="008F3EA7">
        <w:t>T</w:t>
      </w:r>
      <w:r w:rsidRPr="0004450D">
        <w:t xml:space="preserve">ime </w:t>
      </w:r>
      <w:r w:rsidR="008F3EA7">
        <w:t>C</w:t>
      </w:r>
      <w:r w:rsidRPr="0004450D">
        <w:t xml:space="preserve">urve to </w:t>
      </w:r>
      <w:r w:rsidR="008F3EA7">
        <w:t>C</w:t>
      </w:r>
      <w:r w:rsidRPr="0004450D">
        <w:t xml:space="preserve">oncentration </w:t>
      </w:r>
      <w:r w:rsidR="008F3EA7">
        <w:t>I</w:t>
      </w:r>
      <w:r w:rsidRPr="0004450D">
        <w:t xml:space="preserve">ntensity </w:t>
      </w:r>
      <w:r w:rsidR="008F3EA7">
        <w:t>T</w:t>
      </w:r>
      <w:r w:rsidRPr="0004450D">
        <w:t xml:space="preserve">ime </w:t>
      </w:r>
      <w:r w:rsidR="008F3EA7">
        <w:t>C</w:t>
      </w:r>
      <w:r w:rsidRPr="0004450D">
        <w:t>urve</w:t>
      </w:r>
      <w:bookmarkEnd w:id="49"/>
      <w:bookmarkEnd w:id="50"/>
      <w:r w:rsidRPr="0004450D">
        <w:t xml:space="preserve">  </w:t>
      </w:r>
    </w:p>
    <w:p w14:paraId="2C9260FC" w14:textId="77777777"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eastAsia="Arial Unicode MS" w:cs="Arial Unicode MS"/>
          <w:noProof/>
          <w:color w:val="000000"/>
          <w:u w:color="000000"/>
          <w:bdr w:val="nil"/>
          <w:lang w:val="en-US" w:eastAsia="en-GB"/>
        </w:rPr>
        <w:drawing>
          <wp:inline distT="0" distB="0" distL="0" distR="0" wp14:anchorId="653308AE" wp14:editId="71E0E827">
            <wp:extent cx="1746738" cy="1746738"/>
            <wp:effectExtent l="0" t="0" r="0" b="0"/>
            <wp:docPr id="1073741828" name="officeArt object" descr="A picture containing dark, sitting, light, person&#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28" name="A picture containing dark, sitting, light, person&#10;&#10;Description automatically generated" descr="A picture containing dark, sitting, light, personDescription automatically generated"/>
                    <pic:cNvPicPr>
                      <a:picLocks noChangeAspect="1"/>
                    </pic:cNvPicPr>
                  </pic:nvPicPr>
                  <pic:blipFill>
                    <a:blip r:embed="rId14"/>
                    <a:stretch>
                      <a:fillRect/>
                    </a:stretch>
                  </pic:blipFill>
                  <pic:spPr>
                    <a:xfrm>
                      <a:off x="0" y="0"/>
                      <a:ext cx="1746738" cy="1746738"/>
                    </a:xfrm>
                    <a:prstGeom prst="rect">
                      <a:avLst/>
                    </a:prstGeom>
                    <a:ln w="12700" cap="flat">
                      <a:noFill/>
                      <a:miter lim="400000"/>
                    </a:ln>
                    <a:effectLst/>
                  </pic:spPr>
                </pic:pic>
              </a:graphicData>
            </a:graphic>
          </wp:inline>
        </w:drawing>
      </w:r>
      <w:r w:rsidRPr="00AF0E0B">
        <w:rPr>
          <w:rFonts w:eastAsia="Arial Unicode MS" w:cs="Arial Unicode MS"/>
          <w:noProof/>
          <w:color w:val="000000"/>
          <w:u w:color="000000"/>
          <w:bdr w:val="nil"/>
          <w:lang w:val="en-US" w:eastAsia="en-GB"/>
        </w:rPr>
        <w:drawing>
          <wp:inline distT="0" distB="0" distL="0" distR="0" wp14:anchorId="5C37246A" wp14:editId="4A7CE746">
            <wp:extent cx="1873772" cy="1758462"/>
            <wp:effectExtent l="0" t="0" r="0" b="0"/>
            <wp:docPr id="1073741829" name="officeArt object" descr="Picture 5"/>
            <wp:cNvGraphicFramePr/>
            <a:graphic xmlns:a="http://schemas.openxmlformats.org/drawingml/2006/main">
              <a:graphicData uri="http://schemas.openxmlformats.org/drawingml/2006/picture">
                <pic:pic xmlns:pic="http://schemas.openxmlformats.org/drawingml/2006/picture">
                  <pic:nvPicPr>
                    <pic:cNvPr id="1073741829" name="Picture 5" descr="Picture 5"/>
                    <pic:cNvPicPr>
                      <a:picLocks noChangeAspect="1"/>
                    </pic:cNvPicPr>
                  </pic:nvPicPr>
                  <pic:blipFill>
                    <a:blip r:embed="rId15"/>
                    <a:stretch>
                      <a:fillRect/>
                    </a:stretch>
                  </pic:blipFill>
                  <pic:spPr>
                    <a:xfrm>
                      <a:off x="0" y="0"/>
                      <a:ext cx="1873772" cy="1758462"/>
                    </a:xfrm>
                    <a:prstGeom prst="rect">
                      <a:avLst/>
                    </a:prstGeom>
                    <a:ln w="12700" cap="flat">
                      <a:noFill/>
                      <a:miter lim="400000"/>
                    </a:ln>
                    <a:effectLst/>
                  </pic:spPr>
                </pic:pic>
              </a:graphicData>
            </a:graphic>
          </wp:inline>
        </w:drawing>
      </w:r>
      <w:r w:rsidRPr="00AF0E0B">
        <w:rPr>
          <w:rFonts w:eastAsia="Arial Unicode MS" w:cs="Arial Unicode MS"/>
          <w:noProof/>
          <w:color w:val="000000"/>
          <w:u w:color="000000"/>
          <w:bdr w:val="nil"/>
          <w:lang w:val="en-US" w:eastAsia="en-GB"/>
        </w:rPr>
        <w:drawing>
          <wp:inline distT="0" distB="0" distL="0" distR="0" wp14:anchorId="34C1506E" wp14:editId="77376A4B">
            <wp:extent cx="1815609" cy="1748007"/>
            <wp:effectExtent l="0" t="0" r="0" b="0"/>
            <wp:docPr id="1073741830" name="officeArt object" descr="Picture 3"/>
            <wp:cNvGraphicFramePr/>
            <a:graphic xmlns:a="http://schemas.openxmlformats.org/drawingml/2006/main">
              <a:graphicData uri="http://schemas.openxmlformats.org/drawingml/2006/picture">
                <pic:pic xmlns:pic="http://schemas.openxmlformats.org/drawingml/2006/picture">
                  <pic:nvPicPr>
                    <pic:cNvPr id="1073741830" name="Picture 3" descr="Picture 3"/>
                    <pic:cNvPicPr>
                      <a:picLocks noChangeAspect="1"/>
                    </pic:cNvPicPr>
                  </pic:nvPicPr>
                  <pic:blipFill>
                    <a:blip r:embed="rId16"/>
                    <a:stretch>
                      <a:fillRect/>
                    </a:stretch>
                  </pic:blipFill>
                  <pic:spPr>
                    <a:xfrm>
                      <a:off x="0" y="0"/>
                      <a:ext cx="1815609" cy="1748007"/>
                    </a:xfrm>
                    <a:prstGeom prst="rect">
                      <a:avLst/>
                    </a:prstGeom>
                    <a:ln w="12700" cap="flat">
                      <a:noFill/>
                      <a:miter lim="400000"/>
                    </a:ln>
                    <a:effectLst/>
                  </pic:spPr>
                </pic:pic>
              </a:graphicData>
            </a:graphic>
          </wp:inline>
        </w:drawing>
      </w:r>
    </w:p>
    <w:p w14:paraId="069F767F" w14:textId="77777777" w:rsidR="00AF0E0B" w:rsidRPr="00AF0E0B" w:rsidRDefault="00AF0E0B" w:rsidP="00AF0E0B">
      <w:pPr>
        <w:pBdr>
          <w:top w:val="nil"/>
          <w:left w:val="nil"/>
          <w:bottom w:val="nil"/>
          <w:right w:val="nil"/>
          <w:between w:val="nil"/>
          <w:bar w:val="nil"/>
        </w:pBdr>
        <w:suppressAutoHyphens/>
        <w:spacing w:line="360" w:lineRule="auto"/>
        <w:rPr>
          <w:rFonts w:eastAsia="Arial" w:cs="Arial"/>
          <w:i/>
          <w:iCs/>
          <w:color w:val="808080"/>
          <w:sz w:val="21"/>
          <w:szCs w:val="21"/>
          <w:u w:color="808080"/>
          <w:bdr w:val="nil"/>
          <w:lang w:val="it-IT" w:eastAsia="en-GB"/>
        </w:rPr>
      </w:pPr>
      <w:r w:rsidRPr="00AF0E0B">
        <w:rPr>
          <w:rFonts w:eastAsia="Arial Unicode MS" w:cs="Arial Unicode MS"/>
          <w:i/>
          <w:iCs/>
          <w:color w:val="808080"/>
          <w:sz w:val="21"/>
          <w:szCs w:val="21"/>
          <w:u w:color="808080"/>
          <w:bdr w:val="nil"/>
          <w:lang w:val="it-IT" w:eastAsia="en-GB"/>
        </w:rPr>
        <w:t>Panel 1.</w:t>
      </w:r>
      <w:r w:rsidRPr="00AF0E0B">
        <w:rPr>
          <w:rFonts w:eastAsia="Arial Unicode MS" w:cs="Arial Unicode MS"/>
          <w:i/>
          <w:iCs/>
          <w:color w:val="808080"/>
          <w:sz w:val="21"/>
          <w:szCs w:val="21"/>
          <w:u w:color="808080"/>
          <w:bdr w:val="nil"/>
          <w:lang w:val="it-IT" w:eastAsia="en-GB"/>
        </w:rPr>
        <w:tab/>
      </w:r>
      <w:r w:rsidRPr="00AF0E0B">
        <w:rPr>
          <w:rFonts w:eastAsia="Arial Unicode MS" w:cs="Arial Unicode MS"/>
          <w:i/>
          <w:iCs/>
          <w:color w:val="808080"/>
          <w:sz w:val="21"/>
          <w:szCs w:val="21"/>
          <w:u w:color="808080"/>
          <w:bdr w:val="nil"/>
          <w:lang w:val="it-IT" w:eastAsia="en-GB"/>
        </w:rPr>
        <w:tab/>
      </w:r>
      <w:r w:rsidRPr="00AF0E0B">
        <w:rPr>
          <w:rFonts w:eastAsia="Arial Unicode MS" w:cs="Arial Unicode MS"/>
          <w:i/>
          <w:iCs/>
          <w:color w:val="808080"/>
          <w:sz w:val="21"/>
          <w:szCs w:val="21"/>
          <w:u w:color="808080"/>
          <w:bdr w:val="nil"/>
          <w:lang w:val="it-IT" w:eastAsia="en-GB"/>
        </w:rPr>
        <w:tab/>
        <w:t>Panel 2.</w:t>
      </w:r>
      <w:r w:rsidRPr="00AF0E0B">
        <w:rPr>
          <w:rFonts w:eastAsia="Arial Unicode MS" w:cs="Arial Unicode MS"/>
          <w:i/>
          <w:iCs/>
          <w:color w:val="808080"/>
          <w:sz w:val="21"/>
          <w:szCs w:val="21"/>
          <w:u w:color="808080"/>
          <w:bdr w:val="nil"/>
          <w:lang w:val="it-IT" w:eastAsia="en-GB"/>
        </w:rPr>
        <w:tab/>
      </w:r>
      <w:r w:rsidRPr="00AF0E0B">
        <w:rPr>
          <w:rFonts w:eastAsia="Arial Unicode MS" w:cs="Arial Unicode MS"/>
          <w:i/>
          <w:iCs/>
          <w:color w:val="808080"/>
          <w:sz w:val="21"/>
          <w:szCs w:val="21"/>
          <w:u w:color="808080"/>
          <w:bdr w:val="nil"/>
          <w:lang w:val="it-IT" w:eastAsia="en-GB"/>
        </w:rPr>
        <w:tab/>
      </w:r>
      <w:r w:rsidRPr="00AF0E0B">
        <w:rPr>
          <w:rFonts w:eastAsia="Arial Unicode MS" w:cs="Arial Unicode MS"/>
          <w:i/>
          <w:iCs/>
          <w:color w:val="808080"/>
          <w:sz w:val="21"/>
          <w:szCs w:val="21"/>
          <w:u w:color="808080"/>
          <w:bdr w:val="nil"/>
          <w:lang w:val="it-IT" w:eastAsia="en-GB"/>
        </w:rPr>
        <w:tab/>
        <w:t>Panel 3.</w:t>
      </w:r>
    </w:p>
    <w:p w14:paraId="2E919C89" w14:textId="3F47C569" w:rsidR="00AF0E0B" w:rsidRDefault="00AF0E0B" w:rsidP="00AF0E0B">
      <w:pPr>
        <w:pBdr>
          <w:top w:val="nil"/>
          <w:left w:val="nil"/>
          <w:bottom w:val="nil"/>
          <w:right w:val="nil"/>
          <w:between w:val="nil"/>
          <w:bar w:val="nil"/>
        </w:pBdr>
        <w:suppressAutoHyphens/>
        <w:spacing w:line="360" w:lineRule="auto"/>
        <w:rPr>
          <w:rFonts w:eastAsia="Arial" w:cs="Arial"/>
          <w:i/>
          <w:iCs/>
          <w:color w:val="808080"/>
          <w:sz w:val="21"/>
          <w:szCs w:val="21"/>
          <w:u w:color="808080"/>
          <w:bdr w:val="nil"/>
          <w:lang w:val="en-US" w:eastAsia="en-GB"/>
        </w:rPr>
      </w:pPr>
      <w:r w:rsidRPr="00AF0E0B">
        <w:rPr>
          <w:rFonts w:eastAsia="Arial" w:cs="Arial"/>
          <w:i/>
          <w:iCs/>
          <w:color w:val="808080"/>
          <w:sz w:val="21"/>
          <w:szCs w:val="21"/>
          <w:u w:color="808080"/>
          <w:bdr w:val="nil"/>
          <w:lang w:val="en-US" w:eastAsia="en-GB"/>
        </w:rPr>
        <w:t xml:space="preserve">Panel 1 shows the images that are acquired at time points during the acquisition sequence.  The gadolinium passes through the brain causing a drop in signal intensity due to its magnetic properties.  Each image acquired represents a time point. Panel 2 is a summary of the signal intensity at each time point . Panel 3 shows the inverse of the signal time curve- the concentration time curve of the bolus passage </w:t>
      </w:r>
      <w:r w:rsidRPr="00AF0E0B">
        <w:rPr>
          <w:rFonts w:eastAsia="Arial" w:cs="Arial"/>
          <w:i/>
          <w:iCs/>
          <w:color w:val="808080"/>
          <w:sz w:val="21"/>
          <w:szCs w:val="21"/>
          <w:u w:color="808080"/>
          <w:bdr w:val="nil"/>
          <w:lang w:val="en-US" w:eastAsia="en-GB"/>
        </w:rPr>
        <w:fldChar w:fldCharType="begin"/>
      </w:r>
      <w:r w:rsidRPr="00AF0E0B">
        <w:rPr>
          <w:rFonts w:eastAsia="Arial" w:cs="Arial"/>
          <w:i/>
          <w:iCs/>
          <w:color w:val="808080"/>
          <w:sz w:val="21"/>
          <w:szCs w:val="21"/>
          <w:u w:color="808080"/>
          <w:bdr w:val="nil"/>
          <w:lang w:val="en-US" w:eastAsia="en-GB"/>
        </w:rPr>
        <w:instrText xml:space="preserve"> ADDIN EN.CITE &lt;EndNote&gt;&lt;Cite  &gt;&lt;Author&gt;Marshall&lt;/Author&gt;&lt;Year&gt;2020&lt;/Year&gt;&lt;RecNum&gt;1336&lt;/RecNum&gt;&lt;DisplayText&gt;(Marshall, 2020)&lt;/DisplayText&gt;&lt;record&gt;&lt;urls&gt;&lt;related-urls&gt;&lt;url&gt;https://www.ed.ac.uk/clinical-sciences/edinburgh-imaging/research/themes-and-topics/medical-physics/imaging-techniques/perfusion-imaging&lt;/url&gt;&lt;/related-urls&gt;&lt;/urls&gt;&lt;titles&gt;&lt;title&gt;Perfusion Imaging&lt;/title&gt;&lt;/titles&gt;&lt;number&gt;30/8/2020&lt;/number&gt;&lt;contributors&gt;&lt;authors&gt;&lt;author&gt;Marshall, I&lt;/author&gt;&lt;/authors&gt;&lt;/contributors&gt;&lt;added-date format="utc"&gt;1598774372&lt;/added-date&gt;&lt;pub-location&gt;Edinburgh&lt;/pub-location&gt;&lt;ref-type name="Web Page"&gt;12&lt;/ref-type&gt;&lt;dates&gt;&lt;year&gt;2020&lt;/year&gt;&lt;/dates&gt;&lt;rec-number&gt;1336&lt;/rec-number&gt;&lt;publisher&gt;University of Edinburgh&lt;/publisher&gt;&lt;last-updated-date format="utc"&gt;1598774486&lt;/last-updated-date&gt;&lt;volume&gt;2020&lt;/volume&gt;&lt;/record&gt;&lt;/Cite&gt;&lt;/EndNote&gt;</w:instrText>
      </w:r>
      <w:r w:rsidRPr="00AF0E0B">
        <w:rPr>
          <w:rFonts w:eastAsia="Arial" w:cs="Arial"/>
          <w:i/>
          <w:iCs/>
          <w:color w:val="808080"/>
          <w:sz w:val="21"/>
          <w:szCs w:val="21"/>
          <w:u w:color="808080"/>
          <w:bdr w:val="nil"/>
          <w:lang w:val="en-US" w:eastAsia="en-GB"/>
        </w:rPr>
        <w:fldChar w:fldCharType="separate"/>
      </w:r>
      <w:r w:rsidRPr="00AF0E0B">
        <w:rPr>
          <w:rFonts w:eastAsia="Arial" w:cs="Arial"/>
          <w:i/>
          <w:iCs/>
          <w:color w:val="808080"/>
          <w:sz w:val="21"/>
          <w:szCs w:val="21"/>
          <w:u w:color="808080"/>
          <w:bdr w:val="nil"/>
          <w:lang w:val="en-US" w:eastAsia="en-GB"/>
        </w:rPr>
        <w:t>(Marshall, 2020)</w:t>
      </w:r>
      <w:r w:rsidRPr="00AF0E0B">
        <w:rPr>
          <w:rFonts w:eastAsia="Arial" w:cs="Arial"/>
          <w:i/>
          <w:iCs/>
          <w:color w:val="808080"/>
          <w:sz w:val="21"/>
          <w:szCs w:val="21"/>
          <w:u w:color="808080"/>
          <w:bdr w:val="nil"/>
          <w:lang w:val="en-US" w:eastAsia="en-GB"/>
        </w:rPr>
        <w:fldChar w:fldCharType="end"/>
      </w:r>
      <w:r w:rsidRPr="00AF0E0B">
        <w:rPr>
          <w:rFonts w:eastAsia="Arial" w:cs="Arial"/>
          <w:i/>
          <w:iCs/>
          <w:color w:val="808080"/>
          <w:sz w:val="21"/>
          <w:szCs w:val="21"/>
          <w:u w:color="808080"/>
          <w:bdr w:val="nil"/>
          <w:lang w:val="en-US" w:eastAsia="en-GB"/>
        </w:rPr>
        <w:t xml:space="preserve">. </w:t>
      </w:r>
    </w:p>
    <w:p w14:paraId="3F6D1932" w14:textId="77777777" w:rsidR="00B4740C" w:rsidRDefault="00B4740C" w:rsidP="00AF0E0B">
      <w:pPr>
        <w:pBdr>
          <w:top w:val="nil"/>
          <w:left w:val="nil"/>
          <w:bottom w:val="nil"/>
          <w:right w:val="nil"/>
          <w:between w:val="nil"/>
          <w:bar w:val="nil"/>
        </w:pBdr>
        <w:suppressAutoHyphens/>
        <w:spacing w:line="360" w:lineRule="auto"/>
        <w:rPr>
          <w:rFonts w:eastAsia="Arial" w:cs="Arial"/>
          <w:i/>
          <w:iCs/>
          <w:color w:val="808080"/>
          <w:sz w:val="21"/>
          <w:szCs w:val="21"/>
          <w:u w:color="808080"/>
          <w:bdr w:val="nil"/>
          <w:lang w:val="en-US" w:eastAsia="en-GB"/>
        </w:rPr>
      </w:pPr>
    </w:p>
    <w:p w14:paraId="5168B884" w14:textId="7A9EF5C7" w:rsidR="0004450D" w:rsidRPr="00AF0E0B" w:rsidRDefault="00B4740C" w:rsidP="0004450D">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eastAsia="Arial Unicode MS" w:cs="Arial Unicode MS"/>
          <w:color w:val="000000"/>
          <w:u w:color="000000"/>
          <w:bdr w:val="nil"/>
          <w:lang w:val="en-US" w:eastAsia="en-GB"/>
        </w:rPr>
        <w:t xml:space="preserve">Moreover, DSC-MRI has a superior signal-to-noise (SNR) to arterial spin labelling (ASL) </w:t>
      </w:r>
      <w:r w:rsidRPr="00AF0E0B">
        <w:rPr>
          <w:rFonts w:eastAsia="Arial Unicode MS" w:cs="Arial Unicode MS"/>
          <w:color w:val="000000"/>
          <w:u w:color="000000"/>
          <w:bdr w:val="nil"/>
          <w:lang w:val="fr-FR" w:eastAsia="en-GB"/>
        </w:rPr>
        <w:fldChar w:fldCharType="begin"/>
      </w:r>
      <w:r w:rsidRPr="00AF0E0B">
        <w:rPr>
          <w:rFonts w:eastAsia="Arial Unicode MS" w:cs="Arial Unicode MS"/>
          <w:color w:val="000000"/>
          <w:u w:color="000000"/>
          <w:bdr w:val="nil"/>
          <w:lang w:val="fr-FR" w:eastAsia="en-GB"/>
        </w:rPr>
        <w:instrText xml:space="preserve"> ADDIN EN.CITE &lt;EndNote&gt;&lt;Cite  &gt;&lt;Author&gt;Deibler&lt;/Author&gt;&lt;Year&gt;2008&lt;/Year&gt;&lt;RecNum&gt;583&lt;/RecNum&gt;&lt;DisplayText&gt;(Deibler et al., 2008, Armitage et al., 2017)&lt;/DisplayText&gt;&lt;record&gt;&lt;dates&gt;&lt;pub-dates&gt;&lt;date&gt;Aug&lt;/date&gt;&lt;/pub-dates&gt;&lt;year&gt;2008&lt;/year&gt;&lt;/dates&gt;&lt;urls&gt;&lt;related-urls&gt;&lt;url&gt;&amp;lt;Go to ISI&amp;gt;://WOS:000258706500002&lt;/url&gt;&lt;/related-urls&gt;&lt;/urls&gt;&lt;isbn&gt;0195-6108&lt;/isbn&gt;&lt;titles&gt;&lt;title&gt;Arterial spin-labeling in routine clinical practice, part 1: Technique and artifacts&lt;/title&gt;&lt;secondary-title&gt;American Journal of Neuroradiology&lt;/secondary-title&gt;&lt;/titles&gt;&lt;pages&gt;1228-1234&lt;/pages&gt;&lt;number&gt;7&lt;/number&gt;&lt;contributors&gt;&lt;authors&gt;&lt;author&gt;Deibler, A. R.&lt;/author&gt;&lt;author&gt;Pollock, J. M.&lt;/author&gt;&lt;author&gt;Kraft, R. A.&lt;/author&gt;&lt;author&gt;Tan, H.&lt;/author&gt;&lt;author&gt;Burdette, J. H.&lt;/author&gt;&lt;author&gt;Maldjian, J. A.&lt;/author&gt;&lt;/authors&gt;&lt;/contributors&gt;&lt;added-date format="utc"&gt;1357180870&lt;/added-date&gt;&lt;ref-type name="Journal Article"&gt;17&lt;/ref-type&gt;&lt;rec-number&gt;583&lt;/rec-number&gt;&lt;last-updated-date format="utc"&gt;1479835574&lt;/last-updated-date&gt;&lt;accession-num&gt;WOS:000258706500002&lt;/accession-num&gt;&lt;electronic-resource-num&gt;10.3174/ajnr.A1030&lt;/electronic-resource-num&gt;&lt;volume&gt;29&lt;/volume&gt;&lt;/record&gt;&lt;/Cite&gt;&lt;Cite  &gt;&lt;Author&gt;Armitage&lt;/Author&gt;&lt;Year&gt;2017&lt;/Year&gt;&lt;record&gt;&lt;keywords&gt;&lt;keyword&gt;Adolescent–Diagnosis&lt;/keyword&gt;&lt;keyword&gt;Brain Diseases–Diagnosis&lt;/keyword&gt;&lt;keyword&gt;Brain Neoplasms–Methods&lt;/keyword&gt;&lt;keyword&gt;Cerebral Angiography–Methods&lt;/keyword&gt;&lt;keyword&gt;Child–Methods&lt;/keyword&gt;&lt;keyword&gt;Child, Preschool–Methods&lt;/keyword&gt;&lt;keyword&gt;Cohort Studies–Methods&lt;/keyword&gt;&lt;keyword&gt;Contrast Media–Methods&lt;/keyword&gt;&lt;keyword&gt;Female–Methods&lt;/keyword&gt;&lt;keyword&gt;Humans–Methods&lt;/keyword&gt;&lt;keyword&gt;Image Interpretation, Computer-Assisted–Methods&lt;/keyword&gt;&lt;keyword&gt;Infant–Methods&lt;/keyword&gt;&lt;keyword&gt;Magnetic Resonance Angiography–Methods&lt;/keyword&gt;&lt;keyword&gt;Male–Methods&lt;/keyword&gt;&lt;keyword&gt;Pediatrics–Methods&lt;/keyword&gt;&lt;keyword&gt;Perfusion Imaging–Methods&lt;/keyword&gt;&lt;keyword&gt;Prospective Studies–Methods&lt;/keyword&gt;&lt;keyword&gt;Qualitative Research–Methods&lt;/keyword&gt;&lt;keyword&gt;Spin Labels–Methods&lt;/keyword&gt;&lt;keyword&gt;Abridged&lt;/keyword&gt;&lt;keyword&gt;Contrast Media&lt;/keyword&gt;&lt;keyword&gt;Spin Labels&lt;/keyword&gt;&lt;/keywords&gt;&lt;isbn&gt;00071285&lt;/isbn&gt;&lt;titles&gt;&lt;title&gt;A qualitative comparison of arterial spin labelling and dynamic susceptibility contrast MRI in 52 children with a range of neurological conditions&lt;/title&gt;&lt;secondary-title&gt;The British journal of radiology&lt;/secondary-title&gt;&lt;/titles&gt;&lt;pages&gt;20160495-20160495&lt;/pages&gt;&lt;number&gt;1069&lt;/number&gt;&lt;contributors&gt;&lt;authors&gt;&lt;author&gt;Armitage, Paul A.&lt;/author&gt;&lt;author&gt;Skipper, Nicholas&lt;/author&gt;&lt;author&gt;Connolly, Daniel J. A.&lt;/author&gt;&lt;author&gt;Griffiths, Paul D.&lt;/author&gt;&lt;/authors&gt;&lt;/contributors&gt;&lt;added-date format="utc"&gt;1570893583&lt;/added-date&gt;&lt;ref-type name="Journal Article"&gt;17&lt;/ref-type&gt;&lt;dates&gt;&lt;year&gt;2017&lt;/year&gt;&lt;/dates&gt;&lt;rec-number&gt;1150&lt;/rec-number&gt;&lt;last-updated-date format="utc"&gt;1570893583&lt;/last-updated-date&gt;&lt;contributors&gt;&lt;secondary-authors&gt;&lt;author&gt;Armitage, Paul A.&lt;/author&gt;&lt;/secondary-authors&gt;&lt;/contributors&gt;&lt;electronic-resource-num&gt;10.1259/bjr.20160495&lt;/electronic-resource-num&gt;&lt;/record&gt;&lt;/Cite&gt;&lt;/EndNote&gt;</w:instrText>
      </w:r>
      <w:r w:rsidRPr="00AF0E0B">
        <w:rPr>
          <w:rFonts w:eastAsia="Arial Unicode MS" w:cs="Arial Unicode MS"/>
          <w:color w:val="000000"/>
          <w:u w:color="000000"/>
          <w:bdr w:val="nil"/>
          <w:lang w:val="fr-FR" w:eastAsia="en-GB"/>
        </w:rPr>
        <w:fldChar w:fldCharType="separate"/>
      </w:r>
      <w:r w:rsidRPr="00AF0E0B">
        <w:rPr>
          <w:rFonts w:eastAsia="Arial Unicode MS" w:cs="Arial Unicode MS"/>
          <w:color w:val="000000"/>
          <w:u w:color="000000"/>
          <w:bdr w:val="nil"/>
          <w:lang w:val="fr-FR" w:eastAsia="en-GB"/>
        </w:rPr>
        <w:t>(Deibler et al., 2008, Armitage et al., 2017)</w:t>
      </w:r>
      <w:r w:rsidRPr="00AF0E0B">
        <w:rPr>
          <w:rFonts w:eastAsia="Arial Unicode MS" w:cs="Arial Unicode MS"/>
          <w:color w:val="000000"/>
          <w:u w:color="000000"/>
          <w:bdr w:val="nil"/>
          <w:lang w:val="fr-FR" w:eastAsia="en-GB"/>
        </w:rPr>
        <w:fldChar w:fldCharType="end"/>
      </w:r>
      <w:r w:rsidRPr="00AF0E0B">
        <w:rPr>
          <w:rFonts w:eastAsia="Arial Unicode MS" w:cs="Arial Unicode MS"/>
          <w:color w:val="000000"/>
          <w:u w:color="000000"/>
          <w:bdr w:val="nil"/>
          <w:lang w:val="en-US" w:eastAsia="en-GB"/>
        </w:rPr>
        <w:t xml:space="preserve"> therefore perfusion differences that happen </w:t>
      </w:r>
      <w:r w:rsidR="0004450D" w:rsidRPr="00AF0E0B">
        <w:rPr>
          <w:rFonts w:eastAsia="Arial Unicode MS" w:cs="Arial Unicode MS"/>
          <w:color w:val="000000"/>
          <w:u w:color="000000"/>
          <w:bdr w:val="nil"/>
          <w:lang w:val="en-US" w:eastAsia="en-GB"/>
        </w:rPr>
        <w:t xml:space="preserve">within seconds can be quantified.  These attributes make it an ideal modality to interrogate perfusion in the context of pain.  </w:t>
      </w:r>
    </w:p>
    <w:p w14:paraId="5E6C33E1" w14:textId="22AC76A5" w:rsid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eastAsia="Arial Unicode MS" w:cs="Arial Unicode MS"/>
          <w:color w:val="000000"/>
          <w:u w:color="000000"/>
          <w:bdr w:val="nil"/>
          <w:lang w:val="en-US" w:eastAsia="en-GB"/>
        </w:rPr>
        <w:t xml:space="preserve">DSC-MRI exploits the T2* effect of gadolinium chelate contrast as it passes through a tissue of interest. In order to quantify the perfusion parameters, the tissue concentration </w:t>
      </w:r>
      <w:r w:rsidRPr="00AF0E0B">
        <w:rPr>
          <w:rFonts w:eastAsia="Arial" w:cs="Arial"/>
          <w:i/>
          <w:iCs/>
          <w:color w:val="000000"/>
          <w:u w:color="000000"/>
          <w:bdr w:val="nil"/>
          <w:lang w:val="en-US" w:eastAsia="en-GB"/>
        </w:rPr>
        <w:t>C(t)</w:t>
      </w:r>
      <w:r w:rsidRPr="00AF0E0B">
        <w:rPr>
          <w:rFonts w:eastAsia="Arial Unicode MS" w:cs="Arial Unicode MS"/>
          <w:color w:val="000000"/>
          <w:u w:color="000000"/>
          <w:bdr w:val="nil"/>
          <w:lang w:val="en-US" w:eastAsia="en-GB"/>
        </w:rPr>
        <w:t xml:space="preserve"> of the tracer can be mathematically defined as follows: </w:t>
      </w:r>
    </w:p>
    <w:p w14:paraId="4D5066EA" w14:textId="77777777" w:rsidR="001F3F46" w:rsidRPr="00AF0E0B" w:rsidRDefault="001F3F46"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p>
    <w:p w14:paraId="76A1B243" w14:textId="20890A15" w:rsidR="00AF0E0B" w:rsidRDefault="00AF0E0B" w:rsidP="00AF0E0B">
      <w:pPr>
        <w:pBdr>
          <w:top w:val="nil"/>
          <w:left w:val="nil"/>
          <w:bottom w:val="nil"/>
          <w:right w:val="nil"/>
          <w:between w:val="nil"/>
          <w:bar w:val="nil"/>
        </w:pBdr>
        <w:suppressAutoHyphens/>
        <w:spacing w:line="360" w:lineRule="auto"/>
        <w:rPr>
          <w:rFonts w:eastAsia="Arial" w:cs="Arial"/>
          <w:i/>
          <w:iCs/>
          <w:color w:val="000000"/>
          <w:u w:color="000000"/>
          <w:bdr w:val="nil"/>
          <w:lang w:val="en-US" w:eastAsia="en-GB"/>
        </w:rPr>
      </w:pPr>
      <m:oMath>
        <m:r>
          <w:rPr>
            <w:rFonts w:ascii="Cambria Math" w:eastAsia="Arial Unicode MS" w:hAnsi="Cambria Math" w:cs="Arial Unicode MS"/>
            <w:color w:val="000000"/>
            <w:u w:color="000000"/>
            <w:bdr w:val="nil"/>
            <w:lang w:val="en-US" w:eastAsia="en-GB"/>
          </w:rPr>
          <m:t>C</m:t>
        </m:r>
        <m:d>
          <m:dPr>
            <m:ctrlPr>
              <w:rPr>
                <w:rFonts w:ascii="Cambria Math" w:eastAsia="Arial Unicode MS" w:hAnsi="Cambria Math" w:cs="Arial Unicode MS"/>
                <w:color w:val="000000"/>
                <w:u w:color="000000"/>
                <w:bdr w:val="nil"/>
                <w:lang w:val="en-US" w:eastAsia="en-GB"/>
              </w:rPr>
            </m:ctrlPr>
          </m:dPr>
          <m:e>
            <m:r>
              <w:rPr>
                <w:rFonts w:ascii="Cambria Math" w:eastAsia="Arial Unicode MS" w:hAnsi="Cambria Math" w:cs="Arial Unicode MS"/>
                <w:color w:val="000000"/>
                <w:u w:color="000000"/>
                <w:bdr w:val="nil"/>
                <w:lang w:val="en-US" w:eastAsia="en-GB"/>
              </w:rPr>
              <m:t>t</m:t>
            </m:r>
          </m:e>
        </m:d>
        <m:r>
          <w:rPr>
            <w:rFonts w:ascii="Cambria Math" w:eastAsia="Arial Unicode MS" w:hAnsi="Cambria Math" w:cs="Arial Unicode MS"/>
            <w:color w:val="000000"/>
            <w:u w:color="000000"/>
            <w:bdr w:val="nil"/>
            <w:lang w:val="en-US" w:eastAsia="en-GB"/>
          </w:rPr>
          <m:t>=k∙CBF∙</m:t>
        </m:r>
        <m:d>
          <m:dPr>
            <m:begChr m:val="["/>
            <m:endChr m:val="]"/>
            <m:ctrlPr>
              <w:rPr>
                <w:rFonts w:ascii="Cambria Math" w:eastAsia="Arial Unicode MS" w:hAnsi="Cambria Math" w:cs="Arial Unicode MS"/>
                <w:color w:val="000000"/>
                <w:u w:color="000000"/>
                <w:bdr w:val="nil"/>
                <w:lang w:val="en-US" w:eastAsia="en-GB"/>
              </w:rPr>
            </m:ctrlPr>
          </m:dPr>
          <m:e>
            <m:r>
              <w:rPr>
                <w:rFonts w:ascii="Cambria Math" w:eastAsia="Arial Unicode MS" w:hAnsi="Cambria Math" w:cs="Arial Unicode MS"/>
                <w:color w:val="000000"/>
                <w:u w:color="000000"/>
                <w:bdr w:val="nil"/>
                <w:lang w:val="en-US" w:eastAsia="en-GB"/>
              </w:rPr>
              <m:t>Ca</m:t>
            </m:r>
            <m:d>
              <m:dPr>
                <m:ctrlPr>
                  <w:rPr>
                    <w:rFonts w:ascii="Cambria Math" w:eastAsia="Arial Unicode MS" w:hAnsi="Cambria Math" w:cs="Arial Unicode MS"/>
                    <w:color w:val="000000"/>
                    <w:u w:color="000000"/>
                    <w:bdr w:val="nil"/>
                    <w:lang w:val="en-US" w:eastAsia="en-GB"/>
                  </w:rPr>
                </m:ctrlPr>
              </m:dPr>
              <m:e>
                <m:r>
                  <w:rPr>
                    <w:rFonts w:ascii="Cambria Math" w:eastAsia="Arial Unicode MS" w:hAnsi="Cambria Math" w:cs="Arial Unicode MS"/>
                    <w:color w:val="000000"/>
                    <w:u w:color="000000"/>
                    <w:bdr w:val="nil"/>
                    <w:lang w:val="en-US" w:eastAsia="en-GB"/>
                  </w:rPr>
                  <m:t>t</m:t>
                </m:r>
              </m:e>
            </m:d>
            <m:r>
              <w:rPr>
                <w:rFonts w:ascii="Cambria Math" w:eastAsia="Arial Unicode MS" w:hAnsi="Cambria Math" w:cs="Arial Unicode MS"/>
                <w:color w:val="000000"/>
                <w:u w:color="000000"/>
                <w:bdr w:val="nil"/>
                <w:lang w:val="en-US" w:eastAsia="en-GB"/>
              </w:rPr>
              <m:t>⨂R</m:t>
            </m:r>
            <m:d>
              <m:dPr>
                <m:ctrlPr>
                  <w:rPr>
                    <w:rFonts w:ascii="Cambria Math" w:eastAsia="Arial Unicode MS" w:hAnsi="Cambria Math" w:cs="Arial Unicode MS"/>
                    <w:color w:val="000000"/>
                    <w:u w:color="000000"/>
                    <w:bdr w:val="nil"/>
                    <w:lang w:val="en-US" w:eastAsia="en-GB"/>
                  </w:rPr>
                </m:ctrlPr>
              </m:dPr>
              <m:e>
                <m:r>
                  <w:rPr>
                    <w:rFonts w:ascii="Cambria Math" w:eastAsia="Arial Unicode MS" w:hAnsi="Cambria Math" w:cs="Arial Unicode MS"/>
                    <w:color w:val="000000"/>
                    <w:u w:color="000000"/>
                    <w:bdr w:val="nil"/>
                    <w:lang w:val="en-US" w:eastAsia="en-GB"/>
                  </w:rPr>
                  <m:t>t</m:t>
                </m:r>
              </m:e>
            </m:d>
          </m:e>
        </m:d>
        <m:r>
          <w:rPr>
            <w:rFonts w:ascii="Cambria Math" w:eastAsia="Arial Unicode MS" w:hAnsi="Cambria Math" w:cs="Arial Unicode MS"/>
            <w:color w:val="000000"/>
            <w:u w:color="000000"/>
            <w:bdr w:val="nil"/>
            <w:lang w:val="en-US" w:eastAsia="en-GB"/>
          </w:rPr>
          <m:t>≡k∙CBF.</m:t>
        </m:r>
        <m:nary>
          <m:naryPr>
            <m:limLoc m:val="subSup"/>
            <m:ctrlPr>
              <w:rPr>
                <w:rFonts w:ascii="Cambria Math" w:eastAsia="Arial Unicode MS" w:hAnsi="Cambria Math" w:cs="Arial Unicode MS"/>
                <w:color w:val="000000"/>
                <w:u w:color="000000"/>
                <w:bdr w:val="nil"/>
                <w:lang w:val="en-US" w:eastAsia="en-GB"/>
              </w:rPr>
            </m:ctrlPr>
          </m:naryPr>
          <m:sub>
            <m:r>
              <w:rPr>
                <w:rFonts w:ascii="Cambria Math" w:eastAsia="Arial Unicode MS" w:hAnsi="Cambria Math" w:cs="Arial Unicode MS"/>
                <w:color w:val="000000"/>
                <w:u w:color="000000"/>
                <w:bdr w:val="nil"/>
                <w:lang w:val="en-US" w:eastAsia="en-GB"/>
              </w:rPr>
              <m:t>0</m:t>
            </m:r>
          </m:sub>
          <m:sup>
            <m:r>
              <w:rPr>
                <w:rFonts w:ascii="Cambria Math" w:eastAsia="Arial Unicode MS" w:hAnsi="Cambria Math" w:cs="Arial Unicode MS"/>
                <w:color w:val="000000"/>
                <w:u w:color="000000"/>
                <w:bdr w:val="nil"/>
                <w:lang w:val="en-US" w:eastAsia="en-GB"/>
              </w:rPr>
              <m:t>t</m:t>
            </m:r>
          </m:sup>
          <m:e>
            <m:r>
              <w:rPr>
                <w:rFonts w:ascii="Cambria Math" w:eastAsia="Arial Unicode MS" w:hAnsi="Cambria Math" w:cs="Arial Unicode MS"/>
                <w:color w:val="000000"/>
                <w:u w:color="000000"/>
                <w:bdr w:val="nil"/>
                <w:lang w:val="en-US" w:eastAsia="en-GB"/>
              </w:rPr>
              <m:t>Ca</m:t>
            </m:r>
            <m:d>
              <m:dPr>
                <m:ctrlPr>
                  <w:rPr>
                    <w:rFonts w:ascii="Cambria Math" w:eastAsia="Arial Unicode MS" w:hAnsi="Cambria Math" w:cs="Arial Unicode MS"/>
                    <w:color w:val="000000"/>
                    <w:u w:color="000000"/>
                    <w:bdr w:val="nil"/>
                    <w:lang w:val="en-US" w:eastAsia="en-GB"/>
                  </w:rPr>
                </m:ctrlPr>
              </m:dPr>
              <m:e>
                <m:r>
                  <w:rPr>
                    <w:rFonts w:ascii="Cambria Math" w:eastAsia="Arial Unicode MS" w:hAnsi="Cambria Math" w:cs="Arial Unicode MS"/>
                    <w:color w:val="000000"/>
                    <w:u w:color="000000"/>
                    <w:bdr w:val="nil"/>
                    <w:lang w:val="en-US" w:eastAsia="en-GB"/>
                  </w:rPr>
                  <m:t>τ</m:t>
                </m:r>
              </m:e>
            </m:d>
            <m:r>
              <w:rPr>
                <w:rFonts w:ascii="Cambria Math" w:eastAsia="Arial Unicode MS" w:hAnsi="Cambria Math" w:cs="Arial Unicode MS"/>
                <w:color w:val="000000"/>
                <w:u w:color="000000"/>
                <w:bdr w:val="nil"/>
                <w:lang w:val="en-US" w:eastAsia="en-GB"/>
              </w:rPr>
              <m:t>R</m:t>
            </m:r>
            <m:d>
              <m:dPr>
                <m:ctrlPr>
                  <w:rPr>
                    <w:rFonts w:ascii="Cambria Math" w:eastAsia="Arial Unicode MS" w:hAnsi="Cambria Math" w:cs="Arial Unicode MS"/>
                    <w:color w:val="000000"/>
                    <w:u w:color="000000"/>
                    <w:bdr w:val="nil"/>
                    <w:lang w:val="en-US" w:eastAsia="en-GB"/>
                  </w:rPr>
                </m:ctrlPr>
              </m:dPr>
              <m:e>
                <m:r>
                  <w:rPr>
                    <w:rFonts w:ascii="Cambria Math" w:eastAsia="Arial Unicode MS" w:hAnsi="Cambria Math" w:cs="Arial Unicode MS"/>
                    <w:color w:val="000000"/>
                    <w:u w:color="000000"/>
                    <w:bdr w:val="nil"/>
                    <w:lang w:val="en-US" w:eastAsia="en-GB"/>
                  </w:rPr>
                  <m:t>t-τ</m:t>
                </m:r>
              </m:e>
            </m:d>
            <m:r>
              <w:rPr>
                <w:rFonts w:ascii="Cambria Math" w:eastAsia="Arial Unicode MS" w:hAnsi="Cambria Math" w:cs="Arial Unicode MS"/>
                <w:color w:val="000000"/>
                <w:u w:color="000000"/>
                <w:bdr w:val="nil"/>
                <w:lang w:val="en-US" w:eastAsia="en-GB"/>
              </w:rPr>
              <m:t>dτ</m:t>
            </m:r>
          </m:e>
        </m:nary>
      </m:oMath>
      <w:r w:rsidRPr="00AF0E0B">
        <w:rPr>
          <w:rFonts w:eastAsia="Arial" w:cs="Arial"/>
          <w:i/>
          <w:iCs/>
          <w:color w:val="000000"/>
          <w:u w:color="000000"/>
          <w:bdr w:val="nil"/>
          <w:lang w:val="en-US" w:eastAsia="en-GB"/>
        </w:rPr>
        <w:t xml:space="preserve">               ( Equation 1)</w:t>
      </w:r>
    </w:p>
    <w:p w14:paraId="445490C2" w14:textId="77777777" w:rsidR="001F3F46" w:rsidRPr="00AF0E0B" w:rsidRDefault="001F3F46" w:rsidP="00AF0E0B">
      <w:pPr>
        <w:pBdr>
          <w:top w:val="nil"/>
          <w:left w:val="nil"/>
          <w:bottom w:val="nil"/>
          <w:right w:val="nil"/>
          <w:between w:val="nil"/>
          <w:bar w:val="nil"/>
        </w:pBdr>
        <w:suppressAutoHyphens/>
        <w:spacing w:line="360" w:lineRule="auto"/>
        <w:rPr>
          <w:rFonts w:eastAsia="Arial" w:cs="Arial"/>
          <w:i/>
          <w:iCs/>
          <w:color w:val="000000"/>
          <w:u w:color="000000"/>
          <w:bdr w:val="nil"/>
          <w:lang w:val="en-US" w:eastAsia="en-GB"/>
        </w:rPr>
      </w:pPr>
    </w:p>
    <w:p w14:paraId="2F9A9E6B" w14:textId="12877CEA" w:rsidR="00AF0E0B" w:rsidRPr="00AF0E0B" w:rsidRDefault="00B4740C"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Pr>
          <w:rFonts w:eastAsia="Arial Unicode MS" w:cs="Arial Unicode MS"/>
          <w:color w:val="000000"/>
          <w:u w:color="000000"/>
          <w:bdr w:val="nil"/>
          <w:lang w:val="en-US" w:eastAsia="en-GB"/>
        </w:rPr>
        <w:t>w</w:t>
      </w:r>
      <w:r w:rsidR="00AF0E0B" w:rsidRPr="00AF0E0B">
        <w:rPr>
          <w:rFonts w:eastAsia="Arial Unicode MS" w:cs="Arial Unicode MS"/>
          <w:color w:val="000000"/>
          <w:u w:color="000000"/>
          <w:bdr w:val="nil"/>
          <w:lang w:val="en-US" w:eastAsia="en-GB"/>
        </w:rPr>
        <w:t xml:space="preserve">here, </w:t>
      </w:r>
      <w:r w:rsidR="00AF0E0B" w:rsidRPr="00AF0E0B">
        <w:rPr>
          <w:rFonts w:eastAsia="Arial Unicode MS" w:cs="Arial Unicode MS"/>
          <w:i/>
          <w:iCs/>
          <w:color w:val="000000"/>
          <w:u w:color="000000"/>
          <w:bdr w:val="nil"/>
          <w:lang w:val="en-US" w:eastAsia="en-GB"/>
        </w:rPr>
        <w:t xml:space="preserve">k </w:t>
      </w:r>
      <w:r w:rsidR="00AF0E0B" w:rsidRPr="00AF0E0B">
        <w:rPr>
          <w:rFonts w:eastAsia="Arial Unicode MS" w:cs="Arial Unicode MS"/>
          <w:color w:val="000000"/>
          <w:u w:color="000000"/>
          <w:bdr w:val="nil"/>
          <w:lang w:val="en-US" w:eastAsia="en-GB"/>
        </w:rPr>
        <w:t xml:space="preserve">is a constant describing </w:t>
      </w:r>
      <w:proofErr w:type="spellStart"/>
      <w:r w:rsidR="00AF0E0B" w:rsidRPr="00AF0E0B">
        <w:rPr>
          <w:rFonts w:eastAsia="Arial Unicode MS" w:cs="Arial Unicode MS"/>
          <w:color w:val="000000"/>
          <w:u w:color="000000"/>
          <w:bdr w:val="nil"/>
          <w:lang w:val="en-US" w:eastAsia="en-GB"/>
        </w:rPr>
        <w:t>haematocrit</w:t>
      </w:r>
      <w:proofErr w:type="spellEnd"/>
      <w:r w:rsidR="00AF0E0B" w:rsidRPr="00AF0E0B">
        <w:rPr>
          <w:rFonts w:eastAsia="Arial Unicode MS" w:cs="Arial Unicode MS"/>
          <w:color w:val="000000"/>
          <w:u w:color="000000"/>
          <w:bdr w:val="nil"/>
          <w:lang w:val="en-US" w:eastAsia="en-GB"/>
        </w:rPr>
        <w:t xml:space="preserve"> and brain tissue density values, </w:t>
      </w:r>
      <w:r w:rsidR="00AF0E0B" w:rsidRPr="00AF0E0B">
        <w:rPr>
          <w:rFonts w:eastAsia="Arial Unicode MS" w:cs="Arial Unicode MS"/>
          <w:i/>
          <w:iCs/>
          <w:color w:val="000000"/>
          <w:u w:color="000000"/>
          <w:bdr w:val="nil"/>
          <w:lang w:val="en-US" w:eastAsia="en-GB"/>
        </w:rPr>
        <w:t xml:space="preserve">t </w:t>
      </w:r>
      <w:r w:rsidR="00AF0E0B" w:rsidRPr="00AF0E0B">
        <w:rPr>
          <w:rFonts w:eastAsia="Arial Unicode MS" w:cs="Arial Unicode MS"/>
          <w:color w:val="000000"/>
          <w:u w:color="000000"/>
          <w:bdr w:val="nil"/>
          <w:lang w:val="en-US" w:eastAsia="en-GB"/>
        </w:rPr>
        <w:t xml:space="preserve">is the time point of bolus arrival, </w:t>
      </w:r>
      <w:r w:rsidR="00AF0E0B" w:rsidRPr="00AF0E0B">
        <w:rPr>
          <w:rFonts w:ascii="Cambria" w:eastAsia="Cambria" w:hAnsi="Cambria" w:cs="Cambria"/>
          <w:color w:val="000000"/>
          <w:u w:color="000000"/>
          <w:bdr w:val="nil"/>
          <w:lang w:val="en-US" w:eastAsia="en-GB"/>
        </w:rPr>
        <w:t xml:space="preserve">τ </w:t>
      </w:r>
      <w:r w:rsidR="00AF0E0B" w:rsidRPr="00AF0E0B">
        <w:rPr>
          <w:rFonts w:eastAsia="Arial Unicode MS" w:cs="Arial Unicode MS"/>
          <w:color w:val="000000"/>
          <w:u w:color="000000"/>
          <w:bdr w:val="nil"/>
          <w:lang w:val="en-US" w:eastAsia="en-GB"/>
        </w:rPr>
        <w:t xml:space="preserve">is the time constant, CBF is cerebral blood flow and Ca(t) is the arterial input function.  R(t) is the residual function or the fraction of concentration of tracer in a voxel under ideal conditions of bolus arrival (i.e. instantaneous, and infinitely short) and </w:t>
      </w:r>
      <m:oMath>
        <m:r>
          <w:rPr>
            <w:rFonts w:ascii="Cambria Math" w:eastAsia="Arial Unicode MS" w:hAnsi="Cambria Math" w:cs="Arial Unicode MS"/>
            <w:color w:val="000000"/>
            <w:u w:color="000000"/>
            <w:bdr w:val="nil"/>
            <w:lang w:val="en-US" w:eastAsia="en-GB"/>
          </w:rPr>
          <m:t>⊗</m:t>
        </m:r>
      </m:oMath>
      <w:r w:rsidR="00AF0E0B" w:rsidRPr="00AF0E0B">
        <w:rPr>
          <w:rFonts w:eastAsia="Arial Unicode MS" w:cs="Arial Unicode MS"/>
          <w:color w:val="000000"/>
          <w:u w:color="000000"/>
          <w:bdr w:val="nil"/>
          <w:lang w:val="fr-FR" w:eastAsia="en-GB"/>
        </w:rPr>
        <w:t xml:space="preserve"> represents deconvolution</w:t>
      </w:r>
      <w:r w:rsidR="00AF0E0B" w:rsidRPr="00AF0E0B">
        <w:rPr>
          <w:rFonts w:eastAsia="Arial Unicode MS" w:cs="Arial Unicode MS"/>
          <w:color w:val="000000"/>
          <w:u w:color="000000"/>
          <w:bdr w:val="nil"/>
          <w:lang w:val="fr-FR" w:eastAsia="en-GB"/>
        </w:rPr>
        <w:fldChar w:fldCharType="begin"/>
      </w:r>
      <w:r w:rsidR="00AF0E0B" w:rsidRPr="00AF0E0B">
        <w:rPr>
          <w:rFonts w:eastAsia="Arial Unicode MS" w:cs="Arial Unicode MS"/>
          <w:color w:val="000000"/>
          <w:u w:color="000000"/>
          <w:bdr w:val="nil"/>
          <w:lang w:val="fr-FR" w:eastAsia="en-GB"/>
        </w:rPr>
        <w:instrText xml:space="preserve"> ADDIN EN.CITE &lt;EndNote&gt;&lt;Cite  &gt;&lt;Author&gt;Calamante&lt;/Author&gt;&lt;Year&gt;2002&lt;/Year&gt;&lt;RecNum&gt;758&lt;/RecNum&gt;&lt;DisplayText&gt;(Calamante et al., 2002)&lt;/DisplayText&gt;&lt;record&gt;&lt;dates&gt;&lt;pub-dates&gt;&lt;date&gt;Apr&lt;/date&gt;&lt;/pub-dates&gt;&lt;year&gt;2002&lt;/year&gt;&lt;/dates&gt;&lt;isbn&gt;0039-2499&lt;/isbn&gt;&lt;titles&gt;&lt;title&gt;Quantification of perfusion using bolus tracking magnetic resonance imaging in stroke - Assumptions, limitations, and potential implications for clinical use&lt;/title&gt;&lt;secondary-title&gt;Stroke&lt;/secondary-title&gt;&lt;/titles&gt;&lt;pages&gt;1146-1151&lt;/pages&gt;&lt;number&gt;4&lt;/number&gt;&lt;contributors&gt;&lt;authors&gt;&lt;author&gt;Calamante, F.&lt;/author&gt;&lt;author&gt;Gadian, D. G.&lt;/author&gt;&lt;author&gt;Connelly, A.&lt;/author&gt;&lt;/authors&gt;&lt;/contributors&gt;&lt;added-date format="utc"&gt;1373366178&lt;/added-date&gt;&lt;ref-type name="Journal Article"&gt;17&lt;/ref-type&gt;&lt;rec-number&gt;758&lt;/rec-number&gt;&lt;last-updated-date format="utc"&gt;1479817250&lt;/last-updated-date&gt;&lt;accession-num&gt;WOS:000174857400045&lt;/accession-num&gt;&lt;electronic-resource-num&gt;10.1161/01.str.0000014208.05597.33&lt;/electronic-resource-num&gt;&lt;volume&gt;33&lt;/volume&gt;&lt;/record&gt;&lt;/Cite&gt;&lt;/EndNote&gt;</w:instrText>
      </w:r>
      <w:r w:rsidR="00AF0E0B" w:rsidRPr="00AF0E0B">
        <w:rPr>
          <w:rFonts w:eastAsia="Arial Unicode MS" w:cs="Arial Unicode MS"/>
          <w:color w:val="000000"/>
          <w:u w:color="000000"/>
          <w:bdr w:val="nil"/>
          <w:lang w:val="fr-FR" w:eastAsia="en-GB"/>
        </w:rPr>
        <w:fldChar w:fldCharType="separate"/>
      </w:r>
      <w:r w:rsidR="00AF0E0B" w:rsidRPr="00AF0E0B">
        <w:rPr>
          <w:rFonts w:eastAsia="Arial Unicode MS" w:cs="Arial Unicode MS"/>
          <w:color w:val="000000"/>
          <w:u w:color="000000"/>
          <w:bdr w:val="nil"/>
          <w:lang w:val="fr-FR" w:eastAsia="en-GB"/>
        </w:rPr>
        <w:t>(Calamante et al., 2002)</w:t>
      </w:r>
      <w:r w:rsidR="00AF0E0B" w:rsidRPr="00AF0E0B">
        <w:rPr>
          <w:rFonts w:eastAsia="Arial Unicode MS" w:cs="Arial Unicode MS"/>
          <w:color w:val="000000"/>
          <w:u w:color="000000"/>
          <w:bdr w:val="nil"/>
          <w:lang w:val="fr-FR" w:eastAsia="en-GB"/>
        </w:rPr>
        <w:fldChar w:fldCharType="end"/>
      </w:r>
      <w:r w:rsidR="00AF0E0B" w:rsidRPr="00AF0E0B">
        <w:rPr>
          <w:rFonts w:eastAsia="Arial Unicode MS" w:cs="Arial Unicode MS"/>
          <w:color w:val="000000"/>
          <w:u w:color="000000"/>
          <w:bdr w:val="nil"/>
          <w:lang w:val="en-US" w:eastAsia="en-GB"/>
        </w:rPr>
        <w:t>.  CBF is a measure of flow in the region of interest (Figure 1.5) and can be used to infer neurovascular coupling during brain activity.  Hence, in order to derive quantitative CBF values to gather information about neuronal activity in regions thought to be involved in pain processing, the arterial input function (</w:t>
      </w:r>
      <w:proofErr w:type="gramStart"/>
      <w:r w:rsidR="00AF0E0B" w:rsidRPr="00AF0E0B">
        <w:rPr>
          <w:rFonts w:eastAsia="Arial Unicode MS" w:cs="Arial Unicode MS"/>
          <w:color w:val="000000"/>
          <w:u w:color="000000"/>
          <w:bdr w:val="nil"/>
          <w:lang w:val="en-US" w:eastAsia="en-GB"/>
        </w:rPr>
        <w:t>i.e.</w:t>
      </w:r>
      <w:proofErr w:type="gramEnd"/>
      <w:r w:rsidR="00AF0E0B" w:rsidRPr="00AF0E0B">
        <w:rPr>
          <w:rFonts w:eastAsia="Arial Unicode MS" w:cs="Arial Unicode MS"/>
          <w:color w:val="000000"/>
          <w:u w:color="000000"/>
          <w:bdr w:val="nil"/>
          <w:lang w:val="en-US" w:eastAsia="en-GB"/>
        </w:rPr>
        <w:t xml:space="preserve"> the concentration of contrast arriving at the voxel of interest), as well as the residual function (i.e. the fraction of contrast existing at the voxel of interest in the tissue of interest at the same time point) must be known (Figure 1.5). </w:t>
      </w:r>
    </w:p>
    <w:p w14:paraId="59BC45F0" w14:textId="3DE6AE46"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eastAsia="Arial Unicode MS" w:cs="Arial Unicode MS"/>
          <w:color w:val="000000"/>
          <w:u w:color="000000"/>
          <w:bdr w:val="nil"/>
          <w:lang w:val="en-US" w:eastAsia="en-GB"/>
        </w:rPr>
        <w:t xml:space="preserve"> Deconvolution of the arterial input function from the residual tissue function as described in equation 1, is essential to give an accurate measure of CBF </w:t>
      </w:r>
      <w:r w:rsidRPr="00AF0E0B">
        <w:rPr>
          <w:rFonts w:eastAsia="Arial Unicode MS" w:cs="Arial Unicode MS"/>
          <w:color w:val="000000"/>
          <w:u w:color="000000"/>
          <w:bdr w:val="nil"/>
          <w:lang w:val="da-DK" w:eastAsia="en-GB"/>
        </w:rPr>
        <w:fldChar w:fldCharType="begin"/>
      </w:r>
      <w:r w:rsidRPr="00AF0E0B">
        <w:rPr>
          <w:rFonts w:eastAsia="Arial Unicode MS" w:cs="Arial Unicode MS"/>
          <w:color w:val="000000"/>
          <w:u w:color="000000"/>
          <w:bdr w:val="nil"/>
          <w:lang w:val="da-DK" w:eastAsia="en-GB"/>
        </w:rPr>
        <w:instrText xml:space="preserve"> ADDIN EN.CITE &lt;EndNote&gt;&lt;Cite  &gt;&lt;Author&gt;Ostergaard&lt;/Author&gt;&lt;Year&gt;1996&lt;/Year&gt;&lt;RecNum&gt;756&lt;/RecNum&gt;&lt;DisplayText&gt;(Ostergaard et al., 1996b, Ostergaard et al., 1996a, Willats et al., 2012)&lt;/DisplayText&gt;&lt;record&gt;&lt;dates&gt;&lt;pub-dates&gt;&lt;date&gt;Nov&lt;/date&gt;&lt;/pub-dates&gt;&lt;year&gt;1996&lt;/year&gt;&lt;/dates&gt;&lt;urls&gt;&lt;related-urls&gt;&lt;url&gt;&amp;lt;Go to ISI&amp;gt;://WOS:A1996VQ36300009&lt;/url&gt;&lt;/related-urls&gt;&lt;/urls&gt;&lt;isbn&gt;0740-3194&lt;/isbn&gt;&lt;titles&gt;&lt;title&gt;High resolution measurement of cerebral blood flow using intravascular tracer bolus passages .1. Mathematical approach and statistical analysis&lt;/title&gt;&lt;secondary-title&gt;Magnetic Resonance in Medicine&lt;/secondary-title&gt;&lt;/titles&gt;&lt;pages&gt;715-725&lt;/pages&gt;&lt;number&gt;5&lt;/number&gt;&lt;contributors&gt;&lt;authors&gt;&lt;author&gt;Ostergaard, L.&lt;/author&gt;&lt;author&gt;Weisskoff, R. M.&lt;/author&gt;&lt;author&gt;Chesler, D. A.&lt;/author&gt;&lt;author&gt;Gyldensted, C.&lt;/author&gt;&lt;author&gt;Rosen, B. R.&lt;/author&gt;&lt;/authors&gt;&lt;/contributors&gt;&lt;added-date format="utc"&gt;1373363548&lt;/added-date&gt;&lt;ref-type name="Journal Article"&gt;17&lt;/ref-type&gt;&lt;rec-number&gt;756&lt;/rec-number&gt;&lt;last-updated-date format="utc"&gt;1373363548&lt;/last-updated-date&gt;&lt;accession-num&gt;WOS:A1996VQ36300009&lt;/accession-num&gt;&lt;electronic-resource-num&gt;10.1002/mrm.1910360510&lt;/electronic-resource-num&gt;&lt;volume&gt;36&lt;/volume&gt;&lt;/record&gt;&lt;/Cite&gt;&lt;Cite  &gt;&lt;Author&gt;Ostergaard&lt;/Author&gt;&lt;Year&gt;1996&lt;/Year&gt;&lt;RecNum&gt;755&lt;/RecNum&gt;&lt;record&gt;&lt;dates&gt;&lt;pub-dates&gt;&lt;date&gt;Nov&lt;/date&gt;&lt;/pub-dates&gt;&lt;year&gt;1996&lt;/year&gt;&lt;/dates&gt;&lt;urls&gt;&lt;related-urls&gt;&lt;url&gt;&amp;lt;Go to ISI&amp;gt;://WOS:A1996VQ36300010&lt;/url&gt;&lt;/related-urls&gt;&lt;/urls&gt;&lt;isbn&gt;0740-3194&lt;/isbn&gt;&lt;titles&gt;&lt;title&gt;High resolution measurement of cerebral blood flow using intravascular tracer bolus passages .2. Experimental comparison and preliminary results&lt;/title&gt;&lt;secondary-title&gt;Magnetic Resonance in Medicine&lt;/secondary-title&gt;&lt;/titles&gt;&lt;pages&gt;726-736&lt;/pages&gt;&lt;number&gt;5&lt;/number&gt;&lt;contributors&gt;&lt;authors&gt;&lt;author&gt;Ostergaard, L.&lt;/author&gt;&lt;author&gt;Sorensen, A. G.&lt;/author&gt;&lt;author&gt;Kwong, K. K.&lt;/author&gt;&lt;author&gt;Weisskoff, R. M.&lt;/author&gt;&lt;author&gt;Gyldensted, C.&lt;/author&gt;&lt;author&gt;Rosen, B. R.&lt;/author&gt;&lt;/authors&gt;&lt;/contributors&gt;&lt;added-date format="utc"&gt;1373363548&lt;/added-date&gt;&lt;ref-type name="Journal Article"&gt;17&lt;/ref-type&gt;&lt;rec-number&gt;755&lt;/rec-number&gt;&lt;last-updated-date format="utc"&gt;1373363548&lt;/last-updated-date&gt;&lt;accession-num&gt;WOS:A1996VQ36300010&lt;/accession-num&gt;&lt;electronic-resource-num&gt;10.1002/mrm.1910360511&lt;/electronic-resource-num&gt;&lt;volume&gt;36&lt;/volume&gt;&lt;/record&gt;&lt;/Cite&gt;&lt;Cite  &gt;&lt;Author&gt;Willats&lt;/Author&gt;&lt;Year&gt;2012&lt;/Year&gt;&lt;RecNum&gt;988&lt;/RecNum&gt;&lt;record&gt;&lt;dates&gt;&lt;pub-dates&gt;&lt;date&gt;Apr&lt;/date&gt;&lt;/pub-dates&gt;&lt;year&gt;2012&lt;/year&gt;&lt;/dates&gt;&lt;urls&gt;&lt;related-urls&gt;&lt;url&gt;&amp;lt;Go to ISI&amp;gt;://WOS:000302124200023&lt;/url&gt;&lt;/related-urls&gt;&lt;/urls&gt;&lt;isbn&gt;0039-2499&lt;/isbn&gt;&lt;titles&gt;&lt;title&gt;The Role of Bolus Delay and Dispersion in Predictor Models for Stroke&lt;/title&gt;&lt;secondary-title&gt;Stroke&lt;/secondary-title&gt;&lt;/titles&gt;&lt;pages&gt;1025-1031&lt;/pages&gt;&lt;number&gt;4&lt;/number&gt;&lt;contributors&gt;&lt;authors&gt;&lt;author&gt;Willats, L.&lt;/author&gt;&lt;author&gt;Connelly, A.&lt;/author&gt;&lt;author&gt;Christensen, S.&lt;/author&gt;&lt;author&gt;Donnan, G. A.&lt;/author&gt;&lt;author&gt;Davis, S. M.&lt;/author&gt;&lt;author&gt;Calamante, F.&lt;/author&gt;&lt;/authors&gt;&lt;/contributors&gt;&lt;added-date format="utc"&gt;1551304626&lt;/added-date&gt;&lt;ref-type name="Journal Article"&gt;17&lt;/ref-type&gt;&lt;rec-number&gt;988&lt;/rec-number&gt;&lt;last-updated-date format="utc"&gt;1569073634&lt;/last-updated-date&gt;&lt;accession-num&gt;WOS:000302124200023&lt;/accession-num&gt;&lt;electronic-resource-num&gt;10.1161/strokeaha.111.635888&lt;/electronic-resource-num&gt;&lt;volume&gt;43&lt;/volume&gt;&lt;/record&gt;&lt;/Cite&gt;&lt;/EndNote&gt;</w:instrText>
      </w:r>
      <w:r w:rsidRPr="00AF0E0B">
        <w:rPr>
          <w:rFonts w:eastAsia="Arial Unicode MS" w:cs="Arial Unicode MS"/>
          <w:color w:val="000000"/>
          <w:u w:color="000000"/>
          <w:bdr w:val="nil"/>
          <w:lang w:val="da-DK" w:eastAsia="en-GB"/>
        </w:rPr>
        <w:fldChar w:fldCharType="separate"/>
      </w:r>
      <w:r w:rsidRPr="00AF0E0B">
        <w:rPr>
          <w:rFonts w:eastAsia="Arial Unicode MS" w:cs="Arial Unicode MS"/>
          <w:color w:val="000000"/>
          <w:u w:color="000000"/>
          <w:bdr w:val="nil"/>
          <w:lang w:val="da-DK" w:eastAsia="en-GB"/>
        </w:rPr>
        <w:t>(Ostergaard et al., 1996b, Ostergaard et al., 1996a, Willats et al., 2012)</w:t>
      </w:r>
      <w:r w:rsidRPr="00AF0E0B">
        <w:rPr>
          <w:rFonts w:eastAsia="Arial Unicode MS" w:cs="Arial Unicode MS"/>
          <w:color w:val="000000"/>
          <w:u w:color="000000"/>
          <w:bdr w:val="nil"/>
          <w:lang w:val="da-DK" w:eastAsia="en-GB"/>
        </w:rPr>
        <w:fldChar w:fldCharType="end"/>
      </w:r>
      <w:r w:rsidRPr="00AF0E0B">
        <w:rPr>
          <w:rFonts w:eastAsia="Arial Unicode MS" w:cs="Arial Unicode MS"/>
          <w:color w:val="000000"/>
          <w:u w:color="000000"/>
          <w:bdr w:val="nil"/>
          <w:lang w:val="en-US" w:eastAsia="en-GB"/>
        </w:rPr>
        <w:t>, however identification and calculation of the arterial input function may not be straight forward as described below in the section “Limitation of DSC” p</w:t>
      </w:r>
      <w:r w:rsidR="0052733F">
        <w:rPr>
          <w:rFonts w:eastAsia="Arial Unicode MS" w:cs="Arial Unicode MS"/>
          <w:color w:val="000000"/>
          <w:u w:color="000000"/>
          <w:bdr w:val="nil"/>
          <w:lang w:val="en-US" w:eastAsia="en-GB"/>
        </w:rPr>
        <w:t xml:space="preserve"> 3</w:t>
      </w:r>
      <w:r w:rsidR="007D42FC">
        <w:rPr>
          <w:rFonts w:eastAsia="Arial Unicode MS" w:cs="Arial Unicode MS"/>
          <w:color w:val="000000"/>
          <w:u w:color="000000"/>
          <w:bdr w:val="nil"/>
          <w:lang w:val="en-US" w:eastAsia="en-GB"/>
        </w:rPr>
        <w:t>5.</w:t>
      </w:r>
    </w:p>
    <w:p w14:paraId="26D3E493" w14:textId="77220A3C"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eastAsia="Arial Unicode MS" w:cs="Arial Unicode MS"/>
          <w:color w:val="000000"/>
          <w:u w:color="000000"/>
          <w:bdr w:val="nil"/>
          <w:lang w:val="en-US" w:eastAsia="en-GB"/>
        </w:rPr>
        <w:t>CBV can be calculated by the integral of the tissue concentration curve in the region of interest (C</w:t>
      </w:r>
      <w:r w:rsidRPr="00AF0E0B">
        <w:rPr>
          <w:rFonts w:eastAsia="Arial Unicode MS" w:cs="Arial Unicode MS"/>
          <w:color w:val="000000"/>
          <w:u w:color="000000"/>
          <w:bdr w:val="nil"/>
          <w:vertAlign w:val="subscript"/>
          <w:lang w:val="fr-FR" w:eastAsia="en-GB"/>
        </w:rPr>
        <w:t>ROI</w:t>
      </w:r>
      <w:r w:rsidRPr="00AF0E0B">
        <w:rPr>
          <w:rFonts w:eastAsia="Arial Unicode MS" w:cs="Arial Unicode MS"/>
          <w:color w:val="000000"/>
          <w:u w:color="000000"/>
          <w:bdr w:val="nil"/>
          <w:lang w:val="en-US" w:eastAsia="en-GB"/>
        </w:rPr>
        <w:t xml:space="preserve">) divided by the integral of the arterial input function (see Equation 2 and Figure 1.5) and represents the concentration of contrast within the tissue of interest (Figure 1.5).  CBV is an indirect measure of capillary density </w:t>
      </w:r>
      <w:r w:rsidRPr="00AF0E0B">
        <w:rPr>
          <w:rFonts w:eastAsia="Arial Unicode MS" w:cs="Arial Unicode MS"/>
          <w:color w:val="000000"/>
          <w:u w:color="000000"/>
          <w:bdr w:val="nil"/>
          <w:lang w:val="fr-FR" w:eastAsia="en-GB"/>
        </w:rPr>
        <w:fldChar w:fldCharType="begin">
          <w:fldData xml:space="preserve">PEVuZE5vdGU+PENpdGU+PEF1dGhvcj5XaWxsYXRzPC9BdXRob3I+PFllYXI+MjAxMzwvWWVhcj48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</w:fldData>
        </w:fldChar>
      </w:r>
      <w:r w:rsidR="009968E0">
        <w:rPr>
          <w:rFonts w:eastAsia="Arial Unicode MS" w:cs="Arial Unicode MS"/>
          <w:color w:val="000000"/>
          <w:u w:color="000000"/>
          <w:bdr w:val="nil"/>
          <w:lang w:val="fr-FR" w:eastAsia="en-GB"/>
        </w:rPr>
        <w:instrText xml:space="preserve"> ADDIN EN.CITE </w:instrText>
      </w:r>
      <w:r w:rsidR="009968E0">
        <w:rPr>
          <w:rFonts w:eastAsia="Arial Unicode MS" w:cs="Arial Unicode MS"/>
          <w:color w:val="000000"/>
          <w:u w:color="000000"/>
          <w:bdr w:val="nil"/>
          <w:lang w:val="fr-FR" w:eastAsia="en-GB"/>
        </w:rPr>
        <w:fldChar w:fldCharType="begin">
          <w:fldData xml:space="preserve">PEVuZE5vdGU+PENpdGU+PEF1dGhvcj5XaWxsYXRzPC9BdXRob3I+PFllYXI+MjAxMzwvWWVhcj48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</w:fldData>
        </w:fldChar>
      </w:r>
      <w:r w:rsidR="009968E0">
        <w:rPr>
          <w:rFonts w:eastAsia="Arial Unicode MS" w:cs="Arial Unicode MS"/>
          <w:color w:val="000000"/>
          <w:u w:color="000000"/>
          <w:bdr w:val="nil"/>
          <w:lang w:val="fr-FR" w:eastAsia="en-GB"/>
        </w:rPr>
        <w:instrText xml:space="preserve"> ADDIN EN.CITE.DATA </w:instrText>
      </w:r>
      <w:r w:rsidR="009968E0">
        <w:rPr>
          <w:rFonts w:eastAsia="Arial Unicode MS" w:cs="Arial Unicode MS"/>
          <w:color w:val="000000"/>
          <w:u w:color="000000"/>
          <w:bdr w:val="nil"/>
          <w:lang w:val="fr-FR" w:eastAsia="en-GB"/>
        </w:rPr>
      </w:r>
      <w:r w:rsidR="009968E0">
        <w:rPr>
          <w:rFonts w:eastAsia="Arial Unicode MS" w:cs="Arial Unicode MS"/>
          <w:color w:val="000000"/>
          <w:u w:color="000000"/>
          <w:bdr w:val="nil"/>
          <w:lang w:val="fr-FR" w:eastAsia="en-GB"/>
        </w:rPr>
        <w:fldChar w:fldCharType="end"/>
      </w:r>
      <w:r w:rsidRPr="00AF0E0B">
        <w:rPr>
          <w:rFonts w:eastAsia="Arial Unicode MS" w:cs="Arial Unicode MS"/>
          <w:color w:val="000000"/>
          <w:u w:color="000000"/>
          <w:bdr w:val="nil"/>
          <w:lang w:val="fr-FR" w:eastAsia="en-GB"/>
        </w:rPr>
      </w:r>
      <w:r w:rsidRPr="00AF0E0B">
        <w:rPr>
          <w:rFonts w:eastAsia="Arial Unicode MS" w:cs="Arial Unicode MS"/>
          <w:color w:val="000000"/>
          <w:u w:color="000000"/>
          <w:bdr w:val="nil"/>
          <w:lang w:val="fr-FR" w:eastAsia="en-GB"/>
        </w:rPr>
        <w:fldChar w:fldCharType="separate"/>
      </w:r>
      <w:r w:rsidR="009968E0">
        <w:rPr>
          <w:rFonts w:eastAsia="Arial Unicode MS" w:cs="Arial Unicode MS"/>
          <w:noProof/>
          <w:color w:val="000000"/>
          <w:u w:color="000000"/>
          <w:bdr w:val="nil"/>
          <w:lang w:val="fr-FR" w:eastAsia="en-GB"/>
        </w:rPr>
        <w:t>(Willats and Calamante, 2013b, Quarles et al., 2019)</w:t>
      </w:r>
      <w:r w:rsidRPr="00AF0E0B">
        <w:rPr>
          <w:rFonts w:eastAsia="Arial Unicode MS" w:cs="Arial Unicode MS"/>
          <w:color w:val="000000"/>
          <w:u w:color="000000"/>
          <w:bdr w:val="nil"/>
          <w:lang w:val="fr-FR" w:eastAsia="en-GB"/>
        </w:rPr>
        <w:fldChar w:fldCharType="end"/>
      </w:r>
      <w:r w:rsidRPr="00AF0E0B">
        <w:rPr>
          <w:rFonts w:eastAsia="Arial Unicode MS" w:cs="Arial Unicode MS"/>
          <w:color w:val="000000"/>
          <w:u w:color="000000"/>
          <w:bdr w:val="nil"/>
          <w:lang w:val="en-US" w:eastAsia="en-GB"/>
        </w:rPr>
        <w:t xml:space="preserve">.  MTT is calculated by dividing the cerebral blood volume </w:t>
      </w:r>
      <w:r w:rsidRPr="00AF0E0B">
        <w:rPr>
          <w:rFonts w:eastAsia="Arial Unicode MS" w:cs="Arial Unicode MS"/>
          <w:color w:val="000000"/>
          <w:u w:color="000000"/>
          <w:bdr w:val="nil"/>
          <w:lang w:val="en-US" w:eastAsia="en-GB"/>
        </w:rPr>
        <w:lastRenderedPageBreak/>
        <w:t>by the cerebral blood flow (see Equation 3 and Figure 1.5) and represents the time it takes for contrast to traverse a region of interest (Figure 1.5).</w:t>
      </w:r>
    </w:p>
    <w:p w14:paraId="2BA33FA7" w14:textId="111C79D0" w:rsidR="00AF0E0B" w:rsidRPr="00AF0E0B" w:rsidRDefault="00AF0E0B" w:rsidP="00AF0E0B">
      <w:pPr>
        <w:pBdr>
          <w:top w:val="nil"/>
          <w:left w:val="nil"/>
          <w:bottom w:val="nil"/>
          <w:right w:val="nil"/>
          <w:between w:val="nil"/>
          <w:bar w:val="nil"/>
        </w:pBdr>
        <w:suppressAutoHyphens/>
        <w:spacing w:line="360" w:lineRule="auto"/>
        <w:jc w:val="right"/>
        <w:rPr>
          <w:rFonts w:eastAsia="Arial" w:cs="Arial"/>
          <w:i/>
          <w:iCs/>
          <w:color w:val="000000"/>
          <w:u w:color="000000"/>
          <w:bdr w:val="nil"/>
          <w:lang w:val="en-US" w:eastAsia="en-GB"/>
        </w:rPr>
      </w:pPr>
      <m:oMath>
        <m:r>
          <w:rPr>
            <w:rFonts w:ascii="Cambria Math" w:eastAsia="Arial Unicode MS" w:hAnsi="Cambria Math" w:cs="Arial Unicode MS"/>
            <w:color w:val="000000"/>
            <w:u w:color="000000"/>
            <w:bdr w:val="nil"/>
            <w:lang w:val="en-US" w:eastAsia="en-GB"/>
          </w:rPr>
          <m:t>CBV=</m:t>
        </m:r>
        <m:f>
          <m:fPr>
            <m:ctrlPr>
              <w:rPr>
                <w:rFonts w:ascii="Cambria Math" w:eastAsia="Arial Unicode MS" w:hAnsi="Cambria Math" w:cs="Arial Unicode MS"/>
                <w:color w:val="000000"/>
                <w:u w:color="000000"/>
                <w:bdr w:val="nil"/>
                <w:lang w:val="en-US" w:eastAsia="en-GB"/>
              </w:rPr>
            </m:ctrlPr>
          </m:fPr>
          <m:num>
            <m:r>
              <w:rPr>
                <w:rFonts w:ascii="Cambria Math" w:eastAsia="Arial Unicode MS" w:hAnsi="Cambria Math" w:cs="Arial Unicode MS"/>
                <w:color w:val="000000"/>
                <w:u w:color="000000"/>
                <w:bdr w:val="nil"/>
                <w:lang w:val="en-US" w:eastAsia="en-GB"/>
              </w:rPr>
              <m:t>∫</m:t>
            </m:r>
            <m:sSub>
              <m:sSubPr>
                <m:ctrlPr>
                  <w:rPr>
                    <w:rFonts w:ascii="Cambria Math" w:eastAsia="Arial Unicode MS" w:hAnsi="Cambria Math" w:cs="Arial Unicode MS"/>
                    <w:color w:val="000000"/>
                    <w:u w:color="000000"/>
                    <w:bdr w:val="nil"/>
                    <w:lang w:val="en-US" w:eastAsia="en-GB"/>
                  </w:rPr>
                </m:ctrlPr>
              </m:sSubPr>
              <m:e>
                <m:r>
                  <w:rPr>
                    <w:rFonts w:ascii="Cambria Math" w:eastAsia="Arial Unicode MS" w:hAnsi="Cambria Math" w:cs="Arial Unicode MS"/>
                    <w:color w:val="000000"/>
                    <w:u w:color="000000"/>
                    <w:bdr w:val="nil"/>
                    <w:lang w:val="en-US" w:eastAsia="en-GB"/>
                  </w:rPr>
                  <m:t>C</m:t>
                </m:r>
              </m:e>
              <m:sub>
                <m:r>
                  <w:rPr>
                    <w:rFonts w:ascii="Cambria Math" w:eastAsia="Arial Unicode MS" w:hAnsi="Cambria Math" w:cs="Arial Unicode MS"/>
                    <w:color w:val="000000"/>
                    <w:u w:color="000000"/>
                    <w:bdr w:val="nil"/>
                    <w:lang w:val="en-US" w:eastAsia="en-GB"/>
                  </w:rPr>
                  <m:t>ROI</m:t>
                </m:r>
              </m:sub>
            </m:sSub>
            <m:d>
              <m:dPr>
                <m:ctrlPr>
                  <w:rPr>
                    <w:rFonts w:ascii="Cambria Math" w:eastAsia="Arial Unicode MS" w:hAnsi="Cambria Math" w:cs="Arial Unicode MS"/>
                    <w:color w:val="000000"/>
                    <w:u w:color="000000"/>
                    <w:bdr w:val="nil"/>
                    <w:lang w:val="en-US" w:eastAsia="en-GB"/>
                  </w:rPr>
                </m:ctrlPr>
              </m:dPr>
              <m:e>
                <m:r>
                  <w:rPr>
                    <w:rFonts w:ascii="Cambria Math" w:eastAsia="Arial Unicode MS" w:hAnsi="Cambria Math" w:cs="Arial Unicode MS"/>
                    <w:color w:val="000000"/>
                    <w:u w:color="000000"/>
                    <w:bdr w:val="nil"/>
                    <w:lang w:val="en-US" w:eastAsia="en-GB"/>
                  </w:rPr>
                  <m:t>t</m:t>
                </m:r>
              </m:e>
            </m:d>
            <m:r>
              <w:rPr>
                <w:rFonts w:ascii="Cambria Math" w:eastAsia="Arial Unicode MS" w:hAnsi="Cambria Math" w:cs="Arial Unicode MS"/>
                <w:color w:val="000000"/>
                <w:u w:color="000000"/>
                <w:bdr w:val="nil"/>
                <w:lang w:val="en-US" w:eastAsia="en-GB"/>
              </w:rPr>
              <m:t>dt</m:t>
            </m:r>
          </m:num>
          <m:den>
            <m:r>
              <w:rPr>
                <w:rFonts w:ascii="Cambria Math" w:eastAsia="Arial Unicode MS" w:hAnsi="Cambria Math" w:cs="Arial Unicode MS"/>
                <w:color w:val="000000"/>
                <w:u w:color="000000"/>
                <w:bdr w:val="nil"/>
                <w:lang w:val="en-US" w:eastAsia="en-GB"/>
              </w:rPr>
              <m:t>∫</m:t>
            </m:r>
            <m:sSub>
              <m:sSubPr>
                <m:ctrlPr>
                  <w:rPr>
                    <w:rFonts w:ascii="Cambria Math" w:eastAsia="Arial Unicode MS" w:hAnsi="Cambria Math" w:cs="Arial Unicode MS"/>
                    <w:color w:val="000000"/>
                    <w:u w:color="000000"/>
                    <w:bdr w:val="nil"/>
                    <w:lang w:val="en-US" w:eastAsia="en-GB"/>
                  </w:rPr>
                </m:ctrlPr>
              </m:sSubPr>
              <m:e>
                <m:r>
                  <w:rPr>
                    <w:rFonts w:ascii="Cambria Math" w:eastAsia="Arial Unicode MS" w:hAnsi="Cambria Math" w:cs="Arial Unicode MS"/>
                    <w:color w:val="000000"/>
                    <w:u w:color="000000"/>
                    <w:bdr w:val="nil"/>
                    <w:lang w:val="en-US" w:eastAsia="en-GB"/>
                  </w:rPr>
                  <m:t>C</m:t>
                </m:r>
              </m:e>
              <m:sub>
                <m:r>
                  <w:rPr>
                    <w:rFonts w:ascii="Cambria Math" w:eastAsia="Arial Unicode MS" w:hAnsi="Cambria Math" w:cs="Arial Unicode MS"/>
                    <w:color w:val="000000"/>
                    <w:u w:color="000000"/>
                    <w:bdr w:val="nil"/>
                    <w:lang w:val="en-US" w:eastAsia="en-GB"/>
                  </w:rPr>
                  <m:t>a</m:t>
                </m:r>
              </m:sub>
            </m:sSub>
            <m:d>
              <m:dPr>
                <m:ctrlPr>
                  <w:rPr>
                    <w:rFonts w:ascii="Cambria Math" w:eastAsia="Arial Unicode MS" w:hAnsi="Cambria Math" w:cs="Arial Unicode MS"/>
                    <w:color w:val="000000"/>
                    <w:u w:color="000000"/>
                    <w:bdr w:val="nil"/>
                    <w:lang w:val="en-US" w:eastAsia="en-GB"/>
                  </w:rPr>
                </m:ctrlPr>
              </m:dPr>
              <m:e>
                <m:r>
                  <w:rPr>
                    <w:rFonts w:ascii="Cambria Math" w:eastAsia="Arial Unicode MS" w:hAnsi="Cambria Math" w:cs="Arial Unicode MS"/>
                    <w:color w:val="000000"/>
                    <w:u w:color="000000"/>
                    <w:bdr w:val="nil"/>
                    <w:lang w:val="en-US" w:eastAsia="en-GB"/>
                  </w:rPr>
                  <m:t>t</m:t>
                </m:r>
              </m:e>
            </m:d>
            <m:r>
              <w:rPr>
                <w:rFonts w:ascii="Cambria Math" w:eastAsia="Arial Unicode MS" w:hAnsi="Cambria Math" w:cs="Arial Unicode MS"/>
                <w:color w:val="000000"/>
                <w:u w:color="000000"/>
                <w:bdr w:val="nil"/>
                <w:lang w:val="en-US" w:eastAsia="en-GB"/>
              </w:rPr>
              <m:t>dt</m:t>
            </m:r>
          </m:den>
        </m:f>
      </m:oMath>
      <w:r w:rsidR="00A014BE">
        <w:rPr>
          <w:rFonts w:eastAsia="Arial" w:cs="Arial"/>
          <w:i/>
          <w:iCs/>
          <w:color w:val="000000"/>
          <w:u w:color="000000"/>
          <w:bdr w:val="nil"/>
          <w:lang w:val="en-US" w:eastAsia="en-GB"/>
        </w:rPr>
        <w:t xml:space="preserve">                        </w:t>
      </w:r>
      <w:r w:rsidRPr="00AF0E0B">
        <w:rPr>
          <w:rFonts w:eastAsia="Arial" w:cs="Arial"/>
          <w:i/>
          <w:iCs/>
          <w:color w:val="000000"/>
          <w:u w:color="000000"/>
          <w:bdr w:val="nil"/>
          <w:lang w:val="en-US" w:eastAsia="en-GB"/>
        </w:rPr>
        <w:t xml:space="preserve">                                   (Equation 2)</w:t>
      </w:r>
    </w:p>
    <w:p w14:paraId="30CDC4A2" w14:textId="069A1375" w:rsidR="00AF0E0B" w:rsidRDefault="00AF0E0B" w:rsidP="00AF0E0B">
      <w:pPr>
        <w:pBdr>
          <w:top w:val="nil"/>
          <w:left w:val="nil"/>
          <w:bottom w:val="nil"/>
          <w:right w:val="nil"/>
          <w:between w:val="nil"/>
          <w:bar w:val="nil"/>
        </w:pBdr>
        <w:suppressAutoHyphens/>
        <w:spacing w:line="360" w:lineRule="auto"/>
        <w:jc w:val="right"/>
        <w:rPr>
          <w:rFonts w:eastAsia="Arial" w:cs="Arial"/>
          <w:i/>
          <w:iCs/>
          <w:color w:val="000000"/>
          <w:u w:color="000000"/>
          <w:bdr w:val="nil"/>
          <w:lang w:val="en-US" w:eastAsia="en-GB"/>
        </w:rPr>
      </w:pPr>
      <m:oMath>
        <m:r>
          <w:rPr>
            <w:rFonts w:ascii="Cambria Math" w:eastAsia="Arial Unicode MS" w:hAnsi="Cambria Math" w:cs="Arial Unicode MS"/>
            <w:color w:val="000000"/>
            <w:u w:color="000000"/>
            <w:bdr w:val="nil"/>
            <w:lang w:val="en-US" w:eastAsia="en-GB"/>
          </w:rPr>
          <m:t>MTT=</m:t>
        </m:r>
        <m:f>
          <m:fPr>
            <m:ctrlPr>
              <w:rPr>
                <w:rFonts w:ascii="Cambria Math" w:eastAsia="Arial Unicode MS" w:hAnsi="Cambria Math" w:cs="Arial Unicode MS"/>
                <w:color w:val="000000"/>
                <w:u w:color="000000"/>
                <w:bdr w:val="nil"/>
                <w:lang w:val="en-US" w:eastAsia="en-GB"/>
              </w:rPr>
            </m:ctrlPr>
          </m:fPr>
          <m:num>
            <m:r>
              <w:rPr>
                <w:rFonts w:ascii="Cambria Math" w:eastAsia="Arial Unicode MS" w:hAnsi="Cambria Math" w:cs="Arial Unicode MS"/>
                <w:color w:val="000000"/>
                <w:u w:color="000000"/>
                <w:bdr w:val="nil"/>
                <w:lang w:val="en-US" w:eastAsia="en-GB"/>
              </w:rPr>
              <m:t>CBV</m:t>
            </m:r>
          </m:num>
          <m:den>
            <m:r>
              <w:rPr>
                <w:rFonts w:ascii="Cambria Math" w:eastAsia="Arial Unicode MS" w:hAnsi="Cambria Math" w:cs="Arial Unicode MS"/>
                <w:color w:val="000000"/>
                <w:u w:color="000000"/>
                <w:bdr w:val="nil"/>
                <w:lang w:val="en-US" w:eastAsia="en-GB"/>
              </w:rPr>
              <m:t>CBF</m:t>
            </m:r>
          </m:den>
        </m:f>
      </m:oMath>
      <w:r w:rsidRPr="00AF0E0B">
        <w:rPr>
          <w:rFonts w:eastAsia="Arial" w:cs="Arial"/>
          <w:i/>
          <w:iCs/>
          <w:color w:val="000000"/>
          <w:u w:color="000000"/>
          <w:bdr w:val="nil"/>
          <w:lang w:val="en-US" w:eastAsia="en-GB"/>
        </w:rPr>
        <w:t xml:space="preserve">  </w:t>
      </w:r>
      <w:r w:rsidR="00A014BE">
        <w:rPr>
          <w:rFonts w:eastAsia="Arial" w:cs="Arial"/>
          <w:i/>
          <w:iCs/>
          <w:color w:val="000000"/>
          <w:u w:color="000000"/>
          <w:bdr w:val="nil"/>
          <w:lang w:val="en-US" w:eastAsia="en-GB"/>
        </w:rPr>
        <w:t xml:space="preserve">                            </w:t>
      </w:r>
      <w:r w:rsidRPr="00AF0E0B">
        <w:rPr>
          <w:rFonts w:eastAsia="Arial" w:cs="Arial"/>
          <w:i/>
          <w:iCs/>
          <w:color w:val="000000"/>
          <w:u w:color="000000"/>
          <w:bdr w:val="nil"/>
          <w:lang w:val="en-US" w:eastAsia="en-GB"/>
        </w:rPr>
        <w:t xml:space="preserve">                                       (Equation 3)</w:t>
      </w:r>
    </w:p>
    <w:p w14:paraId="33E9C09F" w14:textId="77777777" w:rsidR="00FF1F4F" w:rsidRPr="00AF0E0B" w:rsidRDefault="00FF1F4F" w:rsidP="00AF0E0B">
      <w:pPr>
        <w:pBdr>
          <w:top w:val="nil"/>
          <w:left w:val="nil"/>
          <w:bottom w:val="nil"/>
          <w:right w:val="nil"/>
          <w:between w:val="nil"/>
          <w:bar w:val="nil"/>
        </w:pBdr>
        <w:suppressAutoHyphens/>
        <w:spacing w:line="360" w:lineRule="auto"/>
        <w:jc w:val="right"/>
        <w:rPr>
          <w:rFonts w:eastAsia="Arial" w:cs="Arial"/>
          <w:i/>
          <w:iCs/>
          <w:color w:val="000000"/>
          <w:u w:color="000000"/>
          <w:bdr w:val="nil"/>
          <w:lang w:val="en-US" w:eastAsia="en-GB"/>
        </w:rPr>
      </w:pPr>
    </w:p>
    <w:p w14:paraId="60FD41F5" w14:textId="385CC0F6" w:rsidR="00AF0E0B" w:rsidRDefault="00AF0E0B" w:rsidP="009F58A0">
      <w:pPr>
        <w:pStyle w:val="Subtitle"/>
      </w:pPr>
      <w:bookmarkStart w:id="51" w:name="_Toc49972744"/>
      <w:bookmarkStart w:id="52" w:name="_Toc64724166"/>
      <w:r w:rsidRPr="009F58A0">
        <w:t xml:space="preserve">Figure 1.5  DSC-MRI technique: </w:t>
      </w:r>
      <w:r w:rsidR="00E62856">
        <w:t>D</w:t>
      </w:r>
      <w:r w:rsidRPr="009F58A0">
        <w:t xml:space="preserve">econvolution of the </w:t>
      </w:r>
      <w:r w:rsidR="00E62856">
        <w:t>A</w:t>
      </w:r>
      <w:r w:rsidRPr="009F58A0">
        <w:t xml:space="preserve">rterial </w:t>
      </w:r>
      <w:r w:rsidR="00E62856">
        <w:t>I</w:t>
      </w:r>
      <w:r w:rsidRPr="009F58A0">
        <w:t xml:space="preserve">nput </w:t>
      </w:r>
      <w:r w:rsidR="00E62856">
        <w:t>F</w:t>
      </w:r>
      <w:r w:rsidRPr="009F58A0">
        <w:t xml:space="preserve">unction from the </w:t>
      </w:r>
      <w:r w:rsidR="00E62856">
        <w:t>T</w:t>
      </w:r>
      <w:r w:rsidRPr="009F58A0">
        <w:t xml:space="preserve">issue </w:t>
      </w:r>
      <w:r w:rsidR="00E62856">
        <w:t>C</w:t>
      </w:r>
      <w:r w:rsidRPr="009F58A0">
        <w:t xml:space="preserve">oncentration </w:t>
      </w:r>
      <w:r w:rsidR="00E62856">
        <w:t>C</w:t>
      </w:r>
      <w:r w:rsidRPr="009F58A0">
        <w:t xml:space="preserve">urve for CBF, </w:t>
      </w:r>
      <w:r w:rsidR="00E62856">
        <w:t>I</w:t>
      </w:r>
      <w:r w:rsidRPr="009F58A0">
        <w:t xml:space="preserve">ntegration of the </w:t>
      </w:r>
      <w:r w:rsidR="00E62856">
        <w:t>C</w:t>
      </w:r>
      <w:r w:rsidRPr="009F58A0">
        <w:t xml:space="preserve">urves for CBV, and </w:t>
      </w:r>
      <w:r w:rsidR="00E62856">
        <w:t>D</w:t>
      </w:r>
      <w:r w:rsidRPr="009F58A0">
        <w:t>erivation of MTT.</w:t>
      </w:r>
      <w:bookmarkEnd w:id="51"/>
      <w:bookmarkEnd w:id="52"/>
    </w:p>
    <w:p w14:paraId="596370D7" w14:textId="77777777" w:rsidR="00FE3E5C" w:rsidRPr="00FE3E5C" w:rsidRDefault="00FE3E5C" w:rsidP="00FE3E5C">
      <w:pPr>
        <w:pStyle w:val="Body"/>
        <w:rPr>
          <w:lang w:val="en-US"/>
        </w:rPr>
      </w:pPr>
    </w:p>
    <w:p w14:paraId="6ED83C4D" w14:textId="56ECBFEC" w:rsidR="00AF0E0B" w:rsidRDefault="002F15F5"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Pr>
          <w:rFonts w:eastAsia="Arial Unicode MS" w:cs="Arial Unicode MS"/>
          <w:color w:val="000000"/>
          <w:u w:color="000000"/>
          <w:bdr w:val="nil"/>
          <w:lang w:val="en-US" w:eastAsia="en-GB"/>
        </w:rPr>
        <w:t>Figure omitted due to permissions</w:t>
      </w:r>
    </w:p>
    <w:p w14:paraId="538B9614" w14:textId="77777777" w:rsidR="00FE3E5C" w:rsidRPr="00AF0E0B" w:rsidRDefault="00FE3E5C"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p>
    <w:p w14:paraId="788E502D" w14:textId="5FE91E55" w:rsidR="00AF0E0B" w:rsidRDefault="00AF0E0B" w:rsidP="00AF0E0B">
      <w:pPr>
        <w:pBdr>
          <w:top w:val="nil"/>
          <w:left w:val="nil"/>
          <w:bottom w:val="nil"/>
          <w:right w:val="nil"/>
          <w:between w:val="nil"/>
          <w:bar w:val="nil"/>
        </w:pBdr>
        <w:suppressAutoHyphens/>
        <w:spacing w:line="360" w:lineRule="auto"/>
        <w:rPr>
          <w:rFonts w:eastAsia="Arial Unicode MS" w:cs="Arial Unicode MS"/>
          <w:i/>
          <w:iCs/>
          <w:color w:val="808080"/>
          <w:sz w:val="21"/>
          <w:szCs w:val="21"/>
          <w:u w:color="808080"/>
          <w:bdr w:val="nil"/>
          <w:lang w:val="de-DE" w:eastAsia="en-GB"/>
        </w:rPr>
      </w:pPr>
      <w:r w:rsidRPr="00AF0E0B">
        <w:rPr>
          <w:rFonts w:eastAsia="Arial Unicode MS" w:cs="Arial Unicode MS"/>
          <w:i/>
          <w:iCs/>
          <w:color w:val="808080"/>
          <w:sz w:val="21"/>
          <w:szCs w:val="21"/>
          <w:u w:color="808080"/>
          <w:bdr w:val="nil"/>
          <w:lang w:val="en-US" w:eastAsia="en-GB"/>
        </w:rPr>
        <w:t xml:space="preserve">Procedure for obtaining dynamic susceptibility contrast MRI maps of perfusion parameters (cerebral blood flow, cerebral blood volume and mean transit time) in a normal volunteer according to the bolus-tracking concept by use of an intravascular tracer. AIF: Arterial input function; CBF: Cerebral blood flow; CBV: Cerebral blood volume; Ct(t): Tissue contrast agent concentration as a function of time; MTT: Mean transit time; R(t): Tissue residue function. From </w:t>
      </w:r>
      <w:r w:rsidRPr="00AF0E0B">
        <w:rPr>
          <w:rFonts w:eastAsia="Arial Unicode MS" w:cs="Arial Unicode MS"/>
          <w:i/>
          <w:iCs/>
          <w:color w:val="808080"/>
          <w:sz w:val="21"/>
          <w:szCs w:val="21"/>
          <w:u w:color="808080"/>
          <w:bdr w:val="nil"/>
          <w:lang w:val="de-DE" w:eastAsia="en-GB"/>
        </w:rPr>
        <w:fldChar w:fldCharType="begin"/>
      </w:r>
      <w:r w:rsidRPr="00AF0E0B">
        <w:rPr>
          <w:rFonts w:eastAsia="Arial Unicode MS" w:cs="Arial Unicode MS"/>
          <w:i/>
          <w:iCs/>
          <w:color w:val="808080"/>
          <w:sz w:val="21"/>
          <w:szCs w:val="21"/>
          <w:u w:color="808080"/>
          <w:bdr w:val="nil"/>
          <w:lang w:val="de-DE" w:eastAsia="en-GB"/>
        </w:rPr>
        <w:instrText xml:space="preserve"> ADDIN EN.CITE &lt;EndNote&gt;&lt;Cite  &gt;&lt;Author&gt;Wirestam&lt;/Author&gt;&lt;Year&gt;2012&lt;/Year&gt;&lt;DisplayText&gt;(Wirestam, 2012)&lt;/DisplayText&gt;&lt;record&gt;&lt;keywords&gt;&lt;keyword&gt;Capillary Wall Permeability&lt;/keyword&gt;&lt;keyword&gt;Contrast Agent&lt;/keyword&gt;&lt;keyword&gt;Dynamic Studies&lt;/keyword&gt;&lt;keyword&gt;Medical Imaging&lt;/keyword&gt;&lt;keyword&gt;Perfusion&lt;/keyword&gt;&lt;keyword&gt;Tissue Blood Flow&lt;/keyword&gt;&lt;keyword&gt;Tracer Kinetics&lt;/keyword&gt;&lt;keyword&gt;Medicin Och Hälsovetenskap&lt;/keyword&gt;&lt;keyword&gt;Klinisk Medicin&lt;/keyword&gt;&lt;keyword&gt;Radiologi Och Bildbehandling&lt;/keyword&gt;&lt;keyword&gt;Medical And Health Sciences&lt;/keyword&gt;&lt;keyword&gt;Clinical Medicine&lt;/keyword&gt;&lt;keyword&gt;Radiology, Nuclear Medicine And Medical Imaging&lt;/keyword&gt;&lt;/keywords&gt;&lt;isbn&gt;17555191&lt;/isbn&gt;&lt;titles&gt;&lt;title&gt;Using contrast agents to obtain maps of regional perfusion and capillary wall permeability&lt;/title&gt;&lt;secondary-title&gt;Imaging in Medicine&lt;/secondary-title&gt;&lt;/titles&gt;&lt;pages&gt;423-442&lt;/pages&gt;&lt;number&gt;4&lt;/number&gt;&lt;contributors&gt;&lt;authors&gt;&lt;author&gt;Wirestam, R.&lt;/author&gt;&lt;/authors&gt;&lt;/contributors&gt;&lt;added-date format="utc"&gt;1590429867&lt;/added-date&gt;&lt;pub-location&gt;London&lt;/pub-location&gt;&lt;ref-type name="Journal Article"&gt;17&lt;/ref-type&gt;&lt;dates&gt;&lt;year&gt;2012&lt;/year&gt;&lt;/dates&gt;&lt;rec-number&gt;1256&lt;/rec-number&gt;&lt;publisher&gt;Future Medicine Ltd&lt;/publisher&gt;&lt;last-updated-date format="utc"&gt;1590429930&lt;/last-updated-date&gt;&lt;electronic-resource-num&gt;10.2217/iim.12.24&lt;/electronic-resource-num&gt;&lt;volume&gt;4&lt;/volume&gt;&lt;/record&gt;&lt;/Cite&gt;&lt;/EndNote&gt;</w:instrText>
      </w:r>
      <w:r w:rsidRPr="00AF0E0B">
        <w:rPr>
          <w:rFonts w:eastAsia="Arial Unicode MS" w:cs="Arial Unicode MS"/>
          <w:i/>
          <w:iCs/>
          <w:color w:val="808080"/>
          <w:sz w:val="21"/>
          <w:szCs w:val="21"/>
          <w:u w:color="808080"/>
          <w:bdr w:val="nil"/>
          <w:lang w:val="de-DE" w:eastAsia="en-GB"/>
        </w:rPr>
        <w:fldChar w:fldCharType="separate"/>
      </w:r>
      <w:r w:rsidRPr="00AF0E0B">
        <w:rPr>
          <w:rFonts w:eastAsia="Arial Unicode MS" w:cs="Arial Unicode MS"/>
          <w:i/>
          <w:iCs/>
          <w:color w:val="808080"/>
          <w:sz w:val="21"/>
          <w:szCs w:val="21"/>
          <w:u w:color="808080"/>
          <w:bdr w:val="nil"/>
          <w:lang w:val="de-DE" w:eastAsia="en-GB"/>
        </w:rPr>
        <w:t>(Wirestam, 2012)</w:t>
      </w:r>
      <w:r w:rsidRPr="00AF0E0B">
        <w:rPr>
          <w:rFonts w:eastAsia="Arial Unicode MS" w:cs="Arial Unicode MS"/>
          <w:i/>
          <w:iCs/>
          <w:color w:val="808080"/>
          <w:sz w:val="21"/>
          <w:szCs w:val="21"/>
          <w:u w:color="808080"/>
          <w:bdr w:val="nil"/>
          <w:lang w:val="de-DE" w:eastAsia="en-GB"/>
        </w:rPr>
        <w:fldChar w:fldCharType="end"/>
      </w:r>
    </w:p>
    <w:p w14:paraId="0D3D90E1" w14:textId="77777777" w:rsidR="0085509F" w:rsidRPr="00AF0E0B" w:rsidRDefault="0085509F" w:rsidP="00AF0E0B">
      <w:pPr>
        <w:pBdr>
          <w:top w:val="nil"/>
          <w:left w:val="nil"/>
          <w:bottom w:val="nil"/>
          <w:right w:val="nil"/>
          <w:between w:val="nil"/>
          <w:bar w:val="nil"/>
        </w:pBdr>
        <w:suppressAutoHyphens/>
        <w:spacing w:line="360" w:lineRule="auto"/>
        <w:rPr>
          <w:rFonts w:eastAsia="Arial" w:cs="Arial"/>
          <w:i/>
          <w:iCs/>
          <w:color w:val="808080"/>
          <w:sz w:val="21"/>
          <w:szCs w:val="21"/>
          <w:u w:color="808080"/>
          <w:bdr w:val="nil"/>
          <w:lang w:val="en-US" w:eastAsia="en-GB"/>
        </w:rPr>
      </w:pPr>
    </w:p>
    <w:p w14:paraId="06A6D872" w14:textId="0DEBADBB"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eastAsia="Arial Unicode MS" w:cs="Arial Unicode MS"/>
          <w:color w:val="000000"/>
          <w:u w:color="000000"/>
          <w:bdr w:val="nil"/>
          <w:lang w:val="en-US" w:eastAsia="en-GB"/>
        </w:rPr>
        <w:t xml:space="preserve">TTP is a measure of perfusion that is represented by the time from bolus injection to the peak concentration, or from the bolus arrival time to the peak concentration (Figure 1.6) </w:t>
      </w:r>
      <w:r w:rsidRPr="00AF0E0B">
        <w:rPr>
          <w:rFonts w:eastAsia="Arial Unicode MS" w:cs="Arial Unicode MS"/>
          <w:color w:val="000000"/>
          <w:u w:color="000000"/>
          <w:bdr w:val="nil"/>
          <w:lang w:val="en-US" w:eastAsia="en-GB"/>
        </w:rPr>
        <w:fldChar w:fldCharType="begin"/>
      </w:r>
      <w:r w:rsidRPr="00AF0E0B">
        <w:rPr>
          <w:rFonts w:eastAsia="Arial Unicode MS" w:cs="Arial Unicode MS"/>
          <w:color w:val="000000"/>
          <w:u w:color="000000"/>
          <w:bdr w:val="nil"/>
          <w:lang w:val="en-US" w:eastAsia="en-GB"/>
        </w:rPr>
        <w:instrText xml:space="preserve"> ADDIN EN.CITE &lt;EndNote&gt;&lt;Cite  &gt;&lt;Author&gt;Perthen&lt;/Author&gt;&lt;Year&gt;2002&lt;/Year&gt;&lt;RecNum&gt;1125&lt;/RecNum&gt;&lt;DisplayText&gt;(Perthen et al., 2002, Tomandl et al., 2003)&lt;/DisplayText&gt;&lt;record&gt;&lt;keywords&gt;&lt;keyword&gt;Perfusion&lt;/keyword&gt;&lt;keyword&gt;Cerebral Blood Flow&lt;/keyword&gt;&lt;keyword&gt;Arterial Input Function&lt;/keyword&gt;&lt;keyword&gt;Numerical Simulations&lt;/keyword&gt;&lt;keyword&gt;Deconvolution&lt;/keyword&gt;&lt;/keywords&gt;&lt;isbn&gt;0740-3194&lt;/isbn&gt;&lt;titles&gt;&lt;title&gt;Is quantification of bolus tracking MRI reliable without deconvolution?&lt;/title&gt;&lt;secondary-title&gt;Magnetic Resonance in Medicine&lt;/secondary-title&gt;&lt;/titles&gt;&lt;pages&gt;61-67&lt;/pages&gt;&lt;number&gt;1&lt;/number&gt;&lt;contributors&gt;&lt;authors&gt;&lt;author&gt;Perthen, Joanna E.&lt;/author&gt;&lt;author&gt;Calamante, Fernando&lt;/author&gt;&lt;author&gt;Gadian, David G.&lt;/author&gt;&lt;author&gt;Connelly, Alan&lt;/author&gt;&lt;/authors&gt;&lt;/contributors&gt;&lt;added-date format="utc"&gt;1569364571&lt;/added-date&gt;&lt;pub-location&gt;New York&lt;/pub-location&gt;&lt;ref-type name="Journal Article"&gt;17&lt;/ref-type&gt;&lt;dates&gt;&lt;year&gt;2002&lt;/year&gt;&lt;/dates&gt;&lt;rec-number&gt;1125&lt;/rec-number&gt;&lt;last-updated-date format="utc"&gt;1569474272&lt;/last-updated-date&gt;&lt;electronic-resource-num&gt;10.1002/mrm.10020&lt;/electronic-resource-num&gt;&lt;volume&gt;47&lt;/volume&gt;&lt;/record&gt;&lt;/Cite&gt;&lt;Cite  &gt;&lt;Author&gt;Tomandl&lt;/Author&gt;&lt;Year&gt;2003&lt;/Year&gt;&lt;RecNum&gt;1334&lt;/RecNum&gt;&lt;record&gt;&lt;dates&gt;&lt;pub-dates&gt;&lt;date&gt;2003 May-Jun&lt;/date&gt;&lt;/pub-dates&gt;&lt;year&gt;2003&lt;/year&gt;&lt;/dates&gt;&lt;keywords&gt;&lt;keyword&gt;Brain Ischemia&lt;/keyword&gt;&lt;keyword&gt;Cerebral Angiography&lt;/keyword&gt;&lt;keyword&gt;Cerebrovascular Circulation&lt;/keyword&gt;&lt;keyword&gt;Diagnosis, Differential&lt;/keyword&gt;&lt;keyword&gt;Humans&lt;/keyword&gt;&lt;keyword&gt;Stroke&lt;/keyword&gt;&lt;keyword&gt;Tomography, X-Ray Computed&lt;/keyword&gt;&lt;/keywords&gt;&lt;urls&gt;&lt;related-urls&gt;&lt;url&gt;https://www.ncbi.nlm.nih.gov/pubmed/12740462&lt;/url&gt;&lt;/related-urls&gt;&lt;/urls&gt;&lt;isbn&gt;0271-5333&lt;/isbn&gt;&lt;titles&gt;&lt;title&gt;Comprehensive imaging of ischemic stroke with multisection CT&lt;/title&gt;&lt;secondary-title&gt;Radiographics&lt;/secondary-title&gt;&lt;/titles&gt;&lt;pages&gt;565-92&lt;/pages&gt;&lt;number&gt;3&lt;/number&gt;&lt;contributors&gt;&lt;authors&gt;&lt;author&gt;Tomandl, B. F.&lt;/author&gt;&lt;author&gt;Klotz, E.&lt;/author&gt;&lt;author&gt;Handschu, R.&lt;/author&gt;&lt;author&gt;Stemper, B.&lt;/author&gt;&lt;author&gt;Reinhardt, F.&lt;/author&gt;&lt;author&gt;Huk, W. J.&lt;/author&gt;&lt;author&gt;Eberhardt, K. E.&lt;/author&gt;&lt;author&gt;Fateh-Moghadam, S.&lt;/author&gt;&lt;/authors&gt;&lt;/contributors&gt;&lt;language&gt;eng&lt;/language&gt;&lt;added-date format="utc"&gt;1598701802&lt;/added-date&gt;&lt;ref-type name="Journal Article"&gt;17&lt;/ref-type&gt;&lt;rec-number&gt;1334&lt;/rec-number&gt;&lt;last-updated-date format="utc"&gt;1598701802&lt;/last-updated-date&gt;&lt;accession-num&gt;12740462&lt;/accession-num&gt;&lt;electronic-resource-num&gt;10.1148/rg.233025036&lt;/electronic-resource-num&gt;&lt;volume&gt;23&lt;/volume&gt;&lt;/record&gt;&lt;/Cite&gt;&lt;/EndNote&gt;</w:instrText>
      </w:r>
      <w:r w:rsidRPr="00AF0E0B">
        <w:rPr>
          <w:rFonts w:eastAsia="Arial Unicode MS" w:cs="Arial Unicode MS"/>
          <w:color w:val="000000"/>
          <w:u w:color="000000"/>
          <w:bdr w:val="nil"/>
          <w:lang w:val="en-US" w:eastAsia="en-GB"/>
        </w:rPr>
        <w:fldChar w:fldCharType="separate"/>
      </w:r>
      <w:r w:rsidRPr="00AF0E0B">
        <w:rPr>
          <w:rFonts w:eastAsia="Arial Unicode MS" w:cs="Arial Unicode MS"/>
          <w:color w:val="000000"/>
          <w:u w:color="000000"/>
          <w:bdr w:val="nil"/>
          <w:lang w:val="en-US" w:eastAsia="en-GB"/>
        </w:rPr>
        <w:t>(Perthen et al., 2002, Tomandl et al., 2003)</w:t>
      </w:r>
      <w:r w:rsidRPr="00AF0E0B">
        <w:rPr>
          <w:rFonts w:eastAsia="Arial Unicode MS" w:cs="Arial Unicode MS"/>
          <w:color w:val="000000"/>
          <w:u w:color="000000"/>
          <w:bdr w:val="nil"/>
          <w:lang w:val="en-US" w:eastAsia="en-GB"/>
        </w:rPr>
        <w:fldChar w:fldCharType="end"/>
      </w:r>
      <w:r w:rsidR="0085509F">
        <w:rPr>
          <w:rFonts w:eastAsia="Arial Unicode MS" w:cs="Arial Unicode MS"/>
          <w:color w:val="000000"/>
          <w:u w:color="000000"/>
          <w:bdr w:val="nil"/>
          <w:lang w:val="en-US" w:eastAsia="en-GB"/>
        </w:rPr>
        <w:t>.</w:t>
      </w:r>
    </w:p>
    <w:p w14:paraId="6DCF4C04" w14:textId="335CA985"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eastAsia="Arial Unicode MS" w:cs="Arial Unicode MS"/>
          <w:color w:val="000000"/>
          <w:u w:color="000000"/>
          <w:bdr w:val="nil"/>
          <w:lang w:val="en-US" w:eastAsia="en-GB"/>
        </w:rPr>
        <w:t xml:space="preserve">MTT, CBV, CBF,  and TTP have been validated in pathological states of perfusion such as stroke </w:t>
      </w:r>
      <w:r w:rsidRPr="00AF0E0B">
        <w:rPr>
          <w:rFonts w:eastAsia="Arial Unicode MS" w:cs="Arial Unicode MS"/>
          <w:color w:val="000000"/>
          <w:u w:color="000000"/>
          <w:bdr w:val="nil"/>
          <w:lang w:val="fr-FR" w:eastAsia="en-GB"/>
        </w:rPr>
        <w:fldChar w:fldCharType="begin"/>
      </w:r>
      <w:r w:rsidRPr="00AF0E0B">
        <w:rPr>
          <w:rFonts w:eastAsia="Arial Unicode MS" w:cs="Arial Unicode MS"/>
          <w:color w:val="000000"/>
          <w:u w:color="000000"/>
          <w:bdr w:val="nil"/>
          <w:lang w:val="fr-FR" w:eastAsia="en-GB"/>
        </w:rPr>
        <w:instrText xml:space="preserve"> ADDIN EN.CITE &lt;EndNote&gt;&lt;Cite  &gt;&lt;Author&gt;Calamante&lt;/Author&gt;&lt;Year&gt;2002&lt;/Year&gt;&lt;RecNum&gt;758&lt;/RecNum&gt;&lt;DisplayText&gt;(Calamante et al., 2002)&lt;/DisplayText&gt;&lt;record&gt;&lt;dates&gt;&lt;pub-dates&gt;&lt;date&gt;Apr&lt;/date&gt;&lt;/pub-dates&gt;&lt;year&gt;2002&lt;/year&gt;&lt;/dates&gt;&lt;isbn&gt;0039-2499&lt;/isbn&gt;&lt;titles&gt;&lt;title&gt;Quantification of perfusion using bolus tracking magnetic resonance imaging in stroke - Assumptions, limitations, and potential implications for clinical use&lt;/title&gt;&lt;secondary-title&gt;Stroke&lt;/secondary-title&gt;&lt;/titles&gt;&lt;pages&gt;1146-1151&lt;/pages&gt;&lt;number&gt;4&lt;/number&gt;&lt;contributors&gt;&lt;authors&gt;&lt;author&gt;Calamante, F.&lt;/author&gt;&lt;author&gt;Gadian, D. G.&lt;/author&gt;&lt;author&gt;Connelly, A.&lt;/author&gt;&lt;/authors&gt;&lt;/contributors&gt;&lt;added-date format="utc"&gt;1373366178&lt;/added-date&gt;&lt;ref-type name="Journal Article"&gt;17&lt;/ref-type&gt;&lt;rec-number&gt;758&lt;/rec-number&gt;&lt;last-updated-date format="utc"&gt;1479817250&lt;/last-updated-date&gt;&lt;accession-num&gt;WOS:000174857400045&lt;/accession-num&gt;&lt;electronic-resource-num&gt;10.1161/01.str.0000014208.05597.33&lt;/electronic-resource-num&gt;&lt;volume&gt;33&lt;/volume&gt;&lt;/record&gt;&lt;/Cite&gt;&lt;/EndNote&gt;</w:instrText>
      </w:r>
      <w:r w:rsidRPr="00AF0E0B">
        <w:rPr>
          <w:rFonts w:eastAsia="Arial Unicode MS" w:cs="Arial Unicode MS"/>
          <w:color w:val="000000"/>
          <w:u w:color="000000"/>
          <w:bdr w:val="nil"/>
          <w:lang w:val="fr-FR" w:eastAsia="en-GB"/>
        </w:rPr>
        <w:fldChar w:fldCharType="separate"/>
      </w:r>
      <w:r w:rsidRPr="00AF0E0B">
        <w:rPr>
          <w:rFonts w:eastAsia="Arial Unicode MS" w:cs="Arial Unicode MS"/>
          <w:color w:val="000000"/>
          <w:u w:color="000000"/>
          <w:bdr w:val="nil"/>
          <w:lang w:val="fr-FR" w:eastAsia="en-GB"/>
        </w:rPr>
        <w:t>(Calamante et al., 2002)</w:t>
      </w:r>
      <w:r w:rsidRPr="00AF0E0B">
        <w:rPr>
          <w:rFonts w:eastAsia="Arial Unicode MS" w:cs="Arial Unicode MS"/>
          <w:color w:val="000000"/>
          <w:u w:color="000000"/>
          <w:bdr w:val="nil"/>
          <w:lang w:val="fr-FR" w:eastAsia="en-GB"/>
        </w:rPr>
        <w:fldChar w:fldCharType="end"/>
      </w:r>
      <w:r w:rsidRPr="00AF0E0B">
        <w:rPr>
          <w:rFonts w:eastAsia="Arial Unicode MS" w:cs="Arial Unicode MS"/>
          <w:color w:val="000000"/>
          <w:u w:color="000000"/>
          <w:bdr w:val="nil"/>
          <w:lang w:val="en-US" w:eastAsia="en-GB"/>
        </w:rPr>
        <w:t xml:space="preserve">, carotid stenting </w:t>
      </w:r>
      <w:r w:rsidRPr="00AF0E0B">
        <w:rPr>
          <w:rFonts w:eastAsia="Arial Unicode MS" w:cs="Arial Unicode MS"/>
          <w:color w:val="000000"/>
          <w:u w:color="000000"/>
          <w:bdr w:val="nil"/>
          <w:lang w:val="fr-FR" w:eastAsia="en-GB"/>
        </w:rPr>
        <w:fldChar w:fldCharType="begin"/>
      </w:r>
      <w:r w:rsidRPr="00AF0E0B">
        <w:rPr>
          <w:rFonts w:eastAsia="Arial Unicode MS" w:cs="Arial Unicode MS"/>
          <w:color w:val="000000"/>
          <w:u w:color="000000"/>
          <w:bdr w:val="nil"/>
          <w:lang w:val="fr-FR" w:eastAsia="en-GB"/>
        </w:rPr>
        <w:instrText xml:space="preserve"> ADDIN EN.CITE &lt;EndNote&gt;&lt;Cite  &gt;&lt;Author&gt;Wilkinson&lt;/Author&gt;&lt;Year&gt;2003&lt;/Year&gt;&lt;RecNum&gt;759&lt;/RecNum&gt;&lt;DisplayText&gt;(Wilkinson et al., 2003)&lt;/DisplayText&gt;&lt;record&gt;&lt;dates&gt;&lt;pub-dates&gt;&lt;date&gt;Sep&lt;/date&gt;&lt;/pub-dates&gt;&lt;year&gt;2003&lt;/year&gt;&lt;/dates&gt;&lt;urls&gt;&lt;related-urls&gt;&lt;url&gt;&amp;lt;Go to ISI&amp;gt;://WOS:000185400100003&lt;/url&gt;&lt;/related-urls&gt;&lt;/urls&gt;&lt;isbn&gt;0195-6108&lt;/isbn&gt;&lt;titles&gt;&lt;title&gt;Short-term changes in cerebral microhemodynamics after carotid stenting&lt;/title&gt;&lt;secondary-title&gt;American Journal of Neuroradiology&lt;/secondary-title&gt;&lt;/titles&gt;&lt;pages&gt;1501-1507&lt;/pages&gt;&lt;number&gt;8&lt;/number&gt;&lt;contributors&gt;&lt;authors&gt;&lt;author&gt;Wilkinson, I. D.&lt;/author&gt;&lt;author&gt;Griffiths, P. D.&lt;/author&gt;&lt;author&gt;Hoggard, N.&lt;/author&gt;&lt;author&gt;Cleveland, T. J.&lt;/author&gt;&lt;author&gt;Gaines, P. A.&lt;/author&gt;&lt;author&gt;Macdonald, S.&lt;/author&gt;&lt;author&gt;McKevitt, F.&lt;/author&gt;&lt;author&gt;Venables, G. S.&lt;/author&gt;&lt;/authors&gt;&lt;/contributors&gt;&lt;added-date format="utc"&gt;1373396707&lt;/added-date&gt;&lt;ref-type name="Journal Article"&gt;17&lt;/ref-type&gt;&lt;rec-number&gt;759&lt;/rec-number&gt;&lt;last-updated-date format="utc"&gt;1373396707&lt;/last-updated-date&gt;&lt;accession-num&gt;WOS:000185400100003&lt;/accession-num&gt;&lt;volume&gt;24&lt;/volume&gt;&lt;/record&gt;&lt;/Cite&gt;&lt;/EndNote&gt;</w:instrText>
      </w:r>
      <w:r w:rsidRPr="00AF0E0B">
        <w:rPr>
          <w:rFonts w:eastAsia="Arial Unicode MS" w:cs="Arial Unicode MS"/>
          <w:color w:val="000000"/>
          <w:u w:color="000000"/>
          <w:bdr w:val="nil"/>
          <w:lang w:val="fr-FR" w:eastAsia="en-GB"/>
        </w:rPr>
        <w:fldChar w:fldCharType="separate"/>
      </w:r>
      <w:r w:rsidRPr="00AF0E0B">
        <w:rPr>
          <w:rFonts w:eastAsia="Arial Unicode MS" w:cs="Arial Unicode MS"/>
          <w:color w:val="000000"/>
          <w:u w:color="000000"/>
          <w:bdr w:val="nil"/>
          <w:lang w:val="fr-FR" w:eastAsia="en-GB"/>
        </w:rPr>
        <w:t>(Wilkinson et al., 2003)</w:t>
      </w:r>
      <w:r w:rsidRPr="00AF0E0B">
        <w:rPr>
          <w:rFonts w:eastAsia="Arial Unicode MS" w:cs="Arial Unicode MS"/>
          <w:color w:val="000000"/>
          <w:u w:color="000000"/>
          <w:bdr w:val="nil"/>
          <w:lang w:val="fr-FR" w:eastAsia="en-GB"/>
        </w:rPr>
        <w:fldChar w:fldCharType="end"/>
      </w:r>
      <w:r w:rsidRPr="00AF0E0B">
        <w:rPr>
          <w:rFonts w:eastAsia="Arial Unicode MS" w:cs="Arial Unicode MS"/>
          <w:color w:val="000000"/>
          <w:u w:color="000000"/>
          <w:bdr w:val="nil"/>
          <w:lang w:val="en-US" w:eastAsia="en-GB"/>
        </w:rPr>
        <w:t xml:space="preserve"> and can be used to measure abnormal capillary density in cerebral </w:t>
      </w:r>
      <w:proofErr w:type="spellStart"/>
      <w:r w:rsidRPr="00AF0E0B">
        <w:rPr>
          <w:rFonts w:eastAsia="Arial Unicode MS" w:cs="Arial Unicode MS"/>
          <w:color w:val="000000"/>
          <w:u w:color="000000"/>
          <w:bdr w:val="nil"/>
          <w:lang w:val="en-US" w:eastAsia="en-GB"/>
        </w:rPr>
        <w:t>tumours</w:t>
      </w:r>
      <w:proofErr w:type="spellEnd"/>
      <w:r w:rsidRPr="00AF0E0B">
        <w:rPr>
          <w:rFonts w:eastAsia="Arial Unicode MS" w:cs="Arial Unicode MS"/>
          <w:color w:val="000000"/>
          <w:u w:color="000000"/>
          <w:bdr w:val="nil"/>
          <w:lang w:val="en-US" w:eastAsia="en-GB"/>
        </w:rPr>
        <w:t xml:space="preserve"> </w:t>
      </w:r>
      <w:r w:rsidRPr="00AF0E0B">
        <w:rPr>
          <w:rFonts w:eastAsia="Arial Unicode MS" w:cs="Arial Unicode MS"/>
          <w:color w:val="000000"/>
          <w:u w:color="000000"/>
          <w:bdr w:val="nil"/>
          <w:lang w:val="en-US" w:eastAsia="en-GB"/>
        </w:rPr>
        <w:fldChar w:fldCharType="begin"/>
      </w:r>
      <w:r w:rsidRPr="00AF0E0B">
        <w:rPr>
          <w:rFonts w:eastAsia="Arial Unicode MS" w:cs="Arial Unicode MS"/>
          <w:color w:val="000000"/>
          <w:u w:color="000000"/>
          <w:bdr w:val="nil"/>
          <w:lang w:val="en-US" w:eastAsia="en-GB"/>
        </w:rPr>
        <w:instrText xml:space="preserve"> ADDIN EN.CITE &lt;EndNote&gt;&lt;Cite  &gt;&lt;Author&gt;Friedman&lt;/Author&gt;&lt;Year&gt;2012&lt;/Year&gt;&lt;RecNum&gt;762&lt;/RecNum&gt;&lt;DisplayText&gt;(Friedman et al., 2012)&lt;/DisplayText&gt;&lt;record&gt;&lt;dates&gt;&lt;pub-dates&gt;&lt;date&gt;Dec&lt;/date&gt;&lt;/pub-dates&gt;&lt;year&gt;2012&lt;/year&gt;&lt;/dates&gt;&lt;isbn&gt;0007-1285&lt;/isbn&gt;&lt;titles&gt;&lt;title&gt;Semi-automated and automated glioma grading using dynamic susceptibility-weighted contrast-enhanced perfusion MRI relative cerebral blood volume measurements&lt;/title&gt;&lt;secondary-title&gt;British Journal of Radiology&lt;/secondary-title&gt;&lt;/titles&gt;&lt;pages&gt;E1204-E1211&lt;/pages&gt;&lt;number&gt;1020&lt;/number&gt;&lt;contributors&gt;&lt;authors&gt;&lt;author&gt;Friedman, S. N.&lt;/author&gt;&lt;author&gt;Bambrough, P. J.&lt;/author&gt;&lt;author&gt;Kotsarini, C.&lt;/author&gt;&lt;author&gt;Khandanpour, N.&lt;/author&gt;&lt;author&gt;Hoggard, N.&lt;/author&gt;&lt;/authors&gt;&lt;/contributors&gt;&lt;added-date format="utc"&gt;1373446528&lt;/added-date&gt;&lt;ref-type name="Journal Article"&gt;17&lt;/ref-type&gt;&lt;rec-number&gt;762&lt;/rec-number&gt;&lt;last-updated-date format="utc"&gt;1479819015&lt;/last-updated-date&gt;&lt;accession-num&gt;WOS:000312590500007&lt;/accession-num&gt;&lt;electronic-resource-num&gt;10.1259/bjr/13908936&lt;/electronic-resource-num&gt;&lt;volume&gt;85&lt;/volume&gt;&lt;/record&gt;&lt;/Cite&gt;&lt;/EndNote&gt;</w:instrText>
      </w:r>
      <w:r w:rsidRPr="00AF0E0B">
        <w:rPr>
          <w:rFonts w:eastAsia="Arial Unicode MS" w:cs="Arial Unicode MS"/>
          <w:color w:val="000000"/>
          <w:u w:color="000000"/>
          <w:bdr w:val="nil"/>
          <w:lang w:val="en-US" w:eastAsia="en-GB"/>
        </w:rPr>
        <w:fldChar w:fldCharType="separate"/>
      </w:r>
      <w:r w:rsidRPr="00AF0E0B">
        <w:rPr>
          <w:rFonts w:eastAsia="Arial Unicode MS" w:cs="Arial Unicode MS"/>
          <w:color w:val="000000"/>
          <w:u w:color="000000"/>
          <w:bdr w:val="nil"/>
          <w:lang w:val="en-US" w:eastAsia="en-GB"/>
        </w:rPr>
        <w:t>(Friedman et al., 2012)</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t xml:space="preserve">. </w:t>
      </w:r>
      <w:r w:rsidRPr="00AF0E0B">
        <w:rPr>
          <w:rFonts w:ascii="Arial Unicode MS" w:eastAsia="Arial Unicode MS" w:hAnsi="Arial Unicode MS" w:cs="Arial Unicode MS"/>
          <w:color w:val="000000"/>
          <w:u w:color="000000"/>
          <w:bdr w:val="nil"/>
          <w:lang w:val="en-US" w:eastAsia="en-GB"/>
        </w:rPr>
        <w:br w:type="page"/>
      </w:r>
    </w:p>
    <w:p w14:paraId="44A43103" w14:textId="6541C262" w:rsidR="00AF0E0B" w:rsidRPr="00AF0E0B" w:rsidRDefault="00AF0E0B" w:rsidP="009F58A0">
      <w:pPr>
        <w:pStyle w:val="Subtitle"/>
      </w:pPr>
      <w:bookmarkStart w:id="53" w:name="_Toc49972745"/>
      <w:bookmarkStart w:id="54" w:name="_Toc64724167"/>
      <w:r w:rsidRPr="00AF0E0B">
        <w:lastRenderedPageBreak/>
        <w:t xml:space="preserve">Figure 1.6  DSC-MRI technique: Representation of the </w:t>
      </w:r>
      <w:r w:rsidR="009F6A85">
        <w:t>M</w:t>
      </w:r>
      <w:r w:rsidRPr="00AF0E0B">
        <w:t xml:space="preserve">easures of </w:t>
      </w:r>
      <w:r w:rsidR="009F6A85">
        <w:t>P</w:t>
      </w:r>
      <w:r w:rsidRPr="00AF0E0B">
        <w:t xml:space="preserve">erfusion </w:t>
      </w:r>
      <w:r w:rsidR="009F6A85">
        <w:t>U</w:t>
      </w:r>
      <w:r w:rsidRPr="00AF0E0B">
        <w:t xml:space="preserve">sing DSC-MRI and </w:t>
      </w:r>
      <w:r w:rsidR="009F6A85">
        <w:t>t</w:t>
      </w:r>
      <w:r w:rsidRPr="00AF0E0B">
        <w:t xml:space="preserve">heir </w:t>
      </w:r>
      <w:r w:rsidR="009F6A85">
        <w:t>R</w:t>
      </w:r>
      <w:r w:rsidRPr="00AF0E0B">
        <w:t xml:space="preserve">elationship to the </w:t>
      </w:r>
      <w:r w:rsidR="009F6A85">
        <w:t>T</w:t>
      </w:r>
      <w:r w:rsidRPr="00AF0E0B">
        <w:t xml:space="preserve">issue </w:t>
      </w:r>
      <w:r w:rsidR="009F6A85">
        <w:t>C</w:t>
      </w:r>
      <w:r w:rsidRPr="00AF0E0B">
        <w:t xml:space="preserve">oncentration </w:t>
      </w:r>
      <w:r w:rsidR="009F6A85">
        <w:t>T</w:t>
      </w:r>
      <w:r w:rsidRPr="00AF0E0B">
        <w:t xml:space="preserve">ime </w:t>
      </w:r>
      <w:r w:rsidR="009F6A85">
        <w:t>C</w:t>
      </w:r>
      <w:r w:rsidRPr="00AF0E0B">
        <w:t>urve.</w:t>
      </w:r>
      <w:bookmarkEnd w:id="53"/>
      <w:bookmarkEnd w:id="54"/>
      <w:r w:rsidRPr="00AF0E0B">
        <w:t xml:space="preserve"> </w:t>
      </w:r>
    </w:p>
    <w:p w14:paraId="69F907CB" w14:textId="77777777"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p>
    <w:p w14:paraId="11ACF06F" w14:textId="77777777"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eastAsia="Arial Unicode MS" w:cs="Arial Unicode MS"/>
          <w:noProof/>
          <w:color w:val="000000"/>
          <w:u w:color="000000"/>
          <w:bdr w:val="nil"/>
          <w:lang w:val="en-US" w:eastAsia="en-GB"/>
        </w:rPr>
        <w:drawing>
          <wp:inline distT="0" distB="0" distL="0" distR="0" wp14:anchorId="3BA9EC83" wp14:editId="38AEAE7A">
            <wp:extent cx="5727700" cy="3075305"/>
            <wp:effectExtent l="25400" t="25400" r="25400" b="23495"/>
            <wp:docPr id="1073741832" name="officeArt object" descr="A close up of a map&#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32" name="A close up of a map&#10;&#10;Description automatically generated" descr="A close up of a mapDescription automatically generated"/>
                    <pic:cNvPicPr>
                      <a:picLocks noChangeAspect="1"/>
                    </pic:cNvPicPr>
                  </pic:nvPicPr>
                  <pic:blipFill>
                    <a:blip r:embed="rId17"/>
                    <a:stretch>
                      <a:fillRect/>
                    </a:stretch>
                  </pic:blipFill>
                  <pic:spPr>
                    <a:xfrm>
                      <a:off x="0" y="0"/>
                      <a:ext cx="5727700" cy="3075305"/>
                    </a:xfrm>
                    <a:prstGeom prst="rect">
                      <a:avLst/>
                    </a:prstGeom>
                    <a:ln w="19050" cap="flat">
                      <a:solidFill>
                        <a:srgbClr val="4472C4"/>
                      </a:solidFill>
                      <a:prstDash val="solid"/>
                      <a:round/>
                    </a:ln>
                    <a:effectLst/>
                  </pic:spPr>
                </pic:pic>
              </a:graphicData>
            </a:graphic>
          </wp:inline>
        </w:drawing>
      </w:r>
    </w:p>
    <w:p w14:paraId="4831EC94" w14:textId="76E540E4" w:rsidR="007800A1" w:rsidRPr="007800A1" w:rsidRDefault="00AF0E0B" w:rsidP="007800A1">
      <w:pPr>
        <w:pBdr>
          <w:top w:val="nil"/>
          <w:left w:val="nil"/>
          <w:bottom w:val="nil"/>
          <w:right w:val="nil"/>
          <w:between w:val="nil"/>
          <w:bar w:val="nil"/>
        </w:pBdr>
        <w:suppressAutoHyphens/>
        <w:spacing w:line="360" w:lineRule="auto"/>
        <w:rPr>
          <w:rFonts w:eastAsia="Arial" w:cs="Arial"/>
          <w:i/>
          <w:iCs/>
          <w:color w:val="808080"/>
          <w:sz w:val="21"/>
          <w:szCs w:val="21"/>
          <w:u w:color="808080"/>
          <w:bdr w:val="nil"/>
          <w:lang w:eastAsia="en-GB"/>
        </w:rPr>
      </w:pPr>
      <w:r w:rsidRPr="00AF0E0B">
        <w:rPr>
          <w:rFonts w:eastAsia="Arial" w:cs="Arial"/>
          <w:i/>
          <w:iCs/>
          <w:color w:val="808080"/>
          <w:sz w:val="21"/>
          <w:szCs w:val="21"/>
          <w:u w:color="808080"/>
          <w:bdr w:val="nil"/>
          <w:lang w:val="en-US" w:eastAsia="en-GB"/>
        </w:rPr>
        <w:t xml:space="preserve">Graph illustrates a tissue concentration curve plotted from perfusion data obtained in normal brain tissue. From this curve, per-voxel hemodynamic variables are calculated for TTP, CBF, and CBV. TTP is the time from the start of injection until maximum contrast enhancement is reached. However, some authors prefer to measure TTP from the beginning of enhancement by subtracting “time to start” (i.e., the time between the start of injection and the start of enhancement). CBF can be estimated from the “maximum slope” of the curve. CBV is calculated from the area under the normalized curve and MTT (not pictured) is calculated from CBV/CBF (adapted from </w:t>
      </w:r>
      <w:r w:rsidRPr="00AF0E0B">
        <w:rPr>
          <w:rFonts w:eastAsia="Arial" w:cs="Arial"/>
          <w:i/>
          <w:iCs/>
          <w:color w:val="808080"/>
          <w:sz w:val="21"/>
          <w:szCs w:val="21"/>
          <w:u w:color="808080"/>
          <w:bdr w:val="nil"/>
          <w:lang w:val="en-US" w:eastAsia="en-GB"/>
        </w:rPr>
        <w:fldChar w:fldCharType="begin"/>
      </w:r>
      <w:r w:rsidRPr="00AF0E0B">
        <w:rPr>
          <w:rFonts w:eastAsia="Arial" w:cs="Arial"/>
          <w:i/>
          <w:iCs/>
          <w:color w:val="808080"/>
          <w:sz w:val="21"/>
          <w:szCs w:val="21"/>
          <w:u w:color="808080"/>
          <w:bdr w:val="nil"/>
          <w:lang w:val="en-US" w:eastAsia="en-GB"/>
        </w:rPr>
        <w:instrText xml:space="preserve"> ADDIN EN.CITE &lt;EndNote&gt;&lt;Cite  &gt;&lt;Author&gt;Tomandl&lt;/Author&gt;&lt;Year&gt;2003&lt;/Year&gt;&lt;RecNum&gt;1334&lt;/RecNum&gt;&lt;DisplayText&gt;(Tomandl et al., 2003)&lt;/DisplayText&gt;&lt;record&gt;&lt;dates&gt;&lt;pub-dates&gt;&lt;date&gt;2003 May-Jun&lt;/date&gt;&lt;/pub-dates&gt;&lt;year&gt;2003&lt;/year&gt;&lt;/dates&gt;&lt;keywords&gt;&lt;keyword&gt;Brain Ischemia&lt;/keyword&gt;&lt;keyword&gt;Cerebral Angiography&lt;/keyword&gt;&lt;keyword&gt;Cerebrovascular Circulation&lt;/keyword&gt;&lt;keyword&gt;Diagnosis, Differential&lt;/keyword&gt;&lt;keyword&gt;Humans&lt;/keyword&gt;&lt;keyword&gt;Stroke&lt;/keyword&gt;&lt;keyword&gt;Tomography, X-Ray Computed&lt;/keyword&gt;&lt;/keywords&gt;&lt;urls&gt;&lt;related-urls&gt;&lt;url&gt;https://www.ncbi.nlm.nih.gov/pubmed/12740462&lt;/url&gt;&lt;/related-urls&gt;&lt;/urls&gt;&lt;isbn&gt;0271-5333&lt;/isbn&gt;&lt;titles&gt;&lt;title&gt;Comprehensive imaging of ischemic stroke with multisection CT&lt;/title&gt;&lt;secondary-title&gt;Radiographics&lt;/secondary-title&gt;&lt;/titles&gt;&lt;pages&gt;565-92&lt;/pages&gt;&lt;number&gt;3&lt;/number&gt;&lt;contributors&gt;&lt;authors&gt;&lt;author&gt;Tomandl, B. F.&lt;/author&gt;&lt;author&gt;Klotz, E.&lt;/author&gt;&lt;author&gt;Handschu, R.&lt;/author&gt;&lt;author&gt;Stemper, B.&lt;/author&gt;&lt;author&gt;Reinhardt, F.&lt;/author&gt;&lt;author&gt;Huk, W. J.&lt;/author&gt;&lt;author&gt;Eberhardt, K. E.&lt;/author&gt;&lt;author&gt;Fateh-Moghadam, S.&lt;/author&gt;&lt;/authors&gt;&lt;/contributors&gt;&lt;language&gt;eng&lt;/language&gt;&lt;added-date format="utc"&gt;1598701802&lt;/added-date&gt;&lt;ref-type name="Journal Article"&gt;17&lt;/ref-type&gt;&lt;rec-number&gt;1334&lt;/rec-number&gt;&lt;last-updated-date format="utc"&gt;1598701802&lt;/last-updated-date&gt;&lt;accession-num&gt;12740462&lt;/accession-num&gt;&lt;electronic-resource-num&gt;10.1148/rg.233025036&lt;/electronic-resource-num&gt;&lt;volume&gt;23&lt;/volume&gt;&lt;/record&gt;&lt;/Cite&gt;&lt;/EndNote&gt;</w:instrText>
      </w:r>
      <w:r w:rsidRPr="00AF0E0B">
        <w:rPr>
          <w:rFonts w:eastAsia="Arial" w:cs="Arial"/>
          <w:i/>
          <w:iCs/>
          <w:color w:val="808080"/>
          <w:sz w:val="21"/>
          <w:szCs w:val="21"/>
          <w:u w:color="808080"/>
          <w:bdr w:val="nil"/>
          <w:lang w:val="en-US" w:eastAsia="en-GB"/>
        </w:rPr>
        <w:fldChar w:fldCharType="separate"/>
      </w:r>
      <w:r w:rsidRPr="00AF0E0B">
        <w:rPr>
          <w:rFonts w:eastAsia="Arial" w:cs="Arial"/>
          <w:i/>
          <w:iCs/>
          <w:color w:val="808080"/>
          <w:sz w:val="21"/>
          <w:szCs w:val="21"/>
          <w:u w:color="808080"/>
          <w:bdr w:val="nil"/>
          <w:lang w:val="en-US" w:eastAsia="en-GB"/>
        </w:rPr>
        <w:t>(</w:t>
      </w:r>
      <w:proofErr w:type="spellStart"/>
      <w:r w:rsidRPr="00AF0E0B">
        <w:rPr>
          <w:rFonts w:eastAsia="Arial" w:cs="Arial"/>
          <w:i/>
          <w:iCs/>
          <w:color w:val="808080"/>
          <w:sz w:val="21"/>
          <w:szCs w:val="21"/>
          <w:u w:color="808080"/>
          <w:bdr w:val="nil"/>
          <w:lang w:val="en-US" w:eastAsia="en-GB"/>
        </w:rPr>
        <w:t>Tomandl</w:t>
      </w:r>
      <w:proofErr w:type="spellEnd"/>
      <w:r w:rsidRPr="00AF0E0B">
        <w:rPr>
          <w:rFonts w:eastAsia="Arial" w:cs="Arial"/>
          <w:i/>
          <w:iCs/>
          <w:color w:val="808080"/>
          <w:sz w:val="21"/>
          <w:szCs w:val="21"/>
          <w:u w:color="808080"/>
          <w:bdr w:val="nil"/>
          <w:lang w:val="en-US" w:eastAsia="en-GB"/>
        </w:rPr>
        <w:t xml:space="preserve"> et al., 2003)</w:t>
      </w:r>
      <w:r w:rsidRPr="00AF0E0B">
        <w:rPr>
          <w:rFonts w:eastAsia="Arial" w:cs="Arial"/>
          <w:i/>
          <w:iCs/>
          <w:color w:val="808080"/>
          <w:sz w:val="21"/>
          <w:szCs w:val="21"/>
          <w:u w:color="808080"/>
          <w:bdr w:val="nil"/>
          <w:lang w:val="en-US" w:eastAsia="en-GB"/>
        </w:rPr>
        <w:fldChar w:fldCharType="end"/>
      </w:r>
      <w:r w:rsidR="007800A1" w:rsidRPr="007800A1">
        <w:rPr>
          <w:rFonts w:eastAsia="Times New Roman" w:cs="Arial"/>
          <w:color w:val="000000"/>
          <w:sz w:val="20"/>
          <w:szCs w:val="20"/>
          <w:shd w:val="clear" w:color="auto" w:fill="FFFFFF"/>
          <w:lang w:eastAsia="en-GB"/>
        </w:rPr>
        <w:t xml:space="preserve"> </w:t>
      </w:r>
      <w:r w:rsidR="007800A1" w:rsidRPr="007800A1">
        <w:rPr>
          <w:rFonts w:eastAsia="Arial" w:cs="Arial"/>
          <w:i/>
          <w:iCs/>
          <w:color w:val="808080"/>
          <w:sz w:val="21"/>
          <w:szCs w:val="21"/>
          <w:u w:color="808080"/>
          <w:bdr w:val="nil"/>
          <w:lang w:eastAsia="en-GB"/>
        </w:rPr>
        <w:t xml:space="preserve">© </w:t>
      </w:r>
      <w:r w:rsidR="007800A1">
        <w:rPr>
          <w:rFonts w:eastAsia="Arial" w:cs="Arial"/>
          <w:i/>
          <w:iCs/>
          <w:color w:val="808080"/>
          <w:sz w:val="21"/>
          <w:szCs w:val="21"/>
          <w:u w:color="808080"/>
          <w:bdr w:val="nil"/>
          <w:lang w:eastAsia="en-GB"/>
        </w:rPr>
        <w:t>2003,</w:t>
      </w:r>
      <w:r w:rsidR="007800A1" w:rsidRPr="007800A1">
        <w:rPr>
          <w:rFonts w:eastAsia="Arial" w:cs="Arial"/>
          <w:i/>
          <w:iCs/>
          <w:color w:val="808080"/>
          <w:sz w:val="21"/>
          <w:szCs w:val="21"/>
          <w:u w:color="808080"/>
          <w:bdr w:val="nil"/>
          <w:lang w:eastAsia="en-GB"/>
        </w:rPr>
        <w:t xml:space="preserve"> </w:t>
      </w:r>
      <w:r w:rsidR="007800A1">
        <w:rPr>
          <w:rFonts w:eastAsia="Arial" w:cs="Arial"/>
          <w:i/>
          <w:iCs/>
          <w:color w:val="808080"/>
          <w:sz w:val="21"/>
          <w:szCs w:val="21"/>
          <w:u w:color="808080"/>
          <w:bdr w:val="nil"/>
          <w:lang w:eastAsia="en-GB"/>
        </w:rPr>
        <w:t>RSNA.</w:t>
      </w:r>
    </w:p>
    <w:p w14:paraId="32908534" w14:textId="3E4DC5EE" w:rsidR="00AF0E0B" w:rsidRPr="00AF0E0B" w:rsidRDefault="00AF0E0B" w:rsidP="00AF0E0B">
      <w:pPr>
        <w:pBdr>
          <w:top w:val="nil"/>
          <w:left w:val="nil"/>
          <w:bottom w:val="nil"/>
          <w:right w:val="nil"/>
          <w:between w:val="nil"/>
          <w:bar w:val="nil"/>
        </w:pBdr>
        <w:suppressAutoHyphens/>
        <w:spacing w:line="360" w:lineRule="auto"/>
        <w:rPr>
          <w:rFonts w:eastAsia="Arial" w:cs="Arial"/>
          <w:i/>
          <w:iCs/>
          <w:color w:val="808080"/>
          <w:sz w:val="21"/>
          <w:szCs w:val="21"/>
          <w:u w:color="808080"/>
          <w:bdr w:val="nil"/>
          <w:lang w:val="en-US" w:eastAsia="en-GB"/>
        </w:rPr>
      </w:pPr>
    </w:p>
    <w:p w14:paraId="6D52DC2D" w14:textId="0C45DADA" w:rsidR="00AF0E0B" w:rsidRPr="00AF0E0B" w:rsidRDefault="00AF0E0B" w:rsidP="0031237D">
      <w:pPr>
        <w:pStyle w:val="Heading3"/>
      </w:pPr>
      <w:bookmarkStart w:id="55" w:name="_Toc49972687"/>
      <w:bookmarkStart w:id="56" w:name="_Toc64723873"/>
      <w:r w:rsidRPr="00AF0E0B">
        <w:t xml:space="preserve">Microvascular perfusion abnormalities in subjects with T1D using </w:t>
      </w:r>
      <w:bookmarkEnd w:id="55"/>
      <w:r w:rsidR="00BE7445">
        <w:t>DSC-MRI</w:t>
      </w:r>
      <w:bookmarkEnd w:id="56"/>
    </w:p>
    <w:p w14:paraId="1ED5A4B5" w14:textId="7B0CF48B"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proofErr w:type="spellStart"/>
      <w:r w:rsidRPr="00AF0E0B">
        <w:rPr>
          <w:rFonts w:eastAsia="Arial Unicode MS" w:cs="Arial Unicode MS"/>
          <w:color w:val="000000"/>
          <w:u w:color="000000"/>
          <w:bdr w:val="nil"/>
          <w:lang w:val="en-US" w:eastAsia="en-GB"/>
        </w:rPr>
        <w:t>Selvarajah</w:t>
      </w:r>
      <w:proofErr w:type="spellEnd"/>
      <w:r w:rsidRPr="00AF0E0B">
        <w:rPr>
          <w:rFonts w:eastAsia="Arial Unicode MS" w:cs="Arial Unicode MS"/>
          <w:color w:val="000000"/>
          <w:u w:color="000000"/>
          <w:bdr w:val="nil"/>
          <w:lang w:val="en-US" w:eastAsia="en-GB"/>
        </w:rPr>
        <w:t xml:space="preserve"> et al. </w:t>
      </w:r>
      <w:r w:rsidRPr="00AF0E0B">
        <w:rPr>
          <w:rFonts w:eastAsia="Arial Unicode MS" w:cs="Arial Unicode MS"/>
          <w:color w:val="000000"/>
          <w:u w:color="000000"/>
          <w:bdr w:val="nil"/>
          <w:lang w:val="en-US" w:eastAsia="en-GB"/>
        </w:rPr>
        <w:fldChar w:fldCharType="begin"/>
      </w:r>
      <w:r w:rsidR="009968E0">
        <w:rPr>
          <w:rFonts w:eastAsia="Arial Unicode MS" w:cs="Arial Unicode MS"/>
          <w:color w:val="000000"/>
          <w:u w:color="000000"/>
          <w:bdr w:val="nil"/>
          <w:lang w:val="en-US" w:eastAsia="en-GB"/>
        </w:rPr>
        <w:instrText xml:space="preserve"> ADDIN EN.CITE &lt;EndNote&gt;&lt;Cite ExcludeAuth="1"&gt;&lt;Author&gt;Selvarajah&lt;/Author&gt;&lt;Year&gt;2011&lt;/Year&gt;&lt;RecNum&gt;3&lt;/RecNum&gt;&lt;DisplayText&gt;(2011b)&lt;/DisplayText&gt;&lt;record&gt;&lt;dates&gt;&lt;pub-dates&gt;&lt;date&gt;Mar&lt;/date&gt;&lt;/pub-dates&gt;&lt;year&gt;2011&lt;/year&gt;&lt;/dates&gt;&lt;keywords&gt;&lt;keyword&gt;Diabetes Mellitus, Type 1&lt;/keyword&gt;&lt;keyword&gt;Diabetic Neuropathies&lt;/keyword&gt;&lt;keyword&gt;Female&lt;/keyword&gt;&lt;keyword&gt;Humans&lt;/keyword&gt;&lt;keyword&gt;Male&lt;/keyword&gt;&lt;keyword&gt;Microvessels&lt;/keyword&gt;&lt;keyword&gt;Pain&lt;/keyword&gt;&lt;keyword&gt;Thalamus&lt;/keyword&gt;&lt;/keywords&gt;&lt;urls&gt;&lt;related-urls&gt;&lt;url&gt;http://www.ncbi.nlm.nih.gov/pubmed/21282344&lt;/url&gt;&lt;/related-urls&gt;&lt;/urls&gt;&lt;isbn&gt;1935-5548&lt;/isbn&gt;&lt;custom2&gt;PMC3041213&lt;/custom2&gt;&lt;titles&gt;&lt;title&gt;Microvascular perfusion abnormalities of the Thalamus in painful but not painless diabetic polyneuropathy: a clue to the pathogenesis of pain in type 1 diabetes&lt;/title&gt;&lt;secondary-title&gt;Diabetes Care&lt;/secondary-title&gt;&lt;/titles&gt;&lt;pages&gt;718-20&lt;/pages&gt;&lt;number&gt;3&lt;/number&gt;&lt;contributors&gt;&lt;authors&gt;&lt;author&gt;Selvarajah, D.&lt;/author&gt;&lt;author&gt;Wilkinson, I. D.&lt;/author&gt;&lt;author&gt;Gandhi, R.&lt;/author&gt;&lt;author&gt;Griffiths, P. D.&lt;/author&gt;&lt;author&gt;Tesfaye, S.&lt;/author&gt;&lt;/authors&gt;&lt;/contributors&gt;&lt;language&gt;eng&lt;/language&gt;&lt;added-date format="utc"&gt;1349968030&lt;/added-date&gt;&lt;ref-type name="Journal Article"&gt;17&lt;/ref-type&gt;&lt;auth-address&gt;Diabetes Research Department, Royal Hallamshire Hospital, Sheffield, UK. dinesh.selvarajah@gmail.com&lt;/auth-address&gt;&lt;rec-number&gt;3&lt;/rec-number&gt;&lt;last-updated-date format="utc"&gt;1349968030&lt;/last-updated-date&gt;&lt;accession-num&gt;21282344&lt;/accession-num&gt;&lt;electronic-resource-num&gt;dc10-1550 [pii]&amp;#xD; 10.2337/dc10-1550&lt;/electronic-resource-num&gt;&lt;volume&gt;34&lt;/volume&gt;&lt;/record&gt;&lt;/Cite&gt;&lt;/EndNote&gt;</w:instrText>
      </w:r>
      <w:r w:rsidRPr="00AF0E0B">
        <w:rPr>
          <w:rFonts w:eastAsia="Arial Unicode MS" w:cs="Arial Unicode MS"/>
          <w:color w:val="000000"/>
          <w:u w:color="000000"/>
          <w:bdr w:val="nil"/>
          <w:lang w:val="en-US" w:eastAsia="en-GB"/>
        </w:rPr>
        <w:fldChar w:fldCharType="separate"/>
      </w:r>
      <w:r w:rsidR="009968E0">
        <w:rPr>
          <w:rFonts w:eastAsia="Arial Unicode MS" w:cs="Arial Unicode MS"/>
          <w:noProof/>
          <w:color w:val="000000"/>
          <w:u w:color="000000"/>
          <w:bdr w:val="nil"/>
          <w:lang w:val="en-US" w:eastAsia="en-GB"/>
        </w:rPr>
        <w:t>(2011b)</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t xml:space="preserve"> </w:t>
      </w:r>
      <w:proofErr w:type="spellStart"/>
      <w:r w:rsidRPr="00AF0E0B">
        <w:rPr>
          <w:rFonts w:eastAsia="Arial Unicode MS" w:cs="Arial Unicode MS"/>
          <w:color w:val="000000"/>
          <w:u w:color="000000"/>
          <w:bdr w:val="nil"/>
          <w:lang w:val="en-US" w:eastAsia="en-GB"/>
        </w:rPr>
        <w:t>hypothesised</w:t>
      </w:r>
      <w:proofErr w:type="spellEnd"/>
      <w:r w:rsidRPr="00AF0E0B">
        <w:rPr>
          <w:rFonts w:eastAsia="Arial Unicode MS" w:cs="Arial Unicode MS"/>
          <w:color w:val="000000"/>
          <w:u w:color="000000"/>
          <w:bdr w:val="nil"/>
          <w:lang w:val="en-US" w:eastAsia="en-GB"/>
        </w:rPr>
        <w:t xml:space="preserve"> that central processing of neuronal inputs in subjects with P-DPN could be measured by DSC-MRI.  Therefore, a comparison of DSC-MRI relative perfusion measures was performed between groups with P-DPN, DPN</w:t>
      </w:r>
      <w:r w:rsidR="00B65763">
        <w:rPr>
          <w:rFonts w:eastAsia="Arial Unicode MS" w:cs="Arial Unicode MS"/>
          <w:color w:val="000000"/>
          <w:u w:color="000000"/>
          <w:bdr w:val="nil"/>
          <w:lang w:val="en-US" w:eastAsia="en-GB"/>
        </w:rPr>
        <w:t xml:space="preserve"> (painless)</w:t>
      </w:r>
      <w:r w:rsidRPr="00AF0E0B">
        <w:rPr>
          <w:rFonts w:eastAsia="Arial Unicode MS" w:cs="Arial Unicode MS"/>
          <w:color w:val="000000"/>
          <w:u w:color="000000"/>
          <w:bdr w:val="nil"/>
          <w:lang w:val="en-US" w:eastAsia="en-GB"/>
        </w:rPr>
        <w:t>, DM-NN</w:t>
      </w:r>
      <w:r w:rsidR="00B65763">
        <w:rPr>
          <w:rFonts w:eastAsia="Arial Unicode MS" w:cs="Arial Unicode MS"/>
          <w:color w:val="000000"/>
          <w:u w:color="000000"/>
          <w:bdr w:val="nil"/>
          <w:lang w:val="en-US" w:eastAsia="en-GB"/>
        </w:rPr>
        <w:t xml:space="preserve"> (Diabetes and no neuropathy)</w:t>
      </w:r>
      <w:r w:rsidRPr="00AF0E0B">
        <w:rPr>
          <w:rFonts w:eastAsia="Arial Unicode MS" w:cs="Arial Unicode MS"/>
          <w:color w:val="000000"/>
          <w:u w:color="000000"/>
          <w:bdr w:val="nil"/>
          <w:lang w:val="en-US" w:eastAsia="en-GB"/>
        </w:rPr>
        <w:t xml:space="preserve"> and HV</w:t>
      </w:r>
      <w:r w:rsidR="00B65763">
        <w:rPr>
          <w:rFonts w:eastAsia="Arial Unicode MS" w:cs="Arial Unicode MS"/>
          <w:color w:val="000000"/>
          <w:u w:color="000000"/>
          <w:bdr w:val="nil"/>
          <w:lang w:val="en-US" w:eastAsia="en-GB"/>
        </w:rPr>
        <w:t xml:space="preserve"> (healthy volunteers)</w:t>
      </w:r>
      <w:r w:rsidRPr="00AF0E0B">
        <w:rPr>
          <w:rFonts w:eastAsia="Arial Unicode MS" w:cs="Arial Unicode MS"/>
          <w:color w:val="000000"/>
          <w:u w:color="000000"/>
          <w:bdr w:val="nil"/>
          <w:lang w:val="en-US" w:eastAsia="en-GB"/>
        </w:rPr>
        <w:t xml:space="preserve">.  The thalamus was chosen as the region of interest due to its role integrating multiple sensory inputs, and its involvement in stroke mediated central pain syndromes </w:t>
      </w:r>
      <w:r w:rsidRPr="00AF0E0B">
        <w:rPr>
          <w:rFonts w:eastAsia="Arial Unicode MS" w:cs="Arial Unicode MS"/>
          <w:color w:val="000000"/>
          <w:u w:color="000000"/>
          <w:bdr w:val="nil"/>
          <w:lang w:val="fr-FR" w:eastAsia="en-GB"/>
        </w:rPr>
        <w:fldChar w:fldCharType="begin"/>
      </w:r>
      <w:r w:rsidRPr="00AF0E0B">
        <w:rPr>
          <w:rFonts w:eastAsia="Arial Unicode MS" w:cs="Arial Unicode MS"/>
          <w:color w:val="000000"/>
          <w:u w:color="000000"/>
          <w:bdr w:val="nil"/>
          <w:lang w:val="fr-FR" w:eastAsia="en-GB"/>
        </w:rPr>
        <w:instrText xml:space="preserve"> ADDIN EN.CITE &lt;EndNote&gt;&lt;Cite  &gt;&lt;Author&gt;Boivie&lt;/Author&gt;&lt;Year&gt;1989&lt;/Year&gt;&lt;RecNum&gt;498&lt;/RecNum&gt;&lt;DisplayText&gt;(Boivie et al., 1989)&lt;/DisplayText&gt;&lt;record&gt;&lt;dates&gt;&lt;pub-dates&gt;&lt;date&gt;May&lt;/date&gt;&lt;/pub-dates&gt;&lt;year&gt;1989&lt;/year&gt;&lt;/dates&gt;&lt;urls&gt;&lt;related-urls&gt;&lt;url&gt;&amp;lt;Go to ISI&amp;gt;://WOS:A1989U736600004&lt;/url&gt;&lt;/related-urls&gt;&lt;/urls&gt;&lt;isbn&gt;0304-3959&lt;/isbn&gt;&lt;titles&gt;&lt;title&gt;CENTRAL POST-STROKE PAIN - A STUDY OF THE MECHANISMS THROUGH ANALYSES OF THE SENSORY ABNORMALITIES&lt;/title&gt;&lt;secondary-title&gt;Pain&lt;/secondary-title&gt;&lt;/titles&gt;&lt;number&gt;2&lt;/number&gt;&lt;contributors&gt;&lt;authors&gt;&lt;author&gt;Boivie, J.&lt;/author&gt;&lt;author&gt;Leijon, G.&lt;/author&gt;&lt;author&gt;Johansson, I.&lt;/author&gt;&lt;/authors&gt;&lt;/contributors&gt;&lt;added-date format="utc"&gt;1356640319&lt;/added-date&gt;&lt;ref-type name="Journal Article"&gt;17&lt;/ref-type&gt;&lt;rec-number&gt;498&lt;/rec-number&gt;&lt;last-updated-date format="utc"&gt;1479835022&lt;/last-updated-date&gt;&lt;accession-num&gt;WOS:A1989U736600004&lt;/accession-num&gt;&lt;electronic-resource-num&gt;10.1016/0304-3959(89)90128-0&lt;/electronic-resource-num&gt;&lt;volume&gt;37&lt;/volume&gt;&lt;/record&gt;&lt;/Cite&gt;&lt;/EndNote&gt;</w:instrText>
      </w:r>
      <w:r w:rsidRPr="00AF0E0B">
        <w:rPr>
          <w:rFonts w:eastAsia="Arial Unicode MS" w:cs="Arial Unicode MS"/>
          <w:color w:val="000000"/>
          <w:u w:color="000000"/>
          <w:bdr w:val="nil"/>
          <w:lang w:val="fr-FR" w:eastAsia="en-GB"/>
        </w:rPr>
        <w:fldChar w:fldCharType="separate"/>
      </w:r>
      <w:r w:rsidRPr="00AF0E0B">
        <w:rPr>
          <w:rFonts w:eastAsia="Arial Unicode MS" w:cs="Arial Unicode MS"/>
          <w:color w:val="000000"/>
          <w:u w:color="000000"/>
          <w:bdr w:val="nil"/>
          <w:lang w:val="fr-FR" w:eastAsia="en-GB"/>
        </w:rPr>
        <w:t>(Boivie et al., 1989)</w:t>
      </w:r>
      <w:r w:rsidRPr="00AF0E0B">
        <w:rPr>
          <w:rFonts w:eastAsia="Arial Unicode MS" w:cs="Arial Unicode MS"/>
          <w:color w:val="000000"/>
          <w:u w:color="000000"/>
          <w:bdr w:val="nil"/>
          <w:lang w:val="fr-FR" w:eastAsia="en-GB"/>
        </w:rPr>
        <w:fldChar w:fldCharType="end"/>
      </w:r>
      <w:r w:rsidRPr="00AF0E0B">
        <w:rPr>
          <w:rFonts w:eastAsia="Arial Unicode MS" w:cs="Arial Unicode MS"/>
          <w:color w:val="000000"/>
          <w:u w:color="000000"/>
          <w:bdr w:val="nil"/>
          <w:lang w:val="en-US" w:eastAsia="en-GB"/>
        </w:rPr>
        <w:t xml:space="preserve">.  Bolus arrival time was reported to be significantly delayed in both neuropathy groups (P-DPN and DPN).  The first moment transit time (a relative measure analogous to MTT) was significantly prolonged in the P-DPN group compared with the other groups.  Relative cerebral blood volume was reported as greater in the P-DPN group than the healthy volunteers. There was a trend to increased cerebral blood </w:t>
      </w:r>
      <w:r w:rsidRPr="00AF0E0B">
        <w:rPr>
          <w:rFonts w:eastAsia="Arial Unicode MS" w:cs="Arial Unicode MS"/>
          <w:color w:val="000000"/>
          <w:u w:color="000000"/>
          <w:bdr w:val="nil"/>
          <w:lang w:val="en-US" w:eastAsia="en-GB"/>
        </w:rPr>
        <w:lastRenderedPageBreak/>
        <w:t>volume but no significant difference between the P-DPN, the DPN and the DM-NN groups (Figure 1.7).  A control area, the caudate nucleus, showed no significant difference in perfusion parameters between groups.</w:t>
      </w:r>
    </w:p>
    <w:p w14:paraId="31432AFB" w14:textId="6AB2D5CB" w:rsid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eastAsia="Arial Unicode MS" w:cs="Arial Unicode MS"/>
          <w:color w:val="000000"/>
          <w:u w:color="000000"/>
          <w:bdr w:val="nil"/>
          <w:lang w:val="en-US" w:eastAsia="en-GB"/>
        </w:rPr>
        <w:t xml:space="preserve">The findings of the study by </w:t>
      </w:r>
      <w:proofErr w:type="spellStart"/>
      <w:r w:rsidRPr="00AF0E0B">
        <w:rPr>
          <w:rFonts w:eastAsia="Arial Unicode MS" w:cs="Arial Unicode MS"/>
          <w:color w:val="000000"/>
          <w:u w:color="000000"/>
          <w:bdr w:val="nil"/>
          <w:lang w:val="en-US" w:eastAsia="en-GB"/>
        </w:rPr>
        <w:t>Selvarajah</w:t>
      </w:r>
      <w:proofErr w:type="spellEnd"/>
      <w:r w:rsidRPr="00AF0E0B">
        <w:rPr>
          <w:rFonts w:eastAsia="Arial Unicode MS" w:cs="Arial Unicode MS"/>
          <w:color w:val="000000"/>
          <w:u w:color="000000"/>
          <w:bdr w:val="nil"/>
          <w:lang w:val="en-US" w:eastAsia="en-GB"/>
        </w:rPr>
        <w:t xml:space="preserve"> et al. (2011) indicate that there may be delay in contrast reaching the thalamus in P-DPN and DPN groups.  There may be a delay in delivery of blood to these areas due to macrovascular or microvascular dysfunction (Figure 1.7). Alternatively, there may be a delayed neurovascular coupling response.  The P-DPN group had the greatest relative cerebral blood volume increase and this may reflect a latent hyperexcitability of the thalamus causing increased capillary dilation.  Hyperexcitability of the neurons of the thalamus has been described in animal models of diabetic neuropathic pain </w:t>
      </w:r>
      <w:r w:rsidRPr="00AF0E0B">
        <w:rPr>
          <w:rFonts w:eastAsia="Arial Unicode MS" w:cs="Arial Unicode MS"/>
          <w:color w:val="000000"/>
          <w:u w:color="000000"/>
          <w:bdr w:val="nil"/>
          <w:lang w:val="de-DE" w:eastAsia="en-GB"/>
        </w:rPr>
        <w:fldChar w:fldCharType="begin"/>
      </w:r>
      <w:r w:rsidR="00D06F2D">
        <w:rPr>
          <w:rFonts w:eastAsia="Arial Unicode MS" w:cs="Arial Unicode MS"/>
          <w:color w:val="000000"/>
          <w:u w:color="000000"/>
          <w:bdr w:val="nil"/>
          <w:lang w:val="de-DE" w:eastAsia="en-GB"/>
        </w:rPr>
        <w:instrText xml:space="preserve"> ADDIN EN.CITE &lt;EndNote&gt;&lt;Cite&gt;&lt;Author&gt;Fischer&lt;/Author&gt;&lt;Year&gt;2009&lt;/Year&gt;&lt;RecNum&gt;6&lt;/RecNum&gt;&lt;DisplayText&gt;(Fischer et al., 2009b)&lt;/DisplayText&gt;&lt;record&gt;&lt;dates&gt;&lt;pub-dates&gt;&lt;date&gt;May&lt;/date&gt;&lt;/pub-dates&gt;&lt;year&gt;2009&lt;/year&gt;&lt;/dates&gt;&lt;keywords&gt;&lt;keyword&gt;Action Potentials&lt;/keyword&gt;&lt;keyword&gt;Analysis of Variance&lt;/keyword&gt;&lt;keyword&gt;Animals&lt;/keyword&gt;&lt;keyword&gt;Blood Glucose&lt;/keyword&gt;&lt;keyword&gt;Diabetes Mellitus, Experimental&lt;/keyword&gt;&lt;keyword&gt;Hyperglycemia&lt;/keyword&gt;&lt;keyword&gt;Male&lt;/keyword&gt;&lt;keyword&gt;Microelectrodes&lt;/keyword&gt;&lt;keyword&gt;Neurons&lt;/keyword&gt;&lt;keyword&gt;Pain&lt;/keyword&gt;&lt;keyword&gt;Pain Measurement&lt;/keyword&gt;&lt;keyword&gt;Physical Stimulation&lt;/keyword&gt;&lt;keyword&gt;Rats&lt;/keyword&gt;&lt;keyword&gt;Rats, Sprague-Dawley&lt;/keyword&gt;&lt;keyword&gt;Streptozocin&lt;/keyword&gt;&lt;keyword&gt;Thalamus&lt;/keyword&gt;&lt;/keywords&gt;&lt;urls&gt;&lt;related-urls&gt;&lt;url&gt;http://www.ncbi.nlm.nih.gov/pubmed/19285053&lt;/url&gt;&lt;/related-urls&gt;&lt;/urls&gt;&lt;isbn&gt;1872-6240&lt;/isbn&gt;&lt;titles&gt;&lt;title&gt;Thalamic neuron hyperexcitability and enlarged receptive fields in the STZ model of diabetic pain&lt;/title&gt;&lt;secondary-title&gt;Brain Res&lt;/secondary-title&gt;&lt;/titles&gt;&lt;pages&gt;154-61&lt;/pages&gt;&lt;contributors&gt;&lt;authors&gt;&lt;author&gt;Fischer, T. Z.&lt;/author&gt;&lt;author&gt;Tan, A. M.&lt;/author&gt;&lt;author&gt;Waxman, S. G.&lt;/author&gt;&lt;/authors&gt;&lt;/contributors&gt;&lt;language&gt;eng&lt;/language&gt;&lt;added-date format="utc"&gt;1349953630&lt;/added-date&gt;&lt;ref-type name="Journal Article"&gt;17&lt;/ref-type&gt;&lt;auth-address&gt;Department of Neurology, Yale University School of Medicine, New Haven, CT 06510, USA. tanya.fischer@yale.edu&lt;/auth-address&gt;&lt;rec-number&gt;6&lt;/rec-number&gt;&lt;last-updated-date format="utc"&gt;1356697525&lt;/last-updated-date&gt;&lt;accession-num&gt;19285053&lt;/accession-num&gt;&lt;electronic-resource-num&gt;S0006-8993(09)00411-9 [pii]&amp;#xD; 10.1016/j.brainres.2009.02.063&lt;/electronic-resource-num&gt;&lt;volume&gt;1268&lt;/volume&gt;&lt;/record&gt;&lt;/Cite&gt;&lt;/EndNote&gt;</w:instrText>
      </w:r>
      <w:r w:rsidRPr="00AF0E0B">
        <w:rPr>
          <w:rFonts w:eastAsia="Arial Unicode MS" w:cs="Arial Unicode MS"/>
          <w:color w:val="000000"/>
          <w:u w:color="000000"/>
          <w:bdr w:val="nil"/>
          <w:lang w:val="de-DE" w:eastAsia="en-GB"/>
        </w:rPr>
        <w:fldChar w:fldCharType="separate"/>
      </w:r>
      <w:r w:rsidR="00D06F2D">
        <w:rPr>
          <w:rFonts w:eastAsia="Arial Unicode MS" w:cs="Arial Unicode MS"/>
          <w:noProof/>
          <w:color w:val="000000"/>
          <w:u w:color="000000"/>
          <w:bdr w:val="nil"/>
          <w:lang w:val="de-DE" w:eastAsia="en-GB"/>
        </w:rPr>
        <w:t>(Fischer et al., 2009b)</w:t>
      </w:r>
      <w:r w:rsidRPr="00AF0E0B">
        <w:rPr>
          <w:rFonts w:eastAsia="Arial Unicode MS" w:cs="Arial Unicode MS"/>
          <w:color w:val="000000"/>
          <w:u w:color="000000"/>
          <w:bdr w:val="nil"/>
          <w:lang w:val="de-DE" w:eastAsia="en-GB"/>
        </w:rPr>
        <w:fldChar w:fldCharType="end"/>
      </w:r>
      <w:r w:rsidRPr="00AF0E0B">
        <w:rPr>
          <w:rFonts w:eastAsia="Arial Unicode MS" w:cs="Arial Unicode MS"/>
          <w:color w:val="000000"/>
          <w:u w:color="000000"/>
          <w:bdr w:val="nil"/>
          <w:lang w:val="en-US" w:eastAsia="en-GB"/>
        </w:rPr>
        <w:t>.</w:t>
      </w:r>
    </w:p>
    <w:p w14:paraId="2B80E6C5" w14:textId="77777777" w:rsidR="00FF1F4F" w:rsidRPr="00AF0E0B" w:rsidRDefault="00FF1F4F"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p>
    <w:p w14:paraId="78D4B26D" w14:textId="78A0EC26" w:rsidR="00AF0E0B" w:rsidRPr="00AF0E0B" w:rsidRDefault="00AF0E0B" w:rsidP="009F58A0">
      <w:pPr>
        <w:pStyle w:val="Subtitle"/>
      </w:pPr>
      <w:bookmarkStart w:id="57" w:name="_Toc49972746"/>
      <w:bookmarkStart w:id="58" w:name="_Toc64724168"/>
      <w:r w:rsidRPr="00AF0E0B">
        <w:t xml:space="preserve">Figure 1.7  Concentration </w:t>
      </w:r>
      <w:r w:rsidR="00E56718">
        <w:t>T</w:t>
      </w:r>
      <w:r w:rsidRPr="00AF0E0B">
        <w:t xml:space="preserve">ime </w:t>
      </w:r>
      <w:r w:rsidR="00E56718">
        <w:t>P</w:t>
      </w:r>
      <w:r w:rsidRPr="00AF0E0B">
        <w:t xml:space="preserve">rofiles of </w:t>
      </w:r>
      <w:r w:rsidR="00E56718">
        <w:t>C</w:t>
      </w:r>
      <w:r w:rsidRPr="00AF0E0B">
        <w:t xml:space="preserve">ontrast </w:t>
      </w:r>
      <w:r w:rsidR="00E56718">
        <w:t>B</w:t>
      </w:r>
      <w:r w:rsidRPr="00AF0E0B">
        <w:t xml:space="preserve">olus </w:t>
      </w:r>
      <w:r w:rsidR="00E56718">
        <w:t>t</w:t>
      </w:r>
      <w:r w:rsidRPr="00AF0E0B">
        <w:t>hrough</w:t>
      </w:r>
      <w:r w:rsidR="00E56718">
        <w:t xml:space="preserve"> the</w:t>
      </w:r>
      <w:r w:rsidRPr="00AF0E0B">
        <w:t xml:space="preserve"> </w:t>
      </w:r>
      <w:r w:rsidR="00E56718">
        <w:t>T</w:t>
      </w:r>
      <w:r w:rsidRPr="00AF0E0B">
        <w:t>halamus</w:t>
      </w:r>
      <w:bookmarkEnd w:id="57"/>
      <w:bookmarkEnd w:id="58"/>
    </w:p>
    <w:p w14:paraId="02B8DA5C" w14:textId="77777777"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eastAsia="Arial Unicode MS" w:cs="Arial Unicode MS"/>
          <w:noProof/>
          <w:color w:val="000000"/>
          <w:u w:color="000000"/>
          <w:bdr w:val="nil"/>
          <w:lang w:val="en-US" w:eastAsia="en-GB"/>
        </w:rPr>
        <w:drawing>
          <wp:inline distT="0" distB="0" distL="0" distR="0" wp14:anchorId="274E0E95" wp14:editId="7D3EAA32">
            <wp:extent cx="5727700" cy="3454400"/>
            <wp:effectExtent l="0" t="0" r="0" b="0"/>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3" name="officeArt object"/>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5727700" cy="3454400"/>
                    </a:xfrm>
                    <a:prstGeom prst="rect">
                      <a:avLst/>
                    </a:prstGeom>
                    <a:ln w="12700" cap="flat">
                      <a:noFill/>
                      <a:miter lim="400000"/>
                    </a:ln>
                    <a:effectLst/>
                  </pic:spPr>
                </pic:pic>
              </a:graphicData>
            </a:graphic>
          </wp:inline>
        </w:drawing>
      </w:r>
    </w:p>
    <w:p w14:paraId="16AE6553" w14:textId="77777777" w:rsidR="00D945E9" w:rsidRDefault="00D945E9" w:rsidP="00D945E9">
      <w:pPr>
        <w:pBdr>
          <w:top w:val="nil"/>
          <w:left w:val="nil"/>
          <w:bottom w:val="nil"/>
          <w:right w:val="nil"/>
          <w:between w:val="nil"/>
          <w:bar w:val="nil"/>
        </w:pBdr>
        <w:tabs>
          <w:tab w:val="left" w:pos="1134"/>
        </w:tabs>
        <w:suppressAutoHyphens/>
        <w:spacing w:line="360" w:lineRule="auto"/>
        <w:rPr>
          <w:rFonts w:eastAsia="Arial" w:cs="Arial"/>
          <w:i/>
          <w:iCs/>
          <w:color w:val="808080"/>
          <w:sz w:val="21"/>
          <w:szCs w:val="21"/>
          <w:u w:color="808080"/>
          <w:bdr w:val="nil"/>
          <w:lang w:val="en-US" w:eastAsia="en-GB"/>
        </w:rPr>
      </w:pPr>
    </w:p>
    <w:p w14:paraId="19083563" w14:textId="77777777" w:rsidR="00D945E9" w:rsidRDefault="00D945E9" w:rsidP="00D945E9">
      <w:pPr>
        <w:pBdr>
          <w:top w:val="nil"/>
          <w:left w:val="nil"/>
          <w:bottom w:val="nil"/>
          <w:right w:val="nil"/>
          <w:between w:val="nil"/>
          <w:bar w:val="nil"/>
        </w:pBdr>
        <w:tabs>
          <w:tab w:val="left" w:pos="1134"/>
        </w:tabs>
        <w:suppressAutoHyphens/>
        <w:spacing w:line="360" w:lineRule="auto"/>
        <w:rPr>
          <w:rFonts w:eastAsia="Arial" w:cs="Arial"/>
          <w:i/>
          <w:iCs/>
          <w:color w:val="808080"/>
          <w:sz w:val="21"/>
          <w:szCs w:val="21"/>
          <w:u w:color="808080"/>
          <w:bdr w:val="nil"/>
          <w:lang w:val="en-US" w:eastAsia="en-GB"/>
        </w:rPr>
      </w:pPr>
    </w:p>
    <w:p w14:paraId="089DB69E" w14:textId="3B71D514" w:rsidR="00AF0E0B" w:rsidRPr="00AF0E0B" w:rsidRDefault="00D945E9" w:rsidP="00D945E9">
      <w:pPr>
        <w:pBdr>
          <w:top w:val="nil"/>
          <w:left w:val="nil"/>
          <w:bottom w:val="nil"/>
          <w:right w:val="nil"/>
          <w:between w:val="nil"/>
          <w:bar w:val="nil"/>
        </w:pBdr>
        <w:tabs>
          <w:tab w:val="left" w:pos="1134"/>
        </w:tabs>
        <w:suppressAutoHyphens/>
        <w:spacing w:line="360" w:lineRule="auto"/>
        <w:rPr>
          <w:rFonts w:eastAsia="Arial" w:cs="Arial"/>
          <w:i/>
          <w:iCs/>
          <w:color w:val="808080"/>
          <w:sz w:val="21"/>
          <w:szCs w:val="21"/>
          <w:u w:color="808080"/>
          <w:bdr w:val="nil"/>
          <w:lang w:val="en-US" w:eastAsia="en-GB"/>
        </w:rPr>
      </w:pPr>
      <w:r>
        <w:rPr>
          <w:rFonts w:eastAsia="Arial" w:cs="Arial"/>
          <w:i/>
          <w:iCs/>
          <w:noProof/>
          <w:color w:val="FF0000"/>
          <w:sz w:val="21"/>
          <w:szCs w:val="21"/>
          <w:u w:color="808080"/>
          <w:lang w:val="en-US" w:eastAsia="en-GB"/>
        </w:rPr>
        <mc:AlternateContent>
          <mc:Choice Requires="wps">
            <w:drawing>
              <wp:anchor distT="0" distB="0" distL="114300" distR="114300" simplePos="0" relativeHeight="251765760" behindDoc="0" locked="0" layoutInCell="1" allowOverlap="1" wp14:anchorId="2406C1A9" wp14:editId="6AB05D3D">
                <wp:simplePos x="0" y="0"/>
                <wp:positionH relativeFrom="column">
                  <wp:posOffset>2852420</wp:posOffset>
                </wp:positionH>
                <wp:positionV relativeFrom="paragraph">
                  <wp:posOffset>67945</wp:posOffset>
                </wp:positionV>
                <wp:extent cx="257175" cy="0"/>
                <wp:effectExtent l="0" t="12700" r="22225" b="12700"/>
                <wp:wrapNone/>
                <wp:docPr id="49" name="Straight Connector 49"/>
                <wp:cNvGraphicFramePr/>
                <a:graphic xmlns:a="http://schemas.openxmlformats.org/drawingml/2006/main">
                  <a:graphicData uri="http://schemas.microsoft.com/office/word/2010/wordprocessingShape">
                    <wps:wsp>
                      <wps:cNvCnPr/>
                      <wps:spPr>
                        <a:xfrm>
                          <a:off x="0" y="0"/>
                          <a:ext cx="257175" cy="0"/>
                        </a:xfrm>
                        <a:prstGeom prst="line">
                          <a:avLst/>
                        </a:prstGeom>
                        <a:ln>
                          <a:solidFill>
                            <a:srgbClr val="92D050"/>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4612A8D8" id="Straight Connector 49" o:spid="_x0000_s1026" style="position:absolute;z-index:251765760;visibility:visible;mso-wrap-style:square;mso-wrap-distance-left:9pt;mso-wrap-distance-top:0;mso-wrap-distance-right:9pt;mso-wrap-distance-bottom:0;mso-position-horizontal:absolute;mso-position-horizontal-relative:text;mso-position-vertical:absolute;mso-position-vertical-relative:text" from="224.6pt,5.35pt" to="244.85pt,5.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" strokecolor="#92d050" strokeweight="1.5pt">
                <v:stroke joinstyle="miter"/>
              </v:line>
            </w:pict>
          </mc:Fallback>
        </mc:AlternateContent>
      </w:r>
      <w:r>
        <w:rPr>
          <w:rFonts w:eastAsia="Arial" w:cs="Arial"/>
          <w:i/>
          <w:iCs/>
          <w:noProof/>
          <w:color w:val="FF0000"/>
          <w:sz w:val="21"/>
          <w:szCs w:val="21"/>
          <w:u w:color="808080"/>
          <w:lang w:val="en-US" w:eastAsia="en-GB"/>
        </w:rPr>
        <mc:AlternateContent>
          <mc:Choice Requires="wps">
            <w:drawing>
              <wp:anchor distT="0" distB="0" distL="114300" distR="114300" simplePos="0" relativeHeight="251764736" behindDoc="0" locked="0" layoutInCell="1" allowOverlap="1" wp14:anchorId="41352BB3" wp14:editId="1EF206BF">
                <wp:simplePos x="0" y="0"/>
                <wp:positionH relativeFrom="column">
                  <wp:posOffset>1814195</wp:posOffset>
                </wp:positionH>
                <wp:positionV relativeFrom="paragraph">
                  <wp:posOffset>67945</wp:posOffset>
                </wp:positionV>
                <wp:extent cx="381000" cy="0"/>
                <wp:effectExtent l="0" t="12700" r="12700" b="12700"/>
                <wp:wrapNone/>
                <wp:docPr id="48" name="Straight Connector 48"/>
                <wp:cNvGraphicFramePr/>
                <a:graphic xmlns:a="http://schemas.openxmlformats.org/drawingml/2006/main">
                  <a:graphicData uri="http://schemas.microsoft.com/office/word/2010/wordprocessingShape">
                    <wps:wsp>
                      <wps:cNvCnPr/>
                      <wps:spPr>
                        <a:xfrm>
                          <a:off x="0" y="0"/>
                          <a:ext cx="381000" cy="0"/>
                        </a:xfrm>
                        <a:prstGeom prst="line">
                          <a:avLst/>
                        </a:prstGeom>
                      </wps:spPr>
                      <wps:style>
                        <a:lnRef idx="3">
                          <a:schemeClr val="accent4"/>
                        </a:lnRef>
                        <a:fillRef idx="0">
                          <a:schemeClr val="accent4"/>
                        </a:fillRef>
                        <a:effectRef idx="2">
                          <a:schemeClr val="accent4"/>
                        </a:effectRef>
                        <a:fontRef idx="minor">
                          <a:schemeClr val="tx1"/>
                        </a:fontRef>
                      </wps:style>
                      <wps:bodyPr/>
                    </wps:wsp>
                  </a:graphicData>
                </a:graphic>
              </wp:anchor>
            </w:drawing>
          </mc:Choice>
          <mc:Fallback>
            <w:pict>
              <v:line w14:anchorId="3C894780" id="Straight Connector 48" o:spid="_x0000_s1026" style="position:absolute;z-index:251764736;visibility:visible;mso-wrap-style:square;mso-wrap-distance-left:9pt;mso-wrap-distance-top:0;mso-wrap-distance-right:9pt;mso-wrap-distance-bottom:0;mso-position-horizontal:absolute;mso-position-horizontal-relative:text;mso-position-vertical:absolute;mso-position-vertical-relative:text" from="142.85pt,5.35pt" to="172.85pt,5.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" strokecolor="#ffc000 [3207]" strokeweight="1.5pt">
                <v:stroke joinstyle="miter"/>
              </v:line>
            </w:pict>
          </mc:Fallback>
        </mc:AlternateContent>
      </w:r>
      <w:r>
        <w:rPr>
          <w:rFonts w:eastAsia="Arial" w:cs="Arial"/>
          <w:i/>
          <w:iCs/>
          <w:noProof/>
          <w:color w:val="FF0000"/>
          <w:sz w:val="21"/>
          <w:szCs w:val="21"/>
          <w:u w:color="808080"/>
          <w:lang w:val="en-US" w:eastAsia="en-GB"/>
        </w:rPr>
        <mc:AlternateContent>
          <mc:Choice Requires="wps">
            <w:drawing>
              <wp:anchor distT="0" distB="0" distL="114300" distR="114300" simplePos="0" relativeHeight="251763712" behindDoc="0" locked="0" layoutInCell="1" allowOverlap="1" wp14:anchorId="3E581986" wp14:editId="43613335">
                <wp:simplePos x="0" y="0"/>
                <wp:positionH relativeFrom="column">
                  <wp:posOffset>947420</wp:posOffset>
                </wp:positionH>
                <wp:positionV relativeFrom="paragraph">
                  <wp:posOffset>67945</wp:posOffset>
                </wp:positionV>
                <wp:extent cx="247650" cy="0"/>
                <wp:effectExtent l="0" t="12700" r="19050" b="12700"/>
                <wp:wrapNone/>
                <wp:docPr id="32" name="Straight Connector 32"/>
                <wp:cNvGraphicFramePr/>
                <a:graphic xmlns:a="http://schemas.openxmlformats.org/drawingml/2006/main">
                  <a:graphicData uri="http://schemas.microsoft.com/office/word/2010/wordprocessingShape">
                    <wps:wsp>
                      <wps:cNvCnPr/>
                      <wps:spPr>
                        <a:xfrm>
                          <a:off x="0" y="0"/>
                          <a:ext cx="247650" cy="0"/>
                        </a:xfrm>
                        <a:prstGeom prst="line">
                          <a:avLst/>
                        </a:prstGeom>
                        <a:ln>
                          <a:solidFill>
                            <a:srgbClr val="4F91F0"/>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01BEAD6F" id="Straight Connector 32" o:spid="_x0000_s1026" style="position:absolute;z-index:251763712;visibility:visible;mso-wrap-style:square;mso-wrap-distance-left:9pt;mso-wrap-distance-top:0;mso-wrap-distance-right:9pt;mso-wrap-distance-bottom:0;mso-position-horizontal:absolute;mso-position-horizontal-relative:text;mso-position-vertical:absolute;mso-position-vertical-relative:text" from="74.6pt,5.35pt" to="94.1pt,5.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" strokecolor="#4f91f0" strokeweight="1.5pt">
                <v:stroke joinstyle="miter"/>
              </v:line>
            </w:pict>
          </mc:Fallback>
        </mc:AlternateContent>
      </w:r>
      <w:r w:rsidR="00AF0E0B" w:rsidRPr="005356A6">
        <w:rPr>
          <w:rFonts w:eastAsia="Arial" w:cs="Arial"/>
          <w:i/>
          <w:iCs/>
          <w:noProof/>
          <w:color w:val="FF0000"/>
          <w:sz w:val="21"/>
          <w:szCs w:val="21"/>
          <w:u w:color="808080"/>
          <w:bdr w:val="nil"/>
          <w:lang w:val="en-US" w:eastAsia="en-GB"/>
        </w:rPr>
        <mc:AlternateContent>
          <mc:Choice Requires="wps">
            <w:drawing>
              <wp:anchor distT="0" distB="0" distL="0" distR="0" simplePos="0" relativeHeight="251662336" behindDoc="0" locked="0" layoutInCell="1" allowOverlap="1" wp14:anchorId="77D950AD" wp14:editId="0E39CB21">
                <wp:simplePos x="0" y="0"/>
                <wp:positionH relativeFrom="column">
                  <wp:posOffset>355600</wp:posOffset>
                </wp:positionH>
                <wp:positionV relativeFrom="line">
                  <wp:posOffset>70485</wp:posOffset>
                </wp:positionV>
                <wp:extent cx="234952" cy="0"/>
                <wp:effectExtent l="0" t="12700" r="19050" b="12700"/>
                <wp:wrapNone/>
                <wp:docPr id="1073741837" name="officeArt object" descr="Straight Connector 9"/>
                <wp:cNvGraphicFramePr/>
                <a:graphic xmlns:a="http://schemas.openxmlformats.org/drawingml/2006/main">
                  <a:graphicData uri="http://schemas.microsoft.com/office/word/2010/wordprocessingShape">
                    <wps:wsp>
                      <wps:cNvCnPr/>
                      <wps:spPr>
                        <a:xfrm>
                          <a:off x="0" y="0"/>
                          <a:ext cx="234952" cy="0"/>
                        </a:xfrm>
                        <a:prstGeom prst="line">
                          <a:avLst/>
                        </a:prstGeom>
                        <a:ln>
                          <a:solidFill>
                            <a:srgbClr val="FF0000"/>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775C21EE" id="officeArt object" o:spid="_x0000_s1026" alt="Straight Connector 9" style="position:absolute;z-index:251662336;visibility:visible;mso-wrap-style:square;mso-wrap-distance-left:0;mso-wrap-distance-top:0;mso-wrap-distance-right:0;mso-wrap-distance-bottom:0;mso-position-horizontal:absolute;mso-position-horizontal-relative:text;mso-position-vertical:absolute;mso-position-vertical-relative:line" from="28pt,5.55pt" to="46.5pt,5.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" strokecolor="red" strokeweight="1.5pt">
                <v:stroke joinstyle="miter"/>
                <w10:wrap anchory="line"/>
              </v:line>
            </w:pict>
          </mc:Fallback>
        </mc:AlternateContent>
      </w:r>
      <w:r w:rsidR="00AF0E0B" w:rsidRPr="00AF0E0B">
        <w:rPr>
          <w:rFonts w:eastAsia="Arial" w:cs="Arial"/>
          <w:i/>
          <w:iCs/>
          <w:color w:val="808080"/>
          <w:sz w:val="21"/>
          <w:szCs w:val="21"/>
          <w:u w:color="808080"/>
          <w:bdr w:val="nil"/>
          <w:lang w:val="en-US" w:eastAsia="en-GB"/>
        </w:rPr>
        <w:t>Key           HV</w:t>
      </w:r>
      <w:r w:rsidR="00AF0E0B" w:rsidRPr="00D945E9">
        <w:rPr>
          <w:rFonts w:eastAsia="Arial" w:cs="Arial"/>
          <w:color w:val="808080"/>
          <w:sz w:val="21"/>
          <w:szCs w:val="21"/>
          <w:u w:color="808080"/>
          <w:bdr w:val="nil"/>
          <w:lang w:val="en-US" w:eastAsia="en-GB"/>
        </w:rPr>
        <w:t>,</w:t>
      </w:r>
      <w:r>
        <w:rPr>
          <w:rFonts w:eastAsia="Arial" w:cs="Arial"/>
          <w:color w:val="808080"/>
          <w:sz w:val="21"/>
          <w:szCs w:val="21"/>
          <w:u w:color="808080"/>
          <w:bdr w:val="nil"/>
          <w:lang w:val="en-US" w:eastAsia="en-GB"/>
        </w:rPr>
        <w:t xml:space="preserve"> </w:t>
      </w:r>
      <w:r w:rsidR="00AF0E0B" w:rsidRPr="00D945E9">
        <w:rPr>
          <w:rFonts w:eastAsia="Arial" w:cs="Arial"/>
          <w:color w:val="808080"/>
          <w:sz w:val="21"/>
          <w:szCs w:val="21"/>
          <w:u w:color="808080"/>
          <w:bdr w:val="nil"/>
          <w:lang w:val="en-US" w:eastAsia="en-GB"/>
        </w:rPr>
        <w:t xml:space="preserve">         DM-NN,                P-DPN,           DPN</w:t>
      </w:r>
      <w:r w:rsidR="00AF0E0B" w:rsidRPr="00AF0E0B">
        <w:rPr>
          <w:rFonts w:eastAsia="Arial" w:cs="Arial"/>
          <w:i/>
          <w:iCs/>
          <w:color w:val="808080"/>
          <w:sz w:val="21"/>
          <w:szCs w:val="21"/>
          <w:u w:color="808080"/>
          <w:bdr w:val="nil"/>
          <w:lang w:val="en-US" w:eastAsia="en-GB"/>
        </w:rPr>
        <w:t xml:space="preserve"> </w:t>
      </w:r>
    </w:p>
    <w:p w14:paraId="41FE584C" w14:textId="72DD60F9" w:rsidR="00FE3E5C" w:rsidRPr="00FE3E5C" w:rsidRDefault="00AF0E0B" w:rsidP="00FE3E5C">
      <w:pPr>
        <w:pBdr>
          <w:top w:val="nil"/>
          <w:left w:val="nil"/>
          <w:bottom w:val="nil"/>
          <w:right w:val="nil"/>
          <w:between w:val="nil"/>
          <w:bar w:val="nil"/>
        </w:pBdr>
        <w:suppressAutoHyphens/>
        <w:spacing w:line="360" w:lineRule="auto"/>
        <w:rPr>
          <w:rFonts w:eastAsia="Arial" w:cs="Arial"/>
          <w:i/>
          <w:iCs/>
          <w:color w:val="808080"/>
          <w:sz w:val="21"/>
          <w:szCs w:val="21"/>
          <w:u w:color="808080"/>
          <w:bdr w:val="nil"/>
          <w:lang w:eastAsia="en-GB"/>
        </w:rPr>
      </w:pPr>
      <w:r w:rsidRPr="00AF0E0B">
        <w:rPr>
          <w:rFonts w:eastAsia="Arial" w:cs="Arial"/>
          <w:i/>
          <w:iCs/>
          <w:color w:val="808080"/>
          <w:sz w:val="21"/>
          <w:szCs w:val="21"/>
          <w:u w:color="808080"/>
          <w:bdr w:val="nil"/>
          <w:lang w:val="en-US" w:eastAsia="en-GB"/>
        </w:rPr>
        <w:t xml:space="preserve">Composite concentration time profiles of the bolus passage of exogenous contrast agent (Gd-DTPA) though the thalamus in each subgroup: healthy volunteers (HV), DM-NN, DPN, and P- DPN. The P-DPN and DPN groups have a later bolus arrival time and later TTP.  The P-DPN group has a greater relative CBV than all other groups.  </w:t>
      </w:r>
      <w:r w:rsidR="00D945E9">
        <w:rPr>
          <w:rFonts w:eastAsia="Arial" w:cs="Arial"/>
          <w:i/>
          <w:iCs/>
          <w:color w:val="808080"/>
          <w:sz w:val="21"/>
          <w:szCs w:val="21"/>
          <w:u w:color="808080"/>
          <w:bdr w:val="nil"/>
          <w:lang w:val="en-US" w:eastAsia="en-GB"/>
        </w:rPr>
        <w:t>Modified (</w:t>
      </w:r>
      <w:proofErr w:type="spellStart"/>
      <w:r w:rsidR="00D945E9">
        <w:rPr>
          <w:rFonts w:eastAsia="Arial" w:cs="Arial"/>
          <w:i/>
          <w:iCs/>
          <w:color w:val="808080"/>
          <w:sz w:val="21"/>
          <w:szCs w:val="21"/>
          <w:u w:color="808080"/>
          <w:bdr w:val="nil"/>
          <w:lang w:val="en-US" w:eastAsia="en-GB"/>
        </w:rPr>
        <w:t>colours</w:t>
      </w:r>
      <w:proofErr w:type="spellEnd"/>
      <w:r w:rsidR="00D945E9">
        <w:rPr>
          <w:rFonts w:eastAsia="Arial" w:cs="Arial"/>
          <w:i/>
          <w:iCs/>
          <w:color w:val="808080"/>
          <w:sz w:val="21"/>
          <w:szCs w:val="21"/>
          <w:u w:color="808080"/>
          <w:bdr w:val="nil"/>
          <w:lang w:val="en-US" w:eastAsia="en-GB"/>
        </w:rPr>
        <w:t>)</w:t>
      </w:r>
      <w:r w:rsidRPr="00AF0E0B">
        <w:rPr>
          <w:rFonts w:eastAsia="Arial" w:cs="Arial"/>
          <w:i/>
          <w:iCs/>
          <w:color w:val="808080"/>
          <w:sz w:val="21"/>
          <w:szCs w:val="21"/>
          <w:u w:color="808080"/>
          <w:bdr w:val="nil"/>
          <w:lang w:val="en-US" w:eastAsia="en-GB"/>
        </w:rPr>
        <w:t xml:space="preserve"> from </w:t>
      </w:r>
      <w:r w:rsidRPr="00AF0E0B">
        <w:rPr>
          <w:rFonts w:eastAsia="Arial" w:cs="Arial"/>
          <w:i/>
          <w:iCs/>
          <w:color w:val="808080"/>
          <w:sz w:val="21"/>
          <w:szCs w:val="21"/>
          <w:u w:color="808080"/>
          <w:bdr w:val="nil"/>
          <w:lang w:val="en-US" w:eastAsia="en-GB"/>
        </w:rPr>
        <w:fldChar w:fldCharType="begin"/>
      </w:r>
      <w:r w:rsidR="009968E0">
        <w:rPr>
          <w:rFonts w:eastAsia="Arial" w:cs="Arial"/>
          <w:i/>
          <w:iCs/>
          <w:color w:val="808080"/>
          <w:sz w:val="21"/>
          <w:szCs w:val="21"/>
          <w:u w:color="808080"/>
          <w:bdr w:val="nil"/>
          <w:lang w:val="en-US" w:eastAsia="en-GB"/>
        </w:rPr>
        <w:instrText xml:space="preserve"> ADDIN EN.CITE &lt;EndNote&gt;&lt;Cite&gt;&lt;Author&gt;Selvarajah&lt;/Author&gt;&lt;Year&gt;2011&lt;/Year&gt;&lt;RecNum&gt;3&lt;/RecNum&gt;&lt;DisplayText&gt;(Selvarajah et al., 2011b)&lt;/DisplayText&gt;&lt;record&gt;&lt;dates&gt;&lt;pub-dates&gt;&lt;date&gt;Mar&lt;/date&gt;&lt;/pub-dates&gt;&lt;year&gt;2011&lt;/year&gt;&lt;/dates&gt;&lt;keywords&gt;&lt;keyword&gt;Diabetes Mellitus, Type 1&lt;/keyword&gt;&lt;keyword&gt;Diabetic Neuropathies&lt;/keyword&gt;&lt;keyword&gt;Female&lt;/keyword&gt;&lt;keyword&gt;Humans&lt;/keyword&gt;&lt;keyword&gt;Male&lt;/keyword&gt;&lt;keyword&gt;Microvessels&lt;/keyword&gt;&lt;keyword&gt;Pain&lt;/keyword&gt;&lt;keyword&gt;Thalamus&lt;/keyword&gt;&lt;/keywords&gt;&lt;urls&gt;&lt;related-urls&gt;&lt;url&gt;http://www.ncbi.nlm.nih.gov/pubmed/21282344&lt;/url&gt;&lt;/related-urls&gt;&lt;/urls&gt;&lt;isbn&gt;1935-5548&lt;/isbn&gt;&lt;custom2&gt;PMC3041213&lt;/custom2&gt;&lt;titles&gt;&lt;title&gt;Microvascular perfusion abnormalities of the Thalamus in painful but not painless diabetic polyneuropathy: a clue to the pathogenesis of pain in type 1 diabetes&lt;/title&gt;&lt;secondary-title&gt;Diabetes Care&lt;/secondary-title&gt;&lt;/titles&gt;&lt;pages&gt;718-20&lt;/pages&gt;&lt;number&gt;3&lt;/number&gt;&lt;contributors&gt;&lt;authors&gt;&lt;author&gt;Selvarajah, D.&lt;/author&gt;&lt;author&gt;Wilkinson, I. D.&lt;/author&gt;&lt;author&gt;Gandhi, R.&lt;/author&gt;&lt;author&gt;Griffiths, P. D.&lt;/author&gt;&lt;author&gt;Tesfaye, S.&lt;/author&gt;&lt;/authors&gt;&lt;/contributors&gt;&lt;language&gt;eng&lt;/language&gt;&lt;added-date format="utc"&gt;1349953630&lt;/added-date&gt;&lt;ref-type name="Journal Article"&gt;17&lt;/ref-type&gt;&lt;auth-address&gt;Diabetes Research Department, Royal Hallamshire Hospital, Sheffield, UK. dinesh.selvarajah@gmail.com&lt;/auth-address&gt;&lt;rec-number&gt;3&lt;/rec-number&gt;&lt;last-updated-date format="utc"&gt;1349953630&lt;/last-updated-date&gt;&lt;accession-num&gt;21282344&lt;/accession-num&gt;&lt;electronic-resource-num&gt;dc10-1550 [pii]&amp;#xD; 10.2337/dc10-1550&lt;/electronic-resource-num&gt;&lt;volume&gt;34&lt;/volume&gt;&lt;/record&gt;&lt;/Cite&gt;&lt;/EndNote&gt;</w:instrText>
      </w:r>
      <w:r w:rsidRPr="00AF0E0B">
        <w:rPr>
          <w:rFonts w:eastAsia="Arial" w:cs="Arial"/>
          <w:i/>
          <w:iCs/>
          <w:color w:val="808080"/>
          <w:sz w:val="21"/>
          <w:szCs w:val="21"/>
          <w:u w:color="808080"/>
          <w:bdr w:val="nil"/>
          <w:lang w:val="en-US" w:eastAsia="en-GB"/>
        </w:rPr>
        <w:fldChar w:fldCharType="separate"/>
      </w:r>
      <w:r w:rsidR="009968E0">
        <w:rPr>
          <w:rFonts w:eastAsia="Arial" w:cs="Arial"/>
          <w:i/>
          <w:iCs/>
          <w:noProof/>
          <w:color w:val="808080"/>
          <w:sz w:val="21"/>
          <w:szCs w:val="21"/>
          <w:u w:color="808080"/>
          <w:bdr w:val="nil"/>
          <w:lang w:val="en-US" w:eastAsia="en-GB"/>
        </w:rPr>
        <w:t>(Selvarajah et al., 2011b)</w:t>
      </w:r>
      <w:r w:rsidRPr="00AF0E0B">
        <w:rPr>
          <w:rFonts w:eastAsia="Arial" w:cs="Arial"/>
          <w:i/>
          <w:iCs/>
          <w:color w:val="808080"/>
          <w:sz w:val="21"/>
          <w:szCs w:val="21"/>
          <w:u w:color="808080"/>
          <w:bdr w:val="nil"/>
          <w:lang w:val="en-US" w:eastAsia="en-GB"/>
        </w:rPr>
        <w:fldChar w:fldCharType="end"/>
      </w:r>
      <w:r w:rsidR="00FE3E5C">
        <w:rPr>
          <w:rFonts w:eastAsia="Arial" w:cs="Arial"/>
          <w:i/>
          <w:iCs/>
          <w:color w:val="808080"/>
          <w:sz w:val="21"/>
          <w:szCs w:val="21"/>
          <w:u w:color="808080"/>
          <w:bdr w:val="nil"/>
          <w:lang w:val="en-US" w:eastAsia="en-GB"/>
        </w:rPr>
        <w:t xml:space="preserve">reproduced with permission </w:t>
      </w:r>
      <w:r w:rsidR="00FE3E5C" w:rsidRPr="00FE3E5C">
        <w:rPr>
          <w:rFonts w:eastAsia="Arial" w:cs="Arial"/>
          <w:i/>
          <w:iCs/>
          <w:color w:val="808080"/>
          <w:sz w:val="21"/>
          <w:szCs w:val="21"/>
          <w:u w:color="808080"/>
          <w:bdr w:val="nil"/>
          <w:lang w:eastAsia="en-GB"/>
        </w:rPr>
        <w:t xml:space="preserve">© </w:t>
      </w:r>
      <w:r w:rsidR="00FE3E5C">
        <w:rPr>
          <w:rFonts w:eastAsia="Arial" w:cs="Arial"/>
          <w:i/>
          <w:iCs/>
          <w:color w:val="808080"/>
          <w:sz w:val="21"/>
          <w:szCs w:val="21"/>
          <w:u w:color="808080"/>
          <w:bdr w:val="nil"/>
          <w:lang w:eastAsia="en-GB"/>
        </w:rPr>
        <w:t>2011,</w:t>
      </w:r>
      <w:r w:rsidR="00FE3E5C" w:rsidRPr="00FE3E5C">
        <w:rPr>
          <w:rFonts w:eastAsia="Arial" w:cs="Arial"/>
          <w:i/>
          <w:iCs/>
          <w:color w:val="808080"/>
          <w:sz w:val="21"/>
          <w:szCs w:val="21"/>
          <w:u w:color="808080"/>
          <w:bdr w:val="nil"/>
          <w:lang w:eastAsia="en-GB"/>
        </w:rPr>
        <w:t xml:space="preserve"> </w:t>
      </w:r>
      <w:r w:rsidR="007800A1">
        <w:rPr>
          <w:rFonts w:eastAsia="Arial" w:cs="Arial"/>
          <w:i/>
          <w:iCs/>
          <w:color w:val="808080"/>
          <w:sz w:val="21"/>
          <w:szCs w:val="21"/>
          <w:u w:color="808080"/>
          <w:bdr w:val="nil"/>
          <w:lang w:eastAsia="en-GB"/>
        </w:rPr>
        <w:t>American Diabetes Association.</w:t>
      </w:r>
    </w:p>
    <w:p w14:paraId="257391E9" w14:textId="558E2CD5" w:rsidR="00AF0E0B" w:rsidRPr="00AF0E0B" w:rsidRDefault="00AF0E0B" w:rsidP="00AF0E0B">
      <w:pPr>
        <w:pBdr>
          <w:top w:val="nil"/>
          <w:left w:val="nil"/>
          <w:bottom w:val="nil"/>
          <w:right w:val="nil"/>
          <w:between w:val="nil"/>
          <w:bar w:val="nil"/>
        </w:pBdr>
        <w:suppressAutoHyphens/>
        <w:spacing w:line="360" w:lineRule="auto"/>
        <w:rPr>
          <w:rFonts w:eastAsia="Arial" w:cs="Arial"/>
          <w:i/>
          <w:iCs/>
          <w:color w:val="808080"/>
          <w:sz w:val="21"/>
          <w:szCs w:val="21"/>
          <w:u w:color="808080"/>
          <w:bdr w:val="nil"/>
          <w:lang w:val="en-US" w:eastAsia="en-GB"/>
        </w:rPr>
      </w:pPr>
    </w:p>
    <w:p w14:paraId="5DB15F31" w14:textId="3B0E7E3E" w:rsidR="00AF0E0B" w:rsidRPr="00AF0E0B" w:rsidRDefault="00AF0E0B" w:rsidP="0031237D">
      <w:pPr>
        <w:pStyle w:val="Heading3"/>
      </w:pPr>
      <w:bookmarkStart w:id="59" w:name="_Toc49972688"/>
      <w:bookmarkStart w:id="60" w:name="_Toc64723874"/>
      <w:r w:rsidRPr="00AF0E0B">
        <w:lastRenderedPageBreak/>
        <w:t>Supporting evidence for increased perfusion in the thalamus in subjects with neuropathic pain using other MRI modalities</w:t>
      </w:r>
      <w:bookmarkEnd w:id="59"/>
      <w:bookmarkEnd w:id="60"/>
    </w:p>
    <w:p w14:paraId="558DD4B2" w14:textId="77777777"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eastAsia="Arial Unicode MS" w:cs="Arial Unicode MS"/>
          <w:color w:val="000000"/>
          <w:u w:color="000000"/>
          <w:bdr w:val="nil"/>
          <w:lang w:val="en-US" w:eastAsia="en-GB"/>
        </w:rPr>
        <w:t xml:space="preserve">The finding of increased thalamic perfusion in P-DPN in the study by </w:t>
      </w:r>
      <w:proofErr w:type="spellStart"/>
      <w:r w:rsidRPr="00AF0E0B">
        <w:rPr>
          <w:rFonts w:eastAsia="Arial Unicode MS" w:cs="Arial Unicode MS"/>
          <w:color w:val="000000"/>
          <w:u w:color="000000"/>
          <w:bdr w:val="nil"/>
          <w:lang w:val="en-US" w:eastAsia="en-GB"/>
        </w:rPr>
        <w:t>Selvarajah</w:t>
      </w:r>
      <w:proofErr w:type="spellEnd"/>
      <w:r w:rsidRPr="00AF0E0B">
        <w:rPr>
          <w:rFonts w:eastAsia="Arial Unicode MS" w:cs="Arial Unicode MS"/>
          <w:color w:val="000000"/>
          <w:u w:color="000000"/>
          <w:bdr w:val="nil"/>
          <w:lang w:val="en-US" w:eastAsia="en-GB"/>
        </w:rPr>
        <w:t xml:space="preserve"> et al. is supported by Paulson, who found evidence of increased perfusion of the thalamus, amygdala and secondary somatosensory cortex, in a rat model of P-DPN during a painful stimulus </w:t>
      </w:r>
      <w:r w:rsidRPr="00AF0E0B">
        <w:rPr>
          <w:rFonts w:eastAsia="Arial Unicode MS" w:cs="Arial Unicode MS"/>
          <w:color w:val="000000"/>
          <w:u w:color="000000"/>
          <w:bdr w:val="nil"/>
          <w:lang w:val="fr-FR" w:eastAsia="en-GB"/>
        </w:rPr>
        <w:fldChar w:fldCharType="begin"/>
      </w:r>
      <w:r w:rsidRPr="00AF0E0B">
        <w:rPr>
          <w:rFonts w:eastAsia="Arial Unicode MS" w:cs="Arial Unicode MS"/>
          <w:color w:val="000000"/>
          <w:u w:color="000000"/>
          <w:bdr w:val="nil"/>
          <w:lang w:val="fr-FR" w:eastAsia="en-GB"/>
        </w:rPr>
        <w:instrText xml:space="preserve"> ADDIN EN.CITE &lt;EndNote&gt;&lt;Cite  &gt;&lt;Author&gt;Paulson&lt;/Author&gt;&lt;Year&gt;2007&lt;/Year&gt;&lt;RecNum&gt;10&lt;/RecNum&gt;&lt;DisplayText&gt;(Paulson et al., 2007)&lt;/DisplayText&gt;&lt;record&gt;&lt;dates&gt;&lt;pub-dates&gt;&lt;date&gt;Dec&lt;/date&gt;&lt;/pub-dates&gt;&lt;year&gt;2007&lt;/year&gt;&lt;/dates&gt;&lt;keywords&gt;&lt;keyword&gt;Amygdala&lt;/keyword&gt;&lt;keyword&gt;Animals&lt;/keyword&gt;&lt;keyword&gt;Behavior, Animal&lt;/keyword&gt;&lt;keyword&gt;Brain&lt;/keyword&gt;&lt;keyword&gt;Cerebrovascular Circulation&lt;/keyword&gt;&lt;keyword&gt;Diabetes Mellitus, Experimental&lt;/keyword&gt;&lt;keyword&gt;Diabetic Neuropathies&lt;/keyword&gt;&lt;keyword&gt;Habenula&lt;/keyword&gt;&lt;keyword&gt;Hyperglycemia&lt;/keyword&gt;&lt;keyword&gt;Male&lt;/keyword&gt;&lt;keyword&gt;Neuralgia&lt;/keyword&gt;&lt;keyword&gt;Periaqueductal Gray&lt;/keyword&gt;&lt;keyword&gt;Prosencephalon&lt;/keyword&gt;&lt;keyword&gt;Radiopharmaceuticals&lt;/keyword&gt;&lt;keyword&gt;Rats&lt;/keyword&gt;&lt;keyword&gt;Rats, Sprague-Dawley&lt;/keyword&gt;&lt;keyword&gt;Reaction Time&lt;/keyword&gt;&lt;keyword&gt;Somatosensory Cortex&lt;/keyword&gt;&lt;keyword&gt;Technetium Tc 99m Exametazime&lt;/keyword&gt;&lt;keyword&gt;Thalamic Nuclei&lt;/keyword&gt;&lt;/keywords&gt;&lt;urls&gt;&lt;related-urls&gt;&lt;url&gt;http://www.ncbi.nlm.nih.gov/pubmed/17936273&lt;/url&gt;&lt;/related-urls&gt;&lt;/urls&gt;&lt;isbn&gt;0014-4886&lt;/isbn&gt;&lt;custom2&gt;PMC2180394&lt;/custom2&gt;&lt;titles&gt;&lt;title&gt;Concurrent activation of the somatosensory forebrain and deactivation of periaqueductal gray associated with diabetes-induced neuropathic pain&lt;/title&gt;&lt;secondary-title&gt;Exp Neurol&lt;/secondary-title&gt;&lt;/titles&gt;&lt;pages&gt;305-13&lt;/pages&gt;&lt;number&gt;2&lt;/number&gt;&lt;contributors&gt;&lt;authors&gt;&lt;author&gt;Paulson, P. E.&lt;/author&gt;&lt;author&gt;Wiley, J. W.&lt;/author&gt;&lt;author&gt;Morrow, T. J.&lt;/author&gt;&lt;/authors&gt;&lt;/contributors&gt;&lt;language&gt;eng&lt;/language&gt;&lt;added-date format="utc"&gt;1349953644&lt;/added-date&gt;&lt;ref-type name="Journal Article"&gt;17&lt;/ref-type&gt;&lt;auth-address&gt;Neurology Research Laboratory, VA Medical Center, Ann Arbor, MI 48105, USA. plein@umich.edu&lt;/auth-address&gt;&lt;rec-number&gt;10&lt;/rec-number&gt;&lt;last-updated-date format="utc"&gt;1349953644&lt;/last-updated-date&gt;&lt;accession-num&gt;17936273&lt;/accession-num&gt;&lt;electronic-resource-num&gt;S0014-4886(07)00335-4 [pii]&amp;#13; 10.1016/j.expneurol.2007.09.001&lt;/electronic-resource-num&gt;&lt;volume&gt;208&lt;/volume&gt;&lt;/record&gt;&lt;/Cite&gt;&lt;/EndNote&gt;</w:instrText>
      </w:r>
      <w:r w:rsidRPr="00AF0E0B">
        <w:rPr>
          <w:rFonts w:eastAsia="Arial Unicode MS" w:cs="Arial Unicode MS"/>
          <w:color w:val="000000"/>
          <w:u w:color="000000"/>
          <w:bdr w:val="nil"/>
          <w:lang w:val="fr-FR" w:eastAsia="en-GB"/>
        </w:rPr>
        <w:fldChar w:fldCharType="separate"/>
      </w:r>
      <w:r w:rsidRPr="00AF0E0B">
        <w:rPr>
          <w:rFonts w:eastAsia="Arial Unicode MS" w:cs="Arial Unicode MS"/>
          <w:color w:val="000000"/>
          <w:u w:color="000000"/>
          <w:bdr w:val="nil"/>
          <w:lang w:val="fr-FR" w:eastAsia="en-GB"/>
        </w:rPr>
        <w:t>(Paulson et al., 2007)</w:t>
      </w:r>
      <w:r w:rsidRPr="00AF0E0B">
        <w:rPr>
          <w:rFonts w:eastAsia="Arial Unicode MS" w:cs="Arial Unicode MS"/>
          <w:color w:val="000000"/>
          <w:u w:color="000000"/>
          <w:bdr w:val="nil"/>
          <w:lang w:val="fr-FR" w:eastAsia="en-GB"/>
        </w:rPr>
        <w:fldChar w:fldCharType="end"/>
      </w:r>
      <w:r w:rsidRPr="00AF0E0B">
        <w:rPr>
          <w:rFonts w:eastAsia="Arial Unicode MS" w:cs="Arial Unicode MS"/>
          <w:color w:val="000000"/>
          <w:u w:color="000000"/>
          <w:bdr w:val="nil"/>
          <w:lang w:val="en-US" w:eastAsia="en-GB"/>
        </w:rPr>
        <w:t xml:space="preserve">.  Two Positron Emission Tomography (PET) studies from non-diabetic painful neuropathies also support this conclusion. Petrovic found bilateral increases in cerebral blood flow in 5 subjects with unilateral traumatic neuropathy after allodynia was provoked, compared with the non-affected side </w:t>
      </w:r>
      <w:r w:rsidRPr="00AF0E0B">
        <w:rPr>
          <w:rFonts w:eastAsia="Arial Unicode MS" w:cs="Arial Unicode MS"/>
          <w:color w:val="000000"/>
          <w:u w:color="000000"/>
          <w:bdr w:val="nil"/>
          <w:lang w:val="fr-FR" w:eastAsia="en-GB"/>
        </w:rPr>
        <w:fldChar w:fldCharType="begin"/>
      </w:r>
      <w:r w:rsidRPr="00AF0E0B">
        <w:rPr>
          <w:rFonts w:eastAsia="Arial Unicode MS" w:cs="Arial Unicode MS"/>
          <w:color w:val="000000"/>
          <w:u w:color="000000"/>
          <w:bdr w:val="nil"/>
          <w:lang w:val="fr-FR" w:eastAsia="en-GB"/>
        </w:rPr>
        <w:instrText xml:space="preserve"> ADDIN EN.CITE &lt;EndNote&gt;&lt;Cite  &gt;&lt;Author&gt;Petrovic&lt;/Author&gt;&lt;Year&gt;1999&lt;/Year&gt;&lt;RecNum&gt;433&lt;/RecNum&gt;&lt;DisplayText&gt;(Petrovic et al., 1999)&lt;/DisplayText&gt;&lt;record&gt;&lt;dates&gt;&lt;pub-dates&gt;&lt;date&gt;Dec&lt;/date&gt;&lt;/pub-dates&gt;&lt;year&gt;1999&lt;/year&gt;&lt;/dates&gt;&lt;urls&gt;&lt;related-urls&gt;&lt;url&gt;&amp;lt;Go to ISI&amp;gt;://WOS:000084152500009&lt;/url&gt;&lt;/related-urls&gt;&lt;/urls&gt;&lt;isbn&gt;0304-3959&lt;/isbn&gt;&lt;titles&gt;&lt;title&gt;A PET activation study of dynamic mechanical allodynia in patients with mononeuropathy&lt;/title&gt;&lt;secondary-title&gt;Pain&lt;/secondary-title&gt;&lt;/titles&gt;&lt;pages&gt;459-470&lt;/pages&gt;&lt;number&gt;3&lt;/number&gt;&lt;contributors&gt;&lt;authors&gt;&lt;author&gt;Petrovic, P.&lt;/author&gt;&lt;author&gt;Ingvar, M.&lt;/author&gt;&lt;author&gt;Stone-Elander, S.&lt;/author&gt;&lt;author&gt;Petersson, K. M.&lt;/author&gt;&lt;author&gt;Hansson, P.&lt;/author&gt;&lt;/authors&gt;&lt;/contributors&gt;&lt;added-date format="utc"&gt;1355327682&lt;/added-date&gt;&lt;ref-type name="Journal Article"&gt;17&lt;/ref-type&gt;&lt;rec-number&gt;433&lt;/rec-number&gt;&lt;last-updated-date format="utc"&gt;1356263076&lt;/last-updated-date&gt;&lt;accession-num&gt;WOS:000084152500009&lt;/accession-num&gt;&lt;electronic-resource-num&gt;10.1016/s0304-3959(99)00150-5&lt;/electronic-resource-num&gt;&lt;volume&gt;83&lt;/volume&gt;&lt;/record&gt;&lt;/Cite&gt;&lt;/EndNote&gt;</w:instrText>
      </w:r>
      <w:r w:rsidRPr="00AF0E0B">
        <w:rPr>
          <w:rFonts w:eastAsia="Arial Unicode MS" w:cs="Arial Unicode MS"/>
          <w:color w:val="000000"/>
          <w:u w:color="000000"/>
          <w:bdr w:val="nil"/>
          <w:lang w:val="fr-FR" w:eastAsia="en-GB"/>
        </w:rPr>
        <w:fldChar w:fldCharType="separate"/>
      </w:r>
      <w:r w:rsidRPr="00AF0E0B">
        <w:rPr>
          <w:rFonts w:eastAsia="Arial Unicode MS" w:cs="Arial Unicode MS"/>
          <w:color w:val="000000"/>
          <w:u w:color="000000"/>
          <w:bdr w:val="nil"/>
          <w:lang w:val="fr-FR" w:eastAsia="en-GB"/>
        </w:rPr>
        <w:t>(Petrovic et al., 1999)</w:t>
      </w:r>
      <w:r w:rsidRPr="00AF0E0B">
        <w:rPr>
          <w:rFonts w:eastAsia="Arial Unicode MS" w:cs="Arial Unicode MS"/>
          <w:color w:val="000000"/>
          <w:u w:color="000000"/>
          <w:bdr w:val="nil"/>
          <w:lang w:val="fr-FR" w:eastAsia="en-GB"/>
        </w:rPr>
        <w:fldChar w:fldCharType="end"/>
      </w:r>
      <w:r w:rsidRPr="00AF0E0B">
        <w:rPr>
          <w:rFonts w:eastAsia="Arial Unicode MS" w:cs="Arial Unicode MS"/>
          <w:color w:val="000000"/>
          <w:u w:color="000000"/>
          <w:bdr w:val="nil"/>
          <w:lang w:val="en-US" w:eastAsia="en-GB"/>
        </w:rPr>
        <w:t xml:space="preserve">. </w:t>
      </w:r>
      <w:proofErr w:type="spellStart"/>
      <w:r w:rsidRPr="00AF0E0B">
        <w:rPr>
          <w:rFonts w:eastAsia="Arial Unicode MS" w:cs="Arial Unicode MS"/>
          <w:color w:val="000000"/>
          <w:u w:color="000000"/>
          <w:bdr w:val="nil"/>
          <w:lang w:val="en-US" w:eastAsia="en-GB"/>
        </w:rPr>
        <w:t>Peyron</w:t>
      </w:r>
      <w:proofErr w:type="spellEnd"/>
      <w:r w:rsidRPr="00AF0E0B">
        <w:rPr>
          <w:rFonts w:eastAsia="Arial Unicode MS" w:cs="Arial Unicode MS"/>
          <w:color w:val="000000"/>
          <w:u w:color="000000"/>
          <w:bdr w:val="nil"/>
          <w:lang w:val="en-US" w:eastAsia="en-GB"/>
        </w:rPr>
        <w:t xml:space="preserve"> found that in 9 subjects with lateral medullary infarct, thalamic blood flow increased to allodynic touch stimulation, compared with the unaffected side </w:t>
      </w:r>
      <w:r w:rsidRPr="00AF0E0B">
        <w:rPr>
          <w:rFonts w:eastAsia="Arial Unicode MS" w:cs="Arial Unicode MS"/>
          <w:color w:val="000000"/>
          <w:u w:color="000000"/>
          <w:bdr w:val="nil"/>
          <w:lang w:val="fr-FR" w:eastAsia="en-GB"/>
        </w:rPr>
        <w:fldChar w:fldCharType="begin"/>
      </w:r>
      <w:r w:rsidRPr="00AF0E0B">
        <w:rPr>
          <w:rFonts w:eastAsia="Arial Unicode MS" w:cs="Arial Unicode MS"/>
          <w:color w:val="000000"/>
          <w:u w:color="000000"/>
          <w:bdr w:val="nil"/>
          <w:lang w:val="fr-FR" w:eastAsia="en-GB"/>
        </w:rPr>
        <w:instrText xml:space="preserve"> ADDIN EN.CITE &lt;EndNote&gt;&lt;Cite  &gt;&lt;Author&gt;Peyron&lt;/Author&gt;&lt;Year&gt;1998&lt;/Year&gt;&lt;RecNum&gt;429&lt;/RecNum&gt;&lt;DisplayText&gt;(Peyron et al., 1998)&lt;/DisplayText&gt;&lt;record&gt;&lt;dates&gt;&lt;pub-dates&gt;&lt;date&gt;Feb&lt;/date&gt;&lt;/pub-dates&gt;&lt;year&gt;1998&lt;/year&gt;&lt;/dates&gt;&lt;urls&gt;&lt;related-urls&gt;&lt;url&gt;&amp;lt;Go to ISI&amp;gt;://WOS:000072430500012&lt;/url&gt;&lt;/related-urls&gt;&lt;/urls&gt;&lt;isbn&gt;0006-8950&lt;/isbn&gt;&lt;titles&gt;&lt;title&gt;Allodynia after lateral-medullary (Wallenberg) infarct - A PET study&lt;/title&gt;&lt;secondary-title&gt;Brain&lt;/secondary-title&gt;&lt;/titles&gt;&lt;pages&gt;345-356&lt;/pages&gt;&lt;contributors&gt;&lt;authors&gt;&lt;author&gt;Peyron, R.&lt;/author&gt;&lt;author&gt;Garcia-Larrea, L.&lt;/author&gt;&lt;author&gt;Gregoire, M. C.&lt;/author&gt;&lt;author&gt;Convers, P.&lt;/author&gt;&lt;author&gt;Lavenne, F.&lt;/author&gt;&lt;author&gt;Veyre, L.&lt;/author&gt;&lt;author&gt;Froment, J. C.&lt;/author&gt;&lt;author&gt;Mauguiere, F.&lt;/author&gt;&lt;author&gt;Michel, D.&lt;/author&gt;&lt;author&gt;Laurent, B.&lt;/author&gt;&lt;/authors&gt;&lt;/contributors&gt;&lt;section&gt;345&lt;/section&gt;&lt;added-date format="utc"&gt;1355327682&lt;/added-date&gt;&lt;ref-type name="Journal Article"&gt;17&lt;/ref-type&gt;&lt;rec-number&gt;429&lt;/rec-number&gt;&lt;last-updated-date format="utc"&gt;1356282324&lt;/last-updated-date&gt;&lt;accession-num&gt;WOS:000072430500012&lt;/accession-num&gt;&lt;electronic-resource-num&gt;10.1093/brain/121.2.345&lt;/electronic-resource-num&gt;&lt;volume&gt;121&lt;/volume&gt;&lt;/record&gt;&lt;/Cite&gt;&lt;/EndNote&gt;</w:instrText>
      </w:r>
      <w:r w:rsidRPr="00AF0E0B">
        <w:rPr>
          <w:rFonts w:eastAsia="Arial Unicode MS" w:cs="Arial Unicode MS"/>
          <w:color w:val="000000"/>
          <w:u w:color="000000"/>
          <w:bdr w:val="nil"/>
          <w:lang w:val="fr-FR" w:eastAsia="en-GB"/>
        </w:rPr>
        <w:fldChar w:fldCharType="separate"/>
      </w:r>
      <w:r w:rsidRPr="00AF0E0B">
        <w:rPr>
          <w:rFonts w:eastAsia="Arial Unicode MS" w:cs="Arial Unicode MS"/>
          <w:color w:val="000000"/>
          <w:u w:color="000000"/>
          <w:bdr w:val="nil"/>
          <w:lang w:val="fr-FR" w:eastAsia="en-GB"/>
        </w:rPr>
        <w:t>(Peyron et al., 1998)</w:t>
      </w:r>
      <w:r w:rsidRPr="00AF0E0B">
        <w:rPr>
          <w:rFonts w:eastAsia="Arial Unicode MS" w:cs="Arial Unicode MS"/>
          <w:color w:val="000000"/>
          <w:u w:color="000000"/>
          <w:bdr w:val="nil"/>
          <w:lang w:val="fr-FR" w:eastAsia="en-GB"/>
        </w:rPr>
        <w:fldChar w:fldCharType="end"/>
      </w:r>
      <w:r w:rsidRPr="00AF0E0B">
        <w:rPr>
          <w:rFonts w:eastAsia="Arial Unicode MS" w:cs="Arial Unicode MS"/>
          <w:color w:val="000000"/>
          <w:u w:color="000000"/>
          <w:bdr w:val="nil"/>
          <w:lang w:val="en-US" w:eastAsia="en-GB"/>
        </w:rPr>
        <w:t xml:space="preserve">.  </w:t>
      </w:r>
    </w:p>
    <w:p w14:paraId="3D2594B2" w14:textId="360DF334" w:rsidR="00AF0E0B" w:rsidRPr="00AF0E0B" w:rsidRDefault="00AF0E0B" w:rsidP="0031237D">
      <w:pPr>
        <w:pStyle w:val="Heading3"/>
      </w:pPr>
      <w:bookmarkStart w:id="61" w:name="_Toc49972689"/>
      <w:bookmarkStart w:id="62" w:name="_Toc64723875"/>
      <w:r w:rsidRPr="00AF0E0B">
        <w:t>Studies finding decreased or unchanged perfusion in the thalamus in subjects with neuropathic pain using other MRI modalities</w:t>
      </w:r>
      <w:bookmarkEnd w:id="61"/>
      <w:bookmarkEnd w:id="62"/>
    </w:p>
    <w:p w14:paraId="0036CA4B" w14:textId="6BA65063"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eastAsia="Arial Unicode MS" w:cs="Arial Unicode MS"/>
          <w:color w:val="000000"/>
          <w:u w:color="000000"/>
          <w:bdr w:val="nil"/>
          <w:lang w:val="en-US" w:eastAsia="en-GB"/>
        </w:rPr>
        <w:t xml:space="preserve">Not all studies support the finding of </w:t>
      </w:r>
      <w:proofErr w:type="spellStart"/>
      <w:r w:rsidRPr="00AF0E0B">
        <w:rPr>
          <w:rFonts w:eastAsia="Arial Unicode MS" w:cs="Arial Unicode MS"/>
          <w:color w:val="000000"/>
          <w:u w:color="000000"/>
          <w:bdr w:val="nil"/>
          <w:lang w:val="en-US" w:eastAsia="en-GB"/>
        </w:rPr>
        <w:t>Selvarajah</w:t>
      </w:r>
      <w:proofErr w:type="spellEnd"/>
      <w:r w:rsidRPr="00AF0E0B">
        <w:rPr>
          <w:rFonts w:eastAsia="Arial Unicode MS" w:cs="Arial Unicode MS"/>
          <w:color w:val="000000"/>
          <w:u w:color="000000"/>
          <w:bdr w:val="nil"/>
          <w:lang w:val="en-US" w:eastAsia="en-GB"/>
        </w:rPr>
        <w:t xml:space="preserve"> et al. (2011). Hsieh found no difference in thalamic blood flow using PET in individuals with non-diabetic neuropathic pain. The study measured CBF during baseline pain condition and following pain relief using a nerve block. In contrast to the findings of the studies described above, thalamic CBF increased after pain relieving nerve block </w:t>
      </w:r>
      <w:r w:rsidRPr="00AF0E0B">
        <w:rPr>
          <w:rFonts w:eastAsia="Arial Unicode MS" w:cs="Arial Unicode MS"/>
          <w:color w:val="000000"/>
          <w:u w:color="000000"/>
          <w:bdr w:val="nil"/>
          <w:lang w:val="de-DE" w:eastAsia="en-GB"/>
        </w:rPr>
        <w:fldChar w:fldCharType="begin"/>
      </w:r>
      <w:r w:rsidRPr="00AF0E0B">
        <w:rPr>
          <w:rFonts w:eastAsia="Arial Unicode MS" w:cs="Arial Unicode MS"/>
          <w:color w:val="000000"/>
          <w:u w:color="000000"/>
          <w:bdr w:val="nil"/>
          <w:lang w:val="de-DE" w:eastAsia="en-GB"/>
        </w:rPr>
        <w:instrText xml:space="preserve"> ADDIN EN.CITE &lt;EndNote&gt;&lt;Cite  &gt;&lt;Author&gt;Hsieh&lt;/Author&gt;&lt;Year&gt;1995&lt;/Year&gt;&lt;RecNum&gt;437&lt;/RecNum&gt;&lt;DisplayText&gt;(Hsieh et al., 1995)&lt;/DisplayText&gt;&lt;record&gt;&lt;dates&gt;&lt;pub-dates&gt;&lt;date&gt;Nov&lt;/date&gt;&lt;/pub-dates&gt;&lt;year&gt;1995&lt;/year&gt;&lt;/dates&gt;&lt;urls&gt;&lt;related-urls&gt;&lt;url&gt;&amp;lt;Go to ISI&amp;gt;://WOS:A1995TG13400012&lt;/url&gt;&lt;/related-urls&gt;&lt;/urls&gt;&lt;isbn&gt;0304-3959&lt;/isbn&gt;&lt;titles&gt;&lt;title&gt;CENTRAL REPRESENTATION OF CHRONIC ONGOING NEUROPATHIC PAIN STUDIED POSITRON EMISSION TOMOGRAPHY&lt;/title&gt;&lt;secondary-title&gt;Pain&lt;/secondary-title&gt;&lt;/titles&gt;&lt;pages&gt;225-236&lt;/pages&gt;&lt;number&gt;2&lt;/number&gt;&lt;contributors&gt;&lt;authors&gt;&lt;author&gt;Hsieh, J. C.&lt;/author&gt;&lt;author&gt;Belfrage, M.&lt;/author&gt;&lt;author&gt;Stoneelander, S.&lt;/author&gt;&lt;author&gt;Hansson, P.&lt;/author&gt;&lt;author&gt;Ingvar, M.&lt;/author&gt;&lt;/authors&gt;&lt;/contributors&gt;&lt;added-date format="utc"&gt;1355328423&lt;/added-date&gt;&lt;ref-type name="Journal Article"&gt;17&lt;/ref-type&gt;&lt;rec-number&gt;437&lt;/rec-number&gt;&lt;last-updated-date format="utc"&gt;1356711233&lt;/last-updated-date&gt;&lt;accession-num&gt;WOS:A1995TG13400012&lt;/accession-num&gt;&lt;electronic-resource-num&gt;10.1016/0304-3959(95)00048-w&lt;/electronic-resource-num&gt;&lt;volume&gt;63&lt;/volume&gt;&lt;/record&gt;&lt;/Cite&gt;&lt;/EndNote&gt;</w:instrText>
      </w:r>
      <w:r w:rsidRPr="00AF0E0B">
        <w:rPr>
          <w:rFonts w:eastAsia="Arial Unicode MS" w:cs="Arial Unicode MS"/>
          <w:color w:val="000000"/>
          <w:u w:color="000000"/>
          <w:bdr w:val="nil"/>
          <w:lang w:val="de-DE" w:eastAsia="en-GB"/>
        </w:rPr>
        <w:fldChar w:fldCharType="separate"/>
      </w:r>
      <w:r w:rsidRPr="00AF0E0B">
        <w:rPr>
          <w:rFonts w:eastAsia="Arial Unicode MS" w:cs="Arial Unicode MS"/>
          <w:color w:val="000000"/>
          <w:u w:color="000000"/>
          <w:bdr w:val="nil"/>
          <w:lang w:val="de-DE" w:eastAsia="en-GB"/>
        </w:rPr>
        <w:t>(Hsieh et al., 1995)</w:t>
      </w:r>
      <w:r w:rsidRPr="00AF0E0B">
        <w:rPr>
          <w:rFonts w:eastAsia="Arial Unicode MS" w:cs="Arial Unicode MS"/>
          <w:color w:val="000000"/>
          <w:u w:color="000000"/>
          <w:bdr w:val="nil"/>
          <w:lang w:val="de-DE" w:eastAsia="en-GB"/>
        </w:rPr>
        <w:fldChar w:fldCharType="end"/>
      </w:r>
      <w:r w:rsidRPr="00AF0E0B">
        <w:rPr>
          <w:rFonts w:eastAsia="Arial Unicode MS" w:cs="Arial Unicode MS"/>
          <w:color w:val="000000"/>
          <w:u w:color="000000"/>
          <w:bdr w:val="nil"/>
          <w:lang w:val="en-US" w:eastAsia="en-GB"/>
        </w:rPr>
        <w:t xml:space="preserve">.  </w:t>
      </w:r>
      <w:proofErr w:type="spellStart"/>
      <w:r w:rsidRPr="00AF0E0B">
        <w:rPr>
          <w:rFonts w:eastAsia="Arial Unicode MS" w:cs="Arial Unicode MS"/>
          <w:color w:val="000000"/>
          <w:u w:color="000000"/>
          <w:bdr w:val="nil"/>
          <w:lang w:val="en-US" w:eastAsia="en-GB"/>
        </w:rPr>
        <w:t>Iadorola</w:t>
      </w:r>
      <w:proofErr w:type="spellEnd"/>
      <w:r w:rsidRPr="00AF0E0B">
        <w:rPr>
          <w:rFonts w:eastAsia="Arial Unicode MS" w:cs="Arial Unicode MS"/>
          <w:color w:val="000000"/>
          <w:u w:color="000000"/>
          <w:bdr w:val="nil"/>
          <w:lang w:val="en-US" w:eastAsia="en-GB"/>
        </w:rPr>
        <w:t xml:space="preserve"> also found decreased activation of the thalamus in subjects with non-diabetic neuropathic pain at baseline using PET </w:t>
      </w:r>
      <w:r w:rsidRPr="00AF0E0B">
        <w:rPr>
          <w:rFonts w:eastAsia="Arial Unicode MS" w:cs="Arial Unicode MS"/>
          <w:color w:val="000000"/>
          <w:u w:color="000000"/>
          <w:bdr w:val="nil"/>
          <w:lang w:val="it-IT" w:eastAsia="en-GB"/>
        </w:rPr>
        <w:fldChar w:fldCharType="begin"/>
      </w:r>
      <w:r w:rsidRPr="00AF0E0B">
        <w:rPr>
          <w:rFonts w:eastAsia="Arial Unicode MS" w:cs="Arial Unicode MS"/>
          <w:color w:val="000000"/>
          <w:u w:color="000000"/>
          <w:bdr w:val="nil"/>
          <w:lang w:val="it-IT" w:eastAsia="en-GB"/>
        </w:rPr>
        <w:instrText xml:space="preserve"> ADDIN EN.CITE &lt;EndNote&gt;&lt;Cite  &gt;&lt;Author&gt;Iadarola&lt;/Author&gt;&lt;Year&gt;1995&lt;/Year&gt;&lt;RecNum&gt;436&lt;/RecNum&gt;&lt;DisplayText&gt;(Iadarola et al., 1995)&lt;/DisplayText&gt;&lt;record&gt;&lt;dates&gt;&lt;pub-dates&gt;&lt;date&gt;Oct&lt;/date&gt;&lt;/pub-dates&gt;&lt;year&gt;1995&lt;/year&gt;&lt;/dates&gt;&lt;urls&gt;&lt;related-urls&gt;&lt;url&gt;&amp;lt;Go to ISI&amp;gt;://WOS:A1995TA64200008&lt;/url&gt;&lt;/related-urls&gt;&lt;/urls&gt;&lt;isbn&gt;0304-3959&lt;/isbn&gt;&lt;titles&gt;&lt;title&gt;UNILATERAL DECREASE IN THALAMIC ACTIVITY OBSERVED WITH POSITRON EMISSION TOMOGRAPHY IN PATIENTS WITH CHRONIC NEUROPATHIC PAIN&lt;/title&gt;&lt;secondary-title&gt;Pain&lt;/secondary-title&gt;&lt;/titles&gt;&lt;number&gt;1&lt;/number&gt;&lt;contributors&gt;&lt;authors&gt;&lt;author&gt;Iadarola, M. J.&lt;/author&gt;&lt;author&gt;Max, M. B.&lt;/author&gt;&lt;author&gt;Berman, K. F.&lt;/author&gt;&lt;author&gt;Byassmith, M. G.&lt;/author&gt;&lt;author&gt;Coghill, R. C.&lt;/author&gt;&lt;author&gt;Gracely, R. H.&lt;/author&gt;&lt;author&gt;Bennett, G. J.&lt;/author&gt;&lt;/authors&gt;&lt;/contributors&gt;&lt;added-date format="utc"&gt;1355328423&lt;/added-date&gt;&lt;ref-type name="Journal Article"&gt;17&lt;/ref-type&gt;&lt;rec-number&gt;436&lt;/rec-number&gt;&lt;last-updated-date format="utc"&gt;1355393336&lt;/last-updated-date&gt;&lt;accession-num&gt;WOS:A1995TA64200008&lt;/accession-num&gt;&lt;electronic-resource-num&gt;10.1016/0304-3959(95)00015-k&lt;/electronic-resource-num&gt;&lt;volume&gt;63&lt;/volume&gt;&lt;/record&gt;&lt;/Cite&gt;&lt;/EndNote&gt;</w:instrText>
      </w:r>
      <w:r w:rsidRPr="00AF0E0B">
        <w:rPr>
          <w:rFonts w:eastAsia="Arial Unicode MS" w:cs="Arial Unicode MS"/>
          <w:color w:val="000000"/>
          <w:u w:color="000000"/>
          <w:bdr w:val="nil"/>
          <w:lang w:val="it-IT" w:eastAsia="en-GB"/>
        </w:rPr>
        <w:fldChar w:fldCharType="separate"/>
      </w:r>
      <w:r w:rsidRPr="00AF0E0B">
        <w:rPr>
          <w:rFonts w:eastAsia="Arial Unicode MS" w:cs="Arial Unicode MS"/>
          <w:color w:val="000000"/>
          <w:u w:color="000000"/>
          <w:bdr w:val="nil"/>
          <w:lang w:val="it-IT" w:eastAsia="en-GB"/>
        </w:rPr>
        <w:t>(Iadarola et al., 1995)</w:t>
      </w:r>
      <w:r w:rsidRPr="00AF0E0B">
        <w:rPr>
          <w:rFonts w:eastAsia="Arial Unicode MS" w:cs="Arial Unicode MS"/>
          <w:color w:val="000000"/>
          <w:u w:color="000000"/>
          <w:bdr w:val="nil"/>
          <w:lang w:val="it-IT" w:eastAsia="en-GB"/>
        </w:rPr>
        <w:fldChar w:fldCharType="end"/>
      </w:r>
      <w:r w:rsidRPr="00AF0E0B">
        <w:rPr>
          <w:rFonts w:eastAsia="Arial Unicode MS" w:cs="Arial Unicode MS"/>
          <w:color w:val="000000"/>
          <w:u w:color="000000"/>
          <w:bdr w:val="nil"/>
          <w:lang w:val="en-US" w:eastAsia="en-GB"/>
        </w:rPr>
        <w:t xml:space="preserve">.  Finally Witting found no increase in cerebral blood flow in the thalamus but did find an increased perfusion in the orbitofrontal cortex and the insula during allodynia </w:t>
      </w:r>
      <w:r w:rsidRPr="00AF0E0B">
        <w:rPr>
          <w:rFonts w:eastAsia="Arial Unicode MS" w:cs="Arial Unicode MS"/>
          <w:color w:val="000000"/>
          <w:u w:color="000000"/>
          <w:bdr w:val="nil"/>
          <w:lang w:val="en-US" w:eastAsia="en-GB"/>
        </w:rPr>
        <w:fldChar w:fldCharType="begin"/>
      </w:r>
      <w:r w:rsidRPr="00AF0E0B">
        <w:rPr>
          <w:rFonts w:eastAsia="Arial Unicode MS" w:cs="Arial Unicode MS"/>
          <w:color w:val="000000"/>
          <w:u w:color="000000"/>
          <w:bdr w:val="nil"/>
          <w:lang w:val="en-US" w:eastAsia="en-GB"/>
        </w:rPr>
        <w:instrText xml:space="preserve"> ADDIN EN.CITE &lt;EndNote&gt;&lt;Cite  &gt;&lt;Author&gt;Witting&lt;/Author&gt;&lt;Year&gt;2006&lt;/Year&gt;&lt;RecNum&gt;445&lt;/RecNum&gt;&lt;DisplayText&gt;(Witting et al., 2006)&lt;/DisplayText&gt;&lt;record&gt;&lt;dates&gt;&lt;pub-dates&gt;&lt;date&gt;Jan&lt;/date&gt;&lt;/pub-dates&gt;&lt;year&gt;2006&lt;/year&gt;&lt;/dates&gt;&lt;urls&gt;&lt;related-urls&gt;&lt;url&gt;&amp;lt;Go to ISI&amp;gt;://WOS:000235111100018&lt;/url&gt;&lt;/related-urls&gt;&lt;/urls&gt;&lt;isbn&gt;0304-3959&lt;/isbn&gt;&lt;titles&gt;&lt;title&gt;A PET activation study of brush-evoked allodynia in patients with nerve injury pain&lt;/title&gt;&lt;secondary-title&gt;Pain&lt;/secondary-title&gt;&lt;/titles&gt;&lt;pages&gt;145-154&lt;/pages&gt;&lt;number&gt;1-2&lt;/number&gt;&lt;contributors&gt;&lt;authors&gt;&lt;author&gt;Witting, N.&lt;/author&gt;&lt;author&gt;Kupers, R. C.&lt;/author&gt;&lt;author&gt;Svensson, P.&lt;/author&gt;&lt;author&gt;Jensen, T. S.&lt;/author&gt;&lt;/authors&gt;&lt;/contributors&gt;&lt;added-date format="utc"&gt;1355328600&lt;/added-date&gt;&lt;ref-type name="Journal Article"&gt;17&lt;/ref-type&gt;&lt;rec-number&gt;445&lt;/rec-number&gt;&lt;last-updated-date format="utc"&gt;1357127665&lt;/last-updated-date&gt;&lt;accession-num&gt;WOS:000235111100018&lt;/accession-num&gt;&lt;electronic-resource-num&gt;10.1016/j.pain.2005.10.034&lt;/electronic-resource-num&gt;&lt;volume&gt;120&lt;/volume&gt;&lt;/record&gt;&lt;/Cite&gt;&lt;/EndNote&gt;</w:instrText>
      </w:r>
      <w:r w:rsidRPr="00AF0E0B">
        <w:rPr>
          <w:rFonts w:eastAsia="Arial Unicode MS" w:cs="Arial Unicode MS"/>
          <w:color w:val="000000"/>
          <w:u w:color="000000"/>
          <w:bdr w:val="nil"/>
          <w:lang w:val="en-US" w:eastAsia="en-GB"/>
        </w:rPr>
        <w:fldChar w:fldCharType="separate"/>
      </w:r>
      <w:r w:rsidRPr="00AF0E0B">
        <w:rPr>
          <w:rFonts w:eastAsia="Arial Unicode MS" w:cs="Arial Unicode MS"/>
          <w:color w:val="000000"/>
          <w:u w:color="000000"/>
          <w:bdr w:val="nil"/>
          <w:lang w:val="en-US" w:eastAsia="en-GB"/>
        </w:rPr>
        <w:t>(Witting et al., 2006)</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t xml:space="preserve">.  The heterogeneity of the results of these studies may relate to the wide variety of neuropathic conditions studied and the methods used.  </w:t>
      </w:r>
    </w:p>
    <w:p w14:paraId="54C6B333" w14:textId="77777777" w:rsidR="00AF0E0B" w:rsidRPr="00AF0E0B" w:rsidRDefault="00AF0E0B" w:rsidP="0031237D">
      <w:pPr>
        <w:pStyle w:val="Heading3"/>
      </w:pPr>
      <w:bookmarkStart w:id="63" w:name="_Toc49972690"/>
      <w:bookmarkStart w:id="64" w:name="_Toc64723876"/>
      <w:r w:rsidRPr="00AF0E0B">
        <w:t>Limitations of DSC method of assessing cerebral perfusion</w:t>
      </w:r>
      <w:bookmarkEnd w:id="63"/>
      <w:bookmarkEnd w:id="64"/>
    </w:p>
    <w:p w14:paraId="65D58417" w14:textId="6A203C2F"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eastAsia="Arial Unicode MS" w:cs="Arial Unicode MS"/>
          <w:color w:val="000000"/>
          <w:u w:color="000000"/>
          <w:bdr w:val="nil"/>
          <w:lang w:val="en-US" w:eastAsia="en-GB"/>
        </w:rPr>
        <w:t xml:space="preserve">Although DSC-MRI is attractive to researchers looking for a biomarker because it is quantifiable, there are some drawbacks to using DSC as a method of describing perfusion abnormalities.   One of the greatest threats to reproducibility and internal validity of results in DSC is accurately predicting the arterial input function of the contrast bolus as it arrives in the region of interest (ROI).  The temporal characteristics of the bolus will depend on physiological factors such as cardiac output and vascular anatomy and pathology </w:t>
      </w:r>
      <w:r w:rsidRPr="00AF0E0B">
        <w:rPr>
          <w:rFonts w:eastAsia="Arial Unicode MS" w:cs="Arial Unicode MS"/>
          <w:color w:val="000000"/>
          <w:u w:color="000000"/>
          <w:bdr w:val="nil"/>
          <w:lang w:val="en-US" w:eastAsia="en-GB"/>
        </w:rPr>
        <w:fldChar w:fldCharType="begin"/>
      </w:r>
      <w:r w:rsidRPr="00AF0E0B">
        <w:rPr>
          <w:rFonts w:eastAsia="Arial Unicode MS" w:cs="Arial Unicode MS"/>
          <w:color w:val="000000"/>
          <w:u w:color="000000"/>
          <w:bdr w:val="nil"/>
          <w:lang w:val="en-US" w:eastAsia="en-GB"/>
        </w:rPr>
        <w:instrText xml:space="preserve"> ADDIN EN.CITE &lt;EndNote&gt;&lt;Cite  &gt;&lt;Author&gt;Knutsson&lt;/Author&gt;&lt;Year&gt;2010&lt;/Year&gt;&lt;RecNum&gt;501&lt;/RecNum&gt;&lt;DisplayText&gt;(Knutsson et al., 2010a)&lt;/DisplayText&gt;&lt;record&gt;&lt;dates&gt;&lt;pub-dates&gt;&lt;date&gt;Feb&lt;/date&gt;&lt;/pub-dates&gt;&lt;year&gt;2010&lt;/year&gt;&lt;/dates&gt;&lt;keywords&gt;&lt;keyword&gt;Perfusion&lt;/keyword&gt;&lt;keyword&gt;Cerebral blood flow&lt;/keyword&gt;&lt;keyword&gt;Dynamic susceptibility contrast MRI&lt;/keyword&gt;&lt;keyword&gt;Arterial input function&lt;/keyword&gt;&lt;keyword&gt;Quantification&lt;/keyword&gt;&lt;keyword&gt;CEREBRAL-BLOOD-FLOW&lt;/keyword&gt;&lt;keyword&gt;ARTERIAL INPUT FUNCTION&lt;/keyword&gt;&lt;keyword&gt;BOLUS-TRACKING MRI&lt;/keyword&gt;&lt;keyword&gt;SINGULAR-VALUE DECOMPOSITION&lt;/keyword&gt;&lt;keyword&gt;INDEPENDENT COMPONENT ANALYSIS&lt;/keyword&gt;&lt;keyword&gt;SIGNAL-TO-NOISE&lt;/keyword&gt;&lt;keyword&gt;POSITRON-EMISSION-TOMOGRAPHY&lt;/keyword&gt;&lt;keyword&gt;HIGH-RESOLUTION&lt;/keyword&gt;&lt;keyword&gt;MEASUREMENT&lt;/keyword&gt;&lt;keyword&gt;MEAN TRANSIT-TIME&lt;/keyword&gt;&lt;keyword&gt;ENHANCED MRI&lt;/keyword&gt;&lt;/keywords&gt;&lt;isbn&gt;0968-5243&lt;/isbn&gt;&lt;work-type&gt;Review&lt;/work-type&gt;&lt;titles&gt;&lt;title&gt;Absolute quantification of perfusion using dynamic susceptibility contrast MRI: pitfalls and possibilities&lt;/title&gt;&lt;secondary-title&gt;Magnetic Resonance Materials in Physics Biology and Medicine&lt;/secondary-title&gt;&lt;alt-title&gt;Magn. Reson. Mat. Phys. Biol. Med.&lt;/alt-title&gt;&lt;/titles&gt;&lt;pages&gt;1-21&lt;/pages&gt;&lt;number&gt;1&lt;/number&gt;&lt;contributors&gt;&lt;authors&gt;&lt;author&gt;Knutsson, L.&lt;/author&gt;&lt;author&gt;Stahlberg, F.&lt;/author&gt;&lt;author&gt;Wirestam, R.&lt;/author&gt;&lt;/authors&gt;&lt;/contributors&gt;&lt;language&gt;English&lt;/language&gt;&lt;added-date format="utc"&gt;1356688796&lt;/added-date&gt;&lt;ref-type name="Journal Article"&gt;17&lt;/ref-type&gt;&lt;auth-address&gt;[Knutsson, Linda|Stahlberg, Freddy|Wirestam, Ronnie] Lund Univ, Univ Lund Hosp, Dept Med Radiat Phys, S-22185 Lund, Sweden. [Stahlberg, Freddy] Lund Univ, Univ Lund Hosp, Dept Diagnost Radiol, S-22185 Lund, Sweden.&amp;#13;Knutsson, L (reprint author), Lund Univ, Univ Lund Hosp, Dept Med Radiat Phys, S-22185 Lund, Sweden.&amp;#13;Linda.Knutsson@med.lu.se&lt;/auth-address&gt;&lt;rec-number&gt;501&lt;/rec-number&gt;&lt;last-updated-date format="utc"&gt;1479820339&lt;/last-updated-date&gt;&lt;accession-num&gt;WOS:000274299500001&lt;/accession-num&gt;&lt;electronic-resource-num&gt;10.1007/s10334-009-0190-2&lt;/electronic-resource-num&gt;&lt;volume&gt;23&lt;/volume&gt;&lt;/record&gt;&lt;/Cite&gt;&lt;/EndNote&gt;</w:instrText>
      </w:r>
      <w:r w:rsidRPr="00AF0E0B">
        <w:rPr>
          <w:rFonts w:eastAsia="Arial Unicode MS" w:cs="Arial Unicode MS"/>
          <w:color w:val="000000"/>
          <w:u w:color="000000"/>
          <w:bdr w:val="nil"/>
          <w:lang w:val="en-US" w:eastAsia="en-GB"/>
        </w:rPr>
        <w:fldChar w:fldCharType="separate"/>
      </w:r>
      <w:r w:rsidRPr="00AF0E0B">
        <w:rPr>
          <w:rFonts w:eastAsia="Arial Unicode MS" w:cs="Arial Unicode MS"/>
          <w:color w:val="000000"/>
          <w:u w:color="000000"/>
          <w:bdr w:val="nil"/>
          <w:lang w:val="en-US" w:eastAsia="en-GB"/>
        </w:rPr>
        <w:t>(Knutsson et al., 2010a)</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t xml:space="preserve">.  In order to simulate the ideal situation </w:t>
      </w:r>
      <w:r w:rsidRPr="00AF0E0B">
        <w:rPr>
          <w:rFonts w:eastAsia="Arial Unicode MS" w:cs="Arial Unicode MS"/>
          <w:color w:val="000000"/>
          <w:u w:color="000000"/>
          <w:bdr w:val="nil"/>
          <w:lang w:val="en-US" w:eastAsia="en-GB"/>
        </w:rPr>
        <w:lastRenderedPageBreak/>
        <w:t xml:space="preserve">in which all the contrast bolus arrives instantaneously at the tissue of interest, the function of the curve of arterial tracer concentration, measured in an artery inside the imaging volume can be deconvolved from the tissue concentration curve in order to account for delay and dispersion of the bolus </w:t>
      </w:r>
      <w:r w:rsidRPr="00AF0E0B">
        <w:rPr>
          <w:rFonts w:eastAsia="Arial Unicode MS" w:cs="Arial Unicode MS"/>
          <w:color w:val="000000"/>
          <w:u w:color="000000"/>
          <w:bdr w:val="nil"/>
          <w:lang w:val="da-DK" w:eastAsia="en-GB"/>
        </w:rPr>
        <w:fldChar w:fldCharType="begin"/>
      </w:r>
      <w:r w:rsidRPr="00AF0E0B">
        <w:rPr>
          <w:rFonts w:eastAsia="Arial Unicode MS" w:cs="Arial Unicode MS"/>
          <w:color w:val="000000"/>
          <w:u w:color="000000"/>
          <w:bdr w:val="nil"/>
          <w:lang w:val="da-DK" w:eastAsia="en-GB"/>
        </w:rPr>
        <w:instrText xml:space="preserve"> ADDIN EN.CITE &lt;EndNote&gt;&lt;Cite  &gt;&lt;Author&gt;Ostergaard&lt;/Author&gt;&lt;Year&gt;1996&lt;/Year&gt;&lt;RecNum&gt;755&lt;/RecNum&gt;&lt;DisplayText&gt;(Ostergaard et al., 1996a, Ostergaard et al., 1996b)&lt;/DisplayText&gt;&lt;record&gt;&lt;dates&gt;&lt;pub-dates&gt;&lt;date&gt;Nov&lt;/date&gt;&lt;/pub-dates&gt;&lt;year&gt;1996&lt;/year&gt;&lt;/dates&gt;&lt;urls&gt;&lt;related-urls&gt;&lt;url&gt;&amp;lt;Go to ISI&amp;gt;://WOS:A1996VQ36300010&lt;/url&gt;&lt;/related-urls&gt;&lt;/urls&gt;&lt;isbn&gt;0740-3194&lt;/isbn&gt;&lt;titles&gt;&lt;title&gt;High resolution measurement of cerebral blood flow using intravascular tracer bolus passages .2. Experimental comparison and preliminary results&lt;/title&gt;&lt;secondary-title&gt;Magnetic Resonance in Medicine&lt;/secondary-title&gt;&lt;/titles&gt;&lt;pages&gt;726-736&lt;/pages&gt;&lt;number&gt;5&lt;/number&gt;&lt;contributors&gt;&lt;authors&gt;&lt;author&gt;Ostergaard, L.&lt;/author&gt;&lt;author&gt;Sorensen, A. G.&lt;/author&gt;&lt;author&gt;Kwong, K. K.&lt;/author&gt;&lt;author&gt;Weisskoff, R. M.&lt;/author&gt;&lt;author&gt;Gyldensted, C.&lt;/author&gt;&lt;author&gt;Rosen, B. R.&lt;/author&gt;&lt;/authors&gt;&lt;/contributors&gt;&lt;added-date format="utc"&gt;1373363548&lt;/added-date&gt;&lt;ref-type name="Journal Article"&gt;17&lt;/ref-type&gt;&lt;rec-number&gt;755&lt;/rec-number&gt;&lt;last-updated-date format="utc"&gt;1373363548&lt;/last-updated-date&gt;&lt;accession-num&gt;WOS:A1996VQ36300010&lt;/accession-num&gt;&lt;electronic-resource-num&gt;10.1002/mrm.1910360511&lt;/electronic-resource-num&gt;&lt;volume&gt;36&lt;/volume&gt;&lt;/record&gt;&lt;/Cite&gt;&lt;Cite  &gt;&lt;Author&gt;Ostergaard&lt;/Author&gt;&lt;Year&gt;1996&lt;/Year&gt;&lt;RecNum&gt;756&lt;/RecNum&gt;&lt;record&gt;&lt;dates&gt;&lt;pub-dates&gt;&lt;date&gt;Nov&lt;/date&gt;&lt;/pub-dates&gt;&lt;year&gt;1996&lt;/year&gt;&lt;/dates&gt;&lt;urls&gt;&lt;related-urls&gt;&lt;url&gt;&amp;lt;Go to ISI&amp;gt;://WOS:A1996VQ36300009&lt;/url&gt;&lt;/related-urls&gt;&lt;/urls&gt;&lt;isbn&gt;0740-3194&lt;/isbn&gt;&lt;titles&gt;&lt;title&gt;High resolution measurement of cerebral blood flow using intravascular tracer bolus passages .1. Mathematical approach and statistical analysis&lt;/title&gt;&lt;secondary-title&gt;Magnetic Resonance in Medicine&lt;/secondary-title&gt;&lt;/titles&gt;&lt;pages&gt;715-725&lt;/pages&gt;&lt;number&gt;5&lt;/number&gt;&lt;contributors&gt;&lt;authors&gt;&lt;author&gt;Ostergaard, L.&lt;/author&gt;&lt;author&gt;Weisskoff, R. M.&lt;/author&gt;&lt;author&gt;Chesler, D. A.&lt;/author&gt;&lt;author&gt;Gyldensted, C.&lt;/author&gt;&lt;author&gt;Rosen, B. R.&lt;/author&gt;&lt;/authors&gt;&lt;/contributors&gt;&lt;added-date format="utc"&gt;1373363548&lt;/added-date&gt;&lt;ref-type name="Journal Article"&gt;17&lt;/ref-type&gt;&lt;rec-number&gt;756&lt;/rec-number&gt;&lt;last-updated-date format="utc"&gt;1373363548&lt;/last-updated-date&gt;&lt;accession-num&gt;WOS:A1996VQ36300009&lt;/accession-num&gt;&lt;electronic-resource-num&gt;10.1002/mrm.1910360510&lt;/electronic-resource-num&gt;&lt;volume&gt;36&lt;/volume&gt;&lt;/record&gt;&lt;/Cite&gt;&lt;/EndNote&gt;</w:instrText>
      </w:r>
      <w:r w:rsidRPr="00AF0E0B">
        <w:rPr>
          <w:rFonts w:eastAsia="Arial Unicode MS" w:cs="Arial Unicode MS"/>
          <w:color w:val="000000"/>
          <w:u w:color="000000"/>
          <w:bdr w:val="nil"/>
          <w:lang w:val="da-DK" w:eastAsia="en-GB"/>
        </w:rPr>
        <w:fldChar w:fldCharType="separate"/>
      </w:r>
      <w:r w:rsidRPr="00AF0E0B">
        <w:rPr>
          <w:rFonts w:eastAsia="Arial Unicode MS" w:cs="Arial Unicode MS"/>
          <w:color w:val="000000"/>
          <w:u w:color="000000"/>
          <w:bdr w:val="nil"/>
          <w:lang w:val="da-DK" w:eastAsia="en-GB"/>
        </w:rPr>
        <w:t>(Ostergaard et al., 1996a, Ostergaard et al., 1996b)</w:t>
      </w:r>
      <w:r w:rsidRPr="00AF0E0B">
        <w:rPr>
          <w:rFonts w:eastAsia="Arial Unicode MS" w:cs="Arial Unicode MS"/>
          <w:color w:val="000000"/>
          <w:u w:color="000000"/>
          <w:bdr w:val="nil"/>
          <w:lang w:val="da-DK" w:eastAsia="en-GB"/>
        </w:rPr>
        <w:fldChar w:fldCharType="end"/>
      </w:r>
      <w:r w:rsidRPr="00AF0E0B">
        <w:rPr>
          <w:rFonts w:eastAsia="Arial Unicode MS" w:cs="Arial Unicode MS"/>
          <w:color w:val="000000"/>
          <w:u w:color="000000"/>
          <w:bdr w:val="nil"/>
          <w:lang w:val="en-US" w:eastAsia="en-GB"/>
        </w:rPr>
        <w:t xml:space="preserve">. This will then allow the calculation of cerebral blood flow by the central volume principle </w:t>
      </w:r>
      <w:r w:rsidRPr="00AF0E0B">
        <w:rPr>
          <w:rFonts w:eastAsia="Arial Unicode MS" w:cs="Arial Unicode MS"/>
          <w:color w:val="000000"/>
          <w:u w:color="000000"/>
          <w:bdr w:val="nil"/>
          <w:lang w:val="de-DE" w:eastAsia="en-GB"/>
        </w:rPr>
        <w:fldChar w:fldCharType="begin"/>
      </w:r>
      <w:r w:rsidRPr="00AF0E0B">
        <w:rPr>
          <w:rFonts w:eastAsia="Arial Unicode MS" w:cs="Arial Unicode MS"/>
          <w:color w:val="000000"/>
          <w:u w:color="000000"/>
          <w:bdr w:val="nil"/>
          <w:lang w:val="de-DE" w:eastAsia="en-GB"/>
        </w:rPr>
        <w:instrText xml:space="preserve"> ADDIN EN.CITE &lt;EndNote&gt;&lt;Cite  &gt;&lt;Author&gt;Meier&lt;/Author&gt;&lt;Year&gt;1954&lt;/Year&gt;&lt;RecNum&gt;763&lt;/RecNum&gt;&lt;DisplayText&gt;(Meier and Zierler, 1954)&lt;/DisplayText&gt;&lt;record&gt;&lt;dates&gt;&lt;pub-dates&gt;&lt;date&gt;1954&lt;/date&gt;&lt;/pub-dates&gt;&lt;year&gt;1954&lt;/year&gt;&lt;/dates&gt;&lt;isbn&gt;8750-7587&lt;/isbn&gt;&lt;titles&gt;&lt;title&gt;ON THE THEORY OF THE INDICATOR-DILUTION METHOD FOR MEASUREMENT OF BLOOD FLOW AND VOLUME&lt;/title&gt;&lt;secondary-title&gt;Journal of Applied Physiology&lt;/secondary-title&gt;&lt;/titles&gt;&lt;pages&gt;731-744&lt;/pages&gt;&lt;number&gt;12&lt;/number&gt;&lt;contributors&gt;&lt;authors&gt;&lt;author&gt;Meier, P.&lt;/author&gt;&lt;author&gt;Zierler, K. L.&lt;/author&gt;&lt;/authors&gt;&lt;/contributors&gt;&lt;added-date format="utc"&gt;1373447270&lt;/added-date&gt;&lt;ref-type name="Journal Article"&gt;17&lt;/ref-type&gt;&lt;rec-number&gt;763&lt;/rec-number&gt;&lt;last-updated-date format="utc"&gt;1479820666&lt;/last-updated-date&gt;&lt;accession-num&gt;WOS:A1954YD46400001&lt;/accession-num&gt;&lt;volume&gt;6&lt;/volume&gt;&lt;/record&gt;&lt;/Cite&gt;&lt;/EndNote&gt;</w:instrText>
      </w:r>
      <w:r w:rsidRPr="00AF0E0B">
        <w:rPr>
          <w:rFonts w:eastAsia="Arial Unicode MS" w:cs="Arial Unicode MS"/>
          <w:color w:val="000000"/>
          <w:u w:color="000000"/>
          <w:bdr w:val="nil"/>
          <w:lang w:val="de-DE" w:eastAsia="en-GB"/>
        </w:rPr>
        <w:fldChar w:fldCharType="separate"/>
      </w:r>
      <w:r w:rsidRPr="00AF0E0B">
        <w:rPr>
          <w:rFonts w:eastAsia="Arial Unicode MS" w:cs="Arial Unicode MS"/>
          <w:color w:val="000000"/>
          <w:u w:color="000000"/>
          <w:bdr w:val="nil"/>
          <w:lang w:val="de-DE" w:eastAsia="en-GB"/>
        </w:rPr>
        <w:t>(Meier and Zierler, 1954)</w:t>
      </w:r>
      <w:r w:rsidRPr="00AF0E0B">
        <w:rPr>
          <w:rFonts w:eastAsia="Arial Unicode MS" w:cs="Arial Unicode MS"/>
          <w:color w:val="000000"/>
          <w:u w:color="000000"/>
          <w:bdr w:val="nil"/>
          <w:lang w:val="de-DE" w:eastAsia="en-GB"/>
        </w:rPr>
        <w:fldChar w:fldCharType="end"/>
      </w:r>
      <w:r w:rsidRPr="00AF0E0B">
        <w:rPr>
          <w:rFonts w:eastAsia="Arial Unicode MS" w:cs="Arial Unicode MS"/>
          <w:color w:val="000000"/>
          <w:u w:color="000000"/>
          <w:bdr w:val="nil"/>
          <w:lang w:val="en-US" w:eastAsia="en-GB"/>
        </w:rPr>
        <w:t xml:space="preserve"> that volume equals flow times mean circulation time, and it can be solved as described above in equation 1</w:t>
      </w:r>
      <w:r w:rsidR="00B65763">
        <w:rPr>
          <w:rFonts w:eastAsia="Arial Unicode MS" w:cs="Arial Unicode MS"/>
          <w:color w:val="000000"/>
          <w:u w:color="000000"/>
          <w:bdr w:val="nil"/>
          <w:lang w:val="en-US" w:eastAsia="en-GB"/>
        </w:rPr>
        <w:t>,</w:t>
      </w:r>
      <w:r w:rsidRPr="00AF0E0B">
        <w:rPr>
          <w:rFonts w:eastAsia="Arial Unicode MS" w:cs="Arial Unicode MS"/>
          <w:color w:val="000000"/>
          <w:u w:color="000000"/>
          <w:bdr w:val="nil"/>
          <w:lang w:val="en-US" w:eastAsia="en-GB"/>
        </w:rPr>
        <w:t xml:space="preserve"> p</w:t>
      </w:r>
      <w:r w:rsidR="00B65763">
        <w:rPr>
          <w:rFonts w:eastAsia="Arial Unicode MS" w:cs="Arial Unicode MS"/>
          <w:color w:val="000000"/>
          <w:u w:color="000000"/>
          <w:bdr w:val="nil"/>
          <w:lang w:val="en-US" w:eastAsia="en-GB"/>
        </w:rPr>
        <w:t xml:space="preserve"> 31.</w:t>
      </w:r>
    </w:p>
    <w:p w14:paraId="4B395B05" w14:textId="77777777"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eastAsia="Arial Unicode MS" w:cs="Arial Unicode MS"/>
          <w:color w:val="000000"/>
          <w:u w:color="000000"/>
          <w:bdr w:val="nil"/>
          <w:lang w:val="en-US" w:eastAsia="en-GB"/>
        </w:rPr>
        <w:t xml:space="preserve">Arterial input function (AIF) selection can be problematic as it requires careful individual identification of suitable arteries.  Identification of arteries large enough to avoid partial volume effects may lead to selection of arteries that may not be adjacent to the tissue of interest </w:t>
      </w:r>
      <w:r w:rsidRPr="00AF0E0B">
        <w:rPr>
          <w:rFonts w:eastAsia="Arial Unicode MS" w:cs="Arial Unicode MS"/>
          <w:color w:val="000000"/>
          <w:u w:color="000000"/>
          <w:bdr w:val="nil"/>
          <w:lang w:val="en-US" w:eastAsia="en-GB"/>
        </w:rPr>
        <w:fldChar w:fldCharType="begin"/>
      </w:r>
      <w:r w:rsidRPr="00AF0E0B">
        <w:rPr>
          <w:rFonts w:eastAsia="Arial Unicode MS" w:cs="Arial Unicode MS"/>
          <w:color w:val="000000"/>
          <w:u w:color="000000"/>
          <w:bdr w:val="nil"/>
          <w:lang w:val="en-US" w:eastAsia="en-GB"/>
        </w:rPr>
        <w:instrText xml:space="preserve"> ADDIN EN.CITE &lt;EndNote&gt;&lt;Cite  &gt;&lt;Author&gt;Bleeker&lt;/Author&gt;&lt;Year&gt;2012&lt;/Year&gt;&lt;RecNum&gt;757&lt;/RecNum&gt;&lt;DisplayText&gt;(Bleeker et al., 2012)&lt;/DisplayText&gt;&lt;record&gt;&lt;dates&gt;&lt;pub-dates&gt;&lt;date&gt;May&lt;/date&gt;&lt;/pub-dates&gt;&lt;year&gt;2012&lt;/year&gt;&lt;/dates&gt;&lt;isbn&gt;0740-3194&lt;/isbn&gt;&lt;titles&gt;&lt;title&gt;Evaluation of signal formation in local arterial input function measurements of dynamic susceptibility contrast MRI&lt;/title&gt;&lt;secondary-title&gt;Magnetic Resonance in Medicine&lt;/secondary-title&gt;&lt;/titles&gt;&lt;pages&gt;1324-1331&lt;/pages&gt;&lt;number&gt;5&lt;/number&gt;&lt;contributors&gt;&lt;authors&gt;&lt;author&gt;Bleeker, Egbert J. W.&lt;/author&gt;&lt;author&gt;Webb, Andrew G.&lt;/author&gt;&lt;author&gt;van Walderveen, Marianne A. A.&lt;/author&gt;&lt;author&gt;van Buchem, Mark A.&lt;/author&gt;&lt;author&gt;van Osch, Matthias J. P.&lt;/author&gt;&lt;/authors&gt;&lt;/contributors&gt;&lt;added-date format="utc"&gt;1373365683&lt;/added-date&gt;&lt;ref-type name="Journal Article"&gt;17&lt;/ref-type&gt;&lt;rec-number&gt;757&lt;/rec-number&gt;&lt;last-updated-date format="utc"&gt;1479817010&lt;/last-updated-date&gt;&lt;accession-num&gt;WOS:000302619400013&lt;/accession-num&gt;&lt;electronic-resource-num&gt;10.1002/mrm.23120&lt;/electronic-resource-num&gt;&lt;volume&gt;67&lt;/volume&gt;&lt;/record&gt;&lt;/Cite&gt;&lt;/EndNote&gt;</w:instrText>
      </w:r>
      <w:r w:rsidRPr="00AF0E0B">
        <w:rPr>
          <w:rFonts w:eastAsia="Arial Unicode MS" w:cs="Arial Unicode MS"/>
          <w:color w:val="000000"/>
          <w:u w:color="000000"/>
          <w:bdr w:val="nil"/>
          <w:lang w:val="en-US" w:eastAsia="en-GB"/>
        </w:rPr>
        <w:fldChar w:fldCharType="separate"/>
      </w:r>
      <w:r w:rsidRPr="00AF0E0B">
        <w:rPr>
          <w:rFonts w:eastAsia="Arial Unicode MS" w:cs="Arial Unicode MS"/>
          <w:color w:val="000000"/>
          <w:u w:color="000000"/>
          <w:bdr w:val="nil"/>
          <w:lang w:val="en-US" w:eastAsia="en-GB"/>
        </w:rPr>
        <w:t>(Bleeker et al., 2012)</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t xml:space="preserve">.  Therefore, a small further delay and dispersion may occur between the site where the arterial input function has been calculated, and the voxel of interest.  Although there is not a perfect method for generating the AIF, accounting for differences in macrovascular flow outside the region of interest is thought to be worthwhile, and using a large artery such as the internal carotid or the middle cerebral artery is an accepted practice </w:t>
      </w:r>
      <w:r w:rsidRPr="00AF0E0B">
        <w:rPr>
          <w:rFonts w:eastAsia="Arial Unicode MS" w:cs="Arial Unicode MS"/>
          <w:color w:val="000000"/>
          <w:u w:color="000000"/>
          <w:bdr w:val="nil"/>
          <w:lang w:val="en-US" w:eastAsia="en-GB"/>
        </w:rPr>
        <w:fldChar w:fldCharType="begin"/>
      </w:r>
      <w:r w:rsidRPr="00AF0E0B">
        <w:rPr>
          <w:rFonts w:eastAsia="Arial Unicode MS" w:cs="Arial Unicode MS"/>
          <w:color w:val="000000"/>
          <w:u w:color="000000"/>
          <w:bdr w:val="nil"/>
          <w:lang w:val="en-US" w:eastAsia="en-GB"/>
        </w:rPr>
        <w:instrText xml:space="preserve"> ADDIN EN.CITE &lt;EndNote&gt;&lt;Cite  &gt;&lt;Author&gt;Perthen&lt;/Author&gt;&lt;Year&gt;2002&lt;/Year&gt;&lt;RecNum&gt;1125&lt;/RecNum&gt;&lt;DisplayText&gt;(Perthen et al., 2002, Calamante, 2013)&lt;/DisplayText&gt;&lt;record&gt;&lt;keywords&gt;&lt;keyword&gt;Perfusion&lt;/keyword&gt;&lt;keyword&gt;Cerebral Blood Flow&lt;/keyword&gt;&lt;keyword&gt;Arterial Input Function&lt;/keyword&gt;&lt;keyword&gt;Numerical Simulations&lt;/keyword&gt;&lt;keyword&gt;Deconvolution&lt;/keyword&gt;&lt;/keywords&gt;&lt;isbn&gt;0740-3194&lt;/isbn&gt;&lt;titles&gt;&lt;title&gt;Is quantification of bolus tracking MRI reliable without deconvolution?&lt;/title&gt;&lt;secondary-title&gt;Magnetic Resonance in Medicine&lt;/secondary-title&gt;&lt;/titles&gt;&lt;pages&gt;61-67&lt;/pages&gt;&lt;number&gt;1&lt;/number&gt;&lt;contributors&gt;&lt;authors&gt;&lt;author&gt;Perthen, Joanna E.&lt;/author&gt;&lt;author&gt;Calamante, Fernando&lt;/author&gt;&lt;author&gt;Gadian, David G.&lt;/author&gt;&lt;author&gt;Connelly, Alan&lt;/author&gt;&lt;/authors&gt;&lt;/contributors&gt;&lt;added-date format="utc"&gt;1569364571&lt;/added-date&gt;&lt;pub-location&gt;New York&lt;/pub-location&gt;&lt;ref-type name="Journal Article"&gt;17&lt;/ref-type&gt;&lt;dates&gt;&lt;year&gt;2002&lt;/year&gt;&lt;/dates&gt;&lt;rec-number&gt;1125&lt;/rec-number&gt;&lt;last-updated-date format="utc"&gt;1569474272&lt;/last-updated-date&gt;&lt;electronic-resource-num&gt;10.1002/mrm.10020&lt;/electronic-resource-num&gt;&lt;volume&gt;47&lt;/volume&gt;&lt;/record&gt;&lt;/Cite&gt;&lt;Cite  &gt;&lt;Author&gt;Calamante&lt;/Author&gt;&lt;Year&gt;2013&lt;/Year&gt;&lt;RecNum&gt;882&lt;/RecNum&gt;&lt;record&gt;&lt;dates&gt;&lt;pub-dates&gt;&lt;date&gt;Oct&lt;/date&gt;&lt;/pub-dates&gt;&lt;year&gt;2013&lt;/year&gt;&lt;/dates&gt;&lt;keywords&gt;&lt;keyword&gt;Brain&lt;/keyword&gt;&lt;keyword&gt;Cerebrovascular Circulation&lt;/keyword&gt;&lt;keyword&gt;Contrast Media&lt;/keyword&gt;&lt;keyword&gt;Humans&lt;/keyword&gt;&lt;keyword&gt;Magnetic Resonance Imaging&lt;/keyword&gt;&lt;/keywords&gt;&lt;urls&gt;&lt;related-urls&gt;&lt;url&gt;https://www.ncbi.nlm.nih.gov/pubmed/24083460&lt;/url&gt;&lt;/related-urls&gt;&lt;/urls&gt;&lt;isbn&gt;1873-3301&lt;/isbn&gt;&lt;titles&gt;&lt;title&gt;Arterial input function in perfusion MRI: a comprehensive review&lt;/title&gt;&lt;secondary-title&gt;Prog Nucl Magn Reson Spectrosc&lt;/secondary-title&gt;&lt;/titles&gt;&lt;pages&gt;1-32&lt;/pages&gt;&lt;contributors&gt;&lt;authors&gt;&lt;author&gt;Calamante, F.&lt;/author&gt;&lt;/authors&gt;&lt;/contributors&gt;&lt;edition&gt;2013/05/11&lt;/edition&gt;&lt;language&gt;eng&lt;/language&gt;&lt;added-date format="utc"&gt;1501257956&lt;/added-date&gt;&lt;ref-type name="Journal Article"&gt;17&lt;/ref-type&gt;&lt;rec-number&gt;882&lt;/rec-number&gt;&lt;last-updated-date format="utc"&gt;1501257956&lt;/last-updated-date&gt;&lt;accession-num&gt;24083460&lt;/accession-num&gt;&lt;electronic-resource-num&gt;10.1016/j.pnmrs.2013.04.002&lt;/electronic-resource-num&gt;&lt;volume&gt;74&lt;/volume&gt;&lt;/record&gt;&lt;/Cite&gt;&lt;/EndNote&gt;</w:instrText>
      </w:r>
      <w:r w:rsidRPr="00AF0E0B">
        <w:rPr>
          <w:rFonts w:eastAsia="Arial Unicode MS" w:cs="Arial Unicode MS"/>
          <w:color w:val="000000"/>
          <w:u w:color="000000"/>
          <w:bdr w:val="nil"/>
          <w:lang w:val="en-US" w:eastAsia="en-GB"/>
        </w:rPr>
        <w:fldChar w:fldCharType="separate"/>
      </w:r>
      <w:r w:rsidRPr="00AF0E0B">
        <w:rPr>
          <w:rFonts w:eastAsia="Arial Unicode MS" w:cs="Arial Unicode MS"/>
          <w:color w:val="000000"/>
          <w:u w:color="000000"/>
          <w:bdr w:val="nil"/>
          <w:lang w:val="en-US" w:eastAsia="en-GB"/>
        </w:rPr>
        <w:t>(Perthen et al., 2002, Calamante, 2013)</w:t>
      </w:r>
      <w:r w:rsidRPr="00AF0E0B">
        <w:rPr>
          <w:rFonts w:eastAsia="Arial Unicode MS" w:cs="Arial Unicode MS"/>
          <w:color w:val="000000"/>
          <w:u w:color="000000"/>
          <w:bdr w:val="nil"/>
          <w:lang w:val="en-US" w:eastAsia="en-GB"/>
        </w:rPr>
        <w:fldChar w:fldCharType="end"/>
      </w:r>
    </w:p>
    <w:p w14:paraId="7265A189" w14:textId="436F6525"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eastAsia="Arial Unicode MS" w:cs="Arial Unicode MS"/>
          <w:color w:val="000000"/>
          <w:u w:color="000000"/>
          <w:bdr w:val="nil"/>
          <w:lang w:val="en-US" w:eastAsia="en-GB"/>
        </w:rPr>
        <w:t xml:space="preserve">Other factors that may impact on the results of DSC summary variables such as TTP, are the speed of bolus injection and saline flush, and this must be standardized for subjects.  A further limitation of this method in evaluating brain function is that the tracer itself might cause a cold or painful sensation during administration, and that cannulation can also cause distress even with local </w:t>
      </w:r>
      <w:proofErr w:type="spellStart"/>
      <w:r w:rsidRPr="00AF0E0B">
        <w:rPr>
          <w:rFonts w:eastAsia="Arial Unicode MS" w:cs="Arial Unicode MS"/>
          <w:color w:val="000000"/>
          <w:u w:color="000000"/>
          <w:bdr w:val="nil"/>
          <w:lang w:val="en-US" w:eastAsia="en-GB"/>
        </w:rPr>
        <w:t>anaesthetic</w:t>
      </w:r>
      <w:proofErr w:type="spellEnd"/>
      <w:r w:rsidRPr="00AF0E0B">
        <w:rPr>
          <w:rFonts w:eastAsia="Arial Unicode MS" w:cs="Arial Unicode MS"/>
          <w:color w:val="000000"/>
          <w:u w:color="000000"/>
          <w:bdr w:val="nil"/>
          <w:lang w:val="en-US" w:eastAsia="en-GB"/>
        </w:rPr>
        <w:t xml:space="preserve"> cream in situ, thus confounding a pain experiment. Finally, there is a very small risk of nephrogenic systemic fibrosis, a dermal condition that has been reported with gadolinium chelate contrasts in subjects with less than 30mls/min/1.73m</w:t>
      </w:r>
      <w:r w:rsidRPr="00AF0E0B">
        <w:rPr>
          <w:rFonts w:eastAsia="Arial Unicode MS" w:cs="Arial Unicode MS"/>
          <w:color w:val="000000"/>
          <w:u w:color="000000"/>
          <w:bdr w:val="nil"/>
          <w:vertAlign w:val="superscript"/>
          <w:lang w:val="en-US" w:eastAsia="en-GB"/>
        </w:rPr>
        <w:t xml:space="preserve">2 </w:t>
      </w:r>
      <w:r w:rsidRPr="00AF0E0B">
        <w:rPr>
          <w:rFonts w:eastAsia="Arial Unicode MS" w:cs="Arial Unicode MS"/>
          <w:color w:val="000000"/>
          <w:u w:color="000000"/>
          <w:bdr w:val="nil"/>
          <w:lang w:val="en-US" w:eastAsia="en-GB"/>
        </w:rPr>
        <w:t>estimated glomerular filtration rate (</w:t>
      </w:r>
      <w:r w:rsidR="00233478">
        <w:rPr>
          <w:rFonts w:eastAsia="Arial Unicode MS" w:cs="Arial Unicode MS"/>
          <w:color w:val="000000"/>
          <w:u w:color="000000"/>
          <w:bdr w:val="nil"/>
          <w:lang w:val="en-US" w:eastAsia="en-GB"/>
        </w:rPr>
        <w:t>eGFR</w:t>
      </w:r>
      <w:r w:rsidRPr="00AF0E0B">
        <w:rPr>
          <w:rFonts w:eastAsia="Arial Unicode MS" w:cs="Arial Unicode MS"/>
          <w:color w:val="000000"/>
          <w:u w:color="000000"/>
          <w:bdr w:val="nil"/>
          <w:lang w:val="en-US" w:eastAsia="en-GB"/>
        </w:rPr>
        <w:t xml:space="preserve">) </w:t>
      </w:r>
      <w:r w:rsidRPr="00AF0E0B">
        <w:rPr>
          <w:rFonts w:eastAsia="Arial Unicode MS" w:cs="Arial Unicode MS"/>
          <w:color w:val="000000"/>
          <w:u w:color="000000"/>
          <w:bdr w:val="nil"/>
          <w:lang w:val="en-US" w:eastAsia="en-GB"/>
        </w:rPr>
        <w:fldChar w:fldCharType="begin"/>
      </w:r>
      <w:r w:rsidRPr="00AF0E0B">
        <w:rPr>
          <w:rFonts w:eastAsia="Arial Unicode MS" w:cs="Arial Unicode MS"/>
          <w:color w:val="000000"/>
          <w:u w:color="000000"/>
          <w:bdr w:val="nil"/>
          <w:lang w:val="en-US" w:eastAsia="en-GB"/>
        </w:rPr>
        <w:instrText xml:space="preserve"> ADDIN EN.CITE &lt;EndNote&gt;&lt;Cite  &gt;&lt;Author&gt;Kitajima&lt;/Author&gt;&lt;Year&gt;2012&lt;/Year&gt;&lt;RecNum&gt;586&lt;/RecNum&gt;&lt;DisplayText&gt;(Kitajima et al., 2012)&lt;/DisplayText&gt;&lt;record&gt;&lt;dates&gt;&lt;pub-dates&gt;&lt;date&gt;Sep&lt;/date&gt;&lt;/pub-dates&gt;&lt;year&gt;2012&lt;/year&gt;&lt;/dates&gt;&lt;isbn&gt;0919-8172&lt;/isbn&gt;&lt;titles&gt;&lt;title&gt;Recent topics related to nephrogenic systemic fibrosis associated with gadolinium-based contrast agents&lt;/title&gt;&lt;secondary-title&gt;International Journal of Urology&lt;/secondary-title&gt;&lt;/titles&gt;&lt;pages&gt;806-811&lt;/pages&gt;&lt;number&gt;9&lt;/number&gt;&lt;contributors&gt;&lt;authors&gt;&lt;author&gt;Kitajima, K.&lt;/author&gt;&lt;author&gt;Maeda, T.&lt;/author&gt;&lt;author&gt;Watanabe, S.&lt;/author&gt;&lt;author&gt;Ueno, Y.&lt;/author&gt;&lt;author&gt;Sugimura, K.&lt;/author&gt;&lt;/authors&gt;&lt;/contributors&gt;&lt;added-date format="utc"&gt;1357164385&lt;/added-date&gt;&lt;ref-type name="Journal Article"&gt;17&lt;/ref-type&gt;&lt;rec-number&gt;586&lt;/rec-number&gt;&lt;last-updated-date format="utc"&gt;1479820250&lt;/last-updated-date&gt;&lt;accession-num&gt;WOS:000307882500004&lt;/accession-num&gt;&lt;electronic-resource-num&gt;10.1111/j.1442-2042.2012.03042.x&lt;/electronic-resource-num&gt;&lt;volume&gt;19&lt;/volume&gt;&lt;/record&gt;&lt;/Cite&gt;&lt;/EndNote&gt;</w:instrText>
      </w:r>
      <w:r w:rsidRPr="00AF0E0B">
        <w:rPr>
          <w:rFonts w:eastAsia="Arial Unicode MS" w:cs="Arial Unicode MS"/>
          <w:color w:val="000000"/>
          <w:u w:color="000000"/>
          <w:bdr w:val="nil"/>
          <w:lang w:val="en-US" w:eastAsia="en-GB"/>
        </w:rPr>
        <w:fldChar w:fldCharType="separate"/>
      </w:r>
      <w:r w:rsidRPr="00AF0E0B">
        <w:rPr>
          <w:rFonts w:eastAsia="Arial Unicode MS" w:cs="Arial Unicode MS"/>
          <w:color w:val="000000"/>
          <w:u w:color="000000"/>
          <w:bdr w:val="nil"/>
          <w:lang w:val="en-US" w:eastAsia="en-GB"/>
        </w:rPr>
        <w:t>(Kitajima et al., 2012)</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t xml:space="preserve">.  This limits the applicability of the development of this method as a biomarker for pain perception in subjects with diabetes and low glomerular filtration rates, due to the high prevalence of nephropathy in subjects with long-term T1D </w:t>
      </w:r>
      <w:r w:rsidRPr="00AF0E0B">
        <w:rPr>
          <w:rFonts w:eastAsia="Arial Unicode MS" w:cs="Arial Unicode MS"/>
          <w:color w:val="000000"/>
          <w:u w:color="000000"/>
          <w:bdr w:val="nil"/>
          <w:lang w:val="it-IT" w:eastAsia="en-GB"/>
        </w:rPr>
        <w:fldChar w:fldCharType="begin"/>
      </w:r>
      <w:r w:rsidRPr="00AF0E0B">
        <w:rPr>
          <w:rFonts w:eastAsia="Arial Unicode MS" w:cs="Arial Unicode MS"/>
          <w:color w:val="000000"/>
          <w:u w:color="000000"/>
          <w:bdr w:val="nil"/>
          <w:lang w:val="it-IT" w:eastAsia="en-GB"/>
        </w:rPr>
        <w:instrText xml:space="preserve"> ADDIN EN.CITE &lt;EndNote&gt;&lt;Cite  &gt;&lt;Author&gt;Pambianco&lt;/Author&gt;&lt;Year&gt;2006&lt;/Year&gt;&lt;RecNum&gt;127&lt;/RecNum&gt;&lt;DisplayText&gt;(Pambianco et al., 2006)&lt;/DisplayText&gt;&lt;record&gt;&lt;dates&gt;&lt;pub-dates&gt;&lt;date&gt;May&lt;/date&gt;&lt;/pub-dates&gt;&lt;year&gt;2006&lt;/year&gt;&lt;/dates&gt;&lt;urls&gt;&lt;related-urls&gt;&lt;url&gt;&amp;lt;Go to ISI&amp;gt;://WOS:000237303800036&lt;/url&gt;&lt;/related-urls&gt;&lt;/urls&gt;&lt;isbn&gt;0012-1797&lt;/isbn&gt;&lt;titles&gt;&lt;title&gt;The 30-year natural history of type 1 diabetes complications - The Pittsburgh epidemiology of diabetes complications study experience&lt;/title&gt;&lt;secondary-title&gt;Diabetes&lt;/secondary-title&gt;&lt;/titles&gt;&lt;pages&gt;1463-1469&lt;/pages&gt;&lt;number&gt;5&lt;/number&gt;&lt;contributors&gt;&lt;authors&gt;&lt;author&gt;Pambianco, G.&lt;/author&gt;&lt;author&gt;Costacou, T.&lt;/author&gt;&lt;author&gt;Ellis, D.&lt;/author&gt;&lt;author&gt;Becker, D. J.&lt;/author&gt;&lt;author&gt;Klein, R.&lt;/author&gt;&lt;author&gt;Orchard, T. J.&lt;/author&gt;&lt;/authors&gt;&lt;/contributors&gt;&lt;section&gt;1463&lt;/section&gt;&lt;added-date format="utc"&gt;1351607315&lt;/added-date&gt;&lt;ref-type name="Journal Article"&gt;17&lt;/ref-type&gt;&lt;rec-number&gt;127&lt;/rec-number&gt;&lt;last-updated-date format="utc"&gt;1352728615&lt;/last-updated-date&gt;&lt;accession-num&gt;WOS:000237303800036&lt;/accession-num&gt;&lt;electronic-resource-num&gt;10.2337/db05-1423&lt;/electronic-resource-num&gt;&lt;volume&gt;55&lt;/volume&gt;&lt;/record&gt;&lt;/Cite&gt;&lt;/EndNote&gt;</w:instrText>
      </w:r>
      <w:r w:rsidRPr="00AF0E0B">
        <w:rPr>
          <w:rFonts w:eastAsia="Arial Unicode MS" w:cs="Arial Unicode MS"/>
          <w:color w:val="000000"/>
          <w:u w:color="000000"/>
          <w:bdr w:val="nil"/>
          <w:lang w:val="it-IT" w:eastAsia="en-GB"/>
        </w:rPr>
        <w:fldChar w:fldCharType="separate"/>
      </w:r>
      <w:r w:rsidRPr="00AF0E0B">
        <w:rPr>
          <w:rFonts w:eastAsia="Arial Unicode MS" w:cs="Arial Unicode MS"/>
          <w:color w:val="000000"/>
          <w:u w:color="000000"/>
          <w:bdr w:val="nil"/>
          <w:lang w:val="it-IT" w:eastAsia="en-GB"/>
        </w:rPr>
        <w:t>(Pambianco et al., 2006)</w:t>
      </w:r>
      <w:r w:rsidRPr="00AF0E0B">
        <w:rPr>
          <w:rFonts w:eastAsia="Arial Unicode MS" w:cs="Arial Unicode MS"/>
          <w:color w:val="000000"/>
          <w:u w:color="000000"/>
          <w:bdr w:val="nil"/>
          <w:lang w:val="it-IT" w:eastAsia="en-GB"/>
        </w:rPr>
        <w:fldChar w:fldCharType="end"/>
      </w:r>
      <w:r w:rsidRPr="00AF0E0B">
        <w:rPr>
          <w:rFonts w:eastAsia="Arial Unicode MS" w:cs="Arial Unicode MS"/>
          <w:color w:val="000000"/>
          <w:u w:color="000000"/>
          <w:bdr w:val="nil"/>
          <w:lang w:val="en-US" w:eastAsia="en-GB"/>
        </w:rPr>
        <w:t xml:space="preserve">. </w:t>
      </w:r>
    </w:p>
    <w:p w14:paraId="3FF2F2FD" w14:textId="77777777"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eastAsia="Arial Unicode MS" w:cs="Arial Unicode MS"/>
          <w:color w:val="000000"/>
          <w:u w:color="000000"/>
          <w:bdr w:val="nil"/>
          <w:lang w:val="en-US" w:eastAsia="en-GB"/>
        </w:rPr>
        <w:t xml:space="preserve">In summary, DSC-MRI has a good SNR over a short time frame. Despite technical challenges during the image acquisition and during post- processing, DSC-MRI as a technique has the best attributes to quantify cerebral microvascular perfusion in pain activated regions at baseline and during a stimulus condition.  DSC-MRI is validated in other conditions for measuring perfusion.  </w:t>
      </w:r>
    </w:p>
    <w:p w14:paraId="2715E37E" w14:textId="04E02E82" w:rsidR="00AF0E0B" w:rsidRPr="00AF0E0B" w:rsidRDefault="00AF0E0B" w:rsidP="0031237D">
      <w:pPr>
        <w:pStyle w:val="Heading3"/>
      </w:pPr>
      <w:bookmarkStart w:id="65" w:name="_Toc49972691"/>
      <w:bookmarkStart w:id="66" w:name="_Toc64723877"/>
      <w:r w:rsidRPr="00AF0E0B">
        <w:lastRenderedPageBreak/>
        <w:t>Arterial Spin Label</w:t>
      </w:r>
      <w:r w:rsidR="0031237D">
        <w:t>l</w:t>
      </w:r>
      <w:r w:rsidRPr="00AF0E0B">
        <w:t>ing perfusion studies</w:t>
      </w:r>
      <w:bookmarkEnd w:id="65"/>
      <w:bookmarkEnd w:id="66"/>
    </w:p>
    <w:p w14:paraId="0DC515B2" w14:textId="00B835E6"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eastAsia="Arial Unicode MS" w:cs="Arial Unicode MS"/>
          <w:color w:val="000000"/>
          <w:u w:color="000000"/>
          <w:bdr w:val="nil"/>
          <w:lang w:val="en-US" w:eastAsia="en-GB"/>
        </w:rPr>
        <w:t xml:space="preserve">Arterial Spin Labelled (ASL) MRI, as a measure of perfusion was first reported by Williams and </w:t>
      </w:r>
      <w:proofErr w:type="spellStart"/>
      <w:r w:rsidRPr="00AF0E0B">
        <w:rPr>
          <w:rFonts w:eastAsia="Arial Unicode MS" w:cs="Arial Unicode MS"/>
          <w:color w:val="000000"/>
          <w:u w:color="000000"/>
          <w:bdr w:val="nil"/>
          <w:lang w:val="en-US" w:eastAsia="en-GB"/>
        </w:rPr>
        <w:t>Detre</w:t>
      </w:r>
      <w:proofErr w:type="spellEnd"/>
      <w:r w:rsidRPr="00AF0E0B">
        <w:rPr>
          <w:rFonts w:eastAsia="Arial Unicode MS" w:cs="Arial Unicode MS"/>
          <w:color w:val="000000"/>
          <w:u w:color="000000"/>
          <w:bdr w:val="nil"/>
          <w:lang w:val="en-US" w:eastAsia="en-GB"/>
        </w:rPr>
        <w:t xml:space="preserve"> in a rat brain in 1992 </w:t>
      </w:r>
      <w:r w:rsidRPr="00AF0E0B">
        <w:rPr>
          <w:rFonts w:eastAsia="Arial Unicode MS" w:cs="Arial Unicode MS"/>
          <w:color w:val="000000"/>
          <w:u w:color="000000"/>
          <w:bdr w:val="nil"/>
          <w:lang w:val="fr-FR" w:eastAsia="en-GB"/>
        </w:rPr>
        <w:fldChar w:fldCharType="begin"/>
      </w:r>
      <w:r w:rsidRPr="00AF0E0B">
        <w:rPr>
          <w:rFonts w:eastAsia="Arial Unicode MS" w:cs="Arial Unicode MS"/>
          <w:color w:val="000000"/>
          <w:u w:color="000000"/>
          <w:bdr w:val="nil"/>
          <w:lang w:val="fr-FR" w:eastAsia="en-GB"/>
        </w:rPr>
        <w:instrText xml:space="preserve"> ADDIN EN.CITE &lt;EndNote&gt;&lt;Cite  &gt;&lt;Author&gt;Williams&lt;/Author&gt;&lt;Year&gt;1992&lt;/Year&gt;&lt;RecNum&gt;573&lt;/RecNum&gt;&lt;DisplayText&gt;(Williams et al., 1992)&lt;/DisplayText&gt;&lt;record&gt;&lt;dates&gt;&lt;pub-dates&gt;&lt;date&gt;Jan 1&lt;/date&gt;&lt;/pub-dates&gt;&lt;year&gt;1992&lt;/year&gt;&lt;/dates&gt;&lt;urls&gt;&lt;related-urls&gt;&lt;url&gt;&amp;lt;Go to ISI&amp;gt;://WOS:A1992GY04700045&lt;/url&gt;&lt;/related-urls&gt;&lt;/urls&gt;&lt;isbn&gt;0027-8424&lt;/isbn&gt;&lt;titles&gt;&lt;title&gt;MAGNETIC-RESONANCE-IMAGING OF PERFUSION USING SPIN INVERSION OF ARTERIAL WATER&lt;/title&gt;&lt;secondary-title&gt;Proceedings of the National Academy of Sciences of the United States of America&lt;/secondary-title&gt;&lt;/titles&gt;&lt;number&gt;1&lt;/number&gt;&lt;contributors&gt;&lt;authors&gt;&lt;author&gt;Williams, D. S.&lt;/author&gt;&lt;author&gt;Detre, J. A.&lt;/author&gt;&lt;author&gt;Leigh, J. S.&lt;/author&gt;&lt;author&gt;Koretsky, A. P.&lt;/author&gt;&lt;/authors&gt;&lt;/contributors&gt;&lt;added-date format="utc"&gt;1357131165&lt;/added-date&gt;&lt;ref-type name="Journal Article"&gt;17&lt;/ref-type&gt;&lt;rec-number&gt;573&lt;/rec-number&gt;&lt;last-updated-date format="utc"&gt;1357131165&lt;/last-updated-date&gt;&lt;accession-num&gt;WOS:A1992GY04700045&lt;/accession-num&gt;&lt;electronic-resource-num&gt;10.1073/pnas.89.1.212&lt;/electronic-resource-num&gt;&lt;volume&gt;89&lt;/volume&gt;&lt;/record&gt;&lt;/Cite&gt;&lt;/EndNote&gt;</w:instrText>
      </w:r>
      <w:r w:rsidRPr="00AF0E0B">
        <w:rPr>
          <w:rFonts w:eastAsia="Arial Unicode MS" w:cs="Arial Unicode MS"/>
          <w:color w:val="000000"/>
          <w:u w:color="000000"/>
          <w:bdr w:val="nil"/>
          <w:lang w:val="fr-FR" w:eastAsia="en-GB"/>
        </w:rPr>
        <w:fldChar w:fldCharType="separate"/>
      </w:r>
      <w:r w:rsidRPr="00AF0E0B">
        <w:rPr>
          <w:rFonts w:eastAsia="Arial Unicode MS" w:cs="Arial Unicode MS"/>
          <w:color w:val="000000"/>
          <w:u w:color="000000"/>
          <w:bdr w:val="nil"/>
          <w:lang w:val="fr-FR" w:eastAsia="en-GB"/>
        </w:rPr>
        <w:t>(Williams et al., 1992)</w:t>
      </w:r>
      <w:r w:rsidRPr="00AF0E0B">
        <w:rPr>
          <w:rFonts w:eastAsia="Arial Unicode MS" w:cs="Arial Unicode MS"/>
          <w:color w:val="000000"/>
          <w:u w:color="000000"/>
          <w:bdr w:val="nil"/>
          <w:lang w:val="fr-FR" w:eastAsia="en-GB"/>
        </w:rPr>
        <w:fldChar w:fldCharType="end"/>
      </w:r>
      <w:r w:rsidRPr="00AF0E0B">
        <w:rPr>
          <w:rFonts w:eastAsia="Arial Unicode MS" w:cs="Arial Unicode MS"/>
          <w:color w:val="000000"/>
          <w:u w:color="000000"/>
          <w:bdr w:val="nil"/>
          <w:lang w:val="en-US" w:eastAsia="en-GB"/>
        </w:rPr>
        <w:t xml:space="preserve">.  The procedure involved continuous labelling of inflowing water protons in the blood by magnetic inversion at the level of the neck in a rat. Cerebral perfusion can be calculated from the control spin inversion image and the T1 image by observing the effects of the inversion on the intensity of the magnetic resonance </w:t>
      </w:r>
      <w:r w:rsidRPr="00AF0E0B">
        <w:rPr>
          <w:rFonts w:eastAsia="Arial Unicode MS" w:cs="Arial Unicode MS"/>
          <w:color w:val="000000"/>
          <w:u w:color="000000"/>
          <w:bdr w:val="nil"/>
          <w:lang w:val="fr-FR" w:eastAsia="en-GB"/>
        </w:rPr>
        <w:fldChar w:fldCharType="begin"/>
      </w:r>
      <w:r w:rsidRPr="00AF0E0B">
        <w:rPr>
          <w:rFonts w:eastAsia="Arial Unicode MS" w:cs="Arial Unicode MS"/>
          <w:color w:val="000000"/>
          <w:u w:color="000000"/>
          <w:bdr w:val="nil"/>
          <w:lang w:val="fr-FR" w:eastAsia="en-GB"/>
        </w:rPr>
        <w:instrText xml:space="preserve"> ADDIN EN.CITE &lt;EndNote&gt;&lt;Cite  &gt;&lt;Author&gt;Buxton&lt;/Author&gt;&lt;Year&gt;1998&lt;/Year&gt;&lt;RecNum&gt;765&lt;/RecNum&gt;&lt;DisplayText&gt;(Buxton et al., 1998)&lt;/DisplayText&gt;&lt;record&gt;&lt;dates&gt;&lt;pub-dates&gt;&lt;date&gt;Sep&lt;/date&gt;&lt;/pub-dates&gt;&lt;year&gt;1998&lt;/year&gt;&lt;/dates&gt;&lt;isbn&gt;0740-3194&lt;/isbn&gt;&lt;titles&gt;&lt;title&gt;A general kinetic model for quantitative perfusion imaging with arterial spin labeling&lt;/title&gt;&lt;secondary-title&gt;Magnetic Resonance in Medicine&lt;/secondary-title&gt;&lt;/titles&gt;&lt;pages&gt;383-396&lt;/pages&gt;&lt;number&gt;3&lt;/number&gt;&lt;contributors&gt;&lt;authors&gt;&lt;author&gt;Buxton, R. B.&lt;/author&gt;&lt;author&gt;Frank, L. R.&lt;/author&gt;&lt;author&gt;Wong, E. C.&lt;/author&gt;&lt;author&gt;Siewert, B.&lt;/author&gt;&lt;author&gt;Warach, S.&lt;/author&gt;&lt;author&gt;Edelman, R. R.&lt;/author&gt;&lt;/authors&gt;&lt;/contributors&gt;&lt;added-date format="utc"&gt;1373491320&lt;/added-date&gt;&lt;ref-type name="Journal Article"&gt;17&lt;/ref-type&gt;&lt;rec-number&gt;765&lt;/rec-number&gt;&lt;last-updated-date format="utc"&gt;1479817239&lt;/last-updated-date&gt;&lt;accession-num&gt;WOS:000075570500007&lt;/accession-num&gt;&lt;electronic-resource-num&gt;10.1002/mrm.1910400308&lt;/electronic-resource-num&gt;&lt;volume&gt;40&lt;/volume&gt;&lt;/record&gt;&lt;/Cite&gt;&lt;/EndNote&gt;</w:instrText>
      </w:r>
      <w:r w:rsidRPr="00AF0E0B">
        <w:rPr>
          <w:rFonts w:eastAsia="Arial Unicode MS" w:cs="Arial Unicode MS"/>
          <w:color w:val="000000"/>
          <w:u w:color="000000"/>
          <w:bdr w:val="nil"/>
          <w:lang w:val="fr-FR" w:eastAsia="en-GB"/>
        </w:rPr>
        <w:fldChar w:fldCharType="separate"/>
      </w:r>
      <w:r w:rsidRPr="00AF0E0B">
        <w:rPr>
          <w:rFonts w:eastAsia="Arial Unicode MS" w:cs="Arial Unicode MS"/>
          <w:color w:val="000000"/>
          <w:u w:color="000000"/>
          <w:bdr w:val="nil"/>
          <w:lang w:val="fr-FR" w:eastAsia="en-GB"/>
        </w:rPr>
        <w:t>(Buxton et al., 1998)</w:t>
      </w:r>
      <w:r w:rsidRPr="00AF0E0B">
        <w:rPr>
          <w:rFonts w:eastAsia="Arial Unicode MS" w:cs="Arial Unicode MS"/>
          <w:color w:val="000000"/>
          <w:u w:color="000000"/>
          <w:bdr w:val="nil"/>
          <w:lang w:val="fr-FR" w:eastAsia="en-GB"/>
        </w:rPr>
        <w:fldChar w:fldCharType="end"/>
      </w:r>
      <w:r w:rsidRPr="00AF0E0B">
        <w:rPr>
          <w:rFonts w:eastAsia="Arial Unicode MS" w:cs="Arial Unicode MS"/>
          <w:color w:val="000000"/>
          <w:u w:color="000000"/>
          <w:bdr w:val="nil"/>
          <w:lang w:val="en-US" w:eastAsia="en-GB"/>
        </w:rPr>
        <w:t>.</w:t>
      </w:r>
    </w:p>
    <w:p w14:paraId="5CDDF4A0" w14:textId="35F86451"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eastAsia="Arial Unicode MS" w:cs="Arial Unicode MS"/>
          <w:color w:val="000000"/>
          <w:u w:color="000000"/>
          <w:bdr w:val="nil"/>
          <w:lang w:val="en-US" w:eastAsia="en-GB"/>
        </w:rPr>
        <w:t xml:space="preserve">Given that the quantification of the cerebral blood flow is a measure of the labelled water density in the voxel of interest, then the image can be calibrated by division of the perfusion image by a proton density weighted image </w:t>
      </w:r>
      <w:r w:rsidRPr="00AF0E0B">
        <w:rPr>
          <w:rFonts w:eastAsia="Arial Unicode MS" w:cs="Arial Unicode MS"/>
          <w:color w:val="000000"/>
          <w:u w:color="000000"/>
          <w:bdr w:val="nil"/>
          <w:lang w:val="en-US" w:eastAsia="en-GB"/>
        </w:rPr>
        <w:fldChar w:fldCharType="begin"/>
      </w:r>
      <w:r w:rsidRPr="00AF0E0B">
        <w:rPr>
          <w:rFonts w:eastAsia="Arial Unicode MS" w:cs="Arial Unicode MS"/>
          <w:color w:val="000000"/>
          <w:u w:color="000000"/>
          <w:bdr w:val="nil"/>
          <w:lang w:val="en-US" w:eastAsia="en-GB"/>
        </w:rPr>
        <w:instrText xml:space="preserve"> ADDIN EN.CITE &lt;EndNote&gt;&lt;Cite  &gt;&lt;Author&gt;Dai&lt;/Author&gt;&lt;Year&gt;2011&lt;/Year&gt;&lt;RecNum&gt;764&lt;/RecNum&gt;&lt;DisplayText&gt;(Dai et al., 2011)&lt;/DisplayText&gt;&lt;record&gt;&lt;dates&gt;&lt;pub-dates&gt;&lt;date&gt;Dec&lt;/date&gt;&lt;/pub-dates&gt;&lt;year&gt;2011&lt;/year&gt;&lt;/dates&gt;&lt;isbn&gt;0740-3194&lt;/isbn&gt;&lt;titles&gt;&lt;title&gt;Sensitivity Calibration With a Uniform Magnetization Image to Improve Arterial Spin Labeling Perfusion Quantification&lt;/title&gt;&lt;secondary-title&gt;Magnetic Resonance in Medicine&lt;/secondary-title&gt;&lt;/titles&gt;&lt;pages&gt;1590-1600&lt;/pages&gt;&lt;number&gt;6&lt;/number&gt;&lt;contributors&gt;&lt;authors&gt;&lt;author&gt;Dai, Weiying&lt;/author&gt;&lt;author&gt;Robson, Philip M.&lt;/author&gt;&lt;author&gt;Shankaranarayanan, Ajit&lt;/author&gt;&lt;author&gt;Alsop, David C.&lt;/author&gt;&lt;/authors&gt;&lt;/contributors&gt;&lt;added-date format="utc"&gt;1373489837&lt;/added-date&gt;&lt;ref-type name="Journal Article"&gt;17&lt;/ref-type&gt;&lt;rec-number&gt;764&lt;/rec-number&gt;&lt;last-updated-date format="utc"&gt;1479817454&lt;/last-updated-date&gt;&lt;accession-num&gt;WOS:000297285000013&lt;/accession-num&gt;&lt;electronic-resource-num&gt;10.1002/mrm.22954&lt;/electronic-resource-num&gt;&lt;volume&gt;66&lt;/volume&gt;&lt;/record&gt;&lt;/Cite&gt;&lt;/EndNote&gt;</w:instrText>
      </w:r>
      <w:r w:rsidRPr="00AF0E0B">
        <w:rPr>
          <w:rFonts w:eastAsia="Arial Unicode MS" w:cs="Arial Unicode MS"/>
          <w:color w:val="000000"/>
          <w:u w:color="000000"/>
          <w:bdr w:val="nil"/>
          <w:lang w:val="en-US" w:eastAsia="en-GB"/>
        </w:rPr>
        <w:fldChar w:fldCharType="separate"/>
      </w:r>
      <w:r w:rsidRPr="00AF0E0B">
        <w:rPr>
          <w:rFonts w:eastAsia="Arial Unicode MS" w:cs="Arial Unicode MS"/>
          <w:color w:val="000000"/>
          <w:u w:color="000000"/>
          <w:bdr w:val="nil"/>
          <w:lang w:val="en-US" w:eastAsia="en-GB"/>
        </w:rPr>
        <w:t>(Dai et al., 2011)</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t>. As the contrast in this technique is physiological the signal difference in ASL is small, in the order of 0.5-1.5%, and the half-life of the tracer (dependent on the T1 of blood) is in the order of 1-2 seconds</w:t>
      </w:r>
      <w:r w:rsidRPr="00AF0E0B">
        <w:rPr>
          <w:rFonts w:eastAsia="Arial Unicode MS" w:cs="Arial Unicode MS"/>
          <w:color w:val="000000"/>
          <w:u w:color="000000"/>
          <w:bdr w:val="nil"/>
          <w:lang w:val="en-US" w:eastAsia="en-GB"/>
        </w:rPr>
        <w:fldChar w:fldCharType="begin"/>
      </w:r>
      <w:r w:rsidRPr="00AF0E0B">
        <w:rPr>
          <w:rFonts w:eastAsia="Arial Unicode MS" w:cs="Arial Unicode MS"/>
          <w:color w:val="000000"/>
          <w:u w:color="000000"/>
          <w:bdr w:val="nil"/>
          <w:lang w:val="en-US" w:eastAsia="en-GB"/>
        </w:rPr>
        <w:instrText xml:space="preserve"> ADDIN EN.CITE &lt;EndNote&gt;&lt;Cite  &gt;&lt;Author&gt;Petersen&lt;/Author&gt;&lt;Year&gt;2006&lt;/Year&gt;&lt;RecNum&gt;587&lt;/RecNum&gt;&lt;DisplayText&gt;(Petersen et al., 2006, Deibler et al., 2008)&lt;/DisplayText&gt;&lt;record&gt;&lt;dates&gt;&lt;pub-dates&gt;&lt;date&gt;Aug&lt;/date&gt;&lt;/pub-dates&gt;&lt;year&gt;2006&lt;/year&gt;&lt;/dates&gt;&lt;isbn&gt;0007-1285&lt;/isbn&gt;&lt;titles&gt;&lt;title&gt;Non-invasive measurement of perfusion: a critical review of arterial spin labelling techniques&lt;/title&gt;&lt;secondary-title&gt;British Journal of Radiology&lt;/secondary-title&gt;&lt;/titles&gt;&lt;pages&gt;688-701&lt;/pages&gt;&lt;number&gt;944&lt;/number&gt;&lt;contributors&gt;&lt;authors&gt;&lt;author&gt;Petersen, E. T.&lt;/author&gt;&lt;author&gt;Zimine, I.&lt;/author&gt;&lt;author&gt;Ho, Y. C. L.&lt;/author&gt;&lt;author&gt;Golay, X.&lt;/author&gt;&lt;/authors&gt;&lt;/contributors&gt;&lt;added-date format="utc"&gt;1357167384&lt;/added-date&gt;&lt;ref-type name="Journal Article"&gt;17&lt;/ref-type&gt;&lt;rec-number&gt;587&lt;/rec-number&gt;&lt;last-updated-date format="utc"&gt;1358174360&lt;/last-updated-date&gt;&lt;accession-num&gt;WOS:000239837000009&lt;/accession-num&gt;&lt;electronic-resource-num&gt;10.1259/bjr/67705974&lt;/electronic-resource-num&gt;&lt;volume&gt;79&lt;/volume&gt;&lt;/record&gt;&lt;/Cite&gt;&lt;Cite  &gt;&lt;Author&gt;Deibler&lt;/Author&gt;&lt;Year&gt;2008&lt;/Year&gt;&lt;RecNum&gt;583&lt;/RecNum&gt;&lt;record&gt;&lt;dates&gt;&lt;pub-dates&gt;&lt;date&gt;Aug&lt;/date&gt;&lt;/pub-dates&gt;&lt;year&gt;2008&lt;/year&gt;&lt;/dates&gt;&lt;isbn&gt;0195-6108&lt;/isbn&gt;&lt;titles&gt;&lt;title&gt;Arterial spin-labeling in routine clinical practice, part 1: Technique and artifacts&lt;/title&gt;&lt;secondary-title&gt;American Journal of Neuroradiology&lt;/secondary-title&gt;&lt;/titles&gt;&lt;pages&gt;1228-1234&lt;/pages&gt;&lt;number&gt;7&lt;/number&gt;&lt;contributors&gt;&lt;authors&gt;&lt;author&gt;Deibler, A. R.&lt;/author&gt;&lt;author&gt;Pollock, J. M.&lt;/author&gt;&lt;author&gt;Kraft, R. A.&lt;/author&gt;&lt;author&gt;Tan, H.&lt;/author&gt;&lt;author&gt;Burdette, J. H.&lt;/author&gt;&lt;author&gt;Maldjian, J. A.&lt;/author&gt;&lt;/authors&gt;&lt;/contributors&gt;&lt;added-date format="utc"&gt;1357162870&lt;/added-date&gt;&lt;ref-type name="Journal Article"&gt;17&lt;/ref-type&gt;&lt;rec-number&gt;583&lt;/rec-number&gt;&lt;last-updated-date format="utc"&gt;1479817574&lt;/last-updated-date&gt;&lt;accession-num&gt;WOS:000258706500002&lt;/accession-num&gt;&lt;electronic-resource-num&gt;10.3174/ajnr.A1030&lt;/electronic-resource-num&gt;&lt;volume&gt;29&lt;/volume&gt;&lt;/record&gt;&lt;/Cite&gt;&lt;/EndNote&gt;</w:instrText>
      </w:r>
      <w:r w:rsidRPr="00AF0E0B">
        <w:rPr>
          <w:rFonts w:eastAsia="Arial Unicode MS" w:cs="Arial Unicode MS"/>
          <w:color w:val="000000"/>
          <w:u w:color="000000"/>
          <w:bdr w:val="nil"/>
          <w:lang w:val="en-US" w:eastAsia="en-GB"/>
        </w:rPr>
        <w:fldChar w:fldCharType="separate"/>
      </w:r>
      <w:r w:rsidRPr="00AF0E0B">
        <w:rPr>
          <w:rFonts w:eastAsia="Arial Unicode MS" w:cs="Arial Unicode MS"/>
          <w:color w:val="000000"/>
          <w:u w:color="000000"/>
          <w:bdr w:val="nil"/>
          <w:lang w:val="en-US" w:eastAsia="en-GB"/>
        </w:rPr>
        <w:t>(Petersen et al., 2006, Deibler et al., 2008)</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t xml:space="preserve">.  The major advantage of arterial spin labelling is that it can provide a quantitative measure of cerebral blood flow and it does not require invasive methods such as cannulation or contrast administration </w:t>
      </w:r>
      <w:r w:rsidRPr="00AF0E0B">
        <w:rPr>
          <w:rFonts w:eastAsia="Arial Unicode MS" w:cs="Arial Unicode MS"/>
          <w:color w:val="000000"/>
          <w:u w:color="000000"/>
          <w:bdr w:val="nil"/>
          <w:lang w:val="en-US" w:eastAsia="en-GB"/>
        </w:rPr>
        <w:fldChar w:fldCharType="begin"/>
      </w:r>
      <w:r w:rsidRPr="00AF0E0B">
        <w:rPr>
          <w:rFonts w:eastAsia="Arial Unicode MS" w:cs="Arial Unicode MS"/>
          <w:color w:val="000000"/>
          <w:u w:color="000000"/>
          <w:bdr w:val="nil"/>
          <w:lang w:val="en-US" w:eastAsia="en-GB"/>
        </w:rPr>
        <w:instrText xml:space="preserve"> ADDIN EN.CITE &lt;EndNote&gt;&lt;Cite  &gt;&lt;Author&gt;Detre&lt;/Author&gt;&lt;Year&gt;2012&lt;/Year&gt;&lt;RecNum&gt;507&lt;/RecNum&gt;&lt;DisplayText&gt;(Detre et al., 2012)&lt;/DisplayText&gt;&lt;record&gt;&lt;dates&gt;&lt;pub-dates&gt;&lt;date&gt;May&lt;/date&gt;&lt;/pub-dates&gt;&lt;year&gt;2012&lt;/year&gt;&lt;/dates&gt;&lt;isbn&gt;1522-2586 (Electronic)&amp;#13;1053-1807 (Linking)&lt;/isbn&gt;&lt;work-type&gt;Research Support, N.I.H., Extramural&amp;#13;Review&lt;/work-type&gt;&lt;titles&gt;&lt;title&gt;Applications of arterial spin labeled MRI in the brain&lt;/title&gt;&lt;secondary-title&gt;J Magn Reson Imaging.&lt;/secondary-title&gt;&lt;/titles&gt;&lt;pages&gt;1026-37. doi: 10.1002/jmri.23581. Epub 2012 Jan 13.&lt;/pages&gt;&lt;number&gt;5&lt;/number&gt;&lt;contributors&gt;&lt;authors&gt;&lt;author&gt;Detre, J. A.&lt;/author&gt;&lt;author&gt;Rao, H.&lt;/author&gt;&lt;author&gt;Wang, D. J.&lt;/author&gt;&lt;author&gt;Chen, Y. F.&lt;/author&gt;&lt;author&gt;Wang, Z.&lt;/author&gt;&lt;/authors&gt;&lt;/contributors&gt;&lt;added-date format="utc"&gt;1356702054&lt;/added-date&gt;&lt;ref-type name="Journal Article"&gt;17&lt;/ref-type&gt;&lt;rec-number&gt;507&lt;/rec-number&gt;&lt;last-updated-date format="utc"&gt;1356702054&lt;/last-updated-date&gt;&lt;volume&gt;35&lt;/volume&gt;&lt;/record&gt;&lt;/Cite&gt;&lt;/EndNote&gt;</w:instrText>
      </w:r>
      <w:r w:rsidRPr="00AF0E0B">
        <w:rPr>
          <w:rFonts w:eastAsia="Arial Unicode MS" w:cs="Arial Unicode MS"/>
          <w:color w:val="000000"/>
          <w:u w:color="000000"/>
          <w:bdr w:val="nil"/>
          <w:lang w:val="en-US" w:eastAsia="en-GB"/>
        </w:rPr>
        <w:fldChar w:fldCharType="separate"/>
      </w:r>
      <w:r w:rsidRPr="00AF0E0B">
        <w:rPr>
          <w:rFonts w:eastAsia="Arial Unicode MS" w:cs="Arial Unicode MS"/>
          <w:color w:val="000000"/>
          <w:u w:color="000000"/>
          <w:bdr w:val="nil"/>
          <w:lang w:val="en-US" w:eastAsia="en-GB"/>
        </w:rPr>
        <w:t>(Detre et al., 2012)</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t xml:space="preserve">.  This makes it attractive for research applications, especially in subjects who may be excluded from studies due to poor renal function, and for pain studies as it avoids confounding neuronal activations due to cannulation and the sensation of the passage of contrast medium.  </w:t>
      </w:r>
    </w:p>
    <w:p w14:paraId="49FE8959" w14:textId="6FECB7AE" w:rsidR="00AF0E0B" w:rsidRPr="00AF0E0B" w:rsidRDefault="00AF0E0B" w:rsidP="0031237D">
      <w:pPr>
        <w:pStyle w:val="Heading3"/>
      </w:pPr>
      <w:bookmarkStart w:id="67" w:name="_Toc49972692"/>
      <w:bookmarkStart w:id="68" w:name="_Toc64723878"/>
      <w:r w:rsidRPr="00AF0E0B">
        <w:t xml:space="preserve">Technical difficulties encountered when using </w:t>
      </w:r>
      <w:bookmarkEnd w:id="67"/>
      <w:r w:rsidR="007F013F">
        <w:t>ASL</w:t>
      </w:r>
      <w:bookmarkEnd w:id="68"/>
    </w:p>
    <w:p w14:paraId="44E7F266" w14:textId="77777777"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eastAsia="Arial Unicode MS" w:cs="Arial Unicode MS"/>
          <w:color w:val="000000"/>
          <w:u w:color="000000"/>
          <w:bdr w:val="nil"/>
          <w:lang w:val="en-US" w:eastAsia="en-GB"/>
        </w:rPr>
        <w:t xml:space="preserve">There are various technical difficulties that limit the usefulness of arterial spin labelling as the preferred technique of measurement of cerebral perfusion.  The major factor is that the technique has a poor SNR, and when measuring blood flow changes secondary to pain, spurious results may be obtained </w:t>
      </w:r>
      <w:r w:rsidRPr="00AF0E0B">
        <w:rPr>
          <w:rFonts w:eastAsia="Arial Unicode MS" w:cs="Arial Unicode MS"/>
          <w:color w:val="000000"/>
          <w:u w:color="000000"/>
          <w:bdr w:val="nil"/>
          <w:lang w:val="en-US" w:eastAsia="en-GB"/>
        </w:rPr>
        <w:fldChar w:fldCharType="begin"/>
      </w:r>
      <w:r w:rsidRPr="00AF0E0B">
        <w:rPr>
          <w:rFonts w:eastAsia="Arial Unicode MS" w:cs="Arial Unicode MS"/>
          <w:color w:val="000000"/>
          <w:u w:color="000000"/>
          <w:bdr w:val="nil"/>
          <w:lang w:val="en-US" w:eastAsia="en-GB"/>
        </w:rPr>
        <w:instrText xml:space="preserve"> ADDIN EN.CITE &lt;EndNote&gt;&lt;Cite  &gt;&lt;Author&gt;Tracey&lt;/Author&gt;&lt;Year&gt;2010&lt;/Year&gt;&lt;RecNum&gt;316&lt;/RecNum&gt;&lt;DisplayText&gt;(Tracey and Johns, 2010)&lt;/DisplayText&gt;&lt;record&gt;&lt;dates&gt;&lt;pub-dates&gt;&lt;date&gt;Mar&lt;/date&gt;&lt;/pub-dates&gt;&lt;year&gt;2010&lt;/year&gt;&lt;/dates&gt;&lt;urls&gt;&lt;related-urls&gt;&lt;url&gt;&amp;lt;Go to ISI&amp;gt;://WOS:000274550400003&lt;/url&gt;&lt;/related-urls&gt;&lt;/urls&gt;&lt;isbn&gt;0304-3959&lt;/isbn&gt;&lt;titles&gt;&lt;title&gt;The pain matrix: Reloaded or reborn as we image tonic pain using arterial spin labelling&lt;/title&gt;&lt;secondary-title&gt;Pain&lt;/secondary-title&gt;&lt;/titles&gt;&lt;number&gt;3&lt;/number&gt;&lt;contributors&gt;&lt;authors&gt;&lt;author&gt;Tracey, Irene&lt;/author&gt;&lt;author&gt;Johns, Emily&lt;/author&gt;&lt;/authors&gt;&lt;/contributors&gt;&lt;added-date format="utc"&gt;1353511350&lt;/added-date&gt;&lt;ref-type name="Journal Article"&gt;17&lt;/ref-type&gt;&lt;rec-number&gt;316&lt;/rec-number&gt;&lt;last-updated-date format="utc"&gt;1354885362&lt;/last-updated-date&gt;&lt;accession-num&gt;WOS:000274550400003&lt;/accession-num&gt;&lt;electronic-resource-num&gt;10.1016/j.pain.2009.11.009&lt;/electronic-resource-num&gt;&lt;volume&gt;148&lt;/volume&gt;&lt;/record&gt;&lt;/Cite&gt;&lt;/EndNote&gt;</w:instrText>
      </w:r>
      <w:r w:rsidRPr="00AF0E0B">
        <w:rPr>
          <w:rFonts w:eastAsia="Arial Unicode MS" w:cs="Arial Unicode MS"/>
          <w:color w:val="000000"/>
          <w:u w:color="000000"/>
          <w:bdr w:val="nil"/>
          <w:lang w:val="en-US" w:eastAsia="en-GB"/>
        </w:rPr>
        <w:fldChar w:fldCharType="separate"/>
      </w:r>
      <w:r w:rsidRPr="00AF0E0B">
        <w:rPr>
          <w:rFonts w:eastAsia="Arial Unicode MS" w:cs="Arial Unicode MS"/>
          <w:color w:val="000000"/>
          <w:u w:color="000000"/>
          <w:bdr w:val="nil"/>
          <w:lang w:val="en-US" w:eastAsia="en-GB"/>
        </w:rPr>
        <w:t>(Tracey and Johns, 2010)</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t xml:space="preserve">.  Currently, due to tracer decay time and the freely diffusible nature of the tracer, it is difficult to obtain parameters that are quantitatively measured in DSC-MRI such as MTT, and CBV. In order to improve the SNR, longer scan times are employed, but this has implications for subject movement during scanning and subject acceptability.  Certain assumptions are also made about labelling efficiency </w:t>
      </w:r>
      <w:r w:rsidRPr="00AF0E0B">
        <w:rPr>
          <w:rFonts w:eastAsia="Arial Unicode MS" w:cs="Arial Unicode MS"/>
          <w:color w:val="000000"/>
          <w:u w:color="000000"/>
          <w:bdr w:val="nil"/>
          <w:lang w:val="en-US" w:eastAsia="en-GB"/>
        </w:rPr>
        <w:fldChar w:fldCharType="begin"/>
      </w:r>
      <w:r w:rsidRPr="00AF0E0B">
        <w:rPr>
          <w:rFonts w:eastAsia="Arial Unicode MS" w:cs="Arial Unicode MS"/>
          <w:color w:val="000000"/>
          <w:u w:color="000000"/>
          <w:bdr w:val="nil"/>
          <w:lang w:val="en-US" w:eastAsia="en-GB"/>
        </w:rPr>
        <w:instrText xml:space="preserve"> ADDIN EN.CITE &lt;EndNote&gt;&lt;Cite  &gt;&lt;Author&gt;Aslan&lt;/Author&gt;&lt;Year&gt;2010&lt;/Year&gt;&lt;RecNum&gt;760&lt;/RecNum&gt;&lt;DisplayText&gt;(Aslan et al., 2010)&lt;/DisplayText&gt;&lt;record&gt;&lt;dates&gt;&lt;pub-dates&gt;&lt;date&gt;Mar&lt;/date&gt;&lt;/pub-dates&gt;&lt;year&gt;2010&lt;/year&gt;&lt;/dates&gt;&lt;isbn&gt;0740-3194&lt;/isbn&gt;&lt;titles&gt;&lt;title&gt;Estimation of Labeling Efficiency in Pseudocontinuous Arterial Spin Labeling&lt;/title&gt;&lt;secondary-title&gt;Magnetic Resonance in Medicine&lt;/secondary-title&gt;&lt;/titles&gt;&lt;pages&gt;765-771&lt;/pages&gt;&lt;number&gt;3&lt;/number&gt;&lt;contributors&gt;&lt;authors&gt;&lt;author&gt;Aslan, Sina&lt;/author&gt;&lt;author&gt;Xu, Feng&lt;/author&gt;&lt;author&gt;Wang, Peiying L.&lt;/author&gt;&lt;author&gt;Uh, Jinsoo&lt;/author&gt;&lt;author&gt;Yezhuvath, Uma S.&lt;/author&gt;&lt;author&gt;van Osch, Matthias&lt;/author&gt;&lt;author&gt;Lu, Hanzhang&lt;/author&gt;&lt;/authors&gt;&lt;/contributors&gt;&lt;added-date format="utc"&gt;1373406857&lt;/added-date&gt;&lt;ref-type name="Journal Article"&gt;17&lt;/ref-type&gt;&lt;rec-number&gt;760&lt;/rec-number&gt;&lt;last-updated-date format="utc"&gt;1479816099&lt;/last-updated-date&gt;&lt;accession-num&gt;WOS:000274938000026&lt;/accession-num&gt;&lt;electronic-resource-num&gt;10.1002/mrm.22245&lt;/electronic-resource-num&gt;&lt;volume&gt;63&lt;/volume&gt;&lt;/record&gt;&lt;/Cite&gt;&lt;/EndNote&gt;</w:instrText>
      </w:r>
      <w:r w:rsidRPr="00AF0E0B">
        <w:rPr>
          <w:rFonts w:eastAsia="Arial Unicode MS" w:cs="Arial Unicode MS"/>
          <w:color w:val="000000"/>
          <w:u w:color="000000"/>
          <w:bdr w:val="nil"/>
          <w:lang w:val="en-US" w:eastAsia="en-GB"/>
        </w:rPr>
        <w:fldChar w:fldCharType="separate"/>
      </w:r>
      <w:r w:rsidRPr="00AF0E0B">
        <w:rPr>
          <w:rFonts w:eastAsia="Arial Unicode MS" w:cs="Arial Unicode MS"/>
          <w:color w:val="000000"/>
          <w:u w:color="000000"/>
          <w:bdr w:val="nil"/>
          <w:lang w:val="en-US" w:eastAsia="en-GB"/>
        </w:rPr>
        <w:t>(Aslan et al., 2010)</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t xml:space="preserve"> which may vary with flow and labelling area. Very slow flow can be masked by suppression of the tag when the background suppression pulses are applied </w:t>
      </w:r>
      <w:r w:rsidRPr="00AF0E0B">
        <w:rPr>
          <w:rFonts w:eastAsia="Arial Unicode MS" w:cs="Arial Unicode MS"/>
          <w:color w:val="000000"/>
          <w:u w:color="000000"/>
          <w:bdr w:val="nil"/>
          <w:lang w:val="en-US" w:eastAsia="en-GB"/>
        </w:rPr>
        <w:fldChar w:fldCharType="begin"/>
      </w:r>
      <w:r w:rsidRPr="00AF0E0B">
        <w:rPr>
          <w:rFonts w:eastAsia="Arial Unicode MS" w:cs="Arial Unicode MS"/>
          <w:color w:val="000000"/>
          <w:u w:color="000000"/>
          <w:bdr w:val="nil"/>
          <w:lang w:val="en-US" w:eastAsia="en-GB"/>
        </w:rPr>
        <w:instrText xml:space="preserve"> ADDIN EN.CITE &lt;EndNote&gt;&lt;Cite  &gt;&lt;Author&gt;Garcia&lt;/Author&gt;&lt;Year&gt;2005&lt;/Year&gt;&lt;RecNum&gt;766&lt;/RecNum&gt;&lt;DisplayText&gt;(Garcia et al., 2005, McGehee et al., 2012)&lt;/DisplayText&gt;&lt;record&gt;&lt;dates&gt;&lt;pub-dates&gt;&lt;date&gt;Aug&lt;/date&gt;&lt;/pub-dates&gt;&lt;year&gt;2005&lt;/year&gt;&lt;/dates&gt;&lt;isbn&gt;0740-3194&lt;/isbn&gt;&lt;titles&gt;&lt;title&gt;Efficiency of inversion pulses for background suppressed arterial spin labeling&lt;/title&gt;&lt;secondary-title&gt;Magnetic Resonance in Medicine&lt;/secondary-title&gt;&lt;/titles&gt;&lt;pages&gt;366-372&lt;/pages&gt;&lt;number&gt;2&lt;/number&gt;&lt;contributors&gt;&lt;authors&gt;&lt;author&gt;Garcia, D. M.&lt;/author&gt;&lt;author&gt;Duhamel, G.&lt;/author&gt;&lt;author&gt;Alsop, D. C.&lt;/author&gt;&lt;/authors&gt;&lt;/contributors&gt;&lt;added-date format="utc"&gt;1373493870&lt;/added-date&gt;&lt;ref-type name="Journal Article"&gt;17&lt;/ref-type&gt;&lt;rec-number&gt;766&lt;/rec-number&gt;&lt;last-updated-date format="utc"&gt;1479819092&lt;/last-updated-date&gt;&lt;accession-num&gt;WOS:000230765700014&lt;/accession-num&gt;&lt;electronic-resource-num&gt;10.1002/mrm.20556&lt;/electronic-resource-num&gt;&lt;volume&gt;54&lt;/volume&gt;&lt;/record&gt;&lt;/Cite&gt;&lt;Cite  &gt;&lt;Author&gt;McGehee&lt;/Author&gt;&lt;Year&gt;2012&lt;/Year&gt;&lt;RecNum&gt;679&lt;/RecNum&gt;&lt;record&gt;&lt;dates&gt;&lt;pub-dates&gt;&lt;date&gt;Dec&lt;/date&gt;&lt;/pub-dates&gt;&lt;year&gt;2012&lt;/year&gt;&lt;/dates&gt;&lt;isbn&gt;1053-1807&lt;/isbn&gt;&lt;titles&gt;&lt;title&gt;Brain perfusion imaging: How does it work and what should i use?&lt;/title&gt;&lt;secondary-title&gt;Journal of Magnetic Resonance Imaging&lt;/secondary-title&gt;&lt;/titles&gt;&lt;pages&gt;1257-+&lt;/pages&gt;&lt;number&gt;6&lt;/number&gt;&lt;contributors&gt;&lt;authors&gt;&lt;author&gt;McGehee, B. E.&lt;/author&gt;&lt;author&gt;Pollock, J. M.&lt;/author&gt;&lt;author&gt;Maldjian, J. A.&lt;/author&gt;&lt;/authors&gt;&lt;/contributors&gt;&lt;added-date format="utc"&gt;1358174797&lt;/added-date&gt;&lt;ref-type name="Journal Article"&gt;17&lt;/ref-type&gt;&lt;rec-number&gt;679&lt;/rec-number&gt;&lt;last-updated-date format="utc"&gt;1479820666&lt;/last-updated-date&gt;&lt;accession-num&gt;WOS:000311381900001&lt;/accession-num&gt;&lt;electronic-resource-num&gt;10.1002/jmri.23645&lt;/electronic-resource-num&gt;&lt;volume&gt;36&lt;/volume&gt;&lt;/record&gt;&lt;/Cite&gt;&lt;/EndNote&gt;</w:instrText>
      </w:r>
      <w:r w:rsidRPr="00AF0E0B">
        <w:rPr>
          <w:rFonts w:eastAsia="Arial Unicode MS" w:cs="Arial Unicode MS"/>
          <w:color w:val="000000"/>
          <w:u w:color="000000"/>
          <w:bdr w:val="nil"/>
          <w:lang w:val="en-US" w:eastAsia="en-GB"/>
        </w:rPr>
        <w:fldChar w:fldCharType="separate"/>
      </w:r>
      <w:r w:rsidRPr="00AF0E0B">
        <w:rPr>
          <w:rFonts w:eastAsia="Arial Unicode MS" w:cs="Arial Unicode MS"/>
          <w:color w:val="000000"/>
          <w:u w:color="000000"/>
          <w:bdr w:val="nil"/>
          <w:lang w:val="en-US" w:eastAsia="en-GB"/>
        </w:rPr>
        <w:t>(Garcia et al., 2005, McGehee et al., 2012)</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t>.</w:t>
      </w:r>
    </w:p>
    <w:p w14:paraId="114B0F72" w14:textId="77777777" w:rsidR="00AF0E0B" w:rsidRPr="00AF0E0B" w:rsidRDefault="00AF0E0B" w:rsidP="0031237D">
      <w:pPr>
        <w:pStyle w:val="Heading3"/>
      </w:pPr>
      <w:bookmarkStart w:id="69" w:name="_Toc49972693"/>
      <w:bookmarkStart w:id="70" w:name="_Toc64723879"/>
      <w:r w:rsidRPr="00AF0E0B">
        <w:lastRenderedPageBreak/>
        <w:t>ASL to quantify perfusion during pain perception</w:t>
      </w:r>
      <w:bookmarkEnd w:id="69"/>
      <w:bookmarkEnd w:id="70"/>
      <w:r w:rsidRPr="00AF0E0B">
        <w:t xml:space="preserve"> </w:t>
      </w:r>
    </w:p>
    <w:p w14:paraId="079C3A78" w14:textId="375CD497"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eastAsia="Arial Unicode MS" w:cs="Arial Unicode MS"/>
          <w:color w:val="000000"/>
          <w:u w:color="000000"/>
          <w:bdr w:val="nil"/>
          <w:lang w:val="en-US" w:eastAsia="en-GB"/>
        </w:rPr>
        <w:t xml:space="preserve">Induced painful conditions in healthy volunteers have been tested using ASL.  Thermal pain has been used frequently as an experimental pain condition mimicking neuropathic pain. This was used by Owen and colleagues in an ASL experiment to demonstrate increases in perfusion in the somatosensory cortex during a noxious thermal stimulus </w:t>
      </w:r>
      <w:r w:rsidRPr="00AF0E0B">
        <w:rPr>
          <w:rFonts w:eastAsia="Arial Unicode MS" w:cs="Arial Unicode MS"/>
          <w:color w:val="000000"/>
          <w:u w:color="000000"/>
          <w:bdr w:val="nil"/>
          <w:lang w:val="en-US" w:eastAsia="en-GB"/>
        </w:rPr>
        <w:fldChar w:fldCharType="begin"/>
      </w:r>
      <w:r w:rsidRPr="00AF0E0B">
        <w:rPr>
          <w:rFonts w:eastAsia="Arial Unicode MS" w:cs="Arial Unicode MS"/>
          <w:color w:val="000000"/>
          <w:u w:color="000000"/>
          <w:bdr w:val="nil"/>
          <w:lang w:val="en-US" w:eastAsia="en-GB"/>
        </w:rPr>
        <w:instrText xml:space="preserve"> ADDIN EN.CITE &lt;EndNote&gt;&lt;Cite  &gt;&lt;Author&gt;Owen&lt;/Author&gt;&lt;Year&gt;2008&lt;/Year&gt;&lt;RecNum&gt;324&lt;/RecNum&gt;&lt;DisplayText&gt;(Owen et al., 2008)&lt;/DisplayText&gt;&lt;record&gt;&lt;dates&gt;&lt;pub-dates&gt;&lt;date&gt;May&lt;/date&gt;&lt;/pub-dates&gt;&lt;year&gt;2008&lt;/year&gt;&lt;/dates&gt;&lt;keywords&gt;&lt;keyword&gt;0 (Spin Labels)&lt;/keyword&gt;&lt;keyword&gt;Adult&lt;/keyword&gt;&lt;keyword&gt;Cerebrovascular Circulation/*physiology&lt;/keyword&gt;&lt;keyword&gt;Female&lt;/keyword&gt;&lt;keyword&gt;Hot Temperature/adverse effects&lt;/keyword&gt;&lt;keyword&gt;Humans&lt;/keyword&gt;&lt;keyword&gt;Magnetic Resonance Angiography/*methods&lt;/keyword&gt;&lt;keyword&gt;Male&lt;/keyword&gt;&lt;keyword&gt;Pain/*diagnosis/*physiopathology&lt;/keyword&gt;&lt;keyword&gt;Pain Measurement/*methods&lt;/keyword&gt;&lt;keyword&gt;Spin Labels&lt;/keyword&gt;&lt;/keywords&gt;&lt;isbn&gt;1872-6623 (Electronic)&amp;#13;0304-3959 (Linking)&lt;/isbn&gt;&lt;work-type&gt;Comparative Study&amp;#13;Research Support, Non-U.S. Gov't&lt;/work-type&gt;&lt;titles&gt;&lt;title&gt;Quantification of pain-induced changes in cerebral blood flow by perfusion MRI&lt;/title&gt;&lt;secondary-title&gt;Pain.&lt;/secondary-title&gt;&lt;/titles&gt;&lt;pages&gt;85-96.&lt;/pages&gt;&lt;number&gt;1-2&lt;/number&gt;&lt;contributors&gt;&lt;authors&gt;&lt;author&gt;Owen, D. G.&lt;/author&gt;&lt;author&gt;Bureau, Y.&lt;/author&gt;&lt;author&gt;Thomas, A. W.&lt;/author&gt;&lt;author&gt;Prato, F. S.&lt;/author&gt;&lt;author&gt;St Lawrence, K. S.&lt;/author&gt;&lt;/authors&gt;&lt;/contributors&gt;&lt;added-date format="utc"&gt;1353511902&lt;/added-date&gt;&lt;ref-type name="Journal Article"&gt;17&lt;/ref-type&gt;&lt;rec-number&gt;324&lt;/rec-number&gt;&lt;last-updated-date format="utc"&gt;1357127312&lt;/last-updated-date&gt;&lt;volume&gt;136&lt;/volume&gt;&lt;/record&gt;&lt;/Cite&gt;&lt;/EndNote&gt;</w:instrText>
      </w:r>
      <w:r w:rsidRPr="00AF0E0B">
        <w:rPr>
          <w:rFonts w:eastAsia="Arial Unicode MS" w:cs="Arial Unicode MS"/>
          <w:color w:val="000000"/>
          <w:u w:color="000000"/>
          <w:bdr w:val="nil"/>
          <w:lang w:val="en-US" w:eastAsia="en-GB"/>
        </w:rPr>
        <w:fldChar w:fldCharType="separate"/>
      </w:r>
      <w:r w:rsidRPr="00AF0E0B">
        <w:rPr>
          <w:rFonts w:eastAsia="Arial Unicode MS" w:cs="Arial Unicode MS"/>
          <w:color w:val="000000"/>
          <w:u w:color="000000"/>
          <w:bdr w:val="nil"/>
          <w:lang w:val="en-US" w:eastAsia="en-GB"/>
        </w:rPr>
        <w:t>(Owen et al., 2008)</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t xml:space="preserve">. Owen </w:t>
      </w:r>
      <w:r w:rsidR="0031237D">
        <w:rPr>
          <w:rFonts w:eastAsia="Arial Unicode MS" w:cs="Arial Unicode MS"/>
          <w:color w:val="000000"/>
          <w:u w:color="000000"/>
          <w:bdr w:val="nil"/>
          <w:lang w:val="en-US" w:eastAsia="en-GB"/>
        </w:rPr>
        <w:t xml:space="preserve">and colleagues </w:t>
      </w:r>
      <w:r w:rsidRPr="00AF0E0B">
        <w:rPr>
          <w:rFonts w:eastAsia="Arial Unicode MS" w:cs="Arial Unicode MS"/>
          <w:color w:val="000000"/>
          <w:u w:color="000000"/>
          <w:bdr w:val="nil"/>
          <w:lang w:val="en-US" w:eastAsia="en-GB"/>
        </w:rPr>
        <w:t xml:space="preserve">used </w:t>
      </w:r>
      <w:proofErr w:type="spellStart"/>
      <w:r w:rsidRPr="00AF0E0B">
        <w:rPr>
          <w:rFonts w:eastAsia="Arial Unicode MS" w:cs="Arial Unicode MS"/>
          <w:color w:val="000000"/>
          <w:u w:color="000000"/>
          <w:bdr w:val="nil"/>
          <w:lang w:val="en-US" w:eastAsia="en-GB"/>
        </w:rPr>
        <w:t>self reported</w:t>
      </w:r>
      <w:proofErr w:type="spellEnd"/>
      <w:r w:rsidRPr="00AF0E0B">
        <w:rPr>
          <w:rFonts w:eastAsia="Arial Unicode MS" w:cs="Arial Unicode MS"/>
          <w:color w:val="000000"/>
          <w:u w:color="000000"/>
          <w:bdr w:val="nil"/>
          <w:lang w:val="en-US" w:eastAsia="en-GB"/>
        </w:rPr>
        <w:t xml:space="preserve"> measurements of pain to convolve with the cerebral blood flow response</w:t>
      </w:r>
      <w:r w:rsidR="009F58A0">
        <w:rPr>
          <w:rFonts w:eastAsia="Arial Unicode MS" w:cs="Arial Unicode MS"/>
          <w:color w:val="000000"/>
          <w:u w:color="000000"/>
          <w:bdr w:val="nil"/>
          <w:lang w:val="en-US" w:eastAsia="en-GB"/>
        </w:rPr>
        <w:t xml:space="preserve">.  </w:t>
      </w:r>
      <w:r w:rsidRPr="00AF0E0B">
        <w:rPr>
          <w:rFonts w:eastAsia="Arial Unicode MS" w:cs="Arial Unicode MS"/>
          <w:color w:val="000000"/>
          <w:u w:color="000000"/>
          <w:bdr w:val="nil"/>
          <w:lang w:val="en-US" w:eastAsia="en-GB"/>
        </w:rPr>
        <w:t xml:space="preserve"> </w:t>
      </w:r>
      <w:r w:rsidR="009F58A0">
        <w:rPr>
          <w:rFonts w:eastAsia="Arial Unicode MS" w:cs="Arial Unicode MS"/>
          <w:color w:val="000000"/>
          <w:u w:color="000000"/>
          <w:bdr w:val="nil"/>
          <w:lang w:val="en-US" w:eastAsia="en-GB"/>
        </w:rPr>
        <w:t>They reported</w:t>
      </w:r>
      <w:r w:rsidRPr="00AF0E0B">
        <w:rPr>
          <w:rFonts w:eastAsia="Arial Unicode MS" w:cs="Arial Unicode MS"/>
          <w:color w:val="000000"/>
          <w:u w:color="000000"/>
          <w:bdr w:val="nil"/>
          <w:lang w:val="en-US" w:eastAsia="en-GB"/>
        </w:rPr>
        <w:t xml:space="preserve"> an increase in </w:t>
      </w:r>
      <w:r w:rsidR="009F58A0">
        <w:rPr>
          <w:rFonts w:eastAsia="Arial Unicode MS" w:cs="Arial Unicode MS"/>
          <w:color w:val="000000"/>
          <w:u w:color="000000"/>
          <w:bdr w:val="nil"/>
          <w:lang w:val="en-US" w:eastAsia="en-GB"/>
        </w:rPr>
        <w:t xml:space="preserve">cerebral blood </w:t>
      </w:r>
      <w:r w:rsidRPr="00AF0E0B">
        <w:rPr>
          <w:rFonts w:eastAsia="Arial Unicode MS" w:cs="Arial Unicode MS"/>
          <w:color w:val="000000"/>
          <w:u w:color="000000"/>
          <w:bdr w:val="nil"/>
          <w:lang w:val="en-US" w:eastAsia="en-GB"/>
        </w:rPr>
        <w:t xml:space="preserve">flow, when pain perception was at its height, in the insula, the somatosensory cortex, the cingulate cortex, the supplementary motor area and the ipsilateral thalamus in healthy volunteers. </w:t>
      </w:r>
    </w:p>
    <w:p w14:paraId="0F7BCDF6" w14:textId="3D3610EC"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proofErr w:type="spellStart"/>
      <w:r w:rsidRPr="00AF0E0B">
        <w:rPr>
          <w:rFonts w:eastAsia="Arial Unicode MS" w:cs="Arial Unicode MS"/>
          <w:color w:val="000000"/>
          <w:u w:color="000000"/>
          <w:bdr w:val="nil"/>
          <w:lang w:val="en-US" w:eastAsia="en-GB"/>
        </w:rPr>
        <w:t>Segerdahl</w:t>
      </w:r>
      <w:proofErr w:type="spellEnd"/>
      <w:r w:rsidRPr="00AF0E0B">
        <w:rPr>
          <w:rFonts w:eastAsia="Arial Unicode MS" w:cs="Arial Unicode MS"/>
          <w:color w:val="000000"/>
          <w:u w:color="000000"/>
          <w:bdr w:val="nil"/>
          <w:lang w:val="en-US" w:eastAsia="en-GB"/>
        </w:rPr>
        <w:t xml:space="preserve"> used a</w:t>
      </w:r>
      <w:r w:rsidR="00A014BE">
        <w:rPr>
          <w:rFonts w:eastAsia="Arial Unicode MS" w:cs="Arial Unicode MS"/>
          <w:color w:val="000000"/>
          <w:u w:color="000000"/>
          <w:bdr w:val="nil"/>
          <w:lang w:val="en-US" w:eastAsia="en-GB"/>
        </w:rPr>
        <w:t xml:space="preserve">n </w:t>
      </w:r>
      <w:r w:rsidRPr="00AF0E0B">
        <w:rPr>
          <w:rFonts w:eastAsia="Arial Unicode MS" w:cs="Arial Unicode MS"/>
          <w:color w:val="000000"/>
          <w:u w:color="000000"/>
          <w:bdr w:val="nil"/>
          <w:lang w:val="en-US" w:eastAsia="en-GB"/>
        </w:rPr>
        <w:t xml:space="preserve">ASL sequence in a single subject with erythromelalgia, (an inherited mutation of </w:t>
      </w:r>
      <w:proofErr w:type="spellStart"/>
      <w:r w:rsidRPr="00AF0E0B">
        <w:rPr>
          <w:rFonts w:eastAsia="Arial Unicode MS" w:cs="Arial Unicode MS"/>
          <w:color w:val="000000"/>
          <w:u w:color="000000"/>
          <w:bdr w:val="nil"/>
          <w:lang w:val="en-US" w:eastAsia="en-GB"/>
        </w:rPr>
        <w:t>Na</w:t>
      </w:r>
      <w:r w:rsidRPr="009F58A0">
        <w:rPr>
          <w:rFonts w:eastAsia="Arial Unicode MS" w:cs="Arial Unicode MS"/>
          <w:color w:val="000000"/>
          <w:sz w:val="18"/>
          <w:szCs w:val="18"/>
          <w:u w:color="000000"/>
          <w:bdr w:val="nil"/>
          <w:vertAlign w:val="subscript"/>
          <w:lang w:val="en-US" w:eastAsia="en-GB"/>
        </w:rPr>
        <w:t>V</w:t>
      </w:r>
      <w:proofErr w:type="spellEnd"/>
      <w:r w:rsidRPr="00AF0E0B">
        <w:rPr>
          <w:rFonts w:eastAsia="Arial Unicode MS" w:cs="Arial Unicode MS"/>
          <w:color w:val="000000"/>
          <w:sz w:val="18"/>
          <w:szCs w:val="18"/>
          <w:u w:color="000000"/>
          <w:bdr w:val="nil"/>
          <w:lang w:val="en-US" w:eastAsia="en-GB"/>
        </w:rPr>
        <w:t xml:space="preserve"> </w:t>
      </w:r>
      <w:r w:rsidRPr="00AF0E0B">
        <w:rPr>
          <w:rFonts w:eastAsia="Arial Unicode MS" w:cs="Arial Unicode MS"/>
          <w:color w:val="000000"/>
          <w:u w:color="000000"/>
          <w:bdr w:val="nil"/>
          <w:lang w:val="en-US" w:eastAsia="en-GB"/>
        </w:rPr>
        <w:t>1.7 channels that causes excessive pain during warm conditions) to</w:t>
      </w:r>
      <w:r w:rsidRPr="00AF0E0B">
        <w:rPr>
          <w:rFonts w:eastAsia="Arial Unicode MS" w:cs="Arial Unicode MS"/>
          <w:color w:val="000000"/>
          <w:sz w:val="26"/>
          <w:szCs w:val="26"/>
          <w:u w:color="000000"/>
          <w:bdr w:val="nil"/>
          <w:lang w:val="en-US" w:eastAsia="en-GB"/>
        </w:rPr>
        <w:t xml:space="preserve"> </w:t>
      </w:r>
      <w:r w:rsidRPr="00AF0E0B">
        <w:rPr>
          <w:rFonts w:eastAsia="Arial Unicode MS" w:cs="Arial Unicode MS"/>
          <w:color w:val="000000"/>
          <w:u w:color="000000"/>
          <w:bdr w:val="nil"/>
          <w:lang w:val="en-US" w:eastAsia="en-GB"/>
        </w:rPr>
        <w:t xml:space="preserve">examine perfusion changes during neuropathic pain provocation and relief of neuropathic pain </w:t>
      </w:r>
      <w:r w:rsidRPr="00AF0E0B">
        <w:rPr>
          <w:rFonts w:eastAsia="Arial Unicode MS" w:cs="Arial Unicode MS"/>
          <w:color w:val="000000"/>
          <w:u w:color="000000"/>
          <w:bdr w:val="nil"/>
          <w:lang w:val="en-US" w:eastAsia="en-GB"/>
        </w:rPr>
        <w:fldChar w:fldCharType="begin"/>
      </w:r>
      <w:r w:rsidRPr="00AF0E0B">
        <w:rPr>
          <w:rFonts w:eastAsia="Arial Unicode MS" w:cs="Arial Unicode MS"/>
          <w:color w:val="000000"/>
          <w:u w:color="000000"/>
          <w:bdr w:val="nil"/>
          <w:lang w:val="en-US" w:eastAsia="en-GB"/>
        </w:rPr>
        <w:instrText xml:space="preserve"> ADDIN EN.CITE &lt;EndNote&gt;&lt;Cite  &gt;&lt;Author&gt;Segerdahl&lt;/Author&gt;&lt;Year&gt;2012&lt;/Year&gt;&lt;RecNum&gt;315&lt;/RecNum&gt;&lt;DisplayText&gt;(Segerdahl et al., 2012)&lt;/DisplayText&gt;&lt;record&gt;&lt;dates&gt;&lt;pub-dates&gt;&lt;date&gt;May&lt;/date&gt;&lt;/pub-dates&gt;&lt;year&gt;2012&lt;/year&gt;&lt;/dates&gt;&lt;urls&gt;&lt;related-urls&gt;&lt;url&gt;&amp;lt;Go to ISI&amp;gt;://WOS:000302996200026&lt;/url&gt;&lt;/related-urls&gt;&lt;/urls&gt;&lt;isbn&gt;0304-3959&lt;/isbn&gt;&lt;titles&gt;&lt;title&gt;Imaging the neural correlates of neuropathic pain and pleasurable relief associated with inherited erythromelalgia in a single subject with quantitative arterial spin labelling&lt;/title&gt;&lt;secondary-title&gt;Pain&lt;/secondary-title&gt;&lt;/titles&gt;&lt;pages&gt;1122-1127&lt;/pages&gt;&lt;number&gt;5&lt;/number&gt;&lt;contributors&gt;&lt;authors&gt;&lt;author&gt;Segerdahl, Andrew R.&lt;/author&gt;&lt;author&gt;Xie, Jingyi&lt;/author&gt;&lt;author&gt;Paterson, Kathryn&lt;/author&gt;&lt;author&gt;Ramirez, Juan D.&lt;/author&gt;&lt;author&gt;Tracey, Irene&lt;/author&gt;&lt;author&gt;Bennett, David L. H.&lt;/author&gt;&lt;/authors&gt;&lt;/contributors&gt;&lt;section&gt;1122&lt;/section&gt;&lt;added-date format="utc"&gt;1353511350&lt;/added-date&gt;&lt;ref-type name="Journal Article"&gt;17&lt;/ref-type&gt;&lt;rec-number&gt;315&lt;/rec-number&gt;&lt;last-updated-date format="utc"&gt;1357125104&lt;/last-updated-date&gt;&lt;accession-num&gt;WOS:000302996200026&lt;/accession-num&gt;&lt;electronic-resource-num&gt;10.1016/j.pain.2011.12.012&lt;/electronic-resource-num&gt;&lt;volume&gt;153&lt;/volume&gt;&lt;/record&gt;&lt;/Cite&gt;&lt;/EndNote&gt;</w:instrText>
      </w:r>
      <w:r w:rsidRPr="00AF0E0B">
        <w:rPr>
          <w:rFonts w:eastAsia="Arial Unicode MS" w:cs="Arial Unicode MS"/>
          <w:color w:val="000000"/>
          <w:u w:color="000000"/>
          <w:bdr w:val="nil"/>
          <w:lang w:val="en-US" w:eastAsia="en-GB"/>
        </w:rPr>
        <w:fldChar w:fldCharType="separate"/>
      </w:r>
      <w:r w:rsidRPr="00AF0E0B">
        <w:rPr>
          <w:rFonts w:eastAsia="Arial Unicode MS" w:cs="Arial Unicode MS"/>
          <w:color w:val="000000"/>
          <w:u w:color="000000"/>
          <w:bdr w:val="nil"/>
          <w:lang w:val="en-US" w:eastAsia="en-GB"/>
        </w:rPr>
        <w:t>(Segerdahl et al., 2012)</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t xml:space="preserve">.  Pain was invoked using a pad over the lower limbs with warm water flowing through it for 5-minute blocks of time.  The subject’s legs were then cooled and when the pain had resolved, and the subject felt pleasurable relief, the subject was rescanned.  The design of this study, uniquely tailored to this rare condition in which pain could be predictably provoked and relieved, used a prolonged data capture period to try and gather enough data to provide a </w:t>
      </w:r>
      <w:proofErr w:type="spellStart"/>
      <w:r w:rsidRPr="00AF0E0B">
        <w:rPr>
          <w:rFonts w:eastAsia="Arial Unicode MS" w:cs="Arial Unicode MS"/>
          <w:color w:val="000000"/>
          <w:u w:color="000000"/>
          <w:bdr w:val="nil"/>
          <w:lang w:val="en-US" w:eastAsia="en-GB"/>
        </w:rPr>
        <w:t>favourable</w:t>
      </w:r>
      <w:proofErr w:type="spellEnd"/>
      <w:r w:rsidRPr="00AF0E0B">
        <w:rPr>
          <w:rFonts w:eastAsia="Arial Unicode MS" w:cs="Arial Unicode MS"/>
          <w:color w:val="000000"/>
          <w:u w:color="000000"/>
          <w:bdr w:val="nil"/>
          <w:lang w:val="en-US" w:eastAsia="en-GB"/>
        </w:rPr>
        <w:t xml:space="preserve"> signal to noise ratio. </w:t>
      </w:r>
      <w:proofErr w:type="spellStart"/>
      <w:r w:rsidRPr="00AF0E0B">
        <w:rPr>
          <w:rFonts w:eastAsia="Arial Unicode MS" w:cs="Arial Unicode MS"/>
          <w:color w:val="000000"/>
          <w:u w:color="000000"/>
          <w:bdr w:val="nil"/>
          <w:lang w:val="en-US" w:eastAsia="en-GB"/>
        </w:rPr>
        <w:t>Segerdahl</w:t>
      </w:r>
      <w:proofErr w:type="spellEnd"/>
      <w:r w:rsidRPr="00AF0E0B">
        <w:rPr>
          <w:rFonts w:eastAsia="Arial Unicode MS" w:cs="Arial Unicode MS"/>
          <w:color w:val="000000"/>
          <w:u w:color="000000"/>
          <w:bdr w:val="nil"/>
          <w:lang w:val="en-US" w:eastAsia="en-GB"/>
        </w:rPr>
        <w:t xml:space="preserve"> et al. (2012) found increased perfusion bilaterally in the thalamus, the inferior frontal gyrus, the cingulate gyrus, the right putamen, the right caudate and the left anterior insula during the pain condition.  These areas have all been described as being activated in pain conditions using BOLD fMRI studies </w:t>
      </w:r>
      <w:r w:rsidRPr="00AF0E0B">
        <w:rPr>
          <w:rFonts w:eastAsia="Arial Unicode MS" w:cs="Arial Unicode MS"/>
          <w:color w:val="000000"/>
          <w:u w:color="000000"/>
          <w:bdr w:val="nil"/>
          <w:lang w:val="en-US" w:eastAsia="en-GB"/>
        </w:rPr>
        <w:fldChar w:fldCharType="begin"/>
      </w:r>
      <w:r w:rsidRPr="00AF0E0B">
        <w:rPr>
          <w:rFonts w:eastAsia="Arial Unicode MS" w:cs="Arial Unicode MS"/>
          <w:color w:val="000000"/>
          <w:u w:color="000000"/>
          <w:bdr w:val="nil"/>
          <w:lang w:val="en-US" w:eastAsia="en-GB"/>
        </w:rPr>
        <w:instrText xml:space="preserve"> ADDIN EN.CITE &lt;EndNote&gt;&lt;Cite  &gt;&lt;Author&gt;Casey&lt;/Author&gt;&lt;Year&gt;1994&lt;/Year&gt;&lt;RecNum&gt;569&lt;/RecNum&gt;&lt;DisplayText&gt;(Casey et al., 1994, Davis et al., 1998, Duerden and Albanese, 2013)&lt;/DisplayText&gt;&lt;record&gt;&lt;dates&gt;&lt;pub-dates&gt;&lt;date&gt;Feb&lt;/date&gt;&lt;/pub-dates&gt;&lt;year&gt;1994&lt;/year&gt;&lt;/dates&gt;&lt;urls&gt;&lt;related-urls&gt;&lt;url&gt;&amp;lt;Go to ISI&amp;gt;://WOS:A1994MX05400029&lt;/url&gt;&lt;/related-urls&gt;&lt;/urls&gt;&lt;isbn&gt;0022-3077&lt;/isbn&gt;&lt;titles&gt;&lt;title&gt;POSITRON EMISSION TOMOGRAPHIC ANALYSIS OF CEREBRAL STRUCTURES ACTIVATED SPECIFICALLY BY REPETITIVE NOXIOUS HEAT STIMULI&lt;/title&gt;&lt;secondary-title&gt;Journal of Neurophysiology&lt;/secondary-title&gt;&lt;/titles&gt;&lt;pages&gt;802-807&lt;/pages&gt;&lt;number&gt;2&lt;/number&gt;&lt;contributors&gt;&lt;authors&gt;&lt;author&gt;Casey, K. L.&lt;/author&gt;&lt;author&gt;Minoshima, S.&lt;/author&gt;&lt;author&gt;Berger, K. L.&lt;/author&gt;&lt;author&gt;Koeppe, R. A.&lt;/author&gt;&lt;author&gt;Morrow, T. J.&lt;/author&gt;&lt;author&gt;Frey, K. A.&lt;/author&gt;&lt;/authors&gt;&lt;/contributors&gt;&lt;section&gt;802&lt;/section&gt;&lt;added-date format="utc"&gt;1357125354&lt;/added-date&gt;&lt;ref-type name="Journal Article"&gt;17&lt;/ref-type&gt;&lt;rec-number&gt;569&lt;/rec-number&gt;&lt;last-updated-date format="utc"&gt;1357126262&lt;/last-updated-date&gt;&lt;accession-num&gt;WOS:A1994MX05400029&lt;/accession-num&gt;&lt;volume&gt;71&lt;/volume&gt;&lt;/record&gt;&lt;/Cite&gt;&lt;Cite  &gt;&lt;Author&gt;Davis&lt;/Author&gt;&lt;Year&gt;1998&lt;/Year&gt;&lt;RecNum&gt;504&lt;/RecNum&gt;&lt;record&gt;&lt;dates&gt;&lt;pub-dates&gt;&lt;date&gt;Sep&lt;/date&gt;&lt;/pub-dates&gt;&lt;year&gt;1998&lt;/year&gt;&lt;/dates&gt;&lt;isbn&gt;0022-3077&lt;/isbn&gt;&lt;titles&gt;&lt;title&gt;Functional MRI study of thalamic and cortical activations evoked by cutaneous heat, cold, and tactile stimuli&lt;/title&gt;&lt;secondary-title&gt;Journal of Neurophysiology&lt;/secondary-title&gt;&lt;/titles&gt;&lt;pages&gt;1533-1546&lt;/pages&gt;&lt;number&gt;3&lt;/number&gt;&lt;contributors&gt;&lt;authors&gt;&lt;author&gt;Davis, K. D.&lt;/author&gt;&lt;author&gt;Kwan, C. L.&lt;/author&gt;&lt;author&gt;Crawley, A. P.&lt;/author&gt;&lt;author&gt;Mikulis, D. J.&lt;/author&gt;&lt;/authors&gt;&lt;/contributors&gt;&lt;added-date format="utc"&gt;1356700828&lt;/added-date&gt;&lt;ref-type name="Journal Article"&gt;17&lt;/ref-type&gt;&lt;rec-number&gt;504&lt;/rec-number&gt;&lt;last-updated-date format="utc"&gt;1479817558&lt;/last-updated-date&gt;&lt;accession-num&gt;WOS:000076233500040&lt;/accession-num&gt;&lt;volume&gt;80&lt;/volume&gt;&lt;/record&gt;&lt;/Cite&gt;&lt;Cite  &gt;&lt;Author&gt;Duerden&lt;/Author&gt;&lt;Year&gt;2013&lt;/Year&gt;&lt;RecNum&gt;696&lt;/RecNum&gt;&lt;record&gt;&lt;dates&gt;&lt;pub-dates&gt;&lt;date&gt;Jan&lt;/date&gt;&lt;/pub-dates&gt;&lt;year&gt;2013&lt;/year&gt;&lt;/dates&gt;&lt;keywords&gt;&lt;keyword&gt;pain&lt;/keyword&gt;&lt;keyword&gt;fMRI&lt;/keyword&gt;&lt;keyword&gt;PET&lt;/keyword&gt;&lt;keyword&gt;brain&lt;/keyword&gt;&lt;keyword&gt;human&lt;/keyword&gt;&lt;keyword&gt;POSITRON-EMISSION-TOMOGRAPHY&lt;/keyword&gt;&lt;keyword&gt;ANTERIOR CINGULATE CORTEX&lt;/keyword&gt;&lt;keyword&gt;PRIMARY&lt;/keyword&gt;&lt;keyword&gt;SOMATOSENSORY CORTEX&lt;/keyword&gt;&lt;keyword&gt;SINGLE-TRIAL FMRI&lt;/keyword&gt;&lt;keyword&gt;NOXIOUS THERMAL-STIMULATION&lt;/keyword&gt;&lt;keyword&gt;CEREBRAL-BLOOD-FLOW&lt;/keyword&gt;&lt;keyword&gt;FALSE DISCOVERY RATE&lt;/keyword&gt;&lt;keyword&gt;FUNCTIONAL MRI&lt;/keyword&gt;&lt;keyword&gt;MUSCLE PAIN&lt;/keyword&gt;&lt;keyword&gt;INSULAR CORTEX&lt;/keyword&gt;&lt;/keywords&gt;&lt;isbn&gt;1065-9471&lt;/isbn&gt;&lt;work-type&gt;Review&lt;/work-type&gt;&lt;titles&gt;&lt;title&gt;Localization of pain-related brain activation: A meta-analysis of neuroimaging data&lt;/title&gt;&lt;secondary-title&gt;Human Brain Mapping&lt;/secondary-title&gt;&lt;alt-title&gt;Hum. Brain Mapp.&lt;/alt-title&gt;&lt;/titles&gt;&lt;pages&gt;109-149&lt;/pages&gt;&lt;number&gt;1&lt;/number&gt;&lt;contributors&gt;&lt;authors&gt;&lt;author&gt;Duerden, E. G.&lt;/author&gt;&lt;author&gt;Albanese, M. C.&lt;/author&gt;&lt;/authors&gt;&lt;/contributors&gt;&lt;language&gt;English&lt;/language&gt;&lt;added-date format="utc"&gt;1358423763&lt;/added-date&gt;&lt;ref-type name="Journal Article"&gt;17&lt;/ref-type&gt;&lt;auth-address&gt;[Duerden, Emma G.] Univ Montreal, Dept Physiol, Grp Rech Syst Nerveux Cent, Montreal, PQ H3C 3J7, Canada. [Duerden, Emma G.] Inst Univ Geriat Montreal, Ctr Rech, Montreal, PQ, Canada. [Albanese, Marie-Claire] McGill Univ, Dept Psychol, Montreal, PQ, Canada.&amp;#13;Duerden, EG (reprint author), Hosp Sick Children, Dept Diagnost Imaging, 555 Univ Ave, Toronto, ON M5G 1Z8, Canada.&amp;#13;emma.duerden@sickkids.ca&lt;/auth-address&gt;&lt;rec-number&gt;696&lt;/rec-number&gt;&lt;last-updated-date format="utc"&gt;1479817885&lt;/last-updated-date&gt;&lt;accession-num&gt;WOS:000312538200008&lt;/accession-num&gt;&lt;electronic-resource-num&gt;10.1002/hbm.21416&lt;/electronic-resource-num&gt;&lt;volume&gt;34&lt;/volume&gt;&lt;/record&gt;&lt;/Cite&gt;&lt;/EndNote&gt;</w:instrText>
      </w:r>
      <w:r w:rsidRPr="00AF0E0B">
        <w:rPr>
          <w:rFonts w:eastAsia="Arial Unicode MS" w:cs="Arial Unicode MS"/>
          <w:color w:val="000000"/>
          <w:u w:color="000000"/>
          <w:bdr w:val="nil"/>
          <w:lang w:val="en-US" w:eastAsia="en-GB"/>
        </w:rPr>
        <w:fldChar w:fldCharType="separate"/>
      </w:r>
      <w:r w:rsidRPr="00AF0E0B">
        <w:rPr>
          <w:rFonts w:eastAsia="Arial Unicode MS" w:cs="Arial Unicode MS"/>
          <w:color w:val="000000"/>
          <w:u w:color="000000"/>
          <w:bdr w:val="nil"/>
          <w:lang w:val="en-US" w:eastAsia="en-GB"/>
        </w:rPr>
        <w:t>(Casey et al., 1994, Davis et al., 1998, Duerden and Albanese, 2013)</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t xml:space="preserve">.  </w:t>
      </w:r>
    </w:p>
    <w:p w14:paraId="1B990AF8" w14:textId="77777777"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eastAsia="Arial Unicode MS" w:cs="Arial Unicode MS"/>
          <w:color w:val="000000"/>
          <w:u w:color="000000"/>
          <w:bdr w:val="nil"/>
          <w:lang w:val="en-US" w:eastAsia="en-GB"/>
        </w:rPr>
        <w:t xml:space="preserve">These studies suggest that cerebral perfusion is an important determinant in the perception of pain. Characteristics of activation and deactivation as well as location may indicate a difference between pain and baseline conditions in healthy subjects and those with P-DPN.  </w:t>
      </w:r>
    </w:p>
    <w:p w14:paraId="59469333" w14:textId="77777777" w:rsidR="00AF0E0B" w:rsidRPr="00AF0E0B" w:rsidRDefault="00AF0E0B" w:rsidP="000029C3">
      <w:pPr>
        <w:pStyle w:val="Heading3"/>
      </w:pPr>
      <w:bookmarkStart w:id="71" w:name="_Toc49972694"/>
      <w:bookmarkStart w:id="72" w:name="_Toc64723880"/>
      <w:r w:rsidRPr="00AF0E0B">
        <w:t>Blood Oxygen level Dependent (BOLD) functional Magnetic Resonance Imaging</w:t>
      </w:r>
      <w:bookmarkEnd w:id="71"/>
      <w:bookmarkEnd w:id="72"/>
    </w:p>
    <w:p w14:paraId="5E5BDFDC" w14:textId="77777777"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eastAsia="Arial Unicode MS" w:cs="Arial Unicode MS"/>
          <w:color w:val="000000"/>
          <w:u w:color="000000"/>
          <w:bdr w:val="nil"/>
          <w:lang w:val="en-US" w:eastAsia="en-GB"/>
        </w:rPr>
        <w:t xml:space="preserve">BOLD functional Magnetic Resonance Imaging (fMRI) was developed to examine cerebral perfusion and metabolism.  It exploits the differing paramagnetic properties of oxygenated and deoxygenated blood as an endogenous tracer.  It can measure differences in BOLD signal of brain regions during high frequency events, but when </w:t>
      </w:r>
      <w:r w:rsidRPr="00AF0E0B">
        <w:rPr>
          <w:rFonts w:eastAsia="Arial Unicode MS" w:cs="Arial Unicode MS"/>
          <w:color w:val="000000"/>
          <w:u w:color="000000"/>
          <w:bdr w:val="nil"/>
          <w:lang w:val="en-US" w:eastAsia="en-GB"/>
        </w:rPr>
        <w:lastRenderedPageBreak/>
        <w:t xml:space="preserve">measuring perfusion in more chronic situations, is limited by the so called baseline drift, making it impossible to compare measurement across different sessions or days </w:t>
      </w:r>
      <w:r w:rsidRPr="00AF0E0B">
        <w:rPr>
          <w:rFonts w:eastAsia="Arial Unicode MS" w:cs="Arial Unicode MS"/>
          <w:color w:val="000000"/>
          <w:u w:color="000000"/>
          <w:bdr w:val="nil"/>
          <w:lang w:val="pt-PT" w:eastAsia="en-GB"/>
        </w:rPr>
        <w:fldChar w:fldCharType="begin"/>
      </w:r>
      <w:r w:rsidRPr="00AF0E0B">
        <w:rPr>
          <w:rFonts w:eastAsia="Arial Unicode MS" w:cs="Arial Unicode MS"/>
          <w:color w:val="000000"/>
          <w:u w:color="000000"/>
          <w:bdr w:val="nil"/>
          <w:lang w:val="pt-PT" w:eastAsia="en-GB"/>
        </w:rPr>
        <w:instrText xml:space="preserve"> ADDIN EN.CITE &lt;EndNote&gt;&lt;Cite  &gt;&lt;Author&gt;Aguirre&lt;/Author&gt;&lt;Year&gt;2002&lt;/Year&gt;&lt;RecNum&gt;591&lt;/RecNum&gt;&lt;DisplayText&gt;(Aguirre et al., 2002)&lt;/DisplayText&gt;&lt;record&gt;&lt;dates&gt;&lt;pub-dates&gt;&lt;date&gt;Mar&lt;/date&gt;&lt;/pub-dates&gt;&lt;year&gt;2002&lt;/year&gt;&lt;/dates&gt;&lt;isbn&gt;1053-8119&lt;/isbn&gt;&lt;titles&gt;&lt;title&gt;Experimental design and the relative sensitivity of BOLD and perfusion fMRI&lt;/title&gt;&lt;secondary-title&gt;Neuroimage&lt;/secondary-title&gt;&lt;/titles&gt;&lt;number&gt;3&lt;/number&gt;&lt;contributors&gt;&lt;authors&gt;&lt;author&gt;Aguirre, G. K.&lt;/author&gt;&lt;author&gt;Detre, J. A.&lt;/author&gt;&lt;author&gt;Zarahn, E.&lt;/author&gt;&lt;author&gt;Alsop, D. C.&lt;/author&gt;&lt;/authors&gt;&lt;/contributors&gt;&lt;added-date format="utc"&gt;1357384819&lt;/added-date&gt;&lt;ref-type name="Journal Article"&gt;17&lt;/ref-type&gt;&lt;rec-number&gt;591&lt;/rec-number&gt;&lt;last-updated-date format="utc"&gt;1479815858&lt;/last-updated-date&gt;&lt;accession-num&gt;WOS:000174163900003&lt;/accession-num&gt;&lt;electronic-resource-num&gt;10.1006/nimg.2001.0990&lt;/electronic-resource-num&gt;&lt;volume&gt;15&lt;/volume&gt;&lt;/record&gt;&lt;/Cite&gt;&lt;/EndNote&gt;</w:instrText>
      </w:r>
      <w:r w:rsidRPr="00AF0E0B">
        <w:rPr>
          <w:rFonts w:eastAsia="Arial Unicode MS" w:cs="Arial Unicode MS"/>
          <w:color w:val="000000"/>
          <w:u w:color="000000"/>
          <w:bdr w:val="nil"/>
          <w:lang w:val="pt-PT" w:eastAsia="en-GB"/>
        </w:rPr>
        <w:fldChar w:fldCharType="separate"/>
      </w:r>
      <w:r w:rsidRPr="00AF0E0B">
        <w:rPr>
          <w:rFonts w:eastAsia="Arial Unicode MS" w:cs="Arial Unicode MS"/>
          <w:color w:val="000000"/>
          <w:u w:color="000000"/>
          <w:bdr w:val="nil"/>
          <w:lang w:val="pt-PT" w:eastAsia="en-GB"/>
        </w:rPr>
        <w:t>(Aguirre et al., 2002)</w:t>
      </w:r>
      <w:r w:rsidRPr="00AF0E0B">
        <w:rPr>
          <w:rFonts w:eastAsia="Arial Unicode MS" w:cs="Arial Unicode MS"/>
          <w:color w:val="000000"/>
          <w:u w:color="000000"/>
          <w:bdr w:val="nil"/>
          <w:lang w:val="pt-PT" w:eastAsia="en-GB"/>
        </w:rPr>
        <w:fldChar w:fldCharType="end"/>
      </w:r>
      <w:r w:rsidRPr="00AF0E0B">
        <w:rPr>
          <w:rFonts w:eastAsia="Arial Unicode MS" w:cs="Arial Unicode MS"/>
          <w:color w:val="000000"/>
          <w:u w:color="000000"/>
          <w:bdr w:val="nil"/>
          <w:lang w:val="en-US" w:eastAsia="en-GB"/>
        </w:rPr>
        <w:t xml:space="preserve">.  This makes it ideal to use for examining acute pain conditions but more difficult for imaging studies in chronic pain models, when DSC or ASL might be more helpful </w:t>
      </w:r>
      <w:r w:rsidRPr="00AF0E0B">
        <w:rPr>
          <w:rFonts w:eastAsia="Arial Unicode MS" w:cs="Arial Unicode MS"/>
          <w:color w:val="000000"/>
          <w:u w:color="000000"/>
          <w:bdr w:val="nil"/>
          <w:lang w:val="en-US" w:eastAsia="en-GB"/>
        </w:rPr>
        <w:fldChar w:fldCharType="begin"/>
      </w:r>
      <w:r w:rsidRPr="00AF0E0B">
        <w:rPr>
          <w:rFonts w:eastAsia="Arial Unicode MS" w:cs="Arial Unicode MS"/>
          <w:color w:val="000000"/>
          <w:u w:color="000000"/>
          <w:bdr w:val="nil"/>
          <w:lang w:val="en-US" w:eastAsia="en-GB"/>
        </w:rPr>
        <w:instrText xml:space="preserve"> ADDIN EN.CITE &lt;EndNote&gt;&lt;Cite  &gt;&lt;Author&gt;Tracey&lt;/Author&gt;&lt;Year&gt;2010&lt;/Year&gt;&lt;RecNum&gt;316&lt;/RecNum&gt;&lt;DisplayText&gt;(Tracey and Johns, 2010)&lt;/DisplayText&gt;&lt;record&gt;&lt;dates&gt;&lt;pub-dates&gt;&lt;date&gt;Mar&lt;/date&gt;&lt;/pub-dates&gt;&lt;year&gt;2010&lt;/year&gt;&lt;/dates&gt;&lt;urls&gt;&lt;related-urls&gt;&lt;url&gt;&amp;lt;Go to ISI&amp;gt;://WOS:000274550400003&lt;/url&gt;&lt;/related-urls&gt;&lt;/urls&gt;&lt;isbn&gt;0304-3959&lt;/isbn&gt;&lt;titles&gt;&lt;title&gt;The pain matrix: Reloaded or reborn as we image tonic pain using arterial spin labelling&lt;/title&gt;&lt;secondary-title&gt;Pain&lt;/secondary-title&gt;&lt;/titles&gt;&lt;number&gt;3&lt;/number&gt;&lt;contributors&gt;&lt;authors&gt;&lt;author&gt;Tracey, Irene&lt;/author&gt;&lt;author&gt;Johns, Emily&lt;/author&gt;&lt;/authors&gt;&lt;/contributors&gt;&lt;added-date format="utc"&gt;1353511350&lt;/added-date&gt;&lt;ref-type name="Journal Article"&gt;17&lt;/ref-type&gt;&lt;rec-number&gt;316&lt;/rec-number&gt;&lt;last-updated-date format="utc"&gt;1354885362&lt;/last-updated-date&gt;&lt;accession-num&gt;WOS:000274550400003&lt;/accession-num&gt;&lt;electronic-resource-num&gt;10.1016/j.pain.2009.11.009&lt;/electronic-resource-num&gt;&lt;volume&gt;148&lt;/volume&gt;&lt;/record&gt;&lt;/Cite&gt;&lt;/EndNote&gt;</w:instrText>
      </w:r>
      <w:r w:rsidRPr="00AF0E0B">
        <w:rPr>
          <w:rFonts w:eastAsia="Arial Unicode MS" w:cs="Arial Unicode MS"/>
          <w:color w:val="000000"/>
          <w:u w:color="000000"/>
          <w:bdr w:val="nil"/>
          <w:lang w:val="en-US" w:eastAsia="en-GB"/>
        </w:rPr>
        <w:fldChar w:fldCharType="separate"/>
      </w:r>
      <w:r w:rsidRPr="00AF0E0B">
        <w:rPr>
          <w:rFonts w:eastAsia="Arial Unicode MS" w:cs="Arial Unicode MS"/>
          <w:color w:val="000000"/>
          <w:u w:color="000000"/>
          <w:bdr w:val="nil"/>
          <w:lang w:val="en-US" w:eastAsia="en-GB"/>
        </w:rPr>
        <w:t>(Tracey and Johns, 2010)</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t>.</w:t>
      </w:r>
    </w:p>
    <w:p w14:paraId="05A7DE95" w14:textId="02FFD19B"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eastAsia="Arial Unicode MS" w:cs="Arial Unicode MS"/>
          <w:color w:val="000000"/>
          <w:u w:color="000000"/>
          <w:bdr w:val="nil"/>
          <w:lang w:val="en-US" w:eastAsia="en-GB"/>
        </w:rPr>
        <w:t>Studies of BOLD fMRI in diabetic neuropathic pain have</w:t>
      </w:r>
      <w:r w:rsidRPr="00AF0E0B">
        <w:rPr>
          <w:rFonts w:eastAsia="Arial Unicode MS" w:cs="Arial Unicode MS"/>
          <w:color w:val="3F3838"/>
          <w:u w:color="3F3838"/>
          <w:bdr w:val="nil"/>
          <w:lang w:val="en-US" w:eastAsia="en-GB"/>
        </w:rPr>
        <w:t xml:space="preserve"> </w:t>
      </w:r>
      <w:r w:rsidRPr="00AF0E0B">
        <w:rPr>
          <w:rFonts w:eastAsia="Arial Unicode MS" w:cs="Arial Unicode MS"/>
          <w:color w:val="000000"/>
          <w:u w:color="000000"/>
          <w:bdr w:val="nil"/>
          <w:lang w:val="en-US" w:eastAsia="en-GB"/>
        </w:rPr>
        <w:t>included</w:t>
      </w:r>
      <w:r w:rsidRPr="00AF0E0B">
        <w:rPr>
          <w:rFonts w:eastAsia="Arial Unicode MS" w:cs="Arial Unicode MS"/>
          <w:color w:val="3F3838"/>
          <w:u w:color="3F3838"/>
          <w:bdr w:val="nil"/>
          <w:lang w:val="en-US" w:eastAsia="en-GB"/>
        </w:rPr>
        <w:t xml:space="preserve"> </w:t>
      </w:r>
      <w:proofErr w:type="spellStart"/>
      <w:r w:rsidRPr="00AF0E0B">
        <w:rPr>
          <w:rFonts w:eastAsia="Arial Unicode MS" w:cs="Arial Unicode MS"/>
          <w:color w:val="000000"/>
          <w:u w:color="000000"/>
          <w:bdr w:val="nil"/>
          <w:lang w:val="en-US" w:eastAsia="en-GB"/>
        </w:rPr>
        <w:t>characteri</w:t>
      </w:r>
      <w:r w:rsidR="00B65763">
        <w:rPr>
          <w:rFonts w:eastAsia="Arial Unicode MS" w:cs="Arial Unicode MS"/>
          <w:color w:val="000000"/>
          <w:u w:color="000000"/>
          <w:bdr w:val="nil"/>
          <w:lang w:val="en-US" w:eastAsia="en-GB"/>
        </w:rPr>
        <w:t>s</w:t>
      </w:r>
      <w:r w:rsidRPr="00AF0E0B">
        <w:rPr>
          <w:rFonts w:eastAsia="Arial Unicode MS" w:cs="Arial Unicode MS"/>
          <w:color w:val="000000"/>
          <w:u w:color="000000"/>
          <w:bdr w:val="nil"/>
          <w:lang w:val="en-US" w:eastAsia="en-GB"/>
        </w:rPr>
        <w:t>ation</w:t>
      </w:r>
      <w:proofErr w:type="spellEnd"/>
      <w:r w:rsidRPr="00AF0E0B">
        <w:rPr>
          <w:rFonts w:eastAsia="Arial Unicode MS" w:cs="Arial Unicode MS"/>
          <w:color w:val="000000"/>
          <w:u w:color="000000"/>
          <w:bdr w:val="nil"/>
          <w:lang w:val="en-US" w:eastAsia="en-GB"/>
        </w:rPr>
        <w:t xml:space="preserve"> of the BOLD response during pain.  </w:t>
      </w:r>
      <w:proofErr w:type="spellStart"/>
      <w:r w:rsidRPr="00AF0E0B">
        <w:rPr>
          <w:rFonts w:eastAsia="Arial Unicode MS" w:cs="Arial Unicode MS"/>
          <w:color w:val="000000"/>
          <w:u w:color="000000"/>
          <w:bdr w:val="nil"/>
          <w:lang w:val="en-US" w:eastAsia="en-GB"/>
        </w:rPr>
        <w:t>Selvarajah</w:t>
      </w:r>
      <w:proofErr w:type="spellEnd"/>
      <w:r w:rsidRPr="00AF0E0B">
        <w:rPr>
          <w:rFonts w:eastAsia="Arial Unicode MS" w:cs="Arial Unicode MS"/>
          <w:color w:val="000000"/>
          <w:u w:color="000000"/>
          <w:bdr w:val="nil"/>
          <w:lang w:val="en-US" w:eastAsia="en-GB"/>
        </w:rPr>
        <w:t xml:space="preserve"> et al. found an increase in BOLD response in subjects with DM-NN (n=4) compared to HV (n=4), DPN (n=4) and P-DPN (n=4) using a thermal pain condition </w:t>
      </w:r>
      <w:r w:rsidRPr="00AF0E0B">
        <w:rPr>
          <w:rFonts w:eastAsia="Arial Unicode MS" w:cs="Arial Unicode MS"/>
          <w:color w:val="000000"/>
          <w:u w:color="000000"/>
          <w:bdr w:val="nil"/>
          <w:lang w:val="en-US" w:eastAsia="en-GB"/>
        </w:rPr>
        <w:fldChar w:fldCharType="begin"/>
      </w:r>
      <w:r w:rsidRPr="00AF0E0B">
        <w:rPr>
          <w:rFonts w:eastAsia="Arial Unicode MS" w:cs="Arial Unicode MS"/>
          <w:color w:val="000000"/>
          <w:u w:color="000000"/>
          <w:bdr w:val="nil"/>
          <w:lang w:val="en-US" w:eastAsia="en-GB"/>
        </w:rPr>
        <w:instrText xml:space="preserve"> ADDIN EN.CITE &lt;EndNote&gt;&lt;Cite  &gt;&lt;Author&gt;Selvarajah&lt;/Author&gt;&lt;Year&gt;2007&lt;/Year&gt;&lt;RecNum&gt;480&lt;/RecNum&gt;&lt;DisplayText&gt;(Selvarajah et al., 2007)&lt;/DisplayText&gt;&lt;record&gt;&lt;dates&gt;&lt;pub-dates&gt;&lt;date&gt;Sep&lt;/date&gt;&lt;/pub-dates&gt;&lt;year&gt;2007&lt;/year&gt;&lt;/dates&gt;&lt;urls&gt;&lt;related-urls&gt;&lt;url&gt;&amp;lt;Go to ISI&amp;gt;://WOS:000249395601089&lt;/url&gt;&lt;/related-urls&gt;&lt;/urls&gt;&lt;isbn&gt;0012-186X&lt;/isbn&gt;&lt;titles&gt;&lt;title&gt;A functional magnetic resonance imaging study demonstrating alterations in brain responses to acute pain stimulation in diabetic neuropathy&lt;/title&gt;&lt;secondary-title&gt;Diabetologia&lt;/secondary-title&gt;&lt;/titles&gt;&lt;pages&gt;S448-S449&lt;/pages&gt;&lt;contributors&gt;&lt;authors&gt;&lt;author&gt;Selvarajah, D.&lt;/author&gt;&lt;author&gt;Gandhi, R. A.&lt;/author&gt;&lt;author&gt;Hunter, M. D.&lt;/author&gt;&lt;author&gt;Emery, C. J.&lt;/author&gt;&lt;author&gt;Griffiths, P. D.&lt;/author&gt;&lt;author&gt;Tesfaye, S.&lt;/author&gt;&lt;author&gt;Wilkinson, I. D.&lt;/author&gt;&lt;/authors&gt;&lt;/contributors&gt;&lt;added-date format="utc"&gt;1356343044&lt;/added-date&gt;&lt;ref-type name="Journal Article"&gt;17&lt;/ref-type&gt;&lt;rec-number&gt;480&lt;/rec-number&gt;&lt;last-updated-date format="utc"&gt;1356343044&lt;/last-updated-date&gt;&lt;accession-num&gt;WOS:000249395601089&lt;/accession-num&gt;&lt;volume&gt;50&lt;/volume&gt;&lt;/record&gt;&lt;/Cite&gt;&lt;/EndNote&gt;</w:instrText>
      </w:r>
      <w:r w:rsidRPr="00AF0E0B">
        <w:rPr>
          <w:rFonts w:eastAsia="Arial Unicode MS" w:cs="Arial Unicode MS"/>
          <w:color w:val="000000"/>
          <w:u w:color="000000"/>
          <w:bdr w:val="nil"/>
          <w:lang w:val="en-US" w:eastAsia="en-GB"/>
        </w:rPr>
        <w:fldChar w:fldCharType="separate"/>
      </w:r>
      <w:r w:rsidRPr="00AF0E0B">
        <w:rPr>
          <w:rFonts w:eastAsia="Arial Unicode MS" w:cs="Arial Unicode MS"/>
          <w:color w:val="000000"/>
          <w:u w:color="000000"/>
          <w:bdr w:val="nil"/>
          <w:lang w:val="en-US" w:eastAsia="en-GB"/>
        </w:rPr>
        <w:t>(Selvarajah et al., 2007)</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t>.  The DPN and P-DPN groups had less overall BOLD response than the DM-NN group.  Interestingly, the healthy volunteers also had a lesser response than the non-neuropathic diabetes group.  The areas in which pain induced an increase in total cerebral blood flow were the somatosensory cortex, the lateral frontal cortex, and the cerebellum.</w:t>
      </w:r>
    </w:p>
    <w:p w14:paraId="14129D93" w14:textId="77777777"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eastAsia="Arial Unicode MS" w:cs="Arial Unicode MS"/>
          <w:color w:val="000000"/>
          <w:u w:color="000000"/>
          <w:bdr w:val="nil"/>
          <w:lang w:val="en-US" w:eastAsia="en-GB"/>
        </w:rPr>
        <w:t xml:space="preserve"> A study has found that there is an increase in medial thalamic activation </w:t>
      </w:r>
      <w:r w:rsidRPr="00AF0E0B">
        <w:rPr>
          <w:rFonts w:eastAsia="Arial Unicode MS" w:cs="Arial Unicode MS"/>
          <w:color w:val="000000"/>
          <w:u w:color="000000"/>
          <w:bdr w:val="nil"/>
          <w:lang w:val="en-US" w:eastAsia="en-GB"/>
        </w:rPr>
        <w:fldChar w:fldCharType="begin"/>
      </w:r>
      <w:r w:rsidRPr="00AF0E0B">
        <w:rPr>
          <w:rFonts w:eastAsia="Arial Unicode MS" w:cs="Arial Unicode MS"/>
          <w:color w:val="000000"/>
          <w:u w:color="000000"/>
          <w:bdr w:val="nil"/>
          <w:lang w:val="en-US" w:eastAsia="en-GB"/>
        </w:rPr>
        <w:instrText xml:space="preserve"> ADDIN EN.CITE &lt;EndNote&gt;&lt;Cite  &gt;&lt;Author&gt;Tseng&lt;/Author&gt;&lt;Year&gt;2012&lt;/Year&gt;&lt;RecNum&gt;76&lt;/RecNum&gt;&lt;DisplayText&gt;(Tseng et al., 2012)&lt;/DisplayText&gt;&lt;record&gt;&lt;dates&gt;&lt;pub-dates&gt;&lt;date&gt;Apr 21&lt;/date&gt;&lt;/pub-dates&gt;&lt;year&gt;2012&lt;/year&gt;&lt;/dates&gt;&lt;isbn&gt;1097-0193 (Electronic)&amp;#13;1065-9471 (Linking)&lt;/isbn&gt;&lt;titles&gt;&lt;title&gt;fMRI evidence of degeneration-induced neuropathic pain in diabetes: Enhanced limbic and striatal activations&lt;/title&gt;&lt;secondary-title&gt;Hum Brain Mapp&lt;/secondary-title&gt;&lt;alt-title&gt;Human brain mapping&lt;/alt-title&gt;&lt;/titles&gt;&lt;contributors&gt;&lt;authors&gt;&lt;author&gt;Tseng, M. T.&lt;/author&gt;&lt;author&gt;Chiang, M. C.&lt;/author&gt;&lt;author&gt;Chao, C. C.&lt;/author&gt;&lt;author&gt;Tseng, W. Y.&lt;/author&gt;&lt;author&gt;Hsieh, S. T.&lt;/author&gt;&lt;/authors&gt;&lt;/contributors&gt;&lt;edition&gt;2012/04/24&lt;/edition&gt;&lt;language&gt;Eng&lt;/language&gt;&lt;added-date format="utc"&gt;1350035421&lt;/added-date&gt;&lt;ref-type name="Journal Article"&gt;17&lt;/ref-type&gt;&lt;auth-address&gt;Department of Neurology, National Taiwan University Hospital, Taipei, Taiwan&amp;#13;Section of Neurology, Department of Internal Medicine, Far Eastern Memorial Hospital, Taipei, Taiwan.&lt;/auth-address&gt;&lt;remote-database-provider&gt;NLM&lt;/remote-database-provider&gt;&lt;rec-number&gt;76&lt;/rec-number&gt;&lt;last-updated-date format="utc"&gt;1350035421&lt;/last-updated-date&gt;&lt;accession-num&gt;22522975&lt;/accession-num&gt;&lt;electronic-resource-num&gt;10.1002/hbm.22105&lt;/electronic-resource-num&gt;&lt;/record&gt;&lt;/Cite&gt;&lt;/EndNote&gt;</w:instrText>
      </w:r>
      <w:r w:rsidRPr="00AF0E0B">
        <w:rPr>
          <w:rFonts w:eastAsia="Arial Unicode MS" w:cs="Arial Unicode MS"/>
          <w:color w:val="000000"/>
          <w:u w:color="000000"/>
          <w:bdr w:val="nil"/>
          <w:lang w:val="en-US" w:eastAsia="en-GB"/>
        </w:rPr>
        <w:fldChar w:fldCharType="separate"/>
      </w:r>
      <w:r w:rsidRPr="00AF0E0B">
        <w:rPr>
          <w:rFonts w:eastAsia="Arial Unicode MS" w:cs="Arial Unicode MS"/>
          <w:color w:val="000000"/>
          <w:u w:color="000000"/>
          <w:bdr w:val="nil"/>
          <w:lang w:val="en-US" w:eastAsia="en-GB"/>
        </w:rPr>
        <w:t>(Tseng et al., 2012)</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t xml:space="preserve"> as well as activations of the ACC, superior frontal gyrus, anterior insular cortex, lentiform nucleus and premotor areas in P-DPN compared to DPN.  </w:t>
      </w:r>
    </w:p>
    <w:p w14:paraId="2933C0A8" w14:textId="27E74857"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eastAsia="Arial Unicode MS" w:cs="Arial Unicode MS"/>
          <w:color w:val="000000"/>
          <w:u w:color="000000"/>
          <w:bdr w:val="nil"/>
          <w:lang w:val="en-US" w:eastAsia="en-GB"/>
        </w:rPr>
        <w:t xml:space="preserve">Cauda et al. used BOLD fMRI to demonstrate the functional connectivity of the brain in P-DPN </w:t>
      </w:r>
      <w:r w:rsidRPr="00AF0E0B">
        <w:rPr>
          <w:rFonts w:eastAsia="Arial Unicode MS" w:cs="Arial Unicode MS"/>
          <w:color w:val="000000"/>
          <w:u w:color="000000"/>
          <w:bdr w:val="nil"/>
          <w:lang w:val="en-US" w:eastAsia="en-GB"/>
        </w:rPr>
        <w:fldChar w:fldCharType="begin"/>
      </w:r>
      <w:r w:rsidR="009968E0">
        <w:rPr>
          <w:rFonts w:eastAsia="Arial Unicode MS" w:cs="Arial Unicode MS"/>
          <w:color w:val="000000"/>
          <w:u w:color="000000"/>
          <w:bdr w:val="nil"/>
          <w:lang w:val="en-US" w:eastAsia="en-GB"/>
        </w:rPr>
        <w:instrText xml:space="preserve"> ADDIN EN.CITE &lt;EndNote&gt;&lt;Cite&gt;&lt;Author&gt;Cauda&lt;/Author&gt;&lt;Year&gt;2009&lt;/Year&gt;&lt;RecNum&gt;117&lt;/RecNum&gt;&lt;DisplayText&gt;(Cauda et al., 2009a)&lt;/DisplayText&gt;&lt;record&gt;&lt;urls&gt;&lt;related-urls&gt;&lt;url&gt;http://ovidsp.ovid.com/ovidweb.cgi?T=JS&amp;amp;amp;amp;CSC=Y&amp;amp;amp;amp;NEWS=N&amp;amp;amp;amp;PAGE=fulltext&amp;amp;amp;amp;D=medl&amp;amp;amp;amp;AN=19941658&lt;/url&gt;&lt;url&gt;http://resolver.shef.ac.uk/?http://librarylinks.shef.ac.uk:3210/sfxlcl3?sid=OVID:medline&amp;amp;amp;amp;id=pmid:19941658&amp;amp;amp;amp;id=doi:&amp;amp;amp;amp;issn=1471-2202&amp;amp;amp;amp;isbn=&amp;amp;amp;amp;volume=10&amp;amp;amp;amp;issue=&amp;amp;amp;amp;spage=138&amp;amp;amp;amp;pages=138&amp;amp;amp;amp;date=2009&amp;amp;amp;amp;title=BMC+Neuroscience&amp;amp;amp;amp;atitle=Low-frequency+BOLD+fluctuations+demonstrate+altered+thalamocortical+connectivity+in+diabetic+neuropathic+pain.&amp;amp;amp;amp;aulast=Cauda&amp;amp;amp;amp;pid=&amp;amp;amp;lt;author&amp;amp;amp;gt;Cauda+F&lt;/url&gt;&lt;/related-urls&gt;&lt;/urls&gt;&lt;custom2&gt;PMC2789078&lt;/custom2&gt;&lt;work-type&gt;Research Support, Non-U.S. Gov&amp;apos;t&lt;/work-type&gt;&lt;titles&gt;&lt;title&gt;Low-frequency BOLD fluctuations demonstrate altered thalamocortical connectivity in diabetic neuropathic pain&lt;/title&gt;&lt;secondary-title&gt;BMC Neuroscience&lt;/secondary-title&gt;&lt;/titles&gt;&lt;pages&gt;138&lt;/pages&gt;&lt;contributors&gt;&lt;authors&gt;&lt;author&gt;Cauda, F.&lt;/author&gt;&lt;author&gt;Sacco, K.&lt;/author&gt;&lt;author&gt;D&amp;apos;Agata, F.&lt;/author&gt;&lt;author&gt;Duca, S.&lt;/author&gt;&lt;author&gt;Cocito, D.&lt;/author&gt;&lt;author&gt;Geminiani, G.&lt;/author&gt;&lt;author&gt;Migliorati, F.&lt;/author&gt;&lt;author&gt;Isoardo, G.&lt;/author&gt;&lt;/authors&gt;&lt;/contributors&gt;&lt;added-date format="utc"&gt;1351072992&lt;/added-date&gt;&lt;ref-type name="Journal Article"&gt;17&lt;/ref-type&gt;&lt;auth-address&gt;CCS fMRI, Koelliker Hospital, Corso Galileo Ferraris, Turin, Italy. franco.cauda@unito.it&lt;/auth-address&gt;&lt;dates&gt;&lt;year&gt;2009&lt;/year&gt;&lt;/dates&gt;&lt;rec-number&gt;117&lt;/rec-number&gt;&lt;last-updated-date format="utc"&gt;1479816860&lt;/last-updated-date&gt;&lt;accession-num&gt;19941658&lt;/accession-num&gt;&lt;volume&gt;10&lt;/volume&gt;&lt;/record&gt;&lt;/Cite&gt;&lt;/EndNote&gt;</w:instrText>
      </w:r>
      <w:r w:rsidRPr="00AF0E0B">
        <w:rPr>
          <w:rFonts w:eastAsia="Arial Unicode MS" w:cs="Arial Unicode MS"/>
          <w:color w:val="000000"/>
          <w:u w:color="000000"/>
          <w:bdr w:val="nil"/>
          <w:lang w:val="en-US" w:eastAsia="en-GB"/>
        </w:rPr>
        <w:fldChar w:fldCharType="separate"/>
      </w:r>
      <w:r w:rsidR="009968E0">
        <w:rPr>
          <w:rFonts w:eastAsia="Arial Unicode MS" w:cs="Arial Unicode MS"/>
          <w:noProof/>
          <w:color w:val="000000"/>
          <w:u w:color="000000"/>
          <w:bdr w:val="nil"/>
          <w:lang w:val="en-US" w:eastAsia="en-GB"/>
        </w:rPr>
        <w:t>(Cauda et al., 2009a)</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t xml:space="preserve">. They found temporal correlations between the cortical areas and the thalamus, which were reduced in subjects with greater than 2 years of P-DPN.  In further work they examined which regions had reduced connectivity in the brains of subjects with P-DPN and found attentional networks involving the anterior cingulate to be disrupted </w:t>
      </w:r>
      <w:r w:rsidRPr="00AF0E0B">
        <w:rPr>
          <w:rFonts w:eastAsia="Arial Unicode MS" w:cs="Arial Unicode MS"/>
          <w:color w:val="000000"/>
          <w:u w:color="000000"/>
          <w:bdr w:val="nil"/>
          <w:lang w:val="en-US" w:eastAsia="en-GB"/>
        </w:rPr>
        <w:fldChar w:fldCharType="begin"/>
      </w:r>
      <w:r w:rsidRPr="00AF0E0B">
        <w:rPr>
          <w:rFonts w:eastAsia="Arial Unicode MS" w:cs="Arial Unicode MS"/>
          <w:color w:val="000000"/>
          <w:u w:color="000000"/>
          <w:bdr w:val="nil"/>
          <w:lang w:val="en-US" w:eastAsia="en-GB"/>
        </w:rPr>
        <w:instrText xml:space="preserve"> ADDIN EN.CITE &lt;EndNote&gt;&lt;Cite  &gt;&lt;Author&gt;Cauda&lt;/Author&gt;&lt;Year&gt;2010&lt;/Year&gt;&lt;RecNum&gt;116&lt;/RecNum&gt;&lt;DisplayText&gt;(Cauda et al., 2010)&lt;/DisplayText&gt;&lt;record&gt;&lt;urls&gt;&lt;related-urls&gt;&lt;url&gt;http://ovidsp.ovid.com/ovidweb.cgi?T=JS&amp;amp;CSC=Y&amp;amp;NEWS=N&amp;amp;PAGE=fulltext&amp;amp;D=medl&amp;amp;AN=19955113&lt;/url&gt;&lt;url&gt;http://resolver.shef.ac.uk/?http://librarylinks.shef.ac.uk:3210/sfxlcl3?sid=OVID:medline&amp;amp;id=pmid:19955113&amp;amp;id=doi:&amp;amp;issn=0022-3050&amp;amp;isbn=&amp;amp;volume=81&amp;amp;issue=7&amp;amp;spage=806&amp;amp;pages=806-11&amp;amp;date=2010&amp;amp;title=Journal+of+Neurology,+Neurosurgery+&amp;amp;+Psychiatry&amp;amp;atitle=Altered+resting+state+attentional+networks+in+diabetic+neuropathic+pain.&amp;amp;aulast=Cauda&amp;amp;pid=&amp;lt;author&amp;gt;Cauda+F&lt;/url&gt;&lt;/related-urls&gt;&lt;/urls&gt;&lt;work-type&gt;Research Support, Non-U.S. Gov't&lt;/work-type&gt;&lt;titles&gt;&lt;title&gt;Altered resting state attentional networks in diabetic neuropathic pain&lt;/title&gt;&lt;secondary-title&gt;Journal of Neurology, Neurosurgery &amp;amp; Psychiatry&lt;/secondary-title&gt;&lt;/titles&gt;&lt;pages&gt;806-11&lt;/pages&gt;&lt;number&gt;7&lt;/number&gt;&lt;contributors&gt;&lt;authors&gt;&lt;author&gt;Cauda, F.&lt;/author&gt;&lt;author&gt;D'Agata, F.&lt;/author&gt;&lt;author&gt;Sacco, K.&lt;/author&gt;&lt;author&gt;Duca, S.&lt;/author&gt;&lt;author&gt;Cocito, D.&lt;/author&gt;&lt;author&gt;Paolasso, I.&lt;/author&gt;&lt;author&gt;Isoardo, G.&lt;/author&gt;&lt;author&gt;Geminiani, G.&lt;/author&gt;&lt;/authors&gt;&lt;/contributors&gt;&lt;added-date format="utc"&gt;1351072992&lt;/added-date&gt;&lt;ref-type name="Journal Article"&gt;17&lt;/ref-type&gt;&lt;auth-address&gt;CCS fMRI, Koelliker Hospital, Turin, Italy. franco.cauda@unito.it&lt;/auth-address&gt;&lt;dates&gt;&lt;year&gt;2010&lt;/year&gt;&lt;/dates&gt;&lt;rec-number&gt;116&lt;/rec-number&gt;&lt;last-updated-date format="utc"&gt;1352460133&lt;/last-updated-date&gt;&lt;accession-num&gt;19955113&lt;/accession-num&gt;&lt;volume&gt;81&lt;/volume&gt;&lt;/record&gt;&lt;/Cite&gt;&lt;/EndNote&gt;</w:instrText>
      </w:r>
      <w:r w:rsidRPr="00AF0E0B">
        <w:rPr>
          <w:rFonts w:eastAsia="Arial Unicode MS" w:cs="Arial Unicode MS"/>
          <w:color w:val="000000"/>
          <w:u w:color="000000"/>
          <w:bdr w:val="nil"/>
          <w:lang w:val="en-US" w:eastAsia="en-GB"/>
        </w:rPr>
        <w:fldChar w:fldCharType="separate"/>
      </w:r>
      <w:r w:rsidRPr="00AF0E0B">
        <w:rPr>
          <w:rFonts w:eastAsia="Arial Unicode MS" w:cs="Arial Unicode MS"/>
          <w:color w:val="000000"/>
          <w:u w:color="000000"/>
          <w:bdr w:val="nil"/>
          <w:lang w:val="en-US" w:eastAsia="en-GB"/>
        </w:rPr>
        <w:t>(Cauda et al., 2010)</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t xml:space="preserve">.  </w:t>
      </w:r>
    </w:p>
    <w:p w14:paraId="4172C5F9" w14:textId="77777777"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eastAsia="Arial Unicode MS" w:cs="Arial Unicode MS"/>
          <w:color w:val="000000"/>
          <w:u w:color="000000"/>
          <w:bdr w:val="nil"/>
          <w:lang w:val="en-US" w:eastAsia="en-GB"/>
        </w:rPr>
        <w:t xml:space="preserve">BOLD response was demonstrated to be altered in resting state and after painful stimuli in many areas considered to be part of the pain matrix.  The interesting question posed by the findings of increased activation, is whether they are related to pathological alterations of perfusion in the brain, or whether the subjects who demonstrate increased BOLD activation do so because of an appropriate response to increased signal input generated by </w:t>
      </w:r>
      <w:proofErr w:type="spellStart"/>
      <w:r w:rsidRPr="00AF0E0B">
        <w:rPr>
          <w:rFonts w:eastAsia="Arial Unicode MS" w:cs="Arial Unicode MS"/>
          <w:color w:val="000000"/>
          <w:u w:color="000000"/>
          <w:bdr w:val="nil"/>
          <w:lang w:val="en-US" w:eastAsia="en-GB"/>
        </w:rPr>
        <w:t>sensitisation</w:t>
      </w:r>
      <w:proofErr w:type="spellEnd"/>
      <w:r w:rsidRPr="00AF0E0B">
        <w:rPr>
          <w:rFonts w:eastAsia="Arial Unicode MS" w:cs="Arial Unicode MS"/>
          <w:color w:val="000000"/>
          <w:u w:color="000000"/>
          <w:bdr w:val="nil"/>
          <w:lang w:val="en-US" w:eastAsia="en-GB"/>
        </w:rPr>
        <w:t xml:space="preserve"> in the spinal cord or periphery.  This is also true of perfusion measurements generated by ASL, PET or SPECT.  We can attempt to control for this by setting a pain rating rather than an absolute temperature when designing a protocol which tests response to thermal pain.  </w:t>
      </w:r>
    </w:p>
    <w:p w14:paraId="6B21AC3C" w14:textId="77777777"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eastAsia="Arial Unicode MS" w:cs="Arial Unicode MS"/>
          <w:color w:val="000000"/>
          <w:u w:color="000000"/>
          <w:bdr w:val="nil"/>
          <w:lang w:val="en-US" w:eastAsia="en-GB"/>
        </w:rPr>
        <w:t>BOLD fMRI does not give a quantitative measurement of perfusion or of flow characteristics and so it is not being considered for inclusion in the measurement of perfusion in this study.</w:t>
      </w:r>
    </w:p>
    <w:p w14:paraId="05D95E48" w14:textId="77777777" w:rsidR="00AF0E0B" w:rsidRPr="00AF0E0B" w:rsidRDefault="00AF0E0B" w:rsidP="007F013F">
      <w:pPr>
        <w:pStyle w:val="Heading2"/>
      </w:pPr>
      <w:bookmarkStart w:id="73" w:name="_Toc49972695"/>
      <w:bookmarkStart w:id="74" w:name="_Toc64723881"/>
      <w:r w:rsidRPr="00AF0E0B">
        <w:lastRenderedPageBreak/>
        <w:t>Role of Pain Matrix in P-DPN</w:t>
      </w:r>
      <w:bookmarkEnd w:id="73"/>
      <w:bookmarkEnd w:id="74"/>
    </w:p>
    <w:p w14:paraId="20E52B34" w14:textId="77777777"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eastAsia="Arial Unicode MS" w:cs="Arial Unicode MS"/>
          <w:color w:val="000000"/>
          <w:u w:color="000000"/>
          <w:bdr w:val="nil"/>
          <w:lang w:val="en-US" w:eastAsia="en-GB"/>
        </w:rPr>
        <w:t xml:space="preserve">The understanding of how the brain responds to pain has changed over a very short amount of time.  Until very recently the brain has been anatomically </w:t>
      </w:r>
      <w:proofErr w:type="spellStart"/>
      <w:r w:rsidRPr="00AF0E0B">
        <w:rPr>
          <w:rFonts w:eastAsia="Arial Unicode MS" w:cs="Arial Unicode MS"/>
          <w:color w:val="000000"/>
          <w:u w:color="000000"/>
          <w:bdr w:val="nil"/>
          <w:lang w:val="en-US" w:eastAsia="en-GB"/>
        </w:rPr>
        <w:t>categorised</w:t>
      </w:r>
      <w:proofErr w:type="spellEnd"/>
      <w:r w:rsidRPr="00AF0E0B">
        <w:rPr>
          <w:rFonts w:eastAsia="Arial Unicode MS" w:cs="Arial Unicode MS"/>
          <w:color w:val="000000"/>
          <w:u w:color="000000"/>
          <w:bdr w:val="nil"/>
          <w:lang w:val="en-US" w:eastAsia="en-GB"/>
        </w:rPr>
        <w:t xml:space="preserve"> and different brain structures ascribed different functions.  The theory of the pain matrix was generated following the finding of multiple brain region activation in response to a painful stimulus </w:t>
      </w:r>
      <w:r w:rsidRPr="00AF0E0B">
        <w:rPr>
          <w:rFonts w:eastAsia="Arial Unicode MS" w:cs="Arial Unicode MS"/>
          <w:color w:val="000000"/>
          <w:u w:color="000000"/>
          <w:bdr w:val="nil"/>
          <w:lang w:val="en-US" w:eastAsia="en-GB"/>
        </w:rPr>
        <w:fldChar w:fldCharType="begin"/>
      </w:r>
      <w:r w:rsidRPr="00AF0E0B">
        <w:rPr>
          <w:rFonts w:eastAsia="Arial Unicode MS" w:cs="Arial Unicode MS"/>
          <w:color w:val="000000"/>
          <w:u w:color="000000"/>
          <w:bdr w:val="nil"/>
          <w:lang w:val="en-US" w:eastAsia="en-GB"/>
        </w:rPr>
        <w:instrText xml:space="preserve"> ADDIN EN.CITE &lt;EndNote&gt;&lt;Cite  &gt;&lt;Author&gt;Melzack&lt;/Author&gt;&lt;Year&gt;2001&lt;/Year&gt;&lt;RecNum&gt;513&lt;/RecNum&gt;&lt;DisplayText&gt;(Melzack, 2001, Tracey and Johns, 2010, Brodersen et al., 2012, Duerden and Albanese, 2013, Tanasescu et al., 2016)&lt;/DisplayText&gt;&lt;record&gt;&lt;dates&gt;&lt;pub-dates&gt;&lt;date&gt;Dec&lt;/date&gt;&lt;/pub-dates&gt;&lt;year&gt;2001&lt;/year&gt;&lt;/dates&gt;&lt;keywords&gt;&lt;keyword&gt;Acute Disease&lt;/keyword&gt;&lt;keyword&gt;Behavior&lt;/keyword&gt;&lt;keyword&gt;Brain/*physiopathology&lt;/keyword&gt;&lt;keyword&gt;Chronic Disease&lt;/keyword&gt;&lt;keyword&gt;Homeostasis/physiology&lt;/keyword&gt;&lt;keyword&gt;Humans&lt;/keyword&gt;&lt;keyword&gt;Nerve Net/*physiopathology&lt;/keyword&gt;&lt;keyword&gt;Neural Pathways/physiopathology&lt;/keyword&gt;&lt;keyword&gt;Pain/*physiopathology/psychology&lt;/keyword&gt;&lt;keyword&gt;Sensation/physiology&lt;/keyword&gt;&lt;keyword&gt;Stress, Physiological/physiopathology&lt;/keyword&gt;&lt;keyword&gt;Stress, Psychological/physiopathology&lt;/keyword&gt;&lt;keyword&gt;Synaptic Transmission/physiology&lt;/keyword&gt;&lt;/keywords&gt;&lt;isbn&gt;0022-0337 (Print)&amp;#13;0022-0337 (Linking)&lt;/isbn&gt;&lt;titles&gt;&lt;title&gt;Pain and the neuromatrix in the brain&lt;/title&gt;&lt;secondary-title&gt;J Dent Educ.&lt;/secondary-title&gt;&lt;/titles&gt;&lt;pages&gt;1378-82.&lt;/pages&gt;&lt;number&gt;12&lt;/number&gt;&lt;contributors&gt;&lt;authors&gt;&lt;author&gt;Melzack, R.&lt;/author&gt;&lt;/authors&gt;&lt;/contributors&gt;&lt;added-date format="utc"&gt;1356969594&lt;/added-date&gt;&lt;ref-type name="Journal Article"&gt;17&lt;/ref-type&gt;&lt;rec-number&gt;513&lt;/rec-number&gt;&lt;last-updated-date format="utc"&gt;1356969594&lt;/last-updated-date&gt;&lt;volume&gt;65&lt;/volume&gt;&lt;/record&gt;&lt;/Cite&gt;&lt;Cite  &gt;&lt;Author&gt;Tracey&lt;/Author&gt;&lt;Year&gt;2010&lt;/Year&gt;&lt;RecNum&gt;316&lt;/RecNum&gt;&lt;record&gt;&lt;dates&gt;&lt;pub-dates&gt;&lt;date&gt;Mar&lt;/date&gt;&lt;/pub-dates&gt;&lt;year&gt;2010&lt;/year&gt;&lt;/dates&gt;&lt;urls&gt;&lt;related-urls&gt;&lt;url&gt;&amp;lt;Go to ISI&amp;gt;://WOS:000274550400003&lt;/url&gt;&lt;/related-urls&gt;&lt;/urls&gt;&lt;isbn&gt;0304-3959&lt;/isbn&gt;&lt;titles&gt;&lt;title&gt;The pain matrix: Reloaded or reborn as we image tonic pain using arterial spin labelling&lt;/title&gt;&lt;secondary-title&gt;Pain&lt;/secondary-title&gt;&lt;/titles&gt;&lt;number&gt;3&lt;/number&gt;&lt;contributors&gt;&lt;authors&gt;&lt;author&gt;Tracey, Irene&lt;/author&gt;&lt;author&gt;Johns, Emily&lt;/author&gt;&lt;/authors&gt;&lt;/contributors&gt;&lt;added-date format="utc"&gt;1353529350&lt;/added-date&gt;&lt;ref-type name="Journal Article"&gt;17&lt;/ref-type&gt;&lt;rec-number&gt;316&lt;/rec-number&gt;&lt;last-updated-date format="utc"&gt;1354903362&lt;/last-updated-date&gt;&lt;accession-num&gt;WOS:000274550400003&lt;/accession-num&gt;&lt;electronic-resource-num&gt;10.1016/j.pain.2009.11.009&lt;/electronic-resource-num&gt;&lt;volume&gt;148&lt;/volume&gt;&lt;/record&gt;&lt;/Cite&gt;&lt;Cite  &gt;&lt;Author&gt;Brodersen&lt;/Author&gt;&lt;Year&gt;2012&lt;/Year&gt;&lt;RecNum&gt;386&lt;/RecNum&gt;&lt;record&gt;&lt;dates&gt;&lt;pub-dates&gt;&lt;date&gt;Nov&lt;/date&gt;&lt;/pub-dates&gt;&lt;year&gt;2012&lt;/year&gt;&lt;/dates&gt;&lt;urls&gt;&lt;related-urls&gt;&lt;url&gt;&amp;lt;Go to ISI&amp;gt;://WOS:000310379100018&lt;/url&gt;&lt;/related-urls&gt;&lt;/urls&gt;&lt;isbn&gt;1053-8119&lt;/isbn&gt;&lt;titles&gt;&lt;title&gt;Decoding the perception of pain from fMRI using multivariate pattern analysis&lt;/title&gt;&lt;secondary-title&gt;Neuroimage&lt;/secondary-title&gt;&lt;/titles&gt;&lt;pages&gt;1162-1170&lt;/pages&gt;&lt;number&gt;3&lt;/number&gt;&lt;contributors&gt;&lt;authors&gt;&lt;author&gt;Brodersen, K. H.&lt;/author&gt;&lt;author&gt;Wiech, K.&lt;/author&gt;&lt;author&gt;Lomakina, E. I.&lt;/author&gt;&lt;author&gt;Lin, C. S.&lt;/author&gt;&lt;author&gt;Buhmann, J. M.&lt;/author&gt;&lt;author&gt;Bingel, U.&lt;/author&gt;&lt;author&gt;Ploner, M.&lt;/author&gt;&lt;author&gt;Stephan, K. E.&lt;/author&gt;&lt;author&gt;Tracey, I.&lt;/author&gt;&lt;/authors&gt;&lt;/contributors&gt;&lt;added-date format="utc"&gt;1355171206&lt;/added-date&gt;&lt;ref-type name="Journal Article"&gt;17&lt;/ref-type&gt;&lt;rec-number&gt;386&lt;/rec-number&gt;&lt;last-updated-date format="utc"&gt;1355347261&lt;/last-updated-date&gt;&lt;accession-num&gt;WOS:000310379100018&lt;/accession-num&gt;&lt;electronic-resource-num&gt;10.1016/j.neuroimage.2012.08.035&lt;/electronic-resource-num&gt;&lt;volume&gt;63&lt;/volume&gt;&lt;/record&gt;&lt;/Cite&gt;&lt;Cite  &gt;&lt;Author&gt;Duerden&lt;/Author&gt;&lt;Year&gt;2013&lt;/Year&gt;&lt;RecNum&gt;696&lt;/RecNum&gt;&lt;record&gt;&lt;dates&gt;&lt;pub-dates&gt;&lt;date&gt;Jan&lt;/date&gt;&lt;/pub-dates&gt;&lt;year&gt;2013&lt;/year&gt;&lt;/dates&gt;&lt;keywords&gt;&lt;keyword&gt;pain&lt;/keyword&gt;&lt;keyword&gt;fMRI&lt;/keyword&gt;&lt;keyword&gt;PET&lt;/keyword&gt;&lt;keyword&gt;brain&lt;/keyword&gt;&lt;keyword&gt;human&lt;/keyword&gt;&lt;keyword&gt;POSITRON-EMISSION-TOMOGRAPHY&lt;/keyword&gt;&lt;keyword&gt;ANTERIOR CINGULATE CORTEX&lt;/keyword&gt;&lt;keyword&gt;PRIMARY&lt;/keyword&gt;&lt;keyword&gt;SOMATOSENSORY CORTEX&lt;/keyword&gt;&lt;keyword&gt;SINGLE-TRIAL FMRI&lt;/keyword&gt;&lt;keyword&gt;NOXIOUS THERMAL-STIMULATION&lt;/keyword&gt;&lt;keyword/&gt;&lt;keyword&gt;CEREBRAL-BLOOD-FLOW&lt;/keyword&gt;&lt;keyword&gt;FALSE DISCOVERY RATE&lt;/keyword&gt;&lt;keyword&gt;FUNCTIONAL MRI&lt;/keyword&gt;&lt;keyword&gt;MUSCLE PAIN&lt;/keyword&gt;&lt;keyword/&gt;&lt;keyword&gt;INSULAR CORTEX&lt;/keyword&gt;&lt;/keywords&gt;&lt;urls&gt;&lt;related-urls&gt;&lt;url&gt;&amp;lt;Go to ISI&amp;gt;://WOS:000312538200008&lt;/url&gt;&lt;/related-urls&gt;&lt;/urls&gt;&lt;isbn&gt;1065-9471&lt;/isbn&gt;&lt;work-type&gt;Review&lt;/work-type&gt;&lt;titles&gt;&lt;title&gt;Localization of pain-related brain activation: A meta-analysis of neuroimaging data&lt;/title&gt;&lt;secondary-title&gt;Human Brain Mapping&lt;/secondary-title&gt;&lt;alt-title&gt;Hum. Brain Mapp.&lt;/alt-title&gt;&lt;/titles&gt;&lt;pages&gt;109-149&lt;/pages&gt;&lt;number&gt;1&lt;/number&gt;&lt;contributors&gt;&lt;authors&gt;&lt;author&gt;Duerden, E. G.&lt;/author&gt;&lt;author&gt;Albanese, M. C.&lt;/author&gt;&lt;/authors&gt;&lt;/contributors&gt;&lt;language&gt;English&lt;/language&gt;&lt;added-date format="utc"&gt;1358441763&lt;/added-date&gt;&lt;ref-type name="Journal Article"&gt;17&lt;/ref-type&gt;&lt;auth-address&gt;[Duerden, Emma G.] Univ Montreal, Dept Physiol, Grp Rech Syst Nerveux Cent, Montreal, PQ H3C 3J7, Canada. [Duerden, Emma G.] Inst Univ Geriat Montreal, Ctr Rech, Montreal, PQ, Canada. [Albanese, Marie-Claire] McGill Univ, Dept Psychol, Montreal, PQ, Canada.&amp;#13;Duerden, EG (reprint author), Hosp Sick Children, Dept Diagnost Imaging, 555 Univ Ave, Toronto, ON M5G 1Z8, Canada.&amp;#13;emma.duerden@sickkids.ca&lt;/auth-address&gt;&lt;rec-number&gt;696&lt;/rec-number&gt;&lt;last-updated-date format="utc"&gt;1479835885&lt;/last-updated-date&gt;&lt;accession-num&gt;WOS:000312538200008&lt;/accession-num&gt;&lt;electronic-resource-num&gt;10.1002/hbm.21416&lt;/electronic-resource-num&gt;&lt;volume&gt;34&lt;/volume&gt;&lt;/record&gt;&lt;/Cite&gt;&lt;Cite  &gt;&lt;Author&gt;Tanasescu&lt;/Author&gt;&lt;Year&gt;2016&lt;/Year&gt;&lt;RecNum&gt;881&lt;/RecNum&gt;&lt;record&gt;&lt;dates&gt;&lt;pub-dates&gt;&lt;date&gt;Sep&lt;/date&gt;&lt;/pub-dates&gt;&lt;year&gt;2016&lt;/year&gt;&lt;/dates&gt;&lt;urls&gt;&lt;related-urls&gt;&lt;url&gt;https://www.ncbi.nlm.nih.gov/pubmed/27168346&lt;/url&gt;&lt;/related-urls&gt;&lt;/urls&gt;&lt;isbn&gt;1873-7528&lt;/isbn&gt;&lt;titles&gt;&lt;title&gt;Functional reorganisation in chronic pain and neural correlates of pain sensitisation: A coordinate based meta-analysis of 266 cutaneous pain fMRI studies&lt;/title&gt;&lt;secondary-title&gt;Neurosci Biobehav Rev&lt;/secondary-title&gt;&lt;/titles&gt;&lt;pages&gt;120-33&lt;/pages&gt;&lt;contributors&gt;&lt;authors&gt;&lt;author&gt;Tanasescu, R.&lt;/author&gt;&lt;author&gt;Cottam, W. J.&lt;/author&gt;&lt;author&gt;Condon, L.&lt;/author&gt;&lt;author&gt;Tench, C. R.&lt;/author&gt;&lt;author&gt;Auer, D. P.&lt;/author&gt;&lt;/authors&gt;&lt;/contributors&gt;&lt;edition&gt;2016/05/07&lt;/edition&gt;&lt;language&gt;eng&lt;/language&gt;&lt;added-date format="utc"&gt;1501252131&lt;/added-date&gt;&lt;ref-type name="Journal Article"&gt;17&lt;/ref-type&gt;&lt;rec-number&gt;881&lt;/rec-number&gt;&lt;last-updated-date format="utc"&gt;1501252131&lt;/last-updated-date&gt;&lt;accession-num&gt;27168346&lt;/accession-num&gt;&lt;electronic-resource-num&gt;10.1016/j.neubiorev.2016.04.001&lt;/electronic-resource-num&gt;&lt;volume&gt;68&lt;/volume&gt;&lt;/record&gt;&lt;/Cite&gt;&lt;/EndNote&gt;</w:instrText>
      </w:r>
      <w:r w:rsidRPr="00AF0E0B">
        <w:rPr>
          <w:rFonts w:eastAsia="Arial Unicode MS" w:cs="Arial Unicode MS"/>
          <w:color w:val="000000"/>
          <w:u w:color="000000"/>
          <w:bdr w:val="nil"/>
          <w:lang w:val="en-US" w:eastAsia="en-GB"/>
        </w:rPr>
        <w:fldChar w:fldCharType="separate"/>
      </w:r>
      <w:r w:rsidRPr="00AF0E0B">
        <w:rPr>
          <w:rFonts w:eastAsia="Arial Unicode MS" w:cs="Arial Unicode MS"/>
          <w:color w:val="000000"/>
          <w:u w:color="000000"/>
          <w:bdr w:val="nil"/>
          <w:lang w:val="en-US" w:eastAsia="en-GB"/>
        </w:rPr>
        <w:t>(Melzack, 2001, Tracey and Johns, 2010, Brodersen et al., 2012, Duerden and Albanese, 2013, Tanasescu et al., 2016)</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t xml:space="preserve">. </w:t>
      </w:r>
    </w:p>
    <w:p w14:paraId="12B71C78" w14:textId="77777777"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eastAsia="Arial Unicode MS" w:cs="Arial Unicode MS"/>
          <w:color w:val="000000"/>
          <w:u w:color="000000"/>
          <w:bdr w:val="nil"/>
          <w:lang w:val="en-US" w:eastAsia="en-GB"/>
        </w:rPr>
        <w:t>A meta- analysis of areas of activation secondary to any nociceptive stimulus identified that common areas of activation were the insula, the ACC, the secondary somatosensory cortex, the prefrontal cortex and the primary somatosensory cortex. Noxious heat stimulus was more likely to activate the insula, the ACC, the thalamus and the secondary sensory cortex (Figure 1.8)</w:t>
      </w:r>
      <w:r w:rsidRPr="00AF0E0B">
        <w:rPr>
          <w:rFonts w:eastAsia="Arial Unicode MS" w:cs="Arial Unicode MS"/>
          <w:color w:val="000000"/>
          <w:u w:color="000000"/>
          <w:bdr w:val="nil"/>
          <w:lang w:val="it-IT" w:eastAsia="en-GB"/>
        </w:rPr>
        <w:fldChar w:fldCharType="begin"/>
      </w:r>
      <w:r w:rsidRPr="00AF0E0B">
        <w:rPr>
          <w:rFonts w:eastAsia="Arial Unicode MS" w:cs="Arial Unicode MS"/>
          <w:color w:val="000000"/>
          <w:u w:color="000000"/>
          <w:bdr w:val="nil"/>
          <w:lang w:val="it-IT" w:eastAsia="en-GB"/>
        </w:rPr>
        <w:instrText xml:space="preserve"> ADDIN EN.CITE &lt;EndNote&gt;&lt;Cite  &gt;&lt;Author&gt;Duerden&lt;/Author&gt;&lt;Year&gt;2013&lt;/Year&gt;&lt;RecNum&gt;696&lt;/RecNum&gt;&lt;DisplayText&gt;(Duerden and Albanese, 2013)&lt;/DisplayText&gt;&lt;record&gt;&lt;dates&gt;&lt;pub-dates&gt;&lt;date&gt;Jan&lt;/date&gt;&lt;/pub-dates&gt;&lt;year&gt;2013&lt;/year&gt;&lt;/dates&gt;&lt;keywords&gt;&lt;keyword&gt;pain&lt;/keyword&gt;&lt;keyword&gt;fMRI&lt;/keyword&gt;&lt;keyword&gt;PET&lt;/keyword&gt;&lt;keyword&gt;brain&lt;/keyword&gt;&lt;keyword&gt;human&lt;/keyword&gt;&lt;keyword&gt;POSITRON-EMISSION-TOMOGRAPHY&lt;/keyword&gt;&lt;keyword&gt;ANTERIOR CINGULATE CORTEX&lt;/keyword&gt;&lt;keyword&gt;PRIMARY&lt;/keyword&gt;&lt;keyword&gt;SOMATOSENSORY CORTEX&lt;/keyword&gt;&lt;keyword&gt;SINGLE-TRIAL FMRI&lt;/keyword&gt;&lt;keyword&gt;NOXIOUS THERMAL-STIMULATION&lt;/keyword&gt;&lt;keyword/&gt;&lt;keyword&gt;CEREBRAL-BLOOD-FLOW&lt;/keyword&gt;&lt;keyword&gt;FALSE DISCOVERY RATE&lt;/keyword&gt;&lt;keyword&gt;FUNCTIONAL MRI&lt;/keyword&gt;&lt;keyword&gt;MUSCLE PAIN&lt;/keyword&gt;&lt;keyword/&gt;&lt;keyword&gt;INSULAR CORTEX&lt;/keyword&gt;&lt;/keywords&gt;&lt;urls&gt;&lt;related-urls&gt;&lt;url&gt;&amp;lt;Go to ISI&amp;gt;://WOS:000312538200008&lt;/url&gt;&lt;/related-urls&gt;&lt;/urls&gt;&lt;isbn&gt;1065-9471&lt;/isbn&gt;&lt;work-type&gt;Review&lt;/work-type&gt;&lt;titles&gt;&lt;title&gt;Localization of pain-related brain activation: A meta-analysis of neuroimaging data&lt;/title&gt;&lt;secondary-title&gt;Human Brain Mapping&lt;/secondary-title&gt;&lt;alt-title&gt;Hum. Brain Mapp.&lt;/alt-title&gt;&lt;/titles&gt;&lt;pages&gt;109-149&lt;/pages&gt;&lt;number&gt;1&lt;/number&gt;&lt;contributors&gt;&lt;authors&gt;&lt;author&gt;Duerden, E. G.&lt;/author&gt;&lt;author&gt;Albanese, M. C.&lt;/author&gt;&lt;/authors&gt;&lt;/contributors&gt;&lt;language&gt;English&lt;/language&gt;&lt;added-date format="utc"&gt;1358441763&lt;/added-date&gt;&lt;ref-type name="Journal Article"&gt;17&lt;/ref-type&gt;&lt;auth-address&gt;[Duerden, Emma G.] Univ Montreal, Dept Physiol, Grp Rech Syst Nerveux Cent, Montreal, PQ H3C 3J7, Canada. [Duerden, Emma G.] Inst Univ Geriat Montreal, Ctr Rech, Montreal, PQ, Canada. [Albanese, Marie-Claire] McGill Univ, Dept Psychol, Montreal, PQ, Canada.&amp;#13;Duerden, EG (reprint author), Hosp Sick Children, Dept Diagnost Imaging, 555 Univ Ave, Toronto, ON M5G 1Z8, Canada.&amp;#13;emma.duerden@sickkids.ca&lt;/auth-address&gt;&lt;rec-number&gt;696&lt;/rec-number&gt;&lt;last-updated-date format="utc"&gt;1479835885&lt;/last-updated-date&gt;&lt;accession-num&gt;WOS:000312538200008&lt;/accession-num&gt;&lt;electronic-resource-num&gt;10.1002/hbm.21416&lt;/electronic-resource-num&gt;&lt;volume&gt;34&lt;/volume&gt;&lt;/record&gt;&lt;/Cite&gt;&lt;/EndNote&gt;</w:instrText>
      </w:r>
      <w:r w:rsidRPr="00AF0E0B">
        <w:rPr>
          <w:rFonts w:eastAsia="Arial Unicode MS" w:cs="Arial Unicode MS"/>
          <w:color w:val="000000"/>
          <w:u w:color="000000"/>
          <w:bdr w:val="nil"/>
          <w:lang w:val="it-IT" w:eastAsia="en-GB"/>
        </w:rPr>
        <w:fldChar w:fldCharType="separate"/>
      </w:r>
      <w:r w:rsidRPr="00AF0E0B">
        <w:rPr>
          <w:rFonts w:eastAsia="Arial Unicode MS" w:cs="Arial Unicode MS"/>
          <w:color w:val="000000"/>
          <w:u w:color="000000"/>
          <w:bdr w:val="nil"/>
          <w:lang w:val="it-IT" w:eastAsia="en-GB"/>
        </w:rPr>
        <w:t>(Duerden and Albanese, 2013)</w:t>
      </w:r>
      <w:r w:rsidRPr="00AF0E0B">
        <w:rPr>
          <w:rFonts w:eastAsia="Arial Unicode MS" w:cs="Arial Unicode MS"/>
          <w:color w:val="000000"/>
          <w:u w:color="000000"/>
          <w:bdr w:val="nil"/>
          <w:lang w:val="it-IT" w:eastAsia="en-GB"/>
        </w:rPr>
        <w:fldChar w:fldCharType="end"/>
      </w:r>
      <w:r w:rsidRPr="00AF0E0B">
        <w:rPr>
          <w:rFonts w:eastAsia="Arial Unicode MS" w:cs="Arial Unicode MS"/>
          <w:color w:val="000000"/>
          <w:u w:color="000000"/>
          <w:bdr w:val="nil"/>
          <w:lang w:val="en-US" w:eastAsia="en-GB"/>
        </w:rPr>
        <w:t>.  These areas were consistently activated for a number of nociceptive stimuli.  This study also found that regardless of the stimulus site the right hemisphere structures were more consistently activated than left sided structures.</w:t>
      </w:r>
    </w:p>
    <w:p w14:paraId="2D09BEBE" w14:textId="77EA989A" w:rsidR="001825BD" w:rsidRDefault="001825BD" w:rsidP="001825BD">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eastAsia="Arial Unicode MS" w:cs="Arial Unicode MS"/>
          <w:color w:val="000000"/>
          <w:u w:color="000000"/>
          <w:bdr w:val="nil"/>
          <w:lang w:val="en-US" w:eastAsia="en-GB"/>
        </w:rPr>
        <w:t>Despite identification of areas that were reliably activated during a pain condition, generating a biomarker which would differentiate pain sensation from non-painful stimulation proved difficult. Brain structures are activated as a result of the perception of</w:t>
      </w:r>
      <w:bookmarkStart w:id="75" w:name="_Toc49972747"/>
      <w:r w:rsidR="00605083">
        <w:rPr>
          <w:rFonts w:eastAsia="Arial Unicode MS" w:cs="Arial Unicode MS"/>
          <w:color w:val="000000"/>
          <w:u w:color="000000"/>
          <w:bdr w:val="nil"/>
          <w:lang w:val="en-US" w:eastAsia="en-GB"/>
        </w:rPr>
        <w:t xml:space="preserve"> </w:t>
      </w:r>
      <w:r w:rsidR="00605083" w:rsidRPr="00AF0E0B">
        <w:rPr>
          <w:rFonts w:eastAsia="Arial Unicode MS" w:cs="Arial Unicode MS"/>
          <w:color w:val="000000"/>
          <w:u w:color="000000"/>
          <w:bdr w:val="nil"/>
          <w:lang w:val="en-US" w:eastAsia="en-GB"/>
        </w:rPr>
        <w:t>that other factors may encode the perception of pain, including temporal, spatial and background patterns of activity.  Therefore, a more sophisticated approach which can measure a wider range of temporal attributes is appealing.  The NPS – “Neurological Pain Signature”, which is a multiple component process analysis, can predict on the basis of fMRI whether a subject has been given a noxious thermal stimulus or</w:t>
      </w:r>
      <w:r w:rsidR="00605083">
        <w:rPr>
          <w:rFonts w:eastAsia="Arial Unicode MS" w:cs="Arial Unicode MS"/>
          <w:color w:val="000000"/>
          <w:u w:color="000000"/>
          <w:bdr w:val="nil"/>
          <w:lang w:val="en-US" w:eastAsia="en-GB"/>
        </w:rPr>
        <w:t xml:space="preserve"> </w:t>
      </w:r>
      <w:r w:rsidR="00B65763">
        <w:rPr>
          <w:rFonts w:eastAsia="Arial Unicode MS" w:cs="Arial Unicode MS"/>
          <w:color w:val="000000"/>
          <w:u w:color="000000"/>
          <w:bdr w:val="nil"/>
          <w:lang w:val="en-US" w:eastAsia="en-GB"/>
        </w:rPr>
        <w:t xml:space="preserve">an </w:t>
      </w:r>
      <w:r w:rsidR="00605083" w:rsidRPr="00AF0E0B">
        <w:rPr>
          <w:rFonts w:eastAsia="Arial Unicode MS" w:cs="Arial Unicode MS"/>
          <w:color w:val="000000"/>
          <w:u w:color="000000"/>
          <w:bdr w:val="nil"/>
          <w:lang w:val="en-US" w:eastAsia="en-GB"/>
        </w:rPr>
        <w:t xml:space="preserve">innocuous stimulus </w:t>
      </w:r>
      <w:r w:rsidR="00605083" w:rsidRPr="00AF0E0B">
        <w:rPr>
          <w:rFonts w:eastAsia="Arial Unicode MS" w:cs="Arial Unicode MS"/>
          <w:color w:val="000000"/>
          <w:u w:color="000000"/>
          <w:bdr w:val="nil"/>
          <w:lang w:val="en-US" w:eastAsia="en-GB"/>
        </w:rPr>
        <w:fldChar w:fldCharType="begin">
          <w:fldData xml:space="preserve">PEVuZE5vdGU+PENpdGU+PEF1dGhvcj5XYWdlcjwvQXV0aG9yPjxZZWFyPjIwMTM8L1llYXI+PERp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</w:fldData>
        </w:fldChar>
      </w:r>
      <w:r w:rsidR="00D06F2D">
        <w:rPr>
          <w:rFonts w:eastAsia="Arial Unicode MS" w:cs="Arial Unicode MS"/>
          <w:color w:val="000000"/>
          <w:u w:color="000000"/>
          <w:bdr w:val="nil"/>
          <w:lang w:val="en-US" w:eastAsia="en-GB"/>
        </w:rPr>
        <w:instrText xml:space="preserve"> ADDIN EN.CITE </w:instrText>
      </w:r>
      <w:r w:rsidR="00D06F2D">
        <w:rPr>
          <w:rFonts w:eastAsia="Arial Unicode MS" w:cs="Arial Unicode MS"/>
          <w:color w:val="000000"/>
          <w:u w:color="000000"/>
          <w:bdr w:val="nil"/>
          <w:lang w:val="en-US" w:eastAsia="en-GB"/>
        </w:rPr>
        <w:fldChar w:fldCharType="begin">
          <w:fldData xml:space="preserve">PEVuZE5vdGU+PENpdGU+PEF1dGhvcj5XYWdlcjwvQXV0aG9yPjxZZWFyPjIwMTM8L1llYXI+PERp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</w:fldData>
        </w:fldChar>
      </w:r>
      <w:r w:rsidR="00D06F2D">
        <w:rPr>
          <w:rFonts w:eastAsia="Arial Unicode MS" w:cs="Arial Unicode MS"/>
          <w:color w:val="000000"/>
          <w:u w:color="000000"/>
          <w:bdr w:val="nil"/>
          <w:lang w:val="en-US" w:eastAsia="en-GB"/>
        </w:rPr>
        <w:instrText xml:space="preserve"> ADDIN EN.CITE.DATA </w:instrText>
      </w:r>
      <w:r w:rsidR="00D06F2D">
        <w:rPr>
          <w:rFonts w:eastAsia="Arial Unicode MS" w:cs="Arial Unicode MS"/>
          <w:color w:val="000000"/>
          <w:u w:color="000000"/>
          <w:bdr w:val="nil"/>
          <w:lang w:val="en-US" w:eastAsia="en-GB"/>
        </w:rPr>
      </w:r>
      <w:r w:rsidR="00D06F2D">
        <w:rPr>
          <w:rFonts w:eastAsia="Arial Unicode MS" w:cs="Arial Unicode MS"/>
          <w:color w:val="000000"/>
          <w:u w:color="000000"/>
          <w:bdr w:val="nil"/>
          <w:lang w:val="en-US" w:eastAsia="en-GB"/>
        </w:rPr>
        <w:fldChar w:fldCharType="end"/>
      </w:r>
      <w:r w:rsidR="00605083" w:rsidRPr="00AF0E0B">
        <w:rPr>
          <w:rFonts w:eastAsia="Arial Unicode MS" w:cs="Arial Unicode MS"/>
          <w:color w:val="000000"/>
          <w:u w:color="000000"/>
          <w:bdr w:val="nil"/>
          <w:lang w:val="en-US" w:eastAsia="en-GB"/>
        </w:rPr>
      </w:r>
      <w:r w:rsidR="00605083" w:rsidRPr="00AF0E0B">
        <w:rPr>
          <w:rFonts w:eastAsia="Arial Unicode MS" w:cs="Arial Unicode MS"/>
          <w:color w:val="000000"/>
          <w:u w:color="000000"/>
          <w:bdr w:val="nil"/>
          <w:lang w:val="en-US" w:eastAsia="en-GB"/>
        </w:rPr>
        <w:fldChar w:fldCharType="separate"/>
      </w:r>
      <w:r w:rsidR="00D06F2D">
        <w:rPr>
          <w:rFonts w:eastAsia="Arial Unicode MS" w:cs="Arial Unicode MS"/>
          <w:noProof/>
          <w:color w:val="000000"/>
          <w:u w:color="000000"/>
          <w:bdr w:val="nil"/>
          <w:lang w:val="en-US" w:eastAsia="en-GB"/>
        </w:rPr>
        <w:t>(Wager et al., 2013a)</w:t>
      </w:r>
      <w:r w:rsidR="00605083" w:rsidRPr="00AF0E0B">
        <w:rPr>
          <w:rFonts w:eastAsia="Arial Unicode MS" w:cs="Arial Unicode MS"/>
          <w:color w:val="000000"/>
          <w:u w:color="000000"/>
          <w:bdr w:val="nil"/>
          <w:lang w:val="en-US" w:eastAsia="en-GB"/>
        </w:rPr>
        <w:fldChar w:fldCharType="end"/>
      </w:r>
      <w:r w:rsidR="00605083" w:rsidRPr="00AF0E0B">
        <w:rPr>
          <w:rFonts w:eastAsia="Arial Unicode MS" w:cs="Arial Unicode MS"/>
          <w:color w:val="000000"/>
          <w:u w:color="000000"/>
          <w:bdr w:val="nil"/>
          <w:lang w:val="en-US" w:eastAsia="en-GB"/>
        </w:rPr>
        <w:t xml:space="preserve">.  The areas of activation are the same as described in a meta-analysis of the fMRI pain signature </w:t>
      </w:r>
      <w:r w:rsidR="00605083" w:rsidRPr="00AF0E0B">
        <w:rPr>
          <w:rFonts w:eastAsia="Arial Unicode MS" w:cs="Arial Unicode MS"/>
          <w:color w:val="000000"/>
          <w:u w:color="000000"/>
          <w:bdr w:val="nil"/>
          <w:lang w:val="it-IT" w:eastAsia="en-GB"/>
        </w:rPr>
        <w:fldChar w:fldCharType="begin"/>
      </w:r>
      <w:r w:rsidR="00605083" w:rsidRPr="00AF0E0B">
        <w:rPr>
          <w:rFonts w:eastAsia="Arial Unicode MS" w:cs="Arial Unicode MS"/>
          <w:color w:val="000000"/>
          <w:u w:color="000000"/>
          <w:bdr w:val="nil"/>
          <w:lang w:val="it-IT" w:eastAsia="en-GB"/>
        </w:rPr>
        <w:instrText xml:space="preserve"> ADDIN EN.CITE &lt;EndNote&gt;&lt;Cite  &gt;&lt;Author&gt;Duerden&lt;/Author&gt;&lt;Year&gt;2013&lt;/Year&gt;&lt;RecNum&gt;696&lt;/RecNum&gt;&lt;DisplayText&gt;(Duerden and Albanese, 2013)&lt;/DisplayText&gt;&lt;record&gt;&lt;dates&gt;&lt;pub-dates&gt;&lt;date&gt;Jan&lt;/date&gt;&lt;/pub-dates&gt;&lt;year&gt;2013&lt;/year&gt;&lt;/dates&gt;&lt;keywords&gt;&lt;keyword&gt;pain&lt;/keyword&gt;&lt;keyword&gt;fMRI&lt;/keyword&gt;&lt;keyword&gt;PET&lt;/keyword&gt;&lt;keyword&gt;brain&lt;/keyword&gt;&lt;keyword&gt;human&lt;/keyword&gt;&lt;keyword&gt;POSITRON-EMISSION-TOMOGRAPHY&lt;/keyword&gt;&lt;keyword&gt;ANTERIOR CINGULATE CORTEX&lt;/keyword&gt;&lt;keyword&gt;PRIMARY&lt;/keyword&gt;&lt;keyword&gt;SOMATOSENSORY CORTEX&lt;/keyword&gt;&lt;keyword&gt;SINGLE-TRIAL FMRI&lt;/keyword&gt;&lt;keyword&gt;NOXIOUS THERMAL-STIMULATION&lt;/keyword&gt;&lt;keyword/&gt;&lt;keyword&gt;CEREBRAL-BLOOD-FLOW&lt;/keyword&gt;&lt;keyword&gt;FALSE DISCOVERY RATE&lt;/keyword&gt;&lt;keyword&gt;FUNCTIONAL MRI&lt;/keyword&gt;&lt;keyword&gt;MUSCLE PAIN&lt;/keyword&gt;&lt;keyword/&gt;&lt;keyword&gt;INSULAR CORTEX&lt;/keyword&gt;&lt;/keywords&gt;&lt;urls&gt;&lt;related-urls&gt;&lt;url&gt;&amp;lt;Go to ISI&amp;gt;://WOS:000312538200008&lt;/url&gt;&lt;/related-urls&gt;&lt;/urls&gt;&lt;isbn&gt;1065-9471&lt;/isbn&gt;&lt;work-type&gt;Review&lt;/work-type&gt;&lt;titles&gt;&lt;title&gt;Localization of pain-related brain activation: A meta-analysis of neuroimaging data&lt;/title&gt;&lt;secondary-title&gt;Human Brain Mapping&lt;/secondary-title&gt;&lt;alt-title&gt;Hum. Brain Mapp.&lt;/alt-title&gt;&lt;/titles&gt;&lt;pages&gt;109-149&lt;/pages&gt;&lt;number&gt;1&lt;/number&gt;&lt;contributors&gt;&lt;authors&gt;&lt;author&gt;Duerden, E. G.&lt;/author&gt;&lt;author&gt;Albanese, M. C.&lt;/author&gt;&lt;/authors&gt;&lt;/contributors&gt;&lt;language&gt;English&lt;/language&gt;&lt;added-date format="utc"&gt;1358441763&lt;/added-date&gt;&lt;ref-type name="Journal Article"&gt;17&lt;/ref-type&gt;&lt;auth-address&gt;[Duerden, Emma G.] Univ Montreal, Dept Physiol, Grp Rech Syst Nerveux Cent, Montreal, PQ H3C 3J7, Canada. [Duerden, Emma G.] Inst Univ Geriat Montreal, Ctr Rech, Montreal, PQ, Canada. [Albanese, Marie-Claire] McGill Univ, Dept Psychol, Montreal, PQ, Canada.&amp;#13;Duerden, EG (reprint author), Hosp Sick Children, Dept Diagnost Imaging, 555 Univ Ave, Toronto, ON M5G 1Z8, Canada.&amp;#13;emma.duerden@sickkids.ca&lt;/auth-address&gt;&lt;rec-number&gt;696&lt;/rec-number&gt;&lt;last-updated-date format="utc"&gt;1479835885&lt;/last-updated-date&gt;&lt;accession-num&gt;WOS:000312538200008&lt;/accession-num&gt;&lt;electronic-resource-num&gt;10.1002/hbm.21416&lt;/electronic-resource-num&gt;&lt;volume&gt;34&lt;/volume&gt;&lt;/record&gt;&lt;/Cite&gt;&lt;/EndNote&gt;</w:instrText>
      </w:r>
      <w:r w:rsidR="00605083" w:rsidRPr="00AF0E0B">
        <w:rPr>
          <w:rFonts w:eastAsia="Arial Unicode MS" w:cs="Arial Unicode MS"/>
          <w:color w:val="000000"/>
          <w:u w:color="000000"/>
          <w:bdr w:val="nil"/>
          <w:lang w:val="it-IT" w:eastAsia="en-GB"/>
        </w:rPr>
        <w:fldChar w:fldCharType="separate"/>
      </w:r>
      <w:r w:rsidR="00605083" w:rsidRPr="00AF0E0B">
        <w:rPr>
          <w:rFonts w:eastAsia="Arial Unicode MS" w:cs="Arial Unicode MS"/>
          <w:color w:val="000000"/>
          <w:u w:color="000000"/>
          <w:bdr w:val="nil"/>
          <w:lang w:val="it-IT" w:eastAsia="en-GB"/>
        </w:rPr>
        <w:t>(Duerden and Albanese, 2013)</w:t>
      </w:r>
      <w:r w:rsidR="00605083" w:rsidRPr="00AF0E0B">
        <w:rPr>
          <w:rFonts w:eastAsia="Arial Unicode MS" w:cs="Arial Unicode MS"/>
          <w:color w:val="000000"/>
          <w:u w:color="000000"/>
          <w:bdr w:val="nil"/>
          <w:lang w:val="it-IT" w:eastAsia="en-GB"/>
        </w:rPr>
        <w:fldChar w:fldCharType="end"/>
      </w:r>
      <w:r w:rsidR="00605083" w:rsidRPr="00AF0E0B">
        <w:rPr>
          <w:rFonts w:eastAsia="Arial Unicode MS" w:cs="Arial Unicode MS"/>
          <w:color w:val="000000"/>
          <w:u w:color="000000"/>
          <w:bdr w:val="nil"/>
          <w:lang w:val="en-US" w:eastAsia="en-GB"/>
        </w:rPr>
        <w:t xml:space="preserve">, but </w:t>
      </w:r>
      <w:r w:rsidR="00B65763">
        <w:rPr>
          <w:rFonts w:eastAsia="Arial Unicode MS" w:cs="Arial Unicode MS"/>
          <w:color w:val="000000"/>
          <w:u w:color="000000"/>
          <w:bdr w:val="nil"/>
          <w:lang w:val="en-US" w:eastAsia="en-GB"/>
        </w:rPr>
        <w:t xml:space="preserve">the </w:t>
      </w:r>
      <w:r w:rsidR="00605083" w:rsidRPr="00AF0E0B">
        <w:rPr>
          <w:rFonts w:eastAsia="Arial Unicode MS" w:cs="Arial Unicode MS"/>
          <w:color w:val="000000"/>
          <w:u w:color="000000"/>
          <w:bdr w:val="nil"/>
          <w:lang w:val="en-US" w:eastAsia="en-GB"/>
        </w:rPr>
        <w:t>patterns and degrees of activation also contribute to the model.  The “pain connectome” is a new way of conceptualizing the contribution of anatomically activated</w:t>
      </w:r>
    </w:p>
    <w:p w14:paraId="0DC87BEE" w14:textId="6210A08A" w:rsidR="00A014BE" w:rsidRDefault="00A014BE" w:rsidP="001825BD">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eastAsia="Arial Unicode MS" w:cs="Arial Unicode MS"/>
          <w:color w:val="000000"/>
          <w:u w:color="000000"/>
          <w:bdr w:val="nil"/>
          <w:lang w:val="en-US" w:eastAsia="en-GB"/>
        </w:rPr>
        <w:t xml:space="preserve">areas and temporal and spatial vectors of activation </w:t>
      </w:r>
      <w:r w:rsidRPr="00AF0E0B">
        <w:rPr>
          <w:rFonts w:eastAsia="Arial Unicode MS" w:cs="Arial Unicode MS"/>
          <w:color w:val="000000"/>
          <w:u w:color="000000"/>
          <w:bdr w:val="nil"/>
          <w:lang w:val="en-US" w:eastAsia="en-GB"/>
        </w:rPr>
        <w:fldChar w:fldCharType="begin"/>
      </w:r>
      <w:r w:rsidRPr="00AF0E0B">
        <w:rPr>
          <w:rFonts w:eastAsia="Arial Unicode MS" w:cs="Arial Unicode MS"/>
          <w:color w:val="000000"/>
          <w:u w:color="000000"/>
          <w:bdr w:val="nil"/>
          <w:lang w:val="en-US" w:eastAsia="en-GB"/>
        </w:rPr>
        <w:instrText xml:space="preserve"> ADDIN EN.CITE &lt;EndNote&gt;&lt;Cite  &gt;&lt;Author&gt;Kucyi&lt;/Author&gt;&lt;Year&gt;2015&lt;/Year&gt;&lt;RecNum&gt;1152&lt;/RecNum&gt;&lt;DisplayText&gt;(Kucyi and Davis, 2015)&lt;/DisplayText&gt;&lt;record&gt;&lt;keywords&gt;&lt;keyword&gt;Mind Wandering&lt;/keyword&gt;&lt;keyword&gt;Default Mode Network&lt;/keyword&gt;&lt;keyword&gt;Salience Network&lt;/keyword&gt;&lt;keyword&gt;Antinociception&lt;/keyword&gt;&lt;keyword&gt;Brain Connectivity&lt;/keyword&gt;&lt;keyword&gt;Dynamic Functional Connectivity&lt;/keyword&gt;&lt;keyword&gt;Medicine&lt;/keyword&gt;&lt;keyword&gt;Anatomy &amp;amp; Physiology&lt;/keyword&gt;&lt;/keywords&gt;&lt;isbn&gt;0166-2236&lt;/isbn&gt;&lt;titles&gt;&lt;title&gt;The dynamic pain connectome&lt;/title&gt;&lt;secondary-title&gt;Trends in Neurosciences&lt;/secondary-title&gt;&lt;/titles&gt;&lt;pages&gt;86-95&lt;/pages&gt;&lt;number&gt;2&lt;/number&gt;&lt;contributors&gt;&lt;authors&gt;&lt;author&gt;Kucyi, Aaron&lt;/author&gt;&lt;author&gt;Davis, Karen D.&lt;/author&gt;&lt;/authors&gt;&lt;/contributors&gt;&lt;added-date format="utc"&gt;1570964366&lt;/added-date&gt;&lt;ref-type name="Journal Article"&gt;17&lt;/ref-type&gt;&lt;dates&gt;&lt;year&gt;2015&lt;/year&gt;&lt;/dates&gt;&lt;rec-number&gt;1152&lt;/rec-number&gt;&lt;last-updated-date format="utc"&gt;1570964366&lt;/last-updated-date&gt;&lt;electronic-resource-num&gt;10.1016/j.tins.2014.11.006&lt;/electronic-resource-num&gt;&lt;volume&gt;38&lt;/volume&gt;&lt;/record&gt;&lt;/Cite&gt;&lt;/EndNote&gt;</w:instrText>
      </w:r>
      <w:r w:rsidRPr="00AF0E0B">
        <w:rPr>
          <w:rFonts w:eastAsia="Arial Unicode MS" w:cs="Arial Unicode MS"/>
          <w:color w:val="000000"/>
          <w:u w:color="000000"/>
          <w:bdr w:val="nil"/>
          <w:lang w:val="en-US" w:eastAsia="en-GB"/>
        </w:rPr>
        <w:fldChar w:fldCharType="separate"/>
      </w:r>
      <w:r w:rsidRPr="00AF0E0B">
        <w:rPr>
          <w:rFonts w:eastAsia="Arial Unicode MS" w:cs="Arial Unicode MS"/>
          <w:color w:val="000000"/>
          <w:u w:color="000000"/>
          <w:bdr w:val="nil"/>
          <w:lang w:val="en-US" w:eastAsia="en-GB"/>
        </w:rPr>
        <w:t>(Kucyi and Davis, 2015)</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t>.  However, for these models to be used to successfully predict pain in pathological states, work needs to be done to understand baseline blood flow and quantifiable response rates to noxious stimuli, which may alter neurovascular coupling in microvascular</w:t>
      </w:r>
    </w:p>
    <w:p w14:paraId="32EBC665" w14:textId="77777777" w:rsidR="00FF1F4F" w:rsidRDefault="00FF1F4F" w:rsidP="001825BD">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p>
    <w:p w14:paraId="55324C28" w14:textId="30FD41E3" w:rsidR="000C4457" w:rsidRPr="000C4457" w:rsidRDefault="00AF0E0B" w:rsidP="001441F9">
      <w:pPr>
        <w:pStyle w:val="Subtitle"/>
      </w:pPr>
      <w:bookmarkStart w:id="76" w:name="_Toc64724169"/>
      <w:r w:rsidRPr="00AF0E0B">
        <w:lastRenderedPageBreak/>
        <w:t xml:space="preserve">Figure 1.8 Map of </w:t>
      </w:r>
      <w:r w:rsidR="007F013F">
        <w:t>M</w:t>
      </w:r>
      <w:r w:rsidRPr="00AF0E0B">
        <w:t xml:space="preserve">eta-analysis of </w:t>
      </w:r>
      <w:r w:rsidR="007F013F">
        <w:t>B</w:t>
      </w:r>
      <w:r w:rsidRPr="00AF0E0B">
        <w:t xml:space="preserve">rain </w:t>
      </w:r>
      <w:r w:rsidR="007F013F">
        <w:t>R</w:t>
      </w:r>
      <w:r w:rsidRPr="00AF0E0B">
        <w:t xml:space="preserve">egions </w:t>
      </w:r>
      <w:r w:rsidR="007F013F">
        <w:t>A</w:t>
      </w:r>
      <w:r w:rsidRPr="00AF0E0B">
        <w:t xml:space="preserve">ctivated by BOLD fMRI as a </w:t>
      </w:r>
      <w:r w:rsidR="007F013F">
        <w:t>R</w:t>
      </w:r>
      <w:r w:rsidRPr="00AF0E0B">
        <w:t xml:space="preserve">esult of a </w:t>
      </w:r>
      <w:r w:rsidR="007F013F">
        <w:t>N</w:t>
      </w:r>
      <w:r w:rsidRPr="00AF0E0B">
        <w:t xml:space="preserve">oxious </w:t>
      </w:r>
      <w:r w:rsidR="007F013F">
        <w:t>S</w:t>
      </w:r>
      <w:r w:rsidRPr="00AF0E0B">
        <w:t>timulus</w:t>
      </w:r>
      <w:bookmarkEnd w:id="75"/>
      <w:bookmarkEnd w:id="76"/>
    </w:p>
    <w:p w14:paraId="1C9CEC2F" w14:textId="7ED56DE3" w:rsidR="000C4457"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eastAsia="Arial Unicode MS" w:cs="Arial Unicode MS"/>
          <w:noProof/>
          <w:color w:val="000000"/>
          <w:u w:color="000000"/>
          <w:bdr w:val="nil"/>
          <w:lang w:val="en-US" w:eastAsia="en-GB"/>
        </w:rPr>
        <w:drawing>
          <wp:inline distT="0" distB="0" distL="0" distR="0" wp14:anchorId="79DFA428" wp14:editId="13A97D15">
            <wp:extent cx="4146550" cy="2886038"/>
            <wp:effectExtent l="0" t="0" r="0" b="0"/>
            <wp:docPr id="1073741838" name="officeArt object" descr="A picture containing photo, monitor, group,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38" name="A picture containing photo, monitor, group, computer&#10;&#10;Description automatically generated" descr="A picture containing photo, monitor, group, computerDescription automatically generated"/>
                    <pic:cNvPicPr>
                      <a:picLocks noChangeAspect="1"/>
                    </pic:cNvPicPr>
                  </pic:nvPicPr>
                  <pic:blipFill>
                    <a:blip r:embed="rId19"/>
                    <a:stretch>
                      <a:fillRect/>
                    </a:stretch>
                  </pic:blipFill>
                  <pic:spPr>
                    <a:xfrm>
                      <a:off x="0" y="0"/>
                      <a:ext cx="4146550" cy="2886038"/>
                    </a:xfrm>
                    <a:prstGeom prst="rect">
                      <a:avLst/>
                    </a:prstGeom>
                    <a:ln w="12700" cap="flat">
                      <a:noFill/>
                      <a:miter lim="400000"/>
                    </a:ln>
                    <a:effectLst/>
                  </pic:spPr>
                </pic:pic>
              </a:graphicData>
            </a:graphic>
          </wp:inline>
        </w:drawing>
      </w:r>
    </w:p>
    <w:p w14:paraId="6FDA0202" w14:textId="1DCD6EDD" w:rsidR="00AF0E0B" w:rsidRDefault="00AF0E0B" w:rsidP="00AF0E0B">
      <w:pPr>
        <w:pBdr>
          <w:top w:val="nil"/>
          <w:left w:val="nil"/>
          <w:bottom w:val="nil"/>
          <w:right w:val="nil"/>
          <w:between w:val="nil"/>
          <w:bar w:val="nil"/>
        </w:pBdr>
        <w:suppressAutoHyphens/>
        <w:spacing w:line="360" w:lineRule="auto"/>
        <w:rPr>
          <w:rFonts w:eastAsia="Arial Unicode MS" w:cs="Arial Unicode MS"/>
          <w:i/>
          <w:iCs/>
          <w:color w:val="808080"/>
          <w:sz w:val="21"/>
          <w:szCs w:val="21"/>
          <w:u w:color="808080"/>
          <w:bdr w:val="nil"/>
          <w:lang w:val="it-IT" w:eastAsia="en-GB"/>
        </w:rPr>
      </w:pPr>
      <w:r w:rsidRPr="00AF0E0B">
        <w:rPr>
          <w:rFonts w:eastAsia="Arial Unicode MS" w:cs="Arial Unicode MS"/>
          <w:i/>
          <w:iCs/>
          <w:color w:val="808080"/>
          <w:sz w:val="21"/>
          <w:szCs w:val="21"/>
          <w:u w:color="808080"/>
          <w:bdr w:val="nil"/>
          <w:lang w:val="en-US" w:eastAsia="en-GB"/>
        </w:rPr>
        <w:t>Activation likelihood estimate map describing the likelihood of evoking activation in the brain in response to noxious stimuli applied to the skin, muscle, or viscera. Brain regions having a significant likelihood of being activated by noxious stimuli included the secondary somatosensory cortex (SII), the anterior cingulate cortex (ACC), the primary somatosensory and motor (SI/MI) cortices, the cerebellum, the midbrain, and the insula (anterior, middle, and dorsal posterior regions), and the thalamus. The z</w:t>
      </w:r>
      <w:r w:rsidRPr="00AF0E0B">
        <w:rPr>
          <w:rFonts w:ascii="Cambria Math" w:eastAsia="Cambria Math" w:hAnsi="Cambria Math" w:cs="Cambria Math"/>
          <w:i/>
          <w:iCs/>
          <w:color w:val="808080"/>
          <w:sz w:val="21"/>
          <w:szCs w:val="21"/>
          <w:u w:color="808080"/>
          <w:bdr w:val="nil"/>
          <w:lang w:val="en-US" w:eastAsia="en-GB"/>
        </w:rPr>
        <w:t>‐</w:t>
      </w:r>
      <w:r w:rsidRPr="00AF0E0B">
        <w:rPr>
          <w:rFonts w:eastAsia="Arial Unicode MS" w:cs="Arial Unicode MS"/>
          <w:i/>
          <w:iCs/>
          <w:color w:val="808080"/>
          <w:sz w:val="21"/>
          <w:szCs w:val="21"/>
          <w:u w:color="808080"/>
          <w:bdr w:val="nil"/>
          <w:lang w:val="en-US" w:eastAsia="en-GB"/>
        </w:rPr>
        <w:t xml:space="preserve">values for the horizontal images are in </w:t>
      </w:r>
      <w:proofErr w:type="spellStart"/>
      <w:r w:rsidRPr="00AF0E0B">
        <w:rPr>
          <w:rFonts w:eastAsia="Arial Unicode MS" w:cs="Arial Unicode MS"/>
          <w:i/>
          <w:iCs/>
          <w:color w:val="808080"/>
          <w:sz w:val="21"/>
          <w:szCs w:val="21"/>
          <w:u w:color="808080"/>
          <w:bdr w:val="nil"/>
          <w:lang w:val="en-US" w:eastAsia="en-GB"/>
        </w:rPr>
        <w:t>Talairach</w:t>
      </w:r>
      <w:proofErr w:type="spellEnd"/>
      <w:r w:rsidRPr="00AF0E0B">
        <w:rPr>
          <w:rFonts w:eastAsia="Arial Unicode MS" w:cs="Arial Unicode MS"/>
          <w:i/>
          <w:iCs/>
          <w:color w:val="808080"/>
          <w:sz w:val="21"/>
          <w:szCs w:val="21"/>
          <w:u w:color="808080"/>
          <w:bdr w:val="nil"/>
          <w:lang w:val="en-US" w:eastAsia="en-GB"/>
        </w:rPr>
        <w:t xml:space="preserve"> space. From </w:t>
      </w:r>
      <w:r w:rsidRPr="00AF0E0B">
        <w:rPr>
          <w:rFonts w:eastAsia="Arial Unicode MS" w:cs="Arial Unicode MS"/>
          <w:i/>
          <w:iCs/>
          <w:color w:val="808080"/>
          <w:sz w:val="21"/>
          <w:szCs w:val="21"/>
          <w:u w:color="808080"/>
          <w:bdr w:val="nil"/>
          <w:lang w:val="it-IT" w:eastAsia="en-GB"/>
        </w:rPr>
        <w:fldChar w:fldCharType="begin"/>
      </w:r>
      <w:r w:rsidRPr="00AF0E0B">
        <w:rPr>
          <w:rFonts w:eastAsia="Arial Unicode MS" w:cs="Arial Unicode MS"/>
          <w:i/>
          <w:iCs/>
          <w:color w:val="808080"/>
          <w:sz w:val="21"/>
          <w:szCs w:val="21"/>
          <w:u w:color="808080"/>
          <w:bdr w:val="nil"/>
          <w:lang w:val="it-IT" w:eastAsia="en-GB"/>
        </w:rPr>
        <w:instrText xml:space="preserve"> ADDIN EN.CITE &lt;EndNote&gt;&lt;Cite  &gt;&lt;Author&gt;Duerden&lt;/Author&gt;&lt;Year&gt;2013&lt;/Year&gt;&lt;RecNum&gt;696&lt;/RecNum&gt;&lt;DisplayText&gt;(Duerden and Albanese, 2013)&lt;/DisplayText&gt;&lt;record&gt;&lt;dates&gt;&lt;pub-dates&gt;&lt;date&gt;Jan&lt;/date&gt;&lt;/pub-dates&gt;&lt;year&gt;2013&lt;/year&gt;&lt;/dates&gt;&lt;keywords&gt;&lt;keyword&gt;pain&lt;/keyword&gt;&lt;keyword&gt;fMRI&lt;/keyword&gt;&lt;keyword&gt;PET&lt;/keyword&gt;&lt;keyword&gt;brain&lt;/keyword&gt;&lt;keyword&gt;human&lt;/keyword&gt;&lt;keyword&gt;POSITRON-EMISSION-TOMOGRAPHY&lt;/keyword&gt;&lt;keyword&gt;ANTERIOR CINGULATE CORTEX&lt;/keyword&gt;&lt;keyword&gt;PRIMARY&lt;/keyword&gt;&lt;keyword&gt;SOMATOSENSORY CORTEX&lt;/keyword&gt;&lt;keyword&gt;SINGLE-TRIAL FMRI&lt;/keyword&gt;&lt;keyword&gt;NOXIOUS THERMAL-STIMULATION&lt;/keyword&gt;&lt;keyword/&gt;&lt;keyword&gt;CEREBRAL-BLOOD-FLOW&lt;/keyword&gt;&lt;keyword&gt;FALSE DISCOVERY RATE&lt;/keyword&gt;&lt;keyword&gt;FUNCTIONAL MRI&lt;/keyword&gt;&lt;keyword&gt;MUSCLE PAIN&lt;/keyword&gt;&lt;keyword/&gt;&lt;keyword&gt;INSULAR CORTEX&lt;/keyword&gt;&lt;/keywords&gt;&lt;urls&gt;&lt;related-urls&gt;&lt;url&gt;&amp;lt;Go to ISI&amp;gt;://WOS:000312538200008&lt;/url&gt;&lt;/related-urls&gt;&lt;/urls&gt;&lt;isbn&gt;1065-9471&lt;/isbn&gt;&lt;work-type&gt;Review&lt;/work-type&gt;&lt;titles&gt;&lt;title&gt;Localization of pain-related brain activation: A meta-analysis of neuroimaging data&lt;/title&gt;&lt;secondary-title&gt;Human Brain Mapping&lt;/secondary-title&gt;&lt;alt-title&gt;Hum. Brain Mapp.&lt;/alt-title&gt;&lt;/titles&gt;&lt;pages&gt;109-149&lt;/pages&gt;&lt;number&gt;1&lt;/number&gt;&lt;contributors&gt;&lt;authors&gt;&lt;author&gt;Duerden, E. G.&lt;/author&gt;&lt;author&gt;Albanese, M. C.&lt;/author&gt;&lt;/authors&gt;&lt;/contributors&gt;&lt;language&gt;English&lt;/language&gt;&lt;added-date format="utc"&gt;1358441763&lt;/added-date&gt;&lt;ref-type name="Journal Article"&gt;17&lt;/ref-type&gt;&lt;auth-address&gt;[Duerden, Emma G.] Univ Montreal, Dept Physiol, Grp Rech Syst Nerveux Cent, Montreal, PQ H3C 3J7, Canada. [Duerden, Emma G.] Inst Univ Geriat Montreal, Ctr Rech, Montreal, PQ, Canada. [Albanese, Marie-Claire] McGill Univ, Dept Psychol, Montreal, PQ, Canada.&amp;#13;Duerden, EG (reprint author), Hosp Sick Children, Dept Diagnost Imaging, 555 Univ Ave, Toronto, ON M5G 1Z8, Canada.&amp;#13;emma.duerden@sickkids.ca&lt;/auth-address&gt;&lt;rec-number&gt;696&lt;/rec-number&gt;&lt;last-updated-date format="utc"&gt;1479835885&lt;/last-updated-date&gt;&lt;accession-num&gt;WOS:000312538200008&lt;/accession-num&gt;&lt;electronic-resource-num&gt;10.1002/hbm.21416&lt;/electronic-resource-num&gt;&lt;volume&gt;34&lt;/volume&gt;&lt;/record&gt;&lt;/Cite&gt;&lt;/EndNote&gt;</w:instrText>
      </w:r>
      <w:r w:rsidRPr="00AF0E0B">
        <w:rPr>
          <w:rFonts w:eastAsia="Arial Unicode MS" w:cs="Arial Unicode MS"/>
          <w:i/>
          <w:iCs/>
          <w:color w:val="808080"/>
          <w:sz w:val="21"/>
          <w:szCs w:val="21"/>
          <w:u w:color="808080"/>
          <w:bdr w:val="nil"/>
          <w:lang w:val="it-IT" w:eastAsia="en-GB"/>
        </w:rPr>
        <w:fldChar w:fldCharType="separate"/>
      </w:r>
      <w:r w:rsidRPr="00AF0E0B">
        <w:rPr>
          <w:rFonts w:eastAsia="Arial Unicode MS" w:cs="Arial Unicode MS"/>
          <w:i/>
          <w:iCs/>
          <w:color w:val="808080"/>
          <w:sz w:val="21"/>
          <w:szCs w:val="21"/>
          <w:u w:color="808080"/>
          <w:bdr w:val="nil"/>
          <w:lang w:val="it-IT" w:eastAsia="en-GB"/>
        </w:rPr>
        <w:t>(</w:t>
      </w:r>
      <w:proofErr w:type="spellStart"/>
      <w:r w:rsidRPr="00AF0E0B">
        <w:rPr>
          <w:rFonts w:eastAsia="Arial Unicode MS" w:cs="Arial Unicode MS"/>
          <w:i/>
          <w:iCs/>
          <w:color w:val="808080"/>
          <w:sz w:val="21"/>
          <w:szCs w:val="21"/>
          <w:u w:color="808080"/>
          <w:bdr w:val="nil"/>
          <w:lang w:val="it-IT" w:eastAsia="en-GB"/>
        </w:rPr>
        <w:t>Duerden</w:t>
      </w:r>
      <w:proofErr w:type="spellEnd"/>
      <w:r w:rsidRPr="00AF0E0B">
        <w:rPr>
          <w:rFonts w:eastAsia="Arial Unicode MS" w:cs="Arial Unicode MS"/>
          <w:i/>
          <w:iCs/>
          <w:color w:val="808080"/>
          <w:sz w:val="21"/>
          <w:szCs w:val="21"/>
          <w:u w:color="808080"/>
          <w:bdr w:val="nil"/>
          <w:lang w:val="it-IT" w:eastAsia="en-GB"/>
        </w:rPr>
        <w:t xml:space="preserve"> and Albanese, 2013)</w:t>
      </w:r>
      <w:r w:rsidRPr="00AF0E0B">
        <w:rPr>
          <w:rFonts w:eastAsia="Arial Unicode MS" w:cs="Arial Unicode MS"/>
          <w:i/>
          <w:iCs/>
          <w:color w:val="808080"/>
          <w:sz w:val="21"/>
          <w:szCs w:val="21"/>
          <w:u w:color="808080"/>
          <w:bdr w:val="nil"/>
          <w:lang w:val="it-IT" w:eastAsia="en-GB"/>
        </w:rPr>
        <w:fldChar w:fldCharType="end"/>
      </w:r>
      <w:r w:rsidR="00270D9A">
        <w:rPr>
          <w:rFonts w:eastAsia="Arial Unicode MS" w:cs="Arial Unicode MS"/>
          <w:i/>
          <w:iCs/>
          <w:color w:val="808080"/>
          <w:sz w:val="21"/>
          <w:szCs w:val="21"/>
          <w:u w:color="808080"/>
          <w:bdr w:val="nil"/>
          <w:lang w:val="it-IT" w:eastAsia="en-GB"/>
        </w:rPr>
        <w:t xml:space="preserve"> </w:t>
      </w:r>
      <w:proofErr w:type="spellStart"/>
      <w:r w:rsidR="00270D9A">
        <w:rPr>
          <w:rFonts w:eastAsia="Arial Unicode MS" w:cs="Arial Unicode MS"/>
          <w:i/>
          <w:iCs/>
          <w:color w:val="808080"/>
          <w:sz w:val="21"/>
          <w:szCs w:val="21"/>
          <w:u w:color="808080"/>
          <w:bdr w:val="nil"/>
          <w:lang w:val="it-IT" w:eastAsia="en-GB"/>
        </w:rPr>
        <w:t>reproduced</w:t>
      </w:r>
      <w:proofErr w:type="spellEnd"/>
      <w:r w:rsidR="00270D9A">
        <w:rPr>
          <w:rFonts w:eastAsia="Arial Unicode MS" w:cs="Arial Unicode MS"/>
          <w:i/>
          <w:iCs/>
          <w:color w:val="808080"/>
          <w:sz w:val="21"/>
          <w:szCs w:val="21"/>
          <w:u w:color="808080"/>
          <w:bdr w:val="nil"/>
          <w:lang w:val="it-IT" w:eastAsia="en-GB"/>
        </w:rPr>
        <w:t xml:space="preserve"> with </w:t>
      </w:r>
      <w:proofErr w:type="spellStart"/>
      <w:r w:rsidR="00270D9A">
        <w:rPr>
          <w:rFonts w:eastAsia="Arial Unicode MS" w:cs="Arial Unicode MS"/>
          <w:i/>
          <w:iCs/>
          <w:color w:val="808080"/>
          <w:sz w:val="21"/>
          <w:szCs w:val="21"/>
          <w:u w:color="808080"/>
          <w:bdr w:val="nil"/>
          <w:lang w:val="it-IT" w:eastAsia="en-GB"/>
        </w:rPr>
        <w:t>permission</w:t>
      </w:r>
      <w:proofErr w:type="spellEnd"/>
      <w:r w:rsidR="00270D9A">
        <w:rPr>
          <w:rFonts w:eastAsia="Arial Unicode MS" w:cs="Arial Unicode MS"/>
          <w:i/>
          <w:iCs/>
          <w:color w:val="808080"/>
          <w:sz w:val="21"/>
          <w:szCs w:val="21"/>
          <w:u w:color="808080"/>
          <w:bdr w:val="nil"/>
          <w:lang w:val="it-IT" w:eastAsia="en-GB"/>
        </w:rPr>
        <w:t xml:space="preserve"> </w:t>
      </w:r>
      <w:r w:rsidR="00270D9A" w:rsidRPr="00FE3E5C">
        <w:rPr>
          <w:rFonts w:eastAsia="Arial" w:cs="Arial"/>
          <w:i/>
          <w:iCs/>
          <w:color w:val="808080"/>
          <w:sz w:val="21"/>
          <w:szCs w:val="21"/>
          <w:u w:color="808080"/>
          <w:bdr w:val="nil"/>
          <w:lang w:eastAsia="en-GB"/>
        </w:rPr>
        <w:t xml:space="preserve">© </w:t>
      </w:r>
      <w:r w:rsidR="00270D9A">
        <w:rPr>
          <w:rFonts w:eastAsia="Arial" w:cs="Arial"/>
          <w:i/>
          <w:iCs/>
          <w:color w:val="808080"/>
          <w:sz w:val="21"/>
          <w:szCs w:val="21"/>
          <w:u w:color="808080"/>
          <w:bdr w:val="nil"/>
          <w:lang w:eastAsia="en-GB"/>
        </w:rPr>
        <w:t>2011,</w:t>
      </w:r>
      <w:r w:rsidR="00270D9A" w:rsidRPr="00FE3E5C">
        <w:rPr>
          <w:rFonts w:eastAsia="Arial" w:cs="Arial"/>
          <w:i/>
          <w:iCs/>
          <w:color w:val="808080"/>
          <w:sz w:val="21"/>
          <w:szCs w:val="21"/>
          <w:u w:color="808080"/>
          <w:bdr w:val="nil"/>
          <w:lang w:eastAsia="en-GB"/>
        </w:rPr>
        <w:t xml:space="preserve"> </w:t>
      </w:r>
      <w:r w:rsidR="00270D9A">
        <w:rPr>
          <w:rFonts w:eastAsia="Arial" w:cs="Arial"/>
          <w:i/>
          <w:iCs/>
          <w:color w:val="808080"/>
          <w:sz w:val="21"/>
          <w:szCs w:val="21"/>
          <w:u w:color="808080"/>
          <w:bdr w:val="nil"/>
          <w:lang w:eastAsia="en-GB"/>
        </w:rPr>
        <w:t>John Wiley and Sons</w:t>
      </w:r>
      <w:r w:rsidR="00270D9A" w:rsidRPr="00AF0E0B">
        <w:rPr>
          <w:rFonts w:eastAsia="Arial Unicode MS" w:cs="Arial Unicode MS"/>
          <w:i/>
          <w:iCs/>
          <w:color w:val="808080"/>
          <w:sz w:val="21"/>
          <w:szCs w:val="21"/>
          <w:u w:color="808080"/>
          <w:bdr w:val="nil"/>
          <w:lang w:val="it-IT" w:eastAsia="en-GB"/>
        </w:rPr>
        <w:t xml:space="preserve"> </w:t>
      </w:r>
      <w:r w:rsidR="00270D9A" w:rsidRPr="00AF0E0B">
        <w:rPr>
          <w:rFonts w:eastAsia="Arial Unicode MS" w:cs="Arial Unicode MS"/>
          <w:i/>
          <w:iCs/>
          <w:color w:val="808080"/>
          <w:sz w:val="21"/>
          <w:szCs w:val="21"/>
          <w:u w:color="808080"/>
          <w:bdr w:val="nil"/>
          <w:lang w:val="it-IT" w:eastAsia="en-GB"/>
        </w:rPr>
        <w:fldChar w:fldCharType="begin"/>
      </w:r>
      <w:r w:rsidR="00270D9A" w:rsidRPr="00AF0E0B">
        <w:rPr>
          <w:rFonts w:eastAsia="Arial Unicode MS" w:cs="Arial Unicode MS"/>
          <w:i/>
          <w:iCs/>
          <w:color w:val="808080"/>
          <w:sz w:val="21"/>
          <w:szCs w:val="21"/>
          <w:u w:color="808080"/>
          <w:bdr w:val="nil"/>
          <w:lang w:val="it-IT" w:eastAsia="en-GB"/>
        </w:rPr>
        <w:instrText xml:space="preserve"> ADDIN EN.CITE &lt;EndNote&gt;&lt;Cite  &gt;&lt;Author&gt;Duerden&lt;/Author&gt;&lt;Year&gt;2013&lt;/Year&gt;&lt;RecNum&gt;696&lt;/RecNum&gt;&lt;DisplayText&gt;(Duerden and Albanese, 2013)&lt;/DisplayText&gt;&lt;record&gt;&lt;dates&gt;&lt;pub-dates&gt;&lt;date&gt;Jan&lt;/date&gt;&lt;/pub-dates&gt;&lt;year&gt;2013&lt;/year&gt;&lt;/dates&gt;&lt;keywords&gt;&lt;keyword&gt;pain&lt;/keyword&gt;&lt;keyword&gt;fMRI&lt;/keyword&gt;&lt;keyword&gt;PET&lt;/keyword&gt;&lt;keyword&gt;brain&lt;/keyword&gt;&lt;keyword&gt;human&lt;/keyword&gt;&lt;keyword&gt;POSITRON-EMISSION-TOMOGRAPHY&lt;/keyword&gt;&lt;keyword&gt;ANTERIOR CINGULATE CORTEX&lt;/keyword&gt;&lt;keyword&gt;PRIMARY&lt;/keyword&gt;&lt;keyword&gt;SOMATOSENSORY CORTEX&lt;/keyword&gt;&lt;keyword&gt;SINGLE-TRIAL FMRI&lt;/keyword&gt;&lt;keyword&gt;NOXIOUS THERMAL-STIMULATION&lt;/keyword&gt;&lt;keyword/&gt;&lt;keyword&gt;CEREBRAL-BLOOD-FLOW&lt;/keyword&gt;&lt;keyword&gt;FALSE DISCOVERY RATE&lt;/keyword&gt;&lt;keyword&gt;FUNCTIONAL MRI&lt;/keyword&gt;&lt;keyword&gt;MUSCLE PAIN&lt;/keyword&gt;&lt;keyword/&gt;&lt;keyword&gt;INSULAR CORTEX&lt;/keyword&gt;&lt;/keywords&gt;&lt;urls&gt;&lt;related-urls&gt;&lt;url&gt;&amp;lt;Go to ISI&amp;gt;://WOS:000312538200008&lt;/url&gt;&lt;/related-urls&gt;&lt;/urls&gt;&lt;isbn&gt;1065-9471&lt;/isbn&gt;&lt;work-type&gt;Review&lt;/work-type&gt;&lt;titles&gt;&lt;title&gt;Localization of pain-related brain activation: A meta-analysis of neuroimaging data&lt;/title&gt;&lt;secondary-title&gt;Human Brain Mapping&lt;/secondary-title&gt;&lt;alt-title&gt;Hum. Brain Mapp.&lt;/alt-title&gt;&lt;/titles&gt;&lt;pages&gt;109-149&lt;/pages&gt;&lt;number&gt;1&lt;/number&gt;&lt;contributors&gt;&lt;authors&gt;&lt;author&gt;Duerden, E. G.&lt;/author&gt;&lt;author&gt;Albanese, M. C.&lt;/author&gt;&lt;/authors&gt;&lt;/contributors&gt;&lt;language&gt;English&lt;/language&gt;&lt;added-date format="utc"&gt;1358441763&lt;/added-date&gt;&lt;ref-type name="Journal Article"&gt;17&lt;/ref-type&gt;&lt;auth-address&gt;[Duerden, Emma G.] Univ Montreal, Dept Physiol, Grp Rech Syst Nerveux Cent, Montreal, PQ H3C 3J7, Canada. [Duerden, Emma G.] Inst Univ Geriat Montreal, Ctr Rech, Montreal, PQ, Canada. [Albanese, Marie-Claire] McGill Univ, Dept Psychol, Montreal, PQ, Canada.&amp;#13;Duerden, EG (reprint author), Hosp Sick Children, Dept Diagnost Imaging, 555 Univ Ave, Toronto, ON M5G 1Z8, Canada.&amp;#13;emma.duerden@sickkids.ca&lt;/auth-address&gt;&lt;rec-number&gt;696&lt;/rec-number&gt;&lt;last-updated-date format="utc"&gt;1479835885&lt;/last-updated-date&gt;&lt;accession-num&gt;WOS:000312538200008&lt;/accession-num&gt;&lt;electronic-resource-num&gt;10.1002/hbm.21416&lt;/electronic-resource-num&gt;&lt;volume&gt;34&lt;/volume&gt;&lt;/record&gt;&lt;/Cite&gt;&lt;/EndNote&gt;</w:instrText>
      </w:r>
      <w:r w:rsidR="00270D9A" w:rsidRPr="00AF0E0B">
        <w:rPr>
          <w:rFonts w:eastAsia="Arial Unicode MS" w:cs="Arial Unicode MS"/>
          <w:i/>
          <w:iCs/>
          <w:color w:val="808080"/>
          <w:sz w:val="21"/>
          <w:szCs w:val="21"/>
          <w:u w:color="808080"/>
          <w:bdr w:val="nil"/>
          <w:lang w:val="it-IT" w:eastAsia="en-GB"/>
        </w:rPr>
        <w:fldChar w:fldCharType="separate"/>
      </w:r>
      <w:r w:rsidR="00270D9A" w:rsidRPr="00AF0E0B">
        <w:rPr>
          <w:rFonts w:eastAsia="Arial Unicode MS" w:cs="Arial Unicode MS"/>
          <w:i/>
          <w:iCs/>
          <w:color w:val="808080"/>
          <w:sz w:val="21"/>
          <w:szCs w:val="21"/>
          <w:u w:color="808080"/>
          <w:bdr w:val="nil"/>
          <w:lang w:val="it-IT" w:eastAsia="en-GB"/>
        </w:rPr>
        <w:fldChar w:fldCharType="end"/>
      </w:r>
    </w:p>
    <w:p w14:paraId="5528BF60" w14:textId="77777777" w:rsidR="00FF1F4F" w:rsidRPr="00AF0E0B" w:rsidRDefault="00FF1F4F" w:rsidP="00AF0E0B">
      <w:pPr>
        <w:pBdr>
          <w:top w:val="nil"/>
          <w:left w:val="nil"/>
          <w:bottom w:val="nil"/>
          <w:right w:val="nil"/>
          <w:between w:val="nil"/>
          <w:bar w:val="nil"/>
        </w:pBdr>
        <w:suppressAutoHyphens/>
        <w:spacing w:line="360" w:lineRule="auto"/>
        <w:rPr>
          <w:rFonts w:eastAsia="Arial" w:cs="Arial"/>
          <w:i/>
          <w:iCs/>
          <w:color w:val="808080"/>
          <w:sz w:val="21"/>
          <w:szCs w:val="21"/>
          <w:u w:color="808080"/>
          <w:bdr w:val="nil"/>
          <w:lang w:val="en-US" w:eastAsia="en-GB"/>
        </w:rPr>
      </w:pPr>
    </w:p>
    <w:p w14:paraId="2C6E44B9" w14:textId="28039521"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eastAsia="Arial Unicode MS" w:cs="Arial Unicode MS"/>
          <w:color w:val="000000"/>
          <w:u w:color="000000"/>
          <w:bdr w:val="nil"/>
          <w:lang w:val="en-US" w:eastAsia="en-GB"/>
        </w:rPr>
        <w:t>disease states such as diabetes.  Therefore, our study will examine perfusion parameters of regions that are involved in pain perception of thermal noxious stimuli, including the thalamus, the insula, the ACC, the somatosensory cortex and a reference area in the white matter.</w:t>
      </w:r>
    </w:p>
    <w:p w14:paraId="03DB9AC1" w14:textId="77777777" w:rsidR="00AF0E0B" w:rsidRPr="00AF0E0B" w:rsidRDefault="00AF0E0B" w:rsidP="00E745CE">
      <w:pPr>
        <w:pStyle w:val="Heading2"/>
      </w:pPr>
      <w:bookmarkStart w:id="77" w:name="_Toc49972696"/>
      <w:bookmarkStart w:id="78" w:name="_Toc64723882"/>
      <w:r w:rsidRPr="00AF0E0B">
        <w:t>Conclusion:</w:t>
      </w:r>
      <w:bookmarkEnd w:id="77"/>
      <w:bookmarkEnd w:id="78"/>
      <w:r w:rsidRPr="00AF0E0B">
        <w:t xml:space="preserve"> </w:t>
      </w:r>
    </w:p>
    <w:p w14:paraId="1ACC8647" w14:textId="77777777" w:rsidR="00AF0E0B" w:rsidRPr="00AF0E0B" w:rsidRDefault="00AF0E0B" w:rsidP="00AF0E0B">
      <w:pPr>
        <w:pBdr>
          <w:top w:val="nil"/>
          <w:left w:val="nil"/>
          <w:bottom w:val="nil"/>
          <w:right w:val="nil"/>
          <w:between w:val="nil"/>
          <w:bar w:val="nil"/>
        </w:pBdr>
        <w:suppressAutoHyphens/>
        <w:spacing w:line="360" w:lineRule="auto"/>
        <w:rPr>
          <w:rFonts w:eastAsia="Arial Unicode MS" w:cs="Arial Unicode MS"/>
          <w:color w:val="000000"/>
          <w:u w:color="000000"/>
          <w:bdr w:val="nil"/>
          <w:lang w:val="en-US" w:eastAsia="en-GB"/>
        </w:rPr>
      </w:pPr>
      <w:r w:rsidRPr="00AF0E0B">
        <w:rPr>
          <w:rFonts w:eastAsia="Arial Unicode MS" w:cs="Arial Unicode MS"/>
          <w:color w:val="000000"/>
          <w:u w:color="000000"/>
          <w:bdr w:val="nil"/>
          <w:lang w:val="en-US" w:eastAsia="en-GB"/>
        </w:rPr>
        <w:t xml:space="preserve">This study will </w:t>
      </w:r>
      <w:proofErr w:type="spellStart"/>
      <w:r w:rsidRPr="00AF0E0B">
        <w:rPr>
          <w:rFonts w:eastAsia="Arial Unicode MS" w:cs="Arial Unicode MS"/>
          <w:color w:val="000000"/>
          <w:u w:color="000000"/>
          <w:bdr w:val="nil"/>
          <w:lang w:val="en-US" w:eastAsia="en-GB"/>
        </w:rPr>
        <w:t>utilise</w:t>
      </w:r>
      <w:proofErr w:type="spellEnd"/>
      <w:r w:rsidRPr="00AF0E0B">
        <w:rPr>
          <w:rFonts w:eastAsia="Arial Unicode MS" w:cs="Arial Unicode MS"/>
          <w:color w:val="000000"/>
          <w:u w:color="000000"/>
          <w:bdr w:val="nil"/>
          <w:lang w:val="en-US" w:eastAsia="en-GB"/>
        </w:rPr>
        <w:t xml:space="preserve"> DSC-MRI to describe microvascular perfusion characteristics of regions known to be involved in the processing of pain in the brain.  The inclusion of a number of different regions of interest will enable assessment of patterns of activation at baseline and during a pain stimulus.  The quantifiable nature of the technique will allow examination of baseline differences in perfusion that may occur due to diabetes, neuropathy and P-DPN.  The perfusion responses to a noxious thermal stimulus will also be interrogated in subjects with P-DPN and control groups.   </w:t>
      </w:r>
    </w:p>
    <w:p w14:paraId="115F33B0" w14:textId="77777777" w:rsidR="00C62606" w:rsidRDefault="00C62606">
      <w:pPr>
        <w:rPr>
          <w:rFonts w:cs="Arial"/>
        </w:rPr>
      </w:pPr>
    </w:p>
    <w:p w14:paraId="6C88D186" w14:textId="26BD4BB5" w:rsidR="00C62606" w:rsidRPr="003A3CA0" w:rsidRDefault="00C62606" w:rsidP="00EC59CB">
      <w:pPr>
        <w:pStyle w:val="Heading1"/>
      </w:pPr>
      <w:bookmarkStart w:id="79" w:name="_Toc64723883"/>
      <w:r w:rsidRPr="003A3CA0">
        <w:lastRenderedPageBreak/>
        <w:t>Aims and Hypotheses</w:t>
      </w:r>
      <w:bookmarkEnd w:id="16"/>
      <w:bookmarkEnd w:id="17"/>
      <w:bookmarkEnd w:id="18"/>
      <w:bookmarkEnd w:id="79"/>
    </w:p>
    <w:p w14:paraId="57DAE0D6" w14:textId="6EFA1DC6" w:rsidR="00C62606" w:rsidRPr="003A3CA0" w:rsidRDefault="00C62606" w:rsidP="00C62606">
      <w:pPr>
        <w:spacing w:line="360" w:lineRule="auto"/>
        <w:rPr>
          <w:rFonts w:cs="Arial"/>
        </w:rPr>
      </w:pPr>
      <w:r w:rsidRPr="003A3CA0">
        <w:rPr>
          <w:rFonts w:cs="Arial"/>
        </w:rPr>
        <w:t xml:space="preserve">Painful </w:t>
      </w:r>
      <w:r w:rsidR="007545A2">
        <w:rPr>
          <w:rFonts w:cs="Arial"/>
        </w:rPr>
        <w:t>diabetic peripheral neuropathy (P-DPN)</w:t>
      </w:r>
      <w:r w:rsidRPr="003A3CA0">
        <w:rPr>
          <w:rFonts w:cs="Arial"/>
        </w:rPr>
        <w:t xml:space="preserve"> is a common and disabling problem, with no completely effective treatment.  Part of developing treatment</w:t>
      </w:r>
      <w:r w:rsidR="009A6F89">
        <w:rPr>
          <w:rFonts w:cs="Arial"/>
        </w:rPr>
        <w:t>s</w:t>
      </w:r>
      <w:r w:rsidRPr="003A3CA0">
        <w:rPr>
          <w:rFonts w:cs="Arial"/>
        </w:rPr>
        <w:t xml:space="preserve"> to relieve significant suffering is to </w:t>
      </w:r>
      <w:r w:rsidR="00A460BB">
        <w:rPr>
          <w:rFonts w:cs="Arial"/>
        </w:rPr>
        <w:t xml:space="preserve">try to </w:t>
      </w:r>
      <w:r w:rsidRPr="003A3CA0">
        <w:rPr>
          <w:rFonts w:cs="Arial"/>
        </w:rPr>
        <w:t xml:space="preserve">understand the full and complex pathogenesis of </w:t>
      </w:r>
      <w:r w:rsidRPr="003A3CA0">
        <w:rPr>
          <w:rFonts w:eastAsia="Arial" w:cs="Arial"/>
        </w:rPr>
        <w:t>P-DPN</w:t>
      </w:r>
      <w:r w:rsidRPr="003A3CA0">
        <w:rPr>
          <w:rFonts w:cs="Arial"/>
        </w:rPr>
        <w:t xml:space="preserve">.  Despite progress in understanding peripheral and central mechanisms involved in the </w:t>
      </w:r>
      <w:r w:rsidRPr="003A3CA0">
        <w:rPr>
          <w:rFonts w:eastAsia="Arial" w:cs="Arial"/>
        </w:rPr>
        <w:t>pathophysiology of neuropathic pain in diabetes</w:t>
      </w:r>
      <w:r w:rsidRPr="003A3CA0">
        <w:rPr>
          <w:rFonts w:cs="Arial"/>
        </w:rPr>
        <w:t xml:space="preserve">, it is </w:t>
      </w:r>
      <w:r w:rsidRPr="003A3CA0">
        <w:rPr>
          <w:rFonts w:eastAsia="Arial" w:cs="Arial"/>
        </w:rPr>
        <w:t xml:space="preserve">still </w:t>
      </w:r>
      <w:r w:rsidRPr="003A3CA0">
        <w:rPr>
          <w:rFonts w:cs="Arial"/>
        </w:rPr>
        <w:t xml:space="preserve">not known why some </w:t>
      </w:r>
      <w:r w:rsidRPr="003A3CA0">
        <w:rPr>
          <w:rFonts w:eastAsia="Arial" w:cs="Arial"/>
        </w:rPr>
        <w:t xml:space="preserve">patients </w:t>
      </w:r>
      <w:r w:rsidRPr="003A3CA0">
        <w:rPr>
          <w:rFonts w:cs="Arial"/>
        </w:rPr>
        <w:t xml:space="preserve">develop painful neuropathy whilst </w:t>
      </w:r>
      <w:r w:rsidRPr="003A3CA0">
        <w:rPr>
          <w:rFonts w:eastAsia="Arial" w:cs="Arial"/>
        </w:rPr>
        <w:t xml:space="preserve">others with neuropathy </w:t>
      </w:r>
      <w:r w:rsidRPr="003A3CA0">
        <w:rPr>
          <w:rFonts w:cs="Arial"/>
        </w:rPr>
        <w:t xml:space="preserve">do not.  By exploring the perfusion and other structural correlates of neuropathy </w:t>
      </w:r>
      <w:r w:rsidRPr="003A3CA0">
        <w:rPr>
          <w:rFonts w:eastAsia="Arial" w:cs="Arial"/>
        </w:rPr>
        <w:t xml:space="preserve">using </w:t>
      </w:r>
      <w:r w:rsidR="004F4E0F">
        <w:rPr>
          <w:rFonts w:cs="Arial"/>
        </w:rPr>
        <w:t>magnetic resonance</w:t>
      </w:r>
      <w:r w:rsidRPr="003A3CA0">
        <w:rPr>
          <w:rFonts w:cs="Arial"/>
        </w:rPr>
        <w:t xml:space="preserve"> imaging of the “pain matrix” of subjects with </w:t>
      </w:r>
      <w:r w:rsidRPr="003A3CA0">
        <w:rPr>
          <w:rFonts w:eastAsia="Arial" w:cs="Arial"/>
        </w:rPr>
        <w:t>P-DPN</w:t>
      </w:r>
      <w:r w:rsidRPr="003A3CA0">
        <w:rPr>
          <w:rFonts w:cs="Arial"/>
        </w:rPr>
        <w:t xml:space="preserve"> and controls, progress </w:t>
      </w:r>
      <w:r w:rsidRPr="003A3CA0">
        <w:rPr>
          <w:rFonts w:eastAsia="Arial" w:cs="Arial"/>
        </w:rPr>
        <w:t xml:space="preserve">may </w:t>
      </w:r>
      <w:r w:rsidRPr="003A3CA0">
        <w:rPr>
          <w:rFonts w:cs="Arial"/>
        </w:rPr>
        <w:t xml:space="preserve">be made towards understanding the pathogenesis of this condition and developing a </w:t>
      </w:r>
      <w:r w:rsidRPr="003A3CA0">
        <w:rPr>
          <w:rFonts w:eastAsia="Arial" w:cs="Arial"/>
        </w:rPr>
        <w:t>potential objective pain biomarker</w:t>
      </w:r>
      <w:r w:rsidRPr="003A3CA0">
        <w:rPr>
          <w:rFonts w:cs="Arial"/>
        </w:rPr>
        <w:t>.</w:t>
      </w:r>
    </w:p>
    <w:p w14:paraId="02F065F6" w14:textId="77777777" w:rsidR="00C62606" w:rsidRPr="003A3CA0" w:rsidRDefault="00C62606" w:rsidP="00E745CE">
      <w:pPr>
        <w:pStyle w:val="Heading2"/>
      </w:pPr>
      <w:bookmarkStart w:id="80" w:name="_Toc235118481"/>
      <w:bookmarkStart w:id="81" w:name="_Toc431375270"/>
      <w:bookmarkStart w:id="82" w:name="_Toc48364649"/>
      <w:bookmarkStart w:id="83" w:name="_Toc64723884"/>
      <w:r w:rsidRPr="003A3CA0">
        <w:t>Primary Aims:</w:t>
      </w:r>
      <w:bookmarkEnd w:id="80"/>
      <w:bookmarkEnd w:id="81"/>
      <w:bookmarkEnd w:id="82"/>
      <w:bookmarkEnd w:id="83"/>
    </w:p>
    <w:p w14:paraId="5B843747" w14:textId="522FA622" w:rsidR="00C62606" w:rsidRPr="003A3CA0" w:rsidRDefault="00C62606" w:rsidP="00EC59CB">
      <w:pPr>
        <w:pStyle w:val="Heading3"/>
      </w:pPr>
      <w:bookmarkStart w:id="84" w:name="_Toc431375271"/>
      <w:bookmarkStart w:id="85" w:name="_Toc48364650"/>
      <w:bookmarkStart w:id="86" w:name="_Toc64723885"/>
      <w:r w:rsidRPr="003A3CA0">
        <w:t xml:space="preserve">Aim 1: </w:t>
      </w:r>
      <w:r w:rsidR="001E1775">
        <w:t xml:space="preserve"> </w:t>
      </w:r>
      <w:r w:rsidRPr="003A3CA0">
        <w:t xml:space="preserve">To determine the </w:t>
      </w:r>
      <w:r w:rsidR="007D7DEA">
        <w:t>microvascular</w:t>
      </w:r>
      <w:r w:rsidRPr="003A3CA0">
        <w:t xml:space="preserve"> perfusion characteristics of the thalamus and other areas of the pain network (matrix) in T1D subjects with P-DPN using dynamic susceptibility contrast</w:t>
      </w:r>
      <w:bookmarkEnd w:id="84"/>
      <w:bookmarkEnd w:id="85"/>
      <w:r w:rsidR="00993E64">
        <w:t>.</w:t>
      </w:r>
      <w:bookmarkEnd w:id="86"/>
    </w:p>
    <w:p w14:paraId="7A497F60" w14:textId="3ACB6872" w:rsidR="00C62606" w:rsidRPr="003A3CA0" w:rsidRDefault="00C62606" w:rsidP="00C62606">
      <w:pPr>
        <w:spacing w:line="360" w:lineRule="auto"/>
        <w:jc w:val="both"/>
        <w:rPr>
          <w:rFonts w:cs="Arial"/>
          <w:bCs/>
        </w:rPr>
      </w:pPr>
      <w:r w:rsidRPr="003A3CA0">
        <w:rPr>
          <w:rFonts w:cs="Arial"/>
          <w:bCs/>
          <w:i/>
          <w:color w:val="000000"/>
          <w:u w:val="single"/>
        </w:rPr>
        <w:t>Hypothesis:</w:t>
      </w:r>
      <w:r w:rsidRPr="003A3CA0">
        <w:rPr>
          <w:rFonts w:cs="Arial"/>
          <w:bCs/>
          <w:color w:val="000000"/>
        </w:rPr>
        <w:t xml:space="preserve"> </w:t>
      </w:r>
      <w:r w:rsidRPr="003A3CA0">
        <w:rPr>
          <w:rFonts w:eastAsia="Arial" w:cs="Arial"/>
          <w:color w:val="000000"/>
        </w:rPr>
        <w:t>P</w:t>
      </w:r>
      <w:r w:rsidR="00881239">
        <w:rPr>
          <w:rFonts w:cs="Arial"/>
          <w:color w:val="000000"/>
        </w:rPr>
        <w:t>ainful Diabetic Peripheral Neuropathy</w:t>
      </w:r>
      <w:r w:rsidRPr="003A3CA0">
        <w:rPr>
          <w:rFonts w:cs="Arial"/>
          <w:bCs/>
        </w:rPr>
        <w:t xml:space="preserve"> results in increased </w:t>
      </w:r>
      <w:r>
        <w:rPr>
          <w:rFonts w:cs="Arial"/>
          <w:bCs/>
        </w:rPr>
        <w:t>perfusion</w:t>
      </w:r>
      <w:r w:rsidRPr="003A3CA0">
        <w:rPr>
          <w:rFonts w:cs="Arial"/>
          <w:bCs/>
        </w:rPr>
        <w:t xml:space="preserve"> of the thalamus</w:t>
      </w:r>
      <w:r>
        <w:rPr>
          <w:rFonts w:cs="Arial"/>
          <w:bCs/>
        </w:rPr>
        <w:t xml:space="preserve"> at baseline measured by </w:t>
      </w:r>
      <w:r w:rsidR="004F4E0F">
        <w:rPr>
          <w:rFonts w:cs="Arial"/>
          <w:bCs/>
        </w:rPr>
        <w:t>dynamic susceptibility contrast magnetic resonance imaging,</w:t>
      </w:r>
      <w:r w:rsidRPr="003A3CA0">
        <w:rPr>
          <w:rFonts w:cs="Arial"/>
          <w:bCs/>
        </w:rPr>
        <w:t xml:space="preserve"> and </w:t>
      </w:r>
      <w:r>
        <w:rPr>
          <w:rFonts w:cs="Arial"/>
          <w:bCs/>
        </w:rPr>
        <w:t>increased</w:t>
      </w:r>
      <w:r w:rsidRPr="003A3CA0">
        <w:rPr>
          <w:rFonts w:cs="Arial"/>
          <w:bCs/>
        </w:rPr>
        <w:t xml:space="preserve"> </w:t>
      </w:r>
      <w:r>
        <w:rPr>
          <w:rFonts w:cs="Arial"/>
          <w:bCs/>
        </w:rPr>
        <w:t xml:space="preserve">perfusion in </w:t>
      </w:r>
      <w:r w:rsidRPr="003A3CA0">
        <w:rPr>
          <w:rFonts w:cs="Arial"/>
          <w:bCs/>
        </w:rPr>
        <w:t>other regions of the pain matrix.</w:t>
      </w:r>
    </w:p>
    <w:p w14:paraId="70A87BE2" w14:textId="6474D153" w:rsidR="00C62606" w:rsidRPr="003A3CA0" w:rsidRDefault="00C62606" w:rsidP="00C62606">
      <w:pPr>
        <w:spacing w:line="360" w:lineRule="auto"/>
        <w:jc w:val="both"/>
        <w:rPr>
          <w:rFonts w:cs="Arial"/>
        </w:rPr>
      </w:pPr>
      <w:r w:rsidRPr="003A3CA0">
        <w:rPr>
          <w:rFonts w:cs="Arial"/>
          <w:i/>
          <w:u w:val="single"/>
        </w:rPr>
        <w:t>Rationale</w:t>
      </w:r>
      <w:r w:rsidRPr="003A3CA0">
        <w:rPr>
          <w:rFonts w:eastAsia="Arial" w:cs="Arial"/>
          <w:i/>
          <w:u w:val="single"/>
        </w:rPr>
        <w:t>:</w:t>
      </w:r>
      <w:r w:rsidRPr="003A3CA0">
        <w:rPr>
          <w:rFonts w:cs="Arial"/>
        </w:rPr>
        <w:t xml:space="preserve"> The pain matrix consists of structurally and functionally integrated regions of the brain thought to play an important role in central pain processing. </w:t>
      </w:r>
      <w:r w:rsidRPr="003A3CA0">
        <w:rPr>
          <w:rFonts w:eastAsia="Arial" w:cs="Arial"/>
        </w:rPr>
        <w:t>This includes, the thalamus, an important pain processing gateway for sensory information entering the brain. A</w:t>
      </w:r>
      <w:r w:rsidRPr="003A3CA0">
        <w:rPr>
          <w:rFonts w:cs="Arial"/>
        </w:rPr>
        <w:t xml:space="preserve"> preliminary study</w:t>
      </w:r>
      <w:r w:rsidRPr="003A3CA0">
        <w:rPr>
          <w:rFonts w:eastAsia="Arial" w:cs="Arial"/>
        </w:rPr>
        <w:t xml:space="preserve"> from our group</w:t>
      </w:r>
      <w:r w:rsidRPr="003A3CA0">
        <w:rPr>
          <w:rFonts w:cs="Arial"/>
        </w:rPr>
        <w:t xml:space="preserve"> suggests increased thalamic vascularity in </w:t>
      </w:r>
      <w:r w:rsidR="004F4E0F">
        <w:rPr>
          <w:rFonts w:eastAsia="Arial" w:cs="Arial"/>
        </w:rPr>
        <w:t>painful diabetic peripheral neuropathy</w:t>
      </w:r>
      <w:r w:rsidRPr="003A3CA0">
        <w:rPr>
          <w:rFonts w:cs="Arial"/>
        </w:rPr>
        <w:t xml:space="preserve">. We now want to confirm this in a larger study and examine the hemodynamic status of other regions. To determine if these changes are specific to </w:t>
      </w:r>
      <w:r w:rsidR="004F4E0F">
        <w:rPr>
          <w:rFonts w:eastAsia="Arial" w:cs="Arial"/>
        </w:rPr>
        <w:t xml:space="preserve">painful diabetic peripheral neuropathy; comparison will be made to </w:t>
      </w:r>
      <w:r w:rsidRPr="003A3CA0">
        <w:rPr>
          <w:rFonts w:cs="Arial"/>
        </w:rPr>
        <w:t xml:space="preserve">control </w:t>
      </w:r>
      <w:r w:rsidRPr="003A3CA0">
        <w:rPr>
          <w:rFonts w:eastAsia="Arial" w:cs="Arial"/>
        </w:rPr>
        <w:t xml:space="preserve">groups with </w:t>
      </w:r>
      <w:r w:rsidR="004F4E0F">
        <w:rPr>
          <w:rFonts w:eastAsia="Arial" w:cs="Arial"/>
        </w:rPr>
        <w:t xml:space="preserve">painless diabetic neuropathy, </w:t>
      </w:r>
      <w:r w:rsidRPr="003A3CA0">
        <w:rPr>
          <w:rFonts w:eastAsia="Arial" w:cs="Arial"/>
        </w:rPr>
        <w:t xml:space="preserve">diabetes </w:t>
      </w:r>
      <w:r w:rsidR="004F4E0F">
        <w:rPr>
          <w:rFonts w:eastAsia="Arial" w:cs="Arial"/>
        </w:rPr>
        <w:t>with</w:t>
      </w:r>
      <w:r w:rsidRPr="003A3CA0">
        <w:rPr>
          <w:rFonts w:eastAsia="Arial" w:cs="Arial"/>
        </w:rPr>
        <w:t xml:space="preserve"> no neuropathy</w:t>
      </w:r>
      <w:r w:rsidR="004F4E0F">
        <w:rPr>
          <w:rFonts w:eastAsia="Arial" w:cs="Arial"/>
        </w:rPr>
        <w:t>,</w:t>
      </w:r>
      <w:r w:rsidRPr="003A3CA0">
        <w:rPr>
          <w:rFonts w:eastAsia="Arial" w:cs="Arial"/>
        </w:rPr>
        <w:t xml:space="preserve"> and healthy volunteers</w:t>
      </w:r>
      <w:r w:rsidRPr="003A3CA0">
        <w:rPr>
          <w:rFonts w:cs="Arial"/>
        </w:rPr>
        <w:t xml:space="preserve">. </w:t>
      </w:r>
    </w:p>
    <w:p w14:paraId="0AA5909B" w14:textId="44CF96D2" w:rsidR="00C62606" w:rsidRPr="003A3CA0" w:rsidRDefault="00C62606" w:rsidP="00C62606">
      <w:pPr>
        <w:spacing w:line="360" w:lineRule="auto"/>
        <w:jc w:val="both"/>
        <w:rPr>
          <w:rFonts w:cs="Arial"/>
        </w:rPr>
      </w:pPr>
      <w:r w:rsidRPr="003A3CA0">
        <w:rPr>
          <w:rFonts w:cs="Arial"/>
          <w:i/>
          <w:u w:val="single"/>
        </w:rPr>
        <w:t>Approach:</w:t>
      </w:r>
      <w:r w:rsidRPr="003A3CA0">
        <w:rPr>
          <w:rFonts w:cs="Arial"/>
        </w:rPr>
        <w:t xml:space="preserve"> We will use DSC MRI in four carefully characterized groups of</w:t>
      </w:r>
      <w:r w:rsidR="00881239">
        <w:rPr>
          <w:rFonts w:cs="Arial"/>
        </w:rPr>
        <w:t xml:space="preserve"> </w:t>
      </w:r>
      <w:r w:rsidRPr="003A3CA0">
        <w:rPr>
          <w:rFonts w:cs="Arial"/>
        </w:rPr>
        <w:t xml:space="preserve">subjects </w:t>
      </w:r>
      <w:r w:rsidR="00881239">
        <w:rPr>
          <w:rFonts w:cs="Arial"/>
        </w:rPr>
        <w:t xml:space="preserve">with type 1 diabetes: </w:t>
      </w:r>
      <w:r w:rsidR="00881239" w:rsidRPr="003A3CA0">
        <w:rPr>
          <w:rFonts w:eastAsia="Arial" w:cs="Arial"/>
        </w:rPr>
        <w:t>P</w:t>
      </w:r>
      <w:r w:rsidR="00881239">
        <w:rPr>
          <w:rFonts w:eastAsia="Arial" w:cs="Arial"/>
        </w:rPr>
        <w:t>ainful Diabetic Peripheral Neuropathy (P-DPN) Painless Diabetic Peripheral Neuropathy (DPN)</w:t>
      </w:r>
      <w:r w:rsidR="00881239" w:rsidRPr="003A3CA0">
        <w:rPr>
          <w:rFonts w:cs="Arial"/>
        </w:rPr>
        <w:t xml:space="preserve"> </w:t>
      </w:r>
      <w:r w:rsidR="00881239">
        <w:rPr>
          <w:rFonts w:cs="Arial"/>
        </w:rPr>
        <w:t xml:space="preserve">Type 1 Diabetes Mellitus with no neuropathy (DM-NN); </w:t>
      </w:r>
      <w:r w:rsidRPr="003A3CA0">
        <w:rPr>
          <w:rFonts w:cs="Arial"/>
        </w:rPr>
        <w:t>and healthy volunteers (HV).</w:t>
      </w:r>
    </w:p>
    <w:p w14:paraId="0CA93565" w14:textId="5DE95A27" w:rsidR="00C62606" w:rsidRPr="003A3CA0" w:rsidRDefault="00C62606" w:rsidP="00EC59CB">
      <w:pPr>
        <w:pStyle w:val="Heading3"/>
      </w:pPr>
      <w:bookmarkStart w:id="87" w:name="_Toc431375272"/>
      <w:bookmarkStart w:id="88" w:name="_Toc48364651"/>
      <w:bookmarkStart w:id="89" w:name="_Toc64723886"/>
      <w:r w:rsidRPr="003A3CA0">
        <w:lastRenderedPageBreak/>
        <w:t>Aim 2</w:t>
      </w:r>
      <w:r w:rsidR="001E1775">
        <w:t xml:space="preserve"> : </w:t>
      </w:r>
      <w:r w:rsidRPr="003A3CA0">
        <w:t xml:space="preserve"> To determine the effect of acute heat pain stimulus on the microvascular perfusion of the thalamus and other areas of the pain matrix in P-DPN using dynamic susceptibility contrast</w:t>
      </w:r>
      <w:bookmarkEnd w:id="87"/>
      <w:bookmarkEnd w:id="88"/>
      <w:bookmarkEnd w:id="89"/>
    </w:p>
    <w:p w14:paraId="5272282D" w14:textId="5635F607" w:rsidR="00C62606" w:rsidRPr="003A3CA0" w:rsidRDefault="00C62606" w:rsidP="00C62606">
      <w:pPr>
        <w:spacing w:line="360" w:lineRule="auto"/>
        <w:jc w:val="both"/>
        <w:rPr>
          <w:rFonts w:cs="Arial"/>
          <w:bCs/>
        </w:rPr>
      </w:pPr>
      <w:r w:rsidRPr="003A3CA0">
        <w:rPr>
          <w:rFonts w:cs="Arial"/>
          <w:bCs/>
          <w:i/>
          <w:color w:val="000000"/>
          <w:u w:val="single"/>
        </w:rPr>
        <w:t>Hypothesis:</w:t>
      </w:r>
      <w:r w:rsidRPr="003A3CA0">
        <w:rPr>
          <w:rFonts w:cs="Arial"/>
          <w:bCs/>
          <w:color w:val="000000"/>
        </w:rPr>
        <w:t xml:space="preserve"> </w:t>
      </w:r>
      <w:r w:rsidRPr="003A3CA0">
        <w:rPr>
          <w:rFonts w:eastAsia="Arial" w:cs="Arial"/>
          <w:color w:val="000000"/>
        </w:rPr>
        <w:t>P</w:t>
      </w:r>
      <w:r w:rsidR="004F4E0F">
        <w:rPr>
          <w:rFonts w:cs="Arial"/>
          <w:color w:val="000000"/>
        </w:rPr>
        <w:t>ainful Diabetic Peripheral Neuropathy</w:t>
      </w:r>
      <w:r w:rsidRPr="003A3CA0">
        <w:rPr>
          <w:rFonts w:cs="Arial"/>
          <w:bCs/>
        </w:rPr>
        <w:t xml:space="preserve"> results in increased </w:t>
      </w:r>
      <w:r>
        <w:rPr>
          <w:rFonts w:cs="Arial"/>
          <w:bCs/>
        </w:rPr>
        <w:t>perfusion</w:t>
      </w:r>
      <w:r w:rsidRPr="003A3CA0">
        <w:rPr>
          <w:rFonts w:cs="Arial"/>
          <w:bCs/>
        </w:rPr>
        <w:t xml:space="preserve"> of the thalamus</w:t>
      </w:r>
      <w:r>
        <w:rPr>
          <w:rFonts w:cs="Arial"/>
          <w:bCs/>
        </w:rPr>
        <w:t xml:space="preserve"> during experimental pain as measured by </w:t>
      </w:r>
      <w:r w:rsidR="004F4E0F">
        <w:rPr>
          <w:rFonts w:cs="Arial"/>
          <w:bCs/>
        </w:rPr>
        <w:t>dynamic susceptibility contrast magnetic resonance imaging</w:t>
      </w:r>
      <w:r w:rsidRPr="003A3CA0">
        <w:rPr>
          <w:rFonts w:cs="Arial"/>
          <w:bCs/>
        </w:rPr>
        <w:t xml:space="preserve"> and </w:t>
      </w:r>
      <w:r>
        <w:rPr>
          <w:rFonts w:cs="Arial"/>
          <w:bCs/>
        </w:rPr>
        <w:t>increased</w:t>
      </w:r>
      <w:r w:rsidRPr="003A3CA0">
        <w:rPr>
          <w:rFonts w:cs="Arial"/>
          <w:bCs/>
        </w:rPr>
        <w:t xml:space="preserve"> </w:t>
      </w:r>
      <w:r>
        <w:rPr>
          <w:rFonts w:cs="Arial"/>
          <w:bCs/>
        </w:rPr>
        <w:t xml:space="preserve">perfusion in </w:t>
      </w:r>
      <w:r w:rsidRPr="003A3CA0">
        <w:rPr>
          <w:rFonts w:cs="Arial"/>
          <w:bCs/>
        </w:rPr>
        <w:t>other regions of the pain matrix</w:t>
      </w:r>
      <w:r>
        <w:rPr>
          <w:rFonts w:cs="Arial"/>
          <w:bCs/>
        </w:rPr>
        <w:t xml:space="preserve"> as compared to control groups</w:t>
      </w:r>
      <w:r w:rsidRPr="003A3CA0">
        <w:rPr>
          <w:rFonts w:cs="Arial"/>
          <w:bCs/>
        </w:rPr>
        <w:t>.</w:t>
      </w:r>
    </w:p>
    <w:p w14:paraId="007C20F1" w14:textId="77777777" w:rsidR="00C62606" w:rsidRPr="003A3CA0" w:rsidRDefault="00C62606" w:rsidP="00C62606">
      <w:pPr>
        <w:spacing w:line="360" w:lineRule="auto"/>
        <w:jc w:val="both"/>
        <w:rPr>
          <w:rFonts w:cs="Arial"/>
          <w:bCs/>
        </w:rPr>
      </w:pPr>
    </w:p>
    <w:p w14:paraId="350861D1" w14:textId="1C2D4519" w:rsidR="00C62606" w:rsidRPr="003A3CA0" w:rsidRDefault="00C62606" w:rsidP="00C62606">
      <w:pPr>
        <w:spacing w:line="360" w:lineRule="auto"/>
        <w:rPr>
          <w:rFonts w:cs="Arial"/>
          <w:bCs/>
          <w:u w:val="single"/>
        </w:rPr>
      </w:pPr>
      <w:r w:rsidRPr="003A3CA0">
        <w:rPr>
          <w:rFonts w:cs="Arial"/>
          <w:bCs/>
          <w:i/>
          <w:u w:val="single"/>
        </w:rPr>
        <w:t>Rationale:</w:t>
      </w:r>
      <w:r w:rsidRPr="003A3CA0">
        <w:rPr>
          <w:rFonts w:cs="Arial"/>
        </w:rPr>
        <w:t xml:space="preserve"> An important question is whether any increased thalamic vascularity seen in </w:t>
      </w:r>
      <w:r w:rsidR="004F4E0F">
        <w:rPr>
          <w:rFonts w:eastAsia="Arial" w:cs="Arial"/>
        </w:rPr>
        <w:t xml:space="preserve">painful diabetic peripheral neuropathy </w:t>
      </w:r>
      <w:r w:rsidRPr="003A3CA0">
        <w:rPr>
          <w:rFonts w:cs="Arial"/>
        </w:rPr>
        <w:t>represents a precondition for pain or is a physiological consequence of pain itself. The h</w:t>
      </w:r>
      <w:r w:rsidR="00A460BB">
        <w:rPr>
          <w:rFonts w:cs="Arial"/>
        </w:rPr>
        <w:t>a</w:t>
      </w:r>
      <w:r w:rsidRPr="003A3CA0">
        <w:rPr>
          <w:rFonts w:cs="Arial"/>
        </w:rPr>
        <w:t>emodynamic changes that occur in response to evoked pain may help answer this question.</w:t>
      </w:r>
    </w:p>
    <w:p w14:paraId="1D9D6579" w14:textId="5F4D8B3E" w:rsidR="00C62606" w:rsidRPr="003A3CA0" w:rsidRDefault="00C62606" w:rsidP="00C62606">
      <w:pPr>
        <w:spacing w:line="360" w:lineRule="auto"/>
        <w:jc w:val="both"/>
        <w:rPr>
          <w:rFonts w:cs="Arial"/>
        </w:rPr>
      </w:pPr>
      <w:r w:rsidRPr="003A3CA0">
        <w:rPr>
          <w:rFonts w:cs="Arial"/>
          <w:i/>
          <w:color w:val="000000"/>
          <w:u w:val="single"/>
        </w:rPr>
        <w:t>Approach:</w:t>
      </w:r>
      <w:r w:rsidRPr="003A3CA0">
        <w:rPr>
          <w:rFonts w:cs="Arial"/>
          <w:color w:val="000000"/>
        </w:rPr>
        <w:t xml:space="preserve"> </w:t>
      </w:r>
      <w:r w:rsidRPr="003A3CA0">
        <w:rPr>
          <w:rFonts w:cs="Arial"/>
          <w:bCs/>
        </w:rPr>
        <w:t>The changes in microvascular perfusion in response to acute heat pain</w:t>
      </w:r>
      <w:r w:rsidRPr="003A3CA0">
        <w:rPr>
          <w:rFonts w:cs="Arial"/>
        </w:rPr>
        <w:t xml:space="preserve"> will be studied in the same cohort as in Aim 1, using </w:t>
      </w:r>
      <w:r w:rsidR="004F4E0F">
        <w:rPr>
          <w:rFonts w:cs="Arial"/>
        </w:rPr>
        <w:t>dynamic susceptibility contrast magnetic resonance imaging</w:t>
      </w:r>
      <w:r w:rsidRPr="003A3CA0">
        <w:rPr>
          <w:rFonts w:cs="Arial"/>
        </w:rPr>
        <w:t>.</w:t>
      </w:r>
    </w:p>
    <w:p w14:paraId="3A4A8A11" w14:textId="77777777" w:rsidR="00C62606" w:rsidRPr="003A3CA0" w:rsidRDefault="00C62606" w:rsidP="00E745CE">
      <w:pPr>
        <w:pStyle w:val="Heading2"/>
      </w:pPr>
      <w:bookmarkStart w:id="90" w:name="_Toc235118482"/>
      <w:bookmarkStart w:id="91" w:name="_Toc431375273"/>
      <w:bookmarkStart w:id="92" w:name="_Toc48364652"/>
      <w:bookmarkStart w:id="93" w:name="_Toc64723887"/>
      <w:r w:rsidRPr="003A3CA0">
        <w:t>Secondary Aims:</w:t>
      </w:r>
      <w:bookmarkEnd w:id="90"/>
      <w:bookmarkEnd w:id="91"/>
      <w:bookmarkEnd w:id="92"/>
      <w:bookmarkEnd w:id="93"/>
      <w:r w:rsidRPr="003A3CA0">
        <w:t xml:space="preserve"> </w:t>
      </w:r>
    </w:p>
    <w:p w14:paraId="589F8BB9" w14:textId="77777777" w:rsidR="00C62606" w:rsidRPr="003A3CA0" w:rsidRDefault="00C62606" w:rsidP="00EC59CB">
      <w:pPr>
        <w:pStyle w:val="Heading3"/>
      </w:pPr>
      <w:bookmarkStart w:id="94" w:name="_Toc48364653"/>
      <w:bookmarkStart w:id="95" w:name="_Toc64723888"/>
      <w:bookmarkStart w:id="96" w:name="_Toc235118483"/>
      <w:bookmarkStart w:id="97" w:name="_Toc431375274"/>
      <w:r w:rsidRPr="003A3CA0">
        <w:t xml:space="preserve">Aim 3:  To </w:t>
      </w:r>
      <w:proofErr w:type="spellStart"/>
      <w:r w:rsidRPr="003A3CA0">
        <w:t>characterise</w:t>
      </w:r>
      <w:proofErr w:type="spellEnd"/>
      <w:r w:rsidRPr="003A3CA0">
        <w:t xml:space="preserve"> the demographic and baseline neurological and psychological characteristics of participants within the four groups</w:t>
      </w:r>
      <w:bookmarkEnd w:id="94"/>
      <w:bookmarkEnd w:id="95"/>
    </w:p>
    <w:p w14:paraId="7BC01CC2" w14:textId="2393C42C" w:rsidR="00C62606" w:rsidRPr="003A3CA0" w:rsidRDefault="00C62606" w:rsidP="00C62606">
      <w:pPr>
        <w:spacing w:line="360" w:lineRule="auto"/>
        <w:rPr>
          <w:rFonts w:cs="Arial"/>
        </w:rPr>
      </w:pPr>
      <w:r w:rsidRPr="003A3CA0">
        <w:rPr>
          <w:rFonts w:cs="Arial"/>
          <w:i/>
          <w:u w:val="single"/>
        </w:rPr>
        <w:t>Hypothesis</w:t>
      </w:r>
      <w:r w:rsidRPr="003A3CA0">
        <w:rPr>
          <w:rFonts w:cs="Arial"/>
        </w:rPr>
        <w:t xml:space="preserve">: Measures of mood, hypochondriasis and pain catastrophising correlate with measures of </w:t>
      </w:r>
      <w:r w:rsidRPr="003A3CA0">
        <w:rPr>
          <w:rFonts w:eastAsia="Arial" w:cs="Arial"/>
        </w:rPr>
        <w:t>pain severity and alterations in brain perfusion of subjects with</w:t>
      </w:r>
      <w:r w:rsidR="00F1250E">
        <w:rPr>
          <w:rFonts w:cs="Arial"/>
        </w:rPr>
        <w:t xml:space="preserve"> painful diabetic peripheral neuropathy</w:t>
      </w:r>
      <w:r w:rsidRPr="003A3CA0">
        <w:rPr>
          <w:rFonts w:eastAsia="Arial" w:cs="Arial"/>
        </w:rPr>
        <w:t>.</w:t>
      </w:r>
    </w:p>
    <w:p w14:paraId="141C358A" w14:textId="77777777" w:rsidR="00C62606" w:rsidRPr="003A3CA0" w:rsidRDefault="00C62606" w:rsidP="00C62606">
      <w:pPr>
        <w:spacing w:line="360" w:lineRule="auto"/>
        <w:rPr>
          <w:rFonts w:cs="Arial"/>
        </w:rPr>
      </w:pPr>
      <w:r w:rsidRPr="003A3CA0">
        <w:rPr>
          <w:rFonts w:cs="Arial"/>
          <w:i/>
          <w:u w:val="single"/>
        </w:rPr>
        <w:t>Rationale</w:t>
      </w:r>
      <w:r w:rsidRPr="003A3CA0">
        <w:rPr>
          <w:rFonts w:cs="Arial"/>
        </w:rPr>
        <w:t>: Salience and attentional networks are increasingly described as abnormal in subjects with chronic pain, and may contribute to central determinants of pain</w:t>
      </w:r>
    </w:p>
    <w:p w14:paraId="193EBABD" w14:textId="77777777" w:rsidR="00C62606" w:rsidRPr="003A3CA0" w:rsidRDefault="00C62606" w:rsidP="00C62606">
      <w:pPr>
        <w:spacing w:line="360" w:lineRule="auto"/>
        <w:rPr>
          <w:rFonts w:cs="Arial"/>
        </w:rPr>
      </w:pPr>
      <w:r w:rsidRPr="003A3CA0">
        <w:rPr>
          <w:rFonts w:cs="Arial"/>
          <w:i/>
          <w:u w:val="single"/>
        </w:rPr>
        <w:t>Approach</w:t>
      </w:r>
      <w:r w:rsidRPr="003A3CA0">
        <w:rPr>
          <w:rFonts w:cs="Arial"/>
        </w:rPr>
        <w:t xml:space="preserve">: Subjects fill out and return questionnaires and the results will be compared </w:t>
      </w:r>
      <w:r w:rsidRPr="003A3CA0">
        <w:rPr>
          <w:rFonts w:eastAsia="Arial" w:cs="Arial"/>
        </w:rPr>
        <w:t xml:space="preserve">among </w:t>
      </w:r>
      <w:r w:rsidRPr="003A3CA0">
        <w:rPr>
          <w:rFonts w:cs="Arial"/>
        </w:rPr>
        <w:t xml:space="preserve">groups and correlated with perfusion parameters. </w:t>
      </w:r>
    </w:p>
    <w:p w14:paraId="168EA2B4" w14:textId="77777777" w:rsidR="00C62606" w:rsidRPr="003A3CA0" w:rsidRDefault="00C62606" w:rsidP="00EC59CB">
      <w:pPr>
        <w:pStyle w:val="Heading3"/>
      </w:pPr>
      <w:bookmarkStart w:id="98" w:name="_Toc48364654"/>
      <w:bookmarkStart w:id="99" w:name="_Toc64723889"/>
      <w:r w:rsidRPr="003A3CA0">
        <w:t xml:space="preserve">Aim 4: </w:t>
      </w:r>
      <w:bookmarkEnd w:id="96"/>
      <w:r w:rsidRPr="003A3CA0">
        <w:t>To determine the inter-rater reliability of Dynamic Susceptibility Contrast using an “off the shelf” post processing package</w:t>
      </w:r>
      <w:bookmarkEnd w:id="98"/>
      <w:bookmarkEnd w:id="99"/>
    </w:p>
    <w:p w14:paraId="79049626" w14:textId="59448B0C" w:rsidR="00C62606" w:rsidRPr="003A3CA0" w:rsidRDefault="00C62606" w:rsidP="00C62606">
      <w:pPr>
        <w:spacing w:line="360" w:lineRule="auto"/>
        <w:rPr>
          <w:rFonts w:cs="Arial"/>
        </w:rPr>
      </w:pPr>
      <w:r w:rsidRPr="003A3CA0">
        <w:rPr>
          <w:rFonts w:cs="Arial"/>
          <w:i/>
          <w:u w:val="single"/>
        </w:rPr>
        <w:t>Hypothesis</w:t>
      </w:r>
      <w:r w:rsidRPr="003A3CA0">
        <w:rPr>
          <w:rFonts w:cs="Arial"/>
          <w:i/>
        </w:rPr>
        <w:t xml:space="preserve">: </w:t>
      </w:r>
      <w:r w:rsidRPr="003A3CA0">
        <w:rPr>
          <w:rFonts w:cs="Arial"/>
        </w:rPr>
        <w:t xml:space="preserve">An off the shelf post-processing package will provide good inter-rater reliability </w:t>
      </w:r>
      <w:r>
        <w:rPr>
          <w:rFonts w:cs="Arial"/>
        </w:rPr>
        <w:t xml:space="preserve">for measurements of </w:t>
      </w:r>
      <w:r w:rsidR="00F1250E">
        <w:rPr>
          <w:rFonts w:cs="Arial"/>
        </w:rPr>
        <w:t>perfusion using dynamic susceptibility magnetic resonance imaging</w:t>
      </w:r>
      <w:r>
        <w:rPr>
          <w:rFonts w:cs="Arial"/>
        </w:rPr>
        <w:t>.</w:t>
      </w:r>
    </w:p>
    <w:p w14:paraId="400129F0" w14:textId="7133CA2A" w:rsidR="00C62606" w:rsidRPr="003A3CA0" w:rsidRDefault="00C62606" w:rsidP="00C62606">
      <w:pPr>
        <w:spacing w:line="360" w:lineRule="auto"/>
        <w:rPr>
          <w:rFonts w:cs="Arial"/>
        </w:rPr>
      </w:pPr>
      <w:r w:rsidRPr="003A3CA0">
        <w:rPr>
          <w:rFonts w:cs="Arial"/>
          <w:i/>
          <w:u w:val="single"/>
        </w:rPr>
        <w:t>Rationale</w:t>
      </w:r>
      <w:r w:rsidRPr="003A3CA0">
        <w:rPr>
          <w:rFonts w:cs="Arial"/>
          <w:i/>
        </w:rPr>
        <w:t xml:space="preserve">: </w:t>
      </w:r>
      <w:r w:rsidRPr="003A3CA0">
        <w:rPr>
          <w:rFonts w:cs="Arial"/>
        </w:rPr>
        <w:t xml:space="preserve">A semi-automated post processing package will decrease inter-rater variability and standardise many of the steps that are known to cause variation in this </w:t>
      </w:r>
      <w:r w:rsidRPr="003A3CA0">
        <w:rPr>
          <w:rFonts w:cs="Arial"/>
        </w:rPr>
        <w:lastRenderedPageBreak/>
        <w:t>technique</w:t>
      </w:r>
      <w:r>
        <w:rPr>
          <w:rFonts w:cs="Arial"/>
        </w:rPr>
        <w:t xml:space="preserve"> measuring perfusion by </w:t>
      </w:r>
      <w:r w:rsidR="00E05E71">
        <w:rPr>
          <w:rFonts w:cs="Arial"/>
        </w:rPr>
        <w:t xml:space="preserve">dynamic </w:t>
      </w:r>
      <w:r w:rsidR="00FB3BF7">
        <w:rPr>
          <w:rFonts w:cs="Arial"/>
        </w:rPr>
        <w:t xml:space="preserve">susceptibility contrast magnetic resonance imaging. </w:t>
      </w:r>
    </w:p>
    <w:p w14:paraId="07B2B907" w14:textId="58CF5E56" w:rsidR="00C62606" w:rsidRPr="003A3CA0" w:rsidRDefault="00C62606" w:rsidP="00C62606">
      <w:pPr>
        <w:spacing w:line="360" w:lineRule="auto"/>
        <w:rPr>
          <w:rFonts w:cs="Arial"/>
        </w:rPr>
      </w:pPr>
      <w:r w:rsidRPr="003A3CA0">
        <w:rPr>
          <w:rFonts w:cs="Arial"/>
          <w:i/>
          <w:u w:val="single"/>
        </w:rPr>
        <w:t>Approach</w:t>
      </w:r>
      <w:r w:rsidRPr="003A3CA0">
        <w:rPr>
          <w:rFonts w:cs="Arial"/>
          <w:i/>
        </w:rPr>
        <w:t>:</w:t>
      </w:r>
      <w:r w:rsidRPr="003A3CA0">
        <w:rPr>
          <w:rFonts w:cs="Arial"/>
        </w:rPr>
        <w:t xml:space="preserve"> Using the data set for the main experiment- two raters will independently process the data using the same standard operating procedure</w:t>
      </w:r>
      <w:r w:rsidRPr="003A3CA0">
        <w:rPr>
          <w:rFonts w:eastAsia="Arial" w:cs="Arial"/>
        </w:rPr>
        <w:t xml:space="preserve"> (SOP).</w:t>
      </w:r>
      <w:r w:rsidRPr="003A3CA0">
        <w:rPr>
          <w:rFonts w:cs="Arial"/>
        </w:rPr>
        <w:t xml:space="preserve"> The data will be compared using correlation coefficients and Bland Altman Plots</w:t>
      </w:r>
    </w:p>
    <w:p w14:paraId="6E70F70A" w14:textId="39D3F821" w:rsidR="00C62606" w:rsidRPr="003A3CA0" w:rsidRDefault="00C62606" w:rsidP="00EC59CB">
      <w:pPr>
        <w:pStyle w:val="Heading3"/>
      </w:pPr>
      <w:bookmarkStart w:id="100" w:name="_Toc431375275"/>
      <w:bookmarkStart w:id="101" w:name="_Toc48364655"/>
      <w:bookmarkStart w:id="102" w:name="_Toc64723890"/>
      <w:bookmarkEnd w:id="97"/>
      <w:r w:rsidRPr="003A3CA0">
        <w:t>Aim 5: To correlate measures of MR-Spectroscopy of the brain with painful neuropathy and any perfusion abnormalities</w:t>
      </w:r>
      <w:bookmarkEnd w:id="100"/>
      <w:r w:rsidRPr="003A3CA0">
        <w:t xml:space="preserve"> measured by DSC</w:t>
      </w:r>
      <w:r w:rsidR="00A460BB">
        <w:t>-</w:t>
      </w:r>
      <w:r w:rsidRPr="003A3CA0">
        <w:t>MRI</w:t>
      </w:r>
      <w:bookmarkEnd w:id="101"/>
      <w:bookmarkEnd w:id="102"/>
    </w:p>
    <w:p w14:paraId="7EC22EFE" w14:textId="77777777" w:rsidR="00C62606" w:rsidRPr="003A3CA0" w:rsidRDefault="00C62606" w:rsidP="00C62606">
      <w:pPr>
        <w:spacing w:line="360" w:lineRule="auto"/>
        <w:jc w:val="both"/>
        <w:rPr>
          <w:rFonts w:cs="Arial"/>
        </w:rPr>
      </w:pPr>
      <w:r w:rsidRPr="003A3CA0">
        <w:rPr>
          <w:rFonts w:cs="Arial"/>
          <w:i/>
          <w:u w:val="single"/>
        </w:rPr>
        <w:t>Hypothesis</w:t>
      </w:r>
      <w:r w:rsidRPr="003A3CA0">
        <w:rPr>
          <w:rFonts w:cs="Arial"/>
        </w:rPr>
        <w:t>: Identified perfusion abnormalities may be wrongly attributed to unique patterns of brain activation instead of structural abnormalities</w:t>
      </w:r>
      <w:r w:rsidRPr="003A3CA0">
        <w:rPr>
          <w:rFonts w:eastAsia="Arial" w:cs="Arial"/>
        </w:rPr>
        <w:t>.</w:t>
      </w:r>
    </w:p>
    <w:p w14:paraId="7A91C9EB" w14:textId="77777777" w:rsidR="00C62606" w:rsidRPr="003A3CA0" w:rsidRDefault="00C62606" w:rsidP="00C62606">
      <w:pPr>
        <w:spacing w:line="360" w:lineRule="auto"/>
        <w:jc w:val="both"/>
        <w:rPr>
          <w:rFonts w:cs="Arial"/>
        </w:rPr>
      </w:pPr>
      <w:r w:rsidRPr="003A3CA0">
        <w:rPr>
          <w:rFonts w:cs="Arial"/>
          <w:i/>
          <w:u w:val="single"/>
        </w:rPr>
        <w:t>Rationale</w:t>
      </w:r>
      <w:r w:rsidRPr="003A3CA0">
        <w:rPr>
          <w:rFonts w:cs="Arial"/>
        </w:rPr>
        <w:t xml:space="preserve">: </w:t>
      </w:r>
      <w:r>
        <w:rPr>
          <w:rFonts w:cs="Arial"/>
        </w:rPr>
        <w:t>S</w:t>
      </w:r>
      <w:r w:rsidRPr="003A3CA0">
        <w:rPr>
          <w:rFonts w:cs="Arial"/>
        </w:rPr>
        <w:t xml:space="preserve">ubjects with long standing </w:t>
      </w:r>
      <w:r w:rsidRPr="003A3CA0">
        <w:rPr>
          <w:rFonts w:eastAsia="Arial" w:cs="Arial"/>
        </w:rPr>
        <w:t>T1D</w:t>
      </w:r>
      <w:r w:rsidRPr="003A3CA0">
        <w:rPr>
          <w:rFonts w:cs="Arial"/>
        </w:rPr>
        <w:t xml:space="preserve"> </w:t>
      </w:r>
      <w:r>
        <w:rPr>
          <w:rFonts w:cs="Arial"/>
        </w:rPr>
        <w:t>and neuropathy may have neuronal dysfunction or atrophy in the thalamus due to decreased ascending sensory input.</w:t>
      </w:r>
      <w:r w:rsidRPr="003A3CA0">
        <w:rPr>
          <w:rFonts w:cs="Arial"/>
        </w:rPr>
        <w:t xml:space="preserve">  Structural abnormalities such as spectroscopic abnormalities may help to</w:t>
      </w:r>
      <w:r>
        <w:rPr>
          <w:rFonts w:cs="Arial"/>
        </w:rPr>
        <w:t xml:space="preserve"> understand if decreased neuronal function or number are associated with perfusion differences</w:t>
      </w:r>
      <w:r w:rsidRPr="003A3CA0">
        <w:rPr>
          <w:rFonts w:cs="Arial"/>
        </w:rPr>
        <w:t>.</w:t>
      </w:r>
    </w:p>
    <w:p w14:paraId="45FC421E" w14:textId="77777777" w:rsidR="00C62606" w:rsidRPr="003A3CA0" w:rsidRDefault="00C62606" w:rsidP="00C62606">
      <w:pPr>
        <w:spacing w:line="360" w:lineRule="auto"/>
        <w:jc w:val="both"/>
        <w:rPr>
          <w:rFonts w:cs="Arial"/>
        </w:rPr>
      </w:pPr>
      <w:r w:rsidRPr="003A3CA0">
        <w:rPr>
          <w:rFonts w:cs="Arial"/>
          <w:i/>
          <w:u w:val="single"/>
        </w:rPr>
        <w:t>Approach</w:t>
      </w:r>
      <w:r w:rsidRPr="003A3CA0">
        <w:rPr>
          <w:rFonts w:cs="Arial"/>
        </w:rPr>
        <w:t xml:space="preserve">: Spectroscopy will be performed on all subjects </w:t>
      </w:r>
      <w:r>
        <w:rPr>
          <w:rFonts w:cs="Arial"/>
        </w:rPr>
        <w:t xml:space="preserve">at baseline </w:t>
      </w:r>
      <w:r w:rsidRPr="003A3CA0">
        <w:rPr>
          <w:rFonts w:cs="Arial"/>
        </w:rPr>
        <w:t>and compared to measures of perfusion.</w:t>
      </w:r>
    </w:p>
    <w:p w14:paraId="79815B93" w14:textId="7D183F2E" w:rsidR="00C62606" w:rsidRPr="003A3CA0" w:rsidRDefault="00C62606" w:rsidP="00EC59CB">
      <w:pPr>
        <w:pStyle w:val="Heading3"/>
      </w:pPr>
      <w:bookmarkStart w:id="103" w:name="_Toc48364656"/>
      <w:bookmarkStart w:id="104" w:name="_Toc64723891"/>
      <w:r w:rsidRPr="00A24413">
        <w:t xml:space="preserve">Aim 6: To correlate </w:t>
      </w:r>
      <w:r w:rsidRPr="003A3CA0">
        <w:t>methylglyoxal measurements with painful neuropathy and any measured perfusion abnormalities</w:t>
      </w:r>
      <w:bookmarkEnd w:id="103"/>
      <w:bookmarkEnd w:id="104"/>
    </w:p>
    <w:p w14:paraId="76EBDB5D" w14:textId="77777777" w:rsidR="00C62606" w:rsidRPr="003A3CA0" w:rsidRDefault="00C62606" w:rsidP="00C62606">
      <w:pPr>
        <w:spacing w:line="360" w:lineRule="auto"/>
        <w:rPr>
          <w:rFonts w:cs="Arial"/>
        </w:rPr>
      </w:pPr>
      <w:r w:rsidRPr="003A3CA0">
        <w:rPr>
          <w:rFonts w:cs="Arial"/>
          <w:i/>
          <w:color w:val="000000"/>
          <w:u w:val="single"/>
        </w:rPr>
        <w:t xml:space="preserve">Hypothesis: </w:t>
      </w:r>
      <w:r w:rsidRPr="003A3CA0">
        <w:rPr>
          <w:rFonts w:eastAsia="Arial" w:cs="Arial"/>
          <w:color w:val="000000"/>
          <w:u w:val="single"/>
        </w:rPr>
        <w:t xml:space="preserve">A </w:t>
      </w:r>
      <w:r w:rsidRPr="003A3CA0">
        <w:rPr>
          <w:rFonts w:eastAsia="Arial" w:cs="Arial"/>
        </w:rPr>
        <w:t>h</w:t>
      </w:r>
      <w:r w:rsidRPr="003A3CA0">
        <w:rPr>
          <w:rFonts w:cs="Arial"/>
        </w:rPr>
        <w:t xml:space="preserve">igh level of </w:t>
      </w:r>
      <w:r>
        <w:rPr>
          <w:rFonts w:cs="Arial"/>
        </w:rPr>
        <w:t xml:space="preserve">serum </w:t>
      </w:r>
      <w:r>
        <w:rPr>
          <w:rFonts w:eastAsia="Arial" w:cs="Arial"/>
        </w:rPr>
        <w:t>m</w:t>
      </w:r>
      <w:r w:rsidRPr="003A3CA0">
        <w:rPr>
          <w:rFonts w:eastAsia="Arial" w:cs="Arial"/>
        </w:rPr>
        <w:t>ethylglyoxal</w:t>
      </w:r>
      <w:r w:rsidRPr="003A3CA0">
        <w:rPr>
          <w:rFonts w:cs="Arial"/>
        </w:rPr>
        <w:t xml:space="preserve"> </w:t>
      </w:r>
      <w:r w:rsidRPr="003A3CA0">
        <w:rPr>
          <w:rFonts w:eastAsia="Arial" w:cs="Arial"/>
        </w:rPr>
        <w:t xml:space="preserve">is </w:t>
      </w:r>
      <w:r w:rsidRPr="003A3CA0">
        <w:rPr>
          <w:rFonts w:cs="Arial"/>
        </w:rPr>
        <w:t xml:space="preserve">associated with </w:t>
      </w:r>
      <w:r w:rsidRPr="003A3CA0">
        <w:rPr>
          <w:rFonts w:eastAsia="Arial" w:cs="Arial"/>
        </w:rPr>
        <w:t>P-DPN</w:t>
      </w:r>
      <w:r w:rsidRPr="003A3CA0">
        <w:rPr>
          <w:rFonts w:cs="Arial"/>
        </w:rPr>
        <w:t xml:space="preserve"> and </w:t>
      </w:r>
      <w:r w:rsidRPr="003A3CA0">
        <w:rPr>
          <w:rFonts w:eastAsia="Arial" w:cs="Arial"/>
        </w:rPr>
        <w:t xml:space="preserve">is </w:t>
      </w:r>
      <w:r w:rsidRPr="003A3CA0">
        <w:rPr>
          <w:rFonts w:cs="Arial"/>
        </w:rPr>
        <w:t xml:space="preserve">a sensitising factor for pain in the </w:t>
      </w:r>
      <w:r>
        <w:rPr>
          <w:rFonts w:eastAsia="Arial" w:cs="Arial"/>
        </w:rPr>
        <w:t>peripheral and central nervous system</w:t>
      </w:r>
      <w:r w:rsidRPr="003A3CA0">
        <w:rPr>
          <w:rFonts w:eastAsia="Arial" w:cs="Arial"/>
        </w:rPr>
        <w:t>.</w:t>
      </w:r>
    </w:p>
    <w:p w14:paraId="57790B7C" w14:textId="77777777" w:rsidR="00C62606" w:rsidRPr="003A3CA0" w:rsidRDefault="00C62606" w:rsidP="00C62606">
      <w:pPr>
        <w:spacing w:line="360" w:lineRule="auto"/>
        <w:jc w:val="both"/>
        <w:rPr>
          <w:rFonts w:cs="Arial"/>
        </w:rPr>
      </w:pPr>
      <w:r w:rsidRPr="003A3CA0">
        <w:rPr>
          <w:rFonts w:cs="Arial"/>
          <w:i/>
          <w:u w:val="single"/>
        </w:rPr>
        <w:t>Rationale</w:t>
      </w:r>
      <w:r w:rsidRPr="003A3CA0">
        <w:rPr>
          <w:rFonts w:cs="Arial"/>
        </w:rPr>
        <w:t>:</w:t>
      </w:r>
      <w:r w:rsidRPr="003A3CA0">
        <w:rPr>
          <w:rFonts w:eastAsia="Arial" w:cs="Arial"/>
        </w:rPr>
        <w:t xml:space="preserve"> A h</w:t>
      </w:r>
      <w:r w:rsidRPr="003A3CA0">
        <w:rPr>
          <w:rFonts w:cs="Arial"/>
        </w:rPr>
        <w:t xml:space="preserve">igh level of </w:t>
      </w:r>
      <w:r>
        <w:rPr>
          <w:rFonts w:cs="Arial"/>
        </w:rPr>
        <w:t xml:space="preserve">serum </w:t>
      </w:r>
      <w:r w:rsidRPr="003A3CA0">
        <w:rPr>
          <w:rFonts w:cs="Arial"/>
        </w:rPr>
        <w:t xml:space="preserve">methylglyoxal </w:t>
      </w:r>
      <w:r w:rsidRPr="003A3CA0">
        <w:rPr>
          <w:rFonts w:eastAsia="Arial" w:cs="Arial"/>
        </w:rPr>
        <w:t>has</w:t>
      </w:r>
      <w:r w:rsidRPr="003A3CA0">
        <w:rPr>
          <w:rFonts w:cs="Arial"/>
        </w:rPr>
        <w:t xml:space="preserve"> been found in subjects with P-DPN and infusion of methylglyoxal increases pain perception. </w:t>
      </w:r>
      <w:r w:rsidRPr="003A3CA0">
        <w:rPr>
          <w:rFonts w:eastAsia="Arial" w:cs="Arial"/>
        </w:rPr>
        <w:t>Methylglyoxal</w:t>
      </w:r>
      <w:r w:rsidRPr="003A3CA0">
        <w:rPr>
          <w:rFonts w:cs="Arial"/>
        </w:rPr>
        <w:t xml:space="preserve"> may be a central sensitiser for pain </w:t>
      </w:r>
    </w:p>
    <w:p w14:paraId="3C1A9AEF" w14:textId="77777777" w:rsidR="00C62606" w:rsidRDefault="00C62606" w:rsidP="00C62606">
      <w:pPr>
        <w:spacing w:line="360" w:lineRule="auto"/>
        <w:rPr>
          <w:rFonts w:eastAsia="Arial" w:cs="Arial"/>
        </w:rPr>
      </w:pPr>
      <w:r w:rsidRPr="003A3CA0">
        <w:rPr>
          <w:rFonts w:cs="Arial"/>
          <w:i/>
          <w:u w:val="single"/>
        </w:rPr>
        <w:t>Approach</w:t>
      </w:r>
      <w:r w:rsidRPr="003A3CA0">
        <w:rPr>
          <w:rFonts w:cs="Arial"/>
        </w:rPr>
        <w:t xml:space="preserve">: </w:t>
      </w:r>
      <w:r w:rsidRPr="003A3CA0">
        <w:rPr>
          <w:rFonts w:eastAsia="Arial" w:cs="Arial"/>
        </w:rPr>
        <w:t>Methylglyoxal</w:t>
      </w:r>
      <w:r w:rsidRPr="003A3CA0">
        <w:rPr>
          <w:rFonts w:cs="Arial"/>
        </w:rPr>
        <w:t xml:space="preserve"> level will be measured, and this will be compared </w:t>
      </w:r>
      <w:r w:rsidRPr="003A3CA0">
        <w:rPr>
          <w:rFonts w:eastAsia="Arial" w:cs="Arial"/>
        </w:rPr>
        <w:t xml:space="preserve">between </w:t>
      </w:r>
      <w:r w:rsidRPr="003A3CA0">
        <w:rPr>
          <w:rFonts w:cs="Arial"/>
        </w:rPr>
        <w:t xml:space="preserve">groups and correlated </w:t>
      </w:r>
      <w:r w:rsidRPr="003A3CA0">
        <w:rPr>
          <w:rFonts w:eastAsia="Arial" w:cs="Arial"/>
        </w:rPr>
        <w:t xml:space="preserve">to </w:t>
      </w:r>
      <w:r w:rsidRPr="003A3CA0">
        <w:rPr>
          <w:rFonts w:cs="Arial"/>
        </w:rPr>
        <w:t>any measured perfusion abnormalities</w:t>
      </w:r>
      <w:r w:rsidRPr="003A3CA0">
        <w:rPr>
          <w:rFonts w:eastAsia="Arial" w:cs="Arial"/>
        </w:rPr>
        <w:t>.</w:t>
      </w:r>
    </w:p>
    <w:p w14:paraId="6DD90C1F" w14:textId="77777777" w:rsidR="00AF0E0B" w:rsidRDefault="00AF0E0B" w:rsidP="00C62606">
      <w:pPr>
        <w:spacing w:line="360" w:lineRule="auto"/>
        <w:rPr>
          <w:rFonts w:eastAsia="Arial" w:cs="Arial"/>
        </w:rPr>
      </w:pPr>
    </w:p>
    <w:p w14:paraId="6201F905" w14:textId="63B690AC" w:rsidR="00AF0E0B" w:rsidRPr="00BB75E6" w:rsidRDefault="00AF0E0B" w:rsidP="00C62606">
      <w:pPr>
        <w:spacing w:line="360" w:lineRule="auto"/>
        <w:rPr>
          <w:rFonts w:cs="Arial"/>
          <w:i/>
          <w:color w:val="000000"/>
          <w:u w:val="single"/>
        </w:rPr>
        <w:sectPr w:rsidR="00AF0E0B" w:rsidRPr="00BB75E6" w:rsidSect="000C4457">
          <w:pgSz w:w="11900" w:h="16840"/>
          <w:pgMar w:top="1440" w:right="1418" w:bottom="1440" w:left="1418" w:header="709" w:footer="709" w:gutter="0"/>
          <w:cols w:space="720" w:equalWidth="0">
            <w:col w:w="9360"/>
          </w:cols>
          <w:titlePg/>
        </w:sectPr>
      </w:pPr>
    </w:p>
    <w:p w14:paraId="119ABB75" w14:textId="7F547480" w:rsidR="00AF0E0B" w:rsidRPr="0031237D" w:rsidRDefault="00AF0E0B" w:rsidP="0031237D">
      <w:pPr>
        <w:pStyle w:val="Heading1"/>
      </w:pPr>
      <w:bookmarkStart w:id="105" w:name="_Toc49973092"/>
      <w:bookmarkStart w:id="106" w:name="_Toc64723892"/>
      <w:r w:rsidRPr="0031237D">
        <w:lastRenderedPageBreak/>
        <w:t>Chapter 2: Psychological, Clinical and Metabolic Characteristics of Painful Diabetic Peripheral Neuropathy</w:t>
      </w:r>
      <w:bookmarkEnd w:id="105"/>
      <w:bookmarkEnd w:id="106"/>
      <w:r w:rsidRPr="0031237D">
        <w:t xml:space="preserve">  </w:t>
      </w:r>
    </w:p>
    <w:p w14:paraId="78163757" w14:textId="77777777" w:rsidR="00AF0E0B" w:rsidRPr="001E1775" w:rsidRDefault="00AF0E0B" w:rsidP="00E745CE">
      <w:pPr>
        <w:pStyle w:val="Heading2"/>
      </w:pPr>
      <w:bookmarkStart w:id="107" w:name="_Toc49973093"/>
      <w:bookmarkStart w:id="108" w:name="_Toc49973448"/>
      <w:bookmarkStart w:id="109" w:name="_Toc64723893"/>
      <w:r w:rsidRPr="001E1775">
        <w:t>Abstract:</w:t>
      </w:r>
      <w:bookmarkEnd w:id="107"/>
      <w:bookmarkEnd w:id="108"/>
      <w:bookmarkEnd w:id="109"/>
      <w:r w:rsidRPr="001E1775">
        <w:t xml:space="preserve"> </w:t>
      </w:r>
    </w:p>
    <w:p w14:paraId="0755FB85" w14:textId="65DADCD3" w:rsidR="00AF0E0B" w:rsidRPr="001E1775" w:rsidRDefault="00C93F48" w:rsidP="001E1775">
      <w:pPr>
        <w:spacing w:line="360" w:lineRule="auto"/>
      </w:pPr>
      <w:r w:rsidRPr="000862FE">
        <w:rPr>
          <w:b/>
          <w:bCs/>
          <w:color w:val="4472C4" w:themeColor="accent1"/>
        </w:rPr>
        <w:t>Background</w:t>
      </w:r>
      <w:r w:rsidR="00AF0E0B" w:rsidRPr="001E1775">
        <w:t xml:space="preserve">: Painful diabetic peripheral neuropathy (P-DPN) affects between 10-28% of those with diabetes, but treatments are not effective for all those with the condition.  The aim of this study was to characterise participants using clinical, metabolic and psychological parameters and identify features that may be markers of </w:t>
      </w:r>
      <w:r w:rsidR="00FB3BF7">
        <w:t>p</w:t>
      </w:r>
      <w:r w:rsidR="00FB3BF7" w:rsidRPr="001E1775">
        <w:t>ainful diabetic peripheral neuropathy</w:t>
      </w:r>
      <w:r w:rsidR="00AF0E0B" w:rsidRPr="001E1775">
        <w:t>.  These may be used to identify phenotypes that may be targets for novel treatments or to monitor treatment response in trials of new agents.</w:t>
      </w:r>
    </w:p>
    <w:p w14:paraId="089EDAFC" w14:textId="2E51F949" w:rsidR="00AF0E0B" w:rsidRPr="001E1775" w:rsidRDefault="00AF0E0B" w:rsidP="001E1775">
      <w:pPr>
        <w:spacing w:line="360" w:lineRule="auto"/>
      </w:pPr>
      <w:r w:rsidRPr="000862FE">
        <w:rPr>
          <w:b/>
          <w:bCs/>
          <w:color w:val="4472C4" w:themeColor="accent1"/>
        </w:rPr>
        <w:t>Method</w:t>
      </w:r>
      <w:r w:rsidRPr="001E1775">
        <w:t>:  This is a cross-sectional study involving three groups with type 1 diabetes (T1D) [</w:t>
      </w:r>
      <w:r w:rsidR="00FB3BF7" w:rsidRPr="001E1775">
        <w:t xml:space="preserve">Painful diabetic peripheral neuropathy </w:t>
      </w:r>
      <w:r w:rsidRPr="001E1775">
        <w:t>(</w:t>
      </w:r>
      <w:r w:rsidR="00FB3BF7">
        <w:t xml:space="preserve">P-DPN, </w:t>
      </w:r>
      <w:r w:rsidRPr="001E1775">
        <w:t xml:space="preserve">n=19), painless diabetic peripheral neuropathy (DPN, n=23), T1D and no neuropathy (DM-NN, n=13] and healthy volunteers (HV n=19).  Detailed neurophysiological assessment resulting in a composite score of severity of neuropathy (NISLL+7), </w:t>
      </w:r>
      <w:r w:rsidR="00FB3BF7">
        <w:t>quantitative sensory testing (</w:t>
      </w:r>
      <w:r w:rsidRPr="001E1775">
        <w:t>QST</w:t>
      </w:r>
      <w:r w:rsidR="00FB3BF7">
        <w:t>)</w:t>
      </w:r>
      <w:r w:rsidRPr="001E1775">
        <w:t xml:space="preserve"> characterisation using the </w:t>
      </w:r>
      <w:proofErr w:type="spellStart"/>
      <w:r w:rsidR="00DF2AEA" w:rsidRPr="003A3CA0">
        <w:rPr>
          <w:rFonts w:cs="Arial"/>
        </w:rPr>
        <w:t>Deutchse</w:t>
      </w:r>
      <w:proofErr w:type="spellEnd"/>
      <w:r w:rsidR="00DF2AEA" w:rsidRPr="003A3CA0">
        <w:rPr>
          <w:rFonts w:cs="Arial"/>
        </w:rPr>
        <w:t xml:space="preserve"> </w:t>
      </w:r>
      <w:proofErr w:type="spellStart"/>
      <w:r w:rsidR="00DF2AEA" w:rsidRPr="003A3CA0">
        <w:rPr>
          <w:rFonts w:cs="Arial"/>
        </w:rPr>
        <w:t>Forschungsverbund</w:t>
      </w:r>
      <w:proofErr w:type="spellEnd"/>
      <w:r w:rsidR="00DF2AEA" w:rsidRPr="003A3CA0">
        <w:rPr>
          <w:rFonts w:cs="Arial"/>
        </w:rPr>
        <w:t xml:space="preserve"> </w:t>
      </w:r>
      <w:proofErr w:type="spellStart"/>
      <w:r w:rsidR="00DF2AEA" w:rsidRPr="003A3CA0">
        <w:rPr>
          <w:rFonts w:cs="Arial"/>
        </w:rPr>
        <w:t>Neuropathischer</w:t>
      </w:r>
      <w:proofErr w:type="spellEnd"/>
      <w:r w:rsidR="00DF2AEA" w:rsidRPr="003A3CA0">
        <w:rPr>
          <w:rFonts w:cs="Arial"/>
        </w:rPr>
        <w:t xml:space="preserve"> </w:t>
      </w:r>
      <w:proofErr w:type="spellStart"/>
      <w:r w:rsidR="00DF2AEA" w:rsidRPr="003A3CA0">
        <w:rPr>
          <w:rFonts w:cs="Arial"/>
        </w:rPr>
        <w:t>Schmerz</w:t>
      </w:r>
      <w:proofErr w:type="spellEnd"/>
      <w:r w:rsidR="00DF2AEA" w:rsidRPr="001E1775">
        <w:t xml:space="preserve"> </w:t>
      </w:r>
      <w:r w:rsidR="00DF2AEA">
        <w:t xml:space="preserve"> (DFNS) </w:t>
      </w:r>
      <w:r w:rsidRPr="001E1775">
        <w:t xml:space="preserve">protocol, assessment of pain intensity and psychological comorbidities using questionnaires, and metabolic measurements including serum methylglyoxal, were undertaken. </w:t>
      </w:r>
    </w:p>
    <w:p w14:paraId="293C40CB" w14:textId="3AFB0F50" w:rsidR="00FB3BF7" w:rsidRDefault="00AF0E0B" w:rsidP="001E1775">
      <w:pPr>
        <w:spacing w:line="360" w:lineRule="auto"/>
      </w:pPr>
      <w:r w:rsidRPr="000862FE">
        <w:rPr>
          <w:b/>
          <w:bCs/>
          <w:color w:val="4472C4" w:themeColor="accent1"/>
        </w:rPr>
        <w:t>Results</w:t>
      </w:r>
      <w:r w:rsidRPr="001E1775">
        <w:t xml:space="preserve">: The </w:t>
      </w:r>
      <w:r w:rsidR="00FB3BF7">
        <w:t>p</w:t>
      </w:r>
      <w:r w:rsidR="00FB3BF7" w:rsidRPr="001E1775">
        <w:t>ainful diabetic peripheral neuropathy</w:t>
      </w:r>
      <w:r w:rsidR="00FB3BF7">
        <w:t xml:space="preserve"> (P-DPN)</w:t>
      </w:r>
      <w:r w:rsidR="00FB3BF7" w:rsidRPr="001E1775">
        <w:t xml:space="preserve"> </w:t>
      </w:r>
      <w:r w:rsidRPr="001E1775">
        <w:t>group had higher somatic focus score</w:t>
      </w:r>
      <w:r w:rsidR="00B41BC8">
        <w:t>s</w:t>
      </w:r>
      <w:r w:rsidRPr="001E1775">
        <w:t xml:space="preserve"> on the Pennebaker inventory of Limbic Languidness (PILL) than the </w:t>
      </w:r>
      <w:r w:rsidR="00FB3BF7">
        <w:t>group with type 1 diabetes mellitus and no neuropathy (DM-NN)</w:t>
      </w:r>
      <w:r w:rsidRPr="001E1775">
        <w:t xml:space="preserve"> (post Hoc P-DPN vs DM-NN p=.042)</w:t>
      </w:r>
      <w:r w:rsidR="00FB3BF7">
        <w:t>.</w:t>
      </w:r>
      <w:r w:rsidR="00B41BC8">
        <w:t xml:space="preserve">  </w:t>
      </w:r>
      <w:r w:rsidR="00FB3BF7">
        <w:t>P</w:t>
      </w:r>
      <w:r w:rsidRPr="001E1775">
        <w:t>ain catastrophising score</w:t>
      </w:r>
      <w:r w:rsidR="00B41BC8">
        <w:t>s</w:t>
      </w:r>
      <w:r w:rsidRPr="001E1775">
        <w:t xml:space="preserve"> (PCS) </w:t>
      </w:r>
      <w:r w:rsidR="00B41BC8">
        <w:t>were</w:t>
      </w:r>
      <w:r w:rsidRPr="001E1775">
        <w:t xml:space="preserve"> significantly </w:t>
      </w:r>
      <w:r w:rsidR="00B41BC8">
        <w:t>increased</w:t>
      </w:r>
      <w:r w:rsidRPr="001E1775">
        <w:t xml:space="preserve"> </w:t>
      </w:r>
      <w:r w:rsidR="00D17A43">
        <w:t>in</w:t>
      </w:r>
      <w:r w:rsidRPr="001E1775">
        <w:t xml:space="preserve"> the </w:t>
      </w:r>
      <w:r w:rsidR="00FB3BF7">
        <w:t>p</w:t>
      </w:r>
      <w:r w:rsidR="00FB3BF7" w:rsidRPr="001E1775">
        <w:t>ainful diabetic peripheral neuropathy</w:t>
      </w:r>
      <w:r w:rsidR="00FB3BF7">
        <w:t xml:space="preserve"> </w:t>
      </w:r>
      <w:r w:rsidR="00B41BC8">
        <w:t xml:space="preserve"> group </w:t>
      </w:r>
      <w:r w:rsidR="00FB3BF7">
        <w:t>(P-DPN)</w:t>
      </w:r>
      <w:r w:rsidR="00FB3BF7" w:rsidRPr="001E1775">
        <w:t xml:space="preserve"> </w:t>
      </w:r>
      <w:r w:rsidR="00D17A43">
        <w:t>compared to</w:t>
      </w:r>
      <w:r w:rsidRPr="001E1775">
        <w:t xml:space="preserve"> </w:t>
      </w:r>
      <w:r w:rsidR="00FB3BF7">
        <w:t>the painless diabetic peripheral neuropathy group (</w:t>
      </w:r>
      <w:r w:rsidRPr="001E1775">
        <w:t>DPN</w:t>
      </w:r>
      <w:r w:rsidR="00FB3BF7">
        <w:t>)</w:t>
      </w:r>
      <w:r w:rsidRPr="001E1775">
        <w:t xml:space="preserve"> (p=.017), and </w:t>
      </w:r>
      <w:r w:rsidR="00FB3BF7">
        <w:t>healthy volunteers (</w:t>
      </w:r>
      <w:r w:rsidRPr="001E1775">
        <w:t>HV</w:t>
      </w:r>
      <w:r w:rsidR="00FB3BF7">
        <w:t>)</w:t>
      </w:r>
      <w:r w:rsidRPr="001E1775">
        <w:t xml:space="preserve"> (p=.034).  Discriminant function analysis using measures of mood, personality and somatic focus significantly differentiated </w:t>
      </w:r>
      <w:r w:rsidR="00FB3BF7">
        <w:t>p</w:t>
      </w:r>
      <w:r w:rsidR="00FB3BF7" w:rsidRPr="001E1775">
        <w:t>ainful diabetic peripheral neuropathy</w:t>
      </w:r>
      <w:r w:rsidRPr="001E1775">
        <w:t xml:space="preserve"> from other groups (p=.016).  </w:t>
      </w:r>
    </w:p>
    <w:p w14:paraId="5143BBD4" w14:textId="05CED177" w:rsidR="00AF0E0B" w:rsidRPr="001E1775" w:rsidRDefault="00AF0E0B" w:rsidP="001E1775">
      <w:pPr>
        <w:spacing w:line="360" w:lineRule="auto"/>
      </w:pPr>
      <w:r w:rsidRPr="001E1775">
        <w:t xml:space="preserve">Serum methylglyoxal level was not significantly increased in the </w:t>
      </w:r>
      <w:r w:rsidR="00FB3BF7">
        <w:t>p</w:t>
      </w:r>
      <w:r w:rsidR="00FB3BF7" w:rsidRPr="001E1775">
        <w:t xml:space="preserve">ainful diabetic peripheral neuropathy </w:t>
      </w:r>
      <w:r w:rsidRPr="001E1775">
        <w:t xml:space="preserve">group or associated with measures of </w:t>
      </w:r>
      <w:r w:rsidR="00FB3BF7">
        <w:t>painful neuropathy</w:t>
      </w:r>
      <w:r w:rsidRPr="001E1775">
        <w:t xml:space="preserve">.  Discriminant function analysis of QST measures was significant between groups (p=.005) for neuropathy.  Measures of wind-up ratio (WUR), allodynia (DMA) and </w:t>
      </w:r>
      <w:r w:rsidRPr="001E1775">
        <w:lastRenderedPageBreak/>
        <w:t xml:space="preserve">paradoxical heat sensation (PHS) were found to be discriminators between </w:t>
      </w:r>
      <w:r w:rsidR="00D17A43">
        <w:t>p</w:t>
      </w:r>
      <w:r w:rsidR="00FB3BF7" w:rsidRPr="001E1775">
        <w:t>ainful diabetic peripheral neuropathy</w:t>
      </w:r>
      <w:r w:rsidR="00D17A43">
        <w:t xml:space="preserve"> </w:t>
      </w:r>
      <w:r w:rsidR="00FB3BF7">
        <w:t>(P-DPN)</w:t>
      </w:r>
      <w:r w:rsidR="00FB3BF7" w:rsidRPr="001E1775">
        <w:t xml:space="preserve"> </w:t>
      </w:r>
      <w:r w:rsidRPr="001E1775">
        <w:t xml:space="preserve">and </w:t>
      </w:r>
      <w:r w:rsidR="00FB3BF7">
        <w:t>painless diabetic peripheral neuropathy (DPN)</w:t>
      </w:r>
      <w:r w:rsidRPr="001E1775">
        <w:t xml:space="preserve">. </w:t>
      </w:r>
    </w:p>
    <w:p w14:paraId="2E899C64" w14:textId="1B6831AD" w:rsidR="00AF0E0B" w:rsidRPr="001E1775" w:rsidRDefault="00AF0E0B" w:rsidP="001E1775">
      <w:pPr>
        <w:spacing w:line="360" w:lineRule="auto"/>
      </w:pPr>
      <w:r w:rsidRPr="000862FE">
        <w:rPr>
          <w:b/>
          <w:bCs/>
          <w:color w:val="4472C4" w:themeColor="accent1"/>
        </w:rPr>
        <w:t>Conclusions</w:t>
      </w:r>
      <w:r w:rsidRPr="001E1775">
        <w:t xml:space="preserve">: This is the first study to show somatic focus as a correlate of </w:t>
      </w:r>
      <w:r w:rsidR="00FB3BF7">
        <w:t>p</w:t>
      </w:r>
      <w:r w:rsidR="00FB3BF7" w:rsidRPr="001E1775">
        <w:t>ainful diabetic peripheral neuropathy</w:t>
      </w:r>
      <w:r w:rsidRPr="001E1775">
        <w:t xml:space="preserve">. Pain catastrophising, depression and anxiety were also associated with </w:t>
      </w:r>
      <w:r w:rsidR="00FB3BF7">
        <w:t>p</w:t>
      </w:r>
      <w:r w:rsidR="00FB3BF7" w:rsidRPr="001E1775">
        <w:t>ainful diabetic peripheral neuropathy</w:t>
      </w:r>
      <w:r w:rsidRPr="001E1775">
        <w:t xml:space="preserve">.  Therefore, somatic focus, mood and pain catastrophising must be assessed in studies </w:t>
      </w:r>
      <w:r w:rsidR="00FB3BF7">
        <w:t>involving subjects with p</w:t>
      </w:r>
      <w:r w:rsidR="00FB3BF7" w:rsidRPr="001E1775">
        <w:t xml:space="preserve">ainful diabetic peripheral neuropathy </w:t>
      </w:r>
      <w:r w:rsidRPr="001E1775">
        <w:t xml:space="preserve">to understand the shared mechanisms between </w:t>
      </w:r>
      <w:r w:rsidR="00FB3BF7">
        <w:t>pain generation</w:t>
      </w:r>
      <w:r w:rsidRPr="001E1775">
        <w:t xml:space="preserve"> and psychological factors.  This in turn may lead to new treatment strategies for </w:t>
      </w:r>
      <w:r w:rsidR="00B234DB">
        <w:t>this subject group</w:t>
      </w:r>
      <w:r w:rsidRPr="001E1775">
        <w:t xml:space="preserve">. </w:t>
      </w:r>
    </w:p>
    <w:p w14:paraId="70418323" w14:textId="77777777" w:rsidR="00AF0E0B" w:rsidRPr="001E1775" w:rsidRDefault="00AF0E0B" w:rsidP="001E1775">
      <w:pPr>
        <w:spacing w:line="360" w:lineRule="auto"/>
      </w:pPr>
    </w:p>
    <w:p w14:paraId="1C50DB9D" w14:textId="573D8D3C" w:rsidR="00AF0E0B" w:rsidRPr="00AF0E0B" w:rsidRDefault="00AF0E0B" w:rsidP="00E745CE">
      <w:pPr>
        <w:pStyle w:val="Heading2"/>
      </w:pPr>
      <w:bookmarkStart w:id="110" w:name="_Toc49973094"/>
      <w:bookmarkStart w:id="111" w:name="_Toc49973449"/>
      <w:bookmarkStart w:id="112" w:name="_Toc64723894"/>
      <w:r w:rsidRPr="00AF0E0B">
        <w:t>Introduction:</w:t>
      </w:r>
      <w:bookmarkEnd w:id="110"/>
      <w:bookmarkEnd w:id="111"/>
      <w:bookmarkEnd w:id="112"/>
      <w:r w:rsidRPr="00AF0E0B">
        <w:t xml:space="preserve"> </w:t>
      </w:r>
    </w:p>
    <w:p w14:paraId="6505E04A" w14:textId="6993E2BA" w:rsidR="00AF0E0B" w:rsidRPr="00AF0E0B" w:rsidRDefault="00AF0E0B" w:rsidP="00AF0E0B">
      <w:pPr>
        <w:pBdr>
          <w:top w:val="nil"/>
          <w:left w:val="nil"/>
          <w:bottom w:val="nil"/>
          <w:right w:val="nil"/>
          <w:between w:val="nil"/>
          <w:bar w:val="nil"/>
        </w:pBdr>
        <w:spacing w:line="360" w:lineRule="auto"/>
        <w:rPr>
          <w:rFonts w:eastAsia="Arial" w:cs="Arial"/>
          <w:color w:val="000000"/>
          <w:u w:color="000000"/>
          <w:bdr w:val="nil"/>
          <w:lang w:eastAsia="en-GB"/>
        </w:rPr>
      </w:pPr>
      <w:r w:rsidRPr="00AF0E0B">
        <w:rPr>
          <w:rFonts w:eastAsia="Arial Unicode MS" w:cs="Arial Unicode MS"/>
          <w:color w:val="000000"/>
          <w:u w:color="000000"/>
          <w:bdr w:val="nil"/>
          <w:lang w:val="en-US" w:eastAsia="en-GB"/>
        </w:rPr>
        <w:t xml:space="preserve">The International Association for the Study of Pain (IASP) defines neuropathic pain as “pain caused by a lesion or disease of the somatosensory nervous system”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&gt;&lt;Author&gt;IASP&lt;/Author&gt;&lt;Year&gt;2017&lt;/Year&gt;&lt;RecNum&gt;975&lt;/RecNum&gt;&lt;DisplayText&gt;(IASP, 2017)&lt;/DisplayText&gt;&lt;record&gt;&lt;urls&gt;&lt;related-urls&gt;&lt;url&gt;https://www.iasp-pain.org/Education/Content.aspx?ItemNumber=1698#Neuropathicpain&lt;/url&gt;&lt;/related-urls&gt;&lt;/urls&gt;&lt;titles&gt;&lt;title&gt;IASP Terminology&lt;/title&gt;&lt;/titles&gt;&lt;number&gt;9/11/2018&lt;/number&gt;&lt;contributors&gt;&lt;authors&gt;&lt;author&gt;IASP&lt;/author&gt;&lt;/authors&gt;&lt;/contributors&gt;&lt;added-date format="utc"&gt;1541756957&lt;/added-date&gt;&lt;ref-type name="Web Page"&gt;12&lt;/ref-type&gt;&lt;dates&gt;&lt;year&gt;2017&lt;/year&gt;&lt;/dates&gt;&lt;rec-number&gt;975&lt;/rec-number&gt;&lt;last-updated-date format="utc"&gt;1598169840&lt;/last-updated-date&gt;&lt;volume&gt;2020&lt;/volume&gt;&lt;/record&gt;&lt;/Cite&gt;&lt;/EndNote&gt;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eastAsia="en-GB"/>
        </w:rPr>
        <w:t>(IASP, 2017)</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xml:space="preserve">, however there is no biomarker or reproducible objective examination finding which will indicate which subjects have neuropathic pain.  In this study we examined the role of three factors: psychological, metabolic and clinical that may be markers of </w:t>
      </w:r>
      <w:r w:rsidR="00D17A43">
        <w:rPr>
          <w:rFonts w:eastAsia="Arial Unicode MS" w:cs="Arial Unicode MS"/>
          <w:color w:val="000000"/>
          <w:u w:color="000000"/>
          <w:bdr w:val="nil"/>
          <w:lang w:val="en-US" w:eastAsia="en-GB"/>
        </w:rPr>
        <w:t xml:space="preserve">painful diabetic peripheral neuropathy or </w:t>
      </w:r>
      <w:r w:rsidRPr="00AF0E0B">
        <w:rPr>
          <w:rFonts w:eastAsia="Arial Unicode MS" w:cs="Arial Unicode MS"/>
          <w:color w:val="000000"/>
          <w:u w:color="000000"/>
          <w:bdr w:val="nil"/>
          <w:lang w:val="en-US" w:eastAsia="en-GB"/>
        </w:rPr>
        <w:t xml:space="preserve">P-DPN.  </w:t>
      </w:r>
    </w:p>
    <w:p w14:paraId="2D7A50F3" w14:textId="4B0C6A80" w:rsidR="00AF0E0B" w:rsidRPr="00AF0E0B" w:rsidRDefault="00AF0E0B" w:rsidP="00AF0E0B">
      <w:pPr>
        <w:pBdr>
          <w:top w:val="nil"/>
          <w:left w:val="nil"/>
          <w:bottom w:val="nil"/>
          <w:right w:val="nil"/>
          <w:between w:val="nil"/>
          <w:bar w:val="nil"/>
        </w:pBdr>
        <w:spacing w:line="360" w:lineRule="auto"/>
        <w:rPr>
          <w:rFonts w:eastAsia="Arial" w:cs="Arial"/>
          <w:color w:val="000000"/>
          <w:u w:color="000000"/>
          <w:bdr w:val="nil"/>
          <w:lang w:eastAsia="en-GB"/>
        </w:rPr>
      </w:pPr>
      <w:proofErr w:type="spellStart"/>
      <w:r w:rsidRPr="00AF0E0B">
        <w:rPr>
          <w:rFonts w:eastAsia="Arial Unicode MS" w:cs="Arial Unicode MS"/>
          <w:color w:val="000000"/>
          <w:u w:color="000000"/>
          <w:bdr w:val="nil"/>
          <w:lang w:val="en-US" w:eastAsia="en-GB"/>
        </w:rPr>
        <w:t>Characterising</w:t>
      </w:r>
      <w:proofErr w:type="spellEnd"/>
      <w:r w:rsidRPr="00AF0E0B">
        <w:rPr>
          <w:rFonts w:eastAsia="Arial Unicode MS" w:cs="Arial Unicode MS"/>
          <w:color w:val="000000"/>
          <w:u w:color="000000"/>
          <w:bdr w:val="nil"/>
          <w:lang w:val="en-US" w:eastAsia="en-GB"/>
        </w:rPr>
        <w:t xml:space="preserve"> disorders of mood such as depression and anxiety in the context of P-DPN is an important component of this study.  Chronic pain is strongly associated with depression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&gt;&lt;Author&gt;Lu&lt;/Author&gt;&lt;Year&gt;2019&lt;/Year&gt;&lt;DisplayText&gt;(Lu and Yalcin, 2019)&lt;/DisplayText&gt;&lt;record&gt;&lt;keywords&gt;&lt;keyword&gt;Comorbidity&lt;/keyword&gt;&lt;keyword&gt;Pain&lt;/keyword&gt;&lt;keyword&gt;Quality of Life&lt;/keyword&gt;&lt;keyword&gt;Neurosciences&lt;/keyword&gt;&lt;keyword&gt;Mental Depression&lt;/keyword&gt;&lt;keyword&gt;Neuromodulation&lt;/keyword&gt;&lt;keyword&gt;Animal Models&lt;/keyword&gt;&lt;keyword&gt;Nervous System&lt;/keyword&gt;&lt;keyword&gt;Anxiety&lt;/keyword&gt;&lt;keyword&gt;Mood&lt;/keyword&gt;&lt;keyword&gt;Emotional Disorders&lt;/keyword&gt;&lt;keyword&gt;Pain&lt;/keyword&gt;&lt;keyword&gt;Chronic Pain&lt;/keyword&gt;&lt;keyword&gt;Depression&lt;/keyword&gt;&lt;keyword&gt;Molecular Characteristics&lt;/keyword&gt;&lt;keyword&gt;Behavior&lt;/keyword&gt;&lt;keyword&gt;Neuropathic Pain&lt;/keyword&gt;&lt;/keywords&gt;&lt;isbn&gt;0302766X&lt;/isbn&gt;&lt;titles&gt;&lt;title&gt;The molecular neurobiology of chronic pain–induced depression&lt;/title&gt;&lt;secondary-title&gt;Cell and Tissue Research&lt;/secondary-title&gt;&lt;/titles&gt;&lt;pages&gt;21-43&lt;/pages&gt;&lt;number&gt;1&lt;/number&gt;&lt;contributors&gt;&lt;authors&gt;&lt;author&gt;Lu, Han&lt;/author&gt;&lt;author&gt;Yalcin, Ipek&lt;/author&gt;&lt;/authors&gt;&lt;/contributors&gt;&lt;added-date format="utc"&gt;1574765703&lt;/added-date&gt;&lt;pub-location&gt;Heidelberg&lt;/pub-location&gt;&lt;ref-type name="Journal Article"&gt;17&lt;/ref-type&gt;&lt;dates&gt;&lt;year&gt;2019&lt;/year&gt;&lt;/dates&gt;&lt;rec-number&gt;1231&lt;/rec-number&gt;&lt;last-updated-date format="utc"&gt;1574765703&lt;/last-updated-date&gt;&lt;electronic-resource-num&gt;10.1007/s00441-019-03003-z&lt;/electronic-resource-num&gt;&lt;volume&gt;377&lt;/volume&gt;&lt;/record&gt;&lt;/Cite&gt;&lt;/EndNote&gt;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val="en-US" w:eastAsia="en-GB"/>
        </w:rPr>
        <w:t>(Lu and Yalcin, 2019)</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xml:space="preserve">, and mood disorders are known to be strongly associated with P-DPN </w:t>
      </w:r>
      <w:r w:rsidRPr="00AF0E0B">
        <w:rPr>
          <w:rFonts w:eastAsia="Arial" w:cs="Arial"/>
          <w:color w:val="000000"/>
          <w:u w:color="000000"/>
          <w:bdr w:val="nil"/>
          <w:lang w:eastAsia="en-GB"/>
        </w:rPr>
        <w:fldChar w:fldCharType="begin">
          <w:fldData xml:space="preserve">PEVuZE5vdGU+PENpdGU+PEF1dGhvcj5EYXZpZXM8L0F1dGhvcj48WWVhcj4yMDExPC9ZZWFyPjxS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==
</w:fldData>
        </w:fldChar>
      </w:r>
      <w:r w:rsidR="0047781F">
        <w:rPr>
          <w:rFonts w:eastAsia="Arial" w:cs="Arial"/>
          <w:color w:val="000000"/>
          <w:u w:color="000000"/>
          <w:bdr w:val="nil"/>
          <w:lang w:eastAsia="en-GB"/>
        </w:rPr>
        <w:instrText xml:space="preserve"> ADDIN EN.CITE </w:instrText>
      </w:r>
      <w:r w:rsidR="0047781F">
        <w:rPr>
          <w:rFonts w:eastAsia="Arial" w:cs="Arial"/>
          <w:color w:val="000000"/>
          <w:u w:color="000000"/>
          <w:bdr w:val="nil"/>
          <w:lang w:eastAsia="en-GB"/>
        </w:rPr>
        <w:fldChar w:fldCharType="begin">
          <w:fldData xml:space="preserve">PEVuZE5vdGU+PENpdGU+PEF1dGhvcj5EYXZpZXM8L0F1dGhvcj48WWVhcj4yMDExPC9ZZWFyPjxS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==
</w:fldData>
        </w:fldChar>
      </w:r>
      <w:r w:rsidR="0047781F">
        <w:rPr>
          <w:rFonts w:eastAsia="Arial" w:cs="Arial"/>
          <w:color w:val="000000"/>
          <w:u w:color="000000"/>
          <w:bdr w:val="nil"/>
          <w:lang w:eastAsia="en-GB"/>
        </w:rPr>
        <w:instrText xml:space="preserve"> ADDIN EN.CITE.DATA </w:instrText>
      </w:r>
      <w:r w:rsidR="0047781F">
        <w:rPr>
          <w:rFonts w:eastAsia="Arial" w:cs="Arial"/>
          <w:color w:val="000000"/>
          <w:u w:color="000000"/>
          <w:bdr w:val="nil"/>
          <w:lang w:eastAsia="en-GB"/>
        </w:rPr>
      </w:r>
      <w:r w:rsidR="0047781F">
        <w:rPr>
          <w:rFonts w:eastAsia="Arial" w:cs="Arial"/>
          <w:color w:val="000000"/>
          <w:u w:color="000000"/>
          <w:bdr w:val="nil"/>
          <w:lang w:eastAsia="en-GB"/>
        </w:rPr>
        <w:fldChar w:fldCharType="end"/>
      </w:r>
      <w:r w:rsidRPr="00AF0E0B">
        <w:rPr>
          <w:rFonts w:eastAsia="Arial" w:cs="Arial"/>
          <w:color w:val="000000"/>
          <w:u w:color="000000"/>
          <w:bdr w:val="nil"/>
          <w:lang w:eastAsia="en-GB"/>
        </w:rPr>
      </w:r>
      <w:r w:rsidRPr="00AF0E0B">
        <w:rPr>
          <w:rFonts w:eastAsia="Arial" w:cs="Arial"/>
          <w:color w:val="000000"/>
          <w:u w:color="000000"/>
          <w:bdr w:val="nil"/>
          <w:lang w:eastAsia="en-GB"/>
        </w:rPr>
        <w:fldChar w:fldCharType="separate"/>
      </w:r>
      <w:r w:rsidR="0047781F">
        <w:rPr>
          <w:rFonts w:eastAsia="Arial" w:cs="Arial"/>
          <w:noProof/>
          <w:color w:val="000000"/>
          <w:u w:color="000000"/>
          <w:bdr w:val="nil"/>
          <w:lang w:eastAsia="en-GB"/>
        </w:rPr>
        <w:t>(Davies et al., 2011, Selvarajah et al., 2014)</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w:t>
      </w:r>
      <w:r w:rsidR="0047781F">
        <w:rPr>
          <w:rFonts w:eastAsia="Arial Unicode MS" w:cs="Arial Unicode MS"/>
          <w:color w:val="000000"/>
          <w:u w:color="000000"/>
          <w:bdr w:val="nil"/>
          <w:lang w:val="en-US" w:eastAsia="en-GB"/>
        </w:rPr>
        <w:t xml:space="preserve"> </w:t>
      </w:r>
      <w:r w:rsidRPr="00AF0E0B">
        <w:rPr>
          <w:rFonts w:eastAsia="Arial Unicode MS" w:cs="Arial Unicode MS"/>
          <w:color w:val="000000"/>
          <w:u w:color="000000"/>
          <w:bdr w:val="nil"/>
          <w:lang w:val="en-US" w:eastAsia="en-GB"/>
        </w:rPr>
        <w:t xml:space="preserve"> Measures of depression</w:t>
      </w:r>
      <w:r w:rsidR="0047781F">
        <w:rPr>
          <w:rFonts w:eastAsia="Arial Unicode MS" w:cs="Arial Unicode MS"/>
          <w:color w:val="000000"/>
          <w:u w:color="000000"/>
          <w:bdr w:val="nil"/>
          <w:lang w:val="en-US" w:eastAsia="en-GB"/>
        </w:rPr>
        <w:t xml:space="preserve">, </w:t>
      </w:r>
      <w:r w:rsidRPr="00AF0E0B">
        <w:rPr>
          <w:rFonts w:eastAsia="Arial Unicode MS" w:cs="Arial Unicode MS"/>
          <w:color w:val="000000"/>
          <w:u w:color="000000"/>
          <w:bdr w:val="nil"/>
          <w:lang w:val="en-US" w:eastAsia="en-GB"/>
        </w:rPr>
        <w:t xml:space="preserve">anxiety and pain </w:t>
      </w:r>
      <w:proofErr w:type="spellStart"/>
      <w:r w:rsidRPr="00AF0E0B">
        <w:rPr>
          <w:rFonts w:eastAsia="Arial Unicode MS" w:cs="Arial Unicode MS"/>
          <w:color w:val="000000"/>
          <w:u w:color="000000"/>
          <w:bdr w:val="nil"/>
          <w:lang w:val="en-US" w:eastAsia="en-GB"/>
        </w:rPr>
        <w:t>catastrophising</w:t>
      </w:r>
      <w:proofErr w:type="spellEnd"/>
      <w:r w:rsidRPr="00AF0E0B">
        <w:rPr>
          <w:rFonts w:eastAsia="Arial Unicode MS" w:cs="Arial Unicode MS"/>
          <w:color w:val="000000"/>
          <w:u w:color="000000"/>
          <w:bdr w:val="nil"/>
          <w:lang w:val="en-US" w:eastAsia="en-GB"/>
        </w:rPr>
        <w:t xml:space="preserve"> have been found to be more severe in conjunction with P-DPN </w:t>
      </w:r>
      <w:r w:rsidRPr="00AF0E0B">
        <w:rPr>
          <w:rFonts w:eastAsia="Arial" w:cs="Arial"/>
          <w:color w:val="000000"/>
          <w:u w:color="000000"/>
          <w:bdr w:val="nil"/>
          <w:lang w:eastAsia="en-GB"/>
        </w:rPr>
        <w:fldChar w:fldCharType="begin">
          <w:fldData xml:space="preserve">PEVuZE5vdGU+PENpdGU+PEF1dGhvcj5TZWx2YXJhamFoPC9BdXRob3I+PFllYXI+MjAxNDwvWWVh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</w:fldData>
        </w:fldChar>
      </w:r>
      <w:r w:rsidR="00CE430A">
        <w:rPr>
          <w:rFonts w:eastAsia="Arial" w:cs="Arial"/>
          <w:color w:val="000000"/>
          <w:u w:color="000000"/>
          <w:bdr w:val="nil"/>
          <w:lang w:eastAsia="en-GB"/>
        </w:rPr>
        <w:instrText xml:space="preserve"> ADDIN EN.CITE </w:instrText>
      </w:r>
      <w:r w:rsidR="00CE430A">
        <w:rPr>
          <w:rFonts w:eastAsia="Arial" w:cs="Arial"/>
          <w:color w:val="000000"/>
          <w:u w:color="000000"/>
          <w:bdr w:val="nil"/>
          <w:lang w:eastAsia="en-GB"/>
        </w:rPr>
        <w:fldChar w:fldCharType="begin">
          <w:fldData xml:space="preserve">PEVuZE5vdGU+PENpdGU+PEF1dGhvcj5TZWx2YXJhamFoPC9BdXRob3I+PFllYXI+MjAxNDwvWWVh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</w:fldData>
        </w:fldChar>
      </w:r>
      <w:r w:rsidR="00CE430A">
        <w:rPr>
          <w:rFonts w:eastAsia="Arial" w:cs="Arial"/>
          <w:color w:val="000000"/>
          <w:u w:color="000000"/>
          <w:bdr w:val="nil"/>
          <w:lang w:eastAsia="en-GB"/>
        </w:rPr>
        <w:instrText xml:space="preserve"> ADDIN EN.CITE.DATA </w:instrText>
      </w:r>
      <w:r w:rsidR="00CE430A">
        <w:rPr>
          <w:rFonts w:eastAsia="Arial" w:cs="Arial"/>
          <w:color w:val="000000"/>
          <w:u w:color="000000"/>
          <w:bdr w:val="nil"/>
          <w:lang w:eastAsia="en-GB"/>
        </w:rPr>
      </w:r>
      <w:r w:rsidR="00CE430A">
        <w:rPr>
          <w:rFonts w:eastAsia="Arial" w:cs="Arial"/>
          <w:color w:val="000000"/>
          <w:u w:color="000000"/>
          <w:bdr w:val="nil"/>
          <w:lang w:eastAsia="en-GB"/>
        </w:rPr>
        <w:fldChar w:fldCharType="end"/>
      </w:r>
      <w:r w:rsidRPr="00AF0E0B">
        <w:rPr>
          <w:rFonts w:eastAsia="Arial" w:cs="Arial"/>
          <w:color w:val="000000"/>
          <w:u w:color="000000"/>
          <w:bdr w:val="nil"/>
          <w:lang w:eastAsia="en-GB"/>
        </w:rPr>
      </w:r>
      <w:r w:rsidRPr="00AF0E0B">
        <w:rPr>
          <w:rFonts w:eastAsia="Arial" w:cs="Arial"/>
          <w:color w:val="000000"/>
          <w:u w:color="000000"/>
          <w:bdr w:val="nil"/>
          <w:lang w:eastAsia="en-GB"/>
        </w:rPr>
        <w:fldChar w:fldCharType="separate"/>
      </w:r>
      <w:r w:rsidR="00CE430A">
        <w:rPr>
          <w:rFonts w:eastAsia="Arial" w:cs="Arial"/>
          <w:noProof/>
          <w:color w:val="000000"/>
          <w:u w:color="000000"/>
          <w:bdr w:val="nil"/>
          <w:lang w:eastAsia="en-GB"/>
        </w:rPr>
        <w:t>(Selvarajah et al., 2014, Raputova et al., 2017a)</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xml:space="preserve">.  It is thought that depression could be a major confounder in neuropathic pain trials </w:t>
      </w:r>
      <w:r w:rsidRPr="00AF0E0B">
        <w:rPr>
          <w:rFonts w:eastAsia="Arial" w:cs="Arial"/>
          <w:color w:val="000000"/>
          <w:u w:color="000000"/>
          <w:bdr w:val="nil"/>
          <w:lang w:eastAsia="en-GB"/>
        </w:rPr>
        <w:fldChar w:fldCharType="begin"/>
      </w:r>
      <w:r w:rsidR="009968E0">
        <w:rPr>
          <w:rFonts w:eastAsia="Arial" w:cs="Arial"/>
          <w:color w:val="000000"/>
          <w:u w:color="000000"/>
          <w:bdr w:val="nil"/>
          <w:lang w:eastAsia="en-GB"/>
        </w:rPr>
        <w:instrText xml:space="preserve"> ADDIN EN.CITE &lt;EndNote&gt;&lt;Cite&gt;&lt;Author&gt;Selvarajah&lt;/Author&gt;&lt;Year&gt;2008&lt;/Year&gt;&lt;RecNum&gt;478&lt;/RecNum&gt;&lt;DisplayText&gt;(Selvarajah et al., 2008a)&lt;/DisplayText&gt;&lt;record&gt;&lt;dates&gt;&lt;pub-dates&gt;&lt;date&gt;Jun&lt;/date&gt;&lt;/pub-dates&gt;&lt;year&gt;2008&lt;/year&gt;&lt;/dates&gt;&lt;urls&gt;&lt;related-urls&gt;&lt;url&gt;&amp;lt;Go to ISI&amp;gt;://WOS:000256612002376&lt;/url&gt;&lt;/related-urls&gt;&lt;/urls&gt;&lt;isbn&gt;0012-1797&lt;/isbn&gt;&lt;titles&gt;&lt;title&gt;Depression is a major confounder to outcomes of clinical trials in painful diabetic neuropathy&lt;/title&gt;&lt;secondary-title&gt;Diabetes&lt;/secondary-title&gt;&lt;/titles&gt;&lt;pages&gt;A517-A518&lt;/pages&gt;&lt;contributors&gt;&lt;authors&gt;&lt;author&gt;Selvarajah, D.&lt;/author&gt;&lt;author&gt;Gandhi, R.&lt;/author&gt;&lt;author&gt;Emery, C. J.&lt;/author&gt;&lt;author&gt;Bowler, H.&lt;/author&gt;&lt;author&gt;Tesfaye, S.&lt;/author&gt;&lt;/authors&gt;&lt;/contributors&gt;&lt;added-date format="utc"&gt;1356361044&lt;/added-date&gt;&lt;ref-type name="Conference Paper"&gt;47&lt;/ref-type&gt;&lt;rec-number&gt;478&lt;/rec-number&gt;&lt;last-updated-date format="utc"&gt;1357424353&lt;/last-updated-date&gt;&lt;accession-num&gt;WOS:000256612002376&lt;/accession-num&gt;&lt;volume&gt;57&lt;/volume&gt;&lt;/record&gt;&lt;/Cite&gt;&lt;/EndNote&gt;</w:instrText>
      </w:r>
      <w:r w:rsidRPr="00AF0E0B">
        <w:rPr>
          <w:rFonts w:eastAsia="Arial" w:cs="Arial"/>
          <w:color w:val="000000"/>
          <w:u w:color="000000"/>
          <w:bdr w:val="nil"/>
          <w:lang w:eastAsia="en-GB"/>
        </w:rPr>
        <w:fldChar w:fldCharType="separate"/>
      </w:r>
      <w:r w:rsidR="009968E0">
        <w:rPr>
          <w:rFonts w:eastAsia="Arial" w:cs="Arial"/>
          <w:noProof/>
          <w:color w:val="000000"/>
          <w:u w:color="000000"/>
          <w:bdr w:val="nil"/>
          <w:lang w:eastAsia="en-GB"/>
        </w:rPr>
        <w:t>(Selvarajah et al., 2008a)</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xml:space="preserve">.  Therefore, it was thought to be important to measure depression and anxiety as contributory factors to pain perception. </w:t>
      </w:r>
    </w:p>
    <w:p w14:paraId="48803A7E" w14:textId="13E2E9AD" w:rsidR="00AF0E0B" w:rsidRPr="00AF0E0B" w:rsidRDefault="00AF0E0B" w:rsidP="00AF0E0B">
      <w:pPr>
        <w:pBdr>
          <w:top w:val="nil"/>
          <w:left w:val="nil"/>
          <w:bottom w:val="nil"/>
          <w:right w:val="nil"/>
          <w:between w:val="nil"/>
          <w:bar w:val="nil"/>
        </w:pBdr>
        <w:spacing w:line="360" w:lineRule="auto"/>
        <w:rPr>
          <w:rFonts w:eastAsia="Arial" w:cs="Arial"/>
          <w:color w:val="000000"/>
          <w:u w:color="000000"/>
          <w:bdr w:val="nil"/>
          <w:lang w:eastAsia="en-GB"/>
        </w:rPr>
      </w:pPr>
      <w:r w:rsidRPr="00AF0E0B">
        <w:rPr>
          <w:rFonts w:eastAsia="Arial Unicode MS" w:cs="Arial Unicode MS"/>
          <w:color w:val="000000"/>
          <w:u w:color="000000"/>
          <w:bdr w:val="nil"/>
          <w:lang w:val="en-US" w:eastAsia="en-GB"/>
        </w:rPr>
        <w:t xml:space="preserve">Psychological factors other than mood are also related to pain perception.  Somatic focus is a specific, multimodal, psychological construct related to pain or symptom focus.  Somatic focus refers to the tendency to notice and report physical symptoms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&gt;&lt;Author&gt;O'Brien&lt;/Author&gt;&lt;Year&gt;2008&lt;/Year&gt;&lt;RecNum&gt;954&lt;/RecNum&gt;&lt;DisplayText&gt;(O'Brien et al., 2008)&lt;/DisplayText&gt;&lt;record&gt;&lt;dates&gt;&lt;pub-dates&gt;&lt;date&gt;Jan&lt;/date&gt;&lt;/pub-dates&gt;&lt;year&gt;2008&lt;/year&gt;&lt;/dates&gt;&lt;urls&gt;&lt;related-urls&gt;&lt;url&gt;&amp;lt;Go to ISI&amp;gt;://WOS:000251934200013&lt;/url&gt;&lt;/related-urls&gt;&lt;/urls&gt;&lt;isbn&gt;1090-3801&lt;/isbn&gt;&lt;titles&gt;&lt;title&gt;Somatic focus/awareness: Relationship to negative affect and pain in chronic pain patients&lt;/title&gt;&lt;secondary-title&gt;European Journal of Pain&lt;/secondary-title&gt;&lt;/titles&gt;&lt;pages&gt;104-115&lt;/pages&gt;&lt;number&gt;1&lt;/number&gt;&lt;contributors&gt;&lt;authors&gt;&lt;author&gt;O'Brien, E. M.&lt;/author&gt;&lt;author&gt;Atchison, J. W.&lt;/author&gt;&lt;author&gt;Gremillion, H. A.&lt;/author&gt;&lt;author&gt;Waxenberg, L. B.&lt;/author&gt;&lt;author&gt;Robinson, M. E.&lt;/author&gt;&lt;/authors&gt;&lt;/contributors&gt;&lt;added-date format="utc"&gt;1528051972&lt;/added-date&gt;&lt;ref-type name="Journal Article"&gt;17&lt;/ref-type&gt;&lt;rec-number&gt;954&lt;/rec-number&gt;&lt;last-updated-date format="utc"&gt;1528051972&lt;/last-updated-date&gt;&lt;accession-num&gt;WOS:000251934200013&lt;/accession-num&gt;&lt;electronic-resource-num&gt;10.1016/j.ejpain.2007.04.001&lt;/electronic-resource-num&gt;&lt;volume&gt;12&lt;/volum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eastAsia="en-GB"/>
        </w:rPr>
        <w:t>(O'Brien et al., 2008)</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fr-FR" w:eastAsia="en-GB"/>
        </w:rPr>
        <w:t xml:space="preserve">.  The PILL questionnaire </w:t>
      </w:r>
      <w:r w:rsidRPr="00AF0E0B">
        <w:rPr>
          <w:rFonts w:eastAsia="Arial Unicode MS" w:cs="Arial Unicode MS"/>
          <w:color w:val="000000"/>
          <w:u w:color="000000"/>
          <w:bdr w:val="nil"/>
          <w:lang w:val="en-US" w:eastAsia="en-GB"/>
        </w:rPr>
        <w:t xml:space="preserve">that serves as a measure somatic focus has been shown to predict increased pain perception in other chronic pain conditions, such as temporomandibular joint dysfunction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&gt;&lt;Author&gt;Fillingim&lt;/Author&gt;&lt;Year&gt;2013&lt;/Year&gt;&lt;RecNum&gt;1162&lt;/RecNum&gt;&lt;DisplayText&gt;(Fillingim et al., 2013)&lt;/DisplayText&gt;&lt;record&gt;&lt;keywords&gt;&lt;keyword&gt;Temporomandibular Disorder&lt;/keyword&gt;&lt;keyword&gt;Psychological Risk Factors&lt;/keyword&gt;&lt;keyword&gt;Chronic Pain Somatic Symptoms&lt;/keyword&gt;&lt;keyword&gt;Psychosocial Stress&lt;/keyword&gt;&lt;keyword&gt;Medicine&lt;/keyword&gt;&lt;/keywords&gt;&lt;isbn&gt;1526-5900&lt;/isbn&gt;&lt;titles&gt;&lt;title&gt;Psychological Factors Associated With Development of TMD: The OPPERA Prospective Cohort Study&lt;/title&gt;&lt;secondary-title&gt;Journal of Pain&lt;/secondary-title&gt;&lt;/titles&gt;&lt;pages&gt;T75-T90&lt;/pages&gt;&lt;number&gt;12&lt;/number&gt;&lt;contributors&gt;&lt;authors&gt;&lt;author&gt;Fillingim, Roger B.&lt;/author&gt;&lt;author&gt;Ohrbach, Richard&lt;/author&gt;&lt;author&gt;Greenspan, Joel D.&lt;/author&gt;&lt;author&gt;Knott, Charles&lt;/author&gt;&lt;author&gt;Diatchenko, Luda&lt;/author&gt;&lt;author&gt;Dubner, Ronald&lt;/author&gt;&lt;author&gt;Bair, Eric&lt;/author&gt;&lt;author&gt;Baraian, Cristina&lt;/author&gt;&lt;author&gt;Mack, Nicole&lt;/author&gt;&lt;author&gt;Slade, Gary D.&lt;/author&gt;&lt;author&gt;Maixner, William&lt;/author&gt;&lt;/authors&gt;&lt;/contributors&gt;&lt;added-date format="utc"&gt;1571491215&lt;/added-date&gt;&lt;ref-type name="Journal Article"&gt;17&lt;/ref-type&gt;&lt;dates&gt;&lt;year&gt;2013&lt;/year&gt;&lt;/dates&gt;&lt;rec-number&gt;1162&lt;/rec-number&gt;&lt;last-updated-date format="utc"&gt;1571491215&lt;/last-updated-date&gt;&lt;electronic-resource-num&gt;10.1016/j.jpain.2013.06.009&lt;/electronic-resource-num&gt;&lt;volume&gt;14&lt;/volume&gt;&lt;/record&gt;&lt;/Cite&gt;&lt;/EndNote&gt;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eastAsia="en-GB"/>
        </w:rPr>
        <w:t>(Fillingim et al., 2013)</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xml:space="preserve">, and </w:t>
      </w:r>
      <w:r w:rsidR="00AA1E25">
        <w:rPr>
          <w:rFonts w:eastAsia="Arial Unicode MS" w:cs="Arial Unicode MS"/>
          <w:color w:val="000000"/>
          <w:u w:color="000000"/>
          <w:bdr w:val="nil"/>
          <w:lang w:val="en-US" w:eastAsia="en-GB"/>
        </w:rPr>
        <w:t>vulvodynia</w:t>
      </w:r>
      <w:r w:rsidRPr="00AF0E0B">
        <w:rPr>
          <w:rFonts w:eastAsia="Arial Unicode MS" w:cs="Arial Unicode MS"/>
          <w:color w:val="000000"/>
          <w:u w:color="000000"/>
          <w:bdr w:val="nil"/>
          <w:lang w:val="en-US" w:eastAsia="en-GB"/>
        </w:rPr>
        <w:t xml:space="preserve"> </w:t>
      </w:r>
      <w:r w:rsidRPr="00AF0E0B">
        <w:rPr>
          <w:rFonts w:eastAsia="Arial" w:cs="Arial"/>
          <w:color w:val="000000"/>
          <w:u w:color="000000"/>
          <w:bdr w:val="nil"/>
          <w:lang w:eastAsia="en-GB"/>
        </w:rPr>
        <w:lastRenderedPageBreak/>
        <w:fldChar w:fldCharType="begin"/>
      </w:r>
      <w:r w:rsidR="00AA1E25">
        <w:rPr>
          <w:rFonts w:eastAsia="Arial" w:cs="Arial"/>
          <w:color w:val="000000"/>
          <w:u w:color="000000"/>
          <w:bdr w:val="nil"/>
          <w:lang w:eastAsia="en-GB"/>
        </w:rPr>
        <w:instrText xml:space="preserve"> ADDIN EN.CITE &lt;EndNote&gt;&lt;Cite&gt;&lt;Author&gt;Eanes&lt;/Author&gt;&lt;Year&gt;2011&lt;/Year&gt;&lt;IDText&gt;Psychosexual correlates of persistent postsurgical pain in patients with vulvodynia&lt;/IDText&gt;&lt;DisplayText&gt;(Eanes et al., 2011)&lt;/DisplayText&gt;&lt;record&gt;&lt;dates&gt;&lt;pub-dates&gt;&lt;date&gt;Jun&lt;/date&gt;&lt;/pub-dates&gt;&lt;year&gt;2011&lt;/year&gt;&lt;/dates&gt;&lt;keywords&gt;&lt;keyword&gt;Adult&lt;/keyword&gt;&lt;keyword&gt;Anxiety&lt;/keyword&gt;&lt;keyword&gt;Cross-Sectional Studies&lt;/keyword&gt;&lt;keyword&gt;Female&lt;/keyword&gt;&lt;keyword&gt;Humans&lt;/keyword&gt;&lt;keyword&gt;Middle Aged&lt;/keyword&gt;&lt;keyword&gt;Pain Measurement&lt;/keyword&gt;&lt;keyword&gt;Pain, Postoperative&lt;/keyword&gt;&lt;keyword&gt;Retrospective Studies&lt;/keyword&gt;&lt;keyword&gt;Sexual Dysfunctions, Psychological&lt;/keyword&gt;&lt;keyword&gt;Stress, Psychological&lt;/keyword&gt;&lt;keyword&gt;Surveys and Questionnaires&lt;/keyword&gt;&lt;keyword&gt;Treatment Outcome&lt;/keyword&gt;&lt;keyword&gt;Vulvodynia&lt;/keyword&gt;&lt;/keywords&gt;&lt;urls&gt;&lt;related-urls&gt;&lt;url&gt;https://www.ncbi.nlm.nih.gov/pubmed/21481387&lt;/url&gt;&lt;/related-urls&gt;&lt;/urls&gt;&lt;isbn&gt;1879-3479&lt;/isbn&gt;&lt;custom2&gt;PMC4532674&lt;/custom2&gt;&lt;titles&gt;&lt;title&gt;Psychosexual correlates of persistent postsurgical pain in patients with vulvodynia&lt;/title&gt;&lt;secondary-title&gt;Int J Gynaecol Obstet&lt;/secondary-title&gt;&lt;/titles&gt;&lt;pages&gt;225-8&lt;/pages&gt;&lt;number&gt;3&lt;/number&gt;&lt;contributors&gt;&lt;authors&gt;&lt;author&gt;Eanes, A.&lt;/author&gt;&lt;author&gt;Bair, E.&lt;/author&gt;&lt;author&gt;Martin, C.&lt;/author&gt;&lt;author&gt;Iyer, P.&lt;/author&gt;&lt;author&gt;Zolnoun, D.&lt;/author&gt;&lt;/authors&gt;&lt;/contributors&gt;&lt;edition&gt;2011/04/09&lt;/edition&gt;&lt;language&gt;eng&lt;/language&gt;&lt;added-date format="utc"&gt;1599337618&lt;/added-date&gt;&lt;ref-type name="Journal Article"&gt;17&lt;/ref-type&gt;&lt;rec-number&gt;1356&lt;/rec-number&gt;&lt;last-updated-date format="utc"&gt;1599337618&lt;/last-updated-date&gt;&lt;accession-num&gt;21481387&lt;/accession-num&gt;&lt;electronic-resource-num&gt;10.1016/j.ijgo.2010.12.018&lt;/electronic-resource-num&gt;&lt;volume&gt;113&lt;/volume&gt;&lt;/record&gt;&lt;/Cite&gt;&lt;/EndNote&gt;</w:instrText>
      </w:r>
      <w:r w:rsidRPr="00AF0E0B">
        <w:rPr>
          <w:rFonts w:eastAsia="Arial" w:cs="Arial"/>
          <w:color w:val="000000"/>
          <w:u w:color="000000"/>
          <w:bdr w:val="nil"/>
          <w:lang w:eastAsia="en-GB"/>
        </w:rPr>
        <w:fldChar w:fldCharType="separate"/>
      </w:r>
      <w:r w:rsidR="00AA1E25">
        <w:rPr>
          <w:rFonts w:eastAsia="Arial" w:cs="Arial"/>
          <w:noProof/>
          <w:color w:val="000000"/>
          <w:u w:color="000000"/>
          <w:bdr w:val="nil"/>
          <w:lang w:eastAsia="en-GB"/>
        </w:rPr>
        <w:t>(Eanes et al., 2011)</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xml:space="preserve">.  Somatic focus is associated with central pain syndromes such as fibromyalgia and may be a measure of central </w:t>
      </w:r>
      <w:proofErr w:type="spellStart"/>
      <w:r w:rsidRPr="00AF0E0B">
        <w:rPr>
          <w:rFonts w:eastAsia="Arial Unicode MS" w:cs="Arial Unicode MS"/>
          <w:color w:val="000000"/>
          <w:u w:color="000000"/>
          <w:bdr w:val="nil"/>
          <w:lang w:val="en-US" w:eastAsia="en-GB"/>
        </w:rPr>
        <w:t>sensitisation</w:t>
      </w:r>
      <w:proofErr w:type="spellEnd"/>
      <w:r w:rsidRPr="00AF0E0B">
        <w:rPr>
          <w:rFonts w:eastAsia="Arial Unicode MS" w:cs="Arial Unicode MS"/>
          <w:color w:val="000000"/>
          <w:u w:color="000000"/>
          <w:bdr w:val="nil"/>
          <w:lang w:val="en-US" w:eastAsia="en-GB"/>
        </w:rPr>
        <w:t xml:space="preserve">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&gt;&lt;Author&gt;O'Brien&lt;/Author&gt;&lt;Year&gt;2008&lt;/Year&gt;&lt;RecNum&gt;954&lt;/RecNum&gt;&lt;DisplayText&gt;(O'Brien et al., 2008)&lt;/DisplayText&gt;&lt;record&gt;&lt;dates&gt;&lt;pub-dates&gt;&lt;date&gt;Jan&lt;/date&gt;&lt;/pub-dates&gt;&lt;year&gt;2008&lt;/year&gt;&lt;/dates&gt;&lt;urls&gt;&lt;related-urls&gt;&lt;url&gt;&amp;lt;Go to ISI&amp;gt;://WOS:000251934200013&lt;/url&gt;&lt;/related-urls&gt;&lt;/urls&gt;&lt;isbn&gt;1090-3801&lt;/isbn&gt;&lt;titles&gt;&lt;title&gt;Somatic focus/awareness: Relationship to negative affect and pain in chronic pain patients&lt;/title&gt;&lt;secondary-title&gt;European Journal of Pain&lt;/secondary-title&gt;&lt;/titles&gt;&lt;pages&gt;104-115&lt;/pages&gt;&lt;number&gt;1&lt;/number&gt;&lt;contributors&gt;&lt;authors&gt;&lt;author&gt;O'Brien, E. M.&lt;/author&gt;&lt;author&gt;Atchison, J. W.&lt;/author&gt;&lt;author&gt;Gremillion, H. A.&lt;/author&gt;&lt;author&gt;Waxenberg, L. B.&lt;/author&gt;&lt;author&gt;Robinson, M. E.&lt;/author&gt;&lt;/authors&gt;&lt;/contributors&gt;&lt;added-date format="utc"&gt;1528051972&lt;/added-date&gt;&lt;ref-type name="Journal Article"&gt;17&lt;/ref-type&gt;&lt;rec-number&gt;954&lt;/rec-number&gt;&lt;last-updated-date format="utc"&gt;1528051972&lt;/last-updated-date&gt;&lt;accession-num&gt;WOS:000251934200013&lt;/accession-num&gt;&lt;electronic-resource-num&gt;10.1016/j.ejpain.2007.04.001&lt;/electronic-resource-num&gt;&lt;volume&gt;12&lt;/volum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eastAsia="en-GB"/>
        </w:rPr>
        <w:t>(O'Brien et al., 2008)</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xml:space="preserve">.  Although central pain syndromes and neuropathy are different disease processes, central </w:t>
      </w:r>
      <w:proofErr w:type="spellStart"/>
      <w:r w:rsidRPr="00AF0E0B">
        <w:rPr>
          <w:rFonts w:eastAsia="Arial Unicode MS" w:cs="Arial Unicode MS"/>
          <w:color w:val="000000"/>
          <w:u w:color="000000"/>
          <w:bdr w:val="nil"/>
          <w:lang w:val="en-US" w:eastAsia="en-GB"/>
        </w:rPr>
        <w:t>sensitisation</w:t>
      </w:r>
      <w:proofErr w:type="spellEnd"/>
      <w:r w:rsidRPr="00AF0E0B">
        <w:rPr>
          <w:rFonts w:eastAsia="Arial Unicode MS" w:cs="Arial Unicode MS"/>
          <w:color w:val="000000"/>
          <w:u w:color="000000"/>
          <w:bdr w:val="nil"/>
          <w:lang w:val="en-US" w:eastAsia="en-GB"/>
        </w:rPr>
        <w:t xml:space="preserve"> is thought to be part of the process of the generation of chronic neuropathic pain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&gt;&lt;Author&gt;Meacham&lt;/Author&gt;&lt;Year&gt;2017&lt;/Year&gt;&lt;RecNum&gt;1345&lt;/RecNum&gt;&lt;DisplayText&gt;(Meacham et al., 2017)&lt;/DisplayText&gt;&lt;record&gt;&lt;dates&gt;&lt;pub-dates&gt;&lt;date&gt;Jun&lt;/date&gt;&lt;/pub-dates&gt;&lt;year&gt;2017&lt;/year&gt;&lt;/dates&gt;&lt;keywords&gt;&lt;keyword&gt;Central Nervous System&lt;/keyword&gt;&lt;keyword&gt;Humans&lt;/keyword&gt;&lt;keyword&gt;Neuralgia&lt;/keyword&gt;&lt;keyword&gt;Neurons&lt;/keyword&gt;&lt;keyword&gt;Peripheral Nervous System&lt;/keyword&gt;&lt;keyword&gt;Central sensitization&lt;/keyword&gt;&lt;keyword&gt;Chronic pain&lt;/keyword&gt;&lt;keyword&gt;Hyperexcitability&lt;/keyword&gt;&lt;keyword&gt;Neuropathic pain&lt;/keyword&gt;&lt;keyword&gt;Neuroplasticity&lt;/keyword&gt;&lt;keyword&gt;Painful neuropathy&lt;/keyword&gt;&lt;keyword&gt;Peripheral nerve damage&lt;/keyword&gt;&lt;/keywords&gt;&lt;urls&gt;&lt;related-urls&gt;&lt;url&gt;https://www.ncbi.nlm.nih.gov/pubmed/28432601&lt;/url&gt;&lt;/related-urls&gt;&lt;/urls&gt;&lt;isbn&gt;1534-3081&lt;/isbn&gt;&lt;titles&gt;&lt;title&gt;Neuropathic Pain: Central vs. Peripheral Mechanisms&lt;/title&gt;&lt;secondary-title&gt;Curr Pain Headache Rep&lt;/secondary-title&gt;&lt;/titles&gt;&lt;pages&gt;28&lt;/pages&gt;&lt;number&gt;6&lt;/number&gt;&lt;contributors&gt;&lt;authors&gt;&lt;author&gt;Meacham, K.&lt;/author&gt;&lt;author&gt;Shepherd, A.&lt;/author&gt;&lt;author&gt;Mohapatra, D. P.&lt;/author&gt;&lt;author&gt;Haroutounian, S.&lt;/author&gt;&lt;/authors&gt;&lt;/contributors&gt;&lt;language&gt;eng&lt;/language&gt;&lt;added-date format="utc"&gt;1598875950&lt;/added-date&gt;&lt;ref-type name="Journal Article"&gt;17&lt;/ref-type&gt;&lt;rec-number&gt;1345&lt;/rec-number&gt;&lt;last-updated-date format="utc"&gt;1598875950&lt;/last-updated-date&gt;&lt;accession-num&gt;28432601&lt;/accession-num&gt;&lt;electronic-resource-num&gt;10.1007/s11916-017-0629-5&lt;/electronic-resource-num&gt;&lt;volume&gt;21&lt;/volume&gt;&lt;/record&gt;&lt;/Cite&gt;&lt;/EndNote&gt;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eastAsia="en-GB"/>
        </w:rPr>
        <w:t>(Meacham et al., 2017)</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xml:space="preserve">.  Interestingly, somatic focus predicts who goes on to develop another type of painful peripheral neuropathy, post herpetic neuralgia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&gt;&lt;Author&gt;Dworkin&lt;/Author&gt;&lt;Year&gt;1992&lt;/Year&gt;&lt;RecNum&gt;1343&lt;/RecNum&gt;&lt;DisplayText&gt;(Dworkin et al., 1992)&lt;/DisplayText&gt;&lt;record&gt;&lt;keywords&gt;&lt;keyword&gt;DEPRESSION&lt;/keyword&gt;&lt;keyword&gt;ETIOLOGY&lt;/keyword&gt;&lt;keyword&gt;COMPLAINTS&lt;/keyword&gt;&lt;keyword&gt;POSTHERPETIC NEURALGIA&lt;/keyword&gt;&lt;keyword&gt;HEADACHE&lt;/keyword&gt;&lt;keyword&gt;DISCRIMINANT-ANALYSIS&lt;/keyword&gt;&lt;keyword&gt;LOW-BACK PAIN&lt;/keyword&gt;&lt;keyword&gt;NEGATIVE AFFECTIVITY&lt;/keyword&gt;&lt;keyword&gt;ILLNESS BEHAVIOR&lt;/keyword&gt;&lt;keyword&gt;QUESTIONNAIRE&lt;/keyword&gt;&lt;keyword&gt;J VI PSYCHOLOGY&lt;/keyword&gt;&lt;keyword&gt;J EQ PSYCHOLOGY, CLINICAL&lt;/keyword&gt;&lt;keyword&gt;Prospective Studies&lt;/keyword&gt;&lt;keyword&gt;Humans&lt;/keyword&gt;&lt;keyword&gt;Middle Aged&lt;/keyword&gt;&lt;keyword&gt;Male&lt;/keyword&gt;&lt;keyword&gt;Sick Role&lt;/keyword&gt;&lt;keyword&gt;Psychophysiologic Disorders - psychology&lt;/keyword&gt;&lt;keyword&gt;Aged, 80 and over&lt;/keyword&gt;&lt;keyword&gt;Adult&lt;/keyword&gt;&lt;keyword&gt;Female&lt;/keyword&gt;&lt;keyword&gt;Aged&lt;/keyword&gt;&lt;keyword&gt;Herpes Zoster - psychology&lt;/keyword&gt;&lt;keyword&gt;Pain Measurement&lt;/keyword&gt;&lt;keyword&gt;Stress, Psychological - complications&lt;/keyword&gt;&lt;keyword&gt;Psychological aspects&lt;/keyword&gt;&lt;keyword&gt;Psychology, Applied&lt;/keyword&gt;&lt;keyword&gt;Pain&lt;/keyword&gt;&lt;keyword&gt;Research&lt;/keyword&gt;&lt;keyword&gt;Shingles (Disease)&lt;/keyword&gt;&lt;/keywords&gt;&lt;isbn&gt;0021-843X&lt;/isbn&gt;&lt;titles&gt;&lt;title&gt;A High-Risk Method for Studying Psychosocial Antecedents of Chronic Pain: The Prospective Investigation of Herpes Zoster&lt;/title&gt;&lt;secondary-title&gt;J Abnorm Psychol&lt;/secondary-title&gt;&lt;/titles&gt;&lt;pages&gt;200-205&lt;/pages&gt;&lt;number&gt;1&lt;/number&gt;&lt;contributors&gt;&lt;authors&gt;&lt;author&gt;Dworkin, Robert H.&lt;/author&gt;&lt;author&gt;Hartstein, Gila&lt;/author&gt;&lt;author&gt;Rosner, Howard L.&lt;/author&gt;&lt;author&gt;Walther, Robert R.&lt;/author&gt;&lt;author&gt;Sweeney, Eugene W.&lt;/author&gt;&lt;author&gt;Brand, Leonard&lt;/author&gt;&lt;/authors&gt;&lt;/contributors&gt;&lt;added-date format="utc"&gt;1598874576&lt;/added-date&gt;&lt;pub-location&gt;WASHINGTON&lt;/pub-location&gt;&lt;ref-type name="Journal Article"&gt;17&lt;/ref-type&gt;&lt;dates&gt;&lt;year&gt;1992&lt;/year&gt;&lt;/dates&gt;&lt;rec-number&gt;1343&lt;/rec-number&gt;&lt;publisher&gt;WASHINGTON: American Psychological Association&lt;/publisher&gt;&lt;last-updated-date format="utc"&gt;1598874576&lt;/last-updated-date&gt;&lt;electronic-resource-num&gt;10.1037/0021-843X.101.1.200&lt;/electronic-resource-num&gt;&lt;volume&gt;101&lt;/volume&gt;&lt;/record&gt;&lt;/Cite&gt;&lt;/EndNote&gt;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val="en-US" w:eastAsia="en-GB"/>
        </w:rPr>
        <w:t>(Dworkin et al., 1992)</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xml:space="preserve">.  IMPACCT (Initiative on Methods, Measurement, and Pain Assessment in Clinical Trials) recommends that assessments of the Hospital Anxiety and Depression scale (HADS, a measure of depression and anxiety), PILL, and Pain </w:t>
      </w:r>
      <w:proofErr w:type="spellStart"/>
      <w:r w:rsidRPr="00AF0E0B">
        <w:rPr>
          <w:rFonts w:eastAsia="Arial Unicode MS" w:cs="Arial Unicode MS"/>
          <w:color w:val="000000"/>
          <w:u w:color="000000"/>
          <w:bdr w:val="nil"/>
          <w:lang w:val="en-US" w:eastAsia="en-GB"/>
        </w:rPr>
        <w:t>Catastrophising</w:t>
      </w:r>
      <w:proofErr w:type="spellEnd"/>
      <w:r w:rsidRPr="00AF0E0B">
        <w:rPr>
          <w:rFonts w:eastAsia="Arial Unicode MS" w:cs="Arial Unicode MS"/>
          <w:color w:val="000000"/>
          <w:u w:color="000000"/>
          <w:bdr w:val="nil"/>
          <w:lang w:val="en-US" w:eastAsia="en-GB"/>
        </w:rPr>
        <w:t xml:space="preserve"> Scale (PCS, a questionnaire to measure pain </w:t>
      </w:r>
      <w:proofErr w:type="spellStart"/>
      <w:r w:rsidRPr="00AF0E0B">
        <w:rPr>
          <w:rFonts w:eastAsia="Arial Unicode MS" w:cs="Arial Unicode MS"/>
          <w:color w:val="000000"/>
          <w:u w:color="000000"/>
          <w:bdr w:val="nil"/>
          <w:lang w:val="en-US" w:eastAsia="en-GB"/>
        </w:rPr>
        <w:t>catastrophising</w:t>
      </w:r>
      <w:proofErr w:type="spellEnd"/>
      <w:r w:rsidRPr="00AF0E0B">
        <w:rPr>
          <w:rFonts w:eastAsia="Arial Unicode MS" w:cs="Arial Unicode MS"/>
          <w:color w:val="000000"/>
          <w:u w:color="000000"/>
          <w:bdr w:val="nil"/>
          <w:lang w:val="en-US" w:eastAsia="en-GB"/>
        </w:rPr>
        <w:t xml:space="preserve">) are included in all clinical trials of pain relieving medications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&gt;&lt;Author&gt;Edwards&lt;/Author&gt;&lt;Year&gt;2016&lt;/Year&gt;&lt;RecNum&gt;1160&lt;/RecNum&gt;&lt;DisplayText&gt;(Edwards et al., 2016)&lt;/DisplayText&gt;&lt;record&gt;&lt;keywords&gt;&lt;keyword&gt;Treatment Outcome&lt;/keyword&gt;&lt;keyword&gt;Analgesics -- Therapeutic Use&lt;/keyword&gt;&lt;keyword&gt;Chronic Pain -- Drug Therapy&lt;/keyword&gt;&lt;keyword&gt;Clinical Trials As Topic -- Methods&lt;/keyword&gt;&lt;keyword&gt;Pain Measurement -- Methods&lt;/keyword&gt;&lt;/keywords&gt;&lt;isbn&gt;0304-3959&amp;#13;18726623&lt;/isbn&gt;&lt;titles&gt;&lt;title&gt;Patient phenotyping in clinical trials of chronic pain treatments: IMMPACT recommendations&lt;/title&gt;&lt;secondary-title&gt;PAIN&lt;/secondary-title&gt;&lt;/titles&gt;&lt;pages&gt;1851-1871&lt;/pages&gt;&lt;number&gt;9&lt;/number&gt;&lt;contributors&gt;&lt;authors&gt;&lt;author&gt;Edwards, R. Robert&lt;/author&gt;&lt;author&gt;Dworkin, H. Robert&lt;/author&gt;&lt;author&gt;Turk, C. Dennis&lt;/author&gt;&lt;author&gt;Angst, S. Martin&lt;/author&gt;&lt;author&gt;Dionne, B. Raymond&lt;/author&gt;&lt;author&gt;Freeman, S. Roy&lt;/author&gt;&lt;author&gt;Hansson, B. Per&lt;/author&gt;&lt;author&gt;Haroutounian, S. Simon&lt;/author&gt;&lt;author&gt;Arendt-Nielsen, P. Lars&lt;/author&gt;&lt;author&gt;Attal, A. Nadine&lt;/author&gt;&lt;author&gt;Baron, D. Ralf&lt;/author&gt;&lt;author&gt;Brell, A. Joanna&lt;/author&gt;&lt;author&gt;Bujanover, S. C. Shay&lt;/author&gt;&lt;author&gt;Burke, M. Laurie&lt;/author&gt;&lt;author&gt;Carr, S. Daniel&lt;/author&gt;&lt;author&gt;Chappell, M. Amy&lt;/author&gt;&lt;author&gt;Cowan, D. Penney&lt;/author&gt;&lt;author&gt;Etropolski, D. Mila&lt;/author&gt;&lt;author&gt;Fillingim, D. Roger&lt;/author&gt;&lt;author&gt;Gewandter, D. Jennifer&lt;/author&gt;&lt;author&gt;Katz, D. Nathaniel&lt;/author&gt;&lt;author&gt;Kopecky, D. Ernest&lt;/author&gt;&lt;author&gt;Markman, D. John&lt;/author&gt;&lt;author&gt;Nomikos, D. George&lt;/author&gt;&lt;author&gt;Porter, D. Linda&lt;/author&gt;&lt;author&gt;Rappaport, D. Bob&lt;/author&gt;&lt;author&gt;Rice, D. Andrew&lt;/author&gt;&lt;author&gt;Scavone, D. Joseph&lt;/author&gt;&lt;author&gt;Scholz, D. Joachim&lt;/author&gt;&lt;author&gt;Simon, D. Lee&lt;/author&gt;&lt;author&gt;Smith, D. Shannon&lt;/author&gt;&lt;author&gt;Tobias, D. Jeffrey&lt;/author&gt;&lt;author&gt;Tockarshewsky, D. Tina&lt;/author&gt;&lt;author&gt;Veasley, D. Christine&lt;/author&gt;&lt;author&gt;Versavel, D. Mark&lt;/author&gt;&lt;author&gt;Wasan, D. Ajay&lt;/author&gt;&lt;author&gt;Wen, D. Warren&lt;/author&gt;&lt;author&gt;Yarnitsky, D. David&lt;/author&gt;&lt;/authors&gt;&lt;/contributors&gt;&lt;added-date format="utc"&gt;1571483227&lt;/added-date&gt;&lt;ref-type name="Journal Article"&gt;17&lt;/ref-type&gt;&lt;dates&gt;&lt;year&gt;2016&lt;/year&gt;&lt;/dates&gt;&lt;rec-number&gt;1160&lt;/rec-number&gt;&lt;last-updated-date format="utc"&gt;1571483227&lt;/last-updated-date&gt;&lt;electronic-resource-num&gt;10.1097/j.pain.0000000000000602&lt;/electronic-resource-num&gt;&lt;volume&gt;157&lt;/volume&gt;&lt;/record&gt;&lt;/Cite&gt;&lt;/EndNote&gt;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val="fr-FR" w:eastAsia="en-GB"/>
        </w:rPr>
        <w:t>(Edwards et al., 2016)</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Using PILL to record the somatic focus within a cohort of subjects with P-DPN may help us develop a more complete understanding of the psychological contributors to this condition. Somatic focus, has not to our knowledge, been studied using the PILL for a cohort of subjects with P-DPN.</w:t>
      </w:r>
    </w:p>
    <w:p w14:paraId="7A50C0CC" w14:textId="77777777" w:rsidR="00AF0E0B" w:rsidRPr="00AF0E0B" w:rsidRDefault="00AF0E0B" w:rsidP="00AF0E0B">
      <w:pPr>
        <w:pBdr>
          <w:top w:val="nil"/>
          <w:left w:val="nil"/>
          <w:bottom w:val="nil"/>
          <w:right w:val="nil"/>
          <w:between w:val="nil"/>
          <w:bar w:val="nil"/>
        </w:pBdr>
        <w:spacing w:line="360" w:lineRule="auto"/>
        <w:rPr>
          <w:rFonts w:eastAsia="Arial" w:cs="Arial"/>
          <w:color w:val="000000"/>
          <w:u w:color="000000"/>
          <w:bdr w:val="nil"/>
          <w:lang w:eastAsia="en-GB"/>
        </w:rPr>
      </w:pPr>
    </w:p>
    <w:p w14:paraId="070147D3" w14:textId="2CC2EA70" w:rsidR="00AF0E0B" w:rsidRPr="0044653E" w:rsidRDefault="00AF0E0B" w:rsidP="00AF0E0B">
      <w:pPr>
        <w:pBdr>
          <w:top w:val="nil"/>
          <w:left w:val="nil"/>
          <w:bottom w:val="nil"/>
          <w:right w:val="nil"/>
          <w:between w:val="nil"/>
          <w:bar w:val="nil"/>
        </w:pBdr>
        <w:spacing w:line="360" w:lineRule="auto"/>
        <w:rPr>
          <w:rFonts w:eastAsia="Arial Unicode MS" w:cs="Arial Unicode MS"/>
          <w:color w:val="000000"/>
          <w:u w:color="000000"/>
          <w:bdr w:val="nil"/>
          <w:lang w:eastAsia="en-GB"/>
        </w:rPr>
      </w:pPr>
      <w:r w:rsidRPr="00AF0E0B">
        <w:rPr>
          <w:rFonts w:eastAsia="Arial Unicode MS" w:cs="Arial Unicode MS"/>
          <w:color w:val="000000"/>
          <w:u w:color="000000"/>
          <w:bdr w:val="nil"/>
          <w:lang w:val="en-US" w:eastAsia="en-GB"/>
        </w:rPr>
        <w:t xml:space="preserve">QST profiling may lead to identification of subpopulations of P-DPN that may identify more specific treatment targets and predict treatment responses to pain relieving strategies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&gt;&lt;Author&gt;Vollert&lt;/Author&gt;&lt;Year&gt;2017&lt;/Year&gt;&lt;DisplayText&gt;(Vollert et al., 2017)&lt;/DisplayText&gt;&lt;record&gt;&lt;titles&gt;&lt;title&gt;Stratifying patients with peripheral neuropathic pain based on sensory profiles: algorithm and sample size recommendations&lt;/title&gt;&lt;/titles&gt;&lt;contributors&gt;&lt;authors&gt;&lt;author&gt;Vollert, J.&lt;/author&gt;&lt;author&gt;Maier, C.&lt;/author&gt;&lt;author&gt;Attal, N.&lt;/author&gt;&lt;author&gt;Bennett, D. L. H.&lt;/author&gt;&lt;author&gt;Bouhassira, D.&lt;/author&gt;&lt;author&gt;Enax-Krumova, E. K.&lt;/author&gt;&lt;author&gt;Finnerup, N. B.&lt;/author&gt;&lt;author&gt;Freynhagen, R.&lt;/author&gt;&lt;author&gt;Gierthmühlen, J.&lt;/author&gt;&lt;author&gt;Haanpää, M.&lt;/author&gt;&lt;author&gt;Hansson, P.&lt;/author&gt;&lt;author&gt;Hüllemann, P.&lt;/author&gt;&lt;author&gt;Jensen, T. S.&lt;/author&gt;&lt;author&gt;Magerl, W.&lt;/author&gt;&lt;author&gt;Ramirez, J. D.&lt;/author&gt;&lt;author&gt;Rice, A. S. C.&lt;/author&gt;&lt;author&gt;Schuh-Hofer, S.&lt;/author&gt;&lt;author&gt;Segerdahl, M.&lt;/author&gt;&lt;author&gt;Serra, J.&lt;/author&gt;&lt;author&gt;Shillo, P. R.&lt;/author&gt;&lt;author&gt;Sindrup, S.&lt;/author&gt;&lt;author&gt;Tesfaye, S.&lt;/author&gt;&lt;author&gt;Themistocleous, A. C.&lt;/author&gt;&lt;author&gt;Tölle, T. R.&lt;/author&gt;&lt;author&gt;Treede, R. D.&lt;/author&gt;&lt;author&gt;Baron, R.&lt;/author&gt;&lt;/authors&gt;&lt;/contributors&gt;&lt;added-date format="utc"&gt;1598198409&lt;/added-date&gt;&lt;ref-type name="Journal Article"&gt;17&lt;/ref-type&gt;&lt;dates&gt;&lt;year&gt;2017&lt;/year&gt;&lt;/dates&gt;&lt;rec-number&gt;1320&lt;/rec-number&gt;&lt;publisher&gt;Lippincott, Williams &amp;amp; Wilkins&lt;/publisher&gt;&lt;last-updated-date format="utc"&gt;1598198454&lt;/last-updated-date&gt;&lt;electronic-resource-num&gt;10.1097/j.pain.0000000000000935&lt;/electronic-resource-num&gt;&lt;/record&gt;&lt;/Cite&gt;&lt;/EndNote&gt;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eastAsia="en-GB"/>
        </w:rPr>
        <w:t>(Vollert et al., 2017)</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xml:space="preserve">.  Using QST profiles, one study has already found that a subgroup of patients with irritable nociceptor </w:t>
      </w:r>
      <w:r w:rsidR="00A460BB">
        <w:rPr>
          <w:rFonts w:eastAsia="Arial Unicode MS" w:cs="Arial Unicode MS"/>
          <w:color w:val="000000"/>
          <w:u w:color="000000"/>
          <w:bdr w:val="nil"/>
          <w:lang w:val="en-US" w:eastAsia="en-GB"/>
        </w:rPr>
        <w:t>phenotype</w:t>
      </w:r>
      <w:r w:rsidRPr="00AF0E0B">
        <w:rPr>
          <w:rFonts w:eastAsia="Arial Unicode MS" w:cs="Arial Unicode MS"/>
          <w:color w:val="000000"/>
          <w:u w:color="000000"/>
          <w:bdr w:val="nil"/>
          <w:lang w:val="en-US" w:eastAsia="en-GB"/>
        </w:rPr>
        <w:t xml:space="preserve"> had significantly greater decreases in neuropathic </w:t>
      </w:r>
      <w:r w:rsidRPr="00AF0E0B">
        <w:rPr>
          <w:rFonts w:eastAsia="Arial Unicode MS" w:cs="Arial Unicode MS"/>
          <w:color w:val="000000"/>
          <w:u w:color="000000"/>
          <w:bdr w:val="nil"/>
          <w:lang w:eastAsia="en-GB"/>
        </w:rPr>
        <w:t xml:space="preserve">pain </w:t>
      </w:r>
      <w:r w:rsidRPr="00AF0E0B">
        <w:rPr>
          <w:rFonts w:eastAsia="Arial Unicode MS" w:cs="Arial Unicode MS"/>
          <w:color w:val="000000"/>
          <w:u w:color="000000"/>
          <w:bdr w:val="nil"/>
          <w:lang w:val="en-US" w:eastAsia="en-GB"/>
        </w:rPr>
        <w:t>after oxcarbazepine treatment, than those with the non-irritable nociceptor</w:t>
      </w:r>
      <w:r w:rsidRPr="00AF0E0B">
        <w:rPr>
          <w:rFonts w:eastAsia="Arial Unicode MS" w:cs="Arial Unicode MS"/>
          <w:color w:val="000000"/>
          <w:u w:color="000000"/>
          <w:bdr w:val="nil"/>
          <w:lang w:eastAsia="en-GB"/>
        </w:rPr>
        <w:t xml:space="preserve"> </w:t>
      </w:r>
      <w:r w:rsidRPr="00AF0E0B">
        <w:rPr>
          <w:rFonts w:eastAsia="Arial Unicode MS" w:cs="Arial Unicode MS"/>
          <w:color w:val="000000"/>
          <w:u w:color="000000"/>
          <w:bdr w:val="nil"/>
          <w:lang w:val="en-US" w:eastAsia="en-GB"/>
        </w:rPr>
        <w:t>phenotype.  Currently, there is no QST profile that is specific to T1D subjects with P-DPN.  Two studies have examined</w:t>
      </w:r>
      <w:r w:rsidRPr="00AF0E0B">
        <w:rPr>
          <w:rFonts w:eastAsia="Arial Unicode MS" w:cs="Arial Unicode MS"/>
          <w:color w:val="000000"/>
          <w:u w:color="000000"/>
          <w:bdr w:val="nil"/>
          <w:lang w:val="de-DE" w:eastAsia="en-GB"/>
        </w:rPr>
        <w:t xml:space="preserve"> QST </w:t>
      </w:r>
      <w:proofErr w:type="spellStart"/>
      <w:r w:rsidRPr="00AF0E0B">
        <w:rPr>
          <w:rFonts w:eastAsia="Arial Unicode MS" w:cs="Arial Unicode MS"/>
          <w:color w:val="000000"/>
          <w:u w:color="000000"/>
          <w:bdr w:val="nil"/>
          <w:lang w:val="de-DE" w:eastAsia="en-GB"/>
        </w:rPr>
        <w:t>profiles</w:t>
      </w:r>
      <w:proofErr w:type="spellEnd"/>
      <w:r w:rsidRPr="00AF0E0B">
        <w:rPr>
          <w:rFonts w:eastAsia="Arial Unicode MS" w:cs="Arial Unicode MS"/>
          <w:color w:val="000000"/>
          <w:u w:color="000000"/>
          <w:bdr w:val="nil"/>
          <w:lang w:val="de-DE" w:eastAsia="en-GB"/>
        </w:rPr>
        <w:t xml:space="preserve"> in T1D </w:t>
      </w:r>
      <w:proofErr w:type="spellStart"/>
      <w:r w:rsidRPr="00AF0E0B">
        <w:rPr>
          <w:rFonts w:eastAsia="Arial Unicode MS" w:cs="Arial Unicode MS"/>
          <w:color w:val="000000"/>
          <w:u w:color="000000"/>
          <w:bdr w:val="nil"/>
          <w:lang w:val="de-DE" w:eastAsia="en-GB"/>
        </w:rPr>
        <w:t>and</w:t>
      </w:r>
      <w:proofErr w:type="spellEnd"/>
      <w:r w:rsidRPr="00AF0E0B">
        <w:rPr>
          <w:rFonts w:eastAsia="Arial Unicode MS" w:cs="Arial Unicode MS"/>
          <w:color w:val="000000"/>
          <w:u w:color="000000"/>
          <w:bdr w:val="nil"/>
          <w:lang w:val="de-DE" w:eastAsia="en-GB"/>
        </w:rPr>
        <w:t xml:space="preserve"> T2D </w:t>
      </w:r>
      <w:proofErr w:type="spellStart"/>
      <w:r w:rsidRPr="00AF0E0B">
        <w:rPr>
          <w:rFonts w:eastAsia="Arial Unicode MS" w:cs="Arial Unicode MS"/>
          <w:color w:val="000000"/>
          <w:u w:color="000000"/>
          <w:bdr w:val="nil"/>
          <w:lang w:val="de-DE" w:eastAsia="en-GB"/>
        </w:rPr>
        <w:t>with</w:t>
      </w:r>
      <w:proofErr w:type="spellEnd"/>
      <w:r w:rsidRPr="00AF0E0B">
        <w:rPr>
          <w:rFonts w:eastAsia="Arial Unicode MS" w:cs="Arial Unicode MS"/>
          <w:color w:val="000000"/>
          <w:u w:color="000000"/>
          <w:bdr w:val="nil"/>
          <w:lang w:val="de-DE" w:eastAsia="en-GB"/>
        </w:rPr>
        <w:t xml:space="preserve"> P-DPN </w:t>
      </w:r>
      <w:proofErr w:type="spellStart"/>
      <w:r w:rsidRPr="00AF0E0B">
        <w:rPr>
          <w:rFonts w:eastAsia="Arial Unicode MS" w:cs="Arial Unicode MS"/>
          <w:color w:val="000000"/>
          <w:u w:color="000000"/>
          <w:bdr w:val="nil"/>
          <w:lang w:val="de-DE" w:eastAsia="en-GB"/>
        </w:rPr>
        <w:t>using</w:t>
      </w:r>
      <w:proofErr w:type="spellEnd"/>
      <w:r w:rsidRPr="00AF0E0B">
        <w:rPr>
          <w:rFonts w:eastAsia="Arial Unicode MS" w:cs="Arial Unicode MS"/>
          <w:color w:val="000000"/>
          <w:u w:color="000000"/>
          <w:bdr w:val="nil"/>
          <w:lang w:val="de-DE" w:eastAsia="en-GB"/>
        </w:rPr>
        <w:t xml:space="preserve"> </w:t>
      </w:r>
      <w:proofErr w:type="spellStart"/>
      <w:r w:rsidRPr="00AF0E0B">
        <w:rPr>
          <w:rFonts w:eastAsia="Arial Unicode MS" w:cs="Arial Unicode MS"/>
          <w:color w:val="000000"/>
          <w:u w:color="000000"/>
          <w:bdr w:val="nil"/>
          <w:lang w:val="de-DE" w:eastAsia="en-GB"/>
        </w:rPr>
        <w:t>the</w:t>
      </w:r>
      <w:proofErr w:type="spellEnd"/>
      <w:r w:rsidRPr="00AF0E0B">
        <w:rPr>
          <w:rFonts w:eastAsia="Arial Unicode MS" w:cs="Arial Unicode MS"/>
          <w:color w:val="000000"/>
          <w:u w:color="000000"/>
          <w:bdr w:val="nil"/>
          <w:lang w:val="de-DE" w:eastAsia="en-GB"/>
        </w:rPr>
        <w:t xml:space="preserve"> DFNS (Deutscher Forschungsverbund Neuropathischer Schmerz) </w:t>
      </w:r>
      <w:proofErr w:type="spellStart"/>
      <w:r w:rsidRPr="00AF0E0B">
        <w:rPr>
          <w:rFonts w:eastAsia="Arial Unicode MS" w:cs="Arial Unicode MS"/>
          <w:color w:val="000000"/>
          <w:u w:color="000000"/>
          <w:bdr w:val="nil"/>
          <w:lang w:val="de-DE" w:eastAsia="en-GB"/>
        </w:rPr>
        <w:t>protocol</w:t>
      </w:r>
      <w:proofErr w:type="spellEnd"/>
      <w:r w:rsidRPr="00AF0E0B">
        <w:rPr>
          <w:rFonts w:eastAsia="Arial Unicode MS" w:cs="Arial Unicode MS"/>
          <w:color w:val="000000"/>
          <w:u w:color="000000"/>
          <w:bdr w:val="nil"/>
          <w:lang w:val="de-DE" w:eastAsia="en-GB"/>
        </w:rPr>
        <w:t xml:space="preserve">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&gt;&lt;Author&gt;Rolke&lt;/Author&gt;&lt;Year&gt;2006&lt;/Year&gt;&lt;RecNum&gt;700&lt;/RecNum&gt;&lt;DisplayText&gt;(Rolke et al., 2006b)&lt;/DisplayText&gt;&lt;record&gt;&lt;dates&gt;&lt;pub-dates&gt;&lt;date&gt;Jan&lt;/date&gt;&lt;/pub-dates&gt;&lt;year&gt;2006&lt;/year&gt;&lt;/dates&gt;&lt;urls&gt;&lt;related-urls&gt;&lt;url&gt;&amp;lt;Go to ISI&amp;gt;://WOS:000233656700009&lt;/url&gt;&lt;/related-urls&gt;&lt;/urls&gt;&lt;isbn&gt;1090-3801&lt;/isbn&gt;&lt;titles&gt;&lt;title&gt;Quantitative sensory testing: a comprehensive protocol for clinical trials&lt;/title&gt;&lt;secondary-title&gt;European Journal of Pain&lt;/secondary-title&gt;&lt;/titles&gt;&lt;pages&gt;77-88&lt;/pages&gt;&lt;number&gt;1&lt;/number&gt;&lt;contributors&gt;&lt;authors&gt;&lt;author&gt;Rolke, R.&lt;/author&gt;&lt;author&gt;Magerl, W.&lt;/author&gt;&lt;author&gt;Campbell, K. A.&lt;/author&gt;&lt;author&gt;Schalber, C.&lt;/author&gt;&lt;author&gt;Caspari, S.&lt;/author&gt;&lt;author&gt;Birklein, F.&lt;/author&gt;&lt;author&gt;Treede, R. D.&lt;/author&gt;&lt;/authors&gt;&lt;/contributors&gt;&lt;added-date format="utc"&gt;1359401406&lt;/added-date&gt;&lt;ref-type name="Journal Article"&gt;17&lt;/ref-type&gt;&lt;rec-number&gt;700&lt;/rec-number&gt;&lt;last-updated-date format="utc"&gt;1570975249&lt;/last-updated-date&gt;&lt;accession-num&gt;WOS:000233656700009&lt;/accession-num&gt;&lt;electronic-resource-num&gt;10.1016/j.ejpain.2005.02.003&lt;/electronic-resource-num&gt;&lt;volume&gt;10&lt;/volum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eastAsia="en-GB"/>
        </w:rPr>
        <w:t>(</w:t>
      </w:r>
      <w:proofErr w:type="spellStart"/>
      <w:r w:rsidRPr="00AF0E0B">
        <w:rPr>
          <w:rFonts w:eastAsia="Arial Unicode MS" w:cs="Arial Unicode MS"/>
          <w:color w:val="000000"/>
          <w:u w:color="000000"/>
          <w:bdr w:val="nil"/>
          <w:lang w:eastAsia="en-GB"/>
        </w:rPr>
        <w:t>Rolke</w:t>
      </w:r>
      <w:proofErr w:type="spellEnd"/>
      <w:r w:rsidRPr="00AF0E0B">
        <w:rPr>
          <w:rFonts w:eastAsia="Arial Unicode MS" w:cs="Arial Unicode MS"/>
          <w:color w:val="000000"/>
          <w:u w:color="000000"/>
          <w:bdr w:val="nil"/>
          <w:lang w:eastAsia="en-GB"/>
        </w:rPr>
        <w:t xml:space="preserve"> et al., 2006b)</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xml:space="preserve">, to try and differentiate between P-DPN and painless DPN </w:t>
      </w:r>
      <w:r w:rsidRPr="00AF0E0B">
        <w:rPr>
          <w:rFonts w:eastAsia="Arial" w:cs="Arial"/>
          <w:color w:val="000000"/>
          <w:u w:color="000000"/>
          <w:bdr w:val="nil"/>
          <w:lang w:eastAsia="en-GB"/>
        </w:rPr>
        <w:fldChar w:fldCharType="begin">
          <w:fldData xml:space="preserve">PEVuZE5vdGU+PENpdGU+PEF1dGhvcj5UaGVtaXN0b2NsZW91czwvQXV0aG9yPjxZZWFyPjIwMTY8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</w:fldData>
        </w:fldChar>
      </w:r>
      <w:r w:rsidR="00CE430A">
        <w:rPr>
          <w:rFonts w:eastAsia="Arial" w:cs="Arial"/>
          <w:color w:val="000000"/>
          <w:u w:color="000000"/>
          <w:bdr w:val="nil"/>
          <w:lang w:eastAsia="en-GB"/>
        </w:rPr>
        <w:instrText xml:space="preserve"> ADDIN EN.CITE </w:instrText>
      </w:r>
      <w:r w:rsidR="00CE430A">
        <w:rPr>
          <w:rFonts w:eastAsia="Arial" w:cs="Arial"/>
          <w:color w:val="000000"/>
          <w:u w:color="000000"/>
          <w:bdr w:val="nil"/>
          <w:lang w:eastAsia="en-GB"/>
        </w:rPr>
        <w:fldChar w:fldCharType="begin">
          <w:fldData xml:space="preserve">PEVuZE5vdGU+PENpdGU+PEF1dGhvcj5UaGVtaXN0b2NsZW91czwvQXV0aG9yPjxZZWFyPjIwMTY8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</w:fldData>
        </w:fldChar>
      </w:r>
      <w:r w:rsidR="00CE430A">
        <w:rPr>
          <w:rFonts w:eastAsia="Arial" w:cs="Arial"/>
          <w:color w:val="000000"/>
          <w:u w:color="000000"/>
          <w:bdr w:val="nil"/>
          <w:lang w:eastAsia="en-GB"/>
        </w:rPr>
        <w:instrText xml:space="preserve"> ADDIN EN.CITE.DATA </w:instrText>
      </w:r>
      <w:r w:rsidR="00CE430A">
        <w:rPr>
          <w:rFonts w:eastAsia="Arial" w:cs="Arial"/>
          <w:color w:val="000000"/>
          <w:u w:color="000000"/>
          <w:bdr w:val="nil"/>
          <w:lang w:eastAsia="en-GB"/>
        </w:rPr>
      </w:r>
      <w:r w:rsidR="00CE430A">
        <w:rPr>
          <w:rFonts w:eastAsia="Arial" w:cs="Arial"/>
          <w:color w:val="000000"/>
          <w:u w:color="000000"/>
          <w:bdr w:val="nil"/>
          <w:lang w:eastAsia="en-GB"/>
        </w:rPr>
        <w:fldChar w:fldCharType="end"/>
      </w:r>
      <w:r w:rsidRPr="00AF0E0B">
        <w:rPr>
          <w:rFonts w:eastAsia="Arial" w:cs="Arial"/>
          <w:color w:val="000000"/>
          <w:u w:color="000000"/>
          <w:bdr w:val="nil"/>
          <w:lang w:eastAsia="en-GB"/>
        </w:rPr>
      </w:r>
      <w:r w:rsidRPr="00AF0E0B">
        <w:rPr>
          <w:rFonts w:eastAsia="Arial" w:cs="Arial"/>
          <w:color w:val="000000"/>
          <w:u w:color="000000"/>
          <w:bdr w:val="nil"/>
          <w:lang w:eastAsia="en-GB"/>
        </w:rPr>
        <w:fldChar w:fldCharType="separate"/>
      </w:r>
      <w:r w:rsidR="00CE430A">
        <w:rPr>
          <w:rFonts w:eastAsia="Arial" w:cs="Arial"/>
          <w:noProof/>
          <w:color w:val="000000"/>
          <w:u w:color="000000"/>
          <w:bdr w:val="nil"/>
          <w:lang w:eastAsia="en-GB"/>
        </w:rPr>
        <w:t>(Themistocleous et al., 2016, Raputova et al., 2017a)</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It is thought that those with P-DPN display three overlapping phenotypes in QST measures, sensory loss 83%, mechanical hyperalgesia 75%, and thermal hyperalgesia</w:t>
      </w:r>
      <w:r w:rsidR="00CC5F2B">
        <w:rPr>
          <w:rFonts w:eastAsia="Arial Unicode MS" w:cs="Arial Unicode MS"/>
          <w:color w:val="000000"/>
          <w:u w:color="000000"/>
          <w:bdr w:val="nil"/>
          <w:lang w:val="en-US" w:eastAsia="en-GB"/>
        </w:rPr>
        <w:t xml:space="preserve"> 34%</w:t>
      </w:r>
      <w:r w:rsidRPr="00AF0E0B">
        <w:rPr>
          <w:rFonts w:eastAsia="Arial Unicode MS" w:cs="Arial Unicode MS"/>
          <w:color w:val="000000"/>
          <w:u w:color="000000"/>
          <w:bdr w:val="nil"/>
          <w:lang w:val="en-US" w:eastAsia="en-GB"/>
        </w:rPr>
        <w:t xml:space="preserve">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&gt;&lt;Author&gt;Baron&lt;/Author&gt;&lt;Year&gt;2017&lt;/Year&gt;&lt;DisplayText&gt;(Baron et al., 2017, Vollert et al., 2017)&lt;/DisplayText&gt;&lt;record&gt;&lt;dates&gt;&lt;pub-dates&gt;&lt;date&gt;02&lt;/date&gt;&lt;/pub-dates&gt;&lt;year&gt;2017&lt;/year&gt;&lt;/dates&gt;&lt;keywords&gt;&lt;keyword&gt;Adult&lt;/keyword&gt;&lt;keyword&gt;Aged&lt;/keyword&gt;&lt;keyword&gt;Cluster Analysis&lt;/keyword&gt;&lt;keyword&gt;Cohort Studies&lt;/keyword&gt;&lt;keyword&gt;Databases, Factual&lt;/keyword&gt;&lt;keyword&gt;Europe&lt;/keyword&gt;&lt;keyword&gt;Female&lt;/keyword&gt;&lt;keyword&gt;Humans&lt;/keyword&gt;&lt;keyword&gt;Hyperalgesia&lt;/keyword&gt;&lt;keyword&gt;International Cooperation&lt;/keyword&gt;&lt;keyword&gt;Male&lt;/keyword&gt;&lt;keyword&gt;Middle Aged&lt;/keyword&gt;&lt;keyword&gt;Neuralgia&lt;/keyword&gt;&lt;keyword&gt;Pain Measurement&lt;/keyword&gt;&lt;keyword&gt;Pain Threshold&lt;/keyword&gt;&lt;keyword&gt;Surveys and Questionnaires&lt;/keyword&gt;&lt;/keywords&gt;&lt;urls&gt;&lt;related-urls&gt;&lt;url&gt;https://www.ncbi.nlm.nih.gov/pubmed/27893485&lt;/url&gt;&lt;/related-urls&gt;&lt;/urls&gt;&lt;isbn&gt;1872-6623&lt;/isbn&gt;&lt;custom2&gt;PMC5266425&lt;/custom2&gt;&lt;titles&gt;&lt;title&gt;Peripheral neuropathic pain: a mechanism-related organizing principle based on sensory profiles&lt;/title&gt;&lt;secondary-title&gt;Pain&lt;/secondary-title&gt;&lt;/titles&gt;&lt;pages&gt;261-272&lt;/pages&gt;&lt;number&gt;2&lt;/number&gt;&lt;contributors&gt;&lt;authors&gt;&lt;author&gt;Baron, R.&lt;/author&gt;&lt;author&gt;Maier, C.&lt;/author&gt;&lt;author&gt;Attal, N.&lt;/author&gt;&lt;author&gt;Binder, A.&lt;/author&gt;&lt;author&gt;Bouhassira, D.&lt;/author&gt;&lt;author&gt;Cruccu, G.&lt;/author&gt;&lt;author&gt;Finnerup, N. B.&lt;/author&gt;&lt;author&gt;Haanpää, M.&lt;/author&gt;&lt;author&gt;Hansson, P.&lt;/author&gt;&lt;author&gt;Hüllemann, P.&lt;/author&gt;&lt;author&gt;Jensen, T. S.&lt;/author&gt;&lt;author&gt;Freynhagen, R.&lt;/author&gt;&lt;author&gt;Kennedy, J. D.&lt;/author&gt;&lt;author&gt;Magerl, W.&lt;/author&gt;&lt;author&gt;Mainka, T.&lt;/author&gt;&lt;author&gt;Reimer, M.&lt;/author&gt;&lt;author&gt;Rice, A. S.&lt;/author&gt;&lt;author&gt;Segerdahl, M.&lt;/author&gt;&lt;author&gt;Serra, J.&lt;/author&gt;&lt;author&gt;Sindrup, S.&lt;/author&gt;&lt;author&gt;Sommer, C.&lt;/author&gt;&lt;author&gt;Tölle, T.&lt;/author&gt;&lt;author&gt;Vollert, J.&lt;/author&gt;&lt;author&gt;Treede, R. D.&lt;/author&gt;&lt;/authors&gt;&lt;/contributors&gt;&lt;language&gt;eng&lt;/language&gt;&lt;added-date format="utc"&gt;1598199182&lt;/added-date&gt;&lt;ref-type name="Journal Article"&gt;17&lt;/ref-type&gt;&lt;rec-number&gt;1321&lt;/rec-number&gt;&lt;last-updated-date format="utc"&gt;1598199182&lt;/last-updated-date&gt;&lt;accession-num&gt;27893485&lt;/accession-num&gt;&lt;electronic-resource-num&gt;10.1097/j.pain.0000000000000753&lt;/electronic-resource-num&gt;&lt;volume&gt;158&lt;/volume&gt;&lt;/record&gt;&lt;/Cite&gt;&lt;Cite  &gt;&lt;Author&gt;Vollert&lt;/Author&gt;&lt;Year&gt;2017&lt;/Year&gt;&lt;record&gt;&lt;titles&gt;&lt;title&gt;Stratifying patients with peripheral neuropathic pain based on sensory profiles: algorithm and sample size recommendations&lt;/title&gt;&lt;/titles&gt;&lt;contributors&gt;&lt;authors&gt;&lt;author&gt;Vollert, J.&lt;/author&gt;&lt;author&gt;Maier, C.&lt;/author&gt;&lt;author&gt;Attal, N.&lt;/author&gt;&lt;author&gt;Bennett, D. L. H.&lt;/author&gt;&lt;author&gt;Bouhassira, D.&lt;/author&gt;&lt;author&gt;Enax-Krumova, E. K.&lt;/author&gt;&lt;author&gt;Finnerup, N. B.&lt;/author&gt;&lt;author&gt;Freynhagen, R.&lt;/author&gt;&lt;author&gt;Gierthmühlen, J.&lt;/author&gt;&lt;author&gt;Haanpää, M.&lt;/author&gt;&lt;author&gt;Hansson, P.&lt;/author&gt;&lt;author&gt;Hüllemann, P.&lt;/author&gt;&lt;author&gt;Jensen, T. S.&lt;/author&gt;&lt;author&gt;Magerl, W.&lt;/author&gt;&lt;author&gt;Ramirez, J. D.&lt;/author&gt;&lt;author&gt;Rice, A. S. C.&lt;/author&gt;&lt;author&gt;Schuh-Hofer, S.&lt;/author&gt;&lt;author&gt;Segerdahl, M.&lt;/author&gt;&lt;author&gt;Serra, J.&lt;/author&gt;&lt;author&gt;Shillo, P. R.&lt;/author&gt;&lt;author&gt;Sindrup, S.&lt;/author&gt;&lt;author&gt;Tesfaye, S.&lt;/author&gt;&lt;author&gt;Themistocleous, A. C.&lt;/author&gt;&lt;author&gt;Tölle, T. R.&lt;/author&gt;&lt;author&gt;Treede, R. D.&lt;/author&gt;&lt;author&gt;Baron, R.&lt;/author&gt;&lt;/authors&gt;&lt;/contributors&gt;&lt;added-date format="utc"&gt;1598198409&lt;/added-date&gt;&lt;ref-type name="Journal Article"&gt;17&lt;/ref-type&gt;&lt;dates&gt;&lt;year&gt;2017&lt;/year&gt;&lt;/dates&gt;&lt;rec-number&gt;1320&lt;/rec-number&gt;&lt;publisher&gt;Lippincott, Williams &amp;amp; Wilkins&lt;/publisher&gt;&lt;last-updated-date format="utc"&gt;1598198454&lt;/last-updated-date&gt;&lt;electronic-resource-num&gt;10.1097/j.pain.0000000000000935&lt;/electronic-resource-num&gt;&lt;/record&gt;&lt;/Cite&gt;&lt;/EndNote&gt;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val="nl-NL" w:eastAsia="en-GB"/>
        </w:rPr>
        <w:t>(Baron et al., 2017, Vollert et al., 2017)</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xml:space="preserve">. In this study we aimed to understand the relationship between QST measurements and P-DPN in an entirely T1D cohort. </w:t>
      </w:r>
    </w:p>
    <w:p w14:paraId="572D2AEA" w14:textId="3CBE7A81" w:rsidR="00AF0E0B" w:rsidRPr="00AF0E0B" w:rsidRDefault="00AF0E0B" w:rsidP="00AF0E0B">
      <w:pPr>
        <w:pBdr>
          <w:top w:val="nil"/>
          <w:left w:val="nil"/>
          <w:bottom w:val="nil"/>
          <w:right w:val="nil"/>
          <w:between w:val="nil"/>
          <w:bar w:val="nil"/>
        </w:pBdr>
        <w:spacing w:line="360" w:lineRule="auto"/>
        <w:rPr>
          <w:rFonts w:eastAsia="Arial" w:cs="Arial"/>
          <w:color w:val="000000"/>
          <w:u w:color="000000"/>
          <w:bdr w:val="nil"/>
          <w:lang w:eastAsia="en-GB"/>
        </w:rPr>
      </w:pPr>
      <w:proofErr w:type="spellStart"/>
      <w:r w:rsidRPr="00AF0E0B">
        <w:rPr>
          <w:rFonts w:eastAsia="Arial Unicode MS" w:cs="Arial Unicode MS"/>
          <w:color w:val="000000"/>
          <w:u w:color="000000"/>
          <w:bdr w:val="nil"/>
          <w:lang w:val="en-US" w:eastAsia="en-GB"/>
        </w:rPr>
        <w:t>Hyperglycaemia</w:t>
      </w:r>
      <w:proofErr w:type="spellEnd"/>
      <w:r w:rsidRPr="00AF0E0B">
        <w:rPr>
          <w:rFonts w:eastAsia="Arial Unicode MS" w:cs="Arial Unicode MS"/>
          <w:color w:val="000000"/>
          <w:u w:color="000000"/>
          <w:bdr w:val="nil"/>
          <w:lang w:val="en-US" w:eastAsia="en-GB"/>
        </w:rPr>
        <w:t xml:space="preserve"> was shown by the DCCT trial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&gt;&lt;Author&gt;Nathan&lt;/Author&gt;&lt;Year&gt;1993&lt;/Year&gt;&lt;RecNum&gt;1316&lt;/RecNum&gt;&lt;DisplayText&gt;(Nathan et al., 1993)&lt;/DisplayText&gt;&lt;record&gt;&lt;dates&gt;&lt;pub-dates&gt;&lt;date&gt;09&lt;/date&gt;&lt;/pub-dates&gt;&lt;year&gt;1993&lt;/year&gt;&lt;/dates&gt;&lt;keywords&gt;&lt;keyword&gt;Adolescent&lt;/keyword&gt;&lt;keyword&gt;Adult&lt;/keyword&gt;&lt;keyword&gt;Blood Glucose&lt;/keyword&gt;&lt;keyword&gt;Confidence Intervals&lt;/keyword&gt;&lt;keyword&gt;Diabetes Mellitus, Type 1&lt;/keyword&gt;&lt;keyword&gt;Diabetic Nephropathies&lt;/keyword&gt;&lt;keyword&gt;Diabetic Neuropathies&lt;/keyword&gt;&lt;keyword&gt;Diabetic Retinopathy&lt;/keyword&gt;&lt;keyword&gt;Female&lt;/keyword&gt;&lt;keyword&gt;Follow-Up Studies&lt;/keyword&gt;&lt;keyword&gt;Humans&lt;/keyword&gt;&lt;keyword&gt;Insulin&lt;/keyword&gt;&lt;keyword&gt;Insulin Infusion Systems&lt;/keyword&gt;&lt;keyword&gt;Male&lt;/keyword&gt;&lt;keyword&gt;Treatment Outcome&lt;/keyword&gt;&lt;/keywords&gt;&lt;urls&gt;&lt;related-urls&gt;&lt;url&gt;https://www.ncbi.nlm.nih.gov/pubmed/8366922&lt;/url&gt;&lt;/related-urls&gt;&lt;/urls&gt;&lt;isbn&gt;0028-4793&lt;/isbn&gt;&lt;titles&gt;&lt;title&gt;The effect of intensive treatment of diabetes on the development and progression of long-term complications in insulin-dependent diabetes mellitus&lt;/title&gt;&lt;secondary-title&gt;N Engl J Med&lt;/secondary-title&gt;&lt;/titles&gt;&lt;pages&gt;977-86&lt;/pages&gt;&lt;number&gt;14&lt;/number&gt;&lt;contributors&gt;&lt;authors&gt;&lt;author&gt;Nathan, D. M.&lt;/author&gt;&lt;author&gt;Genuth, S.&lt;/author&gt;&lt;author&gt;Lachin, J.&lt;/author&gt;&lt;author&gt;Cleary, P.&lt;/author&gt;&lt;author&gt;Crofford, O.&lt;/author&gt;&lt;author&gt;Davis, M.&lt;/author&gt;&lt;author&gt;Rand, L.&lt;/author&gt;&lt;author&gt;Siebert, C.&lt;/author&gt;&lt;author&gt;Diabetes Control and Complications Trial Research Group&lt;/author&gt;&lt;/authors&gt;&lt;/contributors&gt;&lt;language&gt;eng&lt;/language&gt;&lt;added-date format="utc"&gt;1598180423&lt;/added-date&gt;&lt;ref-type name="Journal Article"&gt;17&lt;/ref-type&gt;&lt;rec-number&gt;1316&lt;/rec-number&gt;&lt;last-updated-date format="utc"&gt;1598180423&lt;/last-updated-date&gt;&lt;accession-num&gt;8366922&lt;/accession-num&gt;&lt;electronic-resource-num&gt;10.1056/NEJM199309303291401&lt;/electronic-resource-num&gt;&lt;volume&gt;329&lt;/volume&gt;&lt;/record&gt;&lt;/Cite&gt;&lt;/EndNote&gt;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val="en-US" w:eastAsia="en-GB"/>
        </w:rPr>
        <w:t>(Nathan et al., 1993)</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xml:space="preserve"> to predispose to the development of neuropathy.  Advanced glycation end products (AGE) are part of the mechanistic link between </w:t>
      </w:r>
      <w:proofErr w:type="spellStart"/>
      <w:r w:rsidRPr="00AF0E0B">
        <w:rPr>
          <w:rFonts w:eastAsia="Arial Unicode MS" w:cs="Arial Unicode MS"/>
          <w:color w:val="000000"/>
          <w:u w:color="000000"/>
          <w:bdr w:val="nil"/>
          <w:lang w:val="en-US" w:eastAsia="en-GB"/>
        </w:rPr>
        <w:t>hyperglycaemia</w:t>
      </w:r>
      <w:proofErr w:type="spellEnd"/>
      <w:r w:rsidRPr="00AF0E0B">
        <w:rPr>
          <w:rFonts w:eastAsia="Arial Unicode MS" w:cs="Arial Unicode MS"/>
          <w:color w:val="000000"/>
          <w:u w:color="000000"/>
          <w:bdr w:val="nil"/>
          <w:lang w:val="en-US" w:eastAsia="en-GB"/>
        </w:rPr>
        <w:t xml:space="preserve"> and neural damage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&gt;&lt;Author&gt;Toth&lt;/Author&gt;&lt;Year&gt;2007&lt;/Year&gt;&lt;RecNum&gt;203&lt;/RecNum&gt;&lt;DisplayText&gt;(Toth et al., 2007, Jack and Wright, 2012, Brings et al., 2017)&lt;/DisplayText&gt;&lt;record&gt;&lt;dates&gt;&lt;pub-dates&gt;&lt;date&gt;2007&lt;/date&gt;&lt;/pub-dates&gt;&lt;year&gt;2007&lt;/year&gt;&lt;/dates&gt;&lt;urls&gt;&lt;related-urls&gt;&lt;url&gt;&amp;lt;Go to ISI&amp;gt;://WOS:000253589200009&lt;/url&gt;&lt;/related-urls&gt;&lt;/urls&gt;&lt;isbn&gt;1566-5240&lt;/isbn&gt;&lt;titles&gt;&lt;title&gt;RAGE, diabetes, and the nervous system&lt;/title&gt;&lt;secondary-title&gt;Current Molecular Medicine&lt;/secondary-title&gt;&lt;/titles&gt;&lt;number&gt;8&lt;/number&gt;&lt;contributors&gt;&lt;authors&gt;&lt;author&gt;Toth, Cory&lt;/author&gt;&lt;author&gt;Martinez, Jose&lt;/author&gt;&lt;author&gt;Zochodne, Douglas W.&lt;/author&gt;&lt;/authors&gt;&lt;/contributors&gt;&lt;added-date format="utc"&gt;1352487390&lt;/added-date&gt;&lt;ref-type name="Journal Article"&gt;17&lt;/ref-type&gt;&lt;rec-number&gt;203&lt;/rec-number&gt;&lt;last-updated-date format="utc"&gt;1352487681&lt;/last-updated-date&gt;&lt;accession-num&gt;WOS:000253589200009&lt;/accession-num&gt;&lt;electronic-resource-num&gt;10.2174/156652407783220705&lt;/electronic-resource-num&gt;&lt;volume&gt;7&lt;/volume&gt;&lt;/record&gt;&lt;/Cite&gt;&lt;Cite  &gt;&lt;Author&gt;Jack&lt;/Author&gt;&lt;Year&gt;2012&lt;/Year&gt;&lt;RecNum&gt;263&lt;/RecNum&gt;&lt;record&gt;&lt;dates&gt;&lt;pub-dates&gt;&lt;date&gt;May&lt;/date&gt;&lt;/pub-dates&gt;&lt;year&gt;2012&lt;/year&gt;&lt;/dates&gt;&lt;keywords&gt;&lt;keyword&gt;DISTAL SYMMETRIC POLYNEUROPATHY&lt;/keyword&gt;&lt;keyword&gt;N-EPSILON-CARBOXYMETHYLLYSINE&lt;/keyword&gt;&lt;keyword/&gt;&lt;keyword&gt;RESPIRATORY-CHAIN DYSFUNCTION&lt;/keyword&gt;&lt;keyword&gt;JOSLIN 50-YEAR MEDALIST&lt;/keyword&gt;&lt;keyword&gt;END-PRODUCTS&lt;/keyword&gt;&lt;keyword/&gt;&lt;keyword&gt;OXIDATIVE STRESS&lt;/keyword&gt;&lt;keyword&gt;COPY NUMBER&lt;/keyword&gt;&lt;keyword&gt;ENDOTHELIAL-CELLS&lt;/keyword&gt;&lt;keyword&gt;GLYCEMIC CONTROL&lt;/keyword&gt;&lt;keyword/&gt;&lt;keyword&gt;MITOCHONDRIAL DYNAMICS&lt;/keyword&gt;&lt;/keywords&gt;&lt;urls&gt;&lt;related-urls&gt;&lt;url&gt;&amp;lt;Go to ISI&amp;gt;://WOS:000303294100001&lt;/url&gt;&lt;/related-urls&gt;&lt;/urls&gt;&lt;isbn&gt;1931-5244&lt;/isbn&gt;&lt;work-type&gt;Article&lt;/work-type&gt;&lt;titles&gt;&lt;title&gt;Role of advanced glycation endproducts and glyoxalase I in diabetic peripheral sensory neuropathy&lt;/title&gt;&lt;secondary-title&gt;Translational Research&lt;/secondary-title&gt;&lt;alt-title&gt;Transl. Res.&lt;/alt-title&gt;&lt;/titles&gt;&lt;pages&gt;355-365&lt;/pages&gt;&lt;number&gt;5&lt;/number&gt;&lt;contributors&gt;&lt;authors&gt;&lt;author&gt;Jack, M.&lt;/author&gt;&lt;author&gt;Wright, D.&lt;/author&gt;&lt;/authors&gt;&lt;/contributors&gt;&lt;language&gt;English&lt;/language&gt;&lt;added-date format="utc"&gt;1353100548&lt;/added-date&gt;&lt;ref-type name="Journal Article"&gt;17&lt;/ref-type&gt;&lt;auth-address&gt;[Jack, Megan&amp;#13;Wright, Douglas] Univ Kansas, Med Ctr, Dept Anat &amp;amp; Cell Biol, Kansas City, KS 66160 USA. [Jack, Megan] Univ Kansas, Sch Med, Kansas City, KS 66160 USA.&amp;#13;Wright, D (reprint author), Univ Kansas, Med Ctr, Dept Anat &amp;amp; Cell Biol, Kansas City, KS 66160 USA.&amp;#13;dwright@kumc.edu&lt;/auth-address&gt;&lt;rec-number&gt;263&lt;/rec-number&gt;&lt;last-updated-date format="utc"&gt;1353523064&lt;/last-updated-date&gt;&lt;accession-num&gt;WOS:000303294100001&lt;/accession-num&gt;&lt;electronic-resource-num&gt;10.1016/j.trsl.2011.12.004&lt;/electronic-resource-num&gt;&lt;volume&gt;159&lt;/volume&gt;&lt;/record&gt;&lt;/Cite&gt;&lt;Cite  &gt;&lt;Author&gt;Brings&lt;/Author&gt;&lt;Year&gt;2017&lt;/Year&gt;&lt;RecNum&gt;1318&lt;/RecNum&gt;&lt;record&gt;&lt;keywords&gt;&lt;keyword&gt;Methylglyoxal&lt;/keyword&gt;&lt;keyword&gt;3-deoxyglucosone&lt;/keyword&gt;&lt;keyword&gt;Advanced glycation end-products&lt;/keyword&gt;&lt;keyword&gt;Aldose reductase&lt;/keyword&gt;&lt;keyword&gt;Glyoxalase&lt;/keyword&gt;&lt;keyword&gt;Diabetes&lt;/keyword&gt;&lt;keyword&gt;Glyoxal&lt;/keyword&gt;&lt;keyword&gt;Hypoglycemic Agents - therapeutic use&lt;/keyword&gt;&lt;keyword&gt;Animals&lt;/keyword&gt;&lt;keyword&gt;Glyoxal - metabolism&lt;/keyword&gt;&lt;keyword&gt;Diabetes Complications - metabolism&lt;/keyword&gt;&lt;keyword&gt;Glycation End Products, Advanced - metabolism&lt;/keyword&gt;&lt;keyword&gt;Humans&lt;/keyword&gt;&lt;keyword&gt;Diabetes Complications - drug therapy&lt;/keyword&gt;&lt;keyword&gt;Clinical Trials as Topic&lt;/keyword&gt;&lt;keyword&gt;Maillard Reaction - drug effects&lt;/keyword&gt;&lt;keyword&gt;Hypoglycemic Agents - pharmacology&lt;/keyword&gt;&lt;keyword&gt;Advanced glycosylation end products&lt;/keyword&gt;&lt;keyword&gt;Diabetes mellitus&lt;/keyword&gt;&lt;keyword&gt;Detoxification&lt;/keyword&gt;&lt;keyword&gt;Amino acids&lt;/keyword&gt;&lt;keyword&gt;Glycosylation&lt;/keyword&gt;&lt;keyword&gt;Glucose&lt;/keyword&gt;&lt;keyword&gt;Proteins&lt;/keyword&gt;&lt;keyword&gt;Pathways&lt;/keyword&gt;&lt;keyword&gt;DNA adducts&lt;/keyword&gt;&lt;keyword&gt;Pyruvaldehyde&lt;/keyword&gt;&lt;keyword&gt;Age&lt;/keyword&gt;&lt;keyword&gt;Deoxyribonucleic acid--DNA&lt;/keyword&gt;&lt;keyword&gt;Adducts&lt;/keyword&gt;&lt;/keywords&gt;&lt;isbn&gt;1422-0067&amp;#13;1661-6596&lt;/isbn&gt;&lt;titles&gt;&lt;title&gt;Dicarbonyls and Advanced Glycation End-Products in the Development of Diabetic Complications and Targets for Intervention&lt;/title&gt;&lt;secondary-title&gt;Int J Mol Sci&lt;/secondary-title&gt;&lt;/titles&gt;&lt;pages&gt;984&lt;/pages&gt;&lt;number&gt;5&lt;/number&gt;&lt;contributors&gt;&lt;authors&gt;&lt;author&gt;Brings, S&lt;/author&gt;&lt;author&gt;Fleming, T&lt;/author&gt;&lt;author&gt;Freichel, M&lt;/author&gt;&lt;author&gt;Muckenthaler, M&lt;/author&gt;&lt;author&gt;Herzig, S&lt;/author&gt;&lt;author&gt;Nawroth, P&lt;/author&gt;&lt;/authors&gt;&lt;/contributors&gt;&lt;added-date format="utc"&gt;1598186309&lt;/added-date&gt;&lt;pub-location&gt;Switzerland&lt;/pub-location&gt;&lt;ref-type name="Journal Article"&gt;17&lt;/ref-type&gt;&lt;dates&gt;&lt;year&gt;2017&lt;/year&gt;&lt;/dates&gt;&lt;rec-number&gt;1318&lt;/rec-number&gt;&lt;publisher&gt;Switzerland: MDPI AG&lt;/publisher&gt;&lt;last-updated-date format="utc"&gt;1598186398&lt;/last-updated-date&gt;&lt;electronic-resource-num&gt;10.3390/ijms18050984&lt;/electronic-resource-num&gt;&lt;volume&gt;18&lt;/volume&gt;&lt;/record&gt;&lt;/Cite&gt;&lt;/EndNote&gt;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val="en-US" w:eastAsia="en-GB"/>
        </w:rPr>
        <w:t>(Toth et al., 2007, Jack and Wright, 2012, Brings et al., 2017)</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xml:space="preserve">.  A particular AGE, methylglyoxal, is formed from </w:t>
      </w:r>
      <w:r w:rsidRPr="00AF0E0B">
        <w:rPr>
          <w:rFonts w:eastAsia="Arial Unicode MS" w:cs="Arial Unicode MS"/>
          <w:color w:val="000000"/>
          <w:u w:color="000000"/>
          <w:bdr w:val="nil"/>
          <w:lang w:val="en-US" w:eastAsia="en-GB"/>
        </w:rPr>
        <w:lastRenderedPageBreak/>
        <w:t xml:space="preserve">breakdown products of glucose metabolism, amino acids and fatty acids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&gt;&lt;Author&gt;Brings&lt;/Author&gt;&lt;Year&gt;2017&lt;/Year&gt;&lt;RecNum&gt;1318&lt;/RecNum&gt;&lt;DisplayText&gt;(Brings et al., 2017)&lt;/DisplayText&gt;&lt;record&gt;&lt;keywords&gt;&lt;keyword&gt;Methylglyoxal&lt;/keyword&gt;&lt;keyword&gt;3-deoxyglucosone&lt;/keyword&gt;&lt;keyword&gt;Advanced glycation end-products&lt;/keyword&gt;&lt;keyword&gt;Aldose reductase&lt;/keyword&gt;&lt;keyword&gt;Glyoxalase&lt;/keyword&gt;&lt;keyword&gt;Diabetes&lt;/keyword&gt;&lt;keyword&gt;Glyoxal&lt;/keyword&gt;&lt;keyword&gt;Hypoglycemic Agents - therapeutic use&lt;/keyword&gt;&lt;keyword&gt;Animals&lt;/keyword&gt;&lt;keyword&gt;Glyoxal - metabolism&lt;/keyword&gt;&lt;keyword&gt;Diabetes Complications - metabolism&lt;/keyword&gt;&lt;keyword&gt;Glycation End Products, Advanced - metabolism&lt;/keyword&gt;&lt;keyword&gt;Humans&lt;/keyword&gt;&lt;keyword&gt;Diabetes Complications - drug therapy&lt;/keyword&gt;&lt;keyword&gt;Clinical Trials as Topic&lt;/keyword&gt;&lt;keyword&gt;Maillard Reaction - drug effects&lt;/keyword&gt;&lt;keyword&gt;Hypoglycemic Agents - pharmacology&lt;/keyword&gt;&lt;keyword&gt;Advanced glycosylation end products&lt;/keyword&gt;&lt;keyword&gt;Diabetes mellitus&lt;/keyword&gt;&lt;keyword&gt;Detoxification&lt;/keyword&gt;&lt;keyword&gt;Amino acids&lt;/keyword&gt;&lt;keyword&gt;Glycosylation&lt;/keyword&gt;&lt;keyword&gt;Glucose&lt;/keyword&gt;&lt;keyword&gt;Proteins&lt;/keyword&gt;&lt;keyword&gt;Pathways&lt;/keyword&gt;&lt;keyword&gt;DNA adducts&lt;/keyword&gt;&lt;keyword&gt;Pyruvaldehyde&lt;/keyword&gt;&lt;keyword&gt;Age&lt;/keyword&gt;&lt;keyword&gt;Deoxyribonucleic acid--DNA&lt;/keyword&gt;&lt;keyword&gt;Adducts&lt;/keyword&gt;&lt;/keywords&gt;&lt;isbn&gt;1422-0067&amp;#13;1661-6596&lt;/isbn&gt;&lt;titles&gt;&lt;title&gt;Dicarbonyls and Advanced Glycation End-Products in the Development of Diabetic Complications and Targets for Intervention&lt;/title&gt;&lt;secondary-title&gt;Int J Mol Sci&lt;/secondary-title&gt;&lt;/titles&gt;&lt;pages&gt;984&lt;/pages&gt;&lt;number&gt;5&lt;/number&gt;&lt;contributors&gt;&lt;authors&gt;&lt;author&gt;Brings, S&lt;/author&gt;&lt;author&gt;Fleming, T&lt;/author&gt;&lt;author&gt;Freichel, M&lt;/author&gt;&lt;author&gt;Muckenthaler, M&lt;/author&gt;&lt;author&gt;Herzig, S&lt;/author&gt;&lt;author&gt;Nawroth, P&lt;/author&gt;&lt;/authors&gt;&lt;/contributors&gt;&lt;added-date format="utc"&gt;1598186309&lt;/added-date&gt;&lt;pub-location&gt;Switzerland&lt;/pub-location&gt;&lt;ref-type name="Journal Article"&gt;17&lt;/ref-type&gt;&lt;dates&gt;&lt;year&gt;2017&lt;/year&gt;&lt;/dates&gt;&lt;rec-number&gt;1318&lt;/rec-number&gt;&lt;publisher&gt;Switzerland: MDPI AG&lt;/publisher&gt;&lt;last-updated-date format="utc"&gt;1598186398&lt;/last-updated-date&gt;&lt;electronic-resource-num&gt;10.3390/ijms18050984&lt;/electronic-resource-num&gt;&lt;volume&gt;18&lt;/volume&gt;&lt;/record&gt;&lt;/Cite&gt;&lt;/EndNote&gt;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eastAsia="en-GB"/>
        </w:rPr>
        <w:t>(Brings et al., 2017)</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and is a highly reactive compound.</w:t>
      </w:r>
      <w:r w:rsidR="00AA1E25">
        <w:rPr>
          <w:rFonts w:eastAsia="Arial Unicode MS" w:cs="Arial Unicode MS"/>
          <w:color w:val="000000"/>
          <w:u w:color="000000"/>
          <w:bdr w:val="nil"/>
          <w:lang w:val="en-US" w:eastAsia="en-GB"/>
        </w:rPr>
        <w:t xml:space="preserve"> </w:t>
      </w:r>
      <w:r w:rsidRPr="00AF0E0B">
        <w:rPr>
          <w:rFonts w:eastAsia="Arial Unicode MS" w:cs="Arial Unicode MS"/>
          <w:color w:val="000000"/>
          <w:u w:color="000000"/>
          <w:bdr w:val="nil"/>
          <w:lang w:val="en-US" w:eastAsia="en-GB"/>
        </w:rPr>
        <w:t xml:space="preserve"> Methylglyoxal interacts with the receptor for AGE (RAGE) causing a </w:t>
      </w:r>
      <w:proofErr w:type="spellStart"/>
      <w:r w:rsidRPr="00AF0E0B">
        <w:rPr>
          <w:rFonts w:eastAsia="Arial Unicode MS" w:cs="Arial Unicode MS"/>
          <w:color w:val="000000"/>
          <w:u w:color="000000"/>
          <w:bdr w:val="nil"/>
          <w:lang w:val="en-US" w:eastAsia="en-GB"/>
        </w:rPr>
        <w:t>signalling</w:t>
      </w:r>
      <w:proofErr w:type="spellEnd"/>
      <w:r w:rsidRPr="00AF0E0B">
        <w:rPr>
          <w:rFonts w:eastAsia="Arial Unicode MS" w:cs="Arial Unicode MS"/>
          <w:color w:val="000000"/>
          <w:u w:color="000000"/>
          <w:bdr w:val="nil"/>
          <w:lang w:val="en-US" w:eastAsia="en-GB"/>
        </w:rPr>
        <w:t xml:space="preserve"> cascade that leads to inflammation.  Methylglyoxal induces reactive oxygen species, modifies proteins and interferes with mitochondrial function within peripheral neurons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&gt;&lt;Author&gt;Jack&lt;/Author&gt;&lt;Year&gt;2012&lt;/Year&gt;&lt;RecNum&gt;263&lt;/RecNum&gt;&lt;DisplayText&gt;(Jack and Wright, 2012, Brings et al., 2017)&lt;/DisplayText&gt;&lt;record&gt;&lt;dates&gt;&lt;pub-dates&gt;&lt;date&gt;May&lt;/date&gt;&lt;/pub-dates&gt;&lt;year&gt;2012&lt;/year&gt;&lt;/dates&gt;&lt;keywords&gt;&lt;keyword&gt;DISTAL SYMMETRIC POLYNEUROPATHY&lt;/keyword&gt;&lt;keyword&gt;N-EPSILON-CARBOXYMETHYLLYSINE&lt;/keyword&gt;&lt;keyword/&gt;&lt;keyword&gt;RESPIRATORY-CHAIN DYSFUNCTION&lt;/keyword&gt;&lt;keyword&gt;JOSLIN 50-YEAR MEDALIST&lt;/keyword&gt;&lt;keyword&gt;END-PRODUCTS&lt;/keyword&gt;&lt;keyword/&gt;&lt;keyword&gt;OXIDATIVE STRESS&lt;/keyword&gt;&lt;keyword&gt;COPY NUMBER&lt;/keyword&gt;&lt;keyword&gt;ENDOTHELIAL-CELLS&lt;/keyword&gt;&lt;keyword&gt;GLYCEMIC CONTROL&lt;/keyword&gt;&lt;keyword/&gt;&lt;keyword&gt;MITOCHONDRIAL DYNAMICS&lt;/keyword&gt;&lt;/keywords&gt;&lt;urls&gt;&lt;related-urls&gt;&lt;url&gt;&amp;lt;Go to ISI&amp;gt;://WOS:000303294100001&lt;/url&gt;&lt;/related-urls&gt;&lt;/urls&gt;&lt;isbn&gt;1931-5244&lt;/isbn&gt;&lt;work-type&gt;Article&lt;/work-type&gt;&lt;titles&gt;&lt;title&gt;Role of advanced glycation endproducts and glyoxalase I in diabetic peripheral sensory neuropathy&lt;/title&gt;&lt;secondary-title&gt;Translational Research&lt;/secondary-title&gt;&lt;alt-title&gt;Transl. Res.&lt;/alt-title&gt;&lt;/titles&gt;&lt;pages&gt;355-365&lt;/pages&gt;&lt;number&gt;5&lt;/number&gt;&lt;contributors&gt;&lt;authors&gt;&lt;author&gt;Jack, M.&lt;/author&gt;&lt;author&gt;Wright, D.&lt;/author&gt;&lt;/authors&gt;&lt;/contributors&gt;&lt;language&gt;English&lt;/language&gt;&lt;added-date format="utc"&gt;1353100548&lt;/added-date&gt;&lt;ref-type name="Journal Article"&gt;17&lt;/ref-type&gt;&lt;auth-address&gt;[Jack, Megan&amp;#13;Wright, Douglas] Univ Kansas, Med Ctr, Dept Anat &amp;amp; Cell Biol, Kansas City, KS 66160 USA. [Jack, Megan] Univ Kansas, Sch Med, Kansas City, KS 66160 USA.&amp;#13;Wright, D (reprint author), Univ Kansas, Med Ctr, Dept Anat &amp;amp; Cell Biol, Kansas City, KS 66160 USA.&amp;#13;dwright@kumc.edu&lt;/auth-address&gt;&lt;rec-number&gt;263&lt;/rec-number&gt;&lt;last-updated-date format="utc"&gt;1353523064&lt;/last-updated-date&gt;&lt;accession-num&gt;WOS:000303294100001&lt;/accession-num&gt;&lt;electronic-resource-num&gt;10.1016/j.trsl.2011.12.004&lt;/electronic-resource-num&gt;&lt;volume&gt;159&lt;/volume&gt;&lt;/record&gt;&lt;/Cite&gt;&lt;Cite  &gt;&lt;Author&gt;Brings&lt;/Author&gt;&lt;Year&gt;2017&lt;/Year&gt;&lt;RecNum&gt;1318&lt;/RecNum&gt;&lt;record&gt;&lt;keywords&gt;&lt;keyword&gt;Methylglyoxal&lt;/keyword&gt;&lt;keyword&gt;3-deoxyglucosone&lt;/keyword&gt;&lt;keyword&gt;Advanced glycation end-products&lt;/keyword&gt;&lt;keyword&gt;Aldose reductase&lt;/keyword&gt;&lt;keyword&gt;Glyoxalase&lt;/keyword&gt;&lt;keyword&gt;Diabetes&lt;/keyword&gt;&lt;keyword&gt;Glyoxal&lt;/keyword&gt;&lt;keyword&gt;Hypoglycemic Agents - therapeutic use&lt;/keyword&gt;&lt;keyword&gt;Animals&lt;/keyword&gt;&lt;keyword&gt;Glyoxal - metabolism&lt;/keyword&gt;&lt;keyword&gt;Diabetes Complications - metabolism&lt;/keyword&gt;&lt;keyword&gt;Glycation End Products, Advanced - metabolism&lt;/keyword&gt;&lt;keyword&gt;Humans&lt;/keyword&gt;&lt;keyword&gt;Diabetes Complications - drug therapy&lt;/keyword&gt;&lt;keyword&gt;Clinical Trials as Topic&lt;/keyword&gt;&lt;keyword&gt;Maillard Reaction - drug effects&lt;/keyword&gt;&lt;keyword&gt;Hypoglycemic Agents - pharmacology&lt;/keyword&gt;&lt;keyword&gt;Advanced glycosylation end products&lt;/keyword&gt;&lt;keyword&gt;Diabetes mellitus&lt;/keyword&gt;&lt;keyword&gt;Detoxification&lt;/keyword&gt;&lt;keyword&gt;Amino acids&lt;/keyword&gt;&lt;keyword&gt;Glycosylation&lt;/keyword&gt;&lt;keyword&gt;Glucose&lt;/keyword&gt;&lt;keyword&gt;Proteins&lt;/keyword&gt;&lt;keyword&gt;Pathways&lt;/keyword&gt;&lt;keyword&gt;DNA adducts&lt;/keyword&gt;&lt;keyword&gt;Pyruvaldehyde&lt;/keyword&gt;&lt;keyword&gt;Age&lt;/keyword&gt;&lt;keyword&gt;Deoxyribonucleic acid--DNA&lt;/keyword&gt;&lt;keyword&gt;Adducts&lt;/keyword&gt;&lt;/keywords&gt;&lt;isbn&gt;1422-0067&amp;#13;1661-6596&lt;/isbn&gt;&lt;titles&gt;&lt;title&gt;Dicarbonyls and Advanced Glycation End-Products in the Development of Diabetic Complications and Targets for Intervention&lt;/title&gt;&lt;secondary-title&gt;Int J Mol Sci&lt;/secondary-title&gt;&lt;/titles&gt;&lt;pages&gt;984&lt;/pages&gt;&lt;number&gt;5&lt;/number&gt;&lt;contributors&gt;&lt;authors&gt;&lt;author&gt;Brings, S&lt;/author&gt;&lt;author&gt;Fleming, T&lt;/author&gt;&lt;author&gt;Freichel, M&lt;/author&gt;&lt;author&gt;Muckenthaler, M&lt;/author&gt;&lt;author&gt;Herzig, S&lt;/author&gt;&lt;author&gt;Nawroth, P&lt;/author&gt;&lt;/authors&gt;&lt;/contributors&gt;&lt;added-date format="utc"&gt;1598186309&lt;/added-date&gt;&lt;pub-location&gt;Switzerland&lt;/pub-location&gt;&lt;ref-type name="Journal Article"&gt;17&lt;/ref-type&gt;&lt;dates&gt;&lt;year&gt;2017&lt;/year&gt;&lt;/dates&gt;&lt;rec-number&gt;1318&lt;/rec-number&gt;&lt;publisher&gt;Switzerland: MDPI AG&lt;/publisher&gt;&lt;last-updated-date format="utc"&gt;1598186398&lt;/last-updated-date&gt;&lt;electronic-resource-num&gt;10.3390/ijms18050984&lt;/electronic-resource-num&gt;&lt;volume&gt;18&lt;/volume&gt;&lt;/record&gt;&lt;/Cite&gt;&lt;/EndNote&gt;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val="en-US" w:eastAsia="en-GB"/>
        </w:rPr>
        <w:t>(Jack and Wright, 2012, Brings et al., 2017)</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xml:space="preserve">.  Methylglyoxal compounds are associated with the progression of microvascular disease, particularly neuropathy, independent of Hba1c after 10-15 years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&gt;&lt;Author&gt;Genuth&lt;/Author&gt;&lt;Year&gt;2015&lt;/Year&gt;&lt;DisplayText&gt;(Genuth et al., 2015)&lt;/DisplayText&gt;&lt;record&gt;&lt;keywords&gt;&lt;keyword&gt;Adult–Epidemiology&lt;/keyword&gt;&lt;keyword&gt;Diabetes Mellitus, Type 1–Metabolism&lt;/keyword&gt;&lt;keyword&gt;Diabetic Angiopathies–Pathology&lt;/keyword&gt;&lt;keyword&gt;Diabetic Nephropathies–Epidemiology&lt;/keyword&gt;&lt;keyword&gt;Diabetic Retinopathy–Metabolism&lt;/keyword&gt;&lt;keyword&gt;Disease Progression–Pathology&lt;/keyword&gt;&lt;keyword&gt;Female–Epidemiology&lt;/keyword&gt;&lt;keyword&gt;Glycation End Products, Advanced–Metabolism&lt;/keyword&gt;&lt;keyword&gt;Humans–Pathology&lt;/keyword&gt;&lt;keyword&gt;Imidazoles–Epidemiology&lt;/keyword&gt;&lt;keyword&gt;Logistic Models–Metabolism&lt;/keyword&gt;&lt;keyword&gt;Male–Pathology&lt;/keyword&gt;&lt;keyword&gt;Microvessels–Metabolism&lt;/keyword&gt;&lt;keyword&gt;Multivariate Analysis–Metabolism&lt;/keyword&gt;&lt;keyword&gt;Pyruvaldehyde–Metabolism&lt;/keyword&gt;&lt;keyword&gt;Skin–Metabolism&lt;/keyword&gt;&lt;keyword&gt;Young Adult–Blood Supply&lt;/keyword&gt;&lt;keyword&gt;Young Adult–Metabolism&lt;/keyword&gt;&lt;keyword&gt;Young Adult–Pathology&lt;/keyword&gt;&lt;keyword&gt;Abridged&lt;/keyword&gt;&lt;keyword&gt;Glycation End Products, Advanced&lt;/keyword&gt;&lt;keyword&gt;Imidazoles&lt;/keyword&gt;&lt;keyword&gt;Imidazolone&lt;/keyword&gt;&lt;keyword&gt;Glucosepane&lt;/keyword&gt;&lt;keyword&gt;Pyruvaldehyde&lt;/keyword&gt;&lt;/keywords&gt;&lt;isbn&gt;00121797&lt;/isbn&gt;&lt;titles&gt;&lt;title&gt;Skin advanced glycation end products glucosepane and methylglyoxal hydroimidazolone are independently associated with long-term microvascular complication progression of type 1 diabetes&lt;/title&gt;&lt;secondary-title&gt;Diabetes&lt;/secondary-title&gt;&lt;/titles&gt;&lt;pages&gt;266-278&lt;/pages&gt;&lt;number&gt;1&lt;/number&gt;&lt;contributors&gt;&lt;authors&gt;&lt;author&gt;Genuth, Saul&lt;/author&gt;&lt;author&gt;Sun, Wanjie&lt;/author&gt;&lt;author&gt;Cleary, Patricia&lt;/author&gt;&lt;author&gt;Gao, Xiaoyu&lt;/author&gt;&lt;author&gt;Sell, David R.&lt;/author&gt;&lt;author&gt;Lachin, John&lt;/author&gt;&lt;author&gt;Monnier, Vincent M.&lt;/author&gt;&lt;/authors&gt;&lt;/contributors&gt;&lt;added-date format="utc"&gt;1572963821&lt;/added-date&gt;&lt;ref-type name="Journal Article"&gt;17&lt;/ref-type&gt;&lt;dates&gt;&lt;year&gt;2015&lt;/year&gt;&lt;/dates&gt;&lt;rec-number&gt;1177&lt;/rec-number&gt;&lt;last-updated-date format="utc"&gt;1572963821&lt;/last-updated-date&gt;&lt;electronic-resource-num&gt;10.2337/db14-0215&lt;/electronic-resource-num&gt;&lt;volume/&gt;&lt;/record&gt;&lt;/Cite&gt;&lt;/EndNote&gt;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eastAsia="en-GB"/>
        </w:rPr>
        <w:t>(Genuth et al., 2015)</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de-DE" w:eastAsia="en-GB"/>
        </w:rPr>
        <w:t xml:space="preserve">.  An </w:t>
      </w:r>
      <w:r w:rsidRPr="00AF0E0B">
        <w:rPr>
          <w:rFonts w:eastAsia="Arial Unicode MS" w:cs="Arial Unicode MS"/>
          <w:color w:val="000000"/>
          <w:u w:color="000000"/>
          <w:bdr w:val="nil"/>
          <w:lang w:val="en-US" w:eastAsia="en-GB"/>
        </w:rPr>
        <w:t>AGE</w:t>
      </w:r>
      <w:r w:rsidRPr="00AF0E0B">
        <w:rPr>
          <w:rFonts w:eastAsia="Arial Unicode MS" w:cs="Arial Unicode MS"/>
          <w:color w:val="000000"/>
          <w:u w:color="000000"/>
          <w:bdr w:val="nil"/>
          <w:lang w:eastAsia="en-GB"/>
        </w:rPr>
        <w:t xml:space="preserve"> </w:t>
      </w:r>
      <w:r w:rsidRPr="00AF0E0B">
        <w:rPr>
          <w:rFonts w:eastAsia="Arial Unicode MS" w:cs="Arial Unicode MS"/>
          <w:color w:val="000000"/>
          <w:u w:color="000000"/>
          <w:bdr w:val="nil"/>
          <w:lang w:val="en-US" w:eastAsia="en-GB"/>
        </w:rPr>
        <w:t>“methylglyoxal derived hydro-</w:t>
      </w:r>
      <w:proofErr w:type="spellStart"/>
      <w:r w:rsidRPr="00AF0E0B">
        <w:rPr>
          <w:rFonts w:eastAsia="Arial Unicode MS" w:cs="Arial Unicode MS"/>
          <w:color w:val="000000"/>
          <w:u w:color="000000"/>
          <w:bdr w:val="nil"/>
          <w:lang w:val="en-US" w:eastAsia="en-GB"/>
        </w:rPr>
        <w:t>imidazolone</w:t>
      </w:r>
      <w:proofErr w:type="spellEnd"/>
      <w:r w:rsidRPr="00AF0E0B">
        <w:rPr>
          <w:rFonts w:eastAsia="Arial Unicode MS" w:cs="Arial Unicode MS"/>
          <w:color w:val="000000"/>
          <w:u w:color="000000"/>
          <w:bdr w:val="nil"/>
          <w:lang w:val="en-US" w:eastAsia="en-GB"/>
        </w:rPr>
        <w:t xml:space="preserve">”, measured 10 years prior to the onset of neuropathy, was associated with the subsequent development of abnormal heat pain detection thresholds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&gt;&lt;Author&gt;Sveen&lt;/Author&gt;&lt;Year&gt;2013&lt;/Year&gt;&lt;DisplayText&gt;(Sveen et al., 2013)&lt;/DisplayText&gt;&lt;record&gt;&lt;keywords&gt;&lt;keyword&gt;Medicine&lt;/keyword&gt;&lt;/keywords&gt;&lt;isbn&gt;01495992&lt;/isbn&gt;&lt;titles&gt;&lt;title&gt;Small- and large-fiber neuropathy after 40 years of type 1 diabetes: Associations with glycem ic control andadvanced protein glycation: The Oslo Study&lt;/title&gt;&lt;secondary-title&gt;Diabetes Care&lt;/secondary-title&gt;&lt;/titles&gt;&lt;pages&gt;3712-3717&lt;/pages&gt;&lt;number&gt;11&lt;/number&gt;&lt;contributors&gt;&lt;authors&gt;&lt;author&gt;Sveen, K. A.&lt;/author&gt;&lt;author&gt;Karimé, B.&lt;/author&gt;&lt;author&gt;Jørum, E.&lt;/author&gt;&lt;author&gt;Mellgren, S. I.&lt;/author&gt;&lt;author&gt;Fagerland, M. W.&lt;/author&gt;&lt;author&gt;Monnier, V. M.&lt;/author&gt;&lt;author&gt;Dahl-Jørgensen, K.&lt;/author&gt;&lt;author&gt;Hanssen, K. F.&lt;/author&gt;&lt;/authors&gt;&lt;/contributors&gt;&lt;added-date format="utc"&gt;1571500527&lt;/added-date&gt;&lt;ref-type name="Journal Article"&gt;17&lt;/ref-type&gt;&lt;dates&gt;&lt;year&gt;2013&lt;/year&gt;&lt;/dates&gt;&lt;rec-number&gt;1167&lt;/rec-number&gt;&lt;last-updated-date format="utc"&gt;1571500527&lt;/last-updated-date&gt;&lt;electronic-resource-num&gt;10.2337/dc13-0788&lt;/electronic-resource-num&gt;&lt;volume&gt;36&lt;/volume&gt;&lt;/record&gt;&lt;/Cite&gt;&lt;/EndNote&gt;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eastAsia="en-GB"/>
        </w:rPr>
        <w:t>(Sveen et al., 2013)</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xml:space="preserve">. In a mouse model of P-DPN, methylglyoxal derived compounds are present in high concentrations in the sciatic nerve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&gt;&lt;Author&gt;Duran-Jimenez&lt;/Author&gt;&lt;Year&gt;2009&lt;/Year&gt;&lt;RecNum&gt;1319&lt;/RecNum&gt;&lt;DisplayText&gt;(Duran-Jimenez et al., 2009)&lt;/DisplayText&gt;&lt;record&gt;&lt;keywords&gt;&lt;keyword&gt;IN-VITRO&lt;/keyword&gt;&lt;keyword&gt;FIBER REGENERATION&lt;/keyword&gt;&lt;keyword&gt;NEURITE OUTGROWTH&lt;/keyword&gt;&lt;keyword&gt;MESSENGER-RNA EXPRESSION&lt;/keyword&gt;&lt;keyword&gt;NONENZYMATIC GLYCATION&lt;/keyword&gt;&lt;keyword&gt;ENDOCRINOLOGY &amp;amp; METABOLISM&lt;/keyword&gt;&lt;keyword&gt;AXONAL REGENERATION&lt;/keyword&gt;&lt;keyword&gt;CELL-ADHESION&lt;/keyword&gt;&lt;keyword&gt;TANDEM MASS-SPECTROMETRY&lt;/keyword&gt;&lt;keyword&gt;DORSAL-ROOT GANGLION&lt;/keyword&gt;&lt;keyword&gt;DISTINCT POPULATIONS&lt;/keyword&gt;&lt;keyword&gt;Enzyme Inhibitors - pharmacology&lt;/keyword&gt;&lt;keyword&gt;Rats&lt;/keyword&gt;&lt;keyword&gt;Guanidines - pharmacology&lt;/keyword&gt;&lt;keyword&gt;Sciatic Nerve - physiopathology&lt;/keyword&gt;&lt;keyword&gt;Neurites - metabolism&lt;/keyword&gt;&lt;keyword&gt;Fibronectins - metabolism&lt;/keyword&gt;&lt;keyword&gt;Tandem Mass Spectrometry&lt;/keyword&gt;&lt;keyword&gt;Animals&lt;/keyword&gt;&lt;keyword&gt;Diabetes Mellitus, Experimental&lt;/keyword&gt;&lt;keyword&gt;Glycation End Products, Advanced - metabolism&lt;/keyword&gt;&lt;keyword&gt;Nerve Regeneration - drug effects&lt;/keyword&gt;&lt;keyword&gt;Chromatography, Liquid&lt;/keyword&gt;&lt;keyword&gt;Sensory Receptor Cells - metabolism&lt;/keyword&gt;&lt;keyword&gt;Laminin - metabolism&lt;/keyword&gt;&lt;keyword&gt;Extracellular Matrix Proteins - metabolism&lt;/keyword&gt;&lt;keyword&gt;Regeneration&lt;/keyword&gt;&lt;keyword&gt;Diabetic neuropathies&lt;/keyword&gt;&lt;keyword&gt;Care and treatment&lt;/keyword&gt;&lt;keyword&gt;Laminin&lt;/keyword&gt;&lt;keyword&gt;Physiological aspects&lt;/keyword&gt;&lt;keyword&gt;Sensory receptors&lt;/keyword&gt;&lt;keyword&gt;Extracellular matrix&lt;/keyword&gt;&lt;keyword&gt;Nervous system&lt;/keyword&gt;&lt;keyword&gt;Research&lt;/keyword&gt;&lt;keyword&gt;Original&lt;/keyword&gt;&lt;/keywords&gt;&lt;isbn&gt;1939-327X&amp;#13;0012-1797&lt;/isbn&gt;&lt;titles&gt;&lt;title&gt;Advanced Glycation End Products in Extracellular Matrix Proteins Contribute to the Failure of Sensory Nerve Regeneration in Diabetes&lt;/title&gt;&lt;secondary-title&gt;Diabetes&lt;/secondary-title&gt;&lt;/titles&gt;&lt;pages&gt;2893-2903&lt;/pages&gt;&lt;number&gt;12&lt;/number&gt;&lt;contributors&gt;&lt;authors&gt;&lt;author&gt;Duran-Jimenez, B.&lt;/author&gt;&lt;author&gt;Dobler, D.&lt;/author&gt;&lt;author&gt;Moffatt, S.&lt;/author&gt;&lt;author&gt;Rabbani, N.&lt;/author&gt;&lt;author&gt;Streuli, C.&lt;/author&gt;&lt;author&gt;Thornalley, P.&lt;/author&gt;&lt;author&gt;Tomlinson, D.&lt;/author&gt;&lt;author&gt;Gardiner, N.&lt;/author&gt;&lt;/authors&gt;&lt;/contributors&gt;&lt;added-date format="utc"&gt;1598187354&lt;/added-date&gt;&lt;pub-location&gt;ALEXANDRIA&lt;/pub-location&gt;&lt;ref-type name="Journal Article"&gt;17&lt;/ref-type&gt;&lt;dates&gt;&lt;year&gt;2009&lt;/year&gt;&lt;/dates&gt;&lt;rec-number&gt;1319&lt;/rec-number&gt;&lt;publisher&gt;ALEXANDRIA: American Diabetes Association&lt;/publisher&gt;&lt;last-updated-date format="utc"&gt;1598187418&lt;/last-updated-date&gt;&lt;electronic-resource-num&gt;10.2337/db09-0320&lt;/electronic-resource-num&gt;&lt;volume&gt;58&lt;/volume&gt;&lt;/record&gt;&lt;/Cite&gt;&lt;/EndNote&gt;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val="fr-FR" w:eastAsia="en-GB"/>
        </w:rPr>
        <w:t>(Duran-Jimenez et al., 2009)</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xml:space="preserve">.  It has been  reported that serum concentrations of methylglyoxal above 600nM were able to discriminate between 10 T2D subjects with P-DPN and 10 subjects with diabetes and no neuropathy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&gt;&lt;Author&gt;Bierhaus&lt;/Author&gt;&lt;Year&gt;2012&lt;/Year&gt;&lt;RecNum&gt;72&lt;/RecNum&gt;&lt;DisplayText&gt;(Bierhaus et al., 2012)&lt;/DisplayText&gt;&lt;record&gt;&lt;dates&gt;&lt;pub-dates&gt;&lt;date&gt;Jun&lt;/date&gt;&lt;/pub-dates&gt;&lt;year&gt;2012&lt;/year&gt;&lt;/dates&gt;&lt;urls&gt;&lt;related-urls&gt;&lt;url&gt;&amp;lt;Go to ISI&amp;gt;://WOS:000305116600030&lt;/url&gt;&lt;/related-urls&gt;&lt;/urls&gt;&lt;isbn&gt;1078-8956&lt;/isbn&gt;&lt;titles&gt;&lt;title&gt;Methylglyoxal modification of Na(v)1.8 facilitates nociceptive neuron firing and causes hyperalgesia in diabetic neuropathy&lt;/title&gt;&lt;secondary-title&gt;Nature Medicine&lt;/secondary-title&gt;&lt;/titles&gt;&lt;number&gt;6&lt;/number&gt;&lt;contributors&gt;&lt;authors&gt;&lt;author&gt;Bierhaus, Angelika&lt;/author&gt;&lt;author&gt;Fleming, Thomas&lt;/author&gt;&lt;author&gt;Stoyanov, Stoyan&lt;/author&gt;&lt;author&gt;Leffler, Andreas&lt;/author&gt;&lt;author&gt;Babes, Alexandru&lt;/author&gt;&lt;author&gt;Neacsu, Cristian&lt;/author&gt;&lt;author&gt;Sauer, Susanne K.&lt;/author&gt;&lt;author&gt;Eberhardt, Mirjam&lt;/author&gt;&lt;author&gt;Schnoelzer, Martina&lt;/author&gt;&lt;author&gt;Lasischka, Felix&lt;/author&gt;&lt;author&gt;Neuhuber, Winfried L.&lt;/author&gt;&lt;author&gt;Kichko, Tatjana I.&lt;/author&gt;&lt;author&gt;Konrade, Ilze&lt;/author&gt;&lt;author&gt;Elvert, Ralf&lt;/author&gt;&lt;author&gt;Mier, Walter&lt;/author&gt;&lt;author&gt;Pirags, Valdis&lt;/author&gt;&lt;author&gt;Lukic, Ivan K.&lt;/author&gt;&lt;author&gt;Morcos, Michael&lt;/author&gt;&lt;author&gt;Dehmer, Thomas&lt;/author&gt;&lt;author&gt;Rabbani, Naila&lt;/author&gt;&lt;author&gt;Thornalley, Paul J.&lt;/author&gt;&lt;author&gt;Edelstein, Diane&lt;/author&gt;&lt;author&gt;Nau, Carla&lt;/author&gt;&lt;author&gt;Forbes, Josephine&lt;/author&gt;&lt;author&gt;Humpert, Per M.&lt;/author&gt;&lt;author&gt;Schwaninger, Markus&lt;/author&gt;&lt;author&gt;Ziegler, Dan&lt;/author&gt;&lt;author&gt;Stern, David M.&lt;/author&gt;&lt;author&gt;Cooper, Mark E.&lt;/author&gt;&lt;author&gt;Haberkorn, Uwe&lt;/author&gt;&lt;author&gt;Brownlee, Michael&lt;/author&gt;&lt;author&gt;Reeh, Peter W.&lt;/author&gt;&lt;author&gt;Nawroth, Peter P.&lt;/author&gt;&lt;/authors&gt;&lt;/contributors&gt;&lt;added-date format="utc"&gt;1350045529&lt;/added-date&gt;&lt;ref-type name="Journal Article"&gt;17&lt;/ref-type&gt;&lt;rec-number&gt;72&lt;/rec-number&gt;&lt;last-updated-date format="utc"&gt;1350045838&lt;/last-updated-date&gt;&lt;accession-num&gt;WOS:000305116600030&lt;/accession-num&gt;&lt;electronic-resource-num&gt;10.1038/nm.2750&lt;/electronic-resource-num&gt;&lt;volume&gt;18&lt;/volume&gt;&lt;/record&gt;&lt;/Cite&gt;&lt;/EndNote&gt;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val="de-DE" w:eastAsia="en-GB"/>
        </w:rPr>
        <w:t>(Bierhaus et al., 2012)</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xml:space="preserve">.  In addition, the study investigators found that pre-treatment with serum methylglyoxal resulted in increased pain associated </w:t>
      </w:r>
      <w:proofErr w:type="spellStart"/>
      <w:r w:rsidRPr="00AF0E0B">
        <w:rPr>
          <w:rFonts w:eastAsia="Arial Unicode MS" w:cs="Arial Unicode MS"/>
          <w:color w:val="000000"/>
          <w:u w:color="000000"/>
          <w:bdr w:val="nil"/>
          <w:lang w:val="en-US" w:eastAsia="en-GB"/>
        </w:rPr>
        <w:t>behaviours</w:t>
      </w:r>
      <w:proofErr w:type="spellEnd"/>
      <w:r w:rsidRPr="00AF0E0B">
        <w:rPr>
          <w:rFonts w:eastAsia="Arial Unicode MS" w:cs="Arial Unicode MS"/>
          <w:color w:val="000000"/>
          <w:u w:color="000000"/>
          <w:bdr w:val="nil"/>
          <w:lang w:val="en-US" w:eastAsia="en-GB"/>
        </w:rPr>
        <w:t xml:space="preserve"> in mice.  When a methylglyoxal scavenging peptide was injected into the mouse peritoneum the pain </w:t>
      </w:r>
      <w:proofErr w:type="spellStart"/>
      <w:r w:rsidRPr="00AF0E0B">
        <w:rPr>
          <w:rFonts w:eastAsia="Arial Unicode MS" w:cs="Arial Unicode MS"/>
          <w:color w:val="000000"/>
          <w:u w:color="000000"/>
          <w:bdr w:val="nil"/>
          <w:lang w:val="en-US" w:eastAsia="en-GB"/>
        </w:rPr>
        <w:t>behaviours</w:t>
      </w:r>
      <w:proofErr w:type="spellEnd"/>
      <w:r w:rsidRPr="00AF0E0B">
        <w:rPr>
          <w:rFonts w:eastAsia="Arial Unicode MS" w:cs="Arial Unicode MS"/>
          <w:color w:val="000000"/>
          <w:u w:color="000000"/>
          <w:bdr w:val="nil"/>
          <w:lang w:val="en-US" w:eastAsia="en-GB"/>
        </w:rPr>
        <w:t xml:space="preserve"> decreased.  Moreover, the pain response was associated with an increase in cerebral blood flow in the mouse somatosensory forebrain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&gt;&lt;Author&gt;Bierhaus&lt;/Author&gt;&lt;Year&gt;2012&lt;/Year&gt;&lt;RecNum&gt;72&lt;/RecNum&gt;&lt;DisplayText&gt;(Bierhaus et al., 2012)&lt;/DisplayText&gt;&lt;record&gt;&lt;dates&gt;&lt;pub-dates&gt;&lt;date&gt;Jun&lt;/date&gt;&lt;/pub-dates&gt;&lt;year&gt;2012&lt;/year&gt;&lt;/dates&gt;&lt;urls&gt;&lt;related-urls&gt;&lt;url&gt;&amp;lt;Go to ISI&amp;gt;://WOS:000305116600030&lt;/url&gt;&lt;/related-urls&gt;&lt;/urls&gt;&lt;isbn&gt;1078-8956&lt;/isbn&gt;&lt;titles&gt;&lt;title&gt;Methylglyoxal modification of Na(v)1.8 facilitates nociceptive neuron firing and causes hyperalgesia in diabetic neuropathy&lt;/title&gt;&lt;secondary-title&gt;Nature Medicine&lt;/secondary-title&gt;&lt;/titles&gt;&lt;number&gt;6&lt;/number&gt;&lt;contributors&gt;&lt;authors&gt;&lt;author&gt;Bierhaus, Angelika&lt;/author&gt;&lt;author&gt;Fleming, Thomas&lt;/author&gt;&lt;author&gt;Stoyanov, Stoyan&lt;/author&gt;&lt;author&gt;Leffler, Andreas&lt;/author&gt;&lt;author&gt;Babes, Alexandru&lt;/author&gt;&lt;author&gt;Neacsu, Cristian&lt;/author&gt;&lt;author&gt;Sauer, Susanne K.&lt;/author&gt;&lt;author&gt;Eberhardt, Mirjam&lt;/author&gt;&lt;author&gt;Schnoelzer, Martina&lt;/author&gt;&lt;author&gt;Lasischka, Felix&lt;/author&gt;&lt;author&gt;Neuhuber, Winfried L.&lt;/author&gt;&lt;author&gt;Kichko, Tatjana I.&lt;/author&gt;&lt;author&gt;Konrade, Ilze&lt;/author&gt;&lt;author&gt;Elvert, Ralf&lt;/author&gt;&lt;author&gt;Mier, Walter&lt;/author&gt;&lt;author&gt;Pirags, Valdis&lt;/author&gt;&lt;author&gt;Lukic, Ivan K.&lt;/author&gt;&lt;author&gt;Morcos, Michael&lt;/author&gt;&lt;author&gt;Dehmer, Thomas&lt;/author&gt;&lt;author&gt;Rabbani, Naila&lt;/author&gt;&lt;author&gt;Thornalley, Paul J.&lt;/author&gt;&lt;author&gt;Edelstein, Diane&lt;/author&gt;&lt;author&gt;Nau, Carla&lt;/author&gt;&lt;author&gt;Forbes, Josephine&lt;/author&gt;&lt;author&gt;Humpert, Per M.&lt;/author&gt;&lt;author&gt;Schwaninger, Markus&lt;/author&gt;&lt;author&gt;Ziegler, Dan&lt;/author&gt;&lt;author&gt;Stern, David M.&lt;/author&gt;&lt;author&gt;Cooper, Mark E.&lt;/author&gt;&lt;author&gt;Haberkorn, Uwe&lt;/author&gt;&lt;author&gt;Brownlee, Michael&lt;/author&gt;&lt;author&gt;Reeh, Peter W.&lt;/author&gt;&lt;author&gt;Nawroth, Peter P.&lt;/author&gt;&lt;/authors&gt;&lt;/contributors&gt;&lt;added-date format="utc"&gt;1350045529&lt;/added-date&gt;&lt;ref-type name="Journal Article"&gt;17&lt;/ref-type&gt;&lt;rec-number&gt;72&lt;/rec-number&gt;&lt;last-updated-date format="utc"&gt;1350045838&lt;/last-updated-date&gt;&lt;accession-num&gt;WOS:000305116600030&lt;/accession-num&gt;&lt;electronic-resource-num&gt;10.1038/nm.2750&lt;/electronic-resource-num&gt;&lt;volume&gt;18&lt;/volume&gt;&lt;/record&gt;&lt;/Cite&gt;&lt;/EndNote&gt;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val="de-DE" w:eastAsia="en-GB"/>
        </w:rPr>
        <w:t>(Bierhaus et al., 2012)</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Therefore, methylglyoxal could be a biomarker of P-DPN which may have a central effect on the perception of pain.  On the basis of these findings our aim was to replicate these results in a larger cohort of subjects with T1D and P-DPN.  If clear differences were found, we would aim to correlate serum methylglyoxal levels with cerebral perfusion measures in human subjects in future experiments.</w:t>
      </w:r>
    </w:p>
    <w:p w14:paraId="7AD434DC" w14:textId="77777777" w:rsidR="00AF0E0B" w:rsidRPr="00AF0E0B" w:rsidRDefault="00AF0E0B" w:rsidP="00AF0E0B">
      <w:pPr>
        <w:pBdr>
          <w:top w:val="nil"/>
          <w:left w:val="nil"/>
          <w:bottom w:val="nil"/>
          <w:right w:val="nil"/>
          <w:between w:val="nil"/>
          <w:bar w:val="nil"/>
        </w:pBdr>
        <w:spacing w:line="360" w:lineRule="auto"/>
        <w:rPr>
          <w:rFonts w:eastAsia="Arial" w:cs="Arial"/>
          <w:color w:val="000000"/>
          <w:sz w:val="20"/>
          <w:szCs w:val="20"/>
          <w:u w:color="000000"/>
          <w:bdr w:val="nil"/>
          <w:lang w:eastAsia="en-GB"/>
        </w:rPr>
      </w:pPr>
      <w:r w:rsidRPr="00AF0E0B">
        <w:rPr>
          <w:rFonts w:eastAsia="Arial Unicode MS" w:cs="Arial Unicode MS"/>
          <w:color w:val="000000"/>
          <w:u w:color="000000"/>
          <w:bdr w:val="nil"/>
          <w:lang w:val="en-US" w:eastAsia="en-GB"/>
        </w:rPr>
        <w:t xml:space="preserve">In summary, careful </w:t>
      </w:r>
      <w:proofErr w:type="spellStart"/>
      <w:r w:rsidRPr="00AF0E0B">
        <w:rPr>
          <w:rFonts w:eastAsia="Arial Unicode MS" w:cs="Arial Unicode MS"/>
          <w:color w:val="000000"/>
          <w:u w:color="000000"/>
          <w:bdr w:val="nil"/>
          <w:lang w:val="en-US" w:eastAsia="en-GB"/>
        </w:rPr>
        <w:t>characterisation</w:t>
      </w:r>
      <w:proofErr w:type="spellEnd"/>
      <w:r w:rsidRPr="00AF0E0B">
        <w:rPr>
          <w:rFonts w:eastAsia="Arial Unicode MS" w:cs="Arial Unicode MS"/>
          <w:color w:val="000000"/>
          <w:u w:color="000000"/>
          <w:bdr w:val="nil"/>
          <w:lang w:val="en-US" w:eastAsia="en-GB"/>
        </w:rPr>
        <w:t xml:space="preserve"> of clinical phenotypes and metabolic parameters of participants was undertaken.  The design of the study also included measurement of serum methylglyoxal, a potential biomarker for P-DPN, and measurement of somatic focus, which has not been previously </w:t>
      </w:r>
      <w:proofErr w:type="spellStart"/>
      <w:r w:rsidRPr="00AF0E0B">
        <w:rPr>
          <w:rFonts w:eastAsia="Arial Unicode MS" w:cs="Arial Unicode MS"/>
          <w:color w:val="000000"/>
          <w:u w:color="000000"/>
          <w:bdr w:val="nil"/>
          <w:lang w:val="en-US" w:eastAsia="en-GB"/>
        </w:rPr>
        <w:t>utilised</w:t>
      </w:r>
      <w:proofErr w:type="spellEnd"/>
      <w:r w:rsidRPr="00AF0E0B">
        <w:rPr>
          <w:rFonts w:eastAsia="Arial Unicode MS" w:cs="Arial Unicode MS"/>
          <w:color w:val="000000"/>
          <w:u w:color="000000"/>
          <w:bdr w:val="nil"/>
          <w:lang w:val="en-US" w:eastAsia="en-GB"/>
        </w:rPr>
        <w:t xml:space="preserve"> in P-DPN.  </w:t>
      </w:r>
    </w:p>
    <w:p w14:paraId="35DD3AA1" w14:textId="6FDBA09C" w:rsidR="00AF0E0B" w:rsidRPr="00AF0E0B" w:rsidRDefault="00AF0E0B" w:rsidP="00E745CE">
      <w:pPr>
        <w:pStyle w:val="Heading2"/>
      </w:pPr>
      <w:bookmarkStart w:id="113" w:name="_Toc49973095"/>
      <w:bookmarkStart w:id="114" w:name="_Toc49973450"/>
      <w:bookmarkStart w:id="115" w:name="_Toc64723895"/>
      <w:r w:rsidRPr="00AF0E0B">
        <w:t>Methods</w:t>
      </w:r>
      <w:bookmarkEnd w:id="113"/>
      <w:bookmarkEnd w:id="114"/>
      <w:bookmarkEnd w:id="115"/>
    </w:p>
    <w:p w14:paraId="031F0969" w14:textId="636EB8E9" w:rsidR="00AF0E0B" w:rsidRPr="00AF0E0B" w:rsidRDefault="00AF0E0B" w:rsidP="0031237D">
      <w:pPr>
        <w:pStyle w:val="Heading3"/>
      </w:pPr>
      <w:bookmarkStart w:id="116" w:name="_Toc49973096"/>
      <w:bookmarkStart w:id="117" w:name="_Toc49973451"/>
      <w:bookmarkStart w:id="118" w:name="_Toc64723896"/>
      <w:r w:rsidRPr="00AF0E0B">
        <w:t>Design</w:t>
      </w:r>
      <w:bookmarkEnd w:id="116"/>
      <w:bookmarkEnd w:id="117"/>
      <w:bookmarkEnd w:id="118"/>
    </w:p>
    <w:p w14:paraId="58B8A93B" w14:textId="3F7F2279" w:rsidR="00AF0E0B" w:rsidRDefault="00AF0E0B" w:rsidP="00AF0E0B">
      <w:pPr>
        <w:pBdr>
          <w:top w:val="nil"/>
          <w:left w:val="nil"/>
          <w:bottom w:val="nil"/>
          <w:right w:val="nil"/>
          <w:between w:val="nil"/>
          <w:bar w:val="nil"/>
        </w:pBdr>
        <w:spacing w:line="360" w:lineRule="auto"/>
        <w:rPr>
          <w:rFonts w:eastAsia="Arial Unicode MS" w:cs="Arial Unicode MS"/>
          <w:color w:val="000000"/>
          <w:u w:color="000000"/>
          <w:bdr w:val="nil"/>
          <w:lang w:val="en-US" w:eastAsia="en-GB"/>
        </w:rPr>
      </w:pPr>
      <w:r w:rsidRPr="00AF0E0B">
        <w:rPr>
          <w:rFonts w:eastAsia="Arial Unicode MS" w:cs="Arial Unicode MS"/>
          <w:color w:val="000000"/>
          <w:u w:color="000000"/>
          <w:bdr w:val="nil"/>
          <w:lang w:val="en-US" w:eastAsia="en-GB"/>
        </w:rPr>
        <w:t xml:space="preserve">This study was a cross sectional observational cohort study.  There were 4 groups for comparison: 19 with P-DPN, 24 with DPN, 13 DM-NN and 18 HV. Although the groups </w:t>
      </w:r>
      <w:r w:rsidRPr="00AF0E0B">
        <w:rPr>
          <w:rFonts w:eastAsia="Arial Unicode MS" w:cs="Arial Unicode MS"/>
          <w:color w:val="000000"/>
          <w:u w:color="000000"/>
          <w:bdr w:val="nil"/>
          <w:lang w:val="en-US" w:eastAsia="en-GB"/>
        </w:rPr>
        <w:lastRenderedPageBreak/>
        <w:t xml:space="preserve">were relatively small, the participants were intensively studied.  All subjects underwent a screening and </w:t>
      </w:r>
      <w:proofErr w:type="spellStart"/>
      <w:r w:rsidRPr="00AF0E0B">
        <w:rPr>
          <w:rFonts w:eastAsia="Arial Unicode MS" w:cs="Arial Unicode MS"/>
          <w:color w:val="000000"/>
          <w:u w:color="000000"/>
          <w:bdr w:val="nil"/>
          <w:lang w:val="en-US" w:eastAsia="en-GB"/>
        </w:rPr>
        <w:t>characterisation</w:t>
      </w:r>
      <w:proofErr w:type="spellEnd"/>
      <w:r w:rsidRPr="00AF0E0B">
        <w:rPr>
          <w:rFonts w:eastAsia="Arial Unicode MS" w:cs="Arial Unicode MS"/>
          <w:color w:val="000000"/>
          <w:u w:color="000000"/>
          <w:bdr w:val="nil"/>
          <w:lang w:val="en-US" w:eastAsia="en-GB"/>
        </w:rPr>
        <w:t xml:space="preserve"> visit (Figure 2.1- red box). </w:t>
      </w:r>
    </w:p>
    <w:p w14:paraId="5181306F" w14:textId="77777777" w:rsidR="00A460BB" w:rsidRPr="00AF0E0B" w:rsidRDefault="00A460BB" w:rsidP="00AF0E0B">
      <w:pPr>
        <w:pBdr>
          <w:top w:val="nil"/>
          <w:left w:val="nil"/>
          <w:bottom w:val="nil"/>
          <w:right w:val="nil"/>
          <w:between w:val="nil"/>
          <w:bar w:val="nil"/>
        </w:pBdr>
        <w:spacing w:line="360" w:lineRule="auto"/>
        <w:rPr>
          <w:rFonts w:eastAsia="Arial" w:cs="Arial"/>
          <w:color w:val="000000"/>
          <w:u w:color="000000"/>
          <w:bdr w:val="nil"/>
          <w:lang w:eastAsia="en-GB"/>
        </w:rPr>
      </w:pPr>
    </w:p>
    <w:p w14:paraId="3F411D18" w14:textId="32EC0598" w:rsidR="00AF0E0B" w:rsidRPr="00AF0E0B" w:rsidRDefault="00AF0E0B" w:rsidP="001E1775">
      <w:pPr>
        <w:pStyle w:val="Subtitle"/>
      </w:pPr>
      <w:bookmarkStart w:id="119" w:name="_Toc49973352"/>
      <w:bookmarkStart w:id="120" w:name="_Toc64724170"/>
      <w:r w:rsidRPr="00AF0E0B">
        <w:t>Figure 2.1 Overview of the Study Design</w:t>
      </w:r>
      <w:bookmarkEnd w:id="119"/>
      <w:bookmarkEnd w:id="120"/>
    </w:p>
    <w:p w14:paraId="4014D42F" w14:textId="77777777" w:rsidR="00AF0E0B" w:rsidRPr="00AF0E0B" w:rsidRDefault="00AF0E0B" w:rsidP="00AF0E0B">
      <w:pPr>
        <w:pBdr>
          <w:top w:val="single" w:sz="4" w:space="0" w:color="000000"/>
          <w:left w:val="single" w:sz="4" w:space="0" w:color="000000"/>
          <w:bottom w:val="single" w:sz="4" w:space="0" w:color="000000"/>
          <w:right w:val="single" w:sz="4" w:space="0" w:color="000000"/>
          <w:between w:val="nil"/>
          <w:bar w:val="nil"/>
        </w:pBdr>
        <w:spacing w:line="360" w:lineRule="auto"/>
        <w:rPr>
          <w:rFonts w:eastAsia="Arial" w:cs="Arial"/>
          <w:color w:val="000000"/>
          <w:u w:color="000000"/>
          <w:bdr w:val="nil"/>
          <w:lang w:eastAsia="en-GB"/>
        </w:rPr>
      </w:pPr>
    </w:p>
    <w:p w14:paraId="7A1CD9D9" w14:textId="77777777" w:rsidR="00AF0E0B" w:rsidRPr="00AF0E0B" w:rsidRDefault="00AF0E0B" w:rsidP="00AF0E0B">
      <w:pPr>
        <w:pBdr>
          <w:top w:val="single" w:sz="4" w:space="0" w:color="000000"/>
          <w:left w:val="single" w:sz="4" w:space="0" w:color="000000"/>
          <w:bottom w:val="single" w:sz="4" w:space="0" w:color="000000"/>
          <w:right w:val="single" w:sz="4" w:space="0" w:color="000000"/>
          <w:between w:val="nil"/>
          <w:bar w:val="nil"/>
        </w:pBdr>
        <w:rPr>
          <w:rFonts w:eastAsia="Arial" w:cs="Arial"/>
          <w:color w:val="000000"/>
          <w:u w:color="000000"/>
          <w:bdr w:val="nil"/>
          <w:lang w:eastAsia="en-GB"/>
        </w:rPr>
      </w:pPr>
      <w:r w:rsidRPr="00AF0E0B">
        <w:rPr>
          <w:rFonts w:eastAsia="Arial" w:cs="Arial"/>
          <w:noProof/>
          <w:color w:val="000000"/>
          <w:u w:color="000000"/>
          <w:bdr w:val="nil"/>
          <w:lang w:eastAsia="en-GB"/>
        </w:rPr>
        <mc:AlternateContent>
          <mc:Choice Requires="wps">
            <w:drawing>
              <wp:anchor distT="0" distB="0" distL="0" distR="0" simplePos="0" relativeHeight="251667456" behindDoc="0" locked="0" layoutInCell="1" allowOverlap="1" wp14:anchorId="3149DE07" wp14:editId="79D77AB2">
                <wp:simplePos x="0" y="0"/>
                <wp:positionH relativeFrom="column">
                  <wp:posOffset>922351</wp:posOffset>
                </wp:positionH>
                <wp:positionV relativeFrom="line">
                  <wp:posOffset>-166976</wp:posOffset>
                </wp:positionV>
                <wp:extent cx="2615979" cy="477077"/>
                <wp:effectExtent l="0" t="0" r="0" b="0"/>
                <wp:wrapNone/>
                <wp:docPr id="15" name="officeArt object" descr="Rectangle 14"/>
                <wp:cNvGraphicFramePr/>
                <a:graphic xmlns:a="http://schemas.openxmlformats.org/drawingml/2006/main">
                  <a:graphicData uri="http://schemas.microsoft.com/office/word/2010/wordprocessingShape">
                    <wps:wsp>
                      <wps:cNvSpPr/>
                      <wps:spPr>
                        <a:xfrm>
                          <a:off x="0" y="0"/>
                          <a:ext cx="2615979" cy="477077"/>
                        </a:xfrm>
                        <a:prstGeom prst="rect">
                          <a:avLst/>
                        </a:prstGeom>
                        <a:solidFill>
                          <a:srgbClr val="4472C4"/>
                        </a:solidFill>
                        <a:ln w="12700" cap="flat">
                          <a:solidFill>
                            <a:srgbClr val="32538F"/>
                          </a:solidFill>
                          <a:prstDash val="solid"/>
                          <a:miter lim="800000"/>
                        </a:ln>
                        <a:effectLst/>
                      </wps:spPr>
                      <wps:txbx>
                        <w:txbxContent>
                          <w:p w14:paraId="32F6B14F" w14:textId="77777777" w:rsidR="00D17A43" w:rsidRPr="00A54D05" w:rsidRDefault="00D17A43" w:rsidP="00AF0E0B">
                            <w:pPr>
                              <w:pStyle w:val="Body"/>
                              <w:jc w:val="center"/>
                              <w:rPr>
                                <w:color w:val="FFFFFF" w:themeColor="background1"/>
                              </w:rPr>
                            </w:pPr>
                            <w:r w:rsidRPr="00A54D05">
                              <w:rPr>
                                <w:rFonts w:ascii="Arial" w:hAnsi="Arial"/>
                                <w:color w:val="FFFFFF" w:themeColor="background1"/>
                                <w:lang w:val="en-US"/>
                              </w:rPr>
                              <w:t xml:space="preserve">Subjects identified </w:t>
                            </w:r>
                          </w:p>
                        </w:txbxContent>
                      </wps:txbx>
                      <wps:bodyPr wrap="square" lIns="45719" tIns="45719" rIns="45719" bIns="45719" numCol="1" anchor="ctr">
                        <a:noAutofit/>
                      </wps:bodyPr>
                    </wps:wsp>
                  </a:graphicData>
                </a:graphic>
              </wp:anchor>
            </w:drawing>
          </mc:Choice>
          <mc:Fallback>
            <w:pict>
              <v:rect w14:anchorId="3149DE07" id="officeArt object" o:spid="_x0000_s1026" alt="Rectangle 14" style="position:absolute;margin-left:72.65pt;margin-top:-13.15pt;width:206pt;height:37.55pt;z-index:251667456;visibility:visible;mso-wrap-style:square;mso-wrap-distance-left:0;mso-wrap-distance-top:0;mso-wrap-distance-right:0;mso-wrap-distance-bottom:0;mso-position-horizontal:absolute;mso-position-horizontal-relative:text;mso-position-vertical:absolute;mso-position-vertical-relative:lin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" fillcolor="#4472c4" strokecolor="#32538f" strokeweight="1pt">
                <v:textbox inset="1.27mm,1.27mm,1.27mm,1.27mm">
                  <w:txbxContent>
                    <w:p w14:paraId="32F6B14F" w14:textId="77777777" w:rsidR="00D17A43" w:rsidRPr="00A54D05" w:rsidRDefault="00D17A43" w:rsidP="00AF0E0B">
                      <w:pPr>
                        <w:pStyle w:val="Body"/>
                        <w:jc w:val="center"/>
                        <w:rPr>
                          <w:color w:val="FFFFFF" w:themeColor="background1"/>
                        </w:rPr>
                      </w:pPr>
                      <w:r w:rsidRPr="00A54D05">
                        <w:rPr>
                          <w:rFonts w:ascii="Arial" w:hAnsi="Arial"/>
                          <w:color w:val="FFFFFF" w:themeColor="background1"/>
                          <w:lang w:val="en-US"/>
                        </w:rPr>
                        <w:t xml:space="preserve">Subjects identified </w:t>
                      </w:r>
                    </w:p>
                  </w:txbxContent>
                </v:textbox>
                <w10:wrap anchory="line"/>
              </v:rect>
            </w:pict>
          </mc:Fallback>
        </mc:AlternateContent>
      </w:r>
    </w:p>
    <w:p w14:paraId="3FDE64AD" w14:textId="77777777" w:rsidR="00AF0E0B" w:rsidRPr="00AF0E0B" w:rsidRDefault="00AF0E0B" w:rsidP="00AF0E0B">
      <w:pPr>
        <w:pBdr>
          <w:top w:val="single" w:sz="4" w:space="0" w:color="000000"/>
          <w:left w:val="single" w:sz="4" w:space="0" w:color="000000"/>
          <w:bottom w:val="single" w:sz="4" w:space="0" w:color="000000"/>
          <w:right w:val="single" w:sz="4" w:space="0" w:color="000000"/>
          <w:between w:val="nil"/>
          <w:bar w:val="nil"/>
        </w:pBdr>
        <w:rPr>
          <w:rFonts w:eastAsia="Arial" w:cs="Arial"/>
          <w:color w:val="000000"/>
          <w:u w:color="000000"/>
          <w:bdr w:val="nil"/>
          <w:lang w:eastAsia="en-GB"/>
        </w:rPr>
      </w:pPr>
    </w:p>
    <w:p w14:paraId="51C90AA7" w14:textId="77777777" w:rsidR="00AF0E0B" w:rsidRPr="00AF0E0B" w:rsidRDefault="00AF0E0B" w:rsidP="00AF0E0B">
      <w:pPr>
        <w:pBdr>
          <w:top w:val="single" w:sz="4" w:space="0" w:color="000000"/>
          <w:left w:val="single" w:sz="4" w:space="0" w:color="000000"/>
          <w:bottom w:val="single" w:sz="4" w:space="0" w:color="000000"/>
          <w:right w:val="single" w:sz="4" w:space="0" w:color="000000"/>
          <w:between w:val="nil"/>
          <w:bar w:val="nil"/>
        </w:pBdr>
        <w:rPr>
          <w:rFonts w:eastAsia="Arial" w:cs="Arial"/>
          <w:color w:val="000000"/>
          <w:u w:color="000000"/>
          <w:bdr w:val="nil"/>
          <w:lang w:eastAsia="en-GB"/>
        </w:rPr>
      </w:pPr>
      <w:r w:rsidRPr="00AF0E0B">
        <w:rPr>
          <w:rFonts w:eastAsia="Arial" w:cs="Arial"/>
          <w:noProof/>
          <w:color w:val="000000"/>
          <w:u w:color="000000"/>
          <w:bdr w:val="nil"/>
          <w:lang w:eastAsia="en-GB"/>
        </w:rPr>
        <mc:AlternateContent>
          <mc:Choice Requires="wps">
            <w:drawing>
              <wp:anchor distT="0" distB="0" distL="0" distR="0" simplePos="0" relativeHeight="251668480" behindDoc="0" locked="0" layoutInCell="1" allowOverlap="1" wp14:anchorId="5A8AFBCB" wp14:editId="20EA81C6">
                <wp:simplePos x="0" y="0"/>
                <wp:positionH relativeFrom="column">
                  <wp:posOffset>2154804</wp:posOffset>
                </wp:positionH>
                <wp:positionV relativeFrom="line">
                  <wp:posOffset>8890</wp:posOffset>
                </wp:positionV>
                <wp:extent cx="357506" cy="556261"/>
                <wp:effectExtent l="0" t="0" r="0" b="0"/>
                <wp:wrapNone/>
                <wp:docPr id="16" name="officeArt object" descr="Down Arrow 2"/>
                <wp:cNvGraphicFramePr/>
                <a:graphic xmlns:a="http://schemas.openxmlformats.org/drawingml/2006/main">
                  <a:graphicData uri="http://schemas.microsoft.com/office/word/2010/wordprocessingShape">
                    <wps:wsp>
                      <wps:cNvSpPr/>
                      <wps:spPr>
                        <a:xfrm>
                          <a:off x="0" y="0"/>
                          <a:ext cx="357506" cy="556261"/>
                        </a:xfrm>
                        <a:custGeom>
                          <a:avLst/>
                          <a:gdLst/>
                          <a:ahLst/>
                          <a:cxnLst>
                            <a:cxn ang="0">
                              <a:pos x="wd2" y="hd2"/>
                            </a:cxn>
                            <a:cxn ang="5400000">
                              <a:pos x="wd2" y="hd2"/>
                            </a:cxn>
                            <a:cxn ang="10800000">
                              <a:pos x="wd2" y="hd2"/>
                            </a:cxn>
                            <a:cxn ang="16200000">
                              <a:pos x="wd2" y="hd2"/>
                            </a:cxn>
                          </a:cxnLst>
                          <a:rect l="0" t="0" r="r" b="b"/>
                          <a:pathLst>
                            <a:path w="21600" h="21600" extrusionOk="0">
                              <a:moveTo>
                                <a:pt x="0" y="14659"/>
                              </a:moveTo>
                              <a:lnTo>
                                <a:pt x="5400" y="14659"/>
                              </a:lnTo>
                              <a:lnTo>
                                <a:pt x="5400" y="0"/>
                              </a:lnTo>
                              <a:lnTo>
                                <a:pt x="16200" y="0"/>
                              </a:lnTo>
                              <a:lnTo>
                                <a:pt x="16200" y="14659"/>
                              </a:lnTo>
                              <a:lnTo>
                                <a:pt x="21600" y="14659"/>
                              </a:lnTo>
                              <a:lnTo>
                                <a:pt x="10800" y="21600"/>
                              </a:lnTo>
                              <a:close/>
                            </a:path>
                          </a:pathLst>
                        </a:custGeom>
                        <a:solidFill>
                          <a:srgbClr val="4472C4"/>
                        </a:solidFill>
                        <a:ln w="12700" cap="flat">
                          <a:solidFill>
                            <a:srgbClr val="32538F"/>
                          </a:solidFill>
                          <a:prstDash val="solid"/>
                          <a:miter lim="800000"/>
                        </a:ln>
                        <a:effectLst/>
                      </wps:spPr>
                      <wps:bodyPr/>
                    </wps:wsp>
                  </a:graphicData>
                </a:graphic>
              </wp:anchor>
            </w:drawing>
          </mc:Choice>
          <mc:Fallback>
            <w:pict>
              <v:shape w14:anchorId="7C065314" id="officeArt object" o:spid="_x0000_s1026" alt="Down Arrow 2" style="position:absolute;margin-left:169.65pt;margin-top:.7pt;width:28.15pt;height:43.8pt;z-index:251668480;visibility:visible;mso-wrap-style:square;mso-wrap-distance-left:0;mso-wrap-distance-top:0;mso-wrap-distance-right:0;mso-wrap-distance-bottom:0;mso-position-horizontal:absolute;mso-position-horizontal-relative:text;mso-position-vertical:absolute;mso-position-vertical-relative:line;v-text-anchor:top" coordsize="21600,216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" path="m,14659r5400,l5400,,16200,r,14659l21600,14659,10800,21600,,14659xe" fillcolor="#4472c4" strokecolor="#32538f" strokeweight="1pt">
                <v:stroke joinstyle="miter"/>
                <v:path arrowok="t" o:extrusionok="f" o:connecttype="custom" o:connectlocs="178753,278131;178753,278131;178753,278131;178753,278131" o:connectangles="0,90,180,270"/>
                <w10:wrap anchory="line"/>
              </v:shape>
            </w:pict>
          </mc:Fallback>
        </mc:AlternateContent>
      </w:r>
    </w:p>
    <w:p w14:paraId="28AA7F49" w14:textId="77777777" w:rsidR="00AF0E0B" w:rsidRPr="00AF0E0B" w:rsidRDefault="00AF0E0B" w:rsidP="00AF0E0B">
      <w:pPr>
        <w:pBdr>
          <w:top w:val="single" w:sz="4" w:space="0" w:color="000000"/>
          <w:left w:val="single" w:sz="4" w:space="0" w:color="000000"/>
          <w:bottom w:val="single" w:sz="4" w:space="0" w:color="000000"/>
          <w:right w:val="single" w:sz="4" w:space="0" w:color="000000"/>
          <w:between w:val="nil"/>
          <w:bar w:val="nil"/>
        </w:pBdr>
        <w:rPr>
          <w:rFonts w:eastAsia="Arial" w:cs="Arial"/>
          <w:color w:val="000000"/>
          <w:u w:color="000000"/>
          <w:bdr w:val="nil"/>
          <w:lang w:eastAsia="en-GB"/>
        </w:rPr>
      </w:pPr>
    </w:p>
    <w:p w14:paraId="2FE1EC76" w14:textId="77777777" w:rsidR="00AF0E0B" w:rsidRPr="00AF0E0B" w:rsidRDefault="00AF0E0B" w:rsidP="00AF0E0B">
      <w:pPr>
        <w:pBdr>
          <w:top w:val="single" w:sz="4" w:space="0" w:color="000000"/>
          <w:left w:val="single" w:sz="4" w:space="0" w:color="000000"/>
          <w:bottom w:val="single" w:sz="4" w:space="0" w:color="000000"/>
          <w:right w:val="single" w:sz="4" w:space="0" w:color="000000"/>
          <w:between w:val="nil"/>
          <w:bar w:val="nil"/>
        </w:pBdr>
        <w:rPr>
          <w:rFonts w:eastAsia="Arial" w:cs="Arial"/>
          <w:color w:val="000000"/>
          <w:u w:color="000000"/>
          <w:bdr w:val="nil"/>
          <w:lang w:eastAsia="en-GB"/>
        </w:rPr>
      </w:pPr>
    </w:p>
    <w:p w14:paraId="093935A6" w14:textId="77777777" w:rsidR="00AF0E0B" w:rsidRPr="00AF0E0B" w:rsidRDefault="00AF0E0B" w:rsidP="00AF0E0B">
      <w:pPr>
        <w:pBdr>
          <w:top w:val="single" w:sz="4" w:space="0" w:color="000000"/>
          <w:left w:val="single" w:sz="4" w:space="0" w:color="000000"/>
          <w:bottom w:val="single" w:sz="4" w:space="0" w:color="000000"/>
          <w:right w:val="single" w:sz="4" w:space="0" w:color="000000"/>
          <w:between w:val="nil"/>
          <w:bar w:val="nil"/>
        </w:pBdr>
        <w:rPr>
          <w:rFonts w:eastAsia="Arial" w:cs="Arial"/>
          <w:color w:val="000000"/>
          <w:u w:color="000000"/>
          <w:bdr w:val="nil"/>
          <w:lang w:eastAsia="en-GB"/>
        </w:rPr>
      </w:pPr>
      <w:r w:rsidRPr="00AF0E0B">
        <w:rPr>
          <w:rFonts w:eastAsia="Arial" w:cs="Arial"/>
          <w:noProof/>
          <w:color w:val="000000"/>
          <w:u w:color="000000"/>
          <w:bdr w:val="nil"/>
          <w:lang w:eastAsia="en-GB"/>
        </w:rPr>
        <mc:AlternateContent>
          <mc:Choice Requires="wps">
            <w:drawing>
              <wp:anchor distT="0" distB="0" distL="0" distR="0" simplePos="0" relativeHeight="251678720" behindDoc="0" locked="0" layoutInCell="1" allowOverlap="1" wp14:anchorId="5F815967" wp14:editId="004FA168">
                <wp:simplePos x="0" y="0"/>
                <wp:positionH relativeFrom="column">
                  <wp:posOffset>3540369</wp:posOffset>
                </wp:positionH>
                <wp:positionV relativeFrom="line">
                  <wp:posOffset>30773</wp:posOffset>
                </wp:positionV>
                <wp:extent cx="672123" cy="500380"/>
                <wp:effectExtent l="0" t="0" r="0" b="0"/>
                <wp:wrapNone/>
                <wp:docPr id="17" name="officeArt object" descr="Right Arrow 18"/>
                <wp:cNvGraphicFramePr/>
                <a:graphic xmlns:a="http://schemas.openxmlformats.org/drawingml/2006/main">
                  <a:graphicData uri="http://schemas.microsoft.com/office/word/2010/wordprocessingShape">
                    <wps:wsp>
                      <wps:cNvSpPr/>
                      <wps:spPr>
                        <a:xfrm>
                          <a:off x="0" y="0"/>
                          <a:ext cx="672123" cy="500380"/>
                        </a:xfrm>
                        <a:prstGeom prst="rightArrow">
                          <a:avLst>
                            <a:gd name="adj1" fmla="val 50000"/>
                            <a:gd name="adj2" fmla="val 50000"/>
                          </a:avLst>
                        </a:prstGeom>
                        <a:solidFill>
                          <a:srgbClr val="4472C4"/>
                        </a:solidFill>
                        <a:ln w="12700" cap="flat">
                          <a:solidFill>
                            <a:srgbClr val="32538F"/>
                          </a:solidFill>
                          <a:prstDash val="solid"/>
                          <a:miter lim="800000"/>
                        </a:ln>
                        <a:effectLst/>
                      </wps:spPr>
                      <wps:bodyPr/>
                    </wps:wsp>
                  </a:graphicData>
                </a:graphic>
              </wp:anchor>
            </w:drawing>
          </mc:Choice>
          <mc:Fallback>
            <w:pict>
              <v:shapetype w14:anchorId="1E0506F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officeArt object" o:spid="_x0000_s1026" type="#_x0000_t13" alt="Right Arrow 18" style="position:absolute;margin-left:278.75pt;margin-top:2.4pt;width:52.9pt;height:39.4pt;z-index:251678720;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" adj="13560" fillcolor="#4472c4" strokecolor="#32538f" strokeweight="1pt">
                <w10:wrap anchory="line"/>
              </v:shape>
            </w:pict>
          </mc:Fallback>
        </mc:AlternateContent>
      </w:r>
      <w:r w:rsidRPr="00AF0E0B">
        <w:rPr>
          <w:rFonts w:eastAsia="Arial" w:cs="Arial"/>
          <w:noProof/>
          <w:color w:val="000000"/>
          <w:u w:color="000000"/>
          <w:bdr w:val="nil"/>
          <w:lang w:eastAsia="en-GB"/>
        </w:rPr>
        <mc:AlternateContent>
          <mc:Choice Requires="wps">
            <w:drawing>
              <wp:anchor distT="0" distB="0" distL="0" distR="0" simplePos="0" relativeHeight="251670528" behindDoc="0" locked="0" layoutInCell="1" allowOverlap="1" wp14:anchorId="09EFD638" wp14:editId="50F9E81A">
                <wp:simplePos x="0" y="0"/>
                <wp:positionH relativeFrom="column">
                  <wp:posOffset>4292160</wp:posOffset>
                </wp:positionH>
                <wp:positionV relativeFrom="line">
                  <wp:posOffset>24764</wp:posOffset>
                </wp:positionV>
                <wp:extent cx="1439186" cy="505130"/>
                <wp:effectExtent l="0" t="0" r="0" b="0"/>
                <wp:wrapNone/>
                <wp:docPr id="18" name="officeArt object" descr="Rectangle 4"/>
                <wp:cNvGraphicFramePr/>
                <a:graphic xmlns:a="http://schemas.openxmlformats.org/drawingml/2006/main">
                  <a:graphicData uri="http://schemas.microsoft.com/office/word/2010/wordprocessingShape">
                    <wps:wsp>
                      <wps:cNvSpPr/>
                      <wps:spPr>
                        <a:xfrm>
                          <a:off x="0" y="0"/>
                          <a:ext cx="1439186" cy="505130"/>
                        </a:xfrm>
                        <a:prstGeom prst="rect">
                          <a:avLst/>
                        </a:prstGeom>
                        <a:solidFill>
                          <a:srgbClr val="4472C4"/>
                        </a:solidFill>
                        <a:ln w="12700" cap="flat">
                          <a:solidFill>
                            <a:srgbClr val="32538F"/>
                          </a:solidFill>
                          <a:prstDash val="solid"/>
                          <a:miter lim="800000"/>
                        </a:ln>
                        <a:effectLst/>
                      </wps:spPr>
                      <wps:txbx>
                        <w:txbxContent>
                          <w:p w14:paraId="3CFCE962" w14:textId="77777777" w:rsidR="00D17A43" w:rsidRPr="00A54D05" w:rsidRDefault="00D17A43" w:rsidP="00AF0E0B">
                            <w:pPr>
                              <w:pStyle w:val="Body"/>
                              <w:jc w:val="center"/>
                              <w:rPr>
                                <w:color w:val="FFFFFF" w:themeColor="background1"/>
                              </w:rPr>
                            </w:pPr>
                            <w:r w:rsidRPr="00A54D05">
                              <w:rPr>
                                <w:rFonts w:ascii="Arial" w:hAnsi="Arial"/>
                                <w:color w:val="FFFFFF" w:themeColor="background1"/>
                                <w:lang w:val="en-US"/>
                              </w:rPr>
                              <w:t>Not suitable</w:t>
                            </w:r>
                          </w:p>
                        </w:txbxContent>
                      </wps:txbx>
                      <wps:bodyPr wrap="square" lIns="45719" tIns="45719" rIns="45719" bIns="45719" numCol="1" anchor="ctr">
                        <a:noAutofit/>
                      </wps:bodyPr>
                    </wps:wsp>
                  </a:graphicData>
                </a:graphic>
              </wp:anchor>
            </w:drawing>
          </mc:Choice>
          <mc:Fallback>
            <w:pict>
              <v:rect w14:anchorId="09EFD638" id="_x0000_s1027" alt="Rectangle 4" style="position:absolute;margin-left:337.95pt;margin-top:1.95pt;width:113.3pt;height:39.75pt;z-index:251670528;visibility:visible;mso-wrap-style:square;mso-wrap-distance-left:0;mso-wrap-distance-top:0;mso-wrap-distance-right:0;mso-wrap-distance-bottom:0;mso-position-horizontal:absolute;mso-position-horizontal-relative:text;mso-position-vertical:absolute;mso-position-vertical-relative:lin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" fillcolor="#4472c4" strokecolor="#32538f" strokeweight="1pt">
                <v:textbox inset="1.27mm,1.27mm,1.27mm,1.27mm">
                  <w:txbxContent>
                    <w:p w14:paraId="3CFCE962" w14:textId="77777777" w:rsidR="00D17A43" w:rsidRPr="00A54D05" w:rsidRDefault="00D17A43" w:rsidP="00AF0E0B">
                      <w:pPr>
                        <w:pStyle w:val="Body"/>
                        <w:jc w:val="center"/>
                        <w:rPr>
                          <w:color w:val="FFFFFF" w:themeColor="background1"/>
                        </w:rPr>
                      </w:pPr>
                      <w:r w:rsidRPr="00A54D05">
                        <w:rPr>
                          <w:rFonts w:ascii="Arial" w:hAnsi="Arial"/>
                          <w:color w:val="FFFFFF" w:themeColor="background1"/>
                          <w:lang w:val="en-US"/>
                        </w:rPr>
                        <w:t>Not suitable</w:t>
                      </w:r>
                    </w:p>
                  </w:txbxContent>
                </v:textbox>
                <w10:wrap anchory="line"/>
              </v:rect>
            </w:pict>
          </mc:Fallback>
        </mc:AlternateContent>
      </w:r>
      <w:r w:rsidRPr="00AF0E0B">
        <w:rPr>
          <w:rFonts w:eastAsia="Arial" w:cs="Arial"/>
          <w:noProof/>
          <w:color w:val="000000"/>
          <w:u w:color="000000"/>
          <w:bdr w:val="nil"/>
          <w:lang w:eastAsia="en-GB"/>
        </w:rPr>
        <mc:AlternateContent>
          <mc:Choice Requires="wps">
            <w:drawing>
              <wp:anchor distT="0" distB="0" distL="0" distR="0" simplePos="0" relativeHeight="251669504" behindDoc="0" locked="0" layoutInCell="1" allowOverlap="1" wp14:anchorId="1E4A19C9" wp14:editId="1BCBF13D">
                <wp:simplePos x="0" y="0"/>
                <wp:positionH relativeFrom="column">
                  <wp:posOffset>866140</wp:posOffset>
                </wp:positionH>
                <wp:positionV relativeFrom="line">
                  <wp:posOffset>49696</wp:posOffset>
                </wp:positionV>
                <wp:extent cx="2615979" cy="477077"/>
                <wp:effectExtent l="0" t="0" r="0" b="0"/>
                <wp:wrapNone/>
                <wp:docPr id="19" name="officeArt object" descr="Rectangle 3"/>
                <wp:cNvGraphicFramePr/>
                <a:graphic xmlns:a="http://schemas.openxmlformats.org/drawingml/2006/main">
                  <a:graphicData uri="http://schemas.microsoft.com/office/word/2010/wordprocessingShape">
                    <wps:wsp>
                      <wps:cNvSpPr/>
                      <wps:spPr>
                        <a:xfrm>
                          <a:off x="0" y="0"/>
                          <a:ext cx="2615979" cy="477077"/>
                        </a:xfrm>
                        <a:prstGeom prst="rect">
                          <a:avLst/>
                        </a:prstGeom>
                        <a:solidFill>
                          <a:srgbClr val="4472C4"/>
                        </a:solidFill>
                        <a:ln w="12700" cap="flat">
                          <a:solidFill>
                            <a:srgbClr val="32538F"/>
                          </a:solidFill>
                          <a:prstDash val="solid"/>
                          <a:miter lim="800000"/>
                        </a:ln>
                        <a:effectLst/>
                      </wps:spPr>
                      <wps:txbx>
                        <w:txbxContent>
                          <w:p w14:paraId="4D922B98" w14:textId="77777777" w:rsidR="00D17A43" w:rsidRPr="00A54D05" w:rsidRDefault="00D17A43" w:rsidP="00AF0E0B">
                            <w:pPr>
                              <w:pStyle w:val="Body"/>
                              <w:jc w:val="center"/>
                              <w:rPr>
                                <w:color w:val="FFFFFF" w:themeColor="background1"/>
                              </w:rPr>
                            </w:pPr>
                            <w:r w:rsidRPr="00A54D05">
                              <w:rPr>
                                <w:rFonts w:ascii="Arial" w:hAnsi="Arial"/>
                                <w:color w:val="FFFFFF" w:themeColor="background1"/>
                                <w:lang w:val="en-US"/>
                              </w:rPr>
                              <w:t>Screening Visit</w:t>
                            </w:r>
                          </w:p>
                        </w:txbxContent>
                      </wps:txbx>
                      <wps:bodyPr wrap="square" lIns="45719" tIns="45719" rIns="45719" bIns="45719" numCol="1" anchor="ctr">
                        <a:noAutofit/>
                      </wps:bodyPr>
                    </wps:wsp>
                  </a:graphicData>
                </a:graphic>
              </wp:anchor>
            </w:drawing>
          </mc:Choice>
          <mc:Fallback>
            <w:pict>
              <v:rect w14:anchorId="1E4A19C9" id="_x0000_s1028" alt="Rectangle 3" style="position:absolute;margin-left:68.2pt;margin-top:3.9pt;width:206pt;height:37.55pt;z-index:251669504;visibility:visible;mso-wrap-style:square;mso-wrap-distance-left:0;mso-wrap-distance-top:0;mso-wrap-distance-right:0;mso-wrap-distance-bottom:0;mso-position-horizontal:absolute;mso-position-horizontal-relative:text;mso-position-vertical:absolute;mso-position-vertical-relative:lin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" fillcolor="#4472c4" strokecolor="#32538f" strokeweight="1pt">
                <v:textbox inset="1.27mm,1.27mm,1.27mm,1.27mm">
                  <w:txbxContent>
                    <w:p w14:paraId="4D922B98" w14:textId="77777777" w:rsidR="00D17A43" w:rsidRPr="00A54D05" w:rsidRDefault="00D17A43" w:rsidP="00AF0E0B">
                      <w:pPr>
                        <w:pStyle w:val="Body"/>
                        <w:jc w:val="center"/>
                        <w:rPr>
                          <w:color w:val="FFFFFF" w:themeColor="background1"/>
                        </w:rPr>
                      </w:pPr>
                      <w:r w:rsidRPr="00A54D05">
                        <w:rPr>
                          <w:rFonts w:ascii="Arial" w:hAnsi="Arial"/>
                          <w:color w:val="FFFFFF" w:themeColor="background1"/>
                          <w:lang w:val="en-US"/>
                        </w:rPr>
                        <w:t>Screening Visit</w:t>
                      </w:r>
                    </w:p>
                  </w:txbxContent>
                </v:textbox>
                <w10:wrap anchory="line"/>
              </v:rect>
            </w:pict>
          </mc:Fallback>
        </mc:AlternateContent>
      </w:r>
    </w:p>
    <w:p w14:paraId="72CBDF6B" w14:textId="77777777" w:rsidR="00AF0E0B" w:rsidRPr="00AF0E0B" w:rsidRDefault="00AF0E0B" w:rsidP="00AF0E0B">
      <w:pPr>
        <w:pBdr>
          <w:top w:val="single" w:sz="4" w:space="0" w:color="000000"/>
          <w:left w:val="single" w:sz="4" w:space="0" w:color="000000"/>
          <w:bottom w:val="single" w:sz="4" w:space="0" w:color="000000"/>
          <w:right w:val="single" w:sz="4" w:space="0" w:color="000000"/>
          <w:between w:val="nil"/>
          <w:bar w:val="nil"/>
        </w:pBdr>
        <w:tabs>
          <w:tab w:val="left" w:pos="1690"/>
        </w:tabs>
        <w:rPr>
          <w:rFonts w:eastAsia="Arial" w:cs="Arial"/>
          <w:color w:val="000000"/>
          <w:u w:color="000000"/>
          <w:bdr w:val="nil"/>
          <w:lang w:eastAsia="en-GB"/>
        </w:rPr>
      </w:pPr>
      <w:r w:rsidRPr="00AF0E0B">
        <w:rPr>
          <w:rFonts w:eastAsia="Arial" w:cs="Arial"/>
          <w:noProof/>
          <w:color w:val="000000"/>
          <w:u w:color="000000"/>
          <w:bdr w:val="nil"/>
          <w:lang w:eastAsia="en-GB"/>
        </w:rPr>
        <mc:AlternateContent>
          <mc:Choice Requires="wps">
            <w:drawing>
              <wp:anchor distT="0" distB="0" distL="0" distR="0" simplePos="0" relativeHeight="251674624" behindDoc="0" locked="0" layoutInCell="1" allowOverlap="1" wp14:anchorId="79F273FE" wp14:editId="6558D85F">
                <wp:simplePos x="0" y="0"/>
                <wp:positionH relativeFrom="column">
                  <wp:posOffset>922655</wp:posOffset>
                </wp:positionH>
                <wp:positionV relativeFrom="line">
                  <wp:posOffset>1030798</wp:posOffset>
                </wp:positionV>
                <wp:extent cx="2615979" cy="477077"/>
                <wp:effectExtent l="0" t="0" r="0" b="0"/>
                <wp:wrapNone/>
                <wp:docPr id="20" name="officeArt object" descr="Rectangle 8"/>
                <wp:cNvGraphicFramePr/>
                <a:graphic xmlns:a="http://schemas.openxmlformats.org/drawingml/2006/main">
                  <a:graphicData uri="http://schemas.microsoft.com/office/word/2010/wordprocessingShape">
                    <wps:wsp>
                      <wps:cNvSpPr/>
                      <wps:spPr>
                        <a:xfrm>
                          <a:off x="0" y="0"/>
                          <a:ext cx="2615979" cy="477077"/>
                        </a:xfrm>
                        <a:prstGeom prst="rect">
                          <a:avLst/>
                        </a:prstGeom>
                        <a:solidFill>
                          <a:srgbClr val="4472C4"/>
                        </a:solidFill>
                        <a:ln w="12700" cap="flat">
                          <a:solidFill>
                            <a:srgbClr val="32538F"/>
                          </a:solidFill>
                          <a:prstDash val="solid"/>
                          <a:miter lim="800000"/>
                        </a:ln>
                        <a:effectLst/>
                        <a:extLst>
                          <a:ext uri="{C572A759-6A51-4108-AA02-DFA0A04FC94B}">
                            <ma14:wrappingTextBoxFlag xmlns="" xmlns:w="http://schemas.openxmlformats.org/wordprocessingml/2006/main" xmlns:w10="urn:schemas-microsoft-com:office:word" xmlns:v="urn:schemas-microsoft-com:vml" xmlns:o="urn:schemas-microsoft-com:office:office" xmlns:ma14="http://schemas.microsoft.com/office/mac/drawingml/2011/main" val="1"/>
                          </a:ext>
                        </a:extLst>
                      </wps:spPr>
                      <wps:txbx>
                        <w:txbxContent>
                          <w:p w14:paraId="7B9F3BA2" w14:textId="77777777" w:rsidR="00D17A43" w:rsidRPr="00A54D05" w:rsidRDefault="00D17A43" w:rsidP="00AF0E0B">
                            <w:pPr>
                              <w:pStyle w:val="Body"/>
                              <w:jc w:val="center"/>
                              <w:rPr>
                                <w:color w:val="FFFFFF" w:themeColor="background1"/>
                              </w:rPr>
                            </w:pPr>
                            <w:r w:rsidRPr="00A54D05">
                              <w:rPr>
                                <w:rFonts w:ascii="Arial" w:hAnsi="Arial"/>
                                <w:color w:val="FFFFFF" w:themeColor="background1"/>
                                <w:lang w:val="en-US"/>
                              </w:rPr>
                              <w:t>Characterisation</w:t>
                            </w:r>
                          </w:p>
                        </w:txbxContent>
                      </wps:txbx>
                      <wps:bodyPr wrap="square" lIns="45719" tIns="45719" rIns="45719" bIns="45719" numCol="1" anchor="ctr">
                        <a:noAutofit/>
                      </wps:bodyPr>
                    </wps:wsp>
                  </a:graphicData>
                </a:graphic>
              </wp:anchor>
            </w:drawing>
          </mc:Choice>
          <mc:Fallback>
            <w:pict>
              <v:rect w14:anchorId="79F273FE" id="_x0000_s1029" alt="Rectangle 8" style="position:absolute;margin-left:72.65pt;margin-top:81.15pt;width:206pt;height:37.55pt;z-index:251674624;visibility:visible;mso-wrap-style:square;mso-wrap-distance-left:0;mso-wrap-distance-top:0;mso-wrap-distance-right:0;mso-wrap-distance-bottom:0;mso-position-horizontal:absolute;mso-position-horizontal-relative:text;mso-position-vertical:absolute;mso-position-vertical-relative:lin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" fillcolor="#4472c4" strokecolor="#32538f" strokeweight="1pt">
                <v:textbox inset="1.27mm,1.27mm,1.27mm,1.27mm">
                  <w:txbxContent>
                    <w:p w14:paraId="7B9F3BA2" w14:textId="77777777" w:rsidR="00D17A43" w:rsidRPr="00A54D05" w:rsidRDefault="00D17A43" w:rsidP="00AF0E0B">
                      <w:pPr>
                        <w:pStyle w:val="Body"/>
                        <w:jc w:val="center"/>
                        <w:rPr>
                          <w:color w:val="FFFFFF" w:themeColor="background1"/>
                        </w:rPr>
                      </w:pPr>
                      <w:r w:rsidRPr="00A54D05">
                        <w:rPr>
                          <w:rFonts w:ascii="Arial" w:hAnsi="Arial"/>
                          <w:color w:val="FFFFFF" w:themeColor="background1"/>
                          <w:lang w:val="en-US"/>
                        </w:rPr>
                        <w:t>Characterisation</w:t>
                      </w:r>
                    </w:p>
                  </w:txbxContent>
                </v:textbox>
                <w10:wrap anchory="line"/>
              </v:rect>
            </w:pict>
          </mc:Fallback>
        </mc:AlternateContent>
      </w:r>
      <w:r w:rsidRPr="00AF0E0B">
        <w:rPr>
          <w:rFonts w:eastAsia="Arial" w:cs="Arial"/>
          <w:noProof/>
          <w:color w:val="000000"/>
          <w:u w:color="000000"/>
          <w:bdr w:val="nil"/>
          <w:lang w:eastAsia="en-GB"/>
        </w:rPr>
        <mc:AlternateContent>
          <mc:Choice Requires="wps">
            <w:drawing>
              <wp:anchor distT="0" distB="0" distL="0" distR="0" simplePos="0" relativeHeight="251675648" behindDoc="0" locked="0" layoutInCell="1" allowOverlap="1" wp14:anchorId="1C71B385" wp14:editId="5100A439">
                <wp:simplePos x="0" y="0"/>
                <wp:positionH relativeFrom="column">
                  <wp:posOffset>2154555</wp:posOffset>
                </wp:positionH>
                <wp:positionV relativeFrom="line">
                  <wp:posOffset>417112</wp:posOffset>
                </wp:positionV>
                <wp:extent cx="357506" cy="556261"/>
                <wp:effectExtent l="0" t="0" r="0" b="0"/>
                <wp:wrapNone/>
                <wp:docPr id="21" name="officeArt object" descr="Down Arrow 9"/>
                <wp:cNvGraphicFramePr/>
                <a:graphic xmlns:a="http://schemas.openxmlformats.org/drawingml/2006/main">
                  <a:graphicData uri="http://schemas.microsoft.com/office/word/2010/wordprocessingShape">
                    <wps:wsp>
                      <wps:cNvSpPr/>
                      <wps:spPr>
                        <a:xfrm>
                          <a:off x="0" y="0"/>
                          <a:ext cx="357506" cy="556261"/>
                        </a:xfrm>
                        <a:custGeom>
                          <a:avLst/>
                          <a:gdLst/>
                          <a:ahLst/>
                          <a:cxnLst>
                            <a:cxn ang="0">
                              <a:pos x="wd2" y="hd2"/>
                            </a:cxn>
                            <a:cxn ang="5400000">
                              <a:pos x="wd2" y="hd2"/>
                            </a:cxn>
                            <a:cxn ang="10800000">
                              <a:pos x="wd2" y="hd2"/>
                            </a:cxn>
                            <a:cxn ang="16200000">
                              <a:pos x="wd2" y="hd2"/>
                            </a:cxn>
                          </a:cxnLst>
                          <a:rect l="0" t="0" r="r" b="b"/>
                          <a:pathLst>
                            <a:path w="21600" h="21600" extrusionOk="0">
                              <a:moveTo>
                                <a:pt x="0" y="14659"/>
                              </a:moveTo>
                              <a:lnTo>
                                <a:pt x="5400" y="14659"/>
                              </a:lnTo>
                              <a:lnTo>
                                <a:pt x="5400" y="0"/>
                              </a:lnTo>
                              <a:lnTo>
                                <a:pt x="16200" y="0"/>
                              </a:lnTo>
                              <a:lnTo>
                                <a:pt x="16200" y="14659"/>
                              </a:lnTo>
                              <a:lnTo>
                                <a:pt x="21600" y="14659"/>
                              </a:lnTo>
                              <a:lnTo>
                                <a:pt x="10800" y="21600"/>
                              </a:lnTo>
                              <a:close/>
                            </a:path>
                          </a:pathLst>
                        </a:custGeom>
                        <a:solidFill>
                          <a:srgbClr val="4472C4"/>
                        </a:solidFill>
                        <a:ln w="12700" cap="flat">
                          <a:solidFill>
                            <a:srgbClr val="32538F"/>
                          </a:solidFill>
                          <a:prstDash val="solid"/>
                          <a:miter lim="800000"/>
                        </a:ln>
                        <a:effectLst/>
                      </wps:spPr>
                      <wps:bodyPr/>
                    </wps:wsp>
                  </a:graphicData>
                </a:graphic>
              </wp:anchor>
            </w:drawing>
          </mc:Choice>
          <mc:Fallback>
            <w:pict>
              <v:shape w14:anchorId="280E8C51" id="officeArt object" o:spid="_x0000_s1026" alt="Down Arrow 9" style="position:absolute;margin-left:169.65pt;margin-top:32.85pt;width:28.15pt;height:43.8pt;z-index:251675648;visibility:visible;mso-wrap-style:square;mso-wrap-distance-left:0;mso-wrap-distance-top:0;mso-wrap-distance-right:0;mso-wrap-distance-bottom:0;mso-position-horizontal:absolute;mso-position-horizontal-relative:text;mso-position-vertical:absolute;mso-position-vertical-relative:line;v-text-anchor:top" coordsize="21600,216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" path="m,14659r5400,l5400,,16200,r,14659l21600,14659,10800,21600,,14659xe" fillcolor="#4472c4" strokecolor="#32538f" strokeweight="1pt">
                <v:stroke joinstyle="miter"/>
                <v:path arrowok="t" o:extrusionok="f" o:connecttype="custom" o:connectlocs="178753,278131;178753,278131;178753,278131;178753,278131" o:connectangles="0,90,180,270"/>
                <w10:wrap anchory="line"/>
              </v:shape>
            </w:pict>
          </mc:Fallback>
        </mc:AlternateContent>
      </w:r>
      <w:r w:rsidRPr="00AF0E0B">
        <w:rPr>
          <w:rFonts w:eastAsia="Arial" w:cs="Arial"/>
          <w:color w:val="000000"/>
          <w:u w:color="000000"/>
          <w:bdr w:val="nil"/>
          <w:lang w:eastAsia="en-GB"/>
        </w:rPr>
        <w:tab/>
      </w:r>
    </w:p>
    <w:p w14:paraId="1246FBF8" w14:textId="77777777" w:rsidR="00AF0E0B" w:rsidRPr="00AF0E0B" w:rsidRDefault="00AF0E0B" w:rsidP="00AF0E0B">
      <w:pPr>
        <w:pBdr>
          <w:top w:val="single" w:sz="4" w:space="0" w:color="000000"/>
          <w:left w:val="single" w:sz="4" w:space="0" w:color="000000"/>
          <w:bottom w:val="single" w:sz="4" w:space="0" w:color="000000"/>
          <w:right w:val="single" w:sz="4" w:space="0" w:color="000000"/>
          <w:between w:val="nil"/>
          <w:bar w:val="nil"/>
        </w:pBdr>
        <w:spacing w:line="360" w:lineRule="auto"/>
        <w:rPr>
          <w:rFonts w:eastAsia="Arial" w:cs="Arial"/>
          <w:color w:val="000000"/>
          <w:u w:color="000000"/>
          <w:bdr w:val="nil"/>
          <w:lang w:eastAsia="en-GB"/>
        </w:rPr>
      </w:pPr>
    </w:p>
    <w:p w14:paraId="483D0261" w14:textId="77777777" w:rsidR="00AF0E0B" w:rsidRPr="00AF0E0B" w:rsidRDefault="00AF0E0B" w:rsidP="00AF0E0B">
      <w:pPr>
        <w:pBdr>
          <w:top w:val="single" w:sz="4" w:space="0" w:color="000000"/>
          <w:left w:val="single" w:sz="4" w:space="0" w:color="000000"/>
          <w:bottom w:val="single" w:sz="4" w:space="0" w:color="000000"/>
          <w:right w:val="single" w:sz="4" w:space="0" w:color="000000"/>
          <w:between w:val="nil"/>
          <w:bar w:val="nil"/>
        </w:pBdr>
        <w:spacing w:line="360" w:lineRule="auto"/>
        <w:rPr>
          <w:rFonts w:eastAsia="Arial" w:cs="Arial"/>
          <w:color w:val="000000"/>
          <w:u w:color="000000"/>
          <w:bdr w:val="nil"/>
          <w:lang w:eastAsia="en-GB"/>
        </w:rPr>
      </w:pPr>
      <w:r w:rsidRPr="00AF0E0B">
        <w:rPr>
          <w:rFonts w:eastAsia="Arial" w:cs="Arial"/>
          <w:noProof/>
          <w:color w:val="000000"/>
          <w:u w:color="000000"/>
          <w:bdr w:val="nil"/>
          <w:lang w:eastAsia="en-GB"/>
        </w:rPr>
        <mc:AlternateContent>
          <mc:Choice Requires="wps">
            <w:drawing>
              <wp:anchor distT="0" distB="0" distL="0" distR="0" simplePos="0" relativeHeight="251666431" behindDoc="0" locked="0" layoutInCell="1" allowOverlap="1" wp14:anchorId="20A8ED4F" wp14:editId="0D516481">
                <wp:simplePos x="0" y="0"/>
                <wp:positionH relativeFrom="column">
                  <wp:posOffset>-109855</wp:posOffset>
                </wp:positionH>
                <wp:positionV relativeFrom="line">
                  <wp:posOffset>43814</wp:posOffset>
                </wp:positionV>
                <wp:extent cx="5975350" cy="1532891"/>
                <wp:effectExtent l="0" t="0" r="0" b="0"/>
                <wp:wrapNone/>
                <wp:docPr id="22" name="officeArt object" descr="Rectangle 2064"/>
                <wp:cNvGraphicFramePr/>
                <a:graphic xmlns:a="http://schemas.openxmlformats.org/drawingml/2006/main">
                  <a:graphicData uri="http://schemas.microsoft.com/office/word/2010/wordprocessingShape">
                    <wps:wsp>
                      <wps:cNvSpPr/>
                      <wps:spPr>
                        <a:xfrm>
                          <a:off x="0" y="0"/>
                          <a:ext cx="5975350" cy="1532891"/>
                        </a:xfrm>
                        <a:prstGeom prst="rect">
                          <a:avLst/>
                        </a:prstGeom>
                        <a:noFill/>
                        <a:ln w="28575" cap="flat">
                          <a:solidFill>
                            <a:srgbClr val="FF0000"/>
                          </a:solidFill>
                          <a:prstDash val="solid"/>
                          <a:miter lim="800000"/>
                        </a:ln>
                        <a:effectLst/>
                      </wps:spPr>
                      <wps:bodyPr/>
                    </wps:wsp>
                  </a:graphicData>
                </a:graphic>
              </wp:anchor>
            </w:drawing>
          </mc:Choice>
          <mc:Fallback>
            <w:pict>
              <v:rect w14:anchorId="004805D8" id="officeArt object" o:spid="_x0000_s1026" alt="Rectangle 2064" style="position:absolute;margin-left:-8.65pt;margin-top:3.45pt;width:470.5pt;height:120.7pt;z-index:251666431;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" filled="f" strokecolor="red" strokeweight="2.25pt">
                <w10:wrap anchory="line"/>
              </v:rect>
            </w:pict>
          </mc:Fallback>
        </mc:AlternateContent>
      </w:r>
      <w:r w:rsidRPr="00AF0E0B">
        <w:rPr>
          <w:rFonts w:eastAsia="Arial" w:cs="Arial"/>
          <w:noProof/>
          <w:color w:val="000000"/>
          <w:u w:color="000000"/>
          <w:bdr w:val="nil"/>
          <w:lang w:eastAsia="en-GB"/>
        </w:rPr>
        <mc:AlternateContent>
          <mc:Choice Requires="wps">
            <w:drawing>
              <wp:anchor distT="0" distB="0" distL="0" distR="0" simplePos="0" relativeHeight="251681792" behindDoc="0" locked="0" layoutInCell="1" allowOverlap="1" wp14:anchorId="49310332" wp14:editId="785477EB">
                <wp:simplePos x="0" y="0"/>
                <wp:positionH relativeFrom="column">
                  <wp:posOffset>3795345</wp:posOffset>
                </wp:positionH>
                <wp:positionV relativeFrom="line">
                  <wp:posOffset>144193</wp:posOffset>
                </wp:positionV>
                <wp:extent cx="1939096" cy="1384936"/>
                <wp:effectExtent l="0" t="0" r="0" b="0"/>
                <wp:wrapNone/>
                <wp:docPr id="23" name="officeArt object" descr="Text Box 2081"/>
                <wp:cNvGraphicFramePr/>
                <a:graphic xmlns:a="http://schemas.openxmlformats.org/drawingml/2006/main">
                  <a:graphicData uri="http://schemas.microsoft.com/office/word/2010/wordprocessingShape">
                    <wps:wsp>
                      <wps:cNvSpPr txBox="1"/>
                      <wps:spPr>
                        <a:xfrm>
                          <a:off x="0" y="0"/>
                          <a:ext cx="1939096" cy="1384936"/>
                        </a:xfrm>
                        <a:prstGeom prst="rect">
                          <a:avLst/>
                        </a:prstGeom>
                        <a:solidFill>
                          <a:srgbClr val="4472C4"/>
                        </a:solidFill>
                        <a:ln w="12700" cap="flat">
                          <a:solidFill>
                            <a:srgbClr val="32538F"/>
                          </a:solidFill>
                          <a:prstDash val="solid"/>
                          <a:miter lim="800000"/>
                        </a:ln>
                        <a:effectLst/>
                        <a:extLst>
                          <a:ext uri="{C572A759-6A51-4108-AA02-DFA0A04FC94B}">
                            <ma14:wrappingTextBoxFlag xmlns="" xmlns:w="http://schemas.openxmlformats.org/wordprocessingml/2006/main" xmlns:w10="urn:schemas-microsoft-com:office:word" xmlns:v="urn:schemas-microsoft-com:vml" xmlns:o="urn:schemas-microsoft-com:office:office" xmlns:ma14="http://schemas.microsoft.com/office/mac/drawingml/2011/main" val="1"/>
                          </a:ext>
                        </a:extLst>
                      </wps:spPr>
                      <wps:txbx>
                        <w:txbxContent>
                          <w:p w14:paraId="26BFB8C1" w14:textId="77777777" w:rsidR="00D17A43" w:rsidRPr="00A54D05" w:rsidRDefault="00D17A43" w:rsidP="00AF0E0B">
                            <w:pPr>
                              <w:pStyle w:val="Body"/>
                              <w:rPr>
                                <w:color w:val="FFFFFF" w:themeColor="background1"/>
                              </w:rPr>
                            </w:pPr>
                            <w:r w:rsidRPr="00A54D05">
                              <w:rPr>
                                <w:rFonts w:ascii="Arial" w:hAnsi="Arial"/>
                                <w:color w:val="FFFFFF" w:themeColor="background1"/>
                                <w:sz w:val="22"/>
                                <w:szCs w:val="22"/>
                                <w:lang w:val="en-US"/>
                              </w:rPr>
                              <w:t>Characterisation of participants- Diabetes control, Nerve conduction studies, QST-DFNS, NISLL+7, Questionnaires mood, illness behaviour, personality.  Blood test for methylglyoxal</w:t>
                            </w:r>
                          </w:p>
                        </w:txbxContent>
                      </wps:txbx>
                      <wps:bodyPr wrap="square" lIns="45719" tIns="45719" rIns="45719" bIns="45719" numCol="1" anchor="t">
                        <a:noAutofit/>
                      </wps:bodyPr>
                    </wps:wsp>
                  </a:graphicData>
                </a:graphic>
              </wp:anchor>
            </w:drawing>
          </mc:Choice>
          <mc:Fallback>
            <w:pict>
              <v:shapetype w14:anchorId="49310332" id="_x0000_t202" coordsize="21600,21600" o:spt="202" path="m,l,21600r21600,l21600,xe">
                <v:stroke joinstyle="miter"/>
                <v:path gradientshapeok="t" o:connecttype="rect"/>
              </v:shapetype>
              <v:shape id="_x0000_s1030" type="#_x0000_t202" alt="Text Box 2081" style="position:absolute;margin-left:298.85pt;margin-top:11.35pt;width:152.7pt;height:109.05pt;z-index:251681792;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" fillcolor="#4472c4" strokecolor="#32538f" strokeweight="1pt">
                <v:textbox inset="1.27mm,1.27mm,1.27mm,1.27mm">
                  <w:txbxContent>
                    <w:p w14:paraId="26BFB8C1" w14:textId="77777777" w:rsidR="00D17A43" w:rsidRPr="00A54D05" w:rsidRDefault="00D17A43" w:rsidP="00AF0E0B">
                      <w:pPr>
                        <w:pStyle w:val="Body"/>
                        <w:rPr>
                          <w:color w:val="FFFFFF" w:themeColor="background1"/>
                        </w:rPr>
                      </w:pPr>
                      <w:r w:rsidRPr="00A54D05">
                        <w:rPr>
                          <w:rFonts w:ascii="Arial" w:hAnsi="Arial"/>
                          <w:color w:val="FFFFFF" w:themeColor="background1"/>
                          <w:sz w:val="22"/>
                          <w:szCs w:val="22"/>
                          <w:lang w:val="en-US"/>
                        </w:rPr>
                        <w:t>Characterisation of participants- Diabetes control, Nerve conduction studies, QST-DFNS, NISLL+7, Questionnaires mood, illness behaviour, personality.  Blood test for methylglyoxal</w:t>
                      </w:r>
                    </w:p>
                  </w:txbxContent>
                </v:textbox>
                <w10:wrap anchory="line"/>
              </v:shape>
            </w:pict>
          </mc:Fallback>
        </mc:AlternateContent>
      </w:r>
      <w:r w:rsidRPr="00AF0E0B">
        <w:rPr>
          <w:rFonts w:eastAsia="Arial" w:cs="Arial"/>
          <w:noProof/>
          <w:color w:val="000000"/>
          <w:u w:color="000000"/>
          <w:bdr w:val="nil"/>
          <w:lang w:eastAsia="en-GB"/>
        </w:rPr>
        <mc:AlternateContent>
          <mc:Choice Requires="wps">
            <w:drawing>
              <wp:anchor distT="0" distB="0" distL="0" distR="0" simplePos="0" relativeHeight="251672576" behindDoc="0" locked="0" layoutInCell="1" allowOverlap="1" wp14:anchorId="5B895BA5" wp14:editId="3F8DAAB9">
                <wp:simplePos x="0" y="0"/>
                <wp:positionH relativeFrom="column">
                  <wp:posOffset>-566419</wp:posOffset>
                </wp:positionH>
                <wp:positionV relativeFrom="line">
                  <wp:posOffset>100965</wp:posOffset>
                </wp:positionV>
                <wp:extent cx="1842136" cy="476885"/>
                <wp:effectExtent l="0" t="0" r="0" b="0"/>
                <wp:wrapNone/>
                <wp:docPr id="24" name="officeArt object" descr="Rectangle 6"/>
                <wp:cNvGraphicFramePr/>
                <a:graphic xmlns:a="http://schemas.openxmlformats.org/drawingml/2006/main">
                  <a:graphicData uri="http://schemas.microsoft.com/office/word/2010/wordprocessingShape">
                    <wps:wsp>
                      <wps:cNvSpPr/>
                      <wps:spPr>
                        <a:xfrm rot="16200000">
                          <a:off x="0" y="0"/>
                          <a:ext cx="1842136" cy="476885"/>
                        </a:xfrm>
                        <a:prstGeom prst="rect">
                          <a:avLst/>
                        </a:prstGeom>
                        <a:solidFill>
                          <a:srgbClr val="4472C4"/>
                        </a:solidFill>
                        <a:ln w="12700" cap="flat">
                          <a:solidFill>
                            <a:srgbClr val="32538F"/>
                          </a:solidFill>
                          <a:prstDash val="solid"/>
                          <a:miter lim="800000"/>
                        </a:ln>
                        <a:effectLst/>
                        <a:extLst>
                          <a:ext uri="{C572A759-6A51-4108-AA02-DFA0A04FC94B}">
                            <ma14:wrappingTextBoxFlag xmlns="" xmlns:w="http://schemas.openxmlformats.org/wordprocessingml/2006/main" xmlns:w10="urn:schemas-microsoft-com:office:word" xmlns:v="urn:schemas-microsoft-com:vml" xmlns:o="urn:schemas-microsoft-com:office:office" xmlns:ma14="http://schemas.microsoft.com/office/mac/drawingml/2011/main" val="1"/>
                          </a:ext>
                        </a:extLst>
                      </wps:spPr>
                      <wps:txbx>
                        <w:txbxContent>
                          <w:p w14:paraId="241F842E" w14:textId="77777777" w:rsidR="00D17A43" w:rsidRPr="00A54D05" w:rsidRDefault="00D17A43" w:rsidP="00AF0E0B">
                            <w:pPr>
                              <w:pStyle w:val="Body"/>
                              <w:jc w:val="center"/>
                              <w:rPr>
                                <w:color w:val="FFFFFF" w:themeColor="background1"/>
                              </w:rPr>
                            </w:pPr>
                            <w:r w:rsidRPr="00A54D05">
                              <w:rPr>
                                <w:rFonts w:ascii="Arial" w:hAnsi="Arial"/>
                                <w:color w:val="FFFFFF" w:themeColor="background1"/>
                                <w:lang w:val="en-US"/>
                              </w:rPr>
                              <w:t>Visit 1</w:t>
                            </w:r>
                          </w:p>
                        </w:txbxContent>
                      </wps:txbx>
                      <wps:bodyPr wrap="square" lIns="45719" tIns="45719" rIns="45719" bIns="45719" numCol="1" anchor="ctr">
                        <a:noAutofit/>
                      </wps:bodyPr>
                    </wps:wsp>
                  </a:graphicData>
                </a:graphic>
              </wp:anchor>
            </w:drawing>
          </mc:Choice>
          <mc:Fallback>
            <w:pict>
              <v:rect w14:anchorId="5B895BA5" id="_x0000_s1031" alt="Rectangle 6" style="position:absolute;margin-left:-44.6pt;margin-top:7.95pt;width:145.05pt;height:37.55pt;rotation:-90;z-index:251672576;visibility:visible;mso-wrap-style:square;mso-wrap-distance-left:0;mso-wrap-distance-top:0;mso-wrap-distance-right:0;mso-wrap-distance-bottom:0;mso-position-horizontal:absolute;mso-position-horizontal-relative:text;mso-position-vertical:absolute;mso-position-vertical-relative:lin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" fillcolor="#4472c4" strokecolor="#32538f" strokeweight="1pt">
                <v:textbox inset="1.27mm,1.27mm,1.27mm,1.27mm">
                  <w:txbxContent>
                    <w:p w14:paraId="241F842E" w14:textId="77777777" w:rsidR="00D17A43" w:rsidRPr="00A54D05" w:rsidRDefault="00D17A43" w:rsidP="00AF0E0B">
                      <w:pPr>
                        <w:pStyle w:val="Body"/>
                        <w:jc w:val="center"/>
                        <w:rPr>
                          <w:color w:val="FFFFFF" w:themeColor="background1"/>
                        </w:rPr>
                      </w:pPr>
                      <w:r w:rsidRPr="00A54D05">
                        <w:rPr>
                          <w:rFonts w:ascii="Arial" w:hAnsi="Arial"/>
                          <w:color w:val="FFFFFF" w:themeColor="background1"/>
                          <w:lang w:val="en-US"/>
                        </w:rPr>
                        <w:t>Visit 1</w:t>
                      </w:r>
                    </w:p>
                  </w:txbxContent>
                </v:textbox>
                <w10:wrap anchory="line"/>
              </v:rect>
            </w:pict>
          </mc:Fallback>
        </mc:AlternateContent>
      </w:r>
    </w:p>
    <w:p w14:paraId="6791204C" w14:textId="77777777" w:rsidR="00AF0E0B" w:rsidRPr="00AF0E0B" w:rsidRDefault="00AF0E0B" w:rsidP="00AF0E0B">
      <w:pPr>
        <w:pBdr>
          <w:top w:val="single" w:sz="4" w:space="0" w:color="000000"/>
          <w:left w:val="single" w:sz="4" w:space="0" w:color="000000"/>
          <w:bottom w:val="single" w:sz="4" w:space="0" w:color="000000"/>
          <w:right w:val="single" w:sz="4" w:space="0" w:color="000000"/>
          <w:between w:val="nil"/>
          <w:bar w:val="nil"/>
        </w:pBdr>
        <w:spacing w:line="360" w:lineRule="auto"/>
        <w:rPr>
          <w:rFonts w:eastAsia="Arial" w:cs="Arial"/>
          <w:color w:val="000000"/>
          <w:u w:color="000000"/>
          <w:bdr w:val="nil"/>
          <w:lang w:eastAsia="en-GB"/>
        </w:rPr>
      </w:pPr>
    </w:p>
    <w:p w14:paraId="4590F460" w14:textId="77777777" w:rsidR="00AF0E0B" w:rsidRPr="00AF0E0B" w:rsidRDefault="00AF0E0B" w:rsidP="00AF0E0B">
      <w:pPr>
        <w:pBdr>
          <w:top w:val="single" w:sz="4" w:space="0" w:color="000000"/>
          <w:left w:val="single" w:sz="4" w:space="0" w:color="000000"/>
          <w:bottom w:val="single" w:sz="4" w:space="0" w:color="000000"/>
          <w:right w:val="single" w:sz="4" w:space="0" w:color="000000"/>
          <w:between w:val="nil"/>
          <w:bar w:val="nil"/>
        </w:pBdr>
        <w:spacing w:line="360" w:lineRule="auto"/>
        <w:rPr>
          <w:rFonts w:eastAsia="Arial" w:cs="Arial"/>
          <w:color w:val="000000"/>
          <w:u w:color="000000"/>
          <w:bdr w:val="nil"/>
          <w:lang w:eastAsia="en-GB"/>
        </w:rPr>
      </w:pPr>
      <w:r w:rsidRPr="00AF0E0B">
        <w:rPr>
          <w:rFonts w:eastAsia="Arial" w:cs="Arial"/>
          <w:noProof/>
          <w:color w:val="000000"/>
          <w:u w:color="000000"/>
          <w:bdr w:val="nil"/>
          <w:lang w:eastAsia="en-GB"/>
        </w:rPr>
        <mc:AlternateContent>
          <mc:Choice Requires="wps">
            <w:drawing>
              <wp:anchor distT="0" distB="0" distL="0" distR="0" simplePos="0" relativeHeight="251706368" behindDoc="0" locked="0" layoutInCell="1" allowOverlap="1" wp14:anchorId="38DB569F" wp14:editId="5196DC51">
                <wp:simplePos x="0" y="0"/>
                <wp:positionH relativeFrom="column">
                  <wp:posOffset>3533025</wp:posOffset>
                </wp:positionH>
                <wp:positionV relativeFrom="line">
                  <wp:posOffset>57727</wp:posOffset>
                </wp:positionV>
                <wp:extent cx="256252" cy="500933"/>
                <wp:effectExtent l="0" t="0" r="0" b="0"/>
                <wp:wrapNone/>
                <wp:docPr id="25" name="officeArt object" descr="Right Arrow 771"/>
                <wp:cNvGraphicFramePr/>
                <a:graphic xmlns:a="http://schemas.openxmlformats.org/drawingml/2006/main">
                  <a:graphicData uri="http://schemas.microsoft.com/office/word/2010/wordprocessingShape">
                    <wps:wsp>
                      <wps:cNvSpPr/>
                      <wps:spPr>
                        <a:xfrm>
                          <a:off x="0" y="0"/>
                          <a:ext cx="256252" cy="500933"/>
                        </a:xfrm>
                        <a:prstGeom prst="rightArrow">
                          <a:avLst>
                            <a:gd name="adj1" fmla="val 50000"/>
                            <a:gd name="adj2" fmla="val 50000"/>
                          </a:avLst>
                        </a:prstGeom>
                        <a:solidFill>
                          <a:srgbClr val="4472C4"/>
                        </a:solidFill>
                        <a:ln w="12700" cap="flat">
                          <a:solidFill>
                            <a:srgbClr val="32538F"/>
                          </a:solidFill>
                          <a:prstDash val="solid"/>
                          <a:miter lim="800000"/>
                        </a:ln>
                        <a:effectLst/>
                      </wps:spPr>
                      <wps:bodyPr/>
                    </wps:wsp>
                  </a:graphicData>
                </a:graphic>
              </wp:anchor>
            </w:drawing>
          </mc:Choice>
          <mc:Fallback>
            <w:pict>
              <v:shape w14:anchorId="28E04BAF" id="officeArt object" o:spid="_x0000_s1026" type="#_x0000_t13" alt="Right Arrow 771" style="position:absolute;margin-left:278.2pt;margin-top:4.55pt;width:20.2pt;height:39.45pt;z-index:251706368;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" adj="10800" fillcolor="#4472c4" strokecolor="#32538f" strokeweight="1pt">
                <w10:wrap anchory="line"/>
              </v:shape>
            </w:pict>
          </mc:Fallback>
        </mc:AlternateContent>
      </w:r>
    </w:p>
    <w:p w14:paraId="64FBEEE0" w14:textId="77777777" w:rsidR="00AF0E0B" w:rsidRPr="00AF0E0B" w:rsidRDefault="00AF0E0B" w:rsidP="00AF0E0B">
      <w:pPr>
        <w:pBdr>
          <w:top w:val="single" w:sz="4" w:space="0" w:color="000000"/>
          <w:left w:val="single" w:sz="4" w:space="0" w:color="000000"/>
          <w:bottom w:val="single" w:sz="4" w:space="0" w:color="000000"/>
          <w:right w:val="single" w:sz="4" w:space="0" w:color="000000"/>
          <w:between w:val="nil"/>
          <w:bar w:val="nil"/>
        </w:pBdr>
        <w:spacing w:line="360" w:lineRule="auto"/>
        <w:rPr>
          <w:rFonts w:eastAsia="Arial" w:cs="Arial"/>
          <w:color w:val="000000"/>
          <w:u w:color="000000"/>
          <w:bdr w:val="nil"/>
          <w:lang w:eastAsia="en-GB"/>
        </w:rPr>
      </w:pPr>
    </w:p>
    <w:p w14:paraId="3007E5B6" w14:textId="77777777" w:rsidR="00AF0E0B" w:rsidRPr="00AF0E0B" w:rsidRDefault="00AF0E0B" w:rsidP="00AF0E0B">
      <w:pPr>
        <w:pBdr>
          <w:top w:val="single" w:sz="4" w:space="0" w:color="000000"/>
          <w:left w:val="single" w:sz="4" w:space="0" w:color="000000"/>
          <w:bottom w:val="single" w:sz="4" w:space="0" w:color="000000"/>
          <w:right w:val="single" w:sz="4" w:space="0" w:color="000000"/>
          <w:between w:val="nil"/>
          <w:bar w:val="nil"/>
        </w:pBdr>
        <w:spacing w:line="360" w:lineRule="auto"/>
        <w:rPr>
          <w:rFonts w:eastAsia="Arial" w:cs="Arial"/>
          <w:color w:val="000000"/>
          <w:u w:color="000000"/>
          <w:bdr w:val="nil"/>
          <w:lang w:eastAsia="en-GB"/>
        </w:rPr>
      </w:pPr>
      <w:r w:rsidRPr="00AF0E0B">
        <w:rPr>
          <w:rFonts w:eastAsia="Arial" w:cs="Arial"/>
          <w:noProof/>
          <w:color w:val="000000"/>
          <w:u w:color="000000"/>
          <w:bdr w:val="nil"/>
          <w:lang w:eastAsia="en-GB"/>
        </w:rPr>
        <mc:AlternateContent>
          <mc:Choice Requires="wps">
            <w:drawing>
              <wp:anchor distT="0" distB="0" distL="0" distR="0" simplePos="0" relativeHeight="251677696" behindDoc="0" locked="0" layoutInCell="1" allowOverlap="1" wp14:anchorId="238EDF00" wp14:editId="3B0DD918">
                <wp:simplePos x="0" y="0"/>
                <wp:positionH relativeFrom="column">
                  <wp:posOffset>2152650</wp:posOffset>
                </wp:positionH>
                <wp:positionV relativeFrom="line">
                  <wp:posOffset>87105</wp:posOffset>
                </wp:positionV>
                <wp:extent cx="357506" cy="556261"/>
                <wp:effectExtent l="0" t="0" r="0" b="0"/>
                <wp:wrapNone/>
                <wp:docPr id="26" name="officeArt object" descr="Down Arrow 17"/>
                <wp:cNvGraphicFramePr/>
                <a:graphic xmlns:a="http://schemas.openxmlformats.org/drawingml/2006/main">
                  <a:graphicData uri="http://schemas.microsoft.com/office/word/2010/wordprocessingShape">
                    <wps:wsp>
                      <wps:cNvSpPr/>
                      <wps:spPr>
                        <a:xfrm>
                          <a:off x="0" y="0"/>
                          <a:ext cx="357506" cy="556261"/>
                        </a:xfrm>
                        <a:custGeom>
                          <a:avLst/>
                          <a:gdLst/>
                          <a:ahLst/>
                          <a:cxnLst>
                            <a:cxn ang="0">
                              <a:pos x="wd2" y="hd2"/>
                            </a:cxn>
                            <a:cxn ang="5400000">
                              <a:pos x="wd2" y="hd2"/>
                            </a:cxn>
                            <a:cxn ang="10800000">
                              <a:pos x="wd2" y="hd2"/>
                            </a:cxn>
                            <a:cxn ang="16200000">
                              <a:pos x="wd2" y="hd2"/>
                            </a:cxn>
                          </a:cxnLst>
                          <a:rect l="0" t="0" r="r" b="b"/>
                          <a:pathLst>
                            <a:path w="21600" h="21600" extrusionOk="0">
                              <a:moveTo>
                                <a:pt x="0" y="14659"/>
                              </a:moveTo>
                              <a:lnTo>
                                <a:pt x="5400" y="14659"/>
                              </a:lnTo>
                              <a:lnTo>
                                <a:pt x="5400" y="0"/>
                              </a:lnTo>
                              <a:lnTo>
                                <a:pt x="16200" y="0"/>
                              </a:lnTo>
                              <a:lnTo>
                                <a:pt x="16200" y="14659"/>
                              </a:lnTo>
                              <a:lnTo>
                                <a:pt x="21600" y="14659"/>
                              </a:lnTo>
                              <a:lnTo>
                                <a:pt x="10800" y="21600"/>
                              </a:lnTo>
                              <a:close/>
                            </a:path>
                          </a:pathLst>
                        </a:custGeom>
                        <a:solidFill>
                          <a:srgbClr val="4472C4"/>
                        </a:solidFill>
                        <a:ln w="12700" cap="flat">
                          <a:solidFill>
                            <a:srgbClr val="32538F"/>
                          </a:solidFill>
                          <a:prstDash val="solid"/>
                          <a:miter lim="800000"/>
                        </a:ln>
                        <a:effectLst/>
                      </wps:spPr>
                      <wps:bodyPr/>
                    </wps:wsp>
                  </a:graphicData>
                </a:graphic>
              </wp:anchor>
            </w:drawing>
          </mc:Choice>
          <mc:Fallback>
            <w:pict>
              <v:shape w14:anchorId="1E6BD8A3" id="officeArt object" o:spid="_x0000_s1026" alt="Down Arrow 17" style="position:absolute;margin-left:169.5pt;margin-top:6.85pt;width:28.15pt;height:43.8pt;z-index:251677696;visibility:visible;mso-wrap-style:square;mso-wrap-distance-left:0;mso-wrap-distance-top:0;mso-wrap-distance-right:0;mso-wrap-distance-bottom:0;mso-position-horizontal:absolute;mso-position-horizontal-relative:text;mso-position-vertical:absolute;mso-position-vertical-relative:line;v-text-anchor:top" coordsize="21600,216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" path="m,14659r5400,l5400,,16200,r,14659l21600,14659,10800,21600,,14659xe" fillcolor="#4472c4" strokecolor="#32538f" strokeweight="1pt">
                <v:stroke joinstyle="miter"/>
                <v:path arrowok="t" o:extrusionok="f" o:connecttype="custom" o:connectlocs="178753,278131;178753,278131;178753,278131;178753,278131" o:connectangles="0,90,180,270"/>
                <w10:wrap anchory="line"/>
              </v:shape>
            </w:pict>
          </mc:Fallback>
        </mc:AlternateContent>
      </w:r>
    </w:p>
    <w:p w14:paraId="3A0444E5" w14:textId="77777777" w:rsidR="00AF0E0B" w:rsidRPr="00AF0E0B" w:rsidRDefault="00AF0E0B" w:rsidP="00AF0E0B">
      <w:pPr>
        <w:pBdr>
          <w:top w:val="single" w:sz="4" w:space="0" w:color="000000"/>
          <w:left w:val="single" w:sz="4" w:space="0" w:color="000000"/>
          <w:bottom w:val="single" w:sz="4" w:space="0" w:color="000000"/>
          <w:right w:val="single" w:sz="4" w:space="0" w:color="000000"/>
          <w:between w:val="nil"/>
          <w:bar w:val="nil"/>
        </w:pBdr>
        <w:spacing w:line="360" w:lineRule="auto"/>
        <w:rPr>
          <w:rFonts w:eastAsia="Arial" w:cs="Arial"/>
          <w:color w:val="000000"/>
          <w:u w:color="000000"/>
          <w:bdr w:val="nil"/>
          <w:lang w:eastAsia="en-GB"/>
        </w:rPr>
      </w:pPr>
    </w:p>
    <w:p w14:paraId="50D3CD7F" w14:textId="77777777" w:rsidR="00AF0E0B" w:rsidRPr="00AF0E0B" w:rsidRDefault="00AF0E0B" w:rsidP="00AF0E0B">
      <w:pPr>
        <w:pBdr>
          <w:top w:val="single" w:sz="4" w:space="0" w:color="000000"/>
          <w:left w:val="single" w:sz="4" w:space="0" w:color="000000"/>
          <w:bottom w:val="single" w:sz="4" w:space="0" w:color="000000"/>
          <w:right w:val="single" w:sz="4" w:space="0" w:color="000000"/>
          <w:between w:val="nil"/>
          <w:bar w:val="nil"/>
        </w:pBdr>
        <w:spacing w:line="360" w:lineRule="auto"/>
        <w:rPr>
          <w:rFonts w:eastAsia="Arial" w:cs="Arial"/>
          <w:color w:val="000000"/>
          <w:u w:color="000000"/>
          <w:bdr w:val="nil"/>
          <w:lang w:eastAsia="en-GB"/>
        </w:rPr>
      </w:pPr>
      <w:r w:rsidRPr="00AF0E0B">
        <w:rPr>
          <w:rFonts w:eastAsia="Arial" w:cs="Arial"/>
          <w:noProof/>
          <w:color w:val="000000"/>
          <w:u w:color="000000"/>
          <w:bdr w:val="nil"/>
          <w:lang w:eastAsia="en-GB"/>
        </w:rPr>
        <mc:AlternateContent>
          <mc:Choice Requires="wps">
            <w:drawing>
              <wp:anchor distT="0" distB="0" distL="0" distR="0" simplePos="0" relativeHeight="251679744" behindDoc="0" locked="0" layoutInCell="1" allowOverlap="1" wp14:anchorId="1D4E3C3F" wp14:editId="5D69FE26">
                <wp:simplePos x="0" y="0"/>
                <wp:positionH relativeFrom="column">
                  <wp:posOffset>70043</wp:posOffset>
                </wp:positionH>
                <wp:positionV relativeFrom="line">
                  <wp:posOffset>217541</wp:posOffset>
                </wp:positionV>
                <wp:extent cx="588604" cy="477079"/>
                <wp:effectExtent l="0" t="0" r="0" b="0"/>
                <wp:wrapNone/>
                <wp:docPr id="27" name="officeArt object" descr="Rectangle 19"/>
                <wp:cNvGraphicFramePr/>
                <a:graphic xmlns:a="http://schemas.openxmlformats.org/drawingml/2006/main">
                  <a:graphicData uri="http://schemas.microsoft.com/office/word/2010/wordprocessingShape">
                    <wps:wsp>
                      <wps:cNvSpPr/>
                      <wps:spPr>
                        <a:xfrm rot="16200000">
                          <a:off x="0" y="0"/>
                          <a:ext cx="588604" cy="477079"/>
                        </a:xfrm>
                        <a:prstGeom prst="rect">
                          <a:avLst/>
                        </a:prstGeom>
                        <a:solidFill>
                          <a:srgbClr val="4472C4"/>
                        </a:solidFill>
                        <a:ln w="12700" cap="flat">
                          <a:solidFill>
                            <a:srgbClr val="32538F"/>
                          </a:solidFill>
                          <a:prstDash val="solid"/>
                          <a:miter lim="800000"/>
                        </a:ln>
                        <a:effectLst/>
                      </wps:spPr>
                      <wps:txbx>
                        <w:txbxContent>
                          <w:p w14:paraId="681E97CC" w14:textId="77777777" w:rsidR="00D17A43" w:rsidRPr="00A54D05" w:rsidRDefault="00D17A43" w:rsidP="00AF0E0B">
                            <w:pPr>
                              <w:pStyle w:val="Body"/>
                              <w:jc w:val="center"/>
                              <w:rPr>
                                <w:color w:val="FFFFFF" w:themeColor="background1"/>
                              </w:rPr>
                            </w:pPr>
                            <w:r w:rsidRPr="00A54D05">
                              <w:rPr>
                                <w:rFonts w:ascii="Arial" w:hAnsi="Arial"/>
                                <w:color w:val="FFFFFF" w:themeColor="background1"/>
                                <w:lang w:val="en-US"/>
                              </w:rPr>
                              <w:t>Visit 2</w:t>
                            </w:r>
                          </w:p>
                        </w:txbxContent>
                      </wps:txbx>
                      <wps:bodyPr wrap="square" lIns="45719" tIns="45719" rIns="45719" bIns="45719" numCol="1" anchor="ctr">
                        <a:noAutofit/>
                      </wps:bodyPr>
                    </wps:wsp>
                  </a:graphicData>
                </a:graphic>
              </wp:anchor>
            </w:drawing>
          </mc:Choice>
          <mc:Fallback>
            <w:pict>
              <v:rect w14:anchorId="1D4E3C3F" id="_x0000_s1032" alt="Rectangle 19" style="position:absolute;margin-left:5.5pt;margin-top:17.15pt;width:46.35pt;height:37.55pt;rotation:-90;z-index:251679744;visibility:visible;mso-wrap-style:square;mso-wrap-distance-left:0;mso-wrap-distance-top:0;mso-wrap-distance-right:0;mso-wrap-distance-bottom:0;mso-position-horizontal:absolute;mso-position-horizontal-relative:text;mso-position-vertical:absolute;mso-position-vertical-relative:lin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" fillcolor="#4472c4" strokecolor="#32538f" strokeweight="1pt">
                <v:textbox inset="1.27mm,1.27mm,1.27mm,1.27mm">
                  <w:txbxContent>
                    <w:p w14:paraId="681E97CC" w14:textId="77777777" w:rsidR="00D17A43" w:rsidRPr="00A54D05" w:rsidRDefault="00D17A43" w:rsidP="00AF0E0B">
                      <w:pPr>
                        <w:pStyle w:val="Body"/>
                        <w:jc w:val="center"/>
                        <w:rPr>
                          <w:color w:val="FFFFFF" w:themeColor="background1"/>
                        </w:rPr>
                      </w:pPr>
                      <w:r w:rsidRPr="00A54D05">
                        <w:rPr>
                          <w:rFonts w:ascii="Arial" w:hAnsi="Arial"/>
                          <w:color w:val="FFFFFF" w:themeColor="background1"/>
                          <w:lang w:val="en-US"/>
                        </w:rPr>
                        <w:t>Visit 2</w:t>
                      </w:r>
                    </w:p>
                  </w:txbxContent>
                </v:textbox>
                <w10:wrap anchory="line"/>
              </v:rect>
            </w:pict>
          </mc:Fallback>
        </mc:AlternateContent>
      </w:r>
      <w:r w:rsidRPr="00AF0E0B">
        <w:rPr>
          <w:rFonts w:eastAsia="Arial" w:cs="Arial"/>
          <w:noProof/>
          <w:color w:val="000000"/>
          <w:u w:color="000000"/>
          <w:bdr w:val="nil"/>
          <w:lang w:eastAsia="en-GB"/>
        </w:rPr>
        <mc:AlternateContent>
          <mc:Choice Requires="wps">
            <w:drawing>
              <wp:anchor distT="0" distB="0" distL="0" distR="0" simplePos="0" relativeHeight="251671552" behindDoc="0" locked="0" layoutInCell="1" allowOverlap="1" wp14:anchorId="4647D9A9" wp14:editId="4D760AC6">
                <wp:simplePos x="0" y="0"/>
                <wp:positionH relativeFrom="column">
                  <wp:posOffset>922434</wp:posOffset>
                </wp:positionH>
                <wp:positionV relativeFrom="line">
                  <wp:posOffset>188319</wp:posOffset>
                </wp:positionV>
                <wp:extent cx="2615979" cy="477077"/>
                <wp:effectExtent l="0" t="0" r="0" b="0"/>
                <wp:wrapNone/>
                <wp:docPr id="28" name="officeArt object" descr="Rectangle 5"/>
                <wp:cNvGraphicFramePr/>
                <a:graphic xmlns:a="http://schemas.openxmlformats.org/drawingml/2006/main">
                  <a:graphicData uri="http://schemas.microsoft.com/office/word/2010/wordprocessingShape">
                    <wps:wsp>
                      <wps:cNvSpPr/>
                      <wps:spPr>
                        <a:xfrm>
                          <a:off x="0" y="0"/>
                          <a:ext cx="2615979" cy="477077"/>
                        </a:xfrm>
                        <a:prstGeom prst="rect">
                          <a:avLst/>
                        </a:prstGeom>
                        <a:solidFill>
                          <a:srgbClr val="4472C4"/>
                        </a:solidFill>
                        <a:ln w="12700" cap="flat">
                          <a:solidFill>
                            <a:srgbClr val="32538F"/>
                          </a:solidFill>
                          <a:prstDash val="solid"/>
                          <a:miter lim="800000"/>
                        </a:ln>
                        <a:effectLst/>
                      </wps:spPr>
                      <wps:txbx>
                        <w:txbxContent>
                          <w:p w14:paraId="78B26B10" w14:textId="77777777" w:rsidR="00D17A43" w:rsidRPr="00A54D05" w:rsidRDefault="00D17A43" w:rsidP="00AF0E0B">
                            <w:pPr>
                              <w:pStyle w:val="Body"/>
                              <w:jc w:val="center"/>
                              <w:rPr>
                                <w:color w:val="FFFFFF" w:themeColor="background1"/>
                              </w:rPr>
                            </w:pPr>
                            <w:r w:rsidRPr="00A54D05">
                              <w:rPr>
                                <w:rFonts w:ascii="Arial" w:hAnsi="Arial"/>
                                <w:color w:val="FFFFFF" w:themeColor="background1"/>
                              </w:rPr>
                              <w:t>DSC-MRI visit- baseline</w:t>
                            </w:r>
                          </w:p>
                        </w:txbxContent>
                      </wps:txbx>
                      <wps:bodyPr wrap="square" lIns="45719" tIns="45719" rIns="45719" bIns="45719" numCol="1" anchor="ctr">
                        <a:noAutofit/>
                      </wps:bodyPr>
                    </wps:wsp>
                  </a:graphicData>
                </a:graphic>
              </wp:anchor>
            </w:drawing>
          </mc:Choice>
          <mc:Fallback>
            <w:pict>
              <v:rect w14:anchorId="4647D9A9" id="_x0000_s1033" alt="Rectangle 5" style="position:absolute;margin-left:72.65pt;margin-top:14.85pt;width:206pt;height:37.55pt;z-index:251671552;visibility:visible;mso-wrap-style:square;mso-wrap-distance-left:0;mso-wrap-distance-top:0;mso-wrap-distance-right:0;mso-wrap-distance-bottom:0;mso-position-horizontal:absolute;mso-position-horizontal-relative:text;mso-position-vertical:absolute;mso-position-vertical-relative:lin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" fillcolor="#4472c4" strokecolor="#32538f" strokeweight="1pt">
                <v:textbox inset="1.27mm,1.27mm,1.27mm,1.27mm">
                  <w:txbxContent>
                    <w:p w14:paraId="78B26B10" w14:textId="77777777" w:rsidR="00D17A43" w:rsidRPr="00A54D05" w:rsidRDefault="00D17A43" w:rsidP="00AF0E0B">
                      <w:pPr>
                        <w:pStyle w:val="Body"/>
                        <w:jc w:val="center"/>
                        <w:rPr>
                          <w:color w:val="FFFFFF" w:themeColor="background1"/>
                        </w:rPr>
                      </w:pPr>
                      <w:r w:rsidRPr="00A54D05">
                        <w:rPr>
                          <w:rFonts w:ascii="Arial" w:hAnsi="Arial"/>
                          <w:color w:val="FFFFFF" w:themeColor="background1"/>
                        </w:rPr>
                        <w:t>DSC-MRI visit- baseline</w:t>
                      </w:r>
                    </w:p>
                  </w:txbxContent>
                </v:textbox>
                <w10:wrap anchory="line"/>
              </v:rect>
            </w:pict>
          </mc:Fallback>
        </mc:AlternateContent>
      </w:r>
    </w:p>
    <w:p w14:paraId="687F65D7" w14:textId="77777777" w:rsidR="00AF0E0B" w:rsidRPr="00AF0E0B" w:rsidRDefault="00AF0E0B" w:rsidP="00AF0E0B">
      <w:pPr>
        <w:pBdr>
          <w:top w:val="single" w:sz="4" w:space="0" w:color="000000"/>
          <w:left w:val="single" w:sz="4" w:space="0" w:color="000000"/>
          <w:bottom w:val="single" w:sz="4" w:space="0" w:color="000000"/>
          <w:right w:val="single" w:sz="4" w:space="0" w:color="000000"/>
          <w:between w:val="nil"/>
          <w:bar w:val="nil"/>
        </w:pBdr>
        <w:spacing w:line="360" w:lineRule="auto"/>
        <w:rPr>
          <w:rFonts w:eastAsia="Arial" w:cs="Arial"/>
          <w:color w:val="000000"/>
          <w:u w:color="000000"/>
          <w:bdr w:val="nil"/>
          <w:lang w:eastAsia="en-GB"/>
        </w:rPr>
      </w:pPr>
    </w:p>
    <w:p w14:paraId="7A72C7BD" w14:textId="77777777" w:rsidR="00AF0E0B" w:rsidRPr="00AF0E0B" w:rsidRDefault="00AF0E0B" w:rsidP="00AF0E0B">
      <w:pPr>
        <w:pBdr>
          <w:top w:val="single" w:sz="4" w:space="0" w:color="000000"/>
          <w:left w:val="single" w:sz="4" w:space="0" w:color="000000"/>
          <w:bottom w:val="single" w:sz="4" w:space="0" w:color="000000"/>
          <w:right w:val="single" w:sz="4" w:space="0" w:color="000000"/>
          <w:between w:val="nil"/>
          <w:bar w:val="nil"/>
        </w:pBdr>
        <w:spacing w:line="360" w:lineRule="auto"/>
        <w:rPr>
          <w:rFonts w:eastAsia="Arial" w:cs="Arial"/>
          <w:color w:val="000000"/>
          <w:u w:color="000000"/>
          <w:bdr w:val="nil"/>
          <w:lang w:eastAsia="en-GB"/>
        </w:rPr>
      </w:pPr>
      <w:r w:rsidRPr="00AF0E0B">
        <w:rPr>
          <w:rFonts w:eastAsia="Arial" w:cs="Arial"/>
          <w:noProof/>
          <w:color w:val="000000"/>
          <w:u w:color="000000"/>
          <w:bdr w:val="nil"/>
          <w:lang w:eastAsia="en-GB"/>
        </w:rPr>
        <mc:AlternateContent>
          <mc:Choice Requires="wps">
            <w:drawing>
              <wp:anchor distT="0" distB="0" distL="0" distR="0" simplePos="0" relativeHeight="251676672" behindDoc="0" locked="0" layoutInCell="1" allowOverlap="1" wp14:anchorId="44883ABA" wp14:editId="3941C185">
                <wp:simplePos x="0" y="0"/>
                <wp:positionH relativeFrom="column">
                  <wp:posOffset>2152650</wp:posOffset>
                </wp:positionH>
                <wp:positionV relativeFrom="line">
                  <wp:posOffset>229318</wp:posOffset>
                </wp:positionV>
                <wp:extent cx="357506" cy="556261"/>
                <wp:effectExtent l="0" t="0" r="0" b="0"/>
                <wp:wrapNone/>
                <wp:docPr id="1073741839" name="officeArt object" descr="Down Arrow 16"/>
                <wp:cNvGraphicFramePr/>
                <a:graphic xmlns:a="http://schemas.openxmlformats.org/drawingml/2006/main">
                  <a:graphicData uri="http://schemas.microsoft.com/office/word/2010/wordprocessingShape">
                    <wps:wsp>
                      <wps:cNvSpPr/>
                      <wps:spPr>
                        <a:xfrm>
                          <a:off x="0" y="0"/>
                          <a:ext cx="357506" cy="556261"/>
                        </a:xfrm>
                        <a:custGeom>
                          <a:avLst/>
                          <a:gdLst/>
                          <a:ahLst/>
                          <a:cxnLst>
                            <a:cxn ang="0">
                              <a:pos x="wd2" y="hd2"/>
                            </a:cxn>
                            <a:cxn ang="5400000">
                              <a:pos x="wd2" y="hd2"/>
                            </a:cxn>
                            <a:cxn ang="10800000">
                              <a:pos x="wd2" y="hd2"/>
                            </a:cxn>
                            <a:cxn ang="16200000">
                              <a:pos x="wd2" y="hd2"/>
                            </a:cxn>
                          </a:cxnLst>
                          <a:rect l="0" t="0" r="r" b="b"/>
                          <a:pathLst>
                            <a:path w="21600" h="21600" extrusionOk="0">
                              <a:moveTo>
                                <a:pt x="0" y="14659"/>
                              </a:moveTo>
                              <a:lnTo>
                                <a:pt x="5400" y="14659"/>
                              </a:lnTo>
                              <a:lnTo>
                                <a:pt x="5400" y="0"/>
                              </a:lnTo>
                              <a:lnTo>
                                <a:pt x="16200" y="0"/>
                              </a:lnTo>
                              <a:lnTo>
                                <a:pt x="16200" y="14659"/>
                              </a:lnTo>
                              <a:lnTo>
                                <a:pt x="21600" y="14659"/>
                              </a:lnTo>
                              <a:lnTo>
                                <a:pt x="10800" y="21600"/>
                              </a:lnTo>
                              <a:close/>
                            </a:path>
                          </a:pathLst>
                        </a:custGeom>
                        <a:solidFill>
                          <a:srgbClr val="4472C4"/>
                        </a:solidFill>
                        <a:ln w="12700" cap="flat">
                          <a:solidFill>
                            <a:srgbClr val="32538F"/>
                          </a:solidFill>
                          <a:prstDash val="solid"/>
                          <a:miter lim="800000"/>
                        </a:ln>
                        <a:effectLst/>
                      </wps:spPr>
                      <wps:bodyPr/>
                    </wps:wsp>
                  </a:graphicData>
                </a:graphic>
              </wp:anchor>
            </w:drawing>
          </mc:Choice>
          <mc:Fallback>
            <w:pict>
              <v:shape w14:anchorId="10A07A88" id="officeArt object" o:spid="_x0000_s1026" alt="Down Arrow 16" style="position:absolute;margin-left:169.5pt;margin-top:18.05pt;width:28.15pt;height:43.8pt;z-index:251676672;visibility:visible;mso-wrap-style:square;mso-wrap-distance-left:0;mso-wrap-distance-top:0;mso-wrap-distance-right:0;mso-wrap-distance-bottom:0;mso-position-horizontal:absolute;mso-position-horizontal-relative:text;mso-position-vertical:absolute;mso-position-vertical-relative:line;v-text-anchor:top" coordsize="21600,216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" path="m,14659r5400,l5400,,16200,r,14659l21600,14659,10800,21600,,14659xe" fillcolor="#4472c4" strokecolor="#32538f" strokeweight="1pt">
                <v:stroke joinstyle="miter"/>
                <v:path arrowok="t" o:extrusionok="f" o:connecttype="custom" o:connectlocs="178753,278131;178753,278131;178753,278131;178753,278131" o:connectangles="0,90,180,270"/>
                <w10:wrap anchory="line"/>
              </v:shape>
            </w:pict>
          </mc:Fallback>
        </mc:AlternateContent>
      </w:r>
    </w:p>
    <w:p w14:paraId="20658750" w14:textId="77777777" w:rsidR="00AF0E0B" w:rsidRPr="00AF0E0B" w:rsidRDefault="00AF0E0B" w:rsidP="00AF0E0B">
      <w:pPr>
        <w:pBdr>
          <w:top w:val="single" w:sz="4" w:space="0" w:color="000000"/>
          <w:left w:val="single" w:sz="4" w:space="0" w:color="000000"/>
          <w:bottom w:val="single" w:sz="4" w:space="0" w:color="000000"/>
          <w:right w:val="single" w:sz="4" w:space="0" w:color="000000"/>
          <w:between w:val="nil"/>
          <w:bar w:val="nil"/>
        </w:pBdr>
        <w:spacing w:line="360" w:lineRule="auto"/>
        <w:rPr>
          <w:rFonts w:eastAsia="Arial" w:cs="Arial"/>
          <w:color w:val="000000"/>
          <w:u w:color="000000"/>
          <w:bdr w:val="nil"/>
          <w:lang w:eastAsia="en-GB"/>
        </w:rPr>
      </w:pPr>
    </w:p>
    <w:p w14:paraId="7204C008" w14:textId="77777777" w:rsidR="00AF0E0B" w:rsidRPr="00AF0E0B" w:rsidRDefault="00AF0E0B" w:rsidP="00AF0E0B">
      <w:pPr>
        <w:pBdr>
          <w:top w:val="single" w:sz="4" w:space="0" w:color="000000"/>
          <w:left w:val="single" w:sz="4" w:space="0" w:color="000000"/>
          <w:bottom w:val="single" w:sz="4" w:space="0" w:color="000000"/>
          <w:right w:val="single" w:sz="4" w:space="0" w:color="000000"/>
          <w:between w:val="nil"/>
          <w:bar w:val="nil"/>
        </w:pBdr>
        <w:spacing w:line="360" w:lineRule="auto"/>
        <w:rPr>
          <w:rFonts w:eastAsia="Arial" w:cs="Arial"/>
          <w:color w:val="000000"/>
          <w:u w:color="000000"/>
          <w:bdr w:val="nil"/>
          <w:lang w:eastAsia="en-GB"/>
        </w:rPr>
      </w:pPr>
    </w:p>
    <w:p w14:paraId="3B47E70C" w14:textId="77777777" w:rsidR="00AF0E0B" w:rsidRPr="00AF0E0B" w:rsidRDefault="00AF0E0B" w:rsidP="00AF0E0B">
      <w:pPr>
        <w:pBdr>
          <w:top w:val="single" w:sz="4" w:space="0" w:color="000000"/>
          <w:left w:val="single" w:sz="4" w:space="0" w:color="000000"/>
          <w:bottom w:val="single" w:sz="4" w:space="0" w:color="000000"/>
          <w:right w:val="single" w:sz="4" w:space="0" w:color="000000"/>
          <w:between w:val="nil"/>
          <w:bar w:val="nil"/>
        </w:pBdr>
        <w:spacing w:line="360" w:lineRule="auto"/>
        <w:rPr>
          <w:rFonts w:eastAsia="Arial" w:cs="Arial"/>
          <w:color w:val="000000"/>
          <w:u w:color="000000"/>
          <w:bdr w:val="nil"/>
          <w:lang w:eastAsia="en-GB"/>
        </w:rPr>
      </w:pPr>
      <w:r w:rsidRPr="00AF0E0B">
        <w:rPr>
          <w:rFonts w:eastAsia="Arial" w:cs="Arial"/>
          <w:noProof/>
          <w:color w:val="000000"/>
          <w:u w:color="000000"/>
          <w:bdr w:val="nil"/>
          <w:lang w:eastAsia="en-GB"/>
        </w:rPr>
        <mc:AlternateContent>
          <mc:Choice Requires="wps">
            <w:drawing>
              <wp:anchor distT="0" distB="0" distL="0" distR="0" simplePos="0" relativeHeight="251680768" behindDoc="0" locked="0" layoutInCell="1" allowOverlap="1" wp14:anchorId="2AA9DDE4" wp14:editId="51B22DBF">
                <wp:simplePos x="0" y="0"/>
                <wp:positionH relativeFrom="column">
                  <wp:posOffset>68580</wp:posOffset>
                </wp:positionH>
                <wp:positionV relativeFrom="line">
                  <wp:posOffset>50799</wp:posOffset>
                </wp:positionV>
                <wp:extent cx="588010" cy="476885"/>
                <wp:effectExtent l="0" t="0" r="0" b="0"/>
                <wp:wrapNone/>
                <wp:docPr id="1073741840" name="officeArt object" descr="Rectangle 20"/>
                <wp:cNvGraphicFramePr/>
                <a:graphic xmlns:a="http://schemas.openxmlformats.org/drawingml/2006/main">
                  <a:graphicData uri="http://schemas.microsoft.com/office/word/2010/wordprocessingShape">
                    <wps:wsp>
                      <wps:cNvSpPr/>
                      <wps:spPr>
                        <a:xfrm rot="16200000">
                          <a:off x="0" y="0"/>
                          <a:ext cx="588010" cy="476885"/>
                        </a:xfrm>
                        <a:prstGeom prst="rect">
                          <a:avLst/>
                        </a:prstGeom>
                        <a:solidFill>
                          <a:srgbClr val="4472C4"/>
                        </a:solidFill>
                        <a:ln w="12700" cap="flat">
                          <a:solidFill>
                            <a:srgbClr val="32538F"/>
                          </a:solidFill>
                          <a:prstDash val="solid"/>
                          <a:miter lim="800000"/>
                        </a:ln>
                        <a:effectLst/>
                      </wps:spPr>
                      <wps:txbx>
                        <w:txbxContent>
                          <w:p w14:paraId="6FC22B9D" w14:textId="77777777" w:rsidR="00D17A43" w:rsidRPr="00A54D05" w:rsidRDefault="00D17A43" w:rsidP="00AF0E0B">
                            <w:pPr>
                              <w:pStyle w:val="Body"/>
                              <w:jc w:val="center"/>
                              <w:rPr>
                                <w:color w:val="FFFFFF" w:themeColor="background1"/>
                              </w:rPr>
                            </w:pPr>
                            <w:r w:rsidRPr="00A54D05">
                              <w:rPr>
                                <w:rFonts w:ascii="Arial" w:hAnsi="Arial"/>
                                <w:color w:val="FFFFFF" w:themeColor="background1"/>
                                <w:lang w:val="en-US"/>
                              </w:rPr>
                              <w:t>Visit 3</w:t>
                            </w:r>
                          </w:p>
                        </w:txbxContent>
                      </wps:txbx>
                      <wps:bodyPr wrap="square" lIns="45719" tIns="45719" rIns="45719" bIns="45719" numCol="1" anchor="ctr">
                        <a:noAutofit/>
                      </wps:bodyPr>
                    </wps:wsp>
                  </a:graphicData>
                </a:graphic>
              </wp:anchor>
            </w:drawing>
          </mc:Choice>
          <mc:Fallback>
            <w:pict>
              <v:rect w14:anchorId="2AA9DDE4" id="_x0000_s1034" alt="Rectangle 20" style="position:absolute;margin-left:5.4pt;margin-top:4pt;width:46.3pt;height:37.55pt;rotation:-90;z-index:251680768;visibility:visible;mso-wrap-style:square;mso-wrap-distance-left:0;mso-wrap-distance-top:0;mso-wrap-distance-right:0;mso-wrap-distance-bottom:0;mso-position-horizontal:absolute;mso-position-horizontal-relative:text;mso-position-vertical:absolute;mso-position-vertical-relative:lin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" fillcolor="#4472c4" strokecolor="#32538f" strokeweight="1pt">
                <v:textbox inset="1.27mm,1.27mm,1.27mm,1.27mm">
                  <w:txbxContent>
                    <w:p w14:paraId="6FC22B9D" w14:textId="77777777" w:rsidR="00D17A43" w:rsidRPr="00A54D05" w:rsidRDefault="00D17A43" w:rsidP="00AF0E0B">
                      <w:pPr>
                        <w:pStyle w:val="Body"/>
                        <w:jc w:val="center"/>
                        <w:rPr>
                          <w:color w:val="FFFFFF" w:themeColor="background1"/>
                        </w:rPr>
                      </w:pPr>
                      <w:r w:rsidRPr="00A54D05">
                        <w:rPr>
                          <w:rFonts w:ascii="Arial" w:hAnsi="Arial"/>
                          <w:color w:val="FFFFFF" w:themeColor="background1"/>
                          <w:lang w:val="en-US"/>
                        </w:rPr>
                        <w:t>Visit 3</w:t>
                      </w:r>
                    </w:p>
                  </w:txbxContent>
                </v:textbox>
                <w10:wrap anchory="line"/>
              </v:rect>
            </w:pict>
          </mc:Fallback>
        </mc:AlternateContent>
      </w:r>
      <w:r w:rsidRPr="00AF0E0B">
        <w:rPr>
          <w:rFonts w:eastAsia="Arial" w:cs="Arial"/>
          <w:noProof/>
          <w:color w:val="000000"/>
          <w:u w:color="000000"/>
          <w:bdr w:val="nil"/>
          <w:lang w:eastAsia="en-GB"/>
        </w:rPr>
        <mc:AlternateContent>
          <mc:Choice Requires="wps">
            <w:drawing>
              <wp:anchor distT="0" distB="0" distL="0" distR="0" simplePos="0" relativeHeight="251673600" behindDoc="0" locked="0" layoutInCell="1" allowOverlap="1" wp14:anchorId="3B91E1E3" wp14:editId="669391B6">
                <wp:simplePos x="0" y="0"/>
                <wp:positionH relativeFrom="column">
                  <wp:posOffset>925879</wp:posOffset>
                </wp:positionH>
                <wp:positionV relativeFrom="line">
                  <wp:posOffset>62865</wp:posOffset>
                </wp:positionV>
                <wp:extent cx="2615565" cy="476885"/>
                <wp:effectExtent l="0" t="0" r="0" b="0"/>
                <wp:wrapNone/>
                <wp:docPr id="1073741841" name="officeArt object" descr="Rectangle 15"/>
                <wp:cNvGraphicFramePr/>
                <a:graphic xmlns:a="http://schemas.openxmlformats.org/drawingml/2006/main">
                  <a:graphicData uri="http://schemas.microsoft.com/office/word/2010/wordprocessingShape">
                    <wps:wsp>
                      <wps:cNvSpPr/>
                      <wps:spPr>
                        <a:xfrm>
                          <a:off x="0" y="0"/>
                          <a:ext cx="2615565" cy="476885"/>
                        </a:xfrm>
                        <a:prstGeom prst="rect">
                          <a:avLst/>
                        </a:prstGeom>
                        <a:solidFill>
                          <a:srgbClr val="4472C4"/>
                        </a:solidFill>
                        <a:ln w="12700" cap="flat">
                          <a:solidFill>
                            <a:srgbClr val="32538F"/>
                          </a:solidFill>
                          <a:prstDash val="solid"/>
                          <a:miter lim="800000"/>
                        </a:ln>
                        <a:effectLst/>
                      </wps:spPr>
                      <wps:txbx>
                        <w:txbxContent>
                          <w:p w14:paraId="071007F8" w14:textId="77777777" w:rsidR="00D17A43" w:rsidRPr="00A54D05" w:rsidRDefault="00D17A43" w:rsidP="00AF0E0B">
                            <w:pPr>
                              <w:pStyle w:val="Body"/>
                              <w:jc w:val="center"/>
                              <w:rPr>
                                <w:color w:val="FFFFFF" w:themeColor="background1"/>
                              </w:rPr>
                            </w:pPr>
                            <w:r w:rsidRPr="00A54D05">
                              <w:rPr>
                                <w:rFonts w:ascii="Arial" w:hAnsi="Arial"/>
                                <w:color w:val="FFFFFF" w:themeColor="background1"/>
                                <w:lang w:val="en-US"/>
                              </w:rPr>
                              <w:t>DSC MRI visit – Pain Condition</w:t>
                            </w:r>
                          </w:p>
                        </w:txbxContent>
                      </wps:txbx>
                      <wps:bodyPr wrap="square" lIns="45719" tIns="45719" rIns="45719" bIns="45719" numCol="1" anchor="ctr">
                        <a:noAutofit/>
                      </wps:bodyPr>
                    </wps:wsp>
                  </a:graphicData>
                </a:graphic>
              </wp:anchor>
            </w:drawing>
          </mc:Choice>
          <mc:Fallback>
            <w:pict>
              <v:rect w14:anchorId="3B91E1E3" id="_x0000_s1035" alt="Rectangle 15" style="position:absolute;margin-left:72.9pt;margin-top:4.95pt;width:205.95pt;height:37.55pt;z-index:251673600;visibility:visible;mso-wrap-style:square;mso-wrap-distance-left:0;mso-wrap-distance-top:0;mso-wrap-distance-right:0;mso-wrap-distance-bottom:0;mso-position-horizontal:absolute;mso-position-horizontal-relative:text;mso-position-vertical:absolute;mso-position-vertical-relative:lin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" fillcolor="#4472c4" strokecolor="#32538f" strokeweight="1pt">
                <v:textbox inset="1.27mm,1.27mm,1.27mm,1.27mm">
                  <w:txbxContent>
                    <w:p w14:paraId="071007F8" w14:textId="77777777" w:rsidR="00D17A43" w:rsidRPr="00A54D05" w:rsidRDefault="00D17A43" w:rsidP="00AF0E0B">
                      <w:pPr>
                        <w:pStyle w:val="Body"/>
                        <w:jc w:val="center"/>
                        <w:rPr>
                          <w:color w:val="FFFFFF" w:themeColor="background1"/>
                        </w:rPr>
                      </w:pPr>
                      <w:r w:rsidRPr="00A54D05">
                        <w:rPr>
                          <w:rFonts w:ascii="Arial" w:hAnsi="Arial"/>
                          <w:color w:val="FFFFFF" w:themeColor="background1"/>
                          <w:lang w:val="en-US"/>
                        </w:rPr>
                        <w:t>DSC MRI visit – Pain Condition</w:t>
                      </w:r>
                    </w:p>
                  </w:txbxContent>
                </v:textbox>
                <w10:wrap anchory="line"/>
              </v:rect>
            </w:pict>
          </mc:Fallback>
        </mc:AlternateContent>
      </w:r>
    </w:p>
    <w:p w14:paraId="50777FD0" w14:textId="77777777" w:rsidR="00AF0E0B" w:rsidRPr="00AF0E0B" w:rsidRDefault="00AF0E0B" w:rsidP="00AF0E0B">
      <w:pPr>
        <w:pBdr>
          <w:top w:val="single" w:sz="4" w:space="0" w:color="000000"/>
          <w:left w:val="single" w:sz="4" w:space="0" w:color="000000"/>
          <w:bottom w:val="single" w:sz="4" w:space="0" w:color="000000"/>
          <w:right w:val="single" w:sz="4" w:space="0" w:color="000000"/>
          <w:between w:val="nil"/>
          <w:bar w:val="nil"/>
        </w:pBdr>
        <w:spacing w:line="360" w:lineRule="auto"/>
        <w:rPr>
          <w:rFonts w:eastAsia="Arial" w:cs="Arial"/>
          <w:color w:val="000000"/>
          <w:u w:color="000000"/>
          <w:bdr w:val="nil"/>
          <w:lang w:eastAsia="en-GB"/>
        </w:rPr>
      </w:pPr>
    </w:p>
    <w:p w14:paraId="136F4135" w14:textId="77777777" w:rsidR="00AF0E0B" w:rsidRPr="00AF0E0B" w:rsidRDefault="00AF0E0B" w:rsidP="00AF0E0B">
      <w:pPr>
        <w:pBdr>
          <w:top w:val="single" w:sz="4" w:space="0" w:color="000000"/>
          <w:left w:val="single" w:sz="4" w:space="0" w:color="000000"/>
          <w:bottom w:val="single" w:sz="4" w:space="0" w:color="000000"/>
          <w:right w:val="single" w:sz="4" w:space="0" w:color="000000"/>
          <w:between w:val="nil"/>
          <w:bar w:val="nil"/>
        </w:pBdr>
        <w:spacing w:line="360" w:lineRule="auto"/>
        <w:rPr>
          <w:rFonts w:eastAsia="Arial" w:cs="Arial"/>
          <w:color w:val="000000"/>
          <w:u w:color="000000"/>
          <w:bdr w:val="nil"/>
          <w:lang w:eastAsia="en-GB"/>
        </w:rPr>
      </w:pPr>
    </w:p>
    <w:p w14:paraId="2E253E49" w14:textId="77777777" w:rsidR="00AF0E0B" w:rsidRPr="00AF0E0B" w:rsidRDefault="00AF0E0B" w:rsidP="00AF0E0B">
      <w:pPr>
        <w:pBdr>
          <w:top w:val="single" w:sz="4" w:space="0" w:color="000000"/>
          <w:left w:val="single" w:sz="4" w:space="0" w:color="000000"/>
          <w:bottom w:val="single" w:sz="4" w:space="0" w:color="000000"/>
          <w:right w:val="single" w:sz="4" w:space="0" w:color="000000"/>
          <w:between w:val="nil"/>
          <w:bar w:val="nil"/>
        </w:pBdr>
        <w:spacing w:line="360" w:lineRule="auto"/>
        <w:rPr>
          <w:rFonts w:eastAsia="Arial" w:cs="Arial"/>
          <w:color w:val="000000"/>
          <w:u w:color="000000"/>
          <w:bdr w:val="nil"/>
          <w:lang w:eastAsia="en-GB"/>
        </w:rPr>
      </w:pPr>
    </w:p>
    <w:p w14:paraId="65D33A8D" w14:textId="45EA8B35" w:rsidR="00AF0E0B" w:rsidRPr="00AF0E0B" w:rsidRDefault="00AF0E0B" w:rsidP="0031237D">
      <w:pPr>
        <w:pStyle w:val="Heading3"/>
      </w:pPr>
      <w:bookmarkStart w:id="121" w:name="_Toc49973097"/>
      <w:bookmarkStart w:id="122" w:name="_Toc49973452"/>
      <w:bookmarkStart w:id="123" w:name="_Toc64723897"/>
      <w:r w:rsidRPr="00AF0E0B">
        <w:t>Ethical Approval</w:t>
      </w:r>
      <w:bookmarkEnd w:id="121"/>
      <w:bookmarkEnd w:id="122"/>
      <w:bookmarkEnd w:id="123"/>
    </w:p>
    <w:p w14:paraId="737A30BA" w14:textId="77777777" w:rsidR="00AF0E0B" w:rsidRPr="00AF0E0B" w:rsidRDefault="00AF0E0B" w:rsidP="00AF0E0B">
      <w:pPr>
        <w:pBdr>
          <w:top w:val="nil"/>
          <w:left w:val="nil"/>
          <w:bottom w:val="nil"/>
          <w:right w:val="nil"/>
          <w:between w:val="nil"/>
          <w:bar w:val="nil"/>
        </w:pBdr>
        <w:spacing w:line="360" w:lineRule="auto"/>
        <w:rPr>
          <w:rFonts w:eastAsia="Arial" w:cs="Arial"/>
          <w:color w:val="000000"/>
          <w:u w:color="000000"/>
          <w:bdr w:val="nil"/>
          <w:lang w:eastAsia="en-GB"/>
        </w:rPr>
      </w:pPr>
      <w:r w:rsidRPr="00AF0E0B">
        <w:rPr>
          <w:rFonts w:eastAsia="Arial Unicode MS" w:cs="Arial Unicode MS"/>
          <w:color w:val="000000"/>
          <w:u w:color="000000"/>
          <w:bdr w:val="nil"/>
          <w:lang w:val="en-US" w:eastAsia="en-GB"/>
        </w:rPr>
        <w:t>The study entitled “The microvascular perfusion characteristics of the pain processing areas (matrix) of the brain in T1D subjects with painful neuropathy” was approved by the Leeds Central Ethics committee on the 29/12/2012: REC reference: 12/YH/0460.</w:t>
      </w:r>
    </w:p>
    <w:p w14:paraId="31AC32ED" w14:textId="20977EB1" w:rsidR="00AF0E0B" w:rsidRPr="00AF0E0B" w:rsidRDefault="00AF0E0B" w:rsidP="0031237D">
      <w:pPr>
        <w:pStyle w:val="Heading3"/>
      </w:pPr>
      <w:bookmarkStart w:id="124" w:name="_Toc49973098"/>
      <w:bookmarkStart w:id="125" w:name="_Toc49973453"/>
      <w:bookmarkStart w:id="126" w:name="_Toc64723898"/>
      <w:r w:rsidRPr="00AF0E0B">
        <w:t>Subjects</w:t>
      </w:r>
      <w:bookmarkEnd w:id="124"/>
      <w:bookmarkEnd w:id="125"/>
      <w:bookmarkEnd w:id="126"/>
    </w:p>
    <w:p w14:paraId="362A828B" w14:textId="77777777" w:rsidR="00AF0E0B" w:rsidRPr="00AF0E0B" w:rsidRDefault="00AF0E0B" w:rsidP="00AF0E0B">
      <w:pPr>
        <w:pBdr>
          <w:top w:val="nil"/>
          <w:left w:val="nil"/>
          <w:bottom w:val="nil"/>
          <w:right w:val="nil"/>
          <w:between w:val="nil"/>
          <w:bar w:val="nil"/>
        </w:pBdr>
        <w:spacing w:line="360" w:lineRule="auto"/>
        <w:rPr>
          <w:rFonts w:eastAsia="Arial" w:cs="Arial"/>
          <w:color w:val="000000"/>
          <w:u w:color="000000"/>
          <w:bdr w:val="nil"/>
          <w:lang w:eastAsia="en-GB"/>
        </w:rPr>
      </w:pPr>
      <w:r w:rsidRPr="00AF0E0B">
        <w:rPr>
          <w:rFonts w:eastAsia="Arial Unicode MS" w:cs="Arial Unicode MS"/>
          <w:color w:val="000000"/>
          <w:u w:color="000000"/>
          <w:bdr w:val="nil"/>
          <w:lang w:val="en-US" w:eastAsia="en-GB"/>
        </w:rPr>
        <w:t xml:space="preserve">All participants in the study were over 18 years of age and were recruited from clinics and responses to adverts using email, posters; and press publicity at Sheffield Teaching </w:t>
      </w:r>
      <w:r w:rsidRPr="00AF0E0B">
        <w:rPr>
          <w:rFonts w:eastAsia="Arial Unicode MS" w:cs="Arial Unicode MS"/>
          <w:color w:val="000000"/>
          <w:u w:color="000000"/>
          <w:bdr w:val="nil"/>
          <w:lang w:val="en-US" w:eastAsia="en-GB"/>
        </w:rPr>
        <w:lastRenderedPageBreak/>
        <w:t xml:space="preserve">Hospitals, the University of Sheffield and local media. Inclusion and exclusion criteria are provided in Table 2.1. </w:t>
      </w:r>
    </w:p>
    <w:p w14:paraId="17DEDD2C" w14:textId="01346423" w:rsidR="00AF0E0B" w:rsidRPr="00AF0E0B" w:rsidRDefault="00AF0E0B" w:rsidP="00455CF2">
      <w:pPr>
        <w:pStyle w:val="Quote"/>
      </w:pPr>
      <w:bookmarkStart w:id="127" w:name="_Toc49973552"/>
      <w:bookmarkStart w:id="128" w:name="_Toc64724076"/>
      <w:r w:rsidRPr="00AF0E0B">
        <w:t>Table 2.1  Inclusion and Exclusion Criteria</w:t>
      </w:r>
      <w:bookmarkEnd w:id="127"/>
      <w:bookmarkEnd w:id="128"/>
    </w:p>
    <w:tbl>
      <w:tblPr>
        <w:tblW w:w="90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9054"/>
      </w:tblGrid>
      <w:tr w:rsidR="00AF0E0B" w:rsidRPr="00AF0E0B" w14:paraId="7C8ED4AF" w14:textId="77777777" w:rsidTr="00AB4128">
        <w:trPr>
          <w:trHeight w:val="250"/>
        </w:trPr>
        <w:tc>
          <w:tcPr>
            <w:tcW w:w="9054" w:type="dxa"/>
            <w:tcBorders>
              <w:top w:val="single" w:sz="4" w:space="0" w:color="000000"/>
              <w:left w:val="single" w:sz="4" w:space="0" w:color="000000"/>
              <w:bottom w:val="single" w:sz="4" w:space="0" w:color="000000"/>
              <w:right w:val="single" w:sz="4" w:space="0" w:color="000000"/>
            </w:tcBorders>
            <w:shd w:val="clear" w:color="auto" w:fill="FBE4D5"/>
            <w:tcMar>
              <w:top w:w="80" w:type="dxa"/>
              <w:left w:w="80" w:type="dxa"/>
              <w:bottom w:w="80" w:type="dxa"/>
              <w:right w:w="80" w:type="dxa"/>
            </w:tcMar>
          </w:tcPr>
          <w:p w14:paraId="5BD7B02F" w14:textId="77777777" w:rsidR="00AF0E0B" w:rsidRPr="00AF0E0B" w:rsidRDefault="00AF0E0B" w:rsidP="00A460BB">
            <w:pPr>
              <w:pBdr>
                <w:top w:val="nil"/>
                <w:left w:val="nil"/>
                <w:bottom w:val="nil"/>
                <w:right w:val="nil"/>
                <w:between w:val="nil"/>
                <w:bar w:val="nil"/>
              </w:pBdr>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Inclusion criteria</w:t>
            </w:r>
          </w:p>
        </w:tc>
      </w:tr>
      <w:tr w:rsidR="00AF0E0B" w:rsidRPr="00AF0E0B" w14:paraId="36ED3D01" w14:textId="77777777" w:rsidTr="00AB4128">
        <w:trPr>
          <w:trHeight w:val="250"/>
        </w:trPr>
        <w:tc>
          <w:tcPr>
            <w:tcW w:w="905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E824712" w14:textId="77777777" w:rsidR="00AF0E0B" w:rsidRPr="00AF0E0B" w:rsidRDefault="00AF0E0B" w:rsidP="00A460BB">
            <w:pPr>
              <w:numPr>
                <w:ilvl w:val="0"/>
                <w:numId w:val="2"/>
              </w:numPr>
              <w:pBdr>
                <w:top w:val="nil"/>
                <w:left w:val="nil"/>
                <w:bottom w:val="nil"/>
                <w:right w:val="nil"/>
                <w:between w:val="nil"/>
                <w:bar w:val="nil"/>
              </w:pBdr>
              <w:rPr>
                <w:rFonts w:ascii="Calibri" w:eastAsia="Calibri" w:hAnsi="Calibri" w:cs="Calibri"/>
                <w:i/>
                <w:iCs/>
                <w:color w:val="000000"/>
                <w:sz w:val="22"/>
                <w:szCs w:val="22"/>
                <w:u w:color="000000"/>
                <w:bdr w:val="nil"/>
                <w:lang w:val="en-US" w:eastAsia="en-GB"/>
              </w:rPr>
            </w:pPr>
            <w:r w:rsidRPr="00AF0E0B">
              <w:rPr>
                <w:rFonts w:ascii="Calibri" w:eastAsia="Calibri" w:hAnsi="Calibri" w:cs="Calibri"/>
                <w:i/>
                <w:iCs/>
                <w:color w:val="000000"/>
                <w:sz w:val="22"/>
                <w:szCs w:val="22"/>
                <w:u w:color="000000"/>
                <w:bdr w:val="nil"/>
                <w:lang w:val="en-US" w:eastAsia="en-GB"/>
              </w:rPr>
              <w:t>Males and females with T1D or healthy volunteers</w:t>
            </w:r>
          </w:p>
        </w:tc>
      </w:tr>
      <w:tr w:rsidR="00AF0E0B" w:rsidRPr="00AF0E0B" w14:paraId="253E2B86" w14:textId="77777777" w:rsidTr="00AB4128">
        <w:trPr>
          <w:trHeight w:val="250"/>
        </w:trPr>
        <w:tc>
          <w:tcPr>
            <w:tcW w:w="905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64A236F" w14:textId="77777777" w:rsidR="00AF0E0B" w:rsidRPr="00AF0E0B" w:rsidRDefault="00AF0E0B" w:rsidP="00A460BB">
            <w:pPr>
              <w:numPr>
                <w:ilvl w:val="0"/>
                <w:numId w:val="3"/>
              </w:numPr>
              <w:pBdr>
                <w:top w:val="nil"/>
                <w:left w:val="nil"/>
                <w:bottom w:val="nil"/>
                <w:right w:val="nil"/>
                <w:between w:val="nil"/>
                <w:bar w:val="nil"/>
              </w:pBdr>
              <w:rPr>
                <w:rFonts w:ascii="Calibri" w:eastAsia="Calibri" w:hAnsi="Calibri" w:cs="Calibri"/>
                <w:i/>
                <w:iCs/>
                <w:color w:val="000000"/>
                <w:sz w:val="22"/>
                <w:szCs w:val="22"/>
                <w:u w:color="000000"/>
                <w:bdr w:val="nil"/>
                <w:lang w:val="en-US" w:eastAsia="en-GB"/>
              </w:rPr>
            </w:pPr>
            <w:r w:rsidRPr="00AF0E0B">
              <w:rPr>
                <w:rFonts w:ascii="Calibri" w:eastAsia="Calibri" w:hAnsi="Calibri" w:cs="Calibri"/>
                <w:i/>
                <w:iCs/>
                <w:color w:val="000000"/>
                <w:sz w:val="22"/>
                <w:szCs w:val="22"/>
                <w:u w:color="000000"/>
                <w:bdr w:val="nil"/>
                <w:lang w:val="en-US" w:eastAsia="en-GB"/>
              </w:rPr>
              <w:t xml:space="preserve">Age </w:t>
            </w:r>
            <w:r w:rsidRPr="00AF0E0B">
              <w:rPr>
                <w:rFonts w:ascii="Calibri" w:eastAsia="Calibri" w:hAnsi="Calibri" w:cs="Calibri"/>
                <w:i/>
                <w:iCs/>
                <w:color w:val="000000"/>
                <w:sz w:val="22"/>
                <w:szCs w:val="22"/>
                <w:u w:val="single" w:color="000000"/>
                <w:bdr w:val="nil"/>
                <w:lang w:val="en-US" w:eastAsia="en-GB"/>
              </w:rPr>
              <w:t>&gt;</w:t>
            </w:r>
            <w:r w:rsidRPr="00AF0E0B">
              <w:rPr>
                <w:rFonts w:ascii="Calibri" w:eastAsia="Calibri" w:hAnsi="Calibri" w:cs="Calibri"/>
                <w:i/>
                <w:iCs/>
                <w:color w:val="000000"/>
                <w:sz w:val="22"/>
                <w:szCs w:val="22"/>
                <w:u w:color="000000"/>
                <w:bdr w:val="nil"/>
                <w:lang w:val="en-US" w:eastAsia="en-GB"/>
              </w:rPr>
              <w:t>18</w:t>
            </w:r>
          </w:p>
        </w:tc>
      </w:tr>
      <w:tr w:rsidR="00AF0E0B" w:rsidRPr="00AF0E0B" w14:paraId="0DB88A02" w14:textId="77777777" w:rsidTr="00AB4128">
        <w:trPr>
          <w:trHeight w:val="250"/>
        </w:trPr>
        <w:tc>
          <w:tcPr>
            <w:tcW w:w="905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D18711F" w14:textId="77777777" w:rsidR="00AF0E0B" w:rsidRPr="00AF0E0B" w:rsidRDefault="00AF0E0B" w:rsidP="00A460BB">
            <w:pPr>
              <w:numPr>
                <w:ilvl w:val="0"/>
                <w:numId w:val="4"/>
              </w:numPr>
              <w:pBdr>
                <w:top w:val="nil"/>
                <w:left w:val="nil"/>
                <w:bottom w:val="nil"/>
                <w:right w:val="nil"/>
                <w:between w:val="nil"/>
                <w:bar w:val="nil"/>
              </w:pBdr>
              <w:rPr>
                <w:rFonts w:ascii="Calibri" w:eastAsia="Calibri" w:hAnsi="Calibri" w:cs="Calibri"/>
                <w:i/>
                <w:iCs/>
                <w:color w:val="000000"/>
                <w:sz w:val="22"/>
                <w:szCs w:val="22"/>
                <w:u w:color="000000"/>
                <w:bdr w:val="nil"/>
                <w:lang w:val="en-US" w:eastAsia="en-GB"/>
              </w:rPr>
            </w:pPr>
            <w:r w:rsidRPr="00AF0E0B">
              <w:rPr>
                <w:rFonts w:ascii="Calibri" w:eastAsia="Calibri" w:hAnsi="Calibri" w:cs="Calibri"/>
                <w:i/>
                <w:iCs/>
                <w:color w:val="000000"/>
                <w:sz w:val="22"/>
                <w:szCs w:val="22"/>
                <w:u w:color="000000"/>
                <w:bdr w:val="nil"/>
                <w:lang w:val="en-US" w:eastAsia="en-GB"/>
              </w:rPr>
              <w:t>Able to give informed consent</w:t>
            </w:r>
          </w:p>
        </w:tc>
      </w:tr>
      <w:tr w:rsidR="00AF0E0B" w:rsidRPr="00AF0E0B" w14:paraId="54DC2A59" w14:textId="77777777" w:rsidTr="00AB4128">
        <w:trPr>
          <w:trHeight w:val="250"/>
        </w:trPr>
        <w:tc>
          <w:tcPr>
            <w:tcW w:w="905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B9316BC" w14:textId="77777777" w:rsidR="00AF0E0B" w:rsidRPr="00AF0E0B" w:rsidRDefault="00AF0E0B" w:rsidP="00A460BB">
            <w:pPr>
              <w:numPr>
                <w:ilvl w:val="0"/>
                <w:numId w:val="5"/>
              </w:numPr>
              <w:pBdr>
                <w:top w:val="nil"/>
                <w:left w:val="nil"/>
                <w:bottom w:val="nil"/>
                <w:right w:val="nil"/>
                <w:between w:val="nil"/>
                <w:bar w:val="nil"/>
              </w:pBdr>
              <w:spacing w:after="200"/>
              <w:rPr>
                <w:rFonts w:ascii="Calibri" w:eastAsia="Calibri" w:hAnsi="Calibri" w:cs="Calibri"/>
                <w:i/>
                <w:iCs/>
                <w:color w:val="000000"/>
                <w:sz w:val="22"/>
                <w:szCs w:val="22"/>
                <w:u w:color="000000"/>
                <w:bdr w:val="nil"/>
                <w:lang w:val="en-US" w:eastAsia="en-GB"/>
              </w:rPr>
            </w:pPr>
            <w:r w:rsidRPr="00AF0E0B">
              <w:rPr>
                <w:rFonts w:ascii="Calibri" w:eastAsia="Calibri" w:hAnsi="Calibri" w:cs="Calibri"/>
                <w:i/>
                <w:iCs/>
                <w:color w:val="000000"/>
                <w:sz w:val="22"/>
                <w:szCs w:val="22"/>
                <w:u w:color="000000"/>
                <w:bdr w:val="nil"/>
                <w:lang w:val="en-US" w:eastAsia="en-GB"/>
              </w:rPr>
              <w:t>Right handed</w:t>
            </w:r>
          </w:p>
        </w:tc>
      </w:tr>
      <w:tr w:rsidR="00AF0E0B" w:rsidRPr="00AF0E0B" w14:paraId="033722AB" w14:textId="77777777" w:rsidTr="00AB4128">
        <w:trPr>
          <w:trHeight w:val="250"/>
        </w:trPr>
        <w:tc>
          <w:tcPr>
            <w:tcW w:w="9054" w:type="dxa"/>
            <w:tcBorders>
              <w:top w:val="single" w:sz="4" w:space="0" w:color="000000"/>
              <w:left w:val="single" w:sz="4" w:space="0" w:color="000000"/>
              <w:bottom w:val="single" w:sz="4" w:space="0" w:color="000000"/>
              <w:right w:val="single" w:sz="4" w:space="0" w:color="000000"/>
            </w:tcBorders>
            <w:shd w:val="clear" w:color="auto" w:fill="FBE4D5"/>
            <w:tcMar>
              <w:top w:w="80" w:type="dxa"/>
              <w:left w:w="80" w:type="dxa"/>
              <w:bottom w:w="80" w:type="dxa"/>
              <w:right w:w="80" w:type="dxa"/>
            </w:tcMar>
          </w:tcPr>
          <w:p w14:paraId="6EDBD995" w14:textId="77777777" w:rsidR="00AF0E0B" w:rsidRPr="00AF0E0B" w:rsidRDefault="00AF0E0B" w:rsidP="00A460BB">
            <w:pPr>
              <w:pBdr>
                <w:top w:val="nil"/>
                <w:left w:val="nil"/>
                <w:bottom w:val="nil"/>
                <w:right w:val="nil"/>
                <w:between w:val="nil"/>
                <w:bar w:val="nil"/>
              </w:pBdr>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Exclusion criteria</w:t>
            </w:r>
          </w:p>
        </w:tc>
      </w:tr>
      <w:tr w:rsidR="00AF0E0B" w:rsidRPr="00AF0E0B" w14:paraId="3E9DB116" w14:textId="77777777" w:rsidTr="00AB4128">
        <w:trPr>
          <w:trHeight w:val="610"/>
        </w:trPr>
        <w:tc>
          <w:tcPr>
            <w:tcW w:w="905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5399F35" w14:textId="77777777" w:rsidR="00AF0E0B" w:rsidRPr="00AF0E0B" w:rsidRDefault="00AF0E0B" w:rsidP="00A460BB">
            <w:pPr>
              <w:numPr>
                <w:ilvl w:val="0"/>
                <w:numId w:val="6"/>
              </w:numPr>
              <w:pBdr>
                <w:top w:val="nil"/>
                <w:left w:val="nil"/>
                <w:bottom w:val="nil"/>
                <w:right w:val="nil"/>
                <w:between w:val="nil"/>
                <w:bar w:val="nil"/>
              </w:pBdr>
              <w:rPr>
                <w:rFonts w:ascii="Calibri" w:eastAsia="Calibri" w:hAnsi="Calibri" w:cs="Calibri"/>
                <w:i/>
                <w:iCs/>
                <w:color w:val="000000"/>
                <w:sz w:val="22"/>
                <w:szCs w:val="22"/>
                <w:u w:color="000000"/>
                <w:bdr w:val="nil"/>
                <w:lang w:val="en-US" w:eastAsia="en-GB"/>
              </w:rPr>
            </w:pPr>
            <w:r w:rsidRPr="00AF0E0B">
              <w:rPr>
                <w:rFonts w:ascii="Calibri" w:eastAsia="Calibri" w:hAnsi="Calibri" w:cs="Calibri"/>
                <w:i/>
                <w:iCs/>
                <w:color w:val="000000"/>
                <w:sz w:val="22"/>
                <w:szCs w:val="22"/>
                <w:u w:color="000000"/>
                <w:bdr w:val="nil"/>
                <w:lang w:val="en-US" w:eastAsia="en-GB"/>
              </w:rPr>
              <w:t>History of previous cardiovascular disease with ongoing clinical manifestations</w:t>
            </w:r>
          </w:p>
        </w:tc>
      </w:tr>
      <w:tr w:rsidR="00AF0E0B" w:rsidRPr="00AF0E0B" w14:paraId="7B4158D2" w14:textId="77777777" w:rsidTr="00AB4128">
        <w:trPr>
          <w:trHeight w:val="250"/>
        </w:trPr>
        <w:tc>
          <w:tcPr>
            <w:tcW w:w="905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29F7B13" w14:textId="37FF2BFE" w:rsidR="00AF0E0B" w:rsidRPr="00AF0E0B" w:rsidRDefault="00AF0E0B" w:rsidP="00A460BB">
            <w:pPr>
              <w:numPr>
                <w:ilvl w:val="0"/>
                <w:numId w:val="7"/>
              </w:numPr>
              <w:pBdr>
                <w:top w:val="nil"/>
                <w:left w:val="nil"/>
                <w:bottom w:val="nil"/>
                <w:right w:val="nil"/>
                <w:between w:val="nil"/>
                <w:bar w:val="nil"/>
              </w:pBdr>
              <w:rPr>
                <w:rFonts w:ascii="Calibri" w:eastAsia="Calibri" w:hAnsi="Calibri" w:cs="Calibri"/>
                <w:i/>
                <w:iCs/>
                <w:color w:val="000000"/>
                <w:sz w:val="22"/>
                <w:szCs w:val="22"/>
                <w:u w:color="000000"/>
                <w:bdr w:val="nil"/>
                <w:lang w:val="en-US" w:eastAsia="en-GB"/>
              </w:rPr>
            </w:pPr>
            <w:r w:rsidRPr="00AF0E0B">
              <w:rPr>
                <w:rFonts w:ascii="Calibri" w:eastAsia="Calibri" w:hAnsi="Calibri" w:cs="Calibri"/>
                <w:i/>
                <w:iCs/>
                <w:color w:val="000000"/>
                <w:sz w:val="22"/>
                <w:szCs w:val="22"/>
                <w:u w:color="000000"/>
                <w:bdr w:val="nil"/>
                <w:lang w:val="en-US" w:eastAsia="en-GB"/>
              </w:rPr>
              <w:t xml:space="preserve">Nephropathy; &lt;40ml/min </w:t>
            </w:r>
            <w:r w:rsidR="00233478">
              <w:rPr>
                <w:rFonts w:ascii="Calibri" w:eastAsia="Calibri" w:hAnsi="Calibri" w:cs="Calibri"/>
                <w:i/>
                <w:iCs/>
                <w:color w:val="000000"/>
                <w:sz w:val="22"/>
                <w:szCs w:val="22"/>
                <w:u w:color="000000"/>
                <w:bdr w:val="nil"/>
                <w:lang w:val="en-US" w:eastAsia="en-GB"/>
              </w:rPr>
              <w:t>EGFR</w:t>
            </w:r>
          </w:p>
        </w:tc>
      </w:tr>
      <w:tr w:rsidR="00AF0E0B" w:rsidRPr="00AF0E0B" w14:paraId="415A5824" w14:textId="77777777" w:rsidTr="00AB4128">
        <w:trPr>
          <w:trHeight w:val="250"/>
        </w:trPr>
        <w:tc>
          <w:tcPr>
            <w:tcW w:w="905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4F97717" w14:textId="77777777" w:rsidR="00AF0E0B" w:rsidRPr="00AF0E0B" w:rsidRDefault="00AF0E0B" w:rsidP="00A460BB">
            <w:pPr>
              <w:numPr>
                <w:ilvl w:val="0"/>
                <w:numId w:val="8"/>
              </w:numPr>
              <w:pBdr>
                <w:top w:val="nil"/>
                <w:left w:val="nil"/>
                <w:bottom w:val="nil"/>
                <w:right w:val="nil"/>
                <w:between w:val="nil"/>
                <w:bar w:val="nil"/>
              </w:pBdr>
              <w:rPr>
                <w:rFonts w:ascii="Calibri" w:eastAsia="Calibri" w:hAnsi="Calibri" w:cs="Calibri"/>
                <w:i/>
                <w:iCs/>
                <w:color w:val="000000"/>
                <w:sz w:val="22"/>
                <w:szCs w:val="22"/>
                <w:u w:color="000000"/>
                <w:bdr w:val="nil"/>
                <w:lang w:val="en-US" w:eastAsia="en-GB"/>
              </w:rPr>
            </w:pPr>
            <w:r w:rsidRPr="00AF0E0B">
              <w:rPr>
                <w:rFonts w:ascii="Calibri" w:eastAsia="Calibri" w:hAnsi="Calibri" w:cs="Calibri"/>
                <w:i/>
                <w:iCs/>
                <w:color w:val="000000"/>
                <w:sz w:val="22"/>
                <w:szCs w:val="22"/>
                <w:u w:color="000000"/>
                <w:bdr w:val="nil"/>
                <w:lang w:val="en-US" w:eastAsia="en-GB"/>
              </w:rPr>
              <w:t>Allergy to Gadolinium or it’s chelate</w:t>
            </w:r>
          </w:p>
        </w:tc>
      </w:tr>
      <w:tr w:rsidR="00AF0E0B" w:rsidRPr="00AF0E0B" w14:paraId="4F4AD9CB" w14:textId="77777777" w:rsidTr="00AB4128">
        <w:trPr>
          <w:trHeight w:val="610"/>
        </w:trPr>
        <w:tc>
          <w:tcPr>
            <w:tcW w:w="905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1F42C0E" w14:textId="77777777" w:rsidR="00AF0E0B" w:rsidRPr="00AF0E0B" w:rsidRDefault="00AF0E0B" w:rsidP="00A460BB">
            <w:pPr>
              <w:numPr>
                <w:ilvl w:val="0"/>
                <w:numId w:val="9"/>
              </w:numPr>
              <w:pBdr>
                <w:top w:val="nil"/>
                <w:left w:val="nil"/>
                <w:bottom w:val="nil"/>
                <w:right w:val="nil"/>
                <w:between w:val="nil"/>
                <w:bar w:val="nil"/>
              </w:pBdr>
              <w:rPr>
                <w:rFonts w:ascii="Calibri" w:eastAsia="Calibri" w:hAnsi="Calibri" w:cs="Calibri"/>
                <w:i/>
                <w:iCs/>
                <w:color w:val="000000"/>
                <w:sz w:val="22"/>
                <w:szCs w:val="22"/>
                <w:u w:color="000000"/>
                <w:bdr w:val="nil"/>
                <w:lang w:val="en-US" w:eastAsia="en-GB"/>
              </w:rPr>
            </w:pPr>
            <w:r w:rsidRPr="00AF0E0B">
              <w:rPr>
                <w:rFonts w:ascii="Calibri" w:eastAsia="Calibri" w:hAnsi="Calibri" w:cs="Calibri"/>
                <w:i/>
                <w:iCs/>
                <w:color w:val="000000"/>
                <w:sz w:val="22"/>
                <w:szCs w:val="22"/>
                <w:u w:color="000000"/>
                <w:bdr w:val="nil"/>
                <w:lang w:val="en-US" w:eastAsia="en-GB"/>
              </w:rPr>
              <w:t>Intra-corporal metal-including pacemakers and any other MRI contraindication</w:t>
            </w:r>
          </w:p>
        </w:tc>
      </w:tr>
      <w:tr w:rsidR="00AF0E0B" w:rsidRPr="00AF0E0B" w14:paraId="545178CA" w14:textId="77777777" w:rsidTr="00AB4128">
        <w:trPr>
          <w:trHeight w:val="250"/>
        </w:trPr>
        <w:tc>
          <w:tcPr>
            <w:tcW w:w="905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592303E" w14:textId="77777777" w:rsidR="00AF0E0B" w:rsidRPr="00AF0E0B" w:rsidRDefault="00AF0E0B" w:rsidP="00A460BB">
            <w:pPr>
              <w:numPr>
                <w:ilvl w:val="0"/>
                <w:numId w:val="10"/>
              </w:numPr>
              <w:pBdr>
                <w:top w:val="nil"/>
                <w:left w:val="nil"/>
                <w:bottom w:val="nil"/>
                <w:right w:val="nil"/>
                <w:between w:val="nil"/>
                <w:bar w:val="nil"/>
              </w:pBdr>
              <w:rPr>
                <w:rFonts w:ascii="Calibri" w:eastAsia="Calibri" w:hAnsi="Calibri" w:cs="Calibri"/>
                <w:i/>
                <w:iCs/>
                <w:color w:val="000000"/>
                <w:sz w:val="22"/>
                <w:szCs w:val="22"/>
                <w:u w:color="000000"/>
                <w:bdr w:val="nil"/>
                <w:lang w:val="en-US" w:eastAsia="en-GB"/>
              </w:rPr>
            </w:pPr>
            <w:r w:rsidRPr="00AF0E0B">
              <w:rPr>
                <w:rFonts w:ascii="Calibri" w:eastAsia="Calibri" w:hAnsi="Calibri" w:cs="Calibri"/>
                <w:i/>
                <w:iCs/>
                <w:color w:val="000000"/>
                <w:sz w:val="22"/>
                <w:szCs w:val="22"/>
                <w:u w:color="000000"/>
                <w:bdr w:val="nil"/>
                <w:lang w:val="en-US" w:eastAsia="en-GB"/>
              </w:rPr>
              <w:t>Claustrophobia</w:t>
            </w:r>
          </w:p>
        </w:tc>
      </w:tr>
      <w:tr w:rsidR="00AF0E0B" w:rsidRPr="00AF0E0B" w14:paraId="41957B21" w14:textId="77777777" w:rsidTr="00AB4128">
        <w:trPr>
          <w:trHeight w:val="610"/>
        </w:trPr>
        <w:tc>
          <w:tcPr>
            <w:tcW w:w="905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493B50C" w14:textId="77777777" w:rsidR="00AF0E0B" w:rsidRPr="00AF0E0B" w:rsidRDefault="00AF0E0B" w:rsidP="00A460BB">
            <w:pPr>
              <w:numPr>
                <w:ilvl w:val="0"/>
                <w:numId w:val="11"/>
              </w:numPr>
              <w:pBdr>
                <w:top w:val="nil"/>
                <w:left w:val="nil"/>
                <w:bottom w:val="nil"/>
                <w:right w:val="nil"/>
                <w:between w:val="nil"/>
                <w:bar w:val="nil"/>
              </w:pBdr>
              <w:rPr>
                <w:rFonts w:ascii="Calibri" w:eastAsia="Calibri" w:hAnsi="Calibri" w:cs="Calibri"/>
                <w:i/>
                <w:iCs/>
                <w:color w:val="000000"/>
                <w:sz w:val="22"/>
                <w:szCs w:val="22"/>
                <w:u w:color="000000"/>
                <w:bdr w:val="nil"/>
                <w:lang w:val="en-US" w:eastAsia="en-GB"/>
              </w:rPr>
            </w:pPr>
            <w:r w:rsidRPr="00AF0E0B">
              <w:rPr>
                <w:rFonts w:ascii="Calibri" w:eastAsia="Calibri" w:hAnsi="Calibri" w:cs="Calibri"/>
                <w:i/>
                <w:iCs/>
                <w:color w:val="000000"/>
                <w:sz w:val="22"/>
                <w:szCs w:val="22"/>
                <w:u w:color="000000"/>
                <w:bdr w:val="nil"/>
                <w:lang w:val="en-US" w:eastAsia="en-GB"/>
              </w:rPr>
              <w:t>Previous cerebral event or lesion with ongoing clinical manifestations</w:t>
            </w:r>
          </w:p>
        </w:tc>
      </w:tr>
      <w:tr w:rsidR="00AF0E0B" w:rsidRPr="00AF0E0B" w14:paraId="348A41D6" w14:textId="77777777" w:rsidTr="00AB4128">
        <w:trPr>
          <w:trHeight w:val="250"/>
        </w:trPr>
        <w:tc>
          <w:tcPr>
            <w:tcW w:w="905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EA17ECD" w14:textId="77777777" w:rsidR="00AF0E0B" w:rsidRPr="00AF0E0B" w:rsidRDefault="00AF0E0B" w:rsidP="00A460BB">
            <w:pPr>
              <w:numPr>
                <w:ilvl w:val="0"/>
                <w:numId w:val="12"/>
              </w:numPr>
              <w:pBdr>
                <w:top w:val="nil"/>
                <w:left w:val="nil"/>
                <w:bottom w:val="nil"/>
                <w:right w:val="nil"/>
                <w:between w:val="nil"/>
                <w:bar w:val="nil"/>
              </w:pBdr>
              <w:rPr>
                <w:rFonts w:ascii="Calibri" w:eastAsia="Calibri" w:hAnsi="Calibri" w:cs="Calibri"/>
                <w:i/>
                <w:iCs/>
                <w:color w:val="000000"/>
                <w:sz w:val="22"/>
                <w:szCs w:val="22"/>
                <w:u w:color="000000"/>
                <w:bdr w:val="nil"/>
                <w:lang w:val="en-US" w:eastAsia="en-GB"/>
              </w:rPr>
            </w:pPr>
            <w:r w:rsidRPr="00AF0E0B">
              <w:rPr>
                <w:rFonts w:ascii="Calibri" w:eastAsia="Calibri" w:hAnsi="Calibri" w:cs="Calibri"/>
                <w:i/>
                <w:iCs/>
                <w:color w:val="000000"/>
                <w:sz w:val="22"/>
                <w:szCs w:val="22"/>
                <w:u w:color="000000"/>
                <w:bdr w:val="nil"/>
                <w:lang w:val="en-US" w:eastAsia="en-GB"/>
              </w:rPr>
              <w:t>Non-English speaking</w:t>
            </w:r>
          </w:p>
        </w:tc>
      </w:tr>
      <w:tr w:rsidR="00AF0E0B" w:rsidRPr="00AF0E0B" w14:paraId="72D2DC7C" w14:textId="77777777" w:rsidTr="00AB4128">
        <w:trPr>
          <w:trHeight w:val="250"/>
        </w:trPr>
        <w:tc>
          <w:tcPr>
            <w:tcW w:w="905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70C6D88" w14:textId="77777777" w:rsidR="00AF0E0B" w:rsidRPr="00AF0E0B" w:rsidRDefault="00AF0E0B" w:rsidP="00A460BB">
            <w:pPr>
              <w:numPr>
                <w:ilvl w:val="0"/>
                <w:numId w:val="13"/>
              </w:numPr>
              <w:pBdr>
                <w:top w:val="nil"/>
                <w:left w:val="nil"/>
                <w:bottom w:val="nil"/>
                <w:right w:val="nil"/>
                <w:between w:val="nil"/>
                <w:bar w:val="nil"/>
              </w:pBdr>
              <w:rPr>
                <w:rFonts w:ascii="Calibri" w:eastAsia="Calibri" w:hAnsi="Calibri" w:cs="Calibri"/>
                <w:i/>
                <w:iCs/>
                <w:color w:val="000000"/>
                <w:sz w:val="22"/>
                <w:szCs w:val="22"/>
                <w:u w:color="000000"/>
                <w:bdr w:val="nil"/>
                <w:lang w:val="en-US" w:eastAsia="en-GB"/>
              </w:rPr>
            </w:pPr>
            <w:r w:rsidRPr="00AF0E0B">
              <w:rPr>
                <w:rFonts w:ascii="Calibri" w:eastAsia="Calibri" w:hAnsi="Calibri" w:cs="Calibri"/>
                <w:i/>
                <w:iCs/>
                <w:color w:val="000000"/>
                <w:sz w:val="22"/>
                <w:szCs w:val="22"/>
                <w:u w:color="000000"/>
                <w:bdr w:val="nil"/>
                <w:lang w:val="en-US" w:eastAsia="en-GB"/>
              </w:rPr>
              <w:t>Pregnancy</w:t>
            </w:r>
          </w:p>
        </w:tc>
      </w:tr>
      <w:tr w:rsidR="00AF0E0B" w:rsidRPr="00AF0E0B" w14:paraId="1C523550" w14:textId="77777777" w:rsidTr="00AB4128">
        <w:trPr>
          <w:trHeight w:val="250"/>
        </w:trPr>
        <w:tc>
          <w:tcPr>
            <w:tcW w:w="905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E617856" w14:textId="77777777" w:rsidR="00AF0E0B" w:rsidRPr="00AF0E0B" w:rsidRDefault="00AF0E0B" w:rsidP="00A460BB">
            <w:pPr>
              <w:numPr>
                <w:ilvl w:val="0"/>
                <w:numId w:val="14"/>
              </w:numPr>
              <w:pBdr>
                <w:top w:val="nil"/>
                <w:left w:val="nil"/>
                <w:bottom w:val="nil"/>
                <w:right w:val="nil"/>
                <w:between w:val="nil"/>
                <w:bar w:val="nil"/>
              </w:pBdr>
              <w:rPr>
                <w:rFonts w:ascii="Calibri" w:eastAsia="Calibri" w:hAnsi="Calibri" w:cs="Calibri"/>
                <w:i/>
                <w:iCs/>
                <w:color w:val="000000"/>
                <w:sz w:val="22"/>
                <w:szCs w:val="22"/>
                <w:u w:color="000000"/>
                <w:bdr w:val="nil"/>
                <w:lang w:val="en-US" w:eastAsia="en-GB"/>
              </w:rPr>
            </w:pPr>
            <w:r w:rsidRPr="00AF0E0B">
              <w:rPr>
                <w:rFonts w:ascii="Calibri" w:eastAsia="Calibri" w:hAnsi="Calibri" w:cs="Calibri"/>
                <w:i/>
                <w:iCs/>
                <w:color w:val="000000"/>
                <w:sz w:val="22"/>
                <w:szCs w:val="22"/>
                <w:u w:color="000000"/>
                <w:bdr w:val="nil"/>
                <w:lang w:val="en-US" w:eastAsia="en-GB"/>
              </w:rPr>
              <w:t>Over 80 years of age</w:t>
            </w:r>
          </w:p>
        </w:tc>
      </w:tr>
      <w:tr w:rsidR="00AF0E0B" w:rsidRPr="00AF0E0B" w14:paraId="1A5579B9" w14:textId="77777777" w:rsidTr="00AB4128">
        <w:trPr>
          <w:trHeight w:val="250"/>
        </w:trPr>
        <w:tc>
          <w:tcPr>
            <w:tcW w:w="905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8D40F23" w14:textId="77777777" w:rsidR="00AF0E0B" w:rsidRPr="00AF0E0B" w:rsidRDefault="00AF0E0B" w:rsidP="00A460BB">
            <w:pPr>
              <w:numPr>
                <w:ilvl w:val="0"/>
                <w:numId w:val="15"/>
              </w:numPr>
              <w:pBdr>
                <w:top w:val="nil"/>
                <w:left w:val="nil"/>
                <w:bottom w:val="nil"/>
                <w:right w:val="nil"/>
                <w:between w:val="nil"/>
                <w:bar w:val="nil"/>
              </w:pBdr>
              <w:rPr>
                <w:rFonts w:ascii="Calibri" w:eastAsia="Calibri" w:hAnsi="Calibri" w:cs="Calibri"/>
                <w:i/>
                <w:iCs/>
                <w:color w:val="000000"/>
                <w:sz w:val="22"/>
                <w:szCs w:val="22"/>
                <w:u w:color="000000"/>
                <w:bdr w:val="nil"/>
                <w:lang w:val="en-US" w:eastAsia="en-GB"/>
              </w:rPr>
            </w:pPr>
            <w:r w:rsidRPr="00AF0E0B">
              <w:rPr>
                <w:rFonts w:ascii="Calibri" w:eastAsia="Calibri" w:hAnsi="Calibri" w:cs="Calibri"/>
                <w:i/>
                <w:iCs/>
                <w:color w:val="000000"/>
                <w:sz w:val="22"/>
                <w:szCs w:val="22"/>
                <w:u w:color="000000"/>
                <w:bdr w:val="nil"/>
                <w:lang w:val="en-US" w:eastAsia="en-GB"/>
              </w:rPr>
              <w:t>NYHA Grade 3 heart failure</w:t>
            </w:r>
          </w:p>
        </w:tc>
      </w:tr>
      <w:tr w:rsidR="00AF0E0B" w:rsidRPr="00AF0E0B" w14:paraId="0A828364" w14:textId="77777777" w:rsidTr="00AB4128">
        <w:trPr>
          <w:trHeight w:val="610"/>
        </w:trPr>
        <w:tc>
          <w:tcPr>
            <w:tcW w:w="905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C2B7709" w14:textId="77777777" w:rsidR="00AF0E0B" w:rsidRPr="00AF0E0B" w:rsidRDefault="00AF0E0B" w:rsidP="00A460BB">
            <w:pPr>
              <w:numPr>
                <w:ilvl w:val="0"/>
                <w:numId w:val="16"/>
              </w:numPr>
              <w:pBdr>
                <w:top w:val="nil"/>
                <w:left w:val="nil"/>
                <w:bottom w:val="nil"/>
                <w:right w:val="nil"/>
                <w:between w:val="nil"/>
                <w:bar w:val="nil"/>
              </w:pBdr>
              <w:rPr>
                <w:rFonts w:ascii="Calibri" w:eastAsia="Calibri" w:hAnsi="Calibri" w:cs="Calibri"/>
                <w:i/>
                <w:iCs/>
                <w:color w:val="000000"/>
                <w:sz w:val="22"/>
                <w:szCs w:val="22"/>
                <w:u w:color="000000"/>
                <w:bdr w:val="nil"/>
                <w:lang w:val="en-US" w:eastAsia="en-GB"/>
              </w:rPr>
            </w:pPr>
            <w:r w:rsidRPr="00AF0E0B">
              <w:rPr>
                <w:rFonts w:ascii="Calibri" w:eastAsia="Calibri" w:hAnsi="Calibri" w:cs="Calibri"/>
                <w:i/>
                <w:iCs/>
                <w:color w:val="000000"/>
                <w:sz w:val="22"/>
                <w:szCs w:val="22"/>
                <w:u w:color="000000"/>
                <w:bdr w:val="nil"/>
                <w:lang w:val="en-US" w:eastAsia="en-GB"/>
              </w:rPr>
              <w:t>Clinically diagnosed lung disease requiring long-term oxygen therapy</w:t>
            </w:r>
          </w:p>
        </w:tc>
      </w:tr>
      <w:tr w:rsidR="00AF0E0B" w:rsidRPr="00AF0E0B" w14:paraId="6A8925CE" w14:textId="77777777" w:rsidTr="00AB4128">
        <w:trPr>
          <w:trHeight w:val="610"/>
        </w:trPr>
        <w:tc>
          <w:tcPr>
            <w:tcW w:w="905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BF7551D" w14:textId="77777777" w:rsidR="00AF0E0B" w:rsidRPr="00AF0E0B" w:rsidRDefault="00AF0E0B" w:rsidP="00A460BB">
            <w:pPr>
              <w:numPr>
                <w:ilvl w:val="0"/>
                <w:numId w:val="17"/>
              </w:numPr>
              <w:pBdr>
                <w:top w:val="nil"/>
                <w:left w:val="nil"/>
                <w:bottom w:val="nil"/>
                <w:right w:val="nil"/>
                <w:between w:val="nil"/>
                <w:bar w:val="nil"/>
              </w:pBdr>
              <w:rPr>
                <w:rFonts w:ascii="Calibri" w:eastAsia="Calibri" w:hAnsi="Calibri" w:cs="Calibri"/>
                <w:i/>
                <w:iCs/>
                <w:color w:val="000000"/>
                <w:sz w:val="22"/>
                <w:szCs w:val="22"/>
                <w:u w:color="000000"/>
                <w:bdr w:val="nil"/>
                <w:lang w:val="en-US" w:eastAsia="en-GB"/>
              </w:rPr>
            </w:pPr>
            <w:r w:rsidRPr="00AF0E0B">
              <w:rPr>
                <w:rFonts w:ascii="Calibri" w:eastAsia="Calibri" w:hAnsi="Calibri" w:cs="Calibri"/>
                <w:i/>
                <w:iCs/>
                <w:color w:val="000000"/>
                <w:sz w:val="22"/>
                <w:szCs w:val="22"/>
                <w:u w:color="000000"/>
                <w:bdr w:val="nil"/>
                <w:lang w:val="en-US" w:eastAsia="en-GB"/>
              </w:rPr>
              <w:t xml:space="preserve">Clinically diagnosed sleep </w:t>
            </w:r>
            <w:proofErr w:type="spellStart"/>
            <w:r w:rsidRPr="00AF0E0B">
              <w:rPr>
                <w:rFonts w:ascii="Calibri" w:eastAsia="Calibri" w:hAnsi="Calibri" w:cs="Calibri"/>
                <w:i/>
                <w:iCs/>
                <w:color w:val="000000"/>
                <w:sz w:val="22"/>
                <w:szCs w:val="22"/>
                <w:u w:color="000000"/>
                <w:bdr w:val="nil"/>
                <w:lang w:val="en-US" w:eastAsia="en-GB"/>
              </w:rPr>
              <w:t>apnoea</w:t>
            </w:r>
            <w:proofErr w:type="spellEnd"/>
            <w:r w:rsidRPr="00AF0E0B">
              <w:rPr>
                <w:rFonts w:ascii="Calibri" w:eastAsia="Calibri" w:hAnsi="Calibri" w:cs="Calibri"/>
                <w:i/>
                <w:iCs/>
                <w:color w:val="000000"/>
                <w:sz w:val="22"/>
                <w:szCs w:val="22"/>
                <w:u w:color="000000"/>
                <w:bdr w:val="nil"/>
                <w:lang w:val="en-US" w:eastAsia="en-GB"/>
              </w:rPr>
              <w:t xml:space="preserve"> requiring non-invasive ventilation</w:t>
            </w:r>
          </w:p>
        </w:tc>
      </w:tr>
      <w:tr w:rsidR="00AF0E0B" w:rsidRPr="00AF0E0B" w14:paraId="7B0C6459" w14:textId="77777777" w:rsidTr="00AB4128">
        <w:trPr>
          <w:trHeight w:val="250"/>
        </w:trPr>
        <w:tc>
          <w:tcPr>
            <w:tcW w:w="905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A7C3BBC" w14:textId="77777777" w:rsidR="00AF0E0B" w:rsidRPr="00AF0E0B" w:rsidRDefault="00AF0E0B" w:rsidP="00A460BB">
            <w:pPr>
              <w:numPr>
                <w:ilvl w:val="0"/>
                <w:numId w:val="18"/>
              </w:numPr>
              <w:pBdr>
                <w:top w:val="nil"/>
                <w:left w:val="nil"/>
                <w:bottom w:val="nil"/>
                <w:right w:val="nil"/>
                <w:between w:val="nil"/>
                <w:bar w:val="nil"/>
              </w:pBdr>
              <w:rPr>
                <w:rFonts w:ascii="Calibri" w:eastAsia="Calibri" w:hAnsi="Calibri" w:cs="Calibri"/>
                <w:i/>
                <w:iCs/>
                <w:color w:val="000000"/>
                <w:sz w:val="22"/>
                <w:szCs w:val="22"/>
                <w:u w:color="000000"/>
                <w:bdr w:val="nil"/>
                <w:lang w:val="en-US" w:eastAsia="en-GB"/>
              </w:rPr>
            </w:pPr>
            <w:r w:rsidRPr="00AF0E0B">
              <w:rPr>
                <w:rFonts w:ascii="Calibri" w:eastAsia="Calibri" w:hAnsi="Calibri" w:cs="Calibri"/>
                <w:i/>
                <w:iCs/>
                <w:color w:val="000000"/>
                <w:sz w:val="22"/>
                <w:szCs w:val="22"/>
                <w:u w:color="000000"/>
                <w:bdr w:val="nil"/>
                <w:lang w:val="en-US" w:eastAsia="en-GB"/>
              </w:rPr>
              <w:t>Alcohol &gt;20 units a week</w:t>
            </w:r>
          </w:p>
        </w:tc>
      </w:tr>
      <w:tr w:rsidR="00AF0E0B" w:rsidRPr="00AF0E0B" w14:paraId="3B97B4FF" w14:textId="77777777" w:rsidTr="00AB4128">
        <w:trPr>
          <w:trHeight w:val="250"/>
        </w:trPr>
        <w:tc>
          <w:tcPr>
            <w:tcW w:w="905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572AE5C" w14:textId="77777777" w:rsidR="00AF0E0B" w:rsidRPr="00AF0E0B" w:rsidRDefault="00AF0E0B" w:rsidP="00A460BB">
            <w:pPr>
              <w:numPr>
                <w:ilvl w:val="0"/>
                <w:numId w:val="19"/>
              </w:numPr>
              <w:pBdr>
                <w:top w:val="nil"/>
                <w:left w:val="nil"/>
                <w:bottom w:val="nil"/>
                <w:right w:val="nil"/>
                <w:between w:val="nil"/>
                <w:bar w:val="nil"/>
              </w:pBdr>
              <w:rPr>
                <w:rFonts w:ascii="Calibri" w:eastAsia="Calibri" w:hAnsi="Calibri" w:cs="Calibri"/>
                <w:i/>
                <w:iCs/>
                <w:color w:val="000000"/>
                <w:sz w:val="22"/>
                <w:szCs w:val="22"/>
                <w:u w:color="000000"/>
                <w:bdr w:val="nil"/>
                <w:lang w:val="en-US" w:eastAsia="en-GB"/>
              </w:rPr>
            </w:pPr>
            <w:r w:rsidRPr="00AF0E0B">
              <w:rPr>
                <w:rFonts w:ascii="Calibri" w:eastAsia="Calibri" w:hAnsi="Calibri" w:cs="Calibri"/>
                <w:i/>
                <w:iCs/>
                <w:color w:val="000000"/>
                <w:sz w:val="22"/>
                <w:szCs w:val="22"/>
                <w:u w:color="000000"/>
                <w:bdr w:val="nil"/>
                <w:lang w:val="en-US" w:eastAsia="en-GB"/>
              </w:rPr>
              <w:t xml:space="preserve">Current smoker </w:t>
            </w:r>
          </w:p>
        </w:tc>
      </w:tr>
      <w:tr w:rsidR="00AF0E0B" w:rsidRPr="00AF0E0B" w14:paraId="26516666" w14:textId="77777777" w:rsidTr="00AB4128">
        <w:trPr>
          <w:trHeight w:val="610"/>
        </w:trPr>
        <w:tc>
          <w:tcPr>
            <w:tcW w:w="905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6076F9B" w14:textId="77777777" w:rsidR="00AF0E0B" w:rsidRPr="00AF0E0B" w:rsidRDefault="00AF0E0B" w:rsidP="00A460BB">
            <w:pPr>
              <w:numPr>
                <w:ilvl w:val="0"/>
                <w:numId w:val="20"/>
              </w:numPr>
              <w:pBdr>
                <w:top w:val="nil"/>
                <w:left w:val="nil"/>
                <w:bottom w:val="nil"/>
                <w:right w:val="nil"/>
                <w:between w:val="nil"/>
                <w:bar w:val="nil"/>
              </w:pBdr>
              <w:spacing w:after="200"/>
              <w:rPr>
                <w:rFonts w:ascii="Calibri" w:eastAsia="Calibri" w:hAnsi="Calibri" w:cs="Calibri"/>
                <w:i/>
                <w:iCs/>
                <w:color w:val="000000"/>
                <w:sz w:val="22"/>
                <w:szCs w:val="22"/>
                <w:u w:color="000000"/>
                <w:bdr w:val="nil"/>
                <w:lang w:val="en-US" w:eastAsia="en-GB"/>
              </w:rPr>
            </w:pPr>
            <w:r w:rsidRPr="00AF0E0B">
              <w:rPr>
                <w:rFonts w:ascii="Calibri" w:eastAsia="Calibri" w:hAnsi="Calibri" w:cs="Calibri"/>
                <w:i/>
                <w:iCs/>
                <w:color w:val="000000"/>
                <w:sz w:val="22"/>
                <w:szCs w:val="22"/>
                <w:u w:color="000000"/>
                <w:bdr w:val="nil"/>
                <w:lang w:val="en-US" w:eastAsia="en-GB"/>
              </w:rPr>
              <w:t>Inability to discontinue pain medications for 48 hours prior to scan visits</w:t>
            </w:r>
          </w:p>
        </w:tc>
      </w:tr>
    </w:tbl>
    <w:p w14:paraId="1BD22FC6" w14:textId="77777777" w:rsidR="00AF0E0B" w:rsidRPr="00AF0E0B" w:rsidRDefault="00AF0E0B" w:rsidP="00AF0E0B">
      <w:pPr>
        <w:widowControl w:val="0"/>
        <w:pBdr>
          <w:top w:val="nil"/>
          <w:left w:val="nil"/>
          <w:bottom w:val="nil"/>
          <w:right w:val="nil"/>
          <w:between w:val="nil"/>
          <w:bar w:val="nil"/>
        </w:pBdr>
        <w:outlineLvl w:val="6"/>
        <w:rPr>
          <w:rFonts w:eastAsia="Arial" w:cs="Arial"/>
          <w:i/>
          <w:iCs/>
          <w:color w:val="44546A"/>
          <w:u w:color="44546A"/>
          <w:bdr w:val="nil"/>
          <w:lang w:val="en-US" w:eastAsia="en-GB"/>
        </w:rPr>
      </w:pPr>
    </w:p>
    <w:p w14:paraId="697F74CD" w14:textId="67F0F13D" w:rsidR="00AF0E0B" w:rsidRPr="00455CF2" w:rsidRDefault="00AF0E0B" w:rsidP="0031237D">
      <w:pPr>
        <w:pStyle w:val="Heading3"/>
      </w:pPr>
      <w:bookmarkStart w:id="129" w:name="_Toc49973099"/>
      <w:bookmarkStart w:id="130" w:name="_Toc64723899"/>
      <w:r w:rsidRPr="00455CF2">
        <w:lastRenderedPageBreak/>
        <w:t>Physical Measurements</w:t>
      </w:r>
      <w:bookmarkEnd w:id="129"/>
      <w:bookmarkEnd w:id="130"/>
    </w:p>
    <w:p w14:paraId="59B0CD50" w14:textId="77777777" w:rsidR="00AF0E0B" w:rsidRPr="00AF0E0B" w:rsidRDefault="00AF0E0B" w:rsidP="00AF0E0B">
      <w:pPr>
        <w:pBdr>
          <w:top w:val="nil"/>
          <w:left w:val="nil"/>
          <w:bottom w:val="nil"/>
          <w:right w:val="nil"/>
          <w:between w:val="nil"/>
          <w:bar w:val="nil"/>
        </w:pBdr>
        <w:spacing w:line="360" w:lineRule="auto"/>
        <w:rPr>
          <w:rFonts w:eastAsia="Arial" w:cs="Arial"/>
          <w:color w:val="000000"/>
          <w:u w:color="000000"/>
          <w:bdr w:val="nil"/>
          <w:lang w:eastAsia="en-GB"/>
        </w:rPr>
      </w:pPr>
      <w:r w:rsidRPr="00AF0E0B">
        <w:rPr>
          <w:rFonts w:eastAsia="Arial Unicode MS" w:cs="Arial Unicode MS"/>
          <w:color w:val="000000"/>
          <w:u w:color="000000"/>
          <w:bdr w:val="nil"/>
          <w:lang w:val="en-US" w:eastAsia="en-GB"/>
        </w:rPr>
        <w:t>Height was measured using an electronic height-measuring instrument (</w:t>
      </w:r>
      <w:proofErr w:type="spellStart"/>
      <w:r w:rsidRPr="00AF0E0B">
        <w:rPr>
          <w:rFonts w:eastAsia="Arial Unicode MS" w:cs="Arial Unicode MS"/>
          <w:color w:val="000000"/>
          <w:u w:color="000000"/>
          <w:bdr w:val="nil"/>
          <w:lang w:val="en-US" w:eastAsia="en-GB"/>
        </w:rPr>
        <w:t>Seca</w:t>
      </w:r>
      <w:proofErr w:type="spellEnd"/>
      <w:r w:rsidRPr="00AF0E0B">
        <w:rPr>
          <w:rFonts w:eastAsia="Arial Unicode MS" w:cs="Arial Unicode MS"/>
          <w:color w:val="000000"/>
          <w:u w:color="000000"/>
          <w:bdr w:val="nil"/>
          <w:lang w:val="en-US" w:eastAsia="en-GB"/>
        </w:rPr>
        <w:t>, Germany).  Weight was measured using scales to the nearest 0.5 of a kilogram (</w:t>
      </w:r>
      <w:proofErr w:type="spellStart"/>
      <w:r w:rsidRPr="00AF0E0B">
        <w:rPr>
          <w:rFonts w:eastAsia="Arial Unicode MS" w:cs="Arial Unicode MS"/>
          <w:color w:val="000000"/>
          <w:u w:color="000000"/>
          <w:bdr w:val="nil"/>
          <w:lang w:val="en-US" w:eastAsia="en-GB"/>
        </w:rPr>
        <w:t>Seca</w:t>
      </w:r>
      <w:proofErr w:type="spellEnd"/>
      <w:r w:rsidRPr="00AF0E0B">
        <w:rPr>
          <w:rFonts w:eastAsia="Arial Unicode MS" w:cs="Arial Unicode MS"/>
          <w:color w:val="000000"/>
          <w:u w:color="000000"/>
          <w:bdr w:val="nil"/>
          <w:lang w:val="en-US" w:eastAsia="en-GB"/>
        </w:rPr>
        <w:t xml:space="preserve">, Germany).  Blood pressure and pulse were measured using an automated blood pressure cuff (Omron 2, </w:t>
      </w:r>
      <w:proofErr w:type="spellStart"/>
      <w:r w:rsidRPr="00AF0E0B">
        <w:rPr>
          <w:rFonts w:eastAsia="Arial Unicode MS" w:cs="Arial Unicode MS"/>
          <w:color w:val="000000"/>
          <w:u w:color="000000"/>
          <w:bdr w:val="nil"/>
          <w:lang w:val="en-US" w:eastAsia="en-GB"/>
        </w:rPr>
        <w:t>Hoofddorp</w:t>
      </w:r>
      <w:proofErr w:type="spellEnd"/>
      <w:r w:rsidRPr="00AF0E0B">
        <w:rPr>
          <w:rFonts w:eastAsia="Arial Unicode MS" w:cs="Arial Unicode MS"/>
          <w:color w:val="000000"/>
          <w:u w:color="000000"/>
          <w:bdr w:val="nil"/>
          <w:lang w:val="en-US" w:eastAsia="en-GB"/>
        </w:rPr>
        <w:t xml:space="preserve">, the Netherlands) in the supine position after three minutes.  </w:t>
      </w:r>
    </w:p>
    <w:p w14:paraId="6EC16507" w14:textId="5F758567" w:rsidR="00AF0E0B" w:rsidRPr="00AF0E0B" w:rsidRDefault="00AF0E0B" w:rsidP="0031237D">
      <w:pPr>
        <w:pStyle w:val="Heading3"/>
      </w:pPr>
      <w:bookmarkStart w:id="131" w:name="_Toc49973100"/>
      <w:bookmarkStart w:id="132" w:name="_Toc64723900"/>
      <w:r w:rsidRPr="00AF0E0B">
        <w:t>Diagnosis of P-DPN</w:t>
      </w:r>
      <w:bookmarkEnd w:id="131"/>
      <w:bookmarkEnd w:id="132"/>
      <w:r w:rsidRPr="00AF0E0B">
        <w:t xml:space="preserve"> </w:t>
      </w:r>
    </w:p>
    <w:p w14:paraId="0C4DBE20" w14:textId="77777777" w:rsidR="00AF0E0B" w:rsidRPr="00AF0E0B" w:rsidRDefault="00AF0E0B" w:rsidP="00AF0E0B">
      <w:pPr>
        <w:pBdr>
          <w:top w:val="nil"/>
          <w:left w:val="nil"/>
          <w:bottom w:val="nil"/>
          <w:right w:val="nil"/>
          <w:between w:val="nil"/>
          <w:bar w:val="nil"/>
        </w:pBdr>
        <w:spacing w:line="360" w:lineRule="auto"/>
        <w:rPr>
          <w:rFonts w:eastAsia="Arial Unicode MS" w:cs="Arial Unicode MS"/>
          <w:color w:val="000000"/>
          <w:u w:color="000000"/>
          <w:bdr w:val="nil"/>
          <w:lang w:val="en-US" w:eastAsia="en-GB"/>
        </w:rPr>
      </w:pPr>
      <w:r w:rsidRPr="00AF0E0B">
        <w:rPr>
          <w:rFonts w:eastAsia="Arial Unicode MS" w:cs="Arial Unicode MS"/>
          <w:color w:val="000000"/>
          <w:u w:color="000000"/>
          <w:bdr w:val="nil"/>
          <w:lang w:val="en-US" w:eastAsia="en-GB"/>
        </w:rPr>
        <w:t xml:space="preserve">There are a number of validated questionnaires to differentiate between P-DPN and DPN (painless diabetic peripheral neuropathy) </w:t>
      </w:r>
      <w:proofErr w:type="spellStart"/>
      <w:r w:rsidRPr="00AF0E0B">
        <w:rPr>
          <w:rFonts w:eastAsia="Arial Unicode MS" w:cs="Arial Unicode MS"/>
          <w:color w:val="000000"/>
          <w:u w:color="000000"/>
          <w:bdr w:val="nil"/>
          <w:lang w:val="fr-FR" w:eastAsia="en-GB"/>
        </w:rPr>
        <w:t>including</w:t>
      </w:r>
      <w:proofErr w:type="spellEnd"/>
      <w:r w:rsidRPr="00AF0E0B">
        <w:rPr>
          <w:rFonts w:eastAsia="Arial Unicode MS" w:cs="Arial Unicode MS"/>
          <w:color w:val="000000"/>
          <w:u w:color="000000"/>
          <w:bdr w:val="nil"/>
          <w:lang w:val="fr-FR" w:eastAsia="en-GB"/>
        </w:rPr>
        <w:t>: Douleur Neuropathique 4 (DN4)</w:t>
      </w:r>
      <w:r w:rsidRPr="00AF0E0B">
        <w:rPr>
          <w:rFonts w:eastAsia="Arial Unicode MS" w:cs="Arial Unicode MS"/>
          <w:color w:val="000000"/>
          <w:u w:color="000000"/>
          <w:bdr w:val="nil"/>
          <w:lang w:val="fr-FR" w:eastAsia="en-GB"/>
        </w:rPr>
        <w:fldChar w:fldCharType="begin">
          <w:fldData xml:space="preserve">PEVuZE5vdGU+PENpdGU+PEF1dGhvcj5Cb3VoYXNzaXJhPC9BdXRob3I+PFllYXI+MjAwNTwvWWVh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</w:fldData>
        </w:fldChar>
      </w:r>
      <w:r w:rsidRPr="00AF0E0B">
        <w:rPr>
          <w:rFonts w:eastAsia="Arial Unicode MS" w:cs="Arial Unicode MS"/>
          <w:color w:val="000000"/>
          <w:u w:color="000000"/>
          <w:bdr w:val="nil"/>
          <w:lang w:val="fr-FR" w:eastAsia="en-GB"/>
        </w:rPr>
        <w:instrText xml:space="preserve"> ADDIN EN.CITE </w:instrText>
      </w:r>
      <w:r w:rsidRPr="00AF0E0B">
        <w:rPr>
          <w:rFonts w:eastAsia="Arial Unicode MS" w:cs="Arial Unicode MS"/>
          <w:color w:val="000000"/>
          <w:u w:color="000000"/>
          <w:bdr w:val="nil"/>
          <w:lang w:val="fr-FR" w:eastAsia="en-GB"/>
        </w:rPr>
        <w:fldChar w:fldCharType="begin">
          <w:fldData xml:space="preserve">PEVuZE5vdGU+PENpdGU+PEF1dGhvcj5Cb3VoYXNzaXJhPC9BdXRob3I+PFllYXI+MjAwNTwvWWVh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</w:fldData>
        </w:fldChar>
      </w:r>
      <w:r w:rsidRPr="00AF0E0B">
        <w:rPr>
          <w:rFonts w:eastAsia="Arial Unicode MS" w:cs="Arial Unicode MS"/>
          <w:color w:val="000000"/>
          <w:u w:color="000000"/>
          <w:bdr w:val="nil"/>
          <w:lang w:val="fr-FR" w:eastAsia="en-GB"/>
        </w:rPr>
        <w:instrText xml:space="preserve"> ADDIN EN.CITE.DATA </w:instrText>
      </w:r>
      <w:r w:rsidRPr="00AF0E0B">
        <w:rPr>
          <w:rFonts w:eastAsia="Arial Unicode MS" w:cs="Arial Unicode MS"/>
          <w:color w:val="000000"/>
          <w:u w:color="000000"/>
          <w:bdr w:val="nil"/>
          <w:lang w:val="fr-FR" w:eastAsia="en-GB"/>
        </w:rPr>
      </w:r>
      <w:r w:rsidRPr="00AF0E0B">
        <w:rPr>
          <w:rFonts w:eastAsia="Arial Unicode MS" w:cs="Arial Unicode MS"/>
          <w:color w:val="000000"/>
          <w:u w:color="000000"/>
          <w:bdr w:val="nil"/>
          <w:lang w:val="fr-FR" w:eastAsia="en-GB"/>
        </w:rPr>
        <w:fldChar w:fldCharType="end"/>
      </w:r>
      <w:r w:rsidRPr="00AF0E0B">
        <w:rPr>
          <w:rFonts w:eastAsia="Arial Unicode MS" w:cs="Arial Unicode MS"/>
          <w:color w:val="000000"/>
          <w:u w:color="000000"/>
          <w:bdr w:val="nil"/>
          <w:lang w:val="fr-FR" w:eastAsia="en-GB"/>
        </w:rPr>
      </w:r>
      <w:r w:rsidRPr="00AF0E0B">
        <w:rPr>
          <w:rFonts w:eastAsia="Arial Unicode MS" w:cs="Arial Unicode MS"/>
          <w:color w:val="000000"/>
          <w:u w:color="000000"/>
          <w:bdr w:val="nil"/>
          <w:lang w:val="fr-FR" w:eastAsia="en-GB"/>
        </w:rPr>
        <w:fldChar w:fldCharType="separate"/>
      </w:r>
      <w:r w:rsidRPr="00AF0E0B">
        <w:rPr>
          <w:rFonts w:eastAsia="Arial Unicode MS" w:cs="Arial Unicode MS"/>
          <w:noProof/>
          <w:color w:val="000000"/>
          <w:u w:color="000000"/>
          <w:bdr w:val="nil"/>
          <w:lang w:val="fr-FR" w:eastAsia="en-GB"/>
        </w:rPr>
        <w:t>(Bouhassira et al., 2005)</w:t>
      </w:r>
      <w:r w:rsidRPr="00AF0E0B">
        <w:rPr>
          <w:rFonts w:eastAsia="Arial Unicode MS" w:cs="Arial Unicode MS"/>
          <w:color w:val="000000"/>
          <w:u w:color="000000"/>
          <w:bdr w:val="nil"/>
          <w:lang w:val="fr-FR" w:eastAsia="en-GB"/>
        </w:rPr>
        <w:fldChar w:fldCharType="end"/>
      </w:r>
      <w:r w:rsidRPr="00AF0E0B">
        <w:rPr>
          <w:rFonts w:eastAsia="Arial Unicode MS" w:cs="Arial Unicode MS"/>
          <w:color w:val="000000"/>
          <w:u w:color="000000"/>
          <w:bdr w:val="nil"/>
          <w:lang w:val="en-US" w:eastAsia="en-GB"/>
        </w:rPr>
        <w:t xml:space="preserve">, Leeds Assessment of Neuropathic Symptoms and Signs (LANSS), </w:t>
      </w:r>
      <w:r w:rsidRPr="00AF0E0B">
        <w:rPr>
          <w:rFonts w:eastAsia="Arial Unicode MS" w:cs="Arial Unicode MS"/>
          <w:color w:val="000000"/>
          <w:u w:color="000000"/>
          <w:bdr w:val="nil"/>
          <w:lang w:val="en-US" w:eastAsia="en-GB"/>
        </w:rPr>
        <w:fldChar w:fldCharType="begin"/>
      </w:r>
      <w:r w:rsidRPr="00AF0E0B">
        <w:rPr>
          <w:rFonts w:eastAsia="Arial Unicode MS" w:cs="Arial Unicode MS"/>
          <w:color w:val="000000"/>
          <w:u w:color="000000"/>
          <w:bdr w:val="nil"/>
          <w:lang w:val="en-US" w:eastAsia="en-GB"/>
        </w:rPr>
        <w:instrText xml:space="preserve"> ADDIN EN.CITE &lt;EndNote&gt;&lt;Cite&gt;&lt;Author&gt;Bennett&lt;/Author&gt;&lt;Year&gt;2001&lt;/Year&gt;&lt;IDText&gt;The LANSS Pain Scale: the Leeds assessment of neuropathic symptoms and signs&lt;/IDText&gt;&lt;DisplayText&gt;(Bennett, 2001)&lt;/DisplayText&gt;&lt;record&gt;&lt;keywords&gt;&lt;keyword&gt;LANSS Pain Scale&lt;/keyword&gt;&lt;keyword&gt;Pain assessment&lt;/keyword&gt;&lt;keyword&gt;Sensory description&lt;/keyword&gt;&lt;keyword&gt;Neuropathic symptoms&lt;/keyword&gt;&lt;keyword&gt;Neuropathic pain&lt;/keyword&gt;&lt;keyword&gt;sensory description&lt;/keyword&gt;&lt;keyword&gt;neuropathic symptoms&lt;/keyword&gt;&lt;keyword&gt;NERVE&lt;/keyword&gt;&lt;keyword&gt;neuropathic pain&lt;/keyword&gt;&lt;keyword&gt;DIABETIC NEUROPATHY&lt;/keyword&gt;&lt;keyword&gt;pain assessment&lt;/keyword&gt;&lt;keyword&gt;ANESTHESIOLOGY&lt;/keyword&gt;&lt;keyword&gt;MECHANISMS&lt;/keyword&gt;&lt;keyword&gt;NEUROSCIENCES&lt;/keyword&gt;&lt;keyword&gt;CLINICAL NEUROLOGY&lt;/keyword&gt;&lt;keyword&gt;Pain Measurement - standards&lt;/keyword&gt;&lt;keyword&gt;Pain Measurement - methods&lt;/keyword&gt;&lt;keyword&gt;Reproducibility of Results&lt;/keyword&gt;&lt;keyword&gt;Neurons, Afferent&lt;/keyword&gt;&lt;keyword&gt;Humans&lt;/keyword&gt;&lt;keyword&gt;Middle Aged&lt;/keyword&gt;&lt;keyword&gt;Nociceptors&lt;/keyword&gt;&lt;keyword&gt;Female&lt;/keyword&gt;&lt;keyword&gt;Male&lt;/keyword&gt;&lt;keyword&gt;Neuralgia - diagnosis&lt;/keyword&gt;&lt;keyword&gt;Hyperalgesia - diagnosis&lt;/keyword&gt;&lt;/keywords&gt;&lt;isbn&gt;0304-3959&lt;/isbn&gt;&lt;titles&gt;&lt;title&gt;The LANSS Pain Scale: the Leeds assessment of neuropathic symptoms and signs&lt;/title&gt;&lt;secondary-title&gt;Pain&lt;/secondary-title&gt;&lt;/titles&gt;&lt;pages&gt;147-157&lt;/pages&gt;&lt;number&gt;1&lt;/number&gt;&lt;contributors&gt;&lt;authors&gt;&lt;author&gt;Bennett, Michael&lt;/author&gt;&lt;/authors&gt;&lt;/contributors&gt;&lt;added-date format="utc"&gt;1599129142&lt;/added-date&gt;&lt;pub-location&gt;AMSTERDAM&lt;/pub-location&gt;&lt;ref-type name="Journal Article"&gt;17&lt;/ref-type&gt;&lt;dates&gt;&lt;year&gt;2001&lt;/year&gt;&lt;/dates&gt;&lt;rec-number&gt;1348&lt;/rec-number&gt;&lt;publisher&gt;AMSTERDAM: Ovid Technologies (Wolters Kluwer Health)&lt;/publisher&gt;&lt;last-updated-date format="utc"&gt;1599129142&lt;/last-updated-date&gt;&lt;electronic-resource-num&gt;10.1016/s0304-3959(00)00482-6&lt;/electronic-resource-num&gt;&lt;volume&gt;92&lt;/volume&gt;&lt;/record&gt;&lt;/Cite&gt;&lt;/EndNote&gt;</w:instrText>
      </w:r>
      <w:r w:rsidRPr="00AF0E0B">
        <w:rPr>
          <w:rFonts w:eastAsia="Arial Unicode MS" w:cs="Arial Unicode MS"/>
          <w:color w:val="000000"/>
          <w:u w:color="000000"/>
          <w:bdr w:val="nil"/>
          <w:lang w:val="en-US" w:eastAsia="en-GB"/>
        </w:rPr>
        <w:fldChar w:fldCharType="separate"/>
      </w:r>
      <w:r w:rsidRPr="00AF0E0B">
        <w:rPr>
          <w:rFonts w:eastAsia="Arial Unicode MS" w:cs="Arial Unicode MS"/>
          <w:noProof/>
          <w:color w:val="000000"/>
          <w:u w:color="000000"/>
          <w:bdr w:val="nil"/>
          <w:lang w:val="en-US" w:eastAsia="en-GB"/>
        </w:rPr>
        <w:t>(Bennett, 2001)</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t xml:space="preserve">, </w:t>
      </w:r>
      <w:proofErr w:type="spellStart"/>
      <w:r w:rsidRPr="00AF0E0B">
        <w:rPr>
          <w:rFonts w:eastAsia="Arial Unicode MS" w:cs="Arial Unicode MS"/>
          <w:color w:val="000000"/>
          <w:u w:color="000000"/>
          <w:bdr w:val="nil"/>
          <w:lang w:val="en-US" w:eastAsia="en-GB"/>
        </w:rPr>
        <w:t>painDetect</w:t>
      </w:r>
      <w:proofErr w:type="spellEnd"/>
      <w:r w:rsidRPr="00AF0E0B">
        <w:rPr>
          <w:rFonts w:eastAsia="Arial Unicode MS" w:cs="Arial Unicode MS"/>
          <w:color w:val="000000"/>
          <w:u w:color="000000"/>
          <w:bdr w:val="nil"/>
          <w:lang w:val="en-US" w:eastAsia="en-GB"/>
        </w:rPr>
        <w:t xml:space="preserve"> </w:t>
      </w:r>
      <w:r w:rsidRPr="00AF0E0B">
        <w:rPr>
          <w:rFonts w:eastAsia="Arial Unicode MS" w:cs="Arial Unicode MS"/>
          <w:color w:val="000000"/>
          <w:u w:color="000000"/>
          <w:bdr w:val="nil"/>
          <w:lang w:val="en-US" w:eastAsia="en-GB"/>
        </w:rPr>
        <w:fldChar w:fldCharType="begin">
          <w:fldData xml:space="preserve">PEVuZE5vdGU+PENpdGU+PEF1dGhvcj5GcmV5bmhhZ2VuPC9BdXRob3I+PFllYXI+MjAwNjwvWWVh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</w:fldData>
        </w:fldChar>
      </w:r>
      <w:r w:rsidRPr="00AF0E0B">
        <w:rPr>
          <w:rFonts w:eastAsia="Arial Unicode MS" w:cs="Arial Unicode MS"/>
          <w:color w:val="000000"/>
          <w:u w:color="000000"/>
          <w:bdr w:val="nil"/>
          <w:lang w:val="en-US" w:eastAsia="en-GB"/>
        </w:rPr>
        <w:instrText xml:space="preserve"> ADDIN EN.CITE </w:instrText>
      </w:r>
      <w:r w:rsidRPr="00AF0E0B">
        <w:rPr>
          <w:rFonts w:eastAsia="Arial Unicode MS" w:cs="Arial Unicode MS"/>
          <w:color w:val="000000"/>
          <w:u w:color="000000"/>
          <w:bdr w:val="nil"/>
          <w:lang w:val="en-US" w:eastAsia="en-GB"/>
        </w:rPr>
        <w:fldChar w:fldCharType="begin">
          <w:fldData xml:space="preserve">PEVuZE5vdGU+PENpdGU+PEF1dGhvcj5GcmV5bmhhZ2VuPC9BdXRob3I+PFllYXI+MjAwNjwvWWVh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</w:fldData>
        </w:fldChar>
      </w:r>
      <w:r w:rsidRPr="00AF0E0B">
        <w:rPr>
          <w:rFonts w:eastAsia="Arial Unicode MS" w:cs="Arial Unicode MS"/>
          <w:color w:val="000000"/>
          <w:u w:color="000000"/>
          <w:bdr w:val="nil"/>
          <w:lang w:val="en-US" w:eastAsia="en-GB"/>
        </w:rPr>
        <w:instrText xml:space="preserve"> ADDIN EN.CITE.DATA </w:instrText>
      </w:r>
      <w:r w:rsidRPr="00AF0E0B">
        <w:rPr>
          <w:rFonts w:eastAsia="Arial Unicode MS" w:cs="Arial Unicode MS"/>
          <w:color w:val="000000"/>
          <w:u w:color="000000"/>
          <w:bdr w:val="nil"/>
          <w:lang w:val="en-US" w:eastAsia="en-GB"/>
        </w:rPr>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r>
      <w:r w:rsidRPr="00AF0E0B">
        <w:rPr>
          <w:rFonts w:eastAsia="Arial Unicode MS" w:cs="Arial Unicode MS"/>
          <w:color w:val="000000"/>
          <w:u w:color="000000"/>
          <w:bdr w:val="nil"/>
          <w:lang w:val="en-US" w:eastAsia="en-GB"/>
        </w:rPr>
        <w:fldChar w:fldCharType="separate"/>
      </w:r>
      <w:r w:rsidRPr="00AF0E0B">
        <w:rPr>
          <w:rFonts w:eastAsia="Arial Unicode MS" w:cs="Arial Unicode MS"/>
          <w:noProof/>
          <w:color w:val="000000"/>
          <w:u w:color="000000"/>
          <w:bdr w:val="nil"/>
          <w:lang w:val="en-US" w:eastAsia="en-GB"/>
        </w:rPr>
        <w:t>(Freynhagen et al., 2006)</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fr-FR" w:eastAsia="en-GB"/>
        </w:rPr>
        <w:t xml:space="preserve">, </w:t>
      </w:r>
      <w:proofErr w:type="spellStart"/>
      <w:r w:rsidRPr="00AF0E0B">
        <w:rPr>
          <w:rFonts w:eastAsia="Arial Unicode MS" w:cs="Arial Unicode MS"/>
          <w:color w:val="000000"/>
          <w:u w:color="000000"/>
          <w:bdr w:val="nil"/>
          <w:lang w:val="fr-FR" w:eastAsia="en-GB"/>
        </w:rPr>
        <w:t>Neuropathic</w:t>
      </w:r>
      <w:proofErr w:type="spellEnd"/>
      <w:r w:rsidRPr="00AF0E0B">
        <w:rPr>
          <w:rFonts w:eastAsia="Arial Unicode MS" w:cs="Arial Unicode MS"/>
          <w:color w:val="000000"/>
          <w:u w:color="000000"/>
          <w:bdr w:val="nil"/>
          <w:lang w:val="fr-FR" w:eastAsia="en-GB"/>
        </w:rPr>
        <w:t xml:space="preserve"> Pain Questionnaire (NPQ</w:t>
      </w:r>
      <w:r w:rsidRPr="00AF0E0B">
        <w:rPr>
          <w:rFonts w:eastAsia="Arial Unicode MS" w:cs="Arial Unicode MS"/>
          <w:color w:val="000000"/>
          <w:u w:color="000000"/>
          <w:bdr w:val="nil"/>
          <w:lang w:val="en-US" w:eastAsia="en-GB"/>
        </w:rPr>
        <w:t xml:space="preserve">) </w:t>
      </w:r>
      <w:r w:rsidRPr="00AF0E0B">
        <w:rPr>
          <w:rFonts w:eastAsia="Arial Unicode MS" w:cs="Arial Unicode MS"/>
          <w:color w:val="000000"/>
          <w:u w:color="000000"/>
          <w:bdr w:val="nil"/>
          <w:lang w:val="en-US" w:eastAsia="en-GB"/>
        </w:rPr>
        <w:fldChar w:fldCharType="begin">
          <w:fldData xml:space="preserve">PEVuZE5vdGU+PENpdGU+PEF1dGhvcj5LcmF1c2U8L0F1dGhvcj48WWVhcj4yMDAzPC9ZZWFyPjxJ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=
</w:fldData>
        </w:fldChar>
      </w:r>
      <w:r w:rsidRPr="00AF0E0B">
        <w:rPr>
          <w:rFonts w:eastAsia="Arial Unicode MS" w:cs="Arial Unicode MS"/>
          <w:color w:val="000000"/>
          <w:u w:color="000000"/>
          <w:bdr w:val="nil"/>
          <w:lang w:val="en-US" w:eastAsia="en-GB"/>
        </w:rPr>
        <w:instrText xml:space="preserve"> ADDIN EN.CITE </w:instrText>
      </w:r>
      <w:r w:rsidRPr="00AF0E0B">
        <w:rPr>
          <w:rFonts w:eastAsia="Arial Unicode MS" w:cs="Arial Unicode MS"/>
          <w:color w:val="000000"/>
          <w:u w:color="000000"/>
          <w:bdr w:val="nil"/>
          <w:lang w:val="en-US" w:eastAsia="en-GB"/>
        </w:rPr>
        <w:fldChar w:fldCharType="begin">
          <w:fldData xml:space="preserve">PEVuZE5vdGU+PENpdGU+PEF1dGhvcj5LcmF1c2U8L0F1dGhvcj48WWVhcj4yMDAzPC9ZZWFyPjxJ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=
</w:fldData>
        </w:fldChar>
      </w:r>
      <w:r w:rsidRPr="00AF0E0B">
        <w:rPr>
          <w:rFonts w:eastAsia="Arial Unicode MS" w:cs="Arial Unicode MS"/>
          <w:color w:val="000000"/>
          <w:u w:color="000000"/>
          <w:bdr w:val="nil"/>
          <w:lang w:val="en-US" w:eastAsia="en-GB"/>
        </w:rPr>
        <w:instrText xml:space="preserve"> ADDIN EN.CITE.DATA </w:instrText>
      </w:r>
      <w:r w:rsidRPr="00AF0E0B">
        <w:rPr>
          <w:rFonts w:eastAsia="Arial Unicode MS" w:cs="Arial Unicode MS"/>
          <w:color w:val="000000"/>
          <w:u w:color="000000"/>
          <w:bdr w:val="nil"/>
          <w:lang w:val="en-US" w:eastAsia="en-GB"/>
        </w:rPr>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r>
      <w:r w:rsidRPr="00AF0E0B">
        <w:rPr>
          <w:rFonts w:eastAsia="Arial Unicode MS" w:cs="Arial Unicode MS"/>
          <w:color w:val="000000"/>
          <w:u w:color="000000"/>
          <w:bdr w:val="nil"/>
          <w:lang w:val="en-US" w:eastAsia="en-GB"/>
        </w:rPr>
        <w:fldChar w:fldCharType="separate"/>
      </w:r>
      <w:r w:rsidRPr="00AF0E0B">
        <w:rPr>
          <w:rFonts w:eastAsia="Arial Unicode MS" w:cs="Arial Unicode MS"/>
          <w:noProof/>
          <w:color w:val="000000"/>
          <w:u w:color="000000"/>
          <w:bdr w:val="nil"/>
          <w:lang w:val="en-US" w:eastAsia="en-GB"/>
        </w:rPr>
        <w:t>(Krause and Backonja, 2003)</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t xml:space="preserve"> and ID Pain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&lt;EndNote&gt;&lt;Cite&gt;&lt;Author&gt;Portenoy&lt;/Author&gt;&lt;Year&gt;2006&lt;/Year&gt;&lt;IDText&gt;Development and testing of a neuropathic pain screening questionnaire: ID Pain&lt;/IDText&gt;&lt;DisplayText&gt;(Portenoy, 2006)&lt;/DisplayText&gt;&lt;record&gt;&lt;keywords&gt;&lt;keyword&gt;ID Pain&lt;/keyword&gt;&lt;keyword&gt;Pain assessment&lt;/keyword&gt;&lt;keyword&gt;Sensory description&lt;/keyword&gt;&lt;keyword&gt;Neuropathic pain&lt;/keyword&gt;&lt;keyword&gt;NEUROPATHIC PAIN&lt;/keyword&gt;&lt;keyword&gt;ID PAIN&lt;/keyword&gt;&lt;keyword&gt;SENSORY DESCRIPTION&lt;/keyword&gt;&lt;keyword&gt;PAIN ASSESSMENT&lt;/keyword&gt;&lt;keyword&gt;Epidemiologic Research Design&lt;/keyword&gt;&lt;keyword&gt;Reproducibility of Results&lt;/keyword&gt;&lt;keyword&gt;Pain - classification&lt;/keyword&gt;&lt;keyword&gt;Relative Value Scales&lt;/keyword&gt;&lt;keyword&gt;Humans&lt;/keyword&gt;&lt;keyword&gt;Middle Aged&lt;/keyword&gt;&lt;keyword&gt;Male&lt;/keyword&gt;&lt;keyword&gt;Mass Screening - methods&lt;/keyword&gt;&lt;keyword&gt;Pain Measurement - methods&lt;/keyword&gt;&lt;keyword&gt;Models, Biological&lt;/keyword&gt;&lt;keyword&gt;Adult&lt;/keyword&gt;&lt;keyword&gt;Female&lt;/keyword&gt;&lt;keyword&gt;Surveys and Questionnaires&lt;/keyword&gt;&lt;keyword&gt;Aged&lt;/keyword&gt;&lt;keyword&gt;Neuralgia - diagnosis&lt;/keyword&gt;&lt;keyword&gt;Neuralgia - epidemiology&lt;/keyword&gt;&lt;/keywords&gt;&lt;isbn&gt;1473-4877&amp;#xD;0300-7995&lt;/isbn&gt;&lt;titles&gt;&lt;title&gt;Development and testing of a neuropathic pain screening questionnaire: ID Pain&lt;/title&gt;&lt;secondary-title&gt;Curr Med Res Opin&lt;/secondary-title&gt;&lt;/titles&gt;&lt;pages&gt;1555-1565&lt;/pages&gt;&lt;number&gt;8&lt;/number&gt;&lt;contributors&gt;&lt;authors&gt;&lt;author&gt;Portenoy, Russell&lt;/author&gt;&lt;/authors&gt;&lt;/contributors&gt;&lt;added-date format="utc"&gt;1599130166&lt;/added-date&gt;&lt;pub-location&gt;England&lt;/pub-location&gt;&lt;ref-type name="Journal Article"&gt;17&lt;/ref-type&gt;&lt;dates&gt;&lt;year&gt;2006&lt;/year&gt;&lt;/dates&gt;&lt;rec-number&gt;1351&lt;/rec-number&gt;&lt;publisher&gt;England: Informa Healthcare&lt;/publisher&gt;&lt;last-updated-date format="utc"&gt;1599130166&lt;/last-updated-date&gt;&lt;electronic-resource-num&gt;10.1185/030079906X115702&lt;/electronic-resource-num&gt;&lt;volume&gt;22&lt;/volume&gt;&lt;/record&gt;&lt;/Cite&gt;&lt;/EndNote&gt;</w:instrText>
      </w:r>
      <w:r w:rsidRPr="00AF0E0B">
        <w:rPr>
          <w:rFonts w:eastAsia="Arial" w:cs="Arial"/>
          <w:color w:val="000000"/>
          <w:u w:color="000000"/>
          <w:bdr w:val="nil"/>
          <w:lang w:eastAsia="en-GB"/>
        </w:rPr>
        <w:fldChar w:fldCharType="separate"/>
      </w:r>
      <w:r w:rsidRPr="00AF0E0B">
        <w:rPr>
          <w:rFonts w:eastAsia="Arial" w:cs="Arial"/>
          <w:noProof/>
          <w:color w:val="000000"/>
          <w:u w:color="000000"/>
          <w:bdr w:val="nil"/>
          <w:lang w:eastAsia="en-GB"/>
        </w:rPr>
        <w:t>(Portenoy, 2006)</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xml:space="preserve">.  The DN4 and LANSS have the advantage of incorporating bedside examination to increase sensitivity.  The DN4 is easy to use and is often used as a screening tool to identify subjects with P-DPN.  It has a quoted sensitivity and specificity of 83% and 90%, respectively, making it an accurate tool for diagnosing neuropathic pain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&gt;&lt;Author&gt;Bouhassira&lt;/Author&gt;&lt;Year&gt;2005&lt;/Year&gt;&lt;DisplayText&gt;(Bouhassira et al., 2005)&lt;/DisplayText&gt;&lt;record&gt;&lt;dates&gt;&lt;pub-dates&gt;&lt;date&gt;Mar&lt;/date&gt;&lt;/pub-dates&gt;&lt;year&gt;2005&lt;/year&gt;&lt;/dates&gt;&lt;keywords&gt;&lt;keyword&gt;Adult&lt;/keyword&gt;&lt;keyword&gt;Aged&lt;/keyword&gt;&lt;keyword&gt;Female&lt;/keyword&gt;&lt;keyword&gt;Humans&lt;/keyword&gt;&lt;keyword&gt;Logistic Models&lt;/keyword&gt;&lt;keyword&gt;Male&lt;/keyword&gt;&lt;keyword&gt;Middle Aged&lt;/keyword&gt;&lt;keyword&gt;Neuralgia&lt;/keyword&gt;&lt;keyword&gt;Pain&lt;/keyword&gt;&lt;keyword&gt;Pain Measurement&lt;/keyword&gt;&lt;keyword&gt;Peripheral Nervous System Diseases&lt;/keyword&gt;&lt;keyword&gt;Sensitivity and Specificity&lt;/keyword&gt;&lt;keyword&gt;Somatoform Disorders&lt;/keyword&gt;&lt;keyword&gt;Syndrome&lt;/keyword&gt;&lt;/keywords&gt;&lt;urls&gt;&lt;related-urls&gt;&lt;url&gt;https://www.ncbi.nlm.nih.gov/pubmed/15733628&lt;/url&gt;&lt;/related-urls&gt;&lt;/urls&gt;&lt;isbn&gt;0304-3959&lt;/isbn&gt;&lt;titles&gt;&lt;title&gt;Comparison of pain syndromes associated with nervous or somatic lesions and development of a new neuropathic pain diagnostic questionnaire (DN4)&lt;/title&gt;&lt;secondary-title&gt;Pain&lt;/secondary-title&gt;&lt;/titles&gt;&lt;pages&gt;29-36&lt;/pages&gt;&lt;number&gt;1-2&lt;/number&gt;&lt;contributors&gt;&lt;authors&gt;&lt;author&gt;Bouhassira, D.&lt;/author&gt;&lt;author&gt;Attal, N.&lt;/author&gt;&lt;author&gt;Alchaar, H.&lt;/author&gt;&lt;author&gt;Boureau, F.&lt;/author&gt;&lt;author&gt;Brochet, B.&lt;/author&gt;&lt;author&gt;Bruxelle, J.&lt;/author&gt;&lt;author&gt;Cunin, G.&lt;/author&gt;&lt;author&gt;Fermanian, J.&lt;/author&gt;&lt;author&gt;Ginies, P.&lt;/author&gt;&lt;author&gt;Grun-Overdyking, A.&lt;/author&gt;&lt;author&gt;Jafari-Schluep, H.&lt;/author&gt;&lt;author&gt;Lantéri-Minet, M.&lt;/author&gt;&lt;author&gt;Laurent, B.&lt;/author&gt;&lt;author&gt;Mick, G.&lt;/author&gt;&lt;author&gt;Serrie, A.&lt;/author&gt;&lt;author&gt;Valade, D.&lt;/author&gt;&lt;author&gt;Vicaut, E.&lt;/author&gt;&lt;/authors&gt;&lt;/contributors&gt;&lt;edition&gt;2005/01/26&lt;/edition&gt;&lt;language&gt;eng&lt;/language&gt;&lt;added-date format="utc"&gt;1511283231&lt;/added-date&gt;&lt;ref-type name="Journal Article"&gt;17&lt;/ref-type&gt;&lt;rec-number&gt;896&lt;/rec-number&gt;&lt;last-updated-date format="utc"&gt;1511283231&lt;/last-updated-date&gt;&lt;accession-num&gt;15733628&lt;/accession-num&gt;&lt;electronic-resource-num&gt;10.1016/j.pain.2004.12.010&lt;/electronic-resource-num&gt;&lt;volume&gt;114&lt;/volume&gt;&lt;/record&gt;&lt;/Cite&gt;&lt;/EndNote&gt;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val="fr-FR" w:eastAsia="en-GB"/>
        </w:rPr>
        <w:t>(Bouhassira et al., 2005)</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xml:space="preserve">.  Therefore, the DN4 was selected to diagnose neuropathic pain.  It was administered by the assessor at the initial visit.  </w:t>
      </w:r>
    </w:p>
    <w:p w14:paraId="1D83796A" w14:textId="51A93C26" w:rsidR="00AF0E0B" w:rsidRPr="00455CF2" w:rsidRDefault="00AF0E0B" w:rsidP="0031237D">
      <w:pPr>
        <w:pStyle w:val="Heading3"/>
      </w:pPr>
      <w:bookmarkStart w:id="133" w:name="_Toc49973101"/>
      <w:bookmarkStart w:id="134" w:name="_Toc64723901"/>
      <w:r w:rsidRPr="00455CF2">
        <w:t>Peripheral Neurological Examination</w:t>
      </w:r>
      <w:bookmarkEnd w:id="133"/>
      <w:bookmarkEnd w:id="134"/>
    </w:p>
    <w:p w14:paraId="57D59C4A" w14:textId="62340380" w:rsidR="00AF0E0B" w:rsidRPr="00AF0E0B" w:rsidRDefault="00AF0E0B" w:rsidP="00AF0E0B">
      <w:pPr>
        <w:pBdr>
          <w:top w:val="nil"/>
          <w:left w:val="nil"/>
          <w:bottom w:val="nil"/>
          <w:right w:val="nil"/>
          <w:between w:val="nil"/>
          <w:bar w:val="nil"/>
        </w:pBdr>
        <w:spacing w:line="360" w:lineRule="auto"/>
        <w:rPr>
          <w:rFonts w:eastAsia="Arial" w:cs="Arial"/>
          <w:color w:val="000000"/>
          <w:u w:color="000000"/>
          <w:bdr w:val="nil"/>
          <w:lang w:eastAsia="en-GB"/>
        </w:rPr>
      </w:pPr>
      <w:r w:rsidRPr="00AF0E0B">
        <w:rPr>
          <w:rFonts w:eastAsia="Arial Unicode MS" w:cs="Arial Unicode MS"/>
          <w:color w:val="000000"/>
          <w:u w:color="000000"/>
          <w:bdr w:val="nil"/>
          <w:lang w:val="en-US" w:eastAsia="en-GB"/>
        </w:rPr>
        <w:t xml:space="preserve">In a study of P-DPN the presence of neuropathy needs to be recorded accurately.  The Toronto consensus described the diagnostic and assessment criteria for confirmed diabetic peripheral neuropathy research </w:t>
      </w:r>
      <w:r w:rsidRPr="00AF0E0B">
        <w:rPr>
          <w:rFonts w:eastAsia="Arial" w:cs="Arial"/>
          <w:color w:val="000000"/>
          <w:u w:color="000000"/>
          <w:bdr w:val="nil"/>
          <w:lang w:eastAsia="en-GB"/>
        </w:rPr>
        <w:fldChar w:fldCharType="begin"/>
      </w:r>
      <w:r w:rsidR="00D06F2D">
        <w:rPr>
          <w:rFonts w:eastAsia="Arial" w:cs="Arial"/>
          <w:color w:val="000000"/>
          <w:u w:color="000000"/>
          <w:bdr w:val="nil"/>
          <w:lang w:eastAsia="en-GB"/>
        </w:rPr>
        <w:instrText xml:space="preserve"> ADDIN EN.CITE &lt;EndNote&gt;&lt;Cite&gt;&lt;Author&gt;Dyck&lt;/Author&gt;&lt;Year&gt;2011&lt;/Year&gt;&lt;RecNum&gt;119&lt;/RecNum&gt;&lt;DisplayText&gt;(Dyck et al., 2011a)&lt;/DisplayText&gt;&lt;record&gt;&lt;dates&gt;&lt;pub-dates&gt;&lt;date&gt;Jun&lt;/date&gt;&lt;/pub-dates&gt;&lt;year&gt;2011&lt;/year&gt;&lt;/dates&gt;&lt;urls&gt;&lt;related-urls&gt;&lt;url&gt;http://www.ncbi.nlm.nih.gov/pubmed/21695763&lt;/url&gt;&lt;/related-urls&gt;&lt;/urls&gt;&lt;isbn&gt;1520-7560&lt;/isbn&gt;&lt;titles&gt;&lt;title&gt;Diabetic Polyneuropathies: Update on Research Definition, Diagnostic Criteria and Estimation of Severity&lt;/title&gt;&lt;secondary-title&gt;Diabetes Metab Res Rev&lt;/secondary-title&gt;&lt;/titles&gt;&lt;pages&gt;620-628&lt;/pages&gt;&lt;contributors&gt;&lt;authors&gt;&lt;author&gt;Dyck, P. J.&lt;/author&gt;&lt;author&gt;Albers, J. W.&lt;/author&gt;&lt;author&gt;Andersen, H.&lt;/author&gt;&lt;author&gt;Arezzo, J. C.&lt;/author&gt;&lt;author&gt;Biessels, G. J.&lt;/author&gt;&lt;author&gt;Bril, V.&lt;/author&gt;&lt;author&gt;Feldman, E. L.&lt;/author&gt;&lt;author&gt;Litchy, W. J.&lt;/author&gt;&lt;author&gt;O&amp;apos;Brien, P. C.&lt;/author&gt;&lt;author&gt;Russell, J. W.&lt;/author&gt;&lt;author&gt;on behalf of the Toronto Expert Panel on Diabetic Neuropathy*&lt;/author&gt;&lt;/authors&gt;&lt;/contributors&gt;&lt;language&gt;ENG&lt;/language&gt;&lt;added-date format="utc"&gt;1351105409&lt;/added-date&gt;&lt;ref-type name="Journal Article"&gt;17&lt;/ref-type&gt;&lt;auth-address&gt;Department of Neurology, Mayo Clinic, Rochester, MN, USA. dyck.peter@mayo.edu.&lt;/auth-address&gt;&lt;rec-number&gt;119&lt;/rec-number&gt;&lt;last-updated-date format="utc"&gt;1357512940&lt;/last-updated-date&gt;&lt;accession-num&gt;21695763&lt;/accession-num&gt;&lt;electronic-resource-num&gt;10.1002/dmrr.1226&lt;/electronic-resource-num&gt;&lt;volume&gt;27&lt;/volume&gt;&lt;/record&gt;&lt;/Cite&gt;&lt;/EndNote&gt;</w:instrText>
      </w:r>
      <w:r w:rsidRPr="00AF0E0B">
        <w:rPr>
          <w:rFonts w:eastAsia="Arial" w:cs="Arial"/>
          <w:color w:val="000000"/>
          <w:u w:color="000000"/>
          <w:bdr w:val="nil"/>
          <w:lang w:eastAsia="en-GB"/>
        </w:rPr>
        <w:fldChar w:fldCharType="separate"/>
      </w:r>
      <w:r w:rsidR="00D06F2D">
        <w:rPr>
          <w:rFonts w:eastAsia="Arial" w:cs="Arial"/>
          <w:noProof/>
          <w:color w:val="000000"/>
          <w:u w:color="000000"/>
          <w:bdr w:val="nil"/>
          <w:lang w:eastAsia="en-GB"/>
        </w:rPr>
        <w:t>(Dyck et al., 2011a)</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xml:space="preserve">.  Nerve conduction studies (NCS) are required as they are reliable and reproducible objective markers of neuropathy, when performed by trained personnel </w:t>
      </w:r>
      <w:r w:rsidRPr="00AF0E0B">
        <w:rPr>
          <w:rFonts w:eastAsia="Arial" w:cs="Arial"/>
          <w:color w:val="000000"/>
          <w:u w:color="000000"/>
          <w:bdr w:val="nil"/>
          <w:lang w:eastAsia="en-GB"/>
        </w:rPr>
        <w:fldChar w:fldCharType="begin"/>
      </w:r>
      <w:r w:rsidR="00D06F2D">
        <w:rPr>
          <w:rFonts w:eastAsia="Arial" w:cs="Arial"/>
          <w:color w:val="000000"/>
          <w:u w:color="000000"/>
          <w:bdr w:val="nil"/>
          <w:lang w:eastAsia="en-GB"/>
        </w:rPr>
        <w:instrText xml:space="preserve"> ADDIN EN.CITE &lt;EndNote&gt;&lt;Cite&gt;&lt;Author&gt;Dyck&lt;/Author&gt;&lt;Year&gt;2011&lt;/Year&gt;&lt;RecNum&gt;119&lt;/RecNum&gt;&lt;DisplayText&gt;(Dyck et al., 2011a)&lt;/DisplayText&gt;&lt;record&gt;&lt;dates&gt;&lt;pub-dates&gt;&lt;date&gt;Jun&lt;/date&gt;&lt;/pub-dates&gt;&lt;year&gt;2011&lt;/year&gt;&lt;/dates&gt;&lt;urls&gt;&lt;related-urls&gt;&lt;url&gt;http://www.ncbi.nlm.nih.gov/pubmed/21695763&lt;/url&gt;&lt;/related-urls&gt;&lt;/urls&gt;&lt;isbn&gt;1520-7560&lt;/isbn&gt;&lt;titles&gt;&lt;title&gt;Diabetic Polyneuropathies: Update on Research Definition, Diagnostic Criteria and Estimation of Severity&lt;/title&gt;&lt;secondary-title&gt;Diabetes Metab Res Rev&lt;/secondary-title&gt;&lt;/titles&gt;&lt;contributors&gt;&lt;authors&gt;&lt;author&gt;Dyck, P. J.&lt;/author&gt;&lt;author&gt;Albers, J. W.&lt;/author&gt;&lt;author&gt;Andersen, H.&lt;/author&gt;&lt;author&gt;Arezzo, J. C.&lt;/author&gt;&lt;author&gt;Biessels, G. J.&lt;/author&gt;&lt;author&gt;Bril, V.&lt;/author&gt;&lt;author&gt;Feldman, E. L.&lt;/author&gt;&lt;author&gt;Litchy, W. J.&lt;/author&gt;&lt;author&gt;O&amp;apos;Brien, P. C.&lt;/author&gt;&lt;author&gt;Russell, J. W.&lt;/author&gt;&lt;author&gt;on behalf of the Toronto Expert Panel on Diabetic Neuropathy*&lt;/author&gt;&lt;/authors&gt;&lt;/contributors&gt;&lt;language&gt;ENG&lt;/language&gt;&lt;added-date format="utc"&gt;1351091009&lt;/added-date&gt;&lt;ref-type name="Journal Article"&gt;17&lt;/ref-type&gt;&lt;auth-address&gt;Department of Neurology, Mayo Clinic, Rochester, MN, USA. dyck.peter@mayo.edu.&lt;/auth-address&gt;&lt;rec-number&gt;119&lt;/rec-number&gt;&lt;last-updated-date format="utc"&gt;1357494940&lt;/last-updated-date&gt;&lt;accession-num&gt;21695763&lt;/accession-num&gt;&lt;electronic-resource-num&gt;10.1002/dmrr.1226&lt;/electronic-resource-num&gt;&lt;pages&gt;620-628&lt;/pages&gt;&lt;volume&gt;27&lt;/volume&gt;&lt;/record&gt;&lt;/Cite&gt;&lt;/EndNote&gt;</w:instrText>
      </w:r>
      <w:r w:rsidRPr="00AF0E0B">
        <w:rPr>
          <w:rFonts w:eastAsia="Arial" w:cs="Arial"/>
          <w:color w:val="000000"/>
          <w:u w:color="000000"/>
          <w:bdr w:val="nil"/>
          <w:lang w:eastAsia="en-GB"/>
        </w:rPr>
        <w:fldChar w:fldCharType="separate"/>
      </w:r>
      <w:r w:rsidR="00D06F2D">
        <w:rPr>
          <w:rFonts w:eastAsia="Arial" w:cs="Arial"/>
          <w:noProof/>
          <w:color w:val="000000"/>
          <w:u w:color="000000"/>
          <w:bdr w:val="nil"/>
          <w:lang w:eastAsia="en-GB"/>
        </w:rPr>
        <w:t>(Dyck et al., 2011a)</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A composite scoring system including measures of NCS, quantitative sensory testing (QST) and autonomic function tests, was considered the most accurate measure of the severity of DPN (</w:t>
      </w:r>
      <w:proofErr w:type="gramStart"/>
      <w:r w:rsidRPr="00AF0E0B">
        <w:rPr>
          <w:rFonts w:eastAsia="Arial Unicode MS" w:cs="Arial Unicode MS"/>
          <w:color w:val="000000"/>
          <w:u w:color="000000"/>
          <w:bdr w:val="nil"/>
          <w:lang w:val="en-US" w:eastAsia="en-GB"/>
        </w:rPr>
        <w:t>e.g.</w:t>
      </w:r>
      <w:proofErr w:type="gramEnd"/>
      <w:r w:rsidRPr="00AF0E0B">
        <w:rPr>
          <w:rFonts w:eastAsia="Arial Unicode MS" w:cs="Arial Unicode MS"/>
          <w:color w:val="000000"/>
          <w:u w:color="000000"/>
          <w:bdr w:val="nil"/>
          <w:lang w:val="en-US" w:eastAsia="en-GB"/>
        </w:rPr>
        <w:t xml:space="preserve"> NISLL+7) according to the Toronto Consensus (Tesfaye et al. Diabetes Care 2010).  A clinical examination for signs of neuropathy was performed as part of the NISLL+7.  The subject was assessed for sensory loss with the 10g monofilament, cotton wool, 125Hz tuning fork, pinprick device (</w:t>
      </w:r>
      <w:proofErr w:type="spellStart"/>
      <w:r w:rsidRPr="00AF0E0B">
        <w:rPr>
          <w:rFonts w:eastAsia="Arial Unicode MS" w:cs="Arial Unicode MS"/>
          <w:color w:val="000000"/>
          <w:u w:color="000000"/>
          <w:bdr w:val="nil"/>
          <w:lang w:val="en-US" w:eastAsia="en-GB"/>
        </w:rPr>
        <w:t>Neurotips</w:t>
      </w:r>
      <w:proofErr w:type="spellEnd"/>
      <w:r w:rsidRPr="00AF0E0B">
        <w:rPr>
          <w:rFonts w:eastAsia="Arial Unicode MS" w:cs="Arial Unicode MS"/>
          <w:color w:val="000000"/>
          <w:u w:color="000000"/>
          <w:bdr w:val="nil"/>
          <w:lang w:val="en-US" w:eastAsia="en-GB"/>
        </w:rPr>
        <w:t xml:space="preserve"> tm, Owen Mumford, Oxford, England), and reflex hammer, and tested for muscle weakness using a graded scale against resistance provided by the examiner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&gt;&lt;Author&gt;Dyck&lt;/Author&gt;&lt;Year&gt;1997&lt;/Year&gt;&lt;RecNum&gt;106&lt;/RecNum&gt;&lt;DisplayText&gt;(Dyck et al., 1997)&lt;/DisplayText&gt;&lt;record&gt;&lt;dates&gt;&lt;pub-dates&gt;&lt;date&gt;Jul&lt;/date&gt;&lt;/pub-dates&gt;&lt;year&gt;1997&lt;/year&gt;&lt;/dates&gt;&lt;keywords/&gt;&lt;isbn&gt;0028-3878 (Print)&amp;#13;0028-3878 (Linking)&lt;/isbn&gt;&lt;titles&gt;&lt;title&gt;Longitudinal assessment of diabetic polyneuropathy using a composite score in the Rochester Diabetic Neuropathy Study cohort&lt;/title&gt;&lt;secondary-title&gt;Neurology&lt;/secondary-title&gt;&lt;alt-title&gt;Neurology&lt;/alt-title&gt;&lt;/titles&gt;&lt;pages&gt;229-39&lt;/pages&gt;&lt;number&gt;1&lt;/number&gt;&lt;contributors&gt;&lt;authors&gt;&lt;author&gt;Dyck, P. J.&lt;/author&gt;&lt;author&gt;Davies, J. L.&lt;/author&gt;&lt;author&gt;Litchy, W. J.&lt;/author&gt;&lt;author&gt;O'Brien, P. C.&lt;/author&gt;&lt;/authors&gt;&lt;/contributors&gt;&lt;edition&gt;1997/07/01&lt;/edition&gt;&lt;language&gt;eng&lt;/language&gt;&lt;added-date format="utc"&gt;1350488402&lt;/added-date&gt;&lt;ref-type name="Journal Article"&gt;17&lt;/ref-type&gt;&lt;auth-address&gt;Department of Neurology, Mayo Clinic, Rochester, MN 55905, USA.&lt;/auth-address&gt;&lt;remote-database-provider&gt;NLM&lt;/remote-database-provider&gt;&lt;rec-number&gt;106&lt;/rec-number&gt;&lt;last-updated-date format="utc"&gt;1350488402&lt;/last-updated-date&gt;&lt;accession-num&gt;9222195&lt;/accession-num&gt;&lt;volume&gt;49&lt;/volume&gt;&lt;/record&gt;&lt;/Cite&gt;&lt;/EndNote&gt;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val="sv-SE" w:eastAsia="en-GB"/>
        </w:rPr>
        <w:t>(Dyck et al., 1997)</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xml:space="preserve">.  Those subjects with a score of </w:t>
      </w:r>
      <w:r w:rsidRPr="00AF0E0B">
        <w:rPr>
          <w:rFonts w:eastAsia="Arial Unicode MS" w:cs="Arial Unicode MS"/>
          <w:color w:val="000000"/>
          <w:u w:val="single" w:color="000000"/>
          <w:bdr w:val="nil"/>
          <w:lang w:eastAsia="en-GB"/>
        </w:rPr>
        <w:t>&gt;</w:t>
      </w:r>
      <w:r w:rsidRPr="00AF0E0B">
        <w:rPr>
          <w:rFonts w:eastAsia="Arial Unicode MS" w:cs="Arial Unicode MS"/>
          <w:color w:val="000000"/>
          <w:u w:color="000000"/>
          <w:bdr w:val="nil"/>
          <w:lang w:val="en-US" w:eastAsia="en-GB"/>
        </w:rPr>
        <w:t xml:space="preserve"> 4 on the NISLL+7 were considered to have neuropathy in line with previous </w:t>
      </w:r>
      <w:r w:rsidRPr="00AF0E0B">
        <w:rPr>
          <w:rFonts w:eastAsia="Arial Unicode MS" w:cs="Arial Unicode MS"/>
          <w:color w:val="000000"/>
          <w:u w:color="000000"/>
          <w:bdr w:val="nil"/>
          <w:lang w:val="en-US" w:eastAsia="en-GB"/>
        </w:rPr>
        <w:lastRenderedPageBreak/>
        <w:t xml:space="preserve">studies performed by our group </w:t>
      </w:r>
      <w:r w:rsidRPr="00AF0E0B">
        <w:rPr>
          <w:rFonts w:eastAsia="Arial" w:cs="Arial"/>
          <w:color w:val="000000"/>
          <w:u w:color="000000"/>
          <w:bdr w:val="nil"/>
          <w:lang w:eastAsia="en-GB"/>
        </w:rPr>
        <w:fldChar w:fldCharType="begin">
          <w:fldData xml:space="preserve">PEVuZE5vdGU+PENpdGU+PEF1dGhvcj5EeWNrPC9BdXRob3I+PFllYXI+MTk5NzwvWWVhcj48UmVj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</w:fldData>
        </w:fldChar>
      </w:r>
      <w:r w:rsidR="009968E0">
        <w:rPr>
          <w:rFonts w:eastAsia="Arial" w:cs="Arial"/>
          <w:color w:val="000000"/>
          <w:u w:color="000000"/>
          <w:bdr w:val="nil"/>
          <w:lang w:eastAsia="en-GB"/>
        </w:rPr>
        <w:instrText xml:space="preserve"> ADDIN EN.CITE </w:instrText>
      </w:r>
      <w:r w:rsidR="009968E0">
        <w:rPr>
          <w:rFonts w:eastAsia="Arial" w:cs="Arial"/>
          <w:color w:val="000000"/>
          <w:u w:color="000000"/>
          <w:bdr w:val="nil"/>
          <w:lang w:eastAsia="en-GB"/>
        </w:rPr>
        <w:fldChar w:fldCharType="begin">
          <w:fldData xml:space="preserve">PEVuZE5vdGU+PENpdGU+PEF1dGhvcj5EeWNrPC9BdXRob3I+PFllYXI+MTk5NzwvWWVhcj48UmVj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</w:fldData>
        </w:fldChar>
      </w:r>
      <w:r w:rsidR="009968E0">
        <w:rPr>
          <w:rFonts w:eastAsia="Arial" w:cs="Arial"/>
          <w:color w:val="000000"/>
          <w:u w:color="000000"/>
          <w:bdr w:val="nil"/>
          <w:lang w:eastAsia="en-GB"/>
        </w:rPr>
        <w:instrText xml:space="preserve"> ADDIN EN.CITE.DATA </w:instrText>
      </w:r>
      <w:r w:rsidR="009968E0">
        <w:rPr>
          <w:rFonts w:eastAsia="Arial" w:cs="Arial"/>
          <w:color w:val="000000"/>
          <w:u w:color="000000"/>
          <w:bdr w:val="nil"/>
          <w:lang w:eastAsia="en-GB"/>
        </w:rPr>
      </w:r>
      <w:r w:rsidR="009968E0">
        <w:rPr>
          <w:rFonts w:eastAsia="Arial" w:cs="Arial"/>
          <w:color w:val="000000"/>
          <w:u w:color="000000"/>
          <w:bdr w:val="nil"/>
          <w:lang w:eastAsia="en-GB"/>
        </w:rPr>
        <w:fldChar w:fldCharType="end"/>
      </w:r>
      <w:r w:rsidRPr="00AF0E0B">
        <w:rPr>
          <w:rFonts w:eastAsia="Arial" w:cs="Arial"/>
          <w:color w:val="000000"/>
          <w:u w:color="000000"/>
          <w:bdr w:val="nil"/>
          <w:lang w:eastAsia="en-GB"/>
        </w:rPr>
      </w:r>
      <w:r w:rsidRPr="00AF0E0B">
        <w:rPr>
          <w:rFonts w:eastAsia="Arial" w:cs="Arial"/>
          <w:color w:val="000000"/>
          <w:u w:color="000000"/>
          <w:bdr w:val="nil"/>
          <w:lang w:eastAsia="en-GB"/>
        </w:rPr>
        <w:fldChar w:fldCharType="separate"/>
      </w:r>
      <w:r w:rsidR="009968E0">
        <w:rPr>
          <w:rFonts w:eastAsia="Arial" w:cs="Arial"/>
          <w:noProof/>
          <w:color w:val="000000"/>
          <w:u w:color="000000"/>
          <w:bdr w:val="nil"/>
          <w:lang w:eastAsia="en-GB"/>
        </w:rPr>
        <w:t>(Dyck et al., 1997, Dyck et al., 2003, Selvarajah et al., 2011b)</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eastAsia="en-GB"/>
        </w:rPr>
        <w:t>.</w:t>
      </w:r>
    </w:p>
    <w:p w14:paraId="38D9B958" w14:textId="5713A904" w:rsidR="00AF0E0B" w:rsidRPr="00AF0E0B" w:rsidRDefault="00AF0E0B" w:rsidP="0031237D">
      <w:pPr>
        <w:pStyle w:val="Heading3"/>
      </w:pPr>
      <w:bookmarkStart w:id="135" w:name="_Toc49973102"/>
      <w:bookmarkStart w:id="136" w:name="_Toc64723902"/>
      <w:r w:rsidRPr="00AF0E0B">
        <w:t>Quantitative Sensory Testing</w:t>
      </w:r>
      <w:bookmarkEnd w:id="135"/>
      <w:bookmarkEnd w:id="136"/>
    </w:p>
    <w:p w14:paraId="13A8457B" w14:textId="4FE04C2F" w:rsidR="00AF0E0B" w:rsidRPr="00AF0E0B" w:rsidRDefault="00AF0E0B" w:rsidP="00AF0E0B">
      <w:pPr>
        <w:pBdr>
          <w:top w:val="nil"/>
          <w:left w:val="nil"/>
          <w:bottom w:val="nil"/>
          <w:right w:val="nil"/>
          <w:between w:val="nil"/>
          <w:bar w:val="nil"/>
        </w:pBdr>
        <w:spacing w:line="360" w:lineRule="auto"/>
        <w:rPr>
          <w:rFonts w:eastAsia="Arial" w:cs="Arial"/>
          <w:color w:val="000000"/>
          <w:u w:color="000000"/>
          <w:bdr w:val="nil"/>
          <w:lang w:eastAsia="en-GB"/>
        </w:rPr>
      </w:pPr>
      <w:r w:rsidRPr="00AF0E0B">
        <w:rPr>
          <w:rFonts w:eastAsia="Arial Unicode MS" w:cs="Arial Unicode MS"/>
          <w:color w:val="000000"/>
          <w:u w:color="000000"/>
          <w:bdr w:val="nil"/>
          <w:lang w:val="en-US" w:eastAsia="en-GB"/>
        </w:rPr>
        <w:t xml:space="preserve">Vibration and cold thresholds were determined using the CASE IV(WR Medical, USA) system using a 4-2-1 stepping algorithm, with null stimuli to generate QST values for vibration and cold thresholds, for inclusion in the NISLL+7 score </w:t>
      </w:r>
      <w:r w:rsidRPr="00AF0E0B">
        <w:rPr>
          <w:rFonts w:eastAsia="Arial" w:cs="Arial"/>
          <w:color w:val="000000"/>
          <w:u w:color="000000"/>
          <w:bdr w:val="nil"/>
          <w:lang w:eastAsia="en-GB"/>
        </w:rPr>
        <w:fldChar w:fldCharType="begin"/>
      </w:r>
      <w:r w:rsidR="009968E0">
        <w:rPr>
          <w:rFonts w:eastAsia="Arial" w:cs="Arial"/>
          <w:color w:val="000000"/>
          <w:u w:color="000000"/>
          <w:bdr w:val="nil"/>
          <w:lang w:eastAsia="en-GB"/>
        </w:rPr>
        <w:instrText xml:space="preserve"> ADDIN EN.CITE &lt;EndNote&gt;&lt;Cite&gt;&lt;Author&gt;Dyck&lt;/Author&gt;&lt;Year&gt;1993&lt;/Year&gt;&lt;RecNum&gt;614&lt;/RecNum&gt;&lt;DisplayText&gt;(Dyck et al., 1993c)&lt;/DisplayText&gt;&lt;record&gt;&lt;dates&gt;&lt;pub-dates&gt;&lt;date&gt;Aug&lt;/date&gt;&lt;/pub-dates&gt;&lt;year&gt;1993&lt;/year&gt;&lt;/dates&gt;&lt;urls&gt;&lt;related-urls&gt;&lt;url&gt;&amp;lt;Go to ISI&amp;gt;://WOS:A1993LR50000011&lt;/url&gt;&lt;/related-urls&gt;&lt;/urls&gt;&lt;isbn&gt;0028-3878&lt;/isbn&gt;&lt;titles&gt;&lt;title&gt;A 4, 2, AND 1 STEPPING ALGORITHM FOR QUICK AND ACCURATE ESTIMATION OF CUTANEOUS SENSATION THRESHOLD&lt;/title&gt;&lt;secondary-title&gt;Neurology&lt;/secondary-title&gt;&lt;/titles&gt;&lt;pages&gt;1508-1512&lt;/pages&gt;&lt;number&gt;8&lt;/number&gt;&lt;contributors&gt;&lt;authors&gt;&lt;author&gt;Dyck, P. J.&lt;/author&gt;&lt;author&gt;Obrien, P. C.&lt;/author&gt;&lt;author&gt;Kosanke, J. L.&lt;/author&gt;&lt;author&gt;Gillen, D. A.&lt;/author&gt;&lt;author&gt;Karnes, J. L.&lt;/author&gt;&lt;/authors&gt;&lt;/contributors&gt;&lt;added-date format="utc"&gt;1357496558&lt;/added-date&gt;&lt;ref-type name="Journal Article"&gt;17&lt;/ref-type&gt;&lt;rec-number&gt;614&lt;/rec-number&gt;&lt;last-updated-date format="utc"&gt;1357496558&lt;/last-updated-date&gt;&lt;accession-num&gt;WOS:A1993LR50000011&lt;/accession-num&gt;&lt;volume&gt;43&lt;/volume&gt;&lt;/record&gt;&lt;/Cite&gt;&lt;/EndNote&gt;</w:instrText>
      </w:r>
      <w:r w:rsidRPr="00AF0E0B">
        <w:rPr>
          <w:rFonts w:eastAsia="Arial" w:cs="Arial"/>
          <w:color w:val="000000"/>
          <w:u w:color="000000"/>
          <w:bdr w:val="nil"/>
          <w:lang w:eastAsia="en-GB"/>
        </w:rPr>
        <w:fldChar w:fldCharType="separate"/>
      </w:r>
      <w:r w:rsidR="009968E0">
        <w:rPr>
          <w:rFonts w:eastAsia="Arial" w:cs="Arial"/>
          <w:noProof/>
          <w:color w:val="000000"/>
          <w:u w:color="000000"/>
          <w:bdr w:val="nil"/>
          <w:lang w:eastAsia="en-GB"/>
        </w:rPr>
        <w:t>(Dyck et al., 1993c)</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xml:space="preserve"> . Results were compared to normative data and expressed as a percentile for age and sex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&gt;&lt;Author&gt;Dyck&lt;/Author&gt;&lt;Year&gt;1995&lt;/Year&gt;&lt;RecNum&gt;88&lt;/RecNum&gt;&lt;DisplayText&gt;(Dyck et al., 1995)&lt;/DisplayText&gt;&lt;record&gt;&lt;dates&gt;&lt;pub-dates&gt;&lt;date&gt;Jun&lt;/date&gt;&lt;/pub-dates&gt;&lt;year&gt;1995&lt;/year&gt;&lt;/dates&gt;&lt;keywords/&gt;&lt;isbn&gt;0028-3878 (Print)&amp;#13;0028-3878 (Linking)&lt;/isbn&gt;&lt;titles&gt;&lt;title&gt;Variables influencing neuropathic endpoints: the Rochester Diabetic Neuropathy Study of Healthy Subjects&lt;/title&gt;&lt;secondary-title&gt;Neurology&lt;/secondary-title&gt;&lt;alt-title&gt;Neurology&lt;/alt-title&gt;&lt;/titles&gt;&lt;pages&gt;1115-21&lt;/pages&gt;&lt;number&gt;6&lt;/number&gt;&lt;contributors&gt;&lt;authors&gt;&lt;author&gt;Dyck, P. J.&lt;/author&gt;&lt;author&gt;Litchy, W. J.&lt;/author&gt;&lt;author&gt;Lehman, K. A.&lt;/author&gt;&lt;author&gt;Hokanson, J. L.&lt;/author&gt;&lt;author&gt;Low, P. A.&lt;/author&gt;&lt;author&gt;O'Brien, P. C.&lt;/author&gt;&lt;/authors&gt;&lt;/contributors&gt;&lt;edition&gt;1995/06/01&lt;/edition&gt;&lt;language&gt;eng&lt;/language&gt;&lt;added-date format="utc"&gt;1350053644&lt;/added-date&gt;&lt;ref-type name="Journal Article"&gt;17&lt;/ref-type&gt;&lt;auth-address&gt;Department of Neurology, Mayo Clinic, Rochester, MN 55905, USA.&lt;/auth-address&gt;&lt;remote-database-provider&gt;NLM&lt;/remote-database-provider&gt;&lt;rec-number&gt;88&lt;/rec-number&gt;&lt;last-updated-date format="utc"&gt;1350053644&lt;/last-updated-date&gt;&lt;accession-num&gt;7783874&lt;/accession-num&gt;&lt;volume&gt;45&lt;/volume&gt;&lt;/record&gt;&lt;/Cite&gt;&lt;/EndNote&gt;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val="sv-SE" w:eastAsia="en-GB"/>
        </w:rPr>
        <w:t>(Dyck et al., 1995)</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eastAsia="en-GB"/>
        </w:rPr>
        <w:t xml:space="preserve">. </w:t>
      </w:r>
    </w:p>
    <w:p w14:paraId="397E315D" w14:textId="68B9C9F0" w:rsidR="00AF0E0B" w:rsidRPr="00AF0E0B" w:rsidRDefault="00AF0E0B" w:rsidP="00AF0E0B">
      <w:pPr>
        <w:pBdr>
          <w:top w:val="nil"/>
          <w:left w:val="nil"/>
          <w:bottom w:val="nil"/>
          <w:right w:val="nil"/>
          <w:between w:val="nil"/>
          <w:bar w:val="nil"/>
        </w:pBdr>
        <w:spacing w:line="360" w:lineRule="auto"/>
        <w:rPr>
          <w:rFonts w:eastAsia="Arial" w:cs="Arial"/>
          <w:color w:val="000000"/>
          <w:u w:color="000000"/>
          <w:bdr w:val="nil"/>
          <w:lang w:eastAsia="en-GB"/>
        </w:rPr>
      </w:pPr>
      <w:r w:rsidRPr="00AF0E0B">
        <w:rPr>
          <w:rFonts w:eastAsia="Arial Unicode MS" w:cs="Arial Unicode MS"/>
          <w:color w:val="000000"/>
          <w:u w:color="000000"/>
          <w:bdr w:val="nil"/>
          <w:lang w:val="en-US" w:eastAsia="en-GB"/>
        </w:rPr>
        <w:t xml:space="preserve">A second set of more intensive QST measurements were then performed according to the DFNS protocol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&gt;&lt;Author&gt;Rolke&lt;/Author&gt;&lt;Year&gt;2006&lt;/Year&gt;&lt;RecNum&gt;613&lt;/RecNum&gt;&lt;DisplayText&gt;(Rolke et al., 2006a)&lt;/DisplayText&gt;&lt;record&gt;&lt;dates&gt;&lt;pub-dates&gt;&lt;date&gt;Aug&lt;/date&gt;&lt;/pub-dates&gt;&lt;year&gt;2006&lt;/year&gt;&lt;/dates&gt;&lt;urls&gt;&lt;related-urls&gt;&lt;url&gt;&amp;lt;Go to ISI&amp;gt;://WOS:000239855800005&lt;/url&gt;&lt;/related-urls&gt;&lt;/urls&gt;&lt;isbn&gt;0304-3959&lt;/isbn&gt;&lt;titles&gt;&lt;title&gt;Quantitative sensory testing in the German Research Network on Neuropathic Pain (DFNS): Standardized protocol and reference values&lt;/title&gt;&lt;secondary-title&gt;Pain&lt;/secondary-title&gt;&lt;/titles&gt;&lt;pages&gt;231-243&lt;/pages&gt;&lt;number&gt;3&lt;/number&gt;&lt;contributors&gt;&lt;authors&gt;&lt;author&gt;Rolke, R.&lt;/author&gt;&lt;author&gt;Baron, R.&lt;/author&gt;&lt;author&gt;Maier, C.&lt;/author&gt;&lt;author&gt;Tolle, T. R.&lt;/author&gt;&lt;author&gt;Treede, R. D.&lt;/author&gt;&lt;author&gt;Beyer, A.&lt;/author&gt;&lt;author&gt;Binder, A.&lt;/author&gt;&lt;author&gt;Birbaumer, N.&lt;/author&gt;&lt;author&gt;Birklein, F.&lt;/author&gt;&lt;author&gt;Botefur, I. C.&lt;/author&gt;&lt;author&gt;Braune, S.&lt;/author&gt;&lt;author&gt;Flor, H.&lt;/author&gt;&lt;author&gt;Huge, V.&lt;/author&gt;&lt;author&gt;Klug, R.&lt;/author&gt;&lt;author&gt;Landwehrmeyer, G. B.&lt;/author&gt;&lt;author&gt;Magerl, W.&lt;/author&gt;&lt;author&gt;Maihofner, C.&lt;/author&gt;&lt;author&gt;Rolko, C.&lt;/author&gt;&lt;author&gt;Schaub, C.&lt;/author&gt;&lt;author&gt;Scherens, A.&lt;/author&gt;&lt;author&gt;Sprenger, T.&lt;/author&gt;&lt;author&gt;Valet, M.&lt;/author&gt;&lt;author&gt;Wasserka, B.&lt;/author&gt;&lt;/authors&gt;&lt;/contributors&gt;&lt;added-date format="utc"&gt;1357514135&lt;/added-date&gt;&lt;ref-type name="Journal Article"&gt;17&lt;/ref-type&gt;&lt;rec-number&gt;613&lt;/rec-number&gt;&lt;last-updated-date format="utc"&gt;1570975249&lt;/last-updated-date&gt;&lt;accession-num&gt;WOS:000239855800005&lt;/accession-num&gt;&lt;electronic-resource-num&gt;10.1016/j.pain.2006.01.041&lt;/electronic-resource-num&gt;&lt;volume&gt;123&lt;/volume&gt;&lt;/record&gt;&lt;/Cite&gt;&lt;/EndNote&gt;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eastAsia="en-GB"/>
        </w:rPr>
        <w:t>(Rolke et al., 2006a)</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These included warm detection threshold (WDT), cold detection threshold (CDT), thermo-sensory limen (TSL), heat pain threshold (HPT), cold pain threshold (CPT)</w:t>
      </w:r>
      <w:r w:rsidR="00932092">
        <w:rPr>
          <w:rFonts w:eastAsia="Arial Unicode MS" w:cs="Arial Unicode MS"/>
          <w:color w:val="000000"/>
          <w:u w:color="000000"/>
          <w:bdr w:val="nil"/>
          <w:lang w:val="en-US" w:eastAsia="en-GB"/>
        </w:rPr>
        <w:t xml:space="preserve">, </w:t>
      </w:r>
      <w:r w:rsidRPr="00AF0E0B">
        <w:rPr>
          <w:rFonts w:eastAsia="Arial Unicode MS" w:cs="Arial Unicode MS"/>
          <w:color w:val="000000"/>
          <w:u w:color="000000"/>
          <w:bdr w:val="nil"/>
          <w:lang w:val="en-US" w:eastAsia="en-GB"/>
        </w:rPr>
        <w:t xml:space="preserve">vibration detection threshold (VDT), mechanical detection threshold, (MDT), mechanical pain threshold (MPT), pressure pain threshold (PPT), mechanical pain sensitivity (MPS), (DMA) dynamic mechanical allodynia, paradoxical heat sensation (PHS) and wind up ratio (WUR). Raw scores were compared, as these can be more sensitive to subtle differences within groups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&gt;&lt;Author&gt;Vollert&lt;/Author&gt;&lt;Year&gt;2017&lt;/Year&gt;&lt;DisplayText&gt;(Vollert et al., 2017)&lt;/DisplayText&gt;&lt;record&gt;&lt;titles&gt;&lt;title&gt;Stratifying patients with peripheral neuropathic pain based on sensory profiles: algorithm and sample size recommendations&lt;/title&gt;&lt;/titles&gt;&lt;contributors&gt;&lt;authors&gt;&lt;author&gt;Vollert, J.&lt;/author&gt;&lt;author&gt;Maier, C.&lt;/author&gt;&lt;author&gt;Attal, N.&lt;/author&gt;&lt;author&gt;Bennett, D. L. H.&lt;/author&gt;&lt;author&gt;Bouhassira, D.&lt;/author&gt;&lt;author&gt;Enax-Krumova, E. K.&lt;/author&gt;&lt;author&gt;Finnerup, N. B.&lt;/author&gt;&lt;author&gt;Freynhagen, R.&lt;/author&gt;&lt;author&gt;Gierthmühlen, J.&lt;/author&gt;&lt;author&gt;Haanpää, M.&lt;/author&gt;&lt;author&gt;Hansson, P.&lt;/author&gt;&lt;author&gt;Hüllemann, P.&lt;/author&gt;&lt;author&gt;Jensen, T. S.&lt;/author&gt;&lt;author&gt;Magerl, W.&lt;/author&gt;&lt;author&gt;Ramirez, J. D.&lt;/author&gt;&lt;author&gt;Rice, A. S. C.&lt;/author&gt;&lt;author&gt;Schuh-Hofer, S.&lt;/author&gt;&lt;author&gt;Segerdahl, M.&lt;/author&gt;&lt;author&gt;Serra, J.&lt;/author&gt;&lt;author&gt;Shillo, P. R.&lt;/author&gt;&lt;author&gt;Sindrup, S.&lt;/author&gt;&lt;author&gt;Tesfaye, S.&lt;/author&gt;&lt;author&gt;Themistocleous, A. C.&lt;/author&gt;&lt;author&gt;Tölle, T. R.&lt;/author&gt;&lt;author&gt;Treede, R. D.&lt;/author&gt;&lt;author&gt;Baron, R.&lt;/author&gt;&lt;/authors&gt;&lt;/contributors&gt;&lt;added-date format="utc"&gt;1598198409&lt;/added-date&gt;&lt;ref-type name="Journal Article"&gt;17&lt;/ref-type&gt;&lt;dates&gt;&lt;year&gt;2017&lt;/year&gt;&lt;/dates&gt;&lt;rec-number&gt;1320&lt;/rec-number&gt;&lt;publisher&gt;Lippincott, Williams &amp;amp; Wilkins&lt;/publisher&gt;&lt;last-updated-date format="utc"&gt;1598198454&lt;/last-updated-date&gt;&lt;electronic-resource-num&gt;10.1097/j.pain.0000000000000935&lt;/electronic-resource-num&gt;&lt;/record&gt;&lt;/Cite&gt;&lt;/EndNote&gt;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eastAsia="en-GB"/>
        </w:rPr>
        <w:t>(Vollert et al., 2017)</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eastAsia="en-GB"/>
        </w:rPr>
        <w:t xml:space="preserve"> . </w:t>
      </w:r>
      <w:r w:rsidR="00932092">
        <w:rPr>
          <w:rFonts w:eastAsia="Arial Unicode MS" w:cs="Arial Unicode MS"/>
          <w:color w:val="000000"/>
          <w:u w:color="000000"/>
          <w:bdr w:val="nil"/>
          <w:lang w:val="en-US" w:eastAsia="en-GB"/>
        </w:rPr>
        <w:t xml:space="preserve">The thermal measures were derived using the TSA-II (Medoc, Haifa, Israel), other equipment was as described by the protocol </w:t>
      </w:r>
      <w:r w:rsidR="00932092">
        <w:rPr>
          <w:rFonts w:eastAsia="Arial Unicode MS" w:cs="Arial Unicode MS"/>
          <w:color w:val="000000"/>
          <w:u w:color="000000"/>
          <w:bdr w:val="nil"/>
          <w:lang w:val="en-US" w:eastAsia="en-GB"/>
        </w:rPr>
        <w:fldChar w:fldCharType="begin"/>
      </w:r>
      <w:r w:rsidR="00932092">
        <w:rPr>
          <w:rFonts w:eastAsia="Arial Unicode MS" w:cs="Arial Unicode MS"/>
          <w:color w:val="000000"/>
          <w:u w:color="000000"/>
          <w:bdr w:val="nil"/>
          <w:lang w:val="en-US" w:eastAsia="en-GB"/>
        </w:rPr>
        <w:instrText xml:space="preserve"> ADDIN EN.CITE &lt;EndNote&gt;&lt;Cite&gt;&lt;Author&gt;Rolke&lt;/Author&gt;&lt;Year&gt;2006&lt;/Year&gt;&lt;IDText&gt;Quantitative sensory testing: a comprehensive protocol for clinical trials&lt;/IDText&gt;&lt;DisplayText&gt;(Rolke et al., 2006b)&lt;/DisplayText&gt;&lt;record&gt;&lt;dates&gt;&lt;pub-dates&gt;&lt;date&gt;Jan&lt;/date&gt;&lt;/pub-dates&gt;&lt;year&gt;2006&lt;/year&gt;&lt;/dates&gt;&lt;urls&gt;&lt;related-urls&gt;&lt;url&gt;&amp;lt;Go to ISI&amp;gt;://WOS:000233656700009&lt;/url&gt;&lt;/related-urls&gt;&lt;/urls&gt;&lt;isbn&gt;1090-3801&lt;/isbn&gt;&lt;titles&gt;&lt;title&gt;Quantitative sensory testing: a comprehensive protocol for clinical trials&lt;/title&gt;&lt;secondary-title&gt;European Journal of Pain&lt;/secondary-title&gt;&lt;/titles&gt;&lt;pages&gt;77-88&lt;/pages&gt;&lt;number&gt;1&lt;/number&gt;&lt;contributors&gt;&lt;authors&gt;&lt;author&gt;Rolke, R.&lt;/author&gt;&lt;author&gt;Magerl, W.&lt;/author&gt;&lt;author&gt;Campbell, K. A.&lt;/author&gt;&lt;author&gt;Schalber, C.&lt;/author&gt;&lt;author&gt;Caspari, S.&lt;/author&gt;&lt;author&gt;Birklein, F.&lt;/author&gt;&lt;author&gt;Treede, R. D.&lt;/author&gt;&lt;/authors&gt;&lt;/contributors&gt;&lt;added-date format="utc"&gt;1359401406&lt;/added-date&gt;&lt;ref-type name="Journal Article"&gt;17&lt;/ref-type&gt;&lt;rec-number&gt;700&lt;/rec-number&gt;&lt;last-updated-date format="utc"&gt;1570975249&lt;/last-updated-date&gt;&lt;accession-num&gt;WOS:000233656700009&lt;/accession-num&gt;&lt;electronic-resource-num&gt;10.1016/j.ejpain.2005.02.003&lt;/electronic-resource-num&gt;&lt;volume&gt;10&lt;/volume&gt;&lt;/record&gt;&lt;/Cite&gt;&lt;/EndNote&gt;</w:instrText>
      </w:r>
      <w:r w:rsidR="00932092">
        <w:rPr>
          <w:rFonts w:eastAsia="Arial Unicode MS" w:cs="Arial Unicode MS"/>
          <w:color w:val="000000"/>
          <w:u w:color="000000"/>
          <w:bdr w:val="nil"/>
          <w:lang w:val="en-US" w:eastAsia="en-GB"/>
        </w:rPr>
        <w:fldChar w:fldCharType="separate"/>
      </w:r>
      <w:r w:rsidR="00932092">
        <w:rPr>
          <w:rFonts w:eastAsia="Arial Unicode MS" w:cs="Arial Unicode MS"/>
          <w:noProof/>
          <w:color w:val="000000"/>
          <w:u w:color="000000"/>
          <w:bdr w:val="nil"/>
          <w:lang w:val="en-US" w:eastAsia="en-GB"/>
        </w:rPr>
        <w:t>(Rolke et al., 2006b)</w:t>
      </w:r>
      <w:r w:rsidR="00932092">
        <w:rPr>
          <w:rFonts w:eastAsia="Arial Unicode MS" w:cs="Arial Unicode MS"/>
          <w:color w:val="000000"/>
          <w:u w:color="000000"/>
          <w:bdr w:val="nil"/>
          <w:lang w:val="en-US" w:eastAsia="en-GB"/>
        </w:rPr>
        <w:fldChar w:fldCharType="end"/>
      </w:r>
      <w:r w:rsidR="00932092">
        <w:rPr>
          <w:rFonts w:eastAsia="Arial Unicode MS" w:cs="Arial Unicode MS"/>
          <w:color w:val="000000"/>
          <w:u w:color="000000"/>
          <w:bdr w:val="nil"/>
          <w:lang w:val="en-US" w:eastAsia="en-GB"/>
        </w:rPr>
        <w:t>.</w:t>
      </w:r>
    </w:p>
    <w:p w14:paraId="393880AC" w14:textId="1FC78442" w:rsidR="00AF0E0B" w:rsidRPr="00455CF2" w:rsidRDefault="00AF0E0B" w:rsidP="0031237D">
      <w:pPr>
        <w:pStyle w:val="Heading3"/>
      </w:pPr>
      <w:bookmarkStart w:id="137" w:name="_Toc49973103"/>
      <w:bookmarkStart w:id="138" w:name="_Toc64723903"/>
      <w:r w:rsidRPr="00455CF2">
        <w:t>Nerve conduction studies</w:t>
      </w:r>
      <w:bookmarkEnd w:id="137"/>
      <w:bookmarkEnd w:id="138"/>
      <w:r w:rsidRPr="00455CF2">
        <w:t xml:space="preserve"> </w:t>
      </w:r>
    </w:p>
    <w:p w14:paraId="47AD0FB0" w14:textId="09938632" w:rsidR="00AF0E0B" w:rsidRPr="00AF0E0B" w:rsidRDefault="00AF0E0B" w:rsidP="00AF0E0B">
      <w:pPr>
        <w:pBdr>
          <w:top w:val="nil"/>
          <w:left w:val="nil"/>
          <w:bottom w:val="nil"/>
          <w:right w:val="nil"/>
          <w:between w:val="nil"/>
          <w:bar w:val="nil"/>
        </w:pBdr>
        <w:spacing w:line="360" w:lineRule="auto"/>
        <w:rPr>
          <w:rFonts w:eastAsia="Arial" w:cs="Arial"/>
          <w:color w:val="000000"/>
          <w:u w:color="000000"/>
          <w:bdr w:val="nil"/>
          <w:lang w:eastAsia="en-GB"/>
        </w:rPr>
      </w:pPr>
      <w:r w:rsidRPr="00AF0E0B">
        <w:rPr>
          <w:rFonts w:eastAsia="Arial Unicode MS" w:cs="Arial Unicode MS"/>
          <w:color w:val="000000"/>
          <w:u w:color="000000"/>
          <w:bdr w:val="nil"/>
          <w:lang w:val="en-US" w:eastAsia="en-GB"/>
        </w:rPr>
        <w:t>Nerve conduction studies (</w:t>
      </w:r>
      <w:proofErr w:type="spellStart"/>
      <w:r w:rsidRPr="00AF0E0B">
        <w:rPr>
          <w:rFonts w:eastAsia="Arial Unicode MS" w:cs="Arial Unicode MS"/>
          <w:color w:val="000000"/>
          <w:u w:color="000000"/>
          <w:bdr w:val="nil"/>
          <w:lang w:val="en-US" w:eastAsia="en-GB"/>
        </w:rPr>
        <w:t>Medelec</w:t>
      </w:r>
      <w:proofErr w:type="spellEnd"/>
      <w:r w:rsidRPr="00AF0E0B">
        <w:rPr>
          <w:rFonts w:eastAsia="Arial Unicode MS" w:cs="Arial Unicode MS"/>
          <w:color w:val="000000"/>
          <w:u w:color="000000"/>
          <w:bdr w:val="nil"/>
          <w:lang w:val="en-US" w:eastAsia="en-GB"/>
        </w:rPr>
        <w:t xml:space="preserve">, Oxford Instruments, Oxford UK) were performed to measure: radial sensory nerve action potential, sural sensory nerve action potential in an antidromic direction, peroneal compound muscle action potential using extensor digitorum brevis, and tibial nerve distal latency </w:t>
      </w:r>
      <w:r w:rsidRPr="00AF0E0B">
        <w:rPr>
          <w:rFonts w:eastAsia="Arial" w:cs="Arial"/>
          <w:color w:val="000000"/>
          <w:u w:color="000000"/>
          <w:bdr w:val="nil"/>
          <w:lang w:eastAsia="en-GB"/>
        </w:rPr>
        <w:fldChar w:fldCharType="begin"/>
      </w:r>
      <w:r w:rsidR="00D06F2D">
        <w:rPr>
          <w:rFonts w:eastAsia="Arial" w:cs="Arial"/>
          <w:color w:val="000000"/>
          <w:u w:color="000000"/>
          <w:bdr w:val="nil"/>
          <w:lang w:eastAsia="en-GB"/>
        </w:rPr>
        <w:instrText xml:space="preserve"> ADDIN EN.CITE &lt;EndNote&gt;&lt;Cite&gt;&lt;Author&gt;Dyck&lt;/Author&gt;&lt;Year&gt;2011&lt;/Year&gt;&lt;RecNum&gt;119&lt;/RecNum&gt;&lt;DisplayText&gt;(Dyck et al., 2011b)&lt;/DisplayText&gt;&lt;record&gt;&lt;dates&gt;&lt;pub-dates&gt;&lt;date&gt;Jun&lt;/date&gt;&lt;/pub-dates&gt;&lt;year&gt;2011&lt;/year&gt;&lt;/dates&gt;&lt;urls&gt;&lt;related-urls&gt;&lt;url&gt;http://www.ncbi.nlm.nih.gov/pubmed/21695763&lt;/url&gt;&lt;/related-urls&gt;&lt;/urls&gt;&lt;isbn&gt;1520-7560&lt;/isbn&gt;&lt;titles&gt;&lt;title&gt;Diabetic Polyneuropathies: Update on Research Definition, Diagnostic Criteria and Estimation of Severity&lt;/title&gt;&lt;secondary-title&gt;Diabetes Metab Res Rev&lt;/secondary-title&gt;&lt;/titles&gt;&lt;contributors&gt;&lt;authors&gt;&lt;author&gt;Dyck, P. J.&lt;/author&gt;&lt;author&gt;Albers, J. W.&lt;/author&gt;&lt;author&gt;Andersen, H.&lt;/author&gt;&lt;author&gt;Arezzo, J. C.&lt;/author&gt;&lt;author&gt;Biessels, G. J.&lt;/author&gt;&lt;author&gt;Bril, V.&lt;/author&gt;&lt;author&gt;Feldman, E. L.&lt;/author&gt;&lt;author&gt;Litchy, W. J.&lt;/author&gt;&lt;author&gt;O&amp;apos;Brien, P. C.&lt;/author&gt;&lt;author&gt;Russell, J. W.&lt;/author&gt;&lt;author&gt;on behalf of the Toronto Expert Panel on Diabetic Neuropathy*&lt;/author&gt;&lt;/authors&gt;&lt;/contributors&gt;&lt;language&gt;ENG&lt;/language&gt;&lt;added-date format="utc"&gt;1351091009&lt;/added-date&gt;&lt;ref-type name="Journal Article"&gt;17&lt;/ref-type&gt;&lt;auth-address&gt;Department of Neurology, Mayo Clinic, Rochester, MN, USA. dyck.peter@mayo.edu.&lt;/auth-address&gt;&lt;rec-number&gt;119&lt;/rec-number&gt;&lt;last-updated-date format="utc"&gt;1351091087&lt;/last-updated-date&gt;&lt;accession-num&gt;21695763&lt;/accession-num&gt;&lt;electronic-resource-num&gt;10.1002/dmrr.1226&lt;/electronic-resource-num&gt;&lt;/record&gt;&lt;/Cite&gt;&lt;/EndNote&gt;</w:instrText>
      </w:r>
      <w:r w:rsidRPr="00AF0E0B">
        <w:rPr>
          <w:rFonts w:eastAsia="Arial" w:cs="Arial"/>
          <w:color w:val="000000"/>
          <w:u w:color="000000"/>
          <w:bdr w:val="nil"/>
          <w:lang w:eastAsia="en-GB"/>
        </w:rPr>
        <w:fldChar w:fldCharType="separate"/>
      </w:r>
      <w:r w:rsidR="00D06F2D">
        <w:rPr>
          <w:rFonts w:eastAsia="Arial" w:cs="Arial"/>
          <w:noProof/>
          <w:color w:val="000000"/>
          <w:u w:color="000000"/>
          <w:bdr w:val="nil"/>
          <w:lang w:eastAsia="en-GB"/>
        </w:rPr>
        <w:t>(Dyck et al., 2011b)</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eastAsia="en-GB"/>
        </w:rPr>
        <w:t xml:space="preserve">.  </w:t>
      </w:r>
    </w:p>
    <w:p w14:paraId="553FBE89" w14:textId="5DD66A12" w:rsidR="00AF0E0B" w:rsidRPr="00AF0E0B" w:rsidRDefault="00AF0E0B" w:rsidP="0031237D">
      <w:pPr>
        <w:pStyle w:val="Heading3"/>
      </w:pPr>
      <w:bookmarkStart w:id="139" w:name="_Toc49973104"/>
      <w:bookmarkStart w:id="140" w:name="_Toc64723904"/>
      <w:r w:rsidRPr="00AF0E0B">
        <w:t>Autonomic Function Tests</w:t>
      </w:r>
      <w:bookmarkEnd w:id="139"/>
      <w:bookmarkEnd w:id="140"/>
    </w:p>
    <w:p w14:paraId="097D6151" w14:textId="77777777" w:rsidR="00AF0E0B" w:rsidRPr="00AF0E0B" w:rsidRDefault="00AF0E0B" w:rsidP="00AF0E0B">
      <w:pPr>
        <w:pBdr>
          <w:top w:val="nil"/>
          <w:left w:val="nil"/>
          <w:bottom w:val="nil"/>
          <w:right w:val="nil"/>
          <w:between w:val="nil"/>
          <w:bar w:val="nil"/>
        </w:pBdr>
        <w:spacing w:line="360" w:lineRule="auto"/>
        <w:rPr>
          <w:rFonts w:eastAsia="Arial" w:cs="Arial"/>
          <w:color w:val="000000"/>
          <w:u w:color="000000"/>
          <w:bdr w:val="nil"/>
          <w:lang w:eastAsia="en-GB"/>
        </w:rPr>
      </w:pPr>
      <w:r w:rsidRPr="00AF0E0B">
        <w:rPr>
          <w:rFonts w:eastAsia="Arial Unicode MS" w:cs="Arial Unicode MS"/>
          <w:color w:val="000000"/>
          <w:u w:color="000000"/>
          <w:bdr w:val="nil"/>
          <w:lang w:val="en-US" w:eastAsia="en-GB"/>
        </w:rPr>
        <w:t xml:space="preserve">Autonomic neuropathy has been reported to be more severe in individuals with P-DPN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&gt;&lt;Author&gt;Gandhi&lt;/Author&gt;&lt;Year&gt;2010&lt;/Year&gt;&lt;RecNum&gt;334&lt;/RecNum&gt;&lt;DisplayText&gt;(Gandhi et al., 2010)&lt;/DisplayText&gt;&lt;record&gt;&lt;dates&gt;&lt;pub-dates&gt;&lt;date&gt;Jul&lt;/date&gt;&lt;/pub-dates&gt;&lt;year&gt;2010&lt;/year&gt;&lt;/dates&gt;&lt;urls&gt;&lt;related-urls&gt;&lt;url&gt;&amp;lt;Go to ISI&amp;gt;://WOS:000282356800034&lt;/url&gt;&lt;/related-urls&gt;&lt;/urls&gt;&lt;isbn&gt;0149-5992&lt;/isbn&gt;&lt;titles&gt;&lt;title&gt;Painful Diabetic Neuropathy Is Associated With Greater Autonomic Dysfunction Than Painless Diabetic Neuropathy&lt;/title&gt;&lt;secondary-title&gt;Diabetes Care&lt;/secondary-title&gt;&lt;/titles&gt;&lt;number&gt;7&lt;/number&gt;&lt;contributors&gt;&lt;authors&gt;&lt;author&gt;Gandhi, Rajiv A.&lt;/author&gt;&lt;author&gt;Marques, Jefferson L. B.&lt;/author&gt;&lt;author&gt;Selvarajah, Dinesh&lt;/author&gt;&lt;author&gt;Emery, Celia J.&lt;/author&gt;&lt;author&gt;Tesfaye, Solomon&lt;/author&gt;&lt;/authors&gt;&lt;/contributors&gt;&lt;added-date format="utc"&gt;1353615671&lt;/added-date&gt;&lt;ref-type name="Journal Article"&gt;17&lt;/ref-type&gt;&lt;rec-number&gt;334&lt;/rec-number&gt;&lt;last-updated-date format="utc"&gt;1556618379&lt;/last-updated-date&gt;&lt;accession-num&gt;WOS:000282356800034&lt;/accession-num&gt;&lt;electronic-resource-num&gt;10.2337/dc09-2314&lt;/electronic-resource-num&gt;&lt;volume&gt;33&lt;/volume&gt;&lt;/record&gt;&lt;/Cite&gt;&lt;/EndNote&gt;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eastAsia="en-GB"/>
        </w:rPr>
        <w:t>(Gandhi et al., 2010)</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xml:space="preserve">, therefore standard measures of cardiac </w:t>
      </w:r>
      <w:r w:rsidRPr="00AF0E0B">
        <w:rPr>
          <w:rFonts w:eastAsia="Arial Unicode MS" w:cs="Arial Unicode MS"/>
          <w:color w:val="000000"/>
          <w:u w:color="000000"/>
          <w:bdr w:val="nil"/>
          <w:lang w:eastAsia="en-GB"/>
        </w:rPr>
        <w:t xml:space="preserve">autonomic </w:t>
      </w:r>
      <w:r w:rsidRPr="00AF0E0B">
        <w:rPr>
          <w:rFonts w:eastAsia="Arial Unicode MS" w:cs="Arial Unicode MS"/>
          <w:color w:val="000000"/>
          <w:u w:color="000000"/>
          <w:bdr w:val="nil"/>
          <w:lang w:val="en-US" w:eastAsia="en-GB"/>
        </w:rPr>
        <w:t>function were measured using O’</w:t>
      </w:r>
      <w:r w:rsidRPr="00AF0E0B">
        <w:rPr>
          <w:rFonts w:eastAsia="Arial Unicode MS" w:cs="Arial Unicode MS"/>
          <w:color w:val="000000"/>
          <w:u w:color="000000"/>
          <w:bdr w:val="nil"/>
          <w:lang w:val="de-DE" w:eastAsia="en-GB"/>
        </w:rPr>
        <w:t>Brien</w:t>
      </w:r>
      <w:r w:rsidRPr="00AF0E0B">
        <w:rPr>
          <w:rFonts w:eastAsia="Arial Unicode MS" w:cs="Arial Unicode MS"/>
          <w:color w:val="000000"/>
          <w:u w:color="000000"/>
          <w:bdr w:val="nil"/>
          <w:lang w:val="en-US" w:eastAsia="en-GB"/>
        </w:rPr>
        <w:t>’</w:t>
      </w:r>
      <w:r w:rsidRPr="00AF0E0B">
        <w:rPr>
          <w:rFonts w:eastAsia="Arial Unicode MS" w:cs="Arial Unicode MS"/>
          <w:color w:val="000000"/>
          <w:u w:color="000000"/>
          <w:bdr w:val="nil"/>
          <w:lang w:val="it-IT" w:eastAsia="en-GB"/>
        </w:rPr>
        <w:t xml:space="preserve">s </w:t>
      </w:r>
      <w:proofErr w:type="spellStart"/>
      <w:r w:rsidRPr="00AF0E0B">
        <w:rPr>
          <w:rFonts w:eastAsia="Arial Unicode MS" w:cs="Arial Unicode MS"/>
          <w:color w:val="000000"/>
          <w:u w:color="000000"/>
          <w:bdr w:val="nil"/>
          <w:lang w:val="it-IT" w:eastAsia="en-GB"/>
        </w:rPr>
        <w:t>protocol</w:t>
      </w:r>
      <w:proofErr w:type="spellEnd"/>
      <w:r w:rsidRPr="00AF0E0B">
        <w:rPr>
          <w:rFonts w:eastAsia="Arial Unicode MS" w:cs="Arial Unicode MS"/>
          <w:color w:val="000000"/>
          <w:u w:color="000000"/>
          <w:bdr w:val="nil"/>
          <w:lang w:val="it-IT" w:eastAsia="en-GB"/>
        </w:rPr>
        <w:t xml:space="preserve">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&gt;&lt;Author&gt;O'Brien&lt;/Author&gt;&lt;Year&gt;1986&lt;/Year&gt;&lt;RecNum&gt;724&lt;/RecNum&gt;&lt;DisplayText&gt;(O'Brien et al., 1986)&lt;/DisplayText&gt;&lt;record&gt;&lt;dates&gt;&lt;pub-dates&gt;&lt;date&gt;Apr&lt;/date&gt;&lt;/pub-dates&gt;&lt;year&gt;1986&lt;/year&gt;&lt;/dates&gt;&lt;urls&gt;&lt;related-urls&gt;&lt;url&gt;&amp;lt;Go to ISI&amp;gt;://WOS:A1986A980200005&lt;/url&gt;&lt;/related-urls&gt;&lt;/urls&gt;&lt;isbn&gt;0007-0769&lt;/isbn&gt;&lt;titles&gt;&lt;title&gt;HEART-RATE-VARIABILITY IN HEALTHY-SUBJECTS - EFFECT OF AGE AND THE DERIVATION OF NORMAL RANGES FOR TESTS OF AUTONOMIC FUNCTION&lt;/title&gt;&lt;secondary-title&gt;British Heart Journal&lt;/secondary-title&gt;&lt;/titles&gt;&lt;pages&gt;348-354&lt;/pages&gt;&lt;number&gt;4&lt;/number&gt;&lt;contributors&gt;&lt;authors&gt;&lt;author&gt;O'Brien, I. A. D.&lt;/author&gt;&lt;author&gt;O'Hare, P.&lt;/author&gt;&lt;author&gt;Corrall, R. J. M.&lt;/author&gt;&lt;/authors&gt;&lt;/contributors&gt;&lt;added-date format="utc"&gt;1368548402&lt;/added-date&gt;&lt;ref-type name="Journal Article"&gt;17&lt;/ref-type&gt;&lt;rec-number&gt;724&lt;/rec-number&gt;&lt;last-updated-date format="utc"&gt;1598880155&lt;/last-updated-date&gt;&lt;accession-num&gt;WOS:A1986A980200005&lt;/accession-num&gt;&lt;volume&gt;55&lt;/volume&gt;&lt;/record&gt;&lt;/Cite&gt;&lt;/EndNote&gt;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eastAsia="en-GB"/>
        </w:rPr>
        <w:t>(O'Brien et al., 1986)</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xml:space="preserve">.  Cardiac autonomic function tests were performed including: R-R variation during a three minute interval whilst supine, timed breathing (6 breaths within a minute), Valsalva </w:t>
      </w:r>
      <w:proofErr w:type="spellStart"/>
      <w:r w:rsidRPr="00AF0E0B">
        <w:rPr>
          <w:rFonts w:eastAsia="Arial Unicode MS" w:cs="Arial Unicode MS"/>
          <w:color w:val="000000"/>
          <w:u w:color="000000"/>
          <w:bdr w:val="nil"/>
          <w:lang w:val="en-US" w:eastAsia="en-GB"/>
        </w:rPr>
        <w:t>manoeuvre</w:t>
      </w:r>
      <w:proofErr w:type="spellEnd"/>
      <w:r w:rsidRPr="00AF0E0B">
        <w:rPr>
          <w:rFonts w:eastAsia="Arial Unicode MS" w:cs="Arial Unicode MS"/>
          <w:color w:val="000000"/>
          <w:u w:color="000000"/>
          <w:bdr w:val="nil"/>
          <w:lang w:val="en-US" w:eastAsia="en-GB"/>
        </w:rPr>
        <w:t xml:space="preserve">, and lying to standing </w:t>
      </w:r>
      <w:proofErr w:type="spellStart"/>
      <w:r w:rsidRPr="00AF0E0B">
        <w:rPr>
          <w:rFonts w:eastAsia="Arial Unicode MS" w:cs="Arial Unicode MS"/>
          <w:color w:val="000000"/>
          <w:u w:color="000000"/>
          <w:bdr w:val="nil"/>
          <w:lang w:val="en-US" w:eastAsia="en-GB"/>
        </w:rPr>
        <w:t>manoeuvre</w:t>
      </w:r>
      <w:proofErr w:type="spellEnd"/>
      <w:r w:rsidRPr="00AF0E0B">
        <w:rPr>
          <w:rFonts w:eastAsia="Arial Unicode MS" w:cs="Arial Unicode MS"/>
          <w:color w:val="000000"/>
          <w:u w:color="000000"/>
          <w:bdr w:val="nil"/>
          <w:lang w:val="en-US" w:eastAsia="en-GB"/>
        </w:rPr>
        <w:t xml:space="preserve">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&gt;&lt;Author&gt;Clarke&lt;/Author&gt;&lt;Year&gt;1979&lt;/Year&gt;&lt;RecNum&gt;734&lt;/RecNum&gt;&lt;DisplayText&gt;(Clarke et al., 1979, Ewing and Clarke, 1982, Boulton et al., 1998)&lt;/DisplayText&gt;&lt;record&gt;&lt;dates&gt;&lt;pub-dates&gt;&lt;date&gt;1979&lt;/date&gt;&lt;/pub-dates&gt;&lt;year&gt;1979&lt;/year&gt;&lt;/dates&gt;&lt;urls&gt;&lt;related-urls&gt;&lt;url&gt;&amp;lt;Go to ISI&amp;gt;://WOS:A1979HS77700001&lt;/url&gt;&lt;/related-urls&gt;&lt;/urls&gt;&lt;isbn&gt;0012-186X&lt;/isbn&gt;&lt;titles&gt;&lt;title&gt;DIABETIC AUTONOMIC NEUROPATHY&lt;/title&gt;&lt;secondary-title&gt;Diabetologia&lt;/secondary-title&gt;&lt;/titles&gt;&lt;pages&gt;195-212&lt;/pages&gt;&lt;number&gt;4&lt;/number&gt;&lt;contributors&gt;&lt;authors&gt;&lt;author&gt;Clarke, B. F.&lt;/author&gt;&lt;author&gt;Ewing, D. J.&lt;/author&gt;&lt;author&gt;Campbell, I. W.&lt;/author&gt;&lt;/authors&gt;&lt;/contributors&gt;&lt;added-date format="utc"&gt;1372883293&lt;/added-date&gt;&lt;ref-type name="Journal Article"&gt;17&lt;/ref-type&gt;&lt;rec-number&gt;734&lt;/rec-number&gt;&lt;last-updated-date format="utc"&gt;1372883293&lt;/last-updated-date&gt;&lt;accession-num&gt;WOS:A1979HS77700001&lt;/accession-num&gt;&lt;electronic-resource-num&gt;10.1007/bf01235856&lt;/electronic-resource-num&gt;&lt;volume&gt;17&lt;/volume&gt;&lt;/record&gt;&lt;/Cite&gt;&lt;Cite  &gt;&lt;Author&gt;Ewing&lt;/Author&gt;&lt;Year&gt;1982&lt;/Year&gt;&lt;RecNum&gt;730&lt;/RecNum&gt;&lt;record&gt;&lt;dates&gt;&lt;pub-dates&gt;&lt;date&gt;1982&lt;/date&gt;&lt;/pub-dates&gt;&lt;year&gt;1982&lt;/year&gt;&lt;/dates&gt;&lt;urls&gt;&lt;related-urls&gt;&lt;url&gt;&amp;lt;Go to ISI&amp;gt;://WOS:A1982PJ43700007&lt;/url&gt;&lt;/related-urls&gt;&lt;/urls&gt;&lt;isbn&gt;0959-8138&lt;/isbn&gt;&lt;titles&gt;&lt;title&gt;DIAGNOSIS AND MANAGEMENT OF DIABETIC AUTONOMIC NEUROPATHY&lt;/title&gt;&lt;secondary-title&gt;British Medical Journal&lt;/secondary-title&gt;&lt;/titles&gt;&lt;pages&gt;916-918&lt;/pages&gt;&lt;number&gt;6346&lt;/number&gt;&lt;contributors&gt;&lt;authors&gt;&lt;author&gt;Ewing, D. J.&lt;/author&gt;&lt;author&gt;Clarke, B. F.&lt;/author&gt;&lt;/authors&gt;&lt;/contributors&gt;&lt;added-date format="utc"&gt;1372882201&lt;/added-date&gt;&lt;ref-type name="Journal Article"&gt;17&lt;/ref-type&gt;&lt;rec-number&gt;730&lt;/rec-number&gt;&lt;last-updated-date format="utc"&gt;1372882201&lt;/last-updated-date&gt;&lt;accession-num&gt;WOS:A1982PJ43700007&lt;/accession-num&gt;&lt;volume&gt;285&lt;/volume&gt;&lt;/record&gt;&lt;/Cite&gt;&lt;Cite  &gt;&lt;Author&gt;Boulton&lt;/Author&gt;&lt;Year&gt;1998&lt;/Year&gt;&lt;RecNum&gt;612&lt;/RecNum&gt;&lt;record&gt;&lt;dates&gt;&lt;pub-dates&gt;&lt;date&gt;Jun&lt;/date&gt;&lt;/pub-dates&gt;&lt;year&gt;1998&lt;/year&gt;&lt;/dates&gt;&lt;urls&gt;&lt;related-urls&gt;&lt;url&gt;&amp;lt;Go to ISI&amp;gt;://WOS:000073898400012&lt;/url&gt;&lt;/related-urls&gt;&lt;/urls&gt;&lt;isbn&gt;0742-3071&lt;/isbn&gt;&lt;titles&gt;&lt;title&gt;Guidelines for the diagnosis and outpatient management of diabetic peripheral neuropathy&lt;/title&gt;&lt;secondary-title&gt;Diabetic Medicine&lt;/secondary-title&gt;&lt;/titles&gt;&lt;pages&gt;508-514&lt;/pages&gt;&lt;number&gt;6&lt;/number&gt;&lt;contributors&gt;&lt;authors&gt;&lt;author&gt;Boulton, A. J. M.&lt;/author&gt;&lt;author&gt;Gries, F. A.&lt;/author&gt;&lt;author&gt;Jervell, J. A.&lt;/author&gt;&lt;/authors&gt;&lt;/contributors&gt;&lt;added-date format="utc"&gt;1357493493&lt;/added-date&gt;&lt;ref-type name="Journal Article"&gt;17&lt;/ref-type&gt;&lt;rec-number&gt;612&lt;/rec-number&gt;&lt;last-updated-date format="utc"&gt;1357493493&lt;/last-updated-date&gt;&lt;accession-num&gt;WOS:000073898400012&lt;/accession-num&gt;&lt;electronic-resource-num&gt;10.1002/(sici)1096-9136(199806)15:6&amp;lt;508::aid-dia613&amp;gt;3.3.co;2-c&lt;/electronic-resource-num&gt;&lt;volume&gt;15&lt;/volum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eastAsia="en-GB"/>
        </w:rPr>
        <w:t>(Clarke et al., 1979, Ewing and Clarke, 1982, Boulton et al., 1998)</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eastAsia="en-GB"/>
        </w:rPr>
        <w:t xml:space="preserve">. </w:t>
      </w:r>
    </w:p>
    <w:p w14:paraId="2A0B2835" w14:textId="1C54FD52" w:rsidR="00AF0E0B" w:rsidRPr="00AF0E0B" w:rsidRDefault="00AF0E0B" w:rsidP="0031237D">
      <w:pPr>
        <w:pStyle w:val="Heading3"/>
      </w:pPr>
      <w:bookmarkStart w:id="141" w:name="_Toc49973105"/>
      <w:bookmarkStart w:id="142" w:name="_Toc64723905"/>
      <w:r w:rsidRPr="00AF0E0B">
        <w:lastRenderedPageBreak/>
        <w:t>Laboratory examination</w:t>
      </w:r>
      <w:bookmarkEnd w:id="141"/>
      <w:bookmarkEnd w:id="142"/>
    </w:p>
    <w:p w14:paraId="0912538C" w14:textId="777B70B3" w:rsidR="00AF0E0B" w:rsidRPr="00AF0E0B" w:rsidRDefault="00AF0E0B" w:rsidP="00AF0E0B">
      <w:pPr>
        <w:pBdr>
          <w:top w:val="nil"/>
          <w:left w:val="nil"/>
          <w:bottom w:val="nil"/>
          <w:right w:val="nil"/>
          <w:between w:val="nil"/>
          <w:bar w:val="nil"/>
        </w:pBdr>
        <w:spacing w:line="360" w:lineRule="auto"/>
        <w:rPr>
          <w:rFonts w:eastAsia="Arial" w:cs="Arial"/>
          <w:color w:val="000000"/>
          <w:u w:color="000000"/>
          <w:bdr w:val="nil"/>
          <w:lang w:eastAsia="en-GB"/>
        </w:rPr>
      </w:pPr>
      <w:r w:rsidRPr="00AF0E0B">
        <w:rPr>
          <w:rFonts w:eastAsia="Arial Unicode MS" w:cs="Arial Unicode MS"/>
          <w:color w:val="000000"/>
          <w:u w:color="000000"/>
          <w:bdr w:val="nil"/>
          <w:lang w:val="en-US" w:eastAsia="en-GB"/>
        </w:rPr>
        <w:t>Blood tests</w:t>
      </w:r>
      <w:r w:rsidRPr="00AF0E0B">
        <w:rPr>
          <w:rFonts w:eastAsia="Arial Unicode MS" w:cs="Arial Unicode MS"/>
          <w:color w:val="000000"/>
          <w:u w:color="000000"/>
          <w:bdr w:val="nil"/>
          <w:lang w:eastAsia="en-GB"/>
        </w:rPr>
        <w:t xml:space="preserve"> </w:t>
      </w:r>
      <w:r w:rsidRPr="00AF0E0B">
        <w:rPr>
          <w:rFonts w:eastAsia="Arial Unicode MS" w:cs="Arial Unicode MS"/>
          <w:color w:val="000000"/>
          <w:u w:color="000000"/>
          <w:bdr w:val="nil"/>
          <w:lang w:val="en-US" w:eastAsia="en-GB"/>
        </w:rPr>
        <w:t>for the measurement of Hba1c, B12, folate, ESR, TSH, serum urea, electrolytes, estimated glomerular filtration rate (</w:t>
      </w:r>
      <w:r w:rsidR="00233478">
        <w:rPr>
          <w:rFonts w:eastAsia="Arial Unicode MS" w:cs="Arial Unicode MS"/>
          <w:color w:val="000000"/>
          <w:u w:color="000000"/>
          <w:bdr w:val="nil"/>
          <w:lang w:val="en-US" w:eastAsia="en-GB"/>
        </w:rPr>
        <w:t>eGFR</w:t>
      </w:r>
      <w:r w:rsidRPr="00AF0E0B">
        <w:rPr>
          <w:rFonts w:eastAsia="Arial Unicode MS" w:cs="Arial Unicode MS"/>
          <w:color w:val="000000"/>
          <w:u w:color="000000"/>
          <w:bdr w:val="nil"/>
          <w:lang w:val="en-US" w:eastAsia="en-GB"/>
        </w:rPr>
        <w:t xml:space="preserve">) and methylglyoxal were performed. Blood samples for methylglyoxal measurement were centrifuged and immediately placed on ice and then processed according to a previously published protocol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&gt;&lt;Author&gt;McLellan&lt;/Author&gt;&lt;Year&gt;1992&lt;/Year&gt;&lt;RecNum&gt;1168&lt;/RecNum&gt;&lt;DisplayText&gt;(McLellan et al., 1992, Bierhaus et al., 2012)&lt;/DisplayText&gt;&lt;record&gt;&lt;keywords&gt;&lt;keyword&gt;Chemistry&lt;/keyword&gt;&lt;keyword&gt;Anatomy &amp;amp; Physiology&lt;/keyword&gt;&lt;/keywords&gt;&lt;isbn&gt;0003-2697&lt;/isbn&gt;&lt;titles&gt;&lt;title&gt;The assay of methylglyoxal in biological systems byderivatization with 1,2-diamino-4,5-dimethoxybenzene&lt;/title&gt;&lt;secondary-title&gt;Analytical Biochemistry&lt;/secondary-title&gt;&lt;/titles&gt;&lt;pages&gt;17-23&lt;/pages&gt;&lt;number&gt;1&lt;/number&gt;&lt;contributors&gt;&lt;authors&gt;&lt;author&gt;McLellan, A. C.&lt;/author&gt;&lt;author&gt;Phillips, S. A.&lt;/author&gt;&lt;author&gt;Thornalley, P. J.&lt;/author&gt;&lt;/authors&gt;&lt;/contributors&gt;&lt;added-date format="utc"&gt;1572950544&lt;/added-date&gt;&lt;ref-type name="Journal Article"&gt;17&lt;/ref-type&gt;&lt;dates&gt;&lt;year&gt;1992&lt;/year&gt;&lt;/dates&gt;&lt;rec-number&gt;1168&lt;/rec-number&gt;&lt;last-updated-date format="utc"&gt;1572950544&lt;/last-updated-date&gt;&lt;electronic-resource-num&gt;10.1016/S0003-2697(05)80005-3&lt;/electronic-resource-num&gt;&lt;volume&gt;206&lt;/volume&gt;&lt;/record&gt;&lt;/Cite&gt;&lt;Cite  &gt;&lt;Author&gt;Bierhaus&lt;/Author&gt;&lt;Year&gt;2012&lt;/Year&gt;&lt;RecNum&gt;72&lt;/RecNum&gt;&lt;record&gt;&lt;dates&gt;&lt;pub-dates&gt;&lt;date&gt;Jun&lt;/date&gt;&lt;/pub-dates&gt;&lt;year&gt;2012&lt;/year&gt;&lt;/dates&gt;&lt;urls&gt;&lt;related-urls&gt;&lt;url&gt;&amp;lt;Go to ISI&amp;gt;://WOS:000305116600030&lt;/url&gt;&lt;/related-urls&gt;&lt;/urls&gt;&lt;isbn&gt;1078-8956&lt;/isbn&gt;&lt;titles&gt;&lt;title&gt;Methylglyoxal modification of Na(v)1.8 facilitates nociceptive neuron firing and causes hyperalgesia in diabetic neuropathy&lt;/title&gt;&lt;secondary-title&gt;Nature Medicine&lt;/secondary-title&gt;&lt;/titles&gt;&lt;number&gt;6&lt;/number&gt;&lt;contributors&gt;&lt;authors&gt;&lt;author&gt;Bierhaus, Angelika&lt;/author&gt;&lt;author&gt;Fleming, Thomas&lt;/author&gt;&lt;author&gt;Stoyanov, Stoyan&lt;/author&gt;&lt;author&gt;Leffler, Andreas&lt;/author&gt;&lt;author&gt;Babes, Alexandru&lt;/author&gt;&lt;author&gt;Neacsu, Cristian&lt;/author&gt;&lt;author&gt;Sauer, Susanne K.&lt;/author&gt;&lt;author&gt;Eberhardt, Mirjam&lt;/author&gt;&lt;author&gt;Schnoelzer, Martina&lt;/author&gt;&lt;author&gt;Lasischka, Felix&lt;/author&gt;&lt;author&gt;Neuhuber, Winfried L.&lt;/author&gt;&lt;author&gt;Kichko, Tatjana I.&lt;/author&gt;&lt;author&gt;Konrade, Ilze&lt;/author&gt;&lt;author&gt;Elvert, Ralf&lt;/author&gt;&lt;author&gt;Mier, Walter&lt;/author&gt;&lt;author&gt;Pirags, Valdis&lt;/author&gt;&lt;author&gt;Lukic, Ivan K.&lt;/author&gt;&lt;author&gt;Morcos, Michael&lt;/author&gt;&lt;author&gt;Dehmer, Thomas&lt;/author&gt;&lt;author&gt;Rabbani, Naila&lt;/author&gt;&lt;author&gt;Thornalley, Paul J.&lt;/author&gt;&lt;author&gt;Edelstein, Diane&lt;/author&gt;&lt;author&gt;Nau, Carla&lt;/author&gt;&lt;author&gt;Forbes, Josephine&lt;/author&gt;&lt;author&gt;Humpert, Per M.&lt;/author&gt;&lt;author&gt;Schwaninger, Markus&lt;/author&gt;&lt;author&gt;Ziegler, Dan&lt;/author&gt;&lt;author&gt;Stern, David M.&lt;/author&gt;&lt;author&gt;Cooper, Mark E.&lt;/author&gt;&lt;author&gt;Haberkorn, Uwe&lt;/author&gt;&lt;author&gt;Brownlee, Michael&lt;/author&gt;&lt;author&gt;Reeh, Peter W.&lt;/author&gt;&lt;author&gt;Nawroth, Peter P.&lt;/author&gt;&lt;/authors&gt;&lt;/contributors&gt;&lt;added-date format="utc"&gt;1350045529&lt;/added-date&gt;&lt;ref-type name="Journal Article"&gt;17&lt;/ref-type&gt;&lt;rec-number&gt;72&lt;/rec-number&gt;&lt;last-updated-date format="utc"&gt;1350045838&lt;/last-updated-date&gt;&lt;accession-num&gt;WOS:000305116600030&lt;/accession-num&gt;&lt;electronic-resource-num&gt;10.1038/nm.2750&lt;/electronic-resource-num&gt;&lt;volume&gt;18&lt;/volume&gt;&lt;/record&gt;&lt;/Cite&gt;&lt;/EndNote&gt;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eastAsia="en-GB"/>
        </w:rPr>
        <w:t>(McLellan et al., 1992, Bierhaus et al., 2012)</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eastAsia="en-GB"/>
        </w:rPr>
        <w:t xml:space="preserve">. </w:t>
      </w:r>
    </w:p>
    <w:p w14:paraId="1F1BD09E" w14:textId="29B78B0C" w:rsidR="00AF0E0B" w:rsidRPr="00AF0E0B" w:rsidRDefault="00AF0E0B" w:rsidP="0031237D">
      <w:pPr>
        <w:pStyle w:val="Heading3"/>
      </w:pPr>
      <w:bookmarkStart w:id="143" w:name="_Toc49973106"/>
      <w:bookmarkStart w:id="144" w:name="_Toc64723906"/>
      <w:r w:rsidRPr="00AF0E0B">
        <w:t>Questionnaires</w:t>
      </w:r>
      <w:bookmarkEnd w:id="143"/>
      <w:bookmarkEnd w:id="144"/>
    </w:p>
    <w:p w14:paraId="091EFE11" w14:textId="726E8C17" w:rsidR="00AF0E0B" w:rsidRPr="00AF0E0B" w:rsidRDefault="00AF0E0B" w:rsidP="00AF0E0B">
      <w:pPr>
        <w:pBdr>
          <w:top w:val="nil"/>
          <w:left w:val="nil"/>
          <w:bottom w:val="nil"/>
          <w:right w:val="nil"/>
          <w:between w:val="nil"/>
          <w:bar w:val="nil"/>
        </w:pBdr>
        <w:spacing w:line="360" w:lineRule="auto"/>
        <w:rPr>
          <w:rFonts w:eastAsia="Arial" w:cs="Arial"/>
          <w:color w:val="000000"/>
          <w:u w:color="000000"/>
          <w:bdr w:val="nil"/>
          <w:lang w:eastAsia="en-GB"/>
        </w:rPr>
      </w:pPr>
      <w:r w:rsidRPr="00AF0E0B">
        <w:rPr>
          <w:rFonts w:eastAsia="Arial Unicode MS" w:cs="Arial Unicode MS"/>
          <w:color w:val="000000"/>
          <w:u w:color="000000"/>
          <w:bdr w:val="nil"/>
          <w:lang w:val="fr-FR" w:eastAsia="en-GB"/>
        </w:rPr>
        <w:t>Self-</w:t>
      </w:r>
      <w:proofErr w:type="spellStart"/>
      <w:r w:rsidRPr="00AF0E0B">
        <w:rPr>
          <w:rFonts w:eastAsia="Arial Unicode MS" w:cs="Arial Unicode MS"/>
          <w:color w:val="000000"/>
          <w:u w:color="000000"/>
          <w:bdr w:val="nil"/>
          <w:lang w:val="fr-FR" w:eastAsia="en-GB"/>
        </w:rPr>
        <w:t>administered</w:t>
      </w:r>
      <w:proofErr w:type="spellEnd"/>
      <w:r w:rsidRPr="00AF0E0B">
        <w:rPr>
          <w:rFonts w:eastAsia="Arial Unicode MS" w:cs="Arial Unicode MS"/>
          <w:color w:val="000000"/>
          <w:u w:color="000000"/>
          <w:bdr w:val="nil"/>
          <w:lang w:val="fr-FR" w:eastAsia="en-GB"/>
        </w:rPr>
        <w:t xml:space="preserve"> questionnaires </w:t>
      </w:r>
      <w:proofErr w:type="spellStart"/>
      <w:r w:rsidRPr="00AF0E0B">
        <w:rPr>
          <w:rFonts w:eastAsia="Arial Unicode MS" w:cs="Arial Unicode MS"/>
          <w:color w:val="000000"/>
          <w:u w:color="000000"/>
          <w:bdr w:val="nil"/>
          <w:lang w:val="fr-FR" w:eastAsia="en-GB"/>
        </w:rPr>
        <w:t>captur</w:t>
      </w:r>
      <w:proofErr w:type="spellEnd"/>
      <w:r w:rsidRPr="00AF0E0B">
        <w:rPr>
          <w:rFonts w:eastAsia="Arial Unicode MS" w:cs="Arial Unicode MS"/>
          <w:color w:val="000000"/>
          <w:u w:color="000000"/>
          <w:bdr w:val="nil"/>
          <w:lang w:val="en-US" w:eastAsia="en-GB"/>
        </w:rPr>
        <w:t xml:space="preserve">ed information about: mood [Hospital Anxiety and Depression Scale (HADS-A and HADS-D)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&gt;&lt;Author&gt;Bjelland&lt;/Author&gt;&lt;Year&gt;2002&lt;/Year&gt;&lt;RecNum&gt;78&lt;/RecNum&gt;&lt;DisplayText&gt;(Bjelland et al., 2002)&lt;/DisplayText&gt;&lt;record&gt;&lt;keywords/&gt;&lt;isbn&gt;0022-3999 (Print)&amp;#13;0022-3999 (Linking)&lt;/isbn&gt;&lt;titles&gt;&lt;title&gt;The validity of the Hospital Anxiety and Depression Scale. An updated literature review&lt;/title&gt;&lt;secondary-title&gt;J Psychosom Res&lt;/secondary-title&gt;&lt;/titles&gt;&lt;pages&gt;69-77&lt;/pages&gt;&lt;number&gt;2&lt;/number&gt;&lt;contributors&gt;&lt;authors&gt;&lt;author&gt;Bjelland, I.&lt;/author&gt;&lt;author&gt;Dahl, A. A.&lt;/author&gt;&lt;author&gt;Haug, T. T.&lt;/author&gt;&lt;author&gt;Neckelmann, D.&lt;/author&gt;&lt;/authors&gt;&lt;/contributors&gt;&lt;language&gt;eng&lt;/language&gt;&lt;added-date format="utc"&gt;1350036221&lt;/added-date&gt;&lt;pub-location&gt;England&lt;/pub-location&gt;&lt;ref-type name="Book Section"&gt;5&lt;/ref-type&gt;&lt;auth-address&gt;Department of Public Health and Primary Health Care, Section for Preventive Medicine, Haukeland Hospital, Armauer Hansen Building, University of Bergen, N-5021, Bergen, Norway. ingvar.bjelland@uib.no&lt;/auth-address&gt;&lt;dates&gt;&lt;year&gt;2002&lt;/year&gt;&lt;/dates&gt;&lt;remote-database-provider&gt;NLM&lt;/remote-database-provider&gt;&lt;rec-number&gt;78&lt;/rec-number&gt;&lt;last-updated-date format="utc"&gt;1350052863&lt;/last-updated-date&gt;&lt;accession-num&gt;11832252&lt;/accession-num&gt;&lt;volume&gt;52&lt;/volume&gt;&lt;/record&gt;&lt;/Cite&gt;&lt;/EndNote&gt;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eastAsia="en-GB"/>
        </w:rPr>
        <w:t>(Bjelland et al., 2002)</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de-DE" w:eastAsia="en-GB"/>
        </w:rPr>
        <w:t xml:space="preserve">; Becks Depression </w:t>
      </w:r>
      <w:proofErr w:type="spellStart"/>
      <w:r w:rsidRPr="00AF0E0B">
        <w:rPr>
          <w:rFonts w:eastAsia="Arial Unicode MS" w:cs="Arial Unicode MS"/>
          <w:color w:val="000000"/>
          <w:u w:color="000000"/>
          <w:bdr w:val="nil"/>
          <w:lang w:val="de-DE" w:eastAsia="en-GB"/>
        </w:rPr>
        <w:t>Scale</w:t>
      </w:r>
      <w:proofErr w:type="spellEnd"/>
      <w:r w:rsidRPr="00AF0E0B">
        <w:rPr>
          <w:rFonts w:eastAsia="Arial Unicode MS" w:cs="Arial Unicode MS"/>
          <w:color w:val="000000"/>
          <w:u w:color="000000"/>
          <w:bdr w:val="nil"/>
          <w:lang w:val="de-DE" w:eastAsia="en-GB"/>
        </w:rPr>
        <w:t xml:space="preserve"> (BDI)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&gt;&lt;Author&gt;Beck&lt;/Author&gt;&lt;Year&gt;1961&lt;/Year&gt;&lt;RecNum&gt;728&lt;/RecNum&gt;&lt;DisplayText&gt;(Beck et al., 1961)&lt;/DisplayText&gt;&lt;record&gt;&lt;dates&gt;&lt;pub-dates&gt;&lt;date&gt;1961&lt;/date&gt;&lt;/pub-dates&gt;&lt;year&gt;1961&lt;/year&gt;&lt;/dates&gt;&lt;urls&gt;&lt;related-urls&gt;&lt;url&gt;&amp;lt;Go to ISI&amp;gt;://WOS:A19611019400001&lt;/url&gt;&lt;/related-urls&gt;&lt;/urls&gt;&lt;isbn&gt;0003-990X&lt;/isbn&gt;&lt;titles&gt;&lt;title&gt;AN INVENTORY FOR MEASURING DEPRESSION&lt;/title&gt;&lt;secondary-title&gt;Archives of General Psychiatry&lt;/secondary-title&gt;&lt;/titles&gt;&lt;pages&gt;561-&amp;amp;&lt;/pages&gt;&lt;number&gt;6&lt;/number&gt;&lt;contributors&gt;&lt;authors&gt;&lt;author&gt;Beck, A. T.&lt;/author&gt;&lt;author&gt;Erbaugh, J.&lt;/author&gt;&lt;author&gt;Ward, C. H.&lt;/author&gt;&lt;author&gt;Mock, J.&lt;/author&gt;&lt;author&gt;Mendelsohn, M.&lt;/author&gt;&lt;/authors&gt;&lt;/contributors&gt;&lt;added-date format="utc"&gt;1372244780&lt;/added-date&gt;&lt;ref-type name="Journal Article"&gt;17&lt;/ref-type&gt;&lt;rec-number&gt;728&lt;/rec-number&gt;&lt;last-updated-date format="utc"&gt;1372244780&lt;/last-updated-date&gt;&lt;accession-num&gt;WOS:A19611019400001&lt;/accession-num&gt;&lt;volume&gt;4&lt;/volume&gt;&lt;/record&gt;&lt;/Cite&gt;&lt;/EndNote&gt;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eastAsia="en-GB"/>
        </w:rPr>
        <w:t>(Beck et al., 1961)</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xml:space="preserve">; predisposition to anxiety (State-Trait anxiety inventory- STAI-S= State, STAI-T= trait)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&gt;&lt;Author&gt;Spielberger&lt;/Author&gt;&lt;Year&gt;1983&lt;/Year&gt;&lt;RecNum&gt;729&lt;/RecNum&gt;&lt;DisplayText&gt;(Spielberger et al., 1983)&lt;/DisplayText&gt;&lt;record&gt;&lt;titles&gt;&lt;title&gt;Manual for the State-Trait Anxiety Inventory.&lt;/title&gt;&lt;/titles&gt;&lt;contributors&gt;&lt;authors&gt;&lt;author&gt;Spielberger, C.D.&lt;/author&gt;&lt;author&gt;Gorssuch, R.L.&lt;/author&gt;&lt;author&gt;Lushene, P.R.&lt;/author&gt;&lt;author&gt;Vagg, P.R.&lt;/author&gt;&lt;author&gt;Jacobs, G.A&lt;/author&gt;&lt;/authors&gt;&lt;/contributors&gt;&lt;added-date format="utc"&gt;1372245370&lt;/added-date&gt;&lt;ref-type name="Book"&gt;6&lt;/ref-type&gt;&lt;dates&gt;&lt;year&gt;1983&lt;/year&gt;&lt;/dates&gt;&lt;rec-number&gt;729&lt;/rec-number&gt;&lt;publisher&gt;Consulting Psychologists Press, Inc.&lt;/publisher&gt;&lt;last-updated-date format="utc"&gt;1372245449&lt;/last-updated-date&gt;&lt;/record&gt;&lt;/Cite&gt;&lt;/EndNote&gt;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val="de-DE" w:eastAsia="en-GB"/>
        </w:rPr>
        <w:t>(Spielberger et al., 1983)</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xml:space="preserve">]; impulsivity and </w:t>
      </w:r>
      <w:proofErr w:type="spellStart"/>
      <w:r w:rsidRPr="00AF0E0B">
        <w:rPr>
          <w:rFonts w:eastAsia="Arial Unicode MS" w:cs="Arial Unicode MS"/>
          <w:color w:val="000000"/>
          <w:u w:color="000000"/>
          <w:bdr w:val="nil"/>
          <w:lang w:val="en-US" w:eastAsia="en-GB"/>
        </w:rPr>
        <w:t>behavioural</w:t>
      </w:r>
      <w:proofErr w:type="spellEnd"/>
      <w:r w:rsidRPr="00AF0E0B">
        <w:rPr>
          <w:rFonts w:eastAsia="Arial Unicode MS" w:cs="Arial Unicode MS"/>
          <w:color w:val="000000"/>
          <w:u w:color="000000"/>
          <w:bdr w:val="nil"/>
          <w:lang w:val="en-US" w:eastAsia="en-GB"/>
        </w:rPr>
        <w:t xml:space="preserve"> approach (</w:t>
      </w:r>
      <w:proofErr w:type="spellStart"/>
      <w:r w:rsidRPr="00AF0E0B">
        <w:rPr>
          <w:rFonts w:eastAsia="Arial Unicode MS" w:cs="Arial Unicode MS"/>
          <w:color w:val="000000"/>
          <w:u w:color="000000"/>
          <w:bdr w:val="nil"/>
          <w:lang w:val="en-US" w:eastAsia="en-GB"/>
        </w:rPr>
        <w:t>Behavioural</w:t>
      </w:r>
      <w:proofErr w:type="spellEnd"/>
      <w:r w:rsidRPr="00AF0E0B">
        <w:rPr>
          <w:rFonts w:eastAsia="Arial Unicode MS" w:cs="Arial Unicode MS"/>
          <w:color w:val="000000"/>
          <w:u w:color="000000"/>
          <w:bdr w:val="nil"/>
          <w:lang w:val="en-US" w:eastAsia="en-GB"/>
        </w:rPr>
        <w:t xml:space="preserve"> inhibition and </w:t>
      </w:r>
      <w:proofErr w:type="spellStart"/>
      <w:r w:rsidRPr="00AF0E0B">
        <w:rPr>
          <w:rFonts w:eastAsia="Arial Unicode MS" w:cs="Arial Unicode MS"/>
          <w:color w:val="000000"/>
          <w:u w:color="000000"/>
          <w:bdr w:val="nil"/>
          <w:lang w:val="en-US" w:eastAsia="en-GB"/>
        </w:rPr>
        <w:t>Behavioural</w:t>
      </w:r>
      <w:proofErr w:type="spellEnd"/>
      <w:r w:rsidRPr="00AF0E0B">
        <w:rPr>
          <w:rFonts w:eastAsia="Arial Unicode MS" w:cs="Arial Unicode MS"/>
          <w:color w:val="000000"/>
          <w:u w:color="000000"/>
          <w:bdr w:val="nil"/>
          <w:lang w:val="en-US" w:eastAsia="en-GB"/>
        </w:rPr>
        <w:t xml:space="preserve"> Approach Scale (BIS-BAS, including BAS-D = Drive, BAS-F=fun seeking, BAS-RR=reward responsiveness and BIS </w:t>
      </w:r>
      <w:proofErr w:type="spellStart"/>
      <w:r w:rsidRPr="00AF0E0B">
        <w:rPr>
          <w:rFonts w:eastAsia="Arial Unicode MS" w:cs="Arial Unicode MS"/>
          <w:color w:val="000000"/>
          <w:u w:color="000000"/>
          <w:bdr w:val="nil"/>
          <w:lang w:val="en-US" w:eastAsia="en-GB"/>
        </w:rPr>
        <w:t>behavioural</w:t>
      </w:r>
      <w:proofErr w:type="spellEnd"/>
      <w:r w:rsidRPr="00AF0E0B">
        <w:rPr>
          <w:rFonts w:eastAsia="Arial Unicode MS" w:cs="Arial Unicode MS"/>
          <w:color w:val="000000"/>
          <w:u w:color="000000"/>
          <w:bdr w:val="nil"/>
          <w:lang w:val="en-US" w:eastAsia="en-GB"/>
        </w:rPr>
        <w:t xml:space="preserve"> inhibition)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&gt;&lt;Author&gt;Carver&lt;/Author&gt;&lt;Year&gt;1994&lt;/Year&gt;&lt;RecNum&gt;725&lt;/RecNum&gt;&lt;DisplayText&gt;(Carver and White, 1994)&lt;/DisplayText&gt;&lt;record&gt;&lt;dates&gt;&lt;pub-dates&gt;&lt;date&gt;Aug&lt;/date&gt;&lt;/pub-dates&gt;&lt;year&gt;1994&lt;/year&gt;&lt;/dates&gt;&lt;urls&gt;&lt;related-urls&gt;&lt;url&gt;&amp;lt;Go to ISI&amp;gt;://WOS:A1994PC24500013&lt;/url&gt;&lt;/related-urls&gt;&lt;/urls&gt;&lt;isbn&gt;0022-3514&lt;/isbn&gt;&lt;titles&gt;&lt;title&gt;BEHAVIORAL-INHIBITION, BEHAVIORAL ACTIVATION, AND AFFECTIVE RESPONSES TO IMPENDING REWARD AND PUNISHMENT - THE BIS BAS SCALES&lt;/title&gt;&lt;secondary-title&gt;Journal of Personality and Social Psychology&lt;/secondary-title&gt;&lt;/titles&gt;&lt;pages&gt;319-333&lt;/pages&gt;&lt;number&gt;2&lt;/number&gt;&lt;contributors&gt;&lt;authors&gt;&lt;author&gt;Carver, C. S.&lt;/author&gt;&lt;author&gt;White, T. L.&lt;/author&gt;&lt;/authors&gt;&lt;/contributors&gt;&lt;added-date format="utc"&gt;1372244165&lt;/added-date&gt;&lt;ref-type name="Journal Article"&gt;17&lt;/ref-type&gt;&lt;rec-number&gt;725&lt;/rec-number&gt;&lt;last-updated-date format="utc"&gt;1372244165&lt;/last-updated-date&gt;&lt;accession-num&gt;WOS:A1994PC24500013&lt;/accession-num&gt;&lt;electronic-resource-num&gt;10.1037/0022-3514.67.2.319&lt;/electronic-resource-num&gt;&lt;volume&gt;67&lt;/volume&gt;&lt;/record&gt;&lt;/Cite&gt;&lt;/EndNote&gt;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val="en-US" w:eastAsia="en-GB"/>
        </w:rPr>
        <w:t>(Carver and White, 1994)</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xml:space="preserve">;  catastrophic thinking associated with experiencing pain (Pain </w:t>
      </w:r>
      <w:proofErr w:type="spellStart"/>
      <w:r w:rsidRPr="00AF0E0B">
        <w:rPr>
          <w:rFonts w:eastAsia="Arial Unicode MS" w:cs="Arial Unicode MS"/>
          <w:color w:val="000000"/>
          <w:u w:color="000000"/>
          <w:bdr w:val="nil"/>
          <w:lang w:val="en-US" w:eastAsia="en-GB"/>
        </w:rPr>
        <w:t>catastrophising</w:t>
      </w:r>
      <w:proofErr w:type="spellEnd"/>
      <w:r w:rsidRPr="00AF0E0B">
        <w:rPr>
          <w:rFonts w:eastAsia="Arial Unicode MS" w:cs="Arial Unicode MS"/>
          <w:color w:val="000000"/>
          <w:u w:color="000000"/>
          <w:bdr w:val="nil"/>
          <w:lang w:val="en-US" w:eastAsia="en-GB"/>
        </w:rPr>
        <w:t xml:space="preserve"> scale (PCS)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&gt;&lt;Author&gt;Sullivan&lt;/Author&gt;&lt;Year&gt;1995&lt;/Year&gt;&lt;RecNum&gt;727&lt;/RecNum&gt;&lt;DisplayText&gt;(Sullivan et al., 1995)&lt;/DisplayText&gt;&lt;record&gt;&lt;dates&gt;&lt;pub-dates&gt;&lt;date&gt;Dec&lt;/date&gt;&lt;/pub-dates&gt;&lt;year&gt;1995&lt;/year&gt;&lt;/dates&gt;&lt;urls&gt;&lt;related-urls&gt;&lt;url&gt;&amp;lt;Go to ISI&amp;gt;://WOS:A1995TL18000014&lt;/url&gt;&lt;/related-urls&gt;&lt;/urls&gt;&lt;isbn&gt;1040-3590&lt;/isbn&gt;&lt;titles&gt;&lt;title&gt;The Pain Catastrophizing Scale: Development and validation&lt;/title&gt;&lt;secondary-title&gt;Psychological Assessment&lt;/secondary-title&gt;&lt;/titles&gt;&lt;pages&gt;524-532&lt;/pages&gt;&lt;number&gt;4&lt;/number&gt;&lt;contributors&gt;&lt;authors&gt;&lt;author&gt;Sullivan, M. J. L.&lt;/author&gt;&lt;author&gt;Bishop, S. R.&lt;/author&gt;&lt;author&gt;Pivik, J.&lt;/author&gt;&lt;/authors&gt;&lt;/contributors&gt;&lt;added-date format="utc"&gt;1372244576&lt;/added-date&gt;&lt;ref-type name="Journal Article"&gt;17&lt;/ref-type&gt;&lt;rec-number&gt;727&lt;/rec-number&gt;&lt;last-updated-date format="utc"&gt;1372244576&lt;/last-updated-date&gt;&lt;accession-num&gt;WOS:A1995TL18000014&lt;/accession-num&gt;&lt;electronic-resource-num&gt;10.1037//1040-3590.7.4.524&lt;/electronic-resource-num&gt;&lt;volume&gt;7&lt;/volume&gt;&lt;/record&gt;&lt;/Cite&gt;&lt;/EndNote&gt;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eastAsia="en-GB"/>
        </w:rPr>
        <w:t>(Sullivan et al., 1995)</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xml:space="preserve">; and somatic focus (hypochondriacal </w:t>
      </w:r>
      <w:proofErr w:type="spellStart"/>
      <w:r w:rsidRPr="00AF0E0B">
        <w:rPr>
          <w:rFonts w:eastAsia="Arial Unicode MS" w:cs="Arial Unicode MS"/>
          <w:color w:val="000000"/>
          <w:u w:color="000000"/>
          <w:bdr w:val="nil"/>
          <w:lang w:val="en-US" w:eastAsia="en-GB"/>
        </w:rPr>
        <w:t>behaviour</w:t>
      </w:r>
      <w:proofErr w:type="spellEnd"/>
      <w:r w:rsidRPr="00AF0E0B">
        <w:rPr>
          <w:rFonts w:eastAsia="Arial Unicode MS" w:cs="Arial Unicode MS"/>
          <w:color w:val="000000"/>
          <w:u w:color="000000"/>
          <w:bdr w:val="nil"/>
          <w:lang w:val="en-US" w:eastAsia="en-GB"/>
        </w:rPr>
        <w:t xml:space="preserve">) PILL- Pennebaker Inventory of Limbic Languidness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&gt;&lt;Author&gt;Pennebaker&lt;/Author&gt;&lt;Year&gt;1982&lt;/Year&gt;&lt;RecNum&gt;895&lt;/RecNum&gt;&lt;DisplayText&gt;(Pennebaker, 1982)&lt;/DisplayText&gt;&lt;record&gt;&lt;keywords&gt;&lt;keyword&gt;Medicine, Psychosomatic.&lt;/keyword&gt;&lt;keyword&gt;Symptoms.&lt;/keyword&gt;&lt;/keywords&gt;&lt;isbn&gt;0387907300&lt;/isbn&gt;&lt;titles&gt;&lt;title&gt;The psychology of physical symptoms&lt;/title&gt;&lt;/titles&gt;&lt;call-num&gt;616.07/2/019 19&amp;#13;British Library DSC 83/27261&lt;/call-num&gt;&lt;contributors&gt;&lt;authors&gt;&lt;author&gt;Pennebaker, James W.&lt;/author&gt;&lt;/authors&gt;&lt;/contributors&gt;&lt;added-date format="utc"&gt;1511265035&lt;/added-date&gt;&lt;pub-location&gt;New York&lt;/pub-location&gt;&lt;ref-type name="Book"&gt;6&lt;/ref-type&gt;&lt;dates&gt;&lt;year&gt;1982&lt;/year&gt;&lt;/dates&gt;&lt;rec-number&gt;895&lt;/rec-number&gt;&lt;publisher&gt;Springer-Verlag&lt;/publisher&gt;&lt;last-updated-date format="utc"&gt;1511265035&lt;/last-updated-date&gt;&lt;accession-num&gt;G00035178&lt;/accession-num&gt;&lt;/record&gt;&lt;/Cite&gt;&lt;/EndNote&gt;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eastAsia="en-GB"/>
        </w:rPr>
        <w:t>(Pennebaker, 1982)</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eastAsia="en-GB"/>
        </w:rPr>
        <w:t xml:space="preserve">.  </w:t>
      </w:r>
    </w:p>
    <w:p w14:paraId="05057C4A" w14:textId="01C9F815" w:rsidR="00AF0E0B" w:rsidRPr="00AF0E0B" w:rsidRDefault="00AF0E0B" w:rsidP="0031237D">
      <w:pPr>
        <w:pStyle w:val="Heading3"/>
      </w:pPr>
      <w:bookmarkStart w:id="145" w:name="_Toc49973107"/>
      <w:bookmarkStart w:id="146" w:name="_Toc64723907"/>
      <w:r w:rsidRPr="00AF0E0B">
        <w:t>Statistical Analysis</w:t>
      </w:r>
      <w:bookmarkEnd w:id="145"/>
      <w:bookmarkEnd w:id="146"/>
    </w:p>
    <w:p w14:paraId="3E7DD982" w14:textId="598AE6DA" w:rsidR="00AF0E0B" w:rsidRPr="00AF0E0B" w:rsidRDefault="00AF0E0B" w:rsidP="00AF0E0B">
      <w:pPr>
        <w:pBdr>
          <w:top w:val="nil"/>
          <w:left w:val="nil"/>
          <w:bottom w:val="nil"/>
          <w:right w:val="nil"/>
          <w:between w:val="nil"/>
          <w:bar w:val="nil"/>
        </w:pBdr>
        <w:spacing w:line="360" w:lineRule="auto"/>
        <w:rPr>
          <w:rFonts w:eastAsia="Arial" w:cs="Arial"/>
          <w:color w:val="000000"/>
          <w:u w:color="000000"/>
          <w:bdr w:val="nil"/>
          <w:lang w:eastAsia="en-GB"/>
        </w:rPr>
      </w:pPr>
      <w:r w:rsidRPr="00AF0E0B">
        <w:rPr>
          <w:rFonts w:eastAsia="Arial Unicode MS" w:cs="Arial Unicode MS"/>
          <w:color w:val="000000"/>
          <w:u w:color="000000"/>
          <w:bdr w:val="nil"/>
          <w:lang w:val="en-US" w:eastAsia="en-GB"/>
        </w:rPr>
        <w:t xml:space="preserve">Statistical analysis was performed using SPSS v.26 (IBM).  ANOVA was used for continuous variables, Kruskal Wallis for ordinal data and Chi-Square test for nominal variables.  Significance for p was set at p&lt;0.05.  Post-hoc </w:t>
      </w:r>
      <w:r w:rsidR="00DD217A">
        <w:rPr>
          <w:rFonts w:eastAsia="Arial Unicode MS" w:cs="Arial Unicode MS"/>
          <w:color w:val="000000"/>
          <w:u w:color="000000"/>
          <w:bdr w:val="nil"/>
          <w:lang w:val="en-US" w:eastAsia="en-GB"/>
        </w:rPr>
        <w:t>Šidak</w:t>
      </w:r>
      <w:r w:rsidRPr="00AF0E0B">
        <w:rPr>
          <w:rFonts w:eastAsia="Arial Unicode MS" w:cs="Arial Unicode MS"/>
          <w:color w:val="000000"/>
          <w:u w:color="000000"/>
          <w:bdr w:val="nil"/>
          <w:lang w:val="en-US" w:eastAsia="en-GB"/>
        </w:rPr>
        <w:t xml:space="preserve"> pairwise comparisons if ANOVA comparison was significant.  In order to examine whether there was a typical psychological profile for the P-DPN group, which could be differentiated from the control groups, a multivariate analysis was performed.  If there was a significant result for the multivariate analysis for “</w:t>
      </w:r>
      <w:r w:rsidRPr="00AF0E0B">
        <w:rPr>
          <w:rFonts w:eastAsia="Arial Unicode MS" w:cs="Arial Unicode MS"/>
          <w:color w:val="000000"/>
          <w:u w:color="000000"/>
          <w:bdr w:val="nil"/>
          <w:lang w:val="fr-FR" w:eastAsia="en-GB"/>
        </w:rPr>
        <w:t>group</w:t>
      </w:r>
      <w:r w:rsidRPr="00AF0E0B">
        <w:rPr>
          <w:rFonts w:eastAsia="Arial Unicode MS" w:cs="Arial Unicode MS"/>
          <w:color w:val="000000"/>
          <w:u w:color="000000"/>
          <w:bdr w:val="nil"/>
          <w:lang w:val="en-US" w:eastAsia="en-GB"/>
        </w:rPr>
        <w:t>” (</w:t>
      </w:r>
      <w:proofErr w:type="gramStart"/>
      <w:r w:rsidRPr="00AF0E0B">
        <w:rPr>
          <w:rFonts w:eastAsia="Arial Unicode MS" w:cs="Arial Unicode MS"/>
          <w:color w:val="000000"/>
          <w:u w:color="000000"/>
          <w:bdr w:val="nil"/>
          <w:lang w:val="en-US" w:eastAsia="en-GB"/>
        </w:rPr>
        <w:t>i.e.</w:t>
      </w:r>
      <w:proofErr w:type="gramEnd"/>
      <w:r w:rsidRPr="00AF0E0B">
        <w:rPr>
          <w:rFonts w:eastAsia="Arial Unicode MS" w:cs="Arial Unicode MS"/>
          <w:color w:val="000000"/>
          <w:u w:color="000000"/>
          <w:bdr w:val="nil"/>
          <w:lang w:val="en-US" w:eastAsia="en-GB"/>
        </w:rPr>
        <w:t xml:space="preserve"> a difference between groups for all questionnaires) then a discriminant function analysis was performed with structure matrix and predicted group membership.  This would allow an assessment of which of the questionnaire scores were most likely to predict group membership of an individual with P-DPN.  </w:t>
      </w:r>
    </w:p>
    <w:p w14:paraId="7D0E13A9" w14:textId="78B969DA" w:rsidR="00AF0E0B" w:rsidRPr="00455CF2" w:rsidRDefault="00AF0E0B" w:rsidP="00E745CE">
      <w:pPr>
        <w:pStyle w:val="Heading2"/>
      </w:pPr>
      <w:bookmarkStart w:id="147" w:name="_Toc49973108"/>
      <w:bookmarkStart w:id="148" w:name="_Toc49973454"/>
      <w:bookmarkStart w:id="149" w:name="_Toc64723908"/>
      <w:r w:rsidRPr="00455CF2">
        <w:t>Results</w:t>
      </w:r>
      <w:bookmarkEnd w:id="147"/>
      <w:bookmarkEnd w:id="148"/>
      <w:bookmarkEnd w:id="149"/>
    </w:p>
    <w:p w14:paraId="20152685" w14:textId="50EB8A70" w:rsidR="00AF0E0B" w:rsidRPr="00FF1D46" w:rsidRDefault="00AF0E0B" w:rsidP="0031237D">
      <w:pPr>
        <w:pStyle w:val="Heading3"/>
      </w:pPr>
      <w:bookmarkStart w:id="150" w:name="_Toc49973109"/>
      <w:bookmarkStart w:id="151" w:name="_Toc49973455"/>
      <w:bookmarkStart w:id="152" w:name="_Toc64723909"/>
      <w:r w:rsidRPr="00FF1D46">
        <w:t>Subjects</w:t>
      </w:r>
      <w:bookmarkEnd w:id="150"/>
      <w:bookmarkEnd w:id="151"/>
      <w:bookmarkEnd w:id="152"/>
    </w:p>
    <w:p w14:paraId="667373FC" w14:textId="77777777" w:rsidR="00AF0E0B" w:rsidRPr="00AF0E0B" w:rsidRDefault="00AF0E0B" w:rsidP="00AF0E0B">
      <w:pPr>
        <w:pBdr>
          <w:top w:val="nil"/>
          <w:left w:val="nil"/>
          <w:bottom w:val="nil"/>
          <w:right w:val="nil"/>
          <w:between w:val="nil"/>
          <w:bar w:val="nil"/>
        </w:pBdr>
        <w:spacing w:line="360" w:lineRule="auto"/>
        <w:rPr>
          <w:rFonts w:eastAsia="Arial" w:cs="Arial"/>
          <w:color w:val="000000"/>
          <w:u w:color="000000"/>
          <w:bdr w:val="nil"/>
          <w:lang w:eastAsia="en-GB"/>
        </w:rPr>
      </w:pPr>
      <w:r w:rsidRPr="00AF0E0B">
        <w:rPr>
          <w:rFonts w:eastAsia="Arial Unicode MS" w:cs="Arial Unicode MS"/>
          <w:color w:val="000000"/>
          <w:u w:color="000000"/>
          <w:bdr w:val="nil"/>
          <w:lang w:val="en-US" w:eastAsia="en-GB"/>
        </w:rPr>
        <w:t xml:space="preserve">One hundred and three patients were assessed for recruitment into the study, of which nineteen were excluded for the following reasons:  six had other reasons for </w:t>
      </w:r>
      <w:r w:rsidRPr="00AF0E0B">
        <w:rPr>
          <w:rFonts w:eastAsia="Arial Unicode MS" w:cs="Arial Unicode MS"/>
          <w:color w:val="000000"/>
          <w:u w:color="000000"/>
          <w:bdr w:val="nil"/>
          <w:lang w:val="en-US" w:eastAsia="en-GB"/>
        </w:rPr>
        <w:lastRenderedPageBreak/>
        <w:t xml:space="preserve">neuropathy, two reported consuming greater than 20 units of alcohol per week, two had coeliac disease, two had non “glove and stocking” neuropathy, one from the healthy volunteer group had signs of neuropathy, two had concurrent conditions causing chronic pain, two had contraindications to MRI and 2 had atrial fibrillation.  After recruitment ten patients withdrew from the study: eight could not tolerate the MR scan, one developed atrial fibrillation, and one patient had an abnormality picked up on MR scanning which required further medical attention and precluded them from the study.  </w:t>
      </w:r>
    </w:p>
    <w:p w14:paraId="7635892C" w14:textId="6093BDAD" w:rsidR="00AA1E25" w:rsidRDefault="00AF0E0B" w:rsidP="00AF0E0B">
      <w:pPr>
        <w:pBdr>
          <w:top w:val="nil"/>
          <w:left w:val="nil"/>
          <w:bottom w:val="nil"/>
          <w:right w:val="nil"/>
          <w:between w:val="nil"/>
          <w:bar w:val="nil"/>
        </w:pBdr>
        <w:spacing w:line="360" w:lineRule="auto"/>
        <w:rPr>
          <w:rFonts w:eastAsia="Arial Unicode MS" w:cs="Arial Unicode MS"/>
          <w:color w:val="000000"/>
          <w:u w:color="000000"/>
          <w:bdr w:val="nil"/>
          <w:lang w:eastAsia="en-GB"/>
        </w:rPr>
      </w:pPr>
      <w:r w:rsidRPr="00AF0E0B">
        <w:rPr>
          <w:rFonts w:eastAsia="Arial Unicode MS" w:cs="Arial Unicode MS"/>
          <w:color w:val="000000"/>
          <w:u w:color="000000"/>
          <w:bdr w:val="nil"/>
          <w:lang w:val="en-US" w:eastAsia="en-GB"/>
        </w:rPr>
        <w:t>A total of 74 subjects remained in the study [HV (n=19), P-DPN (19), DPN (23) and DM-NN (13)]</w:t>
      </w:r>
      <w:r w:rsidRPr="00AF0E0B">
        <w:rPr>
          <w:rFonts w:eastAsia="Arial Unicode MS" w:cs="Arial Unicode MS"/>
          <w:color w:val="000000"/>
          <w:u w:color="000000"/>
          <w:bdr w:val="nil"/>
          <w:lang w:eastAsia="en-GB"/>
        </w:rPr>
        <w:t xml:space="preserve">. </w:t>
      </w:r>
    </w:p>
    <w:p w14:paraId="109F3D0A" w14:textId="123EAAEC" w:rsidR="00AF0E0B" w:rsidRPr="00AF0E0B" w:rsidRDefault="00AF0E0B" w:rsidP="00717274">
      <w:pPr>
        <w:pStyle w:val="Subtitle"/>
        <w:rPr>
          <w:i w:val="0"/>
          <w:iCs w:val="0"/>
          <w:color w:val="000000"/>
          <w:sz w:val="22"/>
          <w:szCs w:val="22"/>
          <w:u w:color="000000"/>
        </w:rPr>
      </w:pPr>
      <w:bookmarkStart w:id="153" w:name="_Toc64724171"/>
      <w:bookmarkStart w:id="154" w:name="_Toc49973353"/>
      <w:r w:rsidRPr="00AF0E0B">
        <w:t xml:space="preserve">Figure 2.2  Flow Chart for Inclusion of the Subjects in the </w:t>
      </w:r>
      <w:r w:rsidR="008B75A3">
        <w:t>S</w:t>
      </w:r>
      <w:r w:rsidRPr="00AF0E0B">
        <w:t>tudy</w:t>
      </w:r>
      <w:bookmarkEnd w:id="153"/>
      <w:r w:rsidRPr="00AF0E0B">
        <w:t xml:space="preserve">  </w:t>
      </w:r>
      <w:bookmarkEnd w:id="154"/>
    </w:p>
    <w:p w14:paraId="47F57476" w14:textId="092FCDD2" w:rsidR="00AF0E0B" w:rsidRPr="00AF0E0B" w:rsidRDefault="00717274" w:rsidP="00717274">
      <w:pPr>
        <w:pBdr>
          <w:top w:val="single" w:sz="4" w:space="22" w:color="000000"/>
          <w:left w:val="single" w:sz="4" w:space="0" w:color="000000"/>
          <w:bottom w:val="single" w:sz="4" w:space="0" w:color="000000"/>
          <w:right w:val="single" w:sz="4" w:space="0" w:color="000000"/>
          <w:between w:val="nil"/>
          <w:bar w:val="nil"/>
        </w:pBdr>
        <w:rPr>
          <w:rFonts w:eastAsia="Arial" w:cs="Arial"/>
          <w:i/>
          <w:iCs/>
          <w:color w:val="000000"/>
          <w:sz w:val="22"/>
          <w:szCs w:val="22"/>
          <w:u w:color="000000"/>
          <w:bdr w:val="nil"/>
          <w:lang w:eastAsia="en-GB"/>
        </w:rPr>
      </w:pPr>
      <w:r w:rsidRPr="00AF0E0B">
        <w:rPr>
          <w:rFonts w:eastAsia="Arial" w:cs="Arial"/>
          <w:i/>
          <w:iCs/>
          <w:noProof/>
          <w:color w:val="000000"/>
          <w:sz w:val="22"/>
          <w:szCs w:val="22"/>
          <w:u w:color="000000"/>
          <w:bdr w:val="nil"/>
          <w:lang w:eastAsia="en-GB"/>
        </w:rPr>
        <mc:AlternateContent>
          <mc:Choice Requires="wps">
            <w:drawing>
              <wp:anchor distT="0" distB="0" distL="0" distR="0" simplePos="0" relativeHeight="251682816" behindDoc="0" locked="0" layoutInCell="1" allowOverlap="1" wp14:anchorId="4649E190" wp14:editId="58F16C6D">
                <wp:simplePos x="0" y="0"/>
                <wp:positionH relativeFrom="column">
                  <wp:posOffset>871220</wp:posOffset>
                </wp:positionH>
                <wp:positionV relativeFrom="line">
                  <wp:posOffset>150495</wp:posOffset>
                </wp:positionV>
                <wp:extent cx="2615979" cy="477077"/>
                <wp:effectExtent l="0" t="0" r="13335" b="18415"/>
                <wp:wrapNone/>
                <wp:docPr id="1073741842" name="officeArt object" descr="Rectangle 2083"/>
                <wp:cNvGraphicFramePr/>
                <a:graphic xmlns:a="http://schemas.openxmlformats.org/drawingml/2006/main">
                  <a:graphicData uri="http://schemas.microsoft.com/office/word/2010/wordprocessingShape">
                    <wps:wsp>
                      <wps:cNvSpPr/>
                      <wps:spPr>
                        <a:xfrm>
                          <a:off x="0" y="0"/>
                          <a:ext cx="2615979" cy="477077"/>
                        </a:xfrm>
                        <a:prstGeom prst="rect">
                          <a:avLst/>
                        </a:prstGeom>
                        <a:solidFill>
                          <a:srgbClr val="4472C4"/>
                        </a:solidFill>
                        <a:ln w="12700" cap="flat">
                          <a:solidFill>
                            <a:srgbClr val="32538F"/>
                          </a:solidFill>
                          <a:prstDash val="solid"/>
                          <a:miter lim="800000"/>
                        </a:ln>
                        <a:effectLst/>
                      </wps:spPr>
                      <wps:txbx>
                        <w:txbxContent>
                          <w:p w14:paraId="0D0E7828" w14:textId="77777777" w:rsidR="00D17A43" w:rsidRPr="00AF0E0B" w:rsidRDefault="00D17A43" w:rsidP="00AF0E0B">
                            <w:pPr>
                              <w:pStyle w:val="Body"/>
                              <w:jc w:val="center"/>
                              <w:rPr>
                                <w:color w:val="FFFFFF"/>
                              </w:rPr>
                            </w:pPr>
                            <w:r w:rsidRPr="00AF0E0B">
                              <w:rPr>
                                <w:rFonts w:ascii="Arial" w:hAnsi="Arial"/>
                                <w:color w:val="FFFFFF"/>
                                <w:lang w:val="en-US"/>
                              </w:rPr>
                              <w:t>Subjects identified -103</w:t>
                            </w:r>
                          </w:p>
                        </w:txbxContent>
                      </wps:txbx>
                      <wps:bodyPr wrap="square" lIns="45719" tIns="45719" rIns="45719" bIns="45719" numCol="1" anchor="ctr">
                        <a:noAutofit/>
                      </wps:bodyPr>
                    </wps:wsp>
                  </a:graphicData>
                </a:graphic>
              </wp:anchor>
            </w:drawing>
          </mc:Choice>
          <mc:Fallback>
            <w:pict>
              <v:rect w14:anchorId="4649E190" id="_x0000_s1036" alt="Rectangle 2083" style="position:absolute;margin-left:68.6pt;margin-top:11.85pt;width:206pt;height:37.55pt;z-index:251682816;visibility:visible;mso-wrap-style:square;mso-wrap-distance-left:0;mso-wrap-distance-top:0;mso-wrap-distance-right:0;mso-wrap-distance-bottom:0;mso-position-horizontal:absolute;mso-position-horizontal-relative:text;mso-position-vertical:absolute;mso-position-vertical-relative:lin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" fillcolor="#4472c4" strokecolor="#32538f" strokeweight="1pt">
                <v:textbox inset="1.27mm,1.27mm,1.27mm,1.27mm">
                  <w:txbxContent>
                    <w:p w14:paraId="0D0E7828" w14:textId="77777777" w:rsidR="00D17A43" w:rsidRPr="00AF0E0B" w:rsidRDefault="00D17A43" w:rsidP="00AF0E0B">
                      <w:pPr>
                        <w:pStyle w:val="Body"/>
                        <w:jc w:val="center"/>
                        <w:rPr>
                          <w:color w:val="FFFFFF"/>
                        </w:rPr>
                      </w:pPr>
                      <w:r w:rsidRPr="00AF0E0B">
                        <w:rPr>
                          <w:rFonts w:ascii="Arial" w:hAnsi="Arial"/>
                          <w:color w:val="FFFFFF"/>
                          <w:lang w:val="en-US"/>
                        </w:rPr>
                        <w:t>Subjects identified -103</w:t>
                      </w:r>
                    </w:p>
                  </w:txbxContent>
                </v:textbox>
                <w10:wrap anchory="line"/>
              </v:rect>
            </w:pict>
          </mc:Fallback>
        </mc:AlternateContent>
      </w:r>
    </w:p>
    <w:p w14:paraId="2E81A5D0" w14:textId="140A3442" w:rsidR="00AF0E0B" w:rsidRPr="00AF0E0B" w:rsidRDefault="00AF0E0B" w:rsidP="00717274">
      <w:pPr>
        <w:pBdr>
          <w:top w:val="single" w:sz="4" w:space="22" w:color="000000"/>
          <w:left w:val="single" w:sz="4" w:space="0" w:color="000000"/>
          <w:bottom w:val="single" w:sz="4" w:space="0" w:color="000000"/>
          <w:right w:val="single" w:sz="4" w:space="0" w:color="000000"/>
          <w:between w:val="nil"/>
          <w:bar w:val="nil"/>
        </w:pBdr>
        <w:rPr>
          <w:rFonts w:eastAsia="Arial" w:cs="Arial"/>
          <w:i/>
          <w:iCs/>
          <w:color w:val="000000"/>
          <w:sz w:val="22"/>
          <w:szCs w:val="22"/>
          <w:u w:color="000000"/>
          <w:bdr w:val="nil"/>
          <w:lang w:eastAsia="en-GB"/>
        </w:rPr>
      </w:pPr>
    </w:p>
    <w:p w14:paraId="3EC2F953" w14:textId="66837C46" w:rsidR="00AF0E0B" w:rsidRPr="00AF0E0B" w:rsidRDefault="00717274" w:rsidP="00717274">
      <w:pPr>
        <w:pBdr>
          <w:top w:val="single" w:sz="4" w:space="22" w:color="000000"/>
          <w:left w:val="single" w:sz="4" w:space="0" w:color="000000"/>
          <w:bottom w:val="single" w:sz="4" w:space="0" w:color="000000"/>
          <w:right w:val="single" w:sz="4" w:space="0" w:color="000000"/>
          <w:between w:val="nil"/>
          <w:bar w:val="nil"/>
        </w:pBdr>
        <w:rPr>
          <w:rFonts w:eastAsia="Arial" w:cs="Arial"/>
          <w:i/>
          <w:iCs/>
          <w:color w:val="000000"/>
          <w:sz w:val="22"/>
          <w:szCs w:val="22"/>
          <w:u w:color="000000"/>
          <w:bdr w:val="nil"/>
          <w:lang w:eastAsia="en-GB"/>
        </w:rPr>
      </w:pPr>
      <w:r w:rsidRPr="00AF0E0B">
        <w:rPr>
          <w:rFonts w:eastAsia="Arial" w:cs="Arial"/>
          <w:i/>
          <w:iCs/>
          <w:noProof/>
          <w:color w:val="000000"/>
          <w:sz w:val="22"/>
          <w:szCs w:val="22"/>
          <w:u w:color="000000"/>
          <w:bdr w:val="nil"/>
          <w:lang w:eastAsia="en-GB"/>
        </w:rPr>
        <mc:AlternateContent>
          <mc:Choice Requires="wps">
            <w:drawing>
              <wp:anchor distT="0" distB="0" distL="0" distR="0" simplePos="0" relativeHeight="251683840" behindDoc="0" locked="0" layoutInCell="1" allowOverlap="1" wp14:anchorId="2B861A2C" wp14:editId="6FF465F6">
                <wp:simplePos x="0" y="0"/>
                <wp:positionH relativeFrom="column">
                  <wp:posOffset>2152650</wp:posOffset>
                </wp:positionH>
                <wp:positionV relativeFrom="line">
                  <wp:posOffset>17780</wp:posOffset>
                </wp:positionV>
                <wp:extent cx="357505" cy="332740"/>
                <wp:effectExtent l="25400" t="0" r="23495" b="22860"/>
                <wp:wrapNone/>
                <wp:docPr id="1073741843" name="officeArt object" descr="Down Arrow 2084"/>
                <wp:cNvGraphicFramePr/>
                <a:graphic xmlns:a="http://schemas.openxmlformats.org/drawingml/2006/main">
                  <a:graphicData uri="http://schemas.microsoft.com/office/word/2010/wordprocessingShape">
                    <wps:wsp>
                      <wps:cNvSpPr/>
                      <wps:spPr>
                        <a:xfrm>
                          <a:off x="0" y="0"/>
                          <a:ext cx="357505" cy="332740"/>
                        </a:xfrm>
                        <a:custGeom>
                          <a:avLst/>
                          <a:gdLst/>
                          <a:ahLst/>
                          <a:cxnLst>
                            <a:cxn ang="0">
                              <a:pos x="wd2" y="hd2"/>
                            </a:cxn>
                            <a:cxn ang="5400000">
                              <a:pos x="wd2" y="hd2"/>
                            </a:cxn>
                            <a:cxn ang="10800000">
                              <a:pos x="wd2" y="hd2"/>
                            </a:cxn>
                            <a:cxn ang="16200000">
                              <a:pos x="wd2" y="hd2"/>
                            </a:cxn>
                          </a:cxnLst>
                          <a:rect l="0" t="0" r="r" b="b"/>
                          <a:pathLst>
                            <a:path w="21600" h="21600" extrusionOk="0">
                              <a:moveTo>
                                <a:pt x="0" y="14659"/>
                              </a:moveTo>
                              <a:lnTo>
                                <a:pt x="5400" y="14659"/>
                              </a:lnTo>
                              <a:lnTo>
                                <a:pt x="5400" y="0"/>
                              </a:lnTo>
                              <a:lnTo>
                                <a:pt x="16200" y="0"/>
                              </a:lnTo>
                              <a:lnTo>
                                <a:pt x="16200" y="14659"/>
                              </a:lnTo>
                              <a:lnTo>
                                <a:pt x="21600" y="14659"/>
                              </a:lnTo>
                              <a:lnTo>
                                <a:pt x="10800" y="21600"/>
                              </a:lnTo>
                              <a:close/>
                            </a:path>
                          </a:pathLst>
                        </a:custGeom>
                        <a:solidFill>
                          <a:srgbClr val="4472C4"/>
                        </a:solidFill>
                        <a:ln w="12700" cap="flat">
                          <a:solidFill>
                            <a:srgbClr val="32538F"/>
                          </a:solidFill>
                          <a:prstDash val="solid"/>
                          <a:miter lim="800000"/>
                        </a:ln>
                        <a:effectLst/>
                      </wps:spPr>
                      <wps:bodyPr/>
                    </wps:wsp>
                  </a:graphicData>
                </a:graphic>
                <wp14:sizeRelV relativeFrom="margin">
                  <wp14:pctHeight>0</wp14:pctHeight>
                </wp14:sizeRelV>
              </wp:anchor>
            </w:drawing>
          </mc:Choice>
          <mc:Fallback>
            <w:pict>
              <v:shape w14:anchorId="397D4447" id="officeArt object" o:spid="_x0000_s1026" alt="Down Arrow 2084" style="position:absolute;margin-left:169.5pt;margin-top:1.4pt;width:28.15pt;height:26.2pt;z-index:251683840;visibility:visible;mso-wrap-style:square;mso-height-percent:0;mso-wrap-distance-left:0;mso-wrap-distance-top:0;mso-wrap-distance-right:0;mso-wrap-distance-bottom:0;mso-position-horizontal:absolute;mso-position-horizontal-relative:text;mso-position-vertical:absolute;mso-position-vertical-relative:line;mso-height-percent:0;mso-height-relative:margin;v-text-anchor:top" coordsize="21600,216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" path="m,14659r5400,l5400,,16200,r,14659l21600,14659,10800,21600,,14659xe" fillcolor="#4472c4" strokecolor="#32538f" strokeweight="1pt">
                <v:stroke joinstyle="miter"/>
                <v:path arrowok="t" o:extrusionok="f" o:connecttype="custom" o:connectlocs="178753,166370;178753,166370;178753,166370;178753,166370" o:connectangles="0,90,180,270"/>
                <w10:wrap anchory="line"/>
              </v:shape>
            </w:pict>
          </mc:Fallback>
        </mc:AlternateContent>
      </w:r>
    </w:p>
    <w:p w14:paraId="58E3BA0B" w14:textId="77777777" w:rsidR="00AF0E0B" w:rsidRPr="00AF0E0B" w:rsidRDefault="00AF0E0B" w:rsidP="00717274">
      <w:pPr>
        <w:pBdr>
          <w:top w:val="single" w:sz="4" w:space="22" w:color="000000"/>
          <w:left w:val="single" w:sz="4" w:space="0" w:color="000000"/>
          <w:bottom w:val="single" w:sz="4" w:space="0" w:color="000000"/>
          <w:right w:val="single" w:sz="4" w:space="0" w:color="000000"/>
          <w:between w:val="nil"/>
          <w:bar w:val="nil"/>
        </w:pBdr>
        <w:rPr>
          <w:rFonts w:eastAsia="Arial" w:cs="Arial"/>
          <w:i/>
          <w:iCs/>
          <w:color w:val="000000"/>
          <w:sz w:val="22"/>
          <w:szCs w:val="22"/>
          <w:u w:color="000000"/>
          <w:bdr w:val="nil"/>
          <w:lang w:eastAsia="en-GB"/>
        </w:rPr>
      </w:pPr>
    </w:p>
    <w:p w14:paraId="3365307B" w14:textId="77777777" w:rsidR="00AF0E0B" w:rsidRPr="00AF0E0B" w:rsidRDefault="00AF0E0B" w:rsidP="00717274">
      <w:pPr>
        <w:pBdr>
          <w:top w:val="single" w:sz="4" w:space="22" w:color="000000"/>
          <w:left w:val="single" w:sz="4" w:space="0" w:color="000000"/>
          <w:bottom w:val="single" w:sz="4" w:space="0" w:color="000000"/>
          <w:right w:val="single" w:sz="4" w:space="0" w:color="000000"/>
          <w:between w:val="nil"/>
          <w:bar w:val="nil"/>
        </w:pBdr>
        <w:rPr>
          <w:rFonts w:eastAsia="Arial" w:cs="Arial"/>
          <w:i/>
          <w:iCs/>
          <w:color w:val="000000"/>
          <w:sz w:val="22"/>
          <w:szCs w:val="22"/>
          <w:u w:color="000000"/>
          <w:bdr w:val="nil"/>
          <w:lang w:eastAsia="en-GB"/>
        </w:rPr>
      </w:pPr>
      <w:r w:rsidRPr="00AF0E0B">
        <w:rPr>
          <w:rFonts w:eastAsia="Arial" w:cs="Arial"/>
          <w:i/>
          <w:iCs/>
          <w:noProof/>
          <w:color w:val="000000"/>
          <w:sz w:val="22"/>
          <w:szCs w:val="22"/>
          <w:u w:color="000000"/>
          <w:bdr w:val="nil"/>
          <w:lang w:eastAsia="en-GB"/>
        </w:rPr>
        <mc:AlternateContent>
          <mc:Choice Requires="wps">
            <w:drawing>
              <wp:anchor distT="0" distB="0" distL="0" distR="0" simplePos="0" relativeHeight="251685888" behindDoc="0" locked="0" layoutInCell="1" allowOverlap="1" wp14:anchorId="63F29030" wp14:editId="6B927F17">
                <wp:simplePos x="0" y="0"/>
                <wp:positionH relativeFrom="column">
                  <wp:posOffset>4355383</wp:posOffset>
                </wp:positionH>
                <wp:positionV relativeFrom="line">
                  <wp:posOffset>25261</wp:posOffset>
                </wp:positionV>
                <wp:extent cx="1439186" cy="505130"/>
                <wp:effectExtent l="0" t="0" r="0" b="0"/>
                <wp:wrapNone/>
                <wp:docPr id="1073741844" name="officeArt object" descr="Rectangle 2085"/>
                <wp:cNvGraphicFramePr/>
                <a:graphic xmlns:a="http://schemas.openxmlformats.org/drawingml/2006/main">
                  <a:graphicData uri="http://schemas.microsoft.com/office/word/2010/wordprocessingShape">
                    <wps:wsp>
                      <wps:cNvSpPr/>
                      <wps:spPr>
                        <a:xfrm>
                          <a:off x="0" y="0"/>
                          <a:ext cx="1439186" cy="505130"/>
                        </a:xfrm>
                        <a:prstGeom prst="rect">
                          <a:avLst/>
                        </a:prstGeom>
                        <a:solidFill>
                          <a:srgbClr val="4472C4"/>
                        </a:solidFill>
                        <a:ln w="12700" cap="flat">
                          <a:solidFill>
                            <a:srgbClr val="FF0000"/>
                          </a:solidFill>
                          <a:prstDash val="solid"/>
                          <a:miter lim="800000"/>
                        </a:ln>
                        <a:effectLst/>
                      </wps:spPr>
                      <wps:txbx>
                        <w:txbxContent>
                          <w:p w14:paraId="7F245FCF" w14:textId="77777777" w:rsidR="00D17A43" w:rsidRPr="00AF0E0B" w:rsidRDefault="00D17A43" w:rsidP="00AF0E0B">
                            <w:pPr>
                              <w:pStyle w:val="Body"/>
                              <w:jc w:val="center"/>
                              <w:rPr>
                                <w:rFonts w:ascii="Arial" w:eastAsia="Arial" w:hAnsi="Arial" w:cs="Arial"/>
                                <w:color w:val="FFFFFF"/>
                              </w:rPr>
                            </w:pPr>
                            <w:r w:rsidRPr="00AF0E0B">
                              <w:rPr>
                                <w:rFonts w:ascii="Arial" w:hAnsi="Arial"/>
                                <w:color w:val="FFFFFF"/>
                                <w:lang w:val="en-US"/>
                              </w:rPr>
                              <w:t>Not suitable- 19- excluded</w:t>
                            </w:r>
                          </w:p>
                          <w:p w14:paraId="317C7AC4" w14:textId="77777777" w:rsidR="00D17A43" w:rsidRPr="00AF0E0B" w:rsidRDefault="00D17A43" w:rsidP="00AF0E0B">
                            <w:pPr>
                              <w:pStyle w:val="Body"/>
                              <w:jc w:val="center"/>
                              <w:rPr>
                                <w:color w:val="FFFFFF"/>
                              </w:rPr>
                            </w:pPr>
                          </w:p>
                        </w:txbxContent>
                      </wps:txbx>
                      <wps:bodyPr wrap="square" lIns="45719" tIns="45719" rIns="45719" bIns="45719" numCol="1" anchor="ctr">
                        <a:noAutofit/>
                      </wps:bodyPr>
                    </wps:wsp>
                  </a:graphicData>
                </a:graphic>
              </wp:anchor>
            </w:drawing>
          </mc:Choice>
          <mc:Fallback>
            <w:pict>
              <v:rect w14:anchorId="63F29030" id="_x0000_s1037" alt="Rectangle 2085" style="position:absolute;margin-left:342.95pt;margin-top:2pt;width:113.3pt;height:39.75pt;z-index:251685888;visibility:visible;mso-wrap-style:square;mso-wrap-distance-left:0;mso-wrap-distance-top:0;mso-wrap-distance-right:0;mso-wrap-distance-bottom:0;mso-position-horizontal:absolute;mso-position-horizontal-relative:text;mso-position-vertical:absolute;mso-position-vertical-relative:lin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" fillcolor="#4472c4" strokecolor="red" strokeweight="1pt">
                <v:textbox inset="1.27mm,1.27mm,1.27mm,1.27mm">
                  <w:txbxContent>
                    <w:p w14:paraId="7F245FCF" w14:textId="77777777" w:rsidR="00D17A43" w:rsidRPr="00AF0E0B" w:rsidRDefault="00D17A43" w:rsidP="00AF0E0B">
                      <w:pPr>
                        <w:pStyle w:val="Body"/>
                        <w:jc w:val="center"/>
                        <w:rPr>
                          <w:rFonts w:ascii="Arial" w:eastAsia="Arial" w:hAnsi="Arial" w:cs="Arial"/>
                          <w:color w:val="FFFFFF"/>
                        </w:rPr>
                      </w:pPr>
                      <w:r w:rsidRPr="00AF0E0B">
                        <w:rPr>
                          <w:rFonts w:ascii="Arial" w:hAnsi="Arial"/>
                          <w:color w:val="FFFFFF"/>
                          <w:lang w:val="en-US"/>
                        </w:rPr>
                        <w:t>Not suitable- 19- excluded</w:t>
                      </w:r>
                    </w:p>
                    <w:p w14:paraId="317C7AC4" w14:textId="77777777" w:rsidR="00D17A43" w:rsidRPr="00AF0E0B" w:rsidRDefault="00D17A43" w:rsidP="00AF0E0B">
                      <w:pPr>
                        <w:pStyle w:val="Body"/>
                        <w:jc w:val="center"/>
                        <w:rPr>
                          <w:color w:val="FFFFFF"/>
                        </w:rPr>
                      </w:pPr>
                    </w:p>
                  </w:txbxContent>
                </v:textbox>
                <w10:wrap anchory="line"/>
              </v:rect>
            </w:pict>
          </mc:Fallback>
        </mc:AlternateContent>
      </w:r>
      <w:r w:rsidRPr="00AF0E0B">
        <w:rPr>
          <w:rFonts w:eastAsia="Arial" w:cs="Arial"/>
          <w:i/>
          <w:iCs/>
          <w:noProof/>
          <w:color w:val="000000"/>
          <w:sz w:val="22"/>
          <w:szCs w:val="22"/>
          <w:u w:color="000000"/>
          <w:bdr w:val="nil"/>
          <w:lang w:eastAsia="en-GB"/>
        </w:rPr>
        <mc:AlternateContent>
          <mc:Choice Requires="wps">
            <w:drawing>
              <wp:anchor distT="0" distB="0" distL="0" distR="0" simplePos="0" relativeHeight="251694080" behindDoc="0" locked="0" layoutInCell="1" allowOverlap="1" wp14:anchorId="6E2286A5" wp14:editId="3D945A5B">
                <wp:simplePos x="0" y="0"/>
                <wp:positionH relativeFrom="column">
                  <wp:posOffset>3537171</wp:posOffset>
                </wp:positionH>
                <wp:positionV relativeFrom="line">
                  <wp:posOffset>29735</wp:posOffset>
                </wp:positionV>
                <wp:extent cx="755373" cy="500933"/>
                <wp:effectExtent l="0" t="0" r="0" b="0"/>
                <wp:wrapNone/>
                <wp:docPr id="1073741845" name="officeArt object" descr="Right Arrow 2091"/>
                <wp:cNvGraphicFramePr/>
                <a:graphic xmlns:a="http://schemas.openxmlformats.org/drawingml/2006/main">
                  <a:graphicData uri="http://schemas.microsoft.com/office/word/2010/wordprocessingShape">
                    <wps:wsp>
                      <wps:cNvSpPr/>
                      <wps:spPr>
                        <a:xfrm>
                          <a:off x="0" y="0"/>
                          <a:ext cx="755373" cy="500933"/>
                        </a:xfrm>
                        <a:prstGeom prst="rightArrow">
                          <a:avLst>
                            <a:gd name="adj1" fmla="val 50000"/>
                            <a:gd name="adj2" fmla="val 50000"/>
                          </a:avLst>
                        </a:prstGeom>
                        <a:solidFill>
                          <a:srgbClr val="4472C4"/>
                        </a:solidFill>
                        <a:ln w="12700" cap="flat">
                          <a:solidFill>
                            <a:srgbClr val="32538F"/>
                          </a:solidFill>
                          <a:prstDash val="solid"/>
                          <a:miter lim="800000"/>
                        </a:ln>
                        <a:effectLst/>
                      </wps:spPr>
                      <wps:bodyPr/>
                    </wps:wsp>
                  </a:graphicData>
                </a:graphic>
              </wp:anchor>
            </w:drawing>
          </mc:Choice>
          <mc:Fallback>
            <w:pict>
              <v:shape w14:anchorId="39DDB153" id="officeArt object" o:spid="_x0000_s1026" type="#_x0000_t13" alt="Right Arrow 2091" style="position:absolute;margin-left:278.5pt;margin-top:2.35pt;width:59.5pt;height:39.45pt;z-index:251694080;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" adj="14438" fillcolor="#4472c4" strokecolor="#32538f" strokeweight="1pt">
                <w10:wrap anchory="line"/>
              </v:shape>
            </w:pict>
          </mc:Fallback>
        </mc:AlternateContent>
      </w:r>
      <w:r w:rsidRPr="00AF0E0B">
        <w:rPr>
          <w:rFonts w:eastAsia="Arial" w:cs="Arial"/>
          <w:i/>
          <w:iCs/>
          <w:noProof/>
          <w:color w:val="000000"/>
          <w:sz w:val="22"/>
          <w:szCs w:val="22"/>
          <w:u w:color="000000"/>
          <w:bdr w:val="nil"/>
          <w:lang w:eastAsia="en-GB"/>
        </w:rPr>
        <mc:AlternateContent>
          <mc:Choice Requires="wps">
            <w:drawing>
              <wp:anchor distT="0" distB="0" distL="0" distR="0" simplePos="0" relativeHeight="251684864" behindDoc="0" locked="0" layoutInCell="1" allowOverlap="1" wp14:anchorId="7F5B3CFB" wp14:editId="6A3F66E9">
                <wp:simplePos x="0" y="0"/>
                <wp:positionH relativeFrom="column">
                  <wp:posOffset>866140</wp:posOffset>
                </wp:positionH>
                <wp:positionV relativeFrom="line">
                  <wp:posOffset>49696</wp:posOffset>
                </wp:positionV>
                <wp:extent cx="2615979" cy="477077"/>
                <wp:effectExtent l="0" t="0" r="0" b="0"/>
                <wp:wrapNone/>
                <wp:docPr id="1073741846" name="officeArt object" descr="Rectangle 2093"/>
                <wp:cNvGraphicFramePr/>
                <a:graphic xmlns:a="http://schemas.openxmlformats.org/drawingml/2006/main">
                  <a:graphicData uri="http://schemas.microsoft.com/office/word/2010/wordprocessingShape">
                    <wps:wsp>
                      <wps:cNvSpPr/>
                      <wps:spPr>
                        <a:xfrm>
                          <a:off x="0" y="0"/>
                          <a:ext cx="2615979" cy="477077"/>
                        </a:xfrm>
                        <a:prstGeom prst="rect">
                          <a:avLst/>
                        </a:prstGeom>
                        <a:solidFill>
                          <a:srgbClr val="4472C4"/>
                        </a:solidFill>
                        <a:ln w="12700" cap="flat">
                          <a:solidFill>
                            <a:srgbClr val="32538F"/>
                          </a:solidFill>
                          <a:prstDash val="solid"/>
                          <a:miter lim="800000"/>
                        </a:ln>
                        <a:effectLst/>
                      </wps:spPr>
                      <wps:txbx>
                        <w:txbxContent>
                          <w:p w14:paraId="0F7E80B5" w14:textId="77777777" w:rsidR="00D17A43" w:rsidRPr="00AF0E0B" w:rsidRDefault="00D17A43" w:rsidP="00AF0E0B">
                            <w:pPr>
                              <w:pStyle w:val="Body"/>
                              <w:jc w:val="center"/>
                              <w:rPr>
                                <w:color w:val="FFFFFF"/>
                              </w:rPr>
                            </w:pPr>
                            <w:r w:rsidRPr="00AF0E0B">
                              <w:rPr>
                                <w:rFonts w:ascii="Arial" w:hAnsi="Arial"/>
                                <w:color w:val="FFFFFF"/>
                                <w:lang w:val="en-US"/>
                              </w:rPr>
                              <w:t>Screening Visit</w:t>
                            </w:r>
                          </w:p>
                        </w:txbxContent>
                      </wps:txbx>
                      <wps:bodyPr wrap="square" lIns="45719" tIns="45719" rIns="45719" bIns="45719" numCol="1" anchor="ctr">
                        <a:noAutofit/>
                      </wps:bodyPr>
                    </wps:wsp>
                  </a:graphicData>
                </a:graphic>
              </wp:anchor>
            </w:drawing>
          </mc:Choice>
          <mc:Fallback>
            <w:pict>
              <v:rect w14:anchorId="7F5B3CFB" id="_x0000_s1038" alt="Rectangle 2093" style="position:absolute;margin-left:68.2pt;margin-top:3.9pt;width:206pt;height:37.55pt;z-index:251684864;visibility:visible;mso-wrap-style:square;mso-wrap-distance-left:0;mso-wrap-distance-top:0;mso-wrap-distance-right:0;mso-wrap-distance-bottom:0;mso-position-horizontal:absolute;mso-position-horizontal-relative:text;mso-position-vertical:absolute;mso-position-vertical-relative:lin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" fillcolor="#4472c4" strokecolor="#32538f" strokeweight="1pt">
                <v:textbox inset="1.27mm,1.27mm,1.27mm,1.27mm">
                  <w:txbxContent>
                    <w:p w14:paraId="0F7E80B5" w14:textId="77777777" w:rsidR="00D17A43" w:rsidRPr="00AF0E0B" w:rsidRDefault="00D17A43" w:rsidP="00AF0E0B">
                      <w:pPr>
                        <w:pStyle w:val="Body"/>
                        <w:jc w:val="center"/>
                        <w:rPr>
                          <w:color w:val="FFFFFF"/>
                        </w:rPr>
                      </w:pPr>
                      <w:r w:rsidRPr="00AF0E0B">
                        <w:rPr>
                          <w:rFonts w:ascii="Arial" w:hAnsi="Arial"/>
                          <w:color w:val="FFFFFF"/>
                          <w:lang w:val="en-US"/>
                        </w:rPr>
                        <w:t>Screening Visit</w:t>
                      </w:r>
                    </w:p>
                  </w:txbxContent>
                </v:textbox>
                <w10:wrap anchory="line"/>
              </v:rect>
            </w:pict>
          </mc:Fallback>
        </mc:AlternateContent>
      </w:r>
    </w:p>
    <w:p w14:paraId="4C01BB85" w14:textId="136F6D3B" w:rsidR="00AF0E0B" w:rsidRPr="00AF0E0B" w:rsidRDefault="00AF0E0B" w:rsidP="00717274">
      <w:pPr>
        <w:pBdr>
          <w:top w:val="single" w:sz="4" w:space="22" w:color="000000"/>
          <w:left w:val="single" w:sz="4" w:space="0" w:color="000000"/>
          <w:bottom w:val="single" w:sz="4" w:space="0" w:color="000000"/>
          <w:right w:val="single" w:sz="4" w:space="0" w:color="000000"/>
          <w:between w:val="nil"/>
          <w:bar w:val="nil"/>
        </w:pBdr>
        <w:tabs>
          <w:tab w:val="left" w:pos="1690"/>
        </w:tabs>
        <w:rPr>
          <w:rFonts w:eastAsia="Arial" w:cs="Arial"/>
          <w:i/>
          <w:iCs/>
          <w:color w:val="000000"/>
          <w:sz w:val="22"/>
          <w:szCs w:val="22"/>
          <w:u w:color="000000"/>
          <w:bdr w:val="nil"/>
          <w:lang w:eastAsia="en-GB"/>
        </w:rPr>
      </w:pPr>
      <w:r w:rsidRPr="00AF0E0B">
        <w:rPr>
          <w:rFonts w:eastAsia="Arial" w:cs="Arial"/>
          <w:i/>
          <w:iCs/>
          <w:color w:val="000000"/>
          <w:sz w:val="22"/>
          <w:szCs w:val="22"/>
          <w:u w:color="000000"/>
          <w:bdr w:val="nil"/>
          <w:lang w:eastAsia="en-GB"/>
        </w:rPr>
        <w:tab/>
      </w:r>
    </w:p>
    <w:p w14:paraId="7983B92D" w14:textId="34BE1F31" w:rsidR="00AF0E0B" w:rsidRPr="00AF0E0B" w:rsidRDefault="00717274" w:rsidP="00717274">
      <w:pPr>
        <w:pBdr>
          <w:top w:val="single" w:sz="4" w:space="22" w:color="000000"/>
          <w:left w:val="single" w:sz="4" w:space="0" w:color="000000"/>
          <w:bottom w:val="single" w:sz="4" w:space="0" w:color="000000"/>
          <w:right w:val="single" w:sz="4" w:space="0" w:color="000000"/>
          <w:between w:val="nil"/>
          <w:bar w:val="nil"/>
        </w:pBdr>
        <w:spacing w:line="360" w:lineRule="auto"/>
        <w:rPr>
          <w:rFonts w:eastAsia="Arial" w:cs="Arial"/>
          <w:i/>
          <w:iCs/>
          <w:color w:val="000000"/>
          <w:sz w:val="22"/>
          <w:szCs w:val="22"/>
          <w:u w:color="000000"/>
          <w:bdr w:val="nil"/>
          <w:lang w:eastAsia="en-GB"/>
        </w:rPr>
      </w:pPr>
      <w:r w:rsidRPr="00AF0E0B">
        <w:rPr>
          <w:rFonts w:eastAsia="Arial" w:cs="Arial"/>
          <w:i/>
          <w:iCs/>
          <w:noProof/>
          <w:color w:val="000000"/>
          <w:sz w:val="22"/>
          <w:szCs w:val="22"/>
          <w:u w:color="000000"/>
          <w:bdr w:val="nil"/>
          <w:lang w:eastAsia="en-GB"/>
        </w:rPr>
        <mc:AlternateContent>
          <mc:Choice Requires="wps">
            <w:drawing>
              <wp:anchor distT="0" distB="0" distL="0" distR="0" simplePos="0" relativeHeight="251687936" behindDoc="0" locked="0" layoutInCell="1" allowOverlap="1" wp14:anchorId="47D5285A" wp14:editId="3E294A8C">
                <wp:simplePos x="0" y="0"/>
                <wp:positionH relativeFrom="column">
                  <wp:posOffset>-234314</wp:posOffset>
                </wp:positionH>
                <wp:positionV relativeFrom="line">
                  <wp:posOffset>88900</wp:posOffset>
                </wp:positionV>
                <wp:extent cx="1199514" cy="477079"/>
                <wp:effectExtent l="5397" t="0" r="13018" b="13017"/>
                <wp:wrapNone/>
                <wp:docPr id="1073741849" name="officeArt object" descr="Rectangle 2107"/>
                <wp:cNvGraphicFramePr/>
                <a:graphic xmlns:a="http://schemas.openxmlformats.org/drawingml/2006/main">
                  <a:graphicData uri="http://schemas.microsoft.com/office/word/2010/wordprocessingShape">
                    <wps:wsp>
                      <wps:cNvSpPr/>
                      <wps:spPr>
                        <a:xfrm rot="16200000">
                          <a:off x="0" y="0"/>
                          <a:ext cx="1199514" cy="477079"/>
                        </a:xfrm>
                        <a:prstGeom prst="rect">
                          <a:avLst/>
                        </a:prstGeom>
                        <a:solidFill>
                          <a:srgbClr val="4472C4"/>
                        </a:solidFill>
                        <a:ln w="12700" cap="flat">
                          <a:solidFill>
                            <a:srgbClr val="32538F"/>
                          </a:solidFill>
                          <a:prstDash val="solid"/>
                          <a:miter lim="800000"/>
                        </a:ln>
                        <a:effectLst/>
                      </wps:spPr>
                      <wps:txbx>
                        <w:txbxContent>
                          <w:p w14:paraId="6F16C299" w14:textId="77777777" w:rsidR="00D17A43" w:rsidRPr="00AF0E0B" w:rsidRDefault="00D17A43" w:rsidP="00AF0E0B">
                            <w:pPr>
                              <w:pStyle w:val="Body"/>
                              <w:jc w:val="center"/>
                              <w:rPr>
                                <w:color w:val="FFFFFF"/>
                              </w:rPr>
                            </w:pPr>
                            <w:r w:rsidRPr="00AF0E0B">
                              <w:rPr>
                                <w:rFonts w:ascii="Arial" w:hAnsi="Arial"/>
                                <w:color w:val="FFFFFF"/>
                                <w:lang w:val="en-US"/>
                              </w:rPr>
                              <w:t>Visit 1</w:t>
                            </w:r>
                          </w:p>
                        </w:txbxContent>
                      </wps:txbx>
                      <wps:bodyPr wrap="square" lIns="45719" tIns="45719" rIns="45719" bIns="45719" numCol="1" anchor="ctr">
                        <a:noAutofit/>
                      </wps:bodyPr>
                    </wps:wsp>
                  </a:graphicData>
                </a:graphic>
                <wp14:sizeRelH relativeFrom="margin">
                  <wp14:pctWidth>0</wp14:pctWidth>
                </wp14:sizeRelH>
              </wp:anchor>
            </w:drawing>
          </mc:Choice>
          <mc:Fallback>
            <w:pict>
              <v:rect w14:anchorId="47D5285A" id="_x0000_s1039" alt="Rectangle 2107" style="position:absolute;margin-left:-18.45pt;margin-top:7pt;width:94.45pt;height:37.55pt;rotation:-90;z-index:251687936;visibility:visible;mso-wrap-style:square;mso-width-percent:0;mso-wrap-distance-left:0;mso-wrap-distance-top:0;mso-wrap-distance-right:0;mso-wrap-distance-bottom:0;mso-position-horizontal:absolute;mso-position-horizontal-relative:text;mso-position-vertical:absolute;mso-position-vertical-relative:line;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" fillcolor="#4472c4" strokecolor="#32538f" strokeweight="1pt">
                <v:textbox inset="1.27mm,1.27mm,1.27mm,1.27mm">
                  <w:txbxContent>
                    <w:p w14:paraId="6F16C299" w14:textId="77777777" w:rsidR="00D17A43" w:rsidRPr="00AF0E0B" w:rsidRDefault="00D17A43" w:rsidP="00AF0E0B">
                      <w:pPr>
                        <w:pStyle w:val="Body"/>
                        <w:jc w:val="center"/>
                        <w:rPr>
                          <w:color w:val="FFFFFF"/>
                        </w:rPr>
                      </w:pPr>
                      <w:r w:rsidRPr="00AF0E0B">
                        <w:rPr>
                          <w:rFonts w:ascii="Arial" w:hAnsi="Arial"/>
                          <w:color w:val="FFFFFF"/>
                          <w:lang w:val="en-US"/>
                        </w:rPr>
                        <w:t>Visit 1</w:t>
                      </w:r>
                    </w:p>
                  </w:txbxContent>
                </v:textbox>
                <w10:wrap anchory="line"/>
              </v:rect>
            </w:pict>
          </mc:Fallback>
        </mc:AlternateContent>
      </w:r>
    </w:p>
    <w:p w14:paraId="4D63E7B6" w14:textId="34FD8CFA" w:rsidR="00AF0E0B" w:rsidRPr="00AF0E0B" w:rsidRDefault="00717274" w:rsidP="00717274">
      <w:pPr>
        <w:pBdr>
          <w:top w:val="single" w:sz="4" w:space="22" w:color="000000"/>
          <w:left w:val="single" w:sz="4" w:space="0" w:color="000000"/>
          <w:bottom w:val="single" w:sz="4" w:space="0" w:color="000000"/>
          <w:right w:val="single" w:sz="4" w:space="0" w:color="000000"/>
          <w:between w:val="nil"/>
          <w:bar w:val="nil"/>
        </w:pBdr>
        <w:spacing w:line="360" w:lineRule="auto"/>
        <w:rPr>
          <w:rFonts w:eastAsia="Arial" w:cs="Arial"/>
          <w:i/>
          <w:iCs/>
          <w:color w:val="000000"/>
          <w:sz w:val="22"/>
          <w:szCs w:val="22"/>
          <w:u w:color="000000"/>
          <w:bdr w:val="nil"/>
          <w:lang w:eastAsia="en-GB"/>
        </w:rPr>
      </w:pPr>
      <w:r w:rsidRPr="00AF0E0B">
        <w:rPr>
          <w:rFonts w:eastAsia="Arial" w:cs="Arial"/>
          <w:i/>
          <w:iCs/>
          <w:noProof/>
          <w:color w:val="000000"/>
          <w:sz w:val="22"/>
          <w:szCs w:val="22"/>
          <w:u w:color="000000"/>
          <w:bdr w:val="nil"/>
          <w:lang w:eastAsia="en-GB"/>
        </w:rPr>
        <mc:AlternateContent>
          <mc:Choice Requires="wps">
            <w:drawing>
              <wp:anchor distT="0" distB="0" distL="0" distR="0" simplePos="0" relativeHeight="251691008" behindDoc="0" locked="0" layoutInCell="1" allowOverlap="1" wp14:anchorId="640F1F9F" wp14:editId="54D2B94E">
                <wp:simplePos x="0" y="0"/>
                <wp:positionH relativeFrom="column">
                  <wp:posOffset>2152650</wp:posOffset>
                </wp:positionH>
                <wp:positionV relativeFrom="line">
                  <wp:posOffset>15875</wp:posOffset>
                </wp:positionV>
                <wp:extent cx="357505" cy="193040"/>
                <wp:effectExtent l="38100" t="0" r="10795" b="22860"/>
                <wp:wrapNone/>
                <wp:docPr id="1073741848" name="officeArt object" descr="Down Arrow 2106"/>
                <wp:cNvGraphicFramePr/>
                <a:graphic xmlns:a="http://schemas.openxmlformats.org/drawingml/2006/main">
                  <a:graphicData uri="http://schemas.microsoft.com/office/word/2010/wordprocessingShape">
                    <wps:wsp>
                      <wps:cNvSpPr/>
                      <wps:spPr>
                        <a:xfrm>
                          <a:off x="0" y="0"/>
                          <a:ext cx="357505" cy="193040"/>
                        </a:xfrm>
                        <a:custGeom>
                          <a:avLst/>
                          <a:gdLst/>
                          <a:ahLst/>
                          <a:cxnLst>
                            <a:cxn ang="0">
                              <a:pos x="wd2" y="hd2"/>
                            </a:cxn>
                            <a:cxn ang="5400000">
                              <a:pos x="wd2" y="hd2"/>
                            </a:cxn>
                            <a:cxn ang="10800000">
                              <a:pos x="wd2" y="hd2"/>
                            </a:cxn>
                            <a:cxn ang="16200000">
                              <a:pos x="wd2" y="hd2"/>
                            </a:cxn>
                          </a:cxnLst>
                          <a:rect l="0" t="0" r="r" b="b"/>
                          <a:pathLst>
                            <a:path w="21600" h="21600" extrusionOk="0">
                              <a:moveTo>
                                <a:pt x="0" y="14659"/>
                              </a:moveTo>
                              <a:lnTo>
                                <a:pt x="5400" y="14659"/>
                              </a:lnTo>
                              <a:lnTo>
                                <a:pt x="5400" y="0"/>
                              </a:lnTo>
                              <a:lnTo>
                                <a:pt x="16200" y="0"/>
                              </a:lnTo>
                              <a:lnTo>
                                <a:pt x="16200" y="14659"/>
                              </a:lnTo>
                              <a:lnTo>
                                <a:pt x="21600" y="14659"/>
                              </a:lnTo>
                              <a:lnTo>
                                <a:pt x="10800" y="21600"/>
                              </a:lnTo>
                              <a:close/>
                            </a:path>
                          </a:pathLst>
                        </a:custGeom>
                        <a:solidFill>
                          <a:srgbClr val="4472C4"/>
                        </a:solidFill>
                        <a:ln w="12700" cap="flat">
                          <a:solidFill>
                            <a:srgbClr val="32538F"/>
                          </a:solidFill>
                          <a:prstDash val="solid"/>
                          <a:miter lim="800000"/>
                        </a:ln>
                        <a:effectLst/>
                      </wps:spPr>
                      <wps:bodyPr/>
                    </wps:wsp>
                  </a:graphicData>
                </a:graphic>
                <wp14:sizeRelV relativeFrom="margin">
                  <wp14:pctHeight>0</wp14:pctHeight>
                </wp14:sizeRelV>
              </wp:anchor>
            </w:drawing>
          </mc:Choice>
          <mc:Fallback>
            <w:pict>
              <v:shape w14:anchorId="6C935477" id="officeArt object" o:spid="_x0000_s1026" alt="Down Arrow 2106" style="position:absolute;margin-left:169.5pt;margin-top:1.25pt;width:28.15pt;height:15.2pt;z-index:251691008;visibility:visible;mso-wrap-style:square;mso-height-percent:0;mso-wrap-distance-left:0;mso-wrap-distance-top:0;mso-wrap-distance-right:0;mso-wrap-distance-bottom:0;mso-position-horizontal:absolute;mso-position-horizontal-relative:text;mso-position-vertical:absolute;mso-position-vertical-relative:line;mso-height-percent:0;mso-height-relative:margin;v-text-anchor:top" coordsize="21600,216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" path="m,14659r5400,l5400,,16200,r,14659l21600,14659,10800,21600,,14659xe" fillcolor="#4472c4" strokecolor="#32538f" strokeweight="1pt">
                <v:stroke joinstyle="miter"/>
                <v:path arrowok="t" o:extrusionok="f" o:connecttype="custom" o:connectlocs="178753,96520;178753,96520;178753,96520;178753,96520" o:connectangles="0,90,180,270"/>
                <w10:wrap anchory="line"/>
              </v:shape>
            </w:pict>
          </mc:Fallback>
        </mc:AlternateContent>
      </w:r>
      <w:r w:rsidRPr="00AF0E0B">
        <w:rPr>
          <w:rFonts w:eastAsia="Arial" w:cs="Arial"/>
          <w:i/>
          <w:iCs/>
          <w:noProof/>
          <w:color w:val="000000"/>
          <w:sz w:val="22"/>
          <w:szCs w:val="22"/>
          <w:u w:color="000000"/>
          <w:bdr w:val="nil"/>
          <w:lang w:eastAsia="en-GB"/>
        </w:rPr>
        <mc:AlternateContent>
          <mc:Choice Requires="wps">
            <w:drawing>
              <wp:anchor distT="0" distB="0" distL="0" distR="0" simplePos="0" relativeHeight="251689984" behindDoc="0" locked="0" layoutInCell="1" allowOverlap="1" wp14:anchorId="1D5BF10F" wp14:editId="199A7066">
                <wp:simplePos x="0" y="0"/>
                <wp:positionH relativeFrom="column">
                  <wp:posOffset>871855</wp:posOffset>
                </wp:positionH>
                <wp:positionV relativeFrom="line">
                  <wp:posOffset>210185</wp:posOffset>
                </wp:positionV>
                <wp:extent cx="2615979" cy="477077"/>
                <wp:effectExtent l="0" t="0" r="0" b="0"/>
                <wp:wrapNone/>
                <wp:docPr id="1073741847" name="officeArt object" descr="Rectangle 2105"/>
                <wp:cNvGraphicFramePr/>
                <a:graphic xmlns:a="http://schemas.openxmlformats.org/drawingml/2006/main">
                  <a:graphicData uri="http://schemas.microsoft.com/office/word/2010/wordprocessingShape">
                    <wps:wsp>
                      <wps:cNvSpPr/>
                      <wps:spPr>
                        <a:xfrm>
                          <a:off x="0" y="0"/>
                          <a:ext cx="2615979" cy="477077"/>
                        </a:xfrm>
                        <a:prstGeom prst="rect">
                          <a:avLst/>
                        </a:prstGeom>
                        <a:solidFill>
                          <a:srgbClr val="4472C4"/>
                        </a:solidFill>
                        <a:ln w="12700" cap="flat">
                          <a:solidFill>
                            <a:srgbClr val="32538F"/>
                          </a:solidFill>
                          <a:prstDash val="solid"/>
                          <a:miter lim="800000"/>
                        </a:ln>
                        <a:effectLst/>
                        <a:extLst>
                          <a:ext uri="{C572A759-6A51-4108-AA02-DFA0A04FC94B}">
                            <ma14:wrappingTextBoxFlag xmlns="" xmlns:w="http://schemas.openxmlformats.org/wordprocessingml/2006/main" xmlns:w10="urn:schemas-microsoft-com:office:word" xmlns:v="urn:schemas-microsoft-com:vml" xmlns:o="urn:schemas-microsoft-com:office:office" xmlns:ma14="http://schemas.microsoft.com/office/mac/drawingml/2011/main" val="1"/>
                          </a:ext>
                        </a:extLst>
                      </wps:spPr>
                      <wps:txbx>
                        <w:txbxContent>
                          <w:p w14:paraId="031C4885" w14:textId="77777777" w:rsidR="00D17A43" w:rsidRPr="00AF0E0B" w:rsidRDefault="00D17A43" w:rsidP="00AF0E0B">
                            <w:pPr>
                              <w:pStyle w:val="Body"/>
                              <w:jc w:val="center"/>
                              <w:rPr>
                                <w:color w:val="FFFFFF"/>
                              </w:rPr>
                            </w:pPr>
                            <w:r w:rsidRPr="00AF0E0B">
                              <w:rPr>
                                <w:rFonts w:ascii="Arial" w:hAnsi="Arial"/>
                                <w:color w:val="FFFFFF"/>
                                <w:lang w:val="en-US"/>
                              </w:rPr>
                              <w:t>Characterisation</w:t>
                            </w:r>
                          </w:p>
                        </w:txbxContent>
                      </wps:txbx>
                      <wps:bodyPr wrap="square" lIns="45719" tIns="45719" rIns="45719" bIns="45719" numCol="1" anchor="ctr">
                        <a:noAutofit/>
                      </wps:bodyPr>
                    </wps:wsp>
                  </a:graphicData>
                </a:graphic>
              </wp:anchor>
            </w:drawing>
          </mc:Choice>
          <mc:Fallback>
            <w:pict>
              <v:rect w14:anchorId="1D5BF10F" id="_x0000_s1040" alt="Rectangle 2105" style="position:absolute;margin-left:68.65pt;margin-top:16.55pt;width:206pt;height:37.55pt;z-index:251689984;visibility:visible;mso-wrap-style:square;mso-wrap-distance-left:0;mso-wrap-distance-top:0;mso-wrap-distance-right:0;mso-wrap-distance-bottom:0;mso-position-horizontal:absolute;mso-position-horizontal-relative:text;mso-position-vertical:absolute;mso-position-vertical-relative:lin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" fillcolor="#4472c4" strokecolor="#32538f" strokeweight="1pt">
                <v:textbox inset="1.27mm,1.27mm,1.27mm,1.27mm">
                  <w:txbxContent>
                    <w:p w14:paraId="031C4885" w14:textId="77777777" w:rsidR="00D17A43" w:rsidRPr="00AF0E0B" w:rsidRDefault="00D17A43" w:rsidP="00AF0E0B">
                      <w:pPr>
                        <w:pStyle w:val="Body"/>
                        <w:jc w:val="center"/>
                        <w:rPr>
                          <w:color w:val="FFFFFF"/>
                        </w:rPr>
                      </w:pPr>
                      <w:r w:rsidRPr="00AF0E0B">
                        <w:rPr>
                          <w:rFonts w:ascii="Arial" w:hAnsi="Arial"/>
                          <w:color w:val="FFFFFF"/>
                          <w:lang w:val="en-US"/>
                        </w:rPr>
                        <w:t>Characterisation</w:t>
                      </w:r>
                    </w:p>
                  </w:txbxContent>
                </v:textbox>
                <w10:wrap anchory="line"/>
              </v:rect>
            </w:pict>
          </mc:Fallback>
        </mc:AlternateContent>
      </w:r>
    </w:p>
    <w:p w14:paraId="0CBD0E68" w14:textId="5E4B1A38" w:rsidR="00AF0E0B" w:rsidRPr="00AF0E0B" w:rsidRDefault="00AF0E0B" w:rsidP="00717274">
      <w:pPr>
        <w:pBdr>
          <w:top w:val="single" w:sz="4" w:space="22" w:color="000000"/>
          <w:left w:val="single" w:sz="4" w:space="0" w:color="000000"/>
          <w:bottom w:val="single" w:sz="4" w:space="0" w:color="000000"/>
          <w:right w:val="single" w:sz="4" w:space="0" w:color="000000"/>
          <w:between w:val="nil"/>
          <w:bar w:val="nil"/>
        </w:pBdr>
        <w:spacing w:line="360" w:lineRule="auto"/>
        <w:rPr>
          <w:rFonts w:eastAsia="Arial" w:cs="Arial"/>
          <w:i/>
          <w:iCs/>
          <w:color w:val="000000"/>
          <w:sz w:val="22"/>
          <w:szCs w:val="22"/>
          <w:u w:color="000000"/>
          <w:bdr w:val="nil"/>
          <w:lang w:eastAsia="en-GB"/>
        </w:rPr>
      </w:pPr>
    </w:p>
    <w:p w14:paraId="4BDE64BA" w14:textId="0F5C4133" w:rsidR="00AF0E0B" w:rsidRPr="00AF0E0B" w:rsidRDefault="00717274" w:rsidP="00717274">
      <w:pPr>
        <w:pBdr>
          <w:top w:val="single" w:sz="4" w:space="22" w:color="000000"/>
          <w:left w:val="single" w:sz="4" w:space="0" w:color="000000"/>
          <w:bottom w:val="single" w:sz="4" w:space="0" w:color="000000"/>
          <w:right w:val="single" w:sz="4" w:space="0" w:color="000000"/>
          <w:between w:val="nil"/>
          <w:bar w:val="nil"/>
        </w:pBdr>
        <w:spacing w:line="360" w:lineRule="auto"/>
        <w:rPr>
          <w:rFonts w:eastAsia="Arial" w:cs="Arial"/>
          <w:i/>
          <w:iCs/>
          <w:color w:val="000000"/>
          <w:sz w:val="22"/>
          <w:szCs w:val="22"/>
          <w:u w:color="000000"/>
          <w:bdr w:val="nil"/>
          <w:lang w:eastAsia="en-GB"/>
        </w:rPr>
      </w:pPr>
      <w:r w:rsidRPr="00AF0E0B">
        <w:rPr>
          <w:rFonts w:eastAsia="Arial" w:cs="Arial"/>
          <w:i/>
          <w:iCs/>
          <w:noProof/>
          <w:color w:val="000000"/>
          <w:sz w:val="22"/>
          <w:szCs w:val="22"/>
          <w:u w:color="000000"/>
          <w:bdr w:val="nil"/>
          <w:lang w:eastAsia="en-GB"/>
        </w:rPr>
        <mc:AlternateContent>
          <mc:Choice Requires="wps">
            <w:drawing>
              <wp:anchor distT="0" distB="0" distL="0" distR="0" simplePos="0" relativeHeight="251693056" behindDoc="0" locked="0" layoutInCell="1" allowOverlap="1" wp14:anchorId="7B99E593" wp14:editId="413E7D40">
                <wp:simplePos x="0" y="0"/>
                <wp:positionH relativeFrom="column">
                  <wp:posOffset>2157730</wp:posOffset>
                </wp:positionH>
                <wp:positionV relativeFrom="line">
                  <wp:posOffset>204470</wp:posOffset>
                </wp:positionV>
                <wp:extent cx="357505" cy="345440"/>
                <wp:effectExtent l="25400" t="0" r="23495" b="22860"/>
                <wp:wrapNone/>
                <wp:docPr id="1073741850" name="officeArt object" descr="Down Arrow 2110"/>
                <wp:cNvGraphicFramePr/>
                <a:graphic xmlns:a="http://schemas.openxmlformats.org/drawingml/2006/main">
                  <a:graphicData uri="http://schemas.microsoft.com/office/word/2010/wordprocessingShape">
                    <wps:wsp>
                      <wps:cNvSpPr/>
                      <wps:spPr>
                        <a:xfrm>
                          <a:off x="0" y="0"/>
                          <a:ext cx="357505" cy="345440"/>
                        </a:xfrm>
                        <a:custGeom>
                          <a:avLst/>
                          <a:gdLst/>
                          <a:ahLst/>
                          <a:cxnLst>
                            <a:cxn ang="0">
                              <a:pos x="wd2" y="hd2"/>
                            </a:cxn>
                            <a:cxn ang="5400000">
                              <a:pos x="wd2" y="hd2"/>
                            </a:cxn>
                            <a:cxn ang="10800000">
                              <a:pos x="wd2" y="hd2"/>
                            </a:cxn>
                            <a:cxn ang="16200000">
                              <a:pos x="wd2" y="hd2"/>
                            </a:cxn>
                          </a:cxnLst>
                          <a:rect l="0" t="0" r="r" b="b"/>
                          <a:pathLst>
                            <a:path w="21600" h="21600" extrusionOk="0">
                              <a:moveTo>
                                <a:pt x="0" y="14659"/>
                              </a:moveTo>
                              <a:lnTo>
                                <a:pt x="5400" y="14659"/>
                              </a:lnTo>
                              <a:lnTo>
                                <a:pt x="5400" y="0"/>
                              </a:lnTo>
                              <a:lnTo>
                                <a:pt x="16200" y="0"/>
                              </a:lnTo>
                              <a:lnTo>
                                <a:pt x="16200" y="14659"/>
                              </a:lnTo>
                              <a:lnTo>
                                <a:pt x="21600" y="14659"/>
                              </a:lnTo>
                              <a:lnTo>
                                <a:pt x="10800" y="21600"/>
                              </a:lnTo>
                              <a:close/>
                            </a:path>
                          </a:pathLst>
                        </a:custGeom>
                        <a:solidFill>
                          <a:srgbClr val="4472C4"/>
                        </a:solidFill>
                        <a:ln w="12700" cap="flat">
                          <a:solidFill>
                            <a:srgbClr val="32538F"/>
                          </a:solidFill>
                          <a:prstDash val="solid"/>
                          <a:miter lim="800000"/>
                        </a:ln>
                        <a:effectLst/>
                      </wps:spPr>
                      <wps:bodyPr/>
                    </wps:wsp>
                  </a:graphicData>
                </a:graphic>
                <wp14:sizeRelV relativeFrom="margin">
                  <wp14:pctHeight>0</wp14:pctHeight>
                </wp14:sizeRelV>
              </wp:anchor>
            </w:drawing>
          </mc:Choice>
          <mc:Fallback>
            <w:pict>
              <v:shape w14:anchorId="7CA25BF7" id="officeArt object" o:spid="_x0000_s1026" alt="Down Arrow 2110" style="position:absolute;margin-left:169.9pt;margin-top:16.1pt;width:28.15pt;height:27.2pt;z-index:251693056;visibility:visible;mso-wrap-style:square;mso-height-percent:0;mso-wrap-distance-left:0;mso-wrap-distance-top:0;mso-wrap-distance-right:0;mso-wrap-distance-bottom:0;mso-position-horizontal:absolute;mso-position-horizontal-relative:text;mso-position-vertical:absolute;mso-position-vertical-relative:line;mso-height-percent:0;mso-height-relative:margin;v-text-anchor:top" coordsize="21600,216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" path="m,14659r5400,l5400,,16200,r,14659l21600,14659,10800,21600,,14659xe" fillcolor="#4472c4" strokecolor="#32538f" strokeweight="1pt">
                <v:stroke joinstyle="miter"/>
                <v:path arrowok="t" o:extrusionok="f" o:connecttype="custom" o:connectlocs="178753,172720;178753,172720;178753,172720;178753,172720" o:connectangles="0,90,180,270"/>
                <w10:wrap anchory="line"/>
              </v:shape>
            </w:pict>
          </mc:Fallback>
        </mc:AlternateContent>
      </w:r>
    </w:p>
    <w:p w14:paraId="2DCB0F36" w14:textId="10B67035" w:rsidR="00AF0E0B" w:rsidRPr="00AF0E0B" w:rsidRDefault="00717274" w:rsidP="00717274">
      <w:pPr>
        <w:pBdr>
          <w:top w:val="single" w:sz="4" w:space="22" w:color="000000"/>
          <w:left w:val="single" w:sz="4" w:space="0" w:color="000000"/>
          <w:bottom w:val="single" w:sz="4" w:space="0" w:color="000000"/>
          <w:right w:val="single" w:sz="4" w:space="0" w:color="000000"/>
          <w:between w:val="nil"/>
          <w:bar w:val="nil"/>
        </w:pBdr>
        <w:tabs>
          <w:tab w:val="left" w:pos="5687"/>
        </w:tabs>
        <w:spacing w:line="360" w:lineRule="auto"/>
        <w:rPr>
          <w:rFonts w:eastAsia="Arial" w:cs="Arial"/>
          <w:i/>
          <w:iCs/>
          <w:color w:val="000000"/>
          <w:sz w:val="22"/>
          <w:szCs w:val="22"/>
          <w:u w:color="000000"/>
          <w:bdr w:val="nil"/>
          <w:lang w:eastAsia="en-GB"/>
        </w:rPr>
      </w:pPr>
      <w:r w:rsidRPr="00AF0E0B">
        <w:rPr>
          <w:rFonts w:eastAsia="Arial" w:cs="Arial"/>
          <w:i/>
          <w:iCs/>
          <w:noProof/>
          <w:color w:val="000000"/>
          <w:sz w:val="22"/>
          <w:szCs w:val="22"/>
          <w:u w:color="000000"/>
          <w:bdr w:val="nil"/>
          <w:lang w:eastAsia="en-GB"/>
        </w:rPr>
        <mc:AlternateContent>
          <mc:Choice Requires="wps">
            <w:drawing>
              <wp:anchor distT="0" distB="0" distL="0" distR="0" simplePos="0" relativeHeight="251698176" behindDoc="0" locked="0" layoutInCell="1" allowOverlap="1" wp14:anchorId="2BF344E8" wp14:editId="24614600">
                <wp:simplePos x="0" y="0"/>
                <wp:positionH relativeFrom="column">
                  <wp:posOffset>4405630</wp:posOffset>
                </wp:positionH>
                <wp:positionV relativeFrom="line">
                  <wp:posOffset>201295</wp:posOffset>
                </wp:positionV>
                <wp:extent cx="1308100" cy="665019"/>
                <wp:effectExtent l="0" t="0" r="0" b="0"/>
                <wp:wrapNone/>
                <wp:docPr id="1073741851" name="officeArt object" descr="Rectangle 2167"/>
                <wp:cNvGraphicFramePr/>
                <a:graphic xmlns:a="http://schemas.openxmlformats.org/drawingml/2006/main">
                  <a:graphicData uri="http://schemas.microsoft.com/office/word/2010/wordprocessingShape">
                    <wps:wsp>
                      <wps:cNvSpPr/>
                      <wps:spPr>
                        <a:xfrm>
                          <a:off x="0" y="0"/>
                          <a:ext cx="1308100" cy="665019"/>
                        </a:xfrm>
                        <a:prstGeom prst="rect">
                          <a:avLst/>
                        </a:prstGeom>
                        <a:solidFill>
                          <a:srgbClr val="4472C4"/>
                        </a:solidFill>
                        <a:ln w="12700" cap="flat">
                          <a:solidFill>
                            <a:srgbClr val="FF0000"/>
                          </a:solidFill>
                          <a:prstDash val="solid"/>
                          <a:miter lim="800000"/>
                        </a:ln>
                        <a:effectLst/>
                      </wps:spPr>
                      <wps:txbx>
                        <w:txbxContent>
                          <w:p w14:paraId="57344ED6" w14:textId="77777777" w:rsidR="00D17A43" w:rsidRPr="00AF0E0B" w:rsidRDefault="00D17A43" w:rsidP="00AF0E0B">
                            <w:pPr>
                              <w:pStyle w:val="Body"/>
                              <w:jc w:val="center"/>
                              <w:rPr>
                                <w:rFonts w:ascii="Arial" w:eastAsia="Arial" w:hAnsi="Arial" w:cs="Arial"/>
                                <w:color w:val="FFFFFF"/>
                              </w:rPr>
                            </w:pPr>
                            <w:r w:rsidRPr="00AF0E0B">
                              <w:rPr>
                                <w:rFonts w:ascii="Arial" w:hAnsi="Arial"/>
                                <w:color w:val="FFFFFF"/>
                                <w:lang w:val="en-US"/>
                              </w:rPr>
                              <w:t>Withdrawals 10- no data included</w:t>
                            </w:r>
                          </w:p>
                          <w:p w14:paraId="0CC13DD7" w14:textId="77777777" w:rsidR="00D17A43" w:rsidRPr="00AF0E0B" w:rsidRDefault="00D17A43" w:rsidP="00AF0E0B">
                            <w:pPr>
                              <w:pStyle w:val="Body"/>
                              <w:jc w:val="center"/>
                              <w:rPr>
                                <w:color w:val="FFFFFF"/>
                              </w:rPr>
                            </w:pPr>
                          </w:p>
                        </w:txbxContent>
                      </wps:txbx>
                      <wps:bodyPr wrap="square" lIns="45719" tIns="45719" rIns="45719" bIns="45719" numCol="1" anchor="ctr">
                        <a:noAutofit/>
                      </wps:bodyPr>
                    </wps:wsp>
                  </a:graphicData>
                </a:graphic>
              </wp:anchor>
            </w:drawing>
          </mc:Choice>
          <mc:Fallback>
            <w:pict>
              <v:rect w14:anchorId="2BF344E8" id="_x0000_s1041" alt="Rectangle 2167" style="position:absolute;margin-left:346.9pt;margin-top:15.85pt;width:103pt;height:52.35pt;z-index:251698176;visibility:visible;mso-wrap-style:square;mso-wrap-distance-left:0;mso-wrap-distance-top:0;mso-wrap-distance-right:0;mso-wrap-distance-bottom:0;mso-position-horizontal:absolute;mso-position-horizontal-relative:text;mso-position-vertical:absolute;mso-position-vertical-relative:lin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" fillcolor="#4472c4" strokecolor="red" strokeweight="1pt">
                <v:textbox inset="1.27mm,1.27mm,1.27mm,1.27mm">
                  <w:txbxContent>
                    <w:p w14:paraId="57344ED6" w14:textId="77777777" w:rsidR="00D17A43" w:rsidRPr="00AF0E0B" w:rsidRDefault="00D17A43" w:rsidP="00AF0E0B">
                      <w:pPr>
                        <w:pStyle w:val="Body"/>
                        <w:jc w:val="center"/>
                        <w:rPr>
                          <w:rFonts w:ascii="Arial" w:eastAsia="Arial" w:hAnsi="Arial" w:cs="Arial"/>
                          <w:color w:val="FFFFFF"/>
                        </w:rPr>
                      </w:pPr>
                      <w:r w:rsidRPr="00AF0E0B">
                        <w:rPr>
                          <w:rFonts w:ascii="Arial" w:hAnsi="Arial"/>
                          <w:color w:val="FFFFFF"/>
                          <w:lang w:val="en-US"/>
                        </w:rPr>
                        <w:t>Withdrawals 10- no data included</w:t>
                      </w:r>
                    </w:p>
                    <w:p w14:paraId="0CC13DD7" w14:textId="77777777" w:rsidR="00D17A43" w:rsidRPr="00AF0E0B" w:rsidRDefault="00D17A43" w:rsidP="00AF0E0B">
                      <w:pPr>
                        <w:pStyle w:val="Body"/>
                        <w:jc w:val="center"/>
                        <w:rPr>
                          <w:color w:val="FFFFFF"/>
                        </w:rPr>
                      </w:pPr>
                    </w:p>
                  </w:txbxContent>
                </v:textbox>
                <w10:wrap anchory="line"/>
              </v:rect>
            </w:pict>
          </mc:Fallback>
        </mc:AlternateContent>
      </w:r>
      <w:r w:rsidR="00AF0E0B" w:rsidRPr="00AF0E0B">
        <w:rPr>
          <w:rFonts w:eastAsia="Arial" w:cs="Arial"/>
          <w:i/>
          <w:iCs/>
          <w:color w:val="000000"/>
          <w:sz w:val="22"/>
          <w:szCs w:val="22"/>
          <w:u w:color="000000"/>
          <w:bdr w:val="nil"/>
          <w:lang w:eastAsia="en-GB"/>
        </w:rPr>
        <w:tab/>
      </w:r>
    </w:p>
    <w:p w14:paraId="621343B6" w14:textId="2232C4D9" w:rsidR="00AF0E0B" w:rsidRPr="00AF0E0B" w:rsidRDefault="00717274" w:rsidP="00717274">
      <w:pPr>
        <w:pBdr>
          <w:top w:val="single" w:sz="4" w:space="22" w:color="000000"/>
          <w:left w:val="single" w:sz="4" w:space="0" w:color="000000"/>
          <w:bottom w:val="single" w:sz="4" w:space="0" w:color="000000"/>
          <w:right w:val="single" w:sz="4" w:space="0" w:color="000000"/>
          <w:between w:val="nil"/>
          <w:bar w:val="nil"/>
        </w:pBdr>
        <w:spacing w:line="360" w:lineRule="auto"/>
        <w:rPr>
          <w:rFonts w:eastAsia="Arial" w:cs="Arial"/>
          <w:i/>
          <w:iCs/>
          <w:color w:val="000000"/>
          <w:sz w:val="22"/>
          <w:szCs w:val="22"/>
          <w:u w:color="000000"/>
          <w:bdr w:val="nil"/>
          <w:lang w:eastAsia="en-GB"/>
        </w:rPr>
      </w:pPr>
      <w:r w:rsidRPr="00AF0E0B">
        <w:rPr>
          <w:rFonts w:eastAsia="Arial" w:cs="Arial"/>
          <w:i/>
          <w:iCs/>
          <w:noProof/>
          <w:color w:val="000000"/>
          <w:sz w:val="22"/>
          <w:szCs w:val="22"/>
          <w:u w:color="000000"/>
          <w:bdr w:val="nil"/>
          <w:lang w:eastAsia="en-GB"/>
        </w:rPr>
        <mc:AlternateContent>
          <mc:Choice Requires="wps">
            <w:drawing>
              <wp:anchor distT="0" distB="0" distL="0" distR="0" simplePos="0" relativeHeight="251697152" behindDoc="0" locked="0" layoutInCell="1" allowOverlap="1" wp14:anchorId="60E44504" wp14:editId="3EFAC3FC">
                <wp:simplePos x="0" y="0"/>
                <wp:positionH relativeFrom="column">
                  <wp:posOffset>3603625</wp:posOffset>
                </wp:positionH>
                <wp:positionV relativeFrom="line">
                  <wp:posOffset>68580</wp:posOffset>
                </wp:positionV>
                <wp:extent cx="755015" cy="500380"/>
                <wp:effectExtent l="0" t="0" r="0" b="0"/>
                <wp:wrapNone/>
                <wp:docPr id="1073741852" name="officeArt object" descr="Right Arrow 2146"/>
                <wp:cNvGraphicFramePr/>
                <a:graphic xmlns:a="http://schemas.openxmlformats.org/drawingml/2006/main">
                  <a:graphicData uri="http://schemas.microsoft.com/office/word/2010/wordprocessingShape">
                    <wps:wsp>
                      <wps:cNvSpPr/>
                      <wps:spPr>
                        <a:xfrm>
                          <a:off x="0" y="0"/>
                          <a:ext cx="755015" cy="500380"/>
                        </a:xfrm>
                        <a:prstGeom prst="rightArrow">
                          <a:avLst>
                            <a:gd name="adj1" fmla="val 50000"/>
                            <a:gd name="adj2" fmla="val 50000"/>
                          </a:avLst>
                        </a:prstGeom>
                        <a:solidFill>
                          <a:srgbClr val="4472C4"/>
                        </a:solidFill>
                        <a:ln w="12700" cap="flat">
                          <a:solidFill>
                            <a:srgbClr val="32538F"/>
                          </a:solidFill>
                          <a:prstDash val="solid"/>
                          <a:miter lim="800000"/>
                        </a:ln>
                        <a:effectLst/>
                      </wps:spPr>
                      <wps:bodyPr/>
                    </wps:wsp>
                  </a:graphicData>
                </a:graphic>
              </wp:anchor>
            </w:drawing>
          </mc:Choice>
          <mc:Fallback>
            <w:pict>
              <v:shapetype w14:anchorId="2B979D7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officeArt object" o:spid="_x0000_s1026" type="#_x0000_t13" alt="Right Arrow 2146" style="position:absolute;margin-left:283.75pt;margin-top:5.4pt;width:59.45pt;height:39.4pt;z-index:251697152;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" adj="14442" fillcolor="#4472c4" strokecolor="#32538f" strokeweight="1pt">
                <w10:wrap anchory="line"/>
              </v:shape>
            </w:pict>
          </mc:Fallback>
        </mc:AlternateContent>
      </w:r>
      <w:r w:rsidRPr="00AF0E0B">
        <w:rPr>
          <w:rFonts w:eastAsia="Arial" w:cs="Arial"/>
          <w:i/>
          <w:iCs/>
          <w:noProof/>
          <w:color w:val="000000"/>
          <w:sz w:val="22"/>
          <w:szCs w:val="22"/>
          <w:u w:color="000000"/>
          <w:bdr w:val="nil"/>
          <w:lang w:eastAsia="en-GB"/>
        </w:rPr>
        <mc:AlternateContent>
          <mc:Choice Requires="wps">
            <w:drawing>
              <wp:anchor distT="0" distB="0" distL="0" distR="0" simplePos="0" relativeHeight="251695104" behindDoc="0" locked="0" layoutInCell="1" allowOverlap="1" wp14:anchorId="02FBA5A3" wp14:editId="70787E18">
                <wp:simplePos x="0" y="0"/>
                <wp:positionH relativeFrom="column">
                  <wp:posOffset>100649</wp:posOffset>
                </wp:positionH>
                <wp:positionV relativeFrom="line">
                  <wp:posOffset>196214</wp:posOffset>
                </wp:positionV>
                <wp:extent cx="588604" cy="477079"/>
                <wp:effectExtent l="0" t="0" r="0" b="0"/>
                <wp:wrapNone/>
                <wp:docPr id="1073741853" name="officeArt object" descr="Rectangle 2125"/>
                <wp:cNvGraphicFramePr/>
                <a:graphic xmlns:a="http://schemas.openxmlformats.org/drawingml/2006/main">
                  <a:graphicData uri="http://schemas.microsoft.com/office/word/2010/wordprocessingShape">
                    <wps:wsp>
                      <wps:cNvSpPr/>
                      <wps:spPr>
                        <a:xfrm rot="16200000">
                          <a:off x="0" y="0"/>
                          <a:ext cx="588604" cy="477079"/>
                        </a:xfrm>
                        <a:prstGeom prst="rect">
                          <a:avLst/>
                        </a:prstGeom>
                        <a:solidFill>
                          <a:srgbClr val="4472C4"/>
                        </a:solidFill>
                        <a:ln w="12700" cap="flat">
                          <a:solidFill>
                            <a:srgbClr val="32538F"/>
                          </a:solidFill>
                          <a:prstDash val="solid"/>
                          <a:miter lim="800000"/>
                        </a:ln>
                        <a:effectLst/>
                      </wps:spPr>
                      <wps:txbx>
                        <w:txbxContent>
                          <w:p w14:paraId="6C6E0944" w14:textId="77777777" w:rsidR="00D17A43" w:rsidRPr="00AF0E0B" w:rsidRDefault="00D17A43" w:rsidP="00AF0E0B">
                            <w:pPr>
                              <w:pStyle w:val="Body"/>
                              <w:jc w:val="center"/>
                              <w:rPr>
                                <w:color w:val="FFFFFF"/>
                              </w:rPr>
                            </w:pPr>
                            <w:r w:rsidRPr="00AF0E0B">
                              <w:rPr>
                                <w:rFonts w:ascii="Arial" w:hAnsi="Arial"/>
                                <w:color w:val="FFFFFF"/>
                                <w:lang w:val="en-US"/>
                              </w:rPr>
                              <w:t>Visit 2</w:t>
                            </w:r>
                          </w:p>
                        </w:txbxContent>
                      </wps:txbx>
                      <wps:bodyPr wrap="square" lIns="45719" tIns="45719" rIns="45719" bIns="45719" numCol="1" anchor="ctr">
                        <a:noAutofit/>
                      </wps:bodyPr>
                    </wps:wsp>
                  </a:graphicData>
                </a:graphic>
              </wp:anchor>
            </w:drawing>
          </mc:Choice>
          <mc:Fallback>
            <w:pict>
              <v:rect w14:anchorId="02FBA5A3" id="_x0000_s1042" alt="Rectangle 2125" style="position:absolute;margin-left:7.95pt;margin-top:15.45pt;width:46.35pt;height:37.55pt;rotation:-90;z-index:251695104;visibility:visible;mso-wrap-style:square;mso-wrap-distance-left:0;mso-wrap-distance-top:0;mso-wrap-distance-right:0;mso-wrap-distance-bottom:0;mso-position-horizontal:absolute;mso-position-horizontal-relative:text;mso-position-vertical:absolute;mso-position-vertical-relative:lin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" fillcolor="#4472c4" strokecolor="#32538f" strokeweight="1pt">
                <v:textbox inset="1.27mm,1.27mm,1.27mm,1.27mm">
                  <w:txbxContent>
                    <w:p w14:paraId="6C6E0944" w14:textId="77777777" w:rsidR="00D17A43" w:rsidRPr="00AF0E0B" w:rsidRDefault="00D17A43" w:rsidP="00AF0E0B">
                      <w:pPr>
                        <w:pStyle w:val="Body"/>
                        <w:jc w:val="center"/>
                        <w:rPr>
                          <w:color w:val="FFFFFF"/>
                        </w:rPr>
                      </w:pPr>
                      <w:r w:rsidRPr="00AF0E0B">
                        <w:rPr>
                          <w:rFonts w:ascii="Arial" w:hAnsi="Arial"/>
                          <w:color w:val="FFFFFF"/>
                          <w:lang w:val="en-US"/>
                        </w:rPr>
                        <w:t>Visit 2</w:t>
                      </w:r>
                    </w:p>
                  </w:txbxContent>
                </v:textbox>
                <w10:wrap anchory="line"/>
              </v:rect>
            </w:pict>
          </mc:Fallback>
        </mc:AlternateContent>
      </w:r>
      <w:r w:rsidRPr="00AF0E0B">
        <w:rPr>
          <w:rFonts w:eastAsia="Arial" w:cs="Arial"/>
          <w:i/>
          <w:iCs/>
          <w:noProof/>
          <w:color w:val="000000"/>
          <w:sz w:val="22"/>
          <w:szCs w:val="22"/>
          <w:u w:color="000000"/>
          <w:bdr w:val="nil"/>
          <w:lang w:eastAsia="en-GB"/>
        </w:rPr>
        <mc:AlternateContent>
          <mc:Choice Requires="wps">
            <w:drawing>
              <wp:anchor distT="0" distB="0" distL="0" distR="0" simplePos="0" relativeHeight="251686912" behindDoc="0" locked="0" layoutInCell="1" allowOverlap="1" wp14:anchorId="3730D4CF" wp14:editId="0D73CEE4">
                <wp:simplePos x="0" y="0"/>
                <wp:positionH relativeFrom="column">
                  <wp:posOffset>866775</wp:posOffset>
                </wp:positionH>
                <wp:positionV relativeFrom="line">
                  <wp:posOffset>152400</wp:posOffset>
                </wp:positionV>
                <wp:extent cx="2615979" cy="477077"/>
                <wp:effectExtent l="0" t="0" r="0" b="0"/>
                <wp:wrapNone/>
                <wp:docPr id="1073741854" name="officeArt object" descr="Rectangle 2127"/>
                <wp:cNvGraphicFramePr/>
                <a:graphic xmlns:a="http://schemas.openxmlformats.org/drawingml/2006/main">
                  <a:graphicData uri="http://schemas.microsoft.com/office/word/2010/wordprocessingShape">
                    <wps:wsp>
                      <wps:cNvSpPr/>
                      <wps:spPr>
                        <a:xfrm>
                          <a:off x="0" y="0"/>
                          <a:ext cx="2615979" cy="477077"/>
                        </a:xfrm>
                        <a:prstGeom prst="rect">
                          <a:avLst/>
                        </a:prstGeom>
                        <a:solidFill>
                          <a:srgbClr val="4472C4"/>
                        </a:solidFill>
                        <a:ln w="12700" cap="flat">
                          <a:solidFill>
                            <a:srgbClr val="32538F"/>
                          </a:solidFill>
                          <a:prstDash val="solid"/>
                          <a:miter lim="800000"/>
                        </a:ln>
                        <a:effectLst/>
                      </wps:spPr>
                      <wps:txbx>
                        <w:txbxContent>
                          <w:p w14:paraId="54665D54" w14:textId="77777777" w:rsidR="00D17A43" w:rsidRPr="00AF0E0B" w:rsidRDefault="00D17A43" w:rsidP="00AF0E0B">
                            <w:pPr>
                              <w:pStyle w:val="Body"/>
                              <w:jc w:val="center"/>
                              <w:rPr>
                                <w:color w:val="FFFFFF"/>
                              </w:rPr>
                            </w:pPr>
                            <w:r w:rsidRPr="00AF0E0B">
                              <w:rPr>
                                <w:rFonts w:ascii="Arial" w:hAnsi="Arial"/>
                                <w:color w:val="FFFFFF"/>
                              </w:rPr>
                              <w:t>DSC-MRI visit- baseline</w:t>
                            </w:r>
                          </w:p>
                        </w:txbxContent>
                      </wps:txbx>
                      <wps:bodyPr wrap="square" lIns="45719" tIns="45719" rIns="45719" bIns="45719" numCol="1" anchor="ctr">
                        <a:noAutofit/>
                      </wps:bodyPr>
                    </wps:wsp>
                  </a:graphicData>
                </a:graphic>
              </wp:anchor>
            </w:drawing>
          </mc:Choice>
          <mc:Fallback>
            <w:pict>
              <v:rect w14:anchorId="3730D4CF" id="_x0000_s1043" alt="Rectangle 2127" style="position:absolute;margin-left:68.25pt;margin-top:12pt;width:206pt;height:37.55pt;z-index:251686912;visibility:visible;mso-wrap-style:square;mso-wrap-distance-left:0;mso-wrap-distance-top:0;mso-wrap-distance-right:0;mso-wrap-distance-bottom:0;mso-position-horizontal:absolute;mso-position-horizontal-relative:text;mso-position-vertical:absolute;mso-position-vertical-relative:lin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" fillcolor="#4472c4" strokecolor="#32538f" strokeweight="1pt">
                <v:textbox inset="1.27mm,1.27mm,1.27mm,1.27mm">
                  <w:txbxContent>
                    <w:p w14:paraId="54665D54" w14:textId="77777777" w:rsidR="00D17A43" w:rsidRPr="00AF0E0B" w:rsidRDefault="00D17A43" w:rsidP="00AF0E0B">
                      <w:pPr>
                        <w:pStyle w:val="Body"/>
                        <w:jc w:val="center"/>
                        <w:rPr>
                          <w:color w:val="FFFFFF"/>
                        </w:rPr>
                      </w:pPr>
                      <w:r w:rsidRPr="00AF0E0B">
                        <w:rPr>
                          <w:rFonts w:ascii="Arial" w:hAnsi="Arial"/>
                          <w:color w:val="FFFFFF"/>
                        </w:rPr>
                        <w:t>DSC-MRI visit- baseline</w:t>
                      </w:r>
                    </w:p>
                  </w:txbxContent>
                </v:textbox>
                <w10:wrap anchory="line"/>
              </v:rect>
            </w:pict>
          </mc:Fallback>
        </mc:AlternateContent>
      </w:r>
    </w:p>
    <w:p w14:paraId="181986B2" w14:textId="0C3CAE4B" w:rsidR="00AF0E0B" w:rsidRPr="00AF0E0B" w:rsidRDefault="00AF0E0B" w:rsidP="00717274">
      <w:pPr>
        <w:pBdr>
          <w:top w:val="single" w:sz="4" w:space="22" w:color="000000"/>
          <w:left w:val="single" w:sz="4" w:space="0" w:color="000000"/>
          <w:bottom w:val="single" w:sz="4" w:space="0" w:color="000000"/>
          <w:right w:val="single" w:sz="4" w:space="0" w:color="000000"/>
          <w:between w:val="nil"/>
          <w:bar w:val="nil"/>
        </w:pBdr>
        <w:spacing w:line="360" w:lineRule="auto"/>
        <w:rPr>
          <w:rFonts w:eastAsia="Arial" w:cs="Arial"/>
          <w:i/>
          <w:iCs/>
          <w:color w:val="000000"/>
          <w:sz w:val="22"/>
          <w:szCs w:val="22"/>
          <w:u w:color="000000"/>
          <w:bdr w:val="nil"/>
          <w:lang w:eastAsia="en-GB"/>
        </w:rPr>
      </w:pPr>
    </w:p>
    <w:p w14:paraId="26510B85" w14:textId="03ECB516" w:rsidR="00AF0E0B" w:rsidRPr="00AF0E0B" w:rsidRDefault="00717274" w:rsidP="00717274">
      <w:pPr>
        <w:pBdr>
          <w:top w:val="single" w:sz="4" w:space="22" w:color="000000"/>
          <w:left w:val="single" w:sz="4" w:space="0" w:color="000000"/>
          <w:bottom w:val="single" w:sz="4" w:space="0" w:color="000000"/>
          <w:right w:val="single" w:sz="4" w:space="0" w:color="000000"/>
          <w:between w:val="nil"/>
          <w:bar w:val="nil"/>
        </w:pBdr>
        <w:spacing w:line="360" w:lineRule="auto"/>
        <w:rPr>
          <w:rFonts w:eastAsia="Arial" w:cs="Arial"/>
          <w:i/>
          <w:iCs/>
          <w:color w:val="000000"/>
          <w:sz w:val="22"/>
          <w:szCs w:val="22"/>
          <w:u w:color="000000"/>
          <w:bdr w:val="nil"/>
          <w:lang w:eastAsia="en-GB"/>
        </w:rPr>
      </w:pPr>
      <w:r w:rsidRPr="00AF0E0B">
        <w:rPr>
          <w:rFonts w:eastAsia="Arial" w:cs="Arial"/>
          <w:i/>
          <w:iCs/>
          <w:noProof/>
          <w:color w:val="000000"/>
          <w:sz w:val="22"/>
          <w:szCs w:val="22"/>
          <w:u w:color="000000"/>
          <w:bdr w:val="nil"/>
          <w:lang w:eastAsia="en-GB"/>
        </w:rPr>
        <mc:AlternateContent>
          <mc:Choice Requires="wps">
            <w:drawing>
              <wp:anchor distT="0" distB="0" distL="0" distR="0" simplePos="0" relativeHeight="251692032" behindDoc="0" locked="0" layoutInCell="1" allowOverlap="1" wp14:anchorId="0BDE21B1" wp14:editId="28086B1C">
                <wp:simplePos x="0" y="0"/>
                <wp:positionH relativeFrom="column">
                  <wp:posOffset>2152650</wp:posOffset>
                </wp:positionH>
                <wp:positionV relativeFrom="line">
                  <wp:posOffset>154940</wp:posOffset>
                </wp:positionV>
                <wp:extent cx="357506" cy="556261"/>
                <wp:effectExtent l="0" t="0" r="0" b="0"/>
                <wp:wrapNone/>
                <wp:docPr id="1073741855" name="officeArt object" descr="Down Arrow 2129"/>
                <wp:cNvGraphicFramePr/>
                <a:graphic xmlns:a="http://schemas.openxmlformats.org/drawingml/2006/main">
                  <a:graphicData uri="http://schemas.microsoft.com/office/word/2010/wordprocessingShape">
                    <wps:wsp>
                      <wps:cNvSpPr/>
                      <wps:spPr>
                        <a:xfrm>
                          <a:off x="0" y="0"/>
                          <a:ext cx="357506" cy="556261"/>
                        </a:xfrm>
                        <a:custGeom>
                          <a:avLst/>
                          <a:gdLst/>
                          <a:ahLst/>
                          <a:cxnLst>
                            <a:cxn ang="0">
                              <a:pos x="wd2" y="hd2"/>
                            </a:cxn>
                            <a:cxn ang="5400000">
                              <a:pos x="wd2" y="hd2"/>
                            </a:cxn>
                            <a:cxn ang="10800000">
                              <a:pos x="wd2" y="hd2"/>
                            </a:cxn>
                            <a:cxn ang="16200000">
                              <a:pos x="wd2" y="hd2"/>
                            </a:cxn>
                          </a:cxnLst>
                          <a:rect l="0" t="0" r="r" b="b"/>
                          <a:pathLst>
                            <a:path w="21600" h="21600" extrusionOk="0">
                              <a:moveTo>
                                <a:pt x="0" y="14659"/>
                              </a:moveTo>
                              <a:lnTo>
                                <a:pt x="5400" y="14659"/>
                              </a:lnTo>
                              <a:lnTo>
                                <a:pt x="5400" y="0"/>
                              </a:lnTo>
                              <a:lnTo>
                                <a:pt x="16200" y="0"/>
                              </a:lnTo>
                              <a:lnTo>
                                <a:pt x="16200" y="14659"/>
                              </a:lnTo>
                              <a:lnTo>
                                <a:pt x="21600" y="14659"/>
                              </a:lnTo>
                              <a:lnTo>
                                <a:pt x="10800" y="21600"/>
                              </a:lnTo>
                              <a:close/>
                            </a:path>
                          </a:pathLst>
                        </a:custGeom>
                        <a:solidFill>
                          <a:srgbClr val="4472C4"/>
                        </a:solidFill>
                        <a:ln w="12700" cap="flat">
                          <a:solidFill>
                            <a:srgbClr val="32538F"/>
                          </a:solidFill>
                          <a:prstDash val="solid"/>
                          <a:miter lim="800000"/>
                        </a:ln>
                        <a:effectLst/>
                      </wps:spPr>
                      <wps:bodyPr/>
                    </wps:wsp>
                  </a:graphicData>
                </a:graphic>
              </wp:anchor>
            </w:drawing>
          </mc:Choice>
          <mc:Fallback>
            <w:pict>
              <v:shape w14:anchorId="51B93192" id="officeArt object" o:spid="_x0000_s1026" alt="Down Arrow 2129" style="position:absolute;margin-left:169.5pt;margin-top:12.2pt;width:28.15pt;height:43.8pt;z-index:251692032;visibility:visible;mso-wrap-style:square;mso-wrap-distance-left:0;mso-wrap-distance-top:0;mso-wrap-distance-right:0;mso-wrap-distance-bottom:0;mso-position-horizontal:absolute;mso-position-horizontal-relative:text;mso-position-vertical:absolute;mso-position-vertical-relative:line;v-text-anchor:top" coordsize="21600,216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" path="m,14659r5400,l5400,,16200,r,14659l21600,14659,10800,21600,,14659xe" fillcolor="#4472c4" strokecolor="#32538f" strokeweight="1pt">
                <v:stroke joinstyle="miter"/>
                <v:path arrowok="t" o:extrusionok="f" o:connecttype="custom" o:connectlocs="178753,278131;178753,278131;178753,278131;178753,278131" o:connectangles="0,90,180,270"/>
                <w10:wrap anchory="line"/>
              </v:shape>
            </w:pict>
          </mc:Fallback>
        </mc:AlternateContent>
      </w:r>
    </w:p>
    <w:p w14:paraId="0E33B148" w14:textId="2EE390FC" w:rsidR="00AF0E0B" w:rsidRPr="00AF0E0B" w:rsidRDefault="00717274" w:rsidP="00717274">
      <w:pPr>
        <w:pBdr>
          <w:top w:val="single" w:sz="4" w:space="22" w:color="000000"/>
          <w:left w:val="single" w:sz="4" w:space="0" w:color="000000"/>
          <w:bottom w:val="single" w:sz="4" w:space="0" w:color="000000"/>
          <w:right w:val="single" w:sz="4" w:space="0" w:color="000000"/>
          <w:between w:val="nil"/>
          <w:bar w:val="nil"/>
        </w:pBdr>
        <w:tabs>
          <w:tab w:val="left" w:pos="5745"/>
          <w:tab w:val="left" w:pos="7113"/>
        </w:tabs>
        <w:spacing w:line="360" w:lineRule="auto"/>
        <w:rPr>
          <w:rFonts w:eastAsia="Arial" w:cs="Arial"/>
          <w:i/>
          <w:iCs/>
          <w:color w:val="000000"/>
          <w:sz w:val="22"/>
          <w:szCs w:val="22"/>
          <w:u w:color="000000"/>
          <w:bdr w:val="nil"/>
          <w:lang w:eastAsia="en-GB"/>
        </w:rPr>
      </w:pPr>
      <w:r w:rsidRPr="00AF0E0B">
        <w:rPr>
          <w:rFonts w:eastAsia="Arial" w:cs="Arial"/>
          <w:i/>
          <w:iCs/>
          <w:noProof/>
          <w:color w:val="000000"/>
          <w:sz w:val="22"/>
          <w:szCs w:val="22"/>
          <w:u w:color="000000"/>
          <w:bdr w:val="nil"/>
          <w:lang w:eastAsia="en-GB"/>
        </w:rPr>
        <mc:AlternateContent>
          <mc:Choice Requires="wps">
            <w:drawing>
              <wp:anchor distT="0" distB="0" distL="0" distR="0" simplePos="0" relativeHeight="251700224" behindDoc="0" locked="0" layoutInCell="1" allowOverlap="1" wp14:anchorId="3A5D39B0" wp14:editId="6B372260">
                <wp:simplePos x="0" y="0"/>
                <wp:positionH relativeFrom="column">
                  <wp:posOffset>4403090</wp:posOffset>
                </wp:positionH>
                <wp:positionV relativeFrom="line">
                  <wp:posOffset>160655</wp:posOffset>
                </wp:positionV>
                <wp:extent cx="1335810" cy="1123374"/>
                <wp:effectExtent l="0" t="0" r="0" b="0"/>
                <wp:wrapNone/>
                <wp:docPr id="1073741856" name="officeArt object" descr="Rectangle 2169"/>
                <wp:cNvGraphicFramePr/>
                <a:graphic xmlns:a="http://schemas.openxmlformats.org/drawingml/2006/main">
                  <a:graphicData uri="http://schemas.microsoft.com/office/word/2010/wordprocessingShape">
                    <wps:wsp>
                      <wps:cNvSpPr/>
                      <wps:spPr>
                        <a:xfrm>
                          <a:off x="0" y="0"/>
                          <a:ext cx="1335810" cy="1123374"/>
                        </a:xfrm>
                        <a:prstGeom prst="rect">
                          <a:avLst/>
                        </a:prstGeom>
                        <a:solidFill>
                          <a:srgbClr val="4472C4"/>
                        </a:solidFill>
                        <a:ln w="12700" cap="flat">
                          <a:solidFill>
                            <a:srgbClr val="FF0000"/>
                          </a:solidFill>
                          <a:prstDash val="solid"/>
                          <a:miter lim="800000"/>
                        </a:ln>
                        <a:effectLst/>
                      </wps:spPr>
                      <wps:txbx>
                        <w:txbxContent>
                          <w:p w14:paraId="76174172" w14:textId="77777777" w:rsidR="00D17A43" w:rsidRPr="00AF0E0B" w:rsidRDefault="00D17A43" w:rsidP="00AF0E0B">
                            <w:pPr>
                              <w:pStyle w:val="Body"/>
                              <w:jc w:val="center"/>
                              <w:rPr>
                                <w:rFonts w:ascii="Arial" w:eastAsia="Arial" w:hAnsi="Arial" w:cs="Arial"/>
                                <w:color w:val="FFFFFF"/>
                              </w:rPr>
                            </w:pPr>
                            <w:r w:rsidRPr="00AF0E0B">
                              <w:rPr>
                                <w:rFonts w:ascii="Arial" w:hAnsi="Arial"/>
                                <w:color w:val="FFFFFF"/>
                                <w:lang w:val="en-US"/>
                              </w:rPr>
                              <w:t xml:space="preserve">Scan Failure- contrast extravasation 1- visit 3 data not included </w:t>
                            </w:r>
                          </w:p>
                          <w:p w14:paraId="75369BC3" w14:textId="77777777" w:rsidR="00D17A43" w:rsidRPr="00AF0E0B" w:rsidRDefault="00D17A43" w:rsidP="00AF0E0B">
                            <w:pPr>
                              <w:pStyle w:val="Body"/>
                              <w:jc w:val="center"/>
                              <w:rPr>
                                <w:color w:val="FFFFFF"/>
                              </w:rPr>
                            </w:pPr>
                          </w:p>
                        </w:txbxContent>
                      </wps:txbx>
                      <wps:bodyPr wrap="square" lIns="45719" tIns="45719" rIns="45719" bIns="45719" numCol="1" anchor="ctr">
                        <a:noAutofit/>
                      </wps:bodyPr>
                    </wps:wsp>
                  </a:graphicData>
                </a:graphic>
              </wp:anchor>
            </w:drawing>
          </mc:Choice>
          <mc:Fallback>
            <w:pict>
              <v:rect w14:anchorId="3A5D39B0" id="_x0000_s1044" alt="Rectangle 2169" style="position:absolute;margin-left:346.7pt;margin-top:12.65pt;width:105.2pt;height:88.45pt;z-index:251700224;visibility:visible;mso-wrap-style:square;mso-wrap-distance-left:0;mso-wrap-distance-top:0;mso-wrap-distance-right:0;mso-wrap-distance-bottom:0;mso-position-horizontal:absolute;mso-position-horizontal-relative:text;mso-position-vertical:absolute;mso-position-vertical-relative:lin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" fillcolor="#4472c4" strokecolor="red" strokeweight="1pt">
                <v:textbox inset="1.27mm,1.27mm,1.27mm,1.27mm">
                  <w:txbxContent>
                    <w:p w14:paraId="76174172" w14:textId="77777777" w:rsidR="00D17A43" w:rsidRPr="00AF0E0B" w:rsidRDefault="00D17A43" w:rsidP="00AF0E0B">
                      <w:pPr>
                        <w:pStyle w:val="Body"/>
                        <w:jc w:val="center"/>
                        <w:rPr>
                          <w:rFonts w:ascii="Arial" w:eastAsia="Arial" w:hAnsi="Arial" w:cs="Arial"/>
                          <w:color w:val="FFFFFF"/>
                        </w:rPr>
                      </w:pPr>
                      <w:r w:rsidRPr="00AF0E0B">
                        <w:rPr>
                          <w:rFonts w:ascii="Arial" w:hAnsi="Arial"/>
                          <w:color w:val="FFFFFF"/>
                          <w:lang w:val="en-US"/>
                        </w:rPr>
                        <w:t xml:space="preserve">Scan Failure- contrast extravasation 1- visit 3 data not included </w:t>
                      </w:r>
                    </w:p>
                    <w:p w14:paraId="75369BC3" w14:textId="77777777" w:rsidR="00D17A43" w:rsidRPr="00AF0E0B" w:rsidRDefault="00D17A43" w:rsidP="00AF0E0B">
                      <w:pPr>
                        <w:pStyle w:val="Body"/>
                        <w:jc w:val="center"/>
                        <w:rPr>
                          <w:color w:val="FFFFFF"/>
                        </w:rPr>
                      </w:pPr>
                    </w:p>
                  </w:txbxContent>
                </v:textbox>
                <w10:wrap anchory="line"/>
              </v:rect>
            </w:pict>
          </mc:Fallback>
        </mc:AlternateContent>
      </w:r>
      <w:r w:rsidR="00AF0E0B" w:rsidRPr="00AF0E0B">
        <w:rPr>
          <w:rFonts w:eastAsia="Arial" w:cs="Arial"/>
          <w:i/>
          <w:iCs/>
          <w:color w:val="000000"/>
          <w:sz w:val="22"/>
          <w:szCs w:val="22"/>
          <w:u w:color="000000"/>
          <w:bdr w:val="nil"/>
          <w:lang w:eastAsia="en-GB"/>
        </w:rPr>
        <w:tab/>
      </w:r>
      <w:r w:rsidR="00AF0E0B" w:rsidRPr="00AF0E0B">
        <w:rPr>
          <w:rFonts w:eastAsia="Arial" w:cs="Arial"/>
          <w:i/>
          <w:iCs/>
          <w:color w:val="000000"/>
          <w:sz w:val="22"/>
          <w:szCs w:val="22"/>
          <w:u w:color="000000"/>
          <w:bdr w:val="nil"/>
          <w:lang w:eastAsia="en-GB"/>
        </w:rPr>
        <w:tab/>
      </w:r>
    </w:p>
    <w:p w14:paraId="7024C0F7" w14:textId="46D8C70C" w:rsidR="00AF0E0B" w:rsidRPr="00AF0E0B" w:rsidRDefault="00717274" w:rsidP="00717274">
      <w:pPr>
        <w:pBdr>
          <w:top w:val="single" w:sz="4" w:space="22" w:color="000000"/>
          <w:left w:val="single" w:sz="4" w:space="0" w:color="000000"/>
          <w:bottom w:val="single" w:sz="4" w:space="0" w:color="000000"/>
          <w:right w:val="single" w:sz="4" w:space="0" w:color="000000"/>
          <w:between w:val="nil"/>
          <w:bar w:val="nil"/>
        </w:pBdr>
        <w:spacing w:line="360" w:lineRule="auto"/>
        <w:rPr>
          <w:rFonts w:eastAsia="Arial" w:cs="Arial"/>
          <w:i/>
          <w:iCs/>
          <w:color w:val="000000"/>
          <w:sz w:val="22"/>
          <w:szCs w:val="22"/>
          <w:u w:color="000000"/>
          <w:bdr w:val="nil"/>
          <w:lang w:eastAsia="en-GB"/>
        </w:rPr>
      </w:pPr>
      <w:r w:rsidRPr="00AF0E0B">
        <w:rPr>
          <w:rFonts w:eastAsia="Arial" w:cs="Arial"/>
          <w:i/>
          <w:iCs/>
          <w:noProof/>
          <w:color w:val="000000"/>
          <w:sz w:val="22"/>
          <w:szCs w:val="22"/>
          <w:u w:color="000000"/>
          <w:bdr w:val="nil"/>
          <w:lang w:eastAsia="en-GB"/>
        </w:rPr>
        <mc:AlternateContent>
          <mc:Choice Requires="wps">
            <w:drawing>
              <wp:anchor distT="0" distB="0" distL="0" distR="0" simplePos="0" relativeHeight="251699200" behindDoc="0" locked="0" layoutInCell="1" allowOverlap="1" wp14:anchorId="78CDD276" wp14:editId="01BC1C94">
                <wp:simplePos x="0" y="0"/>
                <wp:positionH relativeFrom="column">
                  <wp:posOffset>3538855</wp:posOffset>
                </wp:positionH>
                <wp:positionV relativeFrom="line">
                  <wp:posOffset>197485</wp:posOffset>
                </wp:positionV>
                <wp:extent cx="755015" cy="500380"/>
                <wp:effectExtent l="0" t="0" r="0" b="0"/>
                <wp:wrapNone/>
                <wp:docPr id="1073741857" name="officeArt object" descr="Right Arrow 2168"/>
                <wp:cNvGraphicFramePr/>
                <a:graphic xmlns:a="http://schemas.openxmlformats.org/drawingml/2006/main">
                  <a:graphicData uri="http://schemas.microsoft.com/office/word/2010/wordprocessingShape">
                    <wps:wsp>
                      <wps:cNvSpPr/>
                      <wps:spPr>
                        <a:xfrm>
                          <a:off x="0" y="0"/>
                          <a:ext cx="755015" cy="500380"/>
                        </a:xfrm>
                        <a:prstGeom prst="rightArrow">
                          <a:avLst>
                            <a:gd name="adj1" fmla="val 50000"/>
                            <a:gd name="adj2" fmla="val 50000"/>
                          </a:avLst>
                        </a:prstGeom>
                        <a:solidFill>
                          <a:srgbClr val="4472C4"/>
                        </a:solidFill>
                        <a:ln w="12700" cap="flat">
                          <a:solidFill>
                            <a:srgbClr val="32538F"/>
                          </a:solidFill>
                          <a:prstDash val="solid"/>
                          <a:miter lim="800000"/>
                        </a:ln>
                        <a:effectLst/>
                      </wps:spPr>
                      <wps:bodyPr/>
                    </wps:wsp>
                  </a:graphicData>
                </a:graphic>
              </wp:anchor>
            </w:drawing>
          </mc:Choice>
          <mc:Fallback>
            <w:pict>
              <v:shape w14:anchorId="6EAF60C3" id="officeArt object" o:spid="_x0000_s1026" type="#_x0000_t13" alt="Right Arrow 2168" style="position:absolute;margin-left:278.65pt;margin-top:15.55pt;width:59.45pt;height:39.4pt;z-index:251699200;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" adj="14442" fillcolor="#4472c4" strokecolor="#32538f" strokeweight="1pt">
                <w10:wrap anchory="line"/>
              </v:shape>
            </w:pict>
          </mc:Fallback>
        </mc:AlternateContent>
      </w:r>
      <w:r w:rsidRPr="00AF0E0B">
        <w:rPr>
          <w:rFonts w:eastAsia="Arial" w:cs="Arial"/>
          <w:i/>
          <w:iCs/>
          <w:noProof/>
          <w:color w:val="000000"/>
          <w:sz w:val="22"/>
          <w:szCs w:val="22"/>
          <w:u w:color="000000"/>
          <w:bdr w:val="nil"/>
          <w:lang w:eastAsia="en-GB"/>
        </w:rPr>
        <mc:AlternateContent>
          <mc:Choice Requires="wps">
            <w:drawing>
              <wp:anchor distT="0" distB="0" distL="0" distR="0" simplePos="0" relativeHeight="251696128" behindDoc="0" locked="0" layoutInCell="1" allowOverlap="1" wp14:anchorId="7D6E8952" wp14:editId="3D31F430">
                <wp:simplePos x="0" y="0"/>
                <wp:positionH relativeFrom="column">
                  <wp:posOffset>68898</wp:posOffset>
                </wp:positionH>
                <wp:positionV relativeFrom="line">
                  <wp:posOffset>212089</wp:posOffset>
                </wp:positionV>
                <wp:extent cx="588010" cy="476885"/>
                <wp:effectExtent l="0" t="0" r="0" b="0"/>
                <wp:wrapNone/>
                <wp:docPr id="1073741858" name="officeArt object" descr="Rectangle 2131"/>
                <wp:cNvGraphicFramePr/>
                <a:graphic xmlns:a="http://schemas.openxmlformats.org/drawingml/2006/main">
                  <a:graphicData uri="http://schemas.microsoft.com/office/word/2010/wordprocessingShape">
                    <wps:wsp>
                      <wps:cNvSpPr/>
                      <wps:spPr>
                        <a:xfrm rot="16200000">
                          <a:off x="0" y="0"/>
                          <a:ext cx="588010" cy="476885"/>
                        </a:xfrm>
                        <a:prstGeom prst="rect">
                          <a:avLst/>
                        </a:prstGeom>
                        <a:solidFill>
                          <a:srgbClr val="4472C4"/>
                        </a:solidFill>
                        <a:ln w="12700" cap="flat">
                          <a:solidFill>
                            <a:srgbClr val="32538F"/>
                          </a:solidFill>
                          <a:prstDash val="solid"/>
                          <a:miter lim="800000"/>
                        </a:ln>
                        <a:effectLst/>
                      </wps:spPr>
                      <wps:txbx>
                        <w:txbxContent>
                          <w:p w14:paraId="4B0270AA" w14:textId="77777777" w:rsidR="00D17A43" w:rsidRPr="00AF0E0B" w:rsidRDefault="00D17A43" w:rsidP="00AF0E0B">
                            <w:pPr>
                              <w:pStyle w:val="Body"/>
                              <w:jc w:val="center"/>
                              <w:rPr>
                                <w:color w:val="FFFFFF"/>
                              </w:rPr>
                            </w:pPr>
                            <w:r w:rsidRPr="00AF0E0B">
                              <w:rPr>
                                <w:rFonts w:ascii="Arial" w:hAnsi="Arial"/>
                                <w:color w:val="FFFFFF"/>
                                <w:lang w:val="en-US"/>
                              </w:rPr>
                              <w:t>Visit 3</w:t>
                            </w:r>
                          </w:p>
                        </w:txbxContent>
                      </wps:txbx>
                      <wps:bodyPr wrap="square" lIns="45719" tIns="45719" rIns="45719" bIns="45719" numCol="1" anchor="ctr">
                        <a:noAutofit/>
                      </wps:bodyPr>
                    </wps:wsp>
                  </a:graphicData>
                </a:graphic>
              </wp:anchor>
            </w:drawing>
          </mc:Choice>
          <mc:Fallback>
            <w:pict>
              <v:rect w14:anchorId="7D6E8952" id="_x0000_s1045" alt="Rectangle 2131" style="position:absolute;margin-left:5.45pt;margin-top:16.7pt;width:46.3pt;height:37.55pt;rotation:-90;z-index:251696128;visibility:visible;mso-wrap-style:square;mso-wrap-distance-left:0;mso-wrap-distance-top:0;mso-wrap-distance-right:0;mso-wrap-distance-bottom:0;mso-position-horizontal:absolute;mso-position-horizontal-relative:text;mso-position-vertical:absolute;mso-position-vertical-relative:lin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" fillcolor="#4472c4" strokecolor="#32538f" strokeweight="1pt">
                <v:textbox inset="1.27mm,1.27mm,1.27mm,1.27mm">
                  <w:txbxContent>
                    <w:p w14:paraId="4B0270AA" w14:textId="77777777" w:rsidR="00D17A43" w:rsidRPr="00AF0E0B" w:rsidRDefault="00D17A43" w:rsidP="00AF0E0B">
                      <w:pPr>
                        <w:pStyle w:val="Body"/>
                        <w:jc w:val="center"/>
                        <w:rPr>
                          <w:color w:val="FFFFFF"/>
                        </w:rPr>
                      </w:pPr>
                      <w:r w:rsidRPr="00AF0E0B">
                        <w:rPr>
                          <w:rFonts w:ascii="Arial" w:hAnsi="Arial"/>
                          <w:color w:val="FFFFFF"/>
                          <w:lang w:val="en-US"/>
                        </w:rPr>
                        <w:t>Visit 3</w:t>
                      </w:r>
                    </w:p>
                  </w:txbxContent>
                </v:textbox>
                <w10:wrap anchory="line"/>
              </v:rect>
            </w:pict>
          </mc:Fallback>
        </mc:AlternateContent>
      </w:r>
      <w:r w:rsidRPr="00AF0E0B">
        <w:rPr>
          <w:rFonts w:eastAsia="Arial" w:cs="Arial"/>
          <w:i/>
          <w:iCs/>
          <w:noProof/>
          <w:color w:val="000000"/>
          <w:sz w:val="22"/>
          <w:szCs w:val="22"/>
          <w:u w:color="000000"/>
          <w:bdr w:val="nil"/>
          <w:lang w:eastAsia="en-GB"/>
        </w:rPr>
        <mc:AlternateContent>
          <mc:Choice Requires="wps">
            <w:drawing>
              <wp:anchor distT="0" distB="0" distL="0" distR="0" simplePos="0" relativeHeight="251688960" behindDoc="0" locked="0" layoutInCell="1" allowOverlap="1" wp14:anchorId="7F38B9D8" wp14:editId="4DDC9E94">
                <wp:simplePos x="0" y="0"/>
                <wp:positionH relativeFrom="column">
                  <wp:posOffset>872490</wp:posOffset>
                </wp:positionH>
                <wp:positionV relativeFrom="line">
                  <wp:posOffset>200025</wp:posOffset>
                </wp:positionV>
                <wp:extent cx="2615565" cy="476885"/>
                <wp:effectExtent l="0" t="0" r="0" b="0"/>
                <wp:wrapNone/>
                <wp:docPr id="1073741859" name="officeArt object" descr="Rectangle 2132"/>
                <wp:cNvGraphicFramePr/>
                <a:graphic xmlns:a="http://schemas.openxmlformats.org/drawingml/2006/main">
                  <a:graphicData uri="http://schemas.microsoft.com/office/word/2010/wordprocessingShape">
                    <wps:wsp>
                      <wps:cNvSpPr/>
                      <wps:spPr>
                        <a:xfrm>
                          <a:off x="0" y="0"/>
                          <a:ext cx="2615565" cy="476885"/>
                        </a:xfrm>
                        <a:prstGeom prst="rect">
                          <a:avLst/>
                        </a:prstGeom>
                        <a:solidFill>
                          <a:srgbClr val="4472C4"/>
                        </a:solidFill>
                        <a:ln w="12700" cap="flat">
                          <a:solidFill>
                            <a:srgbClr val="32538F"/>
                          </a:solidFill>
                          <a:prstDash val="solid"/>
                          <a:miter lim="800000"/>
                        </a:ln>
                        <a:effectLst/>
                        <a:extLst>
                          <a:ext uri="{C572A759-6A51-4108-AA02-DFA0A04FC94B}">
                            <ma14:wrappingTextBoxFlag xmlns="" xmlns:w="http://schemas.openxmlformats.org/wordprocessingml/2006/main" xmlns:w10="urn:schemas-microsoft-com:office:word" xmlns:v="urn:schemas-microsoft-com:vml" xmlns:o="urn:schemas-microsoft-com:office:office" xmlns:ma14="http://schemas.microsoft.com/office/mac/drawingml/2011/main" val="1"/>
                          </a:ext>
                        </a:extLst>
                      </wps:spPr>
                      <wps:txbx>
                        <w:txbxContent>
                          <w:p w14:paraId="37A90818" w14:textId="77777777" w:rsidR="00D17A43" w:rsidRPr="00AF0E0B" w:rsidRDefault="00D17A43" w:rsidP="00AF0E0B">
                            <w:pPr>
                              <w:pStyle w:val="Body"/>
                              <w:jc w:val="center"/>
                              <w:rPr>
                                <w:color w:val="FFFFFF"/>
                              </w:rPr>
                            </w:pPr>
                            <w:r w:rsidRPr="00AF0E0B">
                              <w:rPr>
                                <w:rFonts w:ascii="Arial" w:hAnsi="Arial"/>
                                <w:color w:val="FFFFFF"/>
                                <w:lang w:val="en-US"/>
                              </w:rPr>
                              <w:t>DSC MRI visit – Pain Condition</w:t>
                            </w:r>
                          </w:p>
                        </w:txbxContent>
                      </wps:txbx>
                      <wps:bodyPr wrap="square" lIns="45719" tIns="45719" rIns="45719" bIns="45719" numCol="1" anchor="ctr">
                        <a:noAutofit/>
                      </wps:bodyPr>
                    </wps:wsp>
                  </a:graphicData>
                </a:graphic>
              </wp:anchor>
            </w:drawing>
          </mc:Choice>
          <mc:Fallback>
            <w:pict>
              <v:rect w14:anchorId="7F38B9D8" id="_x0000_s1046" alt="Rectangle 2132" style="position:absolute;margin-left:68.7pt;margin-top:15.75pt;width:205.95pt;height:37.55pt;z-index:251688960;visibility:visible;mso-wrap-style:square;mso-wrap-distance-left:0;mso-wrap-distance-top:0;mso-wrap-distance-right:0;mso-wrap-distance-bottom:0;mso-position-horizontal:absolute;mso-position-horizontal-relative:text;mso-position-vertical:absolute;mso-position-vertical-relative:lin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" fillcolor="#4472c4" strokecolor="#32538f" strokeweight="1pt">
                <v:textbox inset="1.27mm,1.27mm,1.27mm,1.27mm">
                  <w:txbxContent>
                    <w:p w14:paraId="37A90818" w14:textId="77777777" w:rsidR="00D17A43" w:rsidRPr="00AF0E0B" w:rsidRDefault="00D17A43" w:rsidP="00AF0E0B">
                      <w:pPr>
                        <w:pStyle w:val="Body"/>
                        <w:jc w:val="center"/>
                        <w:rPr>
                          <w:color w:val="FFFFFF"/>
                        </w:rPr>
                      </w:pPr>
                      <w:r w:rsidRPr="00AF0E0B">
                        <w:rPr>
                          <w:rFonts w:ascii="Arial" w:hAnsi="Arial"/>
                          <w:color w:val="FFFFFF"/>
                          <w:lang w:val="en-US"/>
                        </w:rPr>
                        <w:t>DSC MRI visit – Pain Condition</w:t>
                      </w:r>
                    </w:p>
                  </w:txbxContent>
                </v:textbox>
                <w10:wrap anchory="line"/>
              </v:rect>
            </w:pict>
          </mc:Fallback>
        </mc:AlternateContent>
      </w:r>
    </w:p>
    <w:p w14:paraId="4D0BAB35" w14:textId="4DA9C905" w:rsidR="00AF0E0B" w:rsidRPr="00AF0E0B" w:rsidRDefault="00AF0E0B" w:rsidP="00717274">
      <w:pPr>
        <w:pBdr>
          <w:top w:val="single" w:sz="4" w:space="22" w:color="000000"/>
          <w:left w:val="single" w:sz="4" w:space="0" w:color="000000"/>
          <w:bottom w:val="single" w:sz="4" w:space="0" w:color="000000"/>
          <w:right w:val="single" w:sz="4" w:space="0" w:color="000000"/>
          <w:between w:val="nil"/>
          <w:bar w:val="nil"/>
        </w:pBdr>
        <w:spacing w:line="360" w:lineRule="auto"/>
        <w:rPr>
          <w:rFonts w:eastAsia="Arial" w:cs="Arial"/>
          <w:i/>
          <w:iCs/>
          <w:color w:val="000000"/>
          <w:sz w:val="22"/>
          <w:szCs w:val="22"/>
          <w:u w:color="000000"/>
          <w:bdr w:val="nil"/>
          <w:lang w:eastAsia="en-GB"/>
        </w:rPr>
      </w:pPr>
    </w:p>
    <w:p w14:paraId="53B3E43F" w14:textId="241D98C5" w:rsidR="00AF0E0B" w:rsidRPr="00AF0E0B" w:rsidRDefault="00AF0E0B" w:rsidP="00717274">
      <w:pPr>
        <w:pBdr>
          <w:top w:val="single" w:sz="4" w:space="22" w:color="000000"/>
          <w:left w:val="single" w:sz="4" w:space="0" w:color="000000"/>
          <w:bottom w:val="single" w:sz="4" w:space="0" w:color="000000"/>
          <w:right w:val="single" w:sz="4" w:space="0" w:color="000000"/>
          <w:between w:val="nil"/>
          <w:bar w:val="nil"/>
        </w:pBdr>
        <w:spacing w:line="360" w:lineRule="auto"/>
        <w:rPr>
          <w:rFonts w:eastAsia="Arial" w:cs="Arial"/>
          <w:i/>
          <w:iCs/>
          <w:color w:val="000000"/>
          <w:sz w:val="22"/>
          <w:szCs w:val="22"/>
          <w:u w:color="000000"/>
          <w:bdr w:val="nil"/>
          <w:lang w:eastAsia="en-GB"/>
        </w:rPr>
      </w:pPr>
    </w:p>
    <w:p w14:paraId="3748367B" w14:textId="45221051" w:rsidR="00AF0E0B" w:rsidRPr="00AF0E0B" w:rsidRDefault="00717274" w:rsidP="00717274">
      <w:pPr>
        <w:pBdr>
          <w:top w:val="single" w:sz="4" w:space="22" w:color="000000"/>
          <w:left w:val="single" w:sz="4" w:space="0" w:color="000000"/>
          <w:bottom w:val="single" w:sz="4" w:space="0" w:color="000000"/>
          <w:right w:val="single" w:sz="4" w:space="0" w:color="000000"/>
          <w:between w:val="nil"/>
          <w:bar w:val="nil"/>
        </w:pBdr>
        <w:spacing w:line="360" w:lineRule="auto"/>
        <w:rPr>
          <w:rFonts w:eastAsia="Arial" w:cs="Arial"/>
          <w:i/>
          <w:iCs/>
          <w:color w:val="000000"/>
          <w:sz w:val="22"/>
          <w:szCs w:val="22"/>
          <w:u w:color="000000"/>
          <w:bdr w:val="nil"/>
          <w:lang w:eastAsia="en-GB"/>
        </w:rPr>
      </w:pPr>
      <w:r w:rsidRPr="00AF0E0B">
        <w:rPr>
          <w:rFonts w:eastAsia="Arial" w:cs="Arial"/>
          <w:i/>
          <w:iCs/>
          <w:noProof/>
          <w:color w:val="000000"/>
          <w:sz w:val="22"/>
          <w:szCs w:val="22"/>
          <w:u w:color="000000"/>
          <w:bdr w:val="nil"/>
          <w:lang w:eastAsia="en-GB"/>
        </w:rPr>
        <mc:AlternateContent>
          <mc:Choice Requires="wps">
            <w:drawing>
              <wp:anchor distT="0" distB="0" distL="0" distR="0" simplePos="0" relativeHeight="251701248" behindDoc="0" locked="0" layoutInCell="1" allowOverlap="1" wp14:anchorId="03F00593" wp14:editId="2EEDF5DD">
                <wp:simplePos x="0" y="0"/>
                <wp:positionH relativeFrom="column">
                  <wp:posOffset>2142490</wp:posOffset>
                </wp:positionH>
                <wp:positionV relativeFrom="line">
                  <wp:posOffset>26353</wp:posOffset>
                </wp:positionV>
                <wp:extent cx="357506" cy="355600"/>
                <wp:effectExtent l="25400" t="0" r="10795" b="25400"/>
                <wp:wrapNone/>
                <wp:docPr id="1073741860" name="officeArt object" descr="Down Arrow 2170"/>
                <wp:cNvGraphicFramePr/>
                <a:graphic xmlns:a="http://schemas.openxmlformats.org/drawingml/2006/main">
                  <a:graphicData uri="http://schemas.microsoft.com/office/word/2010/wordprocessingShape">
                    <wps:wsp>
                      <wps:cNvSpPr/>
                      <wps:spPr>
                        <a:xfrm>
                          <a:off x="0" y="0"/>
                          <a:ext cx="357506" cy="355600"/>
                        </a:xfrm>
                        <a:custGeom>
                          <a:avLst/>
                          <a:gdLst/>
                          <a:ahLst/>
                          <a:cxnLst>
                            <a:cxn ang="0">
                              <a:pos x="wd2" y="hd2"/>
                            </a:cxn>
                            <a:cxn ang="5400000">
                              <a:pos x="wd2" y="hd2"/>
                            </a:cxn>
                            <a:cxn ang="10800000">
                              <a:pos x="wd2" y="hd2"/>
                            </a:cxn>
                            <a:cxn ang="16200000">
                              <a:pos x="wd2" y="hd2"/>
                            </a:cxn>
                          </a:cxnLst>
                          <a:rect l="0" t="0" r="r" b="b"/>
                          <a:pathLst>
                            <a:path w="21600" h="21600" extrusionOk="0">
                              <a:moveTo>
                                <a:pt x="0" y="14659"/>
                              </a:moveTo>
                              <a:lnTo>
                                <a:pt x="5400" y="14659"/>
                              </a:lnTo>
                              <a:lnTo>
                                <a:pt x="5400" y="0"/>
                              </a:lnTo>
                              <a:lnTo>
                                <a:pt x="16200" y="0"/>
                              </a:lnTo>
                              <a:lnTo>
                                <a:pt x="16200" y="14659"/>
                              </a:lnTo>
                              <a:lnTo>
                                <a:pt x="21600" y="14659"/>
                              </a:lnTo>
                              <a:lnTo>
                                <a:pt x="10800" y="21600"/>
                              </a:lnTo>
                              <a:close/>
                            </a:path>
                          </a:pathLst>
                        </a:custGeom>
                        <a:solidFill>
                          <a:srgbClr val="4472C4"/>
                        </a:solidFill>
                        <a:ln w="12700" cap="flat">
                          <a:solidFill>
                            <a:srgbClr val="32538F"/>
                          </a:solidFill>
                          <a:prstDash val="solid"/>
                          <a:miter lim="800000"/>
                        </a:ln>
                        <a:effectLst/>
                      </wps:spPr>
                      <wps:bodyPr/>
                    </wps:wsp>
                  </a:graphicData>
                </a:graphic>
                <wp14:sizeRelV relativeFrom="margin">
                  <wp14:pctHeight>0</wp14:pctHeight>
                </wp14:sizeRelV>
              </wp:anchor>
            </w:drawing>
          </mc:Choice>
          <mc:Fallback>
            <w:pict>
              <v:shape w14:anchorId="72330BC0" id="officeArt object" o:spid="_x0000_s1026" alt="Down Arrow 2170" style="position:absolute;margin-left:168.7pt;margin-top:2.1pt;width:28.15pt;height:28pt;z-index:251701248;visibility:visible;mso-wrap-style:square;mso-height-percent:0;mso-wrap-distance-left:0;mso-wrap-distance-top:0;mso-wrap-distance-right:0;mso-wrap-distance-bottom:0;mso-position-horizontal:absolute;mso-position-horizontal-relative:text;mso-position-vertical:absolute;mso-position-vertical-relative:line;mso-height-percent:0;mso-height-relative:margin;v-text-anchor:top" coordsize="21600,216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" path="m,14659r5400,l5400,,16200,r,14659l21600,14659,10800,21600,,14659xe" fillcolor="#4472c4" strokecolor="#32538f" strokeweight="1pt">
                <v:stroke joinstyle="miter"/>
                <v:path arrowok="t" o:extrusionok="f" o:connecttype="custom" o:connectlocs="178753,177800;178753,177800;178753,177800;178753,177800" o:connectangles="0,90,180,270"/>
                <w10:wrap anchory="line"/>
              </v:shape>
            </w:pict>
          </mc:Fallback>
        </mc:AlternateContent>
      </w:r>
    </w:p>
    <w:p w14:paraId="685ECE3E" w14:textId="0C4B9919" w:rsidR="00AF0E0B" w:rsidRPr="00AF0E0B" w:rsidRDefault="00AF0E0B" w:rsidP="00717274">
      <w:pPr>
        <w:pBdr>
          <w:top w:val="single" w:sz="4" w:space="22" w:color="000000"/>
          <w:left w:val="single" w:sz="4" w:space="0" w:color="000000"/>
          <w:bottom w:val="single" w:sz="4" w:space="0" w:color="000000"/>
          <w:right w:val="single" w:sz="4" w:space="0" w:color="000000"/>
          <w:between w:val="nil"/>
          <w:bar w:val="nil"/>
        </w:pBdr>
        <w:tabs>
          <w:tab w:val="left" w:pos="6982"/>
        </w:tabs>
        <w:spacing w:line="360" w:lineRule="auto"/>
        <w:rPr>
          <w:rFonts w:eastAsia="Arial" w:cs="Arial"/>
          <w:i/>
          <w:iCs/>
          <w:color w:val="000000"/>
          <w:sz w:val="22"/>
          <w:szCs w:val="22"/>
          <w:u w:color="000000"/>
          <w:bdr w:val="nil"/>
          <w:lang w:eastAsia="en-GB"/>
        </w:rPr>
      </w:pPr>
      <w:r w:rsidRPr="00AF0E0B">
        <w:rPr>
          <w:rFonts w:eastAsia="Arial" w:cs="Arial"/>
          <w:i/>
          <w:iCs/>
          <w:color w:val="000000"/>
          <w:sz w:val="22"/>
          <w:szCs w:val="22"/>
          <w:u w:color="000000"/>
          <w:bdr w:val="nil"/>
          <w:lang w:eastAsia="en-GB"/>
        </w:rPr>
        <w:tab/>
      </w:r>
    </w:p>
    <w:p w14:paraId="181B1E42" w14:textId="63DBE7E5" w:rsidR="00AF0E0B" w:rsidRPr="00AF0E0B" w:rsidRDefault="00717274" w:rsidP="00717274">
      <w:pPr>
        <w:pBdr>
          <w:top w:val="single" w:sz="4" w:space="22" w:color="000000"/>
          <w:left w:val="single" w:sz="4" w:space="0" w:color="000000"/>
          <w:bottom w:val="single" w:sz="4" w:space="0" w:color="000000"/>
          <w:right w:val="single" w:sz="4" w:space="0" w:color="000000"/>
          <w:between w:val="nil"/>
          <w:bar w:val="nil"/>
        </w:pBdr>
        <w:tabs>
          <w:tab w:val="left" w:pos="6982"/>
        </w:tabs>
        <w:spacing w:line="360" w:lineRule="auto"/>
        <w:rPr>
          <w:rFonts w:eastAsia="Arial" w:cs="Arial"/>
          <w:i/>
          <w:iCs/>
          <w:color w:val="000000"/>
          <w:sz w:val="22"/>
          <w:szCs w:val="22"/>
          <w:u w:color="000000"/>
          <w:bdr w:val="nil"/>
          <w:lang w:eastAsia="en-GB"/>
        </w:rPr>
      </w:pPr>
      <w:r w:rsidRPr="00AF0E0B">
        <w:rPr>
          <w:rFonts w:eastAsia="Arial" w:cs="Arial"/>
          <w:i/>
          <w:iCs/>
          <w:noProof/>
          <w:color w:val="000000"/>
          <w:sz w:val="22"/>
          <w:szCs w:val="22"/>
          <w:u w:color="000000"/>
          <w:bdr w:val="nil"/>
          <w:lang w:eastAsia="en-GB"/>
        </w:rPr>
        <mc:AlternateContent>
          <mc:Choice Requires="wps">
            <w:drawing>
              <wp:anchor distT="0" distB="0" distL="0" distR="0" simplePos="0" relativeHeight="251705344" behindDoc="0" locked="0" layoutInCell="1" allowOverlap="1" wp14:anchorId="2467AA18" wp14:editId="587700A9">
                <wp:simplePos x="0" y="0"/>
                <wp:positionH relativeFrom="column">
                  <wp:posOffset>3924300</wp:posOffset>
                </wp:positionH>
                <wp:positionV relativeFrom="line">
                  <wp:posOffset>59690</wp:posOffset>
                </wp:positionV>
                <wp:extent cx="1095375" cy="488950"/>
                <wp:effectExtent l="0" t="0" r="0" b="0"/>
                <wp:wrapNone/>
                <wp:docPr id="1073741861" name="officeArt object" descr="Rectangle 2174"/>
                <wp:cNvGraphicFramePr/>
                <a:graphic xmlns:a="http://schemas.openxmlformats.org/drawingml/2006/main">
                  <a:graphicData uri="http://schemas.microsoft.com/office/word/2010/wordprocessingShape">
                    <wps:wsp>
                      <wps:cNvSpPr/>
                      <wps:spPr>
                        <a:xfrm>
                          <a:off x="0" y="0"/>
                          <a:ext cx="1095375" cy="488950"/>
                        </a:xfrm>
                        <a:prstGeom prst="rect">
                          <a:avLst/>
                        </a:prstGeom>
                        <a:solidFill>
                          <a:srgbClr val="4472C4"/>
                        </a:solidFill>
                        <a:ln w="12700" cap="flat">
                          <a:solidFill>
                            <a:srgbClr val="32538F"/>
                          </a:solidFill>
                          <a:prstDash val="solid"/>
                          <a:miter lim="800000"/>
                        </a:ln>
                        <a:effectLst/>
                      </wps:spPr>
                      <wps:txbx>
                        <w:txbxContent>
                          <w:p w14:paraId="6AA84E7E" w14:textId="77777777" w:rsidR="00D17A43" w:rsidRPr="00AF0E0B" w:rsidRDefault="00D17A43" w:rsidP="00AF0E0B">
                            <w:pPr>
                              <w:pStyle w:val="Body"/>
                              <w:jc w:val="center"/>
                              <w:rPr>
                                <w:color w:val="FFFFFF"/>
                              </w:rPr>
                            </w:pPr>
                            <w:r w:rsidRPr="00AF0E0B">
                              <w:rPr>
                                <w:rFonts w:ascii="Arial" w:hAnsi="Arial"/>
                                <w:color w:val="FFFFFF"/>
                              </w:rPr>
                              <w:t>HV=19</w:t>
                            </w:r>
                          </w:p>
                        </w:txbxContent>
                      </wps:txbx>
                      <wps:bodyPr wrap="square" lIns="45719" tIns="45719" rIns="45719" bIns="45719" numCol="1" anchor="ctr">
                        <a:noAutofit/>
                      </wps:bodyPr>
                    </wps:wsp>
                  </a:graphicData>
                </a:graphic>
              </wp:anchor>
            </w:drawing>
          </mc:Choice>
          <mc:Fallback>
            <w:pict>
              <v:rect w14:anchorId="2467AA18" id="_x0000_s1047" alt="Rectangle 2174" style="position:absolute;margin-left:309pt;margin-top:4.7pt;width:86.25pt;height:38.5pt;z-index:251705344;visibility:visible;mso-wrap-style:square;mso-wrap-distance-left:0;mso-wrap-distance-top:0;mso-wrap-distance-right:0;mso-wrap-distance-bottom:0;mso-position-horizontal:absolute;mso-position-horizontal-relative:text;mso-position-vertical:absolute;mso-position-vertical-relative:lin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" fillcolor="#4472c4" strokecolor="#32538f" strokeweight="1pt">
                <v:textbox inset="1.27mm,1.27mm,1.27mm,1.27mm">
                  <w:txbxContent>
                    <w:p w14:paraId="6AA84E7E" w14:textId="77777777" w:rsidR="00D17A43" w:rsidRPr="00AF0E0B" w:rsidRDefault="00D17A43" w:rsidP="00AF0E0B">
                      <w:pPr>
                        <w:pStyle w:val="Body"/>
                        <w:jc w:val="center"/>
                        <w:rPr>
                          <w:color w:val="FFFFFF"/>
                        </w:rPr>
                      </w:pPr>
                      <w:r w:rsidRPr="00AF0E0B">
                        <w:rPr>
                          <w:rFonts w:ascii="Arial" w:hAnsi="Arial"/>
                          <w:color w:val="FFFFFF"/>
                        </w:rPr>
                        <w:t>HV=19</w:t>
                      </w:r>
                    </w:p>
                  </w:txbxContent>
                </v:textbox>
                <w10:wrap anchory="line"/>
              </v:rect>
            </w:pict>
          </mc:Fallback>
        </mc:AlternateContent>
      </w:r>
      <w:r w:rsidRPr="00AF0E0B">
        <w:rPr>
          <w:rFonts w:eastAsia="Arial" w:cs="Arial"/>
          <w:i/>
          <w:iCs/>
          <w:noProof/>
          <w:color w:val="000000"/>
          <w:sz w:val="22"/>
          <w:szCs w:val="22"/>
          <w:u w:color="000000"/>
          <w:bdr w:val="nil"/>
          <w:lang w:eastAsia="en-GB"/>
        </w:rPr>
        <mc:AlternateContent>
          <mc:Choice Requires="wps">
            <w:drawing>
              <wp:anchor distT="0" distB="0" distL="0" distR="0" simplePos="0" relativeHeight="251704320" behindDoc="0" locked="0" layoutInCell="1" allowOverlap="1" wp14:anchorId="75FD4A85" wp14:editId="1231179F">
                <wp:simplePos x="0" y="0"/>
                <wp:positionH relativeFrom="column">
                  <wp:posOffset>2815590</wp:posOffset>
                </wp:positionH>
                <wp:positionV relativeFrom="line">
                  <wp:posOffset>67945</wp:posOffset>
                </wp:positionV>
                <wp:extent cx="1030605" cy="485775"/>
                <wp:effectExtent l="0" t="0" r="0" b="0"/>
                <wp:wrapNone/>
                <wp:docPr id="1073741863" name="officeArt object" descr="Rectangle 2173"/>
                <wp:cNvGraphicFramePr/>
                <a:graphic xmlns:a="http://schemas.openxmlformats.org/drawingml/2006/main">
                  <a:graphicData uri="http://schemas.microsoft.com/office/word/2010/wordprocessingShape">
                    <wps:wsp>
                      <wps:cNvSpPr/>
                      <wps:spPr>
                        <a:xfrm>
                          <a:off x="0" y="0"/>
                          <a:ext cx="1030605" cy="485775"/>
                        </a:xfrm>
                        <a:prstGeom prst="rect">
                          <a:avLst/>
                        </a:prstGeom>
                        <a:solidFill>
                          <a:srgbClr val="4472C4"/>
                        </a:solidFill>
                        <a:ln w="12700" cap="flat">
                          <a:solidFill>
                            <a:srgbClr val="32538F"/>
                          </a:solidFill>
                          <a:prstDash val="solid"/>
                          <a:miter lim="800000"/>
                        </a:ln>
                        <a:effectLst/>
                      </wps:spPr>
                      <wps:txbx>
                        <w:txbxContent>
                          <w:p w14:paraId="6047A1C1" w14:textId="77777777" w:rsidR="00D17A43" w:rsidRPr="00AF0E0B" w:rsidRDefault="00D17A43" w:rsidP="00AF0E0B">
                            <w:pPr>
                              <w:pStyle w:val="Body"/>
                              <w:jc w:val="center"/>
                              <w:rPr>
                                <w:color w:val="FFFFFF"/>
                              </w:rPr>
                            </w:pPr>
                            <w:r w:rsidRPr="00AF0E0B">
                              <w:rPr>
                                <w:rFonts w:ascii="Arial" w:hAnsi="Arial"/>
                                <w:color w:val="FFFFFF"/>
                              </w:rPr>
                              <w:t>DM-NN=13</w:t>
                            </w:r>
                          </w:p>
                        </w:txbxContent>
                      </wps:txbx>
                      <wps:bodyPr wrap="square" lIns="45719" tIns="45719" rIns="45719" bIns="45719" numCol="1" anchor="ctr">
                        <a:noAutofit/>
                      </wps:bodyPr>
                    </wps:wsp>
                  </a:graphicData>
                </a:graphic>
              </wp:anchor>
            </w:drawing>
          </mc:Choice>
          <mc:Fallback>
            <w:pict>
              <v:rect w14:anchorId="75FD4A85" id="_x0000_s1048" alt="Rectangle 2173" style="position:absolute;margin-left:221.7pt;margin-top:5.35pt;width:81.15pt;height:38.25pt;z-index:251704320;visibility:visible;mso-wrap-style:square;mso-wrap-distance-left:0;mso-wrap-distance-top:0;mso-wrap-distance-right:0;mso-wrap-distance-bottom:0;mso-position-horizontal:absolute;mso-position-horizontal-relative:text;mso-position-vertical:absolute;mso-position-vertical-relative:lin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" fillcolor="#4472c4" strokecolor="#32538f" strokeweight="1pt">
                <v:textbox inset="1.27mm,1.27mm,1.27mm,1.27mm">
                  <w:txbxContent>
                    <w:p w14:paraId="6047A1C1" w14:textId="77777777" w:rsidR="00D17A43" w:rsidRPr="00AF0E0B" w:rsidRDefault="00D17A43" w:rsidP="00AF0E0B">
                      <w:pPr>
                        <w:pStyle w:val="Body"/>
                        <w:jc w:val="center"/>
                        <w:rPr>
                          <w:color w:val="FFFFFF"/>
                        </w:rPr>
                      </w:pPr>
                      <w:r w:rsidRPr="00AF0E0B">
                        <w:rPr>
                          <w:rFonts w:ascii="Arial" w:hAnsi="Arial"/>
                          <w:color w:val="FFFFFF"/>
                        </w:rPr>
                        <w:t>DM-NN=13</w:t>
                      </w:r>
                    </w:p>
                  </w:txbxContent>
                </v:textbox>
                <w10:wrap anchory="line"/>
              </v:rect>
            </w:pict>
          </mc:Fallback>
        </mc:AlternateContent>
      </w:r>
      <w:r w:rsidRPr="00AF0E0B">
        <w:rPr>
          <w:rFonts w:eastAsia="Arial" w:cs="Arial"/>
          <w:i/>
          <w:iCs/>
          <w:noProof/>
          <w:color w:val="000000"/>
          <w:sz w:val="22"/>
          <w:szCs w:val="22"/>
          <w:u w:color="000000"/>
          <w:bdr w:val="nil"/>
          <w:lang w:eastAsia="en-GB"/>
        </w:rPr>
        <mc:AlternateContent>
          <mc:Choice Requires="wps">
            <w:drawing>
              <wp:anchor distT="0" distB="0" distL="0" distR="0" simplePos="0" relativeHeight="251703296" behindDoc="0" locked="0" layoutInCell="1" allowOverlap="1" wp14:anchorId="30544DDD" wp14:editId="06F15D27">
                <wp:simplePos x="0" y="0"/>
                <wp:positionH relativeFrom="column">
                  <wp:posOffset>1725930</wp:posOffset>
                </wp:positionH>
                <wp:positionV relativeFrom="line">
                  <wp:posOffset>62230</wp:posOffset>
                </wp:positionV>
                <wp:extent cx="1035050" cy="488950"/>
                <wp:effectExtent l="0" t="0" r="0" b="0"/>
                <wp:wrapNone/>
                <wp:docPr id="1073741864" name="officeArt object" descr="Rectangle 2172"/>
                <wp:cNvGraphicFramePr/>
                <a:graphic xmlns:a="http://schemas.openxmlformats.org/drawingml/2006/main">
                  <a:graphicData uri="http://schemas.microsoft.com/office/word/2010/wordprocessingShape">
                    <wps:wsp>
                      <wps:cNvSpPr/>
                      <wps:spPr>
                        <a:xfrm>
                          <a:off x="0" y="0"/>
                          <a:ext cx="1035050" cy="488950"/>
                        </a:xfrm>
                        <a:prstGeom prst="rect">
                          <a:avLst/>
                        </a:prstGeom>
                        <a:solidFill>
                          <a:srgbClr val="4472C4"/>
                        </a:solidFill>
                        <a:ln w="12700" cap="flat">
                          <a:solidFill>
                            <a:srgbClr val="32538F"/>
                          </a:solidFill>
                          <a:prstDash val="solid"/>
                          <a:miter lim="800000"/>
                        </a:ln>
                        <a:effectLst/>
                      </wps:spPr>
                      <wps:txbx>
                        <w:txbxContent>
                          <w:p w14:paraId="371547C0" w14:textId="77777777" w:rsidR="00D17A43" w:rsidRPr="00AF0E0B" w:rsidRDefault="00D17A43" w:rsidP="00AF0E0B">
                            <w:pPr>
                              <w:pStyle w:val="Body"/>
                              <w:jc w:val="center"/>
                              <w:rPr>
                                <w:color w:val="FFFFFF"/>
                              </w:rPr>
                            </w:pPr>
                            <w:r w:rsidRPr="00AF0E0B">
                              <w:rPr>
                                <w:rFonts w:ascii="Arial" w:hAnsi="Arial"/>
                                <w:color w:val="FFFFFF"/>
                              </w:rPr>
                              <w:t>DPN=23</w:t>
                            </w:r>
                          </w:p>
                        </w:txbxContent>
                      </wps:txbx>
                      <wps:bodyPr wrap="square" lIns="45719" tIns="45719" rIns="45719" bIns="45719" numCol="1" anchor="ctr">
                        <a:noAutofit/>
                      </wps:bodyPr>
                    </wps:wsp>
                  </a:graphicData>
                </a:graphic>
              </wp:anchor>
            </w:drawing>
          </mc:Choice>
          <mc:Fallback>
            <w:pict>
              <v:rect w14:anchorId="30544DDD" id="_x0000_s1049" alt="Rectangle 2172" style="position:absolute;margin-left:135.9pt;margin-top:4.9pt;width:81.5pt;height:38.5pt;z-index:251703296;visibility:visible;mso-wrap-style:square;mso-wrap-distance-left:0;mso-wrap-distance-top:0;mso-wrap-distance-right:0;mso-wrap-distance-bottom:0;mso-position-horizontal:absolute;mso-position-horizontal-relative:text;mso-position-vertical:absolute;mso-position-vertical-relative:lin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" fillcolor="#4472c4" strokecolor="#32538f" strokeweight="1pt">
                <v:textbox inset="1.27mm,1.27mm,1.27mm,1.27mm">
                  <w:txbxContent>
                    <w:p w14:paraId="371547C0" w14:textId="77777777" w:rsidR="00D17A43" w:rsidRPr="00AF0E0B" w:rsidRDefault="00D17A43" w:rsidP="00AF0E0B">
                      <w:pPr>
                        <w:pStyle w:val="Body"/>
                        <w:jc w:val="center"/>
                        <w:rPr>
                          <w:color w:val="FFFFFF"/>
                        </w:rPr>
                      </w:pPr>
                      <w:r w:rsidRPr="00AF0E0B">
                        <w:rPr>
                          <w:rFonts w:ascii="Arial" w:hAnsi="Arial"/>
                          <w:color w:val="FFFFFF"/>
                        </w:rPr>
                        <w:t>DPN=23</w:t>
                      </w:r>
                    </w:p>
                  </w:txbxContent>
                </v:textbox>
                <w10:wrap anchory="line"/>
              </v:rect>
            </w:pict>
          </mc:Fallback>
        </mc:AlternateContent>
      </w:r>
      <w:r w:rsidRPr="00AF0E0B">
        <w:rPr>
          <w:rFonts w:eastAsia="Arial" w:cs="Arial"/>
          <w:i/>
          <w:iCs/>
          <w:noProof/>
          <w:color w:val="000000"/>
          <w:sz w:val="22"/>
          <w:szCs w:val="22"/>
          <w:u w:color="000000"/>
          <w:bdr w:val="nil"/>
          <w:lang w:eastAsia="en-GB"/>
        </w:rPr>
        <mc:AlternateContent>
          <mc:Choice Requires="wps">
            <w:drawing>
              <wp:anchor distT="0" distB="0" distL="0" distR="0" simplePos="0" relativeHeight="251702272" behindDoc="0" locked="0" layoutInCell="1" allowOverlap="1" wp14:anchorId="5164AC5C" wp14:editId="079908A5">
                <wp:simplePos x="0" y="0"/>
                <wp:positionH relativeFrom="column">
                  <wp:posOffset>484505</wp:posOffset>
                </wp:positionH>
                <wp:positionV relativeFrom="line">
                  <wp:posOffset>61595</wp:posOffset>
                </wp:positionV>
                <wp:extent cx="1159510" cy="488950"/>
                <wp:effectExtent l="0" t="0" r="0" b="0"/>
                <wp:wrapNone/>
                <wp:docPr id="1073741862" name="officeArt object" descr="Rectangle 2171"/>
                <wp:cNvGraphicFramePr/>
                <a:graphic xmlns:a="http://schemas.openxmlformats.org/drawingml/2006/main">
                  <a:graphicData uri="http://schemas.microsoft.com/office/word/2010/wordprocessingShape">
                    <wps:wsp>
                      <wps:cNvSpPr/>
                      <wps:spPr>
                        <a:xfrm>
                          <a:off x="0" y="0"/>
                          <a:ext cx="1159510" cy="488950"/>
                        </a:xfrm>
                        <a:prstGeom prst="rect">
                          <a:avLst/>
                        </a:prstGeom>
                        <a:solidFill>
                          <a:srgbClr val="4472C4"/>
                        </a:solidFill>
                        <a:ln w="12700" cap="flat">
                          <a:solidFill>
                            <a:srgbClr val="32538F"/>
                          </a:solidFill>
                          <a:prstDash val="solid"/>
                          <a:miter lim="800000"/>
                        </a:ln>
                        <a:effectLst/>
                      </wps:spPr>
                      <wps:txbx>
                        <w:txbxContent>
                          <w:p w14:paraId="55D82671" w14:textId="77777777" w:rsidR="00D17A43" w:rsidRPr="00AF0E0B" w:rsidRDefault="00D17A43" w:rsidP="00AF0E0B">
                            <w:pPr>
                              <w:pStyle w:val="Body"/>
                              <w:jc w:val="center"/>
                              <w:rPr>
                                <w:color w:val="FFFFFF"/>
                              </w:rPr>
                            </w:pPr>
                            <w:r w:rsidRPr="00AF0E0B">
                              <w:rPr>
                                <w:rFonts w:ascii="Arial" w:hAnsi="Arial"/>
                                <w:color w:val="FFFFFF"/>
                              </w:rPr>
                              <w:t>P-DPN =19</w:t>
                            </w:r>
                          </w:p>
                        </w:txbxContent>
                      </wps:txbx>
                      <wps:bodyPr wrap="square" lIns="45719" tIns="45719" rIns="45719" bIns="45719" numCol="1" anchor="ctr">
                        <a:noAutofit/>
                      </wps:bodyPr>
                    </wps:wsp>
                  </a:graphicData>
                </a:graphic>
              </wp:anchor>
            </w:drawing>
          </mc:Choice>
          <mc:Fallback>
            <w:pict>
              <v:rect w14:anchorId="5164AC5C" id="_x0000_s1050" alt="Rectangle 2171" style="position:absolute;margin-left:38.15pt;margin-top:4.85pt;width:91.3pt;height:38.5pt;z-index:251702272;visibility:visible;mso-wrap-style:square;mso-wrap-distance-left:0;mso-wrap-distance-top:0;mso-wrap-distance-right:0;mso-wrap-distance-bottom:0;mso-position-horizontal:absolute;mso-position-horizontal-relative:text;mso-position-vertical:absolute;mso-position-vertical-relative:lin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" fillcolor="#4472c4" strokecolor="#32538f" strokeweight="1pt">
                <v:textbox inset="1.27mm,1.27mm,1.27mm,1.27mm">
                  <w:txbxContent>
                    <w:p w14:paraId="55D82671" w14:textId="77777777" w:rsidR="00D17A43" w:rsidRPr="00AF0E0B" w:rsidRDefault="00D17A43" w:rsidP="00AF0E0B">
                      <w:pPr>
                        <w:pStyle w:val="Body"/>
                        <w:jc w:val="center"/>
                        <w:rPr>
                          <w:color w:val="FFFFFF"/>
                        </w:rPr>
                      </w:pPr>
                      <w:r w:rsidRPr="00AF0E0B">
                        <w:rPr>
                          <w:rFonts w:ascii="Arial" w:hAnsi="Arial"/>
                          <w:color w:val="FFFFFF"/>
                        </w:rPr>
                        <w:t>P-DPN =19</w:t>
                      </w:r>
                    </w:p>
                  </w:txbxContent>
                </v:textbox>
                <w10:wrap anchory="line"/>
              </v:rect>
            </w:pict>
          </mc:Fallback>
        </mc:AlternateContent>
      </w:r>
    </w:p>
    <w:p w14:paraId="63647582" w14:textId="137E003D" w:rsidR="00AF0E0B" w:rsidRPr="00AF0E0B" w:rsidRDefault="00AF0E0B" w:rsidP="00717274">
      <w:pPr>
        <w:pBdr>
          <w:top w:val="single" w:sz="4" w:space="22" w:color="000000"/>
          <w:left w:val="single" w:sz="4" w:space="0" w:color="000000"/>
          <w:bottom w:val="single" w:sz="4" w:space="0" w:color="000000"/>
          <w:right w:val="single" w:sz="4" w:space="0" w:color="000000"/>
          <w:between w:val="nil"/>
          <w:bar w:val="nil"/>
        </w:pBdr>
        <w:tabs>
          <w:tab w:val="left" w:pos="6982"/>
        </w:tabs>
        <w:spacing w:line="360" w:lineRule="auto"/>
        <w:rPr>
          <w:rFonts w:eastAsia="Arial" w:cs="Arial"/>
          <w:i/>
          <w:iCs/>
          <w:color w:val="000000"/>
          <w:sz w:val="22"/>
          <w:szCs w:val="22"/>
          <w:u w:color="000000"/>
          <w:bdr w:val="nil"/>
          <w:lang w:eastAsia="en-GB"/>
        </w:rPr>
      </w:pPr>
    </w:p>
    <w:p w14:paraId="1FFCEA86" w14:textId="70B8BD96" w:rsidR="00AF0E0B" w:rsidRPr="00AF0E0B" w:rsidRDefault="00AF0E0B" w:rsidP="00717274">
      <w:pPr>
        <w:pBdr>
          <w:top w:val="single" w:sz="4" w:space="22" w:color="000000"/>
          <w:left w:val="single" w:sz="4" w:space="0" w:color="000000"/>
          <w:bottom w:val="single" w:sz="4" w:space="0" w:color="000000"/>
          <w:right w:val="single" w:sz="4" w:space="0" w:color="000000"/>
          <w:between w:val="nil"/>
          <w:bar w:val="nil"/>
        </w:pBdr>
        <w:tabs>
          <w:tab w:val="left" w:pos="6982"/>
        </w:tabs>
        <w:spacing w:line="360" w:lineRule="auto"/>
        <w:rPr>
          <w:rFonts w:eastAsia="Arial" w:cs="Arial"/>
          <w:i/>
          <w:iCs/>
          <w:color w:val="000000"/>
          <w:sz w:val="22"/>
          <w:szCs w:val="22"/>
          <w:u w:color="000000"/>
          <w:bdr w:val="nil"/>
          <w:lang w:eastAsia="en-GB"/>
        </w:rPr>
      </w:pPr>
    </w:p>
    <w:p w14:paraId="44BDD88B" w14:textId="4435EB12" w:rsidR="00AF0E0B" w:rsidRPr="00AF0E0B" w:rsidRDefault="00AF0E0B" w:rsidP="00717274">
      <w:pPr>
        <w:pBdr>
          <w:top w:val="single" w:sz="4" w:space="22" w:color="000000"/>
          <w:left w:val="single" w:sz="4" w:space="0" w:color="000000"/>
          <w:bottom w:val="single" w:sz="4" w:space="0" w:color="000000"/>
          <w:right w:val="single" w:sz="4" w:space="0" w:color="000000"/>
          <w:between w:val="nil"/>
          <w:bar w:val="nil"/>
        </w:pBdr>
        <w:tabs>
          <w:tab w:val="left" w:pos="6982"/>
        </w:tabs>
        <w:spacing w:line="360" w:lineRule="auto"/>
        <w:rPr>
          <w:rFonts w:eastAsia="Arial" w:cs="Arial"/>
          <w:i/>
          <w:iCs/>
          <w:color w:val="000000"/>
          <w:sz w:val="22"/>
          <w:szCs w:val="22"/>
          <w:u w:color="000000"/>
          <w:bdr w:val="nil"/>
          <w:lang w:eastAsia="en-GB"/>
        </w:rPr>
      </w:pPr>
    </w:p>
    <w:p w14:paraId="6C05954F" w14:textId="62B6E2F3" w:rsidR="00AF0E0B" w:rsidRPr="00717274" w:rsidRDefault="00AF0E0B" w:rsidP="00717274">
      <w:pPr>
        <w:pBdr>
          <w:top w:val="single" w:sz="4" w:space="22" w:color="000000"/>
          <w:left w:val="single" w:sz="4" w:space="0" w:color="000000"/>
          <w:bottom w:val="single" w:sz="4" w:space="0" w:color="000000"/>
          <w:right w:val="single" w:sz="4" w:space="0" w:color="000000"/>
          <w:between w:val="nil"/>
          <w:bar w:val="nil"/>
        </w:pBdr>
        <w:tabs>
          <w:tab w:val="left" w:pos="6982"/>
        </w:tabs>
        <w:spacing w:line="360" w:lineRule="auto"/>
        <w:rPr>
          <w:rStyle w:val="SubtleEmphasis"/>
          <w:rFonts w:ascii="Arial" w:eastAsia="Arial" w:hAnsi="Arial" w:cs="Arial"/>
          <w:color w:val="000000"/>
          <w:sz w:val="22"/>
          <w:szCs w:val="22"/>
          <w:u w:color="000000"/>
          <w:bdr w:val="nil"/>
          <w:lang w:eastAsia="en-GB"/>
        </w:rPr>
      </w:pPr>
      <w:r w:rsidRPr="008E7150">
        <w:rPr>
          <w:rStyle w:val="SubtleEmphasis"/>
        </w:rPr>
        <w:t>P-DPN=Painful Diabetic Peripheral Neuropathy, DPN= Painless Diabetic Peripheral Neuropathy, DM-NN=T1D and no signs or symptoms of neuropathy, HV= Healthy Volunteers</w:t>
      </w:r>
    </w:p>
    <w:p w14:paraId="2D3DF834" w14:textId="77777777" w:rsidR="00AF0E0B" w:rsidRPr="00AF0E0B" w:rsidRDefault="00AF0E0B" w:rsidP="00AF0E0B">
      <w:pPr>
        <w:pBdr>
          <w:top w:val="nil"/>
          <w:left w:val="nil"/>
          <w:bottom w:val="nil"/>
          <w:right w:val="nil"/>
          <w:between w:val="nil"/>
          <w:bar w:val="nil"/>
        </w:pBdr>
        <w:spacing w:line="360" w:lineRule="auto"/>
        <w:rPr>
          <w:rFonts w:eastAsia="Arial" w:cs="Arial"/>
          <w:color w:val="808080"/>
          <w:sz w:val="21"/>
          <w:szCs w:val="21"/>
          <w:u w:color="808080"/>
          <w:bdr w:val="nil"/>
          <w:lang w:eastAsia="en-GB"/>
        </w:rPr>
      </w:pPr>
    </w:p>
    <w:p w14:paraId="3D67AA26" w14:textId="0EC5F4C8" w:rsidR="00AF0E0B" w:rsidRPr="00AF0E0B" w:rsidRDefault="00AF0E0B" w:rsidP="0031237D">
      <w:pPr>
        <w:pStyle w:val="Heading3"/>
      </w:pPr>
      <w:bookmarkStart w:id="155" w:name="_headingh.sqyw64"/>
      <w:bookmarkStart w:id="156" w:name="_Toc49973110"/>
      <w:bookmarkStart w:id="157" w:name="_Toc49973456"/>
      <w:bookmarkStart w:id="158" w:name="_Toc64723910"/>
      <w:bookmarkEnd w:id="155"/>
      <w:r w:rsidRPr="00AF0E0B">
        <w:lastRenderedPageBreak/>
        <w:t>Demographic Details</w:t>
      </w:r>
      <w:bookmarkEnd w:id="156"/>
      <w:bookmarkEnd w:id="157"/>
      <w:bookmarkEnd w:id="158"/>
    </w:p>
    <w:p w14:paraId="44EC35D0" w14:textId="333FFCD0" w:rsidR="00AF0E0B" w:rsidRPr="00AF0E0B" w:rsidRDefault="00AF0E0B" w:rsidP="00AF0E0B">
      <w:pPr>
        <w:pBdr>
          <w:top w:val="nil"/>
          <w:left w:val="nil"/>
          <w:bottom w:val="nil"/>
          <w:right w:val="nil"/>
          <w:between w:val="nil"/>
          <w:bar w:val="nil"/>
        </w:pBdr>
        <w:spacing w:line="360" w:lineRule="auto"/>
        <w:rPr>
          <w:rFonts w:eastAsia="Arial Unicode MS" w:cs="Arial Unicode MS"/>
          <w:color w:val="000000"/>
          <w:u w:color="000000"/>
          <w:bdr w:val="nil"/>
          <w:lang w:eastAsia="en-GB"/>
        </w:rPr>
      </w:pPr>
      <w:r w:rsidRPr="00AF0E0B">
        <w:rPr>
          <w:rFonts w:eastAsia="Arial Unicode MS" w:cs="Arial Unicode MS"/>
          <w:color w:val="000000"/>
          <w:u w:color="000000"/>
          <w:bdr w:val="nil"/>
          <w:lang w:val="en-US" w:eastAsia="en-GB"/>
        </w:rPr>
        <w:t xml:space="preserve">Demographic details are provided in table 2.2.  Although there were less females than males in the P-DPN and the DPN groups, there were 3 men and 10 women in the DM-NN group (Table 2.2).  Despite this difference Chi square comparison was not significant for gender, Pearson’s Chi square (p= .146).  The mean age of the DPN group was significantly older than that of the P-DPN group (p=.014).  Duration of diabetes was highest in the DPN group and significantly different from the P-DPN group, (p=.035).  Hba1c was significantly different between P-DPN and DM-NN (p=.005). </w:t>
      </w:r>
      <w:r w:rsidRPr="00AF0E0B">
        <w:rPr>
          <w:rFonts w:eastAsia="Arial Unicode MS" w:cs="Arial Unicode MS"/>
          <w:color w:val="000000"/>
          <w:u w:color="000000"/>
          <w:bdr w:val="nil"/>
          <w:lang w:val="en-US" w:eastAsia="en-GB"/>
        </w:rPr>
        <w:br/>
      </w:r>
      <w:r w:rsidR="00233478">
        <w:rPr>
          <w:rFonts w:eastAsia="Arial Unicode MS" w:cs="Arial Unicode MS"/>
          <w:color w:val="000000"/>
          <w:u w:color="000000"/>
          <w:bdr w:val="nil"/>
          <w:lang w:val="en-US" w:eastAsia="en-GB"/>
        </w:rPr>
        <w:t>EGFR</w:t>
      </w:r>
      <w:r w:rsidRPr="00AF0E0B">
        <w:rPr>
          <w:rFonts w:eastAsia="Arial Unicode MS" w:cs="Arial Unicode MS"/>
          <w:color w:val="000000"/>
          <w:u w:color="000000"/>
          <w:bdr w:val="nil"/>
          <w:lang w:val="en-US" w:eastAsia="en-GB"/>
        </w:rPr>
        <w:t xml:space="preserve"> (estimated glomerular filtration rate) was not significantly different between the groups. </w:t>
      </w:r>
      <w:r w:rsidRPr="00AF0E0B">
        <w:rPr>
          <w:rFonts w:eastAsia="Arial Unicode MS" w:cs="Arial Unicode MS"/>
          <w:color w:val="000000"/>
          <w:u w:color="000000"/>
          <w:bdr w:val="nil"/>
          <w:lang w:eastAsia="en-GB"/>
        </w:rPr>
        <w:t xml:space="preserve"> There was a requirement that patients did not have an </w:t>
      </w:r>
      <w:r w:rsidR="00233478">
        <w:rPr>
          <w:rFonts w:eastAsia="Arial Unicode MS" w:cs="Arial Unicode MS"/>
          <w:color w:val="000000"/>
          <w:u w:color="000000"/>
          <w:bdr w:val="nil"/>
          <w:lang w:eastAsia="en-GB"/>
        </w:rPr>
        <w:t>eGFR</w:t>
      </w:r>
      <w:r w:rsidRPr="00AF0E0B">
        <w:rPr>
          <w:rFonts w:eastAsia="Arial Unicode MS" w:cs="Arial Unicode MS"/>
          <w:color w:val="000000"/>
          <w:u w:color="000000"/>
          <w:bdr w:val="nil"/>
          <w:lang w:eastAsia="en-GB"/>
        </w:rPr>
        <w:t xml:space="preserve"> less than 40mls/min/1.73m</w:t>
      </w:r>
      <w:r w:rsidRPr="00AF0E0B">
        <w:rPr>
          <w:rFonts w:eastAsia="Arial Unicode MS" w:cs="Arial Unicode MS"/>
          <w:color w:val="000000"/>
          <w:u w:color="000000"/>
          <w:bdr w:val="nil"/>
          <w:vertAlign w:val="superscript"/>
          <w:lang w:eastAsia="en-GB"/>
        </w:rPr>
        <w:t>2</w:t>
      </w:r>
      <w:r w:rsidRPr="00AF0E0B">
        <w:rPr>
          <w:rFonts w:eastAsia="Arial Unicode MS" w:cs="Arial Unicode MS"/>
          <w:color w:val="000000"/>
          <w:u w:color="000000"/>
          <w:bdr w:val="nil"/>
          <w:lang w:eastAsia="en-GB"/>
        </w:rPr>
        <w:t xml:space="preserve"> for the MRI part of the study.  This was because gadolinium contrast carries the small risk of inducing nephrogenic systemic fibrosis in the those with an </w:t>
      </w:r>
      <w:r w:rsidR="00233478">
        <w:rPr>
          <w:rFonts w:eastAsia="Arial Unicode MS" w:cs="Arial Unicode MS"/>
          <w:color w:val="000000"/>
          <w:u w:color="000000"/>
          <w:bdr w:val="nil"/>
          <w:lang w:eastAsia="en-GB"/>
        </w:rPr>
        <w:t>eGFR</w:t>
      </w:r>
      <w:r w:rsidRPr="00AF0E0B">
        <w:rPr>
          <w:rFonts w:eastAsia="Arial Unicode MS" w:cs="Arial Unicode MS"/>
          <w:color w:val="000000"/>
          <w:u w:color="000000"/>
          <w:bdr w:val="nil"/>
          <w:lang w:eastAsia="en-GB"/>
        </w:rPr>
        <w:t xml:space="preserve"> less than 30mls/min/1.73m</w:t>
      </w:r>
      <w:r w:rsidRPr="00AF0E0B">
        <w:rPr>
          <w:rFonts w:eastAsia="Arial Unicode MS" w:cs="Arial Unicode MS"/>
          <w:color w:val="000000"/>
          <w:u w:color="000000"/>
          <w:bdr w:val="nil"/>
          <w:vertAlign w:val="superscript"/>
          <w:lang w:eastAsia="en-GB"/>
        </w:rPr>
        <w:t>2</w:t>
      </w:r>
      <w:r w:rsidRPr="00AF0E0B">
        <w:rPr>
          <w:rFonts w:eastAsia="Arial Unicode MS" w:cs="Arial Unicode MS"/>
          <w:color w:val="000000"/>
          <w:u w:color="000000"/>
          <w:bdr w:val="nil"/>
          <w:lang w:eastAsia="en-GB"/>
        </w:rPr>
        <w:t>.  Therefore, a safe cut off of 40mls/min/1.73m</w:t>
      </w:r>
      <w:r w:rsidRPr="00AF0E0B">
        <w:rPr>
          <w:rFonts w:eastAsia="Arial Unicode MS" w:cs="Arial Unicode MS"/>
          <w:color w:val="000000"/>
          <w:u w:color="000000"/>
          <w:bdr w:val="nil"/>
          <w:vertAlign w:val="superscript"/>
          <w:lang w:eastAsia="en-GB"/>
        </w:rPr>
        <w:t>2</w:t>
      </w:r>
      <w:r w:rsidRPr="00AF0E0B">
        <w:rPr>
          <w:rFonts w:eastAsia="Arial Unicode MS" w:cs="Arial Unicode MS"/>
          <w:color w:val="000000"/>
          <w:u w:color="000000"/>
          <w:bdr w:val="nil"/>
          <w:lang w:eastAsia="en-GB"/>
        </w:rPr>
        <w:t xml:space="preserve"> was set.  This meant that there was matched </w:t>
      </w:r>
      <w:r w:rsidR="00233478">
        <w:rPr>
          <w:rFonts w:eastAsia="Arial Unicode MS" w:cs="Arial Unicode MS"/>
          <w:color w:val="000000"/>
          <w:u w:color="000000"/>
          <w:bdr w:val="nil"/>
          <w:lang w:eastAsia="en-GB"/>
        </w:rPr>
        <w:t>eGFR</w:t>
      </w:r>
      <w:r w:rsidRPr="00AF0E0B">
        <w:rPr>
          <w:rFonts w:eastAsia="Arial Unicode MS" w:cs="Arial Unicode MS"/>
          <w:color w:val="000000"/>
          <w:u w:color="000000"/>
          <w:bdr w:val="nil"/>
          <w:lang w:eastAsia="en-GB"/>
        </w:rPr>
        <w:t xml:space="preserve"> across the groups.  This would be unusual in an unselected population with diabetes and P-DPN. </w:t>
      </w:r>
    </w:p>
    <w:p w14:paraId="34D950F8" w14:textId="77777777" w:rsidR="00AF0E0B" w:rsidRPr="00AF0E0B" w:rsidRDefault="00AF0E0B" w:rsidP="00AF0E0B">
      <w:pPr>
        <w:pBdr>
          <w:top w:val="nil"/>
          <w:left w:val="nil"/>
          <w:bottom w:val="nil"/>
          <w:right w:val="nil"/>
          <w:between w:val="nil"/>
          <w:bar w:val="nil"/>
        </w:pBdr>
        <w:spacing w:line="360" w:lineRule="auto"/>
        <w:rPr>
          <w:rFonts w:eastAsia="Arial" w:cs="Arial"/>
          <w:color w:val="000000"/>
          <w:u w:color="000000"/>
          <w:bdr w:val="nil"/>
          <w:lang w:eastAsia="en-GB"/>
        </w:rPr>
      </w:pPr>
      <w:r w:rsidRPr="00AF0E0B">
        <w:rPr>
          <w:rFonts w:eastAsia="Arial Unicode MS" w:cs="Arial Unicode MS"/>
          <w:color w:val="000000"/>
          <w:u w:color="000000"/>
          <w:bdr w:val="nil"/>
          <w:lang w:val="en-US" w:eastAsia="en-GB"/>
        </w:rPr>
        <w:t xml:space="preserve">“Significant retinopathy”, graded as pre-proliferative, proliferative, treated proliferative, or maculopathy, was significantly different between the groups by Chi-square test (p&lt;.001) (DPN vs DM-NN p=.024).  Macrovascular complications (stroke, angina, myocardial infarction, peripheral vascular disease) although higher in the DPN group was not statistically significantly different between the groups (p=.169). </w:t>
      </w:r>
    </w:p>
    <w:p w14:paraId="1003FCDC" w14:textId="77777777" w:rsidR="00AF0E0B" w:rsidRPr="00AF0E0B" w:rsidRDefault="00AF0E0B" w:rsidP="00AF0E0B">
      <w:pPr>
        <w:pBdr>
          <w:top w:val="nil"/>
          <w:left w:val="nil"/>
          <w:bottom w:val="nil"/>
          <w:right w:val="nil"/>
          <w:between w:val="nil"/>
          <w:bar w:val="nil"/>
        </w:pBdr>
        <w:spacing w:line="360" w:lineRule="auto"/>
        <w:rPr>
          <w:rFonts w:eastAsia="Arial" w:cs="Arial"/>
          <w:color w:val="000000"/>
          <w:u w:color="000000"/>
          <w:bdr w:val="nil"/>
          <w:lang w:eastAsia="en-GB"/>
        </w:rPr>
      </w:pPr>
      <w:r w:rsidRPr="00AF0E0B">
        <w:rPr>
          <w:rFonts w:eastAsia="Arial Unicode MS" w:cs="Arial Unicode MS"/>
          <w:color w:val="000000"/>
          <w:u w:color="000000"/>
          <w:bdr w:val="nil"/>
          <w:lang w:val="en-US" w:eastAsia="en-GB"/>
        </w:rPr>
        <w:t xml:space="preserve">The NISLL+7 composite neuropathy score was not significantly different between the P-DPN and DPN groups, but was as expected higher than the DM-NN and HV groups.  DN4 score was significantly higher for the P-DPN group.  Measures of cardiac autonomic function assessed by the </w:t>
      </w:r>
      <w:r w:rsidRPr="00AF0E0B">
        <w:rPr>
          <w:rFonts w:eastAsia="Arial Unicode MS" w:cs="Arial Unicode MS"/>
          <w:color w:val="000000"/>
          <w:u w:color="000000"/>
          <w:bdr w:val="nil"/>
          <w:lang w:eastAsia="en-GB"/>
        </w:rPr>
        <w:t>O</w:t>
      </w:r>
      <w:r w:rsidRPr="00AF0E0B">
        <w:rPr>
          <w:rFonts w:eastAsia="Arial Unicode MS" w:cs="Arial Unicode MS"/>
          <w:color w:val="000000"/>
          <w:u w:color="000000"/>
          <w:bdr w:val="nil"/>
          <w:lang w:val="en-US" w:eastAsia="en-GB"/>
        </w:rPr>
        <w:t>’</w:t>
      </w:r>
      <w:r w:rsidRPr="00AF0E0B">
        <w:rPr>
          <w:rFonts w:eastAsia="Arial Unicode MS" w:cs="Arial Unicode MS"/>
          <w:color w:val="000000"/>
          <w:u w:color="000000"/>
          <w:bdr w:val="nil"/>
          <w:lang w:val="de-DE" w:eastAsia="en-GB"/>
        </w:rPr>
        <w:t>Brien</w:t>
      </w:r>
      <w:r w:rsidRPr="00AF0E0B">
        <w:rPr>
          <w:rFonts w:eastAsia="Arial Unicode MS" w:cs="Arial Unicode MS"/>
          <w:color w:val="000000"/>
          <w:u w:color="000000"/>
          <w:bdr w:val="nil"/>
          <w:lang w:val="en-US" w:eastAsia="en-GB"/>
        </w:rPr>
        <w:t>’s score was significantly different between the groups [(Kruskal Wallis test (H(3)= 13.84, p=.003)]; and post Hoc testing indicated that the P-DPN group had greater autonomic dysfunction compared to DM-NN and HV groups</w:t>
      </w:r>
      <w:r w:rsidRPr="00AF0E0B">
        <w:rPr>
          <w:rFonts w:eastAsia="Arial Unicode MS" w:cs="Arial Unicode MS"/>
          <w:color w:val="000000"/>
          <w:u w:color="000000"/>
          <w:bdr w:val="nil"/>
          <w:lang w:eastAsia="en-GB"/>
        </w:rPr>
        <w:t xml:space="preserve">.  </w:t>
      </w:r>
    </w:p>
    <w:p w14:paraId="04083155" w14:textId="77777777" w:rsidR="00AF0E0B" w:rsidRPr="00AF0E0B" w:rsidRDefault="00AF0E0B" w:rsidP="00AF0E0B">
      <w:pPr>
        <w:pBdr>
          <w:top w:val="nil"/>
          <w:left w:val="nil"/>
          <w:bottom w:val="nil"/>
          <w:right w:val="nil"/>
          <w:between w:val="nil"/>
          <w:bar w:val="nil"/>
        </w:pBdr>
        <w:rPr>
          <w:rFonts w:ascii="Times New Roman" w:eastAsia="Arial Unicode MS" w:hAnsi="Times New Roman" w:cs="Arial Unicode MS"/>
          <w:color w:val="000000"/>
          <w:u w:color="000000"/>
          <w:bdr w:val="nil"/>
          <w:lang w:eastAsia="en-GB"/>
        </w:rPr>
      </w:pPr>
      <w:r w:rsidRPr="00AF0E0B">
        <w:rPr>
          <w:rFonts w:ascii="Arial Unicode MS" w:eastAsia="Arial Unicode MS" w:hAnsi="Arial Unicode MS" w:cs="Arial Unicode MS"/>
          <w:color w:val="000000"/>
          <w:u w:color="000000"/>
          <w:bdr w:val="nil"/>
          <w:lang w:eastAsia="en-GB"/>
        </w:rPr>
        <w:br w:type="page"/>
      </w:r>
    </w:p>
    <w:p w14:paraId="49594034" w14:textId="3CD055DD" w:rsidR="00AF0E0B" w:rsidRPr="00AF0E0B" w:rsidRDefault="00AF0E0B" w:rsidP="00455CF2">
      <w:pPr>
        <w:pStyle w:val="Quote"/>
      </w:pPr>
      <w:bookmarkStart w:id="159" w:name="_Toc49973553"/>
      <w:bookmarkStart w:id="160" w:name="_Toc64724077"/>
      <w:r w:rsidRPr="00AF0E0B">
        <w:lastRenderedPageBreak/>
        <w:t>Table 2.2  Descriptive Statistics for Demographic Variables</w:t>
      </w:r>
      <w:bookmarkEnd w:id="159"/>
      <w:bookmarkEnd w:id="160"/>
    </w:p>
    <w:p w14:paraId="0000D8D2" w14:textId="77777777" w:rsidR="00AF0E0B" w:rsidRPr="00AF0E0B" w:rsidRDefault="00AF0E0B" w:rsidP="00AF0E0B">
      <w:pPr>
        <w:pBdr>
          <w:top w:val="nil"/>
          <w:left w:val="nil"/>
          <w:bottom w:val="nil"/>
          <w:right w:val="nil"/>
          <w:between w:val="nil"/>
          <w:bar w:val="nil"/>
        </w:pBdr>
        <w:jc w:val="right"/>
        <w:rPr>
          <w:rFonts w:eastAsia="Arial" w:cs="Arial"/>
          <w:color w:val="000000"/>
          <w:u w:color="000000"/>
          <w:bdr w:val="nil"/>
          <w:lang w:eastAsia="en-GB"/>
        </w:rPr>
      </w:pPr>
    </w:p>
    <w:tbl>
      <w:tblPr>
        <w:tblW w:w="9020" w:type="dxa"/>
        <w:jc w:val="righ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1495"/>
        <w:gridCol w:w="694"/>
        <w:gridCol w:w="969"/>
        <w:gridCol w:w="692"/>
        <w:gridCol w:w="965"/>
        <w:gridCol w:w="690"/>
        <w:gridCol w:w="971"/>
        <w:gridCol w:w="692"/>
        <w:gridCol w:w="971"/>
        <w:gridCol w:w="881"/>
      </w:tblGrid>
      <w:tr w:rsidR="00AF0E0B" w:rsidRPr="00AF0E0B" w14:paraId="15F70ADF" w14:textId="77777777" w:rsidTr="000C4457">
        <w:trPr>
          <w:trHeight w:val="380"/>
          <w:jc w:val="right"/>
        </w:trPr>
        <w:tc>
          <w:tcPr>
            <w:tcW w:w="1494" w:type="dxa"/>
            <w:tcBorders>
              <w:top w:val="single" w:sz="4" w:space="0" w:color="000000"/>
              <w:left w:val="single" w:sz="4" w:space="0" w:color="000000"/>
              <w:bottom w:val="single" w:sz="4" w:space="0" w:color="F4B083"/>
              <w:right w:val="single" w:sz="4" w:space="0" w:color="F4B083"/>
            </w:tcBorders>
            <w:shd w:val="clear" w:color="auto" w:fill="FFFFFF"/>
            <w:tcMar>
              <w:top w:w="80" w:type="dxa"/>
              <w:left w:w="80" w:type="dxa"/>
              <w:bottom w:w="80" w:type="dxa"/>
              <w:right w:w="80" w:type="dxa"/>
            </w:tcMar>
            <w:vAlign w:val="center"/>
          </w:tcPr>
          <w:p w14:paraId="3B8AA02B" w14:textId="77777777" w:rsidR="00AF0E0B" w:rsidRPr="00AF0E0B" w:rsidRDefault="00AF0E0B" w:rsidP="00AF0E0B">
            <w:pPr>
              <w:pBdr>
                <w:top w:val="nil"/>
                <w:left w:val="nil"/>
                <w:bottom w:val="nil"/>
                <w:right w:val="nil"/>
                <w:between w:val="nil"/>
                <w:bar w:val="nil"/>
              </w:pBdr>
              <w:rPr>
                <w:rFonts w:ascii="Times New Roman" w:eastAsia="Arial Unicode MS" w:hAnsi="Times New Roman" w:cs="Times New Roman"/>
                <w:bdr w:val="nil"/>
                <w:lang w:val="en-US"/>
              </w:rPr>
            </w:pPr>
          </w:p>
        </w:tc>
        <w:tc>
          <w:tcPr>
            <w:tcW w:w="1662" w:type="dxa"/>
            <w:gridSpan w:val="2"/>
            <w:tcBorders>
              <w:top w:val="single" w:sz="4" w:space="0" w:color="000000"/>
              <w:left w:val="single" w:sz="4" w:space="0" w:color="F4B083"/>
              <w:bottom w:val="single" w:sz="4" w:space="0" w:color="F4B083"/>
              <w:right w:val="single" w:sz="4" w:space="0" w:color="F4B083"/>
            </w:tcBorders>
            <w:shd w:val="clear" w:color="auto" w:fill="FFFFFF"/>
            <w:tcMar>
              <w:top w:w="80" w:type="dxa"/>
              <w:left w:w="80" w:type="dxa"/>
              <w:bottom w:w="80" w:type="dxa"/>
              <w:right w:w="80" w:type="dxa"/>
            </w:tcMar>
            <w:vAlign w:val="center"/>
          </w:tcPr>
          <w:p w14:paraId="502F6E15"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P-DPN</w:t>
            </w:r>
          </w:p>
        </w:tc>
        <w:tc>
          <w:tcPr>
            <w:tcW w:w="1657" w:type="dxa"/>
            <w:gridSpan w:val="2"/>
            <w:tcBorders>
              <w:top w:val="single" w:sz="4" w:space="0" w:color="000000"/>
              <w:left w:val="single" w:sz="4" w:space="0" w:color="F4B083"/>
              <w:bottom w:val="single" w:sz="4" w:space="0" w:color="F4B083"/>
              <w:right w:val="single" w:sz="4" w:space="0" w:color="F4B083"/>
            </w:tcBorders>
            <w:shd w:val="clear" w:color="auto" w:fill="FFFFFF"/>
            <w:tcMar>
              <w:top w:w="80" w:type="dxa"/>
              <w:left w:w="80" w:type="dxa"/>
              <w:bottom w:w="80" w:type="dxa"/>
              <w:right w:w="80" w:type="dxa"/>
            </w:tcMar>
            <w:vAlign w:val="center"/>
          </w:tcPr>
          <w:p w14:paraId="469F08CD"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DPN</w:t>
            </w:r>
          </w:p>
        </w:tc>
        <w:tc>
          <w:tcPr>
            <w:tcW w:w="1661" w:type="dxa"/>
            <w:gridSpan w:val="2"/>
            <w:tcBorders>
              <w:top w:val="single" w:sz="4" w:space="0" w:color="000000"/>
              <w:left w:val="single" w:sz="4" w:space="0" w:color="F4B083"/>
              <w:bottom w:val="single" w:sz="4" w:space="0" w:color="F4B083"/>
              <w:right w:val="single" w:sz="4" w:space="0" w:color="F4B083"/>
            </w:tcBorders>
            <w:shd w:val="clear" w:color="auto" w:fill="FFFFFF"/>
            <w:tcMar>
              <w:top w:w="80" w:type="dxa"/>
              <w:left w:w="80" w:type="dxa"/>
              <w:bottom w:w="80" w:type="dxa"/>
              <w:right w:w="80" w:type="dxa"/>
            </w:tcMar>
            <w:vAlign w:val="center"/>
          </w:tcPr>
          <w:p w14:paraId="5E216CE6"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DM-NN</w:t>
            </w:r>
          </w:p>
        </w:tc>
        <w:tc>
          <w:tcPr>
            <w:tcW w:w="1663" w:type="dxa"/>
            <w:gridSpan w:val="2"/>
            <w:tcBorders>
              <w:top w:val="single" w:sz="4" w:space="0" w:color="000000"/>
              <w:left w:val="single" w:sz="4" w:space="0" w:color="F4B083"/>
              <w:bottom w:val="single" w:sz="4" w:space="0" w:color="F7CAAC" w:themeColor="accent2" w:themeTint="66"/>
              <w:right w:val="single" w:sz="4" w:space="0" w:color="F4B083" w:themeColor="accent2" w:themeTint="99"/>
            </w:tcBorders>
            <w:shd w:val="clear" w:color="auto" w:fill="FFFFFF"/>
            <w:tcMar>
              <w:top w:w="80" w:type="dxa"/>
              <w:left w:w="80" w:type="dxa"/>
              <w:bottom w:w="80" w:type="dxa"/>
              <w:right w:w="80" w:type="dxa"/>
            </w:tcMar>
            <w:vAlign w:val="center"/>
          </w:tcPr>
          <w:p w14:paraId="435B97E2"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HV</w:t>
            </w:r>
          </w:p>
        </w:tc>
        <w:tc>
          <w:tcPr>
            <w:tcW w:w="881" w:type="dxa"/>
            <w:tcBorders>
              <w:top w:val="single" w:sz="4" w:space="0" w:color="000000"/>
              <w:left w:val="single" w:sz="4" w:space="0" w:color="F4B083" w:themeColor="accent2" w:themeTint="99"/>
              <w:bottom w:val="single" w:sz="4" w:space="0" w:color="F4B083" w:themeColor="accent2" w:themeTint="99"/>
              <w:right w:val="single" w:sz="4" w:space="0" w:color="000000"/>
            </w:tcBorders>
            <w:shd w:val="clear" w:color="auto" w:fill="FFFFFF"/>
            <w:tcMar>
              <w:top w:w="80" w:type="dxa"/>
              <w:left w:w="80" w:type="dxa"/>
              <w:bottom w:w="80" w:type="dxa"/>
              <w:right w:w="80" w:type="dxa"/>
            </w:tcMar>
            <w:vAlign w:val="center"/>
          </w:tcPr>
          <w:p w14:paraId="2BDE9B42"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Sig</w:t>
            </w:r>
            <w:r w:rsidRPr="00AF0E0B">
              <w:rPr>
                <w:rFonts w:ascii="Calibri" w:eastAsia="Calibri" w:hAnsi="Calibri" w:cs="Calibri"/>
                <w:b/>
                <w:bCs/>
                <w:i/>
                <w:iCs/>
                <w:color w:val="000000"/>
                <w:sz w:val="21"/>
                <w:szCs w:val="21"/>
                <w:u w:color="000000"/>
                <w:bdr w:val="nil"/>
                <w:lang w:val="en-US" w:eastAsia="en-GB"/>
              </w:rPr>
              <w:t>.</w:t>
            </w:r>
          </w:p>
        </w:tc>
      </w:tr>
      <w:tr w:rsidR="00AF0E0B" w:rsidRPr="00AF0E0B" w14:paraId="6846B827" w14:textId="77777777" w:rsidTr="000C4457">
        <w:trPr>
          <w:trHeight w:val="370"/>
          <w:jc w:val="right"/>
        </w:trPr>
        <w:tc>
          <w:tcPr>
            <w:tcW w:w="1494" w:type="dxa"/>
            <w:tcBorders>
              <w:top w:val="single" w:sz="4" w:space="0" w:color="F4B083"/>
              <w:left w:val="single" w:sz="4" w:space="0" w:color="000000"/>
              <w:bottom w:val="single" w:sz="2" w:space="0" w:color="F4B083"/>
              <w:right w:val="single" w:sz="2" w:space="0" w:color="F4B083"/>
            </w:tcBorders>
            <w:shd w:val="clear" w:color="auto" w:fill="FBE4D5"/>
            <w:tcMar>
              <w:top w:w="80" w:type="dxa"/>
              <w:left w:w="80" w:type="dxa"/>
              <w:bottom w:w="80" w:type="dxa"/>
              <w:right w:w="80" w:type="dxa"/>
            </w:tcMar>
            <w:vAlign w:val="center"/>
          </w:tcPr>
          <w:p w14:paraId="4168C2F6" w14:textId="77777777" w:rsidR="00AF0E0B" w:rsidRPr="00AF0E0B" w:rsidRDefault="00AF0E0B" w:rsidP="00AF0E0B">
            <w:pPr>
              <w:pBdr>
                <w:top w:val="nil"/>
                <w:left w:val="nil"/>
                <w:bottom w:val="nil"/>
                <w:right w:val="nil"/>
                <w:between w:val="nil"/>
                <w:bar w:val="nil"/>
              </w:pBdr>
              <w:rPr>
                <w:rFonts w:ascii="Times New Roman" w:eastAsia="Arial Unicode MS" w:hAnsi="Times New Roman" w:cs="Times New Roman"/>
                <w:bdr w:val="nil"/>
                <w:lang w:val="en-US"/>
              </w:rPr>
            </w:pPr>
          </w:p>
        </w:tc>
        <w:tc>
          <w:tcPr>
            <w:tcW w:w="693" w:type="dxa"/>
            <w:tcBorders>
              <w:top w:val="single" w:sz="4"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6B0C28D0"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M</w:t>
            </w:r>
          </w:p>
        </w:tc>
        <w:tc>
          <w:tcPr>
            <w:tcW w:w="968" w:type="dxa"/>
            <w:tcBorders>
              <w:top w:val="single" w:sz="4"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4C869E69"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95% CI</w:t>
            </w:r>
          </w:p>
        </w:tc>
        <w:tc>
          <w:tcPr>
            <w:tcW w:w="692" w:type="dxa"/>
            <w:tcBorders>
              <w:top w:val="single" w:sz="4"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6377FCE1"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M</w:t>
            </w:r>
          </w:p>
        </w:tc>
        <w:tc>
          <w:tcPr>
            <w:tcW w:w="964" w:type="dxa"/>
            <w:tcBorders>
              <w:top w:val="single" w:sz="4"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0D2D42AC"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95% CI</w:t>
            </w:r>
          </w:p>
        </w:tc>
        <w:tc>
          <w:tcPr>
            <w:tcW w:w="690" w:type="dxa"/>
            <w:tcBorders>
              <w:top w:val="single" w:sz="4"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1C63686C"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M</w:t>
            </w:r>
          </w:p>
        </w:tc>
        <w:tc>
          <w:tcPr>
            <w:tcW w:w="970" w:type="dxa"/>
            <w:tcBorders>
              <w:top w:val="single" w:sz="4"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2CA9C9F5"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95% CI</w:t>
            </w:r>
          </w:p>
        </w:tc>
        <w:tc>
          <w:tcPr>
            <w:tcW w:w="692" w:type="dxa"/>
            <w:tcBorders>
              <w:top w:val="single" w:sz="4" w:space="0" w:color="F4B083" w:themeColor="accent2" w:themeTint="99"/>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08B583DD"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M</w:t>
            </w:r>
          </w:p>
        </w:tc>
        <w:tc>
          <w:tcPr>
            <w:tcW w:w="970" w:type="dxa"/>
            <w:tcBorders>
              <w:top w:val="single" w:sz="4" w:space="0" w:color="F4B083" w:themeColor="accent2" w:themeTint="99"/>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3690702E"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95% CI</w:t>
            </w:r>
          </w:p>
        </w:tc>
        <w:tc>
          <w:tcPr>
            <w:tcW w:w="881" w:type="dxa"/>
            <w:tcBorders>
              <w:top w:val="single" w:sz="4" w:space="0" w:color="F4B083" w:themeColor="accent2" w:themeTint="99"/>
              <w:left w:val="single" w:sz="2" w:space="0" w:color="F4B083"/>
              <w:bottom w:val="single" w:sz="2" w:space="0" w:color="F4B083"/>
              <w:right w:val="single" w:sz="4" w:space="0" w:color="000000"/>
            </w:tcBorders>
            <w:shd w:val="clear" w:color="auto" w:fill="FBE4D5"/>
            <w:tcMar>
              <w:top w:w="80" w:type="dxa"/>
              <w:left w:w="80" w:type="dxa"/>
              <w:bottom w:w="80" w:type="dxa"/>
              <w:right w:w="80" w:type="dxa"/>
            </w:tcMar>
            <w:vAlign w:val="center"/>
          </w:tcPr>
          <w:p w14:paraId="5E2C65B5" w14:textId="77777777" w:rsidR="00AF0E0B" w:rsidRPr="00AF0E0B" w:rsidRDefault="00AF0E0B" w:rsidP="00AF0E0B">
            <w:pPr>
              <w:pBdr>
                <w:top w:val="nil"/>
                <w:left w:val="nil"/>
                <w:bottom w:val="nil"/>
                <w:right w:val="nil"/>
                <w:between w:val="nil"/>
                <w:bar w:val="nil"/>
              </w:pBdr>
              <w:rPr>
                <w:rFonts w:ascii="Times New Roman" w:eastAsia="Arial Unicode MS" w:hAnsi="Times New Roman" w:cs="Times New Roman"/>
                <w:bdr w:val="nil"/>
                <w:lang w:val="en-US"/>
              </w:rPr>
            </w:pPr>
          </w:p>
        </w:tc>
      </w:tr>
      <w:tr w:rsidR="00AF0E0B" w:rsidRPr="00AF0E0B" w14:paraId="494FA146" w14:textId="77777777" w:rsidTr="00AB4128">
        <w:trPr>
          <w:trHeight w:val="485"/>
          <w:jc w:val="right"/>
        </w:trPr>
        <w:tc>
          <w:tcPr>
            <w:tcW w:w="1494" w:type="dxa"/>
            <w:tcBorders>
              <w:top w:val="single" w:sz="2" w:space="0" w:color="F4B083"/>
              <w:left w:val="single" w:sz="4" w:space="0" w:color="000000"/>
              <w:bottom w:val="single" w:sz="2" w:space="0" w:color="F4B083"/>
              <w:right w:val="single" w:sz="2" w:space="0" w:color="F4B083"/>
            </w:tcBorders>
            <w:shd w:val="clear" w:color="auto" w:fill="auto"/>
            <w:tcMar>
              <w:top w:w="80" w:type="dxa"/>
              <w:left w:w="80" w:type="dxa"/>
              <w:bottom w:w="80" w:type="dxa"/>
              <w:right w:w="80" w:type="dxa"/>
            </w:tcMar>
            <w:vAlign w:val="center"/>
          </w:tcPr>
          <w:p w14:paraId="7C13A37B"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Age (</w:t>
            </w:r>
            <w:proofErr w:type="spellStart"/>
            <w:r w:rsidRPr="00AF0E0B">
              <w:rPr>
                <w:rFonts w:ascii="Calibri" w:eastAsia="Calibri" w:hAnsi="Calibri" w:cs="Calibri"/>
                <w:i/>
                <w:iCs/>
                <w:color w:val="000000"/>
                <w:sz w:val="21"/>
                <w:szCs w:val="21"/>
                <w:u w:color="000000"/>
                <w:bdr w:val="nil"/>
                <w:lang w:val="en-US" w:eastAsia="en-GB"/>
              </w:rPr>
              <w:t>yrs</w:t>
            </w:r>
            <w:proofErr w:type="spellEnd"/>
            <w:r w:rsidRPr="00AF0E0B">
              <w:rPr>
                <w:rFonts w:ascii="Calibri" w:eastAsia="Calibri" w:hAnsi="Calibri" w:cs="Calibri"/>
                <w:i/>
                <w:iCs/>
                <w:color w:val="000000"/>
                <w:sz w:val="21"/>
                <w:szCs w:val="21"/>
                <w:u w:color="000000"/>
                <w:bdr w:val="nil"/>
                <w:lang w:val="en-US" w:eastAsia="en-GB"/>
              </w:rPr>
              <w:t>)</w:t>
            </w:r>
          </w:p>
        </w:tc>
        <w:tc>
          <w:tcPr>
            <w:tcW w:w="693"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1873946E"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51</w:t>
            </w:r>
          </w:p>
        </w:tc>
        <w:tc>
          <w:tcPr>
            <w:tcW w:w="968"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2512056C"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18"/>
                <w:szCs w:val="18"/>
                <w:u w:color="000000"/>
                <w:bdr w:val="nil"/>
                <w:lang w:val="en-US" w:eastAsia="en-GB"/>
              </w:rPr>
              <w:t>47-56</w:t>
            </w:r>
          </w:p>
        </w:tc>
        <w:tc>
          <w:tcPr>
            <w:tcW w:w="692"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3F66C252"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61</w:t>
            </w:r>
          </w:p>
        </w:tc>
        <w:tc>
          <w:tcPr>
            <w:tcW w:w="964"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6439A592"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18"/>
                <w:szCs w:val="18"/>
                <w:u w:color="000000"/>
                <w:bdr w:val="nil"/>
                <w:lang w:val="en-US" w:eastAsia="en-GB"/>
              </w:rPr>
              <w:t>57-64</w:t>
            </w:r>
          </w:p>
        </w:tc>
        <w:tc>
          <w:tcPr>
            <w:tcW w:w="690"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1291AD74"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53</w:t>
            </w:r>
          </w:p>
        </w:tc>
        <w:tc>
          <w:tcPr>
            <w:tcW w:w="970"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79B805B1"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18"/>
                <w:szCs w:val="18"/>
                <w:u w:color="000000"/>
                <w:bdr w:val="nil"/>
                <w:lang w:val="en-US" w:eastAsia="en-GB"/>
              </w:rPr>
              <w:t>45-61</w:t>
            </w:r>
          </w:p>
        </w:tc>
        <w:tc>
          <w:tcPr>
            <w:tcW w:w="692"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23BF4D3D"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54</w:t>
            </w:r>
          </w:p>
        </w:tc>
        <w:tc>
          <w:tcPr>
            <w:tcW w:w="970"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7D02F366"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18"/>
                <w:szCs w:val="18"/>
                <w:u w:color="000000"/>
                <w:bdr w:val="nil"/>
                <w:lang w:val="en-US" w:eastAsia="en-GB"/>
              </w:rPr>
              <w:t>50-59</w:t>
            </w:r>
          </w:p>
        </w:tc>
        <w:tc>
          <w:tcPr>
            <w:tcW w:w="881" w:type="dxa"/>
            <w:tcBorders>
              <w:top w:val="single" w:sz="2" w:space="0" w:color="F4B083"/>
              <w:left w:val="single" w:sz="2" w:space="0" w:color="F4B083"/>
              <w:bottom w:val="single" w:sz="2" w:space="0" w:color="F4B083"/>
              <w:right w:val="single" w:sz="4" w:space="0" w:color="000000"/>
            </w:tcBorders>
            <w:shd w:val="clear" w:color="auto" w:fill="auto"/>
            <w:tcMar>
              <w:top w:w="80" w:type="dxa"/>
              <w:left w:w="80" w:type="dxa"/>
              <w:bottom w:w="80" w:type="dxa"/>
              <w:right w:w="80" w:type="dxa"/>
            </w:tcMar>
            <w:vAlign w:val="center"/>
          </w:tcPr>
          <w:p w14:paraId="754092E0"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p=.014</w:t>
            </w:r>
            <w:r w:rsidRPr="00AF0E0B">
              <w:rPr>
                <w:rFonts w:ascii="Calibri" w:eastAsia="Calibri" w:hAnsi="Calibri" w:cs="Calibri"/>
                <w:b/>
                <w:bCs/>
                <w:i/>
                <w:iCs/>
                <w:color w:val="000000"/>
                <w:sz w:val="21"/>
                <w:szCs w:val="21"/>
                <w:u w:color="000000"/>
                <w:bdr w:val="nil"/>
                <w:vertAlign w:val="superscript"/>
                <w:lang w:val="en-US" w:eastAsia="en-GB"/>
              </w:rPr>
              <w:t>1</w:t>
            </w:r>
          </w:p>
        </w:tc>
      </w:tr>
      <w:tr w:rsidR="00AF0E0B" w:rsidRPr="00AF0E0B" w14:paraId="64B188DC" w14:textId="77777777" w:rsidTr="00AB4128">
        <w:trPr>
          <w:trHeight w:val="370"/>
          <w:jc w:val="right"/>
        </w:trPr>
        <w:tc>
          <w:tcPr>
            <w:tcW w:w="1494" w:type="dxa"/>
            <w:tcBorders>
              <w:top w:val="single" w:sz="2" w:space="0" w:color="F4B083"/>
              <w:left w:val="single" w:sz="4" w:space="0" w:color="000000"/>
              <w:bottom w:val="single" w:sz="2" w:space="0" w:color="F4B083"/>
              <w:right w:val="single" w:sz="2" w:space="0" w:color="F4B083"/>
            </w:tcBorders>
            <w:shd w:val="clear" w:color="auto" w:fill="FBE4D5"/>
            <w:tcMar>
              <w:top w:w="80" w:type="dxa"/>
              <w:left w:w="80" w:type="dxa"/>
              <w:bottom w:w="80" w:type="dxa"/>
              <w:right w:w="80" w:type="dxa"/>
            </w:tcMar>
            <w:vAlign w:val="center"/>
          </w:tcPr>
          <w:p w14:paraId="0EEAC4B0"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 xml:space="preserve">BMI </w:t>
            </w:r>
          </w:p>
        </w:tc>
        <w:tc>
          <w:tcPr>
            <w:tcW w:w="693"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5F8847A3"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26.8</w:t>
            </w:r>
          </w:p>
        </w:tc>
        <w:tc>
          <w:tcPr>
            <w:tcW w:w="968"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0A311ECC"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18"/>
                <w:szCs w:val="18"/>
                <w:u w:color="000000"/>
                <w:bdr w:val="nil"/>
                <w:lang w:val="en-US" w:eastAsia="en-GB"/>
              </w:rPr>
              <w:t>24.6-28.9</w:t>
            </w:r>
          </w:p>
        </w:tc>
        <w:tc>
          <w:tcPr>
            <w:tcW w:w="692"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19771EC6"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27.0</w:t>
            </w:r>
          </w:p>
        </w:tc>
        <w:tc>
          <w:tcPr>
            <w:tcW w:w="964"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09E46148"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18"/>
                <w:szCs w:val="18"/>
                <w:u w:color="000000"/>
                <w:bdr w:val="nil"/>
                <w:lang w:val="en-US" w:eastAsia="en-GB"/>
              </w:rPr>
              <w:t>24.5-29.4</w:t>
            </w:r>
          </w:p>
        </w:tc>
        <w:tc>
          <w:tcPr>
            <w:tcW w:w="690"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1974C859"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23.7</w:t>
            </w:r>
          </w:p>
        </w:tc>
        <w:tc>
          <w:tcPr>
            <w:tcW w:w="970"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3036B2DC"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18"/>
                <w:szCs w:val="18"/>
                <w:u w:color="000000"/>
                <w:bdr w:val="nil"/>
                <w:lang w:val="en-US" w:eastAsia="en-GB"/>
              </w:rPr>
              <w:t>21.1-26.3</w:t>
            </w:r>
          </w:p>
        </w:tc>
        <w:tc>
          <w:tcPr>
            <w:tcW w:w="692"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3D786210"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27.0</w:t>
            </w:r>
          </w:p>
        </w:tc>
        <w:tc>
          <w:tcPr>
            <w:tcW w:w="970"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4E56C5DF"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18"/>
                <w:szCs w:val="18"/>
                <w:u w:color="000000"/>
                <w:bdr w:val="nil"/>
                <w:lang w:val="en-US" w:eastAsia="en-GB"/>
              </w:rPr>
              <w:t>24.9-29.1</w:t>
            </w:r>
          </w:p>
        </w:tc>
        <w:tc>
          <w:tcPr>
            <w:tcW w:w="881" w:type="dxa"/>
            <w:tcBorders>
              <w:top w:val="single" w:sz="2" w:space="0" w:color="F4B083"/>
              <w:left w:val="single" w:sz="2" w:space="0" w:color="F4B083"/>
              <w:bottom w:val="single" w:sz="2" w:space="0" w:color="F4B083"/>
              <w:right w:val="single" w:sz="4" w:space="0" w:color="000000"/>
            </w:tcBorders>
            <w:shd w:val="clear" w:color="auto" w:fill="FBE4D5"/>
            <w:tcMar>
              <w:top w:w="80" w:type="dxa"/>
              <w:left w:w="80" w:type="dxa"/>
              <w:bottom w:w="80" w:type="dxa"/>
              <w:right w:w="80" w:type="dxa"/>
            </w:tcMar>
            <w:vAlign w:val="center"/>
          </w:tcPr>
          <w:p w14:paraId="71F1CF7B"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p=.196</w:t>
            </w:r>
          </w:p>
        </w:tc>
      </w:tr>
      <w:tr w:rsidR="00AF0E0B" w:rsidRPr="00AF0E0B" w14:paraId="5A3BA734" w14:textId="77777777" w:rsidTr="00AB4128">
        <w:trPr>
          <w:trHeight w:val="485"/>
          <w:jc w:val="right"/>
        </w:trPr>
        <w:tc>
          <w:tcPr>
            <w:tcW w:w="1494" w:type="dxa"/>
            <w:tcBorders>
              <w:top w:val="single" w:sz="2" w:space="0" w:color="F4B083"/>
              <w:left w:val="single" w:sz="4" w:space="0" w:color="000000"/>
              <w:bottom w:val="single" w:sz="2" w:space="0" w:color="F4B083"/>
              <w:right w:val="single" w:sz="2" w:space="0" w:color="F4B083"/>
            </w:tcBorders>
            <w:shd w:val="clear" w:color="auto" w:fill="auto"/>
            <w:tcMar>
              <w:top w:w="80" w:type="dxa"/>
              <w:left w:w="80" w:type="dxa"/>
              <w:bottom w:w="80" w:type="dxa"/>
              <w:right w:w="80" w:type="dxa"/>
            </w:tcMar>
            <w:vAlign w:val="center"/>
          </w:tcPr>
          <w:p w14:paraId="09DC3E69" w14:textId="77777777" w:rsidR="00AF0E0B" w:rsidRPr="00AF0E0B" w:rsidRDefault="00AF0E0B" w:rsidP="00AF0E0B">
            <w:pPr>
              <w:pBdr>
                <w:top w:val="nil"/>
                <w:left w:val="nil"/>
                <w:bottom w:val="nil"/>
                <w:right w:val="nil"/>
                <w:between w:val="nil"/>
                <w:bar w:val="nil"/>
              </w:pBdr>
              <w:jc w:val="right"/>
              <w:rPr>
                <w:rFonts w:ascii="Calibri" w:eastAsia="Calibri" w:hAnsi="Calibri" w:cs="Calibri"/>
                <w:i/>
                <w:iCs/>
                <w:color w:val="000000"/>
                <w:sz w:val="21"/>
                <w:szCs w:val="21"/>
                <w:u w:color="000000"/>
                <w:bdr w:val="nil"/>
                <w:lang w:eastAsia="en-GB"/>
              </w:rPr>
            </w:pPr>
            <w:r w:rsidRPr="00AF0E0B">
              <w:rPr>
                <w:rFonts w:ascii="Calibri" w:eastAsia="Calibri" w:hAnsi="Calibri" w:cs="Calibri"/>
                <w:i/>
                <w:iCs/>
                <w:color w:val="000000"/>
                <w:sz w:val="21"/>
                <w:szCs w:val="21"/>
                <w:u w:color="000000"/>
                <w:bdr w:val="nil"/>
                <w:lang w:val="en-US" w:eastAsia="en-GB"/>
              </w:rPr>
              <w:t>Diabetes</w:t>
            </w:r>
          </w:p>
          <w:p w14:paraId="6152F77E"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 xml:space="preserve"> duration</w:t>
            </w:r>
          </w:p>
        </w:tc>
        <w:tc>
          <w:tcPr>
            <w:tcW w:w="693"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46ED8333"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25.5</w:t>
            </w:r>
          </w:p>
        </w:tc>
        <w:tc>
          <w:tcPr>
            <w:tcW w:w="968"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20CF20FC"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18"/>
                <w:szCs w:val="18"/>
                <w:u w:color="000000"/>
                <w:bdr w:val="nil"/>
                <w:lang w:val="en-US" w:eastAsia="en-GB"/>
              </w:rPr>
              <w:t>20.1-30.9</w:t>
            </w:r>
          </w:p>
        </w:tc>
        <w:tc>
          <w:tcPr>
            <w:tcW w:w="692"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453114C6"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35.7</w:t>
            </w:r>
          </w:p>
        </w:tc>
        <w:tc>
          <w:tcPr>
            <w:tcW w:w="964"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06F6D6BC"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18"/>
                <w:szCs w:val="18"/>
                <w:u w:color="000000"/>
                <w:bdr w:val="nil"/>
                <w:lang w:val="en-US" w:eastAsia="en-GB"/>
              </w:rPr>
              <w:t>31.2-40.2</w:t>
            </w:r>
          </w:p>
        </w:tc>
        <w:tc>
          <w:tcPr>
            <w:tcW w:w="690"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4698A5DD"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29.3</w:t>
            </w:r>
          </w:p>
        </w:tc>
        <w:tc>
          <w:tcPr>
            <w:tcW w:w="970"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691FF8A2"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18"/>
                <w:szCs w:val="18"/>
                <w:u w:color="000000"/>
                <w:bdr w:val="nil"/>
                <w:lang w:val="en-US" w:eastAsia="en-GB"/>
              </w:rPr>
              <w:t>18.6-39.9</w:t>
            </w:r>
          </w:p>
        </w:tc>
        <w:tc>
          <w:tcPr>
            <w:tcW w:w="692"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0A924788"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w:t>
            </w:r>
          </w:p>
        </w:tc>
        <w:tc>
          <w:tcPr>
            <w:tcW w:w="970"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28CED65E"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18"/>
                <w:szCs w:val="18"/>
                <w:u w:color="000000"/>
                <w:bdr w:val="nil"/>
                <w:lang w:val="en-US" w:eastAsia="en-GB"/>
              </w:rPr>
              <w:t>.</w:t>
            </w:r>
          </w:p>
        </w:tc>
        <w:tc>
          <w:tcPr>
            <w:tcW w:w="881" w:type="dxa"/>
            <w:tcBorders>
              <w:top w:val="single" w:sz="2" w:space="0" w:color="F4B083"/>
              <w:left w:val="single" w:sz="2" w:space="0" w:color="F4B083"/>
              <w:bottom w:val="single" w:sz="2" w:space="0" w:color="F4B083"/>
              <w:right w:val="single" w:sz="4" w:space="0" w:color="000000"/>
            </w:tcBorders>
            <w:shd w:val="clear" w:color="auto" w:fill="auto"/>
            <w:tcMar>
              <w:top w:w="80" w:type="dxa"/>
              <w:left w:w="80" w:type="dxa"/>
              <w:bottom w:w="80" w:type="dxa"/>
              <w:right w:w="80" w:type="dxa"/>
            </w:tcMar>
            <w:vAlign w:val="center"/>
          </w:tcPr>
          <w:p w14:paraId="2202A333"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p=.037</w:t>
            </w:r>
            <w:r w:rsidRPr="00AF0E0B">
              <w:rPr>
                <w:rFonts w:ascii="Calibri" w:eastAsia="Calibri" w:hAnsi="Calibri" w:cs="Calibri"/>
                <w:b/>
                <w:bCs/>
                <w:i/>
                <w:iCs/>
                <w:color w:val="000000"/>
                <w:sz w:val="21"/>
                <w:szCs w:val="21"/>
                <w:u w:color="000000"/>
                <w:bdr w:val="nil"/>
                <w:vertAlign w:val="superscript"/>
                <w:lang w:val="en-US" w:eastAsia="en-GB"/>
              </w:rPr>
              <w:t>2</w:t>
            </w:r>
          </w:p>
        </w:tc>
      </w:tr>
      <w:tr w:rsidR="00AF0E0B" w:rsidRPr="00AF0E0B" w14:paraId="0D457E5F" w14:textId="77777777" w:rsidTr="00AB4128">
        <w:trPr>
          <w:trHeight w:val="485"/>
          <w:jc w:val="right"/>
        </w:trPr>
        <w:tc>
          <w:tcPr>
            <w:tcW w:w="1494" w:type="dxa"/>
            <w:tcBorders>
              <w:top w:val="single" w:sz="2" w:space="0" w:color="F4B083"/>
              <w:left w:val="single" w:sz="4" w:space="0" w:color="000000"/>
              <w:bottom w:val="single" w:sz="2" w:space="0" w:color="F4B083"/>
              <w:right w:val="single" w:sz="2" w:space="0" w:color="F4B083"/>
            </w:tcBorders>
            <w:shd w:val="clear" w:color="auto" w:fill="FBE4D5"/>
            <w:tcMar>
              <w:top w:w="80" w:type="dxa"/>
              <w:left w:w="80" w:type="dxa"/>
              <w:bottom w:w="80" w:type="dxa"/>
              <w:right w:w="80" w:type="dxa"/>
            </w:tcMar>
            <w:vAlign w:val="center"/>
          </w:tcPr>
          <w:p w14:paraId="3D8A6143"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Hba1c</w:t>
            </w:r>
          </w:p>
        </w:tc>
        <w:tc>
          <w:tcPr>
            <w:tcW w:w="693"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00C22C59"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77.6</w:t>
            </w:r>
          </w:p>
        </w:tc>
        <w:tc>
          <w:tcPr>
            <w:tcW w:w="968"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342C001D"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18"/>
                <w:szCs w:val="18"/>
                <w:u w:color="000000"/>
                <w:bdr w:val="nil"/>
                <w:lang w:val="en-US" w:eastAsia="en-GB"/>
              </w:rPr>
              <w:t>67.0-88.3</w:t>
            </w:r>
          </w:p>
        </w:tc>
        <w:tc>
          <w:tcPr>
            <w:tcW w:w="692"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170D31B4"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67.0</w:t>
            </w:r>
          </w:p>
        </w:tc>
        <w:tc>
          <w:tcPr>
            <w:tcW w:w="964"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70388B36"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18"/>
                <w:szCs w:val="18"/>
                <w:u w:color="000000"/>
                <w:bdr w:val="nil"/>
                <w:lang w:val="en-US" w:eastAsia="en-GB"/>
              </w:rPr>
              <w:t>61.8-72.3</w:t>
            </w:r>
          </w:p>
        </w:tc>
        <w:tc>
          <w:tcPr>
            <w:tcW w:w="690"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44417D62"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58.7</w:t>
            </w:r>
          </w:p>
        </w:tc>
        <w:tc>
          <w:tcPr>
            <w:tcW w:w="970"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1F73E3E8"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18"/>
                <w:szCs w:val="18"/>
                <w:u w:color="000000"/>
                <w:bdr w:val="nil"/>
                <w:lang w:val="en-US" w:eastAsia="en-GB"/>
              </w:rPr>
              <w:t>53.2-64.2</w:t>
            </w:r>
          </w:p>
        </w:tc>
        <w:tc>
          <w:tcPr>
            <w:tcW w:w="692"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3BFB03D0"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w:t>
            </w:r>
          </w:p>
        </w:tc>
        <w:tc>
          <w:tcPr>
            <w:tcW w:w="970"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27CE15CF"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18"/>
                <w:szCs w:val="18"/>
                <w:u w:color="000000"/>
                <w:bdr w:val="nil"/>
                <w:lang w:val="en-US" w:eastAsia="en-GB"/>
              </w:rPr>
              <w:t>.</w:t>
            </w:r>
          </w:p>
        </w:tc>
        <w:tc>
          <w:tcPr>
            <w:tcW w:w="881" w:type="dxa"/>
            <w:tcBorders>
              <w:top w:val="single" w:sz="2" w:space="0" w:color="F4B083"/>
              <w:left w:val="single" w:sz="2" w:space="0" w:color="F4B083"/>
              <w:bottom w:val="single" w:sz="2" w:space="0" w:color="F4B083"/>
              <w:right w:val="single" w:sz="4" w:space="0" w:color="000000"/>
            </w:tcBorders>
            <w:shd w:val="clear" w:color="auto" w:fill="FBE4D5"/>
            <w:tcMar>
              <w:top w:w="80" w:type="dxa"/>
              <w:left w:w="80" w:type="dxa"/>
              <w:bottom w:w="80" w:type="dxa"/>
              <w:right w:w="80" w:type="dxa"/>
            </w:tcMar>
            <w:vAlign w:val="center"/>
          </w:tcPr>
          <w:p w14:paraId="28277879"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p=.006</w:t>
            </w:r>
            <w:r w:rsidRPr="00AF0E0B">
              <w:rPr>
                <w:rFonts w:ascii="Calibri" w:eastAsia="Calibri" w:hAnsi="Calibri" w:cs="Calibri"/>
                <w:b/>
                <w:bCs/>
                <w:i/>
                <w:iCs/>
                <w:color w:val="000000"/>
                <w:sz w:val="21"/>
                <w:szCs w:val="21"/>
                <w:u w:color="000000"/>
                <w:bdr w:val="nil"/>
                <w:vertAlign w:val="superscript"/>
                <w:lang w:val="en-US" w:eastAsia="en-GB"/>
              </w:rPr>
              <w:t>3</w:t>
            </w:r>
          </w:p>
        </w:tc>
      </w:tr>
      <w:tr w:rsidR="00AF0E0B" w:rsidRPr="00AF0E0B" w14:paraId="07943B1A" w14:textId="77777777" w:rsidTr="00AB4128">
        <w:trPr>
          <w:trHeight w:val="370"/>
          <w:jc w:val="right"/>
        </w:trPr>
        <w:tc>
          <w:tcPr>
            <w:tcW w:w="1494" w:type="dxa"/>
            <w:tcBorders>
              <w:top w:val="single" w:sz="2" w:space="0" w:color="F4B083"/>
              <w:left w:val="single" w:sz="4" w:space="0" w:color="000000"/>
              <w:bottom w:val="single" w:sz="2" w:space="0" w:color="F4B083"/>
              <w:right w:val="single" w:sz="2" w:space="0" w:color="F4B083"/>
            </w:tcBorders>
            <w:shd w:val="clear" w:color="auto" w:fill="auto"/>
            <w:tcMar>
              <w:top w:w="80" w:type="dxa"/>
              <w:left w:w="80" w:type="dxa"/>
              <w:bottom w:w="80" w:type="dxa"/>
              <w:right w:w="80" w:type="dxa"/>
            </w:tcMar>
            <w:vAlign w:val="center"/>
          </w:tcPr>
          <w:p w14:paraId="3E0DAFC5" w14:textId="17505A2D" w:rsidR="00AF0E0B" w:rsidRPr="00AF0E0B" w:rsidRDefault="00233478"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Pr>
                <w:rFonts w:ascii="Calibri" w:eastAsia="Calibri" w:hAnsi="Calibri" w:cs="Calibri"/>
                <w:i/>
                <w:iCs/>
                <w:color w:val="000000"/>
                <w:sz w:val="21"/>
                <w:szCs w:val="21"/>
                <w:u w:color="000000"/>
                <w:bdr w:val="nil"/>
                <w:lang w:val="en-US" w:eastAsia="en-GB"/>
              </w:rPr>
              <w:t>eGFR</w:t>
            </w:r>
          </w:p>
        </w:tc>
        <w:tc>
          <w:tcPr>
            <w:tcW w:w="693"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2E1CE751"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82.3</w:t>
            </w:r>
          </w:p>
        </w:tc>
        <w:tc>
          <w:tcPr>
            <w:tcW w:w="968"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25E2E498"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18"/>
                <w:szCs w:val="18"/>
                <w:u w:color="000000"/>
                <w:bdr w:val="nil"/>
                <w:lang w:val="en-US" w:eastAsia="en-GB"/>
              </w:rPr>
              <w:t>76.6-87.9</w:t>
            </w:r>
          </w:p>
        </w:tc>
        <w:tc>
          <w:tcPr>
            <w:tcW w:w="692"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0C6870B7"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84.2</w:t>
            </w:r>
          </w:p>
        </w:tc>
        <w:tc>
          <w:tcPr>
            <w:tcW w:w="964"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1DB8D9A0"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18"/>
                <w:szCs w:val="18"/>
                <w:u w:color="000000"/>
                <w:bdr w:val="nil"/>
                <w:lang w:val="en-US" w:eastAsia="en-GB"/>
              </w:rPr>
              <w:t>80.1-88.3</w:t>
            </w:r>
          </w:p>
        </w:tc>
        <w:tc>
          <w:tcPr>
            <w:tcW w:w="690"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57818AFE"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84.6</w:t>
            </w:r>
          </w:p>
        </w:tc>
        <w:tc>
          <w:tcPr>
            <w:tcW w:w="970"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1FBE1123"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18"/>
                <w:szCs w:val="18"/>
                <w:u w:color="000000"/>
                <w:bdr w:val="nil"/>
                <w:lang w:val="en-US" w:eastAsia="en-GB"/>
              </w:rPr>
              <w:t>79.5-89.8</w:t>
            </w:r>
          </w:p>
        </w:tc>
        <w:tc>
          <w:tcPr>
            <w:tcW w:w="692"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59A41D8A"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84.1</w:t>
            </w:r>
          </w:p>
        </w:tc>
        <w:tc>
          <w:tcPr>
            <w:tcW w:w="970"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080E2F52"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18"/>
                <w:szCs w:val="18"/>
                <w:u w:color="000000"/>
                <w:bdr w:val="nil"/>
                <w:lang w:val="en-US" w:eastAsia="en-GB"/>
              </w:rPr>
              <w:t>80.0-88.2</w:t>
            </w:r>
          </w:p>
        </w:tc>
        <w:tc>
          <w:tcPr>
            <w:tcW w:w="881" w:type="dxa"/>
            <w:tcBorders>
              <w:top w:val="single" w:sz="2" w:space="0" w:color="F4B083"/>
              <w:left w:val="single" w:sz="2" w:space="0" w:color="F4B083"/>
              <w:bottom w:val="single" w:sz="2" w:space="0" w:color="F4B083"/>
              <w:right w:val="single" w:sz="4" w:space="0" w:color="000000"/>
            </w:tcBorders>
            <w:shd w:val="clear" w:color="auto" w:fill="auto"/>
            <w:tcMar>
              <w:top w:w="80" w:type="dxa"/>
              <w:left w:w="80" w:type="dxa"/>
              <w:bottom w:w="80" w:type="dxa"/>
              <w:right w:w="80" w:type="dxa"/>
            </w:tcMar>
            <w:vAlign w:val="center"/>
          </w:tcPr>
          <w:p w14:paraId="233A1DC1"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p=.892</w:t>
            </w:r>
          </w:p>
        </w:tc>
      </w:tr>
      <w:tr w:rsidR="00AF0E0B" w:rsidRPr="00AF0E0B" w14:paraId="462194AE" w14:textId="77777777" w:rsidTr="00AB4128">
        <w:trPr>
          <w:trHeight w:val="485"/>
          <w:jc w:val="right"/>
        </w:trPr>
        <w:tc>
          <w:tcPr>
            <w:tcW w:w="1494" w:type="dxa"/>
            <w:tcBorders>
              <w:top w:val="single" w:sz="2" w:space="0" w:color="F4B083"/>
              <w:left w:val="single" w:sz="4" w:space="0" w:color="000000"/>
              <w:bottom w:val="single" w:sz="2" w:space="0" w:color="F4B083"/>
              <w:right w:val="single" w:sz="2" w:space="0" w:color="F4B083"/>
            </w:tcBorders>
            <w:shd w:val="clear" w:color="auto" w:fill="FBE4D5"/>
            <w:tcMar>
              <w:top w:w="80" w:type="dxa"/>
              <w:left w:w="80" w:type="dxa"/>
              <w:bottom w:w="80" w:type="dxa"/>
              <w:right w:w="80" w:type="dxa"/>
            </w:tcMar>
            <w:vAlign w:val="center"/>
          </w:tcPr>
          <w:p w14:paraId="5CABFA95"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NISLL+7</w:t>
            </w:r>
          </w:p>
        </w:tc>
        <w:tc>
          <w:tcPr>
            <w:tcW w:w="693"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4CB9116D"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37</w:t>
            </w:r>
          </w:p>
        </w:tc>
        <w:tc>
          <w:tcPr>
            <w:tcW w:w="968"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72DE60A1"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18"/>
                <w:szCs w:val="18"/>
                <w:u w:color="000000"/>
                <w:bdr w:val="nil"/>
                <w:lang w:val="en-US" w:eastAsia="en-GB"/>
              </w:rPr>
              <w:t>28-47</w:t>
            </w:r>
          </w:p>
        </w:tc>
        <w:tc>
          <w:tcPr>
            <w:tcW w:w="692"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582DFF1E"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26</w:t>
            </w:r>
          </w:p>
        </w:tc>
        <w:tc>
          <w:tcPr>
            <w:tcW w:w="964"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77A0FAD6"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18"/>
                <w:szCs w:val="18"/>
                <w:u w:color="000000"/>
                <w:bdr w:val="nil"/>
                <w:lang w:val="en-US" w:eastAsia="en-GB"/>
              </w:rPr>
              <w:t>18-34</w:t>
            </w:r>
          </w:p>
        </w:tc>
        <w:tc>
          <w:tcPr>
            <w:tcW w:w="690"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75C3D4E2"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2</w:t>
            </w:r>
          </w:p>
        </w:tc>
        <w:tc>
          <w:tcPr>
            <w:tcW w:w="970"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74CAC6BA"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1-3</w:t>
            </w:r>
          </w:p>
        </w:tc>
        <w:tc>
          <w:tcPr>
            <w:tcW w:w="692"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2236CBAD"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1</w:t>
            </w:r>
          </w:p>
        </w:tc>
        <w:tc>
          <w:tcPr>
            <w:tcW w:w="970"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2B307A4D"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0-2</w:t>
            </w:r>
          </w:p>
        </w:tc>
        <w:tc>
          <w:tcPr>
            <w:tcW w:w="881" w:type="dxa"/>
            <w:tcBorders>
              <w:top w:val="single" w:sz="2" w:space="0" w:color="F4B083"/>
              <w:left w:val="single" w:sz="2" w:space="0" w:color="F4B083"/>
              <w:bottom w:val="single" w:sz="2" w:space="0" w:color="F4B083"/>
              <w:right w:val="single" w:sz="4" w:space="0" w:color="000000"/>
            </w:tcBorders>
            <w:shd w:val="clear" w:color="auto" w:fill="FBE4D5"/>
            <w:tcMar>
              <w:top w:w="80" w:type="dxa"/>
              <w:left w:w="80" w:type="dxa"/>
              <w:bottom w:w="80" w:type="dxa"/>
              <w:right w:w="80" w:type="dxa"/>
            </w:tcMar>
            <w:vAlign w:val="center"/>
          </w:tcPr>
          <w:p w14:paraId="7DD09643"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p&lt;.001</w:t>
            </w:r>
            <w:r w:rsidRPr="00AF0E0B">
              <w:rPr>
                <w:rFonts w:ascii="Calibri" w:eastAsia="Calibri" w:hAnsi="Calibri" w:cs="Calibri"/>
                <w:b/>
                <w:bCs/>
                <w:i/>
                <w:iCs/>
                <w:color w:val="000000"/>
                <w:sz w:val="21"/>
                <w:szCs w:val="21"/>
                <w:u w:color="000000"/>
                <w:bdr w:val="nil"/>
                <w:vertAlign w:val="superscript"/>
                <w:lang w:val="en-US" w:eastAsia="en-GB"/>
              </w:rPr>
              <w:t>4</w:t>
            </w:r>
          </w:p>
        </w:tc>
      </w:tr>
      <w:tr w:rsidR="00AF0E0B" w:rsidRPr="00AF0E0B" w14:paraId="038C4210" w14:textId="77777777" w:rsidTr="00AB4128">
        <w:trPr>
          <w:trHeight w:val="485"/>
          <w:jc w:val="right"/>
        </w:trPr>
        <w:tc>
          <w:tcPr>
            <w:tcW w:w="1494" w:type="dxa"/>
            <w:tcBorders>
              <w:top w:val="single" w:sz="2" w:space="0" w:color="F4B083"/>
              <w:left w:val="single" w:sz="4" w:space="0" w:color="000000"/>
              <w:bottom w:val="single" w:sz="2" w:space="0" w:color="F4B083"/>
              <w:right w:val="single" w:sz="2" w:space="0" w:color="F4B083"/>
            </w:tcBorders>
            <w:shd w:val="clear" w:color="auto" w:fill="auto"/>
            <w:tcMar>
              <w:top w:w="80" w:type="dxa"/>
              <w:left w:w="80" w:type="dxa"/>
              <w:bottom w:w="80" w:type="dxa"/>
              <w:right w:w="80" w:type="dxa"/>
            </w:tcMar>
            <w:vAlign w:val="center"/>
          </w:tcPr>
          <w:p w14:paraId="1151B94C"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DN4</w:t>
            </w:r>
          </w:p>
        </w:tc>
        <w:tc>
          <w:tcPr>
            <w:tcW w:w="693"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073E432C"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6</w:t>
            </w:r>
          </w:p>
        </w:tc>
        <w:tc>
          <w:tcPr>
            <w:tcW w:w="968"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7AA3A90D"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6-7</w:t>
            </w:r>
          </w:p>
        </w:tc>
        <w:tc>
          <w:tcPr>
            <w:tcW w:w="692"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73994F28"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0</w:t>
            </w:r>
          </w:p>
        </w:tc>
        <w:tc>
          <w:tcPr>
            <w:tcW w:w="964"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5B7EA00D"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0-1</w:t>
            </w:r>
          </w:p>
        </w:tc>
        <w:tc>
          <w:tcPr>
            <w:tcW w:w="690"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23CEE991"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0</w:t>
            </w:r>
          </w:p>
        </w:tc>
        <w:tc>
          <w:tcPr>
            <w:tcW w:w="970"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53E32728"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0-0</w:t>
            </w:r>
          </w:p>
        </w:tc>
        <w:tc>
          <w:tcPr>
            <w:tcW w:w="692"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4C620E4F"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0</w:t>
            </w:r>
          </w:p>
        </w:tc>
        <w:tc>
          <w:tcPr>
            <w:tcW w:w="970"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68CBD24D"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0-0</w:t>
            </w:r>
          </w:p>
        </w:tc>
        <w:tc>
          <w:tcPr>
            <w:tcW w:w="881" w:type="dxa"/>
            <w:tcBorders>
              <w:top w:val="single" w:sz="2" w:space="0" w:color="F4B083"/>
              <w:left w:val="single" w:sz="2" w:space="0" w:color="F4B083"/>
              <w:bottom w:val="single" w:sz="2" w:space="0" w:color="F4B083"/>
              <w:right w:val="single" w:sz="4" w:space="0" w:color="000000"/>
            </w:tcBorders>
            <w:shd w:val="clear" w:color="auto" w:fill="auto"/>
            <w:tcMar>
              <w:top w:w="80" w:type="dxa"/>
              <w:left w:w="80" w:type="dxa"/>
              <w:bottom w:w="80" w:type="dxa"/>
              <w:right w:w="80" w:type="dxa"/>
            </w:tcMar>
            <w:vAlign w:val="center"/>
          </w:tcPr>
          <w:p w14:paraId="6E4FB97F"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p&lt;.001</w:t>
            </w:r>
            <w:r w:rsidRPr="00AF0E0B">
              <w:rPr>
                <w:rFonts w:ascii="Calibri" w:eastAsia="Calibri" w:hAnsi="Calibri" w:cs="Calibri"/>
                <w:b/>
                <w:bCs/>
                <w:i/>
                <w:iCs/>
                <w:color w:val="000000"/>
                <w:sz w:val="21"/>
                <w:szCs w:val="21"/>
                <w:u w:color="000000"/>
                <w:bdr w:val="nil"/>
                <w:vertAlign w:val="superscript"/>
                <w:lang w:val="en-US" w:eastAsia="en-GB"/>
              </w:rPr>
              <w:t>5</w:t>
            </w:r>
          </w:p>
        </w:tc>
      </w:tr>
      <w:tr w:rsidR="00AF0E0B" w:rsidRPr="00AF0E0B" w14:paraId="20E60ACC" w14:textId="77777777" w:rsidTr="00AB4128">
        <w:trPr>
          <w:trHeight w:val="370"/>
          <w:jc w:val="right"/>
        </w:trPr>
        <w:tc>
          <w:tcPr>
            <w:tcW w:w="1494" w:type="dxa"/>
            <w:tcBorders>
              <w:top w:val="single" w:sz="2" w:space="0" w:color="F4B083"/>
              <w:left w:val="single" w:sz="4" w:space="0" w:color="000000"/>
              <w:bottom w:val="single" w:sz="2" w:space="0" w:color="F4B083"/>
              <w:right w:val="single" w:sz="2" w:space="0" w:color="F4B083"/>
            </w:tcBorders>
            <w:shd w:val="clear" w:color="auto" w:fill="FBE4D5"/>
            <w:tcMar>
              <w:top w:w="80" w:type="dxa"/>
              <w:left w:w="80" w:type="dxa"/>
              <w:bottom w:w="80" w:type="dxa"/>
              <w:right w:w="80" w:type="dxa"/>
            </w:tcMar>
            <w:vAlign w:val="center"/>
          </w:tcPr>
          <w:p w14:paraId="36CF1C48" w14:textId="77777777" w:rsidR="00AF0E0B" w:rsidRPr="00AF0E0B" w:rsidRDefault="00AF0E0B" w:rsidP="00AF0E0B">
            <w:pPr>
              <w:pBdr>
                <w:top w:val="nil"/>
                <w:left w:val="nil"/>
                <w:bottom w:val="nil"/>
                <w:right w:val="nil"/>
                <w:between w:val="nil"/>
                <w:bar w:val="nil"/>
              </w:pBdr>
              <w:rPr>
                <w:rFonts w:ascii="Times New Roman" w:eastAsia="Arial Unicode MS" w:hAnsi="Times New Roman" w:cs="Times New Roman"/>
                <w:bdr w:val="nil"/>
                <w:lang w:val="en-US"/>
              </w:rPr>
            </w:pPr>
          </w:p>
        </w:tc>
        <w:tc>
          <w:tcPr>
            <w:tcW w:w="693"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427CC009"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N</w:t>
            </w:r>
          </w:p>
        </w:tc>
        <w:tc>
          <w:tcPr>
            <w:tcW w:w="968"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46DFF6DB"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w:t>
            </w:r>
          </w:p>
        </w:tc>
        <w:tc>
          <w:tcPr>
            <w:tcW w:w="692"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190E0461"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N</w:t>
            </w:r>
          </w:p>
        </w:tc>
        <w:tc>
          <w:tcPr>
            <w:tcW w:w="964"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49CAC864"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w:t>
            </w:r>
          </w:p>
        </w:tc>
        <w:tc>
          <w:tcPr>
            <w:tcW w:w="690"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0376854A"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N</w:t>
            </w:r>
          </w:p>
        </w:tc>
        <w:tc>
          <w:tcPr>
            <w:tcW w:w="970"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74E41D01"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w:t>
            </w:r>
          </w:p>
        </w:tc>
        <w:tc>
          <w:tcPr>
            <w:tcW w:w="692"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6E39A73F"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N</w:t>
            </w:r>
          </w:p>
        </w:tc>
        <w:tc>
          <w:tcPr>
            <w:tcW w:w="970"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34D20DB4"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w:t>
            </w:r>
          </w:p>
        </w:tc>
        <w:tc>
          <w:tcPr>
            <w:tcW w:w="881" w:type="dxa"/>
            <w:tcBorders>
              <w:top w:val="single" w:sz="2" w:space="0" w:color="F4B083"/>
              <w:left w:val="single" w:sz="2" w:space="0" w:color="F4B083"/>
              <w:bottom w:val="single" w:sz="2" w:space="0" w:color="F4B083"/>
              <w:right w:val="single" w:sz="4" w:space="0" w:color="000000"/>
            </w:tcBorders>
            <w:shd w:val="clear" w:color="auto" w:fill="FBE4D5"/>
            <w:tcMar>
              <w:top w:w="80" w:type="dxa"/>
              <w:left w:w="80" w:type="dxa"/>
              <w:bottom w:w="80" w:type="dxa"/>
              <w:right w:w="80" w:type="dxa"/>
            </w:tcMar>
            <w:vAlign w:val="center"/>
          </w:tcPr>
          <w:p w14:paraId="796488EE" w14:textId="77777777" w:rsidR="00AF0E0B" w:rsidRPr="00AF0E0B" w:rsidRDefault="00AF0E0B" w:rsidP="00AF0E0B">
            <w:pPr>
              <w:pBdr>
                <w:top w:val="nil"/>
                <w:left w:val="nil"/>
                <w:bottom w:val="nil"/>
                <w:right w:val="nil"/>
                <w:between w:val="nil"/>
                <w:bar w:val="nil"/>
              </w:pBdr>
              <w:rPr>
                <w:rFonts w:ascii="Times New Roman" w:eastAsia="Arial Unicode MS" w:hAnsi="Times New Roman" w:cs="Times New Roman"/>
                <w:bdr w:val="nil"/>
                <w:lang w:val="en-US"/>
              </w:rPr>
            </w:pPr>
          </w:p>
        </w:tc>
      </w:tr>
      <w:tr w:rsidR="00AF0E0B" w:rsidRPr="00AF0E0B" w14:paraId="2FB4B5E6" w14:textId="77777777" w:rsidTr="00AB4128">
        <w:trPr>
          <w:trHeight w:val="485"/>
          <w:jc w:val="right"/>
        </w:trPr>
        <w:tc>
          <w:tcPr>
            <w:tcW w:w="1494" w:type="dxa"/>
            <w:tcBorders>
              <w:top w:val="single" w:sz="2" w:space="0" w:color="F4B083"/>
              <w:left w:val="single" w:sz="4" w:space="0" w:color="000000"/>
              <w:bottom w:val="single" w:sz="2" w:space="0" w:color="F4B083"/>
              <w:right w:val="single" w:sz="2" w:space="0" w:color="F4B083"/>
            </w:tcBorders>
            <w:shd w:val="clear" w:color="auto" w:fill="auto"/>
            <w:tcMar>
              <w:top w:w="80" w:type="dxa"/>
              <w:left w:w="80" w:type="dxa"/>
              <w:bottom w:w="80" w:type="dxa"/>
              <w:right w:w="80" w:type="dxa"/>
            </w:tcMar>
            <w:vAlign w:val="center"/>
          </w:tcPr>
          <w:p w14:paraId="34390329"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Gender(F)</w:t>
            </w:r>
          </w:p>
        </w:tc>
        <w:tc>
          <w:tcPr>
            <w:tcW w:w="693"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0A3B0793"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8/19</w:t>
            </w:r>
          </w:p>
        </w:tc>
        <w:tc>
          <w:tcPr>
            <w:tcW w:w="968"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159E576A"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42.1%</w:t>
            </w:r>
          </w:p>
        </w:tc>
        <w:tc>
          <w:tcPr>
            <w:tcW w:w="692"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768C3C25"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9/23</w:t>
            </w:r>
          </w:p>
        </w:tc>
        <w:tc>
          <w:tcPr>
            <w:tcW w:w="964"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7CEC51F2"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39.1%</w:t>
            </w:r>
          </w:p>
        </w:tc>
        <w:tc>
          <w:tcPr>
            <w:tcW w:w="690"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1110B085"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10/13</w:t>
            </w:r>
          </w:p>
        </w:tc>
        <w:tc>
          <w:tcPr>
            <w:tcW w:w="970"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48509EAE"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76.9%</w:t>
            </w:r>
          </w:p>
        </w:tc>
        <w:tc>
          <w:tcPr>
            <w:tcW w:w="692"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57E4542C"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9/19</w:t>
            </w:r>
          </w:p>
        </w:tc>
        <w:tc>
          <w:tcPr>
            <w:tcW w:w="970"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6D7E0974"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52.6%</w:t>
            </w:r>
          </w:p>
        </w:tc>
        <w:tc>
          <w:tcPr>
            <w:tcW w:w="881" w:type="dxa"/>
            <w:tcBorders>
              <w:top w:val="single" w:sz="2" w:space="0" w:color="F4B083"/>
              <w:left w:val="single" w:sz="2" w:space="0" w:color="F4B083"/>
              <w:bottom w:val="single" w:sz="2" w:space="0" w:color="F4B083"/>
              <w:right w:val="single" w:sz="4" w:space="0" w:color="000000"/>
            </w:tcBorders>
            <w:shd w:val="clear" w:color="auto" w:fill="auto"/>
            <w:tcMar>
              <w:top w:w="80" w:type="dxa"/>
              <w:left w:w="80" w:type="dxa"/>
              <w:bottom w:w="80" w:type="dxa"/>
              <w:right w:w="80" w:type="dxa"/>
            </w:tcMar>
            <w:vAlign w:val="center"/>
          </w:tcPr>
          <w:p w14:paraId="173D8F72"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p=.146</w:t>
            </w:r>
          </w:p>
        </w:tc>
      </w:tr>
      <w:tr w:rsidR="00AF0E0B" w:rsidRPr="00AF0E0B" w14:paraId="752CFE13" w14:textId="77777777" w:rsidTr="00AB4128">
        <w:trPr>
          <w:trHeight w:val="370"/>
          <w:jc w:val="right"/>
        </w:trPr>
        <w:tc>
          <w:tcPr>
            <w:tcW w:w="1494" w:type="dxa"/>
            <w:tcBorders>
              <w:top w:val="single" w:sz="2" w:space="0" w:color="F4B083"/>
              <w:left w:val="single" w:sz="4" w:space="0" w:color="000000"/>
              <w:bottom w:val="single" w:sz="2" w:space="0" w:color="F4B083"/>
              <w:right w:val="single" w:sz="2" w:space="0" w:color="F4B083"/>
            </w:tcBorders>
            <w:shd w:val="clear" w:color="auto" w:fill="FBE4D5"/>
            <w:tcMar>
              <w:top w:w="80" w:type="dxa"/>
              <w:left w:w="80" w:type="dxa"/>
              <w:bottom w:w="80" w:type="dxa"/>
              <w:right w:w="80" w:type="dxa"/>
            </w:tcMar>
            <w:vAlign w:val="center"/>
          </w:tcPr>
          <w:p w14:paraId="42B2F5D9"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 xml:space="preserve">Ex-smoker </w:t>
            </w:r>
          </w:p>
        </w:tc>
        <w:tc>
          <w:tcPr>
            <w:tcW w:w="693"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668E4FA2"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5/19</w:t>
            </w:r>
          </w:p>
        </w:tc>
        <w:tc>
          <w:tcPr>
            <w:tcW w:w="968"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7C91F6D4"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26.3%</w:t>
            </w:r>
          </w:p>
        </w:tc>
        <w:tc>
          <w:tcPr>
            <w:tcW w:w="692"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06B72253"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0/23</w:t>
            </w:r>
          </w:p>
        </w:tc>
        <w:tc>
          <w:tcPr>
            <w:tcW w:w="964"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3AAC6EA5"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0%</w:t>
            </w:r>
          </w:p>
        </w:tc>
        <w:tc>
          <w:tcPr>
            <w:tcW w:w="690"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041D7507"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0/13</w:t>
            </w:r>
          </w:p>
        </w:tc>
        <w:tc>
          <w:tcPr>
            <w:tcW w:w="970"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791F5326"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0%</w:t>
            </w:r>
          </w:p>
        </w:tc>
        <w:tc>
          <w:tcPr>
            <w:tcW w:w="692"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41C5CF31"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0/19</w:t>
            </w:r>
          </w:p>
        </w:tc>
        <w:tc>
          <w:tcPr>
            <w:tcW w:w="970"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5CAA6457"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0%</w:t>
            </w:r>
          </w:p>
        </w:tc>
        <w:tc>
          <w:tcPr>
            <w:tcW w:w="881" w:type="dxa"/>
            <w:tcBorders>
              <w:top w:val="single" w:sz="2" w:space="0" w:color="F4B083"/>
              <w:left w:val="single" w:sz="2" w:space="0" w:color="F4B083"/>
              <w:bottom w:val="single" w:sz="2" w:space="0" w:color="F4B083"/>
              <w:right w:val="single" w:sz="4" w:space="0" w:color="000000"/>
            </w:tcBorders>
            <w:shd w:val="clear" w:color="auto" w:fill="FBE4D5"/>
            <w:tcMar>
              <w:top w:w="80" w:type="dxa"/>
              <w:left w:w="80" w:type="dxa"/>
              <w:bottom w:w="80" w:type="dxa"/>
              <w:right w:w="80" w:type="dxa"/>
            </w:tcMar>
            <w:vAlign w:val="center"/>
          </w:tcPr>
          <w:p w14:paraId="0FD839C5"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p&lt;.001</w:t>
            </w:r>
          </w:p>
        </w:tc>
      </w:tr>
      <w:tr w:rsidR="00AF0E0B" w:rsidRPr="00AF0E0B" w14:paraId="271703F0" w14:textId="77777777" w:rsidTr="00AB4128">
        <w:trPr>
          <w:trHeight w:val="485"/>
          <w:jc w:val="right"/>
        </w:trPr>
        <w:tc>
          <w:tcPr>
            <w:tcW w:w="1494" w:type="dxa"/>
            <w:tcBorders>
              <w:top w:val="single" w:sz="2" w:space="0" w:color="F4B083"/>
              <w:left w:val="single" w:sz="4" w:space="0" w:color="000000"/>
              <w:bottom w:val="single" w:sz="2" w:space="0" w:color="F4B083"/>
              <w:right w:val="single" w:sz="2" w:space="0" w:color="F4B083"/>
            </w:tcBorders>
            <w:shd w:val="clear" w:color="auto" w:fill="auto"/>
            <w:tcMar>
              <w:top w:w="80" w:type="dxa"/>
              <w:left w:w="80" w:type="dxa"/>
              <w:bottom w:w="80" w:type="dxa"/>
              <w:right w:w="80" w:type="dxa"/>
            </w:tcMar>
            <w:vAlign w:val="center"/>
          </w:tcPr>
          <w:p w14:paraId="5A1C11FE"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Macrovascular Disease</w:t>
            </w:r>
          </w:p>
        </w:tc>
        <w:tc>
          <w:tcPr>
            <w:tcW w:w="693"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01EB171E"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2/19</w:t>
            </w:r>
          </w:p>
        </w:tc>
        <w:tc>
          <w:tcPr>
            <w:tcW w:w="968"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32E28535"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10.5%</w:t>
            </w:r>
          </w:p>
        </w:tc>
        <w:tc>
          <w:tcPr>
            <w:tcW w:w="692"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371D1BA6"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5/23</w:t>
            </w:r>
          </w:p>
        </w:tc>
        <w:tc>
          <w:tcPr>
            <w:tcW w:w="964"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72BA6E2B"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21.7%</w:t>
            </w:r>
          </w:p>
        </w:tc>
        <w:tc>
          <w:tcPr>
            <w:tcW w:w="690"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752150AB"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0/13</w:t>
            </w:r>
          </w:p>
        </w:tc>
        <w:tc>
          <w:tcPr>
            <w:tcW w:w="970"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1A20A370"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0.0%</w:t>
            </w:r>
          </w:p>
        </w:tc>
        <w:tc>
          <w:tcPr>
            <w:tcW w:w="692"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712AC824"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1/19</w:t>
            </w:r>
          </w:p>
        </w:tc>
        <w:tc>
          <w:tcPr>
            <w:tcW w:w="970"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114CFFB9"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5.3%</w:t>
            </w:r>
          </w:p>
        </w:tc>
        <w:tc>
          <w:tcPr>
            <w:tcW w:w="881" w:type="dxa"/>
            <w:tcBorders>
              <w:top w:val="single" w:sz="2" w:space="0" w:color="F4B083"/>
              <w:left w:val="single" w:sz="2" w:space="0" w:color="F4B083"/>
              <w:bottom w:val="single" w:sz="2" w:space="0" w:color="F4B083"/>
              <w:right w:val="single" w:sz="4" w:space="0" w:color="000000"/>
            </w:tcBorders>
            <w:shd w:val="clear" w:color="auto" w:fill="auto"/>
            <w:tcMar>
              <w:top w:w="80" w:type="dxa"/>
              <w:left w:w="80" w:type="dxa"/>
              <w:bottom w:w="80" w:type="dxa"/>
              <w:right w:w="80" w:type="dxa"/>
            </w:tcMar>
            <w:vAlign w:val="center"/>
          </w:tcPr>
          <w:p w14:paraId="51FB0C63"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p=.169</w:t>
            </w:r>
          </w:p>
        </w:tc>
      </w:tr>
      <w:tr w:rsidR="00AF0E0B" w:rsidRPr="00AF0E0B" w14:paraId="1D4E57D0" w14:textId="77777777" w:rsidTr="00AB4128">
        <w:trPr>
          <w:trHeight w:val="485"/>
          <w:jc w:val="right"/>
        </w:trPr>
        <w:tc>
          <w:tcPr>
            <w:tcW w:w="1494" w:type="dxa"/>
            <w:tcBorders>
              <w:top w:val="single" w:sz="2" w:space="0" w:color="F4B083"/>
              <w:left w:val="single" w:sz="4" w:space="0" w:color="000000"/>
              <w:bottom w:val="single" w:sz="2" w:space="0" w:color="F4B083"/>
              <w:right w:val="single" w:sz="2" w:space="0" w:color="F4B083"/>
            </w:tcBorders>
            <w:shd w:val="clear" w:color="auto" w:fill="FBE4D5"/>
            <w:tcMar>
              <w:top w:w="80" w:type="dxa"/>
              <w:left w:w="80" w:type="dxa"/>
              <w:bottom w:w="80" w:type="dxa"/>
              <w:right w:w="80" w:type="dxa"/>
            </w:tcMar>
            <w:vAlign w:val="center"/>
          </w:tcPr>
          <w:p w14:paraId="38FEDD16"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Retinopathy</w:t>
            </w:r>
          </w:p>
        </w:tc>
        <w:tc>
          <w:tcPr>
            <w:tcW w:w="693"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24747919" w14:textId="77777777" w:rsidR="00AF0E0B" w:rsidRPr="00AF0E0B" w:rsidRDefault="00AF0E0B" w:rsidP="00AF0E0B">
            <w:pPr>
              <w:pBdr>
                <w:top w:val="nil"/>
                <w:left w:val="nil"/>
                <w:bottom w:val="nil"/>
                <w:right w:val="nil"/>
                <w:between w:val="nil"/>
                <w:bar w:val="nil"/>
              </w:pBdr>
              <w:rPr>
                <w:rFonts w:ascii="Times New Roman" w:eastAsia="Arial Unicode MS" w:hAnsi="Times New Roman" w:cs="Times New Roman"/>
                <w:bdr w:val="nil"/>
                <w:lang w:val="en-US"/>
              </w:rPr>
            </w:pPr>
          </w:p>
        </w:tc>
        <w:tc>
          <w:tcPr>
            <w:tcW w:w="968"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23568156" w14:textId="77777777" w:rsidR="00AF0E0B" w:rsidRPr="00AF0E0B" w:rsidRDefault="00AF0E0B" w:rsidP="00AF0E0B">
            <w:pPr>
              <w:pBdr>
                <w:top w:val="nil"/>
                <w:left w:val="nil"/>
                <w:bottom w:val="nil"/>
                <w:right w:val="nil"/>
                <w:between w:val="nil"/>
                <w:bar w:val="nil"/>
              </w:pBdr>
              <w:rPr>
                <w:rFonts w:ascii="Times New Roman" w:eastAsia="Arial Unicode MS" w:hAnsi="Times New Roman" w:cs="Times New Roman"/>
                <w:bdr w:val="nil"/>
                <w:lang w:val="en-US"/>
              </w:rPr>
            </w:pPr>
          </w:p>
        </w:tc>
        <w:tc>
          <w:tcPr>
            <w:tcW w:w="692"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48AC7E22" w14:textId="77777777" w:rsidR="00AF0E0B" w:rsidRPr="00AF0E0B" w:rsidRDefault="00AF0E0B" w:rsidP="00AF0E0B">
            <w:pPr>
              <w:pBdr>
                <w:top w:val="nil"/>
                <w:left w:val="nil"/>
                <w:bottom w:val="nil"/>
                <w:right w:val="nil"/>
                <w:between w:val="nil"/>
                <w:bar w:val="nil"/>
              </w:pBdr>
              <w:rPr>
                <w:rFonts w:ascii="Times New Roman" w:eastAsia="Arial Unicode MS" w:hAnsi="Times New Roman" w:cs="Times New Roman"/>
                <w:bdr w:val="nil"/>
                <w:lang w:val="en-US"/>
              </w:rPr>
            </w:pPr>
          </w:p>
        </w:tc>
        <w:tc>
          <w:tcPr>
            <w:tcW w:w="964"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1C6FB98B" w14:textId="77777777" w:rsidR="00AF0E0B" w:rsidRPr="00AF0E0B" w:rsidRDefault="00AF0E0B" w:rsidP="00AF0E0B">
            <w:pPr>
              <w:pBdr>
                <w:top w:val="nil"/>
                <w:left w:val="nil"/>
                <w:bottom w:val="nil"/>
                <w:right w:val="nil"/>
                <w:between w:val="nil"/>
                <w:bar w:val="nil"/>
              </w:pBdr>
              <w:rPr>
                <w:rFonts w:ascii="Times New Roman" w:eastAsia="Arial Unicode MS" w:hAnsi="Times New Roman" w:cs="Times New Roman"/>
                <w:bdr w:val="nil"/>
                <w:lang w:val="en-US"/>
              </w:rPr>
            </w:pPr>
          </w:p>
        </w:tc>
        <w:tc>
          <w:tcPr>
            <w:tcW w:w="690"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052DBF26" w14:textId="77777777" w:rsidR="00AF0E0B" w:rsidRPr="00AF0E0B" w:rsidRDefault="00AF0E0B" w:rsidP="00AF0E0B">
            <w:pPr>
              <w:pBdr>
                <w:top w:val="nil"/>
                <w:left w:val="nil"/>
                <w:bottom w:val="nil"/>
                <w:right w:val="nil"/>
                <w:between w:val="nil"/>
                <w:bar w:val="nil"/>
              </w:pBdr>
              <w:rPr>
                <w:rFonts w:ascii="Times New Roman" w:eastAsia="Arial Unicode MS" w:hAnsi="Times New Roman" w:cs="Times New Roman"/>
                <w:bdr w:val="nil"/>
                <w:lang w:val="en-US"/>
              </w:rPr>
            </w:pPr>
          </w:p>
        </w:tc>
        <w:tc>
          <w:tcPr>
            <w:tcW w:w="970"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470ACA61" w14:textId="77777777" w:rsidR="00AF0E0B" w:rsidRPr="00AF0E0B" w:rsidRDefault="00AF0E0B" w:rsidP="00AF0E0B">
            <w:pPr>
              <w:pBdr>
                <w:top w:val="nil"/>
                <w:left w:val="nil"/>
                <w:bottom w:val="nil"/>
                <w:right w:val="nil"/>
                <w:between w:val="nil"/>
                <w:bar w:val="nil"/>
              </w:pBdr>
              <w:rPr>
                <w:rFonts w:ascii="Times New Roman" w:eastAsia="Arial Unicode MS" w:hAnsi="Times New Roman" w:cs="Times New Roman"/>
                <w:bdr w:val="nil"/>
                <w:lang w:val="en-US"/>
              </w:rPr>
            </w:pPr>
          </w:p>
        </w:tc>
        <w:tc>
          <w:tcPr>
            <w:tcW w:w="692"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0402C036" w14:textId="77777777" w:rsidR="00AF0E0B" w:rsidRPr="00AF0E0B" w:rsidRDefault="00AF0E0B" w:rsidP="00AF0E0B">
            <w:pPr>
              <w:pBdr>
                <w:top w:val="nil"/>
                <w:left w:val="nil"/>
                <w:bottom w:val="nil"/>
                <w:right w:val="nil"/>
                <w:between w:val="nil"/>
                <w:bar w:val="nil"/>
              </w:pBdr>
              <w:rPr>
                <w:rFonts w:ascii="Times New Roman" w:eastAsia="Arial Unicode MS" w:hAnsi="Times New Roman" w:cs="Times New Roman"/>
                <w:bdr w:val="nil"/>
                <w:lang w:val="en-US"/>
              </w:rPr>
            </w:pPr>
          </w:p>
        </w:tc>
        <w:tc>
          <w:tcPr>
            <w:tcW w:w="970"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78948A57" w14:textId="77777777" w:rsidR="00AF0E0B" w:rsidRPr="00AF0E0B" w:rsidRDefault="00AF0E0B" w:rsidP="00AF0E0B">
            <w:pPr>
              <w:pBdr>
                <w:top w:val="nil"/>
                <w:left w:val="nil"/>
                <w:bottom w:val="nil"/>
                <w:right w:val="nil"/>
                <w:between w:val="nil"/>
                <w:bar w:val="nil"/>
              </w:pBdr>
              <w:rPr>
                <w:rFonts w:ascii="Times New Roman" w:eastAsia="Arial Unicode MS" w:hAnsi="Times New Roman" w:cs="Times New Roman"/>
                <w:bdr w:val="nil"/>
                <w:lang w:val="en-US"/>
              </w:rPr>
            </w:pPr>
          </w:p>
        </w:tc>
        <w:tc>
          <w:tcPr>
            <w:tcW w:w="881" w:type="dxa"/>
            <w:tcBorders>
              <w:top w:val="single" w:sz="2" w:space="0" w:color="F4B083"/>
              <w:left w:val="single" w:sz="2" w:space="0" w:color="F4B083"/>
              <w:bottom w:val="single" w:sz="2" w:space="0" w:color="F4B083"/>
              <w:right w:val="single" w:sz="4" w:space="0" w:color="000000"/>
            </w:tcBorders>
            <w:shd w:val="clear" w:color="auto" w:fill="FBE4D5"/>
            <w:tcMar>
              <w:top w:w="80" w:type="dxa"/>
              <w:left w:w="80" w:type="dxa"/>
              <w:bottom w:w="80" w:type="dxa"/>
              <w:right w:w="80" w:type="dxa"/>
            </w:tcMar>
            <w:vAlign w:val="center"/>
          </w:tcPr>
          <w:p w14:paraId="758C2AAE"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p=.024</w:t>
            </w:r>
            <w:r w:rsidRPr="00AF0E0B">
              <w:rPr>
                <w:rFonts w:ascii="Calibri" w:eastAsia="Calibri" w:hAnsi="Calibri" w:cs="Calibri"/>
                <w:b/>
                <w:bCs/>
                <w:i/>
                <w:iCs/>
                <w:color w:val="000000"/>
                <w:sz w:val="21"/>
                <w:szCs w:val="21"/>
                <w:u w:color="000000"/>
                <w:bdr w:val="nil"/>
                <w:vertAlign w:val="superscript"/>
                <w:lang w:val="en-US" w:eastAsia="en-GB"/>
              </w:rPr>
              <w:t>6</w:t>
            </w:r>
          </w:p>
        </w:tc>
      </w:tr>
      <w:tr w:rsidR="00AF0E0B" w:rsidRPr="00AF0E0B" w14:paraId="0966ECD5" w14:textId="77777777" w:rsidTr="00AB4128">
        <w:trPr>
          <w:trHeight w:val="370"/>
          <w:jc w:val="right"/>
        </w:trPr>
        <w:tc>
          <w:tcPr>
            <w:tcW w:w="1494" w:type="dxa"/>
            <w:tcBorders>
              <w:top w:val="single" w:sz="2" w:space="0" w:color="F4B083"/>
              <w:left w:val="single" w:sz="4" w:space="0" w:color="000000"/>
              <w:bottom w:val="single" w:sz="2" w:space="0" w:color="F4B083"/>
              <w:right w:val="single" w:sz="2" w:space="0" w:color="F4B083"/>
            </w:tcBorders>
            <w:shd w:val="clear" w:color="auto" w:fill="auto"/>
            <w:tcMar>
              <w:top w:w="80" w:type="dxa"/>
              <w:left w:w="80" w:type="dxa"/>
              <w:bottom w:w="80" w:type="dxa"/>
              <w:right w:w="80" w:type="dxa"/>
            </w:tcMar>
            <w:vAlign w:val="center"/>
          </w:tcPr>
          <w:p w14:paraId="618B911D"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None</w:t>
            </w:r>
          </w:p>
        </w:tc>
        <w:tc>
          <w:tcPr>
            <w:tcW w:w="693"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424AFB79"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1</w:t>
            </w:r>
          </w:p>
        </w:tc>
        <w:tc>
          <w:tcPr>
            <w:tcW w:w="968"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519E270D"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5.3%</w:t>
            </w:r>
          </w:p>
        </w:tc>
        <w:tc>
          <w:tcPr>
            <w:tcW w:w="692"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3B4CEC40"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2</w:t>
            </w:r>
          </w:p>
        </w:tc>
        <w:tc>
          <w:tcPr>
            <w:tcW w:w="964"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11101484"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8.7%</w:t>
            </w:r>
          </w:p>
        </w:tc>
        <w:tc>
          <w:tcPr>
            <w:tcW w:w="690"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30EFC773"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5</w:t>
            </w:r>
          </w:p>
        </w:tc>
        <w:tc>
          <w:tcPr>
            <w:tcW w:w="970"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79C342CB"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38.5%</w:t>
            </w:r>
          </w:p>
        </w:tc>
        <w:tc>
          <w:tcPr>
            <w:tcW w:w="692"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52E6528B" w14:textId="77777777" w:rsidR="00AF0E0B" w:rsidRPr="00AF0E0B" w:rsidRDefault="00AF0E0B" w:rsidP="00AF0E0B">
            <w:pPr>
              <w:pBdr>
                <w:top w:val="nil"/>
                <w:left w:val="nil"/>
                <w:bottom w:val="nil"/>
                <w:right w:val="nil"/>
                <w:between w:val="nil"/>
                <w:bar w:val="nil"/>
              </w:pBdr>
              <w:rPr>
                <w:rFonts w:ascii="Times New Roman" w:eastAsia="Arial Unicode MS" w:hAnsi="Times New Roman" w:cs="Times New Roman"/>
                <w:bdr w:val="nil"/>
                <w:lang w:val="en-US"/>
              </w:rPr>
            </w:pPr>
          </w:p>
        </w:tc>
        <w:tc>
          <w:tcPr>
            <w:tcW w:w="970"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68F96E71" w14:textId="77777777" w:rsidR="00AF0E0B" w:rsidRPr="00AF0E0B" w:rsidRDefault="00AF0E0B" w:rsidP="00AF0E0B">
            <w:pPr>
              <w:pBdr>
                <w:top w:val="nil"/>
                <w:left w:val="nil"/>
                <w:bottom w:val="nil"/>
                <w:right w:val="nil"/>
                <w:between w:val="nil"/>
                <w:bar w:val="nil"/>
              </w:pBdr>
              <w:rPr>
                <w:rFonts w:ascii="Times New Roman" w:eastAsia="Arial Unicode MS" w:hAnsi="Times New Roman" w:cs="Times New Roman"/>
                <w:bdr w:val="nil"/>
                <w:lang w:val="en-US"/>
              </w:rPr>
            </w:pPr>
          </w:p>
        </w:tc>
        <w:tc>
          <w:tcPr>
            <w:tcW w:w="881" w:type="dxa"/>
            <w:tcBorders>
              <w:top w:val="single" w:sz="2" w:space="0" w:color="F4B083"/>
              <w:left w:val="single" w:sz="2" w:space="0" w:color="F4B083"/>
              <w:bottom w:val="single" w:sz="2" w:space="0" w:color="F4B083"/>
              <w:right w:val="single" w:sz="4" w:space="0" w:color="000000"/>
            </w:tcBorders>
            <w:shd w:val="clear" w:color="auto" w:fill="auto"/>
            <w:tcMar>
              <w:top w:w="80" w:type="dxa"/>
              <w:left w:w="80" w:type="dxa"/>
              <w:bottom w:w="80" w:type="dxa"/>
              <w:right w:w="80" w:type="dxa"/>
            </w:tcMar>
            <w:vAlign w:val="center"/>
          </w:tcPr>
          <w:p w14:paraId="440EDDFC" w14:textId="77777777" w:rsidR="00AF0E0B" w:rsidRPr="00AF0E0B" w:rsidRDefault="00AF0E0B" w:rsidP="00AF0E0B">
            <w:pPr>
              <w:pBdr>
                <w:top w:val="nil"/>
                <w:left w:val="nil"/>
                <w:bottom w:val="nil"/>
                <w:right w:val="nil"/>
                <w:between w:val="nil"/>
                <w:bar w:val="nil"/>
              </w:pBdr>
              <w:rPr>
                <w:rFonts w:ascii="Times New Roman" w:eastAsia="Arial Unicode MS" w:hAnsi="Times New Roman" w:cs="Times New Roman"/>
                <w:bdr w:val="nil"/>
                <w:lang w:val="en-US"/>
              </w:rPr>
            </w:pPr>
          </w:p>
        </w:tc>
      </w:tr>
      <w:tr w:rsidR="00AF0E0B" w:rsidRPr="00AF0E0B" w14:paraId="655219F1" w14:textId="77777777" w:rsidTr="00AB4128">
        <w:trPr>
          <w:trHeight w:val="370"/>
          <w:jc w:val="right"/>
        </w:trPr>
        <w:tc>
          <w:tcPr>
            <w:tcW w:w="1494" w:type="dxa"/>
            <w:tcBorders>
              <w:top w:val="single" w:sz="2" w:space="0" w:color="F4B083"/>
              <w:left w:val="single" w:sz="4" w:space="0" w:color="000000"/>
              <w:bottom w:val="single" w:sz="2" w:space="0" w:color="F4B083"/>
              <w:right w:val="single" w:sz="2" w:space="0" w:color="F4B083"/>
            </w:tcBorders>
            <w:shd w:val="clear" w:color="auto" w:fill="FBE4D5"/>
            <w:tcMar>
              <w:top w:w="80" w:type="dxa"/>
              <w:left w:w="80" w:type="dxa"/>
              <w:bottom w:w="80" w:type="dxa"/>
              <w:right w:w="80" w:type="dxa"/>
            </w:tcMar>
            <w:vAlign w:val="center"/>
          </w:tcPr>
          <w:p w14:paraId="4C986A84"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Background</w:t>
            </w:r>
          </w:p>
        </w:tc>
        <w:tc>
          <w:tcPr>
            <w:tcW w:w="693"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0E3B1A34"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8</w:t>
            </w:r>
          </w:p>
        </w:tc>
        <w:tc>
          <w:tcPr>
            <w:tcW w:w="968"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0C6904FA"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42.1%</w:t>
            </w:r>
          </w:p>
        </w:tc>
        <w:tc>
          <w:tcPr>
            <w:tcW w:w="692"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33F09442"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7</w:t>
            </w:r>
          </w:p>
        </w:tc>
        <w:tc>
          <w:tcPr>
            <w:tcW w:w="964"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2F746C9D"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30.4%</w:t>
            </w:r>
          </w:p>
        </w:tc>
        <w:tc>
          <w:tcPr>
            <w:tcW w:w="690"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20778533"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6</w:t>
            </w:r>
          </w:p>
        </w:tc>
        <w:tc>
          <w:tcPr>
            <w:tcW w:w="970"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243DB7EA"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46.2%</w:t>
            </w:r>
          </w:p>
        </w:tc>
        <w:tc>
          <w:tcPr>
            <w:tcW w:w="692"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6EC5634C" w14:textId="77777777" w:rsidR="00AF0E0B" w:rsidRPr="00AF0E0B" w:rsidRDefault="00AF0E0B" w:rsidP="00AF0E0B">
            <w:pPr>
              <w:pBdr>
                <w:top w:val="nil"/>
                <w:left w:val="nil"/>
                <w:bottom w:val="nil"/>
                <w:right w:val="nil"/>
                <w:between w:val="nil"/>
                <w:bar w:val="nil"/>
              </w:pBdr>
              <w:rPr>
                <w:rFonts w:ascii="Times New Roman" w:eastAsia="Arial Unicode MS" w:hAnsi="Times New Roman" w:cs="Times New Roman"/>
                <w:bdr w:val="nil"/>
                <w:lang w:val="en-US"/>
              </w:rPr>
            </w:pPr>
          </w:p>
        </w:tc>
        <w:tc>
          <w:tcPr>
            <w:tcW w:w="970"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257F4BE7" w14:textId="77777777" w:rsidR="00AF0E0B" w:rsidRPr="00AF0E0B" w:rsidRDefault="00AF0E0B" w:rsidP="00AF0E0B">
            <w:pPr>
              <w:pBdr>
                <w:top w:val="nil"/>
                <w:left w:val="nil"/>
                <w:bottom w:val="nil"/>
                <w:right w:val="nil"/>
                <w:between w:val="nil"/>
                <w:bar w:val="nil"/>
              </w:pBdr>
              <w:rPr>
                <w:rFonts w:ascii="Times New Roman" w:eastAsia="Arial Unicode MS" w:hAnsi="Times New Roman" w:cs="Times New Roman"/>
                <w:bdr w:val="nil"/>
                <w:lang w:val="en-US"/>
              </w:rPr>
            </w:pPr>
          </w:p>
        </w:tc>
        <w:tc>
          <w:tcPr>
            <w:tcW w:w="881" w:type="dxa"/>
            <w:tcBorders>
              <w:top w:val="single" w:sz="2" w:space="0" w:color="F4B083"/>
              <w:left w:val="single" w:sz="2" w:space="0" w:color="F4B083"/>
              <w:bottom w:val="single" w:sz="2" w:space="0" w:color="F4B083"/>
              <w:right w:val="single" w:sz="4" w:space="0" w:color="000000"/>
            </w:tcBorders>
            <w:shd w:val="clear" w:color="auto" w:fill="FBE4D5"/>
            <w:tcMar>
              <w:top w:w="80" w:type="dxa"/>
              <w:left w:w="80" w:type="dxa"/>
              <w:bottom w:w="80" w:type="dxa"/>
              <w:right w:w="80" w:type="dxa"/>
            </w:tcMar>
            <w:vAlign w:val="center"/>
          </w:tcPr>
          <w:p w14:paraId="1F8FA8F9" w14:textId="77777777" w:rsidR="00AF0E0B" w:rsidRPr="00AF0E0B" w:rsidRDefault="00AF0E0B" w:rsidP="00AF0E0B">
            <w:pPr>
              <w:pBdr>
                <w:top w:val="nil"/>
                <w:left w:val="nil"/>
                <w:bottom w:val="nil"/>
                <w:right w:val="nil"/>
                <w:between w:val="nil"/>
                <w:bar w:val="nil"/>
              </w:pBdr>
              <w:rPr>
                <w:rFonts w:ascii="Times New Roman" w:eastAsia="Arial Unicode MS" w:hAnsi="Times New Roman" w:cs="Times New Roman"/>
                <w:bdr w:val="nil"/>
                <w:lang w:val="en-US"/>
              </w:rPr>
            </w:pPr>
          </w:p>
        </w:tc>
      </w:tr>
      <w:tr w:rsidR="00AF0E0B" w:rsidRPr="00AF0E0B" w14:paraId="76818038" w14:textId="77777777" w:rsidTr="000C4457">
        <w:trPr>
          <w:trHeight w:val="370"/>
          <w:jc w:val="right"/>
        </w:trPr>
        <w:tc>
          <w:tcPr>
            <w:tcW w:w="1494" w:type="dxa"/>
            <w:tcBorders>
              <w:top w:val="single" w:sz="2" w:space="0" w:color="F4B083"/>
              <w:left w:val="single" w:sz="4" w:space="0" w:color="000000"/>
              <w:bottom w:val="single" w:sz="4" w:space="0" w:color="auto"/>
              <w:right w:val="single" w:sz="2" w:space="0" w:color="F4B083"/>
            </w:tcBorders>
            <w:shd w:val="clear" w:color="auto" w:fill="auto"/>
            <w:tcMar>
              <w:top w:w="80" w:type="dxa"/>
              <w:left w:w="80" w:type="dxa"/>
              <w:bottom w:w="80" w:type="dxa"/>
              <w:right w:w="80" w:type="dxa"/>
            </w:tcMar>
            <w:vAlign w:val="center"/>
          </w:tcPr>
          <w:p w14:paraId="19BA2951"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Significant</w:t>
            </w:r>
          </w:p>
        </w:tc>
        <w:tc>
          <w:tcPr>
            <w:tcW w:w="693" w:type="dxa"/>
            <w:tcBorders>
              <w:top w:val="single" w:sz="2" w:space="0" w:color="F4B083"/>
              <w:left w:val="single" w:sz="2" w:space="0" w:color="F4B083"/>
              <w:bottom w:val="single" w:sz="4" w:space="0" w:color="auto"/>
              <w:right w:val="single" w:sz="2" w:space="0" w:color="F4B083"/>
            </w:tcBorders>
            <w:shd w:val="clear" w:color="auto" w:fill="auto"/>
            <w:tcMar>
              <w:top w:w="80" w:type="dxa"/>
              <w:left w:w="80" w:type="dxa"/>
              <w:bottom w:w="80" w:type="dxa"/>
              <w:right w:w="80" w:type="dxa"/>
            </w:tcMar>
            <w:vAlign w:val="center"/>
          </w:tcPr>
          <w:p w14:paraId="15CFB815"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10</w:t>
            </w:r>
          </w:p>
        </w:tc>
        <w:tc>
          <w:tcPr>
            <w:tcW w:w="968" w:type="dxa"/>
            <w:tcBorders>
              <w:top w:val="single" w:sz="2" w:space="0" w:color="F4B083"/>
              <w:left w:val="single" w:sz="2" w:space="0" w:color="F4B083"/>
              <w:bottom w:val="single" w:sz="4" w:space="0" w:color="auto"/>
              <w:right w:val="single" w:sz="2" w:space="0" w:color="F4B083"/>
            </w:tcBorders>
            <w:shd w:val="clear" w:color="auto" w:fill="auto"/>
            <w:tcMar>
              <w:top w:w="80" w:type="dxa"/>
              <w:left w:w="80" w:type="dxa"/>
              <w:bottom w:w="80" w:type="dxa"/>
              <w:right w:w="80" w:type="dxa"/>
            </w:tcMar>
            <w:vAlign w:val="center"/>
          </w:tcPr>
          <w:p w14:paraId="5CD5C52F"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52.6%</w:t>
            </w:r>
          </w:p>
        </w:tc>
        <w:tc>
          <w:tcPr>
            <w:tcW w:w="692" w:type="dxa"/>
            <w:tcBorders>
              <w:top w:val="single" w:sz="2" w:space="0" w:color="F4B083"/>
              <w:left w:val="single" w:sz="2" w:space="0" w:color="F4B083"/>
              <w:bottom w:val="single" w:sz="4" w:space="0" w:color="auto"/>
              <w:right w:val="single" w:sz="2" w:space="0" w:color="F4B083"/>
            </w:tcBorders>
            <w:shd w:val="clear" w:color="auto" w:fill="auto"/>
            <w:tcMar>
              <w:top w:w="80" w:type="dxa"/>
              <w:left w:w="80" w:type="dxa"/>
              <w:bottom w:w="80" w:type="dxa"/>
              <w:right w:w="80" w:type="dxa"/>
            </w:tcMar>
            <w:vAlign w:val="center"/>
          </w:tcPr>
          <w:p w14:paraId="0FFA87D3"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14</w:t>
            </w:r>
          </w:p>
        </w:tc>
        <w:tc>
          <w:tcPr>
            <w:tcW w:w="964" w:type="dxa"/>
            <w:tcBorders>
              <w:top w:val="single" w:sz="2" w:space="0" w:color="F4B083"/>
              <w:left w:val="single" w:sz="2" w:space="0" w:color="F4B083"/>
              <w:bottom w:val="single" w:sz="4" w:space="0" w:color="auto"/>
              <w:right w:val="single" w:sz="2" w:space="0" w:color="F4B083"/>
            </w:tcBorders>
            <w:shd w:val="clear" w:color="auto" w:fill="auto"/>
            <w:tcMar>
              <w:top w:w="80" w:type="dxa"/>
              <w:left w:w="80" w:type="dxa"/>
              <w:bottom w:w="80" w:type="dxa"/>
              <w:right w:w="80" w:type="dxa"/>
            </w:tcMar>
            <w:vAlign w:val="center"/>
          </w:tcPr>
          <w:p w14:paraId="193964C6"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60.9%</w:t>
            </w:r>
          </w:p>
        </w:tc>
        <w:tc>
          <w:tcPr>
            <w:tcW w:w="690" w:type="dxa"/>
            <w:tcBorders>
              <w:top w:val="single" w:sz="2" w:space="0" w:color="F4B083"/>
              <w:left w:val="single" w:sz="2" w:space="0" w:color="F4B083"/>
              <w:bottom w:val="single" w:sz="4" w:space="0" w:color="auto"/>
              <w:right w:val="single" w:sz="2" w:space="0" w:color="F4B083"/>
            </w:tcBorders>
            <w:shd w:val="clear" w:color="auto" w:fill="auto"/>
            <w:tcMar>
              <w:top w:w="80" w:type="dxa"/>
              <w:left w:w="80" w:type="dxa"/>
              <w:bottom w:w="80" w:type="dxa"/>
              <w:right w:w="80" w:type="dxa"/>
            </w:tcMar>
            <w:vAlign w:val="center"/>
          </w:tcPr>
          <w:p w14:paraId="49DBBF78"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2</w:t>
            </w:r>
          </w:p>
        </w:tc>
        <w:tc>
          <w:tcPr>
            <w:tcW w:w="970" w:type="dxa"/>
            <w:tcBorders>
              <w:top w:val="single" w:sz="2" w:space="0" w:color="F4B083"/>
              <w:left w:val="single" w:sz="2" w:space="0" w:color="F4B083"/>
              <w:bottom w:val="single" w:sz="4" w:space="0" w:color="auto"/>
              <w:right w:val="single" w:sz="2" w:space="0" w:color="F4B083"/>
            </w:tcBorders>
            <w:shd w:val="clear" w:color="auto" w:fill="auto"/>
            <w:tcMar>
              <w:top w:w="80" w:type="dxa"/>
              <w:left w:w="80" w:type="dxa"/>
              <w:bottom w:w="80" w:type="dxa"/>
              <w:right w:w="80" w:type="dxa"/>
            </w:tcMar>
            <w:vAlign w:val="center"/>
          </w:tcPr>
          <w:p w14:paraId="0E4D39A3"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1"/>
                <w:szCs w:val="21"/>
                <w:u w:color="000000"/>
                <w:bdr w:val="nil"/>
                <w:lang w:val="en-US" w:eastAsia="en-GB"/>
              </w:rPr>
              <w:t>15.4%</w:t>
            </w:r>
          </w:p>
        </w:tc>
        <w:tc>
          <w:tcPr>
            <w:tcW w:w="692" w:type="dxa"/>
            <w:tcBorders>
              <w:top w:val="single" w:sz="2" w:space="0" w:color="F4B083"/>
              <w:left w:val="single" w:sz="2" w:space="0" w:color="F4B083"/>
              <w:bottom w:val="single" w:sz="4" w:space="0" w:color="auto"/>
              <w:right w:val="single" w:sz="2" w:space="0" w:color="F4B083"/>
            </w:tcBorders>
            <w:shd w:val="clear" w:color="auto" w:fill="auto"/>
            <w:tcMar>
              <w:top w:w="80" w:type="dxa"/>
              <w:left w:w="80" w:type="dxa"/>
              <w:bottom w:w="80" w:type="dxa"/>
              <w:right w:w="80" w:type="dxa"/>
            </w:tcMar>
            <w:vAlign w:val="center"/>
          </w:tcPr>
          <w:p w14:paraId="43A8C9ED" w14:textId="77777777" w:rsidR="00AF0E0B" w:rsidRPr="00AF0E0B" w:rsidRDefault="00AF0E0B" w:rsidP="00AF0E0B">
            <w:pPr>
              <w:pBdr>
                <w:top w:val="nil"/>
                <w:left w:val="nil"/>
                <w:bottom w:val="nil"/>
                <w:right w:val="nil"/>
                <w:between w:val="nil"/>
                <w:bar w:val="nil"/>
              </w:pBdr>
              <w:rPr>
                <w:rFonts w:ascii="Times New Roman" w:eastAsia="Arial Unicode MS" w:hAnsi="Times New Roman" w:cs="Times New Roman"/>
                <w:bdr w:val="nil"/>
                <w:lang w:val="en-US"/>
              </w:rPr>
            </w:pPr>
          </w:p>
        </w:tc>
        <w:tc>
          <w:tcPr>
            <w:tcW w:w="970" w:type="dxa"/>
            <w:tcBorders>
              <w:top w:val="single" w:sz="2" w:space="0" w:color="F4B083"/>
              <w:left w:val="single" w:sz="2" w:space="0" w:color="F4B083"/>
              <w:bottom w:val="single" w:sz="4" w:space="0" w:color="auto"/>
              <w:right w:val="single" w:sz="2" w:space="0" w:color="F4B083"/>
            </w:tcBorders>
            <w:shd w:val="clear" w:color="auto" w:fill="auto"/>
            <w:tcMar>
              <w:top w:w="80" w:type="dxa"/>
              <w:left w:w="80" w:type="dxa"/>
              <w:bottom w:w="80" w:type="dxa"/>
              <w:right w:w="80" w:type="dxa"/>
            </w:tcMar>
            <w:vAlign w:val="center"/>
          </w:tcPr>
          <w:p w14:paraId="3D576D47" w14:textId="77777777" w:rsidR="00AF0E0B" w:rsidRPr="00AF0E0B" w:rsidRDefault="00AF0E0B" w:rsidP="00AF0E0B">
            <w:pPr>
              <w:pBdr>
                <w:top w:val="nil"/>
                <w:left w:val="nil"/>
                <w:bottom w:val="nil"/>
                <w:right w:val="nil"/>
                <w:between w:val="nil"/>
                <w:bar w:val="nil"/>
              </w:pBdr>
              <w:rPr>
                <w:rFonts w:ascii="Times New Roman" w:eastAsia="Arial Unicode MS" w:hAnsi="Times New Roman" w:cs="Times New Roman"/>
                <w:bdr w:val="nil"/>
                <w:lang w:val="en-US"/>
              </w:rPr>
            </w:pPr>
          </w:p>
        </w:tc>
        <w:tc>
          <w:tcPr>
            <w:tcW w:w="881" w:type="dxa"/>
            <w:tcBorders>
              <w:top w:val="single" w:sz="2" w:space="0" w:color="F4B083"/>
              <w:left w:val="single" w:sz="2" w:space="0" w:color="F4B083"/>
              <w:bottom w:val="single" w:sz="4" w:space="0" w:color="auto"/>
              <w:right w:val="single" w:sz="4" w:space="0" w:color="000000"/>
            </w:tcBorders>
            <w:shd w:val="clear" w:color="auto" w:fill="auto"/>
            <w:tcMar>
              <w:top w:w="80" w:type="dxa"/>
              <w:left w:w="80" w:type="dxa"/>
              <w:bottom w:w="80" w:type="dxa"/>
              <w:right w:w="80" w:type="dxa"/>
            </w:tcMar>
            <w:vAlign w:val="center"/>
          </w:tcPr>
          <w:p w14:paraId="5E081103" w14:textId="77777777" w:rsidR="00AF0E0B" w:rsidRPr="00AF0E0B" w:rsidRDefault="00AF0E0B" w:rsidP="00AF0E0B">
            <w:pPr>
              <w:pBdr>
                <w:top w:val="nil"/>
                <w:left w:val="nil"/>
                <w:bottom w:val="nil"/>
                <w:right w:val="nil"/>
                <w:between w:val="nil"/>
                <w:bar w:val="nil"/>
              </w:pBdr>
              <w:rPr>
                <w:rFonts w:ascii="Times New Roman" w:eastAsia="Arial Unicode MS" w:hAnsi="Times New Roman" w:cs="Times New Roman"/>
                <w:bdr w:val="nil"/>
                <w:lang w:val="en-US"/>
              </w:rPr>
            </w:pPr>
          </w:p>
        </w:tc>
      </w:tr>
    </w:tbl>
    <w:p w14:paraId="6120E645" w14:textId="77777777" w:rsidR="00AF0E0B" w:rsidRPr="00AF0E0B" w:rsidRDefault="00AF0E0B" w:rsidP="00AF0E0B">
      <w:pPr>
        <w:widowControl w:val="0"/>
        <w:pBdr>
          <w:top w:val="nil"/>
          <w:left w:val="nil"/>
          <w:bottom w:val="nil"/>
          <w:right w:val="nil"/>
          <w:between w:val="nil"/>
          <w:bar w:val="nil"/>
        </w:pBdr>
        <w:jc w:val="right"/>
        <w:rPr>
          <w:rFonts w:eastAsia="Arial" w:cs="Arial"/>
          <w:color w:val="000000"/>
          <w:u w:color="000000"/>
          <w:bdr w:val="nil"/>
          <w:lang w:eastAsia="en-GB"/>
        </w:rPr>
      </w:pPr>
    </w:p>
    <w:p w14:paraId="462EBDB5" w14:textId="77777777" w:rsidR="00AF0E0B" w:rsidRPr="00AF0E0B" w:rsidRDefault="00AF0E0B" w:rsidP="00881BC5">
      <w:pPr>
        <w:pBdr>
          <w:top w:val="nil"/>
          <w:left w:val="nil"/>
          <w:bottom w:val="nil"/>
          <w:right w:val="nil"/>
          <w:between w:val="nil"/>
          <w:bar w:val="nil"/>
        </w:pBdr>
        <w:spacing w:line="360" w:lineRule="auto"/>
        <w:rPr>
          <w:rFonts w:eastAsia="Arial" w:cs="Arial"/>
          <w:i/>
          <w:iCs/>
          <w:color w:val="808080"/>
          <w:sz w:val="21"/>
          <w:szCs w:val="21"/>
          <w:u w:color="808080"/>
          <w:bdr w:val="nil"/>
          <w:lang w:eastAsia="en-GB"/>
        </w:rPr>
      </w:pPr>
      <w:r w:rsidRPr="00AF0E0B">
        <w:rPr>
          <w:rFonts w:eastAsia="Arial Unicode MS" w:cs="Arial Unicode MS"/>
          <w:i/>
          <w:iCs/>
          <w:color w:val="808080"/>
          <w:sz w:val="21"/>
          <w:szCs w:val="21"/>
          <w:u w:color="808080"/>
          <w:bdr w:val="nil"/>
          <w:lang w:val="en-US" w:eastAsia="en-GB"/>
        </w:rPr>
        <w:t xml:space="preserve">P-DPN=Painful Diabetic Peripheral Neuropathy, DPN= Painless Diabetic Peripheral Neuropathy, DM-NN=T1D and no signs or symptoms of neuropathy, HV= Healthy Volunteers, M=mean, CI=confidence interval.  Post Hoc testing: 1.Age </w:t>
      </w:r>
      <w:r w:rsidRPr="00AF0E0B">
        <w:rPr>
          <w:rFonts w:eastAsia="Arial Unicode MS" w:cs="Arial Unicode MS"/>
          <w:i/>
          <w:iCs/>
          <w:color w:val="808080"/>
          <w:sz w:val="21"/>
          <w:szCs w:val="21"/>
          <w:u w:color="808080"/>
          <w:bdr w:val="nil"/>
          <w:lang w:eastAsia="en-GB"/>
        </w:rPr>
        <w:t>P-DPN</w:t>
      </w:r>
      <w:r w:rsidRPr="00AF0E0B">
        <w:rPr>
          <w:rFonts w:eastAsia="Arial Unicode MS" w:cs="Arial Unicode MS"/>
          <w:i/>
          <w:iCs/>
          <w:color w:val="808080"/>
          <w:sz w:val="21"/>
          <w:szCs w:val="21"/>
          <w:u w:color="808080"/>
          <w:bdr w:val="nil"/>
          <w:lang w:val="en-US" w:eastAsia="en-GB"/>
        </w:rPr>
        <w:t xml:space="preserve"> vs DPN p=.021, 2.Diabetes Duration P-DPN vs DPN p=.035, 3.Hba1c P-DPN vs DM-NN p=.005, 4. NISLL+7: P-DPN vs DM-NN and HV p&lt;.001, DPN vs DM-NN and HV p&lt;.001, 5. DN4 P-DPN vs all groups p&lt;.001, 6. Retinopathy, DPN vs DM-NN p=.025</w:t>
      </w:r>
    </w:p>
    <w:p w14:paraId="0A309E07" w14:textId="77777777" w:rsidR="00AF0E0B" w:rsidRPr="00AF0E0B" w:rsidRDefault="00AF0E0B" w:rsidP="00AF0E0B">
      <w:pPr>
        <w:pBdr>
          <w:top w:val="nil"/>
          <w:left w:val="nil"/>
          <w:bottom w:val="nil"/>
          <w:right w:val="nil"/>
          <w:between w:val="nil"/>
          <w:bar w:val="nil"/>
        </w:pBdr>
        <w:rPr>
          <w:rFonts w:ascii="Times New Roman" w:eastAsia="Arial Unicode MS" w:hAnsi="Times New Roman" w:cs="Arial Unicode MS"/>
          <w:color w:val="000000"/>
          <w:u w:color="000000"/>
          <w:bdr w:val="nil"/>
          <w:lang w:eastAsia="en-GB"/>
        </w:rPr>
      </w:pPr>
      <w:r w:rsidRPr="00AF0E0B">
        <w:rPr>
          <w:rFonts w:ascii="Arial Unicode MS" w:eastAsia="Arial Unicode MS" w:hAnsi="Arial Unicode MS" w:cs="Arial Unicode MS"/>
          <w:color w:val="808080"/>
          <w:sz w:val="21"/>
          <w:szCs w:val="21"/>
          <w:u w:color="808080"/>
          <w:bdr w:val="nil"/>
          <w:lang w:eastAsia="en-GB"/>
        </w:rPr>
        <w:br w:type="page"/>
      </w:r>
    </w:p>
    <w:p w14:paraId="062B1AC9" w14:textId="77777777" w:rsidR="00AF0E0B" w:rsidRPr="00AF0E0B" w:rsidRDefault="00AF0E0B" w:rsidP="00AF0E0B">
      <w:pPr>
        <w:pBdr>
          <w:top w:val="nil"/>
          <w:left w:val="nil"/>
          <w:bottom w:val="nil"/>
          <w:right w:val="nil"/>
          <w:between w:val="nil"/>
          <w:bar w:val="nil"/>
        </w:pBdr>
        <w:rPr>
          <w:rFonts w:eastAsia="Arial" w:cs="Arial"/>
          <w:i/>
          <w:iCs/>
          <w:color w:val="808080"/>
          <w:sz w:val="21"/>
          <w:szCs w:val="21"/>
          <w:u w:color="808080"/>
          <w:bdr w:val="nil"/>
          <w:lang w:eastAsia="en-GB"/>
        </w:rPr>
      </w:pPr>
    </w:p>
    <w:p w14:paraId="3EAF32E3" w14:textId="77777777" w:rsidR="00AF0E0B" w:rsidRPr="00AF0E0B" w:rsidRDefault="00AF0E0B" w:rsidP="00AF0E0B">
      <w:pPr>
        <w:pBdr>
          <w:top w:val="nil"/>
          <w:left w:val="nil"/>
          <w:bottom w:val="nil"/>
          <w:right w:val="nil"/>
          <w:between w:val="nil"/>
          <w:bar w:val="nil"/>
        </w:pBdr>
        <w:ind w:left="2268"/>
        <w:jc w:val="right"/>
        <w:rPr>
          <w:rFonts w:eastAsia="Arial" w:cs="Arial"/>
          <w:i/>
          <w:iCs/>
          <w:color w:val="808080"/>
          <w:u w:color="808080"/>
          <w:bdr w:val="nil"/>
          <w:lang w:eastAsia="en-GB"/>
        </w:rPr>
      </w:pPr>
    </w:p>
    <w:p w14:paraId="62400C33" w14:textId="585C5752" w:rsidR="00AF0E0B" w:rsidRPr="00AF0E0B" w:rsidRDefault="00AF0E0B" w:rsidP="00455CF2">
      <w:pPr>
        <w:pStyle w:val="Subtitle"/>
      </w:pPr>
      <w:bookmarkStart w:id="161" w:name="_Toc14"/>
      <w:bookmarkStart w:id="162" w:name="_Toc49973354"/>
      <w:bookmarkStart w:id="163" w:name="_Toc64724172"/>
      <w:r w:rsidRPr="00AF0E0B">
        <w:t>Figure 2.3  Autonomic Function: Frequencies of O’Brien’s Score by Group</w:t>
      </w:r>
      <w:bookmarkEnd w:id="161"/>
      <w:bookmarkEnd w:id="162"/>
      <w:bookmarkEnd w:id="163"/>
    </w:p>
    <w:p w14:paraId="4E20E348" w14:textId="77777777" w:rsidR="00AF0E0B" w:rsidRPr="00AF0E0B" w:rsidRDefault="00AF0E0B" w:rsidP="00AF0E0B">
      <w:pPr>
        <w:pBdr>
          <w:top w:val="single" w:sz="4" w:space="0" w:color="000000"/>
          <w:left w:val="single" w:sz="4" w:space="0" w:color="000000"/>
          <w:bottom w:val="single" w:sz="4" w:space="0" w:color="000000"/>
          <w:right w:val="single" w:sz="4" w:space="0" w:color="000000"/>
          <w:between w:val="nil"/>
          <w:bar w:val="nil"/>
        </w:pBdr>
        <w:rPr>
          <w:rFonts w:eastAsia="Arial" w:cs="Arial"/>
          <w:color w:val="808080"/>
          <w:u w:color="808080"/>
          <w:bdr w:val="nil"/>
          <w:lang w:eastAsia="en-GB"/>
        </w:rPr>
      </w:pPr>
    </w:p>
    <w:p w14:paraId="5EBC2A6E" w14:textId="77777777" w:rsidR="00AF0E0B" w:rsidRPr="00AF0E0B" w:rsidRDefault="00AF0E0B" w:rsidP="00AF0E0B">
      <w:pPr>
        <w:pBdr>
          <w:top w:val="single" w:sz="4" w:space="0" w:color="000000"/>
          <w:left w:val="single" w:sz="4" w:space="0" w:color="000000"/>
          <w:bottom w:val="single" w:sz="4" w:space="0" w:color="000000"/>
          <w:right w:val="single" w:sz="4" w:space="0" w:color="000000"/>
          <w:between w:val="nil"/>
          <w:bar w:val="nil"/>
        </w:pBdr>
        <w:rPr>
          <w:rFonts w:eastAsia="Arial" w:cs="Arial"/>
          <w:color w:val="808080"/>
          <w:sz w:val="21"/>
          <w:szCs w:val="21"/>
          <w:u w:color="808080"/>
          <w:bdr w:val="nil"/>
          <w:lang w:eastAsia="en-GB"/>
        </w:rPr>
      </w:pPr>
      <w:r w:rsidRPr="00AF0E0B">
        <w:rPr>
          <w:rFonts w:eastAsia="Arial" w:cs="Arial"/>
          <w:noProof/>
          <w:color w:val="808080"/>
          <w:u w:color="808080"/>
          <w:bdr w:val="nil"/>
          <w:lang w:eastAsia="en-GB"/>
        </w:rPr>
        <w:drawing>
          <wp:inline distT="0" distB="0" distL="0" distR="0" wp14:anchorId="6E7BD75B" wp14:editId="2001B80B">
            <wp:extent cx="5422900" cy="3200400"/>
            <wp:effectExtent l="0" t="0" r="0" b="0"/>
            <wp:docPr id="1073741865" name="officeArt object" descr="A close up of a device&#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65" name="A close up of a device&#10;&#10;Description automatically generated" descr="A close up of a deviceDescription automatically generated"/>
                    <pic:cNvPicPr>
                      <a:picLocks noChangeAspect="1"/>
                    </pic:cNvPicPr>
                  </pic:nvPicPr>
                  <pic:blipFill>
                    <a:blip r:embed="rId20"/>
                    <a:stretch>
                      <a:fillRect/>
                    </a:stretch>
                  </pic:blipFill>
                  <pic:spPr>
                    <a:xfrm>
                      <a:off x="0" y="0"/>
                      <a:ext cx="5422900" cy="3200400"/>
                    </a:xfrm>
                    <a:prstGeom prst="rect">
                      <a:avLst/>
                    </a:prstGeom>
                    <a:ln w="12700" cap="flat">
                      <a:noFill/>
                      <a:miter lim="400000"/>
                    </a:ln>
                    <a:effectLst/>
                  </pic:spPr>
                </pic:pic>
              </a:graphicData>
            </a:graphic>
          </wp:inline>
        </w:drawing>
      </w:r>
    </w:p>
    <w:p w14:paraId="73B49FAA" w14:textId="77777777" w:rsidR="00AF0E0B" w:rsidRPr="00AF0E0B" w:rsidRDefault="00AF0E0B" w:rsidP="0096662E">
      <w:pPr>
        <w:pBdr>
          <w:top w:val="single" w:sz="4" w:space="0" w:color="000000"/>
          <w:left w:val="single" w:sz="4" w:space="0" w:color="000000"/>
          <w:bottom w:val="single" w:sz="4" w:space="0" w:color="000000"/>
          <w:right w:val="single" w:sz="4" w:space="0" w:color="000000"/>
          <w:between w:val="nil"/>
          <w:bar w:val="nil"/>
        </w:pBdr>
        <w:spacing w:line="360" w:lineRule="auto"/>
        <w:rPr>
          <w:rFonts w:eastAsia="Arial" w:cs="Arial"/>
          <w:i/>
          <w:iCs/>
          <w:color w:val="808080"/>
          <w:sz w:val="21"/>
          <w:szCs w:val="21"/>
          <w:u w:color="808080"/>
          <w:bdr w:val="nil"/>
          <w:lang w:eastAsia="en-GB"/>
        </w:rPr>
      </w:pPr>
      <w:r w:rsidRPr="00AF0E0B">
        <w:rPr>
          <w:rFonts w:eastAsia="Arial Unicode MS" w:cs="Arial Unicode MS"/>
          <w:i/>
          <w:iCs/>
          <w:color w:val="808080"/>
          <w:sz w:val="21"/>
          <w:szCs w:val="21"/>
          <w:u w:color="808080"/>
          <w:bdr w:val="nil"/>
          <w:lang w:val="en-US" w:eastAsia="en-GB"/>
        </w:rPr>
        <w:t>Comparing frequencies of O’</w:t>
      </w:r>
      <w:r w:rsidRPr="00AF0E0B">
        <w:rPr>
          <w:rFonts w:eastAsia="Arial Unicode MS" w:cs="Arial Unicode MS"/>
          <w:i/>
          <w:iCs/>
          <w:color w:val="808080"/>
          <w:sz w:val="21"/>
          <w:szCs w:val="21"/>
          <w:u w:color="808080"/>
          <w:bdr w:val="nil"/>
          <w:lang w:val="de-DE" w:eastAsia="en-GB"/>
        </w:rPr>
        <w:t>Brien</w:t>
      </w:r>
      <w:r w:rsidRPr="00AF0E0B">
        <w:rPr>
          <w:rFonts w:eastAsia="Arial Unicode MS" w:cs="Arial Unicode MS"/>
          <w:i/>
          <w:iCs/>
          <w:color w:val="808080"/>
          <w:sz w:val="21"/>
          <w:szCs w:val="21"/>
          <w:u w:color="808080"/>
          <w:bdr w:val="nil"/>
          <w:lang w:val="en-US" w:eastAsia="en-GB"/>
        </w:rPr>
        <w:t>’s Score by groups.  The P-DPN group has a higher frequency of scores greater than 0 and is significantly different from the DM-NN groups and the HV group. P-DPN vs DM-NN p=.008, P-DPN vs HV p=.009, AFT=Autonomic function tests</w:t>
      </w:r>
    </w:p>
    <w:p w14:paraId="735E3790" w14:textId="77777777" w:rsidR="00AF0E0B" w:rsidRPr="00AF0E0B" w:rsidRDefault="00AF0E0B" w:rsidP="00AF0E0B">
      <w:pPr>
        <w:pBdr>
          <w:top w:val="nil"/>
          <w:left w:val="nil"/>
          <w:bottom w:val="nil"/>
          <w:right w:val="nil"/>
          <w:between w:val="nil"/>
          <w:bar w:val="nil"/>
        </w:pBdr>
        <w:rPr>
          <w:rFonts w:eastAsia="Arial" w:cs="Arial"/>
          <w:color w:val="808080"/>
          <w:sz w:val="21"/>
          <w:szCs w:val="21"/>
          <w:u w:color="808080"/>
          <w:bdr w:val="nil"/>
          <w:lang w:eastAsia="en-GB"/>
        </w:rPr>
      </w:pPr>
    </w:p>
    <w:p w14:paraId="0086846E" w14:textId="1A668C28" w:rsidR="00AF0E0B" w:rsidRPr="00AF0E0B" w:rsidRDefault="00AF0E0B" w:rsidP="0031237D">
      <w:pPr>
        <w:pStyle w:val="Heading3"/>
      </w:pPr>
      <w:bookmarkStart w:id="164" w:name="_Toc49973111"/>
      <w:bookmarkStart w:id="165" w:name="_Toc64723911"/>
      <w:r w:rsidRPr="00AF0E0B">
        <w:t>Psychological Assessments</w:t>
      </w:r>
      <w:bookmarkEnd w:id="164"/>
      <w:bookmarkEnd w:id="165"/>
      <w:r w:rsidRPr="00AF0E0B">
        <w:t xml:space="preserve"> </w:t>
      </w:r>
    </w:p>
    <w:p w14:paraId="7E395791" w14:textId="6570412E" w:rsidR="00AF0E0B" w:rsidRPr="00AF0E0B" w:rsidRDefault="00AF0E0B" w:rsidP="00AF0E0B">
      <w:pPr>
        <w:pBdr>
          <w:top w:val="nil"/>
          <w:left w:val="nil"/>
          <w:bottom w:val="nil"/>
          <w:right w:val="nil"/>
          <w:between w:val="nil"/>
          <w:bar w:val="nil"/>
        </w:pBdr>
        <w:spacing w:line="360" w:lineRule="auto"/>
        <w:rPr>
          <w:rFonts w:eastAsia="Arial" w:cs="Arial"/>
          <w:color w:val="000000"/>
          <w:u w:color="000000"/>
          <w:bdr w:val="nil"/>
          <w:lang w:eastAsia="en-GB"/>
        </w:rPr>
      </w:pPr>
      <w:r w:rsidRPr="00AF0E0B">
        <w:rPr>
          <w:rFonts w:eastAsia="Arial Unicode MS" w:cs="Arial Unicode MS"/>
          <w:color w:val="000000"/>
          <w:u w:color="000000"/>
          <w:bdr w:val="nil"/>
          <w:lang w:val="fr-FR" w:eastAsia="en-GB"/>
        </w:rPr>
        <w:t>The questionnaires</w:t>
      </w:r>
      <w:r w:rsidRPr="00AF0E0B">
        <w:rPr>
          <w:rFonts w:eastAsia="Arial Unicode MS" w:cs="Arial Unicode MS"/>
          <w:color w:val="000000"/>
          <w:u w:color="000000"/>
          <w:bdr w:val="nil"/>
          <w:lang w:val="en-US" w:eastAsia="en-GB"/>
        </w:rPr>
        <w:t xml:space="preserve"> that were used had a variable return rate with the lowest rate for the PILL: 73% return, and the highest for the HADS questionnaire: 96% (Table A.1 Appendix 1).  There were group mean differences determined by one way ANOVA for: HADS A: F(3/64)=3.394, p=.023 (</w:t>
      </w:r>
      <w:r w:rsidRPr="00AF0E0B">
        <w:rPr>
          <w:rFonts w:eastAsia="Arial Unicode MS" w:cs="Arial Unicode MS"/>
          <w:color w:val="000000"/>
          <w:u w:color="000000"/>
          <w:bdr w:val="nil"/>
          <w:lang w:eastAsia="en-GB"/>
        </w:rPr>
        <w:t>P-DPN vs DM-NN p=.014); HADS D: F(3/64)=10.391, p&lt;.001 (P-DPN</w:t>
      </w:r>
      <w:r w:rsidRPr="00AF0E0B">
        <w:rPr>
          <w:rFonts w:eastAsia="Arial Unicode MS" w:cs="Arial Unicode MS"/>
          <w:color w:val="000000"/>
          <w:u w:color="000000"/>
          <w:bdr w:val="nil"/>
          <w:lang w:val="en-US" w:eastAsia="en-GB"/>
        </w:rPr>
        <w:t xml:space="preserve"> vs DPN p=.008, vs DM-NN p&lt;.001, vs HV p&lt;.001); BDI: F(3/62)=12.315, p&lt;.001 (P-DPN vs all groups p&lt;.001); STAI-S: F(3/64)=4.281, p=.008, (P-DPN vs DM-NN p=.014, P-DPN vs HV p=.028), PCS: F(3,61)=3.944, p=.012 (P-DPN vs DPN p=.017, P-DPN vs HV p=.034); BAS-RR: F(3/62)=2.945, p=.040; PILL: F(3,50)=3.795, p=.016 (P-DPN vs DM-NN p=.016).  As expected, the P-DPN group had higher mean scores for HADS-D , HADS-A, BDI, and STAI-S (see Appendix 1, table A.2).  There was a difference for mean BAS-RR (p=.04) score but there were no post Hoc differences on testing (figure 2.4).  There were no other group differences for the BIS/BAS questionnaire (see Appendix A table A.2) </w:t>
      </w:r>
    </w:p>
    <w:p w14:paraId="74752F6A" w14:textId="6B3816AB" w:rsidR="00AF0E0B" w:rsidRPr="0096662E" w:rsidRDefault="00AF0E0B" w:rsidP="0096662E">
      <w:pPr>
        <w:pStyle w:val="Subtitle"/>
      </w:pPr>
      <w:bookmarkStart w:id="166" w:name="_Toc15"/>
      <w:bookmarkStart w:id="167" w:name="_Toc49973355"/>
      <w:bookmarkStart w:id="168" w:name="_Toc64724173"/>
      <w:r w:rsidRPr="00455CF2">
        <w:lastRenderedPageBreak/>
        <w:t xml:space="preserve">Figure 2.4  Questionnaires: 95% Confidence Intervals for </w:t>
      </w:r>
      <w:proofErr w:type="spellStart"/>
      <w:r w:rsidRPr="00455CF2">
        <w:t>Behavioural</w:t>
      </w:r>
      <w:proofErr w:type="spellEnd"/>
      <w:r w:rsidRPr="00455CF2">
        <w:t xml:space="preserve"> Activation-Reward Responsiveness</w:t>
      </w:r>
      <w:bookmarkEnd w:id="166"/>
      <w:bookmarkEnd w:id="167"/>
      <w:bookmarkEnd w:id="168"/>
    </w:p>
    <w:p w14:paraId="4EA8F483" w14:textId="77777777" w:rsidR="00AF0E0B" w:rsidRPr="00AF0E0B" w:rsidRDefault="00AF0E0B" w:rsidP="00AF0E0B">
      <w:pPr>
        <w:pBdr>
          <w:top w:val="nil"/>
          <w:left w:val="nil"/>
          <w:bottom w:val="nil"/>
          <w:right w:val="nil"/>
          <w:between w:val="nil"/>
          <w:bar w:val="nil"/>
        </w:pBdr>
        <w:rPr>
          <w:rFonts w:ascii="Times New Roman" w:eastAsia="Arial Unicode MS" w:hAnsi="Times New Roman" w:cs="Arial Unicode MS"/>
          <w:color w:val="000000"/>
          <w:u w:color="000000"/>
          <w:bdr w:val="nil"/>
          <w:lang w:eastAsia="en-GB"/>
        </w:rPr>
      </w:pPr>
      <w:r w:rsidRPr="00AF0E0B">
        <w:rPr>
          <w:rFonts w:ascii="Times New Roman" w:eastAsia="Arial Unicode MS" w:hAnsi="Times New Roman" w:cs="Arial Unicode MS"/>
          <w:noProof/>
          <w:color w:val="000000"/>
          <w:u w:color="000000"/>
          <w:bdr w:val="nil"/>
          <w:lang w:eastAsia="en-GB"/>
        </w:rPr>
        <w:drawing>
          <wp:inline distT="0" distB="0" distL="0" distR="0" wp14:anchorId="7CFE4CBE" wp14:editId="5FE33CF1">
            <wp:extent cx="4351866" cy="2489200"/>
            <wp:effectExtent l="25400" t="25400" r="29845" b="25400"/>
            <wp:docPr id="1073741866" name="officeArt object"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66" name="A screenshot of a cell phone&#10;&#10;Description automatically generated" descr="A screenshot of a cell phoneDescription automatically generated"/>
                    <pic:cNvPicPr>
                      <a:picLocks noChangeAspect="1"/>
                    </pic:cNvPicPr>
                  </pic:nvPicPr>
                  <pic:blipFill>
                    <a:blip r:embed="rId21"/>
                    <a:stretch>
                      <a:fillRect/>
                    </a:stretch>
                  </pic:blipFill>
                  <pic:spPr>
                    <a:xfrm>
                      <a:off x="0" y="0"/>
                      <a:ext cx="4356704" cy="2491967"/>
                    </a:xfrm>
                    <a:prstGeom prst="rect">
                      <a:avLst/>
                    </a:prstGeom>
                    <a:ln w="19050" cap="flat">
                      <a:solidFill>
                        <a:srgbClr val="4472C4"/>
                      </a:solidFill>
                      <a:prstDash val="solid"/>
                      <a:round/>
                    </a:ln>
                    <a:effectLst/>
                  </pic:spPr>
                </pic:pic>
              </a:graphicData>
            </a:graphic>
          </wp:inline>
        </w:drawing>
      </w:r>
    </w:p>
    <w:p w14:paraId="42B91AEF" w14:textId="77777777" w:rsidR="00AF0E0B" w:rsidRPr="00AF0E0B" w:rsidRDefault="00AF0E0B" w:rsidP="00AF0E0B">
      <w:pPr>
        <w:pBdr>
          <w:top w:val="nil"/>
          <w:left w:val="nil"/>
          <w:bottom w:val="nil"/>
          <w:right w:val="nil"/>
          <w:between w:val="nil"/>
          <w:bar w:val="nil"/>
        </w:pBdr>
        <w:rPr>
          <w:rFonts w:eastAsia="Arial" w:cs="Arial"/>
          <w:i/>
          <w:iCs/>
          <w:color w:val="808080"/>
          <w:sz w:val="21"/>
          <w:szCs w:val="21"/>
          <w:u w:color="808080"/>
          <w:bdr w:val="nil"/>
          <w:lang w:eastAsia="en-GB"/>
        </w:rPr>
      </w:pPr>
    </w:p>
    <w:p w14:paraId="25F39ECE" w14:textId="4886820D" w:rsidR="00AF0E0B" w:rsidRPr="0096662E" w:rsidRDefault="00AF0E0B" w:rsidP="00AF0E0B">
      <w:pPr>
        <w:pBdr>
          <w:top w:val="nil"/>
          <w:left w:val="nil"/>
          <w:bottom w:val="nil"/>
          <w:right w:val="nil"/>
          <w:between w:val="nil"/>
          <w:bar w:val="nil"/>
        </w:pBdr>
        <w:spacing w:line="360" w:lineRule="auto"/>
        <w:rPr>
          <w:rFonts w:eastAsia="Arial" w:cs="Arial"/>
          <w:i/>
          <w:iCs/>
          <w:color w:val="808080"/>
          <w:sz w:val="21"/>
          <w:szCs w:val="21"/>
          <w:u w:color="808080"/>
          <w:bdr w:val="nil"/>
          <w:lang w:eastAsia="en-GB"/>
        </w:rPr>
      </w:pPr>
      <w:r w:rsidRPr="00AF0E0B">
        <w:rPr>
          <w:rFonts w:eastAsia="Arial Unicode MS" w:cs="Arial Unicode MS"/>
          <w:i/>
          <w:iCs/>
          <w:color w:val="808080"/>
          <w:sz w:val="21"/>
          <w:szCs w:val="21"/>
          <w:u w:color="808080"/>
          <w:bdr w:val="nil"/>
          <w:lang w:val="en-US" w:eastAsia="en-GB"/>
        </w:rPr>
        <w:t>Post Hoc there was no significant differences but a trend to significance between the DM-NN and the P-DPN group p=.074</w:t>
      </w:r>
    </w:p>
    <w:p w14:paraId="0E1FFC96" w14:textId="77777777" w:rsidR="00AF0E0B" w:rsidRPr="00AF0E0B" w:rsidRDefault="00AF0E0B" w:rsidP="00AF0E0B">
      <w:pPr>
        <w:pBdr>
          <w:top w:val="nil"/>
          <w:left w:val="nil"/>
          <w:bottom w:val="nil"/>
          <w:right w:val="nil"/>
          <w:between w:val="nil"/>
          <w:bar w:val="nil"/>
        </w:pBdr>
        <w:spacing w:line="360" w:lineRule="auto"/>
        <w:rPr>
          <w:rFonts w:eastAsia="Arial" w:cs="Arial"/>
          <w:color w:val="000000"/>
          <w:u w:color="000000"/>
          <w:bdr w:val="nil"/>
          <w:lang w:eastAsia="en-GB"/>
        </w:rPr>
      </w:pPr>
      <w:r w:rsidRPr="00AF0E0B">
        <w:rPr>
          <w:rFonts w:eastAsia="Arial Unicode MS" w:cs="Arial Unicode MS"/>
          <w:color w:val="000000"/>
          <w:u w:color="000000"/>
          <w:bdr w:val="nil"/>
          <w:lang w:val="en-US" w:eastAsia="en-GB"/>
        </w:rPr>
        <w:t xml:space="preserve">Pain </w:t>
      </w:r>
      <w:proofErr w:type="spellStart"/>
      <w:r w:rsidRPr="00AF0E0B">
        <w:rPr>
          <w:rFonts w:eastAsia="Arial Unicode MS" w:cs="Arial Unicode MS"/>
          <w:color w:val="000000"/>
          <w:u w:color="000000"/>
          <w:bdr w:val="nil"/>
          <w:lang w:val="en-US" w:eastAsia="en-GB"/>
        </w:rPr>
        <w:t>catastrophising</w:t>
      </w:r>
      <w:proofErr w:type="spellEnd"/>
      <w:r w:rsidRPr="00AF0E0B">
        <w:rPr>
          <w:rFonts w:eastAsia="Arial Unicode MS" w:cs="Arial Unicode MS"/>
          <w:color w:val="000000"/>
          <w:u w:color="000000"/>
          <w:bdr w:val="nil"/>
          <w:lang w:val="en-US" w:eastAsia="en-GB"/>
        </w:rPr>
        <w:t xml:space="preserve"> was significantly higher in the P-DPN group as compared to the HV (p=.034) and DPN groups (p=.017) (see Figure 2.5).  The P-DPN patients were also significantly more likely to report multiple episodes of minor non-specific symptoms (PILL) than the DM-NN group (p=.042) with a trend to significance in the other groups (see Figure 2.6)</w:t>
      </w:r>
    </w:p>
    <w:p w14:paraId="7C29BF5C" w14:textId="63B95F1B" w:rsidR="00AF0E0B" w:rsidRPr="00455CF2" w:rsidRDefault="00AF0E0B" w:rsidP="00455CF2">
      <w:pPr>
        <w:pStyle w:val="Subtitle"/>
      </w:pPr>
      <w:bookmarkStart w:id="169" w:name="_Toc16"/>
      <w:bookmarkStart w:id="170" w:name="_Toc49973356"/>
      <w:bookmarkStart w:id="171" w:name="_Toc64724174"/>
      <w:r w:rsidRPr="00455CF2">
        <w:t xml:space="preserve">Figure 2.5  Questionnaires: 95% Confidence Intervals for Pain </w:t>
      </w:r>
      <w:proofErr w:type="spellStart"/>
      <w:r w:rsidRPr="00455CF2">
        <w:t>Catastrophising</w:t>
      </w:r>
      <w:proofErr w:type="spellEnd"/>
      <w:r w:rsidRPr="00455CF2">
        <w:t xml:space="preserve"> Scale by Group</w:t>
      </w:r>
      <w:bookmarkEnd w:id="169"/>
      <w:bookmarkEnd w:id="170"/>
      <w:bookmarkEnd w:id="171"/>
    </w:p>
    <w:p w14:paraId="689F2774" w14:textId="77777777" w:rsidR="00AF0E0B" w:rsidRPr="00AF0E0B" w:rsidRDefault="00AF0E0B" w:rsidP="00AF0E0B">
      <w:pPr>
        <w:pBdr>
          <w:top w:val="nil"/>
          <w:left w:val="nil"/>
          <w:bottom w:val="nil"/>
          <w:right w:val="nil"/>
          <w:between w:val="nil"/>
          <w:bar w:val="nil"/>
        </w:pBdr>
        <w:spacing w:line="360" w:lineRule="auto"/>
        <w:rPr>
          <w:rFonts w:eastAsia="Arial" w:cs="Arial"/>
          <w:color w:val="000000"/>
          <w:u w:color="000000"/>
          <w:bdr w:val="nil"/>
          <w:lang w:eastAsia="en-GB"/>
        </w:rPr>
      </w:pPr>
      <w:r w:rsidRPr="000C4457">
        <w:rPr>
          <w:rFonts w:eastAsia="Arial" w:cs="Arial"/>
          <w:noProof/>
          <w:color w:val="000000"/>
          <w:u w:color="000000"/>
          <w:bdr w:val="nil"/>
          <w:shd w:val="clear" w:color="auto" w:fill="4472C4" w:themeFill="accent1"/>
          <w:lang w:eastAsia="en-GB"/>
        </w:rPr>
        <w:drawing>
          <wp:inline distT="0" distB="0" distL="0" distR="0" wp14:anchorId="36554A3B" wp14:editId="5E2F733B">
            <wp:extent cx="4655731" cy="2662978"/>
            <wp:effectExtent l="12700" t="12700" r="18415" b="17145"/>
            <wp:docPr id="1073741867" name="officeArt object" descr="A picture containing train&#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67" name="A picture containing train&#10;&#10;Description automatically generated" descr="A picture containing trainDescription automatically generated"/>
                    <pic:cNvPicPr>
                      <a:picLocks noChangeAspect="1"/>
                    </pic:cNvPicPr>
                  </pic:nvPicPr>
                  <pic:blipFill>
                    <a:blip r:embed="rId22"/>
                    <a:stretch>
                      <a:fillRect/>
                    </a:stretch>
                  </pic:blipFill>
                  <pic:spPr>
                    <a:xfrm>
                      <a:off x="0" y="0"/>
                      <a:ext cx="4660113" cy="2665484"/>
                    </a:xfrm>
                    <a:prstGeom prst="rect">
                      <a:avLst/>
                    </a:prstGeom>
                    <a:ln w="9525" cap="flat">
                      <a:solidFill>
                        <a:srgbClr val="4472C4"/>
                      </a:solidFill>
                      <a:prstDash val="solid"/>
                      <a:round/>
                    </a:ln>
                    <a:effectLst/>
                  </pic:spPr>
                </pic:pic>
              </a:graphicData>
            </a:graphic>
          </wp:inline>
        </w:drawing>
      </w:r>
    </w:p>
    <w:p w14:paraId="3CB970DF" w14:textId="77777777" w:rsidR="00AF0E0B" w:rsidRPr="00AF0E0B" w:rsidRDefault="00AF0E0B" w:rsidP="00AF0E0B">
      <w:pPr>
        <w:pBdr>
          <w:top w:val="nil"/>
          <w:left w:val="nil"/>
          <w:bottom w:val="nil"/>
          <w:right w:val="nil"/>
          <w:between w:val="nil"/>
          <w:bar w:val="nil"/>
        </w:pBdr>
        <w:spacing w:line="360" w:lineRule="auto"/>
        <w:rPr>
          <w:rFonts w:eastAsia="Arial" w:cs="Arial"/>
          <w:i/>
          <w:iCs/>
          <w:color w:val="808080"/>
          <w:sz w:val="21"/>
          <w:szCs w:val="21"/>
          <w:u w:color="808080"/>
          <w:bdr w:val="nil"/>
          <w:lang w:eastAsia="en-GB"/>
        </w:rPr>
      </w:pPr>
      <w:r w:rsidRPr="00AF0E0B">
        <w:rPr>
          <w:rFonts w:eastAsia="Arial Unicode MS" w:cs="Arial Unicode MS"/>
          <w:i/>
          <w:iCs/>
          <w:color w:val="808080"/>
          <w:sz w:val="21"/>
          <w:szCs w:val="21"/>
          <w:u w:color="808080"/>
          <w:bdr w:val="nil"/>
          <w:lang w:eastAsia="en-GB"/>
        </w:rPr>
        <w:t>*P-DPN vs DPN p=.017, P-DPN vs DM-NN p=.333, P-DPN vs HV p=.034</w:t>
      </w:r>
    </w:p>
    <w:p w14:paraId="312BEBC9" w14:textId="025597A9" w:rsidR="00AF0E0B" w:rsidRPr="00AF0E0B" w:rsidRDefault="00AF0E0B" w:rsidP="00455CF2">
      <w:pPr>
        <w:pStyle w:val="Subtitle"/>
      </w:pPr>
      <w:bookmarkStart w:id="172" w:name="_Toc17"/>
      <w:bookmarkStart w:id="173" w:name="_Toc49973357"/>
      <w:bookmarkStart w:id="174" w:name="_Toc64724175"/>
      <w:r w:rsidRPr="00AF0E0B">
        <w:lastRenderedPageBreak/>
        <w:t>Figure 2.6  Questionnaires: 95% Confidence Intervals for Somatic Focus (PILL) by Group</w:t>
      </w:r>
      <w:bookmarkEnd w:id="172"/>
      <w:bookmarkEnd w:id="173"/>
      <w:bookmarkEnd w:id="174"/>
    </w:p>
    <w:p w14:paraId="7D015083" w14:textId="77777777" w:rsidR="00AF0E0B" w:rsidRPr="00AF0E0B" w:rsidRDefault="00AF0E0B" w:rsidP="00AF0E0B">
      <w:pPr>
        <w:pBdr>
          <w:top w:val="nil"/>
          <w:left w:val="nil"/>
          <w:bottom w:val="nil"/>
          <w:right w:val="nil"/>
          <w:between w:val="nil"/>
          <w:bar w:val="nil"/>
        </w:pBdr>
        <w:spacing w:line="360" w:lineRule="auto"/>
        <w:rPr>
          <w:rFonts w:eastAsia="Arial" w:cs="Arial"/>
          <w:color w:val="000000"/>
          <w:u w:color="000000"/>
          <w:bdr w:val="nil"/>
          <w:lang w:eastAsia="en-GB"/>
        </w:rPr>
      </w:pPr>
      <w:r w:rsidRPr="00AF0E0B">
        <w:rPr>
          <w:rFonts w:eastAsia="Arial" w:cs="Arial"/>
          <w:noProof/>
          <w:color w:val="000000"/>
          <w:u w:color="000000"/>
          <w:bdr w:val="nil"/>
          <w:lang w:eastAsia="en-GB"/>
        </w:rPr>
        <w:drawing>
          <wp:inline distT="0" distB="0" distL="0" distR="0" wp14:anchorId="7EA16F93" wp14:editId="0F88C7C4">
            <wp:extent cx="4604703" cy="2717531"/>
            <wp:effectExtent l="25400" t="25400" r="31115" b="26035"/>
            <wp:docPr id="1073741868" name="officeArt object"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68" name="A screenshot of a cell phone&#10;&#10;Description automatically generated" descr="A screenshot of a cell phoneDescription automatically generated"/>
                    <pic:cNvPicPr>
                      <a:picLocks noChangeAspect="1"/>
                    </pic:cNvPicPr>
                  </pic:nvPicPr>
                  <pic:blipFill>
                    <a:blip r:embed="rId23"/>
                    <a:stretch>
                      <a:fillRect/>
                    </a:stretch>
                  </pic:blipFill>
                  <pic:spPr>
                    <a:xfrm>
                      <a:off x="0" y="0"/>
                      <a:ext cx="4604703" cy="2717531"/>
                    </a:xfrm>
                    <a:prstGeom prst="rect">
                      <a:avLst/>
                    </a:prstGeom>
                    <a:ln w="19050" cap="flat">
                      <a:solidFill>
                        <a:srgbClr val="4472C4"/>
                      </a:solidFill>
                      <a:prstDash val="solid"/>
                      <a:round/>
                    </a:ln>
                    <a:effectLst/>
                  </pic:spPr>
                </pic:pic>
              </a:graphicData>
            </a:graphic>
          </wp:inline>
        </w:drawing>
      </w:r>
    </w:p>
    <w:p w14:paraId="367AB145" w14:textId="682B591C" w:rsidR="00AF0E0B" w:rsidRDefault="00AF0E0B" w:rsidP="00AF0E0B">
      <w:pPr>
        <w:pBdr>
          <w:top w:val="nil"/>
          <w:left w:val="nil"/>
          <w:bottom w:val="nil"/>
          <w:right w:val="nil"/>
          <w:between w:val="nil"/>
          <w:bar w:val="nil"/>
        </w:pBdr>
        <w:spacing w:line="360" w:lineRule="auto"/>
        <w:rPr>
          <w:rFonts w:eastAsia="Arial Unicode MS" w:cs="Arial Unicode MS"/>
          <w:i/>
          <w:iCs/>
          <w:color w:val="808080"/>
          <w:sz w:val="21"/>
          <w:szCs w:val="21"/>
          <w:u w:color="808080"/>
          <w:bdr w:val="nil"/>
          <w:lang w:eastAsia="en-GB"/>
        </w:rPr>
      </w:pPr>
      <w:r w:rsidRPr="00AF0E0B">
        <w:rPr>
          <w:rFonts w:eastAsia="Arial Unicode MS" w:cs="Arial Unicode MS"/>
          <w:i/>
          <w:iCs/>
          <w:color w:val="808080"/>
          <w:sz w:val="21"/>
          <w:szCs w:val="21"/>
          <w:u w:color="808080"/>
          <w:bdr w:val="nil"/>
          <w:lang w:eastAsia="en-GB"/>
        </w:rPr>
        <w:t>*P-DPN vs DM-NN p=.042 .P-DPN vs DPN p=.114, P-DPN vs HV p=.068</w:t>
      </w:r>
    </w:p>
    <w:p w14:paraId="62066F9F" w14:textId="77777777" w:rsidR="001D00DA" w:rsidRPr="00AF0E0B" w:rsidRDefault="001D00DA" w:rsidP="00AF0E0B">
      <w:pPr>
        <w:pBdr>
          <w:top w:val="nil"/>
          <w:left w:val="nil"/>
          <w:bottom w:val="nil"/>
          <w:right w:val="nil"/>
          <w:between w:val="nil"/>
          <w:bar w:val="nil"/>
        </w:pBdr>
        <w:spacing w:line="360" w:lineRule="auto"/>
        <w:rPr>
          <w:rFonts w:eastAsia="Arial" w:cs="Arial"/>
          <w:i/>
          <w:iCs/>
          <w:color w:val="808080"/>
          <w:sz w:val="21"/>
          <w:szCs w:val="21"/>
          <w:u w:color="808080"/>
          <w:bdr w:val="nil"/>
          <w:lang w:eastAsia="en-GB"/>
        </w:rPr>
      </w:pPr>
    </w:p>
    <w:p w14:paraId="1BEF6B53" w14:textId="77777777" w:rsidR="00AF0E0B" w:rsidRPr="00AF0E0B" w:rsidRDefault="00AF0E0B" w:rsidP="00AF0E0B">
      <w:pPr>
        <w:pBdr>
          <w:top w:val="nil"/>
          <w:left w:val="nil"/>
          <w:bottom w:val="nil"/>
          <w:right w:val="nil"/>
          <w:between w:val="nil"/>
          <w:bar w:val="nil"/>
        </w:pBdr>
        <w:spacing w:line="360" w:lineRule="auto"/>
        <w:rPr>
          <w:rFonts w:eastAsia="Arial" w:cs="Arial"/>
          <w:color w:val="000000"/>
          <w:u w:color="000000"/>
          <w:bdr w:val="nil"/>
          <w:lang w:eastAsia="en-GB"/>
        </w:rPr>
      </w:pPr>
      <w:r w:rsidRPr="00AF0E0B">
        <w:rPr>
          <w:rFonts w:eastAsia="Arial Unicode MS" w:cs="Arial Unicode MS"/>
          <w:color w:val="000000"/>
          <w:u w:color="000000"/>
          <w:bdr w:val="nil"/>
          <w:lang w:val="en-US" w:eastAsia="en-GB"/>
        </w:rPr>
        <w:t xml:space="preserve">A multivariate analysis of those that completed all the questionnaires (n=54) showed that there was a highly significant result for group across all questionnaires: Wilks’ λ=.251, F(33,98)= 1.774, p=.016.  The strongest function found higher scoring on the BDI, PILL, STAI-S, and PCS were positively correlated with P-DPN.  BAS-F scores were negatively correlated with P-DPN (see Table 2.3).  This function could correctly predict 80% of P-DPN cases, and 74.5% of all cases (see Table 2.4 and Figure 2.7).  Function 2 found those with DM-NN were positively associated with higher scores on BAS-D (drive) and BAS-RR (reward responsiveness) and negatively associated with STAI-T (see structure matrix table 2.3.).  In summary mean measures of depression anxiety, somatic focus and pain </w:t>
      </w:r>
      <w:proofErr w:type="spellStart"/>
      <w:r w:rsidRPr="00AF0E0B">
        <w:rPr>
          <w:rFonts w:eastAsia="Arial Unicode MS" w:cs="Arial Unicode MS"/>
          <w:color w:val="000000"/>
          <w:u w:color="000000"/>
          <w:bdr w:val="nil"/>
          <w:lang w:val="en-US" w:eastAsia="en-GB"/>
        </w:rPr>
        <w:t>catastrophising</w:t>
      </w:r>
      <w:proofErr w:type="spellEnd"/>
      <w:r w:rsidRPr="00AF0E0B">
        <w:rPr>
          <w:rFonts w:eastAsia="Arial Unicode MS" w:cs="Arial Unicode MS"/>
          <w:color w:val="000000"/>
          <w:u w:color="000000"/>
          <w:bdr w:val="nil"/>
          <w:lang w:val="en-US" w:eastAsia="en-GB"/>
        </w:rPr>
        <w:t xml:space="preserve"> were significantly higher with P-DPN.  </w:t>
      </w:r>
    </w:p>
    <w:p w14:paraId="4AF51F07" w14:textId="77777777" w:rsidR="00AF0E0B" w:rsidRPr="00AF0E0B" w:rsidRDefault="00AF0E0B" w:rsidP="00AF0E0B">
      <w:pPr>
        <w:pBdr>
          <w:top w:val="nil"/>
          <w:left w:val="nil"/>
          <w:bottom w:val="nil"/>
          <w:right w:val="nil"/>
          <w:between w:val="nil"/>
          <w:bar w:val="nil"/>
        </w:pBdr>
        <w:rPr>
          <w:rFonts w:ascii="Times New Roman" w:eastAsia="Arial Unicode MS" w:hAnsi="Times New Roman" w:cs="Arial Unicode MS"/>
          <w:color w:val="000000"/>
          <w:u w:color="000000"/>
          <w:bdr w:val="nil"/>
          <w:lang w:eastAsia="en-GB"/>
        </w:rPr>
      </w:pPr>
      <w:r w:rsidRPr="00AF0E0B">
        <w:rPr>
          <w:rFonts w:ascii="Arial Unicode MS" w:eastAsia="Arial Unicode MS" w:hAnsi="Arial Unicode MS" w:cs="Arial Unicode MS"/>
          <w:color w:val="000000"/>
          <w:u w:color="000000"/>
          <w:bdr w:val="nil"/>
          <w:lang w:eastAsia="en-GB"/>
        </w:rPr>
        <w:br w:type="page"/>
      </w:r>
    </w:p>
    <w:p w14:paraId="38B41B25" w14:textId="50CCF7F3" w:rsidR="00AF0E0B" w:rsidRPr="00AF0E0B" w:rsidRDefault="00AF0E0B" w:rsidP="008E7150">
      <w:pPr>
        <w:pStyle w:val="Quote"/>
      </w:pPr>
      <w:bookmarkStart w:id="175" w:name="_Toc18"/>
      <w:bookmarkStart w:id="176" w:name="_Toc49973554"/>
      <w:bookmarkStart w:id="177" w:name="_Toc64724078"/>
      <w:r w:rsidRPr="00AF0E0B">
        <w:lastRenderedPageBreak/>
        <w:t>Table 2.3  Structure Matrix for Discriminant Function Analysis</w:t>
      </w:r>
      <w:bookmarkEnd w:id="175"/>
      <w:bookmarkEnd w:id="176"/>
      <w:bookmarkEnd w:id="177"/>
    </w:p>
    <w:tbl>
      <w:tblPr>
        <w:tblW w:w="9236"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2908"/>
        <w:gridCol w:w="1692"/>
        <w:gridCol w:w="2318"/>
        <w:gridCol w:w="2318"/>
      </w:tblGrid>
      <w:tr w:rsidR="00AF0E0B" w:rsidRPr="00AF0E0B" w14:paraId="4FB1CD98" w14:textId="77777777" w:rsidTr="00AB4128">
        <w:trPr>
          <w:trHeight w:val="248"/>
        </w:trPr>
        <w:tc>
          <w:tcPr>
            <w:tcW w:w="9236" w:type="dxa"/>
            <w:gridSpan w:val="4"/>
            <w:tcBorders>
              <w:top w:val="single" w:sz="4" w:space="0" w:color="000000"/>
              <w:left w:val="single" w:sz="4" w:space="0" w:color="000000"/>
              <w:bottom w:val="single" w:sz="2" w:space="0" w:color="F4B083"/>
              <w:right w:val="single" w:sz="4" w:space="0" w:color="000000"/>
            </w:tcBorders>
            <w:shd w:val="clear" w:color="auto" w:fill="FFFFFF"/>
            <w:tcMar>
              <w:top w:w="80" w:type="dxa"/>
              <w:left w:w="80" w:type="dxa"/>
              <w:bottom w:w="80" w:type="dxa"/>
              <w:right w:w="80" w:type="dxa"/>
            </w:tcMar>
            <w:vAlign w:val="center"/>
          </w:tcPr>
          <w:p w14:paraId="70823ED8" w14:textId="77777777" w:rsidR="00AF0E0B" w:rsidRPr="00AF0E0B" w:rsidRDefault="00AF0E0B" w:rsidP="00AF0E0B">
            <w:pPr>
              <w:pBdr>
                <w:top w:val="nil"/>
                <w:left w:val="nil"/>
                <w:bottom w:val="nil"/>
                <w:right w:val="nil"/>
                <w:between w:val="nil"/>
                <w:bar w:val="nil"/>
              </w:pBdr>
              <w:jc w:val="center"/>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Structure Matrix</w:t>
            </w:r>
          </w:p>
        </w:tc>
      </w:tr>
      <w:tr w:rsidR="00AF0E0B" w:rsidRPr="00AF0E0B" w14:paraId="5F86FE8C" w14:textId="77777777" w:rsidTr="00AB4128">
        <w:trPr>
          <w:trHeight w:val="245"/>
        </w:trPr>
        <w:tc>
          <w:tcPr>
            <w:tcW w:w="2908" w:type="dxa"/>
            <w:tcBorders>
              <w:top w:val="single" w:sz="2" w:space="0" w:color="F4B083"/>
              <w:left w:val="single" w:sz="4" w:space="0" w:color="000000"/>
              <w:bottom w:val="single" w:sz="2" w:space="0" w:color="F4B083"/>
              <w:right w:val="single" w:sz="2" w:space="0" w:color="F4B083"/>
            </w:tcBorders>
            <w:shd w:val="clear" w:color="auto" w:fill="FBE4D5"/>
            <w:tcMar>
              <w:top w:w="80" w:type="dxa"/>
              <w:left w:w="80" w:type="dxa"/>
              <w:bottom w:w="80" w:type="dxa"/>
              <w:right w:w="80" w:type="dxa"/>
            </w:tcMar>
          </w:tcPr>
          <w:p w14:paraId="73291410" w14:textId="77777777" w:rsidR="00AF0E0B" w:rsidRPr="00AF0E0B" w:rsidRDefault="00AF0E0B" w:rsidP="00AF0E0B">
            <w:pPr>
              <w:pBdr>
                <w:top w:val="nil"/>
                <w:left w:val="nil"/>
                <w:bottom w:val="nil"/>
                <w:right w:val="nil"/>
                <w:between w:val="nil"/>
                <w:bar w:val="nil"/>
              </w:pBdr>
              <w:rPr>
                <w:rFonts w:ascii="Times New Roman" w:eastAsia="Arial Unicode MS" w:hAnsi="Times New Roman" w:cs="Times New Roman"/>
                <w:bdr w:val="nil"/>
                <w:lang w:val="en-US"/>
              </w:rPr>
            </w:pPr>
          </w:p>
        </w:tc>
        <w:tc>
          <w:tcPr>
            <w:tcW w:w="6328" w:type="dxa"/>
            <w:gridSpan w:val="3"/>
            <w:tcBorders>
              <w:top w:val="single" w:sz="2" w:space="0" w:color="F4B083"/>
              <w:left w:val="single" w:sz="2" w:space="0" w:color="F4B083"/>
              <w:bottom w:val="single" w:sz="2" w:space="0" w:color="F4B083"/>
              <w:right w:val="single" w:sz="4" w:space="0" w:color="000000"/>
            </w:tcBorders>
            <w:shd w:val="clear" w:color="auto" w:fill="FBE4D5"/>
            <w:tcMar>
              <w:top w:w="80" w:type="dxa"/>
              <w:left w:w="80" w:type="dxa"/>
              <w:bottom w:w="80" w:type="dxa"/>
              <w:right w:w="80" w:type="dxa"/>
            </w:tcMar>
            <w:vAlign w:val="center"/>
          </w:tcPr>
          <w:p w14:paraId="09F38D79" w14:textId="77777777" w:rsidR="00AF0E0B" w:rsidRPr="00AF0E0B" w:rsidRDefault="00AF0E0B" w:rsidP="00AF0E0B">
            <w:pPr>
              <w:pBdr>
                <w:top w:val="nil"/>
                <w:left w:val="nil"/>
                <w:bottom w:val="nil"/>
                <w:right w:val="nil"/>
                <w:between w:val="nil"/>
                <w:bar w:val="nil"/>
              </w:pBdr>
              <w:jc w:val="center"/>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Function</w:t>
            </w:r>
          </w:p>
        </w:tc>
      </w:tr>
      <w:tr w:rsidR="00AF0E0B" w:rsidRPr="00AF0E0B" w14:paraId="05C06D9B" w14:textId="77777777" w:rsidTr="00AB4128">
        <w:trPr>
          <w:trHeight w:val="245"/>
        </w:trPr>
        <w:tc>
          <w:tcPr>
            <w:tcW w:w="2908" w:type="dxa"/>
            <w:tcBorders>
              <w:top w:val="single" w:sz="2" w:space="0" w:color="F4B083"/>
              <w:left w:val="single" w:sz="4" w:space="0" w:color="000000"/>
              <w:bottom w:val="single" w:sz="2" w:space="0" w:color="F4B083"/>
              <w:right w:val="single" w:sz="2" w:space="0" w:color="F4B083"/>
            </w:tcBorders>
            <w:shd w:val="clear" w:color="auto" w:fill="auto"/>
            <w:tcMar>
              <w:top w:w="80" w:type="dxa"/>
              <w:left w:w="80" w:type="dxa"/>
              <w:bottom w:w="80" w:type="dxa"/>
              <w:right w:w="80" w:type="dxa"/>
            </w:tcMar>
          </w:tcPr>
          <w:p w14:paraId="58E02569" w14:textId="77777777" w:rsidR="00AF0E0B" w:rsidRPr="00AF0E0B" w:rsidRDefault="00AF0E0B" w:rsidP="00AF0E0B">
            <w:pPr>
              <w:pBdr>
                <w:top w:val="nil"/>
                <w:left w:val="nil"/>
                <w:bottom w:val="nil"/>
                <w:right w:val="nil"/>
                <w:between w:val="nil"/>
                <w:bar w:val="nil"/>
              </w:pBdr>
              <w:rPr>
                <w:rFonts w:ascii="Times New Roman" w:eastAsia="Arial Unicode MS" w:hAnsi="Times New Roman" w:cs="Times New Roman"/>
                <w:bdr w:val="nil"/>
                <w:lang w:val="en-US"/>
              </w:rPr>
            </w:pPr>
          </w:p>
        </w:tc>
        <w:tc>
          <w:tcPr>
            <w:tcW w:w="1692"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2A082435"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1</w:t>
            </w:r>
          </w:p>
        </w:tc>
        <w:tc>
          <w:tcPr>
            <w:tcW w:w="2318"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1561D0C9"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2</w:t>
            </w:r>
          </w:p>
        </w:tc>
        <w:tc>
          <w:tcPr>
            <w:tcW w:w="2318" w:type="dxa"/>
            <w:tcBorders>
              <w:top w:val="single" w:sz="2" w:space="0" w:color="F4B083"/>
              <w:left w:val="single" w:sz="2" w:space="0" w:color="F4B083"/>
              <w:bottom w:val="single" w:sz="2" w:space="0" w:color="F4B083"/>
              <w:right w:val="single" w:sz="4" w:space="0" w:color="000000"/>
            </w:tcBorders>
            <w:shd w:val="clear" w:color="auto" w:fill="auto"/>
            <w:tcMar>
              <w:top w:w="80" w:type="dxa"/>
              <w:left w:w="80" w:type="dxa"/>
              <w:bottom w:w="80" w:type="dxa"/>
              <w:right w:w="80" w:type="dxa"/>
            </w:tcMar>
            <w:vAlign w:val="center"/>
          </w:tcPr>
          <w:p w14:paraId="64936617"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3</w:t>
            </w:r>
          </w:p>
        </w:tc>
      </w:tr>
      <w:tr w:rsidR="00AF0E0B" w:rsidRPr="00AF0E0B" w14:paraId="321DDE10" w14:textId="77777777" w:rsidTr="00AB4128">
        <w:trPr>
          <w:trHeight w:val="245"/>
        </w:trPr>
        <w:tc>
          <w:tcPr>
            <w:tcW w:w="2908" w:type="dxa"/>
            <w:tcBorders>
              <w:top w:val="single" w:sz="2" w:space="0" w:color="F4B083"/>
              <w:left w:val="single" w:sz="4" w:space="0" w:color="000000"/>
              <w:bottom w:val="single" w:sz="2" w:space="0" w:color="F4B083"/>
              <w:right w:val="single" w:sz="2" w:space="0" w:color="F4B083"/>
            </w:tcBorders>
            <w:shd w:val="clear" w:color="auto" w:fill="FBE4D5"/>
            <w:tcMar>
              <w:top w:w="80" w:type="dxa"/>
              <w:left w:w="80" w:type="dxa"/>
              <w:bottom w:w="80" w:type="dxa"/>
              <w:right w:w="80" w:type="dxa"/>
            </w:tcMar>
          </w:tcPr>
          <w:p w14:paraId="42398057" w14:textId="77777777" w:rsidR="00AF0E0B" w:rsidRPr="00AF0E0B" w:rsidRDefault="00AF0E0B" w:rsidP="00AF0E0B">
            <w:pPr>
              <w:pBdr>
                <w:top w:val="nil"/>
                <w:left w:val="nil"/>
                <w:bottom w:val="nil"/>
                <w:right w:val="nil"/>
                <w:between w:val="nil"/>
                <w:bar w:val="nil"/>
              </w:pBdr>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BDI</w:t>
            </w:r>
          </w:p>
        </w:tc>
        <w:tc>
          <w:tcPr>
            <w:tcW w:w="1692"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32FD69D1"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.638*</w:t>
            </w:r>
          </w:p>
        </w:tc>
        <w:tc>
          <w:tcPr>
            <w:tcW w:w="2318"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3ED13318"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-0.291</w:t>
            </w:r>
          </w:p>
        </w:tc>
        <w:tc>
          <w:tcPr>
            <w:tcW w:w="2318" w:type="dxa"/>
            <w:tcBorders>
              <w:top w:val="single" w:sz="2" w:space="0" w:color="F4B083"/>
              <w:left w:val="single" w:sz="2" w:space="0" w:color="F4B083"/>
              <w:bottom w:val="single" w:sz="2" w:space="0" w:color="F4B083"/>
              <w:right w:val="single" w:sz="4" w:space="0" w:color="000000"/>
            </w:tcBorders>
            <w:shd w:val="clear" w:color="auto" w:fill="FBE4D5"/>
            <w:tcMar>
              <w:top w:w="80" w:type="dxa"/>
              <w:left w:w="80" w:type="dxa"/>
              <w:bottom w:w="80" w:type="dxa"/>
              <w:right w:w="80" w:type="dxa"/>
            </w:tcMar>
            <w:vAlign w:val="center"/>
          </w:tcPr>
          <w:p w14:paraId="7AA1F416"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0.325</w:t>
            </w:r>
          </w:p>
        </w:tc>
      </w:tr>
      <w:tr w:rsidR="00AF0E0B" w:rsidRPr="00AF0E0B" w14:paraId="4969A34E" w14:textId="77777777" w:rsidTr="00AB4128">
        <w:trPr>
          <w:trHeight w:val="245"/>
        </w:trPr>
        <w:tc>
          <w:tcPr>
            <w:tcW w:w="2908" w:type="dxa"/>
            <w:tcBorders>
              <w:top w:val="single" w:sz="2" w:space="0" w:color="F4B083"/>
              <w:left w:val="single" w:sz="4" w:space="0" w:color="000000"/>
              <w:bottom w:val="single" w:sz="2" w:space="0" w:color="F4B083"/>
              <w:right w:val="single" w:sz="2" w:space="0" w:color="F4B083"/>
            </w:tcBorders>
            <w:shd w:val="clear" w:color="auto" w:fill="auto"/>
            <w:tcMar>
              <w:top w:w="80" w:type="dxa"/>
              <w:left w:w="80" w:type="dxa"/>
              <w:bottom w:w="80" w:type="dxa"/>
              <w:right w:w="80" w:type="dxa"/>
            </w:tcMar>
          </w:tcPr>
          <w:p w14:paraId="3EDCDF35" w14:textId="77777777" w:rsidR="00AF0E0B" w:rsidRPr="00AF0E0B" w:rsidRDefault="00AF0E0B" w:rsidP="00AF0E0B">
            <w:pPr>
              <w:pBdr>
                <w:top w:val="nil"/>
                <w:left w:val="nil"/>
                <w:bottom w:val="nil"/>
                <w:right w:val="nil"/>
                <w:between w:val="nil"/>
                <w:bar w:val="nil"/>
              </w:pBdr>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PILL</w:t>
            </w:r>
          </w:p>
        </w:tc>
        <w:tc>
          <w:tcPr>
            <w:tcW w:w="1692"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3A6BD476"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.610*</w:t>
            </w:r>
          </w:p>
        </w:tc>
        <w:tc>
          <w:tcPr>
            <w:tcW w:w="2318"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55C29566"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-0.189</w:t>
            </w:r>
          </w:p>
        </w:tc>
        <w:tc>
          <w:tcPr>
            <w:tcW w:w="2318" w:type="dxa"/>
            <w:tcBorders>
              <w:top w:val="single" w:sz="2" w:space="0" w:color="F4B083"/>
              <w:left w:val="single" w:sz="2" w:space="0" w:color="F4B083"/>
              <w:bottom w:val="single" w:sz="2" w:space="0" w:color="F4B083"/>
              <w:right w:val="single" w:sz="4" w:space="0" w:color="000000"/>
            </w:tcBorders>
            <w:shd w:val="clear" w:color="auto" w:fill="auto"/>
            <w:tcMar>
              <w:top w:w="80" w:type="dxa"/>
              <w:left w:w="80" w:type="dxa"/>
              <w:bottom w:w="80" w:type="dxa"/>
              <w:right w:w="80" w:type="dxa"/>
            </w:tcMar>
            <w:vAlign w:val="center"/>
          </w:tcPr>
          <w:p w14:paraId="24EA3E6D"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0.384</w:t>
            </w:r>
          </w:p>
        </w:tc>
      </w:tr>
      <w:tr w:rsidR="00AF0E0B" w:rsidRPr="00AF0E0B" w14:paraId="3532583A" w14:textId="77777777" w:rsidTr="00AB4128">
        <w:trPr>
          <w:trHeight w:val="245"/>
        </w:trPr>
        <w:tc>
          <w:tcPr>
            <w:tcW w:w="2908" w:type="dxa"/>
            <w:tcBorders>
              <w:top w:val="single" w:sz="2" w:space="0" w:color="F4B083"/>
              <w:left w:val="single" w:sz="4" w:space="0" w:color="000000"/>
              <w:bottom w:val="single" w:sz="2" w:space="0" w:color="F4B083"/>
              <w:right w:val="single" w:sz="2" w:space="0" w:color="F4B083"/>
            </w:tcBorders>
            <w:shd w:val="clear" w:color="auto" w:fill="FBE4D5"/>
            <w:tcMar>
              <w:top w:w="80" w:type="dxa"/>
              <w:left w:w="80" w:type="dxa"/>
              <w:bottom w:w="80" w:type="dxa"/>
              <w:right w:w="80" w:type="dxa"/>
            </w:tcMar>
          </w:tcPr>
          <w:p w14:paraId="74AABAA7" w14:textId="77777777" w:rsidR="00AF0E0B" w:rsidRPr="00AF0E0B" w:rsidRDefault="00AF0E0B" w:rsidP="00AF0E0B">
            <w:pPr>
              <w:pBdr>
                <w:top w:val="nil"/>
                <w:left w:val="nil"/>
                <w:bottom w:val="nil"/>
                <w:right w:val="nil"/>
                <w:between w:val="nil"/>
                <w:bar w:val="nil"/>
              </w:pBdr>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STAI- S</w:t>
            </w:r>
          </w:p>
        </w:tc>
        <w:tc>
          <w:tcPr>
            <w:tcW w:w="1692"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54C79845"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.310*</w:t>
            </w:r>
          </w:p>
        </w:tc>
        <w:tc>
          <w:tcPr>
            <w:tcW w:w="2318"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082975CC"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-0.021</w:t>
            </w:r>
          </w:p>
        </w:tc>
        <w:tc>
          <w:tcPr>
            <w:tcW w:w="2318" w:type="dxa"/>
            <w:tcBorders>
              <w:top w:val="single" w:sz="2" w:space="0" w:color="F4B083"/>
              <w:left w:val="single" w:sz="2" w:space="0" w:color="F4B083"/>
              <w:bottom w:val="single" w:sz="2" w:space="0" w:color="F4B083"/>
              <w:right w:val="single" w:sz="4" w:space="0" w:color="000000"/>
            </w:tcBorders>
            <w:shd w:val="clear" w:color="auto" w:fill="FBE4D5"/>
            <w:tcMar>
              <w:top w:w="80" w:type="dxa"/>
              <w:left w:w="80" w:type="dxa"/>
              <w:bottom w:w="80" w:type="dxa"/>
              <w:right w:w="80" w:type="dxa"/>
            </w:tcMar>
            <w:vAlign w:val="center"/>
          </w:tcPr>
          <w:p w14:paraId="3998C7B6"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-0.181</w:t>
            </w:r>
          </w:p>
        </w:tc>
      </w:tr>
      <w:tr w:rsidR="00AF0E0B" w:rsidRPr="00AF0E0B" w14:paraId="573D8F36" w14:textId="77777777" w:rsidTr="00AB4128">
        <w:trPr>
          <w:trHeight w:val="245"/>
        </w:trPr>
        <w:tc>
          <w:tcPr>
            <w:tcW w:w="2908" w:type="dxa"/>
            <w:tcBorders>
              <w:top w:val="single" w:sz="2" w:space="0" w:color="F4B083"/>
              <w:left w:val="single" w:sz="4" w:space="0" w:color="000000"/>
              <w:bottom w:val="single" w:sz="2" w:space="0" w:color="F4B083"/>
              <w:right w:val="single" w:sz="2" w:space="0" w:color="F4B083"/>
            </w:tcBorders>
            <w:shd w:val="clear" w:color="auto" w:fill="auto"/>
            <w:tcMar>
              <w:top w:w="80" w:type="dxa"/>
              <w:left w:w="80" w:type="dxa"/>
              <w:bottom w:w="80" w:type="dxa"/>
              <w:right w:w="80" w:type="dxa"/>
            </w:tcMar>
          </w:tcPr>
          <w:p w14:paraId="676F6B01" w14:textId="77777777" w:rsidR="00AF0E0B" w:rsidRPr="00AF0E0B" w:rsidRDefault="00AF0E0B" w:rsidP="00AF0E0B">
            <w:pPr>
              <w:pBdr>
                <w:top w:val="nil"/>
                <w:left w:val="nil"/>
                <w:bottom w:val="nil"/>
                <w:right w:val="nil"/>
                <w:between w:val="nil"/>
                <w:bar w:val="nil"/>
              </w:pBdr>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PCS</w:t>
            </w:r>
          </w:p>
        </w:tc>
        <w:tc>
          <w:tcPr>
            <w:tcW w:w="1692"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3868FF92"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.273*</w:t>
            </w:r>
          </w:p>
        </w:tc>
        <w:tc>
          <w:tcPr>
            <w:tcW w:w="2318"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2F2167B2"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0.153</w:t>
            </w:r>
          </w:p>
        </w:tc>
        <w:tc>
          <w:tcPr>
            <w:tcW w:w="2318" w:type="dxa"/>
            <w:tcBorders>
              <w:top w:val="single" w:sz="2" w:space="0" w:color="F4B083"/>
              <w:left w:val="single" w:sz="2" w:space="0" w:color="F4B083"/>
              <w:bottom w:val="single" w:sz="2" w:space="0" w:color="F4B083"/>
              <w:right w:val="single" w:sz="4" w:space="0" w:color="000000"/>
            </w:tcBorders>
            <w:shd w:val="clear" w:color="auto" w:fill="auto"/>
            <w:tcMar>
              <w:top w:w="80" w:type="dxa"/>
              <w:left w:w="80" w:type="dxa"/>
              <w:bottom w:w="80" w:type="dxa"/>
              <w:right w:w="80" w:type="dxa"/>
            </w:tcMar>
            <w:vAlign w:val="center"/>
          </w:tcPr>
          <w:p w14:paraId="2F93E178"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0.241</w:t>
            </w:r>
          </w:p>
        </w:tc>
      </w:tr>
      <w:tr w:rsidR="00AF0E0B" w:rsidRPr="00AF0E0B" w14:paraId="42B7A0B9" w14:textId="77777777" w:rsidTr="00AB4128">
        <w:trPr>
          <w:trHeight w:val="245"/>
        </w:trPr>
        <w:tc>
          <w:tcPr>
            <w:tcW w:w="2908" w:type="dxa"/>
            <w:tcBorders>
              <w:top w:val="single" w:sz="2" w:space="0" w:color="F4B083"/>
              <w:left w:val="single" w:sz="4" w:space="0" w:color="000000"/>
              <w:bottom w:val="single" w:sz="2" w:space="0" w:color="F4B083"/>
              <w:right w:val="single" w:sz="2" w:space="0" w:color="F4B083"/>
            </w:tcBorders>
            <w:shd w:val="clear" w:color="auto" w:fill="FBE4D5"/>
            <w:tcMar>
              <w:top w:w="80" w:type="dxa"/>
              <w:left w:w="80" w:type="dxa"/>
              <w:bottom w:w="80" w:type="dxa"/>
              <w:right w:w="80" w:type="dxa"/>
            </w:tcMar>
          </w:tcPr>
          <w:p w14:paraId="6FABE38E" w14:textId="77777777" w:rsidR="00AF0E0B" w:rsidRPr="00AF0E0B" w:rsidRDefault="00AF0E0B" w:rsidP="00AF0E0B">
            <w:pPr>
              <w:pBdr>
                <w:top w:val="nil"/>
                <w:left w:val="nil"/>
                <w:bottom w:val="nil"/>
                <w:right w:val="nil"/>
                <w:between w:val="nil"/>
                <w:bar w:val="nil"/>
              </w:pBdr>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BAS-D</w:t>
            </w:r>
          </w:p>
        </w:tc>
        <w:tc>
          <w:tcPr>
            <w:tcW w:w="1692"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3045AFBB"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-0.089</w:t>
            </w:r>
          </w:p>
        </w:tc>
        <w:tc>
          <w:tcPr>
            <w:tcW w:w="2318"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7C735732"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.607*</w:t>
            </w:r>
          </w:p>
        </w:tc>
        <w:tc>
          <w:tcPr>
            <w:tcW w:w="2318" w:type="dxa"/>
            <w:tcBorders>
              <w:top w:val="single" w:sz="2" w:space="0" w:color="F4B083"/>
              <w:left w:val="single" w:sz="2" w:space="0" w:color="F4B083"/>
              <w:bottom w:val="single" w:sz="2" w:space="0" w:color="F4B083"/>
              <w:right w:val="single" w:sz="4" w:space="0" w:color="000000"/>
            </w:tcBorders>
            <w:shd w:val="clear" w:color="auto" w:fill="FBE4D5"/>
            <w:tcMar>
              <w:top w:w="80" w:type="dxa"/>
              <w:left w:w="80" w:type="dxa"/>
              <w:bottom w:w="80" w:type="dxa"/>
              <w:right w:w="80" w:type="dxa"/>
            </w:tcMar>
            <w:vAlign w:val="center"/>
          </w:tcPr>
          <w:p w14:paraId="6FE51731"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0.533</w:t>
            </w:r>
          </w:p>
        </w:tc>
      </w:tr>
      <w:tr w:rsidR="00AF0E0B" w:rsidRPr="00AF0E0B" w14:paraId="79B87B20" w14:textId="77777777" w:rsidTr="00AB4128">
        <w:trPr>
          <w:trHeight w:val="245"/>
        </w:trPr>
        <w:tc>
          <w:tcPr>
            <w:tcW w:w="2908" w:type="dxa"/>
            <w:tcBorders>
              <w:top w:val="single" w:sz="2" w:space="0" w:color="F4B083"/>
              <w:left w:val="single" w:sz="4" w:space="0" w:color="000000"/>
              <w:bottom w:val="single" w:sz="2" w:space="0" w:color="F4B083"/>
              <w:right w:val="single" w:sz="2" w:space="0" w:color="F4B083"/>
            </w:tcBorders>
            <w:shd w:val="clear" w:color="auto" w:fill="auto"/>
            <w:tcMar>
              <w:top w:w="80" w:type="dxa"/>
              <w:left w:w="80" w:type="dxa"/>
              <w:bottom w:w="80" w:type="dxa"/>
              <w:right w:w="80" w:type="dxa"/>
            </w:tcMar>
          </w:tcPr>
          <w:p w14:paraId="199D9EAB" w14:textId="77777777" w:rsidR="00AF0E0B" w:rsidRPr="00AF0E0B" w:rsidRDefault="00AF0E0B" w:rsidP="00AF0E0B">
            <w:pPr>
              <w:pBdr>
                <w:top w:val="nil"/>
                <w:left w:val="nil"/>
                <w:bottom w:val="nil"/>
                <w:right w:val="nil"/>
                <w:between w:val="nil"/>
                <w:bar w:val="nil"/>
              </w:pBdr>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BAS-RR</w:t>
            </w:r>
          </w:p>
        </w:tc>
        <w:tc>
          <w:tcPr>
            <w:tcW w:w="1692"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4EDCC835"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-0.29</w:t>
            </w:r>
          </w:p>
        </w:tc>
        <w:tc>
          <w:tcPr>
            <w:tcW w:w="2318"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06F97B0A"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.449*</w:t>
            </w:r>
          </w:p>
        </w:tc>
        <w:tc>
          <w:tcPr>
            <w:tcW w:w="2318" w:type="dxa"/>
            <w:tcBorders>
              <w:top w:val="single" w:sz="2" w:space="0" w:color="F4B083"/>
              <w:left w:val="single" w:sz="2" w:space="0" w:color="F4B083"/>
              <w:bottom w:val="single" w:sz="2" w:space="0" w:color="F4B083"/>
              <w:right w:val="single" w:sz="4" w:space="0" w:color="000000"/>
            </w:tcBorders>
            <w:shd w:val="clear" w:color="auto" w:fill="auto"/>
            <w:tcMar>
              <w:top w:w="80" w:type="dxa"/>
              <w:left w:w="80" w:type="dxa"/>
              <w:bottom w:w="80" w:type="dxa"/>
              <w:right w:w="80" w:type="dxa"/>
            </w:tcMar>
            <w:vAlign w:val="center"/>
          </w:tcPr>
          <w:p w14:paraId="2BF1E3AF"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0.357</w:t>
            </w:r>
          </w:p>
        </w:tc>
      </w:tr>
      <w:tr w:rsidR="00AF0E0B" w:rsidRPr="00AF0E0B" w14:paraId="660140A1" w14:textId="77777777" w:rsidTr="00AB4128">
        <w:trPr>
          <w:trHeight w:val="245"/>
        </w:trPr>
        <w:tc>
          <w:tcPr>
            <w:tcW w:w="2908" w:type="dxa"/>
            <w:tcBorders>
              <w:top w:val="single" w:sz="2" w:space="0" w:color="F4B083"/>
              <w:left w:val="single" w:sz="4" w:space="0" w:color="000000"/>
              <w:bottom w:val="single" w:sz="2" w:space="0" w:color="F4B083"/>
              <w:right w:val="single" w:sz="2" w:space="0" w:color="F4B083"/>
            </w:tcBorders>
            <w:shd w:val="clear" w:color="auto" w:fill="FBE4D5"/>
            <w:tcMar>
              <w:top w:w="80" w:type="dxa"/>
              <w:left w:w="80" w:type="dxa"/>
              <w:bottom w:w="80" w:type="dxa"/>
              <w:right w:w="80" w:type="dxa"/>
            </w:tcMar>
          </w:tcPr>
          <w:p w14:paraId="35587090" w14:textId="77777777" w:rsidR="00AF0E0B" w:rsidRPr="00AF0E0B" w:rsidRDefault="00AF0E0B" w:rsidP="00AF0E0B">
            <w:pPr>
              <w:pBdr>
                <w:top w:val="nil"/>
                <w:left w:val="nil"/>
                <w:bottom w:val="nil"/>
                <w:right w:val="nil"/>
                <w:between w:val="nil"/>
                <w:bar w:val="nil"/>
              </w:pBdr>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STAI-T</w:t>
            </w:r>
          </w:p>
        </w:tc>
        <w:tc>
          <w:tcPr>
            <w:tcW w:w="1692"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1CE31A8F"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0.255</w:t>
            </w:r>
          </w:p>
        </w:tc>
        <w:tc>
          <w:tcPr>
            <w:tcW w:w="2318"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vAlign w:val="center"/>
          </w:tcPr>
          <w:p w14:paraId="4F7E960C"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-.358*</w:t>
            </w:r>
          </w:p>
        </w:tc>
        <w:tc>
          <w:tcPr>
            <w:tcW w:w="2318" w:type="dxa"/>
            <w:tcBorders>
              <w:top w:val="single" w:sz="2" w:space="0" w:color="F4B083"/>
              <w:left w:val="single" w:sz="2" w:space="0" w:color="F4B083"/>
              <w:bottom w:val="single" w:sz="2" w:space="0" w:color="F4B083"/>
              <w:right w:val="single" w:sz="4" w:space="0" w:color="000000"/>
            </w:tcBorders>
            <w:shd w:val="clear" w:color="auto" w:fill="FBE4D5"/>
            <w:tcMar>
              <w:top w:w="80" w:type="dxa"/>
              <w:left w:w="80" w:type="dxa"/>
              <w:bottom w:w="80" w:type="dxa"/>
              <w:right w:w="80" w:type="dxa"/>
            </w:tcMar>
            <w:vAlign w:val="center"/>
          </w:tcPr>
          <w:p w14:paraId="464F29BE"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0.123</w:t>
            </w:r>
          </w:p>
        </w:tc>
      </w:tr>
      <w:tr w:rsidR="00AF0E0B" w:rsidRPr="00AF0E0B" w14:paraId="5D758CA8" w14:textId="77777777" w:rsidTr="000C4457">
        <w:trPr>
          <w:trHeight w:val="245"/>
        </w:trPr>
        <w:tc>
          <w:tcPr>
            <w:tcW w:w="2908" w:type="dxa"/>
            <w:tcBorders>
              <w:top w:val="single" w:sz="2" w:space="0" w:color="F4B083"/>
              <w:left w:val="single" w:sz="4" w:space="0" w:color="000000"/>
              <w:bottom w:val="single" w:sz="2" w:space="0" w:color="F4B083"/>
              <w:right w:val="single" w:sz="2" w:space="0" w:color="F4B083"/>
            </w:tcBorders>
            <w:shd w:val="clear" w:color="auto" w:fill="auto"/>
            <w:tcMar>
              <w:top w:w="80" w:type="dxa"/>
              <w:left w:w="80" w:type="dxa"/>
              <w:bottom w:w="80" w:type="dxa"/>
              <w:right w:w="80" w:type="dxa"/>
            </w:tcMar>
          </w:tcPr>
          <w:p w14:paraId="59193BD3" w14:textId="77777777" w:rsidR="00AF0E0B" w:rsidRPr="00AF0E0B" w:rsidRDefault="00AF0E0B" w:rsidP="00AF0E0B">
            <w:pPr>
              <w:pBdr>
                <w:top w:val="nil"/>
                <w:left w:val="nil"/>
                <w:bottom w:val="nil"/>
                <w:right w:val="nil"/>
                <w:between w:val="nil"/>
                <w:bar w:val="nil"/>
              </w:pBdr>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BAS F</w:t>
            </w:r>
          </w:p>
        </w:tc>
        <w:tc>
          <w:tcPr>
            <w:tcW w:w="1692"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3818F79A"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-0.177</w:t>
            </w:r>
          </w:p>
        </w:tc>
        <w:tc>
          <w:tcPr>
            <w:tcW w:w="2318"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vAlign w:val="center"/>
          </w:tcPr>
          <w:p w14:paraId="30DFA2A4"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.183*</w:t>
            </w:r>
          </w:p>
        </w:tc>
        <w:tc>
          <w:tcPr>
            <w:tcW w:w="2318" w:type="dxa"/>
            <w:tcBorders>
              <w:top w:val="single" w:sz="2" w:space="0" w:color="F4B083"/>
              <w:left w:val="single" w:sz="2" w:space="0" w:color="F4B083"/>
              <w:bottom w:val="single" w:sz="2" w:space="0" w:color="F4B083"/>
              <w:right w:val="single" w:sz="4" w:space="0" w:color="000000"/>
            </w:tcBorders>
            <w:shd w:val="clear" w:color="auto" w:fill="auto"/>
            <w:tcMar>
              <w:top w:w="80" w:type="dxa"/>
              <w:left w:w="80" w:type="dxa"/>
              <w:bottom w:w="80" w:type="dxa"/>
              <w:right w:w="80" w:type="dxa"/>
            </w:tcMar>
            <w:vAlign w:val="center"/>
          </w:tcPr>
          <w:p w14:paraId="0E6F434D"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0.021</w:t>
            </w:r>
          </w:p>
        </w:tc>
      </w:tr>
      <w:tr w:rsidR="00AF0E0B" w:rsidRPr="00AF0E0B" w14:paraId="6D917569" w14:textId="77777777" w:rsidTr="000C4457">
        <w:trPr>
          <w:trHeight w:val="245"/>
        </w:trPr>
        <w:tc>
          <w:tcPr>
            <w:tcW w:w="2908" w:type="dxa"/>
            <w:tcBorders>
              <w:top w:val="single" w:sz="2" w:space="0" w:color="F4B083"/>
              <w:left w:val="single" w:sz="4" w:space="0" w:color="000000"/>
              <w:bottom w:val="single" w:sz="2" w:space="0" w:color="000000" w:themeColor="text1"/>
              <w:right w:val="single" w:sz="2" w:space="0" w:color="F4B083"/>
            </w:tcBorders>
            <w:shd w:val="clear" w:color="auto" w:fill="FBE4D5"/>
            <w:tcMar>
              <w:top w:w="80" w:type="dxa"/>
              <w:left w:w="80" w:type="dxa"/>
              <w:bottom w:w="80" w:type="dxa"/>
              <w:right w:w="80" w:type="dxa"/>
            </w:tcMar>
          </w:tcPr>
          <w:p w14:paraId="01A1DEE7" w14:textId="77777777" w:rsidR="00AF0E0B" w:rsidRPr="00AF0E0B" w:rsidRDefault="00AF0E0B" w:rsidP="00AF0E0B">
            <w:pPr>
              <w:pBdr>
                <w:top w:val="nil"/>
                <w:left w:val="nil"/>
                <w:bottom w:val="nil"/>
                <w:right w:val="nil"/>
                <w:between w:val="nil"/>
                <w:bar w:val="nil"/>
              </w:pBdr>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BIS</w:t>
            </w:r>
          </w:p>
        </w:tc>
        <w:tc>
          <w:tcPr>
            <w:tcW w:w="1692" w:type="dxa"/>
            <w:tcBorders>
              <w:top w:val="single" w:sz="2" w:space="0" w:color="F4B083"/>
              <w:left w:val="single" w:sz="2" w:space="0" w:color="F4B083"/>
              <w:bottom w:val="single" w:sz="2" w:space="0" w:color="000000" w:themeColor="text1"/>
              <w:right w:val="single" w:sz="2" w:space="0" w:color="F4B083"/>
            </w:tcBorders>
            <w:shd w:val="clear" w:color="auto" w:fill="FBE4D5"/>
            <w:tcMar>
              <w:top w:w="80" w:type="dxa"/>
              <w:left w:w="80" w:type="dxa"/>
              <w:bottom w:w="80" w:type="dxa"/>
              <w:right w:w="80" w:type="dxa"/>
            </w:tcMar>
            <w:vAlign w:val="center"/>
          </w:tcPr>
          <w:p w14:paraId="39F0FD8A"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-0.136</w:t>
            </w:r>
          </w:p>
        </w:tc>
        <w:tc>
          <w:tcPr>
            <w:tcW w:w="2318" w:type="dxa"/>
            <w:tcBorders>
              <w:top w:val="single" w:sz="2" w:space="0" w:color="F4B083"/>
              <w:left w:val="single" w:sz="2" w:space="0" w:color="F4B083"/>
              <w:bottom w:val="single" w:sz="2" w:space="0" w:color="000000" w:themeColor="text1"/>
              <w:right w:val="single" w:sz="2" w:space="0" w:color="F4B083"/>
            </w:tcBorders>
            <w:shd w:val="clear" w:color="auto" w:fill="FBE4D5"/>
            <w:tcMar>
              <w:top w:w="80" w:type="dxa"/>
              <w:left w:w="80" w:type="dxa"/>
              <w:bottom w:w="80" w:type="dxa"/>
              <w:right w:w="80" w:type="dxa"/>
            </w:tcMar>
            <w:vAlign w:val="center"/>
          </w:tcPr>
          <w:p w14:paraId="6D3B64C2"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-0.319</w:t>
            </w:r>
          </w:p>
        </w:tc>
        <w:tc>
          <w:tcPr>
            <w:tcW w:w="2318" w:type="dxa"/>
            <w:tcBorders>
              <w:top w:val="single" w:sz="2" w:space="0" w:color="F4B083"/>
              <w:left w:val="single" w:sz="2" w:space="0" w:color="F4B083"/>
              <w:bottom w:val="single" w:sz="2" w:space="0" w:color="000000" w:themeColor="text1"/>
              <w:right w:val="single" w:sz="4" w:space="0" w:color="000000"/>
            </w:tcBorders>
            <w:shd w:val="clear" w:color="auto" w:fill="FBE4D5"/>
            <w:tcMar>
              <w:top w:w="80" w:type="dxa"/>
              <w:left w:w="80" w:type="dxa"/>
              <w:bottom w:w="80" w:type="dxa"/>
              <w:right w:w="80" w:type="dxa"/>
            </w:tcMar>
            <w:vAlign w:val="center"/>
          </w:tcPr>
          <w:p w14:paraId="1A9552AD"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.429*</w:t>
            </w:r>
          </w:p>
        </w:tc>
      </w:tr>
    </w:tbl>
    <w:p w14:paraId="6C228702" w14:textId="77777777" w:rsidR="00AF0E0B" w:rsidRPr="008E7150" w:rsidRDefault="00AF0E0B" w:rsidP="0096662E">
      <w:pPr>
        <w:pBdr>
          <w:top w:val="nil"/>
          <w:left w:val="nil"/>
          <w:bottom w:val="nil"/>
          <w:right w:val="nil"/>
          <w:between w:val="nil"/>
          <w:bar w:val="nil"/>
        </w:pBdr>
        <w:spacing w:line="360" w:lineRule="auto"/>
        <w:ind w:left="142"/>
        <w:rPr>
          <w:rStyle w:val="SubtleEmphasis"/>
        </w:rPr>
      </w:pPr>
      <w:r w:rsidRPr="008E7150">
        <w:rPr>
          <w:rStyle w:val="SubtleEmphasis"/>
        </w:rPr>
        <w:t xml:space="preserve">Pooled within-groups correlations between discriminating variables and standardized canonical     discriminant functions </w:t>
      </w:r>
    </w:p>
    <w:p w14:paraId="03A244FA" w14:textId="77777777" w:rsidR="00AF0E0B" w:rsidRPr="008E7150" w:rsidRDefault="00AF0E0B" w:rsidP="0096662E">
      <w:pPr>
        <w:pBdr>
          <w:top w:val="nil"/>
          <w:left w:val="nil"/>
          <w:bottom w:val="nil"/>
          <w:right w:val="nil"/>
          <w:between w:val="nil"/>
          <w:bar w:val="nil"/>
        </w:pBdr>
        <w:spacing w:line="360" w:lineRule="auto"/>
        <w:ind w:left="142"/>
        <w:rPr>
          <w:rStyle w:val="SubtleEmphasis"/>
        </w:rPr>
      </w:pPr>
      <w:r w:rsidRPr="008E7150">
        <w:rPr>
          <w:rStyle w:val="SubtleEmphasis"/>
        </w:rPr>
        <w:t>Variables ordered by absolute size of correlation within function.</w:t>
      </w:r>
    </w:p>
    <w:p w14:paraId="033CE63E" w14:textId="77777777" w:rsidR="00AF0E0B" w:rsidRPr="008E7150" w:rsidRDefault="00AF0E0B" w:rsidP="0096662E">
      <w:pPr>
        <w:pBdr>
          <w:top w:val="nil"/>
          <w:left w:val="nil"/>
          <w:bottom w:val="nil"/>
          <w:right w:val="nil"/>
          <w:between w:val="nil"/>
          <w:bar w:val="nil"/>
        </w:pBdr>
        <w:spacing w:line="360" w:lineRule="auto"/>
        <w:ind w:left="142"/>
        <w:rPr>
          <w:rStyle w:val="SubtleEmphasis"/>
        </w:rPr>
      </w:pPr>
      <w:r w:rsidRPr="008E7150">
        <w:rPr>
          <w:rStyle w:val="SubtleEmphasis"/>
        </w:rPr>
        <w:t xml:space="preserve">*Largest absolute correlation between each variable and any discriminant function </w:t>
      </w:r>
    </w:p>
    <w:p w14:paraId="52598D92" w14:textId="77777777" w:rsidR="00AF0E0B" w:rsidRPr="00AF0E0B" w:rsidRDefault="00AF0E0B" w:rsidP="00AF0E0B">
      <w:pPr>
        <w:pBdr>
          <w:top w:val="nil"/>
          <w:left w:val="nil"/>
          <w:bottom w:val="nil"/>
          <w:right w:val="nil"/>
          <w:between w:val="nil"/>
          <w:bar w:val="nil"/>
        </w:pBdr>
        <w:rPr>
          <w:rFonts w:ascii="Times New Roman" w:eastAsia="Arial Unicode MS" w:hAnsi="Times New Roman" w:cs="Arial Unicode MS"/>
          <w:color w:val="000000"/>
          <w:u w:color="000000"/>
          <w:bdr w:val="nil"/>
          <w:lang w:eastAsia="en-GB"/>
        </w:rPr>
      </w:pPr>
    </w:p>
    <w:p w14:paraId="50990AF5" w14:textId="77777777" w:rsidR="00AF0E0B" w:rsidRPr="00AF0E0B" w:rsidRDefault="00AF0E0B" w:rsidP="00AF0E0B">
      <w:pPr>
        <w:pBdr>
          <w:top w:val="nil"/>
          <w:left w:val="nil"/>
          <w:bottom w:val="nil"/>
          <w:right w:val="nil"/>
          <w:between w:val="nil"/>
          <w:bar w:val="nil"/>
        </w:pBdr>
        <w:rPr>
          <w:rFonts w:ascii="Times New Roman" w:eastAsia="Arial Unicode MS" w:hAnsi="Times New Roman" w:cs="Arial Unicode MS"/>
          <w:color w:val="000000"/>
          <w:u w:color="000000"/>
          <w:bdr w:val="nil"/>
          <w:lang w:eastAsia="en-GB"/>
        </w:rPr>
      </w:pPr>
    </w:p>
    <w:p w14:paraId="1A463F95" w14:textId="0B465DD5" w:rsidR="00AF0E0B" w:rsidRPr="00AF0E0B" w:rsidRDefault="00AF0E0B" w:rsidP="008E7150">
      <w:pPr>
        <w:pStyle w:val="Quote"/>
      </w:pPr>
      <w:bookmarkStart w:id="178" w:name="_Toc19"/>
      <w:bookmarkStart w:id="179" w:name="_Toc49973555"/>
      <w:bookmarkStart w:id="180" w:name="_Toc64724079"/>
      <w:r w:rsidRPr="00AF0E0B">
        <w:t>Table 2.4  Predictions for Group Membership according to questionnaire results</w:t>
      </w:r>
      <w:bookmarkEnd w:id="178"/>
      <w:bookmarkEnd w:id="179"/>
      <w:bookmarkEnd w:id="180"/>
    </w:p>
    <w:tbl>
      <w:tblPr>
        <w:tblW w:w="9033"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1903"/>
        <w:gridCol w:w="1582"/>
        <w:gridCol w:w="1110"/>
        <w:gridCol w:w="1110"/>
        <w:gridCol w:w="1110"/>
        <w:gridCol w:w="1110"/>
        <w:gridCol w:w="1108"/>
      </w:tblGrid>
      <w:tr w:rsidR="00AF0E0B" w:rsidRPr="00AF0E0B" w14:paraId="3FE7BDC5" w14:textId="77777777" w:rsidTr="00AB4128">
        <w:trPr>
          <w:trHeight w:val="248"/>
        </w:trPr>
        <w:tc>
          <w:tcPr>
            <w:tcW w:w="3485" w:type="dxa"/>
            <w:gridSpan w:val="2"/>
            <w:vMerge w:val="restart"/>
            <w:tcBorders>
              <w:top w:val="single" w:sz="4" w:space="0" w:color="000000"/>
              <w:left w:val="single" w:sz="4" w:space="0" w:color="000000"/>
              <w:bottom w:val="single" w:sz="2" w:space="0" w:color="F4B083"/>
              <w:right w:val="single" w:sz="2" w:space="0" w:color="F4B083"/>
            </w:tcBorders>
            <w:shd w:val="clear" w:color="auto" w:fill="FFFFFF"/>
            <w:tcMar>
              <w:top w:w="80" w:type="dxa"/>
              <w:left w:w="80" w:type="dxa"/>
              <w:bottom w:w="80" w:type="dxa"/>
              <w:right w:w="80" w:type="dxa"/>
            </w:tcMar>
          </w:tcPr>
          <w:p w14:paraId="14020428" w14:textId="77777777" w:rsidR="00AF0E0B" w:rsidRPr="00AF0E0B" w:rsidRDefault="00AF0E0B" w:rsidP="00AF0E0B">
            <w:pPr>
              <w:pBdr>
                <w:top w:val="nil"/>
                <w:left w:val="nil"/>
                <w:bottom w:val="nil"/>
                <w:right w:val="nil"/>
                <w:between w:val="nil"/>
                <w:bar w:val="nil"/>
              </w:pBdr>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Group</w:t>
            </w:r>
          </w:p>
        </w:tc>
        <w:tc>
          <w:tcPr>
            <w:tcW w:w="4440" w:type="dxa"/>
            <w:gridSpan w:val="4"/>
            <w:tcBorders>
              <w:top w:val="single" w:sz="4" w:space="0" w:color="000000"/>
              <w:left w:val="single" w:sz="2" w:space="0" w:color="F4B083"/>
              <w:bottom w:val="single" w:sz="2" w:space="0" w:color="F4B083"/>
              <w:right w:val="single" w:sz="2" w:space="0" w:color="F4B083"/>
            </w:tcBorders>
            <w:shd w:val="clear" w:color="auto" w:fill="FFFFFF"/>
            <w:tcMar>
              <w:top w:w="80" w:type="dxa"/>
              <w:left w:w="80" w:type="dxa"/>
              <w:bottom w:w="80" w:type="dxa"/>
              <w:right w:w="80" w:type="dxa"/>
            </w:tcMar>
          </w:tcPr>
          <w:p w14:paraId="2C6641E2" w14:textId="77777777" w:rsidR="00AF0E0B" w:rsidRPr="00AF0E0B" w:rsidRDefault="00AF0E0B" w:rsidP="00AF0E0B">
            <w:pPr>
              <w:pBdr>
                <w:top w:val="nil"/>
                <w:left w:val="nil"/>
                <w:bottom w:val="nil"/>
                <w:right w:val="nil"/>
                <w:between w:val="nil"/>
                <w:bar w:val="nil"/>
              </w:pBdr>
              <w:jc w:val="center"/>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Predicted Group Membership</w:t>
            </w:r>
          </w:p>
        </w:tc>
        <w:tc>
          <w:tcPr>
            <w:tcW w:w="1108" w:type="dxa"/>
            <w:vMerge w:val="restart"/>
            <w:tcBorders>
              <w:top w:val="single" w:sz="4" w:space="0" w:color="000000"/>
              <w:left w:val="single" w:sz="2" w:space="0" w:color="F4B083"/>
              <w:bottom w:val="single" w:sz="2" w:space="0" w:color="F4B083"/>
              <w:right w:val="single" w:sz="4" w:space="0" w:color="000000"/>
            </w:tcBorders>
            <w:shd w:val="clear" w:color="auto" w:fill="FFFFFF"/>
            <w:tcMar>
              <w:top w:w="80" w:type="dxa"/>
              <w:left w:w="80" w:type="dxa"/>
              <w:bottom w:w="80" w:type="dxa"/>
              <w:right w:w="80" w:type="dxa"/>
            </w:tcMar>
          </w:tcPr>
          <w:p w14:paraId="69FA3C49" w14:textId="77777777" w:rsidR="00AF0E0B" w:rsidRPr="00AF0E0B" w:rsidRDefault="00AF0E0B" w:rsidP="00AF0E0B">
            <w:pPr>
              <w:pBdr>
                <w:top w:val="nil"/>
                <w:left w:val="nil"/>
                <w:bottom w:val="nil"/>
                <w:right w:val="nil"/>
                <w:between w:val="nil"/>
                <w:bar w:val="nil"/>
              </w:pBdr>
              <w:jc w:val="center"/>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Total</w:t>
            </w:r>
          </w:p>
        </w:tc>
      </w:tr>
      <w:tr w:rsidR="00AF0E0B" w:rsidRPr="00AF0E0B" w14:paraId="338B3482" w14:textId="77777777" w:rsidTr="00AB4128">
        <w:trPr>
          <w:trHeight w:val="245"/>
        </w:trPr>
        <w:tc>
          <w:tcPr>
            <w:tcW w:w="3485" w:type="dxa"/>
            <w:gridSpan w:val="2"/>
            <w:vMerge/>
            <w:tcBorders>
              <w:top w:val="single" w:sz="4" w:space="0" w:color="000000"/>
              <w:left w:val="single" w:sz="4" w:space="0" w:color="000000"/>
              <w:bottom w:val="single" w:sz="2" w:space="0" w:color="F4B083"/>
              <w:right w:val="single" w:sz="2" w:space="0" w:color="F4B083"/>
            </w:tcBorders>
            <w:shd w:val="clear" w:color="auto" w:fill="FFFFFF"/>
          </w:tcPr>
          <w:p w14:paraId="38681512" w14:textId="77777777" w:rsidR="00AF0E0B" w:rsidRPr="00AF0E0B" w:rsidRDefault="00AF0E0B" w:rsidP="00AF0E0B">
            <w:pPr>
              <w:pBdr>
                <w:top w:val="nil"/>
                <w:left w:val="nil"/>
                <w:bottom w:val="nil"/>
                <w:right w:val="nil"/>
                <w:between w:val="nil"/>
                <w:bar w:val="nil"/>
              </w:pBdr>
              <w:rPr>
                <w:rFonts w:ascii="Times New Roman" w:eastAsia="Arial Unicode MS" w:hAnsi="Times New Roman" w:cs="Times New Roman"/>
                <w:bdr w:val="nil"/>
                <w:lang w:val="en-US"/>
              </w:rPr>
            </w:pPr>
          </w:p>
        </w:tc>
        <w:tc>
          <w:tcPr>
            <w:tcW w:w="1110"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tcPr>
          <w:p w14:paraId="0BFD199A" w14:textId="77777777" w:rsidR="00AF0E0B" w:rsidRPr="00AF0E0B" w:rsidRDefault="00AF0E0B" w:rsidP="00AF0E0B">
            <w:pPr>
              <w:pBdr>
                <w:top w:val="nil"/>
                <w:left w:val="nil"/>
                <w:bottom w:val="nil"/>
                <w:right w:val="nil"/>
                <w:between w:val="nil"/>
                <w:bar w:val="nil"/>
              </w:pBdr>
              <w:jc w:val="center"/>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P-DPN</w:t>
            </w:r>
          </w:p>
        </w:tc>
        <w:tc>
          <w:tcPr>
            <w:tcW w:w="1110"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tcPr>
          <w:p w14:paraId="07CBD60E" w14:textId="77777777" w:rsidR="00AF0E0B" w:rsidRPr="00AF0E0B" w:rsidRDefault="00AF0E0B" w:rsidP="00AF0E0B">
            <w:pPr>
              <w:pBdr>
                <w:top w:val="nil"/>
                <w:left w:val="nil"/>
                <w:bottom w:val="nil"/>
                <w:right w:val="nil"/>
                <w:between w:val="nil"/>
                <w:bar w:val="nil"/>
              </w:pBdr>
              <w:jc w:val="center"/>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DPN</w:t>
            </w:r>
          </w:p>
        </w:tc>
        <w:tc>
          <w:tcPr>
            <w:tcW w:w="1110"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tcPr>
          <w:p w14:paraId="31DF97E6" w14:textId="77777777" w:rsidR="00AF0E0B" w:rsidRPr="00AF0E0B" w:rsidRDefault="00AF0E0B" w:rsidP="00AF0E0B">
            <w:pPr>
              <w:pBdr>
                <w:top w:val="nil"/>
                <w:left w:val="nil"/>
                <w:bottom w:val="nil"/>
                <w:right w:val="nil"/>
                <w:between w:val="nil"/>
                <w:bar w:val="nil"/>
              </w:pBdr>
              <w:jc w:val="center"/>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DM-NN</w:t>
            </w:r>
          </w:p>
        </w:tc>
        <w:tc>
          <w:tcPr>
            <w:tcW w:w="1110"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tcPr>
          <w:p w14:paraId="69D330F6" w14:textId="77777777" w:rsidR="00AF0E0B" w:rsidRPr="00AF0E0B" w:rsidRDefault="00AF0E0B" w:rsidP="00AF0E0B">
            <w:pPr>
              <w:pBdr>
                <w:top w:val="nil"/>
                <w:left w:val="nil"/>
                <w:bottom w:val="nil"/>
                <w:right w:val="nil"/>
                <w:between w:val="nil"/>
                <w:bar w:val="nil"/>
              </w:pBdr>
              <w:jc w:val="center"/>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HV</w:t>
            </w:r>
          </w:p>
        </w:tc>
        <w:tc>
          <w:tcPr>
            <w:tcW w:w="1108" w:type="dxa"/>
            <w:vMerge/>
            <w:tcBorders>
              <w:top w:val="single" w:sz="4" w:space="0" w:color="000000"/>
              <w:left w:val="single" w:sz="2" w:space="0" w:color="F4B083"/>
              <w:bottom w:val="single" w:sz="2" w:space="0" w:color="F4B083"/>
              <w:right w:val="single" w:sz="4" w:space="0" w:color="000000"/>
            </w:tcBorders>
            <w:shd w:val="clear" w:color="auto" w:fill="FFFFFF"/>
          </w:tcPr>
          <w:p w14:paraId="660A4879" w14:textId="77777777" w:rsidR="00AF0E0B" w:rsidRPr="00AF0E0B" w:rsidRDefault="00AF0E0B" w:rsidP="00AF0E0B">
            <w:pPr>
              <w:pBdr>
                <w:top w:val="nil"/>
                <w:left w:val="nil"/>
                <w:bottom w:val="nil"/>
                <w:right w:val="nil"/>
                <w:between w:val="nil"/>
                <w:bar w:val="nil"/>
              </w:pBdr>
              <w:rPr>
                <w:rFonts w:ascii="Times New Roman" w:eastAsia="Arial Unicode MS" w:hAnsi="Times New Roman" w:cs="Times New Roman"/>
                <w:bdr w:val="nil"/>
                <w:lang w:val="en-US"/>
              </w:rPr>
            </w:pPr>
          </w:p>
        </w:tc>
      </w:tr>
      <w:tr w:rsidR="00AF0E0B" w:rsidRPr="00AF0E0B" w14:paraId="005F7623" w14:textId="77777777" w:rsidTr="00AB4128">
        <w:trPr>
          <w:trHeight w:val="245"/>
        </w:trPr>
        <w:tc>
          <w:tcPr>
            <w:tcW w:w="1903" w:type="dxa"/>
            <w:vMerge w:val="restart"/>
            <w:tcBorders>
              <w:top w:val="single" w:sz="2" w:space="0" w:color="F4B083"/>
              <w:left w:val="single" w:sz="4" w:space="0" w:color="000000"/>
              <w:bottom w:val="single" w:sz="2" w:space="0" w:color="F4B083"/>
              <w:right w:val="single" w:sz="2" w:space="0" w:color="F4B083"/>
            </w:tcBorders>
            <w:shd w:val="clear" w:color="auto" w:fill="auto"/>
            <w:tcMar>
              <w:top w:w="80" w:type="dxa"/>
              <w:left w:w="80" w:type="dxa"/>
              <w:bottom w:w="80" w:type="dxa"/>
              <w:right w:w="80" w:type="dxa"/>
            </w:tcMar>
          </w:tcPr>
          <w:p w14:paraId="7E6A1DF0" w14:textId="77777777" w:rsidR="00AF0E0B" w:rsidRPr="00AF0E0B" w:rsidRDefault="00AF0E0B" w:rsidP="00AF0E0B">
            <w:pPr>
              <w:pBdr>
                <w:top w:val="nil"/>
                <w:left w:val="nil"/>
                <w:bottom w:val="nil"/>
                <w:right w:val="nil"/>
                <w:between w:val="nil"/>
                <w:bar w:val="nil"/>
              </w:pBdr>
              <w:rPr>
                <w:rFonts w:ascii="Calibri" w:eastAsia="Calibri" w:hAnsi="Calibri" w:cs="Calibri"/>
                <w:i/>
                <w:iCs/>
                <w:color w:val="000000"/>
                <w:sz w:val="22"/>
                <w:szCs w:val="22"/>
                <w:u w:color="000000"/>
                <w:bdr w:val="nil"/>
                <w:lang w:eastAsia="en-GB"/>
              </w:rPr>
            </w:pPr>
            <w:r w:rsidRPr="00AF0E0B">
              <w:rPr>
                <w:rFonts w:ascii="Calibri" w:eastAsia="Calibri" w:hAnsi="Calibri" w:cs="Calibri"/>
                <w:i/>
                <w:iCs/>
                <w:color w:val="000000"/>
                <w:sz w:val="22"/>
                <w:szCs w:val="22"/>
                <w:u w:color="000000"/>
                <w:bdr w:val="nil"/>
                <w:lang w:val="en-US" w:eastAsia="en-GB"/>
              </w:rPr>
              <w:t>Original</w:t>
            </w:r>
          </w:p>
          <w:p w14:paraId="480B81AA" w14:textId="77777777" w:rsidR="00AF0E0B" w:rsidRPr="00AF0E0B" w:rsidRDefault="00AF0E0B" w:rsidP="00AF0E0B">
            <w:pPr>
              <w:pBdr>
                <w:top w:val="nil"/>
                <w:left w:val="nil"/>
                <w:bottom w:val="nil"/>
                <w:right w:val="nil"/>
                <w:between w:val="nil"/>
                <w:bar w:val="nil"/>
              </w:pBdr>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Counts for group membership</w:t>
            </w:r>
          </w:p>
        </w:tc>
        <w:tc>
          <w:tcPr>
            <w:tcW w:w="1582"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tcPr>
          <w:p w14:paraId="7C7A2BCC" w14:textId="77777777" w:rsidR="00AF0E0B" w:rsidRPr="00AF0E0B" w:rsidRDefault="00AF0E0B" w:rsidP="00AF0E0B">
            <w:pPr>
              <w:pBdr>
                <w:top w:val="nil"/>
                <w:left w:val="nil"/>
                <w:bottom w:val="nil"/>
                <w:right w:val="nil"/>
                <w:between w:val="nil"/>
                <w:bar w:val="nil"/>
              </w:pBdr>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P-DPN</w:t>
            </w:r>
          </w:p>
        </w:tc>
        <w:tc>
          <w:tcPr>
            <w:tcW w:w="1110"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tcPr>
          <w:p w14:paraId="75EF3787"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12</w:t>
            </w:r>
          </w:p>
        </w:tc>
        <w:tc>
          <w:tcPr>
            <w:tcW w:w="1110"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tcPr>
          <w:p w14:paraId="75323126"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2</w:t>
            </w:r>
          </w:p>
        </w:tc>
        <w:tc>
          <w:tcPr>
            <w:tcW w:w="1110" w:type="dxa"/>
            <w:tcBorders>
              <w:top w:val="single" w:sz="2" w:space="0" w:color="F4B083"/>
              <w:left w:val="single" w:sz="2" w:space="0" w:color="F4B083"/>
              <w:bottom w:val="single" w:sz="2" w:space="0" w:color="F4B083"/>
              <w:right w:val="single" w:sz="2" w:space="0" w:color="F4B083"/>
            </w:tcBorders>
            <w:shd w:val="clear" w:color="auto" w:fill="FFFFFF"/>
            <w:tcMar>
              <w:top w:w="80" w:type="dxa"/>
              <w:left w:w="80" w:type="dxa"/>
              <w:bottom w:w="80" w:type="dxa"/>
              <w:right w:w="80" w:type="dxa"/>
            </w:tcMar>
          </w:tcPr>
          <w:p w14:paraId="2194696E"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0</w:t>
            </w:r>
          </w:p>
        </w:tc>
        <w:tc>
          <w:tcPr>
            <w:tcW w:w="1110" w:type="dxa"/>
            <w:tcBorders>
              <w:top w:val="single" w:sz="2" w:space="0" w:color="F4B083"/>
              <w:left w:val="single" w:sz="2" w:space="0" w:color="F4B083"/>
              <w:bottom w:val="single" w:sz="2" w:space="0" w:color="F4B083"/>
              <w:right w:val="single" w:sz="2" w:space="0" w:color="F4B083"/>
            </w:tcBorders>
            <w:shd w:val="clear" w:color="auto" w:fill="FFFFFF"/>
            <w:tcMar>
              <w:top w:w="80" w:type="dxa"/>
              <w:left w:w="80" w:type="dxa"/>
              <w:bottom w:w="80" w:type="dxa"/>
              <w:right w:w="80" w:type="dxa"/>
            </w:tcMar>
          </w:tcPr>
          <w:p w14:paraId="559D66B8"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1</w:t>
            </w:r>
          </w:p>
        </w:tc>
        <w:tc>
          <w:tcPr>
            <w:tcW w:w="1108" w:type="dxa"/>
            <w:tcBorders>
              <w:top w:val="single" w:sz="2" w:space="0" w:color="F4B083"/>
              <w:left w:val="single" w:sz="2" w:space="0" w:color="F4B083"/>
              <w:bottom w:val="single" w:sz="2" w:space="0" w:color="F4B083"/>
              <w:right w:val="single" w:sz="4" w:space="0" w:color="000000"/>
            </w:tcBorders>
            <w:shd w:val="clear" w:color="auto" w:fill="auto"/>
            <w:tcMar>
              <w:top w:w="80" w:type="dxa"/>
              <w:left w:w="80" w:type="dxa"/>
              <w:bottom w:w="80" w:type="dxa"/>
              <w:right w:w="80" w:type="dxa"/>
            </w:tcMar>
          </w:tcPr>
          <w:p w14:paraId="127A7ECF"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15</w:t>
            </w:r>
          </w:p>
        </w:tc>
      </w:tr>
      <w:tr w:rsidR="00AF0E0B" w:rsidRPr="00AF0E0B" w14:paraId="30C09083" w14:textId="77777777" w:rsidTr="00AB4128">
        <w:trPr>
          <w:trHeight w:val="245"/>
        </w:trPr>
        <w:tc>
          <w:tcPr>
            <w:tcW w:w="1903" w:type="dxa"/>
            <w:vMerge/>
            <w:tcBorders>
              <w:top w:val="single" w:sz="2" w:space="0" w:color="F4B083"/>
              <w:left w:val="single" w:sz="4" w:space="0" w:color="000000"/>
              <w:bottom w:val="single" w:sz="2" w:space="0" w:color="F4B083"/>
              <w:right w:val="single" w:sz="2" w:space="0" w:color="F4B083"/>
            </w:tcBorders>
            <w:shd w:val="clear" w:color="auto" w:fill="auto"/>
          </w:tcPr>
          <w:p w14:paraId="6943D343" w14:textId="77777777" w:rsidR="00AF0E0B" w:rsidRPr="00AF0E0B" w:rsidRDefault="00AF0E0B" w:rsidP="00AF0E0B">
            <w:pPr>
              <w:pBdr>
                <w:top w:val="nil"/>
                <w:left w:val="nil"/>
                <w:bottom w:val="nil"/>
                <w:right w:val="nil"/>
                <w:between w:val="nil"/>
                <w:bar w:val="nil"/>
              </w:pBdr>
              <w:rPr>
                <w:rFonts w:ascii="Times New Roman" w:eastAsia="Arial Unicode MS" w:hAnsi="Times New Roman" w:cs="Times New Roman"/>
                <w:bdr w:val="nil"/>
                <w:lang w:val="en-US"/>
              </w:rPr>
            </w:pPr>
          </w:p>
        </w:tc>
        <w:tc>
          <w:tcPr>
            <w:tcW w:w="1582"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tcPr>
          <w:p w14:paraId="6A0C942B" w14:textId="77777777" w:rsidR="00AF0E0B" w:rsidRPr="00AF0E0B" w:rsidRDefault="00AF0E0B" w:rsidP="00AF0E0B">
            <w:pPr>
              <w:pBdr>
                <w:top w:val="nil"/>
                <w:left w:val="nil"/>
                <w:bottom w:val="nil"/>
                <w:right w:val="nil"/>
                <w:between w:val="nil"/>
                <w:bar w:val="nil"/>
              </w:pBdr>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DPN</w:t>
            </w:r>
          </w:p>
        </w:tc>
        <w:tc>
          <w:tcPr>
            <w:tcW w:w="1110" w:type="dxa"/>
            <w:tcBorders>
              <w:top w:val="single" w:sz="2" w:space="0" w:color="F4B083"/>
              <w:left w:val="single" w:sz="2" w:space="0" w:color="F4B083"/>
              <w:bottom w:val="single" w:sz="2" w:space="0" w:color="F4B083"/>
              <w:right w:val="single" w:sz="2" w:space="0" w:color="F4B083"/>
            </w:tcBorders>
            <w:shd w:val="clear" w:color="auto" w:fill="FFFFFF"/>
            <w:tcMar>
              <w:top w:w="80" w:type="dxa"/>
              <w:left w:w="80" w:type="dxa"/>
              <w:bottom w:w="80" w:type="dxa"/>
              <w:right w:w="80" w:type="dxa"/>
            </w:tcMar>
          </w:tcPr>
          <w:p w14:paraId="7F9D343F"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2</w:t>
            </w:r>
          </w:p>
        </w:tc>
        <w:tc>
          <w:tcPr>
            <w:tcW w:w="1110"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tcPr>
          <w:p w14:paraId="4CEA540A"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10</w:t>
            </w:r>
          </w:p>
        </w:tc>
        <w:tc>
          <w:tcPr>
            <w:tcW w:w="1110" w:type="dxa"/>
            <w:tcBorders>
              <w:top w:val="single" w:sz="2" w:space="0" w:color="F4B083"/>
              <w:left w:val="single" w:sz="2" w:space="0" w:color="F4B083"/>
              <w:bottom w:val="single" w:sz="2" w:space="0" w:color="F4B083"/>
              <w:right w:val="single" w:sz="2" w:space="0" w:color="F4B083"/>
            </w:tcBorders>
            <w:shd w:val="clear" w:color="auto" w:fill="FFFFFF"/>
            <w:tcMar>
              <w:top w:w="80" w:type="dxa"/>
              <w:left w:w="80" w:type="dxa"/>
              <w:bottom w:w="80" w:type="dxa"/>
              <w:right w:w="80" w:type="dxa"/>
            </w:tcMar>
          </w:tcPr>
          <w:p w14:paraId="54A6E6E9"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1</w:t>
            </w:r>
          </w:p>
        </w:tc>
        <w:tc>
          <w:tcPr>
            <w:tcW w:w="1110"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tcPr>
          <w:p w14:paraId="21F56C56"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1</w:t>
            </w:r>
          </w:p>
        </w:tc>
        <w:tc>
          <w:tcPr>
            <w:tcW w:w="1108" w:type="dxa"/>
            <w:tcBorders>
              <w:top w:val="single" w:sz="2" w:space="0" w:color="F4B083"/>
              <w:left w:val="single" w:sz="2" w:space="0" w:color="F4B083"/>
              <w:bottom w:val="single" w:sz="2" w:space="0" w:color="F4B083"/>
              <w:right w:val="single" w:sz="4" w:space="0" w:color="000000"/>
            </w:tcBorders>
            <w:shd w:val="clear" w:color="auto" w:fill="auto"/>
            <w:tcMar>
              <w:top w:w="80" w:type="dxa"/>
              <w:left w:w="80" w:type="dxa"/>
              <w:bottom w:w="80" w:type="dxa"/>
              <w:right w:w="80" w:type="dxa"/>
            </w:tcMar>
          </w:tcPr>
          <w:p w14:paraId="5F49E41A"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14</w:t>
            </w:r>
          </w:p>
        </w:tc>
      </w:tr>
      <w:tr w:rsidR="00AF0E0B" w:rsidRPr="00AF0E0B" w14:paraId="1960C6D1" w14:textId="77777777" w:rsidTr="00AB4128">
        <w:trPr>
          <w:trHeight w:val="245"/>
        </w:trPr>
        <w:tc>
          <w:tcPr>
            <w:tcW w:w="1903" w:type="dxa"/>
            <w:vMerge/>
            <w:tcBorders>
              <w:top w:val="single" w:sz="2" w:space="0" w:color="F4B083"/>
              <w:left w:val="single" w:sz="4" w:space="0" w:color="000000"/>
              <w:bottom w:val="single" w:sz="2" w:space="0" w:color="F4B083"/>
              <w:right w:val="single" w:sz="2" w:space="0" w:color="F4B083"/>
            </w:tcBorders>
            <w:shd w:val="clear" w:color="auto" w:fill="auto"/>
          </w:tcPr>
          <w:p w14:paraId="6674CDF9" w14:textId="77777777" w:rsidR="00AF0E0B" w:rsidRPr="00AF0E0B" w:rsidRDefault="00AF0E0B" w:rsidP="00AF0E0B">
            <w:pPr>
              <w:pBdr>
                <w:top w:val="nil"/>
                <w:left w:val="nil"/>
                <w:bottom w:val="nil"/>
                <w:right w:val="nil"/>
                <w:between w:val="nil"/>
                <w:bar w:val="nil"/>
              </w:pBdr>
              <w:rPr>
                <w:rFonts w:ascii="Times New Roman" w:eastAsia="Arial Unicode MS" w:hAnsi="Times New Roman" w:cs="Times New Roman"/>
                <w:bdr w:val="nil"/>
                <w:lang w:val="en-US"/>
              </w:rPr>
            </w:pPr>
          </w:p>
        </w:tc>
        <w:tc>
          <w:tcPr>
            <w:tcW w:w="1582"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tcPr>
          <w:p w14:paraId="2A0EC83D" w14:textId="77777777" w:rsidR="00AF0E0B" w:rsidRPr="00AF0E0B" w:rsidRDefault="00AF0E0B" w:rsidP="00AF0E0B">
            <w:pPr>
              <w:pBdr>
                <w:top w:val="nil"/>
                <w:left w:val="nil"/>
                <w:bottom w:val="nil"/>
                <w:right w:val="nil"/>
                <w:between w:val="nil"/>
                <w:bar w:val="nil"/>
              </w:pBdr>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DM-NN</w:t>
            </w:r>
          </w:p>
        </w:tc>
        <w:tc>
          <w:tcPr>
            <w:tcW w:w="1110" w:type="dxa"/>
            <w:tcBorders>
              <w:top w:val="single" w:sz="2" w:space="0" w:color="F4B083"/>
              <w:left w:val="single" w:sz="2" w:space="0" w:color="F4B083"/>
              <w:bottom w:val="single" w:sz="2" w:space="0" w:color="F4B083"/>
              <w:right w:val="single" w:sz="2" w:space="0" w:color="F4B083"/>
            </w:tcBorders>
            <w:shd w:val="clear" w:color="auto" w:fill="FFFFFF"/>
            <w:tcMar>
              <w:top w:w="80" w:type="dxa"/>
              <w:left w:w="80" w:type="dxa"/>
              <w:bottom w:w="80" w:type="dxa"/>
              <w:right w:w="80" w:type="dxa"/>
            </w:tcMar>
          </w:tcPr>
          <w:p w14:paraId="14248C87"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0</w:t>
            </w:r>
          </w:p>
        </w:tc>
        <w:tc>
          <w:tcPr>
            <w:tcW w:w="1110" w:type="dxa"/>
            <w:tcBorders>
              <w:top w:val="single" w:sz="2" w:space="0" w:color="F4B083"/>
              <w:left w:val="single" w:sz="2" w:space="0" w:color="F4B083"/>
              <w:bottom w:val="single" w:sz="2" w:space="0" w:color="F4B083"/>
              <w:right w:val="single" w:sz="2" w:space="0" w:color="F4B083"/>
            </w:tcBorders>
            <w:shd w:val="clear" w:color="auto" w:fill="FFFFFF"/>
            <w:tcMar>
              <w:top w:w="80" w:type="dxa"/>
              <w:left w:w="80" w:type="dxa"/>
              <w:bottom w:w="80" w:type="dxa"/>
              <w:right w:w="80" w:type="dxa"/>
            </w:tcMar>
          </w:tcPr>
          <w:p w14:paraId="592FCBA4"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2</w:t>
            </w:r>
          </w:p>
        </w:tc>
        <w:tc>
          <w:tcPr>
            <w:tcW w:w="1110"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tcPr>
          <w:p w14:paraId="19A4400D"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5</w:t>
            </w:r>
          </w:p>
        </w:tc>
        <w:tc>
          <w:tcPr>
            <w:tcW w:w="1110" w:type="dxa"/>
            <w:tcBorders>
              <w:top w:val="single" w:sz="2" w:space="0" w:color="F4B083"/>
              <w:left w:val="single" w:sz="2" w:space="0" w:color="F4B083"/>
              <w:bottom w:val="single" w:sz="2" w:space="0" w:color="F4B083"/>
              <w:right w:val="single" w:sz="2" w:space="0" w:color="F4B083"/>
            </w:tcBorders>
            <w:shd w:val="clear" w:color="auto" w:fill="FFFFFF"/>
            <w:tcMar>
              <w:top w:w="80" w:type="dxa"/>
              <w:left w:w="80" w:type="dxa"/>
              <w:bottom w:w="80" w:type="dxa"/>
              <w:right w:w="80" w:type="dxa"/>
            </w:tcMar>
          </w:tcPr>
          <w:p w14:paraId="4D39F4A9"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0</w:t>
            </w:r>
          </w:p>
        </w:tc>
        <w:tc>
          <w:tcPr>
            <w:tcW w:w="1108" w:type="dxa"/>
            <w:tcBorders>
              <w:top w:val="single" w:sz="2" w:space="0" w:color="F4B083"/>
              <w:left w:val="single" w:sz="2" w:space="0" w:color="F4B083"/>
              <w:bottom w:val="single" w:sz="2" w:space="0" w:color="F4B083"/>
              <w:right w:val="single" w:sz="4" w:space="0" w:color="000000"/>
            </w:tcBorders>
            <w:shd w:val="clear" w:color="auto" w:fill="auto"/>
            <w:tcMar>
              <w:top w:w="80" w:type="dxa"/>
              <w:left w:w="80" w:type="dxa"/>
              <w:bottom w:w="80" w:type="dxa"/>
              <w:right w:w="80" w:type="dxa"/>
            </w:tcMar>
          </w:tcPr>
          <w:p w14:paraId="436BCB3D"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7</w:t>
            </w:r>
          </w:p>
        </w:tc>
      </w:tr>
      <w:tr w:rsidR="00AF0E0B" w:rsidRPr="00AF0E0B" w14:paraId="2FE33904" w14:textId="77777777" w:rsidTr="00AB4128">
        <w:trPr>
          <w:trHeight w:val="245"/>
        </w:trPr>
        <w:tc>
          <w:tcPr>
            <w:tcW w:w="1903" w:type="dxa"/>
            <w:vMerge/>
            <w:tcBorders>
              <w:top w:val="single" w:sz="2" w:space="0" w:color="F4B083"/>
              <w:left w:val="single" w:sz="4" w:space="0" w:color="000000"/>
              <w:bottom w:val="single" w:sz="2" w:space="0" w:color="F4B083"/>
              <w:right w:val="single" w:sz="2" w:space="0" w:color="F4B083"/>
            </w:tcBorders>
            <w:shd w:val="clear" w:color="auto" w:fill="auto"/>
          </w:tcPr>
          <w:p w14:paraId="30B809BB" w14:textId="77777777" w:rsidR="00AF0E0B" w:rsidRPr="00AF0E0B" w:rsidRDefault="00AF0E0B" w:rsidP="00AF0E0B">
            <w:pPr>
              <w:pBdr>
                <w:top w:val="nil"/>
                <w:left w:val="nil"/>
                <w:bottom w:val="nil"/>
                <w:right w:val="nil"/>
                <w:between w:val="nil"/>
                <w:bar w:val="nil"/>
              </w:pBdr>
              <w:rPr>
                <w:rFonts w:ascii="Times New Roman" w:eastAsia="Arial Unicode MS" w:hAnsi="Times New Roman" w:cs="Times New Roman"/>
                <w:bdr w:val="nil"/>
                <w:lang w:val="en-US"/>
              </w:rPr>
            </w:pPr>
          </w:p>
        </w:tc>
        <w:tc>
          <w:tcPr>
            <w:tcW w:w="1582"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tcPr>
          <w:p w14:paraId="1F5A218E" w14:textId="77777777" w:rsidR="00AF0E0B" w:rsidRPr="00AF0E0B" w:rsidRDefault="00AF0E0B" w:rsidP="00AF0E0B">
            <w:pPr>
              <w:pBdr>
                <w:top w:val="nil"/>
                <w:left w:val="nil"/>
                <w:bottom w:val="nil"/>
                <w:right w:val="nil"/>
                <w:between w:val="nil"/>
                <w:bar w:val="nil"/>
              </w:pBdr>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HV</w:t>
            </w:r>
          </w:p>
        </w:tc>
        <w:tc>
          <w:tcPr>
            <w:tcW w:w="1110"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tcPr>
          <w:p w14:paraId="5FC5F729"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0</w:t>
            </w:r>
          </w:p>
        </w:tc>
        <w:tc>
          <w:tcPr>
            <w:tcW w:w="1110" w:type="dxa"/>
            <w:tcBorders>
              <w:top w:val="single" w:sz="2" w:space="0" w:color="F4B083"/>
              <w:left w:val="single" w:sz="2" w:space="0" w:color="F4B083"/>
              <w:bottom w:val="single" w:sz="2" w:space="0" w:color="F4B083"/>
              <w:right w:val="single" w:sz="2" w:space="0" w:color="F4B083"/>
            </w:tcBorders>
            <w:shd w:val="clear" w:color="auto" w:fill="FFFFFF"/>
            <w:tcMar>
              <w:top w:w="80" w:type="dxa"/>
              <w:left w:w="80" w:type="dxa"/>
              <w:bottom w:w="80" w:type="dxa"/>
              <w:right w:w="80" w:type="dxa"/>
            </w:tcMar>
          </w:tcPr>
          <w:p w14:paraId="48A7D109"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2</w:t>
            </w:r>
          </w:p>
        </w:tc>
        <w:tc>
          <w:tcPr>
            <w:tcW w:w="1110" w:type="dxa"/>
            <w:tcBorders>
              <w:top w:val="single" w:sz="2" w:space="0" w:color="F4B083"/>
              <w:left w:val="single" w:sz="2" w:space="0" w:color="F4B083"/>
              <w:bottom w:val="single" w:sz="2" w:space="0" w:color="F4B083"/>
              <w:right w:val="single" w:sz="2" w:space="0" w:color="F4B083"/>
            </w:tcBorders>
            <w:shd w:val="clear" w:color="auto" w:fill="FFFFFF"/>
            <w:tcMar>
              <w:top w:w="80" w:type="dxa"/>
              <w:left w:w="80" w:type="dxa"/>
              <w:bottom w:w="80" w:type="dxa"/>
              <w:right w:w="80" w:type="dxa"/>
            </w:tcMar>
          </w:tcPr>
          <w:p w14:paraId="690B2ABF"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1</w:t>
            </w:r>
          </w:p>
        </w:tc>
        <w:tc>
          <w:tcPr>
            <w:tcW w:w="1110"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tcPr>
          <w:p w14:paraId="6C73D17A"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8</w:t>
            </w:r>
          </w:p>
        </w:tc>
        <w:tc>
          <w:tcPr>
            <w:tcW w:w="1108" w:type="dxa"/>
            <w:tcBorders>
              <w:top w:val="single" w:sz="2" w:space="0" w:color="F4B083"/>
              <w:left w:val="single" w:sz="2" w:space="0" w:color="F4B083"/>
              <w:bottom w:val="single" w:sz="2" w:space="0" w:color="F4B083"/>
              <w:right w:val="single" w:sz="4" w:space="0" w:color="000000"/>
            </w:tcBorders>
            <w:shd w:val="clear" w:color="auto" w:fill="auto"/>
            <w:tcMar>
              <w:top w:w="80" w:type="dxa"/>
              <w:left w:w="80" w:type="dxa"/>
              <w:bottom w:w="80" w:type="dxa"/>
              <w:right w:w="80" w:type="dxa"/>
            </w:tcMar>
          </w:tcPr>
          <w:p w14:paraId="32382B55"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11</w:t>
            </w:r>
          </w:p>
        </w:tc>
      </w:tr>
      <w:tr w:rsidR="00AF0E0B" w:rsidRPr="00AF0E0B" w14:paraId="66324C3F" w14:textId="77777777" w:rsidTr="00AB4128">
        <w:trPr>
          <w:trHeight w:val="245"/>
        </w:trPr>
        <w:tc>
          <w:tcPr>
            <w:tcW w:w="1903" w:type="dxa"/>
            <w:vMerge w:val="restart"/>
            <w:tcBorders>
              <w:top w:val="single" w:sz="2" w:space="0" w:color="F4B083"/>
              <w:left w:val="single" w:sz="4" w:space="0" w:color="000000"/>
              <w:bottom w:val="single" w:sz="2" w:space="0" w:color="F4B083"/>
              <w:right w:val="single" w:sz="2" w:space="0" w:color="F4B083"/>
            </w:tcBorders>
            <w:shd w:val="clear" w:color="auto" w:fill="auto"/>
            <w:tcMar>
              <w:top w:w="80" w:type="dxa"/>
              <w:left w:w="80" w:type="dxa"/>
              <w:bottom w:w="80" w:type="dxa"/>
              <w:right w:w="80" w:type="dxa"/>
            </w:tcMar>
          </w:tcPr>
          <w:p w14:paraId="3B0F1FD3" w14:textId="77777777" w:rsidR="00AF0E0B" w:rsidRPr="00AF0E0B" w:rsidRDefault="00AF0E0B" w:rsidP="00AF0E0B">
            <w:pPr>
              <w:pBdr>
                <w:top w:val="nil"/>
                <w:left w:val="nil"/>
                <w:bottom w:val="nil"/>
                <w:right w:val="nil"/>
                <w:between w:val="nil"/>
                <w:bar w:val="nil"/>
              </w:pBdr>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 Counts for group membership</w:t>
            </w:r>
          </w:p>
        </w:tc>
        <w:tc>
          <w:tcPr>
            <w:tcW w:w="1582"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tcPr>
          <w:p w14:paraId="4E44C588" w14:textId="77777777" w:rsidR="00AF0E0B" w:rsidRPr="00AF0E0B" w:rsidRDefault="00AF0E0B" w:rsidP="00AF0E0B">
            <w:pPr>
              <w:pBdr>
                <w:top w:val="nil"/>
                <w:left w:val="nil"/>
                <w:bottom w:val="nil"/>
                <w:right w:val="nil"/>
                <w:between w:val="nil"/>
                <w:bar w:val="nil"/>
              </w:pBdr>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P-DPN</w:t>
            </w:r>
          </w:p>
        </w:tc>
        <w:tc>
          <w:tcPr>
            <w:tcW w:w="1110"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tcPr>
          <w:p w14:paraId="3F5AD11E"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80.0</w:t>
            </w:r>
          </w:p>
        </w:tc>
        <w:tc>
          <w:tcPr>
            <w:tcW w:w="1110"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tcPr>
          <w:p w14:paraId="1A153628"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13.3</w:t>
            </w:r>
          </w:p>
        </w:tc>
        <w:tc>
          <w:tcPr>
            <w:tcW w:w="1110" w:type="dxa"/>
            <w:tcBorders>
              <w:top w:val="single" w:sz="2" w:space="0" w:color="F4B083"/>
              <w:left w:val="single" w:sz="2" w:space="0" w:color="F4B083"/>
              <w:bottom w:val="single" w:sz="2" w:space="0" w:color="F4B083"/>
              <w:right w:val="single" w:sz="2" w:space="0" w:color="F4B083"/>
            </w:tcBorders>
            <w:shd w:val="clear" w:color="auto" w:fill="FFFFFF"/>
            <w:tcMar>
              <w:top w:w="80" w:type="dxa"/>
              <w:left w:w="80" w:type="dxa"/>
              <w:bottom w:w="80" w:type="dxa"/>
              <w:right w:w="80" w:type="dxa"/>
            </w:tcMar>
          </w:tcPr>
          <w:p w14:paraId="3ACB503B"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0</w:t>
            </w:r>
          </w:p>
        </w:tc>
        <w:tc>
          <w:tcPr>
            <w:tcW w:w="1110" w:type="dxa"/>
            <w:tcBorders>
              <w:top w:val="single" w:sz="2" w:space="0" w:color="F4B083"/>
              <w:left w:val="single" w:sz="2" w:space="0" w:color="F4B083"/>
              <w:bottom w:val="single" w:sz="2" w:space="0" w:color="F4B083"/>
              <w:right w:val="single" w:sz="2" w:space="0" w:color="F4B083"/>
            </w:tcBorders>
            <w:shd w:val="clear" w:color="auto" w:fill="FFFFFF"/>
            <w:tcMar>
              <w:top w:w="80" w:type="dxa"/>
              <w:left w:w="80" w:type="dxa"/>
              <w:bottom w:w="80" w:type="dxa"/>
              <w:right w:w="80" w:type="dxa"/>
            </w:tcMar>
          </w:tcPr>
          <w:p w14:paraId="24D1CE03"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6.7</w:t>
            </w:r>
          </w:p>
        </w:tc>
        <w:tc>
          <w:tcPr>
            <w:tcW w:w="1108" w:type="dxa"/>
            <w:tcBorders>
              <w:top w:val="single" w:sz="2" w:space="0" w:color="F4B083"/>
              <w:left w:val="single" w:sz="2" w:space="0" w:color="F4B083"/>
              <w:bottom w:val="single" w:sz="2" w:space="0" w:color="F4B083"/>
              <w:right w:val="single" w:sz="4" w:space="0" w:color="000000"/>
            </w:tcBorders>
            <w:shd w:val="clear" w:color="auto" w:fill="auto"/>
            <w:tcMar>
              <w:top w:w="80" w:type="dxa"/>
              <w:left w:w="80" w:type="dxa"/>
              <w:bottom w:w="80" w:type="dxa"/>
              <w:right w:w="80" w:type="dxa"/>
            </w:tcMar>
          </w:tcPr>
          <w:p w14:paraId="1FD9161E"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100.0</w:t>
            </w:r>
          </w:p>
        </w:tc>
      </w:tr>
      <w:tr w:rsidR="00AF0E0B" w:rsidRPr="00AF0E0B" w14:paraId="64CA1D97" w14:textId="77777777" w:rsidTr="00AB4128">
        <w:trPr>
          <w:trHeight w:val="245"/>
        </w:trPr>
        <w:tc>
          <w:tcPr>
            <w:tcW w:w="1903" w:type="dxa"/>
            <w:vMerge/>
            <w:tcBorders>
              <w:top w:val="single" w:sz="2" w:space="0" w:color="F4B083"/>
              <w:left w:val="single" w:sz="4" w:space="0" w:color="000000"/>
              <w:bottom w:val="single" w:sz="2" w:space="0" w:color="F4B083"/>
              <w:right w:val="single" w:sz="2" w:space="0" w:color="F4B083"/>
            </w:tcBorders>
            <w:shd w:val="clear" w:color="auto" w:fill="auto"/>
          </w:tcPr>
          <w:p w14:paraId="32A3F470" w14:textId="77777777" w:rsidR="00AF0E0B" w:rsidRPr="00AF0E0B" w:rsidRDefault="00AF0E0B" w:rsidP="00AF0E0B">
            <w:pPr>
              <w:pBdr>
                <w:top w:val="nil"/>
                <w:left w:val="nil"/>
                <w:bottom w:val="nil"/>
                <w:right w:val="nil"/>
                <w:between w:val="nil"/>
                <w:bar w:val="nil"/>
              </w:pBdr>
              <w:rPr>
                <w:rFonts w:ascii="Times New Roman" w:eastAsia="Arial Unicode MS" w:hAnsi="Times New Roman" w:cs="Times New Roman"/>
                <w:bdr w:val="nil"/>
                <w:lang w:val="en-US"/>
              </w:rPr>
            </w:pPr>
          </w:p>
        </w:tc>
        <w:tc>
          <w:tcPr>
            <w:tcW w:w="1582"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tcPr>
          <w:p w14:paraId="56E54793" w14:textId="77777777" w:rsidR="00AF0E0B" w:rsidRPr="00AF0E0B" w:rsidRDefault="00AF0E0B" w:rsidP="00AF0E0B">
            <w:pPr>
              <w:pBdr>
                <w:top w:val="nil"/>
                <w:left w:val="nil"/>
                <w:bottom w:val="nil"/>
                <w:right w:val="nil"/>
                <w:between w:val="nil"/>
                <w:bar w:val="nil"/>
              </w:pBdr>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DPN</w:t>
            </w:r>
          </w:p>
        </w:tc>
        <w:tc>
          <w:tcPr>
            <w:tcW w:w="1110" w:type="dxa"/>
            <w:tcBorders>
              <w:top w:val="single" w:sz="2" w:space="0" w:color="F4B083"/>
              <w:left w:val="single" w:sz="2" w:space="0" w:color="F4B083"/>
              <w:bottom w:val="single" w:sz="2" w:space="0" w:color="F4B083"/>
              <w:right w:val="single" w:sz="2" w:space="0" w:color="F4B083"/>
            </w:tcBorders>
            <w:shd w:val="clear" w:color="auto" w:fill="FFFFFF"/>
            <w:tcMar>
              <w:top w:w="80" w:type="dxa"/>
              <w:left w:w="80" w:type="dxa"/>
              <w:bottom w:w="80" w:type="dxa"/>
              <w:right w:w="80" w:type="dxa"/>
            </w:tcMar>
          </w:tcPr>
          <w:p w14:paraId="34F7B8E8"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14.3</w:t>
            </w:r>
          </w:p>
        </w:tc>
        <w:tc>
          <w:tcPr>
            <w:tcW w:w="1110"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tcPr>
          <w:p w14:paraId="1E7D6257"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71.4</w:t>
            </w:r>
          </w:p>
        </w:tc>
        <w:tc>
          <w:tcPr>
            <w:tcW w:w="1110" w:type="dxa"/>
            <w:tcBorders>
              <w:top w:val="single" w:sz="2" w:space="0" w:color="F4B083"/>
              <w:left w:val="single" w:sz="2" w:space="0" w:color="F4B083"/>
              <w:bottom w:val="single" w:sz="2" w:space="0" w:color="F4B083"/>
              <w:right w:val="single" w:sz="2" w:space="0" w:color="F4B083"/>
            </w:tcBorders>
            <w:shd w:val="clear" w:color="auto" w:fill="FFFFFF"/>
            <w:tcMar>
              <w:top w:w="80" w:type="dxa"/>
              <w:left w:w="80" w:type="dxa"/>
              <w:bottom w:w="80" w:type="dxa"/>
              <w:right w:w="80" w:type="dxa"/>
            </w:tcMar>
          </w:tcPr>
          <w:p w14:paraId="4B327713"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7.1</w:t>
            </w:r>
          </w:p>
        </w:tc>
        <w:tc>
          <w:tcPr>
            <w:tcW w:w="1110" w:type="dxa"/>
            <w:tcBorders>
              <w:top w:val="single" w:sz="2" w:space="0" w:color="F4B083"/>
              <w:left w:val="single" w:sz="2" w:space="0" w:color="F4B083"/>
              <w:bottom w:val="single" w:sz="2" w:space="0" w:color="F4B083"/>
              <w:right w:val="single" w:sz="2" w:space="0" w:color="F4B083"/>
            </w:tcBorders>
            <w:shd w:val="clear" w:color="auto" w:fill="FFFFFF"/>
            <w:tcMar>
              <w:top w:w="80" w:type="dxa"/>
              <w:left w:w="80" w:type="dxa"/>
              <w:bottom w:w="80" w:type="dxa"/>
              <w:right w:w="80" w:type="dxa"/>
            </w:tcMar>
          </w:tcPr>
          <w:p w14:paraId="6A0EFB14"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7.1</w:t>
            </w:r>
          </w:p>
        </w:tc>
        <w:tc>
          <w:tcPr>
            <w:tcW w:w="1108" w:type="dxa"/>
            <w:tcBorders>
              <w:top w:val="single" w:sz="2" w:space="0" w:color="F4B083"/>
              <w:left w:val="single" w:sz="2" w:space="0" w:color="F4B083"/>
              <w:bottom w:val="single" w:sz="2" w:space="0" w:color="F4B083"/>
              <w:right w:val="single" w:sz="4" w:space="0" w:color="000000"/>
            </w:tcBorders>
            <w:shd w:val="clear" w:color="auto" w:fill="auto"/>
            <w:tcMar>
              <w:top w:w="80" w:type="dxa"/>
              <w:left w:w="80" w:type="dxa"/>
              <w:bottom w:w="80" w:type="dxa"/>
              <w:right w:w="80" w:type="dxa"/>
            </w:tcMar>
          </w:tcPr>
          <w:p w14:paraId="5BC30CAD"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100.0</w:t>
            </w:r>
          </w:p>
        </w:tc>
      </w:tr>
      <w:tr w:rsidR="00AF0E0B" w:rsidRPr="00AF0E0B" w14:paraId="44F20ADC" w14:textId="77777777" w:rsidTr="00AB4128">
        <w:trPr>
          <w:trHeight w:val="245"/>
        </w:trPr>
        <w:tc>
          <w:tcPr>
            <w:tcW w:w="1903" w:type="dxa"/>
            <w:vMerge/>
            <w:tcBorders>
              <w:top w:val="single" w:sz="2" w:space="0" w:color="F4B083"/>
              <w:left w:val="single" w:sz="4" w:space="0" w:color="000000"/>
              <w:bottom w:val="single" w:sz="2" w:space="0" w:color="F4B083"/>
              <w:right w:val="single" w:sz="2" w:space="0" w:color="F4B083"/>
            </w:tcBorders>
            <w:shd w:val="clear" w:color="auto" w:fill="auto"/>
          </w:tcPr>
          <w:p w14:paraId="38DE1467" w14:textId="77777777" w:rsidR="00AF0E0B" w:rsidRPr="00AF0E0B" w:rsidRDefault="00AF0E0B" w:rsidP="00AF0E0B">
            <w:pPr>
              <w:pBdr>
                <w:top w:val="nil"/>
                <w:left w:val="nil"/>
                <w:bottom w:val="nil"/>
                <w:right w:val="nil"/>
                <w:between w:val="nil"/>
                <w:bar w:val="nil"/>
              </w:pBdr>
              <w:rPr>
                <w:rFonts w:ascii="Times New Roman" w:eastAsia="Arial Unicode MS" w:hAnsi="Times New Roman" w:cs="Times New Roman"/>
                <w:bdr w:val="nil"/>
                <w:lang w:val="en-US"/>
              </w:rPr>
            </w:pPr>
          </w:p>
        </w:tc>
        <w:tc>
          <w:tcPr>
            <w:tcW w:w="1582" w:type="dxa"/>
            <w:tcBorders>
              <w:top w:val="single" w:sz="2" w:space="0" w:color="F4B083"/>
              <w:left w:val="single" w:sz="2" w:space="0" w:color="F4B083"/>
              <w:bottom w:val="single" w:sz="2" w:space="0" w:color="F4B083"/>
              <w:right w:val="single" w:sz="2" w:space="0" w:color="F4B083"/>
            </w:tcBorders>
            <w:shd w:val="clear" w:color="auto" w:fill="FFFFFF"/>
            <w:tcMar>
              <w:top w:w="80" w:type="dxa"/>
              <w:left w:w="80" w:type="dxa"/>
              <w:bottom w:w="80" w:type="dxa"/>
              <w:right w:w="80" w:type="dxa"/>
            </w:tcMar>
          </w:tcPr>
          <w:p w14:paraId="3AC1987F" w14:textId="77777777" w:rsidR="00AF0E0B" w:rsidRPr="00AF0E0B" w:rsidRDefault="00AF0E0B" w:rsidP="00AF0E0B">
            <w:pPr>
              <w:pBdr>
                <w:top w:val="nil"/>
                <w:left w:val="nil"/>
                <w:bottom w:val="nil"/>
                <w:right w:val="nil"/>
                <w:between w:val="nil"/>
                <w:bar w:val="nil"/>
              </w:pBdr>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DM-NN</w:t>
            </w:r>
          </w:p>
        </w:tc>
        <w:tc>
          <w:tcPr>
            <w:tcW w:w="1110" w:type="dxa"/>
            <w:tcBorders>
              <w:top w:val="single" w:sz="2" w:space="0" w:color="F4B083"/>
              <w:left w:val="single" w:sz="2" w:space="0" w:color="F4B083"/>
              <w:bottom w:val="single" w:sz="2" w:space="0" w:color="F4B083"/>
              <w:right w:val="single" w:sz="2" w:space="0" w:color="F4B083"/>
            </w:tcBorders>
            <w:shd w:val="clear" w:color="auto" w:fill="FFFFFF"/>
            <w:tcMar>
              <w:top w:w="80" w:type="dxa"/>
              <w:left w:w="80" w:type="dxa"/>
              <w:bottom w:w="80" w:type="dxa"/>
              <w:right w:w="80" w:type="dxa"/>
            </w:tcMar>
          </w:tcPr>
          <w:p w14:paraId="30041B40"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0</w:t>
            </w:r>
          </w:p>
        </w:tc>
        <w:tc>
          <w:tcPr>
            <w:tcW w:w="1110"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tcPr>
          <w:p w14:paraId="28963B4C"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28.6</w:t>
            </w:r>
          </w:p>
        </w:tc>
        <w:tc>
          <w:tcPr>
            <w:tcW w:w="1110"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tcPr>
          <w:p w14:paraId="266D8C4E"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71.4</w:t>
            </w:r>
          </w:p>
        </w:tc>
        <w:tc>
          <w:tcPr>
            <w:tcW w:w="1110" w:type="dxa"/>
            <w:tcBorders>
              <w:top w:val="single" w:sz="2" w:space="0" w:color="F4B083"/>
              <w:left w:val="single" w:sz="2" w:space="0" w:color="F4B083"/>
              <w:bottom w:val="single" w:sz="2" w:space="0" w:color="F4B083"/>
              <w:right w:val="single" w:sz="2" w:space="0" w:color="F4B083"/>
            </w:tcBorders>
            <w:shd w:val="clear" w:color="auto" w:fill="FFFFFF"/>
            <w:tcMar>
              <w:top w:w="80" w:type="dxa"/>
              <w:left w:w="80" w:type="dxa"/>
              <w:bottom w:w="80" w:type="dxa"/>
              <w:right w:w="80" w:type="dxa"/>
            </w:tcMar>
          </w:tcPr>
          <w:p w14:paraId="53AC60EE"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0</w:t>
            </w:r>
          </w:p>
        </w:tc>
        <w:tc>
          <w:tcPr>
            <w:tcW w:w="1108" w:type="dxa"/>
            <w:tcBorders>
              <w:top w:val="single" w:sz="2" w:space="0" w:color="F4B083"/>
              <w:left w:val="single" w:sz="2" w:space="0" w:color="F4B083"/>
              <w:bottom w:val="single" w:sz="2" w:space="0" w:color="F4B083"/>
              <w:right w:val="single" w:sz="4" w:space="0" w:color="000000"/>
            </w:tcBorders>
            <w:shd w:val="clear" w:color="auto" w:fill="auto"/>
            <w:tcMar>
              <w:top w:w="80" w:type="dxa"/>
              <w:left w:w="80" w:type="dxa"/>
              <w:bottom w:w="80" w:type="dxa"/>
              <w:right w:w="80" w:type="dxa"/>
            </w:tcMar>
          </w:tcPr>
          <w:p w14:paraId="170F6713"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100.0</w:t>
            </w:r>
          </w:p>
        </w:tc>
      </w:tr>
      <w:tr w:rsidR="00AF0E0B" w:rsidRPr="00AF0E0B" w14:paraId="2F74904C" w14:textId="77777777" w:rsidTr="00AB4128">
        <w:trPr>
          <w:trHeight w:val="245"/>
        </w:trPr>
        <w:tc>
          <w:tcPr>
            <w:tcW w:w="1903" w:type="dxa"/>
            <w:vMerge/>
            <w:tcBorders>
              <w:top w:val="single" w:sz="2" w:space="0" w:color="F4B083"/>
              <w:left w:val="single" w:sz="4" w:space="0" w:color="000000"/>
              <w:bottom w:val="single" w:sz="2" w:space="0" w:color="F4B083"/>
              <w:right w:val="single" w:sz="2" w:space="0" w:color="F4B083"/>
            </w:tcBorders>
            <w:shd w:val="clear" w:color="auto" w:fill="auto"/>
          </w:tcPr>
          <w:p w14:paraId="1497744A" w14:textId="77777777" w:rsidR="00AF0E0B" w:rsidRPr="00AF0E0B" w:rsidRDefault="00AF0E0B" w:rsidP="00AF0E0B">
            <w:pPr>
              <w:pBdr>
                <w:top w:val="nil"/>
                <w:left w:val="nil"/>
                <w:bottom w:val="nil"/>
                <w:right w:val="nil"/>
                <w:between w:val="nil"/>
                <w:bar w:val="nil"/>
              </w:pBdr>
              <w:rPr>
                <w:rFonts w:ascii="Times New Roman" w:eastAsia="Arial Unicode MS" w:hAnsi="Times New Roman" w:cs="Times New Roman"/>
                <w:bdr w:val="nil"/>
                <w:lang w:val="en-US"/>
              </w:rPr>
            </w:pPr>
          </w:p>
        </w:tc>
        <w:tc>
          <w:tcPr>
            <w:tcW w:w="1582" w:type="dxa"/>
            <w:tcBorders>
              <w:top w:val="single" w:sz="2" w:space="0" w:color="F4B083"/>
              <w:left w:val="single" w:sz="2" w:space="0" w:color="F4B083"/>
              <w:bottom w:val="single" w:sz="2" w:space="0" w:color="F4B083"/>
              <w:right w:val="single" w:sz="2" w:space="0" w:color="F4B083"/>
            </w:tcBorders>
            <w:shd w:val="clear" w:color="auto" w:fill="FFFFFF"/>
            <w:tcMar>
              <w:top w:w="80" w:type="dxa"/>
              <w:left w:w="80" w:type="dxa"/>
              <w:bottom w:w="80" w:type="dxa"/>
              <w:right w:w="80" w:type="dxa"/>
            </w:tcMar>
          </w:tcPr>
          <w:p w14:paraId="1154F09C" w14:textId="77777777" w:rsidR="00AF0E0B" w:rsidRPr="00AF0E0B" w:rsidRDefault="00AF0E0B" w:rsidP="00AF0E0B">
            <w:pPr>
              <w:pBdr>
                <w:top w:val="nil"/>
                <w:left w:val="nil"/>
                <w:bottom w:val="nil"/>
                <w:right w:val="nil"/>
                <w:between w:val="nil"/>
                <w:bar w:val="nil"/>
              </w:pBdr>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HV</w:t>
            </w:r>
          </w:p>
        </w:tc>
        <w:tc>
          <w:tcPr>
            <w:tcW w:w="1110" w:type="dxa"/>
            <w:tcBorders>
              <w:top w:val="single" w:sz="2" w:space="0" w:color="F4B083"/>
              <w:left w:val="single" w:sz="2" w:space="0" w:color="F4B083"/>
              <w:bottom w:val="single" w:sz="2" w:space="0" w:color="F4B083"/>
              <w:right w:val="single" w:sz="2" w:space="0" w:color="F4B083"/>
            </w:tcBorders>
            <w:shd w:val="clear" w:color="auto" w:fill="FFFFFF"/>
            <w:tcMar>
              <w:top w:w="80" w:type="dxa"/>
              <w:left w:w="80" w:type="dxa"/>
              <w:bottom w:w="80" w:type="dxa"/>
              <w:right w:w="80" w:type="dxa"/>
            </w:tcMar>
          </w:tcPr>
          <w:p w14:paraId="029F4D38"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0</w:t>
            </w:r>
          </w:p>
        </w:tc>
        <w:tc>
          <w:tcPr>
            <w:tcW w:w="1110" w:type="dxa"/>
            <w:tcBorders>
              <w:top w:val="single" w:sz="2" w:space="0" w:color="F4B083"/>
              <w:left w:val="single" w:sz="2" w:space="0" w:color="F4B083"/>
              <w:bottom w:val="single" w:sz="2" w:space="0" w:color="F4B083"/>
              <w:right w:val="single" w:sz="2" w:space="0" w:color="F4B083"/>
            </w:tcBorders>
            <w:shd w:val="clear" w:color="auto" w:fill="FFFFFF"/>
            <w:tcMar>
              <w:top w:w="80" w:type="dxa"/>
              <w:left w:w="80" w:type="dxa"/>
              <w:bottom w:w="80" w:type="dxa"/>
              <w:right w:w="80" w:type="dxa"/>
            </w:tcMar>
          </w:tcPr>
          <w:p w14:paraId="346207D4"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18.2</w:t>
            </w:r>
          </w:p>
        </w:tc>
        <w:tc>
          <w:tcPr>
            <w:tcW w:w="1110" w:type="dxa"/>
            <w:tcBorders>
              <w:top w:val="single" w:sz="2" w:space="0" w:color="F4B083"/>
              <w:left w:val="single" w:sz="2" w:space="0" w:color="F4B083"/>
              <w:bottom w:val="single" w:sz="2" w:space="0" w:color="F4B083"/>
              <w:right w:val="single" w:sz="2" w:space="0" w:color="F4B083"/>
            </w:tcBorders>
            <w:shd w:val="clear" w:color="auto" w:fill="FFFFFF"/>
            <w:tcMar>
              <w:top w:w="80" w:type="dxa"/>
              <w:left w:w="80" w:type="dxa"/>
              <w:bottom w:w="80" w:type="dxa"/>
              <w:right w:w="80" w:type="dxa"/>
            </w:tcMar>
          </w:tcPr>
          <w:p w14:paraId="2FD3297C"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9.1</w:t>
            </w:r>
          </w:p>
        </w:tc>
        <w:tc>
          <w:tcPr>
            <w:tcW w:w="1110"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tcPr>
          <w:p w14:paraId="52EB3FE1"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72.7</w:t>
            </w:r>
          </w:p>
        </w:tc>
        <w:tc>
          <w:tcPr>
            <w:tcW w:w="1108" w:type="dxa"/>
            <w:tcBorders>
              <w:top w:val="single" w:sz="2" w:space="0" w:color="F4B083"/>
              <w:left w:val="single" w:sz="2" w:space="0" w:color="F4B083"/>
              <w:bottom w:val="single" w:sz="2" w:space="0" w:color="F4B083"/>
              <w:right w:val="single" w:sz="4" w:space="0" w:color="000000"/>
            </w:tcBorders>
            <w:shd w:val="clear" w:color="auto" w:fill="auto"/>
            <w:tcMar>
              <w:top w:w="80" w:type="dxa"/>
              <w:left w:w="80" w:type="dxa"/>
              <w:bottom w:w="80" w:type="dxa"/>
              <w:right w:w="80" w:type="dxa"/>
            </w:tcMar>
          </w:tcPr>
          <w:p w14:paraId="25FE7FAB"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100.0</w:t>
            </w:r>
          </w:p>
        </w:tc>
      </w:tr>
      <w:tr w:rsidR="00AF0E0B" w:rsidRPr="00AF0E0B" w14:paraId="4D538080" w14:textId="77777777" w:rsidTr="00AB4128">
        <w:trPr>
          <w:trHeight w:val="248"/>
        </w:trPr>
        <w:tc>
          <w:tcPr>
            <w:tcW w:w="9033" w:type="dxa"/>
            <w:gridSpan w:val="7"/>
            <w:tcBorders>
              <w:top w:val="single" w:sz="2" w:space="0" w:color="F4B083"/>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5D090E6" w14:textId="77777777" w:rsidR="00AF0E0B" w:rsidRPr="00AF0E0B" w:rsidRDefault="00AF0E0B" w:rsidP="00AF0E0B">
            <w:pPr>
              <w:pBdr>
                <w:top w:val="nil"/>
                <w:left w:val="nil"/>
                <w:bottom w:val="nil"/>
                <w:right w:val="nil"/>
                <w:between w:val="nil"/>
                <w:bar w:val="nil"/>
              </w:pBdr>
              <w:rPr>
                <w:rFonts w:ascii="Times New Roman" w:eastAsia="Arial Unicode MS" w:hAnsi="Times New Roman" w:cs="Arial Unicode MS"/>
                <w:color w:val="000000"/>
                <w:u w:color="000000"/>
                <w:bdr w:val="nil"/>
                <w:lang w:eastAsia="en-GB"/>
              </w:rPr>
            </w:pPr>
            <w:r w:rsidRPr="00AF0E0B">
              <w:rPr>
                <w:rFonts w:ascii="Calibri" w:eastAsia="Calibri" w:hAnsi="Calibri" w:cs="Calibri"/>
                <w:i/>
                <w:iCs/>
                <w:color w:val="000000"/>
                <w:sz w:val="22"/>
                <w:szCs w:val="22"/>
                <w:u w:color="000000"/>
                <w:bdr w:val="nil"/>
                <w:lang w:val="en-US" w:eastAsia="en-GB"/>
              </w:rPr>
              <w:t>a. 74.5% of original grouped cases correctly classified.</w:t>
            </w:r>
          </w:p>
        </w:tc>
      </w:tr>
    </w:tbl>
    <w:p w14:paraId="1341402D" w14:textId="77777777" w:rsidR="00AF0E0B" w:rsidRPr="00AF0E0B" w:rsidRDefault="00AF0E0B" w:rsidP="00AF0E0B">
      <w:pPr>
        <w:pBdr>
          <w:top w:val="nil"/>
          <w:left w:val="nil"/>
          <w:bottom w:val="nil"/>
          <w:right w:val="nil"/>
          <w:between w:val="nil"/>
          <w:bar w:val="nil"/>
        </w:pBdr>
        <w:outlineLvl w:val="6"/>
        <w:rPr>
          <w:rFonts w:eastAsia="Arial" w:cs="Arial"/>
          <w:i/>
          <w:iCs/>
          <w:color w:val="4F81BD"/>
          <w:u w:color="4F81BD"/>
          <w:bdr w:val="nil"/>
          <w:lang w:val="en-US" w:eastAsia="en-GB"/>
        </w:rPr>
      </w:pPr>
    </w:p>
    <w:p w14:paraId="4947C18F" w14:textId="77777777" w:rsidR="00AF0E0B" w:rsidRPr="00AF0E0B" w:rsidRDefault="00AF0E0B" w:rsidP="00AF0E0B">
      <w:pPr>
        <w:pBdr>
          <w:top w:val="nil"/>
          <w:left w:val="nil"/>
          <w:bottom w:val="nil"/>
          <w:right w:val="nil"/>
          <w:between w:val="nil"/>
          <w:bar w:val="nil"/>
        </w:pBdr>
        <w:rPr>
          <w:rFonts w:ascii="Times New Roman" w:eastAsia="Arial Unicode MS" w:hAnsi="Times New Roman" w:cs="Arial Unicode MS"/>
          <w:color w:val="000000"/>
          <w:u w:color="000000"/>
          <w:bdr w:val="nil"/>
          <w:lang w:eastAsia="en-GB"/>
        </w:rPr>
      </w:pPr>
      <w:r w:rsidRPr="00AF0E0B">
        <w:rPr>
          <w:rFonts w:ascii="Arial Unicode MS" w:eastAsia="Arial Unicode MS" w:hAnsi="Arial Unicode MS" w:cs="Arial Unicode MS"/>
          <w:color w:val="000000"/>
          <w:u w:color="000000"/>
          <w:bdr w:val="nil"/>
          <w:lang w:eastAsia="en-GB"/>
        </w:rPr>
        <w:br w:type="page"/>
      </w:r>
    </w:p>
    <w:p w14:paraId="60D9622A" w14:textId="418EE8C7" w:rsidR="00AF0E0B" w:rsidRPr="00AF0E0B" w:rsidRDefault="00AF0E0B" w:rsidP="00455CF2">
      <w:pPr>
        <w:pStyle w:val="Subtitle"/>
      </w:pPr>
      <w:bookmarkStart w:id="181" w:name="_Toc20"/>
      <w:bookmarkStart w:id="182" w:name="_Toc49973358"/>
      <w:bookmarkStart w:id="183" w:name="_Toc64724176"/>
      <w:r w:rsidRPr="00AF0E0B">
        <w:lastRenderedPageBreak/>
        <w:t>Figure 2.7  Graphical Representation of Discriminant Functions</w:t>
      </w:r>
      <w:bookmarkEnd w:id="181"/>
      <w:bookmarkEnd w:id="182"/>
      <w:bookmarkEnd w:id="183"/>
    </w:p>
    <w:p w14:paraId="0E97CF96" w14:textId="77777777" w:rsidR="00AF0E0B" w:rsidRPr="00AF0E0B" w:rsidRDefault="00AF0E0B" w:rsidP="00AF0E0B">
      <w:pPr>
        <w:pBdr>
          <w:top w:val="nil"/>
          <w:left w:val="nil"/>
          <w:bottom w:val="nil"/>
          <w:right w:val="nil"/>
          <w:between w:val="nil"/>
          <w:bar w:val="nil"/>
        </w:pBdr>
        <w:spacing w:line="360" w:lineRule="auto"/>
        <w:rPr>
          <w:rFonts w:eastAsia="Arial" w:cs="Arial"/>
          <w:i/>
          <w:iCs/>
          <w:color w:val="808080"/>
          <w:sz w:val="21"/>
          <w:szCs w:val="21"/>
          <w:u w:color="808080"/>
          <w:bdr w:val="nil"/>
          <w:lang w:eastAsia="en-GB"/>
        </w:rPr>
      </w:pPr>
      <w:r w:rsidRPr="00AF0E0B">
        <w:rPr>
          <w:rFonts w:eastAsia="Arial" w:cs="Arial"/>
          <w:i/>
          <w:iCs/>
          <w:noProof/>
          <w:color w:val="808080"/>
          <w:sz w:val="21"/>
          <w:szCs w:val="21"/>
          <w:u w:color="808080"/>
          <w:bdr w:val="nil"/>
          <w:lang w:eastAsia="en-GB"/>
        </w:rPr>
        <w:drawing>
          <wp:inline distT="0" distB="0" distL="0" distR="0" wp14:anchorId="17781F90" wp14:editId="23B628B6">
            <wp:extent cx="5554763" cy="3278221"/>
            <wp:effectExtent l="12700" t="12700" r="8255" b="11430"/>
            <wp:docPr id="1073741869" name="officeArt object"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69" name="A screenshot of a computer&#10;&#10;Description automatically generated" descr="A screenshot of a computerDescription automatically generated"/>
                    <pic:cNvPicPr>
                      <a:picLocks noChangeAspect="1"/>
                    </pic:cNvPicPr>
                  </pic:nvPicPr>
                  <pic:blipFill>
                    <a:blip r:embed="rId24"/>
                    <a:stretch>
                      <a:fillRect/>
                    </a:stretch>
                  </pic:blipFill>
                  <pic:spPr>
                    <a:xfrm>
                      <a:off x="0" y="0"/>
                      <a:ext cx="5554763" cy="3278221"/>
                    </a:xfrm>
                    <a:prstGeom prst="rect">
                      <a:avLst/>
                    </a:prstGeom>
                    <a:ln w="9525" cap="flat">
                      <a:solidFill>
                        <a:schemeClr val="accent1"/>
                      </a:solidFill>
                      <a:prstDash val="solid"/>
                      <a:round/>
                    </a:ln>
                    <a:effectLst/>
                  </pic:spPr>
                </pic:pic>
              </a:graphicData>
            </a:graphic>
          </wp:inline>
        </w:drawing>
      </w:r>
    </w:p>
    <w:p w14:paraId="7103574D" w14:textId="77777777" w:rsidR="00AF0E0B" w:rsidRPr="00AF0E0B" w:rsidRDefault="00AF0E0B" w:rsidP="00AF0E0B">
      <w:pPr>
        <w:pBdr>
          <w:top w:val="nil"/>
          <w:left w:val="nil"/>
          <w:bottom w:val="nil"/>
          <w:right w:val="nil"/>
          <w:between w:val="nil"/>
          <w:bar w:val="nil"/>
        </w:pBdr>
        <w:spacing w:line="360" w:lineRule="auto"/>
        <w:rPr>
          <w:rFonts w:eastAsia="Arial" w:cs="Arial"/>
          <w:i/>
          <w:iCs/>
          <w:color w:val="808080"/>
          <w:sz w:val="21"/>
          <w:szCs w:val="21"/>
          <w:u w:color="808080"/>
          <w:bdr w:val="nil"/>
          <w:lang w:eastAsia="en-GB"/>
        </w:rPr>
      </w:pPr>
      <w:r w:rsidRPr="00AF0E0B">
        <w:rPr>
          <w:rFonts w:eastAsia="Arial Unicode MS" w:cs="Arial Unicode MS"/>
          <w:i/>
          <w:iCs/>
          <w:color w:val="808080"/>
          <w:sz w:val="21"/>
          <w:szCs w:val="21"/>
          <w:u w:color="808080"/>
          <w:bdr w:val="nil"/>
          <w:lang w:val="en-US" w:eastAsia="en-GB"/>
        </w:rPr>
        <w:t xml:space="preserve">This figure shows that Function 1 separates P-DPN on the right of the zero line of the X-axis, from all the other groups lying on the left of the zero line on the X-axis.  Function 2 can separate DM-NN above the zero line on the y axis, from HV and DPN below the zero line on the Y axis.  Function 1 includes higher scores on the BDI, higher scores for increased somatic focus, anxiety state, pain </w:t>
      </w:r>
      <w:proofErr w:type="spellStart"/>
      <w:r w:rsidRPr="00AF0E0B">
        <w:rPr>
          <w:rFonts w:eastAsia="Arial Unicode MS" w:cs="Arial Unicode MS"/>
          <w:i/>
          <w:iCs/>
          <w:color w:val="808080"/>
          <w:sz w:val="21"/>
          <w:szCs w:val="21"/>
          <w:u w:color="808080"/>
          <w:bdr w:val="nil"/>
          <w:lang w:val="en-US" w:eastAsia="en-GB"/>
        </w:rPr>
        <w:t>catastrophising</w:t>
      </w:r>
      <w:proofErr w:type="spellEnd"/>
      <w:r w:rsidRPr="00AF0E0B">
        <w:rPr>
          <w:rFonts w:eastAsia="Arial Unicode MS" w:cs="Arial Unicode MS"/>
          <w:i/>
          <w:iCs/>
          <w:color w:val="808080"/>
          <w:sz w:val="21"/>
          <w:szCs w:val="21"/>
          <w:u w:color="808080"/>
          <w:bdr w:val="nil"/>
          <w:lang w:val="en-US" w:eastAsia="en-GB"/>
        </w:rPr>
        <w:t xml:space="preserve">, and lower scores for fun seeking.  Function 2 includes higher scores on Drive and Reward responsiveness and  lower scores on HADS and trait anxiety.  </w:t>
      </w:r>
    </w:p>
    <w:p w14:paraId="28390C73" w14:textId="3A98B611" w:rsidR="00AF0E0B" w:rsidRPr="00AF0E0B" w:rsidRDefault="00AF0E0B" w:rsidP="0031237D">
      <w:pPr>
        <w:pStyle w:val="Heading3"/>
      </w:pPr>
      <w:bookmarkStart w:id="184" w:name="_Toc21"/>
      <w:bookmarkStart w:id="185" w:name="_Toc49973113"/>
      <w:bookmarkStart w:id="186" w:name="_Toc49973457"/>
      <w:bookmarkStart w:id="187" w:name="_Toc64723912"/>
      <w:r w:rsidRPr="00AF0E0B">
        <w:t>Methylglyoxal</w:t>
      </w:r>
      <w:bookmarkEnd w:id="184"/>
      <w:bookmarkEnd w:id="185"/>
      <w:bookmarkEnd w:id="186"/>
      <w:bookmarkEnd w:id="187"/>
    </w:p>
    <w:p w14:paraId="11F65629" w14:textId="77777777" w:rsidR="00AF0E0B" w:rsidRPr="00AF0E0B" w:rsidRDefault="00AF0E0B" w:rsidP="00AF0E0B">
      <w:pPr>
        <w:pBdr>
          <w:top w:val="nil"/>
          <w:left w:val="nil"/>
          <w:bottom w:val="nil"/>
          <w:right w:val="nil"/>
          <w:between w:val="nil"/>
          <w:bar w:val="nil"/>
        </w:pBdr>
        <w:spacing w:line="360" w:lineRule="auto"/>
        <w:rPr>
          <w:rFonts w:eastAsia="Arial" w:cs="Arial"/>
          <w:color w:val="000000"/>
          <w:u w:color="000000"/>
          <w:bdr w:val="nil"/>
          <w:lang w:eastAsia="en-GB"/>
        </w:rPr>
      </w:pPr>
      <w:r w:rsidRPr="00AF0E0B">
        <w:rPr>
          <w:rFonts w:eastAsia="Arial Unicode MS" w:cs="Arial Unicode MS"/>
          <w:color w:val="000000"/>
          <w:u w:color="000000"/>
          <w:bdr w:val="nil"/>
          <w:lang w:val="en-US" w:eastAsia="en-GB"/>
        </w:rPr>
        <w:t xml:space="preserve">In the methylglyoxal study there were 45 participants: 12 in the P-DPN, 17 in the DPN, 7 in the DM-NN and 9 in the HV groups.  There was no difference between the group means of methylglyoxal levels using ANOVA (p=.976) (Figure 2.8). </w:t>
      </w:r>
    </w:p>
    <w:p w14:paraId="32542475" w14:textId="77777777" w:rsidR="00AF0E0B" w:rsidRPr="00AF0E0B" w:rsidRDefault="00AF0E0B" w:rsidP="00AF0E0B">
      <w:pPr>
        <w:pBdr>
          <w:top w:val="nil"/>
          <w:left w:val="nil"/>
          <w:bottom w:val="nil"/>
          <w:right w:val="nil"/>
          <w:between w:val="nil"/>
          <w:bar w:val="nil"/>
        </w:pBdr>
        <w:rPr>
          <w:rFonts w:ascii="Times New Roman" w:eastAsia="Arial Unicode MS" w:hAnsi="Times New Roman" w:cs="Arial Unicode MS"/>
          <w:color w:val="000000"/>
          <w:u w:color="000000"/>
          <w:bdr w:val="nil"/>
          <w:lang w:eastAsia="en-GB"/>
        </w:rPr>
      </w:pPr>
      <w:r w:rsidRPr="00AF0E0B">
        <w:rPr>
          <w:rFonts w:ascii="Arial Unicode MS" w:eastAsia="Arial Unicode MS" w:hAnsi="Arial Unicode MS" w:cs="Arial Unicode MS"/>
          <w:color w:val="000000"/>
          <w:u w:color="000000"/>
          <w:bdr w:val="nil"/>
          <w:lang w:eastAsia="en-GB"/>
        </w:rPr>
        <w:br w:type="page"/>
      </w:r>
    </w:p>
    <w:p w14:paraId="610773DE" w14:textId="4D10E47C" w:rsidR="00AF0E0B" w:rsidRPr="00AF0E0B" w:rsidRDefault="00AF0E0B" w:rsidP="00455CF2">
      <w:pPr>
        <w:pStyle w:val="Subtitle"/>
      </w:pPr>
      <w:bookmarkStart w:id="188" w:name="_Toc22"/>
      <w:bookmarkStart w:id="189" w:name="_Toc49973359"/>
      <w:bookmarkStart w:id="190" w:name="_Toc64724177"/>
      <w:r w:rsidRPr="00AF0E0B">
        <w:lastRenderedPageBreak/>
        <w:t xml:space="preserve">Figure 2.8  Mean Methylglyoxal </w:t>
      </w:r>
      <w:r w:rsidR="0096662E">
        <w:t>V</w:t>
      </w:r>
      <w:r w:rsidRPr="00AF0E0B">
        <w:t xml:space="preserve">alues by </w:t>
      </w:r>
      <w:r w:rsidR="0096662E">
        <w:t>G</w:t>
      </w:r>
      <w:r w:rsidRPr="00AF0E0B">
        <w:t>roup and 95% Confidence Intervals</w:t>
      </w:r>
      <w:bookmarkEnd w:id="188"/>
      <w:bookmarkEnd w:id="189"/>
      <w:bookmarkEnd w:id="190"/>
    </w:p>
    <w:p w14:paraId="28A10631" w14:textId="77777777" w:rsidR="00255FD8" w:rsidRPr="00AF0E0B" w:rsidRDefault="00255FD8" w:rsidP="00255FD8">
      <w:pPr>
        <w:rPr>
          <w:rFonts w:eastAsia="Arial" w:cs="Arial"/>
          <w:color w:val="000000"/>
          <w:u w:color="000000"/>
          <w:bdr w:val="nil"/>
          <w:lang w:eastAsia="en-GB"/>
        </w:rPr>
      </w:pPr>
      <w:r w:rsidRPr="00AF0E0B">
        <w:rPr>
          <w:rFonts w:eastAsia="Arial" w:cs="Arial"/>
          <w:noProof/>
          <w:color w:val="000000"/>
          <w:u w:color="000000"/>
          <w:bdr w:val="nil"/>
          <w:lang w:eastAsia="en-GB"/>
        </w:rPr>
        <w:drawing>
          <wp:inline distT="0" distB="0" distL="0" distR="0" wp14:anchorId="447741D2" wp14:editId="65B58ABA">
            <wp:extent cx="4196080" cy="2580232"/>
            <wp:effectExtent l="12700" t="12700" r="7620" b="10795"/>
            <wp:docPr id="1073741870" name="officeArt object"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70" name="A screenshot of a cell phone&#10;&#10;Description automatically generated" descr="A screenshot of a cell phoneDescription automatically generated"/>
                    <pic:cNvPicPr>
                      <a:picLocks noChangeAspect="1"/>
                    </pic:cNvPicPr>
                  </pic:nvPicPr>
                  <pic:blipFill>
                    <a:blip r:embed="rId25"/>
                    <a:stretch>
                      <a:fillRect/>
                    </a:stretch>
                  </pic:blipFill>
                  <pic:spPr>
                    <a:xfrm>
                      <a:off x="0" y="0"/>
                      <a:ext cx="4207751" cy="2587409"/>
                    </a:xfrm>
                    <a:prstGeom prst="rect">
                      <a:avLst/>
                    </a:prstGeom>
                    <a:ln w="12700" cap="flat">
                      <a:solidFill>
                        <a:schemeClr val="accent1"/>
                      </a:solidFill>
                      <a:miter lim="400000"/>
                    </a:ln>
                    <a:effectLst/>
                  </pic:spPr>
                </pic:pic>
              </a:graphicData>
            </a:graphic>
          </wp:inline>
        </w:drawing>
      </w:r>
    </w:p>
    <w:p w14:paraId="725597E8" w14:textId="77777777" w:rsidR="001D00DA" w:rsidRDefault="001D00DA" w:rsidP="00AF0E0B">
      <w:pPr>
        <w:pBdr>
          <w:top w:val="nil"/>
          <w:left w:val="nil"/>
          <w:bottom w:val="nil"/>
          <w:right w:val="nil"/>
          <w:between w:val="nil"/>
          <w:bar w:val="nil"/>
        </w:pBdr>
        <w:spacing w:line="360" w:lineRule="auto"/>
        <w:rPr>
          <w:rFonts w:eastAsia="Arial Unicode MS" w:cs="Arial Unicode MS"/>
          <w:color w:val="000000"/>
          <w:u w:color="000000"/>
          <w:bdr w:val="nil"/>
          <w:lang w:val="en-US" w:eastAsia="en-GB"/>
        </w:rPr>
      </w:pPr>
    </w:p>
    <w:p w14:paraId="53A3C993" w14:textId="2BF5088B" w:rsidR="00AF0E0B" w:rsidRPr="00AF0E0B" w:rsidRDefault="00AF0E0B" w:rsidP="00AF0E0B">
      <w:pPr>
        <w:pBdr>
          <w:top w:val="nil"/>
          <w:left w:val="nil"/>
          <w:bottom w:val="nil"/>
          <w:right w:val="nil"/>
          <w:between w:val="nil"/>
          <w:bar w:val="nil"/>
        </w:pBdr>
        <w:spacing w:line="360" w:lineRule="auto"/>
        <w:rPr>
          <w:rFonts w:eastAsia="Arial" w:cs="Arial"/>
          <w:color w:val="000000"/>
          <w:u w:color="000000"/>
          <w:bdr w:val="nil"/>
          <w:lang w:eastAsia="en-GB"/>
        </w:rPr>
      </w:pPr>
      <w:r w:rsidRPr="00AF0E0B">
        <w:rPr>
          <w:rFonts w:eastAsia="Arial Unicode MS" w:cs="Arial Unicode MS"/>
          <w:color w:val="000000"/>
          <w:u w:color="000000"/>
          <w:bdr w:val="nil"/>
          <w:lang w:val="en-US" w:eastAsia="en-GB"/>
        </w:rPr>
        <w:t>However, there was a group effect on random serum glucose level, F(3,41)=3.4, p=.026.  Post Hoc analysis showed the P-DPN group had higher random serum glucose levels than the HV group (p=.018) (see Figure 2.9)</w:t>
      </w:r>
    </w:p>
    <w:p w14:paraId="2EF5C42D" w14:textId="2573CF69" w:rsidR="001D00DA" w:rsidRDefault="001D00DA" w:rsidP="00455CF2">
      <w:pPr>
        <w:pStyle w:val="Subtitle"/>
      </w:pPr>
    </w:p>
    <w:p w14:paraId="66E8B98C" w14:textId="77777777" w:rsidR="001D00DA" w:rsidRPr="001D00DA" w:rsidRDefault="001D00DA" w:rsidP="001D00DA">
      <w:pPr>
        <w:pStyle w:val="Body"/>
        <w:rPr>
          <w:lang w:val="en-US"/>
        </w:rPr>
      </w:pPr>
    </w:p>
    <w:p w14:paraId="344D915E" w14:textId="749C1BE8" w:rsidR="00AF0E0B" w:rsidRPr="00AF0E0B" w:rsidRDefault="00AF0E0B" w:rsidP="00A106A0">
      <w:pPr>
        <w:pStyle w:val="Subtitle"/>
        <w:rPr>
          <w:color w:val="000000"/>
          <w:u w:color="000000"/>
        </w:rPr>
      </w:pPr>
      <w:bookmarkStart w:id="191" w:name="_Toc64724178"/>
      <w:r w:rsidRPr="00AF0E0B">
        <w:t xml:space="preserve">Figure 2.9  Plasma </w:t>
      </w:r>
      <w:r w:rsidR="00255FD8">
        <w:t>G</w:t>
      </w:r>
      <w:r w:rsidRPr="00AF0E0B">
        <w:t xml:space="preserve">lucose </w:t>
      </w:r>
      <w:r w:rsidR="00255FD8">
        <w:t>V</w:t>
      </w:r>
      <w:r w:rsidRPr="00AF0E0B">
        <w:t xml:space="preserve">alues by </w:t>
      </w:r>
      <w:r w:rsidR="00255FD8">
        <w:t>G</w:t>
      </w:r>
      <w:r w:rsidRPr="00AF0E0B">
        <w:t xml:space="preserve">roup </w:t>
      </w:r>
      <w:r w:rsidR="00255FD8">
        <w:t>M</w:t>
      </w:r>
      <w:r w:rsidRPr="00AF0E0B">
        <w:t>easured. Mean and 95% Confidence Intervals</w:t>
      </w:r>
      <w:bookmarkEnd w:id="191"/>
    </w:p>
    <w:p w14:paraId="1ECE8490" w14:textId="2F010169" w:rsidR="00AF0E0B" w:rsidRPr="00AF0E0B" w:rsidRDefault="00AF0E0B" w:rsidP="00255FD8">
      <w:pPr>
        <w:spacing w:line="360" w:lineRule="auto"/>
        <w:rPr>
          <w:rFonts w:eastAsia="Arial" w:cs="Arial"/>
          <w:color w:val="000000"/>
          <w:u w:color="000000"/>
          <w:bdr w:val="nil"/>
          <w:lang w:eastAsia="en-GB"/>
        </w:rPr>
      </w:pPr>
      <w:r w:rsidRPr="00AF0E0B">
        <w:rPr>
          <w:rFonts w:eastAsia="Arial Unicode MS" w:cs="Arial Unicode MS"/>
          <w:i/>
          <w:iCs/>
          <w:noProof/>
          <w:color w:val="4F81BD"/>
          <w:u w:color="4F81BD"/>
          <w:bdr w:val="nil"/>
          <w:lang w:val="en-US" w:eastAsia="en-GB"/>
        </w:rPr>
        <mc:AlternateContent>
          <mc:Choice Requires="wps">
            <w:drawing>
              <wp:anchor distT="0" distB="0" distL="0" distR="0" simplePos="0" relativeHeight="251707392" behindDoc="0" locked="0" layoutInCell="1" allowOverlap="1" wp14:anchorId="333438FE" wp14:editId="531FB5B8">
                <wp:simplePos x="0" y="0"/>
                <wp:positionH relativeFrom="column">
                  <wp:posOffset>4463259</wp:posOffset>
                </wp:positionH>
                <wp:positionV relativeFrom="line">
                  <wp:posOffset>1722755</wp:posOffset>
                </wp:positionV>
                <wp:extent cx="298766" cy="278641"/>
                <wp:effectExtent l="0" t="0" r="0" b="0"/>
                <wp:wrapNone/>
                <wp:docPr id="1073741871" name="officeArt object" descr="Text Box 7"/>
                <wp:cNvGraphicFramePr/>
                <a:graphic xmlns:a="http://schemas.openxmlformats.org/drawingml/2006/main">
                  <a:graphicData uri="http://schemas.microsoft.com/office/word/2010/wordprocessingShape">
                    <wps:wsp>
                      <wps:cNvSpPr txBox="1"/>
                      <wps:spPr>
                        <a:xfrm>
                          <a:off x="0" y="0"/>
                          <a:ext cx="298766" cy="278641"/>
                        </a:xfrm>
                        <a:prstGeom prst="rect">
                          <a:avLst/>
                        </a:prstGeom>
                        <a:solidFill>
                          <a:srgbClr val="FFFFFF"/>
                        </a:solidFill>
                        <a:ln w="12700" cap="flat">
                          <a:noFill/>
                          <a:miter lim="400000"/>
                        </a:ln>
                        <a:effectLst/>
                      </wps:spPr>
                      <wps:txbx>
                        <w:txbxContent>
                          <w:p w14:paraId="466E5409" w14:textId="77777777" w:rsidR="00D17A43" w:rsidRDefault="00D17A43" w:rsidP="00AF0E0B">
                            <w:pPr>
                              <w:pStyle w:val="Body"/>
                            </w:pPr>
                            <w:r>
                              <w:t>*</w:t>
                            </w:r>
                          </w:p>
                        </w:txbxContent>
                      </wps:txbx>
                      <wps:bodyPr wrap="square" lIns="45719" tIns="45719" rIns="45719" bIns="45719" numCol="1" anchor="t">
                        <a:noAutofit/>
                      </wps:bodyPr>
                    </wps:wsp>
                  </a:graphicData>
                </a:graphic>
              </wp:anchor>
            </w:drawing>
          </mc:Choice>
          <mc:Fallback>
            <w:pict>
              <v:shape w14:anchorId="333438FE" id="_x0000_s1051" type="#_x0000_t202" alt="Text Box 7" style="position:absolute;margin-left:351.45pt;margin-top:135.65pt;width:23.5pt;height:21.95pt;z-index:251707392;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" stroked="f" strokeweight="1pt">
                <v:stroke miterlimit="4"/>
                <v:textbox inset="1.27mm,1.27mm,1.27mm,1.27mm">
                  <w:txbxContent>
                    <w:p w14:paraId="466E5409" w14:textId="77777777" w:rsidR="00D17A43" w:rsidRDefault="00D17A43" w:rsidP="00AF0E0B">
                      <w:pPr>
                        <w:pStyle w:val="Body"/>
                      </w:pPr>
                      <w:r>
                        <w:t>*</w:t>
                      </w:r>
                    </w:p>
                  </w:txbxContent>
                </v:textbox>
                <w10:wrap anchory="line"/>
              </v:shape>
            </w:pict>
          </mc:Fallback>
        </mc:AlternateContent>
      </w:r>
      <w:r w:rsidR="005E618B" w:rsidRPr="00A106A0">
        <w:rPr>
          <w:rFonts w:eastAsia="Arial" w:cs="Arial"/>
          <w:noProof/>
          <w:color w:val="000000"/>
          <w:u w:color="000000"/>
          <w:bdr w:val="nil"/>
          <w:shd w:val="clear" w:color="auto" w:fill="4472C4" w:themeFill="accent1"/>
          <w:lang w:eastAsia="en-GB"/>
        </w:rPr>
        <w:drawing>
          <wp:inline distT="0" distB="0" distL="0" distR="0" wp14:anchorId="7FAAB38C" wp14:editId="1E4497DA">
            <wp:extent cx="5422900" cy="3200400"/>
            <wp:effectExtent l="12700" t="12700" r="12700" b="12700"/>
            <wp:docPr id="33" name="Picture 3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screenshot of a cell phone&#10;&#10;Description automatically generated"/>
                    <pic:cNvPicPr/>
                  </pic:nvPicPr>
                  <pic:blipFill>
                    <a:blip r:embed="rId26"/>
                    <a:stretch>
                      <a:fillRect/>
                    </a:stretch>
                  </pic:blipFill>
                  <pic:spPr>
                    <a:xfrm>
                      <a:off x="0" y="0"/>
                      <a:ext cx="5422900" cy="3200400"/>
                    </a:xfrm>
                    <a:prstGeom prst="rect">
                      <a:avLst/>
                    </a:prstGeom>
                    <a:ln>
                      <a:solidFill>
                        <a:schemeClr val="accent1"/>
                      </a:solidFill>
                    </a:ln>
                  </pic:spPr>
                </pic:pic>
              </a:graphicData>
            </a:graphic>
          </wp:inline>
        </w:drawing>
      </w:r>
    </w:p>
    <w:p w14:paraId="73C051BD" w14:textId="31C75FB5" w:rsidR="00AF0E0B" w:rsidRPr="00AF0E0B" w:rsidRDefault="00AF0E0B" w:rsidP="00AF0E0B">
      <w:pPr>
        <w:pBdr>
          <w:top w:val="nil"/>
          <w:left w:val="nil"/>
          <w:bottom w:val="nil"/>
          <w:right w:val="nil"/>
          <w:between w:val="nil"/>
          <w:bar w:val="nil"/>
        </w:pBdr>
        <w:rPr>
          <w:rFonts w:eastAsia="Arial" w:cs="Arial"/>
          <w:i/>
          <w:iCs/>
          <w:color w:val="808080"/>
          <w:sz w:val="21"/>
          <w:szCs w:val="21"/>
          <w:u w:color="808080"/>
          <w:bdr w:val="nil"/>
          <w:lang w:eastAsia="en-GB"/>
        </w:rPr>
      </w:pPr>
      <w:r w:rsidRPr="00AF0E0B">
        <w:rPr>
          <w:rFonts w:eastAsia="Arial Unicode MS" w:cs="Arial Unicode MS"/>
          <w:i/>
          <w:iCs/>
          <w:color w:val="808080"/>
          <w:sz w:val="21"/>
          <w:szCs w:val="21"/>
          <w:u w:color="808080"/>
          <w:bdr w:val="nil"/>
          <w:lang w:eastAsia="en-GB"/>
        </w:rPr>
        <w:t xml:space="preserve">*Post-hoc </w:t>
      </w:r>
      <w:r w:rsidR="00DD217A">
        <w:rPr>
          <w:rFonts w:eastAsia="Arial Unicode MS" w:cs="Arial Unicode MS"/>
          <w:i/>
          <w:iCs/>
          <w:color w:val="808080"/>
          <w:sz w:val="21"/>
          <w:szCs w:val="21"/>
          <w:u w:color="808080"/>
          <w:bdr w:val="nil"/>
          <w:lang w:eastAsia="en-GB"/>
        </w:rPr>
        <w:t>Šidak</w:t>
      </w:r>
      <w:r w:rsidRPr="00AF0E0B">
        <w:rPr>
          <w:rFonts w:eastAsia="Arial Unicode MS" w:cs="Arial Unicode MS"/>
          <w:i/>
          <w:iCs/>
          <w:color w:val="808080"/>
          <w:sz w:val="21"/>
          <w:szCs w:val="21"/>
          <w:u w:color="808080"/>
          <w:bdr w:val="nil"/>
          <w:lang w:eastAsia="en-GB"/>
        </w:rPr>
        <w:t>: P-DPN vs HV p=.018</w:t>
      </w:r>
    </w:p>
    <w:p w14:paraId="340CC02A" w14:textId="02F734F2" w:rsidR="00AF0E0B" w:rsidRPr="00455CF2" w:rsidRDefault="00AF0E0B" w:rsidP="0031237D">
      <w:pPr>
        <w:pStyle w:val="Heading3"/>
      </w:pPr>
      <w:bookmarkStart w:id="192" w:name="_Toc49973114"/>
      <w:bookmarkStart w:id="193" w:name="_Toc64723913"/>
      <w:r w:rsidRPr="00455CF2">
        <w:lastRenderedPageBreak/>
        <w:t>Correlation between methylglyoxal and characterization parameters of P-DPN and DPN</w:t>
      </w:r>
      <w:bookmarkEnd w:id="192"/>
      <w:bookmarkEnd w:id="193"/>
    </w:p>
    <w:p w14:paraId="4D7CE1D4" w14:textId="35507A6C" w:rsidR="00AF0E0B" w:rsidRPr="00AF0E0B" w:rsidRDefault="00AF0E0B" w:rsidP="00AF0E0B">
      <w:pPr>
        <w:pBdr>
          <w:top w:val="nil"/>
          <w:left w:val="nil"/>
          <w:bottom w:val="nil"/>
          <w:right w:val="nil"/>
          <w:between w:val="nil"/>
          <w:bar w:val="nil"/>
        </w:pBdr>
        <w:spacing w:line="360" w:lineRule="auto"/>
        <w:rPr>
          <w:rFonts w:eastAsia="Arial" w:cs="Arial"/>
          <w:color w:val="000000"/>
          <w:u w:color="000000"/>
          <w:bdr w:val="nil"/>
          <w:lang w:eastAsia="en-GB"/>
        </w:rPr>
      </w:pPr>
      <w:r w:rsidRPr="00AF0E0B">
        <w:rPr>
          <w:rFonts w:eastAsia="Arial Unicode MS" w:cs="Arial Unicode MS"/>
          <w:color w:val="000000"/>
          <w:u w:color="000000"/>
          <w:bdr w:val="nil"/>
          <w:lang w:val="en-US" w:eastAsia="en-GB"/>
        </w:rPr>
        <w:t>Plasma methylglyoxal measures were compared to NISLL+7, DN4, the DFNS QST parameters, and O’</w:t>
      </w:r>
      <w:r w:rsidRPr="00AF0E0B">
        <w:rPr>
          <w:rFonts w:eastAsia="Arial Unicode MS" w:cs="Arial Unicode MS"/>
          <w:color w:val="000000"/>
          <w:u w:color="000000"/>
          <w:bdr w:val="nil"/>
          <w:lang w:val="de-DE" w:eastAsia="en-GB"/>
        </w:rPr>
        <w:t>Brien</w:t>
      </w:r>
      <w:r w:rsidRPr="00AF0E0B">
        <w:rPr>
          <w:rFonts w:eastAsia="Arial Unicode MS" w:cs="Arial Unicode MS"/>
          <w:color w:val="000000"/>
          <w:u w:color="000000"/>
          <w:bdr w:val="nil"/>
          <w:lang w:val="en-US" w:eastAsia="en-GB"/>
        </w:rPr>
        <w:t>’s score.  Plasma methylglyoxal did not significantly correlate with DN4 score: Pearson’</w:t>
      </w:r>
      <w:r w:rsidRPr="00AF0E0B">
        <w:rPr>
          <w:rFonts w:eastAsia="Arial Unicode MS" w:cs="Arial Unicode MS"/>
          <w:color w:val="000000"/>
          <w:u w:color="000000"/>
          <w:bdr w:val="nil"/>
          <w:lang w:eastAsia="en-GB"/>
        </w:rPr>
        <w:t>s</w:t>
      </w:r>
      <w:r w:rsidRPr="00AF0E0B">
        <w:rPr>
          <w:rFonts w:eastAsia="Arial Unicode MS" w:cs="Arial Unicode MS"/>
          <w:i/>
          <w:iCs/>
          <w:color w:val="000000"/>
          <w:u w:color="000000"/>
          <w:bdr w:val="nil"/>
          <w:lang w:eastAsia="en-GB"/>
        </w:rPr>
        <w:t xml:space="preserve"> r </w:t>
      </w:r>
      <w:r w:rsidRPr="00AF0E0B">
        <w:rPr>
          <w:rFonts w:eastAsia="Arial Unicode MS" w:cs="Arial Unicode MS"/>
          <w:color w:val="000000"/>
          <w:u w:color="000000"/>
          <w:bdr w:val="nil"/>
          <w:lang w:eastAsia="en-GB"/>
        </w:rPr>
        <w:t xml:space="preserve">(45)=0.039, p=.797,  or </w:t>
      </w:r>
      <w:r w:rsidRPr="00AF0E0B">
        <w:rPr>
          <w:rFonts w:eastAsia="Arial Unicode MS" w:cs="Arial Unicode MS"/>
          <w:color w:val="000000"/>
          <w:u w:color="000000"/>
          <w:bdr w:val="nil"/>
          <w:lang w:val="en-US" w:eastAsia="en-GB"/>
        </w:rPr>
        <w:t xml:space="preserve">with </w:t>
      </w:r>
      <w:r w:rsidRPr="00AF0E0B">
        <w:rPr>
          <w:rFonts w:eastAsia="Arial Unicode MS" w:cs="Arial Unicode MS"/>
          <w:color w:val="000000"/>
          <w:u w:color="000000"/>
          <w:bdr w:val="nil"/>
          <w:lang w:eastAsia="en-GB"/>
        </w:rPr>
        <w:t xml:space="preserve">NISLL+7: </w:t>
      </w:r>
      <w:r w:rsidRPr="00AF0E0B">
        <w:rPr>
          <w:rFonts w:eastAsia="Arial Unicode MS" w:cs="Arial Unicode MS"/>
          <w:i/>
          <w:iCs/>
          <w:color w:val="000000"/>
          <w:u w:color="000000"/>
          <w:bdr w:val="nil"/>
          <w:lang w:eastAsia="en-GB"/>
        </w:rPr>
        <w:t xml:space="preserve">r </w:t>
      </w:r>
      <w:r w:rsidRPr="00AF0E0B">
        <w:rPr>
          <w:rFonts w:eastAsia="Arial Unicode MS" w:cs="Arial Unicode MS"/>
          <w:color w:val="000000"/>
          <w:u w:color="000000"/>
          <w:bdr w:val="nil"/>
          <w:lang w:val="en-US" w:eastAsia="en-GB"/>
        </w:rPr>
        <w:t xml:space="preserve">(45)= -.046, p=.765.  However random glucose did correlate with DN4: </w:t>
      </w:r>
      <w:r w:rsidRPr="00AF0E0B">
        <w:rPr>
          <w:rFonts w:eastAsia="Arial Unicode MS" w:cs="Arial Unicode MS"/>
          <w:i/>
          <w:iCs/>
          <w:color w:val="000000"/>
          <w:u w:color="000000"/>
          <w:bdr w:val="nil"/>
          <w:lang w:eastAsia="en-GB"/>
        </w:rPr>
        <w:t xml:space="preserve">r </w:t>
      </w:r>
      <w:r w:rsidRPr="00AF0E0B">
        <w:rPr>
          <w:rFonts w:eastAsia="Arial Unicode MS" w:cs="Arial Unicode MS"/>
          <w:color w:val="000000"/>
          <w:u w:color="000000"/>
          <w:bdr w:val="nil"/>
          <w:lang w:eastAsia="en-GB"/>
        </w:rPr>
        <w:t xml:space="preserve">(45)=.377, p=.011.  </w:t>
      </w:r>
    </w:p>
    <w:p w14:paraId="4AF04D9E" w14:textId="77777777" w:rsidR="00AF0E0B" w:rsidRPr="00AF0E0B" w:rsidRDefault="00AF0E0B" w:rsidP="00AF0E0B">
      <w:pPr>
        <w:pBdr>
          <w:top w:val="nil"/>
          <w:left w:val="nil"/>
          <w:bottom w:val="nil"/>
          <w:right w:val="nil"/>
          <w:between w:val="nil"/>
          <w:bar w:val="nil"/>
        </w:pBdr>
        <w:spacing w:line="360" w:lineRule="auto"/>
        <w:rPr>
          <w:rFonts w:eastAsia="Arial" w:cs="Arial"/>
          <w:color w:val="000000"/>
          <w:u w:color="000000"/>
          <w:bdr w:val="nil"/>
          <w:lang w:eastAsia="en-GB"/>
        </w:rPr>
      </w:pPr>
      <w:r w:rsidRPr="00AF0E0B">
        <w:rPr>
          <w:rFonts w:eastAsia="Arial Unicode MS" w:cs="Arial Unicode MS"/>
          <w:color w:val="000000"/>
          <w:u w:color="000000"/>
          <w:bdr w:val="nil"/>
          <w:lang w:val="en-US" w:eastAsia="en-GB"/>
        </w:rPr>
        <w:t>Plasma methylglyoxal did not correlate significantly with any measures of QST. However, plasma glucose did correlate negatively with WDT: Pearson’</w:t>
      </w:r>
      <w:r w:rsidRPr="00AF0E0B">
        <w:rPr>
          <w:rFonts w:eastAsia="Arial Unicode MS" w:cs="Arial Unicode MS"/>
          <w:color w:val="000000"/>
          <w:u w:color="000000"/>
          <w:bdr w:val="nil"/>
          <w:lang w:eastAsia="en-GB"/>
        </w:rPr>
        <w:t xml:space="preserve">s </w:t>
      </w:r>
      <w:r w:rsidRPr="00AF0E0B">
        <w:rPr>
          <w:rFonts w:eastAsia="Arial Unicode MS" w:cs="Arial Unicode MS"/>
          <w:i/>
          <w:iCs/>
          <w:color w:val="000000"/>
          <w:u w:color="000000"/>
          <w:bdr w:val="nil"/>
          <w:lang w:eastAsia="en-GB"/>
        </w:rPr>
        <w:t xml:space="preserve">r </w:t>
      </w:r>
      <w:r w:rsidRPr="00AF0E0B">
        <w:rPr>
          <w:rFonts w:eastAsia="Arial Unicode MS" w:cs="Arial Unicode MS"/>
          <w:color w:val="000000"/>
          <w:u w:color="000000"/>
          <w:bdr w:val="nil"/>
          <w:lang w:val="en-US" w:eastAsia="en-GB"/>
        </w:rPr>
        <w:t xml:space="preserve">(45)=.301 p=.044; positively with MPT: </w:t>
      </w:r>
      <w:r w:rsidRPr="00AF0E0B">
        <w:rPr>
          <w:rFonts w:eastAsia="Arial Unicode MS" w:cs="Arial Unicode MS"/>
          <w:i/>
          <w:iCs/>
          <w:color w:val="000000"/>
          <w:u w:color="000000"/>
          <w:bdr w:val="nil"/>
          <w:lang w:eastAsia="en-GB"/>
        </w:rPr>
        <w:t xml:space="preserve">r </w:t>
      </w:r>
      <w:r w:rsidRPr="00AF0E0B">
        <w:rPr>
          <w:rFonts w:eastAsia="Arial Unicode MS" w:cs="Arial Unicode MS"/>
          <w:color w:val="000000"/>
          <w:u w:color="000000"/>
          <w:bdr w:val="nil"/>
          <w:lang w:val="en-US" w:eastAsia="en-GB"/>
        </w:rPr>
        <w:t xml:space="preserve">(45)=.320, p=.032; and DMA: </w:t>
      </w:r>
      <w:r w:rsidRPr="00AF0E0B">
        <w:rPr>
          <w:rFonts w:eastAsia="Arial Unicode MS" w:cs="Arial Unicode MS"/>
          <w:i/>
          <w:iCs/>
          <w:color w:val="000000"/>
          <w:u w:color="000000"/>
          <w:bdr w:val="nil"/>
          <w:lang w:eastAsia="en-GB"/>
        </w:rPr>
        <w:t xml:space="preserve">r </w:t>
      </w:r>
      <w:r w:rsidRPr="00AF0E0B">
        <w:rPr>
          <w:rFonts w:eastAsia="Arial Unicode MS" w:cs="Arial Unicode MS"/>
          <w:color w:val="000000"/>
          <w:u w:color="000000"/>
          <w:bdr w:val="nil"/>
          <w:lang w:val="en-US" w:eastAsia="en-GB"/>
        </w:rPr>
        <w:t xml:space="preserve">(45)=.324, p=.030.  There was no correlation between methylglyoxal and Hba1c: </w:t>
      </w:r>
      <w:r w:rsidRPr="00AF0E0B">
        <w:rPr>
          <w:rFonts w:eastAsia="Arial Unicode MS" w:cs="Arial Unicode MS"/>
          <w:i/>
          <w:iCs/>
          <w:color w:val="000000"/>
          <w:u w:color="000000"/>
          <w:bdr w:val="nil"/>
          <w:lang w:eastAsia="en-GB"/>
        </w:rPr>
        <w:t xml:space="preserve">r </w:t>
      </w:r>
      <w:r w:rsidRPr="00AF0E0B">
        <w:rPr>
          <w:rFonts w:eastAsia="Arial Unicode MS" w:cs="Arial Unicode MS"/>
          <w:color w:val="000000"/>
          <w:u w:color="000000"/>
          <w:bdr w:val="nil"/>
          <w:lang w:val="en-US" w:eastAsia="en-GB"/>
        </w:rPr>
        <w:t xml:space="preserve">(36)= -.040, p=.817; or with retinopathy </w:t>
      </w:r>
      <w:r w:rsidRPr="00AF0E0B">
        <w:rPr>
          <w:rFonts w:eastAsia="Arial Unicode MS" w:cs="Arial Unicode MS"/>
          <w:i/>
          <w:iCs/>
          <w:color w:val="000000"/>
          <w:u w:color="000000"/>
          <w:bdr w:val="nil"/>
          <w:lang w:eastAsia="en-GB"/>
        </w:rPr>
        <w:t xml:space="preserve">r </w:t>
      </w:r>
      <w:r w:rsidRPr="00AF0E0B">
        <w:rPr>
          <w:rFonts w:eastAsia="Arial Unicode MS" w:cs="Arial Unicode MS"/>
          <w:color w:val="000000"/>
          <w:u w:color="000000"/>
          <w:bdr w:val="nil"/>
          <w:lang w:val="en-US" w:eastAsia="en-GB"/>
        </w:rPr>
        <w:t xml:space="preserve">(45)= -.094, p=.539. There was a correlation between random plasma glucose and retinopathy: </w:t>
      </w:r>
      <w:r w:rsidRPr="00AF0E0B">
        <w:rPr>
          <w:rFonts w:eastAsia="Arial Unicode MS" w:cs="Arial Unicode MS"/>
          <w:i/>
          <w:iCs/>
          <w:color w:val="000000"/>
          <w:u w:color="000000"/>
          <w:bdr w:val="nil"/>
          <w:lang w:eastAsia="en-GB"/>
        </w:rPr>
        <w:t xml:space="preserve">r </w:t>
      </w:r>
      <w:r w:rsidRPr="00AF0E0B">
        <w:rPr>
          <w:rFonts w:eastAsia="Arial Unicode MS" w:cs="Arial Unicode MS"/>
          <w:color w:val="000000"/>
          <w:u w:color="000000"/>
          <w:bdr w:val="nil"/>
          <w:lang w:eastAsia="en-GB"/>
        </w:rPr>
        <w:t>(45)=.333, p=.025.</w:t>
      </w:r>
      <w:r w:rsidRPr="00AF0E0B">
        <w:rPr>
          <w:rFonts w:eastAsia="Arial Unicode MS" w:cs="Arial Unicode MS"/>
          <w:i/>
          <w:iCs/>
          <w:color w:val="000000"/>
          <w:u w:color="000000"/>
          <w:bdr w:val="nil"/>
          <w:lang w:eastAsia="en-GB"/>
        </w:rPr>
        <w:t xml:space="preserve">  </w:t>
      </w:r>
    </w:p>
    <w:p w14:paraId="7FDE8ACC" w14:textId="77777777" w:rsidR="00AF0E0B" w:rsidRPr="00AF0E0B" w:rsidRDefault="00AF0E0B" w:rsidP="00AF0E0B">
      <w:pPr>
        <w:pBdr>
          <w:top w:val="nil"/>
          <w:left w:val="nil"/>
          <w:bottom w:val="nil"/>
          <w:right w:val="nil"/>
          <w:between w:val="nil"/>
          <w:bar w:val="nil"/>
        </w:pBdr>
        <w:spacing w:line="360" w:lineRule="auto"/>
        <w:rPr>
          <w:rFonts w:eastAsia="Arial" w:cs="Arial"/>
          <w:color w:val="000000"/>
          <w:u w:color="000000"/>
          <w:bdr w:val="nil"/>
          <w:lang w:eastAsia="en-GB"/>
        </w:rPr>
      </w:pPr>
      <w:r w:rsidRPr="00AF0E0B">
        <w:rPr>
          <w:rFonts w:eastAsia="Arial Unicode MS" w:cs="Arial Unicode MS"/>
          <w:color w:val="000000"/>
          <w:u w:color="000000"/>
          <w:bdr w:val="nil"/>
          <w:lang w:val="en-US" w:eastAsia="en-GB"/>
        </w:rPr>
        <w:t>There was no correlation between methylglyoxal and measures of autonomic dysfunction, although there was a correlation between random plasma glucose and the O’</w:t>
      </w:r>
      <w:r w:rsidRPr="00AF0E0B">
        <w:rPr>
          <w:rFonts w:eastAsia="Arial Unicode MS" w:cs="Arial Unicode MS"/>
          <w:color w:val="000000"/>
          <w:u w:color="000000"/>
          <w:bdr w:val="nil"/>
          <w:lang w:val="de-DE" w:eastAsia="en-GB"/>
        </w:rPr>
        <w:t>Brien</w:t>
      </w:r>
      <w:r w:rsidRPr="00AF0E0B">
        <w:rPr>
          <w:rFonts w:eastAsia="Arial Unicode MS" w:cs="Arial Unicode MS"/>
          <w:color w:val="000000"/>
          <w:u w:color="000000"/>
          <w:bdr w:val="nil"/>
          <w:lang w:val="en-US" w:eastAsia="en-GB"/>
        </w:rPr>
        <w:t xml:space="preserve">’s score: </w:t>
      </w:r>
      <w:r w:rsidRPr="00AF0E0B">
        <w:rPr>
          <w:rFonts w:eastAsia="Arial Unicode MS" w:cs="Arial Unicode MS"/>
          <w:i/>
          <w:iCs/>
          <w:color w:val="000000"/>
          <w:u w:color="000000"/>
          <w:bdr w:val="nil"/>
          <w:lang w:eastAsia="en-GB"/>
        </w:rPr>
        <w:t xml:space="preserve">r </w:t>
      </w:r>
      <w:r w:rsidRPr="00AF0E0B">
        <w:rPr>
          <w:rFonts w:eastAsia="Arial Unicode MS" w:cs="Arial Unicode MS"/>
          <w:color w:val="000000"/>
          <w:u w:color="000000"/>
          <w:bdr w:val="nil"/>
          <w:lang w:eastAsia="en-GB"/>
        </w:rPr>
        <w:t>(42)=.460, p=.002.</w:t>
      </w:r>
    </w:p>
    <w:p w14:paraId="177FC39A" w14:textId="731A97D7" w:rsidR="00AF0E0B" w:rsidRPr="00AF0E0B" w:rsidRDefault="00AF0E0B" w:rsidP="0031237D">
      <w:pPr>
        <w:pStyle w:val="Heading3"/>
      </w:pPr>
      <w:bookmarkStart w:id="194" w:name="_Toc23"/>
      <w:bookmarkStart w:id="195" w:name="_Toc49973115"/>
      <w:bookmarkStart w:id="196" w:name="_Toc49973458"/>
      <w:bookmarkStart w:id="197" w:name="_Toc64723914"/>
      <w:r w:rsidRPr="00AF0E0B">
        <w:t>DFNS protocol across groups</w:t>
      </w:r>
      <w:bookmarkEnd w:id="194"/>
      <w:bookmarkEnd w:id="195"/>
      <w:bookmarkEnd w:id="196"/>
      <w:bookmarkEnd w:id="197"/>
    </w:p>
    <w:p w14:paraId="1B7F986E" w14:textId="77777777" w:rsidR="00AF0E0B" w:rsidRPr="00AF0E0B" w:rsidRDefault="00AF0E0B" w:rsidP="00AF0E0B">
      <w:pPr>
        <w:pBdr>
          <w:top w:val="nil"/>
          <w:left w:val="nil"/>
          <w:bottom w:val="nil"/>
          <w:right w:val="nil"/>
          <w:between w:val="nil"/>
          <w:bar w:val="nil"/>
        </w:pBdr>
        <w:spacing w:line="360" w:lineRule="auto"/>
        <w:rPr>
          <w:rFonts w:eastAsia="Arial" w:cs="Arial"/>
          <w:color w:val="000000"/>
          <w:u w:color="000000"/>
          <w:bdr w:val="nil"/>
          <w:lang w:eastAsia="en-GB"/>
        </w:rPr>
      </w:pPr>
      <w:r w:rsidRPr="00AF0E0B">
        <w:rPr>
          <w:rFonts w:eastAsia="Arial Unicode MS" w:cs="Arial Unicode MS"/>
          <w:color w:val="000000"/>
          <w:u w:color="000000"/>
          <w:bdr w:val="nil"/>
          <w:lang w:val="en-US" w:eastAsia="en-GB"/>
        </w:rPr>
        <w:t xml:space="preserve">The multivariate ANOVA showed that there was a significant difference between the groups: </w:t>
      </w:r>
      <w:bookmarkStart w:id="198" w:name="OLE_LINK1"/>
      <w:r w:rsidRPr="00AF0E0B">
        <w:rPr>
          <w:rFonts w:eastAsia="Arial Unicode MS" w:cs="Arial Unicode MS"/>
          <w:color w:val="000000"/>
          <w:u w:color="000000"/>
          <w:bdr w:val="nil"/>
          <w:lang w:val="en-US" w:eastAsia="en-GB"/>
        </w:rPr>
        <w:t>W</w:t>
      </w:r>
      <w:bookmarkStart w:id="199" w:name="OLE_LINK2"/>
      <w:bookmarkEnd w:id="198"/>
      <w:proofErr w:type="spellStart"/>
      <w:r w:rsidRPr="00AF0E0B">
        <w:rPr>
          <w:rFonts w:eastAsia="Arial Unicode MS" w:cs="Arial Unicode MS"/>
          <w:color w:val="000000"/>
          <w:u w:color="000000"/>
          <w:bdr w:val="nil"/>
          <w:lang w:eastAsia="en-GB"/>
        </w:rPr>
        <w:t>ilks</w:t>
      </w:r>
      <w:proofErr w:type="spellEnd"/>
      <w:r w:rsidRPr="00AF0E0B">
        <w:rPr>
          <w:rFonts w:eastAsia="Arial Unicode MS" w:cs="Arial Unicode MS"/>
          <w:color w:val="000000"/>
          <w:u w:color="000000"/>
          <w:bdr w:val="nil"/>
          <w:lang w:val="en-US" w:eastAsia="en-GB"/>
        </w:rPr>
        <w:t>’</w:t>
      </w:r>
      <w:r w:rsidRPr="00AF0E0B">
        <w:rPr>
          <w:rFonts w:eastAsia="Arial Unicode MS" w:cs="Arial Unicode MS"/>
          <w:color w:val="000000"/>
          <w:u w:color="000000"/>
          <w:bdr w:val="nil"/>
          <w:lang w:eastAsia="en-GB"/>
        </w:rPr>
        <w:t xml:space="preserve"> </w:t>
      </w:r>
      <w:r w:rsidRPr="00AF0E0B">
        <w:rPr>
          <w:rFonts w:eastAsia="Arial Unicode MS" w:cs="Arial Unicode MS"/>
          <w:color w:val="000000"/>
          <w:u w:color="000000"/>
          <w:bdr w:val="nil"/>
          <w:lang w:val="en-US" w:eastAsia="en-GB"/>
        </w:rPr>
        <w:t>λ</w:t>
      </w:r>
      <w:r w:rsidRPr="00AF0E0B">
        <w:rPr>
          <w:rFonts w:eastAsia="Arial Unicode MS" w:cs="Arial Unicode MS"/>
          <w:color w:val="000000"/>
          <w:u w:color="000000"/>
          <w:bdr w:val="nil"/>
          <w:lang w:eastAsia="en-GB"/>
        </w:rPr>
        <w:t>= .35</w:t>
      </w:r>
      <w:bookmarkEnd w:id="199"/>
      <w:r w:rsidRPr="00AF0E0B">
        <w:rPr>
          <w:rFonts w:eastAsia="Arial Unicode MS" w:cs="Arial Unicode MS"/>
          <w:color w:val="000000"/>
          <w:u w:color="000000"/>
          <w:bdr w:val="nil"/>
          <w:lang w:val="en-US" w:eastAsia="en-GB"/>
        </w:rPr>
        <w:t xml:space="preserve">3, F(39,170)=1.834, p=.005 for all parameters. Univariate ANOVA was performed, and the results are </w:t>
      </w:r>
      <w:proofErr w:type="spellStart"/>
      <w:r w:rsidRPr="00AF0E0B">
        <w:rPr>
          <w:rFonts w:eastAsia="Arial Unicode MS" w:cs="Arial Unicode MS"/>
          <w:color w:val="000000"/>
          <w:u w:color="000000"/>
          <w:bdr w:val="nil"/>
          <w:lang w:val="en-US" w:eastAsia="en-GB"/>
        </w:rPr>
        <w:t>summarised</w:t>
      </w:r>
      <w:proofErr w:type="spellEnd"/>
      <w:r w:rsidRPr="00AF0E0B">
        <w:rPr>
          <w:rFonts w:eastAsia="Arial Unicode MS" w:cs="Arial Unicode MS"/>
          <w:color w:val="000000"/>
          <w:u w:color="000000"/>
          <w:bdr w:val="nil"/>
          <w:lang w:val="en-US" w:eastAsia="en-GB"/>
        </w:rPr>
        <w:t xml:space="preserve"> in Appendix C.  </w:t>
      </w:r>
    </w:p>
    <w:p w14:paraId="09077142" w14:textId="77777777" w:rsidR="00AF0E0B" w:rsidRPr="00AF0E0B" w:rsidRDefault="00AF0E0B" w:rsidP="00AF0E0B">
      <w:pPr>
        <w:pBdr>
          <w:top w:val="nil"/>
          <w:left w:val="nil"/>
          <w:bottom w:val="nil"/>
          <w:right w:val="nil"/>
          <w:between w:val="nil"/>
          <w:bar w:val="nil"/>
        </w:pBdr>
        <w:spacing w:line="360" w:lineRule="auto"/>
        <w:rPr>
          <w:rFonts w:eastAsia="Arial" w:cs="Arial"/>
          <w:color w:val="000000"/>
          <w:u w:color="000000"/>
          <w:bdr w:val="nil"/>
          <w:lang w:eastAsia="en-GB"/>
        </w:rPr>
      </w:pPr>
      <w:r w:rsidRPr="00AF0E0B">
        <w:rPr>
          <w:rFonts w:eastAsia="Arial Unicode MS" w:cs="Arial Unicode MS"/>
          <w:color w:val="000000"/>
          <w:u w:color="000000"/>
          <w:bdr w:val="nil"/>
          <w:lang w:val="en-US" w:eastAsia="en-GB"/>
        </w:rPr>
        <w:t>As Wilks’</w:t>
      </w:r>
      <w:r w:rsidRPr="00AF0E0B">
        <w:rPr>
          <w:rFonts w:eastAsia="Arial Unicode MS" w:cs="Arial Unicode MS"/>
          <w:color w:val="000000"/>
          <w:u w:color="000000"/>
          <w:bdr w:val="nil"/>
          <w:lang w:eastAsia="en-GB"/>
        </w:rPr>
        <w:t xml:space="preserve"> </w:t>
      </w:r>
      <w:r w:rsidRPr="00AF0E0B">
        <w:rPr>
          <w:rFonts w:eastAsia="Arial Unicode MS" w:cs="Arial Unicode MS"/>
          <w:color w:val="000000"/>
          <w:u w:color="000000"/>
          <w:bdr w:val="nil"/>
          <w:lang w:val="en-US" w:eastAsia="en-GB"/>
        </w:rPr>
        <w:t xml:space="preserve">λ was significant a discriminant function analysis was performed.  Function 1 consisted of the following parameters: TSL, CDT, VDT, WDT, MPT, CPT, MDT.  Function 1 significantly discriminated between the neuropathy (P-DPN and DPN) and non- neuropathy groups (DM-NN and HV) (p=0.004) and accounts for 73.3% of the variance (see Table 2.5).  Function 2 accounts for 20.5% and function 3 6.3% of the variance.  The classification matrix shows how many subjects would have been correctly classified into the subject groups- P-DPN, DPN, DM-NN or HV using DFNS measurements as a differentiator (see Table 2.6).  Sixty-three percent of the subjects would have been correctly allocated to group.  Function 2 differentiated P-DPN and DPN using the following parameters: allodynia (DMA), wind up ratio (WUR) and paradoxical heat sensations (PHS), but the total number of subjects experiencing these symptoms in our study was too low to correctly designate all of the subjects (see Figure 2.10).  </w:t>
      </w:r>
    </w:p>
    <w:p w14:paraId="2E9AA37D" w14:textId="51F614B1" w:rsidR="00AF0E0B" w:rsidRPr="00455CF2" w:rsidRDefault="00AF0E0B" w:rsidP="00455CF2">
      <w:pPr>
        <w:pStyle w:val="Quote"/>
      </w:pPr>
      <w:bookmarkStart w:id="200" w:name="_Toc24"/>
      <w:bookmarkStart w:id="201" w:name="_Toc49973556"/>
      <w:bookmarkStart w:id="202" w:name="_Toc64724080"/>
      <w:r w:rsidRPr="00455CF2">
        <w:lastRenderedPageBreak/>
        <w:t xml:space="preserve">Table 2.5  Structure Matrix </w:t>
      </w:r>
      <w:r w:rsidR="001C4903">
        <w:t xml:space="preserve">for </w:t>
      </w:r>
      <w:r w:rsidRPr="00455CF2">
        <w:t xml:space="preserve">Discriminating Variables </w:t>
      </w:r>
      <w:r w:rsidR="001C4903">
        <w:t>of</w:t>
      </w:r>
      <w:r w:rsidRPr="00455CF2">
        <w:t xml:space="preserve"> QST measurements obtained by the DFNS protocol</w:t>
      </w:r>
      <w:bookmarkEnd w:id="200"/>
      <w:bookmarkEnd w:id="201"/>
      <w:bookmarkEnd w:id="202"/>
    </w:p>
    <w:tbl>
      <w:tblPr>
        <w:tblW w:w="906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3266"/>
        <w:gridCol w:w="1932"/>
        <w:gridCol w:w="1932"/>
        <w:gridCol w:w="1934"/>
      </w:tblGrid>
      <w:tr w:rsidR="00AF0E0B" w:rsidRPr="00AF0E0B" w14:paraId="044C067A" w14:textId="77777777" w:rsidTr="00AB4128">
        <w:trPr>
          <w:trHeight w:val="330"/>
        </w:trPr>
        <w:tc>
          <w:tcPr>
            <w:tcW w:w="9064" w:type="dxa"/>
            <w:gridSpan w:val="4"/>
            <w:tcBorders>
              <w:top w:val="single" w:sz="4" w:space="0" w:color="000000"/>
              <w:left w:val="single" w:sz="4" w:space="0" w:color="000000"/>
              <w:bottom w:val="single" w:sz="2" w:space="0" w:color="F4B083"/>
              <w:right w:val="single" w:sz="4" w:space="0" w:color="000000"/>
            </w:tcBorders>
            <w:shd w:val="clear" w:color="auto" w:fill="FFFFFF"/>
            <w:tcMar>
              <w:top w:w="80" w:type="dxa"/>
              <w:left w:w="80" w:type="dxa"/>
              <w:bottom w:w="80" w:type="dxa"/>
              <w:right w:w="80" w:type="dxa"/>
            </w:tcMar>
          </w:tcPr>
          <w:p w14:paraId="7D7ECB59" w14:textId="77777777" w:rsidR="00AF0E0B" w:rsidRPr="00AF0E0B" w:rsidRDefault="00AF0E0B" w:rsidP="00AF0E0B">
            <w:pPr>
              <w:pBdr>
                <w:top w:val="nil"/>
                <w:left w:val="nil"/>
                <w:bottom w:val="nil"/>
                <w:right w:val="nil"/>
                <w:between w:val="nil"/>
                <w:bar w:val="nil"/>
              </w:pBdr>
              <w:jc w:val="center"/>
              <w:rPr>
                <w:rFonts w:ascii="Times New Roman" w:eastAsia="Arial Unicode MS" w:hAnsi="Times New Roman" w:cs="Arial Unicode MS"/>
                <w:color w:val="000000"/>
                <w:u w:color="000000"/>
                <w:bdr w:val="nil"/>
                <w:lang w:eastAsia="en-GB"/>
              </w:rPr>
            </w:pPr>
            <w:r w:rsidRPr="00AF0E0B">
              <w:rPr>
                <w:rFonts w:eastAsia="Arial Unicode MS" w:cs="Arial Unicode MS"/>
                <w:b/>
                <w:bCs/>
                <w:i/>
                <w:iCs/>
                <w:color w:val="000000"/>
                <w:sz w:val="22"/>
                <w:szCs w:val="22"/>
                <w:u w:color="000000"/>
                <w:bdr w:val="nil"/>
                <w:lang w:val="en-US" w:eastAsia="en-GB"/>
              </w:rPr>
              <w:t>Structure Matrix</w:t>
            </w:r>
          </w:p>
        </w:tc>
      </w:tr>
      <w:tr w:rsidR="00AF0E0B" w:rsidRPr="00AF0E0B" w14:paraId="4E098A73" w14:textId="77777777" w:rsidTr="00AB4128">
        <w:trPr>
          <w:trHeight w:val="238"/>
        </w:trPr>
        <w:tc>
          <w:tcPr>
            <w:tcW w:w="3266" w:type="dxa"/>
            <w:vMerge w:val="restart"/>
            <w:tcBorders>
              <w:top w:val="single" w:sz="2" w:space="0" w:color="F4B083"/>
              <w:left w:val="single" w:sz="4" w:space="0" w:color="000000"/>
              <w:bottom w:val="single" w:sz="2" w:space="0" w:color="F4B083"/>
              <w:right w:val="single" w:sz="2" w:space="0" w:color="F4B083"/>
            </w:tcBorders>
            <w:shd w:val="clear" w:color="auto" w:fill="FBE4D5"/>
            <w:tcMar>
              <w:top w:w="80" w:type="dxa"/>
              <w:left w:w="80" w:type="dxa"/>
              <w:bottom w:w="80" w:type="dxa"/>
              <w:right w:w="80" w:type="dxa"/>
            </w:tcMar>
          </w:tcPr>
          <w:p w14:paraId="73A13495" w14:textId="77777777" w:rsidR="00AF0E0B" w:rsidRPr="00AF0E0B" w:rsidRDefault="00AF0E0B" w:rsidP="00AF0E0B">
            <w:pPr>
              <w:pBdr>
                <w:top w:val="nil"/>
                <w:left w:val="nil"/>
                <w:bottom w:val="nil"/>
                <w:right w:val="nil"/>
                <w:between w:val="nil"/>
                <w:bar w:val="nil"/>
              </w:pBdr>
              <w:rPr>
                <w:rFonts w:ascii="Times New Roman" w:eastAsia="Arial Unicode MS" w:hAnsi="Times New Roman" w:cs="Arial Unicode MS"/>
                <w:color w:val="000000"/>
                <w:u w:color="000000"/>
                <w:bdr w:val="nil"/>
                <w:lang w:eastAsia="en-GB"/>
              </w:rPr>
            </w:pPr>
            <w:r w:rsidRPr="00AF0E0B">
              <w:rPr>
                <w:rFonts w:eastAsia="Arial Unicode MS" w:cs="Arial Unicode MS"/>
                <w:i/>
                <w:iCs/>
                <w:color w:val="000000"/>
                <w:sz w:val="22"/>
                <w:szCs w:val="22"/>
                <w:u w:color="000000"/>
                <w:bdr w:val="nil"/>
                <w:lang w:val="en-US" w:eastAsia="en-GB"/>
              </w:rPr>
              <w:t> </w:t>
            </w:r>
          </w:p>
        </w:tc>
        <w:tc>
          <w:tcPr>
            <w:tcW w:w="5798" w:type="dxa"/>
            <w:gridSpan w:val="3"/>
            <w:tcBorders>
              <w:top w:val="single" w:sz="2" w:space="0" w:color="F4B083"/>
              <w:left w:val="single" w:sz="2" w:space="0" w:color="F4B083"/>
              <w:bottom w:val="single" w:sz="2" w:space="0" w:color="F4B083"/>
              <w:right w:val="single" w:sz="4" w:space="0" w:color="000000"/>
            </w:tcBorders>
            <w:shd w:val="clear" w:color="auto" w:fill="FBE4D5"/>
            <w:tcMar>
              <w:top w:w="80" w:type="dxa"/>
              <w:left w:w="80" w:type="dxa"/>
              <w:bottom w:w="80" w:type="dxa"/>
              <w:right w:w="80" w:type="dxa"/>
            </w:tcMar>
          </w:tcPr>
          <w:p w14:paraId="0A6B3629" w14:textId="77777777" w:rsidR="00AF0E0B" w:rsidRPr="00AF0E0B" w:rsidRDefault="00AF0E0B" w:rsidP="00AF0E0B">
            <w:pPr>
              <w:pBdr>
                <w:top w:val="nil"/>
                <w:left w:val="nil"/>
                <w:bottom w:val="nil"/>
                <w:right w:val="nil"/>
                <w:between w:val="nil"/>
                <w:bar w:val="nil"/>
              </w:pBdr>
              <w:jc w:val="center"/>
              <w:rPr>
                <w:rFonts w:ascii="Times New Roman" w:eastAsia="Arial Unicode MS" w:hAnsi="Times New Roman" w:cs="Arial Unicode MS"/>
                <w:color w:val="000000"/>
                <w:u w:color="000000"/>
                <w:bdr w:val="nil"/>
                <w:lang w:eastAsia="en-GB"/>
              </w:rPr>
            </w:pPr>
            <w:r w:rsidRPr="00AF0E0B">
              <w:rPr>
                <w:rFonts w:eastAsia="Arial Unicode MS" w:cs="Arial Unicode MS"/>
                <w:i/>
                <w:iCs/>
                <w:color w:val="000000"/>
                <w:sz w:val="22"/>
                <w:szCs w:val="22"/>
                <w:u w:color="000000"/>
                <w:bdr w:val="nil"/>
                <w:lang w:val="en-US" w:eastAsia="en-GB"/>
              </w:rPr>
              <w:t>Function</w:t>
            </w:r>
          </w:p>
        </w:tc>
      </w:tr>
      <w:tr w:rsidR="00AF0E0B" w:rsidRPr="00AF0E0B" w14:paraId="6DAC59E1" w14:textId="77777777" w:rsidTr="00AB4128">
        <w:trPr>
          <w:trHeight w:val="238"/>
        </w:trPr>
        <w:tc>
          <w:tcPr>
            <w:tcW w:w="3266" w:type="dxa"/>
            <w:vMerge/>
            <w:tcBorders>
              <w:top w:val="single" w:sz="2" w:space="0" w:color="F4B083"/>
              <w:left w:val="single" w:sz="4" w:space="0" w:color="000000"/>
              <w:bottom w:val="single" w:sz="2" w:space="0" w:color="F4B083"/>
              <w:right w:val="single" w:sz="2" w:space="0" w:color="F4B083"/>
            </w:tcBorders>
            <w:shd w:val="clear" w:color="auto" w:fill="FBE4D5"/>
          </w:tcPr>
          <w:p w14:paraId="5F114986" w14:textId="77777777" w:rsidR="00AF0E0B" w:rsidRPr="00AF0E0B" w:rsidRDefault="00AF0E0B" w:rsidP="00AF0E0B">
            <w:pPr>
              <w:pBdr>
                <w:top w:val="nil"/>
                <w:left w:val="nil"/>
                <w:bottom w:val="nil"/>
                <w:right w:val="nil"/>
                <w:between w:val="nil"/>
                <w:bar w:val="nil"/>
              </w:pBdr>
              <w:rPr>
                <w:rFonts w:ascii="Times New Roman" w:eastAsia="Arial Unicode MS" w:hAnsi="Times New Roman" w:cs="Times New Roman"/>
                <w:bdr w:val="nil"/>
                <w:lang w:val="en-US"/>
              </w:rPr>
            </w:pPr>
          </w:p>
        </w:tc>
        <w:tc>
          <w:tcPr>
            <w:tcW w:w="1932"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tcPr>
          <w:p w14:paraId="353E7B2A" w14:textId="77777777" w:rsidR="00AF0E0B" w:rsidRPr="00AF0E0B" w:rsidRDefault="00AF0E0B" w:rsidP="00AF0E0B">
            <w:pPr>
              <w:pBdr>
                <w:top w:val="nil"/>
                <w:left w:val="nil"/>
                <w:bottom w:val="nil"/>
                <w:right w:val="nil"/>
                <w:between w:val="nil"/>
                <w:bar w:val="nil"/>
              </w:pBdr>
              <w:jc w:val="center"/>
              <w:rPr>
                <w:rFonts w:ascii="Times New Roman" w:eastAsia="Arial Unicode MS" w:hAnsi="Times New Roman" w:cs="Arial Unicode MS"/>
                <w:color w:val="000000"/>
                <w:u w:color="000000"/>
                <w:bdr w:val="nil"/>
                <w:lang w:eastAsia="en-GB"/>
              </w:rPr>
            </w:pPr>
            <w:r w:rsidRPr="00AF0E0B">
              <w:rPr>
                <w:rFonts w:eastAsia="Arial Unicode MS" w:cs="Arial Unicode MS"/>
                <w:i/>
                <w:iCs/>
                <w:color w:val="000000"/>
                <w:sz w:val="22"/>
                <w:szCs w:val="22"/>
                <w:u w:color="000000"/>
                <w:bdr w:val="nil"/>
                <w:lang w:val="en-US" w:eastAsia="en-GB"/>
              </w:rPr>
              <w:t>1</w:t>
            </w:r>
          </w:p>
        </w:tc>
        <w:tc>
          <w:tcPr>
            <w:tcW w:w="1932"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tcPr>
          <w:p w14:paraId="3907B9CC" w14:textId="77777777" w:rsidR="00AF0E0B" w:rsidRPr="00AF0E0B" w:rsidRDefault="00AF0E0B" w:rsidP="00AF0E0B">
            <w:pPr>
              <w:pBdr>
                <w:top w:val="nil"/>
                <w:left w:val="nil"/>
                <w:bottom w:val="nil"/>
                <w:right w:val="nil"/>
                <w:between w:val="nil"/>
                <w:bar w:val="nil"/>
              </w:pBdr>
              <w:jc w:val="center"/>
              <w:rPr>
                <w:rFonts w:ascii="Times New Roman" w:eastAsia="Arial Unicode MS" w:hAnsi="Times New Roman" w:cs="Arial Unicode MS"/>
                <w:color w:val="000000"/>
                <w:u w:color="000000"/>
                <w:bdr w:val="nil"/>
                <w:lang w:eastAsia="en-GB"/>
              </w:rPr>
            </w:pPr>
            <w:r w:rsidRPr="00AF0E0B">
              <w:rPr>
                <w:rFonts w:eastAsia="Arial Unicode MS" w:cs="Arial Unicode MS"/>
                <w:i/>
                <w:iCs/>
                <w:color w:val="000000"/>
                <w:sz w:val="22"/>
                <w:szCs w:val="22"/>
                <w:u w:color="000000"/>
                <w:bdr w:val="nil"/>
                <w:lang w:val="en-US" w:eastAsia="en-GB"/>
              </w:rPr>
              <w:t>2</w:t>
            </w:r>
          </w:p>
        </w:tc>
        <w:tc>
          <w:tcPr>
            <w:tcW w:w="1934" w:type="dxa"/>
            <w:tcBorders>
              <w:top w:val="single" w:sz="2" w:space="0" w:color="F4B083"/>
              <w:left w:val="single" w:sz="2" w:space="0" w:color="F4B083"/>
              <w:bottom w:val="single" w:sz="2" w:space="0" w:color="F4B083"/>
              <w:right w:val="single" w:sz="4" w:space="0" w:color="000000"/>
            </w:tcBorders>
            <w:shd w:val="clear" w:color="auto" w:fill="auto"/>
            <w:tcMar>
              <w:top w:w="80" w:type="dxa"/>
              <w:left w:w="80" w:type="dxa"/>
              <w:bottom w:w="80" w:type="dxa"/>
              <w:right w:w="80" w:type="dxa"/>
            </w:tcMar>
          </w:tcPr>
          <w:p w14:paraId="786FA225" w14:textId="77777777" w:rsidR="00AF0E0B" w:rsidRPr="00AF0E0B" w:rsidRDefault="00AF0E0B" w:rsidP="00AF0E0B">
            <w:pPr>
              <w:pBdr>
                <w:top w:val="nil"/>
                <w:left w:val="nil"/>
                <w:bottom w:val="nil"/>
                <w:right w:val="nil"/>
                <w:between w:val="nil"/>
                <w:bar w:val="nil"/>
              </w:pBdr>
              <w:jc w:val="center"/>
              <w:rPr>
                <w:rFonts w:ascii="Times New Roman" w:eastAsia="Arial Unicode MS" w:hAnsi="Times New Roman" w:cs="Arial Unicode MS"/>
                <w:color w:val="000000"/>
                <w:u w:color="000000"/>
                <w:bdr w:val="nil"/>
                <w:lang w:eastAsia="en-GB"/>
              </w:rPr>
            </w:pPr>
            <w:r w:rsidRPr="00AF0E0B">
              <w:rPr>
                <w:rFonts w:eastAsia="Arial Unicode MS" w:cs="Arial Unicode MS"/>
                <w:i/>
                <w:iCs/>
                <w:color w:val="000000"/>
                <w:sz w:val="22"/>
                <w:szCs w:val="22"/>
                <w:u w:color="000000"/>
                <w:bdr w:val="nil"/>
                <w:lang w:val="en-US" w:eastAsia="en-GB"/>
              </w:rPr>
              <w:t>3</w:t>
            </w:r>
          </w:p>
        </w:tc>
      </w:tr>
      <w:tr w:rsidR="00AF0E0B" w:rsidRPr="00AF0E0B" w14:paraId="25983164" w14:textId="77777777" w:rsidTr="00AB4128">
        <w:trPr>
          <w:trHeight w:val="238"/>
        </w:trPr>
        <w:tc>
          <w:tcPr>
            <w:tcW w:w="3266" w:type="dxa"/>
            <w:tcBorders>
              <w:top w:val="single" w:sz="2" w:space="0" w:color="F4B083"/>
              <w:left w:val="single" w:sz="4" w:space="0" w:color="000000"/>
              <w:bottom w:val="single" w:sz="2" w:space="0" w:color="F4B083"/>
              <w:right w:val="single" w:sz="2" w:space="0" w:color="F4B083"/>
            </w:tcBorders>
            <w:shd w:val="clear" w:color="auto" w:fill="FBE4D5"/>
            <w:tcMar>
              <w:top w:w="80" w:type="dxa"/>
              <w:left w:w="80" w:type="dxa"/>
              <w:bottom w:w="80" w:type="dxa"/>
              <w:right w:w="80" w:type="dxa"/>
            </w:tcMar>
          </w:tcPr>
          <w:p w14:paraId="0800F112" w14:textId="77777777" w:rsidR="00AF0E0B" w:rsidRPr="00AF0E0B" w:rsidRDefault="00AF0E0B" w:rsidP="00AF0E0B">
            <w:pPr>
              <w:pBdr>
                <w:top w:val="nil"/>
                <w:left w:val="nil"/>
                <w:bottom w:val="nil"/>
                <w:right w:val="nil"/>
                <w:between w:val="nil"/>
                <w:bar w:val="nil"/>
              </w:pBdr>
              <w:rPr>
                <w:rFonts w:ascii="Times New Roman" w:eastAsia="Arial Unicode MS" w:hAnsi="Times New Roman" w:cs="Arial Unicode MS"/>
                <w:color w:val="000000"/>
                <w:u w:color="000000"/>
                <w:bdr w:val="nil"/>
                <w:lang w:eastAsia="en-GB"/>
              </w:rPr>
            </w:pPr>
            <w:r w:rsidRPr="00AF0E0B">
              <w:rPr>
                <w:rFonts w:eastAsia="Arial Unicode MS" w:cs="Arial Unicode MS"/>
                <w:i/>
                <w:iCs/>
                <w:color w:val="000000"/>
                <w:sz w:val="22"/>
                <w:szCs w:val="22"/>
                <w:u w:color="000000"/>
                <w:bdr w:val="nil"/>
                <w:lang w:val="en-US" w:eastAsia="en-GB"/>
              </w:rPr>
              <w:t>TSL</w:t>
            </w:r>
          </w:p>
        </w:tc>
        <w:tc>
          <w:tcPr>
            <w:tcW w:w="1932"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tcPr>
          <w:p w14:paraId="272CFB69"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.778</w:t>
            </w:r>
            <w:r w:rsidRPr="00AF0E0B">
              <w:rPr>
                <w:rFonts w:eastAsia="Arial Unicode MS" w:cs="Arial Unicode MS"/>
                <w:color w:val="000000"/>
                <w:sz w:val="22"/>
                <w:szCs w:val="22"/>
                <w:u w:color="000000"/>
                <w:bdr w:val="nil"/>
                <w:vertAlign w:val="superscript"/>
                <w:lang w:val="en-US" w:eastAsia="en-GB"/>
              </w:rPr>
              <w:t>*</w:t>
            </w:r>
          </w:p>
        </w:tc>
        <w:tc>
          <w:tcPr>
            <w:tcW w:w="1932" w:type="dxa"/>
            <w:tcBorders>
              <w:top w:val="single" w:sz="2" w:space="0" w:color="F4B083"/>
              <w:left w:val="single" w:sz="2" w:space="0" w:color="F4B083"/>
              <w:bottom w:val="single" w:sz="2" w:space="0" w:color="F4B083"/>
              <w:right w:val="single" w:sz="2" w:space="0" w:color="F4B083"/>
            </w:tcBorders>
            <w:shd w:val="clear" w:color="auto" w:fill="FFFFFF"/>
            <w:tcMar>
              <w:top w:w="80" w:type="dxa"/>
              <w:left w:w="80" w:type="dxa"/>
              <w:bottom w:w="80" w:type="dxa"/>
              <w:right w:w="80" w:type="dxa"/>
            </w:tcMar>
          </w:tcPr>
          <w:p w14:paraId="03B5A3A5"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.224</w:t>
            </w:r>
          </w:p>
        </w:tc>
        <w:tc>
          <w:tcPr>
            <w:tcW w:w="1934" w:type="dxa"/>
            <w:tcBorders>
              <w:top w:val="single" w:sz="2" w:space="0" w:color="F4B083"/>
              <w:left w:val="single" w:sz="2" w:space="0" w:color="F4B083"/>
              <w:bottom w:val="single" w:sz="2" w:space="0" w:color="F4B083"/>
              <w:right w:val="single" w:sz="4" w:space="0" w:color="000000"/>
            </w:tcBorders>
            <w:shd w:val="clear" w:color="auto" w:fill="FFFFFF"/>
            <w:tcMar>
              <w:top w:w="80" w:type="dxa"/>
              <w:left w:w="80" w:type="dxa"/>
              <w:bottom w:w="80" w:type="dxa"/>
              <w:right w:w="80" w:type="dxa"/>
            </w:tcMar>
          </w:tcPr>
          <w:p w14:paraId="6A53A2C4"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.249</w:t>
            </w:r>
          </w:p>
        </w:tc>
      </w:tr>
      <w:tr w:rsidR="00AF0E0B" w:rsidRPr="00AF0E0B" w14:paraId="1F639A4D" w14:textId="77777777" w:rsidTr="00AB4128">
        <w:trPr>
          <w:trHeight w:val="238"/>
        </w:trPr>
        <w:tc>
          <w:tcPr>
            <w:tcW w:w="3266" w:type="dxa"/>
            <w:tcBorders>
              <w:top w:val="single" w:sz="2" w:space="0" w:color="F4B083"/>
              <w:left w:val="single" w:sz="4" w:space="0" w:color="000000"/>
              <w:bottom w:val="single" w:sz="2" w:space="0" w:color="F4B083"/>
              <w:right w:val="single" w:sz="2" w:space="0" w:color="F4B083"/>
            </w:tcBorders>
            <w:shd w:val="clear" w:color="auto" w:fill="auto"/>
            <w:tcMar>
              <w:top w:w="80" w:type="dxa"/>
              <w:left w:w="80" w:type="dxa"/>
              <w:bottom w:w="80" w:type="dxa"/>
              <w:right w:w="80" w:type="dxa"/>
            </w:tcMar>
          </w:tcPr>
          <w:p w14:paraId="5AAB8A4A" w14:textId="77777777" w:rsidR="00AF0E0B" w:rsidRPr="00AF0E0B" w:rsidRDefault="00AF0E0B" w:rsidP="00AF0E0B">
            <w:pPr>
              <w:pBdr>
                <w:top w:val="nil"/>
                <w:left w:val="nil"/>
                <w:bottom w:val="nil"/>
                <w:right w:val="nil"/>
                <w:between w:val="nil"/>
                <w:bar w:val="nil"/>
              </w:pBdr>
              <w:rPr>
                <w:rFonts w:ascii="Times New Roman" w:eastAsia="Arial Unicode MS" w:hAnsi="Times New Roman" w:cs="Arial Unicode MS"/>
                <w:color w:val="000000"/>
                <w:u w:color="000000"/>
                <w:bdr w:val="nil"/>
                <w:lang w:eastAsia="en-GB"/>
              </w:rPr>
            </w:pPr>
            <w:r w:rsidRPr="00AF0E0B">
              <w:rPr>
                <w:rFonts w:eastAsia="Arial Unicode MS" w:cs="Arial Unicode MS"/>
                <w:i/>
                <w:iCs/>
                <w:color w:val="000000"/>
                <w:sz w:val="22"/>
                <w:szCs w:val="22"/>
                <w:u w:color="000000"/>
                <w:bdr w:val="nil"/>
                <w:lang w:val="en-US" w:eastAsia="en-GB"/>
              </w:rPr>
              <w:t>CDT</w:t>
            </w:r>
          </w:p>
        </w:tc>
        <w:tc>
          <w:tcPr>
            <w:tcW w:w="1932"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tcPr>
          <w:p w14:paraId="01E5253C"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-.710</w:t>
            </w:r>
            <w:r w:rsidRPr="00AF0E0B">
              <w:rPr>
                <w:rFonts w:eastAsia="Arial Unicode MS" w:cs="Arial Unicode MS"/>
                <w:color w:val="000000"/>
                <w:sz w:val="22"/>
                <w:szCs w:val="22"/>
                <w:u w:color="000000"/>
                <w:bdr w:val="nil"/>
                <w:vertAlign w:val="superscript"/>
                <w:lang w:val="en-US" w:eastAsia="en-GB"/>
              </w:rPr>
              <w:t>*</w:t>
            </w:r>
          </w:p>
        </w:tc>
        <w:tc>
          <w:tcPr>
            <w:tcW w:w="1932" w:type="dxa"/>
            <w:tcBorders>
              <w:top w:val="single" w:sz="2" w:space="0" w:color="F4B083"/>
              <w:left w:val="single" w:sz="2" w:space="0" w:color="F4B083"/>
              <w:bottom w:val="single" w:sz="2" w:space="0" w:color="F4B083"/>
              <w:right w:val="single" w:sz="2" w:space="0" w:color="F4B083"/>
            </w:tcBorders>
            <w:shd w:val="clear" w:color="auto" w:fill="FFFFFF"/>
            <w:tcMar>
              <w:top w:w="80" w:type="dxa"/>
              <w:left w:w="80" w:type="dxa"/>
              <w:bottom w:w="80" w:type="dxa"/>
              <w:right w:w="80" w:type="dxa"/>
            </w:tcMar>
          </w:tcPr>
          <w:p w14:paraId="4ED214EF"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-.266</w:t>
            </w:r>
          </w:p>
        </w:tc>
        <w:tc>
          <w:tcPr>
            <w:tcW w:w="1934" w:type="dxa"/>
            <w:tcBorders>
              <w:top w:val="single" w:sz="2" w:space="0" w:color="F4B083"/>
              <w:left w:val="single" w:sz="2" w:space="0" w:color="F4B083"/>
              <w:bottom w:val="single" w:sz="2" w:space="0" w:color="F4B083"/>
              <w:right w:val="single" w:sz="4" w:space="0" w:color="000000"/>
            </w:tcBorders>
            <w:shd w:val="clear" w:color="auto" w:fill="FFFFFF"/>
            <w:tcMar>
              <w:top w:w="80" w:type="dxa"/>
              <w:left w:w="80" w:type="dxa"/>
              <w:bottom w:w="80" w:type="dxa"/>
              <w:right w:w="80" w:type="dxa"/>
            </w:tcMar>
          </w:tcPr>
          <w:p w14:paraId="6C7A001F"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.040</w:t>
            </w:r>
          </w:p>
        </w:tc>
      </w:tr>
      <w:tr w:rsidR="00AF0E0B" w:rsidRPr="00AF0E0B" w14:paraId="31BE45DA" w14:textId="77777777" w:rsidTr="00AB4128">
        <w:trPr>
          <w:trHeight w:val="238"/>
        </w:trPr>
        <w:tc>
          <w:tcPr>
            <w:tcW w:w="3266" w:type="dxa"/>
            <w:tcBorders>
              <w:top w:val="single" w:sz="2" w:space="0" w:color="F4B083"/>
              <w:left w:val="single" w:sz="4" w:space="0" w:color="000000"/>
              <w:bottom w:val="single" w:sz="2" w:space="0" w:color="F4B083"/>
              <w:right w:val="single" w:sz="2" w:space="0" w:color="F4B083"/>
            </w:tcBorders>
            <w:shd w:val="clear" w:color="auto" w:fill="FBE4D5"/>
            <w:tcMar>
              <w:top w:w="80" w:type="dxa"/>
              <w:left w:w="80" w:type="dxa"/>
              <w:bottom w:w="80" w:type="dxa"/>
              <w:right w:w="80" w:type="dxa"/>
            </w:tcMar>
          </w:tcPr>
          <w:p w14:paraId="4B234B52" w14:textId="77777777" w:rsidR="00AF0E0B" w:rsidRPr="00AF0E0B" w:rsidRDefault="00AF0E0B" w:rsidP="00AF0E0B">
            <w:pPr>
              <w:pBdr>
                <w:top w:val="nil"/>
                <w:left w:val="nil"/>
                <w:bottom w:val="nil"/>
                <w:right w:val="nil"/>
                <w:between w:val="nil"/>
                <w:bar w:val="nil"/>
              </w:pBdr>
              <w:rPr>
                <w:rFonts w:ascii="Times New Roman" w:eastAsia="Arial Unicode MS" w:hAnsi="Times New Roman" w:cs="Arial Unicode MS"/>
                <w:color w:val="000000"/>
                <w:u w:color="000000"/>
                <w:bdr w:val="nil"/>
                <w:lang w:eastAsia="en-GB"/>
              </w:rPr>
            </w:pPr>
            <w:r w:rsidRPr="00AF0E0B">
              <w:rPr>
                <w:rFonts w:eastAsia="Arial Unicode MS" w:cs="Arial Unicode MS"/>
                <w:i/>
                <w:iCs/>
                <w:color w:val="000000"/>
                <w:sz w:val="22"/>
                <w:szCs w:val="22"/>
                <w:u w:color="000000"/>
                <w:bdr w:val="nil"/>
                <w:lang w:val="en-US" w:eastAsia="en-GB"/>
              </w:rPr>
              <w:t>VDT</w:t>
            </w:r>
          </w:p>
        </w:tc>
        <w:tc>
          <w:tcPr>
            <w:tcW w:w="1932"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tcPr>
          <w:p w14:paraId="240D7058"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-.692</w:t>
            </w:r>
            <w:r w:rsidRPr="00AF0E0B">
              <w:rPr>
                <w:rFonts w:eastAsia="Arial Unicode MS" w:cs="Arial Unicode MS"/>
                <w:color w:val="000000"/>
                <w:sz w:val="22"/>
                <w:szCs w:val="22"/>
                <w:u w:color="000000"/>
                <w:bdr w:val="nil"/>
                <w:vertAlign w:val="superscript"/>
                <w:lang w:val="en-US" w:eastAsia="en-GB"/>
              </w:rPr>
              <w:t>*</w:t>
            </w:r>
          </w:p>
        </w:tc>
        <w:tc>
          <w:tcPr>
            <w:tcW w:w="1932" w:type="dxa"/>
            <w:tcBorders>
              <w:top w:val="single" w:sz="2" w:space="0" w:color="F4B083"/>
              <w:left w:val="single" w:sz="2" w:space="0" w:color="F4B083"/>
              <w:bottom w:val="single" w:sz="2" w:space="0" w:color="F4B083"/>
              <w:right w:val="single" w:sz="2" w:space="0" w:color="F4B083"/>
            </w:tcBorders>
            <w:shd w:val="clear" w:color="auto" w:fill="FFFFFF"/>
            <w:tcMar>
              <w:top w:w="80" w:type="dxa"/>
              <w:left w:w="80" w:type="dxa"/>
              <w:bottom w:w="80" w:type="dxa"/>
              <w:right w:w="80" w:type="dxa"/>
            </w:tcMar>
          </w:tcPr>
          <w:p w14:paraId="329B947F"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.062</w:t>
            </w:r>
          </w:p>
        </w:tc>
        <w:tc>
          <w:tcPr>
            <w:tcW w:w="1934" w:type="dxa"/>
            <w:tcBorders>
              <w:top w:val="single" w:sz="2" w:space="0" w:color="F4B083"/>
              <w:left w:val="single" w:sz="2" w:space="0" w:color="F4B083"/>
              <w:bottom w:val="single" w:sz="2" w:space="0" w:color="F4B083"/>
              <w:right w:val="single" w:sz="4" w:space="0" w:color="000000"/>
            </w:tcBorders>
            <w:shd w:val="clear" w:color="auto" w:fill="FFFFFF"/>
            <w:tcMar>
              <w:top w:w="80" w:type="dxa"/>
              <w:left w:w="80" w:type="dxa"/>
              <w:bottom w:w="80" w:type="dxa"/>
              <w:right w:w="80" w:type="dxa"/>
            </w:tcMar>
          </w:tcPr>
          <w:p w14:paraId="159C8C47"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.062</w:t>
            </w:r>
          </w:p>
        </w:tc>
      </w:tr>
      <w:tr w:rsidR="00AF0E0B" w:rsidRPr="00AF0E0B" w14:paraId="07555293" w14:textId="77777777" w:rsidTr="00AB4128">
        <w:trPr>
          <w:trHeight w:val="238"/>
        </w:trPr>
        <w:tc>
          <w:tcPr>
            <w:tcW w:w="3266" w:type="dxa"/>
            <w:tcBorders>
              <w:top w:val="single" w:sz="2" w:space="0" w:color="F4B083"/>
              <w:left w:val="single" w:sz="4" w:space="0" w:color="000000"/>
              <w:bottom w:val="single" w:sz="2" w:space="0" w:color="F4B083"/>
              <w:right w:val="single" w:sz="2" w:space="0" w:color="F4B083"/>
            </w:tcBorders>
            <w:shd w:val="clear" w:color="auto" w:fill="auto"/>
            <w:tcMar>
              <w:top w:w="80" w:type="dxa"/>
              <w:left w:w="80" w:type="dxa"/>
              <w:bottom w:w="80" w:type="dxa"/>
              <w:right w:w="80" w:type="dxa"/>
            </w:tcMar>
          </w:tcPr>
          <w:p w14:paraId="6B8A8FAA" w14:textId="77777777" w:rsidR="00AF0E0B" w:rsidRPr="00AF0E0B" w:rsidRDefault="00AF0E0B" w:rsidP="00AF0E0B">
            <w:pPr>
              <w:pBdr>
                <w:top w:val="nil"/>
                <w:left w:val="nil"/>
                <w:bottom w:val="nil"/>
                <w:right w:val="nil"/>
                <w:between w:val="nil"/>
                <w:bar w:val="nil"/>
              </w:pBdr>
              <w:rPr>
                <w:rFonts w:ascii="Times New Roman" w:eastAsia="Arial Unicode MS" w:hAnsi="Times New Roman" w:cs="Arial Unicode MS"/>
                <w:color w:val="000000"/>
                <w:u w:color="000000"/>
                <w:bdr w:val="nil"/>
                <w:lang w:eastAsia="en-GB"/>
              </w:rPr>
            </w:pPr>
            <w:r w:rsidRPr="00AF0E0B">
              <w:rPr>
                <w:rFonts w:eastAsia="Arial Unicode MS" w:cs="Arial Unicode MS"/>
                <w:i/>
                <w:iCs/>
                <w:color w:val="000000"/>
                <w:sz w:val="22"/>
                <w:szCs w:val="22"/>
                <w:u w:color="000000"/>
                <w:bdr w:val="nil"/>
                <w:lang w:val="en-US" w:eastAsia="en-GB"/>
              </w:rPr>
              <w:t>WDT</w:t>
            </w:r>
          </w:p>
        </w:tc>
        <w:tc>
          <w:tcPr>
            <w:tcW w:w="1932"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tcPr>
          <w:p w14:paraId="3DB653EF"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.691</w:t>
            </w:r>
            <w:r w:rsidRPr="00AF0E0B">
              <w:rPr>
                <w:rFonts w:eastAsia="Arial Unicode MS" w:cs="Arial Unicode MS"/>
                <w:color w:val="000000"/>
                <w:sz w:val="22"/>
                <w:szCs w:val="22"/>
                <w:u w:color="000000"/>
                <w:bdr w:val="nil"/>
                <w:vertAlign w:val="superscript"/>
                <w:lang w:val="en-US" w:eastAsia="en-GB"/>
              </w:rPr>
              <w:t>*</w:t>
            </w:r>
          </w:p>
        </w:tc>
        <w:tc>
          <w:tcPr>
            <w:tcW w:w="1932"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tcPr>
          <w:p w14:paraId="16BED650"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.240</w:t>
            </w:r>
          </w:p>
        </w:tc>
        <w:tc>
          <w:tcPr>
            <w:tcW w:w="1934" w:type="dxa"/>
            <w:tcBorders>
              <w:top w:val="single" w:sz="2" w:space="0" w:color="F4B083"/>
              <w:left w:val="single" w:sz="2" w:space="0" w:color="F4B083"/>
              <w:bottom w:val="single" w:sz="2" w:space="0" w:color="F4B083"/>
              <w:right w:val="single" w:sz="4" w:space="0" w:color="000000"/>
            </w:tcBorders>
            <w:shd w:val="clear" w:color="auto" w:fill="FFFFFF"/>
            <w:tcMar>
              <w:top w:w="80" w:type="dxa"/>
              <w:left w:w="80" w:type="dxa"/>
              <w:bottom w:w="80" w:type="dxa"/>
              <w:right w:w="80" w:type="dxa"/>
            </w:tcMar>
          </w:tcPr>
          <w:p w14:paraId="3230706A"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.315</w:t>
            </w:r>
          </w:p>
        </w:tc>
      </w:tr>
      <w:tr w:rsidR="00AF0E0B" w:rsidRPr="00AF0E0B" w14:paraId="455D2179" w14:textId="77777777" w:rsidTr="00AB4128">
        <w:trPr>
          <w:trHeight w:val="238"/>
        </w:trPr>
        <w:tc>
          <w:tcPr>
            <w:tcW w:w="3266" w:type="dxa"/>
            <w:tcBorders>
              <w:top w:val="single" w:sz="2" w:space="0" w:color="F4B083"/>
              <w:left w:val="single" w:sz="4" w:space="0" w:color="000000"/>
              <w:bottom w:val="single" w:sz="2" w:space="0" w:color="F4B083"/>
              <w:right w:val="single" w:sz="2" w:space="0" w:color="F4B083"/>
            </w:tcBorders>
            <w:shd w:val="clear" w:color="auto" w:fill="FBE4D5"/>
            <w:tcMar>
              <w:top w:w="80" w:type="dxa"/>
              <w:left w:w="80" w:type="dxa"/>
              <w:bottom w:w="80" w:type="dxa"/>
              <w:right w:w="80" w:type="dxa"/>
            </w:tcMar>
          </w:tcPr>
          <w:p w14:paraId="6F4D907D" w14:textId="77777777" w:rsidR="00AF0E0B" w:rsidRPr="00AF0E0B" w:rsidRDefault="00AF0E0B" w:rsidP="00AF0E0B">
            <w:pPr>
              <w:pBdr>
                <w:top w:val="nil"/>
                <w:left w:val="nil"/>
                <w:bottom w:val="nil"/>
                <w:right w:val="nil"/>
                <w:between w:val="nil"/>
                <w:bar w:val="nil"/>
              </w:pBdr>
              <w:rPr>
                <w:rFonts w:ascii="Times New Roman" w:eastAsia="Arial Unicode MS" w:hAnsi="Times New Roman" w:cs="Arial Unicode MS"/>
                <w:color w:val="000000"/>
                <w:u w:color="000000"/>
                <w:bdr w:val="nil"/>
                <w:lang w:eastAsia="en-GB"/>
              </w:rPr>
            </w:pPr>
            <w:r w:rsidRPr="00AF0E0B">
              <w:rPr>
                <w:rFonts w:eastAsia="Arial Unicode MS" w:cs="Arial Unicode MS"/>
                <w:i/>
                <w:iCs/>
                <w:color w:val="000000"/>
                <w:sz w:val="22"/>
                <w:szCs w:val="22"/>
                <w:u w:color="000000"/>
                <w:bdr w:val="nil"/>
                <w:lang w:val="en-US" w:eastAsia="en-GB"/>
              </w:rPr>
              <w:t>MPT</w:t>
            </w:r>
          </w:p>
        </w:tc>
        <w:tc>
          <w:tcPr>
            <w:tcW w:w="1932"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tcPr>
          <w:p w14:paraId="0DAD095E"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.557</w:t>
            </w:r>
            <w:r w:rsidRPr="00AF0E0B">
              <w:rPr>
                <w:rFonts w:eastAsia="Arial Unicode MS" w:cs="Arial Unicode MS"/>
                <w:color w:val="000000"/>
                <w:sz w:val="22"/>
                <w:szCs w:val="22"/>
                <w:u w:color="000000"/>
                <w:bdr w:val="nil"/>
                <w:vertAlign w:val="superscript"/>
                <w:lang w:val="en-US" w:eastAsia="en-GB"/>
              </w:rPr>
              <w:t>*</w:t>
            </w:r>
          </w:p>
        </w:tc>
        <w:tc>
          <w:tcPr>
            <w:tcW w:w="1932" w:type="dxa"/>
            <w:tcBorders>
              <w:top w:val="single" w:sz="2" w:space="0" w:color="F4B083"/>
              <w:left w:val="single" w:sz="2" w:space="0" w:color="F4B083"/>
              <w:bottom w:val="single" w:sz="2" w:space="0" w:color="F4B083"/>
              <w:right w:val="single" w:sz="2" w:space="0" w:color="F4B083"/>
            </w:tcBorders>
            <w:shd w:val="clear" w:color="auto" w:fill="FFFFFF"/>
            <w:tcMar>
              <w:top w:w="80" w:type="dxa"/>
              <w:left w:w="80" w:type="dxa"/>
              <w:bottom w:w="80" w:type="dxa"/>
              <w:right w:w="80" w:type="dxa"/>
            </w:tcMar>
          </w:tcPr>
          <w:p w14:paraId="424D1BA9"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.237</w:t>
            </w:r>
          </w:p>
        </w:tc>
        <w:tc>
          <w:tcPr>
            <w:tcW w:w="1934" w:type="dxa"/>
            <w:tcBorders>
              <w:top w:val="single" w:sz="2" w:space="0" w:color="F4B083"/>
              <w:left w:val="single" w:sz="2" w:space="0" w:color="F4B083"/>
              <w:bottom w:val="single" w:sz="2" w:space="0" w:color="F4B083"/>
              <w:right w:val="single" w:sz="4" w:space="0" w:color="000000"/>
            </w:tcBorders>
            <w:shd w:val="clear" w:color="auto" w:fill="FFFFFF"/>
            <w:tcMar>
              <w:top w:w="80" w:type="dxa"/>
              <w:left w:w="80" w:type="dxa"/>
              <w:bottom w:w="80" w:type="dxa"/>
              <w:right w:w="80" w:type="dxa"/>
            </w:tcMar>
          </w:tcPr>
          <w:p w14:paraId="232B0B4C"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-.034</w:t>
            </w:r>
          </w:p>
        </w:tc>
      </w:tr>
      <w:tr w:rsidR="00AF0E0B" w:rsidRPr="00AF0E0B" w14:paraId="066D4928" w14:textId="77777777" w:rsidTr="00AB4128">
        <w:trPr>
          <w:trHeight w:val="238"/>
        </w:trPr>
        <w:tc>
          <w:tcPr>
            <w:tcW w:w="3266" w:type="dxa"/>
            <w:tcBorders>
              <w:top w:val="single" w:sz="2" w:space="0" w:color="F4B083"/>
              <w:left w:val="single" w:sz="4" w:space="0" w:color="000000"/>
              <w:bottom w:val="single" w:sz="2" w:space="0" w:color="F4B083"/>
              <w:right w:val="single" w:sz="2" w:space="0" w:color="F4B083"/>
            </w:tcBorders>
            <w:shd w:val="clear" w:color="auto" w:fill="auto"/>
            <w:tcMar>
              <w:top w:w="80" w:type="dxa"/>
              <w:left w:w="80" w:type="dxa"/>
              <w:bottom w:w="80" w:type="dxa"/>
              <w:right w:w="80" w:type="dxa"/>
            </w:tcMar>
          </w:tcPr>
          <w:p w14:paraId="20DA0802" w14:textId="77777777" w:rsidR="00AF0E0B" w:rsidRPr="00AF0E0B" w:rsidRDefault="00AF0E0B" w:rsidP="00AF0E0B">
            <w:pPr>
              <w:pBdr>
                <w:top w:val="nil"/>
                <w:left w:val="nil"/>
                <w:bottom w:val="nil"/>
                <w:right w:val="nil"/>
                <w:between w:val="nil"/>
                <w:bar w:val="nil"/>
              </w:pBdr>
              <w:rPr>
                <w:rFonts w:ascii="Times New Roman" w:eastAsia="Arial Unicode MS" w:hAnsi="Times New Roman" w:cs="Arial Unicode MS"/>
                <w:color w:val="000000"/>
                <w:u w:color="000000"/>
                <w:bdr w:val="nil"/>
                <w:lang w:eastAsia="en-GB"/>
              </w:rPr>
            </w:pPr>
            <w:r w:rsidRPr="00AF0E0B">
              <w:rPr>
                <w:rFonts w:eastAsia="Arial Unicode MS" w:cs="Arial Unicode MS"/>
                <w:i/>
                <w:iCs/>
                <w:color w:val="000000"/>
                <w:sz w:val="22"/>
                <w:szCs w:val="22"/>
                <w:u w:color="000000"/>
                <w:bdr w:val="nil"/>
                <w:lang w:val="en-US" w:eastAsia="en-GB"/>
              </w:rPr>
              <w:t>CPT</w:t>
            </w:r>
          </w:p>
        </w:tc>
        <w:tc>
          <w:tcPr>
            <w:tcW w:w="1932"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tcPr>
          <w:p w14:paraId="67720187"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-.424</w:t>
            </w:r>
            <w:r w:rsidRPr="00AF0E0B">
              <w:rPr>
                <w:rFonts w:eastAsia="Arial Unicode MS" w:cs="Arial Unicode MS"/>
                <w:color w:val="000000"/>
                <w:sz w:val="22"/>
                <w:szCs w:val="22"/>
                <w:u w:color="000000"/>
                <w:bdr w:val="nil"/>
                <w:vertAlign w:val="superscript"/>
                <w:lang w:val="en-US" w:eastAsia="en-GB"/>
              </w:rPr>
              <w:t>*</w:t>
            </w:r>
          </w:p>
        </w:tc>
        <w:tc>
          <w:tcPr>
            <w:tcW w:w="1932" w:type="dxa"/>
            <w:tcBorders>
              <w:top w:val="single" w:sz="2" w:space="0" w:color="F4B083"/>
              <w:left w:val="single" w:sz="2" w:space="0" w:color="F4B083"/>
              <w:bottom w:val="single" w:sz="2" w:space="0" w:color="F4B083"/>
              <w:right w:val="single" w:sz="2" w:space="0" w:color="F4B083"/>
            </w:tcBorders>
            <w:shd w:val="clear" w:color="auto" w:fill="FFFFFF"/>
            <w:tcMar>
              <w:top w:w="80" w:type="dxa"/>
              <w:left w:w="80" w:type="dxa"/>
              <w:bottom w:w="80" w:type="dxa"/>
              <w:right w:w="80" w:type="dxa"/>
            </w:tcMar>
          </w:tcPr>
          <w:p w14:paraId="1BB178DA"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.142</w:t>
            </w:r>
          </w:p>
        </w:tc>
        <w:tc>
          <w:tcPr>
            <w:tcW w:w="1934" w:type="dxa"/>
            <w:tcBorders>
              <w:top w:val="single" w:sz="2" w:space="0" w:color="F4B083"/>
              <w:left w:val="single" w:sz="2" w:space="0" w:color="F4B083"/>
              <w:bottom w:val="single" w:sz="2" w:space="0" w:color="F4B083"/>
              <w:right w:val="single" w:sz="4" w:space="0" w:color="000000"/>
            </w:tcBorders>
            <w:shd w:val="clear" w:color="auto" w:fill="FFFFFF"/>
            <w:tcMar>
              <w:top w:w="80" w:type="dxa"/>
              <w:left w:w="80" w:type="dxa"/>
              <w:bottom w:w="80" w:type="dxa"/>
              <w:right w:w="80" w:type="dxa"/>
            </w:tcMar>
          </w:tcPr>
          <w:p w14:paraId="027610C0"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-.216</w:t>
            </w:r>
          </w:p>
        </w:tc>
      </w:tr>
      <w:tr w:rsidR="00AF0E0B" w:rsidRPr="00AF0E0B" w14:paraId="7B39F630" w14:textId="77777777" w:rsidTr="00AB4128">
        <w:trPr>
          <w:trHeight w:val="238"/>
        </w:trPr>
        <w:tc>
          <w:tcPr>
            <w:tcW w:w="3266" w:type="dxa"/>
            <w:tcBorders>
              <w:top w:val="single" w:sz="2" w:space="0" w:color="F4B083"/>
              <w:left w:val="single" w:sz="4" w:space="0" w:color="000000"/>
              <w:bottom w:val="single" w:sz="2" w:space="0" w:color="F4B083"/>
              <w:right w:val="single" w:sz="2" w:space="0" w:color="F4B083"/>
            </w:tcBorders>
            <w:shd w:val="clear" w:color="auto" w:fill="FBE4D5"/>
            <w:tcMar>
              <w:top w:w="80" w:type="dxa"/>
              <w:left w:w="80" w:type="dxa"/>
              <w:bottom w:w="80" w:type="dxa"/>
              <w:right w:w="80" w:type="dxa"/>
            </w:tcMar>
          </w:tcPr>
          <w:p w14:paraId="299C27E0" w14:textId="77777777" w:rsidR="00AF0E0B" w:rsidRPr="00AF0E0B" w:rsidRDefault="00AF0E0B" w:rsidP="00AF0E0B">
            <w:pPr>
              <w:pBdr>
                <w:top w:val="nil"/>
                <w:left w:val="nil"/>
                <w:bottom w:val="nil"/>
                <w:right w:val="nil"/>
                <w:between w:val="nil"/>
                <w:bar w:val="nil"/>
              </w:pBdr>
              <w:rPr>
                <w:rFonts w:ascii="Times New Roman" w:eastAsia="Arial Unicode MS" w:hAnsi="Times New Roman" w:cs="Arial Unicode MS"/>
                <w:color w:val="000000"/>
                <w:u w:color="000000"/>
                <w:bdr w:val="nil"/>
                <w:lang w:eastAsia="en-GB"/>
              </w:rPr>
            </w:pPr>
            <w:r w:rsidRPr="00AF0E0B">
              <w:rPr>
                <w:rFonts w:eastAsia="Arial Unicode MS" w:cs="Arial Unicode MS"/>
                <w:i/>
                <w:iCs/>
                <w:color w:val="000000"/>
                <w:sz w:val="22"/>
                <w:szCs w:val="22"/>
                <w:u w:color="000000"/>
                <w:bdr w:val="nil"/>
                <w:lang w:val="en-US" w:eastAsia="en-GB"/>
              </w:rPr>
              <w:t>MDT</w:t>
            </w:r>
          </w:p>
        </w:tc>
        <w:tc>
          <w:tcPr>
            <w:tcW w:w="1932"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tcPr>
          <w:p w14:paraId="66B28A84"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.411</w:t>
            </w:r>
            <w:r w:rsidRPr="00AF0E0B">
              <w:rPr>
                <w:rFonts w:eastAsia="Arial Unicode MS" w:cs="Arial Unicode MS"/>
                <w:color w:val="000000"/>
                <w:sz w:val="22"/>
                <w:szCs w:val="22"/>
                <w:u w:color="000000"/>
                <w:bdr w:val="nil"/>
                <w:vertAlign w:val="superscript"/>
                <w:lang w:val="en-US" w:eastAsia="en-GB"/>
              </w:rPr>
              <w:t>*</w:t>
            </w:r>
          </w:p>
        </w:tc>
        <w:tc>
          <w:tcPr>
            <w:tcW w:w="1932"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tcPr>
          <w:p w14:paraId="6A78C5DA"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.300</w:t>
            </w:r>
          </w:p>
        </w:tc>
        <w:tc>
          <w:tcPr>
            <w:tcW w:w="1934" w:type="dxa"/>
            <w:tcBorders>
              <w:top w:val="single" w:sz="2" w:space="0" w:color="F4B083"/>
              <w:left w:val="single" w:sz="2" w:space="0" w:color="F4B083"/>
              <w:bottom w:val="single" w:sz="2" w:space="0" w:color="F4B083"/>
              <w:right w:val="single" w:sz="4" w:space="0" w:color="000000"/>
            </w:tcBorders>
            <w:shd w:val="clear" w:color="auto" w:fill="FFFFFF"/>
            <w:tcMar>
              <w:top w:w="80" w:type="dxa"/>
              <w:left w:w="80" w:type="dxa"/>
              <w:bottom w:w="80" w:type="dxa"/>
              <w:right w:w="80" w:type="dxa"/>
            </w:tcMar>
          </w:tcPr>
          <w:p w14:paraId="364B20E6"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-.130</w:t>
            </w:r>
          </w:p>
        </w:tc>
      </w:tr>
      <w:tr w:rsidR="00AF0E0B" w:rsidRPr="00AF0E0B" w14:paraId="455C76D0" w14:textId="77777777" w:rsidTr="00AB4128">
        <w:trPr>
          <w:trHeight w:val="238"/>
        </w:trPr>
        <w:tc>
          <w:tcPr>
            <w:tcW w:w="3266" w:type="dxa"/>
            <w:tcBorders>
              <w:top w:val="single" w:sz="2" w:space="0" w:color="F4B083"/>
              <w:left w:val="single" w:sz="4" w:space="0" w:color="000000"/>
              <w:bottom w:val="single" w:sz="2" w:space="0" w:color="F4B083"/>
              <w:right w:val="single" w:sz="2" w:space="0" w:color="F4B083"/>
            </w:tcBorders>
            <w:shd w:val="clear" w:color="auto" w:fill="auto"/>
            <w:tcMar>
              <w:top w:w="80" w:type="dxa"/>
              <w:left w:w="80" w:type="dxa"/>
              <w:bottom w:w="80" w:type="dxa"/>
              <w:right w:w="80" w:type="dxa"/>
            </w:tcMar>
          </w:tcPr>
          <w:p w14:paraId="79A67915" w14:textId="77777777" w:rsidR="00AF0E0B" w:rsidRPr="00AF0E0B" w:rsidRDefault="00AF0E0B" w:rsidP="00AF0E0B">
            <w:pPr>
              <w:pBdr>
                <w:top w:val="nil"/>
                <w:left w:val="nil"/>
                <w:bottom w:val="nil"/>
                <w:right w:val="nil"/>
                <w:between w:val="nil"/>
                <w:bar w:val="nil"/>
              </w:pBdr>
              <w:rPr>
                <w:rFonts w:ascii="Times New Roman" w:eastAsia="Arial Unicode MS" w:hAnsi="Times New Roman" w:cs="Arial Unicode MS"/>
                <w:color w:val="000000"/>
                <w:u w:color="000000"/>
                <w:bdr w:val="nil"/>
                <w:lang w:eastAsia="en-GB"/>
              </w:rPr>
            </w:pPr>
            <w:r w:rsidRPr="00AF0E0B">
              <w:rPr>
                <w:rFonts w:eastAsia="Arial Unicode MS" w:cs="Arial Unicode MS"/>
                <w:i/>
                <w:iCs/>
                <w:color w:val="000000"/>
                <w:sz w:val="22"/>
                <w:szCs w:val="22"/>
                <w:u w:color="000000"/>
                <w:bdr w:val="nil"/>
                <w:lang w:val="en-US" w:eastAsia="en-GB"/>
              </w:rPr>
              <w:t>WUR</w:t>
            </w:r>
          </w:p>
        </w:tc>
        <w:tc>
          <w:tcPr>
            <w:tcW w:w="1932" w:type="dxa"/>
            <w:tcBorders>
              <w:top w:val="single" w:sz="2" w:space="0" w:color="F4B083"/>
              <w:left w:val="single" w:sz="2" w:space="0" w:color="F4B083"/>
              <w:bottom w:val="single" w:sz="2" w:space="0" w:color="F4B083"/>
              <w:right w:val="single" w:sz="2" w:space="0" w:color="F4B083"/>
            </w:tcBorders>
            <w:shd w:val="clear" w:color="auto" w:fill="FFFFFF"/>
            <w:tcMar>
              <w:top w:w="80" w:type="dxa"/>
              <w:left w:w="80" w:type="dxa"/>
              <w:bottom w:w="80" w:type="dxa"/>
              <w:right w:w="80" w:type="dxa"/>
            </w:tcMar>
          </w:tcPr>
          <w:p w14:paraId="02801F55"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.059</w:t>
            </w:r>
          </w:p>
        </w:tc>
        <w:tc>
          <w:tcPr>
            <w:tcW w:w="1932"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tcPr>
          <w:p w14:paraId="083EA75F"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-.508</w:t>
            </w:r>
            <w:r w:rsidRPr="00AF0E0B">
              <w:rPr>
                <w:rFonts w:eastAsia="Arial Unicode MS" w:cs="Arial Unicode MS"/>
                <w:color w:val="000000"/>
                <w:sz w:val="22"/>
                <w:szCs w:val="22"/>
                <w:u w:color="000000"/>
                <w:bdr w:val="nil"/>
                <w:vertAlign w:val="superscript"/>
                <w:lang w:val="en-US" w:eastAsia="en-GB"/>
              </w:rPr>
              <w:t>*</w:t>
            </w:r>
          </w:p>
        </w:tc>
        <w:tc>
          <w:tcPr>
            <w:tcW w:w="1934" w:type="dxa"/>
            <w:tcBorders>
              <w:top w:val="single" w:sz="2" w:space="0" w:color="F4B083"/>
              <w:left w:val="single" w:sz="2" w:space="0" w:color="F4B083"/>
              <w:bottom w:val="single" w:sz="2" w:space="0" w:color="F4B083"/>
              <w:right w:val="single" w:sz="4" w:space="0" w:color="000000"/>
            </w:tcBorders>
            <w:shd w:val="clear" w:color="auto" w:fill="auto"/>
            <w:tcMar>
              <w:top w:w="80" w:type="dxa"/>
              <w:left w:w="80" w:type="dxa"/>
              <w:bottom w:w="80" w:type="dxa"/>
              <w:right w:w="80" w:type="dxa"/>
            </w:tcMar>
          </w:tcPr>
          <w:p w14:paraId="66A7906C"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.165</w:t>
            </w:r>
          </w:p>
        </w:tc>
      </w:tr>
      <w:tr w:rsidR="00AF0E0B" w:rsidRPr="00AF0E0B" w14:paraId="3E3B0853" w14:textId="77777777" w:rsidTr="00AB4128">
        <w:trPr>
          <w:trHeight w:val="238"/>
        </w:trPr>
        <w:tc>
          <w:tcPr>
            <w:tcW w:w="3266" w:type="dxa"/>
            <w:tcBorders>
              <w:top w:val="single" w:sz="2" w:space="0" w:color="F4B083"/>
              <w:left w:val="single" w:sz="4" w:space="0" w:color="000000"/>
              <w:bottom w:val="single" w:sz="2" w:space="0" w:color="F4B083"/>
              <w:right w:val="single" w:sz="2" w:space="0" w:color="F4B083"/>
            </w:tcBorders>
            <w:shd w:val="clear" w:color="auto" w:fill="FBE4D5"/>
            <w:tcMar>
              <w:top w:w="80" w:type="dxa"/>
              <w:left w:w="80" w:type="dxa"/>
              <w:bottom w:w="80" w:type="dxa"/>
              <w:right w:w="80" w:type="dxa"/>
            </w:tcMar>
          </w:tcPr>
          <w:p w14:paraId="0746D039" w14:textId="77777777" w:rsidR="00AF0E0B" w:rsidRPr="00AF0E0B" w:rsidRDefault="00AF0E0B" w:rsidP="00AF0E0B">
            <w:pPr>
              <w:pBdr>
                <w:top w:val="nil"/>
                <w:left w:val="nil"/>
                <w:bottom w:val="nil"/>
                <w:right w:val="nil"/>
                <w:between w:val="nil"/>
                <w:bar w:val="nil"/>
              </w:pBdr>
              <w:rPr>
                <w:rFonts w:ascii="Times New Roman" w:eastAsia="Arial Unicode MS" w:hAnsi="Times New Roman" w:cs="Arial Unicode MS"/>
                <w:color w:val="000000"/>
                <w:u w:color="000000"/>
                <w:bdr w:val="nil"/>
                <w:lang w:eastAsia="en-GB"/>
              </w:rPr>
            </w:pPr>
            <w:r w:rsidRPr="00AF0E0B">
              <w:rPr>
                <w:rFonts w:eastAsia="Arial Unicode MS" w:cs="Arial Unicode MS"/>
                <w:i/>
                <w:iCs/>
                <w:color w:val="000000"/>
                <w:sz w:val="22"/>
                <w:szCs w:val="22"/>
                <w:u w:color="000000"/>
                <w:bdr w:val="nil"/>
                <w:lang w:val="en-US" w:eastAsia="en-GB"/>
              </w:rPr>
              <w:t>DMA</w:t>
            </w:r>
          </w:p>
        </w:tc>
        <w:tc>
          <w:tcPr>
            <w:tcW w:w="1932" w:type="dxa"/>
            <w:tcBorders>
              <w:top w:val="single" w:sz="2" w:space="0" w:color="F4B083"/>
              <w:left w:val="single" w:sz="2" w:space="0" w:color="F4B083"/>
              <w:bottom w:val="single" w:sz="2" w:space="0" w:color="F4B083"/>
              <w:right w:val="single" w:sz="2" w:space="0" w:color="F4B083"/>
            </w:tcBorders>
            <w:shd w:val="clear" w:color="auto" w:fill="FFFFFF"/>
            <w:tcMar>
              <w:top w:w="80" w:type="dxa"/>
              <w:left w:w="80" w:type="dxa"/>
              <w:bottom w:w="80" w:type="dxa"/>
              <w:right w:w="80" w:type="dxa"/>
            </w:tcMar>
          </w:tcPr>
          <w:p w14:paraId="42AED933"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.173</w:t>
            </w:r>
          </w:p>
        </w:tc>
        <w:tc>
          <w:tcPr>
            <w:tcW w:w="1932"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tcPr>
          <w:p w14:paraId="48CF3FBC"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.400</w:t>
            </w:r>
            <w:r w:rsidRPr="00AF0E0B">
              <w:rPr>
                <w:rFonts w:eastAsia="Arial Unicode MS" w:cs="Arial Unicode MS"/>
                <w:color w:val="000000"/>
                <w:sz w:val="22"/>
                <w:szCs w:val="22"/>
                <w:u w:color="000000"/>
                <w:bdr w:val="nil"/>
                <w:vertAlign w:val="superscript"/>
                <w:lang w:val="en-US" w:eastAsia="en-GB"/>
              </w:rPr>
              <w:t>*</w:t>
            </w:r>
          </w:p>
        </w:tc>
        <w:tc>
          <w:tcPr>
            <w:tcW w:w="1934" w:type="dxa"/>
            <w:tcBorders>
              <w:top w:val="single" w:sz="2" w:space="0" w:color="F4B083"/>
              <w:left w:val="single" w:sz="2" w:space="0" w:color="F4B083"/>
              <w:bottom w:val="single" w:sz="2" w:space="0" w:color="F4B083"/>
              <w:right w:val="single" w:sz="4" w:space="0" w:color="000000"/>
            </w:tcBorders>
            <w:shd w:val="clear" w:color="auto" w:fill="FFFFFF"/>
            <w:tcMar>
              <w:top w:w="80" w:type="dxa"/>
              <w:left w:w="80" w:type="dxa"/>
              <w:bottom w:w="80" w:type="dxa"/>
              <w:right w:w="80" w:type="dxa"/>
            </w:tcMar>
          </w:tcPr>
          <w:p w14:paraId="51CCF0B4"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-.283</w:t>
            </w:r>
          </w:p>
        </w:tc>
      </w:tr>
      <w:tr w:rsidR="00AF0E0B" w:rsidRPr="00AF0E0B" w14:paraId="26E77628" w14:textId="77777777" w:rsidTr="00AB4128">
        <w:trPr>
          <w:trHeight w:val="238"/>
        </w:trPr>
        <w:tc>
          <w:tcPr>
            <w:tcW w:w="3266" w:type="dxa"/>
            <w:tcBorders>
              <w:top w:val="single" w:sz="2" w:space="0" w:color="F4B083"/>
              <w:left w:val="single" w:sz="4" w:space="0" w:color="000000"/>
              <w:bottom w:val="single" w:sz="2" w:space="0" w:color="F4B083"/>
              <w:right w:val="single" w:sz="2" w:space="0" w:color="F4B083"/>
            </w:tcBorders>
            <w:shd w:val="clear" w:color="auto" w:fill="auto"/>
            <w:tcMar>
              <w:top w:w="80" w:type="dxa"/>
              <w:left w:w="80" w:type="dxa"/>
              <w:bottom w:w="80" w:type="dxa"/>
              <w:right w:w="80" w:type="dxa"/>
            </w:tcMar>
          </w:tcPr>
          <w:p w14:paraId="79BB374F" w14:textId="77777777" w:rsidR="00AF0E0B" w:rsidRPr="00AF0E0B" w:rsidRDefault="00AF0E0B" w:rsidP="00AF0E0B">
            <w:pPr>
              <w:pBdr>
                <w:top w:val="nil"/>
                <w:left w:val="nil"/>
                <w:bottom w:val="nil"/>
                <w:right w:val="nil"/>
                <w:between w:val="nil"/>
                <w:bar w:val="nil"/>
              </w:pBdr>
              <w:rPr>
                <w:rFonts w:ascii="Times New Roman" w:eastAsia="Arial Unicode MS" w:hAnsi="Times New Roman" w:cs="Arial Unicode MS"/>
                <w:color w:val="000000"/>
                <w:u w:color="000000"/>
                <w:bdr w:val="nil"/>
                <w:lang w:eastAsia="en-GB"/>
              </w:rPr>
            </w:pPr>
            <w:r w:rsidRPr="00AF0E0B">
              <w:rPr>
                <w:rFonts w:eastAsia="Arial Unicode MS" w:cs="Arial Unicode MS"/>
                <w:i/>
                <w:iCs/>
                <w:color w:val="000000"/>
                <w:sz w:val="22"/>
                <w:szCs w:val="22"/>
                <w:u w:color="000000"/>
                <w:bdr w:val="nil"/>
                <w:lang w:val="en-US" w:eastAsia="en-GB"/>
              </w:rPr>
              <w:t>PHS</w:t>
            </w:r>
          </w:p>
        </w:tc>
        <w:tc>
          <w:tcPr>
            <w:tcW w:w="1932" w:type="dxa"/>
            <w:tcBorders>
              <w:top w:val="single" w:sz="2" w:space="0" w:color="F4B083"/>
              <w:left w:val="single" w:sz="2" w:space="0" w:color="F4B083"/>
              <w:bottom w:val="single" w:sz="2" w:space="0" w:color="F4B083"/>
              <w:right w:val="single" w:sz="2" w:space="0" w:color="F4B083"/>
            </w:tcBorders>
            <w:shd w:val="clear" w:color="auto" w:fill="FFFFFF"/>
            <w:tcMar>
              <w:top w:w="80" w:type="dxa"/>
              <w:left w:w="80" w:type="dxa"/>
              <w:bottom w:w="80" w:type="dxa"/>
              <w:right w:w="80" w:type="dxa"/>
            </w:tcMar>
          </w:tcPr>
          <w:p w14:paraId="1E45C5C4"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.106</w:t>
            </w:r>
          </w:p>
        </w:tc>
        <w:tc>
          <w:tcPr>
            <w:tcW w:w="1932"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tcPr>
          <w:p w14:paraId="75C0B19D"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-.360</w:t>
            </w:r>
            <w:r w:rsidRPr="00AF0E0B">
              <w:rPr>
                <w:rFonts w:eastAsia="Arial Unicode MS" w:cs="Arial Unicode MS"/>
                <w:color w:val="000000"/>
                <w:sz w:val="22"/>
                <w:szCs w:val="22"/>
                <w:u w:color="000000"/>
                <w:bdr w:val="nil"/>
                <w:vertAlign w:val="superscript"/>
                <w:lang w:val="en-US" w:eastAsia="en-GB"/>
              </w:rPr>
              <w:t>*</w:t>
            </w:r>
          </w:p>
        </w:tc>
        <w:tc>
          <w:tcPr>
            <w:tcW w:w="1934" w:type="dxa"/>
            <w:tcBorders>
              <w:top w:val="single" w:sz="2" w:space="0" w:color="F4B083"/>
              <w:left w:val="single" w:sz="2" w:space="0" w:color="F4B083"/>
              <w:bottom w:val="single" w:sz="2" w:space="0" w:color="F4B083"/>
              <w:right w:val="single" w:sz="4" w:space="0" w:color="000000"/>
            </w:tcBorders>
            <w:shd w:val="clear" w:color="auto" w:fill="FFFFFF"/>
            <w:tcMar>
              <w:top w:w="80" w:type="dxa"/>
              <w:left w:w="80" w:type="dxa"/>
              <w:bottom w:w="80" w:type="dxa"/>
              <w:right w:w="80" w:type="dxa"/>
            </w:tcMar>
          </w:tcPr>
          <w:p w14:paraId="7C6AC3D3"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-.014</w:t>
            </w:r>
          </w:p>
        </w:tc>
      </w:tr>
      <w:tr w:rsidR="00AF0E0B" w:rsidRPr="00AF0E0B" w14:paraId="3A44C7BF" w14:textId="77777777" w:rsidTr="00AB4128">
        <w:trPr>
          <w:trHeight w:val="238"/>
        </w:trPr>
        <w:tc>
          <w:tcPr>
            <w:tcW w:w="3266" w:type="dxa"/>
            <w:tcBorders>
              <w:top w:val="single" w:sz="2" w:space="0" w:color="F4B083"/>
              <w:left w:val="single" w:sz="4" w:space="0" w:color="000000"/>
              <w:bottom w:val="single" w:sz="2" w:space="0" w:color="F4B083"/>
              <w:right w:val="single" w:sz="2" w:space="0" w:color="F4B083"/>
            </w:tcBorders>
            <w:shd w:val="clear" w:color="auto" w:fill="FBE4D5"/>
            <w:tcMar>
              <w:top w:w="80" w:type="dxa"/>
              <w:left w:w="80" w:type="dxa"/>
              <w:bottom w:w="80" w:type="dxa"/>
              <w:right w:w="80" w:type="dxa"/>
            </w:tcMar>
          </w:tcPr>
          <w:p w14:paraId="18ACA3CA" w14:textId="77777777" w:rsidR="00AF0E0B" w:rsidRPr="00AF0E0B" w:rsidRDefault="00AF0E0B" w:rsidP="00AF0E0B">
            <w:pPr>
              <w:pBdr>
                <w:top w:val="nil"/>
                <w:left w:val="nil"/>
                <w:bottom w:val="nil"/>
                <w:right w:val="nil"/>
                <w:between w:val="nil"/>
                <w:bar w:val="nil"/>
              </w:pBdr>
              <w:rPr>
                <w:rFonts w:ascii="Times New Roman" w:eastAsia="Arial Unicode MS" w:hAnsi="Times New Roman" w:cs="Arial Unicode MS"/>
                <w:color w:val="000000"/>
                <w:u w:color="000000"/>
                <w:bdr w:val="nil"/>
                <w:lang w:eastAsia="en-GB"/>
              </w:rPr>
            </w:pPr>
            <w:r w:rsidRPr="00AF0E0B">
              <w:rPr>
                <w:rFonts w:eastAsia="Arial Unicode MS" w:cs="Arial Unicode MS"/>
                <w:i/>
                <w:iCs/>
                <w:color w:val="000000"/>
                <w:sz w:val="22"/>
                <w:szCs w:val="22"/>
                <w:u w:color="000000"/>
                <w:bdr w:val="nil"/>
                <w:lang w:val="en-US" w:eastAsia="en-GB"/>
              </w:rPr>
              <w:t>HPT</w:t>
            </w:r>
          </w:p>
        </w:tc>
        <w:tc>
          <w:tcPr>
            <w:tcW w:w="1932" w:type="dxa"/>
            <w:tcBorders>
              <w:top w:val="single" w:sz="2" w:space="0" w:color="F4B083"/>
              <w:left w:val="single" w:sz="2" w:space="0" w:color="F4B083"/>
              <w:bottom w:val="single" w:sz="2" w:space="0" w:color="F4B083"/>
              <w:right w:val="single" w:sz="2" w:space="0" w:color="F4B083"/>
            </w:tcBorders>
            <w:shd w:val="clear" w:color="auto" w:fill="FFFFFF"/>
            <w:tcMar>
              <w:top w:w="80" w:type="dxa"/>
              <w:left w:w="80" w:type="dxa"/>
              <w:bottom w:w="80" w:type="dxa"/>
              <w:right w:w="80" w:type="dxa"/>
            </w:tcMar>
          </w:tcPr>
          <w:p w14:paraId="32144C42"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.416</w:t>
            </w:r>
          </w:p>
        </w:tc>
        <w:tc>
          <w:tcPr>
            <w:tcW w:w="1932" w:type="dxa"/>
            <w:tcBorders>
              <w:top w:val="single" w:sz="2" w:space="0" w:color="F4B083"/>
              <w:left w:val="single" w:sz="2" w:space="0" w:color="F4B083"/>
              <w:bottom w:val="single" w:sz="2" w:space="0" w:color="F4B083"/>
              <w:right w:val="single" w:sz="2" w:space="0" w:color="F4B083"/>
            </w:tcBorders>
            <w:shd w:val="clear" w:color="auto" w:fill="FFFFFF"/>
            <w:tcMar>
              <w:top w:w="80" w:type="dxa"/>
              <w:left w:w="80" w:type="dxa"/>
              <w:bottom w:w="80" w:type="dxa"/>
              <w:right w:w="80" w:type="dxa"/>
            </w:tcMar>
          </w:tcPr>
          <w:p w14:paraId="4FBE4B94"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.077</w:t>
            </w:r>
          </w:p>
        </w:tc>
        <w:tc>
          <w:tcPr>
            <w:tcW w:w="1934" w:type="dxa"/>
            <w:tcBorders>
              <w:top w:val="single" w:sz="2" w:space="0" w:color="F4B083"/>
              <w:left w:val="single" w:sz="2" w:space="0" w:color="F4B083"/>
              <w:bottom w:val="single" w:sz="2" w:space="0" w:color="F4B083"/>
              <w:right w:val="single" w:sz="4" w:space="0" w:color="000000"/>
            </w:tcBorders>
            <w:shd w:val="clear" w:color="auto" w:fill="FBE4D5"/>
            <w:tcMar>
              <w:top w:w="80" w:type="dxa"/>
              <w:left w:w="80" w:type="dxa"/>
              <w:bottom w:w="80" w:type="dxa"/>
              <w:right w:w="80" w:type="dxa"/>
            </w:tcMar>
          </w:tcPr>
          <w:p w14:paraId="5266512B"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.770</w:t>
            </w:r>
            <w:r w:rsidRPr="00AF0E0B">
              <w:rPr>
                <w:rFonts w:eastAsia="Arial Unicode MS" w:cs="Arial Unicode MS"/>
                <w:color w:val="000000"/>
                <w:sz w:val="22"/>
                <w:szCs w:val="22"/>
                <w:u w:color="000000"/>
                <w:bdr w:val="nil"/>
                <w:vertAlign w:val="superscript"/>
                <w:lang w:val="en-US" w:eastAsia="en-GB"/>
              </w:rPr>
              <w:t>*</w:t>
            </w:r>
          </w:p>
        </w:tc>
      </w:tr>
      <w:tr w:rsidR="00AF0E0B" w:rsidRPr="00AF0E0B" w14:paraId="3C691D0D" w14:textId="77777777" w:rsidTr="00AB4128">
        <w:trPr>
          <w:trHeight w:val="238"/>
        </w:trPr>
        <w:tc>
          <w:tcPr>
            <w:tcW w:w="3266" w:type="dxa"/>
            <w:tcBorders>
              <w:top w:val="single" w:sz="2" w:space="0" w:color="F4B083"/>
              <w:left w:val="single" w:sz="4" w:space="0" w:color="000000"/>
              <w:bottom w:val="single" w:sz="2" w:space="0" w:color="F4B083"/>
              <w:right w:val="single" w:sz="2" w:space="0" w:color="F4B083"/>
            </w:tcBorders>
            <w:shd w:val="clear" w:color="auto" w:fill="auto"/>
            <w:tcMar>
              <w:top w:w="80" w:type="dxa"/>
              <w:left w:w="80" w:type="dxa"/>
              <w:bottom w:w="80" w:type="dxa"/>
              <w:right w:w="80" w:type="dxa"/>
            </w:tcMar>
          </w:tcPr>
          <w:p w14:paraId="7BAFBE27" w14:textId="77777777" w:rsidR="00AF0E0B" w:rsidRPr="00AF0E0B" w:rsidRDefault="00AF0E0B" w:rsidP="00AF0E0B">
            <w:pPr>
              <w:pBdr>
                <w:top w:val="nil"/>
                <w:left w:val="nil"/>
                <w:bottom w:val="nil"/>
                <w:right w:val="nil"/>
                <w:between w:val="nil"/>
                <w:bar w:val="nil"/>
              </w:pBdr>
              <w:rPr>
                <w:rFonts w:ascii="Times New Roman" w:eastAsia="Arial Unicode MS" w:hAnsi="Times New Roman" w:cs="Arial Unicode MS"/>
                <w:color w:val="000000"/>
                <w:u w:color="000000"/>
                <w:bdr w:val="nil"/>
                <w:lang w:eastAsia="en-GB"/>
              </w:rPr>
            </w:pPr>
            <w:r w:rsidRPr="00AF0E0B">
              <w:rPr>
                <w:rFonts w:eastAsia="Arial Unicode MS" w:cs="Arial Unicode MS"/>
                <w:i/>
                <w:iCs/>
                <w:color w:val="000000"/>
                <w:sz w:val="22"/>
                <w:szCs w:val="22"/>
                <w:u w:color="000000"/>
                <w:bdr w:val="nil"/>
                <w:lang w:val="en-US" w:eastAsia="en-GB"/>
              </w:rPr>
              <w:t>MPS</w:t>
            </w:r>
          </w:p>
        </w:tc>
        <w:tc>
          <w:tcPr>
            <w:tcW w:w="1932" w:type="dxa"/>
            <w:tcBorders>
              <w:top w:val="single" w:sz="2" w:space="0" w:color="F4B083"/>
              <w:left w:val="single" w:sz="2" w:space="0" w:color="F4B083"/>
              <w:bottom w:val="single" w:sz="2" w:space="0" w:color="F4B083"/>
              <w:right w:val="single" w:sz="2" w:space="0" w:color="F4B083"/>
            </w:tcBorders>
            <w:shd w:val="clear" w:color="auto" w:fill="FFFFFF"/>
            <w:tcMar>
              <w:top w:w="80" w:type="dxa"/>
              <w:left w:w="80" w:type="dxa"/>
              <w:bottom w:w="80" w:type="dxa"/>
              <w:right w:w="80" w:type="dxa"/>
            </w:tcMar>
          </w:tcPr>
          <w:p w14:paraId="201EE138"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-.242</w:t>
            </w:r>
          </w:p>
        </w:tc>
        <w:tc>
          <w:tcPr>
            <w:tcW w:w="1932" w:type="dxa"/>
            <w:tcBorders>
              <w:top w:val="single" w:sz="2" w:space="0" w:color="F4B083"/>
              <w:left w:val="single" w:sz="2" w:space="0" w:color="F4B083"/>
              <w:bottom w:val="single" w:sz="2" w:space="0" w:color="F4B083"/>
              <w:right w:val="single" w:sz="2" w:space="0" w:color="F4B083"/>
            </w:tcBorders>
            <w:shd w:val="clear" w:color="auto" w:fill="FFFFFF"/>
            <w:tcMar>
              <w:top w:w="80" w:type="dxa"/>
              <w:left w:w="80" w:type="dxa"/>
              <w:bottom w:w="80" w:type="dxa"/>
              <w:right w:w="80" w:type="dxa"/>
            </w:tcMar>
          </w:tcPr>
          <w:p w14:paraId="5BB2EF58"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-.252</w:t>
            </w:r>
          </w:p>
        </w:tc>
        <w:tc>
          <w:tcPr>
            <w:tcW w:w="1934" w:type="dxa"/>
            <w:tcBorders>
              <w:top w:val="single" w:sz="2" w:space="0" w:color="F4B083"/>
              <w:left w:val="single" w:sz="2" w:space="0" w:color="F4B083"/>
              <w:bottom w:val="single" w:sz="2" w:space="0" w:color="F4B083"/>
              <w:right w:val="single" w:sz="4" w:space="0" w:color="000000"/>
            </w:tcBorders>
            <w:shd w:val="clear" w:color="auto" w:fill="FBE4D5"/>
            <w:tcMar>
              <w:top w:w="80" w:type="dxa"/>
              <w:left w:w="80" w:type="dxa"/>
              <w:bottom w:w="80" w:type="dxa"/>
              <w:right w:w="80" w:type="dxa"/>
            </w:tcMar>
          </w:tcPr>
          <w:p w14:paraId="7A94E02D"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-.330</w:t>
            </w:r>
            <w:r w:rsidRPr="00AF0E0B">
              <w:rPr>
                <w:rFonts w:eastAsia="Arial Unicode MS" w:cs="Arial Unicode MS"/>
                <w:color w:val="000000"/>
                <w:sz w:val="22"/>
                <w:szCs w:val="22"/>
                <w:u w:color="000000"/>
                <w:bdr w:val="nil"/>
                <w:vertAlign w:val="superscript"/>
                <w:lang w:val="en-US" w:eastAsia="en-GB"/>
              </w:rPr>
              <w:t>*</w:t>
            </w:r>
          </w:p>
        </w:tc>
      </w:tr>
      <w:tr w:rsidR="00AF0E0B" w:rsidRPr="00AF0E0B" w14:paraId="6C9666C7" w14:textId="77777777" w:rsidTr="00AB4128">
        <w:trPr>
          <w:trHeight w:val="240"/>
        </w:trPr>
        <w:tc>
          <w:tcPr>
            <w:tcW w:w="3266" w:type="dxa"/>
            <w:tcBorders>
              <w:top w:val="single" w:sz="2" w:space="0" w:color="F4B083"/>
              <w:left w:val="single" w:sz="4" w:space="0" w:color="000000"/>
              <w:bottom w:val="single" w:sz="4" w:space="0" w:color="000000"/>
              <w:right w:val="single" w:sz="2" w:space="0" w:color="F4B083"/>
            </w:tcBorders>
            <w:shd w:val="clear" w:color="auto" w:fill="FBE4D5"/>
            <w:tcMar>
              <w:top w:w="80" w:type="dxa"/>
              <w:left w:w="80" w:type="dxa"/>
              <w:bottom w:w="80" w:type="dxa"/>
              <w:right w:w="80" w:type="dxa"/>
            </w:tcMar>
          </w:tcPr>
          <w:p w14:paraId="278C5B8F" w14:textId="77777777" w:rsidR="00AF0E0B" w:rsidRPr="00AF0E0B" w:rsidRDefault="00AF0E0B" w:rsidP="00AF0E0B">
            <w:pPr>
              <w:pBdr>
                <w:top w:val="nil"/>
                <w:left w:val="nil"/>
                <w:bottom w:val="nil"/>
                <w:right w:val="nil"/>
                <w:between w:val="nil"/>
                <w:bar w:val="nil"/>
              </w:pBdr>
              <w:rPr>
                <w:rFonts w:ascii="Times New Roman" w:eastAsia="Arial Unicode MS" w:hAnsi="Times New Roman" w:cs="Arial Unicode MS"/>
                <w:color w:val="000000"/>
                <w:u w:color="000000"/>
                <w:bdr w:val="nil"/>
                <w:lang w:eastAsia="en-GB"/>
              </w:rPr>
            </w:pPr>
            <w:r w:rsidRPr="00AF0E0B">
              <w:rPr>
                <w:rFonts w:eastAsia="Arial Unicode MS" w:cs="Arial Unicode MS"/>
                <w:i/>
                <w:iCs/>
                <w:color w:val="000000"/>
                <w:sz w:val="22"/>
                <w:szCs w:val="22"/>
                <w:u w:color="000000"/>
                <w:bdr w:val="nil"/>
                <w:lang w:val="en-US" w:eastAsia="en-GB"/>
              </w:rPr>
              <w:t>PPT</w:t>
            </w:r>
          </w:p>
        </w:tc>
        <w:tc>
          <w:tcPr>
            <w:tcW w:w="1932" w:type="dxa"/>
            <w:tcBorders>
              <w:top w:val="single" w:sz="2" w:space="0" w:color="F4B083"/>
              <w:left w:val="single" w:sz="2" w:space="0" w:color="F4B083"/>
              <w:bottom w:val="single" w:sz="4" w:space="0" w:color="000000"/>
              <w:right w:val="single" w:sz="2" w:space="0" w:color="F4B083"/>
            </w:tcBorders>
            <w:shd w:val="clear" w:color="auto" w:fill="FFFFFF"/>
            <w:tcMar>
              <w:top w:w="80" w:type="dxa"/>
              <w:left w:w="80" w:type="dxa"/>
              <w:bottom w:w="80" w:type="dxa"/>
              <w:right w:w="80" w:type="dxa"/>
            </w:tcMar>
          </w:tcPr>
          <w:p w14:paraId="4EA13CA3"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.008</w:t>
            </w:r>
          </w:p>
        </w:tc>
        <w:tc>
          <w:tcPr>
            <w:tcW w:w="1932" w:type="dxa"/>
            <w:tcBorders>
              <w:top w:val="single" w:sz="2" w:space="0" w:color="F4B083"/>
              <w:left w:val="single" w:sz="2" w:space="0" w:color="F4B083"/>
              <w:bottom w:val="single" w:sz="4" w:space="0" w:color="000000"/>
              <w:right w:val="single" w:sz="2" w:space="0" w:color="F4B083"/>
            </w:tcBorders>
            <w:shd w:val="clear" w:color="auto" w:fill="FFFFFF"/>
            <w:tcMar>
              <w:top w:w="80" w:type="dxa"/>
              <w:left w:w="80" w:type="dxa"/>
              <w:bottom w:w="80" w:type="dxa"/>
              <w:right w:w="80" w:type="dxa"/>
            </w:tcMar>
          </w:tcPr>
          <w:p w14:paraId="1AA02231"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-.042</w:t>
            </w:r>
          </w:p>
        </w:tc>
        <w:tc>
          <w:tcPr>
            <w:tcW w:w="1934" w:type="dxa"/>
            <w:tcBorders>
              <w:top w:val="single" w:sz="2" w:space="0" w:color="F4B083"/>
              <w:left w:val="single" w:sz="2" w:space="0" w:color="F4B083"/>
              <w:bottom w:val="single" w:sz="4" w:space="0" w:color="000000"/>
              <w:right w:val="single" w:sz="4" w:space="0" w:color="000000"/>
            </w:tcBorders>
            <w:shd w:val="clear" w:color="auto" w:fill="FBE4D5"/>
            <w:tcMar>
              <w:top w:w="80" w:type="dxa"/>
              <w:left w:w="80" w:type="dxa"/>
              <w:bottom w:w="80" w:type="dxa"/>
              <w:right w:w="80" w:type="dxa"/>
            </w:tcMar>
          </w:tcPr>
          <w:p w14:paraId="0C4C77A3"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.315</w:t>
            </w:r>
            <w:r w:rsidRPr="00AF0E0B">
              <w:rPr>
                <w:rFonts w:eastAsia="Arial Unicode MS" w:cs="Arial Unicode MS"/>
                <w:color w:val="000000"/>
                <w:sz w:val="22"/>
                <w:szCs w:val="22"/>
                <w:u w:color="000000"/>
                <w:bdr w:val="nil"/>
                <w:vertAlign w:val="superscript"/>
                <w:lang w:val="en-US" w:eastAsia="en-GB"/>
              </w:rPr>
              <w:t>*</w:t>
            </w:r>
          </w:p>
        </w:tc>
      </w:tr>
    </w:tbl>
    <w:p w14:paraId="38586FD1" w14:textId="77777777" w:rsidR="00AF0E0B" w:rsidRPr="008E7150" w:rsidRDefault="00AF0E0B" w:rsidP="008E7150">
      <w:pPr>
        <w:pBdr>
          <w:top w:val="nil"/>
          <w:left w:val="nil"/>
          <w:bottom w:val="nil"/>
          <w:right w:val="nil"/>
          <w:between w:val="nil"/>
          <w:bar w:val="nil"/>
        </w:pBdr>
        <w:spacing w:line="360" w:lineRule="auto"/>
        <w:rPr>
          <w:rStyle w:val="SubtleEmphasis"/>
        </w:rPr>
      </w:pPr>
      <w:r w:rsidRPr="008E7150">
        <w:rPr>
          <w:rStyle w:val="SubtleEmphasis"/>
        </w:rPr>
        <w:t xml:space="preserve">Pooled within-groups correlations between discriminating variables and standardized canonical discriminant functions </w:t>
      </w:r>
      <w:r w:rsidRPr="008E7150">
        <w:rPr>
          <w:rStyle w:val="SubtleEmphasis"/>
        </w:rPr>
        <w:br/>
        <w:t>Variables ordered by absolute size of correlation within function.</w:t>
      </w:r>
    </w:p>
    <w:p w14:paraId="33C66BCF" w14:textId="77777777" w:rsidR="00AF0E0B" w:rsidRPr="008E7150" w:rsidRDefault="00AF0E0B" w:rsidP="008E7150">
      <w:pPr>
        <w:pBdr>
          <w:top w:val="nil"/>
          <w:left w:val="nil"/>
          <w:bottom w:val="nil"/>
          <w:right w:val="nil"/>
          <w:between w:val="nil"/>
          <w:bar w:val="nil"/>
        </w:pBdr>
        <w:spacing w:line="360" w:lineRule="auto"/>
        <w:rPr>
          <w:rStyle w:val="SubtleEmphasis"/>
        </w:rPr>
      </w:pPr>
      <w:r w:rsidRPr="008E7150">
        <w:rPr>
          <w:rStyle w:val="SubtleEmphasis"/>
        </w:rPr>
        <w:t>* Largest absolute correlation between each variable and any discriminant function</w:t>
      </w:r>
    </w:p>
    <w:p w14:paraId="5E22B798" w14:textId="77777777" w:rsidR="00AF0E0B" w:rsidRPr="008E7150" w:rsidRDefault="00AF0E0B" w:rsidP="008E7150">
      <w:pPr>
        <w:pBdr>
          <w:top w:val="nil"/>
          <w:left w:val="nil"/>
          <w:bottom w:val="nil"/>
          <w:right w:val="nil"/>
          <w:between w:val="nil"/>
          <w:bar w:val="nil"/>
        </w:pBdr>
        <w:spacing w:line="360" w:lineRule="auto"/>
        <w:rPr>
          <w:rStyle w:val="SubtleEmphasis"/>
        </w:rPr>
      </w:pPr>
      <w:r w:rsidRPr="008E7150">
        <w:rPr>
          <w:rStyle w:val="SubtleEmphasis"/>
        </w:rPr>
        <w:t>TSL=thermal sensory limen, CDT=cold detection threshold, VDT=vibration detection threshold, WDT=warm detection threshold, MPT= mechanical pain threshold, CPT=cold pain threshold, MDT= mechanical detection threshold, WUR= wind up ratio, DMA= dynamic mechanical allodynia, PHS=paradoxical heat sensation, HPT=heat pain threshold, MPS= mechanical pain sensation, PPT pressure pain threshold</w:t>
      </w:r>
    </w:p>
    <w:p w14:paraId="06B99313" w14:textId="77777777" w:rsidR="008E7150" w:rsidRDefault="008E7150">
      <w:pPr>
        <w:rPr>
          <w:rFonts w:eastAsia="Arial" w:cs="Arial"/>
          <w:color w:val="000000"/>
          <w:u w:color="000000"/>
          <w:bdr w:val="nil"/>
          <w:lang w:eastAsia="en-GB"/>
        </w:rPr>
      </w:pPr>
      <w:bookmarkStart w:id="203" w:name="_Toc25"/>
      <w:bookmarkStart w:id="204" w:name="_Toc49973557"/>
      <w:r>
        <w:rPr>
          <w:i/>
          <w:iCs/>
          <w:color w:val="000000"/>
          <w:u w:color="000000"/>
        </w:rPr>
        <w:br w:type="page"/>
      </w:r>
    </w:p>
    <w:p w14:paraId="55379221" w14:textId="76D7721F" w:rsidR="00AF0E0B" w:rsidRPr="00AF0E0B" w:rsidRDefault="00AF0E0B" w:rsidP="00455CF2">
      <w:pPr>
        <w:pStyle w:val="Quote"/>
      </w:pPr>
      <w:bookmarkStart w:id="205" w:name="_Toc64724081"/>
      <w:r w:rsidRPr="00AF0E0B">
        <w:lastRenderedPageBreak/>
        <w:t xml:space="preserve">Table 2.6  Classification Results using the </w:t>
      </w:r>
      <w:r w:rsidR="004777BF">
        <w:t>D</w:t>
      </w:r>
      <w:r w:rsidRPr="00AF0E0B">
        <w:t xml:space="preserve">iscriminant </w:t>
      </w:r>
      <w:r w:rsidR="004777BF">
        <w:t>F</w:t>
      </w:r>
      <w:r w:rsidRPr="00AF0E0B">
        <w:t xml:space="preserve">unctions  for QST </w:t>
      </w:r>
      <w:r w:rsidR="004777BF">
        <w:t>M</w:t>
      </w:r>
      <w:r w:rsidRPr="00AF0E0B">
        <w:t xml:space="preserve">easurements </w:t>
      </w:r>
      <w:r w:rsidR="004777BF">
        <w:t>O</w:t>
      </w:r>
      <w:r w:rsidRPr="00AF0E0B">
        <w:t>btained by the DFNS protocol</w:t>
      </w:r>
      <w:bookmarkEnd w:id="203"/>
      <w:bookmarkEnd w:id="204"/>
      <w:bookmarkEnd w:id="205"/>
    </w:p>
    <w:tbl>
      <w:tblPr>
        <w:tblW w:w="9249"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1943"/>
        <w:gridCol w:w="1617"/>
        <w:gridCol w:w="1138"/>
        <w:gridCol w:w="1138"/>
        <w:gridCol w:w="1137"/>
        <w:gridCol w:w="1140"/>
        <w:gridCol w:w="1136"/>
      </w:tblGrid>
      <w:tr w:rsidR="00AF0E0B" w:rsidRPr="00AF0E0B" w14:paraId="75257A37" w14:textId="77777777" w:rsidTr="00AB4128">
        <w:trPr>
          <w:trHeight w:val="253"/>
        </w:trPr>
        <w:tc>
          <w:tcPr>
            <w:tcW w:w="3560" w:type="dxa"/>
            <w:gridSpan w:val="2"/>
            <w:vMerge w:val="restart"/>
            <w:tcBorders>
              <w:top w:val="single" w:sz="12" w:space="0" w:color="000000"/>
              <w:left w:val="single" w:sz="12" w:space="0" w:color="000000"/>
              <w:bottom w:val="single" w:sz="12" w:space="0" w:color="000000"/>
              <w:right w:val="single" w:sz="12" w:space="0" w:color="000000"/>
            </w:tcBorders>
            <w:shd w:val="clear" w:color="auto" w:fill="auto"/>
            <w:tcMar>
              <w:top w:w="80" w:type="dxa"/>
              <w:left w:w="80" w:type="dxa"/>
              <w:bottom w:w="80" w:type="dxa"/>
              <w:right w:w="80" w:type="dxa"/>
            </w:tcMar>
            <w:vAlign w:val="bottom"/>
          </w:tcPr>
          <w:p w14:paraId="4FEDD06F" w14:textId="77777777" w:rsidR="00AF0E0B" w:rsidRPr="00AF0E0B" w:rsidRDefault="00AF0E0B" w:rsidP="00AF0E0B">
            <w:pPr>
              <w:pBdr>
                <w:top w:val="nil"/>
                <w:left w:val="nil"/>
                <w:bottom w:val="nil"/>
                <w:right w:val="nil"/>
                <w:between w:val="nil"/>
                <w:bar w:val="nil"/>
              </w:pBdr>
              <w:rPr>
                <w:rFonts w:ascii="Times New Roman" w:eastAsia="Arial Unicode MS" w:hAnsi="Times New Roman" w:cs="Arial Unicode MS"/>
                <w:color w:val="000000"/>
                <w:u w:color="000000"/>
                <w:bdr w:val="nil"/>
                <w:lang w:eastAsia="en-GB"/>
              </w:rPr>
            </w:pPr>
            <w:r w:rsidRPr="00AF0E0B">
              <w:rPr>
                <w:rFonts w:eastAsia="Arial Unicode MS" w:cs="Arial Unicode MS"/>
                <w:i/>
                <w:iCs/>
                <w:color w:val="000000"/>
                <w:sz w:val="22"/>
                <w:szCs w:val="22"/>
                <w:u w:color="000000"/>
                <w:bdr w:val="nil"/>
                <w:lang w:val="en-US" w:eastAsia="en-GB"/>
              </w:rPr>
              <w:t>GROUP</w:t>
            </w:r>
          </w:p>
        </w:tc>
        <w:tc>
          <w:tcPr>
            <w:tcW w:w="4553" w:type="dxa"/>
            <w:gridSpan w:val="4"/>
            <w:tcBorders>
              <w:top w:val="single" w:sz="12" w:space="0" w:color="000000"/>
              <w:left w:val="single" w:sz="12"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16200FF" w14:textId="77777777" w:rsidR="00AF0E0B" w:rsidRPr="00AF0E0B" w:rsidRDefault="00AF0E0B" w:rsidP="00AF0E0B">
            <w:pPr>
              <w:pBdr>
                <w:top w:val="nil"/>
                <w:left w:val="nil"/>
                <w:bottom w:val="nil"/>
                <w:right w:val="nil"/>
                <w:between w:val="nil"/>
                <w:bar w:val="nil"/>
              </w:pBdr>
              <w:jc w:val="center"/>
              <w:rPr>
                <w:rFonts w:ascii="Times New Roman" w:eastAsia="Arial Unicode MS" w:hAnsi="Times New Roman" w:cs="Arial Unicode MS"/>
                <w:color w:val="000000"/>
                <w:u w:color="000000"/>
                <w:bdr w:val="nil"/>
                <w:lang w:eastAsia="en-GB"/>
              </w:rPr>
            </w:pPr>
            <w:r w:rsidRPr="00AF0E0B">
              <w:rPr>
                <w:rFonts w:eastAsia="Arial Unicode MS" w:cs="Arial Unicode MS"/>
                <w:i/>
                <w:iCs/>
                <w:color w:val="000000"/>
                <w:sz w:val="22"/>
                <w:szCs w:val="22"/>
                <w:u w:color="000000"/>
                <w:bdr w:val="nil"/>
                <w:lang w:val="en-US" w:eastAsia="en-GB"/>
              </w:rPr>
              <w:t>Predicted Group Membership</w:t>
            </w:r>
          </w:p>
        </w:tc>
        <w:tc>
          <w:tcPr>
            <w:tcW w:w="1135" w:type="dxa"/>
            <w:vMerge w:val="restart"/>
            <w:tcBorders>
              <w:top w:val="single" w:sz="12" w:space="0" w:color="000000"/>
              <w:left w:val="single" w:sz="4" w:space="0" w:color="000000"/>
              <w:bottom w:val="single" w:sz="12" w:space="0" w:color="000000"/>
              <w:right w:val="single" w:sz="12" w:space="0" w:color="000000"/>
            </w:tcBorders>
            <w:shd w:val="clear" w:color="auto" w:fill="auto"/>
            <w:tcMar>
              <w:top w:w="80" w:type="dxa"/>
              <w:left w:w="80" w:type="dxa"/>
              <w:bottom w:w="80" w:type="dxa"/>
              <w:right w:w="80" w:type="dxa"/>
            </w:tcMar>
            <w:vAlign w:val="bottom"/>
          </w:tcPr>
          <w:p w14:paraId="57CD2C33" w14:textId="77777777" w:rsidR="00AF0E0B" w:rsidRPr="00AF0E0B" w:rsidRDefault="00AF0E0B" w:rsidP="00AF0E0B">
            <w:pPr>
              <w:pBdr>
                <w:top w:val="nil"/>
                <w:left w:val="nil"/>
                <w:bottom w:val="nil"/>
                <w:right w:val="nil"/>
                <w:between w:val="nil"/>
                <w:bar w:val="nil"/>
              </w:pBdr>
              <w:jc w:val="center"/>
              <w:rPr>
                <w:rFonts w:ascii="Times New Roman" w:eastAsia="Arial Unicode MS" w:hAnsi="Times New Roman" w:cs="Arial Unicode MS"/>
                <w:color w:val="000000"/>
                <w:u w:color="000000"/>
                <w:bdr w:val="nil"/>
                <w:lang w:eastAsia="en-GB"/>
              </w:rPr>
            </w:pPr>
            <w:r w:rsidRPr="00AF0E0B">
              <w:rPr>
                <w:rFonts w:eastAsia="Arial Unicode MS" w:cs="Arial Unicode MS"/>
                <w:i/>
                <w:iCs/>
                <w:color w:val="000000"/>
                <w:sz w:val="22"/>
                <w:szCs w:val="22"/>
                <w:u w:color="000000"/>
                <w:bdr w:val="nil"/>
                <w:lang w:val="en-US" w:eastAsia="en-GB"/>
              </w:rPr>
              <w:t>Total</w:t>
            </w:r>
          </w:p>
        </w:tc>
      </w:tr>
      <w:tr w:rsidR="00AF0E0B" w:rsidRPr="00AF0E0B" w14:paraId="2DA6DF46" w14:textId="77777777" w:rsidTr="00AB4128">
        <w:trPr>
          <w:trHeight w:val="253"/>
        </w:trPr>
        <w:tc>
          <w:tcPr>
            <w:tcW w:w="3560" w:type="dxa"/>
            <w:gridSpan w:val="2"/>
            <w:vMerge/>
            <w:tcBorders>
              <w:top w:val="single" w:sz="12" w:space="0" w:color="000000"/>
              <w:left w:val="single" w:sz="12" w:space="0" w:color="000000"/>
              <w:bottom w:val="single" w:sz="12" w:space="0" w:color="000000"/>
              <w:right w:val="single" w:sz="12" w:space="0" w:color="000000"/>
            </w:tcBorders>
            <w:shd w:val="clear" w:color="auto" w:fill="auto"/>
          </w:tcPr>
          <w:p w14:paraId="39CE7A14" w14:textId="77777777" w:rsidR="00AF0E0B" w:rsidRPr="00AF0E0B" w:rsidRDefault="00AF0E0B" w:rsidP="00AF0E0B">
            <w:pPr>
              <w:pBdr>
                <w:top w:val="nil"/>
                <w:left w:val="nil"/>
                <w:bottom w:val="nil"/>
                <w:right w:val="nil"/>
                <w:between w:val="nil"/>
                <w:bar w:val="nil"/>
              </w:pBdr>
              <w:rPr>
                <w:rFonts w:ascii="Times New Roman" w:eastAsia="Arial Unicode MS" w:hAnsi="Times New Roman" w:cs="Times New Roman"/>
                <w:bdr w:val="nil"/>
                <w:lang w:val="en-US"/>
              </w:rPr>
            </w:pPr>
          </w:p>
        </w:tc>
        <w:tc>
          <w:tcPr>
            <w:tcW w:w="1138" w:type="dxa"/>
            <w:tcBorders>
              <w:top w:val="single" w:sz="4" w:space="0" w:color="000000"/>
              <w:left w:val="single" w:sz="12" w:space="0" w:color="000000"/>
              <w:bottom w:val="single" w:sz="12" w:space="0" w:color="000000"/>
              <w:right w:val="single" w:sz="4" w:space="0" w:color="000000"/>
            </w:tcBorders>
            <w:shd w:val="clear" w:color="auto" w:fill="auto"/>
            <w:tcMar>
              <w:top w:w="80" w:type="dxa"/>
              <w:left w:w="80" w:type="dxa"/>
              <w:bottom w:w="80" w:type="dxa"/>
              <w:right w:w="80" w:type="dxa"/>
            </w:tcMar>
            <w:vAlign w:val="bottom"/>
          </w:tcPr>
          <w:p w14:paraId="412E32E6" w14:textId="77777777" w:rsidR="00AF0E0B" w:rsidRPr="00AF0E0B" w:rsidRDefault="00AF0E0B" w:rsidP="00AF0E0B">
            <w:pPr>
              <w:pBdr>
                <w:top w:val="nil"/>
                <w:left w:val="nil"/>
                <w:bottom w:val="nil"/>
                <w:right w:val="nil"/>
                <w:between w:val="nil"/>
                <w:bar w:val="nil"/>
              </w:pBdr>
              <w:jc w:val="center"/>
              <w:rPr>
                <w:rFonts w:ascii="Times New Roman" w:eastAsia="Arial Unicode MS" w:hAnsi="Times New Roman" w:cs="Arial Unicode MS"/>
                <w:color w:val="000000"/>
                <w:u w:color="000000"/>
                <w:bdr w:val="nil"/>
                <w:lang w:eastAsia="en-GB"/>
              </w:rPr>
            </w:pPr>
            <w:r w:rsidRPr="00AF0E0B">
              <w:rPr>
                <w:rFonts w:eastAsia="Arial Unicode MS" w:cs="Arial Unicode MS"/>
                <w:i/>
                <w:iCs/>
                <w:color w:val="000000"/>
                <w:sz w:val="22"/>
                <w:szCs w:val="22"/>
                <w:u w:color="000000"/>
                <w:bdr w:val="nil"/>
                <w:lang w:val="en-US" w:eastAsia="en-GB"/>
              </w:rPr>
              <w:t>P-DPN</w:t>
            </w:r>
          </w:p>
        </w:tc>
        <w:tc>
          <w:tcPr>
            <w:tcW w:w="1138" w:type="dxa"/>
            <w:tcBorders>
              <w:top w:val="single" w:sz="4" w:space="0" w:color="000000"/>
              <w:left w:val="single" w:sz="4" w:space="0" w:color="000000"/>
              <w:bottom w:val="single" w:sz="12" w:space="0" w:color="000000"/>
              <w:right w:val="single" w:sz="4" w:space="0" w:color="000000"/>
            </w:tcBorders>
            <w:shd w:val="clear" w:color="auto" w:fill="auto"/>
            <w:tcMar>
              <w:top w:w="80" w:type="dxa"/>
              <w:left w:w="80" w:type="dxa"/>
              <w:bottom w:w="80" w:type="dxa"/>
              <w:right w:w="80" w:type="dxa"/>
            </w:tcMar>
            <w:vAlign w:val="bottom"/>
          </w:tcPr>
          <w:p w14:paraId="24636F08" w14:textId="77777777" w:rsidR="00AF0E0B" w:rsidRPr="00AF0E0B" w:rsidRDefault="00AF0E0B" w:rsidP="00AF0E0B">
            <w:pPr>
              <w:pBdr>
                <w:top w:val="nil"/>
                <w:left w:val="nil"/>
                <w:bottom w:val="nil"/>
                <w:right w:val="nil"/>
                <w:between w:val="nil"/>
                <w:bar w:val="nil"/>
              </w:pBdr>
              <w:jc w:val="center"/>
              <w:rPr>
                <w:rFonts w:ascii="Times New Roman" w:eastAsia="Arial Unicode MS" w:hAnsi="Times New Roman" w:cs="Arial Unicode MS"/>
                <w:color w:val="000000"/>
                <w:u w:color="000000"/>
                <w:bdr w:val="nil"/>
                <w:lang w:eastAsia="en-GB"/>
              </w:rPr>
            </w:pPr>
            <w:r w:rsidRPr="00AF0E0B">
              <w:rPr>
                <w:rFonts w:eastAsia="Arial Unicode MS" w:cs="Arial Unicode MS"/>
                <w:i/>
                <w:iCs/>
                <w:color w:val="000000"/>
                <w:sz w:val="22"/>
                <w:szCs w:val="22"/>
                <w:u w:color="000000"/>
                <w:bdr w:val="nil"/>
                <w:lang w:val="en-US" w:eastAsia="en-GB"/>
              </w:rPr>
              <w:t>DPN</w:t>
            </w:r>
          </w:p>
        </w:tc>
        <w:tc>
          <w:tcPr>
            <w:tcW w:w="1137" w:type="dxa"/>
            <w:tcBorders>
              <w:top w:val="single" w:sz="4" w:space="0" w:color="000000"/>
              <w:left w:val="single" w:sz="4" w:space="0" w:color="000000"/>
              <w:bottom w:val="single" w:sz="12" w:space="0" w:color="000000"/>
              <w:right w:val="single" w:sz="4" w:space="0" w:color="000000"/>
            </w:tcBorders>
            <w:shd w:val="clear" w:color="auto" w:fill="auto"/>
            <w:tcMar>
              <w:top w:w="80" w:type="dxa"/>
              <w:left w:w="80" w:type="dxa"/>
              <w:bottom w:w="80" w:type="dxa"/>
              <w:right w:w="80" w:type="dxa"/>
            </w:tcMar>
            <w:vAlign w:val="bottom"/>
          </w:tcPr>
          <w:p w14:paraId="15A758B4" w14:textId="77777777" w:rsidR="00AF0E0B" w:rsidRPr="00AF0E0B" w:rsidRDefault="00AF0E0B" w:rsidP="00AF0E0B">
            <w:pPr>
              <w:pBdr>
                <w:top w:val="nil"/>
                <w:left w:val="nil"/>
                <w:bottom w:val="nil"/>
                <w:right w:val="nil"/>
                <w:between w:val="nil"/>
                <w:bar w:val="nil"/>
              </w:pBdr>
              <w:jc w:val="center"/>
              <w:rPr>
                <w:rFonts w:ascii="Times New Roman" w:eastAsia="Arial Unicode MS" w:hAnsi="Times New Roman" w:cs="Arial Unicode MS"/>
                <w:color w:val="000000"/>
                <w:u w:color="000000"/>
                <w:bdr w:val="nil"/>
                <w:lang w:eastAsia="en-GB"/>
              </w:rPr>
            </w:pPr>
            <w:r w:rsidRPr="00AF0E0B">
              <w:rPr>
                <w:rFonts w:eastAsia="Arial Unicode MS" w:cs="Arial Unicode MS"/>
                <w:i/>
                <w:iCs/>
                <w:color w:val="000000"/>
                <w:sz w:val="22"/>
                <w:szCs w:val="22"/>
                <w:u w:color="000000"/>
                <w:bdr w:val="nil"/>
                <w:lang w:val="en-US" w:eastAsia="en-GB"/>
              </w:rPr>
              <w:t>DM-NN</w:t>
            </w:r>
          </w:p>
        </w:tc>
        <w:tc>
          <w:tcPr>
            <w:tcW w:w="1140" w:type="dxa"/>
            <w:tcBorders>
              <w:top w:val="single" w:sz="4" w:space="0" w:color="000000"/>
              <w:left w:val="single" w:sz="4" w:space="0" w:color="000000"/>
              <w:bottom w:val="single" w:sz="12" w:space="0" w:color="000000"/>
              <w:right w:val="single" w:sz="4" w:space="0" w:color="000000"/>
            </w:tcBorders>
            <w:shd w:val="clear" w:color="auto" w:fill="auto"/>
            <w:tcMar>
              <w:top w:w="80" w:type="dxa"/>
              <w:left w:w="80" w:type="dxa"/>
              <w:bottom w:w="80" w:type="dxa"/>
              <w:right w:w="80" w:type="dxa"/>
            </w:tcMar>
            <w:vAlign w:val="bottom"/>
          </w:tcPr>
          <w:p w14:paraId="5002C037" w14:textId="77777777" w:rsidR="00AF0E0B" w:rsidRPr="00AF0E0B" w:rsidRDefault="00AF0E0B" w:rsidP="00AF0E0B">
            <w:pPr>
              <w:pBdr>
                <w:top w:val="nil"/>
                <w:left w:val="nil"/>
                <w:bottom w:val="nil"/>
                <w:right w:val="nil"/>
                <w:between w:val="nil"/>
                <w:bar w:val="nil"/>
              </w:pBdr>
              <w:jc w:val="center"/>
              <w:rPr>
                <w:rFonts w:ascii="Times New Roman" w:eastAsia="Arial Unicode MS" w:hAnsi="Times New Roman" w:cs="Arial Unicode MS"/>
                <w:color w:val="000000"/>
                <w:u w:color="000000"/>
                <w:bdr w:val="nil"/>
                <w:lang w:eastAsia="en-GB"/>
              </w:rPr>
            </w:pPr>
            <w:r w:rsidRPr="00AF0E0B">
              <w:rPr>
                <w:rFonts w:eastAsia="Arial Unicode MS" w:cs="Arial Unicode MS"/>
                <w:i/>
                <w:iCs/>
                <w:color w:val="000000"/>
                <w:sz w:val="22"/>
                <w:szCs w:val="22"/>
                <w:u w:color="000000"/>
                <w:bdr w:val="nil"/>
                <w:lang w:val="en-US" w:eastAsia="en-GB"/>
              </w:rPr>
              <w:t>HV</w:t>
            </w:r>
          </w:p>
        </w:tc>
        <w:tc>
          <w:tcPr>
            <w:tcW w:w="1135" w:type="dxa"/>
            <w:vMerge/>
            <w:tcBorders>
              <w:top w:val="single" w:sz="12" w:space="0" w:color="000000"/>
              <w:left w:val="single" w:sz="4" w:space="0" w:color="000000"/>
              <w:bottom w:val="single" w:sz="12" w:space="0" w:color="000000"/>
              <w:right w:val="single" w:sz="12" w:space="0" w:color="000000"/>
            </w:tcBorders>
            <w:shd w:val="clear" w:color="auto" w:fill="auto"/>
          </w:tcPr>
          <w:p w14:paraId="1494DB1F" w14:textId="77777777" w:rsidR="00AF0E0B" w:rsidRPr="00AF0E0B" w:rsidRDefault="00AF0E0B" w:rsidP="00AF0E0B">
            <w:pPr>
              <w:pBdr>
                <w:top w:val="nil"/>
                <w:left w:val="nil"/>
                <w:bottom w:val="nil"/>
                <w:right w:val="nil"/>
                <w:between w:val="nil"/>
                <w:bar w:val="nil"/>
              </w:pBdr>
              <w:rPr>
                <w:rFonts w:ascii="Times New Roman" w:eastAsia="Arial Unicode MS" w:hAnsi="Times New Roman" w:cs="Times New Roman"/>
                <w:bdr w:val="nil"/>
                <w:lang w:val="en-US"/>
              </w:rPr>
            </w:pPr>
          </w:p>
        </w:tc>
      </w:tr>
      <w:tr w:rsidR="00AF0E0B" w:rsidRPr="00AF0E0B" w14:paraId="160F723E" w14:textId="77777777" w:rsidTr="00AB4128">
        <w:trPr>
          <w:trHeight w:val="248"/>
        </w:trPr>
        <w:tc>
          <w:tcPr>
            <w:tcW w:w="1943" w:type="dxa"/>
            <w:vMerge w:val="restart"/>
            <w:tcBorders>
              <w:top w:val="single" w:sz="12" w:space="0" w:color="000000"/>
              <w:left w:val="single" w:sz="12" w:space="0" w:color="000000"/>
              <w:bottom w:val="single" w:sz="12" w:space="0" w:color="000000"/>
              <w:right w:val="nil"/>
            </w:tcBorders>
            <w:shd w:val="clear" w:color="auto" w:fill="auto"/>
            <w:tcMar>
              <w:top w:w="80" w:type="dxa"/>
              <w:left w:w="80" w:type="dxa"/>
              <w:bottom w:w="80" w:type="dxa"/>
              <w:right w:w="80" w:type="dxa"/>
            </w:tcMar>
          </w:tcPr>
          <w:p w14:paraId="75D03DF1" w14:textId="77777777" w:rsidR="00AF0E0B" w:rsidRPr="00AF0E0B" w:rsidRDefault="00AF0E0B" w:rsidP="00AF0E0B">
            <w:pPr>
              <w:pBdr>
                <w:top w:val="nil"/>
                <w:left w:val="nil"/>
                <w:bottom w:val="nil"/>
                <w:right w:val="nil"/>
                <w:between w:val="nil"/>
                <w:bar w:val="nil"/>
              </w:pBdr>
              <w:rPr>
                <w:rFonts w:eastAsia="Arial" w:cs="Arial"/>
                <w:i/>
                <w:iCs/>
                <w:color w:val="000000"/>
                <w:sz w:val="22"/>
                <w:szCs w:val="22"/>
                <w:u w:color="000000"/>
                <w:bdr w:val="nil"/>
                <w:lang w:eastAsia="en-GB"/>
              </w:rPr>
            </w:pPr>
            <w:r w:rsidRPr="00AF0E0B">
              <w:rPr>
                <w:rFonts w:eastAsia="Arial Unicode MS" w:cs="Arial Unicode MS"/>
                <w:i/>
                <w:iCs/>
                <w:color w:val="000000"/>
                <w:sz w:val="22"/>
                <w:szCs w:val="22"/>
                <w:u w:color="000000"/>
                <w:bdr w:val="nil"/>
                <w:lang w:val="en-US" w:eastAsia="en-GB"/>
              </w:rPr>
              <w:t>Original</w:t>
            </w:r>
          </w:p>
          <w:p w14:paraId="50E54B9F" w14:textId="77777777" w:rsidR="00AF0E0B" w:rsidRPr="00AF0E0B" w:rsidRDefault="00AF0E0B" w:rsidP="00AF0E0B">
            <w:pPr>
              <w:pBdr>
                <w:top w:val="nil"/>
                <w:left w:val="nil"/>
                <w:bottom w:val="nil"/>
                <w:right w:val="nil"/>
                <w:between w:val="nil"/>
                <w:bar w:val="nil"/>
              </w:pBdr>
              <w:rPr>
                <w:rFonts w:ascii="Times New Roman" w:eastAsia="Arial Unicode MS" w:hAnsi="Times New Roman" w:cs="Arial Unicode MS"/>
                <w:color w:val="000000"/>
                <w:u w:color="000000"/>
                <w:bdr w:val="nil"/>
                <w:lang w:eastAsia="en-GB"/>
              </w:rPr>
            </w:pPr>
            <w:r w:rsidRPr="00AF0E0B">
              <w:rPr>
                <w:rFonts w:eastAsia="Arial Unicode MS" w:cs="Arial Unicode MS"/>
                <w:i/>
                <w:iCs/>
                <w:color w:val="000000"/>
                <w:sz w:val="22"/>
                <w:szCs w:val="22"/>
                <w:u w:color="000000"/>
                <w:bdr w:val="nil"/>
                <w:lang w:val="en-US" w:eastAsia="en-GB"/>
              </w:rPr>
              <w:t>Count</w:t>
            </w:r>
          </w:p>
        </w:tc>
        <w:tc>
          <w:tcPr>
            <w:tcW w:w="1617" w:type="dxa"/>
            <w:tcBorders>
              <w:top w:val="single" w:sz="12" w:space="0" w:color="000000"/>
              <w:left w:val="nil"/>
              <w:bottom w:val="nil"/>
              <w:right w:val="single" w:sz="12" w:space="0" w:color="000000"/>
            </w:tcBorders>
            <w:shd w:val="clear" w:color="auto" w:fill="FBE4D5"/>
            <w:tcMar>
              <w:top w:w="80" w:type="dxa"/>
              <w:left w:w="80" w:type="dxa"/>
              <w:bottom w:w="80" w:type="dxa"/>
              <w:right w:w="80" w:type="dxa"/>
            </w:tcMar>
          </w:tcPr>
          <w:p w14:paraId="07930362" w14:textId="77777777" w:rsidR="00AF0E0B" w:rsidRPr="00AF0E0B" w:rsidRDefault="00AF0E0B" w:rsidP="00AF0E0B">
            <w:pPr>
              <w:pBdr>
                <w:top w:val="nil"/>
                <w:left w:val="nil"/>
                <w:bottom w:val="nil"/>
                <w:right w:val="nil"/>
                <w:between w:val="nil"/>
                <w:bar w:val="nil"/>
              </w:pBdr>
              <w:rPr>
                <w:rFonts w:ascii="Times New Roman" w:eastAsia="Arial Unicode MS" w:hAnsi="Times New Roman" w:cs="Arial Unicode MS"/>
                <w:color w:val="000000"/>
                <w:u w:color="000000"/>
                <w:bdr w:val="nil"/>
                <w:lang w:eastAsia="en-GB"/>
              </w:rPr>
            </w:pPr>
            <w:r w:rsidRPr="00AF0E0B">
              <w:rPr>
                <w:rFonts w:eastAsia="Arial Unicode MS" w:cs="Arial Unicode MS"/>
                <w:i/>
                <w:iCs/>
                <w:color w:val="000000"/>
                <w:sz w:val="22"/>
                <w:szCs w:val="22"/>
                <w:u w:color="000000"/>
                <w:bdr w:val="nil"/>
                <w:lang w:val="en-US" w:eastAsia="en-GB"/>
              </w:rPr>
              <w:t>P-DPN</w:t>
            </w:r>
          </w:p>
        </w:tc>
        <w:tc>
          <w:tcPr>
            <w:tcW w:w="1138" w:type="dxa"/>
            <w:tcBorders>
              <w:top w:val="single" w:sz="12" w:space="0" w:color="000000"/>
              <w:left w:val="single" w:sz="12" w:space="0" w:color="000000"/>
              <w:bottom w:val="nil"/>
              <w:right w:val="single" w:sz="4" w:space="0" w:color="000000"/>
            </w:tcBorders>
            <w:shd w:val="clear" w:color="auto" w:fill="FBE4D5"/>
            <w:tcMar>
              <w:top w:w="80" w:type="dxa"/>
              <w:left w:w="80" w:type="dxa"/>
              <w:bottom w:w="80" w:type="dxa"/>
              <w:right w:w="80" w:type="dxa"/>
            </w:tcMar>
            <w:vAlign w:val="center"/>
          </w:tcPr>
          <w:p w14:paraId="2DF57A4E"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11</w:t>
            </w:r>
          </w:p>
        </w:tc>
        <w:tc>
          <w:tcPr>
            <w:tcW w:w="1138" w:type="dxa"/>
            <w:tcBorders>
              <w:top w:val="single" w:sz="12" w:space="0" w:color="000000"/>
              <w:left w:val="single" w:sz="4" w:space="0" w:color="000000"/>
              <w:bottom w:val="nil"/>
              <w:right w:val="single" w:sz="4" w:space="0" w:color="000000"/>
            </w:tcBorders>
            <w:shd w:val="clear" w:color="auto" w:fill="auto"/>
            <w:tcMar>
              <w:top w:w="80" w:type="dxa"/>
              <w:left w:w="80" w:type="dxa"/>
              <w:bottom w:w="80" w:type="dxa"/>
              <w:right w:w="80" w:type="dxa"/>
            </w:tcMar>
            <w:vAlign w:val="center"/>
          </w:tcPr>
          <w:p w14:paraId="3D61C28D"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5</w:t>
            </w:r>
          </w:p>
        </w:tc>
        <w:tc>
          <w:tcPr>
            <w:tcW w:w="1137" w:type="dxa"/>
            <w:tcBorders>
              <w:top w:val="single" w:sz="12" w:space="0" w:color="000000"/>
              <w:left w:val="single" w:sz="4" w:space="0" w:color="000000"/>
              <w:bottom w:val="nil"/>
              <w:right w:val="single" w:sz="4" w:space="0" w:color="000000"/>
            </w:tcBorders>
            <w:shd w:val="clear" w:color="auto" w:fill="auto"/>
            <w:tcMar>
              <w:top w:w="80" w:type="dxa"/>
              <w:left w:w="80" w:type="dxa"/>
              <w:bottom w:w="80" w:type="dxa"/>
              <w:right w:w="80" w:type="dxa"/>
            </w:tcMar>
            <w:vAlign w:val="center"/>
          </w:tcPr>
          <w:p w14:paraId="6A71683F"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2</w:t>
            </w:r>
          </w:p>
        </w:tc>
        <w:tc>
          <w:tcPr>
            <w:tcW w:w="1140" w:type="dxa"/>
            <w:tcBorders>
              <w:top w:val="single" w:sz="12" w:space="0" w:color="000000"/>
              <w:left w:val="single" w:sz="4" w:space="0" w:color="000000"/>
              <w:bottom w:val="nil"/>
              <w:right w:val="single" w:sz="4" w:space="0" w:color="000000"/>
            </w:tcBorders>
            <w:shd w:val="clear" w:color="auto" w:fill="auto"/>
            <w:tcMar>
              <w:top w:w="80" w:type="dxa"/>
              <w:left w:w="80" w:type="dxa"/>
              <w:bottom w:w="80" w:type="dxa"/>
              <w:right w:w="80" w:type="dxa"/>
            </w:tcMar>
            <w:vAlign w:val="center"/>
          </w:tcPr>
          <w:p w14:paraId="1BB92E9A"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1</w:t>
            </w:r>
          </w:p>
        </w:tc>
        <w:tc>
          <w:tcPr>
            <w:tcW w:w="1135" w:type="dxa"/>
            <w:tcBorders>
              <w:top w:val="single" w:sz="12" w:space="0" w:color="000000"/>
              <w:left w:val="single" w:sz="4" w:space="0" w:color="000000"/>
              <w:bottom w:val="nil"/>
              <w:right w:val="single" w:sz="12" w:space="0" w:color="000000"/>
            </w:tcBorders>
            <w:shd w:val="clear" w:color="auto" w:fill="auto"/>
            <w:tcMar>
              <w:top w:w="80" w:type="dxa"/>
              <w:left w:w="80" w:type="dxa"/>
              <w:bottom w:w="80" w:type="dxa"/>
              <w:right w:w="80" w:type="dxa"/>
            </w:tcMar>
            <w:vAlign w:val="center"/>
          </w:tcPr>
          <w:p w14:paraId="2A3D8B22"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19</w:t>
            </w:r>
          </w:p>
        </w:tc>
      </w:tr>
      <w:tr w:rsidR="00AF0E0B" w:rsidRPr="00AF0E0B" w14:paraId="00A46C06" w14:textId="77777777" w:rsidTr="00AB4128">
        <w:trPr>
          <w:trHeight w:val="233"/>
        </w:trPr>
        <w:tc>
          <w:tcPr>
            <w:tcW w:w="1943" w:type="dxa"/>
            <w:vMerge/>
            <w:tcBorders>
              <w:top w:val="single" w:sz="12" w:space="0" w:color="000000"/>
              <w:left w:val="single" w:sz="12" w:space="0" w:color="000000"/>
              <w:bottom w:val="single" w:sz="12" w:space="0" w:color="000000"/>
              <w:right w:val="nil"/>
            </w:tcBorders>
            <w:shd w:val="clear" w:color="auto" w:fill="auto"/>
          </w:tcPr>
          <w:p w14:paraId="699E74A9" w14:textId="77777777" w:rsidR="00AF0E0B" w:rsidRPr="00AF0E0B" w:rsidRDefault="00AF0E0B" w:rsidP="00AF0E0B">
            <w:pPr>
              <w:pBdr>
                <w:top w:val="nil"/>
                <w:left w:val="nil"/>
                <w:bottom w:val="nil"/>
                <w:right w:val="nil"/>
                <w:between w:val="nil"/>
                <w:bar w:val="nil"/>
              </w:pBdr>
              <w:rPr>
                <w:rFonts w:ascii="Times New Roman" w:eastAsia="Arial Unicode MS" w:hAnsi="Times New Roman" w:cs="Times New Roman"/>
                <w:bdr w:val="nil"/>
                <w:lang w:val="en-US"/>
              </w:rPr>
            </w:pPr>
          </w:p>
        </w:tc>
        <w:tc>
          <w:tcPr>
            <w:tcW w:w="1617" w:type="dxa"/>
            <w:tcBorders>
              <w:top w:val="nil"/>
              <w:left w:val="nil"/>
              <w:bottom w:val="nil"/>
              <w:right w:val="single" w:sz="12" w:space="0" w:color="000000"/>
            </w:tcBorders>
            <w:shd w:val="clear" w:color="auto" w:fill="FBE4D5"/>
            <w:tcMar>
              <w:top w:w="80" w:type="dxa"/>
              <w:left w:w="80" w:type="dxa"/>
              <w:bottom w:w="80" w:type="dxa"/>
              <w:right w:w="80" w:type="dxa"/>
            </w:tcMar>
          </w:tcPr>
          <w:p w14:paraId="7EEE63D0" w14:textId="77777777" w:rsidR="00AF0E0B" w:rsidRPr="00AF0E0B" w:rsidRDefault="00AF0E0B" w:rsidP="00AF0E0B">
            <w:pPr>
              <w:pBdr>
                <w:top w:val="nil"/>
                <w:left w:val="nil"/>
                <w:bottom w:val="nil"/>
                <w:right w:val="nil"/>
                <w:between w:val="nil"/>
                <w:bar w:val="nil"/>
              </w:pBdr>
              <w:rPr>
                <w:rFonts w:ascii="Times New Roman" w:eastAsia="Arial Unicode MS" w:hAnsi="Times New Roman" w:cs="Arial Unicode MS"/>
                <w:color w:val="000000"/>
                <w:u w:color="000000"/>
                <w:bdr w:val="nil"/>
                <w:lang w:eastAsia="en-GB"/>
              </w:rPr>
            </w:pPr>
            <w:r w:rsidRPr="00AF0E0B">
              <w:rPr>
                <w:rFonts w:eastAsia="Arial Unicode MS" w:cs="Arial Unicode MS"/>
                <w:i/>
                <w:iCs/>
                <w:color w:val="000000"/>
                <w:sz w:val="22"/>
                <w:szCs w:val="22"/>
                <w:u w:color="000000"/>
                <w:bdr w:val="nil"/>
                <w:lang w:val="en-US" w:eastAsia="en-GB"/>
              </w:rPr>
              <w:t>DPN</w:t>
            </w:r>
          </w:p>
        </w:tc>
        <w:tc>
          <w:tcPr>
            <w:tcW w:w="1138" w:type="dxa"/>
            <w:tcBorders>
              <w:top w:val="nil"/>
              <w:left w:val="single" w:sz="12" w:space="0" w:color="000000"/>
              <w:bottom w:val="nil"/>
              <w:right w:val="single" w:sz="4" w:space="0" w:color="000000"/>
            </w:tcBorders>
            <w:shd w:val="clear" w:color="auto" w:fill="auto"/>
            <w:tcMar>
              <w:top w:w="80" w:type="dxa"/>
              <w:left w:w="80" w:type="dxa"/>
              <w:bottom w:w="80" w:type="dxa"/>
              <w:right w:w="80" w:type="dxa"/>
            </w:tcMar>
            <w:vAlign w:val="center"/>
          </w:tcPr>
          <w:p w14:paraId="1A781C66"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4</w:t>
            </w:r>
          </w:p>
        </w:tc>
        <w:tc>
          <w:tcPr>
            <w:tcW w:w="1138" w:type="dxa"/>
            <w:tcBorders>
              <w:top w:val="nil"/>
              <w:left w:val="single" w:sz="4" w:space="0" w:color="000000"/>
              <w:bottom w:val="nil"/>
              <w:right w:val="single" w:sz="4" w:space="0" w:color="000000"/>
            </w:tcBorders>
            <w:shd w:val="clear" w:color="auto" w:fill="FBE4D5"/>
            <w:tcMar>
              <w:top w:w="80" w:type="dxa"/>
              <w:left w:w="80" w:type="dxa"/>
              <w:bottom w:w="80" w:type="dxa"/>
              <w:right w:w="80" w:type="dxa"/>
            </w:tcMar>
            <w:vAlign w:val="center"/>
          </w:tcPr>
          <w:p w14:paraId="0CE63605"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15</w:t>
            </w:r>
          </w:p>
        </w:tc>
        <w:tc>
          <w:tcPr>
            <w:tcW w:w="1137" w:type="dxa"/>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center"/>
          </w:tcPr>
          <w:p w14:paraId="76B323CC"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0</w:t>
            </w:r>
          </w:p>
        </w:tc>
        <w:tc>
          <w:tcPr>
            <w:tcW w:w="1140" w:type="dxa"/>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center"/>
          </w:tcPr>
          <w:p w14:paraId="51713BF9"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3</w:t>
            </w:r>
          </w:p>
        </w:tc>
        <w:tc>
          <w:tcPr>
            <w:tcW w:w="1135" w:type="dxa"/>
            <w:tcBorders>
              <w:top w:val="nil"/>
              <w:left w:val="single" w:sz="4" w:space="0" w:color="000000"/>
              <w:bottom w:val="nil"/>
              <w:right w:val="single" w:sz="12" w:space="0" w:color="000000"/>
            </w:tcBorders>
            <w:shd w:val="clear" w:color="auto" w:fill="auto"/>
            <w:tcMar>
              <w:top w:w="80" w:type="dxa"/>
              <w:left w:w="80" w:type="dxa"/>
              <w:bottom w:w="80" w:type="dxa"/>
              <w:right w:w="80" w:type="dxa"/>
            </w:tcMar>
            <w:vAlign w:val="center"/>
          </w:tcPr>
          <w:p w14:paraId="0016AAD5"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22</w:t>
            </w:r>
          </w:p>
        </w:tc>
      </w:tr>
      <w:tr w:rsidR="00AF0E0B" w:rsidRPr="00AF0E0B" w14:paraId="42AB434E" w14:textId="77777777" w:rsidTr="00AB4128">
        <w:trPr>
          <w:trHeight w:val="233"/>
        </w:trPr>
        <w:tc>
          <w:tcPr>
            <w:tcW w:w="1943" w:type="dxa"/>
            <w:vMerge/>
            <w:tcBorders>
              <w:top w:val="single" w:sz="12" w:space="0" w:color="000000"/>
              <w:left w:val="single" w:sz="12" w:space="0" w:color="000000"/>
              <w:bottom w:val="single" w:sz="12" w:space="0" w:color="000000"/>
              <w:right w:val="nil"/>
            </w:tcBorders>
            <w:shd w:val="clear" w:color="auto" w:fill="auto"/>
          </w:tcPr>
          <w:p w14:paraId="3ED0CFF6" w14:textId="77777777" w:rsidR="00AF0E0B" w:rsidRPr="00AF0E0B" w:rsidRDefault="00AF0E0B" w:rsidP="00AF0E0B">
            <w:pPr>
              <w:pBdr>
                <w:top w:val="nil"/>
                <w:left w:val="nil"/>
                <w:bottom w:val="nil"/>
                <w:right w:val="nil"/>
                <w:between w:val="nil"/>
                <w:bar w:val="nil"/>
              </w:pBdr>
              <w:rPr>
                <w:rFonts w:ascii="Times New Roman" w:eastAsia="Arial Unicode MS" w:hAnsi="Times New Roman" w:cs="Times New Roman"/>
                <w:bdr w:val="nil"/>
                <w:lang w:val="en-US"/>
              </w:rPr>
            </w:pPr>
          </w:p>
        </w:tc>
        <w:tc>
          <w:tcPr>
            <w:tcW w:w="1617" w:type="dxa"/>
            <w:tcBorders>
              <w:top w:val="nil"/>
              <w:left w:val="nil"/>
              <w:bottom w:val="nil"/>
              <w:right w:val="single" w:sz="12" w:space="0" w:color="000000"/>
            </w:tcBorders>
            <w:shd w:val="clear" w:color="auto" w:fill="FBE4D5"/>
            <w:tcMar>
              <w:top w:w="80" w:type="dxa"/>
              <w:left w:w="80" w:type="dxa"/>
              <w:bottom w:w="80" w:type="dxa"/>
              <w:right w:w="80" w:type="dxa"/>
            </w:tcMar>
          </w:tcPr>
          <w:p w14:paraId="6BC6F72F" w14:textId="77777777" w:rsidR="00AF0E0B" w:rsidRPr="00AF0E0B" w:rsidRDefault="00AF0E0B" w:rsidP="00AF0E0B">
            <w:pPr>
              <w:pBdr>
                <w:top w:val="nil"/>
                <w:left w:val="nil"/>
                <w:bottom w:val="nil"/>
                <w:right w:val="nil"/>
                <w:between w:val="nil"/>
                <w:bar w:val="nil"/>
              </w:pBdr>
              <w:rPr>
                <w:rFonts w:ascii="Times New Roman" w:eastAsia="Arial Unicode MS" w:hAnsi="Times New Roman" w:cs="Arial Unicode MS"/>
                <w:color w:val="000000"/>
                <w:u w:color="000000"/>
                <w:bdr w:val="nil"/>
                <w:lang w:eastAsia="en-GB"/>
              </w:rPr>
            </w:pPr>
            <w:r w:rsidRPr="00AF0E0B">
              <w:rPr>
                <w:rFonts w:eastAsia="Arial Unicode MS" w:cs="Arial Unicode MS"/>
                <w:i/>
                <w:iCs/>
                <w:color w:val="000000"/>
                <w:sz w:val="22"/>
                <w:szCs w:val="22"/>
                <w:u w:color="000000"/>
                <w:bdr w:val="nil"/>
                <w:lang w:val="en-US" w:eastAsia="en-GB"/>
              </w:rPr>
              <w:t>DM-NN</w:t>
            </w:r>
          </w:p>
        </w:tc>
        <w:tc>
          <w:tcPr>
            <w:tcW w:w="1138" w:type="dxa"/>
            <w:tcBorders>
              <w:top w:val="nil"/>
              <w:left w:val="single" w:sz="12" w:space="0" w:color="000000"/>
              <w:bottom w:val="nil"/>
              <w:right w:val="single" w:sz="4" w:space="0" w:color="000000"/>
            </w:tcBorders>
            <w:shd w:val="clear" w:color="auto" w:fill="auto"/>
            <w:tcMar>
              <w:top w:w="80" w:type="dxa"/>
              <w:left w:w="80" w:type="dxa"/>
              <w:bottom w:w="80" w:type="dxa"/>
              <w:right w:w="80" w:type="dxa"/>
            </w:tcMar>
            <w:vAlign w:val="center"/>
          </w:tcPr>
          <w:p w14:paraId="4B05C0CE"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0</w:t>
            </w:r>
          </w:p>
        </w:tc>
        <w:tc>
          <w:tcPr>
            <w:tcW w:w="1138" w:type="dxa"/>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center"/>
          </w:tcPr>
          <w:p w14:paraId="36C28D0E"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2</w:t>
            </w:r>
          </w:p>
        </w:tc>
        <w:tc>
          <w:tcPr>
            <w:tcW w:w="1137" w:type="dxa"/>
            <w:tcBorders>
              <w:top w:val="nil"/>
              <w:left w:val="single" w:sz="4" w:space="0" w:color="000000"/>
              <w:bottom w:val="nil"/>
              <w:right w:val="single" w:sz="4" w:space="0" w:color="000000"/>
            </w:tcBorders>
            <w:shd w:val="clear" w:color="auto" w:fill="FBE4D5"/>
            <w:tcMar>
              <w:top w:w="80" w:type="dxa"/>
              <w:left w:w="80" w:type="dxa"/>
              <w:bottom w:w="80" w:type="dxa"/>
              <w:right w:w="80" w:type="dxa"/>
            </w:tcMar>
            <w:vAlign w:val="center"/>
          </w:tcPr>
          <w:p w14:paraId="60AA3357"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4</w:t>
            </w:r>
          </w:p>
        </w:tc>
        <w:tc>
          <w:tcPr>
            <w:tcW w:w="1140" w:type="dxa"/>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center"/>
          </w:tcPr>
          <w:p w14:paraId="7C8087F6"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7</w:t>
            </w:r>
          </w:p>
        </w:tc>
        <w:tc>
          <w:tcPr>
            <w:tcW w:w="1135" w:type="dxa"/>
            <w:tcBorders>
              <w:top w:val="nil"/>
              <w:left w:val="single" w:sz="4" w:space="0" w:color="000000"/>
              <w:bottom w:val="nil"/>
              <w:right w:val="single" w:sz="12" w:space="0" w:color="000000"/>
            </w:tcBorders>
            <w:shd w:val="clear" w:color="auto" w:fill="auto"/>
            <w:tcMar>
              <w:top w:w="80" w:type="dxa"/>
              <w:left w:w="80" w:type="dxa"/>
              <w:bottom w:w="80" w:type="dxa"/>
              <w:right w:w="80" w:type="dxa"/>
            </w:tcMar>
            <w:vAlign w:val="center"/>
          </w:tcPr>
          <w:p w14:paraId="69ECF621"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13</w:t>
            </w:r>
          </w:p>
        </w:tc>
      </w:tr>
      <w:tr w:rsidR="00AF0E0B" w:rsidRPr="00AF0E0B" w14:paraId="59102603" w14:textId="77777777" w:rsidTr="00AB4128">
        <w:trPr>
          <w:trHeight w:val="248"/>
        </w:trPr>
        <w:tc>
          <w:tcPr>
            <w:tcW w:w="1943" w:type="dxa"/>
            <w:vMerge/>
            <w:tcBorders>
              <w:top w:val="single" w:sz="12" w:space="0" w:color="000000"/>
              <w:left w:val="single" w:sz="12" w:space="0" w:color="000000"/>
              <w:bottom w:val="single" w:sz="12" w:space="0" w:color="000000"/>
              <w:right w:val="nil"/>
            </w:tcBorders>
            <w:shd w:val="clear" w:color="auto" w:fill="auto"/>
          </w:tcPr>
          <w:p w14:paraId="3F41CFB8" w14:textId="77777777" w:rsidR="00AF0E0B" w:rsidRPr="00AF0E0B" w:rsidRDefault="00AF0E0B" w:rsidP="00AF0E0B">
            <w:pPr>
              <w:pBdr>
                <w:top w:val="nil"/>
                <w:left w:val="nil"/>
                <w:bottom w:val="nil"/>
                <w:right w:val="nil"/>
                <w:between w:val="nil"/>
                <w:bar w:val="nil"/>
              </w:pBdr>
              <w:rPr>
                <w:rFonts w:ascii="Times New Roman" w:eastAsia="Arial Unicode MS" w:hAnsi="Times New Roman" w:cs="Times New Roman"/>
                <w:bdr w:val="nil"/>
                <w:lang w:val="en-US"/>
              </w:rPr>
            </w:pPr>
          </w:p>
        </w:tc>
        <w:tc>
          <w:tcPr>
            <w:tcW w:w="1617" w:type="dxa"/>
            <w:tcBorders>
              <w:top w:val="nil"/>
              <w:left w:val="nil"/>
              <w:bottom w:val="single" w:sz="4" w:space="0" w:color="000000"/>
              <w:right w:val="single" w:sz="12" w:space="0" w:color="000000"/>
            </w:tcBorders>
            <w:shd w:val="clear" w:color="auto" w:fill="FBE4D5"/>
            <w:tcMar>
              <w:top w:w="80" w:type="dxa"/>
              <w:left w:w="80" w:type="dxa"/>
              <w:bottom w:w="80" w:type="dxa"/>
              <w:right w:w="80" w:type="dxa"/>
            </w:tcMar>
          </w:tcPr>
          <w:p w14:paraId="5ACA8B27" w14:textId="77777777" w:rsidR="00AF0E0B" w:rsidRPr="00AF0E0B" w:rsidRDefault="00AF0E0B" w:rsidP="00AF0E0B">
            <w:pPr>
              <w:pBdr>
                <w:top w:val="nil"/>
                <w:left w:val="nil"/>
                <w:bottom w:val="nil"/>
                <w:right w:val="nil"/>
                <w:between w:val="nil"/>
                <w:bar w:val="nil"/>
              </w:pBdr>
              <w:rPr>
                <w:rFonts w:ascii="Times New Roman" w:eastAsia="Arial Unicode MS" w:hAnsi="Times New Roman" w:cs="Arial Unicode MS"/>
                <w:color w:val="000000"/>
                <w:u w:color="000000"/>
                <w:bdr w:val="nil"/>
                <w:lang w:eastAsia="en-GB"/>
              </w:rPr>
            </w:pPr>
            <w:r w:rsidRPr="00AF0E0B">
              <w:rPr>
                <w:rFonts w:eastAsia="Arial Unicode MS" w:cs="Arial Unicode MS"/>
                <w:i/>
                <w:iCs/>
                <w:color w:val="000000"/>
                <w:sz w:val="22"/>
                <w:szCs w:val="22"/>
                <w:u w:color="000000"/>
                <w:bdr w:val="nil"/>
                <w:lang w:val="en-US" w:eastAsia="en-GB"/>
              </w:rPr>
              <w:t>HV</w:t>
            </w:r>
          </w:p>
        </w:tc>
        <w:tc>
          <w:tcPr>
            <w:tcW w:w="1138" w:type="dxa"/>
            <w:tcBorders>
              <w:top w:val="nil"/>
              <w:left w:val="single" w:sz="12"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74931AF"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0</w:t>
            </w:r>
          </w:p>
        </w:tc>
        <w:tc>
          <w:tcPr>
            <w:tcW w:w="1138" w:type="dxa"/>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E03CA3C"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1</w:t>
            </w:r>
          </w:p>
        </w:tc>
        <w:tc>
          <w:tcPr>
            <w:tcW w:w="1137" w:type="dxa"/>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2723A76"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4</w:t>
            </w:r>
          </w:p>
        </w:tc>
        <w:tc>
          <w:tcPr>
            <w:tcW w:w="1140" w:type="dxa"/>
            <w:tcBorders>
              <w:top w:val="nil"/>
              <w:left w:val="single" w:sz="4" w:space="0" w:color="000000"/>
              <w:bottom w:val="single" w:sz="4" w:space="0" w:color="000000"/>
              <w:right w:val="single" w:sz="4" w:space="0" w:color="000000"/>
            </w:tcBorders>
            <w:shd w:val="clear" w:color="auto" w:fill="FBE4D5"/>
            <w:tcMar>
              <w:top w:w="80" w:type="dxa"/>
              <w:left w:w="80" w:type="dxa"/>
              <w:bottom w:w="80" w:type="dxa"/>
              <w:right w:w="80" w:type="dxa"/>
            </w:tcMar>
            <w:vAlign w:val="center"/>
          </w:tcPr>
          <w:p w14:paraId="63399276"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14</w:t>
            </w:r>
          </w:p>
        </w:tc>
        <w:tc>
          <w:tcPr>
            <w:tcW w:w="1135" w:type="dxa"/>
            <w:tcBorders>
              <w:top w:val="nil"/>
              <w:left w:val="single" w:sz="4" w:space="0" w:color="000000"/>
              <w:bottom w:val="single" w:sz="4" w:space="0" w:color="000000"/>
              <w:right w:val="single" w:sz="12" w:space="0" w:color="000000"/>
            </w:tcBorders>
            <w:shd w:val="clear" w:color="auto" w:fill="auto"/>
            <w:tcMar>
              <w:top w:w="80" w:type="dxa"/>
              <w:left w:w="80" w:type="dxa"/>
              <w:bottom w:w="80" w:type="dxa"/>
              <w:right w:w="80" w:type="dxa"/>
            </w:tcMar>
            <w:vAlign w:val="center"/>
          </w:tcPr>
          <w:p w14:paraId="32B4B1A7"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19</w:t>
            </w:r>
          </w:p>
        </w:tc>
      </w:tr>
      <w:tr w:rsidR="00AF0E0B" w:rsidRPr="00AF0E0B" w14:paraId="23854F67" w14:textId="77777777" w:rsidTr="00AB4128">
        <w:trPr>
          <w:trHeight w:val="248"/>
        </w:trPr>
        <w:tc>
          <w:tcPr>
            <w:tcW w:w="1943" w:type="dxa"/>
            <w:vMerge w:val="restart"/>
            <w:tcBorders>
              <w:top w:val="single" w:sz="12" w:space="0" w:color="000000"/>
              <w:left w:val="single" w:sz="12" w:space="0" w:color="000000"/>
              <w:bottom w:val="single" w:sz="12" w:space="0" w:color="000000"/>
              <w:right w:val="nil"/>
            </w:tcBorders>
            <w:shd w:val="clear" w:color="auto" w:fill="auto"/>
            <w:tcMar>
              <w:top w:w="80" w:type="dxa"/>
              <w:left w:w="80" w:type="dxa"/>
              <w:bottom w:w="80" w:type="dxa"/>
              <w:right w:w="80" w:type="dxa"/>
            </w:tcMar>
          </w:tcPr>
          <w:p w14:paraId="5B8F32D4" w14:textId="77777777" w:rsidR="00AF0E0B" w:rsidRPr="00AF0E0B" w:rsidRDefault="00AF0E0B" w:rsidP="00AF0E0B">
            <w:pPr>
              <w:pBdr>
                <w:top w:val="nil"/>
                <w:left w:val="nil"/>
                <w:bottom w:val="nil"/>
                <w:right w:val="nil"/>
                <w:between w:val="nil"/>
                <w:bar w:val="nil"/>
              </w:pBdr>
              <w:rPr>
                <w:rFonts w:ascii="Times New Roman" w:eastAsia="Arial Unicode MS" w:hAnsi="Times New Roman" w:cs="Arial Unicode MS"/>
                <w:color w:val="000000"/>
                <w:u w:color="000000"/>
                <w:bdr w:val="nil"/>
                <w:lang w:eastAsia="en-GB"/>
              </w:rPr>
            </w:pPr>
            <w:r w:rsidRPr="00AF0E0B">
              <w:rPr>
                <w:rFonts w:eastAsia="Arial Unicode MS" w:cs="Arial Unicode MS"/>
                <w:i/>
                <w:iCs/>
                <w:color w:val="000000"/>
                <w:sz w:val="22"/>
                <w:szCs w:val="22"/>
                <w:u w:color="000000"/>
                <w:bdr w:val="nil"/>
                <w:lang w:val="en-US" w:eastAsia="en-GB"/>
              </w:rPr>
              <w:t>Original %</w:t>
            </w:r>
          </w:p>
        </w:tc>
        <w:tc>
          <w:tcPr>
            <w:tcW w:w="1617" w:type="dxa"/>
            <w:tcBorders>
              <w:top w:val="single" w:sz="4" w:space="0" w:color="000000"/>
              <w:left w:val="nil"/>
              <w:bottom w:val="nil"/>
              <w:right w:val="single" w:sz="12" w:space="0" w:color="000000"/>
            </w:tcBorders>
            <w:shd w:val="clear" w:color="auto" w:fill="FBE4D5"/>
            <w:tcMar>
              <w:top w:w="80" w:type="dxa"/>
              <w:left w:w="80" w:type="dxa"/>
              <w:bottom w:w="80" w:type="dxa"/>
              <w:right w:w="80" w:type="dxa"/>
            </w:tcMar>
          </w:tcPr>
          <w:p w14:paraId="1F9DE4E1" w14:textId="77777777" w:rsidR="00AF0E0B" w:rsidRPr="00AF0E0B" w:rsidRDefault="00AF0E0B" w:rsidP="00AF0E0B">
            <w:pPr>
              <w:pBdr>
                <w:top w:val="nil"/>
                <w:left w:val="nil"/>
                <w:bottom w:val="nil"/>
                <w:right w:val="nil"/>
                <w:between w:val="nil"/>
                <w:bar w:val="nil"/>
              </w:pBdr>
              <w:rPr>
                <w:rFonts w:ascii="Times New Roman" w:eastAsia="Arial Unicode MS" w:hAnsi="Times New Roman" w:cs="Arial Unicode MS"/>
                <w:color w:val="000000"/>
                <w:u w:color="000000"/>
                <w:bdr w:val="nil"/>
                <w:lang w:eastAsia="en-GB"/>
              </w:rPr>
            </w:pPr>
            <w:r w:rsidRPr="00AF0E0B">
              <w:rPr>
                <w:rFonts w:eastAsia="Arial Unicode MS" w:cs="Arial Unicode MS"/>
                <w:i/>
                <w:iCs/>
                <w:color w:val="000000"/>
                <w:sz w:val="22"/>
                <w:szCs w:val="22"/>
                <w:u w:color="000000"/>
                <w:bdr w:val="nil"/>
                <w:lang w:val="en-US" w:eastAsia="en-GB"/>
              </w:rPr>
              <w:t>P-DPN</w:t>
            </w:r>
          </w:p>
        </w:tc>
        <w:tc>
          <w:tcPr>
            <w:tcW w:w="1138" w:type="dxa"/>
            <w:tcBorders>
              <w:top w:val="single" w:sz="4" w:space="0" w:color="000000"/>
              <w:left w:val="single" w:sz="12" w:space="0" w:color="000000"/>
              <w:bottom w:val="nil"/>
              <w:right w:val="single" w:sz="4" w:space="0" w:color="000000"/>
            </w:tcBorders>
            <w:shd w:val="clear" w:color="auto" w:fill="FBE4D5"/>
            <w:tcMar>
              <w:top w:w="80" w:type="dxa"/>
              <w:left w:w="80" w:type="dxa"/>
              <w:bottom w:w="80" w:type="dxa"/>
              <w:right w:w="80" w:type="dxa"/>
            </w:tcMar>
            <w:vAlign w:val="center"/>
          </w:tcPr>
          <w:p w14:paraId="07625ADE"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57.9</w:t>
            </w:r>
          </w:p>
        </w:tc>
        <w:tc>
          <w:tcPr>
            <w:tcW w:w="1138" w:type="dxa"/>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vAlign w:val="center"/>
          </w:tcPr>
          <w:p w14:paraId="6344A2EE"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26.3</w:t>
            </w:r>
          </w:p>
        </w:tc>
        <w:tc>
          <w:tcPr>
            <w:tcW w:w="1137" w:type="dxa"/>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vAlign w:val="center"/>
          </w:tcPr>
          <w:p w14:paraId="5B2B6BB6"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10.5</w:t>
            </w:r>
          </w:p>
        </w:tc>
        <w:tc>
          <w:tcPr>
            <w:tcW w:w="1140" w:type="dxa"/>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vAlign w:val="center"/>
          </w:tcPr>
          <w:p w14:paraId="2BD00A7F"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5.3</w:t>
            </w:r>
          </w:p>
        </w:tc>
        <w:tc>
          <w:tcPr>
            <w:tcW w:w="1135" w:type="dxa"/>
            <w:tcBorders>
              <w:top w:val="single" w:sz="4" w:space="0" w:color="000000"/>
              <w:left w:val="single" w:sz="4" w:space="0" w:color="000000"/>
              <w:bottom w:val="nil"/>
              <w:right w:val="single" w:sz="12" w:space="0" w:color="000000"/>
            </w:tcBorders>
            <w:shd w:val="clear" w:color="auto" w:fill="auto"/>
            <w:tcMar>
              <w:top w:w="80" w:type="dxa"/>
              <w:left w:w="80" w:type="dxa"/>
              <w:bottom w:w="80" w:type="dxa"/>
              <w:right w:w="80" w:type="dxa"/>
            </w:tcMar>
            <w:vAlign w:val="center"/>
          </w:tcPr>
          <w:p w14:paraId="672F7AC2"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100.0</w:t>
            </w:r>
          </w:p>
        </w:tc>
      </w:tr>
      <w:tr w:rsidR="00AF0E0B" w:rsidRPr="00AF0E0B" w14:paraId="5D5102CF" w14:textId="77777777" w:rsidTr="00AB4128">
        <w:trPr>
          <w:trHeight w:val="233"/>
        </w:trPr>
        <w:tc>
          <w:tcPr>
            <w:tcW w:w="1943" w:type="dxa"/>
            <w:vMerge/>
            <w:tcBorders>
              <w:top w:val="single" w:sz="12" w:space="0" w:color="000000"/>
              <w:left w:val="single" w:sz="12" w:space="0" w:color="000000"/>
              <w:bottom w:val="single" w:sz="12" w:space="0" w:color="000000"/>
              <w:right w:val="nil"/>
            </w:tcBorders>
            <w:shd w:val="clear" w:color="auto" w:fill="auto"/>
          </w:tcPr>
          <w:p w14:paraId="4C43DD9C" w14:textId="77777777" w:rsidR="00AF0E0B" w:rsidRPr="00AF0E0B" w:rsidRDefault="00AF0E0B" w:rsidP="00AF0E0B">
            <w:pPr>
              <w:pBdr>
                <w:top w:val="nil"/>
                <w:left w:val="nil"/>
                <w:bottom w:val="nil"/>
                <w:right w:val="nil"/>
                <w:between w:val="nil"/>
                <w:bar w:val="nil"/>
              </w:pBdr>
              <w:rPr>
                <w:rFonts w:ascii="Times New Roman" w:eastAsia="Arial Unicode MS" w:hAnsi="Times New Roman" w:cs="Times New Roman"/>
                <w:bdr w:val="nil"/>
                <w:lang w:val="en-US"/>
              </w:rPr>
            </w:pPr>
          </w:p>
        </w:tc>
        <w:tc>
          <w:tcPr>
            <w:tcW w:w="1617" w:type="dxa"/>
            <w:tcBorders>
              <w:top w:val="nil"/>
              <w:left w:val="nil"/>
              <w:bottom w:val="nil"/>
              <w:right w:val="single" w:sz="12" w:space="0" w:color="000000"/>
            </w:tcBorders>
            <w:shd w:val="clear" w:color="auto" w:fill="FBE4D5"/>
            <w:tcMar>
              <w:top w:w="80" w:type="dxa"/>
              <w:left w:w="80" w:type="dxa"/>
              <w:bottom w:w="80" w:type="dxa"/>
              <w:right w:w="80" w:type="dxa"/>
            </w:tcMar>
          </w:tcPr>
          <w:p w14:paraId="6299968A" w14:textId="77777777" w:rsidR="00AF0E0B" w:rsidRPr="00AF0E0B" w:rsidRDefault="00AF0E0B" w:rsidP="00AF0E0B">
            <w:pPr>
              <w:pBdr>
                <w:top w:val="nil"/>
                <w:left w:val="nil"/>
                <w:bottom w:val="nil"/>
                <w:right w:val="nil"/>
                <w:between w:val="nil"/>
                <w:bar w:val="nil"/>
              </w:pBdr>
              <w:rPr>
                <w:rFonts w:ascii="Times New Roman" w:eastAsia="Arial Unicode MS" w:hAnsi="Times New Roman" w:cs="Arial Unicode MS"/>
                <w:color w:val="000000"/>
                <w:u w:color="000000"/>
                <w:bdr w:val="nil"/>
                <w:lang w:eastAsia="en-GB"/>
              </w:rPr>
            </w:pPr>
            <w:r w:rsidRPr="00AF0E0B">
              <w:rPr>
                <w:rFonts w:eastAsia="Arial Unicode MS" w:cs="Arial Unicode MS"/>
                <w:i/>
                <w:iCs/>
                <w:color w:val="000000"/>
                <w:sz w:val="22"/>
                <w:szCs w:val="22"/>
                <w:u w:color="000000"/>
                <w:bdr w:val="nil"/>
                <w:lang w:val="en-US" w:eastAsia="en-GB"/>
              </w:rPr>
              <w:t>DPN</w:t>
            </w:r>
          </w:p>
        </w:tc>
        <w:tc>
          <w:tcPr>
            <w:tcW w:w="1138" w:type="dxa"/>
            <w:tcBorders>
              <w:top w:val="nil"/>
              <w:left w:val="single" w:sz="12" w:space="0" w:color="000000"/>
              <w:bottom w:val="nil"/>
              <w:right w:val="single" w:sz="4" w:space="0" w:color="000000"/>
            </w:tcBorders>
            <w:shd w:val="clear" w:color="auto" w:fill="auto"/>
            <w:tcMar>
              <w:top w:w="80" w:type="dxa"/>
              <w:left w:w="80" w:type="dxa"/>
              <w:bottom w:w="80" w:type="dxa"/>
              <w:right w:w="80" w:type="dxa"/>
            </w:tcMar>
            <w:vAlign w:val="center"/>
          </w:tcPr>
          <w:p w14:paraId="3931296A"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18.2</w:t>
            </w:r>
          </w:p>
        </w:tc>
        <w:tc>
          <w:tcPr>
            <w:tcW w:w="1138" w:type="dxa"/>
            <w:tcBorders>
              <w:top w:val="nil"/>
              <w:left w:val="single" w:sz="4" w:space="0" w:color="000000"/>
              <w:bottom w:val="nil"/>
              <w:right w:val="single" w:sz="4" w:space="0" w:color="000000"/>
            </w:tcBorders>
            <w:shd w:val="clear" w:color="auto" w:fill="FBE4D5"/>
            <w:tcMar>
              <w:top w:w="80" w:type="dxa"/>
              <w:left w:w="80" w:type="dxa"/>
              <w:bottom w:w="80" w:type="dxa"/>
              <w:right w:w="80" w:type="dxa"/>
            </w:tcMar>
            <w:vAlign w:val="center"/>
          </w:tcPr>
          <w:p w14:paraId="2E0E95F6"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68.2</w:t>
            </w:r>
          </w:p>
        </w:tc>
        <w:tc>
          <w:tcPr>
            <w:tcW w:w="1137" w:type="dxa"/>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center"/>
          </w:tcPr>
          <w:p w14:paraId="009BB8AA"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0.0</w:t>
            </w:r>
          </w:p>
        </w:tc>
        <w:tc>
          <w:tcPr>
            <w:tcW w:w="1140" w:type="dxa"/>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center"/>
          </w:tcPr>
          <w:p w14:paraId="7108115F"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13.6</w:t>
            </w:r>
          </w:p>
        </w:tc>
        <w:tc>
          <w:tcPr>
            <w:tcW w:w="1135" w:type="dxa"/>
            <w:tcBorders>
              <w:top w:val="nil"/>
              <w:left w:val="single" w:sz="4" w:space="0" w:color="000000"/>
              <w:bottom w:val="nil"/>
              <w:right w:val="single" w:sz="12" w:space="0" w:color="000000"/>
            </w:tcBorders>
            <w:shd w:val="clear" w:color="auto" w:fill="auto"/>
            <w:tcMar>
              <w:top w:w="80" w:type="dxa"/>
              <w:left w:w="80" w:type="dxa"/>
              <w:bottom w:w="80" w:type="dxa"/>
              <w:right w:w="80" w:type="dxa"/>
            </w:tcMar>
            <w:vAlign w:val="center"/>
          </w:tcPr>
          <w:p w14:paraId="5D8F4B85"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100.0</w:t>
            </w:r>
          </w:p>
        </w:tc>
      </w:tr>
      <w:tr w:rsidR="00AF0E0B" w:rsidRPr="00AF0E0B" w14:paraId="4F324482" w14:textId="77777777" w:rsidTr="00AB4128">
        <w:trPr>
          <w:trHeight w:val="233"/>
        </w:trPr>
        <w:tc>
          <w:tcPr>
            <w:tcW w:w="1943" w:type="dxa"/>
            <w:vMerge/>
            <w:tcBorders>
              <w:top w:val="single" w:sz="12" w:space="0" w:color="000000"/>
              <w:left w:val="single" w:sz="12" w:space="0" w:color="000000"/>
              <w:bottom w:val="single" w:sz="12" w:space="0" w:color="000000"/>
              <w:right w:val="nil"/>
            </w:tcBorders>
            <w:shd w:val="clear" w:color="auto" w:fill="auto"/>
          </w:tcPr>
          <w:p w14:paraId="07E5A2B5" w14:textId="77777777" w:rsidR="00AF0E0B" w:rsidRPr="00AF0E0B" w:rsidRDefault="00AF0E0B" w:rsidP="00AF0E0B">
            <w:pPr>
              <w:pBdr>
                <w:top w:val="nil"/>
                <w:left w:val="nil"/>
                <w:bottom w:val="nil"/>
                <w:right w:val="nil"/>
                <w:between w:val="nil"/>
                <w:bar w:val="nil"/>
              </w:pBdr>
              <w:rPr>
                <w:rFonts w:ascii="Times New Roman" w:eastAsia="Arial Unicode MS" w:hAnsi="Times New Roman" w:cs="Times New Roman"/>
                <w:bdr w:val="nil"/>
                <w:lang w:val="en-US"/>
              </w:rPr>
            </w:pPr>
          </w:p>
        </w:tc>
        <w:tc>
          <w:tcPr>
            <w:tcW w:w="1617" w:type="dxa"/>
            <w:tcBorders>
              <w:top w:val="nil"/>
              <w:left w:val="nil"/>
              <w:bottom w:val="nil"/>
              <w:right w:val="single" w:sz="12" w:space="0" w:color="000000"/>
            </w:tcBorders>
            <w:shd w:val="clear" w:color="auto" w:fill="FBE4D5"/>
            <w:tcMar>
              <w:top w:w="80" w:type="dxa"/>
              <w:left w:w="80" w:type="dxa"/>
              <w:bottom w:w="80" w:type="dxa"/>
              <w:right w:w="80" w:type="dxa"/>
            </w:tcMar>
          </w:tcPr>
          <w:p w14:paraId="0F9FB5A0" w14:textId="77777777" w:rsidR="00AF0E0B" w:rsidRPr="00AF0E0B" w:rsidRDefault="00AF0E0B" w:rsidP="00AF0E0B">
            <w:pPr>
              <w:pBdr>
                <w:top w:val="nil"/>
                <w:left w:val="nil"/>
                <w:bottom w:val="nil"/>
                <w:right w:val="nil"/>
                <w:between w:val="nil"/>
                <w:bar w:val="nil"/>
              </w:pBdr>
              <w:rPr>
                <w:rFonts w:ascii="Times New Roman" w:eastAsia="Arial Unicode MS" w:hAnsi="Times New Roman" w:cs="Arial Unicode MS"/>
                <w:color w:val="000000"/>
                <w:u w:color="000000"/>
                <w:bdr w:val="nil"/>
                <w:lang w:eastAsia="en-GB"/>
              </w:rPr>
            </w:pPr>
            <w:r w:rsidRPr="00AF0E0B">
              <w:rPr>
                <w:rFonts w:eastAsia="Arial Unicode MS" w:cs="Arial Unicode MS"/>
                <w:i/>
                <w:iCs/>
                <w:color w:val="000000"/>
                <w:sz w:val="22"/>
                <w:szCs w:val="22"/>
                <w:u w:color="000000"/>
                <w:bdr w:val="nil"/>
                <w:lang w:val="en-US" w:eastAsia="en-GB"/>
              </w:rPr>
              <w:t>DM-NN</w:t>
            </w:r>
          </w:p>
        </w:tc>
        <w:tc>
          <w:tcPr>
            <w:tcW w:w="1138" w:type="dxa"/>
            <w:tcBorders>
              <w:top w:val="nil"/>
              <w:left w:val="single" w:sz="12" w:space="0" w:color="000000"/>
              <w:bottom w:val="nil"/>
              <w:right w:val="single" w:sz="4" w:space="0" w:color="000000"/>
            </w:tcBorders>
            <w:shd w:val="clear" w:color="auto" w:fill="auto"/>
            <w:tcMar>
              <w:top w:w="80" w:type="dxa"/>
              <w:left w:w="80" w:type="dxa"/>
              <w:bottom w:w="80" w:type="dxa"/>
              <w:right w:w="80" w:type="dxa"/>
            </w:tcMar>
            <w:vAlign w:val="center"/>
          </w:tcPr>
          <w:p w14:paraId="7D07739E"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0.0</w:t>
            </w:r>
          </w:p>
        </w:tc>
        <w:tc>
          <w:tcPr>
            <w:tcW w:w="1138" w:type="dxa"/>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center"/>
          </w:tcPr>
          <w:p w14:paraId="21EB72F4"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15.4</w:t>
            </w:r>
          </w:p>
        </w:tc>
        <w:tc>
          <w:tcPr>
            <w:tcW w:w="1137" w:type="dxa"/>
            <w:tcBorders>
              <w:top w:val="nil"/>
              <w:left w:val="single" w:sz="4" w:space="0" w:color="000000"/>
              <w:bottom w:val="nil"/>
              <w:right w:val="single" w:sz="4" w:space="0" w:color="000000"/>
            </w:tcBorders>
            <w:shd w:val="clear" w:color="auto" w:fill="FBE4D5"/>
            <w:tcMar>
              <w:top w:w="80" w:type="dxa"/>
              <w:left w:w="80" w:type="dxa"/>
              <w:bottom w:w="80" w:type="dxa"/>
              <w:right w:w="80" w:type="dxa"/>
            </w:tcMar>
            <w:vAlign w:val="center"/>
          </w:tcPr>
          <w:p w14:paraId="60A5CC89"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30.8</w:t>
            </w:r>
          </w:p>
        </w:tc>
        <w:tc>
          <w:tcPr>
            <w:tcW w:w="1140" w:type="dxa"/>
            <w:tcBorders>
              <w:top w:val="nil"/>
              <w:left w:val="single" w:sz="4" w:space="0" w:color="000000"/>
              <w:bottom w:val="nil"/>
              <w:right w:val="single" w:sz="4" w:space="0" w:color="000000"/>
            </w:tcBorders>
            <w:shd w:val="clear" w:color="auto" w:fill="FFFFFF"/>
            <w:tcMar>
              <w:top w:w="80" w:type="dxa"/>
              <w:left w:w="80" w:type="dxa"/>
              <w:bottom w:w="80" w:type="dxa"/>
              <w:right w:w="80" w:type="dxa"/>
            </w:tcMar>
            <w:vAlign w:val="center"/>
          </w:tcPr>
          <w:p w14:paraId="53A49210"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53.8</w:t>
            </w:r>
          </w:p>
        </w:tc>
        <w:tc>
          <w:tcPr>
            <w:tcW w:w="1135" w:type="dxa"/>
            <w:tcBorders>
              <w:top w:val="nil"/>
              <w:left w:val="single" w:sz="4" w:space="0" w:color="000000"/>
              <w:bottom w:val="nil"/>
              <w:right w:val="single" w:sz="12" w:space="0" w:color="000000"/>
            </w:tcBorders>
            <w:shd w:val="clear" w:color="auto" w:fill="auto"/>
            <w:tcMar>
              <w:top w:w="80" w:type="dxa"/>
              <w:left w:w="80" w:type="dxa"/>
              <w:bottom w:w="80" w:type="dxa"/>
              <w:right w:w="80" w:type="dxa"/>
            </w:tcMar>
            <w:vAlign w:val="center"/>
          </w:tcPr>
          <w:p w14:paraId="6B845809"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100.0</w:t>
            </w:r>
          </w:p>
        </w:tc>
      </w:tr>
      <w:tr w:rsidR="00AF0E0B" w:rsidRPr="00AF0E0B" w14:paraId="4AD7286B" w14:textId="77777777" w:rsidTr="00AB4128">
        <w:trPr>
          <w:trHeight w:val="248"/>
        </w:trPr>
        <w:tc>
          <w:tcPr>
            <w:tcW w:w="1943" w:type="dxa"/>
            <w:vMerge/>
            <w:tcBorders>
              <w:top w:val="single" w:sz="12" w:space="0" w:color="000000"/>
              <w:left w:val="single" w:sz="12" w:space="0" w:color="000000"/>
              <w:bottom w:val="single" w:sz="12" w:space="0" w:color="000000"/>
              <w:right w:val="nil"/>
            </w:tcBorders>
            <w:shd w:val="clear" w:color="auto" w:fill="auto"/>
          </w:tcPr>
          <w:p w14:paraId="567B1727" w14:textId="77777777" w:rsidR="00AF0E0B" w:rsidRPr="00AF0E0B" w:rsidRDefault="00AF0E0B" w:rsidP="00AF0E0B">
            <w:pPr>
              <w:pBdr>
                <w:top w:val="nil"/>
                <w:left w:val="nil"/>
                <w:bottom w:val="nil"/>
                <w:right w:val="nil"/>
                <w:between w:val="nil"/>
                <w:bar w:val="nil"/>
              </w:pBdr>
              <w:rPr>
                <w:rFonts w:ascii="Times New Roman" w:eastAsia="Arial Unicode MS" w:hAnsi="Times New Roman" w:cs="Times New Roman"/>
                <w:bdr w:val="nil"/>
                <w:lang w:val="en-US"/>
              </w:rPr>
            </w:pPr>
          </w:p>
        </w:tc>
        <w:tc>
          <w:tcPr>
            <w:tcW w:w="1617" w:type="dxa"/>
            <w:tcBorders>
              <w:top w:val="nil"/>
              <w:left w:val="nil"/>
              <w:bottom w:val="single" w:sz="12" w:space="0" w:color="000000"/>
              <w:right w:val="single" w:sz="12" w:space="0" w:color="000000"/>
            </w:tcBorders>
            <w:shd w:val="clear" w:color="auto" w:fill="FBE4D5"/>
            <w:tcMar>
              <w:top w:w="80" w:type="dxa"/>
              <w:left w:w="80" w:type="dxa"/>
              <w:bottom w:w="80" w:type="dxa"/>
              <w:right w:w="80" w:type="dxa"/>
            </w:tcMar>
          </w:tcPr>
          <w:p w14:paraId="4B340A89" w14:textId="77777777" w:rsidR="00AF0E0B" w:rsidRPr="00AF0E0B" w:rsidRDefault="00AF0E0B" w:rsidP="00AF0E0B">
            <w:pPr>
              <w:pBdr>
                <w:top w:val="nil"/>
                <w:left w:val="nil"/>
                <w:bottom w:val="nil"/>
                <w:right w:val="nil"/>
                <w:between w:val="nil"/>
                <w:bar w:val="nil"/>
              </w:pBdr>
              <w:rPr>
                <w:rFonts w:ascii="Times New Roman" w:eastAsia="Arial Unicode MS" w:hAnsi="Times New Roman" w:cs="Arial Unicode MS"/>
                <w:color w:val="000000"/>
                <w:u w:color="000000"/>
                <w:bdr w:val="nil"/>
                <w:lang w:eastAsia="en-GB"/>
              </w:rPr>
            </w:pPr>
            <w:r w:rsidRPr="00AF0E0B">
              <w:rPr>
                <w:rFonts w:eastAsia="Arial Unicode MS" w:cs="Arial Unicode MS"/>
                <w:i/>
                <w:iCs/>
                <w:color w:val="000000"/>
                <w:sz w:val="22"/>
                <w:szCs w:val="22"/>
                <w:u w:color="000000"/>
                <w:bdr w:val="nil"/>
                <w:lang w:val="en-US" w:eastAsia="en-GB"/>
              </w:rPr>
              <w:t>HV</w:t>
            </w:r>
          </w:p>
        </w:tc>
        <w:tc>
          <w:tcPr>
            <w:tcW w:w="1138" w:type="dxa"/>
            <w:tcBorders>
              <w:top w:val="nil"/>
              <w:left w:val="single" w:sz="12" w:space="0" w:color="000000"/>
              <w:bottom w:val="single" w:sz="12" w:space="0" w:color="000000"/>
              <w:right w:val="single" w:sz="4" w:space="0" w:color="000000"/>
            </w:tcBorders>
            <w:shd w:val="clear" w:color="auto" w:fill="auto"/>
            <w:tcMar>
              <w:top w:w="80" w:type="dxa"/>
              <w:left w:w="80" w:type="dxa"/>
              <w:bottom w:w="80" w:type="dxa"/>
              <w:right w:w="80" w:type="dxa"/>
            </w:tcMar>
            <w:vAlign w:val="center"/>
          </w:tcPr>
          <w:p w14:paraId="2684FBAB"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0.0</w:t>
            </w:r>
          </w:p>
        </w:tc>
        <w:tc>
          <w:tcPr>
            <w:tcW w:w="1138" w:type="dxa"/>
            <w:tcBorders>
              <w:top w:val="nil"/>
              <w:left w:val="single" w:sz="4" w:space="0" w:color="000000"/>
              <w:bottom w:val="single" w:sz="12" w:space="0" w:color="000000"/>
              <w:right w:val="single" w:sz="4" w:space="0" w:color="000000"/>
            </w:tcBorders>
            <w:shd w:val="clear" w:color="auto" w:fill="auto"/>
            <w:tcMar>
              <w:top w:w="80" w:type="dxa"/>
              <w:left w:w="80" w:type="dxa"/>
              <w:bottom w:w="80" w:type="dxa"/>
              <w:right w:w="80" w:type="dxa"/>
            </w:tcMar>
            <w:vAlign w:val="center"/>
          </w:tcPr>
          <w:p w14:paraId="56B7970D"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5.3</w:t>
            </w:r>
          </w:p>
        </w:tc>
        <w:tc>
          <w:tcPr>
            <w:tcW w:w="1137" w:type="dxa"/>
            <w:tcBorders>
              <w:top w:val="nil"/>
              <w:left w:val="single" w:sz="4" w:space="0" w:color="000000"/>
              <w:bottom w:val="single" w:sz="12" w:space="0" w:color="000000"/>
              <w:right w:val="single" w:sz="4" w:space="0" w:color="000000"/>
            </w:tcBorders>
            <w:shd w:val="clear" w:color="auto" w:fill="auto"/>
            <w:tcMar>
              <w:top w:w="80" w:type="dxa"/>
              <w:left w:w="80" w:type="dxa"/>
              <w:bottom w:w="80" w:type="dxa"/>
              <w:right w:w="80" w:type="dxa"/>
            </w:tcMar>
            <w:vAlign w:val="center"/>
          </w:tcPr>
          <w:p w14:paraId="5C2AB5F2"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21.1</w:t>
            </w:r>
          </w:p>
        </w:tc>
        <w:tc>
          <w:tcPr>
            <w:tcW w:w="1140" w:type="dxa"/>
            <w:tcBorders>
              <w:top w:val="nil"/>
              <w:left w:val="single" w:sz="4" w:space="0" w:color="000000"/>
              <w:bottom w:val="single" w:sz="12" w:space="0" w:color="000000"/>
              <w:right w:val="single" w:sz="4" w:space="0" w:color="000000"/>
            </w:tcBorders>
            <w:shd w:val="clear" w:color="auto" w:fill="FBE4D5"/>
            <w:tcMar>
              <w:top w:w="80" w:type="dxa"/>
              <w:left w:w="80" w:type="dxa"/>
              <w:bottom w:w="80" w:type="dxa"/>
              <w:right w:w="80" w:type="dxa"/>
            </w:tcMar>
            <w:vAlign w:val="center"/>
          </w:tcPr>
          <w:p w14:paraId="6D92F827"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73.7</w:t>
            </w:r>
          </w:p>
        </w:tc>
        <w:tc>
          <w:tcPr>
            <w:tcW w:w="1135" w:type="dxa"/>
            <w:tcBorders>
              <w:top w:val="nil"/>
              <w:left w:val="single" w:sz="4" w:space="0" w:color="000000"/>
              <w:bottom w:val="single" w:sz="12" w:space="0" w:color="000000"/>
              <w:right w:val="single" w:sz="12" w:space="0" w:color="000000"/>
            </w:tcBorders>
            <w:shd w:val="clear" w:color="auto" w:fill="auto"/>
            <w:tcMar>
              <w:top w:w="80" w:type="dxa"/>
              <w:left w:w="80" w:type="dxa"/>
              <w:bottom w:w="80" w:type="dxa"/>
              <w:right w:w="80" w:type="dxa"/>
            </w:tcMar>
            <w:vAlign w:val="center"/>
          </w:tcPr>
          <w:p w14:paraId="3A46D7F2" w14:textId="77777777" w:rsidR="00AF0E0B" w:rsidRPr="00AF0E0B" w:rsidRDefault="00AF0E0B" w:rsidP="00AF0E0B">
            <w:pPr>
              <w:pBdr>
                <w:top w:val="nil"/>
                <w:left w:val="nil"/>
                <w:bottom w:val="nil"/>
                <w:right w:val="nil"/>
                <w:between w:val="nil"/>
                <w:bar w:val="nil"/>
              </w:pBdr>
              <w:jc w:val="right"/>
              <w:rPr>
                <w:rFonts w:ascii="Times New Roman" w:eastAsia="Arial Unicode MS" w:hAnsi="Times New Roman" w:cs="Arial Unicode MS"/>
                <w:color w:val="000000"/>
                <w:u w:color="000000"/>
                <w:bdr w:val="nil"/>
                <w:lang w:eastAsia="en-GB"/>
              </w:rPr>
            </w:pPr>
            <w:r w:rsidRPr="00AF0E0B">
              <w:rPr>
                <w:rFonts w:eastAsia="Arial Unicode MS" w:cs="Arial Unicode MS"/>
                <w:color w:val="000000"/>
                <w:sz w:val="22"/>
                <w:szCs w:val="22"/>
                <w:u w:color="000000"/>
                <w:bdr w:val="nil"/>
                <w:lang w:val="en-US" w:eastAsia="en-GB"/>
              </w:rPr>
              <w:t>100.0</w:t>
            </w:r>
          </w:p>
        </w:tc>
      </w:tr>
      <w:tr w:rsidR="00AF0E0B" w:rsidRPr="00AF0E0B" w14:paraId="32BF6D3F" w14:textId="77777777" w:rsidTr="00AB4128">
        <w:trPr>
          <w:trHeight w:val="258"/>
        </w:trPr>
        <w:tc>
          <w:tcPr>
            <w:tcW w:w="9249" w:type="dxa"/>
            <w:gridSpan w:val="7"/>
            <w:tcBorders>
              <w:top w:val="single" w:sz="12" w:space="0" w:color="000000"/>
              <w:left w:val="nil"/>
              <w:bottom w:val="nil"/>
              <w:right w:val="nil"/>
            </w:tcBorders>
            <w:shd w:val="clear" w:color="auto" w:fill="auto"/>
            <w:tcMar>
              <w:top w:w="80" w:type="dxa"/>
              <w:left w:w="80" w:type="dxa"/>
              <w:bottom w:w="80" w:type="dxa"/>
              <w:right w:w="80" w:type="dxa"/>
            </w:tcMar>
          </w:tcPr>
          <w:p w14:paraId="3B3671FB" w14:textId="77777777" w:rsidR="00AF0E0B" w:rsidRPr="00AF0E0B" w:rsidRDefault="00AF0E0B" w:rsidP="00AF0E0B">
            <w:pPr>
              <w:numPr>
                <w:ilvl w:val="0"/>
                <w:numId w:val="21"/>
              </w:numPr>
              <w:pBdr>
                <w:top w:val="nil"/>
                <w:left w:val="nil"/>
                <w:bottom w:val="nil"/>
                <w:right w:val="nil"/>
                <w:between w:val="nil"/>
                <w:bar w:val="nil"/>
              </w:pBdr>
              <w:spacing w:after="200" w:line="276" w:lineRule="auto"/>
              <w:rPr>
                <w:rFonts w:eastAsia="Arial Unicode MS" w:cs="Arial Unicode MS"/>
                <w:i/>
                <w:iCs/>
                <w:color w:val="000000"/>
                <w:sz w:val="22"/>
                <w:szCs w:val="22"/>
                <w:u w:color="000000"/>
                <w:bdr w:val="nil"/>
                <w:lang w:val="en-US" w:eastAsia="en-GB"/>
              </w:rPr>
            </w:pPr>
            <w:r w:rsidRPr="00AF0E0B">
              <w:rPr>
                <w:rFonts w:eastAsia="Arial Unicode MS" w:cs="Arial Unicode MS"/>
                <w:i/>
                <w:iCs/>
                <w:color w:val="000000"/>
                <w:sz w:val="22"/>
                <w:szCs w:val="22"/>
                <w:u w:color="000000"/>
                <w:bdr w:val="nil"/>
                <w:lang w:val="en-US" w:eastAsia="en-GB"/>
              </w:rPr>
              <w:t>60.3% of original grouped cases correctly classified. P-DPN</w:t>
            </w:r>
          </w:p>
        </w:tc>
      </w:tr>
    </w:tbl>
    <w:p w14:paraId="74CED32A" w14:textId="77777777" w:rsidR="00AF0E0B" w:rsidRPr="00AF0E0B" w:rsidRDefault="00AF0E0B" w:rsidP="008E7150">
      <w:pPr>
        <w:pStyle w:val="Subtitle"/>
        <w:rPr>
          <w:u w:color="44546A"/>
        </w:rPr>
      </w:pPr>
    </w:p>
    <w:p w14:paraId="3D87E4D3" w14:textId="2C168186" w:rsidR="00AF0E0B" w:rsidRPr="00AF0E0B" w:rsidRDefault="00AF0E0B" w:rsidP="008E7150">
      <w:pPr>
        <w:pStyle w:val="Subtitle"/>
      </w:pPr>
      <w:bookmarkStart w:id="206" w:name="_Toc26"/>
      <w:bookmarkStart w:id="207" w:name="_Toc49973360"/>
      <w:bookmarkStart w:id="208" w:name="_Toc64724179"/>
      <w:r w:rsidRPr="00AF0E0B">
        <w:rPr>
          <w:rFonts w:eastAsia="Arial Unicode MS" w:cs="Arial Unicode MS"/>
        </w:rPr>
        <w:t>Figure 2.10  Discriminant Function of QST Parameters by Group, Function 1 and Function 2</w:t>
      </w:r>
      <w:bookmarkEnd w:id="206"/>
      <w:bookmarkEnd w:id="207"/>
      <w:bookmarkEnd w:id="208"/>
    </w:p>
    <w:p w14:paraId="21624227" w14:textId="77777777" w:rsidR="00AF0E0B" w:rsidRPr="00AF0E0B" w:rsidRDefault="00AF0E0B" w:rsidP="00AF0E0B">
      <w:pPr>
        <w:pBdr>
          <w:top w:val="nil"/>
          <w:left w:val="nil"/>
          <w:bottom w:val="nil"/>
          <w:right w:val="nil"/>
          <w:between w:val="nil"/>
          <w:bar w:val="nil"/>
        </w:pBdr>
        <w:spacing w:line="360" w:lineRule="auto"/>
        <w:rPr>
          <w:rFonts w:eastAsia="Arial" w:cs="Arial"/>
          <w:color w:val="000000"/>
          <w:u w:color="000000"/>
          <w:bdr w:val="nil"/>
          <w:lang w:eastAsia="en-GB"/>
        </w:rPr>
      </w:pPr>
      <w:r w:rsidRPr="00AF0E0B">
        <w:rPr>
          <w:rFonts w:eastAsia="Arial" w:cs="Arial"/>
          <w:noProof/>
          <w:color w:val="000000"/>
          <w:u w:color="000000"/>
          <w:bdr w:val="nil"/>
          <w:lang w:eastAsia="en-GB"/>
        </w:rPr>
        <w:drawing>
          <wp:inline distT="0" distB="0" distL="0" distR="0" wp14:anchorId="139E9ABE" wp14:editId="5B7F3A1C">
            <wp:extent cx="5397500" cy="3467100"/>
            <wp:effectExtent l="12700" t="12700" r="12700" b="12700"/>
            <wp:docPr id="1073741873" name="officeArt object"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73" name="A screenshot of a cell phone&#10;&#10;Description automatically generated" descr="A screenshot of a cell phoneDescription automatically generated"/>
                    <pic:cNvPicPr>
                      <a:picLocks noChangeAspect="1"/>
                    </pic:cNvPicPr>
                  </pic:nvPicPr>
                  <pic:blipFill>
                    <a:blip r:embed="rId27"/>
                    <a:stretch>
                      <a:fillRect/>
                    </a:stretch>
                  </pic:blipFill>
                  <pic:spPr>
                    <a:xfrm>
                      <a:off x="0" y="0"/>
                      <a:ext cx="5397500" cy="3467100"/>
                    </a:xfrm>
                    <a:prstGeom prst="rect">
                      <a:avLst/>
                    </a:prstGeom>
                    <a:ln w="9525" cap="flat">
                      <a:solidFill>
                        <a:schemeClr val="accent1"/>
                      </a:solidFill>
                      <a:prstDash val="solid"/>
                      <a:round/>
                    </a:ln>
                    <a:effectLst/>
                  </pic:spPr>
                </pic:pic>
              </a:graphicData>
            </a:graphic>
          </wp:inline>
        </w:drawing>
      </w:r>
    </w:p>
    <w:p w14:paraId="5190A14B" w14:textId="77777777" w:rsidR="00AF0E0B" w:rsidRPr="008E7150" w:rsidRDefault="00AF0E0B" w:rsidP="008E7150">
      <w:pPr>
        <w:pBdr>
          <w:top w:val="nil"/>
          <w:left w:val="nil"/>
          <w:bottom w:val="nil"/>
          <w:right w:val="nil"/>
          <w:between w:val="nil"/>
          <w:bar w:val="nil"/>
        </w:pBdr>
        <w:spacing w:line="360" w:lineRule="auto"/>
        <w:rPr>
          <w:rStyle w:val="SubtleEmphasis"/>
        </w:rPr>
      </w:pPr>
      <w:r w:rsidRPr="008E7150">
        <w:rPr>
          <w:rStyle w:val="SubtleEmphasis"/>
        </w:rPr>
        <w:t xml:space="preserve">This figure shows that Function 1 discriminates between “no-neuropathy" on the left of the zero line of the X-axis, neuropathy on the right.  Function 2 separates the P-DPN from the DPN groups.  Function 1 includes higher scores on TSL, CDT, VDT, WDT, MPT, CPT, MDT.  Function 2 includes higher scores DMA, PHS and WUR (all positive symptoms).  </w:t>
      </w:r>
    </w:p>
    <w:p w14:paraId="34888CE5" w14:textId="13EE8123" w:rsidR="00AF0E0B" w:rsidRPr="00AF0E0B" w:rsidRDefault="00AF0E0B" w:rsidP="00E745CE">
      <w:pPr>
        <w:pStyle w:val="Heading2"/>
      </w:pPr>
      <w:bookmarkStart w:id="209" w:name="_Toc27"/>
      <w:bookmarkStart w:id="210" w:name="_Toc49973116"/>
      <w:bookmarkStart w:id="211" w:name="_Toc49973459"/>
      <w:bookmarkStart w:id="212" w:name="_Toc64723915"/>
      <w:r w:rsidRPr="00AF0E0B">
        <w:lastRenderedPageBreak/>
        <w:t>Discussion</w:t>
      </w:r>
      <w:bookmarkEnd w:id="209"/>
      <w:bookmarkEnd w:id="210"/>
      <w:bookmarkEnd w:id="211"/>
      <w:bookmarkEnd w:id="212"/>
    </w:p>
    <w:p w14:paraId="7591EE14" w14:textId="1D8DFDFD" w:rsidR="00AF0E0B" w:rsidRPr="00AF0E0B" w:rsidRDefault="00AF0E0B" w:rsidP="00AF0E0B">
      <w:pPr>
        <w:pBdr>
          <w:top w:val="nil"/>
          <w:left w:val="nil"/>
          <w:bottom w:val="nil"/>
          <w:right w:val="nil"/>
          <w:between w:val="nil"/>
          <w:bar w:val="nil"/>
        </w:pBdr>
        <w:spacing w:line="360" w:lineRule="auto"/>
        <w:rPr>
          <w:rFonts w:eastAsia="Arial" w:cs="Arial"/>
          <w:color w:val="000000"/>
          <w:u w:color="000000"/>
          <w:bdr w:val="nil"/>
          <w:lang w:eastAsia="en-GB"/>
        </w:rPr>
      </w:pPr>
      <w:r w:rsidRPr="00AF0E0B">
        <w:rPr>
          <w:rFonts w:eastAsia="Arial Unicode MS" w:cs="Arial Unicode MS"/>
          <w:color w:val="000000"/>
          <w:u w:color="000000"/>
          <w:bdr w:val="nil"/>
          <w:lang w:val="en-US" w:eastAsia="en-GB"/>
        </w:rPr>
        <w:t>In this study we aimed to look at the psychological, metabolic and clinical corelates of P-DPN by detailed and careful phenotyping of T1D patients and healthy non</w:t>
      </w:r>
      <w:r w:rsidR="007918E8">
        <w:rPr>
          <w:rFonts w:eastAsia="Arial Unicode MS" w:cs="Arial Unicode MS"/>
          <w:color w:val="000000"/>
          <w:u w:color="000000"/>
          <w:bdr w:val="nil"/>
          <w:lang w:val="en-US" w:eastAsia="en-GB"/>
        </w:rPr>
        <w:t>-</w:t>
      </w:r>
      <w:r w:rsidRPr="00AF0E0B">
        <w:rPr>
          <w:rFonts w:eastAsia="Arial Unicode MS" w:cs="Arial Unicode MS"/>
          <w:color w:val="000000"/>
          <w:u w:color="000000"/>
          <w:bdr w:val="nil"/>
          <w:lang w:val="en-US" w:eastAsia="en-GB"/>
        </w:rPr>
        <w:t xml:space="preserve">diabetic control subjects.  There were some significant differences between the baseline characteristics of the four groups.  The DPN group were older and significantly so, from the P-DPN group.  As we were recruiting patients with </w:t>
      </w:r>
      <w:r w:rsidR="00233478">
        <w:rPr>
          <w:rFonts w:eastAsia="Arial Unicode MS" w:cs="Arial Unicode MS"/>
          <w:color w:val="000000"/>
          <w:u w:color="000000"/>
          <w:bdr w:val="nil"/>
          <w:lang w:val="en-US" w:eastAsia="en-GB"/>
        </w:rPr>
        <w:t>eGFR</w:t>
      </w:r>
      <w:r w:rsidRPr="00AF0E0B">
        <w:rPr>
          <w:rFonts w:eastAsia="Arial Unicode MS" w:cs="Arial Unicode MS"/>
          <w:color w:val="000000"/>
          <w:u w:color="000000"/>
          <w:bdr w:val="nil"/>
          <w:lang w:eastAsia="en-GB"/>
        </w:rPr>
        <w:t xml:space="preserve"> &gt;40mls/min/1.73m</w:t>
      </w:r>
      <w:r w:rsidRPr="00AF0E0B">
        <w:rPr>
          <w:rFonts w:eastAsia="Arial Unicode MS" w:cs="Arial Unicode MS"/>
          <w:color w:val="000000"/>
          <w:u w:color="000000"/>
          <w:bdr w:val="nil"/>
          <w:vertAlign w:val="superscript"/>
          <w:lang w:eastAsia="en-GB"/>
        </w:rPr>
        <w:t>2,</w:t>
      </w:r>
      <w:r w:rsidRPr="00AF0E0B">
        <w:rPr>
          <w:rFonts w:eastAsia="Arial Unicode MS" w:cs="Arial Unicode MS"/>
          <w:color w:val="000000"/>
          <w:u w:color="000000"/>
          <w:bdr w:val="nil"/>
          <w:lang w:val="en-US" w:eastAsia="en-GB"/>
        </w:rPr>
        <w:t xml:space="preserve"> this may have led to exclusion of subjects with P-DPN who were older due to the association with severity of complications and age </w:t>
      </w:r>
      <w:r w:rsidRPr="00AF0E0B">
        <w:rPr>
          <w:rFonts w:eastAsia="Arial" w:cs="Arial"/>
          <w:color w:val="000000"/>
          <w:u w:color="000000"/>
          <w:bdr w:val="nil"/>
          <w:lang w:eastAsia="en-GB"/>
        </w:rPr>
        <w:fldChar w:fldCharType="begin">
          <w:fldData xml:space="preserve">PEVuZE5vdGU+PENpdGU+PEF1dGhvcj5UZXNmYXllPC9BdXRob3I+PFllYXI+MTk5NjwvWWVhcj48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</w:fldData>
        </w:fldChar>
      </w:r>
      <w:r w:rsidR="009968E0">
        <w:rPr>
          <w:rFonts w:eastAsia="Arial" w:cs="Arial"/>
          <w:color w:val="000000"/>
          <w:u w:color="000000"/>
          <w:bdr w:val="nil"/>
          <w:lang w:eastAsia="en-GB"/>
        </w:rPr>
        <w:instrText xml:space="preserve"> ADDIN EN.CITE </w:instrText>
      </w:r>
      <w:r w:rsidR="009968E0">
        <w:rPr>
          <w:rFonts w:eastAsia="Arial" w:cs="Arial"/>
          <w:color w:val="000000"/>
          <w:u w:color="000000"/>
          <w:bdr w:val="nil"/>
          <w:lang w:eastAsia="en-GB"/>
        </w:rPr>
        <w:fldChar w:fldCharType="begin">
          <w:fldData xml:space="preserve">PEVuZE5vdGU+PENpdGU+PEF1dGhvcj5UZXNmYXllPC9BdXRob3I+PFllYXI+MTk5NjwvWWVhcj48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</w:fldData>
        </w:fldChar>
      </w:r>
      <w:r w:rsidR="009968E0">
        <w:rPr>
          <w:rFonts w:eastAsia="Arial" w:cs="Arial"/>
          <w:color w:val="000000"/>
          <w:u w:color="000000"/>
          <w:bdr w:val="nil"/>
          <w:lang w:eastAsia="en-GB"/>
        </w:rPr>
        <w:instrText xml:space="preserve"> ADDIN EN.CITE.DATA </w:instrText>
      </w:r>
      <w:r w:rsidR="009968E0">
        <w:rPr>
          <w:rFonts w:eastAsia="Arial" w:cs="Arial"/>
          <w:color w:val="000000"/>
          <w:u w:color="000000"/>
          <w:bdr w:val="nil"/>
          <w:lang w:eastAsia="en-GB"/>
        </w:rPr>
      </w:r>
      <w:r w:rsidR="009968E0">
        <w:rPr>
          <w:rFonts w:eastAsia="Arial" w:cs="Arial"/>
          <w:color w:val="000000"/>
          <w:u w:color="000000"/>
          <w:bdr w:val="nil"/>
          <w:lang w:eastAsia="en-GB"/>
        </w:rPr>
        <w:fldChar w:fldCharType="end"/>
      </w:r>
      <w:r w:rsidRPr="00AF0E0B">
        <w:rPr>
          <w:rFonts w:eastAsia="Arial" w:cs="Arial"/>
          <w:color w:val="000000"/>
          <w:u w:color="000000"/>
          <w:bdr w:val="nil"/>
          <w:lang w:eastAsia="en-GB"/>
        </w:rPr>
      </w:r>
      <w:r w:rsidRPr="00AF0E0B">
        <w:rPr>
          <w:rFonts w:eastAsia="Arial" w:cs="Arial"/>
          <w:color w:val="000000"/>
          <w:u w:color="000000"/>
          <w:bdr w:val="nil"/>
          <w:lang w:eastAsia="en-GB"/>
        </w:rPr>
        <w:fldChar w:fldCharType="separate"/>
      </w:r>
      <w:r w:rsidR="009968E0">
        <w:rPr>
          <w:rFonts w:eastAsia="Arial" w:cs="Arial"/>
          <w:noProof/>
          <w:color w:val="000000"/>
          <w:u w:color="000000"/>
          <w:bdr w:val="nil"/>
          <w:lang w:eastAsia="en-GB"/>
        </w:rPr>
        <w:t>(Tesfaye et al., 1996b)</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xml:space="preserve">.  Although the P-DPN group was younger, they still had a trend to </w:t>
      </w:r>
      <w:r w:rsidR="00D95840">
        <w:rPr>
          <w:rFonts w:eastAsia="Arial Unicode MS" w:cs="Arial Unicode MS"/>
          <w:color w:val="000000"/>
          <w:u w:color="000000"/>
          <w:bdr w:val="nil"/>
          <w:lang w:val="en-US" w:eastAsia="en-GB"/>
        </w:rPr>
        <w:t>poorer</w:t>
      </w:r>
      <w:r w:rsidRPr="00AF0E0B">
        <w:rPr>
          <w:rFonts w:eastAsia="Arial Unicode MS" w:cs="Arial Unicode MS"/>
          <w:color w:val="000000"/>
          <w:u w:color="000000"/>
          <w:bdr w:val="nil"/>
          <w:lang w:val="en-US" w:eastAsia="en-GB"/>
        </w:rPr>
        <w:t xml:space="preserve"> </w:t>
      </w:r>
      <w:proofErr w:type="spellStart"/>
      <w:r w:rsidRPr="00AF0E0B">
        <w:rPr>
          <w:rFonts w:eastAsia="Arial Unicode MS" w:cs="Arial Unicode MS"/>
          <w:color w:val="000000"/>
          <w:u w:color="000000"/>
          <w:bdr w:val="nil"/>
          <w:lang w:val="en-US" w:eastAsia="en-GB"/>
        </w:rPr>
        <w:t>glycaemic</w:t>
      </w:r>
      <w:proofErr w:type="spellEnd"/>
      <w:r w:rsidRPr="00AF0E0B">
        <w:rPr>
          <w:rFonts w:eastAsia="Arial Unicode MS" w:cs="Arial Unicode MS"/>
          <w:color w:val="000000"/>
          <w:u w:color="000000"/>
          <w:bdr w:val="nil"/>
          <w:lang w:val="en-US" w:eastAsia="en-GB"/>
        </w:rPr>
        <w:t xml:space="preserve"> control and more severe neuropathy than the </w:t>
      </w:r>
      <w:r w:rsidRPr="00AF0E0B">
        <w:rPr>
          <w:rFonts w:eastAsia="Arial Unicode MS" w:cs="Arial Unicode MS"/>
          <w:color w:val="000000"/>
          <w:u w:color="000000"/>
          <w:bdr w:val="nil"/>
          <w:lang w:val="pt-PT" w:eastAsia="en-GB"/>
        </w:rPr>
        <w:t>DPN</w:t>
      </w:r>
      <w:r w:rsidRPr="00AF0E0B">
        <w:rPr>
          <w:rFonts w:eastAsia="Arial Unicode MS" w:cs="Arial Unicode MS"/>
          <w:color w:val="000000"/>
          <w:u w:color="000000"/>
          <w:bdr w:val="nil"/>
          <w:lang w:val="en-US" w:eastAsia="en-GB"/>
        </w:rPr>
        <w:t xml:space="preserve"> group</w:t>
      </w:r>
      <w:r w:rsidRPr="00AF0E0B">
        <w:rPr>
          <w:rFonts w:eastAsia="Arial Unicode MS" w:cs="Arial Unicode MS"/>
          <w:color w:val="000000"/>
          <w:u w:color="000000"/>
          <w:bdr w:val="nil"/>
          <w:lang w:eastAsia="en-GB"/>
        </w:rPr>
        <w:t xml:space="preserve">. </w:t>
      </w:r>
    </w:p>
    <w:p w14:paraId="7A675AA4" w14:textId="305930EC" w:rsidR="00AF0E0B" w:rsidRPr="00AF0E0B" w:rsidRDefault="00AF0E0B" w:rsidP="00AF0E0B">
      <w:pPr>
        <w:pBdr>
          <w:top w:val="nil"/>
          <w:left w:val="nil"/>
          <w:bottom w:val="nil"/>
          <w:right w:val="nil"/>
          <w:between w:val="nil"/>
          <w:bar w:val="nil"/>
        </w:pBdr>
        <w:spacing w:line="360" w:lineRule="auto"/>
        <w:rPr>
          <w:rFonts w:eastAsia="Arial" w:cs="Arial"/>
          <w:color w:val="000000"/>
          <w:u w:color="000000"/>
          <w:bdr w:val="nil"/>
          <w:lang w:eastAsia="en-GB"/>
        </w:rPr>
      </w:pPr>
      <w:r w:rsidRPr="00AF0E0B">
        <w:rPr>
          <w:rFonts w:eastAsia="Arial Unicode MS" w:cs="Arial Unicode MS"/>
          <w:color w:val="000000"/>
          <w:u w:color="000000"/>
          <w:bdr w:val="nil"/>
          <w:lang w:val="en-US" w:eastAsia="en-GB"/>
        </w:rPr>
        <w:t xml:space="preserve">HbA1c was statistically significantly different between the groups.  This is in line with previous studies.  HbA1c has been reported as a significant risk factor for the development of neuropathy in T1D </w:t>
      </w:r>
      <w:r w:rsidRPr="00AF0E0B">
        <w:rPr>
          <w:rFonts w:eastAsia="Arial" w:cs="Arial"/>
          <w:color w:val="000000"/>
          <w:u w:color="000000"/>
          <w:bdr w:val="nil"/>
          <w:lang w:eastAsia="en-GB"/>
        </w:rPr>
        <w:fldChar w:fldCharType="begin">
          <w:fldData xml:space="preserve">PEVuZE5vdGU+PENpdGU+PEF1dGhvcj5UZXNmYXllPC9BdXRob3I+PFllYXI+MTk5NjwvWWVhcj48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</w:fldData>
        </w:fldChar>
      </w:r>
      <w:r w:rsidR="009968E0">
        <w:rPr>
          <w:rFonts w:eastAsia="Arial" w:cs="Arial"/>
          <w:color w:val="000000"/>
          <w:u w:color="000000"/>
          <w:bdr w:val="nil"/>
          <w:lang w:eastAsia="en-GB"/>
        </w:rPr>
        <w:instrText xml:space="preserve"> ADDIN EN.CITE </w:instrText>
      </w:r>
      <w:r w:rsidR="009968E0">
        <w:rPr>
          <w:rFonts w:eastAsia="Arial" w:cs="Arial"/>
          <w:color w:val="000000"/>
          <w:u w:color="000000"/>
          <w:bdr w:val="nil"/>
          <w:lang w:eastAsia="en-GB"/>
        </w:rPr>
        <w:fldChar w:fldCharType="begin">
          <w:fldData xml:space="preserve">PEVuZE5vdGU+PENpdGU+PEF1dGhvcj5UZXNmYXllPC9BdXRob3I+PFllYXI+MTk5NjwvWWVhcj48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</w:fldData>
        </w:fldChar>
      </w:r>
      <w:r w:rsidR="009968E0">
        <w:rPr>
          <w:rFonts w:eastAsia="Arial" w:cs="Arial"/>
          <w:color w:val="000000"/>
          <w:u w:color="000000"/>
          <w:bdr w:val="nil"/>
          <w:lang w:eastAsia="en-GB"/>
        </w:rPr>
        <w:instrText xml:space="preserve"> ADDIN EN.CITE.DATA </w:instrText>
      </w:r>
      <w:r w:rsidR="009968E0">
        <w:rPr>
          <w:rFonts w:eastAsia="Arial" w:cs="Arial"/>
          <w:color w:val="000000"/>
          <w:u w:color="000000"/>
          <w:bdr w:val="nil"/>
          <w:lang w:eastAsia="en-GB"/>
        </w:rPr>
      </w:r>
      <w:r w:rsidR="009968E0">
        <w:rPr>
          <w:rFonts w:eastAsia="Arial" w:cs="Arial"/>
          <w:color w:val="000000"/>
          <w:u w:color="000000"/>
          <w:bdr w:val="nil"/>
          <w:lang w:eastAsia="en-GB"/>
        </w:rPr>
        <w:fldChar w:fldCharType="end"/>
      </w:r>
      <w:r w:rsidRPr="00AF0E0B">
        <w:rPr>
          <w:rFonts w:eastAsia="Arial" w:cs="Arial"/>
          <w:color w:val="000000"/>
          <w:u w:color="000000"/>
          <w:bdr w:val="nil"/>
          <w:lang w:eastAsia="en-GB"/>
        </w:rPr>
      </w:r>
      <w:r w:rsidRPr="00AF0E0B">
        <w:rPr>
          <w:rFonts w:eastAsia="Arial" w:cs="Arial"/>
          <w:color w:val="000000"/>
          <w:u w:color="000000"/>
          <w:bdr w:val="nil"/>
          <w:lang w:eastAsia="en-GB"/>
        </w:rPr>
        <w:fldChar w:fldCharType="separate"/>
      </w:r>
      <w:r w:rsidR="009968E0">
        <w:rPr>
          <w:rFonts w:eastAsia="Arial" w:cs="Arial"/>
          <w:noProof/>
          <w:color w:val="000000"/>
          <w:u w:color="000000"/>
          <w:bdr w:val="nil"/>
          <w:lang w:eastAsia="en-GB"/>
        </w:rPr>
        <w:t>(Tesfaye et al., 1996b)</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xml:space="preserve">.  In the KORA </w:t>
      </w:r>
      <w:r w:rsidRPr="00AF0E0B">
        <w:rPr>
          <w:rFonts w:eastAsia="Arial" w:cs="Arial"/>
          <w:color w:val="000000"/>
          <w:u w:color="000000"/>
          <w:bdr w:val="nil"/>
          <w:lang w:eastAsia="en-GB"/>
        </w:rPr>
        <w:fldChar w:fldCharType="begin"/>
      </w:r>
      <w:r w:rsidR="00D06F2D">
        <w:rPr>
          <w:rFonts w:eastAsia="Arial" w:cs="Arial"/>
          <w:color w:val="000000"/>
          <w:u w:color="000000"/>
          <w:bdr w:val="nil"/>
          <w:lang w:eastAsia="en-GB"/>
        </w:rPr>
        <w:instrText xml:space="preserve"> ADDIN EN.CITE &lt;EndNote&gt;&lt;Cite&gt;&lt;Author&gt;Ziegler&lt;/Author&gt;&lt;Year&gt;2009&lt;/Year&gt;&lt;RecNum&gt;909&lt;/RecNum&gt;&lt;DisplayText&gt;(Ziegler et al., 2009b)&lt;/DisplayText&gt;&lt;record&gt;&lt;dates&gt;&lt;pub-dates&gt;&lt;date&gt;Mar&lt;/date&gt;&lt;/pub-dates&gt;&lt;year&gt;2009&lt;/year&gt;&lt;/dates&gt;&lt;urls&gt;&lt;related-urls&gt;&lt;url&gt;&amp;lt;Go to ISI&amp;gt;://WOS:000263910900015&lt;/url&gt;&lt;/related-urls&gt;&lt;/urls&gt;&lt;isbn&gt;1526-2375&lt;/isbn&gt;&lt;titles&gt;&lt;title&gt;Neuropathic Pain in Diabetes, Prediabetes and Normal Glucose Tolerance: The MONICA/KORA Augsburg Surveys S2 and S3&lt;/title&gt;&lt;secondary-title&gt;Pain Medicine&lt;/secondary-title&gt;&lt;/titles&gt;&lt;pages&gt;393-400&lt;/pages&gt;&lt;number&gt;2&lt;/number&gt;&lt;contributors&gt;&lt;authors&gt;&lt;author&gt;Ziegler, D.&lt;/author&gt;&lt;author&gt;Rathmann, W.&lt;/author&gt;&lt;author&gt;Dickhaus, T.&lt;/author&gt;&lt;author&gt;Meisinger, C.&lt;/author&gt;&lt;author&gt;Mielck, A.&lt;/author&gt;&lt;author&gt;Kora Study Grp&lt;/author&gt;&lt;/authors&gt;&lt;/contributors&gt;&lt;added-date format="utc"&gt;1518790126&lt;/added-date&gt;&lt;ref-type name="Journal Article"&gt;17&lt;/ref-type&gt;&lt;rec-number&gt;909&lt;/rec-number&gt;&lt;last-updated-date format="utc"&gt;1518790126&lt;/last-updated-date&gt;&lt;accession-num&gt;WOS:000263910900015&lt;/accession-num&gt;&lt;electronic-resource-num&gt;10.1111/j.1526-4637.2008.00555.x&lt;/electronic-resource-num&gt;&lt;volume&gt;10&lt;/volume&gt;&lt;/record&gt;&lt;/Cite&gt;&lt;/EndNote&gt;</w:instrText>
      </w:r>
      <w:r w:rsidRPr="00AF0E0B">
        <w:rPr>
          <w:rFonts w:eastAsia="Arial" w:cs="Arial"/>
          <w:color w:val="000000"/>
          <w:u w:color="000000"/>
          <w:bdr w:val="nil"/>
          <w:lang w:eastAsia="en-GB"/>
        </w:rPr>
        <w:fldChar w:fldCharType="separate"/>
      </w:r>
      <w:r w:rsidR="00D06F2D">
        <w:rPr>
          <w:rFonts w:eastAsia="Arial" w:cs="Arial"/>
          <w:noProof/>
          <w:color w:val="000000"/>
          <w:u w:color="000000"/>
          <w:bdr w:val="nil"/>
          <w:lang w:eastAsia="en-GB"/>
        </w:rPr>
        <w:t>(Ziegler et al., 2009b)</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xml:space="preserve"> and </w:t>
      </w:r>
      <w:proofErr w:type="spellStart"/>
      <w:r w:rsidRPr="00AF0E0B">
        <w:rPr>
          <w:rFonts w:eastAsia="Arial Unicode MS" w:cs="Arial Unicode MS"/>
          <w:color w:val="000000"/>
          <w:u w:color="000000"/>
          <w:bdr w:val="nil"/>
          <w:lang w:val="en-US" w:eastAsia="en-GB"/>
        </w:rPr>
        <w:t>PiNS</w:t>
      </w:r>
      <w:proofErr w:type="spellEnd"/>
      <w:r w:rsidRPr="00AF0E0B">
        <w:rPr>
          <w:rFonts w:eastAsia="Arial Unicode MS" w:cs="Arial Unicode MS"/>
          <w:color w:val="000000"/>
          <w:u w:color="000000"/>
          <w:bdr w:val="nil"/>
          <w:lang w:eastAsia="en-GB"/>
        </w:rPr>
        <w:t xml:space="preserve"> </w:t>
      </w:r>
      <w:r w:rsidR="00AA1E25" w:rsidRPr="00AF0E0B">
        <w:rPr>
          <w:rFonts w:eastAsia="Arial Unicode MS" w:cs="Arial Unicode MS"/>
          <w:color w:val="000000"/>
          <w:u w:color="000000"/>
          <w:bdr w:val="nil"/>
          <w:lang w:val="en-US" w:eastAsia="en-GB"/>
        </w:rPr>
        <w:t xml:space="preserve">studies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&gt;&lt;Author&gt;Themistocleous&lt;/Author&gt;&lt;Year&gt;2016&lt;/Year&gt;&lt;RecNum&gt;910&lt;/RecNum&gt;&lt;DisplayText&gt;(Themistocleous et al., 2016)&lt;/DisplayText&gt;&lt;record&gt;&lt;dates&gt;&lt;pub-dates&gt;&lt;date&gt;May&lt;/date&gt;&lt;/pub-dates&gt;&lt;year&gt;2016&lt;/year&gt;&lt;/dates&gt;&lt;urls&gt;&lt;related-urls&gt;&lt;url&gt;&amp;lt;Go to ISI&amp;gt;://WOS:000378875600019&lt;/url&gt;&lt;/related-urls&gt;&lt;/urls&gt;&lt;isbn&gt;0304-3959&lt;/isbn&gt;&lt;titles&gt;&lt;title&gt;The Pain in Neuropathy Study (PiNS): a cross-sectional observational study determining the somatosensory phenotype of painful and painless diabetic neuropathy&lt;/title&gt;&lt;secondary-title&gt;Pain&lt;/secondary-title&gt;&lt;/titles&gt;&lt;pages&gt;1132-1145&lt;/pages&gt;&lt;number&gt;5&lt;/number&gt;&lt;contributors&gt;&lt;authors&gt;&lt;author&gt;Themistocleous, A. C.&lt;/author&gt;&lt;author&gt;Ramirez, J. D.&lt;/author&gt;&lt;author&gt;Shillo, P. R.&lt;/author&gt;&lt;author&gt;Lees, J. G.&lt;/author&gt;&lt;author&gt;Selvarajah, D.&lt;/author&gt;&lt;author&gt;Orengo, C.&lt;/author&gt;&lt;author&gt;Tesfaye, S.&lt;/author&gt;&lt;author&gt;Rice, A. S. C.&lt;/author&gt;&lt;author&gt;Bennett, D. L. H.&lt;/author&gt;&lt;/authors&gt;&lt;/contributors&gt;&lt;added-date format="utc"&gt;1518793823&lt;/added-date&gt;&lt;ref-type name="Journal Article"&gt;17&lt;/ref-type&gt;&lt;rec-number&gt;910&lt;/rec-number&gt;&lt;last-updated-date format="utc"&gt;1518793823&lt;/last-updated-date&gt;&lt;accession-num&gt;WOS:000378875600019&lt;/accession-num&gt;&lt;electronic-resource-num&gt;10.1097/j.pain.0000000000000491&lt;/electronic-resource-num&gt;&lt;volume&gt;157&lt;/volum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val="en-US" w:eastAsia="en-GB"/>
        </w:rPr>
        <w:t>(</w:t>
      </w:r>
      <w:proofErr w:type="spellStart"/>
      <w:r w:rsidRPr="00AF0E0B">
        <w:rPr>
          <w:rFonts w:eastAsia="Arial Unicode MS" w:cs="Arial Unicode MS"/>
          <w:color w:val="000000"/>
          <w:u w:color="000000"/>
          <w:bdr w:val="nil"/>
          <w:lang w:val="en-US" w:eastAsia="en-GB"/>
        </w:rPr>
        <w:t>Themistocleous</w:t>
      </w:r>
      <w:proofErr w:type="spellEnd"/>
      <w:r w:rsidRPr="00AF0E0B">
        <w:rPr>
          <w:rFonts w:eastAsia="Arial Unicode MS" w:cs="Arial Unicode MS"/>
          <w:color w:val="000000"/>
          <w:u w:color="000000"/>
          <w:bdr w:val="nil"/>
          <w:lang w:val="en-US" w:eastAsia="en-GB"/>
        </w:rPr>
        <w:t xml:space="preserve"> et al., 2016)</w:t>
      </w:r>
      <w:r w:rsidRPr="00AF0E0B">
        <w:rPr>
          <w:rFonts w:eastAsia="Arial" w:cs="Arial"/>
          <w:color w:val="000000"/>
          <w:u w:color="000000"/>
          <w:bdr w:val="nil"/>
          <w:lang w:eastAsia="en-GB"/>
        </w:rPr>
        <w:fldChar w:fldCharType="end"/>
      </w:r>
      <w:r w:rsidR="00AA1E25">
        <w:rPr>
          <w:rFonts w:eastAsia="Arial" w:cs="Arial"/>
          <w:color w:val="000000"/>
          <w:u w:color="000000"/>
          <w:bdr w:val="nil"/>
          <w:lang w:eastAsia="en-GB"/>
        </w:rPr>
        <w:t>,</w:t>
      </w:r>
      <w:r w:rsidRPr="00AF0E0B">
        <w:rPr>
          <w:rFonts w:eastAsia="Arial Unicode MS" w:cs="Arial Unicode MS"/>
          <w:color w:val="000000"/>
          <w:u w:color="000000"/>
          <w:bdr w:val="nil"/>
          <w:lang w:val="en-US" w:eastAsia="en-GB"/>
        </w:rPr>
        <w:t xml:space="preserve"> higher Hba1c was reported as a predisposing factor to the development of P-DPN in both T1D and T2D.  There were 5 ex-smokers in the P-DPN group and none in the other groups.  Smoking has been identified as a risk factor for DPN and P-DPN in several epidemiological studies </w:t>
      </w:r>
      <w:r w:rsidRPr="00AF0E0B">
        <w:rPr>
          <w:rFonts w:eastAsia="Arial" w:cs="Arial"/>
          <w:color w:val="000000"/>
          <w:u w:color="000000"/>
          <w:bdr w:val="nil"/>
          <w:lang w:eastAsia="en-GB"/>
        </w:rPr>
        <w:fldChar w:fldCharType="begin">
          <w:fldData xml:space="preserve">PEVuZE5vdGU+PENpdGU+PEF1dGhvcj5UZXNmYXllPC9BdXRob3I+PFllYXI+MTk5NjwvWWVhcj48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</w:fldData>
        </w:fldChar>
      </w:r>
      <w:r w:rsidR="00D06F2D">
        <w:rPr>
          <w:rFonts w:eastAsia="Arial" w:cs="Arial"/>
          <w:color w:val="000000"/>
          <w:u w:color="000000"/>
          <w:bdr w:val="nil"/>
          <w:lang w:eastAsia="en-GB"/>
        </w:rPr>
        <w:instrText xml:space="preserve"> ADDIN EN.CITE </w:instrText>
      </w:r>
      <w:r w:rsidR="00D06F2D">
        <w:rPr>
          <w:rFonts w:eastAsia="Arial" w:cs="Arial"/>
          <w:color w:val="000000"/>
          <w:u w:color="000000"/>
          <w:bdr w:val="nil"/>
          <w:lang w:eastAsia="en-GB"/>
        </w:rPr>
        <w:fldChar w:fldCharType="begin">
          <w:fldData xml:space="preserve">PEVuZE5vdGU+PENpdGU+PEF1dGhvcj5UZXNmYXllPC9BdXRob3I+PFllYXI+MTk5NjwvWWVhcj48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</w:fldData>
        </w:fldChar>
      </w:r>
      <w:r w:rsidR="00D06F2D">
        <w:rPr>
          <w:rFonts w:eastAsia="Arial" w:cs="Arial"/>
          <w:color w:val="000000"/>
          <w:u w:color="000000"/>
          <w:bdr w:val="nil"/>
          <w:lang w:eastAsia="en-GB"/>
        </w:rPr>
        <w:instrText xml:space="preserve"> ADDIN EN.CITE.DATA </w:instrText>
      </w:r>
      <w:r w:rsidR="00D06F2D">
        <w:rPr>
          <w:rFonts w:eastAsia="Arial" w:cs="Arial"/>
          <w:color w:val="000000"/>
          <w:u w:color="000000"/>
          <w:bdr w:val="nil"/>
          <w:lang w:eastAsia="en-GB"/>
        </w:rPr>
      </w:r>
      <w:r w:rsidR="00D06F2D">
        <w:rPr>
          <w:rFonts w:eastAsia="Arial" w:cs="Arial"/>
          <w:color w:val="000000"/>
          <w:u w:color="000000"/>
          <w:bdr w:val="nil"/>
          <w:lang w:eastAsia="en-GB"/>
        </w:rPr>
        <w:fldChar w:fldCharType="end"/>
      </w:r>
      <w:r w:rsidRPr="00AF0E0B">
        <w:rPr>
          <w:rFonts w:eastAsia="Arial" w:cs="Arial"/>
          <w:color w:val="000000"/>
          <w:u w:color="000000"/>
          <w:bdr w:val="nil"/>
          <w:lang w:eastAsia="en-GB"/>
        </w:rPr>
      </w:r>
      <w:r w:rsidRPr="00AF0E0B">
        <w:rPr>
          <w:rFonts w:eastAsia="Arial" w:cs="Arial"/>
          <w:color w:val="000000"/>
          <w:u w:color="000000"/>
          <w:bdr w:val="nil"/>
          <w:lang w:eastAsia="en-GB"/>
        </w:rPr>
        <w:fldChar w:fldCharType="separate"/>
      </w:r>
      <w:r w:rsidR="00D06F2D">
        <w:rPr>
          <w:rFonts w:eastAsia="Arial" w:cs="Arial"/>
          <w:noProof/>
          <w:color w:val="000000"/>
          <w:u w:color="000000"/>
          <w:bdr w:val="nil"/>
          <w:lang w:eastAsia="en-GB"/>
        </w:rPr>
        <w:t>(Tesfaye et al., 1996b, Van Acker et al., 2009, Ziegler et al., 2009a, Themistocleous et al., 2016)</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xml:space="preserve">.  Macrovascular disease (any history of cerebrovascular events, myocardial events and peripheral vascular disease) is reported to have a strong association with neuropathy </w:t>
      </w:r>
      <w:r w:rsidRPr="00AF0E0B">
        <w:rPr>
          <w:rFonts w:eastAsia="Arial" w:cs="Arial"/>
          <w:color w:val="000000"/>
          <w:u w:color="000000"/>
          <w:bdr w:val="nil"/>
          <w:lang w:eastAsia="en-GB"/>
        </w:rPr>
        <w:fldChar w:fldCharType="begin">
          <w:fldData xml:space="preserve">PEVuZE5vdGU+PENpdGU+PEF1dGhvcj5UZXNmYXllPC9BdXRob3I+PFllYXI+MTk5NjwvWWVhcj48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</w:fldData>
        </w:fldChar>
      </w:r>
      <w:r w:rsidR="00D06F2D">
        <w:rPr>
          <w:rFonts w:eastAsia="Arial" w:cs="Arial"/>
          <w:color w:val="000000"/>
          <w:u w:color="000000"/>
          <w:bdr w:val="nil"/>
          <w:lang w:eastAsia="en-GB"/>
        </w:rPr>
        <w:instrText xml:space="preserve"> ADDIN EN.CITE </w:instrText>
      </w:r>
      <w:r w:rsidR="00D06F2D">
        <w:rPr>
          <w:rFonts w:eastAsia="Arial" w:cs="Arial"/>
          <w:color w:val="000000"/>
          <w:u w:color="000000"/>
          <w:bdr w:val="nil"/>
          <w:lang w:eastAsia="en-GB"/>
        </w:rPr>
        <w:fldChar w:fldCharType="begin">
          <w:fldData xml:space="preserve">PEVuZE5vdGU+PENpdGU+PEF1dGhvcj5UZXNmYXllPC9BdXRob3I+PFllYXI+MTk5NjwvWWVhcj48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</w:fldData>
        </w:fldChar>
      </w:r>
      <w:r w:rsidR="00D06F2D">
        <w:rPr>
          <w:rFonts w:eastAsia="Arial" w:cs="Arial"/>
          <w:color w:val="000000"/>
          <w:u w:color="000000"/>
          <w:bdr w:val="nil"/>
          <w:lang w:eastAsia="en-GB"/>
        </w:rPr>
        <w:instrText xml:space="preserve"> ADDIN EN.CITE.DATA </w:instrText>
      </w:r>
      <w:r w:rsidR="00D06F2D">
        <w:rPr>
          <w:rFonts w:eastAsia="Arial" w:cs="Arial"/>
          <w:color w:val="000000"/>
          <w:u w:color="000000"/>
          <w:bdr w:val="nil"/>
          <w:lang w:eastAsia="en-GB"/>
        </w:rPr>
      </w:r>
      <w:r w:rsidR="00D06F2D">
        <w:rPr>
          <w:rFonts w:eastAsia="Arial" w:cs="Arial"/>
          <w:color w:val="000000"/>
          <w:u w:color="000000"/>
          <w:bdr w:val="nil"/>
          <w:lang w:eastAsia="en-GB"/>
        </w:rPr>
        <w:fldChar w:fldCharType="end"/>
      </w:r>
      <w:r w:rsidRPr="00AF0E0B">
        <w:rPr>
          <w:rFonts w:eastAsia="Arial" w:cs="Arial"/>
          <w:color w:val="000000"/>
          <w:u w:color="000000"/>
          <w:bdr w:val="nil"/>
          <w:lang w:eastAsia="en-GB"/>
        </w:rPr>
      </w:r>
      <w:r w:rsidRPr="00AF0E0B">
        <w:rPr>
          <w:rFonts w:eastAsia="Arial" w:cs="Arial"/>
          <w:color w:val="000000"/>
          <w:u w:color="000000"/>
          <w:bdr w:val="nil"/>
          <w:lang w:eastAsia="en-GB"/>
        </w:rPr>
        <w:fldChar w:fldCharType="separate"/>
      </w:r>
      <w:r w:rsidR="00D06F2D">
        <w:rPr>
          <w:rFonts w:eastAsia="Arial" w:cs="Arial"/>
          <w:noProof/>
          <w:color w:val="000000"/>
          <w:u w:color="000000"/>
          <w:bdr w:val="nil"/>
          <w:lang w:eastAsia="en-GB"/>
        </w:rPr>
        <w:t>(Tesfaye et al., 1996b, Ziegler et al., 2009b)</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There was a higher incidence of macrovascular events in our painless neuropathy (DPN) group, but this was not significantly different when compared using Pearson’</w:t>
      </w:r>
      <w:r w:rsidRPr="00AF0E0B">
        <w:rPr>
          <w:rFonts w:eastAsia="Arial Unicode MS" w:cs="Arial Unicode MS"/>
          <w:color w:val="000000"/>
          <w:u w:color="000000"/>
          <w:bdr w:val="nil"/>
          <w:lang w:val="it-IT" w:eastAsia="en-GB"/>
        </w:rPr>
        <w:t xml:space="preserve">s Chi </w:t>
      </w:r>
      <w:proofErr w:type="spellStart"/>
      <w:r w:rsidRPr="00AF0E0B">
        <w:rPr>
          <w:rFonts w:eastAsia="Arial Unicode MS" w:cs="Arial Unicode MS"/>
          <w:color w:val="000000"/>
          <w:u w:color="000000"/>
          <w:bdr w:val="nil"/>
          <w:lang w:val="it-IT" w:eastAsia="en-GB"/>
        </w:rPr>
        <w:t>Square</w:t>
      </w:r>
      <w:proofErr w:type="spellEnd"/>
      <w:r w:rsidRPr="00AF0E0B">
        <w:rPr>
          <w:rFonts w:eastAsia="Arial Unicode MS" w:cs="Arial Unicode MS"/>
          <w:color w:val="000000"/>
          <w:u w:color="000000"/>
          <w:bdr w:val="nil"/>
          <w:lang w:val="it-IT" w:eastAsia="en-GB"/>
        </w:rPr>
        <w:t>.</w:t>
      </w:r>
      <w:r w:rsidRPr="00AF0E0B">
        <w:rPr>
          <w:rFonts w:eastAsia="Arial Unicode MS" w:cs="Arial Unicode MS"/>
          <w:color w:val="000000"/>
          <w:u w:color="000000"/>
          <w:bdr w:val="nil"/>
          <w:lang w:val="en-US" w:eastAsia="en-GB"/>
        </w:rPr>
        <w:t xml:space="preserve">  There was an expected increase in prevalence of retinopathy in the P-DPN and DPN groups as opposed to the DM-NN group </w:t>
      </w:r>
      <w:r w:rsidRPr="00AF0E0B">
        <w:rPr>
          <w:rFonts w:eastAsia="Arial" w:cs="Arial"/>
          <w:color w:val="000000"/>
          <w:u w:color="000000"/>
          <w:bdr w:val="nil"/>
          <w:lang w:eastAsia="en-GB"/>
        </w:rPr>
        <w:fldChar w:fldCharType="begin">
          <w:fldData xml:space="preserve">PEVuZE5vdGU+PENpdGU+PEF1dGhvcj5UZXNmYXllPC9BdXRob3I+PFllYXI+MTk5NjwvWWVhcj48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</w:fldData>
        </w:fldChar>
      </w:r>
      <w:r w:rsidR="009968E0">
        <w:rPr>
          <w:rFonts w:eastAsia="Arial" w:cs="Arial"/>
          <w:color w:val="000000"/>
          <w:u w:color="000000"/>
          <w:bdr w:val="nil"/>
          <w:lang w:eastAsia="en-GB"/>
        </w:rPr>
        <w:instrText xml:space="preserve"> ADDIN EN.CITE </w:instrText>
      </w:r>
      <w:r w:rsidR="009968E0">
        <w:rPr>
          <w:rFonts w:eastAsia="Arial" w:cs="Arial"/>
          <w:color w:val="000000"/>
          <w:u w:color="000000"/>
          <w:bdr w:val="nil"/>
          <w:lang w:eastAsia="en-GB"/>
        </w:rPr>
        <w:fldChar w:fldCharType="begin">
          <w:fldData xml:space="preserve">PEVuZE5vdGU+PENpdGU+PEF1dGhvcj5UZXNmYXllPC9BdXRob3I+PFllYXI+MTk5NjwvWWVhcj48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</w:fldData>
        </w:fldChar>
      </w:r>
      <w:r w:rsidR="009968E0">
        <w:rPr>
          <w:rFonts w:eastAsia="Arial" w:cs="Arial"/>
          <w:color w:val="000000"/>
          <w:u w:color="000000"/>
          <w:bdr w:val="nil"/>
          <w:lang w:eastAsia="en-GB"/>
        </w:rPr>
        <w:instrText xml:space="preserve"> ADDIN EN.CITE.DATA </w:instrText>
      </w:r>
      <w:r w:rsidR="009968E0">
        <w:rPr>
          <w:rFonts w:eastAsia="Arial" w:cs="Arial"/>
          <w:color w:val="000000"/>
          <w:u w:color="000000"/>
          <w:bdr w:val="nil"/>
          <w:lang w:eastAsia="en-GB"/>
        </w:rPr>
      </w:r>
      <w:r w:rsidR="009968E0">
        <w:rPr>
          <w:rFonts w:eastAsia="Arial" w:cs="Arial"/>
          <w:color w:val="000000"/>
          <w:u w:color="000000"/>
          <w:bdr w:val="nil"/>
          <w:lang w:eastAsia="en-GB"/>
        </w:rPr>
        <w:fldChar w:fldCharType="end"/>
      </w:r>
      <w:r w:rsidRPr="00AF0E0B">
        <w:rPr>
          <w:rFonts w:eastAsia="Arial" w:cs="Arial"/>
          <w:color w:val="000000"/>
          <w:u w:color="000000"/>
          <w:bdr w:val="nil"/>
          <w:lang w:eastAsia="en-GB"/>
        </w:rPr>
      </w:r>
      <w:r w:rsidRPr="00AF0E0B">
        <w:rPr>
          <w:rFonts w:eastAsia="Arial" w:cs="Arial"/>
          <w:color w:val="000000"/>
          <w:u w:color="000000"/>
          <w:bdr w:val="nil"/>
          <w:lang w:eastAsia="en-GB"/>
        </w:rPr>
        <w:fldChar w:fldCharType="separate"/>
      </w:r>
      <w:r w:rsidR="009968E0">
        <w:rPr>
          <w:rFonts w:eastAsia="Arial" w:cs="Arial"/>
          <w:noProof/>
          <w:color w:val="000000"/>
          <w:u w:color="000000"/>
          <w:bdr w:val="nil"/>
          <w:lang w:eastAsia="en-GB"/>
        </w:rPr>
        <w:t>(Tesfaye et al., 1996b)</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eastAsia="en-GB"/>
        </w:rPr>
        <w:t>.</w:t>
      </w:r>
    </w:p>
    <w:p w14:paraId="6A0D3CA3" w14:textId="77777777" w:rsidR="00AF0E0B" w:rsidRPr="00AF0E0B" w:rsidRDefault="00AF0E0B" w:rsidP="00AF0E0B">
      <w:pPr>
        <w:pBdr>
          <w:top w:val="nil"/>
          <w:left w:val="nil"/>
          <w:bottom w:val="nil"/>
          <w:right w:val="nil"/>
          <w:between w:val="nil"/>
          <w:bar w:val="nil"/>
        </w:pBdr>
        <w:spacing w:line="360" w:lineRule="auto"/>
        <w:rPr>
          <w:rFonts w:eastAsia="Arial" w:cs="Arial"/>
          <w:color w:val="000000"/>
          <w:u w:color="000000"/>
          <w:bdr w:val="nil"/>
          <w:lang w:eastAsia="en-GB"/>
        </w:rPr>
      </w:pPr>
      <w:r w:rsidRPr="00AF0E0B">
        <w:rPr>
          <w:rFonts w:eastAsia="Arial Unicode MS" w:cs="Arial Unicode MS"/>
          <w:color w:val="000000"/>
          <w:u w:color="000000"/>
          <w:bdr w:val="nil"/>
          <w:lang w:val="en-US" w:eastAsia="en-GB"/>
        </w:rPr>
        <w:t xml:space="preserve">Overall, general demographic parameters, measures of diabetes control and measures of diabetes complications in our cohort were in line with previously reported values. This gives confidence in the </w:t>
      </w:r>
      <w:proofErr w:type="spellStart"/>
      <w:r w:rsidRPr="00AF0E0B">
        <w:rPr>
          <w:rFonts w:eastAsia="Arial Unicode MS" w:cs="Arial Unicode MS"/>
          <w:color w:val="000000"/>
          <w:u w:color="000000"/>
          <w:bdr w:val="nil"/>
          <w:lang w:val="en-US" w:eastAsia="en-GB"/>
        </w:rPr>
        <w:t>generalisability</w:t>
      </w:r>
      <w:proofErr w:type="spellEnd"/>
      <w:r w:rsidRPr="00AF0E0B">
        <w:rPr>
          <w:rFonts w:eastAsia="Arial Unicode MS" w:cs="Arial Unicode MS"/>
          <w:color w:val="000000"/>
          <w:u w:color="000000"/>
          <w:bdr w:val="nil"/>
          <w:lang w:val="en-US" w:eastAsia="en-GB"/>
        </w:rPr>
        <w:t xml:space="preserve"> of our findings.</w:t>
      </w:r>
    </w:p>
    <w:p w14:paraId="18DC2B2F" w14:textId="77777777" w:rsidR="00AF0E0B" w:rsidRPr="00AF0E0B" w:rsidRDefault="00AF0E0B" w:rsidP="00AF0E0B">
      <w:pPr>
        <w:pBdr>
          <w:top w:val="nil"/>
          <w:left w:val="nil"/>
          <w:bottom w:val="nil"/>
          <w:right w:val="nil"/>
          <w:between w:val="nil"/>
          <w:bar w:val="nil"/>
        </w:pBdr>
        <w:spacing w:line="360" w:lineRule="auto"/>
        <w:rPr>
          <w:rFonts w:eastAsia="Arial" w:cs="Arial"/>
          <w:color w:val="000000"/>
          <w:u w:color="000000"/>
          <w:bdr w:val="nil"/>
          <w:lang w:eastAsia="en-GB"/>
        </w:rPr>
      </w:pPr>
      <w:r w:rsidRPr="00AF0E0B">
        <w:rPr>
          <w:rFonts w:eastAsia="Arial Unicode MS" w:cs="Arial Unicode MS"/>
          <w:color w:val="000000"/>
          <w:u w:color="000000"/>
          <w:bdr w:val="nil"/>
          <w:lang w:val="en-US" w:eastAsia="en-GB"/>
        </w:rPr>
        <w:t xml:space="preserve">In summary, although the groups were otherwise well matched, the DPN group was older than the P-DPN group.  However, as the P-DPN group had a trend for higher HbA1c and more severe neuropathy, age may not be a major confounding factor.  </w:t>
      </w:r>
    </w:p>
    <w:p w14:paraId="5171681D" w14:textId="77777777" w:rsidR="00AF0E0B" w:rsidRPr="00AF0E0B" w:rsidRDefault="00AF0E0B" w:rsidP="00AF0E0B">
      <w:pPr>
        <w:pBdr>
          <w:top w:val="nil"/>
          <w:left w:val="nil"/>
          <w:bottom w:val="nil"/>
          <w:right w:val="nil"/>
          <w:between w:val="nil"/>
          <w:bar w:val="nil"/>
        </w:pBdr>
        <w:spacing w:line="360" w:lineRule="auto"/>
        <w:rPr>
          <w:rFonts w:eastAsia="Arial" w:cs="Arial"/>
          <w:color w:val="000000"/>
          <w:u w:color="000000"/>
          <w:bdr w:val="nil"/>
          <w:lang w:eastAsia="en-GB"/>
        </w:rPr>
      </w:pPr>
      <w:r w:rsidRPr="00AF0E0B">
        <w:rPr>
          <w:rFonts w:eastAsia="Arial Unicode MS" w:cs="Arial Unicode MS"/>
          <w:color w:val="000000"/>
          <w:u w:color="000000"/>
          <w:bdr w:val="nil"/>
          <w:lang w:val="en-US" w:eastAsia="en-GB"/>
        </w:rPr>
        <w:t xml:space="preserve">This study confirms that those with P-DPN have a significantly increased severity of depressive symptoms.  In addition the P-DPN group had a higher score for the state </w:t>
      </w:r>
      <w:r w:rsidRPr="00AF0E0B">
        <w:rPr>
          <w:rFonts w:eastAsia="Arial Unicode MS" w:cs="Arial Unicode MS"/>
          <w:color w:val="000000"/>
          <w:u w:color="000000"/>
          <w:bdr w:val="nil"/>
          <w:lang w:val="en-US" w:eastAsia="en-GB"/>
        </w:rPr>
        <w:lastRenderedPageBreak/>
        <w:t xml:space="preserve">component of the State-Trait Anxiety Scale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&gt;&lt;Author&gt;Spielberger&lt;/Author&gt;&lt;Year&gt;1983&lt;/Year&gt;&lt;RecNum&gt;729&lt;/RecNum&gt;&lt;DisplayText&gt;(Spielberger et al., 1983)&lt;/DisplayText&gt;&lt;record&gt;&lt;titles&gt;&lt;title&gt;Manual for the State-Trait Anxiety Inventory.&lt;/title&gt;&lt;/titles&gt;&lt;contributors&gt;&lt;authors&gt;&lt;author&gt;Spielberger, C.D.&lt;/author&gt;&lt;author&gt;Gorssuch, R.L.&lt;/author&gt;&lt;author&gt;Lushene, P.R.&lt;/author&gt;&lt;author&gt;Vagg, P.R.&lt;/author&gt;&lt;author&gt;Jacobs, G.A&lt;/author&gt;&lt;/authors&gt;&lt;/contributors&gt;&lt;added-date format="utc"&gt;1372245370&lt;/added-date&gt;&lt;ref-type name="Book"&gt;6&lt;/ref-type&gt;&lt;dates&gt;&lt;year&gt;1983&lt;/year&gt;&lt;/dates&gt;&lt;rec-number&gt;729&lt;/rec-number&gt;&lt;publisher&gt;Consulting Psychologists Press, Inc.&lt;/publisher&gt;&lt;last-updated-date format="utc"&gt;1372245449&lt;/last-updated-date&gt;&lt;/record&gt;&lt;/Cite&gt;&lt;/EndNote&gt;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val="de-DE" w:eastAsia="en-GB"/>
        </w:rPr>
        <w:t>(Spielberger et al., 1983)</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fr-FR" w:eastAsia="en-GB"/>
        </w:rPr>
        <w:t xml:space="preserve">, PCS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&gt;&lt;Author&gt;Sullivan&lt;/Author&gt;&lt;Year&gt;1995&lt;/Year&gt;&lt;RecNum&gt;727&lt;/RecNum&gt;&lt;DisplayText&gt;(Sullivan et al., 1995)&lt;/DisplayText&gt;&lt;record&gt;&lt;dates&gt;&lt;pub-dates&gt;&lt;date&gt;Dec&lt;/date&gt;&lt;/pub-dates&gt;&lt;year&gt;1995&lt;/year&gt;&lt;/dates&gt;&lt;urls&gt;&lt;related-urls&gt;&lt;url&gt;&amp;lt;Go to ISI&amp;gt;://WOS:A1995TL18000014&lt;/url&gt;&lt;/related-urls&gt;&lt;/urls&gt;&lt;isbn&gt;1040-3590&lt;/isbn&gt;&lt;titles&gt;&lt;title&gt;The Pain Catastrophizing Scale: Development and validation&lt;/title&gt;&lt;secondary-title&gt;Psychological Assessment&lt;/secondary-title&gt;&lt;/titles&gt;&lt;pages&gt;524-532&lt;/pages&gt;&lt;number&gt;4&lt;/number&gt;&lt;contributors&gt;&lt;authors&gt;&lt;author&gt;Sullivan, M. J. L.&lt;/author&gt;&lt;author&gt;Bishop, S. R.&lt;/author&gt;&lt;author&gt;Pivik, J.&lt;/author&gt;&lt;/authors&gt;&lt;/contributors&gt;&lt;added-date format="utc"&gt;1372244576&lt;/added-date&gt;&lt;ref-type name="Journal Article"&gt;17&lt;/ref-type&gt;&lt;rec-number&gt;727&lt;/rec-number&gt;&lt;last-updated-date format="utc"&gt;1372244576&lt;/last-updated-date&gt;&lt;accession-num&gt;WOS:A1995TL18000014&lt;/accession-num&gt;&lt;electronic-resource-num&gt;10.1037//1040-3590.7.4.524&lt;/electronic-resource-num&gt;&lt;volume&gt;7&lt;/volume&gt;&lt;/record&gt;&lt;/Cite&gt;&lt;/EndNote&gt;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eastAsia="en-GB"/>
        </w:rPr>
        <w:t>(Sullivan et al., 1995)</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xml:space="preserve"> and PILL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&gt;&lt;Author&gt;Pennebaker&lt;/Author&gt;&lt;Year&gt;1982&lt;/Year&gt;&lt;RecNum&gt;895&lt;/RecNum&gt;&lt;DisplayText&gt;(Pennebaker, 1982)&lt;/DisplayText&gt;&lt;record&gt;&lt;keywords&gt;&lt;keyword&gt;Medicine, Psychosomatic.&lt;/keyword&gt;&lt;keyword&gt;Symptoms.&lt;/keyword&gt;&lt;/keywords&gt;&lt;isbn&gt;0387907300&lt;/isbn&gt;&lt;titles&gt;&lt;title&gt;The psychology of physical symptoms&lt;/title&gt;&lt;/titles&gt;&lt;call-num&gt;616.07/2/019 19&amp;#13;British Library DSC 83/27261&lt;/call-num&gt;&lt;contributors&gt;&lt;authors&gt;&lt;author&gt;Pennebaker, James W.&lt;/author&gt;&lt;/authors&gt;&lt;/contributors&gt;&lt;added-date format="utc"&gt;1511265035&lt;/added-date&gt;&lt;pub-location&gt;New York&lt;/pub-location&gt;&lt;ref-type name="Book"&gt;6&lt;/ref-type&gt;&lt;dates&gt;&lt;year&gt;1982&lt;/year&gt;&lt;/dates&gt;&lt;rec-number&gt;895&lt;/rec-number&gt;&lt;publisher&gt;Springer-Verlag&lt;/publisher&gt;&lt;last-updated-date format="utc"&gt;1511265035&lt;/last-updated-date&gt;&lt;accession-num&gt;G00035178&lt;/accession-num&gt;&lt;/record&gt;&lt;/Cite&gt;&lt;/EndNote&gt;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eastAsia="en-GB"/>
        </w:rPr>
        <w:t>(Pennebaker, 1982)</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eastAsia="en-GB"/>
        </w:rPr>
        <w:t xml:space="preserve">. </w:t>
      </w:r>
    </w:p>
    <w:p w14:paraId="06B409AA" w14:textId="64DBF9E1" w:rsidR="00AF0E0B" w:rsidRPr="00AF0E0B" w:rsidRDefault="00AF0E0B" w:rsidP="00AF0E0B">
      <w:pPr>
        <w:pBdr>
          <w:top w:val="nil"/>
          <w:left w:val="nil"/>
          <w:bottom w:val="nil"/>
          <w:right w:val="nil"/>
          <w:between w:val="nil"/>
          <w:bar w:val="nil"/>
        </w:pBdr>
        <w:spacing w:line="360" w:lineRule="auto"/>
        <w:rPr>
          <w:rFonts w:eastAsia="Arial" w:cs="Arial"/>
          <w:color w:val="000000"/>
          <w:u w:color="000000"/>
          <w:bdr w:val="nil"/>
          <w:lang w:eastAsia="en-GB"/>
        </w:rPr>
      </w:pPr>
      <w:r w:rsidRPr="00AF0E0B">
        <w:rPr>
          <w:rFonts w:eastAsia="Arial Unicode MS" w:cs="Arial Unicode MS"/>
          <w:color w:val="000000"/>
          <w:u w:color="000000"/>
          <w:bdr w:val="nil"/>
          <w:lang w:val="en-US" w:eastAsia="en-GB"/>
        </w:rPr>
        <w:t xml:space="preserve">Previously our group has reported that levels of anxiety and depression correlate with pain scores in P-DPN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&gt;&lt;Author&gt;Selvarajah&lt;/Author&gt;&lt;Year&gt;2014&lt;/Year&gt;&lt;RecNum&gt;921&lt;/RecNum&gt;&lt;DisplayText&gt;(Selvarajah et al., 2014)&lt;/DisplayText&gt;&lt;record&gt;&lt;dates&gt;&lt;pub-dates&gt;&lt;date&gt;Jul&lt;/date&gt;&lt;/pub-dates&gt;&lt;year&gt;2014&lt;/year&gt;&lt;/dates&gt;&lt;urls&gt;&lt;related-urls&gt;&lt;url&gt;&amp;lt;Go to ISI&amp;gt;://WOS:000340725200001&lt;/url&gt;&lt;/related-urls&gt;&lt;/urls&gt;&lt;isbn&gt;1479-1641&lt;/isbn&gt;&lt;titles&gt;&lt;title&gt;The contributors of emotional distress in painful diabetic neuropathy&lt;/title&gt;&lt;secondary-title&gt;Diabetes &amp;amp; Vascular Disease Research&lt;/secondary-title&gt;&lt;/titles&gt;&lt;pages&gt;218-225&lt;/pages&gt;&lt;number&gt;4&lt;/number&gt;&lt;contributors&gt;&lt;authors&gt;&lt;author&gt;Selvarajah, Dinesh&lt;/author&gt;&lt;author&gt;Cash, Thomas&lt;/author&gt;&lt;author&gt;Sankar, Adhithya&lt;/author&gt;&lt;author&gt;Thomas, Lloyd&lt;/author&gt;&lt;author&gt;Davies, Jennifer&lt;/author&gt;&lt;author&gt;Cachia, Elaine&lt;/author&gt;&lt;author&gt;Gandhi, Rajiv&lt;/author&gt;&lt;author&gt;Wilkinson, Iain D.&lt;/author&gt;&lt;author&gt;Wilkinson, Nicholas&lt;/author&gt;&lt;author&gt;Emery, Celia J.&lt;/author&gt;&lt;author&gt;Tesfaye, Solomon&lt;/author&gt;&lt;/authors&gt;&lt;/contributors&gt;&lt;added-date format="utc"&gt;1525931970&lt;/added-date&gt;&lt;ref-type name="Journal Article"&gt;17&lt;/ref-type&gt;&lt;rec-number&gt;921&lt;/rec-number&gt;&lt;last-updated-date format="utc"&gt;1525931970&lt;/last-updated-date&gt;&lt;accession-num&gt;WOS:000340725200001&lt;/accession-num&gt;&lt;electronic-resource-num&gt;10.1177/1479164114522135&lt;/electronic-resource-num&gt;&lt;volume&gt;11&lt;/volume&gt;&lt;/record&gt;&lt;/Cite&gt;&lt;/EndNote&gt;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eastAsia="en-GB"/>
        </w:rPr>
        <w:t>(Selvarajah et al., 2014)</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xml:space="preserve">.  Other groups have made similar findings.  Studies have examined the link between depression and P-DPN, and have reported a significant association </w:t>
      </w:r>
      <w:r w:rsidRPr="00AF0E0B">
        <w:rPr>
          <w:rFonts w:eastAsia="Arial" w:cs="Arial"/>
          <w:color w:val="000000"/>
          <w:u w:color="000000"/>
          <w:bdr w:val="nil"/>
          <w:lang w:eastAsia="en-GB"/>
        </w:rPr>
        <w:fldChar w:fldCharType="begin">
          <w:fldData xml:space="preserve">PEVuZE5vdGU+PENpdGU+PEF1dGhvcj5E4oCZYW1hdG88L0F1dGhvcj48WWVhcj4yMDE2PC9ZZWFy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</w:fldData>
        </w:fldChar>
      </w:r>
      <w:r w:rsidR="00932092">
        <w:rPr>
          <w:rFonts w:eastAsia="Arial" w:cs="Arial"/>
          <w:color w:val="000000"/>
          <w:u w:color="000000"/>
          <w:bdr w:val="nil"/>
          <w:lang w:eastAsia="en-GB"/>
        </w:rPr>
        <w:instrText xml:space="preserve"> ADDIN EN.CITE </w:instrText>
      </w:r>
      <w:r w:rsidR="00932092">
        <w:rPr>
          <w:rFonts w:eastAsia="Arial" w:cs="Arial"/>
          <w:color w:val="000000"/>
          <w:u w:color="000000"/>
          <w:bdr w:val="nil"/>
          <w:lang w:eastAsia="en-GB"/>
        </w:rPr>
        <w:fldChar w:fldCharType="begin">
          <w:fldData xml:space="preserve">PEVuZE5vdGU+PENpdGU+PEF1dGhvcj5E4oCZYW1hdG88L0F1dGhvcj48WWVhcj4yMDE2PC9ZZWFy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</w:fldData>
        </w:fldChar>
      </w:r>
      <w:r w:rsidR="00932092">
        <w:rPr>
          <w:rFonts w:eastAsia="Arial" w:cs="Arial"/>
          <w:color w:val="000000"/>
          <w:u w:color="000000"/>
          <w:bdr w:val="nil"/>
          <w:lang w:eastAsia="en-GB"/>
        </w:rPr>
        <w:instrText xml:space="preserve"> ADDIN EN.CITE.DATA </w:instrText>
      </w:r>
      <w:r w:rsidR="00932092">
        <w:rPr>
          <w:rFonts w:eastAsia="Arial" w:cs="Arial"/>
          <w:color w:val="000000"/>
          <w:u w:color="000000"/>
          <w:bdr w:val="nil"/>
          <w:lang w:eastAsia="en-GB"/>
        </w:rPr>
      </w:r>
      <w:r w:rsidR="00932092">
        <w:rPr>
          <w:rFonts w:eastAsia="Arial" w:cs="Arial"/>
          <w:color w:val="000000"/>
          <w:u w:color="000000"/>
          <w:bdr w:val="nil"/>
          <w:lang w:eastAsia="en-GB"/>
        </w:rPr>
        <w:fldChar w:fldCharType="end"/>
      </w:r>
      <w:r w:rsidRPr="00AF0E0B">
        <w:rPr>
          <w:rFonts w:eastAsia="Arial" w:cs="Arial"/>
          <w:color w:val="000000"/>
          <w:u w:color="000000"/>
          <w:bdr w:val="nil"/>
          <w:lang w:eastAsia="en-GB"/>
        </w:rPr>
      </w:r>
      <w:r w:rsidRPr="00AF0E0B">
        <w:rPr>
          <w:rFonts w:eastAsia="Arial" w:cs="Arial"/>
          <w:color w:val="000000"/>
          <w:u w:color="000000"/>
          <w:bdr w:val="nil"/>
          <w:lang w:eastAsia="en-GB"/>
        </w:rPr>
        <w:fldChar w:fldCharType="separate"/>
      </w:r>
      <w:r w:rsidR="00932092">
        <w:rPr>
          <w:rFonts w:eastAsia="Arial" w:cs="Arial"/>
          <w:noProof/>
          <w:color w:val="000000"/>
          <w:u w:color="000000"/>
          <w:bdr w:val="nil"/>
          <w:lang w:eastAsia="en-GB"/>
        </w:rPr>
        <w:t>(D’amato et al., 2016b, Harada et al., 2016, Descalzi et al., 2017, Raputova et al., 2017b)</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xml:space="preserve">.  A longitudinal study by </w:t>
      </w:r>
      <w:proofErr w:type="spellStart"/>
      <w:r w:rsidRPr="00AF0E0B">
        <w:rPr>
          <w:rFonts w:eastAsia="Arial Unicode MS" w:cs="Arial Unicode MS"/>
          <w:color w:val="000000"/>
          <w:u w:color="000000"/>
          <w:bdr w:val="nil"/>
          <w:lang w:val="en-US" w:eastAsia="en-GB"/>
        </w:rPr>
        <w:t>Vileikyte</w:t>
      </w:r>
      <w:proofErr w:type="spellEnd"/>
      <w:r w:rsidRPr="00AF0E0B">
        <w:rPr>
          <w:rFonts w:eastAsia="Arial Unicode MS" w:cs="Arial Unicode MS"/>
          <w:color w:val="000000"/>
          <w:u w:color="000000"/>
          <w:bdr w:val="nil"/>
          <w:lang w:val="en-US" w:eastAsia="en-GB"/>
        </w:rPr>
        <w:t xml:space="preserve">, looking at the association between depression, anxiety and neuropathy, concluded that anxiety and depression levels were highly correlated with neuropathic severity over time </w:t>
      </w:r>
      <w:r w:rsidRPr="00AF0E0B">
        <w:rPr>
          <w:rFonts w:eastAsia="Arial" w:cs="Arial"/>
          <w:color w:val="000000"/>
          <w:u w:color="000000"/>
          <w:bdr w:val="nil"/>
          <w:lang w:eastAsia="en-GB"/>
        </w:rPr>
        <w:fldChar w:fldCharType="begin">
          <w:fldData xml:space="preserve">PEVuZE5vdGU+PENpdGU+PEF1dGhvcj5WaWxlaWt5dGU8L0F1dGhvcj48WWVhcj4yMDA1PC9ZZWFy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</w:fldData>
        </w:fldChar>
      </w:r>
      <w:r w:rsidR="009968E0">
        <w:rPr>
          <w:rFonts w:eastAsia="Arial" w:cs="Arial"/>
          <w:color w:val="000000"/>
          <w:u w:color="000000"/>
          <w:bdr w:val="nil"/>
          <w:lang w:eastAsia="en-GB"/>
        </w:rPr>
        <w:instrText xml:space="preserve"> ADDIN EN.CITE </w:instrText>
      </w:r>
      <w:r w:rsidR="009968E0">
        <w:rPr>
          <w:rFonts w:eastAsia="Arial" w:cs="Arial"/>
          <w:color w:val="000000"/>
          <w:u w:color="000000"/>
          <w:bdr w:val="nil"/>
          <w:lang w:eastAsia="en-GB"/>
        </w:rPr>
        <w:fldChar w:fldCharType="begin">
          <w:fldData xml:space="preserve">PEVuZE5vdGU+PENpdGU+PEF1dGhvcj5WaWxlaWt5dGU8L0F1dGhvcj48WWVhcj4yMDA1PC9ZZWFy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</w:fldData>
        </w:fldChar>
      </w:r>
      <w:r w:rsidR="009968E0">
        <w:rPr>
          <w:rFonts w:eastAsia="Arial" w:cs="Arial"/>
          <w:color w:val="000000"/>
          <w:u w:color="000000"/>
          <w:bdr w:val="nil"/>
          <w:lang w:eastAsia="en-GB"/>
        </w:rPr>
        <w:instrText xml:space="preserve"> ADDIN EN.CITE.DATA </w:instrText>
      </w:r>
      <w:r w:rsidR="009968E0">
        <w:rPr>
          <w:rFonts w:eastAsia="Arial" w:cs="Arial"/>
          <w:color w:val="000000"/>
          <w:u w:color="000000"/>
          <w:bdr w:val="nil"/>
          <w:lang w:eastAsia="en-GB"/>
        </w:rPr>
      </w:r>
      <w:r w:rsidR="009968E0">
        <w:rPr>
          <w:rFonts w:eastAsia="Arial" w:cs="Arial"/>
          <w:color w:val="000000"/>
          <w:u w:color="000000"/>
          <w:bdr w:val="nil"/>
          <w:lang w:eastAsia="en-GB"/>
        </w:rPr>
        <w:fldChar w:fldCharType="end"/>
      </w:r>
      <w:r w:rsidRPr="00AF0E0B">
        <w:rPr>
          <w:rFonts w:eastAsia="Arial" w:cs="Arial"/>
          <w:color w:val="000000"/>
          <w:u w:color="000000"/>
          <w:bdr w:val="nil"/>
          <w:lang w:eastAsia="en-GB"/>
        </w:rPr>
      </w:r>
      <w:r w:rsidRPr="00AF0E0B">
        <w:rPr>
          <w:rFonts w:eastAsia="Arial" w:cs="Arial"/>
          <w:color w:val="000000"/>
          <w:u w:color="000000"/>
          <w:bdr w:val="nil"/>
          <w:lang w:eastAsia="en-GB"/>
        </w:rPr>
        <w:fldChar w:fldCharType="separate"/>
      </w:r>
      <w:r w:rsidR="009968E0">
        <w:rPr>
          <w:rFonts w:eastAsia="Arial" w:cs="Arial"/>
          <w:noProof/>
          <w:color w:val="000000"/>
          <w:u w:color="000000"/>
          <w:bdr w:val="nil"/>
          <w:lang w:eastAsia="en-GB"/>
        </w:rPr>
        <w:t>(Vileikyte et al., 2005a, Vileikyte et al., 2009)</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xml:space="preserve">, but this study did not differentiate between DPN and P-DPN groups. Our study findings regarding the relationship between depression and P-DPN are in agreement with previous reports, that depression and P-DPN are linked, although the nature of the association is not known.  </w:t>
      </w:r>
    </w:p>
    <w:p w14:paraId="43E36C2A" w14:textId="32018E83" w:rsidR="00AF0E0B" w:rsidRPr="00AF0E0B" w:rsidRDefault="00AF0E0B" w:rsidP="00AF0E0B">
      <w:pPr>
        <w:pBdr>
          <w:top w:val="nil"/>
          <w:left w:val="nil"/>
          <w:bottom w:val="nil"/>
          <w:right w:val="nil"/>
          <w:between w:val="nil"/>
          <w:bar w:val="nil"/>
        </w:pBdr>
        <w:spacing w:line="360" w:lineRule="auto"/>
        <w:rPr>
          <w:rFonts w:eastAsia="Arial" w:cs="Arial"/>
          <w:color w:val="000000"/>
          <w:u w:color="000000"/>
          <w:bdr w:val="nil"/>
          <w:lang w:eastAsia="en-GB"/>
        </w:rPr>
      </w:pPr>
      <w:r w:rsidRPr="00AF0E0B">
        <w:rPr>
          <w:rFonts w:eastAsia="Arial Unicode MS" w:cs="Arial Unicode MS"/>
          <w:color w:val="000000"/>
          <w:u w:color="000000"/>
          <w:bdr w:val="nil"/>
          <w:lang w:val="en-US" w:eastAsia="en-GB"/>
        </w:rPr>
        <w:t xml:space="preserve">The question of whether chronic pain can be predicted by personality type has been debated in the literature.  In the more general field of chronic pain, high harm avoidance, low self-directedness and pain </w:t>
      </w:r>
      <w:proofErr w:type="spellStart"/>
      <w:r w:rsidRPr="00AF0E0B">
        <w:rPr>
          <w:rFonts w:eastAsia="Arial Unicode MS" w:cs="Arial Unicode MS"/>
          <w:color w:val="000000"/>
          <w:u w:color="000000"/>
          <w:bdr w:val="nil"/>
          <w:lang w:val="en-US" w:eastAsia="en-GB"/>
        </w:rPr>
        <w:t>catastrophising</w:t>
      </w:r>
      <w:proofErr w:type="spellEnd"/>
      <w:r w:rsidRPr="00AF0E0B">
        <w:rPr>
          <w:rFonts w:eastAsia="Arial Unicode MS" w:cs="Arial Unicode MS"/>
          <w:color w:val="000000"/>
          <w:u w:color="000000"/>
          <w:bdr w:val="nil"/>
          <w:lang w:val="en-US" w:eastAsia="en-GB"/>
        </w:rPr>
        <w:t xml:space="preserve"> have been reported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&gt;&lt;Author&gt;Sullivan&lt;/Author&gt;&lt;Year&gt;2005&lt;/Year&gt;&lt;RecNum&gt;726&lt;/RecNum&gt;&lt;DisplayText&gt;(Sullivan et al., 2005, Conrad et al., 2013, Gustin et al., 2016)&lt;/DisplayText&gt;&lt;record&gt;&lt;dates&gt;&lt;pub-dates&gt;&lt;date&gt;Feb&lt;/date&gt;&lt;/pub-dates&gt;&lt;year&gt;2005&lt;/year&gt;&lt;/dates&gt;&lt;urls&gt;&lt;related-urls&gt;&lt;url&gt;&amp;lt;Go to ISI&amp;gt;://WOS:000226930300010&lt;/url&gt;&lt;/related-urls&gt;&lt;/urls&gt;&lt;isbn&gt;0304-3959&lt;/isbn&gt;&lt;titles&gt;&lt;title&gt;Dimensions of catastrophic thinking associated with pain experience and disability in patients with neuropathic pain conditions&lt;/title&gt;&lt;secondary-title&gt;Pain&lt;/secondary-title&gt;&lt;/titles&gt;&lt;pages&gt;310-315&lt;/pages&gt;&lt;number&gt;3&lt;/number&gt;&lt;contributors&gt;&lt;authors&gt;&lt;author&gt;Sullivan, M. J. L.&lt;/author&gt;&lt;author&gt;Lynch, M. E.&lt;/author&gt;&lt;author&gt;Clark, A. J.&lt;/author&gt;&lt;/authors&gt;&lt;/contributors&gt;&lt;added-date format="utc"&gt;1372244239&lt;/added-date&gt;&lt;ref-type name="Journal Article"&gt;17&lt;/ref-type&gt;&lt;rec-number&gt;726&lt;/rec-number&gt;&lt;last-updated-date format="utc"&gt;1372244239&lt;/last-updated-date&gt;&lt;accession-num&gt;WOS:000226930300010&lt;/accession-num&gt;&lt;electronic-resource-num&gt;10.1016/j.pain.2004.11.003&lt;/electronic-resource-num&gt;&lt;volume&gt;113&lt;/volume&gt;&lt;/record&gt;&lt;/Cite&gt;&lt;Cite  &gt;&lt;Author&gt;Conrad&lt;/Author&gt;&lt;Year&gt;2013&lt;/Year&gt;&lt;RecNum&gt;922&lt;/RecNum&gt;&lt;record&gt;&lt;dates&gt;&lt;pub-dates&gt;&lt;date&gt;Mar&lt;/date&gt;&lt;/pub-dates&gt;&lt;year&gt;2013&lt;/year&gt;&lt;/dates&gt;&lt;urls&gt;&lt;related-urls&gt;&lt;url&gt;&amp;lt;Go to ISI&amp;gt;://WOS:000315630200003&lt;/url&gt;&lt;/related-urls&gt;&lt;/urls&gt;&lt;isbn&gt;1531-3433&lt;/isbn&gt;&lt;titles&gt;&lt;title&gt;Temperament, Character, and Personality Disorders in Chronic Pain&lt;/title&gt;&lt;secondary-title&gt;Current Pain and Headache Reports&lt;/secondary-title&gt;&lt;/titles&gt;&lt;number&gt;3&lt;/number&gt;&lt;contributors&gt;&lt;authors&gt;&lt;author&gt;Conrad, Rupert&lt;/author&gt;&lt;author&gt;Wegener, Ingo&lt;/author&gt;&lt;author&gt;Geiser, Franziska&lt;/author&gt;&lt;author&gt;Kleiman, Alexandra&lt;/author&gt;&lt;/authors&gt;&lt;/contributors&gt;&lt;added-date format="utc"&gt;1526796298&lt;/added-date&gt;&lt;ref-type name="Journal Article"&gt;17&lt;/ref-type&gt;&lt;rec-number&gt;922&lt;/rec-number&gt;&lt;last-updated-date format="utc"&gt;1526797177&lt;/last-updated-date&gt;&lt;accession-num&gt;WOS:000315630200003&lt;/accession-num&gt;&lt;electronic-resource-num&gt;10.1007/s11916-012-0318-3&lt;/electronic-resource-num&gt;&lt;volume&gt;17&lt;/volume&gt;&lt;/record&gt;&lt;/Cite&gt;&lt;Cite  &gt;&lt;Author&gt;Gustin&lt;/Author&gt;&lt;Year&gt;2016&lt;/Year&gt;&lt;RecNum&gt;934&lt;/RecNum&gt;&lt;record&gt;&lt;dates&gt;&lt;pub-dates&gt;&lt;date&gt;Apr&lt;/date&gt;&lt;/pub-dates&gt;&lt;year&gt;2016&lt;/year&gt;&lt;/dates&gt;&lt;urls&gt;&lt;related-urls&gt;&lt;url&gt;&amp;lt;Go to ISI&amp;gt;://WOS:000373959300012&lt;/url&gt;&lt;/related-urls&gt;&lt;/urls&gt;&lt;isbn&gt;1530-7085&lt;/isbn&gt;&lt;titles&gt;&lt;title&gt;Pain and Personality: Do Individuals with Different Forms of Chronic Pain Exhibit a Mutual Personality?&lt;/title&gt;&lt;secondary-title&gt;Pain Practice&lt;/secondary-title&gt;&lt;/titles&gt;&lt;pages&gt;486-494&lt;/pages&gt;&lt;number&gt;4&lt;/number&gt;&lt;contributors&gt;&lt;authors&gt;&lt;author&gt;Gustin, Sylvia M.&lt;/author&gt;&lt;author&gt;Burke, Lucinda A.&lt;/author&gt;&lt;author&gt;Peck, Chris C.&lt;/author&gt;&lt;author&gt;Murray, Greg M.&lt;/author&gt;&lt;author&gt;Henderson, Luke A.&lt;/author&gt;&lt;/authors&gt;&lt;/contributors&gt;&lt;added-date format="utc"&gt;1526797347&lt;/added-date&gt;&lt;ref-type name="Journal Article"&gt;17&lt;/ref-type&gt;&lt;rec-number&gt;934&lt;/rec-number&gt;&lt;last-updated-date format="utc"&gt;1526797347&lt;/last-updated-date&gt;&lt;accession-num&gt;WOS:000373959300012&lt;/accession-num&gt;&lt;electronic-resource-num&gt;10.1111/papr.12297&lt;/electronic-resource-num&gt;&lt;volume&gt;16&lt;/volume&gt;&lt;/record&gt;&lt;/Cite&gt;&lt;/EndNote&gt;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eastAsia="en-GB"/>
        </w:rPr>
        <w:t>(Sullivan et al., 2005, Conrad et al., 2013, Gustin et al., 2016)</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xml:space="preserve">. This reflects an anxious and neurotic personality with decreased internal locus of control, lack of meaningful goals and rumination, and magnification and helplessness when trying to cope with pain. In our study we used BIS/BAS as a measure of how personality may have shaped </w:t>
      </w:r>
      <w:proofErr w:type="spellStart"/>
      <w:r w:rsidRPr="00AF0E0B">
        <w:rPr>
          <w:rFonts w:eastAsia="Arial Unicode MS" w:cs="Arial Unicode MS"/>
          <w:color w:val="000000"/>
          <w:u w:color="000000"/>
          <w:bdr w:val="nil"/>
          <w:lang w:val="en-US" w:eastAsia="en-GB"/>
        </w:rPr>
        <w:t>behavioural</w:t>
      </w:r>
      <w:proofErr w:type="spellEnd"/>
      <w:r w:rsidRPr="00AF0E0B">
        <w:rPr>
          <w:rFonts w:eastAsia="Arial Unicode MS" w:cs="Arial Unicode MS"/>
          <w:color w:val="000000"/>
          <w:u w:color="000000"/>
          <w:bdr w:val="nil"/>
          <w:lang w:val="en-US" w:eastAsia="en-GB"/>
        </w:rPr>
        <w:t xml:space="preserve"> response, and pain </w:t>
      </w:r>
      <w:proofErr w:type="spellStart"/>
      <w:r w:rsidRPr="00AF0E0B">
        <w:rPr>
          <w:rFonts w:eastAsia="Arial Unicode MS" w:cs="Arial Unicode MS"/>
          <w:color w:val="000000"/>
          <w:u w:color="000000"/>
          <w:bdr w:val="nil"/>
          <w:lang w:val="en-US" w:eastAsia="en-GB"/>
        </w:rPr>
        <w:t>catastrophising</w:t>
      </w:r>
      <w:proofErr w:type="spellEnd"/>
      <w:r w:rsidRPr="00AF0E0B">
        <w:rPr>
          <w:rFonts w:eastAsia="Arial Unicode MS" w:cs="Arial Unicode MS"/>
          <w:color w:val="000000"/>
          <w:u w:color="000000"/>
          <w:bdr w:val="nil"/>
          <w:lang w:val="en-US" w:eastAsia="en-GB"/>
        </w:rPr>
        <w:t xml:space="preserve"> scale as a specific measure of response to pain.    </w:t>
      </w:r>
    </w:p>
    <w:p w14:paraId="06B963F3" w14:textId="2C7DD7B6" w:rsidR="00AF0E0B" w:rsidRPr="00AF0E0B" w:rsidRDefault="00AF0E0B" w:rsidP="00AF0E0B">
      <w:pPr>
        <w:pBdr>
          <w:top w:val="nil"/>
          <w:left w:val="nil"/>
          <w:bottom w:val="nil"/>
          <w:right w:val="nil"/>
          <w:between w:val="nil"/>
          <w:bar w:val="nil"/>
        </w:pBdr>
        <w:spacing w:line="360" w:lineRule="auto"/>
        <w:rPr>
          <w:rFonts w:eastAsia="Arial" w:cs="Arial"/>
          <w:color w:val="000000"/>
          <w:u w:color="000000"/>
          <w:bdr w:val="nil"/>
          <w:lang w:eastAsia="en-GB"/>
        </w:rPr>
      </w:pPr>
      <w:r w:rsidRPr="00AF0E0B">
        <w:rPr>
          <w:rFonts w:eastAsia="Arial Unicode MS" w:cs="Arial Unicode MS"/>
          <w:color w:val="000000"/>
          <w:u w:color="000000"/>
          <w:bdr w:val="nil"/>
          <w:lang w:val="en-US" w:eastAsia="en-GB"/>
        </w:rPr>
        <w:t xml:space="preserve">Our study found that pain </w:t>
      </w:r>
      <w:proofErr w:type="spellStart"/>
      <w:r w:rsidRPr="00AF0E0B">
        <w:rPr>
          <w:rFonts w:eastAsia="Arial Unicode MS" w:cs="Arial Unicode MS"/>
          <w:color w:val="000000"/>
          <w:u w:color="000000"/>
          <w:bdr w:val="nil"/>
          <w:lang w:val="en-US" w:eastAsia="en-GB"/>
        </w:rPr>
        <w:t>catastrophising</w:t>
      </w:r>
      <w:proofErr w:type="spellEnd"/>
      <w:r w:rsidRPr="00AF0E0B">
        <w:rPr>
          <w:rFonts w:eastAsia="Arial Unicode MS" w:cs="Arial Unicode MS"/>
          <w:color w:val="000000"/>
          <w:u w:color="000000"/>
          <w:bdr w:val="nil"/>
          <w:lang w:val="en-US" w:eastAsia="en-GB"/>
        </w:rPr>
        <w:t xml:space="preserve"> was higher in the P-DPN group than DPN and HV, but it did not differentiate between P-DPN and DM-NN.  This is an interesting finding as it may reflect a different approach to pain avoidance.  For the non-neuropathic group, fear of pain may be motivating, whereas in the P-DPN group it may not be.  It is uncertain, as there are no longitudinal studies, whether this outcome can be predicted prior to the development of painful neuropathy.  We reproduced the positive correlation between pain </w:t>
      </w:r>
      <w:proofErr w:type="spellStart"/>
      <w:r w:rsidRPr="00AF0E0B">
        <w:rPr>
          <w:rFonts w:eastAsia="Arial Unicode MS" w:cs="Arial Unicode MS"/>
          <w:color w:val="000000"/>
          <w:u w:color="000000"/>
          <w:bdr w:val="nil"/>
          <w:lang w:val="en-US" w:eastAsia="en-GB"/>
        </w:rPr>
        <w:t>catastrophising</w:t>
      </w:r>
      <w:proofErr w:type="spellEnd"/>
      <w:r w:rsidRPr="00AF0E0B">
        <w:rPr>
          <w:rFonts w:eastAsia="Arial Unicode MS" w:cs="Arial Unicode MS"/>
          <w:color w:val="000000"/>
          <w:u w:color="000000"/>
          <w:bdr w:val="nil"/>
          <w:lang w:val="en-US" w:eastAsia="en-GB"/>
        </w:rPr>
        <w:t xml:space="preserve"> and depression shown by other researchers </w:t>
      </w:r>
      <w:r w:rsidRPr="00AF0E0B">
        <w:rPr>
          <w:rFonts w:eastAsia="Arial" w:cs="Arial"/>
          <w:color w:val="000000"/>
          <w:u w:color="000000"/>
          <w:bdr w:val="nil"/>
          <w:lang w:eastAsia="en-GB"/>
        </w:rPr>
        <w:fldChar w:fldCharType="begin">
          <w:fldData xml:space="preserve">PEVuZE5vdGU+PENpdGU+PEF1dGhvcj5NY0d1aXJlPC9BdXRob3I+PFllYXI+MjAxMDwvWWVhcj48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</w:fldData>
        </w:fldChar>
      </w:r>
      <w:r w:rsidR="00CE430A">
        <w:rPr>
          <w:rFonts w:eastAsia="Arial" w:cs="Arial"/>
          <w:color w:val="000000"/>
          <w:u w:color="000000"/>
          <w:bdr w:val="nil"/>
          <w:lang w:eastAsia="en-GB"/>
        </w:rPr>
        <w:instrText xml:space="preserve"> ADDIN EN.CITE </w:instrText>
      </w:r>
      <w:r w:rsidR="00CE430A">
        <w:rPr>
          <w:rFonts w:eastAsia="Arial" w:cs="Arial"/>
          <w:color w:val="000000"/>
          <w:u w:color="000000"/>
          <w:bdr w:val="nil"/>
          <w:lang w:eastAsia="en-GB"/>
        </w:rPr>
        <w:fldChar w:fldCharType="begin">
          <w:fldData xml:space="preserve">PEVuZE5vdGU+PENpdGU+PEF1dGhvcj5NY0d1aXJlPC9BdXRob3I+PFllYXI+MjAxMDwvWWVhcj48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</w:fldData>
        </w:fldChar>
      </w:r>
      <w:r w:rsidR="00CE430A">
        <w:rPr>
          <w:rFonts w:eastAsia="Arial" w:cs="Arial"/>
          <w:color w:val="000000"/>
          <w:u w:color="000000"/>
          <w:bdr w:val="nil"/>
          <w:lang w:eastAsia="en-GB"/>
        </w:rPr>
        <w:instrText xml:space="preserve"> ADDIN EN.CITE.DATA </w:instrText>
      </w:r>
      <w:r w:rsidR="00CE430A">
        <w:rPr>
          <w:rFonts w:eastAsia="Arial" w:cs="Arial"/>
          <w:color w:val="000000"/>
          <w:u w:color="000000"/>
          <w:bdr w:val="nil"/>
          <w:lang w:eastAsia="en-GB"/>
        </w:rPr>
      </w:r>
      <w:r w:rsidR="00CE430A">
        <w:rPr>
          <w:rFonts w:eastAsia="Arial" w:cs="Arial"/>
          <w:color w:val="000000"/>
          <w:u w:color="000000"/>
          <w:bdr w:val="nil"/>
          <w:lang w:eastAsia="en-GB"/>
        </w:rPr>
        <w:fldChar w:fldCharType="end"/>
      </w:r>
      <w:r w:rsidRPr="00AF0E0B">
        <w:rPr>
          <w:rFonts w:eastAsia="Arial" w:cs="Arial"/>
          <w:color w:val="000000"/>
          <w:u w:color="000000"/>
          <w:bdr w:val="nil"/>
          <w:lang w:eastAsia="en-GB"/>
        </w:rPr>
      </w:r>
      <w:r w:rsidRPr="00AF0E0B">
        <w:rPr>
          <w:rFonts w:eastAsia="Arial" w:cs="Arial"/>
          <w:color w:val="000000"/>
          <w:u w:color="000000"/>
          <w:bdr w:val="nil"/>
          <w:lang w:eastAsia="en-GB"/>
        </w:rPr>
        <w:fldChar w:fldCharType="separate"/>
      </w:r>
      <w:r w:rsidR="00CE430A">
        <w:rPr>
          <w:rFonts w:eastAsia="Arial" w:cs="Arial"/>
          <w:noProof/>
          <w:color w:val="000000"/>
          <w:u w:color="000000"/>
          <w:bdr w:val="nil"/>
          <w:lang w:eastAsia="en-GB"/>
        </w:rPr>
        <w:t>(McGuire et al., 2010, Selvarajah et al., 2014, Raputova et al., 2017a)</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eastAsia="en-GB"/>
        </w:rPr>
        <w:t xml:space="preserve">. </w:t>
      </w:r>
    </w:p>
    <w:p w14:paraId="113C08D8" w14:textId="77777777" w:rsidR="00AF0E0B" w:rsidRPr="00AF0E0B" w:rsidRDefault="00AF0E0B" w:rsidP="00AF0E0B">
      <w:pPr>
        <w:pBdr>
          <w:top w:val="nil"/>
          <w:left w:val="nil"/>
          <w:bottom w:val="nil"/>
          <w:right w:val="nil"/>
          <w:between w:val="nil"/>
          <w:bar w:val="nil"/>
        </w:pBdr>
        <w:spacing w:line="360" w:lineRule="auto"/>
        <w:rPr>
          <w:rFonts w:eastAsia="Arial" w:cs="Arial"/>
          <w:color w:val="000000"/>
          <w:u w:color="000000"/>
          <w:bdr w:val="nil"/>
          <w:lang w:eastAsia="en-GB"/>
        </w:rPr>
      </w:pPr>
      <w:r w:rsidRPr="00AF0E0B">
        <w:rPr>
          <w:rFonts w:eastAsia="Arial Unicode MS" w:cs="Arial Unicode MS"/>
          <w:color w:val="000000"/>
          <w:u w:color="000000"/>
          <w:bdr w:val="nil"/>
          <w:lang w:eastAsia="en-GB"/>
        </w:rPr>
        <w:t>Gray</w:t>
      </w:r>
      <w:r w:rsidRPr="00AF0E0B">
        <w:rPr>
          <w:rFonts w:eastAsia="Arial Unicode MS" w:cs="Arial Unicode MS"/>
          <w:color w:val="000000"/>
          <w:u w:color="000000"/>
          <w:bdr w:val="nil"/>
          <w:lang w:val="en-US" w:eastAsia="en-GB"/>
        </w:rPr>
        <w:t xml:space="preserve">’s biopsychological theory of personality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&gt;&lt;Author&gt;Carver&lt;/Author&gt;&lt;Year&gt;1994&lt;/Year&gt;&lt;RecNum&gt;725&lt;/RecNum&gt;&lt;DisplayText&gt;(Carver and White, 1994)&lt;/DisplayText&gt;&lt;record&gt;&lt;dates&gt;&lt;pub-dates&gt;&lt;date&gt;Aug&lt;/date&gt;&lt;/pub-dates&gt;&lt;year&gt;1994&lt;/year&gt;&lt;/dates&gt;&lt;urls&gt;&lt;related-urls&gt;&lt;url&gt;&amp;lt;Go to ISI&amp;gt;://WOS:A1994PC24500013&lt;/url&gt;&lt;/related-urls&gt;&lt;/urls&gt;&lt;isbn&gt;0022-3514&lt;/isbn&gt;&lt;titles&gt;&lt;title&gt;BEHAVIORAL-INHIBITION, BEHAVIORAL ACTIVATION, AND AFFECTIVE RESPONSES TO IMPENDING REWARD AND PUNISHMENT - THE BIS BAS SCALES&lt;/title&gt;&lt;secondary-title&gt;Journal of Personality and Social Psychology&lt;/secondary-title&gt;&lt;/titles&gt;&lt;pages&gt;319-333&lt;/pages&gt;&lt;number&gt;2&lt;/number&gt;&lt;contributors&gt;&lt;authors&gt;&lt;author&gt;Carver, C. S.&lt;/author&gt;&lt;author&gt;White, T. L.&lt;/author&gt;&lt;/authors&gt;&lt;/contributors&gt;&lt;added-date format="utc"&gt;1372244165&lt;/added-date&gt;&lt;ref-type name="Journal Article"&gt;17&lt;/ref-type&gt;&lt;rec-number&gt;725&lt;/rec-number&gt;&lt;last-updated-date format="utc"&gt;1479817324&lt;/last-updated-date&gt;&lt;accession-num&gt;WOS:A1994PC24500013&lt;/accession-num&gt;&lt;electronic-resource-num&gt;10.1037/0022-3514.67.2.319&lt;/electronic-resource-num&gt;&lt;volume&gt;67&lt;/volume&gt;&lt;/record&gt;&lt;/Cite&gt;&lt;/EndNote&gt;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val="en-US" w:eastAsia="en-GB"/>
        </w:rPr>
        <w:t>(Carver and White, 1994)</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xml:space="preserve"> was studied in our cohort using BIS/BAS scale as mentioned previously.  Gray’s theory states that those with high “</w:t>
      </w:r>
      <w:proofErr w:type="spellStart"/>
      <w:r w:rsidRPr="00AF0E0B">
        <w:rPr>
          <w:rFonts w:eastAsia="Arial Unicode MS" w:cs="Arial Unicode MS"/>
          <w:color w:val="000000"/>
          <w:u w:color="000000"/>
          <w:bdr w:val="nil"/>
          <w:lang w:val="en-US" w:eastAsia="en-GB"/>
        </w:rPr>
        <w:t>behavioural</w:t>
      </w:r>
      <w:proofErr w:type="spellEnd"/>
      <w:r w:rsidRPr="00AF0E0B">
        <w:rPr>
          <w:rFonts w:eastAsia="Arial Unicode MS" w:cs="Arial Unicode MS"/>
          <w:color w:val="000000"/>
          <w:u w:color="000000"/>
          <w:bdr w:val="nil"/>
          <w:lang w:val="en-US" w:eastAsia="en-GB"/>
        </w:rPr>
        <w:t xml:space="preserve"> inhibition” will be largely motivated by avoidance of adverse stimuli, whereas those with high levels of </w:t>
      </w:r>
      <w:proofErr w:type="spellStart"/>
      <w:r w:rsidRPr="00AF0E0B">
        <w:rPr>
          <w:rFonts w:eastAsia="Arial Unicode MS" w:cs="Arial Unicode MS"/>
          <w:color w:val="000000"/>
          <w:u w:color="000000"/>
          <w:bdr w:val="nil"/>
          <w:lang w:val="en-US" w:eastAsia="en-GB"/>
        </w:rPr>
        <w:t>behavioural</w:t>
      </w:r>
      <w:proofErr w:type="spellEnd"/>
      <w:r w:rsidRPr="00AF0E0B">
        <w:rPr>
          <w:rFonts w:eastAsia="Arial Unicode MS" w:cs="Arial Unicode MS"/>
          <w:color w:val="000000"/>
          <w:u w:color="000000"/>
          <w:bdr w:val="nil"/>
          <w:lang w:val="en-US" w:eastAsia="en-GB"/>
        </w:rPr>
        <w:t xml:space="preserve"> activation will be </w:t>
      </w:r>
      <w:r w:rsidRPr="00AF0E0B">
        <w:rPr>
          <w:rFonts w:eastAsia="Arial Unicode MS" w:cs="Arial Unicode MS"/>
          <w:color w:val="000000"/>
          <w:u w:color="000000"/>
          <w:bdr w:val="nil"/>
          <w:lang w:val="en-US" w:eastAsia="en-GB"/>
        </w:rPr>
        <w:lastRenderedPageBreak/>
        <w:t xml:space="preserve">motivated by reward systems and may have a higher level of impulsivity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&gt;&lt;Author&gt;Carver&lt;/Author&gt;&lt;Year&gt;1994&lt;/Year&gt;&lt;RecNum&gt;725&lt;/RecNum&gt;&lt;DisplayText&gt;(Carver and White, 1994)&lt;/DisplayText&gt;&lt;record&gt;&lt;dates&gt;&lt;pub-dates&gt;&lt;date&gt;Aug&lt;/date&gt;&lt;/pub-dates&gt;&lt;year&gt;1994&lt;/year&gt;&lt;/dates&gt;&lt;urls&gt;&lt;related-urls&gt;&lt;url&gt;&amp;lt;Go to ISI&amp;gt;://WOS:A1994PC24500013&lt;/url&gt;&lt;/related-urls&gt;&lt;/urls&gt;&lt;isbn&gt;0022-3514&lt;/isbn&gt;&lt;titles&gt;&lt;title&gt;BEHAVIORAL-INHIBITION, BEHAVIORAL ACTIVATION, AND AFFECTIVE RESPONSES TO IMPENDING REWARD AND PUNISHMENT - THE BIS BAS SCALES&lt;/title&gt;&lt;secondary-title&gt;Journal of Personality and Social Psychology&lt;/secondary-title&gt;&lt;/titles&gt;&lt;pages&gt;319-333&lt;/pages&gt;&lt;number&gt;2&lt;/number&gt;&lt;contributors&gt;&lt;authors&gt;&lt;author&gt;Carver, C. S.&lt;/author&gt;&lt;author&gt;White, T. L.&lt;/author&gt;&lt;/authors&gt;&lt;/contributors&gt;&lt;added-date format="utc"&gt;1372258565&lt;/added-date&gt;&lt;ref-type name="Journal Article"&gt;17&lt;/ref-type&gt;&lt;rec-number&gt;725&lt;/rec-number&gt;&lt;last-updated-date format="utc"&gt;1479835324&lt;/last-updated-date&gt;&lt;accession-num&gt;WOS:A1994PC24500013&lt;/accession-num&gt;&lt;electronic-resource-num&gt;10.1037/0022-3514.67.2.319&lt;/electronic-resource-num&gt;&lt;volume&gt;67&lt;/volume&gt;&lt;/record&gt;&lt;/Cite&gt;&lt;/EndNote&gt;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val="en-US" w:eastAsia="en-GB"/>
        </w:rPr>
        <w:t>(Carver and White, 1994)</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xml:space="preserve">.  It has been shown that those with chronic pain of any type will have decreased reward responsiveness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&gt;&lt;Author&gt;Elvemo&lt;/Author&gt;&lt;Year&gt;2015&lt;/Year&gt;&lt;RecNum&gt;955&lt;/RecNum&gt;&lt;DisplayText&gt;(Elvemo et al., 2015)&lt;/DisplayText&gt;&lt;record&gt;&lt;dates&gt;&lt;pub-dates&gt;&lt;date&gt;Nov&lt;/date&gt;&lt;/pub-dates&gt;&lt;year&gt;2015&lt;/year&gt;&lt;/dates&gt;&lt;urls&gt;&lt;related-urls&gt;&lt;url&gt;&amp;lt;Go to ISI&amp;gt;://WOS:000362691400016&lt;/url&gt;&lt;/related-urls&gt;&lt;/urls&gt;&lt;isbn&gt;1090-3801&lt;/isbn&gt;&lt;titles&gt;&lt;title&gt;Reward responsiveness in patients with chronic pain&lt;/title&gt;&lt;secondary-title&gt;European Journal of Pain&lt;/secondary-title&gt;&lt;/titles&gt;&lt;pages&gt;1537-1543&lt;/pages&gt;&lt;number&gt;10&lt;/number&gt;&lt;contributors&gt;&lt;authors&gt;&lt;author&gt;Elvemo, N. A.&lt;/author&gt;&lt;author&gt;Landro, N. I.&lt;/author&gt;&lt;author&gt;Borchgrevink, P. C.&lt;/author&gt;&lt;author&gt;Haberg, A. K.&lt;/author&gt;&lt;/authors&gt;&lt;/contributors&gt;&lt;added-date format="utc"&gt;1528053631&lt;/added-date&gt;&lt;ref-type name="Journal Article"&gt;17&lt;/ref-type&gt;&lt;rec-number&gt;955&lt;/rec-number&gt;&lt;last-updated-date format="utc"&gt;1567322252&lt;/last-updated-date&gt;&lt;accession-num&gt;WOS:000362691400016&lt;/accession-num&gt;&lt;electronic-resource-num&gt;10.1002/ejp.687&lt;/electronic-resource-num&gt;&lt;volume&gt;19&lt;/volume&gt;&lt;/record&gt;&lt;/Cite&gt;&lt;/EndNote&gt;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eastAsia="en-GB"/>
        </w:rPr>
        <w:t>(Elvemo et al., 2015)</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xml:space="preserve">.  Thus, the implication for subjects with diabetes, is that a tendency to be less responsive to rewards may lead to a lack of motivation to achieve positive end points such as a lower Hba1c, and lead to the development of complications.  By extension, one may also </w:t>
      </w:r>
      <w:proofErr w:type="spellStart"/>
      <w:r w:rsidRPr="00AF0E0B">
        <w:rPr>
          <w:rFonts w:eastAsia="Arial Unicode MS" w:cs="Arial Unicode MS"/>
          <w:color w:val="000000"/>
          <w:u w:color="000000"/>
          <w:bdr w:val="nil"/>
          <w:lang w:val="en-US" w:eastAsia="en-GB"/>
        </w:rPr>
        <w:t>hypothesise</w:t>
      </w:r>
      <w:proofErr w:type="spellEnd"/>
      <w:r w:rsidRPr="00AF0E0B">
        <w:rPr>
          <w:rFonts w:eastAsia="Arial Unicode MS" w:cs="Arial Unicode MS"/>
          <w:color w:val="000000"/>
          <w:u w:color="000000"/>
          <w:bdr w:val="nil"/>
          <w:lang w:val="en-US" w:eastAsia="en-GB"/>
        </w:rPr>
        <w:t xml:space="preserve"> that a lack of anxiety regarding the development of negative consequences, such as microvascular or macrovascular disease, would also predispose to negative outcomes.  Therefore, in our cohort we predicted that subjects with P-DPN and DPN would have a low BIS and a low BAS score. Numerically this was the case; the P-DPN group had a lower mean on all subsets of the score.  However, it was not statistically significantly different between any groups, perhaps due to a small sample size.  The BAS-RR approached statistical significance in post hoc analysis between the P-DPN group and the DM-NN group.  BAS-RR scores have been shown to be lower in those with chronic pain syndromes and to be correlated with a decrease in volume in the nucleus </w:t>
      </w:r>
      <w:proofErr w:type="spellStart"/>
      <w:r w:rsidRPr="00AF0E0B">
        <w:rPr>
          <w:rFonts w:eastAsia="Arial Unicode MS" w:cs="Arial Unicode MS"/>
          <w:color w:val="000000"/>
          <w:u w:color="000000"/>
          <w:bdr w:val="nil"/>
          <w:lang w:val="en-US" w:eastAsia="en-GB"/>
        </w:rPr>
        <w:t>accumbens</w:t>
      </w:r>
      <w:proofErr w:type="spellEnd"/>
      <w:r w:rsidRPr="00AF0E0B">
        <w:rPr>
          <w:rFonts w:eastAsia="Arial Unicode MS" w:cs="Arial Unicode MS"/>
          <w:color w:val="000000"/>
          <w:u w:color="000000"/>
          <w:bdr w:val="nil"/>
          <w:lang w:val="en-US" w:eastAsia="en-GB"/>
        </w:rPr>
        <w:t xml:space="preserve">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&gt;&lt;Author&gt;Elvemo&lt;/Author&gt;&lt;Year&gt;2015&lt;/Year&gt;&lt;RecNum&gt;955&lt;/RecNum&gt;&lt;DisplayText&gt;(Elvemo et al., 2015)&lt;/DisplayText&gt;&lt;record&gt;&lt;dates&gt;&lt;pub-dates&gt;&lt;date&gt;Nov&lt;/date&gt;&lt;/pub-dates&gt;&lt;year&gt;2015&lt;/year&gt;&lt;/dates&gt;&lt;urls&gt;&lt;related-urls&gt;&lt;url&gt;&amp;lt;Go to ISI&amp;gt;://WOS:000362691400016&lt;/url&gt;&lt;/related-urls&gt;&lt;/urls&gt;&lt;isbn&gt;1090-3801&lt;/isbn&gt;&lt;titles&gt;&lt;title&gt;Reward responsiveness in patients with chronic pain&lt;/title&gt;&lt;secondary-title&gt;European Journal of Pain&lt;/secondary-title&gt;&lt;/titles&gt;&lt;pages&gt;1537-1543&lt;/pages&gt;&lt;number&gt;10&lt;/number&gt;&lt;contributors&gt;&lt;authors&gt;&lt;author&gt;Elvemo, N. A.&lt;/author&gt;&lt;author&gt;Landro, N. I.&lt;/author&gt;&lt;author&gt;Borchgrevink, P. C.&lt;/author&gt;&lt;author&gt;Haberg, A. K.&lt;/author&gt;&lt;/authors&gt;&lt;/contributors&gt;&lt;added-date format="utc"&gt;1528039231&lt;/added-date&gt;&lt;ref-type name="Journal Article"&gt;17&lt;/ref-type&gt;&lt;rec-number&gt;955&lt;/rec-number&gt;&lt;last-updated-date format="utc"&gt;1528039231&lt;/last-updated-date&gt;&lt;accession-num&gt;WOS:000362691400016&lt;/accession-num&gt;&lt;electronic-resource-num&gt;10.1002/ejp.687&lt;/electronic-resource-num&gt;&lt;volume&gt;19&lt;/volume&gt;&lt;/record&gt;&lt;/Cite&gt;&lt;/EndNote&gt;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eastAsia="en-GB"/>
        </w:rPr>
        <w:t>(</w:t>
      </w:r>
      <w:proofErr w:type="spellStart"/>
      <w:r w:rsidRPr="00AF0E0B">
        <w:rPr>
          <w:rFonts w:eastAsia="Arial Unicode MS" w:cs="Arial Unicode MS"/>
          <w:color w:val="000000"/>
          <w:u w:color="000000"/>
          <w:bdr w:val="nil"/>
          <w:lang w:eastAsia="en-GB"/>
        </w:rPr>
        <w:t>Elvemo</w:t>
      </w:r>
      <w:proofErr w:type="spellEnd"/>
      <w:r w:rsidRPr="00AF0E0B">
        <w:rPr>
          <w:rFonts w:eastAsia="Arial Unicode MS" w:cs="Arial Unicode MS"/>
          <w:color w:val="000000"/>
          <w:u w:color="000000"/>
          <w:bdr w:val="nil"/>
          <w:lang w:eastAsia="en-GB"/>
        </w:rPr>
        <w:t xml:space="preserve"> et al., 2015)</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xml:space="preserve">.  Further work examining this finding and how it may relate to the development of P-DPN in subjects with T1 DM, may allow insights into how to treat those vulnerable to complications before they develop, but a study with larger numbers would be required to detect a statistically significant difference.  </w:t>
      </w:r>
    </w:p>
    <w:p w14:paraId="472BF659" w14:textId="6656C73A" w:rsidR="00AF0E0B" w:rsidRPr="00AF0E0B" w:rsidRDefault="00AF0E0B" w:rsidP="00AF0E0B">
      <w:pPr>
        <w:pBdr>
          <w:top w:val="nil"/>
          <w:left w:val="nil"/>
          <w:bottom w:val="nil"/>
          <w:right w:val="nil"/>
          <w:between w:val="nil"/>
          <w:bar w:val="nil"/>
        </w:pBdr>
        <w:spacing w:line="360" w:lineRule="auto"/>
        <w:rPr>
          <w:rFonts w:eastAsia="Arial" w:cs="Arial"/>
          <w:color w:val="000000"/>
          <w:u w:color="000000"/>
          <w:bdr w:val="nil"/>
          <w:lang w:eastAsia="en-GB"/>
        </w:rPr>
      </w:pPr>
      <w:r w:rsidRPr="00AF0E0B">
        <w:rPr>
          <w:rFonts w:eastAsia="Arial Unicode MS" w:cs="Arial Unicode MS"/>
          <w:color w:val="000000"/>
          <w:u w:color="000000"/>
          <w:bdr w:val="nil"/>
          <w:lang w:val="en-US" w:eastAsia="en-GB"/>
        </w:rPr>
        <w:t xml:space="preserve">Finally, we examined hypochondriasis or somatic focus as a correlate of P-DPN using the PILL.  In a study looking at the development of all </w:t>
      </w:r>
      <w:r w:rsidR="007D7DEA">
        <w:rPr>
          <w:rFonts w:eastAsia="Arial Unicode MS" w:cs="Arial Unicode MS"/>
          <w:color w:val="000000"/>
          <w:u w:color="000000"/>
          <w:bdr w:val="nil"/>
          <w:lang w:val="en-US" w:eastAsia="en-GB"/>
        </w:rPr>
        <w:t>microvascular</w:t>
      </w:r>
      <w:r w:rsidRPr="00AF0E0B">
        <w:rPr>
          <w:rFonts w:eastAsia="Arial Unicode MS" w:cs="Arial Unicode MS"/>
          <w:color w:val="000000"/>
          <w:u w:color="000000"/>
          <w:bdr w:val="nil"/>
          <w:lang w:val="en-US" w:eastAsia="en-GB"/>
        </w:rPr>
        <w:t xml:space="preserve"> complications in subjects with T2</w:t>
      </w:r>
      <w:r w:rsidR="009E106D">
        <w:rPr>
          <w:rFonts w:eastAsia="Arial Unicode MS" w:cs="Arial Unicode MS"/>
          <w:color w:val="000000"/>
          <w:u w:color="000000"/>
          <w:bdr w:val="nil"/>
          <w:lang w:val="en-US" w:eastAsia="en-GB"/>
        </w:rPr>
        <w:t>D</w:t>
      </w:r>
      <w:r w:rsidRPr="00AF0E0B">
        <w:rPr>
          <w:rFonts w:eastAsia="Arial Unicode MS" w:cs="Arial Unicode MS"/>
          <w:color w:val="000000"/>
          <w:u w:color="000000"/>
          <w:bdr w:val="nil"/>
          <w:lang w:val="en-US" w:eastAsia="en-GB"/>
        </w:rPr>
        <w:t xml:space="preserve">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&gt;&lt;Author&gt;Stoimenova-Popova&lt;/Author&gt;&lt;Year&gt;2017&lt;/Year&gt;&lt;RecNum&gt;948&lt;/RecNum&gt;&lt;DisplayText&gt;(Stoimenova-Popova et al., 2017)&lt;/DisplayText&gt;&lt;record&gt;&lt;dates&gt;&lt;pub-dates&gt;&lt;date&gt;Apr&lt;/date&gt;&lt;/pub-dates&gt;&lt;year&gt;2017&lt;/year&gt;&lt;/dates&gt;&lt;urls&gt;&lt;related-urls&gt;&lt;url&gt;&amp;lt;Go to ISI&amp;gt;://WOS:000404952400607&lt;/url&gt;&lt;/related-urls&gt;&lt;/urls&gt;&lt;isbn&gt;0924-9338&lt;/isbn&gt;&lt;titles&gt;&lt;title&gt;Diabetes mellitus type 2 personality and relations with diabetic chronic complications-Pilot study&lt;/title&gt;&lt;secondary-title&gt;European Psychiatry&lt;/secondary-title&gt;&lt;/titles&gt;&lt;pages&gt;S507-S507&lt;/pages&gt;&lt;contributors&gt;&lt;authors&gt;&lt;author&gt;Stoimenova-Popova, M.&lt;/author&gt;&lt;author&gt;Valkova, M.&lt;/author&gt;&lt;author&gt;Veleva, I.&lt;/author&gt;&lt;author&gt;Tumbev, L.&lt;/author&gt;&lt;author&gt;Chumpalova, P.&lt;/author&gt;&lt;author&gt;Todorov, A.&lt;/author&gt;&lt;/authors&gt;&lt;/contributors&gt;&lt;added-date format="utc"&gt;1528036216&lt;/added-date&gt;&lt;ref-type name="Journal Article"&gt;17&lt;/ref-type&gt;&lt;rec-number&gt;948&lt;/rec-number&gt;&lt;last-updated-date format="utc"&gt;1528036216&lt;/last-updated-date&gt;&lt;accession-num&gt;WOS:000404952400607&lt;/accession-num&gt;&lt;electronic-resource-num&gt;10.1016/j.eurpsy.2017.01.647&lt;/electronic-resource-num&gt;&lt;volume&gt;41&lt;/volum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eastAsia="en-GB"/>
        </w:rPr>
        <w:t>(Stoimenova-Popova et al., 2017)</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it was found using the MMPI (Minnesota Multiphasic Personality Inventory) that predictive personality types were hypochondriasis, hysteria and schizoid personality types.  High “</w:t>
      </w:r>
      <w:r w:rsidRPr="00AF0E0B">
        <w:rPr>
          <w:rFonts w:eastAsia="Arial Unicode MS" w:cs="Arial Unicode MS"/>
          <w:color w:val="000000"/>
          <w:u w:color="000000"/>
          <w:bdr w:val="nil"/>
          <w:lang w:eastAsia="en-GB"/>
        </w:rPr>
        <w:t>Hysteria</w:t>
      </w:r>
      <w:r w:rsidRPr="00AF0E0B">
        <w:rPr>
          <w:rFonts w:eastAsia="Arial Unicode MS" w:cs="Arial Unicode MS"/>
          <w:color w:val="000000"/>
          <w:u w:color="000000"/>
          <w:bdr w:val="nil"/>
          <w:lang w:val="en-US" w:eastAsia="en-GB"/>
        </w:rPr>
        <w:t xml:space="preserve">” scores reflect neuroticism- which has been reported as high scores on anxiety and depressions scales in conjunction with P-DPN as discussed above.  Hypochondriasis is a predictive personality type for complications of diabetes but has not been measured in the context of P-DPN.  Hypochondriasis in subjects with P-DPN may be a measurement of </w:t>
      </w:r>
      <w:proofErr w:type="spellStart"/>
      <w:r w:rsidRPr="00AF0E0B">
        <w:rPr>
          <w:rFonts w:eastAsia="Arial Unicode MS" w:cs="Arial Unicode MS"/>
          <w:color w:val="000000"/>
          <w:u w:color="000000"/>
          <w:bdr w:val="nil"/>
          <w:lang w:val="en-US" w:eastAsia="en-GB"/>
        </w:rPr>
        <w:t>generalised</w:t>
      </w:r>
      <w:proofErr w:type="spellEnd"/>
      <w:r w:rsidRPr="00AF0E0B">
        <w:rPr>
          <w:rFonts w:eastAsia="Arial Unicode MS" w:cs="Arial Unicode MS"/>
          <w:color w:val="000000"/>
          <w:u w:color="000000"/>
          <w:bdr w:val="nil"/>
          <w:lang w:val="en-US" w:eastAsia="en-GB"/>
        </w:rPr>
        <w:t xml:space="preserve"> central </w:t>
      </w:r>
      <w:proofErr w:type="spellStart"/>
      <w:r w:rsidRPr="00AF0E0B">
        <w:rPr>
          <w:rFonts w:eastAsia="Arial Unicode MS" w:cs="Arial Unicode MS"/>
          <w:color w:val="000000"/>
          <w:u w:color="000000"/>
          <w:bdr w:val="nil"/>
          <w:lang w:val="en-US" w:eastAsia="en-GB"/>
        </w:rPr>
        <w:t>sensitisation</w:t>
      </w:r>
      <w:proofErr w:type="spellEnd"/>
      <w:r w:rsidRPr="00AF0E0B">
        <w:rPr>
          <w:rFonts w:eastAsia="Arial Unicode MS" w:cs="Arial Unicode MS"/>
          <w:color w:val="000000"/>
          <w:u w:color="000000"/>
          <w:bdr w:val="nil"/>
          <w:lang w:val="en-US" w:eastAsia="en-GB"/>
        </w:rPr>
        <w:t xml:space="preserve"> to all noxious stimuli. “</w:t>
      </w:r>
      <w:r w:rsidRPr="00AF0E0B">
        <w:rPr>
          <w:rFonts w:eastAsia="Arial Unicode MS" w:cs="Arial Unicode MS"/>
          <w:color w:val="000000"/>
          <w:u w:color="000000"/>
          <w:bdr w:val="nil"/>
          <w:lang w:eastAsia="en-GB"/>
        </w:rPr>
        <w:t>Hypochondriasis</w:t>
      </w:r>
      <w:r w:rsidRPr="00AF0E0B">
        <w:rPr>
          <w:rFonts w:eastAsia="Arial Unicode MS" w:cs="Arial Unicode MS"/>
          <w:color w:val="000000"/>
          <w:u w:color="000000"/>
          <w:bdr w:val="nil"/>
          <w:lang w:val="en-US" w:eastAsia="en-GB"/>
        </w:rPr>
        <w:t xml:space="preserve">” as a construct can be measured with the PILL questionnaire, which scores vague and non-specific complaints as a measure of perceptual amplification arising from chronic pain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&gt;&lt;Author&gt;McDermid&lt;/Author&gt;&lt;Year&gt;1996&lt;/Year&gt;&lt;RecNum&gt;940&lt;/RecNum&gt;&lt;DisplayText&gt;(McDermid et al., 1996)&lt;/DisplayText&gt;&lt;record&gt;&lt;dates&gt;&lt;pub-dates&gt;&lt;date&gt;Aug&lt;/date&gt;&lt;/pub-dates&gt;&lt;year&gt;1996&lt;/year&gt;&lt;/dates&gt;&lt;urls&gt;&lt;related-urls&gt;&lt;url&gt;&amp;lt;Go to ISI&amp;gt;://WOS:A1996VG56100005&lt;/url&gt;&lt;/related-urls&gt;&lt;/urls&gt;&lt;isbn&gt;0304-3959&lt;/isbn&gt;&lt;titles&gt;&lt;title&gt;Generalized hypervigilance in fibromyalgia: Evidence of perceptual amplification&lt;/title&gt;&lt;secondary-title&gt;Pain&lt;/secondary-title&gt;&lt;/titles&gt;&lt;pages&gt;133-144&lt;/pages&gt;&lt;number&gt;2-3&lt;/number&gt;&lt;contributors&gt;&lt;authors&gt;&lt;author&gt;McDermid, A. J.&lt;/author&gt;&lt;author&gt;Rollman, G. B.&lt;/author&gt;&lt;author&gt;McCain, G. A.&lt;/author&gt;&lt;/authors&gt;&lt;/contributors&gt;&lt;added-date format="utc"&gt;1527658612&lt;/added-date&gt;&lt;ref-type name="Journal Article"&gt;17&lt;/ref-type&gt;&lt;rec-number&gt;940&lt;/rec-number&gt;&lt;last-updated-date format="utc"&gt;1527658612&lt;/last-updated-date&gt;&lt;accession-num&gt;WOS:A1996VG56100005&lt;/accession-num&gt;&lt;electronic-resource-num&gt;10.1016/0304-3959(96)03059-x&lt;/electronic-resource-num&gt;&lt;volume&gt;66&lt;/volum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eastAsia="en-GB"/>
        </w:rPr>
        <w:t>(McDermid et al., 1996)</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xml:space="preserve">.  The PILL has been used to measure somatic focus in individuals with various conditions including fibromyalgia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&gt;&lt;Author&gt;McDermid&lt;/Author&gt;&lt;Year&gt;1996&lt;/Year&gt;&lt;RecNum&gt;940&lt;/RecNum&gt;&lt;DisplayText&gt;(McDermid et al., 1996)&lt;/DisplayText&gt;&lt;record&gt;&lt;dates&gt;&lt;pub-dates&gt;&lt;date&gt;Aug&lt;/date&gt;&lt;/pub-dates&gt;&lt;year&gt;1996&lt;/year&gt;&lt;/dates&gt;&lt;urls&gt;&lt;related-urls&gt;&lt;url&gt;&amp;lt;Go to ISI&amp;gt;://WOS:A1996VG56100005&lt;/url&gt;&lt;/related-urls&gt;&lt;/urls&gt;&lt;isbn&gt;0304-3959&lt;/isbn&gt;&lt;titles&gt;&lt;title&gt;Generalized hypervigilance in fibromyalgia: Evidence of perceptual amplification&lt;/title&gt;&lt;secondary-title&gt;Pain&lt;/secondary-title&gt;&lt;/titles&gt;&lt;pages&gt;133-144&lt;/pages&gt;&lt;number&gt;2-3&lt;/number&gt;&lt;contributors&gt;&lt;authors&gt;&lt;author&gt;McDermid, A. J.&lt;/author&gt;&lt;author&gt;Rollman, G. B.&lt;/author&gt;&lt;author&gt;McCain, G. A.&lt;/author&gt;&lt;/authors&gt;&lt;/contributors&gt;&lt;added-date format="utc"&gt;1527658612&lt;/added-date&gt;&lt;ref-type name="Journal Article"&gt;17&lt;/ref-type&gt;&lt;rec-number&gt;940&lt;/rec-number&gt;&lt;last-updated-date format="utc"&gt;1527658612&lt;/last-updated-date&gt;&lt;accession-num&gt;WOS:A1996VG56100005&lt;/accession-num&gt;&lt;electronic-resource-num&gt;10.1016/0304-3959(96)03059-x&lt;/electronic-resource-num&gt;&lt;volume&gt;66&lt;/volum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eastAsia="en-GB"/>
        </w:rPr>
        <w:t>(McDermid et al., 1996)</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xml:space="preserve">, and </w:t>
      </w:r>
      <w:proofErr w:type="spellStart"/>
      <w:r w:rsidRPr="00AF0E0B">
        <w:rPr>
          <w:rFonts w:eastAsia="Arial Unicode MS" w:cs="Arial Unicode MS"/>
          <w:color w:val="000000"/>
          <w:u w:color="000000"/>
          <w:bdr w:val="nil"/>
          <w:lang w:val="en-US" w:eastAsia="en-GB"/>
        </w:rPr>
        <w:t>generalised</w:t>
      </w:r>
      <w:proofErr w:type="spellEnd"/>
      <w:r w:rsidRPr="00AF0E0B">
        <w:rPr>
          <w:rFonts w:eastAsia="Arial Unicode MS" w:cs="Arial Unicode MS"/>
          <w:color w:val="000000"/>
          <w:u w:color="000000"/>
          <w:bdr w:val="nil"/>
          <w:lang w:val="en-US" w:eastAsia="en-GB"/>
        </w:rPr>
        <w:t xml:space="preserve"> pain syndromes </w:t>
      </w:r>
      <w:r w:rsidRPr="00AF0E0B">
        <w:rPr>
          <w:rFonts w:eastAsia="Arial" w:cs="Arial"/>
          <w:color w:val="000000"/>
          <w:u w:color="000000"/>
          <w:bdr w:val="nil"/>
          <w:lang w:eastAsia="en-GB"/>
        </w:rPr>
        <w:fldChar w:fldCharType="begin"/>
      </w:r>
      <w:r w:rsidR="00BB7724">
        <w:rPr>
          <w:rFonts w:eastAsia="Arial" w:cs="Arial"/>
          <w:color w:val="000000"/>
          <w:u w:color="000000"/>
          <w:bdr w:val="nil"/>
          <w:lang w:eastAsia="en-GB"/>
        </w:rPr>
        <w:instrText xml:space="preserve"> ADDIN EN.CITE &lt;EndNote&gt;&lt;Cite&gt;&lt;Author&gt;Hollins&lt;/Author&gt;&lt;Year&gt;2016&lt;/Year&gt;&lt;RecNum&gt;941&lt;/RecNum&gt;&lt;DisplayText&gt;(Hollins and Walters, 2016)&lt;/DisplayText&gt;&lt;record&gt;&lt;dates&gt;&lt;pub-dates&gt;&lt;date&gt;Jun&lt;/date&gt;&lt;/pub-dates&gt;&lt;year&gt;2016&lt;/year&gt;&lt;/dates&gt;&lt;urls&gt;&lt;related-urls&gt;&lt;url&gt;&amp;lt;Go to ISI&amp;gt;://WOS:000375550200004&lt;/url&gt;&lt;/related-urls&gt;&lt;/urls&gt;&lt;isbn&gt;0014-4819&lt;/isbn&gt;&lt;titles&gt;&lt;title&gt;Experimental hypervigilance changes the intensity/unpleasantness ratio of pressure sensations: evidence for the generalized hypervigilance hypothesis&lt;/title&gt;&lt;secondary-title&gt;Experimental Brain Research&lt;/secondary-title&gt;&lt;/titles&gt;&lt;pages&gt;1377-1384&lt;/pages&gt;&lt;number&gt;6&lt;/number&gt;&lt;contributors&gt;&lt;authors&gt;&lt;author&gt;Hollins, M.&lt;/author&gt;&lt;author&gt;Walters, S.&lt;/author&gt;&lt;/authors&gt;&lt;/contributors&gt;&lt;added-date format="utc"&gt;1527658777&lt;/added-date&gt;&lt;ref-type name="Journal Article"&gt;17&lt;/ref-type&gt;&lt;rec-number&gt;941&lt;/rec-number&gt;&lt;last-updated-date format="utc"&gt;1527658777&lt;/last-updated-date&gt;&lt;accession-num&gt;WOS:000375550200004&lt;/accession-num&gt;&lt;electronic-resource-num&gt;10.1007/s00221-015-4541-0&lt;/electronic-resource-num&gt;&lt;volume&gt;234&lt;/volume&gt;&lt;/record&gt;&lt;/Cite&gt;&lt;/EndNote&gt;</w:instrText>
      </w:r>
      <w:r w:rsidRPr="00AF0E0B">
        <w:rPr>
          <w:rFonts w:eastAsia="Arial" w:cs="Arial"/>
          <w:color w:val="000000"/>
          <w:u w:color="000000"/>
          <w:bdr w:val="nil"/>
          <w:lang w:eastAsia="en-GB"/>
        </w:rPr>
        <w:fldChar w:fldCharType="separate"/>
      </w:r>
      <w:r w:rsidR="00BB7724">
        <w:rPr>
          <w:rFonts w:eastAsia="Arial" w:cs="Arial"/>
          <w:noProof/>
          <w:color w:val="000000"/>
          <w:u w:color="000000"/>
          <w:bdr w:val="nil"/>
          <w:lang w:eastAsia="en-GB"/>
        </w:rPr>
        <w:t>(Hollins and Walters, 2016)</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xml:space="preserve">. Although the PILL response </w:t>
      </w:r>
      <w:r w:rsidRPr="00AF0E0B">
        <w:rPr>
          <w:rFonts w:eastAsia="Arial Unicode MS" w:cs="Arial Unicode MS"/>
          <w:color w:val="000000"/>
          <w:u w:color="000000"/>
          <w:bdr w:val="nil"/>
          <w:lang w:val="en-US" w:eastAsia="en-GB"/>
        </w:rPr>
        <w:lastRenderedPageBreak/>
        <w:t xml:space="preserve">rate was lower than some of the other questionnaires in our study, there was still a significant difference between the P-DPN group and the DM-NN group.  As this is not a longitudinal </w:t>
      </w:r>
      <w:r w:rsidR="007918E8" w:rsidRPr="00AF0E0B">
        <w:rPr>
          <w:rFonts w:eastAsia="Arial Unicode MS" w:cs="Arial Unicode MS"/>
          <w:color w:val="000000"/>
          <w:u w:color="000000"/>
          <w:bdr w:val="nil"/>
          <w:lang w:val="en-US" w:eastAsia="en-GB"/>
        </w:rPr>
        <w:t>study,</w:t>
      </w:r>
      <w:r w:rsidRPr="00AF0E0B">
        <w:rPr>
          <w:rFonts w:eastAsia="Arial Unicode MS" w:cs="Arial Unicode MS"/>
          <w:color w:val="000000"/>
          <w:u w:color="000000"/>
          <w:bdr w:val="nil"/>
          <w:lang w:val="en-US" w:eastAsia="en-GB"/>
        </w:rPr>
        <w:t xml:space="preserve"> we cannot say whether this is a pre-existing trait of somatic focus, or part of a hyper-vigilance syndrome which has developed as a result of the experience of chronic pain.  Currently it is assumed that somatic focus develops as a consequence of the development of neuropathic pain, however in a study of the development of post herpetic neuralgia, higher ratings on somatic focus prior to the establishment of chronic neuropathic pain predicted its development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&gt;&lt;Author&gt;Katz&lt;/Author&gt;&lt;Year&gt;2005&lt;/Year&gt;&lt;RecNum&gt;1347&lt;/RecNum&gt;&lt;DisplayText&gt;(Katz et al., 2005)&lt;/DisplayText&gt;&lt;record&gt;&lt;titles&gt;&lt;title&gt;Psychosocial Risk Factors for Postherpetic Neuralgia: A Prospective Study of Patients With Herpes Zoster&lt;/title&gt;&lt;secondary-title&gt;The Journal of Pain&lt;/secondary-title&gt;&lt;/titles&gt;&lt;pages&gt;782-790&lt;/pages&gt;&lt;number&gt;12&lt;/number&gt;&lt;contributors&gt;&lt;authors&gt;&lt;author&gt;Katz, J.&lt;/author&gt;&lt;author&gt;McDermott, M.&lt;/author&gt;&lt;author/&gt;&lt;author&gt;Walther, R.&lt;/author&gt;&lt;author&gt;Sweeney, E.&lt;/author&gt;&lt;author&gt;Dworkin, R&lt;/author&gt;&lt;/authors&gt;&lt;/contributors&gt;&lt;added-date format="utc"&gt;1598896271&lt;/added-date&gt;&lt;ref-type name="Journal Article"&gt;17&lt;/ref-type&gt;&lt;dates&gt;&lt;year&gt;2005&lt;/year&gt;&lt;/dates&gt;&lt;rec-number&gt;1347&lt;/rec-number&gt;&lt;last-updated-date format="utc"&gt;1598896677&lt;/last-updated-date&gt;&lt;volume&gt;6&lt;/volume&gt;&lt;/record&gt;&lt;/Cite&gt;&lt;/EndNote&gt;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val="de-DE" w:eastAsia="en-GB"/>
        </w:rPr>
        <w:t>(Katz et al., 2005)</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xml:space="preserve">.  This is the first study in P-DPN to show higher levels of somatic focus.  If this result is reflected in a larger more specifically designed study, then there is also a case for exploring whether increased somatic focus represents a barrier to successful treatment of the pain experience in P-DPN.  </w:t>
      </w:r>
    </w:p>
    <w:p w14:paraId="7C9690CA" w14:textId="77777777" w:rsidR="00AF0E0B" w:rsidRPr="00AF0E0B" w:rsidRDefault="00AF0E0B" w:rsidP="00AF0E0B">
      <w:pPr>
        <w:pBdr>
          <w:top w:val="nil"/>
          <w:left w:val="nil"/>
          <w:bottom w:val="nil"/>
          <w:right w:val="nil"/>
          <w:between w:val="nil"/>
          <w:bar w:val="nil"/>
        </w:pBdr>
        <w:spacing w:line="360" w:lineRule="auto"/>
        <w:rPr>
          <w:rFonts w:eastAsia="Arial" w:cs="Arial"/>
          <w:color w:val="000000"/>
          <w:u w:color="000000"/>
          <w:bdr w:val="nil"/>
          <w:lang w:eastAsia="en-GB"/>
        </w:rPr>
      </w:pPr>
      <w:r w:rsidRPr="00AF0E0B">
        <w:rPr>
          <w:rFonts w:eastAsia="Arial Unicode MS" w:cs="Arial Unicode MS"/>
          <w:color w:val="000000"/>
          <w:u w:color="000000"/>
          <w:bdr w:val="nil"/>
          <w:lang w:val="en-US" w:eastAsia="en-GB"/>
        </w:rPr>
        <w:t xml:space="preserve">As a constellation of symptoms, we found that subjects in the P-DPN group could be reliably differentiated from the other study groups by higher scores for depression on BDI questionnaire, higher PILL score, higher pain </w:t>
      </w:r>
      <w:proofErr w:type="spellStart"/>
      <w:r w:rsidRPr="00AF0E0B">
        <w:rPr>
          <w:rFonts w:eastAsia="Arial Unicode MS" w:cs="Arial Unicode MS"/>
          <w:color w:val="000000"/>
          <w:u w:color="000000"/>
          <w:bdr w:val="nil"/>
          <w:lang w:val="en-US" w:eastAsia="en-GB"/>
        </w:rPr>
        <w:t>catastrophising</w:t>
      </w:r>
      <w:proofErr w:type="spellEnd"/>
      <w:r w:rsidRPr="00AF0E0B">
        <w:rPr>
          <w:rFonts w:eastAsia="Arial Unicode MS" w:cs="Arial Unicode MS"/>
          <w:color w:val="000000"/>
          <w:u w:color="000000"/>
          <w:bdr w:val="nil"/>
          <w:lang w:val="en-US" w:eastAsia="en-GB"/>
        </w:rPr>
        <w:t xml:space="preserve"> and higher anxiety state, and a lower score for BAS-F: fun seeking (motivation to find novel rewards spontaneously).  This suggests that this group are more likely to have a focus on symptoms and </w:t>
      </w:r>
      <w:proofErr w:type="spellStart"/>
      <w:r w:rsidRPr="00AF0E0B">
        <w:rPr>
          <w:rFonts w:eastAsia="Arial Unicode MS" w:cs="Arial Unicode MS"/>
          <w:color w:val="000000"/>
          <w:u w:color="000000"/>
          <w:bdr w:val="nil"/>
          <w:lang w:val="en-US" w:eastAsia="en-GB"/>
        </w:rPr>
        <w:t>catastrophise</w:t>
      </w:r>
      <w:proofErr w:type="spellEnd"/>
      <w:r w:rsidRPr="00AF0E0B">
        <w:rPr>
          <w:rFonts w:eastAsia="Arial Unicode MS" w:cs="Arial Unicode MS"/>
          <w:color w:val="000000"/>
          <w:u w:color="000000"/>
          <w:bdr w:val="nil"/>
          <w:lang w:val="en-US" w:eastAsia="en-GB"/>
        </w:rPr>
        <w:t xml:space="preserve"> pain, they are more likely to be depressed and anxious and don’t seek out rewarding experiences.  DM-NN can be separated from P-DPN, DPN and HV by function 2, which is associated with higher scores on BAS-D and RR (motivation and reward responsiveness) and lower scores on anxiety trait.  This suggests that those who do not develop complications are more likely to respond to cues for intrinsic and extrinsic motivation.  It is unclear if these are selecting personality traits as this is a cross-sectional study.  Finally, function 3 differentiated DPN from HV. DPN was associated with lower scores for BIS than HV.  </w:t>
      </w:r>
    </w:p>
    <w:p w14:paraId="373D9B21" w14:textId="77777777" w:rsidR="00AF0E0B" w:rsidRPr="00AF0E0B" w:rsidRDefault="00AF0E0B" w:rsidP="00AF0E0B">
      <w:pPr>
        <w:pBdr>
          <w:top w:val="nil"/>
          <w:left w:val="nil"/>
          <w:bottom w:val="nil"/>
          <w:right w:val="nil"/>
          <w:between w:val="nil"/>
          <w:bar w:val="nil"/>
        </w:pBdr>
        <w:spacing w:line="360" w:lineRule="auto"/>
        <w:rPr>
          <w:rFonts w:eastAsia="Arial" w:cs="Arial"/>
          <w:color w:val="000000"/>
          <w:u w:color="000000"/>
          <w:bdr w:val="nil"/>
          <w:lang w:eastAsia="en-GB"/>
        </w:rPr>
      </w:pPr>
      <w:r w:rsidRPr="00AF0E0B">
        <w:rPr>
          <w:rFonts w:eastAsia="Arial Unicode MS" w:cs="Arial Unicode MS"/>
          <w:color w:val="000000"/>
          <w:u w:color="000000"/>
          <w:bdr w:val="nil"/>
          <w:lang w:val="en-US" w:eastAsia="en-GB"/>
        </w:rPr>
        <w:t xml:space="preserve">In summary we have found that a constellation of negative psychological states can differentiate P-DPN from DPN.  These psychological states include depression, anxiety, and increased somatic focus.  That depression stands out above other psychological factors could reflect that depression predisposes to the development of complications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&gt;&lt;Author&gt;Nefs&lt;/Author&gt;&lt;Year&gt;2016&lt;/Year&gt;&lt;RecNum&gt;946&lt;/RecNum&gt;&lt;DisplayText&gt;(Nefs et al., 2016)&lt;/DisplayText&gt;&lt;record&gt;&lt;dates&gt;&lt;pub-dates&gt;&lt;date&gt;Aug&lt;/date&gt;&lt;/pub-dates&gt;&lt;year&gt;2016&lt;/year&gt;&lt;/dates&gt;&lt;urls&gt;&lt;related-urls&gt;&lt;url&gt;&amp;lt;Go to ISI&amp;gt;://WOS:000381242600011&lt;/url&gt;&lt;/related-urls&gt;&lt;/urls&gt;&lt;isbn&gt;0007-1250&lt;/isbn&gt;&lt;titles&gt;&lt;title&gt;Depressive symptoms and all-cause mortality in people with type 2 diabetes: a focus on potential mechanisms&lt;/title&gt;&lt;secondary-title&gt;British Journal of Psychiatry&lt;/secondary-title&gt;&lt;/titles&gt;&lt;pages&gt;142-149&lt;/pages&gt;&lt;number&gt;2&lt;/number&gt;&lt;contributors&gt;&lt;authors&gt;&lt;author&gt;Nefs, G.&lt;/author&gt;&lt;author&gt;Pop, V. J. M.&lt;/author&gt;&lt;author&gt;Denollet, J.&lt;/author&gt;&lt;author&gt;Pouwer, F.&lt;/author&gt;&lt;/authors&gt;&lt;/contributors&gt;&lt;added-date format="utc"&gt;1528019386&lt;/added-date&gt;&lt;ref-type name="Journal Article"&gt;17&lt;/ref-type&gt;&lt;rec-number&gt;946&lt;/rec-number&gt;&lt;last-updated-date format="utc"&gt;1528019386&lt;/last-updated-date&gt;&lt;accession-num&gt;WOS:000381242600011&lt;/accession-num&gt;&lt;electronic-resource-num&gt;10.1192/bjp.bp.114.154781&lt;/electronic-resource-num&gt;&lt;volume&gt;209&lt;/volume&gt;&lt;/record&gt;&lt;/Cite&gt;&lt;/EndNote&gt;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val="fr-FR" w:eastAsia="en-GB"/>
        </w:rPr>
        <w:t>(Nefs et al., 2016)</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xml:space="preserve">.  Our findings indicate that personality factors are important in the experience of P-DPN.  In the future premorbid factors would be studied longitudinally specifically to study this question.  This could lead to earlier tailored interventions to those likely to develop complications including P-DPN.  </w:t>
      </w:r>
    </w:p>
    <w:p w14:paraId="517523AB" w14:textId="77777777" w:rsidR="00AF0E0B" w:rsidRPr="00AF0E0B" w:rsidRDefault="00AF0E0B" w:rsidP="00AF0E0B">
      <w:pPr>
        <w:pBdr>
          <w:top w:val="nil"/>
          <w:left w:val="nil"/>
          <w:bottom w:val="nil"/>
          <w:right w:val="nil"/>
          <w:between w:val="nil"/>
          <w:bar w:val="nil"/>
        </w:pBdr>
        <w:spacing w:line="360" w:lineRule="auto"/>
        <w:rPr>
          <w:rFonts w:eastAsia="Arial" w:cs="Arial"/>
          <w:color w:val="000000"/>
          <w:u w:color="000000"/>
          <w:bdr w:val="nil"/>
          <w:lang w:eastAsia="en-GB"/>
        </w:rPr>
      </w:pPr>
    </w:p>
    <w:p w14:paraId="15E6396E" w14:textId="77777777" w:rsidR="00AF0E0B" w:rsidRPr="00AF0E0B" w:rsidRDefault="00AF0E0B" w:rsidP="00AF0E0B">
      <w:pPr>
        <w:pBdr>
          <w:top w:val="nil"/>
          <w:left w:val="nil"/>
          <w:bottom w:val="nil"/>
          <w:right w:val="nil"/>
          <w:between w:val="nil"/>
          <w:bar w:val="nil"/>
        </w:pBdr>
        <w:spacing w:line="360" w:lineRule="auto"/>
        <w:rPr>
          <w:rFonts w:eastAsia="Arial" w:cs="Arial"/>
          <w:color w:val="000000"/>
          <w:u w:color="000000"/>
          <w:bdr w:val="nil"/>
          <w:lang w:eastAsia="en-GB"/>
        </w:rPr>
      </w:pPr>
      <w:r w:rsidRPr="00AF0E0B">
        <w:rPr>
          <w:rFonts w:eastAsia="Arial Unicode MS" w:cs="Arial Unicode MS"/>
          <w:color w:val="000000"/>
          <w:u w:color="000000"/>
          <w:bdr w:val="nil"/>
          <w:lang w:val="en-US" w:eastAsia="en-GB"/>
        </w:rPr>
        <w:lastRenderedPageBreak/>
        <w:t xml:space="preserve">Methylglyoxal is a glycolytic metabolite which is produced as a by-product of the glycolytic pathway, from glyceraldehyde 3-phosphate and dihydroxyacetone phosphate, although it can be produced as a result of protein and fatty acid metabolism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&gt;&lt;Author&gt;Allaman&lt;/Author&gt;&lt;Year&gt;2015&lt;/Year&gt;&lt;DisplayText&gt;(Allaman et al., 2015)&lt;/DisplayText&gt;&lt;record&gt;&lt;keywords&gt;&lt;keyword&gt;Advanced-Glycation End-Products (Ages)&lt;/keyword&gt;&lt;keyword&gt;Astrocyte&lt;/keyword&gt;&lt;keyword&gt;Glutathione&lt;/keyword&gt;&lt;keyword&gt;Methylglyoxal&lt;/keyword&gt;&lt;keyword&gt;Neuron&lt;/keyword&gt;&lt;keyword&gt;Triosephosphate&lt;/keyword&gt;&lt;/keywords&gt;&lt;isbn&gt;1662-4548&lt;/isbn&gt;&lt;titles&gt;&lt;title&gt;Methylglyoxal, the dark side of glycolysis&lt;/title&gt;&lt;secondary-title&gt;Frontiers in neuroscience&lt;/secondary-title&gt;&lt;/titles&gt;&lt;pages&gt;23-23&lt;/pages&gt;&lt;contributors&gt;&lt;authors&gt;&lt;author&gt;Allaman, Igor&lt;/author&gt;&lt;author&gt;Bélanger, Mireille&lt;/author&gt;&lt;author&gt;Magistretti, Pierre J.&lt;/author&gt;&lt;/authors&gt;&lt;/contributors&gt;&lt;added-date format="utc"&gt;1572960180&lt;/added-date&gt;&lt;ref-type name="Journal Article"&gt;17&lt;/ref-type&gt;&lt;dates&gt;&lt;year&gt;2015&lt;/year&gt;&lt;/dates&gt;&lt;rec-number&gt;1171&lt;/rec-number&gt;&lt;last-updated-date format="utc"&gt;1572960180&lt;/last-updated-date&gt;&lt;contributors&gt;&lt;secondary-authors&gt;&lt;author&gt;Allaman, Igor&lt;/author&gt;&lt;/secondary-authors&gt;&lt;/contributors&gt;&lt;electronic-resource-num&gt;10.3389/fnins.2015.00023&lt;/electronic-resource-num&gt;&lt;volume&gt;9&lt;/volume&gt;&lt;/record&gt;&lt;/Cite&gt;&lt;/EndNote&gt;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eastAsia="en-GB"/>
        </w:rPr>
        <w:t>(Allaman et al., 2015)</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it-IT" w:eastAsia="en-GB"/>
        </w:rPr>
        <w:t xml:space="preserve">.  </w:t>
      </w:r>
      <w:proofErr w:type="spellStart"/>
      <w:r w:rsidRPr="00AF0E0B">
        <w:rPr>
          <w:rFonts w:eastAsia="Arial Unicode MS" w:cs="Arial Unicode MS"/>
          <w:color w:val="000000"/>
          <w:u w:color="000000"/>
          <w:bdr w:val="nil"/>
          <w:lang w:val="it-IT" w:eastAsia="en-GB"/>
        </w:rPr>
        <w:t>Thornalley</w:t>
      </w:r>
      <w:proofErr w:type="spellEnd"/>
      <w:r w:rsidRPr="00AF0E0B">
        <w:rPr>
          <w:rFonts w:eastAsia="Arial Unicode MS" w:cs="Arial Unicode MS"/>
          <w:color w:val="000000"/>
          <w:u w:color="000000"/>
          <w:bdr w:val="nil"/>
          <w:lang w:val="it-IT" w:eastAsia="en-GB"/>
        </w:rPr>
        <w:t xml:space="preserve">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ExcludeAuth="1" &gt;&lt;Author&gt;Thornalley&lt;/Author&gt;&lt;Year&gt;1990&lt;/Year&gt;&lt;RecNum&gt;1172&lt;/RecNum&gt;&lt;DisplayText&gt;(1990)&lt;/DisplayText&gt;&lt;record&gt;&lt;keywords&gt;&lt;keyword&gt;Hydroxyacylglutathione Hydrolase&lt;/keyword&gt;&lt;keyword&gt;Reviews&lt;/keyword&gt;&lt;keyword&gt;20320&lt;/keyword&gt;&lt;keyword&gt;Activity&lt;/keyword&gt;&lt;keyword&gt;Hydroxyacylglutathione Hydrolase&lt;/keyword&gt;&lt;keyword&gt;Lactoylglutathione Lyase&lt;/keyword&gt;&lt;keyword&gt;Regulation&lt;/keyword&gt;&lt;keyword&gt;Reviews&lt;/keyword&gt;&lt;/keywords&gt;&lt;isbn&gt;0264-6021&lt;/isbn&gt;&lt;titles&gt;&lt;title&gt;The glyoxalase system: New developments towards functional characterization of a metabolic pathway fundamental to biological life&lt;/title&gt;&lt;secondary-title&gt;Biochemical Journal&lt;/secondary-title&gt;&lt;/titles&gt;&lt;pages&gt;1-11&lt;/pages&gt;&lt;number&gt;1&lt;/number&gt;&lt;contributors&gt;&lt;authors&gt;&lt;author&gt;Thornalley, P.&lt;/author&gt;&lt;/authors&gt;&lt;/contributors&gt;&lt;added-date format="utc"&gt;1572960228&lt;/added-date&gt;&lt;ref-type name="Journal Article"&gt;17&lt;/ref-type&gt;&lt;dates&gt;&lt;year&gt;1990&lt;/year&gt;&lt;/dates&gt;&lt;rec-number&gt;1172&lt;/rec-number&gt;&lt;last-updated-date format="utc"&gt;1572960228&lt;/last-updated-date&gt;&lt;contributors&gt;&lt;secondary-authors&gt;&lt;author&gt;Thornalley, P.&lt;/author&gt;&lt;/secondary-authors&gt;&lt;/contributors&gt;&lt;electronic-resource-num&gt;10.1042/bj2690001&lt;/electronic-resource-num&gt;&lt;volume&gt;269&lt;/volume&gt;&lt;/record&gt;&lt;/Cite&gt;&lt;/EndNote&gt;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eastAsia="en-GB"/>
        </w:rPr>
        <w:t>(1990)</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xml:space="preserve"> showed that a downregulation of glyoxalases correlated with the development of complications of diabetes, and that methylglyoxal was an important advanced glycosylation end product implicated in the progression to complications of diabetes.  Our study did not find that serum methylglyoxal predicted P-DPN or DPN.  In fact, we did not find any association between methylglyoxal levels and complications associated with diabetes.  This was in direct contrast to the findings of </w:t>
      </w:r>
      <w:proofErr w:type="spellStart"/>
      <w:r w:rsidRPr="00AF0E0B">
        <w:rPr>
          <w:rFonts w:eastAsia="Arial Unicode MS" w:cs="Arial Unicode MS"/>
          <w:color w:val="000000"/>
          <w:u w:color="000000"/>
          <w:bdr w:val="nil"/>
          <w:lang w:val="en-US" w:eastAsia="en-GB"/>
        </w:rPr>
        <w:t>Bierhaus</w:t>
      </w:r>
      <w:proofErr w:type="spellEnd"/>
      <w:r w:rsidRPr="00AF0E0B">
        <w:rPr>
          <w:rFonts w:eastAsia="Arial Unicode MS" w:cs="Arial Unicode MS"/>
          <w:color w:val="000000"/>
          <w:u w:color="000000"/>
          <w:bdr w:val="nil"/>
          <w:lang w:val="en-US" w:eastAsia="en-GB"/>
        </w:rPr>
        <w:t xml:space="preserve"> et al;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ExcludeAuth="1" &gt;&lt;Author&gt;Bierhaus&lt;/Author&gt;&lt;Year&gt;2012&lt;/Year&gt;&lt;RecNum&gt;72&lt;/RecNum&gt;&lt;DisplayText&gt;(2012)&lt;/DisplayText&gt;&lt;record&gt;&lt;dates&gt;&lt;pub-dates&gt;&lt;date&gt;Jun&lt;/date&gt;&lt;/pub-dates&gt;&lt;year&gt;2012&lt;/year&gt;&lt;/dates&gt;&lt;urls&gt;&lt;related-urls&gt;&lt;url&gt;&amp;lt;Go to ISI&amp;gt;://WOS:000305116600030&lt;/url&gt;&lt;/related-urls&gt;&lt;/urls&gt;&lt;isbn&gt;1078-8956&lt;/isbn&gt;&lt;titles&gt;&lt;title&gt;Methylglyoxal modification of Na(v)1.8 facilitates nociceptive neuron firing and causes hyperalgesia in diabetic neuropathy&lt;/title&gt;&lt;secondary-title&gt;Nature Medicine&lt;/secondary-title&gt;&lt;/titles&gt;&lt;number&gt;6&lt;/number&gt;&lt;contributors&gt;&lt;authors&gt;&lt;author&gt;Bierhaus, Angelika&lt;/author&gt;&lt;author&gt;Fleming, Thomas&lt;/author&gt;&lt;author&gt;Stoyanov, Stoyan&lt;/author&gt;&lt;author&gt;Leffler, Andreas&lt;/author&gt;&lt;author&gt;Babes, Alexandru&lt;/author&gt;&lt;author&gt;Neacsu, Cristian&lt;/author&gt;&lt;author&gt;Sauer, Susanne K.&lt;/author&gt;&lt;author&gt;Eberhardt, Mirjam&lt;/author&gt;&lt;author&gt;Schnoelzer, Martina&lt;/author&gt;&lt;author&gt;Lasischka, Felix&lt;/author&gt;&lt;author&gt;Neuhuber, Winfried L.&lt;/author&gt;&lt;author&gt;Kichko, Tatjana I.&lt;/author&gt;&lt;author&gt;Konrade, Ilze&lt;/author&gt;&lt;author&gt;Elvert, Ralf&lt;/author&gt;&lt;author&gt;Mier, Walter&lt;/author&gt;&lt;author&gt;Pirags, Valdis&lt;/author&gt;&lt;author&gt;Lukic, Ivan K.&lt;/author&gt;&lt;author&gt;Morcos, Michael&lt;/author&gt;&lt;author&gt;Dehmer, Thomas&lt;/author&gt;&lt;author&gt;Rabbani, Naila&lt;/author&gt;&lt;author&gt;Thornalley, Paul J.&lt;/author&gt;&lt;author&gt;Edelstein, Diane&lt;/author&gt;&lt;author&gt;Nau, Carla&lt;/author&gt;&lt;author&gt;Forbes, Josephine&lt;/author&gt;&lt;author&gt;Humpert, Per M.&lt;/author&gt;&lt;author&gt;Schwaninger, Markus&lt;/author&gt;&lt;author&gt;Ziegler, Dan&lt;/author&gt;&lt;author&gt;Stern, David M.&lt;/author&gt;&lt;author&gt;Cooper, Mark E.&lt;/author&gt;&lt;author&gt;Haberkorn, Uwe&lt;/author&gt;&lt;author&gt;Brownlee, Michael&lt;/author&gt;&lt;author&gt;Reeh, Peter W.&lt;/author&gt;&lt;author&gt;Nawroth, Peter P.&lt;/author&gt;&lt;/authors&gt;&lt;/contributors&gt;&lt;added-date format="utc"&gt;1350045529&lt;/added-date&gt;&lt;ref-type name="Journal Article"&gt;17&lt;/ref-type&gt;&lt;rec-number&gt;72&lt;/rec-number&gt;&lt;last-updated-date format="utc"&gt;1350045838&lt;/last-updated-date&gt;&lt;accession-num&gt;WOS:000305116600030&lt;/accession-num&gt;&lt;electronic-resource-num&gt;10.1038/nm.2750&lt;/electronic-resource-num&gt;&lt;volume&gt;18&lt;/volume&gt;&lt;/record&gt;&lt;/Cite&gt;&lt;/EndNote&gt;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eastAsia="en-GB"/>
        </w:rPr>
        <w:t>(2012)</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xml:space="preserve"> who found that a serum methylglyoxal level</w:t>
      </w:r>
      <w:r w:rsidRPr="00AF0E0B">
        <w:rPr>
          <w:rFonts w:eastAsia="Arial Unicode MS" w:cs="Arial Unicode MS"/>
          <w:color w:val="000000"/>
          <w:u w:val="single" w:color="000000"/>
          <w:bdr w:val="nil"/>
          <w:lang w:eastAsia="en-GB"/>
        </w:rPr>
        <w:t>&gt;</w:t>
      </w:r>
      <w:r w:rsidRPr="00AF0E0B">
        <w:rPr>
          <w:rFonts w:eastAsia="Arial Unicode MS" w:cs="Arial Unicode MS"/>
          <w:color w:val="000000"/>
          <w:u w:color="000000"/>
          <w:bdr w:val="nil"/>
          <w:lang w:val="en-US" w:eastAsia="en-GB"/>
        </w:rPr>
        <w:t xml:space="preserve"> 600nm may predict the presence of neuropathic pain in subjects with diabetes.  Their work in experimental animal models to elucidate the mechanism by which methylglyoxal caused neuropathic pain, showed that a post-translational modification of the Na</w:t>
      </w:r>
      <w:r w:rsidRPr="00AF0E0B">
        <w:rPr>
          <w:rFonts w:eastAsia="Arial Unicode MS" w:cs="Arial Unicode MS"/>
          <w:color w:val="000000"/>
          <w:u w:color="000000"/>
          <w:bdr w:val="nil"/>
          <w:vertAlign w:val="subscript"/>
          <w:lang w:eastAsia="en-GB"/>
        </w:rPr>
        <w:t>v</w:t>
      </w:r>
      <w:r w:rsidRPr="00AF0E0B">
        <w:rPr>
          <w:rFonts w:eastAsia="Arial Unicode MS" w:cs="Arial Unicode MS"/>
          <w:color w:val="000000"/>
          <w:u w:color="000000"/>
          <w:bdr w:val="nil"/>
          <w:lang w:val="en-US" w:eastAsia="en-GB"/>
        </w:rPr>
        <w:t>1.8 channel in c-</w:t>
      </w:r>
      <w:proofErr w:type="spellStart"/>
      <w:r w:rsidRPr="00AF0E0B">
        <w:rPr>
          <w:rFonts w:eastAsia="Arial Unicode MS" w:cs="Arial Unicode MS"/>
          <w:color w:val="000000"/>
          <w:u w:color="000000"/>
          <w:bdr w:val="nil"/>
          <w:lang w:val="en-US" w:eastAsia="en-GB"/>
        </w:rPr>
        <w:t>fibre</w:t>
      </w:r>
      <w:proofErr w:type="spellEnd"/>
      <w:r w:rsidRPr="00AF0E0B">
        <w:rPr>
          <w:rFonts w:eastAsia="Arial Unicode MS" w:cs="Arial Unicode MS"/>
          <w:color w:val="000000"/>
          <w:u w:color="000000"/>
          <w:bdr w:val="nil"/>
          <w:lang w:val="en-US" w:eastAsia="en-GB"/>
        </w:rPr>
        <w:t xml:space="preserve"> neurons predisposes to hyperexcitability when exposed to methylglyoxal.  Methylglyoxal is also implicated in central neuronal dysfunction. CNS neurons are vulnerable to methylglyoxal damage by advanced glycation end product accumulation, and therefore may represent a link between the central and peripheral mechanisms of pain generation in P-DPN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&gt;&lt;Author&gt;Allaman&lt;/Author&gt;&lt;Year&gt;2015&lt;/Year&gt;&lt;DisplayText&gt;(Allaman et al., 2015)&lt;/DisplayText&gt;&lt;record&gt;&lt;keywords&gt;&lt;keyword&gt;Advanced-Glycation End-Products (Ages)&lt;/keyword&gt;&lt;keyword&gt;Astrocyte&lt;/keyword&gt;&lt;keyword&gt;Glutathione&lt;/keyword&gt;&lt;keyword&gt;Methylglyoxal&lt;/keyword&gt;&lt;keyword&gt;Neuron&lt;/keyword&gt;&lt;keyword&gt;Triosephosphate&lt;/keyword&gt;&lt;/keywords&gt;&lt;isbn&gt;1662-4548&lt;/isbn&gt;&lt;titles&gt;&lt;title&gt;Methylglyoxal, the dark side of glycolysis&lt;/title&gt;&lt;secondary-title&gt;Frontiers in neuroscience&lt;/secondary-title&gt;&lt;/titles&gt;&lt;pages&gt;23-23&lt;/pages&gt;&lt;contributors&gt;&lt;authors&gt;&lt;author&gt;Allaman, Igor&lt;/author&gt;&lt;author&gt;Bélanger, Mireille&lt;/author&gt;&lt;author&gt;Magistretti, Pierre J.&lt;/author&gt;&lt;/authors&gt;&lt;/contributors&gt;&lt;added-date format="utc"&gt;1572960180&lt;/added-date&gt;&lt;ref-type name="Journal Article"&gt;17&lt;/ref-type&gt;&lt;dates&gt;&lt;year&gt;2015&lt;/year&gt;&lt;/dates&gt;&lt;rec-number&gt;1171&lt;/rec-number&gt;&lt;last-updated-date format="utc"&gt;1572960180&lt;/last-updated-date&gt;&lt;contributors&gt;&lt;secondary-authors&gt;&lt;author&gt;Allaman, Igor&lt;/author&gt;&lt;/secondary-authors&gt;&lt;/contributors&gt;&lt;electronic-resource-num&gt;10.3389/fnins.2015.00023&lt;/electronic-resource-num&gt;&lt;volume&gt;9&lt;/volume&gt;&lt;/record&gt;&lt;/Cite&gt;&lt;/EndNote&gt;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eastAsia="en-GB"/>
        </w:rPr>
        <w:t>(Allaman et al., 2015)</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eastAsia="en-GB"/>
        </w:rPr>
        <w:t xml:space="preserve">. </w:t>
      </w:r>
    </w:p>
    <w:p w14:paraId="3C35F06D" w14:textId="77777777" w:rsidR="00AF0E0B" w:rsidRPr="00AF0E0B" w:rsidRDefault="00AF0E0B" w:rsidP="00AF0E0B">
      <w:pPr>
        <w:pBdr>
          <w:top w:val="nil"/>
          <w:left w:val="nil"/>
          <w:bottom w:val="nil"/>
          <w:right w:val="nil"/>
          <w:between w:val="nil"/>
          <w:bar w:val="nil"/>
        </w:pBdr>
        <w:spacing w:line="360" w:lineRule="auto"/>
        <w:rPr>
          <w:rFonts w:eastAsia="Arial" w:cs="Arial"/>
          <w:color w:val="000000"/>
          <w:u w:color="000000"/>
          <w:bdr w:val="nil"/>
          <w:lang w:eastAsia="en-GB"/>
        </w:rPr>
      </w:pPr>
      <w:r w:rsidRPr="00AF0E0B">
        <w:rPr>
          <w:rFonts w:eastAsia="Arial Unicode MS" w:cs="Arial Unicode MS"/>
          <w:color w:val="000000"/>
          <w:u w:color="000000"/>
          <w:bdr w:val="nil"/>
          <w:lang w:val="en-US" w:eastAsia="en-GB"/>
        </w:rPr>
        <w:t xml:space="preserve">Subsequent to the commencement of our study, the ADDITION study reported that methylglyoxal was not correlated with P-DPN in a cohort with T2D of short duration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&gt;&lt;Author&gt;Hansen&lt;/Author&gt;&lt;Year&gt;2015&lt;/Year&gt;&lt;DisplayText&gt;(Hansen et al., 2015)&lt;/DisplayText&gt;&lt;record&gt;&lt;keywords&gt;&lt;keyword&gt;Heart Rate&lt;/keyword&gt;&lt;keyword&gt;Metabolites&lt;/keyword&gt;&lt;keyword&gt;Type 2 Diabetes&lt;/keyword&gt;&lt;keyword&gt;Glucose&lt;/keyword&gt;&lt;/keywords&gt;&lt;isbn&gt;0742-3071&lt;/isbn&gt;&lt;titles&gt;&lt;title&gt;The role of serum methylglyoxal on diabetic peripheral and cardiovascular autonomic neuropathy: the ADDITION Denmark study&lt;/title&gt;&lt;secondary-title&gt;Diabetic Medicine&lt;/secondary-title&gt;&lt;/titles&gt;&lt;pages&gt;778-785&lt;/pages&gt;&lt;number&gt;6&lt;/number&gt;&lt;contributors&gt;&lt;authors&gt;&lt;author&gt;Hansen, C. S.&lt;/author&gt;&lt;author&gt;Jensen, T. M.&lt;/author&gt;&lt;author&gt;Jensen, J. S.&lt;/author&gt;&lt;author&gt;Nawroth, P.&lt;/author&gt;&lt;author&gt;Fleming, T.&lt;/author&gt;&lt;author&gt;Witte, D. R.&lt;/author&gt;&lt;author&gt;Lauritzen, T.&lt;/author&gt;&lt;author&gt;Sandbæk, A.&lt;/author&gt;&lt;author&gt;Charles, M.&lt;/author&gt;&lt;author&gt;Fleischer, J.&lt;/author&gt;&lt;author&gt;Vistisen, D.&lt;/author&gt;&lt;author&gt;Jørgensen, M. E.&lt;/author&gt;&lt;/authors&gt;&lt;/contributors&gt;&lt;added-date format="utc"&gt;1571494533&lt;/added-date&gt;&lt;ref-type name="Journal Article"&gt;17&lt;/ref-type&gt;&lt;dates&gt;&lt;year&gt;2015&lt;/year&gt;&lt;/dates&gt;&lt;rec-number&gt;1165&lt;/rec-number&gt;&lt;last-updated-date format="utc"&gt;1571494533&lt;/last-updated-date&gt;&lt;electronic-resource-num&gt;10.1111/dme.12753&lt;/electronic-resource-num&gt;&lt;volume&gt;32&lt;/volume&gt;&lt;/record&gt;&lt;/Cite&gt;&lt;/EndNote&gt;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eastAsia="en-GB"/>
        </w:rPr>
        <w:t>(Hansen et al., 2015)</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xml:space="preserve">.  They found there were no associations between serum methylglyoxal, autonomic function tests, neuropathy or painful neuropathy measures.  The authors </w:t>
      </w:r>
      <w:proofErr w:type="spellStart"/>
      <w:r w:rsidRPr="00AF0E0B">
        <w:rPr>
          <w:rFonts w:eastAsia="Arial Unicode MS" w:cs="Arial Unicode MS"/>
          <w:color w:val="000000"/>
          <w:u w:color="000000"/>
          <w:bdr w:val="nil"/>
          <w:lang w:val="en-US" w:eastAsia="en-GB"/>
        </w:rPr>
        <w:t>hypothesised</w:t>
      </w:r>
      <w:proofErr w:type="spellEnd"/>
      <w:r w:rsidRPr="00AF0E0B">
        <w:rPr>
          <w:rFonts w:eastAsia="Arial Unicode MS" w:cs="Arial Unicode MS"/>
          <w:color w:val="000000"/>
          <w:u w:color="000000"/>
          <w:bdr w:val="nil"/>
          <w:lang w:val="en-US" w:eastAsia="en-GB"/>
        </w:rPr>
        <w:t xml:space="preserve"> that a difference may have been found with a longer duration of diabetes, or perhaps with more robust measures of neuropathy such as nerve conduction studies or intraepidermal nerve </w:t>
      </w:r>
      <w:proofErr w:type="spellStart"/>
      <w:r w:rsidRPr="00AF0E0B">
        <w:rPr>
          <w:rFonts w:eastAsia="Arial Unicode MS" w:cs="Arial Unicode MS"/>
          <w:color w:val="000000"/>
          <w:u w:color="000000"/>
          <w:bdr w:val="nil"/>
          <w:lang w:val="en-US" w:eastAsia="en-GB"/>
        </w:rPr>
        <w:t>fibre</w:t>
      </w:r>
      <w:proofErr w:type="spellEnd"/>
      <w:r w:rsidRPr="00AF0E0B">
        <w:rPr>
          <w:rFonts w:eastAsia="Arial Unicode MS" w:cs="Arial Unicode MS"/>
          <w:color w:val="000000"/>
          <w:u w:color="000000"/>
          <w:bdr w:val="nil"/>
          <w:lang w:val="en-US" w:eastAsia="en-GB"/>
        </w:rPr>
        <w:t xml:space="preserve"> density measurements.  Our study measured detailed QST, nerve conduction studies and autonomic function tests and found a similar result.  Our study used subjects with type 1 diabetes and the duration of diabetes was much longer than the ADDITION study.  It is unclear why our group and the ADDITION study were unable to replicate the </w:t>
      </w:r>
      <w:proofErr w:type="spellStart"/>
      <w:r w:rsidRPr="00AF0E0B">
        <w:rPr>
          <w:rFonts w:eastAsia="Arial Unicode MS" w:cs="Arial Unicode MS"/>
          <w:color w:val="000000"/>
          <w:u w:color="000000"/>
          <w:bdr w:val="nil"/>
          <w:lang w:val="en-US" w:eastAsia="en-GB"/>
        </w:rPr>
        <w:t>Bierhaus</w:t>
      </w:r>
      <w:proofErr w:type="spellEnd"/>
      <w:r w:rsidRPr="00AF0E0B">
        <w:rPr>
          <w:rFonts w:eastAsia="Arial Unicode MS" w:cs="Arial Unicode MS"/>
          <w:color w:val="000000"/>
          <w:u w:color="000000"/>
          <w:bdr w:val="nil"/>
          <w:lang w:val="en-US" w:eastAsia="en-GB"/>
        </w:rPr>
        <w:t xml:space="preserve"> et al., results.  The methods for obtaining and processing methylglyoxal samples, were the same for all three studies.  The samples were initially processed at the local study site but then were all sent to be processed by the group who published the </w:t>
      </w:r>
      <w:proofErr w:type="spellStart"/>
      <w:r w:rsidRPr="00AF0E0B">
        <w:rPr>
          <w:rFonts w:eastAsia="Arial Unicode MS" w:cs="Arial Unicode MS"/>
          <w:color w:val="000000"/>
          <w:u w:color="000000"/>
          <w:bdr w:val="nil"/>
          <w:lang w:val="en-US" w:eastAsia="en-GB"/>
        </w:rPr>
        <w:t>Bierhaus</w:t>
      </w:r>
      <w:proofErr w:type="spellEnd"/>
      <w:r w:rsidRPr="00AF0E0B">
        <w:rPr>
          <w:rFonts w:eastAsia="Arial Unicode MS" w:cs="Arial Unicode MS"/>
          <w:color w:val="000000"/>
          <w:u w:color="000000"/>
          <w:bdr w:val="nil"/>
          <w:lang w:val="en-US" w:eastAsia="en-GB"/>
        </w:rPr>
        <w:t xml:space="preserve"> et al. paper in Germany.  Subsequently, it has been </w:t>
      </w:r>
      <w:proofErr w:type="spellStart"/>
      <w:r w:rsidRPr="00AF0E0B">
        <w:rPr>
          <w:rFonts w:eastAsia="Arial Unicode MS" w:cs="Arial Unicode MS"/>
          <w:color w:val="000000"/>
          <w:u w:color="000000"/>
          <w:bdr w:val="nil"/>
          <w:lang w:val="en-US" w:eastAsia="en-GB"/>
        </w:rPr>
        <w:t>hypothesised</w:t>
      </w:r>
      <w:proofErr w:type="spellEnd"/>
      <w:r w:rsidRPr="00AF0E0B">
        <w:rPr>
          <w:rFonts w:eastAsia="Arial Unicode MS" w:cs="Arial Unicode MS"/>
          <w:color w:val="000000"/>
          <w:u w:color="000000"/>
          <w:bdr w:val="nil"/>
          <w:lang w:val="en-US" w:eastAsia="en-GB"/>
        </w:rPr>
        <w:t xml:space="preserve"> that the instability of the methylglyoxal compound may have caused the discrepant results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&gt;&lt;Author&gt;Brings&lt;/Author&gt;&lt;Year&gt;2017&lt;/Year&gt;&lt;RecNum&gt;1318&lt;/RecNum&gt;&lt;DisplayText&gt;(Brings et al., 2017)&lt;/DisplayText&gt;&lt;record&gt;&lt;keywords&gt;&lt;keyword&gt;Methylglyoxal&lt;/keyword&gt;&lt;keyword&gt;3-deoxyglucosone&lt;/keyword&gt;&lt;keyword&gt;Advanced glycation end-products&lt;/keyword&gt;&lt;keyword&gt;Aldose reductase&lt;/keyword&gt;&lt;keyword&gt;Glyoxalase&lt;/keyword&gt;&lt;keyword&gt;Diabetes&lt;/keyword&gt;&lt;keyword&gt;Glyoxal&lt;/keyword&gt;&lt;keyword&gt;Hypoglycemic Agents - therapeutic use&lt;/keyword&gt;&lt;keyword&gt;Animals&lt;/keyword&gt;&lt;keyword&gt;Glyoxal - metabolism&lt;/keyword&gt;&lt;keyword&gt;Diabetes Complications - metabolism&lt;/keyword&gt;&lt;keyword&gt;Glycation End Products, Advanced - metabolism&lt;/keyword&gt;&lt;keyword&gt;Humans&lt;/keyword&gt;&lt;keyword&gt;Diabetes Complications - drug therapy&lt;/keyword&gt;&lt;keyword&gt;Clinical Trials as Topic&lt;/keyword&gt;&lt;keyword&gt;Maillard Reaction - drug effects&lt;/keyword&gt;&lt;keyword&gt;Hypoglycemic Agents - pharmacology&lt;/keyword&gt;&lt;keyword&gt;Advanced glycosylation end products&lt;/keyword&gt;&lt;keyword&gt;Diabetes mellitus&lt;/keyword&gt;&lt;keyword&gt;Detoxification&lt;/keyword&gt;&lt;keyword&gt;Amino acids&lt;/keyword&gt;&lt;keyword&gt;Glycosylation&lt;/keyword&gt;&lt;keyword&gt;Glucose&lt;/keyword&gt;&lt;keyword&gt;Proteins&lt;/keyword&gt;&lt;keyword&gt;Pathways&lt;/keyword&gt;&lt;keyword&gt;DNA adducts&lt;/keyword&gt;&lt;keyword&gt;Pyruvaldehyde&lt;/keyword&gt;&lt;keyword&gt;Age&lt;/keyword&gt;&lt;keyword&gt;Deoxyribonucleic acid--DNA&lt;/keyword&gt;&lt;keyword&gt;Adducts&lt;/keyword&gt;&lt;/keywords&gt;&lt;isbn&gt;1422-0067&amp;#13;1661-6596&lt;/isbn&gt;&lt;titles&gt;&lt;title&gt;Dicarbonyls and Advanced Glycation End-Products in the Development of Diabetic Complications and Targets for Intervention&lt;/title&gt;&lt;secondary-title&gt;Int J Mol Sci&lt;/secondary-title&gt;&lt;/titles&gt;&lt;pages&gt;984&lt;/pages&gt;&lt;number&gt;5&lt;/number&gt;&lt;contributors&gt;&lt;authors&gt;&lt;author&gt;Brings, S&lt;/author&gt;&lt;author&gt;Fleming, T&lt;/author&gt;&lt;author&gt;Freichel, M&lt;/author&gt;&lt;author&gt;Muckenthaler, M&lt;/author&gt;&lt;author&gt;Herzig, S&lt;/author&gt;&lt;author&gt;Nawroth, P&lt;/author&gt;&lt;/authors&gt;&lt;/contributors&gt;&lt;added-date format="utc"&gt;1598186309&lt;/added-date&gt;&lt;pub-location&gt;Switzerland&lt;/pub-location&gt;&lt;ref-type name="Journal Article"&gt;17&lt;/ref-type&gt;&lt;dates&gt;&lt;year&gt;2017&lt;/year&gt;&lt;/dates&gt;&lt;rec-number&gt;1318&lt;/rec-number&gt;&lt;publisher&gt;Switzerland: MDPI AG&lt;/publisher&gt;&lt;last-updated-date format="utc"&gt;1598186398&lt;/last-updated-date&gt;&lt;electronic-resource-num&gt;10.3390/ijms18050984&lt;/electronic-resource-num&gt;&lt;volume&gt;18&lt;/volume&gt;&lt;/record&gt;&lt;/Cite&gt;&lt;/EndNote&gt;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eastAsia="en-GB"/>
        </w:rPr>
        <w:t>(Brings et al., 2017)</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xml:space="preserve"> and timely </w:t>
      </w:r>
      <w:r w:rsidRPr="00AF0E0B">
        <w:rPr>
          <w:rFonts w:eastAsia="Arial Unicode MS" w:cs="Arial Unicode MS"/>
          <w:color w:val="000000"/>
          <w:u w:color="000000"/>
          <w:bdr w:val="nil"/>
          <w:lang w:val="en-US" w:eastAsia="en-GB"/>
        </w:rPr>
        <w:lastRenderedPageBreak/>
        <w:t xml:space="preserve">centrifuge and freezing avoids artefactual overestimation of MG by further breakdown of monosaccharides, glycated proteins and glycolytic intermediates after the sample has been collected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&gt;&lt;Author&gt;Rabbani&lt;/Author&gt;&lt;Year&gt;2014&lt;/Year&gt;&lt;RecNum&gt;1323&lt;/RecNum&gt;&lt;DisplayText&gt;(Rabbani and Thornalley, 2014, Brings et al., 2017)&lt;/DisplayText&gt;&lt;record&gt;&lt;dates&gt;&lt;pub-dates&gt;&lt;date&gt;Aug&lt;/date&gt;&lt;/pub-dates&gt;&lt;year&gt;2014&lt;/year&gt;&lt;/dates&gt;&lt;keywords&gt;&lt;keyword&gt;Animals&lt;/keyword&gt;&lt;keyword&gt;Brain&lt;/keyword&gt;&lt;keyword&gt;Cell Line&lt;/keyword&gt;&lt;keyword&gt;Chromatography, Liquid&lt;/keyword&gt;&lt;keyword&gt;Humans&lt;/keyword&gt;&lt;keyword&gt;Linear Models&lt;/keyword&gt;&lt;keyword&gt;Mice&lt;/keyword&gt;&lt;keyword&gt;Pyruvaldehyde&lt;/keyword&gt;&lt;keyword&gt;Tandem Mass Spectrometry&lt;/keyword&gt;&lt;/keywords&gt;&lt;urls&gt;&lt;related-urls&gt;&lt;url&gt;https://www.ncbi.nlm.nih.gov/pubmed/25058644&lt;/url&gt;&lt;/related-urls&gt;&lt;/urls&gt;&lt;isbn&gt;1750-2799&lt;/isbn&gt;&lt;titles&gt;&lt;title&gt;Measurement of methylglyoxal by stable isotopic dilution analysis LC-MS/MS with corroborative prediction in physiological samples&lt;/title&gt;&lt;secondary-title&gt;Nat Protoc&lt;/secondary-title&gt;&lt;/titles&gt;&lt;pages&gt;1969-79&lt;/pages&gt;&lt;number&gt;8&lt;/number&gt;&lt;contributors&gt;&lt;authors&gt;&lt;author&gt;Rabbani, N.&lt;/author&gt;&lt;author&gt;Thornalley, P. J.&lt;/author&gt;&lt;/authors&gt;&lt;/contributors&gt;&lt;edition&gt;2014/07/24&lt;/edition&gt;&lt;language&gt;eng&lt;/language&gt;&lt;added-date format="utc"&gt;1598206516&lt;/added-date&gt;&lt;ref-type name="Journal Article"&gt;17&lt;/ref-type&gt;&lt;rec-number&gt;1323&lt;/rec-number&gt;&lt;last-updated-date format="utc"&gt;1598206516&lt;/last-updated-date&gt;&lt;accession-num&gt;25058644&lt;/accession-num&gt;&lt;electronic-resource-num&gt;10.1038/nprot.2014.129&lt;/electronic-resource-num&gt;&lt;volume&gt;9&lt;/volume&gt;&lt;/record&gt;&lt;/Cite&gt;&lt;Cite  &gt;&lt;Author&gt;Brings&lt;/Author&gt;&lt;Year&gt;2017&lt;/Year&gt;&lt;RecNum&gt;1318&lt;/RecNum&gt;&lt;record&gt;&lt;keywords&gt;&lt;keyword&gt;Methylglyoxal&lt;/keyword&gt;&lt;keyword&gt;3-deoxyglucosone&lt;/keyword&gt;&lt;keyword&gt;Advanced glycation end-products&lt;/keyword&gt;&lt;keyword&gt;Aldose reductase&lt;/keyword&gt;&lt;keyword&gt;Glyoxalase&lt;/keyword&gt;&lt;keyword&gt;Diabetes&lt;/keyword&gt;&lt;keyword&gt;Glyoxal&lt;/keyword&gt;&lt;keyword&gt;Hypoglycemic Agents - therapeutic use&lt;/keyword&gt;&lt;keyword&gt;Animals&lt;/keyword&gt;&lt;keyword&gt;Glyoxal - metabolism&lt;/keyword&gt;&lt;keyword&gt;Diabetes Complications - metabolism&lt;/keyword&gt;&lt;keyword&gt;Glycation End Products, Advanced - metabolism&lt;/keyword&gt;&lt;keyword&gt;Humans&lt;/keyword&gt;&lt;keyword&gt;Diabetes Complications - drug therapy&lt;/keyword&gt;&lt;keyword&gt;Clinical Trials as Topic&lt;/keyword&gt;&lt;keyword&gt;Maillard Reaction - drug effects&lt;/keyword&gt;&lt;keyword&gt;Hypoglycemic Agents - pharmacology&lt;/keyword&gt;&lt;keyword&gt;Advanced glycosylation end products&lt;/keyword&gt;&lt;keyword&gt;Diabetes mellitus&lt;/keyword&gt;&lt;keyword&gt;Detoxification&lt;/keyword&gt;&lt;keyword&gt;Amino acids&lt;/keyword&gt;&lt;keyword&gt;Glycosylation&lt;/keyword&gt;&lt;keyword&gt;Glucose&lt;/keyword&gt;&lt;keyword&gt;Proteins&lt;/keyword&gt;&lt;keyword&gt;Pathways&lt;/keyword&gt;&lt;keyword&gt;DNA adducts&lt;/keyword&gt;&lt;keyword&gt;Pyruvaldehyde&lt;/keyword&gt;&lt;keyword&gt;Age&lt;/keyword&gt;&lt;keyword&gt;Deoxyribonucleic acid--DNA&lt;/keyword&gt;&lt;keyword&gt;Adducts&lt;/keyword&gt;&lt;/keywords&gt;&lt;isbn&gt;1422-0067&amp;#13;1661-6596&lt;/isbn&gt;&lt;titles&gt;&lt;title&gt;Dicarbonyls and Advanced Glycation End-Products in the Development of Diabetic Complications and Targets for Intervention&lt;/title&gt;&lt;secondary-title&gt;Int J Mol Sci&lt;/secondary-title&gt;&lt;/titles&gt;&lt;pages&gt;984&lt;/pages&gt;&lt;number&gt;5&lt;/number&gt;&lt;contributors&gt;&lt;authors&gt;&lt;author&gt;Brings, S&lt;/author&gt;&lt;author&gt;Fleming, T&lt;/author&gt;&lt;author&gt;Freichel, M&lt;/author&gt;&lt;author&gt;Muckenthaler, M&lt;/author&gt;&lt;author&gt;Herzig, S&lt;/author&gt;&lt;author&gt;Nawroth, P&lt;/author&gt;&lt;/authors&gt;&lt;/contributors&gt;&lt;added-date format="utc"&gt;1598186309&lt;/added-date&gt;&lt;pub-location&gt;Switzerland&lt;/pub-location&gt;&lt;ref-type name="Journal Article"&gt;17&lt;/ref-type&gt;&lt;dates&gt;&lt;year&gt;2017&lt;/year&gt;&lt;/dates&gt;&lt;rec-number&gt;1318&lt;/rec-number&gt;&lt;publisher&gt;Switzerland: MDPI AG&lt;/publisher&gt;&lt;last-updated-date format="utc"&gt;1598186398&lt;/last-updated-date&gt;&lt;electronic-resource-num&gt;10.3390/ijms18050984&lt;/electronic-resource-num&gt;&lt;volume&gt;18&lt;/volume&gt;&lt;/record&gt;&lt;/Cite&gt;&lt;/EndNote&gt;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val="it-IT" w:eastAsia="en-GB"/>
        </w:rPr>
        <w:t>(Rabbani and Thornalley, 2014, Brings et al., 2017)</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eastAsia="en-GB"/>
        </w:rPr>
        <w:t>.</w:t>
      </w:r>
    </w:p>
    <w:p w14:paraId="7C5559AA" w14:textId="77777777" w:rsidR="00AF0E0B" w:rsidRPr="00AF0E0B" w:rsidRDefault="00AF0E0B" w:rsidP="00AF0E0B">
      <w:pPr>
        <w:pBdr>
          <w:top w:val="nil"/>
          <w:left w:val="nil"/>
          <w:bottom w:val="nil"/>
          <w:right w:val="nil"/>
          <w:between w:val="nil"/>
          <w:bar w:val="nil"/>
        </w:pBdr>
        <w:spacing w:line="360" w:lineRule="auto"/>
        <w:rPr>
          <w:rFonts w:eastAsia="Arial" w:cs="Arial"/>
          <w:color w:val="000000"/>
          <w:u w:color="000000"/>
          <w:bdr w:val="nil"/>
          <w:lang w:eastAsia="en-GB"/>
        </w:rPr>
      </w:pPr>
      <w:r w:rsidRPr="00AF0E0B">
        <w:rPr>
          <w:rFonts w:eastAsia="Arial Unicode MS" w:cs="Arial Unicode MS"/>
          <w:color w:val="000000"/>
          <w:u w:color="000000"/>
          <w:bdr w:val="nil"/>
          <w:lang w:val="en-US" w:eastAsia="en-GB"/>
        </w:rPr>
        <w:t>Despite plasma methylglyoxal bearing no relation to measures of P-DPN, plasma glucose levels were significantly associated with DN4 score, retinopathy score and O’</w:t>
      </w:r>
      <w:r w:rsidRPr="00AF0E0B">
        <w:rPr>
          <w:rFonts w:eastAsia="Arial Unicode MS" w:cs="Arial Unicode MS"/>
          <w:color w:val="000000"/>
          <w:u w:color="000000"/>
          <w:bdr w:val="nil"/>
          <w:lang w:val="de-DE" w:eastAsia="en-GB"/>
        </w:rPr>
        <w:t>Brien</w:t>
      </w:r>
      <w:r w:rsidRPr="00AF0E0B">
        <w:rPr>
          <w:rFonts w:eastAsia="Arial Unicode MS" w:cs="Arial Unicode MS"/>
          <w:color w:val="000000"/>
          <w:u w:color="000000"/>
          <w:bdr w:val="nil"/>
          <w:lang w:val="en-US" w:eastAsia="en-GB"/>
        </w:rPr>
        <w:t>’s score.  This association would support the notion that high blood glucose levels could lead to high levels of toxic glucose metabolites which could lead to modification of the Na</w:t>
      </w:r>
      <w:r w:rsidRPr="00AF0E0B">
        <w:rPr>
          <w:rFonts w:eastAsia="Arial Unicode MS" w:cs="Arial Unicode MS"/>
          <w:color w:val="000000"/>
          <w:u w:color="000000"/>
          <w:bdr w:val="nil"/>
          <w:vertAlign w:val="subscript"/>
          <w:lang w:eastAsia="en-GB"/>
        </w:rPr>
        <w:t>v</w:t>
      </w:r>
      <w:r w:rsidRPr="00AF0E0B">
        <w:rPr>
          <w:rFonts w:eastAsia="Arial Unicode MS" w:cs="Arial Unicode MS"/>
          <w:color w:val="000000"/>
          <w:u w:color="000000"/>
          <w:bdr w:val="nil"/>
          <w:lang w:val="en-US" w:eastAsia="en-GB"/>
        </w:rPr>
        <w:t xml:space="preserve">1.8 channel within a short time frame.  Unfortunately, high levels of blood glucose did not correspond with high levels of measured serum methylglyoxal, which meant we could not associate methylglyoxal with these effects.  </w:t>
      </w:r>
    </w:p>
    <w:p w14:paraId="59718103" w14:textId="77777777" w:rsidR="00932092" w:rsidRDefault="00AF0E0B" w:rsidP="00AF0E0B">
      <w:pPr>
        <w:pBdr>
          <w:top w:val="nil"/>
          <w:left w:val="nil"/>
          <w:bottom w:val="nil"/>
          <w:right w:val="nil"/>
          <w:between w:val="nil"/>
          <w:bar w:val="nil"/>
        </w:pBdr>
        <w:spacing w:line="360" w:lineRule="auto"/>
        <w:rPr>
          <w:rFonts w:eastAsia="Arial Unicode MS" w:cs="Arial Unicode MS"/>
          <w:color w:val="000000"/>
          <w:u w:color="000000"/>
          <w:bdr w:val="nil"/>
          <w:lang w:val="en-US" w:eastAsia="en-GB"/>
        </w:rPr>
      </w:pPr>
      <w:r w:rsidRPr="00AF0E0B">
        <w:rPr>
          <w:rFonts w:eastAsia="Arial Unicode MS" w:cs="Arial Unicode MS"/>
          <w:color w:val="000000"/>
          <w:u w:color="000000"/>
          <w:bdr w:val="nil"/>
          <w:lang w:val="en-US" w:eastAsia="en-GB"/>
        </w:rPr>
        <w:t xml:space="preserve">Perhaps methylglyoxal is still important but needs to be measured by a different method. Skin levels of methylglyoxal derived compounds have been studied retrospectively and prospectively.  In the OSLO study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&gt;&lt;Author&gt;Sveen&lt;/Author&gt;&lt;Year&gt;2013&lt;/Year&gt;&lt;DisplayText&gt;(Sveen et al., 2013)&lt;/DisplayText&gt;&lt;record&gt;&lt;keywords&gt;&lt;keyword&gt;Medicine&lt;/keyword&gt;&lt;/keywords&gt;&lt;isbn&gt;01495992&lt;/isbn&gt;&lt;titles&gt;&lt;title&gt;Small- and large-fiber neuropathy after 40 years of type 1 diabetes: Associations with glycem ic control andadvanced protein glycation: The Oslo Study&lt;/title&gt;&lt;secondary-title&gt;Diabetes Care&lt;/secondary-title&gt;&lt;/titles&gt;&lt;pages&gt;3712-3717&lt;/pages&gt;&lt;number&gt;11&lt;/number&gt;&lt;contributors&gt;&lt;authors&gt;&lt;author&gt;Sveen, K. A.&lt;/author&gt;&lt;author&gt;Karimé, B.&lt;/author&gt;&lt;author&gt;Jørum, E.&lt;/author&gt;&lt;author&gt;Mellgren, S. I.&lt;/author&gt;&lt;author&gt;Fagerland, M. W.&lt;/author&gt;&lt;author&gt;Monnier, V. M.&lt;/author&gt;&lt;author&gt;Dahl-Jørgensen, K.&lt;/author&gt;&lt;author&gt;Hanssen, K. F.&lt;/author&gt;&lt;/authors&gt;&lt;/contributors&gt;&lt;added-date format="utc"&gt;1571500527&lt;/added-date&gt;&lt;ref-type name="Journal Article"&gt;17&lt;/ref-type&gt;&lt;dates&gt;&lt;year&gt;2013&lt;/year&gt;&lt;/dates&gt;&lt;rec-number&gt;1167&lt;/rec-number&gt;&lt;last-updated-date format="utc"&gt;1571500527&lt;/last-updated-date&gt;&lt;electronic-resource-num&gt;10.2337/dc13-0788&lt;/electronic-resource-num&gt;&lt;volume&gt;36&lt;/volume&gt;&lt;/record&gt;&lt;/Cite&gt;&lt;/EndNote&gt;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eastAsia="en-GB"/>
        </w:rPr>
        <w:t>(Sveen et al., 2013)</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xml:space="preserve"> methylglyoxal derived hydroimidazolone from skin biopsy was found to be prospectively correlated with WDT and HPT in the foot, and HPT over the knee.  However, methylglyoxal was not correlated with large </w:t>
      </w:r>
      <w:proofErr w:type="spellStart"/>
      <w:r w:rsidRPr="00AF0E0B">
        <w:rPr>
          <w:rFonts w:eastAsia="Arial Unicode MS" w:cs="Arial Unicode MS"/>
          <w:color w:val="000000"/>
          <w:u w:color="000000"/>
          <w:bdr w:val="nil"/>
          <w:lang w:val="en-US" w:eastAsia="en-GB"/>
        </w:rPr>
        <w:t>fibre</w:t>
      </w:r>
      <w:proofErr w:type="spellEnd"/>
      <w:r w:rsidRPr="00AF0E0B">
        <w:rPr>
          <w:rFonts w:eastAsia="Arial Unicode MS" w:cs="Arial Unicode MS"/>
          <w:color w:val="000000"/>
          <w:u w:color="000000"/>
          <w:bdr w:val="nil"/>
          <w:lang w:val="en-US" w:eastAsia="en-GB"/>
        </w:rPr>
        <w:t xml:space="preserve"> or small </w:t>
      </w:r>
      <w:proofErr w:type="spellStart"/>
      <w:r w:rsidRPr="00AF0E0B">
        <w:rPr>
          <w:rFonts w:eastAsia="Arial Unicode MS" w:cs="Arial Unicode MS"/>
          <w:color w:val="000000"/>
          <w:u w:color="000000"/>
          <w:bdr w:val="nil"/>
          <w:lang w:val="en-US" w:eastAsia="en-GB"/>
        </w:rPr>
        <w:t>fibre</w:t>
      </w:r>
      <w:proofErr w:type="spellEnd"/>
      <w:r w:rsidRPr="00AF0E0B">
        <w:rPr>
          <w:rFonts w:eastAsia="Arial Unicode MS" w:cs="Arial Unicode MS"/>
          <w:color w:val="000000"/>
          <w:u w:color="000000"/>
          <w:bdr w:val="nil"/>
          <w:lang w:val="en-US" w:eastAsia="en-GB"/>
        </w:rPr>
        <w:t xml:space="preserve"> objective measures of neuropathy in this study, and only five patients out of the 27 in the study reported symptoms of painful neuropathy.  </w:t>
      </w:r>
    </w:p>
    <w:p w14:paraId="715DC751" w14:textId="16586D9B" w:rsidR="00AF0E0B" w:rsidRPr="00AF0E0B" w:rsidRDefault="00AF0E0B" w:rsidP="00AF0E0B">
      <w:pPr>
        <w:pBdr>
          <w:top w:val="nil"/>
          <w:left w:val="nil"/>
          <w:bottom w:val="nil"/>
          <w:right w:val="nil"/>
          <w:between w:val="nil"/>
          <w:bar w:val="nil"/>
        </w:pBdr>
        <w:spacing w:line="360" w:lineRule="auto"/>
        <w:rPr>
          <w:rFonts w:eastAsia="Arial" w:cs="Arial"/>
          <w:color w:val="000000"/>
          <w:u w:color="000000"/>
          <w:bdr w:val="nil"/>
          <w:lang w:eastAsia="en-GB"/>
        </w:rPr>
      </w:pPr>
      <w:r w:rsidRPr="00AF0E0B">
        <w:rPr>
          <w:rFonts w:eastAsia="Arial Unicode MS" w:cs="Arial Unicode MS"/>
          <w:color w:val="000000"/>
          <w:u w:color="000000"/>
          <w:bdr w:val="nil"/>
          <w:lang w:val="en-US" w:eastAsia="en-GB"/>
        </w:rPr>
        <w:t xml:space="preserve">There is still a question to be answered regarding the effect of methylglyoxal on the CNS in those with P-DPN, as methylglyoxal is thought to be neurotoxic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&gt;&lt;Author&gt;Allaman&lt;/Author&gt;&lt;Year&gt;2015&lt;/Year&gt;&lt;DisplayText&gt;(Allaman et al., 2015)&lt;/DisplayText&gt;&lt;record&gt;&lt;keywords&gt;&lt;keyword&gt;Advanced-Glycation End-Products (Ages)&lt;/keyword&gt;&lt;keyword&gt;Astrocyte&lt;/keyword&gt;&lt;keyword&gt;Glutathione&lt;/keyword&gt;&lt;keyword&gt;Methylglyoxal&lt;/keyword&gt;&lt;keyword&gt;Neuron&lt;/keyword&gt;&lt;keyword&gt;Triosephosphate&lt;/keyword&gt;&lt;/keywords&gt;&lt;isbn&gt;1662-4548&lt;/isbn&gt;&lt;titles&gt;&lt;title&gt;Methylglyoxal, the dark side of glycolysis&lt;/title&gt;&lt;secondary-title&gt;Frontiers in neuroscience&lt;/secondary-title&gt;&lt;/titles&gt;&lt;pages&gt;23-23&lt;/pages&gt;&lt;contributors&gt;&lt;authors&gt;&lt;author&gt;Allaman, Igor&lt;/author&gt;&lt;author&gt;Bélanger, Mireille&lt;/author&gt;&lt;author&gt;Magistretti, Pierre J.&lt;/author&gt;&lt;/authors&gt;&lt;/contributors&gt;&lt;added-date format="utc"&gt;1572960180&lt;/added-date&gt;&lt;ref-type name="Journal Article"&gt;17&lt;/ref-type&gt;&lt;dates&gt;&lt;year&gt;2015&lt;/year&gt;&lt;/dates&gt;&lt;rec-number&gt;1171&lt;/rec-number&gt;&lt;last-updated-date format="utc"&gt;1572960180&lt;/last-updated-date&gt;&lt;contributors&gt;&lt;secondary-authors&gt;&lt;author&gt;Allaman, Igor&lt;/author&gt;&lt;/secondary-authors&gt;&lt;/contributors&gt;&lt;electronic-resource-num&gt;10.3389/fnins.2015.00023&lt;/electronic-resource-num&gt;&lt;volume&gt;9&lt;/volume&gt;&lt;/record&gt;&lt;/Cite&gt;&lt;/EndNote&gt;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eastAsia="en-GB"/>
        </w:rPr>
        <w:t>(Allaman et al., 2015)</w:t>
      </w:r>
      <w:r w:rsidRPr="00AF0E0B">
        <w:rPr>
          <w:rFonts w:eastAsia="Arial" w:cs="Arial"/>
          <w:color w:val="000000"/>
          <w:u w:color="000000"/>
          <w:bdr w:val="nil"/>
          <w:lang w:eastAsia="en-GB"/>
        </w:rPr>
        <w:fldChar w:fldCharType="end"/>
      </w:r>
      <w:r w:rsidRPr="00AF0E0B">
        <w:rPr>
          <w:rFonts w:eastAsia="Arial" w:cs="Arial"/>
          <w:color w:val="000000"/>
          <w:u w:color="000000"/>
          <w:bdr w:val="nil"/>
          <w:lang w:eastAsia="en-GB"/>
        </w:rPr>
        <w:t xml:space="preserve"> </w:t>
      </w:r>
      <w:r w:rsidRPr="00AF0E0B">
        <w:rPr>
          <w:rFonts w:eastAsia="Arial Unicode MS" w:cs="Arial Unicode MS"/>
          <w:color w:val="000000"/>
          <w:u w:color="000000"/>
          <w:bdr w:val="nil"/>
          <w:lang w:val="en-US" w:eastAsia="en-GB"/>
        </w:rPr>
        <w:t xml:space="preserve">and could interfere with the blood brain barrier </w:t>
      </w:r>
      <w:r w:rsidRPr="00AF0E0B">
        <w:rPr>
          <w:rFonts w:eastAsia="Arial Unicode MS" w:cs="Arial Unicode MS"/>
          <w:color w:val="000000"/>
          <w:u w:color="000000"/>
          <w:bdr w:val="nil"/>
          <w:lang w:val="en-US" w:eastAsia="en-GB"/>
        </w:rPr>
        <w:fldChar w:fldCharType="begin">
          <w:fldData xml:space="preserve">PEVuZE5vdGU+PENpdGU+PEF1dGhvcj5MaTwvQXV0aG9yPjxZZWFyPjIwMTU8L1llYXI+PElEVGV4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</w:fldData>
        </w:fldChar>
      </w:r>
      <w:r w:rsidRPr="00AF0E0B">
        <w:rPr>
          <w:rFonts w:eastAsia="Arial Unicode MS" w:cs="Arial Unicode MS"/>
          <w:color w:val="000000"/>
          <w:u w:color="000000"/>
          <w:bdr w:val="nil"/>
          <w:lang w:val="en-US" w:eastAsia="en-GB"/>
        </w:rPr>
        <w:instrText xml:space="preserve"> ADDIN EN.CITE </w:instrText>
      </w:r>
      <w:r w:rsidRPr="00AF0E0B">
        <w:rPr>
          <w:rFonts w:eastAsia="Arial Unicode MS" w:cs="Arial Unicode MS"/>
          <w:color w:val="000000"/>
          <w:u w:color="000000"/>
          <w:bdr w:val="nil"/>
          <w:lang w:val="en-US" w:eastAsia="en-GB"/>
        </w:rPr>
        <w:fldChar w:fldCharType="begin">
          <w:fldData xml:space="preserve">PEVuZE5vdGU+PENpdGU+PEF1dGhvcj5MaTwvQXV0aG9yPjxZZWFyPjIwMTU8L1llYXI+PElEVGV4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</w:fldData>
        </w:fldChar>
      </w:r>
      <w:r w:rsidRPr="00AF0E0B">
        <w:rPr>
          <w:rFonts w:eastAsia="Arial Unicode MS" w:cs="Arial Unicode MS"/>
          <w:color w:val="000000"/>
          <w:u w:color="000000"/>
          <w:bdr w:val="nil"/>
          <w:lang w:val="en-US" w:eastAsia="en-GB"/>
        </w:rPr>
        <w:instrText xml:space="preserve"> ADDIN EN.CITE.DATA </w:instrText>
      </w:r>
      <w:r w:rsidRPr="00AF0E0B">
        <w:rPr>
          <w:rFonts w:eastAsia="Arial Unicode MS" w:cs="Arial Unicode MS"/>
          <w:color w:val="000000"/>
          <w:u w:color="000000"/>
          <w:bdr w:val="nil"/>
          <w:lang w:val="en-US" w:eastAsia="en-GB"/>
        </w:rPr>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r>
      <w:r w:rsidRPr="00AF0E0B">
        <w:rPr>
          <w:rFonts w:eastAsia="Arial Unicode MS" w:cs="Arial Unicode MS"/>
          <w:color w:val="000000"/>
          <w:u w:color="000000"/>
          <w:bdr w:val="nil"/>
          <w:lang w:val="en-US" w:eastAsia="en-GB"/>
        </w:rPr>
        <w:fldChar w:fldCharType="separate"/>
      </w:r>
      <w:r w:rsidRPr="00AF0E0B">
        <w:rPr>
          <w:rFonts w:eastAsia="Arial Unicode MS" w:cs="Arial Unicode MS"/>
          <w:noProof/>
          <w:color w:val="000000"/>
          <w:u w:color="000000"/>
          <w:bdr w:val="nil"/>
          <w:lang w:val="en-US" w:eastAsia="en-GB"/>
        </w:rPr>
        <w:t>(Li et al., 2015)</w:t>
      </w:r>
      <w:r w:rsidRPr="00AF0E0B">
        <w:rPr>
          <w:rFonts w:eastAsia="Arial Unicode MS" w:cs="Arial Unicode MS"/>
          <w:color w:val="000000"/>
          <w:u w:color="000000"/>
          <w:bdr w:val="nil"/>
          <w:lang w:val="en-US" w:eastAsia="en-GB"/>
        </w:rPr>
        <w:fldChar w:fldCharType="end"/>
      </w:r>
      <w:r w:rsidRPr="00AF0E0B">
        <w:rPr>
          <w:rFonts w:eastAsia="Arial Unicode MS" w:cs="Arial Unicode MS"/>
          <w:color w:val="000000"/>
          <w:u w:color="000000"/>
          <w:bdr w:val="nil"/>
          <w:lang w:val="en-US" w:eastAsia="en-GB"/>
        </w:rPr>
        <w:t xml:space="preserve">.  This question may be better answered with prospective multiple measurements of methylglyoxal, given its volatile nature, and correlation with other AGE (advanced glycation end-products) measured by skin biopsy or nerve biopsy.  </w:t>
      </w:r>
    </w:p>
    <w:p w14:paraId="61C6591E" w14:textId="78128C5A" w:rsidR="00AF0E0B" w:rsidRPr="00AF0E0B" w:rsidRDefault="00AF0E0B" w:rsidP="00AF0E0B">
      <w:pPr>
        <w:pBdr>
          <w:top w:val="nil"/>
          <w:left w:val="nil"/>
          <w:bottom w:val="nil"/>
          <w:right w:val="nil"/>
          <w:between w:val="nil"/>
          <w:bar w:val="nil"/>
        </w:pBdr>
        <w:spacing w:line="360" w:lineRule="auto"/>
        <w:rPr>
          <w:rFonts w:eastAsia="Arial" w:cs="Arial"/>
          <w:color w:val="000000"/>
          <w:u w:color="000000"/>
          <w:bdr w:val="nil"/>
          <w:lang w:eastAsia="en-GB"/>
        </w:rPr>
      </w:pPr>
      <w:r w:rsidRPr="00AF0E0B">
        <w:rPr>
          <w:rFonts w:eastAsia="Arial Unicode MS" w:cs="Arial Unicode MS"/>
          <w:color w:val="000000"/>
          <w:u w:color="000000"/>
          <w:bdr w:val="nil"/>
          <w:lang w:val="en-US" w:eastAsia="en-GB"/>
        </w:rPr>
        <w:t>In our study, discriminant function analysis showed that QST measures are able to differentiate the participants with neuropathy from the participants without neuropathy.  Function 1 in the discriminant analysis describes TSL, CDT, VDT, WDT, MPT, CPT and MDT as differentiators between neuropathy and non-neuropathy.  This is a loss of sensation function similar to that reported previously</w:t>
      </w:r>
      <w:r w:rsidR="002129F7">
        <w:rPr>
          <w:rFonts w:eastAsia="Arial Unicode MS" w:cs="Arial Unicode MS"/>
          <w:color w:val="000000"/>
          <w:u w:color="000000"/>
          <w:bdr w:val="nil"/>
          <w:lang w:val="en-US" w:eastAsia="en-GB"/>
        </w:rPr>
        <w:t xml:space="preserve"> as the most common phenotype in diabetic neuropathy</w:t>
      </w:r>
      <w:r w:rsidRPr="00AF0E0B">
        <w:rPr>
          <w:rFonts w:eastAsia="Arial Unicode MS" w:cs="Arial Unicode MS"/>
          <w:color w:val="000000"/>
          <w:u w:color="000000"/>
          <w:bdr w:val="nil"/>
          <w:lang w:val="en-US" w:eastAsia="en-GB"/>
        </w:rPr>
        <w:t xml:space="preserve">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&gt;&lt;Author&gt;Vollert&lt;/Author&gt;&lt;Year&gt;2017&lt;/Year&gt;&lt;DisplayText&gt;(Vollert et al., 2017, Baron et al., 2017)&lt;/DisplayText&gt;&lt;record&gt;&lt;titles&gt;&lt;title&gt;Stratifying patients with peripheral neuropathic pain based on sensory profiles: algorithm and sample size recommendations&lt;/title&gt;&lt;/titles&gt;&lt;contributors&gt;&lt;authors&gt;&lt;author&gt;Vollert, J.&lt;/author&gt;&lt;author&gt;Maier, C.&lt;/author&gt;&lt;author&gt;Attal, N.&lt;/author&gt;&lt;author&gt;Bennett, D. L. H.&lt;/author&gt;&lt;author&gt;Bouhassira, D.&lt;/author&gt;&lt;author&gt;Enax-Krumova, E. K.&lt;/author&gt;&lt;author&gt;Finnerup, N. B.&lt;/author&gt;&lt;author&gt;Freynhagen, R.&lt;/author&gt;&lt;author&gt;Gierthmühlen, J.&lt;/author&gt;&lt;author&gt;Haanpää, M.&lt;/author&gt;&lt;author&gt;Hansson, P.&lt;/author&gt;&lt;author&gt;Hüllemann, P.&lt;/author&gt;&lt;author&gt;Jensen, T. S.&lt;/author&gt;&lt;author&gt;Magerl, W.&lt;/author&gt;&lt;author&gt;Ramirez, J. D.&lt;/author&gt;&lt;author&gt;Rice, A. S. C.&lt;/author&gt;&lt;author&gt;Schuh-Hofer, S.&lt;/author&gt;&lt;author&gt;Segerdahl, M.&lt;/author&gt;&lt;author&gt;Serra, J.&lt;/author&gt;&lt;author&gt;Shillo, P. R.&lt;/author&gt;&lt;author&gt;Sindrup, S.&lt;/author&gt;&lt;author&gt;Tesfaye, S.&lt;/author&gt;&lt;author&gt;Themistocleous, A. C.&lt;/author&gt;&lt;author&gt;Tölle, T. R.&lt;/author&gt;&lt;author&gt;Treede, R. D.&lt;/author&gt;&lt;author&gt;Baron, R.&lt;/author&gt;&lt;/authors&gt;&lt;/contributors&gt;&lt;added-date format="utc"&gt;1598198409&lt;/added-date&gt;&lt;ref-type name="Journal Article"&gt;17&lt;/ref-type&gt;&lt;dates&gt;&lt;year&gt;2017&lt;/year&gt;&lt;/dates&gt;&lt;rec-number&gt;1320&lt;/rec-number&gt;&lt;publisher&gt;Lippincott, Williams &amp;amp; Wilkins&lt;/publisher&gt;&lt;last-updated-date format="utc"&gt;1598198454&lt;/last-updated-date&gt;&lt;electronic-resource-num&gt;10.1097/j.pain.0000000000000935&lt;/electronic-resource-num&gt;&lt;/record&gt;&lt;/Cite&gt;&lt;Cite  &gt;&lt;Author&gt;Baron&lt;/Author&gt;&lt;Year&gt;2017&lt;/Year&gt;&lt;record&gt;&lt;dates&gt;&lt;pub-dates&gt;&lt;date&gt;02&lt;/date&gt;&lt;/pub-dates&gt;&lt;year&gt;2017&lt;/year&gt;&lt;/dates&gt;&lt;keywords&gt;&lt;keyword&gt;Adult&lt;/keyword&gt;&lt;keyword&gt;Aged&lt;/keyword&gt;&lt;keyword&gt;Cluster Analysis&lt;/keyword&gt;&lt;keyword&gt;Cohort Studies&lt;/keyword&gt;&lt;keyword&gt;Databases, Factual&lt;/keyword&gt;&lt;keyword&gt;Europe&lt;/keyword&gt;&lt;keyword&gt;Female&lt;/keyword&gt;&lt;keyword&gt;Humans&lt;/keyword&gt;&lt;keyword&gt;Hyperalgesia&lt;/keyword&gt;&lt;keyword&gt;International Cooperation&lt;/keyword&gt;&lt;keyword&gt;Male&lt;/keyword&gt;&lt;keyword&gt;Middle Aged&lt;/keyword&gt;&lt;keyword&gt;Neuralgia&lt;/keyword&gt;&lt;keyword&gt;Pain Measurement&lt;/keyword&gt;&lt;keyword&gt;Pain Threshold&lt;/keyword&gt;&lt;keyword&gt;Surveys and Questionnaires&lt;/keyword&gt;&lt;/keywords&gt;&lt;urls&gt;&lt;related-urls&gt;&lt;url&gt;https://www.ncbi.nlm.nih.gov/pubmed/27893485&lt;/url&gt;&lt;/related-urls&gt;&lt;/urls&gt;&lt;isbn&gt;1872-6623&lt;/isbn&gt;&lt;custom2&gt;PMC5266425&lt;/custom2&gt;&lt;titles&gt;&lt;title&gt;Peripheral neuropathic pain: a mechanism-related organizing principle based on sensory profiles&lt;/title&gt;&lt;secondary-title&gt;Pain&lt;/secondary-title&gt;&lt;/titles&gt;&lt;pages&gt;261-272&lt;/pages&gt;&lt;number&gt;2&lt;/number&gt;&lt;contributors&gt;&lt;authors&gt;&lt;author&gt;Baron, R.&lt;/author&gt;&lt;author&gt;Maier, C.&lt;/author&gt;&lt;author&gt;Attal, N.&lt;/author&gt;&lt;author&gt;Binder, A.&lt;/author&gt;&lt;author&gt;Bouhassira, D.&lt;/author&gt;&lt;author&gt;Cruccu, G.&lt;/author&gt;&lt;author&gt;Finnerup, N. B.&lt;/author&gt;&lt;author&gt;Haanpää, M.&lt;/author&gt;&lt;author&gt;Hansson, P.&lt;/author&gt;&lt;author&gt;Hüllemann, P.&lt;/author&gt;&lt;author&gt;Jensen, T. S.&lt;/author&gt;&lt;author&gt;Freynhagen, R.&lt;/author&gt;&lt;author&gt;Kennedy, J. D.&lt;/author&gt;&lt;author&gt;Magerl, W.&lt;/author&gt;&lt;author&gt;Mainka, T.&lt;/author&gt;&lt;author&gt;Reimer, M.&lt;/author&gt;&lt;author&gt;Rice, A. S.&lt;/author&gt;&lt;author&gt;Segerdahl, M.&lt;/author&gt;&lt;author&gt;Serra, J.&lt;/author&gt;&lt;author&gt;Sindrup, S.&lt;/author&gt;&lt;author&gt;Sommer, C.&lt;/author&gt;&lt;author&gt;Tölle, T.&lt;/author&gt;&lt;author&gt;Vollert, J.&lt;/author&gt;&lt;author&gt;Treede, R. D.&lt;/author&gt;&lt;/authors&gt;&lt;/contributors&gt;&lt;language&gt;eng&lt;/language&gt;&lt;added-date format="utc"&gt;1598199182&lt;/added-date&gt;&lt;ref-type name="Journal Article"&gt;17&lt;/ref-type&gt;&lt;rec-number&gt;1321&lt;/rec-number&gt;&lt;last-updated-date format="utc"&gt;1598199182&lt;/last-updated-date&gt;&lt;accession-num&gt;27893485&lt;/accession-num&gt;&lt;electronic-resource-num&gt;10.1097/j.pain.0000000000000753&lt;/electronic-resource-num&gt;&lt;volume&gt;158&lt;/volume&gt;&lt;/record&gt;&lt;/Cite&gt;&lt;/EndNote&gt;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eastAsia="en-GB"/>
        </w:rPr>
        <w:t>(Vollert et al., 2017, Baron et al., 2017)</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eastAsia="en-GB"/>
        </w:rPr>
        <w:t xml:space="preserve">.  </w:t>
      </w:r>
    </w:p>
    <w:p w14:paraId="1155CB7D" w14:textId="64569128" w:rsidR="00AF0E0B" w:rsidRPr="00AF0E0B" w:rsidRDefault="00AF0E0B" w:rsidP="00AF0E0B">
      <w:pPr>
        <w:pBdr>
          <w:top w:val="nil"/>
          <w:left w:val="nil"/>
          <w:bottom w:val="nil"/>
          <w:right w:val="nil"/>
          <w:between w:val="nil"/>
          <w:bar w:val="nil"/>
        </w:pBdr>
        <w:spacing w:line="360" w:lineRule="auto"/>
        <w:rPr>
          <w:rFonts w:eastAsia="Arial" w:cs="Arial"/>
          <w:color w:val="000000"/>
          <w:u w:color="000000"/>
          <w:bdr w:val="nil"/>
          <w:lang w:eastAsia="en-GB"/>
        </w:rPr>
      </w:pPr>
      <w:r w:rsidRPr="00AF0E0B">
        <w:rPr>
          <w:rFonts w:eastAsia="Arial Unicode MS" w:cs="Arial Unicode MS"/>
          <w:color w:val="000000"/>
          <w:u w:color="000000"/>
          <w:bdr w:val="nil"/>
          <w:lang w:val="en-US" w:eastAsia="en-GB"/>
        </w:rPr>
        <w:t xml:space="preserve">Function 2 in the discriminant function analysis does to some extent differentiate between painful and painless neuropathy.  The components of this function contain parameters that are associated with central </w:t>
      </w:r>
      <w:proofErr w:type="spellStart"/>
      <w:r w:rsidRPr="00AF0E0B">
        <w:rPr>
          <w:rFonts w:eastAsia="Arial Unicode MS" w:cs="Arial Unicode MS"/>
          <w:color w:val="000000"/>
          <w:u w:color="000000"/>
          <w:bdr w:val="nil"/>
          <w:lang w:val="en-US" w:eastAsia="en-GB"/>
        </w:rPr>
        <w:t>sensitisation</w:t>
      </w:r>
      <w:proofErr w:type="spellEnd"/>
      <w:r w:rsidRPr="00AF0E0B">
        <w:rPr>
          <w:rFonts w:eastAsia="Arial Unicode MS" w:cs="Arial Unicode MS"/>
          <w:color w:val="000000"/>
          <w:u w:color="000000"/>
          <w:bdr w:val="nil"/>
          <w:lang w:val="en-US" w:eastAsia="en-GB"/>
        </w:rPr>
        <w:t xml:space="preserve"> or the mechanical hyperalgesia phenotype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&gt;&lt;Author&gt;Vollert&lt;/Author&gt;&lt;Year&gt;2017&lt;/Year&gt;&lt;DisplayText&gt;(Vollert et al., 2017)&lt;/DisplayText&gt;&lt;record&gt;&lt;titles&gt;&lt;title&gt;Stratifying patients with peripheral neuropathic pain based on sensory profiles: algorithm and sample size recommendations&lt;/title&gt;&lt;/titles&gt;&lt;contributors&gt;&lt;authors&gt;&lt;author&gt;Vollert, J.&lt;/author&gt;&lt;author&gt;Maier, C.&lt;/author&gt;&lt;author&gt;Attal, N.&lt;/author&gt;&lt;author&gt;Bennett, D. L. H.&lt;/author&gt;&lt;author&gt;Bouhassira, D.&lt;/author&gt;&lt;author&gt;Enax-Krumova, E. K.&lt;/author&gt;&lt;author&gt;Finnerup, N. B.&lt;/author&gt;&lt;author&gt;Freynhagen, R.&lt;/author&gt;&lt;author&gt;Gierthmühlen, J.&lt;/author&gt;&lt;author&gt;Haanpää, M.&lt;/author&gt;&lt;author&gt;Hansson, P.&lt;/author&gt;&lt;author&gt;Hüllemann, P.&lt;/author&gt;&lt;author&gt;Jensen, T. S.&lt;/author&gt;&lt;author&gt;Magerl, W.&lt;/author&gt;&lt;author&gt;Ramirez, J. D.&lt;/author&gt;&lt;author&gt;Rice, A. S. C.&lt;/author&gt;&lt;author&gt;Schuh-Hofer, S.&lt;/author&gt;&lt;author&gt;Segerdahl, M.&lt;/author&gt;&lt;author&gt;Serra, J.&lt;/author&gt;&lt;author&gt;Shillo, P. R.&lt;/author&gt;&lt;author&gt;Sindrup, S.&lt;/author&gt;&lt;author&gt;Tesfaye, S.&lt;/author&gt;&lt;author&gt;Themistocleous, A. C.&lt;/author&gt;&lt;author&gt;Tölle, T. R.&lt;/author&gt;&lt;author&gt;Treede, R. D.&lt;/author&gt;&lt;author&gt;Baron, R.&lt;/author&gt;&lt;/authors&gt;&lt;/contributors&gt;&lt;added-date format="utc"&gt;1598198409&lt;/added-date&gt;&lt;ref-type name="Journal Article"&gt;17&lt;/ref-type&gt;&lt;dates&gt;&lt;year&gt;2017&lt;/year&gt;&lt;/dates&gt;&lt;rec-number&gt;1320&lt;/rec-number&gt;&lt;publisher&gt;Lippincott, Williams &amp;amp; Wilkins&lt;/publisher&gt;&lt;last-updated-date format="utc"&gt;1598198454&lt;/last-updated-date&gt;&lt;electronic-resource-num&gt;10.1097/j.pain.0000000000000935&lt;/electronic-resource-num&gt;&lt;/record&gt;&lt;/Cite&gt;&lt;/EndNote&gt;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eastAsia="en-GB"/>
        </w:rPr>
        <w:t>(Vollert et al., 2017)</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xml:space="preserve">, and therefore may shed some light on the </w:t>
      </w:r>
      <w:r w:rsidRPr="00AF0E0B">
        <w:rPr>
          <w:rFonts w:eastAsia="Arial Unicode MS" w:cs="Arial Unicode MS"/>
          <w:color w:val="000000"/>
          <w:u w:color="000000"/>
          <w:bdr w:val="nil"/>
          <w:lang w:val="en-US" w:eastAsia="en-GB"/>
        </w:rPr>
        <w:lastRenderedPageBreak/>
        <w:t xml:space="preserve">pathogenesis of P-DPN. In function 2 WUR was higher in DPN and lowest in P-DPN.  Wind up ratio is a ratio of the pain intensity rating of a single painful mechanical stimulus, to the pain intensity rating of a series of stimuli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&gt;&lt;Author&gt;Rolke&lt;/Author&gt;&lt;Year&gt;2006&lt;/Year&gt;&lt;RecNum&gt;700&lt;/RecNum&gt;&lt;DisplayText&gt;(Rolke et al., 2006b)&lt;/DisplayText&gt;&lt;record&gt;&lt;dates&gt;&lt;pub-dates&gt;&lt;date&gt;Jan&lt;/date&gt;&lt;/pub-dates&gt;&lt;year&gt;2006&lt;/year&gt;&lt;/dates&gt;&lt;urls&gt;&lt;related-urls&gt;&lt;url&gt;&amp;lt;Go to ISI&amp;gt;://WOS:000233656700009&lt;/url&gt;&lt;/related-urls&gt;&lt;/urls&gt;&lt;isbn&gt;1090-3801&lt;/isbn&gt;&lt;titles&gt;&lt;title&gt;Quantitative sensory testing: a comprehensive protocol for clinical trials&lt;/title&gt;&lt;secondary-title&gt;European Journal of Pain&lt;/secondary-title&gt;&lt;/titles&gt;&lt;pages&gt;77-88&lt;/pages&gt;&lt;number&gt;1&lt;/number&gt;&lt;contributors&gt;&lt;authors&gt;&lt;author&gt;Rolke, R.&lt;/author&gt;&lt;author&gt;Magerl, W.&lt;/author&gt;&lt;author&gt;Campbell, K. A.&lt;/author&gt;&lt;author&gt;Schalber, C.&lt;/author&gt;&lt;author&gt;Caspari, S.&lt;/author&gt;&lt;author&gt;Birklein, F.&lt;/author&gt;&lt;author&gt;Treede, R. D.&lt;/author&gt;&lt;/authors&gt;&lt;/contributors&gt;&lt;added-date format="utc"&gt;1359401406&lt;/added-date&gt;&lt;ref-type name="Journal Article"&gt;17&lt;/ref-type&gt;&lt;rec-number&gt;700&lt;/rec-number&gt;&lt;last-updated-date format="utc"&gt;1570975249&lt;/last-updated-date&gt;&lt;accession-num&gt;WOS:000233656700009&lt;/accession-num&gt;&lt;electronic-resource-num&gt;10.1016/j.ejpain.2005.02.003&lt;/electronic-resource-num&gt;&lt;volume&gt;10&lt;/volum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eastAsia="en-GB"/>
        </w:rPr>
        <w:t>(Rolke et al., 2006b)</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xml:space="preserve">.  Higher values for WUR represent a lower rating for the series of stimuli as compared to the initial stimulus.  Lower values of WUR are associated with an increase in pain as a result of a certain frequency  of mechanical pain stimulation inducing central stimulation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&gt;&lt;Author&gt;Herrero&lt;/Author&gt;&lt;Year&gt;2000&lt;/Year&gt;&lt;RecNum&gt;1183&lt;/RecNum&gt;&lt;DisplayText&gt;(Herrero et al., 2000)&lt;/DisplayText&gt;&lt;record&gt;&lt;keywords&gt;&lt;keyword&gt;Anatomy &amp;amp; Physiology&lt;/keyword&gt;&lt;/keywords&gt;&lt;isbn&gt;0301-0082&lt;/isbn&gt;&lt;titles&gt;&lt;title&gt;Wind-up of spinal cord neurones and pain sensation: much ado about something?&lt;/title&gt;&lt;secondary-title&gt;Progress in Neurobiology&lt;/secondary-title&gt;&lt;/titles&gt;&lt;pages&gt;169-203&lt;/pages&gt;&lt;number&gt;2&lt;/number&gt;&lt;contributors&gt;&lt;authors&gt;&lt;author&gt;Herrero, Juan F.&lt;/author&gt;&lt;author&gt;Laird, Jennifer M. A.&lt;/author&gt;&lt;author&gt;Lopez-Garcia, Jose A.&lt;/author&gt;&lt;/authors&gt;&lt;/contributors&gt;&lt;added-date format="utc"&gt;1573051675&lt;/added-date&gt;&lt;ref-type name="Journal Article"&gt;17&lt;/ref-type&gt;&lt;dates&gt;&lt;year&gt;2000&lt;/year&gt;&lt;/dates&gt;&lt;rec-number&gt;1183&lt;/rec-number&gt;&lt;last-updated-date format="utc"&gt;1573051675&lt;/last-updated-date&gt;&lt;electronic-resource-num&gt;10.1016/S0301-0082(99)00051-9&lt;/electronic-resource-num&gt;&lt;volume&gt;61&lt;/volume&gt;&lt;/record&gt;&lt;/Cite&gt;&lt;/EndNote&gt;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val="fr-FR" w:eastAsia="en-GB"/>
        </w:rPr>
        <w:t>(Herrero et al., 2000)</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xml:space="preserve">.  Therefore, WUR is a proxy measure of central </w:t>
      </w:r>
      <w:proofErr w:type="spellStart"/>
      <w:r w:rsidRPr="00AF0E0B">
        <w:rPr>
          <w:rFonts w:eastAsia="Arial Unicode MS" w:cs="Arial Unicode MS"/>
          <w:color w:val="000000"/>
          <w:u w:color="000000"/>
          <w:bdr w:val="nil"/>
          <w:lang w:val="en-US" w:eastAsia="en-GB"/>
        </w:rPr>
        <w:t>sensitisation</w:t>
      </w:r>
      <w:proofErr w:type="spellEnd"/>
      <w:r w:rsidRPr="00AF0E0B">
        <w:rPr>
          <w:rFonts w:eastAsia="Arial Unicode MS" w:cs="Arial Unicode MS"/>
          <w:color w:val="000000"/>
          <w:u w:color="000000"/>
          <w:bdr w:val="nil"/>
          <w:lang w:val="en-US" w:eastAsia="en-GB"/>
        </w:rPr>
        <w:t xml:space="preserve">.  In our study we observed a low WUR in the P-DPN group.  This suggests central </w:t>
      </w:r>
      <w:proofErr w:type="spellStart"/>
      <w:r w:rsidRPr="00AF0E0B">
        <w:rPr>
          <w:rFonts w:eastAsia="Arial Unicode MS" w:cs="Arial Unicode MS"/>
          <w:color w:val="000000"/>
          <w:u w:color="000000"/>
          <w:bdr w:val="nil"/>
          <w:lang w:val="en-US" w:eastAsia="en-GB"/>
        </w:rPr>
        <w:t>sensitisation</w:t>
      </w:r>
      <w:proofErr w:type="spellEnd"/>
      <w:r w:rsidRPr="00AF0E0B">
        <w:rPr>
          <w:rFonts w:eastAsia="Arial Unicode MS" w:cs="Arial Unicode MS"/>
          <w:color w:val="000000"/>
          <w:u w:color="000000"/>
          <w:bdr w:val="nil"/>
          <w:lang w:val="en-US" w:eastAsia="en-GB"/>
        </w:rPr>
        <w:t xml:space="preserve"> was occurring in some individuals with painful neuropathy.  The other parameters in function 2 were dynamic mechanical allodynia – only observed in the P-DPN group, and paradoxical heat sensation- observed in the DPN group but also in other groups.  The small numbers of subjects reporting these symptoms make it hard to interpret the data, however one interpretation could be that WUR and DMA are sensitive measures of P-DPN but are not specific- which means their presence allows correct group prediction, but absence of these qualities is not a helpful differentiator.  The WUR, DMA and PHS results are consistent with other studies using the DFNS QST protocol to examine the characteristics of P-DPN.  Positive symptoms such as DMA, WUR and PHS were only reported in 6.3% of subjects in the </w:t>
      </w:r>
      <w:proofErr w:type="spellStart"/>
      <w:r w:rsidRPr="00AF0E0B">
        <w:rPr>
          <w:rFonts w:eastAsia="Arial Unicode MS" w:cs="Arial Unicode MS"/>
          <w:color w:val="000000"/>
          <w:u w:color="000000"/>
          <w:bdr w:val="nil"/>
          <w:lang w:val="en-US" w:eastAsia="en-GB"/>
        </w:rPr>
        <w:t>PiNS</w:t>
      </w:r>
      <w:proofErr w:type="spellEnd"/>
      <w:r w:rsidRPr="00AF0E0B">
        <w:rPr>
          <w:rFonts w:eastAsia="Arial Unicode MS" w:cs="Arial Unicode MS"/>
          <w:color w:val="000000"/>
          <w:u w:color="000000"/>
          <w:bdr w:val="nil"/>
          <w:lang w:val="en-US" w:eastAsia="en-GB"/>
        </w:rPr>
        <w:t xml:space="preserve"> study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&gt;&lt;Author&gt;Themistocleous&lt;/Author&gt;&lt;Year&gt;2016&lt;/Year&gt;&lt;RecNum&gt;910&lt;/RecNum&gt;&lt;DisplayText&gt;(Themistocleous et al., 2016)&lt;/DisplayText&gt;&lt;record&gt;&lt;dates&gt;&lt;pub-dates&gt;&lt;date&gt;May&lt;/date&gt;&lt;/pub-dates&gt;&lt;year&gt;2016&lt;/year&gt;&lt;/dates&gt;&lt;urls&gt;&lt;related-urls&gt;&lt;url&gt;&amp;lt;Go to ISI&amp;gt;://WOS:000378875600019&lt;/url&gt;&lt;/related-urls&gt;&lt;/urls&gt;&lt;isbn&gt;0304-3959&lt;/isbn&gt;&lt;titles&gt;&lt;title&gt;The Pain in Neuropathy Study (PiNS): a cross-sectional observational study determining the somatosensory phenotype of painful and painless diabetic neuropathy&lt;/title&gt;&lt;secondary-title&gt;Pain&lt;/secondary-title&gt;&lt;/titles&gt;&lt;pages&gt;1132-1145&lt;/pages&gt;&lt;number&gt;5&lt;/number&gt;&lt;contributors&gt;&lt;authors&gt;&lt;author&gt;Themistocleous, A. C.&lt;/author&gt;&lt;author&gt;Ramirez, J. D.&lt;/author&gt;&lt;author&gt;Shillo, P. R.&lt;/author&gt;&lt;author&gt;Lees, J. G.&lt;/author&gt;&lt;author&gt;Selvarajah, D.&lt;/author&gt;&lt;author&gt;Orengo, C.&lt;/author&gt;&lt;author&gt;Tesfaye, S.&lt;/author&gt;&lt;author&gt;Rice, A. S. C.&lt;/author&gt;&lt;author&gt;Bennett, D. L. H.&lt;/author&gt;&lt;/authors&gt;&lt;/contributors&gt;&lt;added-date format="utc"&gt;1518811823&lt;/added-date&gt;&lt;ref-type name="Journal Article"&gt;17&lt;/ref-type&gt;&lt;rec-number&gt;910&lt;/rec-number&gt;&lt;last-updated-date format="utc"&gt;1518811823&lt;/last-updated-date&gt;&lt;accession-num&gt;WOS:000378875600019&lt;/accession-num&gt;&lt;electronic-resource-num&gt;10.1097/j.pain.0000000000000491&lt;/electronic-resource-num&gt;&lt;volume&gt;157&lt;/volum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val="en-US" w:eastAsia="en-GB"/>
        </w:rPr>
        <w:t>(</w:t>
      </w:r>
      <w:proofErr w:type="spellStart"/>
      <w:r w:rsidRPr="00AF0E0B">
        <w:rPr>
          <w:rFonts w:eastAsia="Arial Unicode MS" w:cs="Arial Unicode MS"/>
          <w:color w:val="000000"/>
          <w:u w:color="000000"/>
          <w:bdr w:val="nil"/>
          <w:lang w:val="en-US" w:eastAsia="en-GB"/>
        </w:rPr>
        <w:t>Themistocleous</w:t>
      </w:r>
      <w:proofErr w:type="spellEnd"/>
      <w:r w:rsidRPr="00AF0E0B">
        <w:rPr>
          <w:rFonts w:eastAsia="Arial Unicode MS" w:cs="Arial Unicode MS"/>
          <w:color w:val="000000"/>
          <w:u w:color="000000"/>
          <w:bdr w:val="nil"/>
          <w:lang w:val="en-US" w:eastAsia="en-GB"/>
        </w:rPr>
        <w:t xml:space="preserve"> et al., 2016)</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xml:space="preserve"> and 13.6% in a study of QST in subjects with T2D of short duration </w:t>
      </w:r>
      <w:r w:rsidRPr="00AF0E0B">
        <w:rPr>
          <w:rFonts w:eastAsia="Arial" w:cs="Arial"/>
          <w:color w:val="000000"/>
          <w:u w:color="000000"/>
          <w:bdr w:val="nil"/>
          <w:lang w:eastAsia="en-GB"/>
        </w:rPr>
        <w:fldChar w:fldCharType="begin"/>
      </w:r>
      <w:r w:rsidR="00CE430A">
        <w:rPr>
          <w:rFonts w:eastAsia="Arial" w:cs="Arial"/>
          <w:color w:val="000000"/>
          <w:u w:color="000000"/>
          <w:bdr w:val="nil"/>
          <w:lang w:eastAsia="en-GB"/>
        </w:rPr>
        <w:instrText xml:space="preserve"> ADDIN EN.CITE &lt;EndNote&gt;&lt;Cite&gt;&lt;Author&gt;Raputova&lt;/Author&gt;&lt;Year&gt;2017&lt;/Year&gt;&lt;RecNum&gt;907&lt;/RecNum&gt;&lt;DisplayText&gt;(Raputova et al., 2017a)&lt;/DisplayText&gt;&lt;record&gt;&lt;dates&gt;&lt;pub-dates&gt;&lt;date&gt;Dec&lt;/date&gt;&lt;/pub-dates&gt;&lt;year&gt;2017&lt;/year&gt;&lt;/dates&gt;&lt;urls&gt;&lt;related-urls&gt;&lt;url&gt;&amp;lt;Go to ISI&amp;gt;://WOS:000419133700009&lt;/url&gt;&lt;/related-urls&gt;&lt;/urls&gt;&lt;isbn&gt;0304-3959&lt;/isbn&gt;&lt;titles&gt;&lt;title&gt;Sensory phenotype and risk factors for painful diabetic neuropathy: a cross-sectional observational study&lt;/title&gt;&lt;secondary-title&gt;Pain&lt;/secondary-title&gt;&lt;/titles&gt;&lt;pages&gt;2340-2353&lt;/pages&gt;&lt;number&gt;12&lt;/number&gt;&lt;contributors&gt;&lt;authors&gt;&lt;author&gt;Raputova, Jana&lt;/author&gt;&lt;author&gt;Srotova, Iva&lt;/author&gt;&lt;author&gt;Vlckova, Eva&lt;/author&gt;&lt;author&gt;Sommer, Claudia&lt;/author&gt;&lt;author&gt;Ueceyler, Nurcan&lt;/author&gt;&lt;author&gt;Birklein, Frank&lt;/author&gt;&lt;author&gt;Rittner, Heike L.&lt;/author&gt;&lt;author&gt;Rebhorn, Cora&lt;/author&gt;&lt;author&gt;Adamova, Blanka&lt;/author&gt;&lt;author&gt;Kovalova, Ivana&lt;/author&gt;&lt;author&gt;Nekvapilova, Eva Kralickova&lt;/author&gt;&lt;author&gt;Forer, Lucas&lt;/author&gt;&lt;author&gt;Belobradkova, Jana&lt;/author&gt;&lt;author&gt;Olsovsky, Jindrich&lt;/author&gt;&lt;author&gt;Weber, Pavel&lt;/author&gt;&lt;author&gt;Dusek, Ladislav&lt;/author&gt;&lt;author&gt;Jarkovsky, Jiri&lt;/author&gt;&lt;author&gt;Bednarik, Josef&lt;/author&gt;&lt;/authors&gt;&lt;/contributors&gt;&lt;added-date format="utc"&gt;1518202708&lt;/added-date&gt;&lt;ref-type name="Journal Article"&gt;17&lt;/ref-type&gt;&lt;rec-number&gt;907&lt;/rec-number&gt;&lt;last-updated-date format="utc"&gt;1518202708&lt;/last-updated-date&gt;&lt;accession-num&gt;WOS:000419133700009&lt;/accession-num&gt;&lt;electronic-resource-num&gt;10.1097/j.pain.0000000000001034&lt;/electronic-resource-num&gt;&lt;volume&gt;158&lt;/volume&gt;&lt;/record&gt;&lt;/Cite&gt;&lt;/EndNote&gt;</w:instrText>
      </w:r>
      <w:r w:rsidRPr="00AF0E0B">
        <w:rPr>
          <w:rFonts w:eastAsia="Arial" w:cs="Arial"/>
          <w:color w:val="000000"/>
          <w:u w:color="000000"/>
          <w:bdr w:val="nil"/>
          <w:lang w:eastAsia="en-GB"/>
        </w:rPr>
        <w:fldChar w:fldCharType="separate"/>
      </w:r>
      <w:r w:rsidR="00CE430A">
        <w:rPr>
          <w:rFonts w:eastAsia="Arial" w:cs="Arial"/>
          <w:noProof/>
          <w:color w:val="000000"/>
          <w:u w:color="000000"/>
          <w:bdr w:val="nil"/>
          <w:lang w:eastAsia="en-GB"/>
        </w:rPr>
        <w:t>(Raputova et al., 2017a)</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eastAsia="en-GB"/>
        </w:rPr>
        <w:t xml:space="preserve">.  Baron et al.,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ExcludeAuth="1" &gt;&lt;Author&gt;Baron&lt;/Author&gt;&lt;Year&gt;2017&lt;/Year&gt;&lt;DisplayText&gt;(2017)&lt;/DisplayText&gt;&lt;record&gt;&lt;dates&gt;&lt;pub-dates&gt;&lt;date&gt;02&lt;/date&gt;&lt;/pub-dates&gt;&lt;year&gt;2017&lt;/year&gt;&lt;/dates&gt;&lt;keywords&gt;&lt;keyword&gt;Adult&lt;/keyword&gt;&lt;keyword&gt;Aged&lt;/keyword&gt;&lt;keyword&gt;Cluster Analysis&lt;/keyword&gt;&lt;keyword&gt;Cohort Studies&lt;/keyword&gt;&lt;keyword&gt;Databases, Factual&lt;/keyword&gt;&lt;keyword&gt;Europe&lt;/keyword&gt;&lt;keyword&gt;Female&lt;/keyword&gt;&lt;keyword&gt;Humans&lt;/keyword&gt;&lt;keyword&gt;Hyperalgesia&lt;/keyword&gt;&lt;keyword&gt;International Cooperation&lt;/keyword&gt;&lt;keyword&gt;Male&lt;/keyword&gt;&lt;keyword&gt;Middle Aged&lt;/keyword&gt;&lt;keyword&gt;Neuralgia&lt;/keyword&gt;&lt;keyword&gt;Pain Measurement&lt;/keyword&gt;&lt;keyword&gt;Pain Threshold&lt;/keyword&gt;&lt;keyword&gt;Surveys and Questionnaires&lt;/keyword&gt;&lt;/keywords&gt;&lt;urls&gt;&lt;related-urls&gt;&lt;url&gt;https://www.ncbi.nlm.nih.gov/pubmed/27893485&lt;/url&gt;&lt;/related-urls&gt;&lt;/urls&gt;&lt;isbn&gt;1872-6623&lt;/isbn&gt;&lt;custom2&gt;PMC5266425&lt;/custom2&gt;&lt;titles&gt;&lt;title&gt;Peripheral neuropathic pain: a mechanism-related organizing principle based on sensory profiles&lt;/title&gt;&lt;secondary-title&gt;Pain&lt;/secondary-title&gt;&lt;/titles&gt;&lt;pages&gt;261-272&lt;/pages&gt;&lt;number&gt;2&lt;/number&gt;&lt;contributors&gt;&lt;authors&gt;&lt;author&gt;Baron, R.&lt;/author&gt;&lt;author&gt;Maier, C.&lt;/author&gt;&lt;author&gt;Attal, N.&lt;/author&gt;&lt;author&gt;Binder, A.&lt;/author&gt;&lt;author&gt;Bouhassira, D.&lt;/author&gt;&lt;author&gt;Cruccu, G.&lt;/author&gt;&lt;author&gt;Finnerup, N. B.&lt;/author&gt;&lt;author&gt;Haanpää, M.&lt;/author&gt;&lt;author&gt;Hansson, P.&lt;/author&gt;&lt;author&gt;Hüllemann, P.&lt;/author&gt;&lt;author&gt;Jensen, T. S.&lt;/author&gt;&lt;author&gt;Freynhagen, R.&lt;/author&gt;&lt;author&gt;Kennedy, J. D.&lt;/author&gt;&lt;author&gt;Magerl, W.&lt;/author&gt;&lt;author&gt;Mainka, T.&lt;/author&gt;&lt;author&gt;Reimer, M.&lt;/author&gt;&lt;author&gt;Rice, A. S.&lt;/author&gt;&lt;author&gt;Segerdahl, M.&lt;/author&gt;&lt;author&gt;Serra, J.&lt;/author&gt;&lt;author&gt;Sindrup, S.&lt;/author&gt;&lt;author&gt;Sommer, C.&lt;/author&gt;&lt;author&gt;Tölle, T.&lt;/author&gt;&lt;author&gt;Vollert, J.&lt;/author&gt;&lt;author&gt;Treede, R. D.&lt;/author&gt;&lt;/authors&gt;&lt;/contributors&gt;&lt;language&gt;eng&lt;/language&gt;&lt;added-date format="utc"&gt;1598199182&lt;/added-date&gt;&lt;ref-type name="Journal Article"&gt;17&lt;/ref-type&gt;&lt;rec-number&gt;1321&lt;/rec-number&gt;&lt;last-updated-date format="utc"&gt;1598199182&lt;/last-updated-date&gt;&lt;accession-num&gt;27893485&lt;/accession-num&gt;&lt;electronic-resource-num&gt;10.1097/j.pain.0000000000000753&lt;/electronic-resource-num&gt;&lt;volume&gt;158&lt;/volume&gt;&lt;/record&gt;&lt;/Cite&gt;&lt;/EndNote&gt;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eastAsia="en-GB"/>
        </w:rPr>
        <w:t>(2017)</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xml:space="preserve"> found that loss of function across all QST measures, was the predominant phenotype in diabetic neuropathy. Our study also reported loss of function values in both the neuropathy groups.  Baron et al., also found patterns of thermal and mechanical hyperalgesia in diabetic neuropathy but did not differentiate between P-DPN or DPN.  Our study observed a similar pattern but found an association between P-DPN and the previously described mechanical hyperalgesia pattern. </w:t>
      </w:r>
    </w:p>
    <w:p w14:paraId="236C29FE" w14:textId="4F89622A" w:rsidR="00AF0E0B" w:rsidRPr="00AF0E0B" w:rsidRDefault="00AF0E0B" w:rsidP="00AF0E0B">
      <w:pPr>
        <w:pBdr>
          <w:top w:val="nil"/>
          <w:left w:val="nil"/>
          <w:bottom w:val="nil"/>
          <w:right w:val="nil"/>
          <w:between w:val="nil"/>
          <w:bar w:val="nil"/>
        </w:pBdr>
        <w:spacing w:line="360" w:lineRule="auto"/>
        <w:rPr>
          <w:rFonts w:eastAsia="Arial" w:cs="Arial"/>
          <w:color w:val="000000"/>
          <w:u w:color="000000"/>
          <w:bdr w:val="nil"/>
          <w:lang w:eastAsia="en-GB"/>
        </w:rPr>
      </w:pPr>
      <w:r w:rsidRPr="00AF0E0B">
        <w:rPr>
          <w:rFonts w:eastAsia="Arial Unicode MS" w:cs="Arial Unicode MS"/>
          <w:color w:val="000000"/>
          <w:u w:color="000000"/>
          <w:bdr w:val="nil"/>
          <w:lang w:val="en-US" w:eastAsia="en-GB"/>
        </w:rPr>
        <w:t xml:space="preserve">There were limitations to this study.  Unfortunately, some subjects did not fill out all the questionnaires in the study pack.  There appeared to be some element of questionnaire fatigue as the last questionnaire had the least </w:t>
      </w:r>
      <w:proofErr w:type="gramStart"/>
      <w:r w:rsidRPr="00AF0E0B">
        <w:rPr>
          <w:rFonts w:eastAsia="Arial Unicode MS" w:cs="Arial Unicode MS"/>
          <w:color w:val="000000"/>
          <w:u w:color="000000"/>
          <w:bdr w:val="nil"/>
          <w:lang w:val="en-US" w:eastAsia="en-GB"/>
        </w:rPr>
        <w:t>amount</w:t>
      </w:r>
      <w:proofErr w:type="gramEnd"/>
      <w:r w:rsidRPr="00AF0E0B">
        <w:rPr>
          <w:rFonts w:eastAsia="Arial Unicode MS" w:cs="Arial Unicode MS"/>
          <w:color w:val="000000"/>
          <w:u w:color="000000"/>
          <w:bdr w:val="nil"/>
          <w:lang w:val="en-US" w:eastAsia="en-GB"/>
        </w:rPr>
        <w:t xml:space="preserve"> of responses.  The literature has cited that epidemiological studies since the year 2000 have averaged 70% response rates for questionnaires </w:t>
      </w:r>
      <w:r w:rsidRPr="00AF0E0B">
        <w:rPr>
          <w:rFonts w:eastAsia="Arial" w:cs="Arial"/>
          <w:color w:val="000000"/>
          <w:u w:color="000000"/>
          <w:bdr w:val="nil"/>
          <w:lang w:eastAsia="en-GB"/>
        </w:rPr>
        <w:fldChar w:fldCharType="begin"/>
      </w:r>
      <w:r w:rsidRPr="00AF0E0B">
        <w:rPr>
          <w:rFonts w:eastAsia="Arial" w:cs="Arial"/>
          <w:color w:val="000000"/>
          <w:u w:color="000000"/>
          <w:bdr w:val="nil"/>
          <w:lang w:eastAsia="en-GB"/>
        </w:rPr>
        <w:instrText xml:space="preserve"> ADDIN EN.CITE &lt;EndNote&gt;&lt;Cite  &gt;&lt;Author&gt;Galea&lt;/Author&gt;&lt;Year&gt;2007&lt;/Year&gt;&lt;RecNum&gt;1315&lt;/RecNum&gt;&lt;DisplayText&gt;(Galea and Tracy, 2007)&lt;/DisplayText&gt;&lt;record&gt;&lt;keywords&gt;&lt;keyword&gt;Internal Medicine&lt;/keyword&gt;&lt;keyword&gt;Validity&lt;/keyword&gt;&lt;keyword&gt;Epidemiologic Studies&lt;/keyword&gt;&lt;keyword&gt;Outcome Rate&lt;/keyword&gt;&lt;keyword&gt;Response Rate&lt;/keyword&gt;&lt;keyword&gt;response rate&lt;/keyword&gt;&lt;keyword&gt;epidemiologic studies&lt;/keyword&gt;&lt;keyword&gt;RESPONSE RATES&lt;/keyword&gt;&lt;keyword&gt;TELEPHONE INTERVIEWS&lt;/keyword&gt;&lt;keyword&gt;FOLLOW-UP&lt;/keyword&gt;&lt;keyword&gt;outcome rate&lt;/keyword&gt;&lt;keyword&gt;IN-PERSON INTERVIEWS&lt;/keyword&gt;&lt;keyword&gt;NATIONAL COMORBIDITY SURVEY&lt;/keyword&gt;&lt;keyword&gt;ALCOHOL-USE&lt;/keyword&gt;&lt;keyword&gt;INFORMED-CONSENT&lt;/keyword&gt;&lt;keyword&gt;PUBLIC, ENVIRONMENTAL &amp;amp; OCCUPATIONAL HEALTH&lt;/keyword&gt;&lt;keyword&gt;SURVEY NONRESPONSE BIAS&lt;/keyword&gt;&lt;keyword&gt;validity&lt;/keyword&gt;&lt;keyword&gt;REPORTING PARTICIPATION&lt;/keyword&gt;&lt;keyword&gt;SCREENING CONTROVERSY&lt;/keyword&gt;&lt;keyword&gt;Reproducibility of Results&lt;/keyword&gt;&lt;keyword&gt;United States&lt;/keyword&gt;&lt;keyword&gt;Community Participation - trends&lt;/keyword&gt;&lt;keyword&gt;Humans&lt;/keyword&gt;&lt;keyword&gt;Health insurance industry&lt;/keyword&gt;&lt;keyword&gt;Prevalence studies (Epidemiology)&lt;/keyword&gt;&lt;/keywords&gt;&lt;isbn&gt;1047-2797&lt;/isbn&gt;&lt;titles&gt;&lt;title&gt;Participation Rates in Epidemiologic Studies&lt;/title&gt;&lt;secondary-title&gt;Ann Epidemiol&lt;/secondary-title&gt;&lt;/titles&gt;&lt;pages&gt;643-653&lt;/pages&gt;&lt;number&gt;9&lt;/number&gt;&lt;contributors&gt;&lt;authors&gt;&lt;author&gt;Galea, Sandro&lt;/author&gt;&lt;author&gt;Tracy, Melissa&lt;/author&gt;&lt;/authors&gt;&lt;/contributors&gt;&lt;added-date format="utc"&gt;1598130867&lt;/added-date&gt;&lt;pub-location&gt;NEW YORK&lt;/pub-location&gt;&lt;ref-type name="Journal Article"&gt;17&lt;/ref-type&gt;&lt;dates&gt;&lt;year&gt;2007&lt;/year&gt;&lt;/dates&gt;&lt;rec-number&gt;1315&lt;/rec-number&gt;&lt;publisher&gt;NEW YORK: Elsevier BV&lt;/publisher&gt;&lt;last-updated-date format="utc"&gt;1598130867&lt;/last-updated-date&gt;&lt;electronic-resource-num&gt;10.1016/j.annepidem.2007.03.013&lt;/electronic-resource-num&gt;&lt;volume&gt;17&lt;/volume&gt;&lt;/record&gt;&lt;/Cite&gt;&lt;/EndNote&gt;</w:instrText>
      </w:r>
      <w:r w:rsidRPr="00AF0E0B">
        <w:rPr>
          <w:rFonts w:eastAsia="Arial" w:cs="Arial"/>
          <w:color w:val="000000"/>
          <w:u w:color="000000"/>
          <w:bdr w:val="nil"/>
          <w:lang w:eastAsia="en-GB"/>
        </w:rPr>
        <w:fldChar w:fldCharType="separate"/>
      </w:r>
      <w:r w:rsidRPr="00AF0E0B">
        <w:rPr>
          <w:rFonts w:eastAsia="Arial Unicode MS" w:cs="Arial Unicode MS"/>
          <w:color w:val="000000"/>
          <w:u w:color="000000"/>
          <w:bdr w:val="nil"/>
          <w:lang w:val="en-US" w:eastAsia="en-GB"/>
        </w:rPr>
        <w:t>(Galea and Tracy, 2007)</w:t>
      </w:r>
      <w:r w:rsidRPr="00AF0E0B">
        <w:rPr>
          <w:rFonts w:eastAsia="Arial" w:cs="Arial"/>
          <w:color w:val="000000"/>
          <w:u w:color="000000"/>
          <w:bdr w:val="nil"/>
          <w:lang w:eastAsia="en-GB"/>
        </w:rPr>
        <w:fldChar w:fldCharType="end"/>
      </w:r>
      <w:r w:rsidRPr="00AF0E0B">
        <w:rPr>
          <w:rFonts w:eastAsia="Arial Unicode MS" w:cs="Arial Unicode MS"/>
          <w:color w:val="000000"/>
          <w:u w:color="000000"/>
          <w:bdr w:val="nil"/>
          <w:lang w:val="en-US" w:eastAsia="en-GB"/>
        </w:rPr>
        <w:t xml:space="preserve">. Our response rates were between 73-93%.  This is a good response rate, however a bigger study in a non-selected population would be useful to validate these results.  As discussed above, although we set out to age and sex match, the limitation of having an </w:t>
      </w:r>
      <w:r w:rsidR="00233478">
        <w:rPr>
          <w:rFonts w:eastAsia="Arial Unicode MS" w:cs="Arial Unicode MS"/>
          <w:color w:val="000000"/>
          <w:u w:color="000000"/>
          <w:bdr w:val="nil"/>
          <w:lang w:val="en-US" w:eastAsia="en-GB"/>
        </w:rPr>
        <w:t>eGFR</w:t>
      </w:r>
      <w:r w:rsidRPr="00AF0E0B">
        <w:rPr>
          <w:rFonts w:eastAsia="Arial Unicode MS" w:cs="Arial Unicode MS"/>
          <w:color w:val="000000"/>
          <w:u w:color="000000"/>
          <w:bdr w:val="nil"/>
          <w:lang w:val="en-US" w:eastAsia="en-GB"/>
        </w:rPr>
        <w:t xml:space="preserve"> &gt;40mls/min/1.73</w:t>
      </w:r>
      <w:r w:rsidRPr="00AF0E0B">
        <w:rPr>
          <w:rFonts w:eastAsia="Arial Unicode MS" w:cs="Arial Unicode MS"/>
          <w:color w:val="000000"/>
          <w:u w:color="000000"/>
          <w:bdr w:val="nil"/>
          <w:vertAlign w:val="superscript"/>
          <w:lang w:eastAsia="en-GB"/>
        </w:rPr>
        <w:t xml:space="preserve">2 </w:t>
      </w:r>
      <w:r w:rsidRPr="00AF0E0B">
        <w:rPr>
          <w:rFonts w:eastAsia="Arial Unicode MS" w:cs="Arial Unicode MS"/>
          <w:color w:val="000000"/>
          <w:u w:color="000000"/>
          <w:bdr w:val="nil"/>
          <w:lang w:val="en-US" w:eastAsia="en-GB"/>
        </w:rPr>
        <w:t xml:space="preserve">for </w:t>
      </w:r>
      <w:r w:rsidRPr="00AF0E0B">
        <w:rPr>
          <w:rFonts w:eastAsia="Arial Unicode MS" w:cs="Arial Unicode MS"/>
          <w:color w:val="000000"/>
          <w:u w:color="000000"/>
          <w:bdr w:val="nil"/>
          <w:lang w:val="en-US" w:eastAsia="en-GB"/>
        </w:rPr>
        <w:lastRenderedPageBreak/>
        <w:t xml:space="preserve">other elements of the study, meant that recruitment was difficult for the P-DPN group.  There were younger participants in the P-DPN group compared to the DPN group, but they were matched for severity of neuropathy and complications.  Therefore, we hope that the influence on psychological factors and biomarkers of P-DPN will be limited.  </w:t>
      </w:r>
    </w:p>
    <w:p w14:paraId="0793B5DE" w14:textId="547CC3B6" w:rsidR="00AF0E0B" w:rsidRPr="00AF0E0B" w:rsidRDefault="00AF0E0B" w:rsidP="00E745CE">
      <w:pPr>
        <w:pStyle w:val="Heading2"/>
      </w:pPr>
      <w:bookmarkStart w:id="213" w:name="_Toc49973117"/>
      <w:bookmarkStart w:id="214" w:name="_Toc49973460"/>
      <w:bookmarkStart w:id="215" w:name="_Toc28"/>
      <w:bookmarkStart w:id="216" w:name="_Toc64723916"/>
      <w:r w:rsidRPr="00AF0E0B">
        <w:t>Conclusion</w:t>
      </w:r>
      <w:bookmarkEnd w:id="213"/>
      <w:bookmarkEnd w:id="214"/>
      <w:bookmarkEnd w:id="215"/>
      <w:bookmarkEnd w:id="216"/>
    </w:p>
    <w:p w14:paraId="48B4A8CA" w14:textId="36B1F74D" w:rsidR="00AF0E0B" w:rsidRPr="00AF0E0B" w:rsidRDefault="00AF0E0B" w:rsidP="00AF0E0B">
      <w:pPr>
        <w:pBdr>
          <w:top w:val="nil"/>
          <w:left w:val="nil"/>
          <w:bottom w:val="nil"/>
          <w:right w:val="nil"/>
          <w:between w:val="nil"/>
          <w:bar w:val="nil"/>
        </w:pBdr>
        <w:spacing w:line="360" w:lineRule="auto"/>
        <w:rPr>
          <w:rFonts w:eastAsia="Arial" w:cs="Arial"/>
          <w:color w:val="000000"/>
          <w:u w:color="000000"/>
          <w:bdr w:val="nil"/>
          <w:lang w:eastAsia="en-GB"/>
        </w:rPr>
      </w:pPr>
      <w:r w:rsidRPr="00AF0E0B">
        <w:rPr>
          <w:rFonts w:eastAsia="Arial Unicode MS" w:cs="Arial Unicode MS"/>
          <w:color w:val="000000"/>
          <w:u w:color="000000"/>
          <w:bdr w:val="nil"/>
          <w:lang w:val="en-US" w:eastAsia="en-GB"/>
        </w:rPr>
        <w:t xml:space="preserve">Our study is the first to incorporate measurements of somatic focus as a contributory factor for </w:t>
      </w:r>
      <w:r w:rsidR="007D04FB">
        <w:t>p</w:t>
      </w:r>
      <w:r w:rsidR="007D04FB" w:rsidRPr="001E1775">
        <w:t>ainful diabetic peripheral neuropathy</w:t>
      </w:r>
      <w:r w:rsidRPr="00AF0E0B">
        <w:rPr>
          <w:rFonts w:eastAsia="Arial Unicode MS" w:cs="Arial Unicode MS"/>
          <w:color w:val="000000"/>
          <w:u w:color="000000"/>
          <w:bdr w:val="nil"/>
          <w:lang w:val="en-US" w:eastAsia="en-GB"/>
        </w:rPr>
        <w:t xml:space="preserve">.  We have shown that there is a constellation of psychological factors that are strongly associated with </w:t>
      </w:r>
      <w:r w:rsidR="007D04FB">
        <w:t>p</w:t>
      </w:r>
      <w:r w:rsidR="007D04FB" w:rsidRPr="001E1775">
        <w:t>ainful diabetic peripheral neuropathy</w:t>
      </w:r>
      <w:r w:rsidRPr="00AF0E0B">
        <w:rPr>
          <w:rFonts w:eastAsia="Arial Unicode MS" w:cs="Arial Unicode MS"/>
          <w:color w:val="000000"/>
          <w:u w:color="000000"/>
          <w:bdr w:val="nil"/>
          <w:lang w:val="en-US" w:eastAsia="en-GB"/>
        </w:rPr>
        <w:t xml:space="preserve"> using multivariate and discriminant function analysis. </w:t>
      </w:r>
      <w:r w:rsidR="0085536E">
        <w:rPr>
          <w:rFonts w:eastAsia="Arial Unicode MS" w:cs="Arial Unicode MS"/>
          <w:color w:val="000000"/>
          <w:u w:color="000000"/>
          <w:bdr w:val="nil"/>
          <w:lang w:val="en-US" w:eastAsia="en-GB"/>
        </w:rPr>
        <w:t xml:space="preserve">Scores on Beck’s depression inventory, Pennebaker’s Inventory of Limbic Languidness, State-Trait- state anxiety scale and pain catastrophizing strongly predict group membership of the </w:t>
      </w:r>
      <w:r w:rsidR="0085536E">
        <w:t>p</w:t>
      </w:r>
      <w:r w:rsidR="0085536E" w:rsidRPr="001E1775">
        <w:t>ainful diabetic peripheral neuropathy</w:t>
      </w:r>
      <w:r w:rsidR="0085536E">
        <w:t xml:space="preserve"> group.  </w:t>
      </w:r>
      <w:proofErr w:type="gramStart"/>
      <w:r w:rsidR="0085536E">
        <w:t>Therefore</w:t>
      </w:r>
      <w:proofErr w:type="gramEnd"/>
      <w:r w:rsidR="0085536E">
        <w:rPr>
          <w:rFonts w:eastAsia="Arial Unicode MS" w:cs="Arial Unicode MS"/>
          <w:color w:val="000000"/>
          <w:u w:color="000000"/>
          <w:bdr w:val="nil"/>
          <w:lang w:val="en-US" w:eastAsia="en-GB"/>
        </w:rPr>
        <w:t xml:space="preserve"> t</w:t>
      </w:r>
      <w:r w:rsidRPr="00AF0E0B">
        <w:rPr>
          <w:rFonts w:eastAsia="Arial Unicode MS" w:cs="Arial Unicode MS"/>
          <w:color w:val="000000"/>
          <w:u w:color="000000"/>
          <w:bdr w:val="nil"/>
          <w:lang w:val="en-US" w:eastAsia="en-GB"/>
        </w:rPr>
        <w:t xml:space="preserve">hese factors should be further tested to describe psychological features which predict development of </w:t>
      </w:r>
      <w:r w:rsidR="007D04FB">
        <w:rPr>
          <w:rFonts w:eastAsia="Arial Unicode MS" w:cs="Arial Unicode MS"/>
          <w:color w:val="000000"/>
          <w:u w:color="000000"/>
          <w:bdr w:val="nil"/>
          <w:lang w:val="en-US" w:eastAsia="en-GB"/>
        </w:rPr>
        <w:t>painful symptoms in the context of length dependent symmetrical polyneuropathy</w:t>
      </w:r>
      <w:r w:rsidRPr="00AF0E0B">
        <w:rPr>
          <w:rFonts w:eastAsia="Arial Unicode MS" w:cs="Arial Unicode MS"/>
          <w:color w:val="000000"/>
          <w:u w:color="000000"/>
          <w:bdr w:val="nil"/>
          <w:lang w:val="en-US" w:eastAsia="en-GB"/>
        </w:rPr>
        <w:t xml:space="preserve">. </w:t>
      </w:r>
    </w:p>
    <w:p w14:paraId="55BC2E7D" w14:textId="77176E2F" w:rsidR="00AF0E0B" w:rsidRDefault="00AF0E0B" w:rsidP="00AF0E0B">
      <w:pPr>
        <w:pBdr>
          <w:top w:val="nil"/>
          <w:left w:val="nil"/>
          <w:bottom w:val="nil"/>
          <w:right w:val="nil"/>
          <w:between w:val="nil"/>
          <w:bar w:val="nil"/>
        </w:pBdr>
        <w:spacing w:line="360" w:lineRule="auto"/>
        <w:rPr>
          <w:rFonts w:eastAsia="Arial Unicode MS" w:cs="Arial Unicode MS"/>
          <w:color w:val="000000"/>
          <w:u w:color="000000"/>
          <w:bdr w:val="nil"/>
          <w:lang w:val="en-US" w:eastAsia="en-GB"/>
        </w:rPr>
      </w:pPr>
      <w:r w:rsidRPr="00AF0E0B">
        <w:rPr>
          <w:rFonts w:eastAsia="Arial Unicode MS" w:cs="Arial Unicode MS"/>
          <w:color w:val="000000"/>
          <w:u w:color="000000"/>
          <w:bdr w:val="nil"/>
          <w:lang w:val="en-US" w:eastAsia="en-GB"/>
        </w:rPr>
        <w:t xml:space="preserve">This is the first study to report serum methylglyoxal results in subjects with longstanding </w:t>
      </w:r>
      <w:r w:rsidR="007D04FB">
        <w:rPr>
          <w:rFonts w:eastAsia="Arial Unicode MS" w:cs="Arial Unicode MS"/>
          <w:color w:val="000000"/>
          <w:u w:color="000000"/>
          <w:bdr w:val="nil"/>
          <w:lang w:val="en-US" w:eastAsia="en-GB"/>
        </w:rPr>
        <w:t>type 1</w:t>
      </w:r>
      <w:r w:rsidRPr="00AF0E0B">
        <w:rPr>
          <w:rFonts w:eastAsia="Arial Unicode MS" w:cs="Arial Unicode MS"/>
          <w:color w:val="000000"/>
          <w:u w:color="000000"/>
          <w:bdr w:val="nil"/>
          <w:lang w:val="en-US" w:eastAsia="en-GB"/>
        </w:rPr>
        <w:t xml:space="preserve"> diabetes.  Methylglyoxal did not differentiate between </w:t>
      </w:r>
      <w:r w:rsidR="007D04FB">
        <w:t>p</w:t>
      </w:r>
      <w:r w:rsidR="007D04FB" w:rsidRPr="001E1775">
        <w:t>ainful diabetic peripheral neuropathy</w:t>
      </w:r>
      <w:r w:rsidR="007D04FB" w:rsidRPr="00AF0E0B">
        <w:rPr>
          <w:rFonts w:eastAsia="Arial Unicode MS" w:cs="Arial Unicode MS"/>
          <w:color w:val="000000"/>
          <w:u w:color="000000"/>
          <w:bdr w:val="nil"/>
          <w:lang w:val="en-US" w:eastAsia="en-GB"/>
        </w:rPr>
        <w:t xml:space="preserve"> </w:t>
      </w:r>
      <w:r w:rsidRPr="00AF0E0B">
        <w:rPr>
          <w:rFonts w:eastAsia="Arial Unicode MS" w:cs="Arial Unicode MS"/>
          <w:color w:val="000000"/>
          <w:u w:color="000000"/>
          <w:bdr w:val="nil"/>
          <w:lang w:val="en-US" w:eastAsia="en-GB"/>
        </w:rPr>
        <w:t xml:space="preserve">and </w:t>
      </w:r>
      <w:r w:rsidR="007D04FB">
        <w:rPr>
          <w:rFonts w:eastAsia="Arial Unicode MS" w:cs="Arial Unicode MS"/>
          <w:color w:val="000000"/>
          <w:u w:color="000000"/>
          <w:bdr w:val="nil"/>
          <w:lang w:val="en-US" w:eastAsia="en-GB"/>
        </w:rPr>
        <w:t xml:space="preserve">painless </w:t>
      </w:r>
      <w:r w:rsidR="007D04FB" w:rsidRPr="001E1775">
        <w:t>diabetic peripheral neuropathy</w:t>
      </w:r>
      <w:r w:rsidR="007D04FB">
        <w:t>,</w:t>
      </w:r>
      <w:r w:rsidRPr="00AF0E0B">
        <w:rPr>
          <w:rFonts w:eastAsia="Arial Unicode MS" w:cs="Arial Unicode MS"/>
          <w:color w:val="000000"/>
          <w:u w:color="000000"/>
          <w:bdr w:val="nil"/>
          <w:lang w:val="en-US" w:eastAsia="en-GB"/>
        </w:rPr>
        <w:t xml:space="preserve"> and was not correlated with any neuropathy parameters.  However, glucose measurements did correlate with some measures of painful neuropathy, which could suggest that glycolytic metabolites may be implicated in the perception of pain in </w:t>
      </w:r>
      <w:r w:rsidR="007D04FB">
        <w:t>p</w:t>
      </w:r>
      <w:r w:rsidR="007D04FB" w:rsidRPr="001E1775">
        <w:t>ainful diabetic peripheral neuropathy</w:t>
      </w:r>
      <w:r w:rsidRPr="00AF0E0B">
        <w:rPr>
          <w:rFonts w:eastAsia="Arial Unicode MS" w:cs="Arial Unicode MS"/>
          <w:color w:val="000000"/>
          <w:u w:color="000000"/>
          <w:bdr w:val="nil"/>
          <w:lang w:val="en-US" w:eastAsia="en-GB"/>
        </w:rPr>
        <w:t xml:space="preserve"> despite the negative study result.  This outcome is consistent with the outcome of the ADDITION study which found no difference in serum methylglyoxal levels.  Methylglyoxal remains of interest as it has effects on Na</w:t>
      </w:r>
      <w:r w:rsidRPr="00AF0E0B">
        <w:rPr>
          <w:rFonts w:eastAsia="Arial Unicode MS" w:cs="Arial Unicode MS"/>
          <w:color w:val="000000"/>
          <w:u w:color="000000"/>
          <w:bdr w:val="nil"/>
          <w:vertAlign w:val="subscript"/>
          <w:lang w:eastAsia="en-GB"/>
        </w:rPr>
        <w:t>v</w:t>
      </w:r>
      <w:r w:rsidRPr="00AF0E0B">
        <w:rPr>
          <w:rFonts w:eastAsia="Arial Unicode MS" w:cs="Arial Unicode MS"/>
          <w:color w:val="000000"/>
          <w:u w:color="000000"/>
          <w:bdr w:val="nil"/>
          <w:lang w:val="en-US" w:eastAsia="en-GB"/>
        </w:rPr>
        <w:t>1.8 channels peripherally but also has effects on neurons and the blood brain barrier centrally.  Further work to identify if there are alternatives to serum measurement of methylglyoxal, such as skin biopsy or other metabolites, may help to identify the role of advanced glycosylation end products in pain perception.</w:t>
      </w:r>
    </w:p>
    <w:p w14:paraId="58EAFD87" w14:textId="6FD61949" w:rsidR="0085536E" w:rsidRPr="00AF0E0B" w:rsidRDefault="0085536E" w:rsidP="00AF0E0B">
      <w:pPr>
        <w:pBdr>
          <w:top w:val="nil"/>
          <w:left w:val="nil"/>
          <w:bottom w:val="nil"/>
          <w:right w:val="nil"/>
          <w:between w:val="nil"/>
          <w:bar w:val="nil"/>
        </w:pBdr>
        <w:spacing w:line="360" w:lineRule="auto"/>
        <w:rPr>
          <w:rFonts w:eastAsia="Arial" w:cs="Arial"/>
          <w:color w:val="000000"/>
          <w:u w:color="000000"/>
          <w:bdr w:val="nil"/>
          <w:lang w:eastAsia="en-GB"/>
        </w:rPr>
      </w:pPr>
      <w:r w:rsidRPr="00AF0E0B">
        <w:rPr>
          <w:rFonts w:eastAsia="Arial Unicode MS" w:cs="Arial Unicode MS"/>
          <w:color w:val="000000"/>
          <w:u w:color="000000"/>
          <w:bdr w:val="nil"/>
          <w:lang w:val="en-US" w:eastAsia="en-GB"/>
        </w:rPr>
        <w:t xml:space="preserve">Our study is the first to describe </w:t>
      </w:r>
      <w:r>
        <w:rPr>
          <w:rFonts w:eastAsia="Arial Unicode MS" w:cs="Arial Unicode MS"/>
          <w:color w:val="000000"/>
          <w:u w:color="000000"/>
          <w:bdr w:val="nil"/>
          <w:lang w:val="en-US" w:eastAsia="en-GB"/>
        </w:rPr>
        <w:t>“</w:t>
      </w:r>
      <w:r w:rsidRPr="00AF0E0B">
        <w:rPr>
          <w:rFonts w:eastAsia="Arial Unicode MS" w:cs="Arial Unicode MS"/>
          <w:color w:val="000000"/>
          <w:u w:color="000000"/>
          <w:bdr w:val="nil"/>
          <w:lang w:val="en-US" w:eastAsia="en-GB"/>
        </w:rPr>
        <w:t>DFNS</w:t>
      </w:r>
      <w:r>
        <w:rPr>
          <w:rFonts w:eastAsia="Arial Unicode MS" w:cs="Arial Unicode MS"/>
          <w:color w:val="000000"/>
          <w:u w:color="000000"/>
          <w:bdr w:val="nil"/>
          <w:lang w:val="en-US" w:eastAsia="en-GB"/>
        </w:rPr>
        <w:t>”</w:t>
      </w:r>
      <w:r w:rsidRPr="00AF0E0B">
        <w:rPr>
          <w:rFonts w:eastAsia="Arial Unicode MS" w:cs="Arial Unicode MS"/>
          <w:color w:val="000000"/>
          <w:u w:color="000000"/>
          <w:bdr w:val="nil"/>
          <w:lang w:val="en-US" w:eastAsia="en-GB"/>
        </w:rPr>
        <w:t xml:space="preserve"> </w:t>
      </w:r>
      <w:r>
        <w:rPr>
          <w:rFonts w:eastAsia="Arial Unicode MS" w:cs="Arial Unicode MS"/>
          <w:color w:val="000000"/>
          <w:u w:color="000000"/>
          <w:bdr w:val="nil"/>
          <w:lang w:val="en-US" w:eastAsia="en-GB"/>
        </w:rPr>
        <w:t>quantitative sensory testing</w:t>
      </w:r>
      <w:r w:rsidRPr="00AF0E0B">
        <w:rPr>
          <w:rFonts w:eastAsia="Arial Unicode MS" w:cs="Arial Unicode MS"/>
          <w:color w:val="000000"/>
          <w:u w:color="000000"/>
          <w:bdr w:val="nil"/>
          <w:lang w:val="en-US" w:eastAsia="en-GB"/>
        </w:rPr>
        <w:t xml:space="preserve"> in a cohort consisting of</w:t>
      </w:r>
      <w:r>
        <w:rPr>
          <w:rFonts w:eastAsia="Arial Unicode MS" w:cs="Arial Unicode MS"/>
          <w:color w:val="000000"/>
          <w:u w:color="000000"/>
          <w:bdr w:val="nil"/>
          <w:lang w:val="en-US" w:eastAsia="en-GB"/>
        </w:rPr>
        <w:t xml:space="preserve"> subjects with type 1 diabetes mellitus</w:t>
      </w:r>
      <w:r w:rsidRPr="00AF0E0B">
        <w:rPr>
          <w:rFonts w:eastAsia="Arial Unicode MS" w:cs="Arial Unicode MS"/>
          <w:color w:val="000000"/>
          <w:u w:color="000000"/>
          <w:bdr w:val="nil"/>
          <w:lang w:val="en-US" w:eastAsia="en-GB"/>
        </w:rPr>
        <w:t xml:space="preserve">.  </w:t>
      </w:r>
      <w:r>
        <w:rPr>
          <w:rFonts w:eastAsia="Arial Unicode MS" w:cs="Arial Unicode MS"/>
          <w:color w:val="000000"/>
          <w:u w:color="000000"/>
          <w:bdr w:val="nil"/>
          <w:lang w:val="en-US" w:eastAsia="en-GB"/>
        </w:rPr>
        <w:t>Quantitative sensory testing</w:t>
      </w:r>
      <w:r w:rsidRPr="00AF0E0B">
        <w:rPr>
          <w:rFonts w:eastAsia="Arial Unicode MS" w:cs="Arial Unicode MS"/>
          <w:color w:val="000000"/>
          <w:u w:color="000000"/>
          <w:bdr w:val="nil"/>
          <w:lang w:val="en-US" w:eastAsia="en-GB"/>
        </w:rPr>
        <w:t xml:space="preserve"> measurements were able to strongly differentiate between neuropathy and non-neuropathy</w:t>
      </w:r>
      <w:r>
        <w:rPr>
          <w:rFonts w:eastAsia="Arial Unicode MS" w:cs="Arial Unicode MS"/>
          <w:color w:val="000000"/>
          <w:u w:color="000000"/>
          <w:bdr w:val="nil"/>
          <w:lang w:val="en-US" w:eastAsia="en-GB"/>
        </w:rPr>
        <w:t>.  M</w:t>
      </w:r>
      <w:r w:rsidRPr="00AF0E0B">
        <w:rPr>
          <w:rFonts w:eastAsia="Arial Unicode MS" w:cs="Arial Unicode MS"/>
          <w:color w:val="000000"/>
          <w:u w:color="000000"/>
          <w:bdr w:val="nil"/>
          <w:lang w:val="en-US" w:eastAsia="en-GB"/>
        </w:rPr>
        <w:t xml:space="preserve">easures of central </w:t>
      </w:r>
      <w:proofErr w:type="spellStart"/>
      <w:r w:rsidRPr="00AF0E0B">
        <w:rPr>
          <w:rFonts w:eastAsia="Arial Unicode MS" w:cs="Arial Unicode MS"/>
          <w:color w:val="000000"/>
          <w:u w:color="000000"/>
          <w:bdr w:val="nil"/>
          <w:lang w:val="en-US" w:eastAsia="en-GB"/>
        </w:rPr>
        <w:t>sensitisation</w:t>
      </w:r>
      <w:proofErr w:type="spellEnd"/>
      <w:r w:rsidRPr="00AF0E0B">
        <w:rPr>
          <w:rFonts w:eastAsia="Arial Unicode MS" w:cs="Arial Unicode MS"/>
          <w:color w:val="000000"/>
          <w:u w:color="000000"/>
          <w:bdr w:val="nil"/>
          <w:lang w:val="en-US" w:eastAsia="en-GB"/>
        </w:rPr>
        <w:t xml:space="preserve"> were able to differentiate some subjects with </w:t>
      </w:r>
      <w:r>
        <w:rPr>
          <w:rFonts w:eastAsia="Arial Unicode MS" w:cs="Arial Unicode MS"/>
          <w:color w:val="000000"/>
          <w:u w:color="000000"/>
          <w:bdr w:val="nil"/>
          <w:lang w:val="en-US" w:eastAsia="en-GB"/>
        </w:rPr>
        <w:t>painful diabetic peripheral neuropathy</w:t>
      </w:r>
      <w:r w:rsidRPr="00AF0E0B">
        <w:rPr>
          <w:rFonts w:eastAsia="Arial Unicode MS" w:cs="Arial Unicode MS"/>
          <w:color w:val="000000"/>
          <w:u w:color="000000"/>
          <w:bdr w:val="nil"/>
          <w:lang w:val="en-US" w:eastAsia="en-GB"/>
        </w:rPr>
        <w:t xml:space="preserve"> from </w:t>
      </w:r>
      <w:r>
        <w:rPr>
          <w:rFonts w:eastAsia="Arial Unicode MS" w:cs="Arial Unicode MS"/>
          <w:color w:val="000000"/>
          <w:u w:color="000000"/>
          <w:bdr w:val="nil"/>
          <w:lang w:val="en-US" w:eastAsia="en-GB"/>
        </w:rPr>
        <w:t>those with painless diabetic peripheral neuropathy.</w:t>
      </w:r>
    </w:p>
    <w:p w14:paraId="38B98D06" w14:textId="2BCFDE2F" w:rsidR="00AF0E0B" w:rsidRPr="00AF0E0B" w:rsidRDefault="00AF0E0B" w:rsidP="00AF0E0B">
      <w:pPr>
        <w:pBdr>
          <w:top w:val="nil"/>
          <w:left w:val="nil"/>
          <w:bottom w:val="nil"/>
          <w:right w:val="nil"/>
          <w:between w:val="nil"/>
          <w:bar w:val="nil"/>
        </w:pBdr>
        <w:spacing w:line="360" w:lineRule="auto"/>
        <w:rPr>
          <w:rFonts w:eastAsia="Arial" w:cs="Arial"/>
          <w:color w:val="000000"/>
          <w:u w:color="000000"/>
          <w:bdr w:val="nil"/>
          <w:lang w:eastAsia="en-GB"/>
        </w:rPr>
      </w:pPr>
      <w:r w:rsidRPr="00AF0E0B">
        <w:rPr>
          <w:rFonts w:eastAsia="Arial Unicode MS" w:cs="Arial Unicode MS"/>
          <w:color w:val="000000"/>
          <w:u w:color="000000"/>
          <w:bdr w:val="nil"/>
          <w:lang w:val="en-US" w:eastAsia="en-GB"/>
        </w:rPr>
        <w:lastRenderedPageBreak/>
        <w:t xml:space="preserve">This chapter has identified important psychological, </w:t>
      </w:r>
      <w:r w:rsidR="0085536E">
        <w:rPr>
          <w:rFonts w:eastAsia="Arial Unicode MS" w:cs="Arial Unicode MS"/>
          <w:color w:val="000000"/>
          <w:u w:color="000000"/>
          <w:bdr w:val="nil"/>
          <w:lang w:val="en-US" w:eastAsia="en-GB"/>
        </w:rPr>
        <w:t>quantitative sensory testing</w:t>
      </w:r>
      <w:r w:rsidRPr="00AF0E0B">
        <w:rPr>
          <w:rFonts w:eastAsia="Arial Unicode MS" w:cs="Arial Unicode MS"/>
          <w:color w:val="000000"/>
          <w:u w:color="000000"/>
          <w:bdr w:val="nil"/>
          <w:lang w:val="en-US" w:eastAsia="en-GB"/>
        </w:rPr>
        <w:t xml:space="preserve"> and metabolic parameters associated with </w:t>
      </w:r>
      <w:r w:rsidR="0085536E">
        <w:rPr>
          <w:rFonts w:eastAsia="Arial Unicode MS" w:cs="Arial Unicode MS"/>
          <w:color w:val="000000"/>
          <w:u w:color="000000"/>
          <w:bdr w:val="nil"/>
          <w:lang w:val="en-US" w:eastAsia="en-GB"/>
        </w:rPr>
        <w:t>painful diabetic peripheral neuropathy</w:t>
      </w:r>
      <w:r w:rsidRPr="00AF0E0B">
        <w:rPr>
          <w:rFonts w:eastAsia="Arial Unicode MS" w:cs="Arial Unicode MS"/>
          <w:color w:val="000000"/>
          <w:u w:color="000000"/>
          <w:bdr w:val="nil"/>
          <w:lang w:val="en-US" w:eastAsia="en-GB"/>
        </w:rPr>
        <w:t xml:space="preserve">.  Future studies comprising of larger cohorts and a prospective study design will need to confirm these interesting findings. </w:t>
      </w:r>
    </w:p>
    <w:p w14:paraId="00BB2669" w14:textId="4163EB62" w:rsidR="00C62606" w:rsidRDefault="00AF0E0B" w:rsidP="00AF0E0B">
      <w:r w:rsidRPr="00AF0E0B">
        <w:rPr>
          <w:rFonts w:ascii="Arial Unicode MS" w:eastAsia="Arial Unicode MS" w:hAnsi="Arial Unicode MS" w:cs="Times New Roman"/>
          <w:bdr w:val="nil"/>
          <w:lang w:val="en-US"/>
        </w:rPr>
        <w:br w:type="page"/>
      </w:r>
    </w:p>
    <w:p w14:paraId="60AF78DC" w14:textId="74DE481A" w:rsidR="00DA5D56" w:rsidRPr="00DA5D56" w:rsidRDefault="00DA5D56" w:rsidP="00D41FC4">
      <w:pPr>
        <w:pStyle w:val="Heading1"/>
      </w:pPr>
      <w:bookmarkStart w:id="217" w:name="_Toc49766042"/>
      <w:bookmarkStart w:id="218" w:name="_Toc64723917"/>
      <w:r w:rsidRPr="00DA5D56">
        <w:lastRenderedPageBreak/>
        <w:t>Chapter 3: Reproducibility of Quantitative Measurements of Dynamic Susceptibility Contrast for Cerebral Microvascular Perfusion.</w:t>
      </w:r>
      <w:bookmarkEnd w:id="217"/>
      <w:bookmarkEnd w:id="218"/>
    </w:p>
    <w:p w14:paraId="46BC7932" w14:textId="77777777" w:rsidR="00DA5D56" w:rsidRPr="00DA5D56" w:rsidRDefault="00DA5D56" w:rsidP="00DA5D56">
      <w:pPr>
        <w:spacing w:line="360" w:lineRule="auto"/>
        <w:rPr>
          <w:rFonts w:cs="Arial"/>
        </w:rPr>
      </w:pPr>
    </w:p>
    <w:p w14:paraId="478254DF" w14:textId="4045F136" w:rsidR="00DA5D56" w:rsidRPr="00DA5D56" w:rsidRDefault="00DA5D56" w:rsidP="00E745CE">
      <w:pPr>
        <w:pStyle w:val="Heading2"/>
      </w:pPr>
      <w:bookmarkStart w:id="219" w:name="_Toc49766043"/>
      <w:bookmarkStart w:id="220" w:name="_Toc64723918"/>
      <w:r w:rsidRPr="00D41FC4">
        <w:t>Abstract</w:t>
      </w:r>
      <w:r w:rsidRPr="00DA5D56">
        <w:t>:</w:t>
      </w:r>
      <w:bookmarkEnd w:id="219"/>
      <w:bookmarkEnd w:id="220"/>
      <w:r w:rsidRPr="00DA5D56">
        <w:t xml:space="preserve"> </w:t>
      </w:r>
    </w:p>
    <w:p w14:paraId="619D2E2D" w14:textId="626D0B46" w:rsidR="00DA5D56" w:rsidRPr="00DA5D56" w:rsidRDefault="00DA5D56" w:rsidP="00DA5D56">
      <w:pPr>
        <w:spacing w:line="360" w:lineRule="auto"/>
      </w:pPr>
      <w:r w:rsidRPr="00D41FC4">
        <w:rPr>
          <w:rFonts w:eastAsiaTheme="majorEastAsia" w:cstheme="majorBidi"/>
          <w:b/>
          <w:bCs/>
          <w:color w:val="4472C4" w:themeColor="accent1"/>
        </w:rPr>
        <w:t>Background</w:t>
      </w:r>
      <w:r w:rsidRPr="00DA5D56">
        <w:t xml:space="preserve">: Dynamic susceptibility contrast magnetic resonance imaging (DSC-MRI) is a method of measuring tissue perfusion using exogenous gadolinium as a contrast agent. </w:t>
      </w:r>
      <w:r w:rsidR="009E50B3" w:rsidRPr="00DA5D56">
        <w:t xml:space="preserve">Dynamic susceptibility contrast magnetic resonance imaging </w:t>
      </w:r>
      <w:r w:rsidR="009E50B3">
        <w:t>(</w:t>
      </w:r>
      <w:r w:rsidRPr="00DA5D56">
        <w:t>DSC-MRI</w:t>
      </w:r>
      <w:r w:rsidR="009E50B3">
        <w:t>)</w:t>
      </w:r>
      <w:r w:rsidRPr="00DA5D56">
        <w:t xml:space="preserve"> is well established in the fields of stroke medicine and central nervous system (CNS) oncology and routinely used to compare pathological to normal brain tissue</w:t>
      </w:r>
      <w:r w:rsidR="002129F7">
        <w:t>,</w:t>
      </w:r>
      <w:r w:rsidRPr="00DA5D56">
        <w:t xml:space="preserve"> but has not been utilised to measure cerebral perfusion for subjects with painful diabetic peripheral neuropathy (P-DPN). </w:t>
      </w:r>
      <w:r w:rsidR="00C93F48">
        <w:t>Our aim was</w:t>
      </w:r>
      <w:r w:rsidRPr="00DA5D56">
        <w:t xml:space="preserve"> </w:t>
      </w:r>
      <w:r w:rsidR="00C93F48">
        <w:t>t</w:t>
      </w:r>
      <w:r w:rsidRPr="00DA5D56">
        <w:t xml:space="preserve">o assess the reproducibility of four perfusion parameters: regional blood volume (RBV), regional blood flow (RBF), mean transit time (MTT), Time-to-peak concentration (TTP) using quantitative </w:t>
      </w:r>
      <w:r w:rsidR="009E50B3">
        <w:t>d</w:t>
      </w:r>
      <w:r w:rsidR="009E50B3" w:rsidRPr="00DA5D56">
        <w:t>ynamic susceptibility contrast magnetic resonance imaging</w:t>
      </w:r>
      <w:r w:rsidRPr="00DA5D56">
        <w:t xml:space="preserve">.  An “off the shelf” perfusion analysis software was used for post-processing of the acquired images. </w:t>
      </w:r>
    </w:p>
    <w:p w14:paraId="66016A0F" w14:textId="77777777" w:rsidR="00DA5D56" w:rsidRPr="00DA5D56" w:rsidRDefault="00DA5D56" w:rsidP="00DA5D56">
      <w:pPr>
        <w:spacing w:line="360" w:lineRule="auto"/>
      </w:pPr>
      <w:r w:rsidRPr="00D41FC4">
        <w:rPr>
          <w:rFonts w:eastAsiaTheme="majorEastAsia" w:cstheme="majorBidi"/>
          <w:b/>
          <w:bCs/>
          <w:color w:val="4472C4" w:themeColor="accent1"/>
        </w:rPr>
        <w:t>Methods</w:t>
      </w:r>
      <w:r w:rsidRPr="00DA5D56">
        <w:rPr>
          <w:rFonts w:eastAsiaTheme="majorEastAsia" w:cstheme="majorBidi"/>
          <w:b/>
          <w:bCs/>
          <w:i/>
          <w:iCs/>
          <w:color w:val="4472C4" w:themeColor="accent1"/>
        </w:rPr>
        <w:t>:</w:t>
      </w:r>
      <w:r w:rsidRPr="00DA5D56">
        <w:t xml:space="preserve"> This was a cross sectional study with whole dataset blinded comparison of measurements by two raters.  Bland-Altman plots and intra-class correlation co-</w:t>
      </w:r>
      <w:proofErr w:type="spellStart"/>
      <w:r w:rsidRPr="00DA5D56">
        <w:t>efficients</w:t>
      </w:r>
      <w:proofErr w:type="spellEnd"/>
      <w:r w:rsidRPr="00DA5D56">
        <w:t xml:space="preserve"> (ICC) were used to analyse results. </w:t>
      </w:r>
    </w:p>
    <w:p w14:paraId="5F4EA900" w14:textId="56754E10" w:rsidR="00DA5D56" w:rsidRPr="00DA5D56" w:rsidRDefault="00DA5D56" w:rsidP="00DA5D56">
      <w:pPr>
        <w:spacing w:line="360" w:lineRule="auto"/>
      </w:pPr>
      <w:r w:rsidRPr="00D41FC4">
        <w:rPr>
          <w:rFonts w:eastAsiaTheme="majorEastAsia" w:cstheme="majorBidi"/>
          <w:b/>
          <w:bCs/>
          <w:color w:val="4472C4" w:themeColor="accent1"/>
        </w:rPr>
        <w:t>Results:</w:t>
      </w:r>
      <w:r w:rsidRPr="00DA5D56">
        <w:t xml:space="preserve"> Bland-Altman plots of </w:t>
      </w:r>
      <w:r w:rsidR="009E50B3" w:rsidRPr="00DA5D56">
        <w:t xml:space="preserve">Time-to-peak concentration </w:t>
      </w:r>
      <w:r w:rsidRPr="00DA5D56">
        <w:t xml:space="preserve">show approximately 10% variability for the difference vs average plots. </w:t>
      </w:r>
      <w:r w:rsidR="009E50B3" w:rsidRPr="00DA5D56">
        <w:t xml:space="preserve">Time-to-peak concentration </w:t>
      </w:r>
      <w:r w:rsidRPr="00DA5D56">
        <w:t xml:space="preserve">has an “excellent” ICC of </w:t>
      </w:r>
      <w:r w:rsidR="00D16370">
        <w:t>0</w:t>
      </w:r>
      <w:r w:rsidRPr="00DA5D56">
        <w:t xml:space="preserve">.837. ICC was good for </w:t>
      </w:r>
      <w:r w:rsidR="009E50B3" w:rsidRPr="00DA5D56">
        <w:t xml:space="preserve">regional blood flow </w:t>
      </w:r>
      <w:r w:rsidR="009E50B3">
        <w:t>RBF</w:t>
      </w:r>
      <w:r w:rsidRPr="00DA5D56">
        <w:t>=</w:t>
      </w:r>
      <w:r w:rsidR="00D16370">
        <w:t>0</w:t>
      </w:r>
      <w:r w:rsidRPr="00DA5D56">
        <w:t xml:space="preserve">.710 and </w:t>
      </w:r>
      <w:r w:rsidR="009E50B3" w:rsidRPr="00DA5D56">
        <w:t xml:space="preserve">mean transit time </w:t>
      </w:r>
      <w:r w:rsidR="009E50B3">
        <w:t>MTT</w:t>
      </w:r>
      <w:r w:rsidRPr="00DA5D56">
        <w:t xml:space="preserve">= </w:t>
      </w:r>
      <w:r w:rsidR="00D16370">
        <w:t>0</w:t>
      </w:r>
      <w:r w:rsidRPr="00DA5D56">
        <w:t xml:space="preserve">.618, and fair for </w:t>
      </w:r>
      <w:r w:rsidR="009E50B3" w:rsidRPr="00DA5D56">
        <w:t xml:space="preserve">regional blood volume </w:t>
      </w:r>
      <w:r w:rsidR="009E50B3">
        <w:t>RBV</w:t>
      </w:r>
      <w:r w:rsidRPr="00DA5D56">
        <w:t>=</w:t>
      </w:r>
      <w:r w:rsidR="00D16370">
        <w:t>0</w:t>
      </w:r>
      <w:r w:rsidRPr="00DA5D56">
        <w:t xml:space="preserve">.443.  </w:t>
      </w:r>
    </w:p>
    <w:p w14:paraId="67B63FE3" w14:textId="1CF85E9C" w:rsidR="00DA5D56" w:rsidRPr="00DA5D56" w:rsidRDefault="00DA5D56" w:rsidP="00DA5D56">
      <w:pPr>
        <w:spacing w:line="360" w:lineRule="auto"/>
      </w:pPr>
      <w:r w:rsidRPr="00D41FC4">
        <w:rPr>
          <w:rFonts w:eastAsiaTheme="majorEastAsia" w:cstheme="majorBidi"/>
          <w:b/>
          <w:bCs/>
          <w:color w:val="4472C4" w:themeColor="accent1"/>
        </w:rPr>
        <w:t>Conclusions:</w:t>
      </w:r>
      <w:r w:rsidRPr="00DA5D56">
        <w:t xml:space="preserve"> </w:t>
      </w:r>
      <w:r w:rsidR="009E50B3" w:rsidRPr="00DA5D56">
        <w:t xml:space="preserve">Time-to-peak concentration </w:t>
      </w:r>
      <w:r w:rsidRPr="00DA5D56">
        <w:t>was the most robust measure of microvascular cerebral perfusion. The other measures have good reproducibility in line with previously published reports.  Our methodology was therefore sufficiently robust to draw conclusions from group comparisons of microvascular cerebral perfusion measures.</w:t>
      </w:r>
    </w:p>
    <w:p w14:paraId="55BDCDF7" w14:textId="77777777" w:rsidR="00DA5D56" w:rsidRPr="00DA5D56" w:rsidRDefault="00DA5D56" w:rsidP="00DA5D56">
      <w:pPr>
        <w:spacing w:line="360" w:lineRule="auto"/>
      </w:pPr>
    </w:p>
    <w:p w14:paraId="6D936926" w14:textId="73A879DC" w:rsidR="00DA5D56" w:rsidRPr="00E745CE" w:rsidRDefault="00DA5D56" w:rsidP="00E745CE">
      <w:pPr>
        <w:pStyle w:val="Heading2"/>
      </w:pPr>
      <w:bookmarkStart w:id="221" w:name="_Toc46213524"/>
      <w:bookmarkStart w:id="222" w:name="_Toc49766044"/>
      <w:bookmarkStart w:id="223" w:name="_Toc64723919"/>
      <w:r w:rsidRPr="00E745CE">
        <w:lastRenderedPageBreak/>
        <w:t>Introduction:</w:t>
      </w:r>
      <w:bookmarkEnd w:id="221"/>
      <w:bookmarkEnd w:id="222"/>
      <w:bookmarkEnd w:id="223"/>
    </w:p>
    <w:p w14:paraId="4B35D0A3" w14:textId="06C69382" w:rsidR="00DA5D56" w:rsidRPr="00DA5D56" w:rsidRDefault="00DA5D56" w:rsidP="00DA5D56">
      <w:pPr>
        <w:spacing w:line="360" w:lineRule="auto"/>
        <w:rPr>
          <w:rFonts w:cs="Arial"/>
        </w:rPr>
      </w:pPr>
      <w:r w:rsidRPr="00DA5D56">
        <w:rPr>
          <w:rFonts w:cs="Arial"/>
        </w:rPr>
        <w:t xml:space="preserve">Perfusion abnormalities have been demonstrated, in pilot work performed by our group, in the thalamus of subjects with P-DPN using DSC-MRI </w:t>
      </w:r>
      <w:r w:rsidRPr="00DA5D56">
        <w:rPr>
          <w:rFonts w:cs="Arial"/>
        </w:rPr>
        <w:fldChar w:fldCharType="begin"/>
      </w:r>
      <w:r w:rsidR="009968E0">
        <w:rPr>
          <w:rFonts w:cs="Arial"/>
        </w:rPr>
        <w:instrText xml:space="preserve"> ADDIN EN.CITE &lt;EndNote&gt;&lt;Cite&gt;&lt;Author&gt;Selvarajah&lt;/Author&gt;&lt;Year&gt;2011&lt;/Year&gt;&lt;IDText&gt;Microvascular perfusion abnormalities of the Thalamus in painful but not painless diabetic polyneuropathy: a clue to the pathogenesis of pain in type 1 diabetes&lt;/IDText&gt;&lt;DisplayText&gt;(Selvarajah et al., 2011b)&lt;/DisplayText&gt;&lt;record&gt;&lt;dates&gt;&lt;pub-dates&gt;&lt;date&gt;Mar&lt;/date&gt;&lt;/pub-dates&gt;&lt;year&gt;2011&lt;/year&gt;&lt;/dates&gt;&lt;keywords&gt;&lt;keyword&gt;Diabetes Mellitus, Type 1&lt;/keyword&gt;&lt;keyword&gt;Diabetic Neuropathies&lt;/keyword&gt;&lt;keyword&gt;Female&lt;/keyword&gt;&lt;keyword&gt;Humans&lt;/keyword&gt;&lt;keyword&gt;Male&lt;/keyword&gt;&lt;keyword&gt;Microvessels&lt;/keyword&gt;&lt;keyword&gt;Pain&lt;/keyword&gt;&lt;keyword&gt;Thalamus&lt;/keyword&gt;&lt;/keywords&gt;&lt;urls&gt;&lt;related-urls&gt;&lt;url&gt;http://www.ncbi.nlm.nih.gov/pubmed/21282344&lt;/url&gt;&lt;/related-urls&gt;&lt;/urls&gt;&lt;isbn&gt;1935-5548&lt;/isbn&gt;&lt;custom2&gt;PMC3041213&lt;/custom2&gt;&lt;titles&gt;&lt;title&gt;Microvascular perfusion abnormalities of the Thalamus in painful but not painless diabetic polyneuropathy: a clue to the pathogenesis of pain in type 1 diabetes&lt;/title&gt;&lt;secondary-title&gt;Diabetes Care&lt;/secondary-title&gt;&lt;/titles&gt;&lt;pages&gt;718-20&lt;/pages&gt;&lt;number&gt;3&lt;/number&gt;&lt;contributors&gt;&lt;authors&gt;&lt;author&gt;Selvarajah, D.&lt;/author&gt;&lt;author&gt;Wilkinson, I. D.&lt;/author&gt;&lt;author&gt;Gandhi, R.&lt;/author&gt;&lt;author&gt;Griffiths, P. D.&lt;/author&gt;&lt;author&gt;Tesfaye, S.&lt;/author&gt;&lt;/authors&gt;&lt;/contributors&gt;&lt;language&gt;eng&lt;/language&gt;&lt;added-date format="utc"&gt;1349953630&lt;/added-date&gt;&lt;ref-type name="Journal Article"&gt;17&lt;/ref-type&gt;&lt;auth-address&gt;Diabetes Research Department, Royal Hallamshire Hospital, Sheffield, UK. dinesh.selvarajah@gmail.com&lt;/auth-address&gt;&lt;rec-number&gt;3&lt;/rec-number&gt;&lt;last-updated-date format="utc"&gt;1349953630&lt;/last-updated-date&gt;&lt;accession-num&gt;21282344&lt;/accession-num&gt;&lt;electronic-resource-num&gt;dc10-1550 [pii]&amp;#xD;&amp;#xA;10.2337/dc10-1550&lt;/electronic-resource-num&gt;&lt;volume&gt;34&lt;/volume&gt;&lt;/record&gt;&lt;/Cite&gt;&lt;/EndNote&gt;</w:instrText>
      </w:r>
      <w:r w:rsidRPr="00DA5D56">
        <w:rPr>
          <w:rFonts w:cs="Arial"/>
        </w:rPr>
        <w:fldChar w:fldCharType="separate"/>
      </w:r>
      <w:r w:rsidR="009968E0">
        <w:rPr>
          <w:rFonts w:cs="Arial"/>
          <w:noProof/>
        </w:rPr>
        <w:t>(Selvarajah et al., 2011b)</w:t>
      </w:r>
      <w:r w:rsidRPr="00DA5D56">
        <w:rPr>
          <w:rFonts w:cs="Arial"/>
        </w:rPr>
        <w:fldChar w:fldCharType="end"/>
      </w:r>
      <w:r w:rsidRPr="00DA5D56">
        <w:rPr>
          <w:rFonts w:cs="Arial"/>
        </w:rPr>
        <w:t xml:space="preserve">.  The study used “relative” perfusion measures at 1.5 T (Tesla). The aim of this study was to try and replicate those results with a 3T scanner and “quantitative”  DSC-MRI.  </w:t>
      </w:r>
    </w:p>
    <w:p w14:paraId="6A91E48A" w14:textId="0C857638" w:rsidR="00DA5D56" w:rsidRPr="00DA5D56" w:rsidRDefault="00DA5D56" w:rsidP="00DA5D56">
      <w:pPr>
        <w:spacing w:line="360" w:lineRule="auto"/>
        <w:rPr>
          <w:rFonts w:cs="Arial"/>
        </w:rPr>
      </w:pPr>
      <w:r w:rsidRPr="00DA5D56">
        <w:rPr>
          <w:rFonts w:cs="Arial"/>
        </w:rPr>
        <w:t xml:space="preserve">Quantitative DSC-MRI utilises T2* properties of gadolinium chelate contrast to obtain perfusion data for brain regions as discussed in Chapter 1- The </w:t>
      </w:r>
      <w:r w:rsidR="00D16370">
        <w:rPr>
          <w:rFonts w:cs="Arial"/>
        </w:rPr>
        <w:t>I</w:t>
      </w:r>
      <w:r w:rsidRPr="00DA5D56">
        <w:rPr>
          <w:rFonts w:cs="Arial"/>
        </w:rPr>
        <w:t>ntroduction pp</w:t>
      </w:r>
      <w:r w:rsidR="00D16370">
        <w:rPr>
          <w:rFonts w:cs="Arial"/>
        </w:rPr>
        <w:t xml:space="preserve"> 30-33</w:t>
      </w:r>
      <w:r w:rsidRPr="00DA5D56">
        <w:rPr>
          <w:rFonts w:cs="Arial"/>
        </w:rPr>
        <w:t xml:space="preserve">.  In this study we used a commercially available post-processing package </w:t>
      </w:r>
      <w:proofErr w:type="spellStart"/>
      <w:r w:rsidRPr="00DA5D56">
        <w:rPr>
          <w:rFonts w:cs="Arial"/>
        </w:rPr>
        <w:t>NordicNeurolab</w:t>
      </w:r>
      <w:proofErr w:type="spellEnd"/>
      <w:r w:rsidRPr="00DA5D56">
        <w:rPr>
          <w:rFonts w:cs="Arial"/>
        </w:rPr>
        <w:t xml:space="preserve">, </w:t>
      </w:r>
      <w:proofErr w:type="spellStart"/>
      <w:r w:rsidRPr="00DA5D56">
        <w:rPr>
          <w:rFonts w:cs="Arial"/>
        </w:rPr>
        <w:t>nordicICE</w:t>
      </w:r>
      <w:proofErr w:type="spellEnd"/>
      <w:r w:rsidRPr="00DA5D56">
        <w:rPr>
          <w:rFonts w:cs="Arial"/>
        </w:rPr>
        <w:t xml:space="preserve"> perfusion package, (V3.0, Bergen 2012) in order to assist with generation of the AIF, register to a T1 image for anatomical information, and for production of post processing RBV, MTT, RBF and TTP maps.  There were multiple post processing steps that required manual input and human decision making.  Determination of  the reliability of the post processing steps was important for generalisability of the results.  Quantification of DSC-MRI is not straightforward due to human decisions that are required to identify the arterial input function and adjust for bolus recirculation effects </w:t>
      </w:r>
      <w:r w:rsidRPr="00DA5D56">
        <w:rPr>
          <w:rFonts w:cs="Arial"/>
        </w:rPr>
        <w:fldChar w:fldCharType="begin"/>
      </w:r>
      <w:r w:rsidR="009968E0">
        <w:rPr>
          <w:rFonts w:cs="Arial"/>
        </w:rPr>
        <w:instrText xml:space="preserve"> ADDIN EN.CITE &lt;EndNote&gt;&lt;Cite&gt;&lt;Author&gt;Willats&lt;/Author&gt;&lt;Year&gt;2013&lt;/Year&gt;&lt;IDText&gt;The 39 steps: evading error and deciphering the secrets for accurate dynamic susceptibility contrast MRI&lt;/IDText&gt;&lt;DisplayText&gt;(Willats and Calamante, 2013a)&lt;/DisplayText&gt;&lt;record&gt;&lt;dates&gt;&lt;pub-dates&gt;&lt;date&gt;Aug&lt;/date&gt;&lt;/pub-dates&gt;&lt;year&gt;2013&lt;/year&gt;&lt;/dates&gt;&lt;urls&gt;&lt;related-urls&gt;&lt;url&gt;&amp;lt;Go to ISI&amp;gt;://WOS:000322167500006&lt;/url&gt;&lt;/related-urls&gt;&lt;/urls&gt;&lt;isbn&gt;0952-3480&lt;/isbn&gt;&lt;titles&gt;&lt;title&gt;The 39 steps: evading error and deciphering the secrets for accurate dynamic susceptibility contrast MRI&lt;/title&gt;&lt;secondary-title&gt;Nmr in Biomedicine&lt;/secondary-title&gt;&lt;/titles&gt;&lt;pages&gt;913-931&lt;/pages&gt;&lt;number&gt;8&lt;/number&gt;&lt;contributors&gt;&lt;authors&gt;&lt;author&gt;Willats, Lisa&lt;/author&gt;&lt;author&gt;Calamante, Fernando&lt;/author&gt;&lt;/authors&gt;&lt;/contributors&gt;&lt;added-date format="utc"&gt;1510075848&lt;/added-date&gt;&lt;ref-type name="Journal Article"&gt;17&lt;/ref-type&gt;&lt;rec-number&gt;888&lt;/rec-number&gt;&lt;last-updated-date format="utc"&gt;1569073619&lt;/last-updated-date&gt;&lt;accession-num&gt;WOS:000322167500006&lt;/accession-num&gt;&lt;electronic-resource-num&gt;10.1002/nbm.2833&lt;/electronic-resource-num&gt;&lt;volume&gt;26&lt;/volume&gt;&lt;/record&gt;&lt;/Cite&gt;&lt;/EndNote&gt;</w:instrText>
      </w:r>
      <w:r w:rsidRPr="00DA5D56">
        <w:rPr>
          <w:rFonts w:cs="Arial"/>
        </w:rPr>
        <w:fldChar w:fldCharType="separate"/>
      </w:r>
      <w:r w:rsidR="009968E0">
        <w:rPr>
          <w:rFonts w:cs="Arial"/>
          <w:noProof/>
        </w:rPr>
        <w:t>(Willats and Calamante, 2013a)</w:t>
      </w:r>
      <w:r w:rsidRPr="00DA5D56">
        <w:rPr>
          <w:rFonts w:cs="Arial"/>
        </w:rPr>
        <w:fldChar w:fldCharType="end"/>
      </w:r>
      <w:r w:rsidRPr="00DA5D56">
        <w:rPr>
          <w:rFonts w:cs="Arial"/>
        </w:rPr>
        <w:t xml:space="preserve">.  Deconvolution of tissue perfusion curves with the arterial input function (AIF), accounts for bolus delay and dispersion.  This makes interpretation of perfusion parameters easier, however finding the ideal area to place the AIF can introduce variation and fully automated methods are not entirely reproducible </w:t>
      </w:r>
      <w:r w:rsidRPr="00DA5D56">
        <w:rPr>
          <w:rFonts w:cs="Arial"/>
        </w:rPr>
        <w:fldChar w:fldCharType="begin"/>
      </w:r>
      <w:r w:rsidRPr="00DA5D56">
        <w:rPr>
          <w:rFonts w:cs="Arial"/>
        </w:rPr>
        <w:instrText xml:space="preserve"> ADDIN EN.CITE &lt;EndNote&gt;&lt;Cite&gt;&lt;Author&gt;Quarles&lt;/Author&gt;&lt;Year&gt;2019&lt;/Year&gt;&lt;IDText&gt;Imaging vascular and hemodynamic features of the brain using dynamic susceptibility contrast and dynamic contrast enhanced MRI&lt;/IDText&gt;&lt;DisplayText&gt;(Quarles et al., 2019)&lt;/DisplayText&gt;&lt;record&gt;&lt;keywords&gt;&lt;keyword&gt;Dynamic Susceptibility Contrast Mri&lt;/keyword&gt;&lt;keyword&gt;Dynamic Contrast Enhanced Mri&lt;/keyword&gt;&lt;keyword&gt;Perfusion&lt;/keyword&gt;&lt;keyword&gt;Vascular Permeability&lt;/keyword&gt;&lt;keyword&gt;Dynamic Susceptibility Contrast Mri&lt;/keyword&gt;&lt;keyword&gt;Dynamic Contrast Enhanced Mri&lt;/keyword&gt;&lt;keyword&gt;Perfusion&lt;/keyword&gt;&lt;keyword&gt;Vascular Permeability&lt;/keyword&gt;&lt;keyword&gt;Ca&lt;/keyword&gt;&lt;keyword&gt;Dsc&lt;/keyword&gt;&lt;keyword&gt;Dce&lt;/keyword&gt;&lt;keyword&gt;Cbv&lt;/keyword&gt;&lt;keyword&gt;Cbf&lt;/keyword&gt;&lt;keyword&gt;Mtt&lt;/keyword&gt;&lt;keyword&gt;BBB&lt;/keyword&gt;&lt;keyword&gt;Se&lt;/keyword&gt;&lt;keyword&gt;Gradient Echo&lt;/keyword&gt;&lt;keyword&gt;Vessel Size Imaging&lt;/keyword&gt;&lt;keyword&gt;Vessel Architectural Imaging&lt;/keyword&gt;&lt;keyword&gt;Short Echo Times&lt;/keyword&gt;&lt;/keywords&gt;&lt;isbn&gt;1053-8119&lt;/isbn&gt;&lt;titles&gt;&lt;title&gt;Imaging vascular and hemodynamic features of the brain using dynamic susceptibility contrast and dynamic contrast enhanced MRI&lt;/title&gt;&lt;secondary-title&gt;NeuroImage&lt;/secondary-title&gt;&lt;/titles&gt;&lt;pages&gt;32-55&lt;/pages&gt;&lt;contributors&gt;&lt;authors&gt;&lt;author&gt;Quarles, C&lt;/author&gt;&lt;author&gt;Bell, L&lt;/author&gt;&lt;author&gt;Stokes, A&lt;/author&gt;&lt;/authors&gt;&lt;/contributors&gt;&lt;added-date format="utc"&gt;1595873581&lt;/added-date&gt;&lt;ref-type name="Journal Article"&gt;17&lt;/ref-type&gt;&lt;dates&gt;&lt;year&gt;2019&lt;/year&gt;&lt;/dates&gt;&lt;rec-number&gt;1270&lt;/rec-number&gt;&lt;last-updated-date format="utc"&gt;1595873617&lt;/last-updated-date&gt;&lt;electronic-resource-num&gt;10.1016/j.neuroimage.2018.04.069&lt;/electronic-resource-num&gt;&lt;volume&gt;187&lt;/volume&gt;&lt;/record&gt;&lt;/Cite&gt;&lt;/EndNote&gt;</w:instrText>
      </w:r>
      <w:r w:rsidRPr="00DA5D56">
        <w:rPr>
          <w:rFonts w:cs="Arial"/>
        </w:rPr>
        <w:fldChar w:fldCharType="separate"/>
      </w:r>
      <w:r w:rsidRPr="00DA5D56">
        <w:rPr>
          <w:rFonts w:cs="Arial"/>
          <w:noProof/>
        </w:rPr>
        <w:t>(Quarles et al., 2019)</w:t>
      </w:r>
      <w:r w:rsidRPr="00DA5D56">
        <w:rPr>
          <w:rFonts w:cs="Arial"/>
        </w:rPr>
        <w:fldChar w:fldCharType="end"/>
      </w:r>
      <w:r w:rsidRPr="00DA5D56">
        <w:rPr>
          <w:rFonts w:cs="Arial"/>
        </w:rPr>
        <w:t xml:space="preserve">.  Placing a global AIF </w:t>
      </w:r>
      <w:proofErr w:type="gramStart"/>
      <w:r w:rsidRPr="00DA5D56">
        <w:rPr>
          <w:rFonts w:cs="Arial"/>
        </w:rPr>
        <w:t>i.e.</w:t>
      </w:r>
      <w:proofErr w:type="gramEnd"/>
      <w:r w:rsidRPr="00DA5D56">
        <w:rPr>
          <w:rFonts w:cs="Arial"/>
        </w:rPr>
        <w:t xml:space="preserve"> placement in a proximal large vessel of the CNS [middle cerebral artery (MCA) or internal carotid artery (ICA)], is more reproducible in terms of anatomical placement and is less susceptible to partial volume effects.  Placement of the AIF in a vessel feeding the region of interest, is less reproducible across operators, has a higher incidence of partial volume effects, but has minimal contribution to bolus delay and dispersion </w:t>
      </w:r>
      <w:r w:rsidRPr="00DA5D56">
        <w:rPr>
          <w:rFonts w:cs="Arial"/>
        </w:rPr>
        <w:fldChar w:fldCharType="begin"/>
      </w:r>
      <w:r w:rsidRPr="00DA5D56">
        <w:rPr>
          <w:rFonts w:cs="Arial"/>
        </w:rPr>
        <w:instrText xml:space="preserve"> ADDIN EN.CITE &lt;EndNote&gt;&lt;Cite&gt;&lt;Author&gt;Calamante&lt;/Author&gt;&lt;Year&gt;2013&lt;/Year&gt;&lt;IDText&gt;Arterial input function in perfusion MRI: a comprehensive review&lt;/IDText&gt;&lt;DisplayText&gt;(Calamante, 2013)&lt;/DisplayText&gt;&lt;record&gt;&lt;dates&gt;&lt;pub-dates&gt;&lt;date&gt;Oct&lt;/date&gt;&lt;/pub-dates&gt;&lt;year&gt;2013&lt;/year&gt;&lt;/dates&gt;&lt;keywords&gt;&lt;keyword&gt;Brain&lt;/keyword&gt;&lt;keyword&gt;Cerebrovascular Circulation&lt;/keyword&gt;&lt;keyword&gt;Contrast Media&lt;/keyword&gt;&lt;keyword&gt;Humans&lt;/keyword&gt;&lt;keyword&gt;Magnetic Resonance Imaging&lt;/keyword&gt;&lt;/keywords&gt;&lt;urls&gt;&lt;related-urls&gt;&lt;url&gt;https://www.ncbi.nlm.nih.gov/pubmed/24083460&lt;/url&gt;&lt;/related-urls&gt;&lt;/urls&gt;&lt;isbn&gt;1873-3301&lt;/isbn&gt;&lt;titles&gt;&lt;title&gt;Arterial input function in perfusion MRI: a comprehensive review&lt;/title&gt;&lt;secondary-title&gt;Prog Nucl Magn Reson Spectrosc&lt;/secondary-title&gt;&lt;/titles&gt;&lt;pages&gt;1-32&lt;/pages&gt;&lt;contributors&gt;&lt;authors&gt;&lt;author&gt;Calamante, F.&lt;/author&gt;&lt;/authors&gt;&lt;/contributors&gt;&lt;edition&gt;2013/05/11&lt;/edition&gt;&lt;language&gt;eng&lt;/language&gt;&lt;added-date format="utc"&gt;1501257956&lt;/added-date&gt;&lt;ref-type name="Journal Article"&gt;17&lt;/ref-type&gt;&lt;rec-number&gt;882&lt;/rec-number&gt;&lt;last-updated-date format="utc"&gt;1501257956&lt;/last-updated-date&gt;&lt;accession-num&gt;24083460&lt;/accession-num&gt;&lt;electronic-resource-num&gt;10.1016/j.pnmrs.2013.04.002&lt;/electronic-resource-num&gt;&lt;volume&gt;74&lt;/volume&gt;&lt;/record&gt;&lt;/Cite&gt;&lt;/EndNote&gt;</w:instrText>
      </w:r>
      <w:r w:rsidRPr="00DA5D56">
        <w:rPr>
          <w:rFonts w:cs="Arial"/>
        </w:rPr>
        <w:fldChar w:fldCharType="separate"/>
      </w:r>
      <w:r w:rsidRPr="00DA5D56">
        <w:rPr>
          <w:rFonts w:cs="Arial"/>
          <w:noProof/>
        </w:rPr>
        <w:t>(Calamante, 2013)</w:t>
      </w:r>
      <w:r w:rsidRPr="00DA5D56">
        <w:rPr>
          <w:rFonts w:cs="Arial"/>
        </w:rPr>
        <w:fldChar w:fldCharType="end"/>
      </w:r>
      <w:r w:rsidRPr="00DA5D56">
        <w:rPr>
          <w:rFonts w:cs="Arial"/>
        </w:rPr>
        <w:t xml:space="preserve">.  For multiple regions of interest global AIF is an accepted method </w:t>
      </w:r>
      <w:r w:rsidRPr="00DA5D56">
        <w:rPr>
          <w:rFonts w:cs="Arial"/>
        </w:rPr>
        <w:fldChar w:fldCharType="begin"/>
      </w:r>
      <w:r w:rsidRPr="00DA5D56">
        <w:rPr>
          <w:rFonts w:cs="Arial"/>
        </w:rPr>
        <w:instrText xml:space="preserve"> ADDIN EN.CITE &lt;EndNote&gt;&lt;Cite&gt;&lt;Author&gt;Calamante&lt;/Author&gt;&lt;Year&gt;2013&lt;/Year&gt;&lt;IDText&gt;Arterial input function in perfusion MRI: a comprehensive review&lt;/IDText&gt;&lt;DisplayText&gt;(Calamante, 2013)&lt;/DisplayText&gt;&lt;record&gt;&lt;dates&gt;&lt;pub-dates&gt;&lt;date&gt;Oct&lt;/date&gt;&lt;/pub-dates&gt;&lt;year&gt;2013&lt;/year&gt;&lt;/dates&gt;&lt;keywords&gt;&lt;keyword&gt;Brain&lt;/keyword&gt;&lt;keyword&gt;Cerebrovascular Circulation&lt;/keyword&gt;&lt;keyword&gt;Contrast Media&lt;/keyword&gt;&lt;keyword&gt;Humans&lt;/keyword&gt;&lt;keyword&gt;Magnetic Resonance Imaging&lt;/keyword&gt;&lt;/keywords&gt;&lt;urls&gt;&lt;related-urls&gt;&lt;url&gt;https://www.ncbi.nlm.nih.gov/pubmed/24083460&lt;/url&gt;&lt;/related-urls&gt;&lt;/urls&gt;&lt;isbn&gt;1873-3301&lt;/isbn&gt;&lt;titles&gt;&lt;title&gt;Arterial input function in perfusion MRI: a comprehensive review&lt;/title&gt;&lt;secondary-title&gt;Prog Nucl Magn Reson Spectrosc&lt;/secondary-title&gt;&lt;/titles&gt;&lt;pages&gt;1-32&lt;/pages&gt;&lt;contributors&gt;&lt;authors&gt;&lt;author&gt;Calamante, F.&lt;/author&gt;&lt;/authors&gt;&lt;/contributors&gt;&lt;edition&gt;2013/05/11&lt;/edition&gt;&lt;language&gt;eng&lt;/language&gt;&lt;added-date format="utc"&gt;1501257956&lt;/added-date&gt;&lt;ref-type name="Journal Article"&gt;17&lt;/ref-type&gt;&lt;rec-number&gt;882&lt;/rec-number&gt;&lt;last-updated-date format="utc"&gt;1501257956&lt;/last-updated-date&gt;&lt;accession-num&gt;24083460&lt;/accession-num&gt;&lt;electronic-resource-num&gt;10.1016/j.pnmrs.2013.04.002&lt;/electronic-resource-num&gt;&lt;volume&gt;74&lt;/volume&gt;&lt;/record&gt;&lt;/Cite&gt;&lt;/EndNote&gt;</w:instrText>
      </w:r>
      <w:r w:rsidRPr="00DA5D56">
        <w:rPr>
          <w:rFonts w:cs="Arial"/>
        </w:rPr>
        <w:fldChar w:fldCharType="separate"/>
      </w:r>
      <w:r w:rsidRPr="00DA5D56">
        <w:rPr>
          <w:rFonts w:cs="Arial"/>
          <w:noProof/>
        </w:rPr>
        <w:t>(Calamante, 2013)</w:t>
      </w:r>
      <w:r w:rsidRPr="00DA5D56">
        <w:rPr>
          <w:rFonts w:cs="Arial"/>
        </w:rPr>
        <w:fldChar w:fldCharType="end"/>
      </w:r>
    </w:p>
    <w:p w14:paraId="79F96E7A" w14:textId="77777777" w:rsidR="00DA5D56" w:rsidRPr="00DA5D56" w:rsidRDefault="00DA5D56" w:rsidP="00DA5D56">
      <w:pPr>
        <w:spacing w:line="360" w:lineRule="auto"/>
        <w:rPr>
          <w:rFonts w:cs="Arial"/>
        </w:rPr>
      </w:pPr>
      <w:r w:rsidRPr="00DA5D56">
        <w:rPr>
          <w:rFonts w:cs="Arial"/>
        </w:rPr>
        <w:t xml:space="preserve">Another source of variation is the manual drawing of regions of interest.  The regions of interest must be carefully described and drawn manually.  There is currently no automated process that is more reliable </w:t>
      </w:r>
      <w:r w:rsidRPr="00DA5D56">
        <w:rPr>
          <w:rFonts w:cs="Arial"/>
        </w:rPr>
        <w:fldChar w:fldCharType="begin"/>
      </w:r>
      <w:r w:rsidRPr="00DA5D56">
        <w:rPr>
          <w:rFonts w:cs="Arial"/>
        </w:rPr>
        <w:instrText xml:space="preserve"> ADDIN EN.CITE &lt;EndNote&gt;&lt;Cite&gt;&lt;Author&gt;Galinovic&lt;/Author&gt;&lt;Year&gt;2012&lt;/Year&gt;&lt;IDText&gt;Automated vs manual delineations of regions of interest- a comparison in commercially available perfusion MRI software&lt;/IDText&gt;&lt;DisplayText&gt;(Galinovic et al., 2012)&lt;/DisplayText&gt;&lt;record&gt;&lt;isbn&gt;1471-2342&lt;/isbn&gt;&lt;titles&gt;&lt;title&gt;Automated vs manual delineations of regions of interest- a comparison in commercially available perfusion MRI software&lt;/title&gt;&lt;secondary-title&gt;BMC Med. Imag.&lt;/secondary-title&gt;&lt;/titles&gt;&lt;contributors&gt;&lt;authors&gt;&lt;author&gt;Galinovic, I.&lt;/author&gt;&lt;author&gt;Ostwaldt, Ac&lt;/author&gt;&lt;author&gt;Soemmer, C.&lt;/author&gt;&lt;author&gt;Bros, H.&lt;/author&gt;&lt;author&gt;Hotter, B.&lt;/author&gt;&lt;author&gt;Brunecker, P.&lt;/author&gt;&lt;author&gt;Fiebach, Jb&lt;/author&gt;&lt;/authors&gt;&lt;/contributors&gt;&lt;added-date format="utc"&gt;1595915982&lt;/added-date&gt;&lt;ref-type name="Journal Article"&gt;17&lt;/ref-type&gt;&lt;dates&gt;&lt;year&gt;2012&lt;/year&gt;&lt;/dates&gt;&lt;rec-number&gt;1272&lt;/rec-number&gt;&lt;last-updated-date format="utc"&gt;1595915982&lt;/last-updated-date&gt;&lt;electronic-resource-num&gt;10.1186/1471-2342-12-16&lt;/electronic-resource-num&gt;&lt;volume&gt;12&lt;/volume&gt;&lt;/record&gt;&lt;/Cite&gt;&lt;/EndNote&gt;</w:instrText>
      </w:r>
      <w:r w:rsidRPr="00DA5D56">
        <w:rPr>
          <w:rFonts w:cs="Arial"/>
        </w:rPr>
        <w:fldChar w:fldCharType="separate"/>
      </w:r>
      <w:r w:rsidRPr="00DA5D56">
        <w:rPr>
          <w:rFonts w:cs="Arial"/>
          <w:noProof/>
        </w:rPr>
        <w:t>(Galinovic et al., 2012)</w:t>
      </w:r>
      <w:r w:rsidRPr="00DA5D56">
        <w:rPr>
          <w:rFonts w:cs="Arial"/>
        </w:rPr>
        <w:fldChar w:fldCharType="end"/>
      </w:r>
      <w:r w:rsidRPr="00DA5D56">
        <w:rPr>
          <w:rFonts w:cs="Arial"/>
        </w:rPr>
        <w:t xml:space="preserve"> although approaches to segmentation are included in packages for grossly abnormal tissue such as tumour or infarct </w:t>
      </w:r>
      <w:r w:rsidRPr="00DA5D56">
        <w:rPr>
          <w:rFonts w:cs="Arial"/>
        </w:rPr>
        <w:fldChar w:fldCharType="begin"/>
      </w:r>
      <w:r w:rsidRPr="00DA5D56">
        <w:rPr>
          <w:rFonts w:cs="Arial"/>
        </w:rPr>
        <w:instrText xml:space="preserve"> ADDIN EN.CITE &lt;EndNote&gt;&lt;Cite&gt;&lt;Author&gt;Alkhimova&lt;/Author&gt;&lt;Year&gt;2019&lt;/Year&gt;&lt;IDText&gt;CUSUM Filter for Brain Segmentation on DSC Perfusion MR Head Scans with Abnormal Brain Anatomy&lt;/IDText&gt;&lt;DisplayText&gt;(Alkhimova, 2019)&lt;/DisplayText&gt;&lt;record&gt;&lt;keywords&gt;&lt;keyword&gt;Computer Science - Computer Vision And Pattern Recognition&lt;/keyword&gt;&lt;/keywords&gt;&lt;titles&gt;&lt;title&gt;CUSUM Filter for Brain Segmentation on DSC Perfusion MR Head Scans with Abnormal Brain Anatomy&lt;/title&gt;&lt;/titles&gt;&lt;contributors&gt;&lt;authors&gt;&lt;author&gt;Alkhimova, S&lt;/author&gt;&lt;/authors&gt;&lt;/contributors&gt;&lt;added-date format="utc"&gt;1595916709&lt;/added-date&gt;&lt;ref-type name="Journal Article"&gt;17&lt;/ref-type&gt;&lt;dates&gt;&lt;year&gt;2019&lt;/year&gt;&lt;/dates&gt;&lt;rec-number&gt;1273&lt;/rec-number&gt;&lt;last-updated-date format="utc"&gt;1595916738&lt;/last-updated-date&gt;&lt;/record&gt;&lt;/Cite&gt;&lt;/EndNote&gt;</w:instrText>
      </w:r>
      <w:r w:rsidRPr="00DA5D56">
        <w:rPr>
          <w:rFonts w:cs="Arial"/>
        </w:rPr>
        <w:fldChar w:fldCharType="separate"/>
      </w:r>
      <w:r w:rsidRPr="00DA5D56">
        <w:rPr>
          <w:rFonts w:cs="Arial"/>
          <w:noProof/>
        </w:rPr>
        <w:t>(Alkhimova, 2019)</w:t>
      </w:r>
      <w:r w:rsidRPr="00DA5D56">
        <w:rPr>
          <w:rFonts w:cs="Arial"/>
        </w:rPr>
        <w:fldChar w:fldCharType="end"/>
      </w:r>
      <w:r w:rsidRPr="00DA5D56">
        <w:rPr>
          <w:rFonts w:cs="Arial"/>
        </w:rPr>
        <w:t xml:space="preserve">.  Consequently, a description of the reproducibility of the technique is important.  </w:t>
      </w:r>
    </w:p>
    <w:p w14:paraId="7110312F" w14:textId="6B228EE9" w:rsidR="00DA5D56" w:rsidRPr="00DA5D56" w:rsidRDefault="00DA5D56" w:rsidP="00DA5D56">
      <w:pPr>
        <w:spacing w:line="360" w:lineRule="auto"/>
        <w:rPr>
          <w:rFonts w:cs="Arial"/>
        </w:rPr>
      </w:pPr>
      <w:r w:rsidRPr="00DA5D56">
        <w:rPr>
          <w:rFonts w:cs="Arial"/>
        </w:rPr>
        <w:lastRenderedPageBreak/>
        <w:t xml:space="preserve">There is data on the reliability of the </w:t>
      </w:r>
      <w:proofErr w:type="spellStart"/>
      <w:r w:rsidRPr="00DA5D56">
        <w:rPr>
          <w:rFonts w:cs="Arial"/>
        </w:rPr>
        <w:t>NordicICE</w:t>
      </w:r>
      <w:proofErr w:type="spellEnd"/>
      <w:r w:rsidRPr="00DA5D56">
        <w:rPr>
          <w:rFonts w:cs="Arial"/>
        </w:rPr>
        <w:t xml:space="preserve"> perfusion package for subjects with glioblastoma </w:t>
      </w:r>
      <w:r w:rsidRPr="00DA5D56">
        <w:rPr>
          <w:rFonts w:cs="Arial"/>
        </w:rPr>
        <w:fldChar w:fldCharType="begin">
          <w:fldData xml:space="preserve">PEVuZE5vdGU+PENpdGU+PEF1dGhvcj5Cam9ybmVydWQ8L0F1dGhvcj48WWVhcj4yMDEwPC9ZZWFy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</w:fldData>
        </w:fldChar>
      </w:r>
      <w:r w:rsidRPr="00DA5D56">
        <w:rPr>
          <w:rFonts w:cs="Arial"/>
        </w:rPr>
        <w:instrText xml:space="preserve"> ADDIN EN.CITE </w:instrText>
      </w:r>
      <w:r w:rsidRPr="00DA5D56">
        <w:rPr>
          <w:rFonts w:cs="Arial"/>
        </w:rPr>
        <w:fldChar w:fldCharType="begin">
          <w:fldData xml:space="preserve">PEVuZE5vdGU+PENpdGU+PEF1dGhvcj5Cam9ybmVydWQ8L0F1dGhvcj48WWVhcj4yMDEwPC9ZZWFy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</w:fldData>
        </w:fldChar>
      </w:r>
      <w:r w:rsidRPr="00DA5D56">
        <w:rPr>
          <w:rFonts w:cs="Arial"/>
        </w:rPr>
        <w:instrText xml:space="preserve"> ADDIN EN.CITE.DATA </w:instrText>
      </w:r>
      <w:r w:rsidRPr="00DA5D56">
        <w:rPr>
          <w:rFonts w:cs="Arial"/>
        </w:rPr>
      </w:r>
      <w:r w:rsidRPr="00DA5D56">
        <w:rPr>
          <w:rFonts w:cs="Arial"/>
        </w:rPr>
        <w:fldChar w:fldCharType="end"/>
      </w:r>
      <w:r w:rsidRPr="00DA5D56">
        <w:rPr>
          <w:rFonts w:cs="Arial"/>
        </w:rPr>
      </w:r>
      <w:r w:rsidRPr="00DA5D56">
        <w:rPr>
          <w:rFonts w:cs="Arial"/>
        </w:rPr>
        <w:fldChar w:fldCharType="separate"/>
      </w:r>
      <w:r w:rsidRPr="00DA5D56">
        <w:rPr>
          <w:rFonts w:cs="Arial"/>
          <w:noProof/>
        </w:rPr>
        <w:t>(Bjornerud and Emblem, 2010, Orsingher et al., 2014, Kelm et al., 2015, Conte et al., 2017)</w:t>
      </w:r>
      <w:r w:rsidRPr="00DA5D56">
        <w:rPr>
          <w:rFonts w:cs="Arial"/>
        </w:rPr>
        <w:fldChar w:fldCharType="end"/>
      </w:r>
      <w:r w:rsidRPr="00DA5D56">
        <w:rPr>
          <w:rFonts w:cs="Arial"/>
        </w:rPr>
        <w:t xml:space="preserve"> but there is no published data for quantification DSC-MRI using this software package outside the field of CNS oncology and stroke medicine.  Although DSC-MRI was reported in subjects with P-DPN by our group previously </w:t>
      </w:r>
      <w:r w:rsidRPr="00DA5D56">
        <w:rPr>
          <w:rFonts w:cs="Arial"/>
        </w:rPr>
        <w:fldChar w:fldCharType="begin"/>
      </w:r>
      <w:r w:rsidR="009968E0">
        <w:rPr>
          <w:rFonts w:cs="Arial"/>
        </w:rPr>
        <w:instrText xml:space="preserve"> ADDIN EN.CITE &lt;EndNote&gt;&lt;Cite&gt;&lt;Author&gt;Selvarajah&lt;/Author&gt;&lt;Year&gt;2011&lt;/Year&gt;&lt;IDText&gt;Microvascular perfusion abnormalities of the Thalamus in painful but not painless diabetic polyneuropathy: a clue to the pathogenesis of pain in type 1 diabetes&lt;/IDText&gt;&lt;DisplayText&gt;(Selvarajah et al., 2011b)&lt;/DisplayText&gt;&lt;record&gt;&lt;dates&gt;&lt;pub-dates&gt;&lt;date&gt;Mar&lt;/date&gt;&lt;/pub-dates&gt;&lt;year&gt;2011&lt;/year&gt;&lt;/dates&gt;&lt;keywords&gt;&lt;keyword&gt;Diabetes Mellitus, Type 1&lt;/keyword&gt;&lt;keyword&gt;Diabetic Neuropathies&lt;/keyword&gt;&lt;keyword&gt;Female&lt;/keyword&gt;&lt;keyword&gt;Humans&lt;/keyword&gt;&lt;keyword&gt;Male&lt;/keyword&gt;&lt;keyword&gt;Microvessels&lt;/keyword&gt;&lt;keyword&gt;Pain&lt;/keyword&gt;&lt;keyword&gt;Thalamus&lt;/keyword&gt;&lt;/keywords&gt;&lt;urls&gt;&lt;related-urls&gt;&lt;url&gt;http://www.ncbi.nlm.nih.gov/pubmed/21282344&lt;/url&gt;&lt;/related-urls&gt;&lt;/urls&gt;&lt;isbn&gt;1935-5548&lt;/isbn&gt;&lt;custom2&gt;PMC3041213&lt;/custom2&gt;&lt;titles&gt;&lt;title&gt;Microvascular perfusion abnormalities of the Thalamus in painful but not painless diabetic polyneuropathy: a clue to the pathogenesis of pain in type 1 diabetes&lt;/title&gt;&lt;secondary-title&gt;Diabetes Care&lt;/secondary-title&gt;&lt;/titles&gt;&lt;pages&gt;718-20&lt;/pages&gt;&lt;number&gt;3&lt;/number&gt;&lt;contributors&gt;&lt;authors&gt;&lt;author&gt;Selvarajah, D.&lt;/author&gt;&lt;author&gt;Wilkinson, I. D.&lt;/author&gt;&lt;author&gt;Gandhi, R.&lt;/author&gt;&lt;author&gt;Griffiths, P. D.&lt;/author&gt;&lt;author&gt;Tesfaye, S.&lt;/author&gt;&lt;/authors&gt;&lt;/contributors&gt;&lt;language&gt;eng&lt;/language&gt;&lt;added-date format="utc"&gt;1349968030&lt;/added-date&gt;&lt;ref-type name="Journal Article"&gt;17&lt;/ref-type&gt;&lt;auth-address&gt;Diabetes Research Department, Royal Hallamshire Hospital, Sheffield, UK. dinesh.selvarajah@gmail.com&lt;/auth-address&gt;&lt;rec-number&gt;3&lt;/rec-number&gt;&lt;last-updated-date format="utc"&gt;1349968030&lt;/last-updated-date&gt;&lt;accession-num&gt;21282344&lt;/accession-num&gt;&lt;electronic-resource-num&gt;dc10-1550 [pii]&amp;#xD;&amp;#xA;10.2337/dc10-1550&lt;/electronic-resource-num&gt;&lt;volume&gt;34&lt;/volume&gt;&lt;/record&gt;&lt;/Cite&gt;&lt;/EndNote&gt;</w:instrText>
      </w:r>
      <w:r w:rsidRPr="00DA5D56">
        <w:rPr>
          <w:rFonts w:cs="Arial"/>
        </w:rPr>
        <w:fldChar w:fldCharType="separate"/>
      </w:r>
      <w:r w:rsidR="009968E0">
        <w:rPr>
          <w:rFonts w:cs="Arial"/>
          <w:noProof/>
        </w:rPr>
        <w:t>(Selvarajah et al., 2011b)</w:t>
      </w:r>
      <w:r w:rsidRPr="00DA5D56">
        <w:rPr>
          <w:rFonts w:cs="Arial"/>
        </w:rPr>
        <w:fldChar w:fldCharType="end"/>
      </w:r>
      <w:r w:rsidRPr="00DA5D56">
        <w:rPr>
          <w:rFonts w:cs="Arial"/>
        </w:rPr>
        <w:t xml:space="preserve">, this study differs from the earlier study in several important ways.  </w:t>
      </w:r>
      <w:r w:rsidRPr="00DA5D56">
        <w:rPr>
          <w:lang w:val="en-US"/>
        </w:rPr>
        <w:t>Apart from the use of 1.5T (rather than 3T) MRI and including smaller numbers of participants than the present study, the pilot study</w:t>
      </w:r>
      <w:r w:rsidRPr="00DA5D56">
        <w:rPr>
          <w:rFonts w:cs="Arial"/>
        </w:rPr>
        <w:t xml:space="preserve"> generated the data without use of the AIF, and therefore the RBV is measured as area under the curve, 1</w:t>
      </w:r>
      <w:r w:rsidRPr="00DA5D56">
        <w:rPr>
          <w:rFonts w:cs="Arial"/>
          <w:vertAlign w:val="superscript"/>
        </w:rPr>
        <w:t>st</w:t>
      </w:r>
      <w:r w:rsidRPr="00DA5D56">
        <w:rPr>
          <w:rFonts w:cs="Arial"/>
        </w:rPr>
        <w:t xml:space="preserve"> moment transit time is reported, and RBF is derived as a ratio of the two measures.  This strategy, even with normalisation, is known to have pitfalls  for interpretation as it does not account for bolus dispersion and delay prior to arrival at the region of interest (ROI) </w:t>
      </w:r>
      <w:r w:rsidRPr="00DA5D56">
        <w:rPr>
          <w:rFonts w:cs="Arial"/>
        </w:rPr>
        <w:fldChar w:fldCharType="begin"/>
      </w:r>
      <w:r w:rsidRPr="00DA5D56">
        <w:rPr>
          <w:rFonts w:cs="Arial"/>
        </w:rPr>
        <w:instrText xml:space="preserve"> ADDIN EN.CITE &lt;EndNote&gt;&lt;Cite&gt;&lt;Author&gt;Perthen&lt;/Author&gt;&lt;Year&gt;2002&lt;/Year&gt;&lt;IDText&gt;Is quantification of bolus tracking MRI reliable without deconvolution?&lt;/IDText&gt;&lt;DisplayText&gt;(Perthen et al., 2002)&lt;/DisplayText&gt;&lt;record&gt;&lt;keywords&gt;&lt;keyword&gt;Perfusion&lt;/keyword&gt;&lt;keyword&gt;Cerebral Blood Flow&lt;/keyword&gt;&lt;keyword&gt;Arterial Input Function&lt;/keyword&gt;&lt;keyword&gt;Numerical Simulations&lt;/keyword&gt;&lt;keyword&gt;Deconvolution&lt;/keyword&gt;&lt;/keywords&gt;&lt;isbn&gt;0740-3194&lt;/isbn&gt;&lt;titles&gt;&lt;title&gt;Is quantification of bolus tracking MRI reliable without deconvolution?&lt;/title&gt;&lt;secondary-title&gt;Magnetic Resonance in Medicine&lt;/secondary-title&gt;&lt;/titles&gt;&lt;pages&gt;61-67&lt;/pages&gt;&lt;number&gt;1&lt;/number&gt;&lt;contributors&gt;&lt;authors&gt;&lt;author&gt;Perthen, Joanna E.&lt;/author&gt;&lt;author&gt;Calamante, Fernando&lt;/author&gt;&lt;author&gt;Gadian, David G.&lt;/author&gt;&lt;author&gt;Connelly, Alan&lt;/author&gt;&lt;/authors&gt;&lt;/contributors&gt;&lt;added-date format="utc"&gt;1569364571&lt;/added-date&gt;&lt;pub-location&gt;New York&lt;/pub-location&gt;&lt;ref-type name="Journal Article"&gt;17&lt;/ref-type&gt;&lt;dates&gt;&lt;year&gt;2002&lt;/year&gt;&lt;/dates&gt;&lt;rec-number&gt;1125&lt;/rec-number&gt;&lt;last-updated-date format="utc"&gt;1569474272&lt;/last-updated-date&gt;&lt;electronic-resource-num&gt;10.1002/mrm.10020&lt;/electronic-resource-num&gt;&lt;volume&gt;47&lt;/volume&gt;&lt;/record&gt;&lt;/Cite&gt;&lt;/EndNote&gt;</w:instrText>
      </w:r>
      <w:r w:rsidRPr="00DA5D56">
        <w:rPr>
          <w:rFonts w:cs="Arial"/>
        </w:rPr>
        <w:fldChar w:fldCharType="separate"/>
      </w:r>
      <w:r w:rsidRPr="00DA5D56">
        <w:rPr>
          <w:rFonts w:cs="Arial"/>
          <w:noProof/>
        </w:rPr>
        <w:t>(Perthen et al., 2002)</w:t>
      </w:r>
      <w:r w:rsidRPr="00DA5D56">
        <w:rPr>
          <w:rFonts w:cs="Arial"/>
        </w:rPr>
        <w:fldChar w:fldCharType="end"/>
      </w:r>
      <w:r w:rsidRPr="00DA5D56">
        <w:rPr>
          <w:rFonts w:cs="Arial"/>
        </w:rPr>
        <w:t xml:space="preserve">.  As we are not using the same strategy for post processing in this study it is important that we validate our approach by examining reproducibility. </w:t>
      </w:r>
    </w:p>
    <w:p w14:paraId="153BC373" w14:textId="73F1D90F" w:rsidR="00DA5D56" w:rsidRPr="00DA5D56" w:rsidRDefault="00DA5D56" w:rsidP="00E745CE">
      <w:pPr>
        <w:pStyle w:val="Heading2"/>
      </w:pPr>
      <w:bookmarkStart w:id="224" w:name="_Toc46213525"/>
      <w:bookmarkStart w:id="225" w:name="_Toc49766045"/>
      <w:bookmarkStart w:id="226" w:name="_Toc64723920"/>
      <w:r w:rsidRPr="00DA5D56">
        <w:t>Methods</w:t>
      </w:r>
      <w:bookmarkEnd w:id="224"/>
      <w:bookmarkEnd w:id="225"/>
      <w:bookmarkEnd w:id="226"/>
    </w:p>
    <w:p w14:paraId="30C5D17E" w14:textId="77777777" w:rsidR="00DA5D56" w:rsidRPr="00DA5D56" w:rsidRDefault="00DA5D56" w:rsidP="00DA5D56">
      <w:pPr>
        <w:spacing w:line="360" w:lineRule="auto"/>
        <w:rPr>
          <w:rFonts w:cs="Arial"/>
        </w:rPr>
      </w:pPr>
      <w:r w:rsidRPr="00DA5D56">
        <w:rPr>
          <w:rFonts w:cs="Arial"/>
        </w:rPr>
        <w:t xml:space="preserve">The methods described in this chapter will be for Visit 2- and Visit 3 (Figure 3.1). </w:t>
      </w:r>
    </w:p>
    <w:p w14:paraId="3002A9E3" w14:textId="7DC77896" w:rsidR="00DA5D56" w:rsidRPr="00C93F48" w:rsidRDefault="00DA5D56" w:rsidP="00C93F48">
      <w:pPr>
        <w:pStyle w:val="Subtitle"/>
      </w:pPr>
      <w:bookmarkStart w:id="227" w:name="_Toc45038103"/>
      <w:bookmarkStart w:id="228" w:name="_Toc49765501"/>
      <w:bookmarkStart w:id="229" w:name="_Toc64724180"/>
      <w:r w:rsidRPr="00C93F48">
        <w:t>Figure 3.1  Overview of the Study</w:t>
      </w:r>
      <w:bookmarkEnd w:id="227"/>
      <w:bookmarkEnd w:id="228"/>
      <w:bookmarkEnd w:id="229"/>
    </w:p>
    <w:p w14:paraId="713C3E81" w14:textId="686A026F" w:rsidR="00DA5D56" w:rsidRPr="00DA5D56" w:rsidRDefault="003F134C" w:rsidP="00DA5D56">
      <w:pPr>
        <w:pBdr>
          <w:top w:val="single" w:sz="4" w:space="1" w:color="auto"/>
          <w:left w:val="single" w:sz="4" w:space="4" w:color="auto"/>
          <w:bottom w:val="single" w:sz="4" w:space="1" w:color="auto"/>
          <w:right w:val="single" w:sz="4" w:space="4" w:color="auto"/>
        </w:pBdr>
        <w:spacing w:line="360" w:lineRule="auto"/>
        <w:rPr>
          <w:rFonts w:cs="Arial"/>
        </w:rPr>
      </w:pPr>
      <w:r w:rsidRPr="00DA5D56">
        <w:rPr>
          <w:noProof/>
          <w:lang w:eastAsia="en-GB"/>
        </w:rPr>
        <mc:AlternateContent>
          <mc:Choice Requires="wps">
            <w:drawing>
              <wp:anchor distT="0" distB="0" distL="114300" distR="114300" simplePos="0" relativeHeight="251710464" behindDoc="0" locked="0" layoutInCell="1" allowOverlap="1" wp14:anchorId="0F5902C3" wp14:editId="4BE64F7E">
                <wp:simplePos x="0" y="0"/>
                <wp:positionH relativeFrom="column">
                  <wp:posOffset>918210</wp:posOffset>
                </wp:positionH>
                <wp:positionV relativeFrom="paragraph">
                  <wp:posOffset>45720</wp:posOffset>
                </wp:positionV>
                <wp:extent cx="1950720" cy="476885"/>
                <wp:effectExtent l="0" t="0" r="17780" b="18415"/>
                <wp:wrapNone/>
                <wp:docPr id="7" name="Rectangle 7"/>
                <wp:cNvGraphicFramePr/>
                <a:graphic xmlns:a="http://schemas.openxmlformats.org/drawingml/2006/main">
                  <a:graphicData uri="http://schemas.microsoft.com/office/word/2010/wordprocessingShape">
                    <wps:wsp>
                      <wps:cNvSpPr/>
                      <wps:spPr>
                        <a:xfrm>
                          <a:off x="0" y="0"/>
                          <a:ext cx="1950720" cy="476885"/>
                        </a:xfrm>
                        <a:prstGeom prst="rect">
                          <a:avLst/>
                        </a:prstGeom>
                        <a:solidFill>
                          <a:srgbClr val="4472C4"/>
                        </a:solidFill>
                        <a:ln w="12700" cap="flat" cmpd="sng" algn="ctr">
                          <a:solidFill>
                            <a:srgbClr val="4472C4">
                              <a:shade val="50000"/>
                            </a:srgbClr>
                          </a:solidFill>
                          <a:prstDash val="solid"/>
                          <a:miter lim="800000"/>
                        </a:ln>
                        <a:effectLst/>
                      </wps:spPr>
                      <wps:txbx>
                        <w:txbxContent>
                          <w:p w14:paraId="19D0DDE5" w14:textId="77777777" w:rsidR="00D17A43" w:rsidRPr="00256299" w:rsidRDefault="00D17A43" w:rsidP="00DA5D56">
                            <w:pPr>
                              <w:jc w:val="center"/>
                              <w:rPr>
                                <w:color w:val="FFFFFF" w:themeColor="background1"/>
                              </w:rPr>
                            </w:pPr>
                            <w:r w:rsidRPr="00256299">
                              <w:rPr>
                                <w:color w:val="FFFFFF" w:themeColor="background1"/>
                              </w:rPr>
                              <w:t xml:space="preserve">Subjects identified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F5902C3" id="Rectangle 7" o:spid="_x0000_s1052" style="position:absolute;margin-left:72.3pt;margin-top:3.6pt;width:153.6pt;height:37.55pt;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" fillcolor="#4472c4" strokecolor="#2f528f" strokeweight="1pt">
                <v:textbox>
                  <w:txbxContent>
                    <w:p w14:paraId="19D0DDE5" w14:textId="77777777" w:rsidR="00D17A43" w:rsidRPr="00256299" w:rsidRDefault="00D17A43" w:rsidP="00DA5D56">
                      <w:pPr>
                        <w:jc w:val="center"/>
                        <w:rPr>
                          <w:color w:val="FFFFFF" w:themeColor="background1"/>
                        </w:rPr>
                      </w:pPr>
                      <w:r w:rsidRPr="00256299">
                        <w:rPr>
                          <w:color w:val="FFFFFF" w:themeColor="background1"/>
                        </w:rPr>
                        <w:t xml:space="preserve">Subjects identified </w:t>
                      </w:r>
                    </w:p>
                  </w:txbxContent>
                </v:textbox>
              </v:rect>
            </w:pict>
          </mc:Fallback>
        </mc:AlternateContent>
      </w:r>
    </w:p>
    <w:p w14:paraId="2F36E149" w14:textId="227551F9" w:rsidR="00DA5D56" w:rsidRPr="00DA5D56" w:rsidRDefault="00DA5D56" w:rsidP="00DA5D56">
      <w:pPr>
        <w:pBdr>
          <w:top w:val="single" w:sz="4" w:space="1" w:color="auto"/>
          <w:left w:val="single" w:sz="4" w:space="4" w:color="auto"/>
          <w:bottom w:val="single" w:sz="4" w:space="1" w:color="auto"/>
          <w:right w:val="single" w:sz="4" w:space="4" w:color="auto"/>
        </w:pBdr>
      </w:pPr>
    </w:p>
    <w:p w14:paraId="676D8243" w14:textId="7346D692" w:rsidR="00DA5D56" w:rsidRPr="00DA5D56" w:rsidRDefault="003F134C" w:rsidP="00DA5D56">
      <w:pPr>
        <w:pBdr>
          <w:top w:val="single" w:sz="4" w:space="1" w:color="auto"/>
          <w:left w:val="single" w:sz="4" w:space="4" w:color="auto"/>
          <w:bottom w:val="single" w:sz="4" w:space="1" w:color="auto"/>
          <w:right w:val="single" w:sz="4" w:space="4" w:color="auto"/>
        </w:pBdr>
      </w:pPr>
      <w:r w:rsidRPr="00DA5D56">
        <w:rPr>
          <w:noProof/>
          <w:lang w:eastAsia="en-GB"/>
        </w:rPr>
        <mc:AlternateContent>
          <mc:Choice Requires="wps">
            <w:drawing>
              <wp:anchor distT="0" distB="0" distL="114300" distR="114300" simplePos="0" relativeHeight="251711488" behindDoc="0" locked="0" layoutInCell="1" allowOverlap="1" wp14:anchorId="74B537B7" wp14:editId="75B76FE0">
                <wp:simplePos x="0" y="0"/>
                <wp:positionH relativeFrom="column">
                  <wp:posOffset>1790065</wp:posOffset>
                </wp:positionH>
                <wp:positionV relativeFrom="paragraph">
                  <wp:posOffset>76200</wp:posOffset>
                </wp:positionV>
                <wp:extent cx="357505" cy="226060"/>
                <wp:effectExtent l="25400" t="0" r="10795" b="27940"/>
                <wp:wrapNone/>
                <wp:docPr id="10" name="Down Arrow 10"/>
                <wp:cNvGraphicFramePr/>
                <a:graphic xmlns:a="http://schemas.openxmlformats.org/drawingml/2006/main">
                  <a:graphicData uri="http://schemas.microsoft.com/office/word/2010/wordprocessingShape">
                    <wps:wsp>
                      <wps:cNvSpPr/>
                      <wps:spPr>
                        <a:xfrm>
                          <a:off x="0" y="0"/>
                          <a:ext cx="357505" cy="226060"/>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0AB4DA1F"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0" o:spid="_x0000_s1026" type="#_x0000_t67" style="position:absolute;margin-left:140.95pt;margin-top:6pt;width:28.15pt;height:17.8pt;z-index:251711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" adj="10800" fillcolor="#4472c4" strokecolor="#2f528f" strokeweight="1pt"/>
            </w:pict>
          </mc:Fallback>
        </mc:AlternateContent>
      </w:r>
    </w:p>
    <w:p w14:paraId="6F2B2EE3" w14:textId="11360329" w:rsidR="00DA5D56" w:rsidRPr="00DA5D56" w:rsidRDefault="003F134C" w:rsidP="00DA5D56">
      <w:pPr>
        <w:pBdr>
          <w:top w:val="single" w:sz="4" w:space="1" w:color="auto"/>
          <w:left w:val="single" w:sz="4" w:space="4" w:color="auto"/>
          <w:bottom w:val="single" w:sz="4" w:space="1" w:color="auto"/>
          <w:right w:val="single" w:sz="4" w:space="4" w:color="auto"/>
        </w:pBdr>
      </w:pPr>
      <w:r w:rsidRPr="00DA5D56">
        <w:rPr>
          <w:noProof/>
          <w:lang w:eastAsia="en-GB"/>
        </w:rPr>
        <mc:AlternateContent>
          <mc:Choice Requires="wps">
            <w:drawing>
              <wp:anchor distT="0" distB="0" distL="114300" distR="114300" simplePos="0" relativeHeight="251714560" behindDoc="0" locked="0" layoutInCell="1" allowOverlap="1" wp14:anchorId="6B155519" wp14:editId="2FA23591">
                <wp:simplePos x="0" y="0"/>
                <wp:positionH relativeFrom="column">
                  <wp:posOffset>4111625</wp:posOffset>
                </wp:positionH>
                <wp:positionV relativeFrom="paragraph">
                  <wp:posOffset>125730</wp:posOffset>
                </wp:positionV>
                <wp:extent cx="1438910" cy="504825"/>
                <wp:effectExtent l="12700" t="12700" r="8890" b="15875"/>
                <wp:wrapNone/>
                <wp:docPr id="12" name="Rectangle 12"/>
                <wp:cNvGraphicFramePr/>
                <a:graphic xmlns:a="http://schemas.openxmlformats.org/drawingml/2006/main">
                  <a:graphicData uri="http://schemas.microsoft.com/office/word/2010/wordprocessingShape">
                    <wps:wsp>
                      <wps:cNvSpPr/>
                      <wps:spPr>
                        <a:xfrm>
                          <a:off x="0" y="0"/>
                          <a:ext cx="1438910" cy="504825"/>
                        </a:xfrm>
                        <a:prstGeom prst="rect">
                          <a:avLst/>
                        </a:prstGeom>
                        <a:solidFill>
                          <a:srgbClr val="4472C4"/>
                        </a:solidFill>
                        <a:ln w="12700" cap="flat" cmpd="sng" algn="ctr">
                          <a:solidFill>
                            <a:srgbClr val="4472C4">
                              <a:shade val="50000"/>
                            </a:srgbClr>
                          </a:solidFill>
                          <a:prstDash val="solid"/>
                          <a:miter lim="800000"/>
                        </a:ln>
                        <a:effectLst/>
                      </wps:spPr>
                      <wps:txbx>
                        <w:txbxContent>
                          <w:p w14:paraId="7CDD589A" w14:textId="77777777" w:rsidR="00D17A43" w:rsidRPr="00256299" w:rsidRDefault="00D17A43" w:rsidP="00DA5D56">
                            <w:pPr>
                              <w:jc w:val="center"/>
                              <w:rPr>
                                <w:color w:val="FFFFFF" w:themeColor="background1"/>
                              </w:rPr>
                            </w:pPr>
                            <w:r w:rsidRPr="00256299">
                              <w:rPr>
                                <w:color w:val="FFFFFF" w:themeColor="background1"/>
                              </w:rPr>
                              <w:t>Not suitable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155519" id="Rectangle 12" o:spid="_x0000_s1053" style="position:absolute;margin-left:323.75pt;margin-top:9.9pt;width:113.3pt;height:39.7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" fillcolor="#4472c4" strokecolor="#2f528f" strokeweight="1pt">
                <v:textbox>
                  <w:txbxContent>
                    <w:p w14:paraId="7CDD589A" w14:textId="77777777" w:rsidR="00D17A43" w:rsidRPr="00256299" w:rsidRDefault="00D17A43" w:rsidP="00DA5D56">
                      <w:pPr>
                        <w:jc w:val="center"/>
                        <w:rPr>
                          <w:color w:val="FFFFFF" w:themeColor="background1"/>
                        </w:rPr>
                      </w:pPr>
                      <w:r w:rsidRPr="00256299">
                        <w:rPr>
                          <w:color w:val="FFFFFF" w:themeColor="background1"/>
                        </w:rPr>
                        <w:t>Not suitable</w:t>
                      </w:r>
                    </w:p>
                  </w:txbxContent>
                </v:textbox>
              </v:rect>
            </w:pict>
          </mc:Fallback>
        </mc:AlternateContent>
      </w:r>
      <w:r w:rsidRPr="00DA5D56">
        <w:rPr>
          <w:noProof/>
          <w:lang w:eastAsia="en-GB"/>
        </w:rPr>
        <mc:AlternateContent>
          <mc:Choice Requires="wps">
            <w:drawing>
              <wp:anchor distT="0" distB="0" distL="114300" distR="114300" simplePos="0" relativeHeight="251722752" behindDoc="0" locked="0" layoutInCell="1" allowOverlap="1" wp14:anchorId="2983D3A7" wp14:editId="27D346A6">
                <wp:simplePos x="0" y="0"/>
                <wp:positionH relativeFrom="column">
                  <wp:posOffset>3152775</wp:posOffset>
                </wp:positionH>
                <wp:positionV relativeFrom="paragraph">
                  <wp:posOffset>112395</wp:posOffset>
                </wp:positionV>
                <wp:extent cx="755373" cy="500933"/>
                <wp:effectExtent l="0" t="12700" r="19685" b="20320"/>
                <wp:wrapNone/>
                <wp:docPr id="13" name="Right Arrow 13"/>
                <wp:cNvGraphicFramePr/>
                <a:graphic xmlns:a="http://schemas.openxmlformats.org/drawingml/2006/main">
                  <a:graphicData uri="http://schemas.microsoft.com/office/word/2010/wordprocessingShape">
                    <wps:wsp>
                      <wps:cNvSpPr/>
                      <wps:spPr>
                        <a:xfrm>
                          <a:off x="0" y="0"/>
                          <a:ext cx="755373" cy="500933"/>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5910929" id="Right Arrow 13" o:spid="_x0000_s1026" type="#_x0000_t13" style="position:absolute;margin-left:248.25pt;margin-top:8.85pt;width:59.5pt;height:39.45pt;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" adj="14438" fillcolor="#4472c4" strokecolor="#2f528f" strokeweight="1pt"/>
            </w:pict>
          </mc:Fallback>
        </mc:AlternateContent>
      </w:r>
      <w:r w:rsidRPr="00DA5D56">
        <w:rPr>
          <w:noProof/>
          <w:lang w:eastAsia="en-GB"/>
        </w:rPr>
        <mc:AlternateContent>
          <mc:Choice Requires="wps">
            <w:drawing>
              <wp:anchor distT="0" distB="0" distL="114300" distR="114300" simplePos="0" relativeHeight="251712512" behindDoc="0" locked="0" layoutInCell="1" allowOverlap="1" wp14:anchorId="6C7C19A6" wp14:editId="4675F575">
                <wp:simplePos x="0" y="0"/>
                <wp:positionH relativeFrom="column">
                  <wp:posOffset>918210</wp:posOffset>
                </wp:positionH>
                <wp:positionV relativeFrom="paragraph">
                  <wp:posOffset>154940</wp:posOffset>
                </wp:positionV>
                <wp:extent cx="1950720" cy="476885"/>
                <wp:effectExtent l="0" t="0" r="17780" b="18415"/>
                <wp:wrapNone/>
                <wp:docPr id="29" name="Rectangle 29"/>
                <wp:cNvGraphicFramePr/>
                <a:graphic xmlns:a="http://schemas.openxmlformats.org/drawingml/2006/main">
                  <a:graphicData uri="http://schemas.microsoft.com/office/word/2010/wordprocessingShape">
                    <wps:wsp>
                      <wps:cNvSpPr/>
                      <wps:spPr>
                        <a:xfrm>
                          <a:off x="0" y="0"/>
                          <a:ext cx="1950720" cy="476885"/>
                        </a:xfrm>
                        <a:prstGeom prst="rect">
                          <a:avLst/>
                        </a:prstGeom>
                        <a:solidFill>
                          <a:srgbClr val="4472C4"/>
                        </a:solidFill>
                        <a:ln w="12700" cap="flat" cmpd="sng" algn="ctr">
                          <a:solidFill>
                            <a:srgbClr val="4472C4">
                              <a:shade val="50000"/>
                            </a:srgbClr>
                          </a:solidFill>
                          <a:prstDash val="solid"/>
                          <a:miter lim="800000"/>
                        </a:ln>
                        <a:effectLst/>
                      </wps:spPr>
                      <wps:txbx>
                        <w:txbxContent>
                          <w:p w14:paraId="529D17E9" w14:textId="77777777" w:rsidR="00D17A43" w:rsidRPr="00256299" w:rsidRDefault="00D17A43" w:rsidP="00DA5D56">
                            <w:pPr>
                              <w:jc w:val="center"/>
                              <w:rPr>
                                <w:color w:val="FFFFFF" w:themeColor="background1"/>
                              </w:rPr>
                            </w:pPr>
                            <w:r w:rsidRPr="00256299">
                              <w:rPr>
                                <w:color w:val="FFFFFF" w:themeColor="background1"/>
                              </w:rPr>
                              <w:t>Screening Visit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C7C19A6" id="Rectangle 29" o:spid="_x0000_s1054" style="position:absolute;margin-left:72.3pt;margin-top:12.2pt;width:153.6pt;height:37.55pt;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" fillcolor="#4472c4" strokecolor="#2f528f" strokeweight="1pt">
                <v:textbox>
                  <w:txbxContent>
                    <w:p w14:paraId="529D17E9" w14:textId="77777777" w:rsidR="00D17A43" w:rsidRPr="00256299" w:rsidRDefault="00D17A43" w:rsidP="00DA5D56">
                      <w:pPr>
                        <w:jc w:val="center"/>
                        <w:rPr>
                          <w:color w:val="FFFFFF" w:themeColor="background1"/>
                        </w:rPr>
                      </w:pPr>
                      <w:r w:rsidRPr="00256299">
                        <w:rPr>
                          <w:color w:val="FFFFFF" w:themeColor="background1"/>
                        </w:rPr>
                        <w:t>Screening Visit</w:t>
                      </w:r>
                    </w:p>
                  </w:txbxContent>
                </v:textbox>
              </v:rect>
            </w:pict>
          </mc:Fallback>
        </mc:AlternateContent>
      </w:r>
    </w:p>
    <w:p w14:paraId="66B29F8B" w14:textId="008F82A2" w:rsidR="00DA5D56" w:rsidRPr="00DA5D56" w:rsidRDefault="00DA5D56" w:rsidP="00DA5D56">
      <w:pPr>
        <w:pBdr>
          <w:top w:val="single" w:sz="4" w:space="1" w:color="auto"/>
          <w:left w:val="single" w:sz="4" w:space="4" w:color="auto"/>
          <w:bottom w:val="single" w:sz="4" w:space="1" w:color="auto"/>
          <w:right w:val="single" w:sz="4" w:space="4" w:color="auto"/>
        </w:pBdr>
      </w:pPr>
    </w:p>
    <w:p w14:paraId="6D9F72AE" w14:textId="1C932E43" w:rsidR="00DA5D56" w:rsidRPr="00DA5D56" w:rsidRDefault="003F134C" w:rsidP="00DA5D56">
      <w:pPr>
        <w:pBdr>
          <w:top w:val="single" w:sz="4" w:space="1" w:color="auto"/>
          <w:left w:val="single" w:sz="4" w:space="4" w:color="auto"/>
          <w:bottom w:val="single" w:sz="4" w:space="1" w:color="auto"/>
          <w:right w:val="single" w:sz="4" w:space="4" w:color="auto"/>
        </w:pBdr>
      </w:pPr>
      <w:r w:rsidRPr="00DA5D56">
        <w:rPr>
          <w:noProof/>
          <w:lang w:eastAsia="en-GB"/>
        </w:rPr>
        <mc:AlternateContent>
          <mc:Choice Requires="wps">
            <w:drawing>
              <wp:anchor distT="0" distB="0" distL="114300" distR="114300" simplePos="0" relativeHeight="251716608" behindDoc="0" locked="0" layoutInCell="1" allowOverlap="1" wp14:anchorId="049A2C17" wp14:editId="341ADB5D">
                <wp:simplePos x="0" y="0"/>
                <wp:positionH relativeFrom="column">
                  <wp:posOffset>-71438</wp:posOffset>
                </wp:positionH>
                <wp:positionV relativeFrom="paragraph">
                  <wp:posOffset>54292</wp:posOffset>
                </wp:positionV>
                <wp:extent cx="875031" cy="476885"/>
                <wp:effectExtent l="0" t="4128" r="9843" b="9842"/>
                <wp:wrapNone/>
                <wp:docPr id="42" name="Rectangle 42"/>
                <wp:cNvGraphicFramePr/>
                <a:graphic xmlns:a="http://schemas.openxmlformats.org/drawingml/2006/main">
                  <a:graphicData uri="http://schemas.microsoft.com/office/word/2010/wordprocessingShape">
                    <wps:wsp>
                      <wps:cNvSpPr/>
                      <wps:spPr>
                        <a:xfrm rot="16200000">
                          <a:off x="0" y="0"/>
                          <a:ext cx="875031" cy="476885"/>
                        </a:xfrm>
                        <a:prstGeom prst="rect">
                          <a:avLst/>
                        </a:prstGeom>
                        <a:solidFill>
                          <a:srgbClr val="4472C4"/>
                        </a:solidFill>
                        <a:ln w="12700" cap="flat" cmpd="sng" algn="ctr">
                          <a:solidFill>
                            <a:srgbClr val="4472C4">
                              <a:shade val="50000"/>
                            </a:srgbClr>
                          </a:solidFill>
                          <a:prstDash val="solid"/>
                          <a:miter lim="800000"/>
                        </a:ln>
                        <a:effectLst/>
                      </wps:spPr>
                      <wps:txbx>
                        <w:txbxContent>
                          <w:p w14:paraId="14A4158C" w14:textId="77777777" w:rsidR="00D17A43" w:rsidRPr="00256299" w:rsidRDefault="00D17A43" w:rsidP="00DA5D56">
                            <w:pPr>
                              <w:jc w:val="center"/>
                              <w:rPr>
                                <w:color w:val="FFFFFF" w:themeColor="background1"/>
                              </w:rPr>
                            </w:pPr>
                            <w:r w:rsidRPr="00256299">
                              <w:rPr>
                                <w:color w:val="FFFFFF" w:themeColor="background1"/>
                              </w:rPr>
                              <w:t>Visit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49A2C17" id="Rectangle 42" o:spid="_x0000_s1055" style="position:absolute;margin-left:-5.65pt;margin-top:4.25pt;width:68.9pt;height:37.55pt;rotation:-90;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" fillcolor="#4472c4" strokecolor="#2f528f" strokeweight="1pt">
                <v:textbox>
                  <w:txbxContent>
                    <w:p w14:paraId="14A4158C" w14:textId="77777777" w:rsidR="00D17A43" w:rsidRPr="00256299" w:rsidRDefault="00D17A43" w:rsidP="00DA5D56">
                      <w:pPr>
                        <w:jc w:val="center"/>
                        <w:rPr>
                          <w:color w:val="FFFFFF" w:themeColor="background1"/>
                        </w:rPr>
                      </w:pPr>
                      <w:r w:rsidRPr="00256299">
                        <w:rPr>
                          <w:color w:val="FFFFFF" w:themeColor="background1"/>
                        </w:rPr>
                        <w:t>Visit 1</w:t>
                      </w:r>
                    </w:p>
                  </w:txbxContent>
                </v:textbox>
              </v:rect>
            </w:pict>
          </mc:Fallback>
        </mc:AlternateContent>
      </w:r>
    </w:p>
    <w:p w14:paraId="18FF7F97" w14:textId="259E047B" w:rsidR="00DA5D56" w:rsidRPr="00DA5D56" w:rsidRDefault="003F134C" w:rsidP="00DA5D56">
      <w:pPr>
        <w:pBdr>
          <w:top w:val="single" w:sz="4" w:space="1" w:color="auto"/>
          <w:left w:val="single" w:sz="4" w:space="4" w:color="auto"/>
          <w:bottom w:val="single" w:sz="4" w:space="1" w:color="auto"/>
          <w:right w:val="single" w:sz="4" w:space="4" w:color="auto"/>
        </w:pBdr>
      </w:pPr>
      <w:r w:rsidRPr="00DA5D56">
        <w:rPr>
          <w:noProof/>
          <w:lang w:eastAsia="en-GB"/>
        </w:rPr>
        <mc:AlternateContent>
          <mc:Choice Requires="wps">
            <w:drawing>
              <wp:anchor distT="0" distB="0" distL="114300" distR="114300" simplePos="0" relativeHeight="251718656" behindDoc="0" locked="0" layoutInCell="1" allowOverlap="1" wp14:anchorId="0A2CAC39" wp14:editId="7D75D580">
                <wp:simplePos x="0" y="0"/>
                <wp:positionH relativeFrom="column">
                  <wp:posOffset>918210</wp:posOffset>
                </wp:positionH>
                <wp:positionV relativeFrom="paragraph">
                  <wp:posOffset>157480</wp:posOffset>
                </wp:positionV>
                <wp:extent cx="1950720" cy="477078"/>
                <wp:effectExtent l="0" t="0" r="17780" b="18415"/>
                <wp:wrapNone/>
                <wp:docPr id="34" name="Rectangle 34"/>
                <wp:cNvGraphicFramePr/>
                <a:graphic xmlns:a="http://schemas.openxmlformats.org/drawingml/2006/main">
                  <a:graphicData uri="http://schemas.microsoft.com/office/word/2010/wordprocessingShape">
                    <wps:wsp>
                      <wps:cNvSpPr/>
                      <wps:spPr>
                        <a:xfrm>
                          <a:off x="0" y="0"/>
                          <a:ext cx="1950720" cy="477078"/>
                        </a:xfrm>
                        <a:prstGeom prst="rect">
                          <a:avLst/>
                        </a:prstGeom>
                        <a:solidFill>
                          <a:srgbClr val="4472C4"/>
                        </a:solidFill>
                        <a:ln w="12700" cap="flat" cmpd="sng" algn="ctr">
                          <a:solidFill>
                            <a:srgbClr val="4472C4">
                              <a:shade val="50000"/>
                            </a:srgbClr>
                          </a:solidFill>
                          <a:prstDash val="solid"/>
                          <a:miter lim="800000"/>
                        </a:ln>
                        <a:effectLst/>
                      </wps:spPr>
                      <wps:txbx>
                        <w:txbxContent>
                          <w:p w14:paraId="6FAB2B2B" w14:textId="77777777" w:rsidR="00D17A43" w:rsidRPr="00256299" w:rsidRDefault="00D17A43" w:rsidP="00DA5D56">
                            <w:pPr>
                              <w:jc w:val="center"/>
                              <w:rPr>
                                <w:color w:val="FFFFFF" w:themeColor="background1"/>
                              </w:rPr>
                            </w:pPr>
                            <w:r w:rsidRPr="00256299">
                              <w:rPr>
                                <w:color w:val="FFFFFF" w:themeColor="background1"/>
                              </w:rPr>
                              <w:t>Characterisation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A2CAC39" id="Rectangle 34" o:spid="_x0000_s1056" style="position:absolute;margin-left:72.3pt;margin-top:12.4pt;width:153.6pt;height:37.55pt;z-index:2517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" fillcolor="#4472c4" strokecolor="#2f528f" strokeweight="1pt">
                <v:textbox>
                  <w:txbxContent>
                    <w:p w14:paraId="6FAB2B2B" w14:textId="77777777" w:rsidR="00D17A43" w:rsidRPr="00256299" w:rsidRDefault="00D17A43" w:rsidP="00DA5D56">
                      <w:pPr>
                        <w:jc w:val="center"/>
                        <w:rPr>
                          <w:color w:val="FFFFFF" w:themeColor="background1"/>
                        </w:rPr>
                      </w:pPr>
                      <w:r w:rsidRPr="00256299">
                        <w:rPr>
                          <w:color w:val="FFFFFF" w:themeColor="background1"/>
                        </w:rPr>
                        <w:t>Characterisation</w:t>
                      </w:r>
                    </w:p>
                  </w:txbxContent>
                </v:textbox>
              </v:rect>
            </w:pict>
          </mc:Fallback>
        </mc:AlternateContent>
      </w:r>
    </w:p>
    <w:p w14:paraId="1CCE796F" w14:textId="1C05CD34" w:rsidR="00DA5D56" w:rsidRPr="00DA5D56" w:rsidRDefault="00DA5D56" w:rsidP="00DA5D56">
      <w:pPr>
        <w:pBdr>
          <w:top w:val="single" w:sz="4" w:space="1" w:color="auto"/>
          <w:left w:val="single" w:sz="4" w:space="4" w:color="auto"/>
          <w:bottom w:val="single" w:sz="4" w:space="1" w:color="auto"/>
          <w:right w:val="single" w:sz="4" w:space="4" w:color="auto"/>
        </w:pBdr>
        <w:tabs>
          <w:tab w:val="left" w:pos="1690"/>
        </w:tabs>
      </w:pPr>
      <w:r w:rsidRPr="00DA5D56">
        <w:tab/>
      </w:r>
    </w:p>
    <w:p w14:paraId="381545EE" w14:textId="18AB0D3C" w:rsidR="00DA5D56" w:rsidRPr="00DA5D56" w:rsidRDefault="00DA5D56" w:rsidP="00DA5D56">
      <w:pPr>
        <w:pBdr>
          <w:top w:val="single" w:sz="4" w:space="1" w:color="auto"/>
          <w:left w:val="single" w:sz="4" w:space="4" w:color="auto"/>
          <w:bottom w:val="single" w:sz="4" w:space="1" w:color="auto"/>
          <w:right w:val="single" w:sz="4" w:space="4" w:color="auto"/>
        </w:pBdr>
        <w:spacing w:line="360" w:lineRule="auto"/>
        <w:rPr>
          <w:rFonts w:cs="Arial"/>
        </w:rPr>
      </w:pPr>
    </w:p>
    <w:p w14:paraId="2328948E" w14:textId="3C15EB12" w:rsidR="00DA5D56" w:rsidRPr="00DA5D56" w:rsidRDefault="003F134C" w:rsidP="00DA5D56">
      <w:pPr>
        <w:pBdr>
          <w:top w:val="single" w:sz="4" w:space="1" w:color="auto"/>
          <w:left w:val="single" w:sz="4" w:space="4" w:color="auto"/>
          <w:bottom w:val="single" w:sz="4" w:space="1" w:color="auto"/>
          <w:right w:val="single" w:sz="4" w:space="4" w:color="auto"/>
        </w:pBdr>
        <w:spacing w:line="360" w:lineRule="auto"/>
        <w:rPr>
          <w:rFonts w:cs="Arial"/>
        </w:rPr>
      </w:pPr>
      <w:r w:rsidRPr="00DA5D56">
        <w:rPr>
          <w:noProof/>
          <w:lang w:eastAsia="en-GB"/>
        </w:rPr>
        <mc:AlternateContent>
          <mc:Choice Requires="wps">
            <w:drawing>
              <wp:anchor distT="0" distB="0" distL="114300" distR="114300" simplePos="0" relativeHeight="251713536" behindDoc="0" locked="0" layoutInCell="1" allowOverlap="1" wp14:anchorId="71CE680C" wp14:editId="623F9DD9">
                <wp:simplePos x="0" y="0"/>
                <wp:positionH relativeFrom="column">
                  <wp:posOffset>-44450</wp:posOffset>
                </wp:positionH>
                <wp:positionV relativeFrom="paragraph">
                  <wp:posOffset>125730</wp:posOffset>
                </wp:positionV>
                <wp:extent cx="5838825" cy="1104900"/>
                <wp:effectExtent l="12700" t="12700" r="15875" b="12700"/>
                <wp:wrapNone/>
                <wp:docPr id="2048" name="Text Box 2048"/>
                <wp:cNvGraphicFramePr/>
                <a:graphic xmlns:a="http://schemas.openxmlformats.org/drawingml/2006/main">
                  <a:graphicData uri="http://schemas.microsoft.com/office/word/2010/wordprocessingShape">
                    <wps:wsp>
                      <wps:cNvSpPr txBox="1"/>
                      <wps:spPr>
                        <a:xfrm>
                          <a:off x="0" y="0"/>
                          <a:ext cx="5838825" cy="1104900"/>
                        </a:xfrm>
                        <a:prstGeom prst="rect">
                          <a:avLst/>
                        </a:prstGeom>
                        <a:solidFill>
                          <a:sysClr val="window" lastClr="FFFFFF"/>
                        </a:solidFill>
                        <a:ln w="19050">
                          <a:solidFill>
                            <a:srgbClr val="FF0000"/>
                          </a:solidFill>
                        </a:ln>
                      </wps:spPr>
                      <wps:txbx>
                        <w:txbxContent>
                          <w:p w14:paraId="7AD85864" w14:textId="77777777" w:rsidR="00D17A43" w:rsidRDefault="00D17A43" w:rsidP="00DA5D5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1CE680C" id="Text Box 2048" o:spid="_x0000_s1057" type="#_x0000_t202" style="position:absolute;margin-left:-3.5pt;margin-top:9.9pt;width:459.75pt;height:87pt;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" fillcolor="window" strokecolor="red" strokeweight="1.5pt">
                <v:textbox>
                  <w:txbxContent>
                    <w:p w14:paraId="7AD85864" w14:textId="77777777" w:rsidR="00D17A43" w:rsidRDefault="00D17A43" w:rsidP="00DA5D56"/>
                  </w:txbxContent>
                </v:textbox>
              </v:shape>
            </w:pict>
          </mc:Fallback>
        </mc:AlternateContent>
      </w:r>
      <w:r w:rsidRPr="00DA5D56">
        <w:rPr>
          <w:noProof/>
          <w:lang w:eastAsia="en-GB"/>
        </w:rPr>
        <mc:AlternateContent>
          <mc:Choice Requires="wps">
            <w:drawing>
              <wp:anchor distT="0" distB="0" distL="114300" distR="114300" simplePos="0" relativeHeight="251721728" behindDoc="0" locked="0" layoutInCell="1" allowOverlap="1" wp14:anchorId="16421A63" wp14:editId="32BD7B84">
                <wp:simplePos x="0" y="0"/>
                <wp:positionH relativeFrom="column">
                  <wp:posOffset>1786890</wp:posOffset>
                </wp:positionH>
                <wp:positionV relativeFrom="paragraph">
                  <wp:posOffset>20320</wp:posOffset>
                </wp:positionV>
                <wp:extent cx="357505" cy="345440"/>
                <wp:effectExtent l="12700" t="0" r="23495" b="22860"/>
                <wp:wrapNone/>
                <wp:docPr id="43" name="Down Arrow 43"/>
                <wp:cNvGraphicFramePr/>
                <a:graphic xmlns:a="http://schemas.openxmlformats.org/drawingml/2006/main">
                  <a:graphicData uri="http://schemas.microsoft.com/office/word/2010/wordprocessingShape">
                    <wps:wsp>
                      <wps:cNvSpPr/>
                      <wps:spPr>
                        <a:xfrm>
                          <a:off x="0" y="0"/>
                          <a:ext cx="357505" cy="345440"/>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177F7CB" id="Down Arrow 43" o:spid="_x0000_s1026" type="#_x0000_t67" style="position:absolute;margin-left:140.7pt;margin-top:1.6pt;width:28.15pt;height:27.2pt;z-index:25172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" adj="10800" fillcolor="#4472c4" strokecolor="#2f528f" strokeweight="1pt"/>
            </w:pict>
          </mc:Fallback>
        </mc:AlternateContent>
      </w:r>
      <w:r w:rsidRPr="00DA5D56">
        <w:rPr>
          <w:noProof/>
          <w:lang w:eastAsia="en-GB"/>
        </w:rPr>
        <mc:AlternateContent>
          <mc:Choice Requires="wps">
            <w:drawing>
              <wp:anchor distT="0" distB="0" distL="114300" distR="114300" simplePos="0" relativeHeight="251725824" behindDoc="0" locked="0" layoutInCell="1" allowOverlap="1" wp14:anchorId="36A6FA12" wp14:editId="57CEE1EE">
                <wp:simplePos x="0" y="0"/>
                <wp:positionH relativeFrom="column">
                  <wp:posOffset>3001010</wp:posOffset>
                </wp:positionH>
                <wp:positionV relativeFrom="paragraph">
                  <wp:posOffset>214630</wp:posOffset>
                </wp:positionV>
                <wp:extent cx="2677160" cy="955040"/>
                <wp:effectExtent l="0" t="0" r="15240" b="10160"/>
                <wp:wrapNone/>
                <wp:docPr id="11" name="Text Box 11"/>
                <wp:cNvGraphicFramePr/>
                <a:graphic xmlns:a="http://schemas.openxmlformats.org/drawingml/2006/main">
                  <a:graphicData uri="http://schemas.microsoft.com/office/word/2010/wordprocessingShape">
                    <wps:wsp>
                      <wps:cNvSpPr txBox="1"/>
                      <wps:spPr>
                        <a:xfrm>
                          <a:off x="0" y="0"/>
                          <a:ext cx="2677160" cy="955040"/>
                        </a:xfrm>
                        <a:prstGeom prst="rect">
                          <a:avLst/>
                        </a:prstGeom>
                        <a:solidFill>
                          <a:srgbClr val="4472C4"/>
                        </a:solidFill>
                        <a:ln w="12700" cap="flat" cmpd="sng" algn="ctr">
                          <a:solidFill>
                            <a:srgbClr val="4472C4">
                              <a:shade val="50000"/>
                            </a:srgbClr>
                          </a:solidFill>
                          <a:prstDash val="solid"/>
                          <a:miter lim="800000"/>
                        </a:ln>
                        <a:effectLst/>
                      </wps:spPr>
                      <wps:txbx>
                        <w:txbxContent>
                          <w:p w14:paraId="75DB5853" w14:textId="77777777" w:rsidR="00D17A43" w:rsidRPr="00256299" w:rsidRDefault="00D17A43" w:rsidP="00DA5D56">
                            <w:pPr>
                              <w:rPr>
                                <w:color w:val="FFFFFF" w:themeColor="background1"/>
                                <w:sz w:val="22"/>
                                <w:szCs w:val="22"/>
                              </w:rPr>
                            </w:pPr>
                            <w:r w:rsidRPr="00256299">
                              <w:rPr>
                                <w:color w:val="FFFFFF" w:themeColor="background1"/>
                                <w:sz w:val="22"/>
                                <w:szCs w:val="22"/>
                              </w:rPr>
                              <w:t xml:space="preserve">Comparison between two raters of perfusion measures generated by DSC-MRI from visit 2. Comparison of AIF generated by DSC-MRI between raters at Visit 2 and Visit 3.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A6FA12" id="Text Box 11" o:spid="_x0000_s1058" type="#_x0000_t202" style="position:absolute;margin-left:236.3pt;margin-top:16.9pt;width:210.8pt;height:75.2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" fillcolor="#4472c4" strokecolor="#2f528f" strokeweight="1pt">
                <v:textbox>
                  <w:txbxContent>
                    <w:p w14:paraId="75DB5853" w14:textId="77777777" w:rsidR="00D17A43" w:rsidRPr="00256299" w:rsidRDefault="00D17A43" w:rsidP="00DA5D56">
                      <w:pPr>
                        <w:rPr>
                          <w:color w:val="FFFFFF" w:themeColor="background1"/>
                          <w:sz w:val="22"/>
                          <w:szCs w:val="22"/>
                        </w:rPr>
                      </w:pPr>
                      <w:r w:rsidRPr="00256299">
                        <w:rPr>
                          <w:color w:val="FFFFFF" w:themeColor="background1"/>
                          <w:sz w:val="22"/>
                          <w:szCs w:val="22"/>
                        </w:rPr>
                        <w:t xml:space="preserve">Comparison between two raters of perfusion measures generated by DSC-MRI from visit 2. Comparison of AIF generated by DSC-MRI between raters at Visit 2 and Visit 3. </w:t>
                      </w:r>
                    </w:p>
                  </w:txbxContent>
                </v:textbox>
              </v:shape>
            </w:pict>
          </mc:Fallback>
        </mc:AlternateContent>
      </w:r>
    </w:p>
    <w:p w14:paraId="66D7BDF0" w14:textId="0D4693F0" w:rsidR="00DA5D56" w:rsidRPr="00DA5D56" w:rsidRDefault="003F134C" w:rsidP="00DA5D56">
      <w:pPr>
        <w:pBdr>
          <w:top w:val="single" w:sz="4" w:space="1" w:color="auto"/>
          <w:left w:val="single" w:sz="4" w:space="4" w:color="auto"/>
          <w:bottom w:val="single" w:sz="4" w:space="1" w:color="auto"/>
          <w:right w:val="single" w:sz="4" w:space="4" w:color="auto"/>
        </w:pBdr>
        <w:spacing w:line="360" w:lineRule="auto"/>
        <w:rPr>
          <w:rFonts w:cs="Arial"/>
        </w:rPr>
      </w:pPr>
      <w:r w:rsidRPr="00DA5D56">
        <w:rPr>
          <w:noProof/>
          <w:lang w:eastAsia="en-GB"/>
        </w:rPr>
        <mc:AlternateContent>
          <mc:Choice Requires="wps">
            <w:drawing>
              <wp:anchor distT="0" distB="0" distL="114300" distR="114300" simplePos="0" relativeHeight="251723776" behindDoc="0" locked="0" layoutInCell="1" allowOverlap="1" wp14:anchorId="764C195F" wp14:editId="6871D316">
                <wp:simplePos x="0" y="0"/>
                <wp:positionH relativeFrom="column">
                  <wp:posOffset>75248</wp:posOffset>
                </wp:positionH>
                <wp:positionV relativeFrom="paragraph">
                  <wp:posOffset>80961</wp:posOffset>
                </wp:positionV>
                <wp:extent cx="588604" cy="477078"/>
                <wp:effectExtent l="17462" t="7938" r="13653" b="13652"/>
                <wp:wrapNone/>
                <wp:docPr id="44" name="Rectangle 44"/>
                <wp:cNvGraphicFramePr/>
                <a:graphic xmlns:a="http://schemas.openxmlformats.org/drawingml/2006/main">
                  <a:graphicData uri="http://schemas.microsoft.com/office/word/2010/wordprocessingShape">
                    <wps:wsp>
                      <wps:cNvSpPr/>
                      <wps:spPr>
                        <a:xfrm rot="16200000">
                          <a:off x="0" y="0"/>
                          <a:ext cx="588604" cy="477078"/>
                        </a:xfrm>
                        <a:prstGeom prst="rect">
                          <a:avLst/>
                        </a:prstGeom>
                        <a:solidFill>
                          <a:srgbClr val="4472C4"/>
                        </a:solidFill>
                        <a:ln w="12700" cap="flat" cmpd="sng" algn="ctr">
                          <a:solidFill>
                            <a:srgbClr val="4472C4">
                              <a:shade val="50000"/>
                            </a:srgbClr>
                          </a:solidFill>
                          <a:prstDash val="solid"/>
                          <a:miter lim="800000"/>
                        </a:ln>
                        <a:effectLst/>
                      </wps:spPr>
                      <wps:txbx>
                        <w:txbxContent>
                          <w:p w14:paraId="58C3F86D" w14:textId="77777777" w:rsidR="00D17A43" w:rsidRPr="00256299" w:rsidRDefault="00D17A43" w:rsidP="00DA5D56">
                            <w:pPr>
                              <w:jc w:val="center"/>
                              <w:rPr>
                                <w:color w:val="FFFFFF" w:themeColor="background1"/>
                              </w:rPr>
                            </w:pPr>
                            <w:r w:rsidRPr="00256299">
                              <w:rPr>
                                <w:color w:val="FFFFFF" w:themeColor="background1"/>
                              </w:rPr>
                              <w:t>Visit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64C195F" id="Rectangle 44" o:spid="_x0000_s1059" style="position:absolute;margin-left:5.95pt;margin-top:6.35pt;width:46.35pt;height:37.55pt;rotation:-90;z-index:25172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" fillcolor="#4472c4" strokecolor="#2f528f" strokeweight="1pt">
                <v:textbox>
                  <w:txbxContent>
                    <w:p w14:paraId="58C3F86D" w14:textId="77777777" w:rsidR="00D17A43" w:rsidRPr="00256299" w:rsidRDefault="00D17A43" w:rsidP="00DA5D56">
                      <w:pPr>
                        <w:jc w:val="center"/>
                        <w:rPr>
                          <w:color w:val="FFFFFF" w:themeColor="background1"/>
                        </w:rPr>
                      </w:pPr>
                      <w:r w:rsidRPr="00256299">
                        <w:rPr>
                          <w:color w:val="FFFFFF" w:themeColor="background1"/>
                        </w:rPr>
                        <w:t>Visit 2</w:t>
                      </w:r>
                    </w:p>
                  </w:txbxContent>
                </v:textbox>
              </v:rect>
            </w:pict>
          </mc:Fallback>
        </mc:AlternateContent>
      </w:r>
      <w:r w:rsidRPr="00DA5D56">
        <w:rPr>
          <w:noProof/>
          <w:lang w:eastAsia="en-GB"/>
        </w:rPr>
        <mc:AlternateContent>
          <mc:Choice Requires="wps">
            <w:drawing>
              <wp:anchor distT="0" distB="0" distL="114300" distR="114300" simplePos="0" relativeHeight="251715584" behindDoc="0" locked="0" layoutInCell="1" allowOverlap="1" wp14:anchorId="34D95A6F" wp14:editId="0C5FC5EC">
                <wp:simplePos x="0" y="0"/>
                <wp:positionH relativeFrom="column">
                  <wp:posOffset>918210</wp:posOffset>
                </wp:positionH>
                <wp:positionV relativeFrom="paragraph">
                  <wp:posOffset>46355</wp:posOffset>
                </wp:positionV>
                <wp:extent cx="1950720" cy="476885"/>
                <wp:effectExtent l="0" t="0" r="17780" b="18415"/>
                <wp:wrapNone/>
                <wp:docPr id="45" name="Rectangle 45"/>
                <wp:cNvGraphicFramePr/>
                <a:graphic xmlns:a="http://schemas.openxmlformats.org/drawingml/2006/main">
                  <a:graphicData uri="http://schemas.microsoft.com/office/word/2010/wordprocessingShape">
                    <wps:wsp>
                      <wps:cNvSpPr/>
                      <wps:spPr>
                        <a:xfrm>
                          <a:off x="0" y="0"/>
                          <a:ext cx="1950720" cy="476885"/>
                        </a:xfrm>
                        <a:prstGeom prst="rect">
                          <a:avLst/>
                        </a:prstGeom>
                        <a:solidFill>
                          <a:srgbClr val="4472C4"/>
                        </a:solidFill>
                        <a:ln w="12700" cap="flat" cmpd="sng" algn="ctr">
                          <a:solidFill>
                            <a:srgbClr val="4472C4">
                              <a:shade val="50000"/>
                            </a:srgbClr>
                          </a:solidFill>
                          <a:prstDash val="solid"/>
                          <a:miter lim="800000"/>
                        </a:ln>
                        <a:effectLst/>
                      </wps:spPr>
                      <wps:txbx>
                        <w:txbxContent>
                          <w:p w14:paraId="711E506D" w14:textId="77777777" w:rsidR="00D17A43" w:rsidRPr="00256299" w:rsidRDefault="00D17A43" w:rsidP="00DA5D56">
                            <w:pPr>
                              <w:jc w:val="center"/>
                              <w:rPr>
                                <w:color w:val="FFFFFF" w:themeColor="background1"/>
                              </w:rPr>
                            </w:pPr>
                            <w:r w:rsidRPr="00256299">
                              <w:rPr>
                                <w:color w:val="FFFFFF" w:themeColor="background1"/>
                              </w:rPr>
                              <w:t>DSC-MRI visit- baseline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4D95A6F" id="Rectangle 45" o:spid="_x0000_s1060" style="position:absolute;margin-left:72.3pt;margin-top:3.65pt;width:153.6pt;height:37.55pt;z-index:25171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" fillcolor="#4472c4" strokecolor="#2f528f" strokeweight="1pt">
                <v:textbox>
                  <w:txbxContent>
                    <w:p w14:paraId="711E506D" w14:textId="77777777" w:rsidR="00D17A43" w:rsidRPr="00256299" w:rsidRDefault="00D17A43" w:rsidP="00DA5D56">
                      <w:pPr>
                        <w:jc w:val="center"/>
                        <w:rPr>
                          <w:color w:val="FFFFFF" w:themeColor="background1"/>
                        </w:rPr>
                      </w:pPr>
                      <w:r w:rsidRPr="00256299">
                        <w:rPr>
                          <w:color w:val="FFFFFF" w:themeColor="background1"/>
                        </w:rPr>
                        <w:t>DSC-MRI visit- baseline</w:t>
                      </w:r>
                    </w:p>
                  </w:txbxContent>
                </v:textbox>
              </v:rect>
            </w:pict>
          </mc:Fallback>
        </mc:AlternateContent>
      </w:r>
    </w:p>
    <w:p w14:paraId="7D9E7C6C" w14:textId="20F4D03A" w:rsidR="00DA5D56" w:rsidRPr="00DA5D56" w:rsidRDefault="003F134C" w:rsidP="00DA5D56">
      <w:pPr>
        <w:pBdr>
          <w:top w:val="single" w:sz="4" w:space="1" w:color="auto"/>
          <w:left w:val="single" w:sz="4" w:space="4" w:color="auto"/>
          <w:bottom w:val="single" w:sz="4" w:space="1" w:color="auto"/>
          <w:right w:val="single" w:sz="4" w:space="4" w:color="auto"/>
        </w:pBdr>
        <w:spacing w:line="360" w:lineRule="auto"/>
        <w:rPr>
          <w:rFonts w:cs="Arial"/>
        </w:rPr>
      </w:pPr>
      <w:r w:rsidRPr="00DA5D56">
        <w:rPr>
          <w:noProof/>
          <w:lang w:eastAsia="en-GB"/>
        </w:rPr>
        <mc:AlternateContent>
          <mc:Choice Requires="wps">
            <w:drawing>
              <wp:anchor distT="0" distB="0" distL="114300" distR="114300" simplePos="0" relativeHeight="251720704" behindDoc="0" locked="0" layoutInCell="1" allowOverlap="1" wp14:anchorId="70D4F83B" wp14:editId="5A1D0A01">
                <wp:simplePos x="0" y="0"/>
                <wp:positionH relativeFrom="column">
                  <wp:posOffset>1786890</wp:posOffset>
                </wp:positionH>
                <wp:positionV relativeFrom="paragraph">
                  <wp:posOffset>260350</wp:posOffset>
                </wp:positionV>
                <wp:extent cx="357505" cy="556260"/>
                <wp:effectExtent l="12700" t="0" r="23495" b="27940"/>
                <wp:wrapNone/>
                <wp:docPr id="46" name="Down Arrow 46"/>
                <wp:cNvGraphicFramePr/>
                <a:graphic xmlns:a="http://schemas.openxmlformats.org/drawingml/2006/main">
                  <a:graphicData uri="http://schemas.microsoft.com/office/word/2010/wordprocessingShape">
                    <wps:wsp>
                      <wps:cNvSpPr/>
                      <wps:spPr>
                        <a:xfrm>
                          <a:off x="0" y="0"/>
                          <a:ext cx="357505" cy="556260"/>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BE17A29" id="Down Arrow 46" o:spid="_x0000_s1026" type="#_x0000_t67" style="position:absolute;margin-left:140.7pt;margin-top:20.5pt;width:28.15pt;height:43.8pt;z-index:25172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" adj="14659" fillcolor="#4472c4" strokecolor="#2f528f" strokeweight="1pt"/>
            </w:pict>
          </mc:Fallback>
        </mc:AlternateContent>
      </w:r>
    </w:p>
    <w:p w14:paraId="44182C14" w14:textId="1E400DB1" w:rsidR="00DA5D56" w:rsidRPr="00DA5D56" w:rsidRDefault="00DA5D56" w:rsidP="00DA5D56">
      <w:pPr>
        <w:pBdr>
          <w:top w:val="single" w:sz="4" w:space="1" w:color="auto"/>
          <w:left w:val="single" w:sz="4" w:space="4" w:color="auto"/>
          <w:bottom w:val="single" w:sz="4" w:space="1" w:color="auto"/>
          <w:right w:val="single" w:sz="4" w:space="4" w:color="auto"/>
        </w:pBdr>
        <w:spacing w:line="360" w:lineRule="auto"/>
        <w:rPr>
          <w:rFonts w:cs="Arial"/>
        </w:rPr>
      </w:pPr>
    </w:p>
    <w:p w14:paraId="6E5FC405" w14:textId="38A67D08" w:rsidR="00DA5D56" w:rsidRPr="00DA5D56" w:rsidRDefault="003F134C" w:rsidP="00DA5D56">
      <w:pPr>
        <w:pBdr>
          <w:top w:val="single" w:sz="4" w:space="1" w:color="auto"/>
          <w:left w:val="single" w:sz="4" w:space="4" w:color="auto"/>
          <w:bottom w:val="single" w:sz="4" w:space="1" w:color="auto"/>
          <w:right w:val="single" w:sz="4" w:space="4" w:color="auto"/>
        </w:pBdr>
        <w:spacing w:line="360" w:lineRule="auto"/>
        <w:rPr>
          <w:rFonts w:cs="Arial"/>
        </w:rPr>
      </w:pPr>
      <w:r w:rsidRPr="00DA5D56">
        <w:rPr>
          <w:noProof/>
          <w:lang w:eastAsia="en-GB"/>
        </w:rPr>
        <mc:AlternateContent>
          <mc:Choice Requires="wps">
            <w:drawing>
              <wp:anchor distT="0" distB="0" distL="114300" distR="114300" simplePos="0" relativeHeight="251724800" behindDoc="0" locked="0" layoutInCell="1" allowOverlap="1" wp14:anchorId="06CF1A1C" wp14:editId="6F329999">
                <wp:simplePos x="0" y="0"/>
                <wp:positionH relativeFrom="column">
                  <wp:posOffset>73025</wp:posOffset>
                </wp:positionH>
                <wp:positionV relativeFrom="paragraph">
                  <wp:posOffset>240665</wp:posOffset>
                </wp:positionV>
                <wp:extent cx="588010" cy="476885"/>
                <wp:effectExtent l="4762" t="0" r="13653" b="13652"/>
                <wp:wrapNone/>
                <wp:docPr id="61" name="Rectangle 61"/>
                <wp:cNvGraphicFramePr/>
                <a:graphic xmlns:a="http://schemas.openxmlformats.org/drawingml/2006/main">
                  <a:graphicData uri="http://schemas.microsoft.com/office/word/2010/wordprocessingShape">
                    <wps:wsp>
                      <wps:cNvSpPr/>
                      <wps:spPr>
                        <a:xfrm rot="16200000">
                          <a:off x="0" y="0"/>
                          <a:ext cx="588010" cy="476885"/>
                        </a:xfrm>
                        <a:prstGeom prst="rect">
                          <a:avLst/>
                        </a:prstGeom>
                        <a:solidFill>
                          <a:srgbClr val="4472C4"/>
                        </a:solidFill>
                        <a:ln w="12700" cap="flat" cmpd="sng" algn="ctr">
                          <a:solidFill>
                            <a:srgbClr val="4472C4">
                              <a:shade val="50000"/>
                            </a:srgbClr>
                          </a:solidFill>
                          <a:prstDash val="solid"/>
                          <a:miter lim="800000"/>
                        </a:ln>
                        <a:effectLst/>
                      </wps:spPr>
                      <wps:txbx>
                        <w:txbxContent>
                          <w:p w14:paraId="330055D7" w14:textId="77777777" w:rsidR="00D17A43" w:rsidRPr="00256299" w:rsidRDefault="00D17A43" w:rsidP="00DA5D56">
                            <w:pPr>
                              <w:jc w:val="center"/>
                              <w:rPr>
                                <w:color w:val="FFFFFF" w:themeColor="background1"/>
                              </w:rPr>
                            </w:pPr>
                            <w:r w:rsidRPr="00256299">
                              <w:rPr>
                                <w:color w:val="FFFFFF" w:themeColor="background1"/>
                              </w:rPr>
                              <w:t>Visit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6CF1A1C" id="Rectangle 61" o:spid="_x0000_s1061" style="position:absolute;margin-left:5.75pt;margin-top:18.95pt;width:46.3pt;height:37.55pt;rotation:-90;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" fillcolor="#4472c4" strokecolor="#2f528f" strokeweight="1pt">
                <v:textbox>
                  <w:txbxContent>
                    <w:p w14:paraId="330055D7" w14:textId="77777777" w:rsidR="00D17A43" w:rsidRPr="00256299" w:rsidRDefault="00D17A43" w:rsidP="00DA5D56">
                      <w:pPr>
                        <w:jc w:val="center"/>
                        <w:rPr>
                          <w:color w:val="FFFFFF" w:themeColor="background1"/>
                        </w:rPr>
                      </w:pPr>
                      <w:r w:rsidRPr="00256299">
                        <w:rPr>
                          <w:color w:val="FFFFFF" w:themeColor="background1"/>
                        </w:rPr>
                        <w:t>Visit 3</w:t>
                      </w:r>
                    </w:p>
                  </w:txbxContent>
                </v:textbox>
              </v:rect>
            </w:pict>
          </mc:Fallback>
        </mc:AlternateContent>
      </w:r>
      <w:r w:rsidRPr="00DA5D56">
        <w:rPr>
          <w:noProof/>
          <w:lang w:eastAsia="en-GB"/>
        </w:rPr>
        <mc:AlternateContent>
          <mc:Choice Requires="wps">
            <w:drawing>
              <wp:anchor distT="0" distB="0" distL="114300" distR="114300" simplePos="0" relativeHeight="251717632" behindDoc="0" locked="0" layoutInCell="1" allowOverlap="1" wp14:anchorId="195BD2BA" wp14:editId="57EC2CA6">
                <wp:simplePos x="0" y="0"/>
                <wp:positionH relativeFrom="column">
                  <wp:posOffset>796290</wp:posOffset>
                </wp:positionH>
                <wp:positionV relativeFrom="paragraph">
                  <wp:posOffset>229870</wp:posOffset>
                </wp:positionV>
                <wp:extent cx="2357120" cy="476885"/>
                <wp:effectExtent l="0" t="0" r="17780" b="18415"/>
                <wp:wrapNone/>
                <wp:docPr id="63" name="Rectangle 63"/>
                <wp:cNvGraphicFramePr/>
                <a:graphic xmlns:a="http://schemas.openxmlformats.org/drawingml/2006/main">
                  <a:graphicData uri="http://schemas.microsoft.com/office/word/2010/wordprocessingShape">
                    <wps:wsp>
                      <wps:cNvSpPr/>
                      <wps:spPr>
                        <a:xfrm>
                          <a:off x="0" y="0"/>
                          <a:ext cx="2357120" cy="476885"/>
                        </a:xfrm>
                        <a:prstGeom prst="rect">
                          <a:avLst/>
                        </a:prstGeom>
                        <a:solidFill>
                          <a:srgbClr val="4472C4"/>
                        </a:solidFill>
                        <a:ln w="12700" cap="flat" cmpd="sng" algn="ctr">
                          <a:solidFill>
                            <a:srgbClr val="4472C4">
                              <a:shade val="50000"/>
                            </a:srgbClr>
                          </a:solidFill>
                          <a:prstDash val="solid"/>
                          <a:miter lim="800000"/>
                        </a:ln>
                        <a:effectLst/>
                      </wps:spPr>
                      <wps:txbx>
                        <w:txbxContent>
                          <w:p w14:paraId="2EE9F6D8" w14:textId="77777777" w:rsidR="00D17A43" w:rsidRPr="00256299" w:rsidRDefault="00D17A43" w:rsidP="00DA5D56">
                            <w:pPr>
                              <w:jc w:val="center"/>
                              <w:rPr>
                                <w:color w:val="FFFFFF" w:themeColor="background1"/>
                              </w:rPr>
                            </w:pPr>
                            <w:r w:rsidRPr="00256299">
                              <w:rPr>
                                <w:color w:val="FFFFFF" w:themeColor="background1"/>
                              </w:rPr>
                              <w:t>DSC MRI visit – Pain Condition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95BD2BA" id="Rectangle 63" o:spid="_x0000_s1062" style="position:absolute;margin-left:62.7pt;margin-top:18.1pt;width:185.6pt;height:37.55pt;z-index:25171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" fillcolor="#4472c4" strokecolor="#2f528f" strokeweight="1pt">
                <v:textbox>
                  <w:txbxContent>
                    <w:p w14:paraId="2EE9F6D8" w14:textId="77777777" w:rsidR="00D17A43" w:rsidRPr="00256299" w:rsidRDefault="00D17A43" w:rsidP="00DA5D56">
                      <w:pPr>
                        <w:jc w:val="center"/>
                        <w:rPr>
                          <w:color w:val="FFFFFF" w:themeColor="background1"/>
                        </w:rPr>
                      </w:pPr>
                      <w:r w:rsidRPr="00256299">
                        <w:rPr>
                          <w:color w:val="FFFFFF" w:themeColor="background1"/>
                        </w:rPr>
                        <w:t>DSC MRI visit – Pain Condition</w:t>
                      </w:r>
                    </w:p>
                  </w:txbxContent>
                </v:textbox>
              </v:rect>
            </w:pict>
          </mc:Fallback>
        </mc:AlternateContent>
      </w:r>
    </w:p>
    <w:p w14:paraId="6AEFDBF7" w14:textId="3A53B729" w:rsidR="00DA5D56" w:rsidRPr="00DA5D56" w:rsidRDefault="00DA5D56" w:rsidP="00DA5D56">
      <w:pPr>
        <w:pBdr>
          <w:top w:val="single" w:sz="4" w:space="1" w:color="auto"/>
          <w:left w:val="single" w:sz="4" w:space="4" w:color="auto"/>
          <w:bottom w:val="single" w:sz="4" w:space="1" w:color="auto"/>
          <w:right w:val="single" w:sz="4" w:space="4" w:color="auto"/>
        </w:pBdr>
        <w:spacing w:line="360" w:lineRule="auto"/>
        <w:rPr>
          <w:rFonts w:cs="Arial"/>
        </w:rPr>
      </w:pPr>
    </w:p>
    <w:p w14:paraId="1D98B8AC" w14:textId="77777777" w:rsidR="00DA5D56" w:rsidRPr="00DA5D56" w:rsidRDefault="00DA5D56" w:rsidP="00DA5D56">
      <w:pPr>
        <w:pBdr>
          <w:top w:val="single" w:sz="4" w:space="1" w:color="auto"/>
          <w:left w:val="single" w:sz="4" w:space="4" w:color="auto"/>
          <w:bottom w:val="single" w:sz="4" w:space="1" w:color="auto"/>
          <w:right w:val="single" w:sz="4" w:space="4" w:color="auto"/>
        </w:pBdr>
        <w:spacing w:line="360" w:lineRule="auto"/>
        <w:rPr>
          <w:rFonts w:cs="Arial"/>
        </w:rPr>
      </w:pPr>
    </w:p>
    <w:p w14:paraId="06F15E67" w14:textId="77777777" w:rsidR="00DA5D56" w:rsidRPr="007A5260" w:rsidRDefault="00DA5D56" w:rsidP="00DA5D56">
      <w:pPr>
        <w:spacing w:line="360" w:lineRule="auto"/>
        <w:rPr>
          <w:rStyle w:val="SubtleEmphasis"/>
        </w:rPr>
      </w:pPr>
      <w:r w:rsidRPr="007A5260">
        <w:rPr>
          <w:rStyle w:val="SubtleEmphasis"/>
        </w:rPr>
        <w:t>This figure shows the overall plan of the study.  The red box shows that the data will be drawn from measurements taken by DSC-MRI at the 2nd and 3rd visits- see figure for detail.</w:t>
      </w:r>
    </w:p>
    <w:p w14:paraId="7960B9A8" w14:textId="0EF19A50" w:rsidR="00DA5D56" w:rsidRPr="00DA5D56" w:rsidRDefault="00DA5D56" w:rsidP="00DA5D56">
      <w:pPr>
        <w:spacing w:line="360" w:lineRule="auto"/>
        <w:rPr>
          <w:rFonts w:cs="Arial"/>
        </w:rPr>
      </w:pPr>
      <w:r w:rsidRPr="00DA5D56">
        <w:rPr>
          <w:rFonts w:cs="Arial"/>
        </w:rPr>
        <w:lastRenderedPageBreak/>
        <w:t xml:space="preserve">On Visit 2 the participant attended the MRI department.  On arrival to the scanning visit, the subjects were questioned as to whether they were currently experiencing pain, or consumed caffeine since midnight.  Subjects in the P-DPN group were asked whether their pain symptoms were typical of their neuropathic pain and if they responded affirmatively the pain severity was recorded by 11 point Likert scale. If their pain was non-neuropathic or they had consumed caffeine their scan was rebooked, so as not to affect baseline measurements </w:t>
      </w:r>
      <w:r w:rsidRPr="00DA5D56">
        <w:rPr>
          <w:rFonts w:cs="Arial"/>
        </w:rPr>
        <w:fldChar w:fldCharType="begin"/>
      </w:r>
      <w:r w:rsidRPr="00DA5D56">
        <w:rPr>
          <w:rFonts w:cs="Arial"/>
        </w:rPr>
        <w:instrText xml:space="preserve"> ADDIN EN.CITE &lt;EndNote&gt;&lt;Cite&gt;&lt;Author&gt;Field&lt;/Author&gt;&lt;Year&gt;2003&lt;/Year&gt;&lt;IDText&gt;Dietary caffeine consumption and withdrawal: Confounding variables in quantitative cerebral perfusion studies?&lt;/IDText&gt;&lt;DisplayText&gt;(Field et al., 2003)&lt;/DisplayText&gt;&lt;record&gt;&lt;dates&gt;&lt;pub-dates&gt;&lt;date&gt;Apr&lt;/date&gt;&lt;/pub-dates&gt;&lt;year&gt;2003&lt;/year&gt;&lt;/dates&gt;&lt;urls&gt;&lt;related-urls&gt;&lt;url&gt;&amp;lt;Go to ISI&amp;gt;://WOS:000181901100018&lt;/url&gt;&lt;/related-urls&gt;&lt;/urls&gt;&lt;isbn&gt;0033-8419&lt;/isbn&gt;&lt;titles&gt;&lt;title&gt;Dietary caffeine consumption and withdrawal: Confounding variables in quantitative cerebral perfusion studies?&lt;/title&gt;&lt;secondary-title&gt;Radiology&lt;/secondary-title&gt;&lt;/titles&gt;&lt;pages&gt;129-135&lt;/pages&gt;&lt;number&gt;1&lt;/number&gt;&lt;contributors&gt;&lt;authors&gt;&lt;author&gt;Field, A. S.&lt;/author&gt;&lt;author&gt;Laurienti, P. J.&lt;/author&gt;&lt;author&gt;Yen, Y. F.&lt;/author&gt;&lt;author&gt;Burdette, J. H.&lt;/author&gt;&lt;author&gt;Moody, D. M.&lt;/author&gt;&lt;/authors&gt;&lt;/contributors&gt;&lt;added-date format="utc"&gt;1372913194&lt;/added-date&gt;&lt;ref-type name="Journal Article"&gt;17&lt;/ref-type&gt;&lt;rec-number&gt;742&lt;/rec-number&gt;&lt;last-updated-date format="utc"&gt;1372913194&lt;/last-updated-date&gt;&lt;accession-num&gt;WOS:000181901100018&lt;/accession-num&gt;&lt;electronic-resource-num&gt;10.1148/radiol.2271012173&lt;/electronic-resource-num&gt;&lt;volume&gt;227&lt;/volume&gt;&lt;/record&gt;&lt;/Cite&gt;&lt;/EndNote&gt;</w:instrText>
      </w:r>
      <w:r w:rsidRPr="00DA5D56">
        <w:rPr>
          <w:rFonts w:cs="Arial"/>
        </w:rPr>
        <w:fldChar w:fldCharType="separate"/>
      </w:r>
      <w:r w:rsidRPr="00DA5D56">
        <w:rPr>
          <w:rFonts w:cs="Arial"/>
          <w:noProof/>
        </w:rPr>
        <w:t>(Field et al., 2003)</w:t>
      </w:r>
      <w:r w:rsidRPr="00DA5D56">
        <w:rPr>
          <w:rFonts w:cs="Arial"/>
        </w:rPr>
        <w:fldChar w:fldCharType="end"/>
      </w:r>
      <w:r w:rsidRPr="00DA5D56">
        <w:rPr>
          <w:rFonts w:cs="Arial"/>
        </w:rPr>
        <w:t xml:space="preserve">.  All other subjects had their scan rebooked if they reported any pain or caffeine consumption.  A capillary blood glucose measurement was taken prior to the scan if the patient had diabetes.  The scan was rebooked if the capillary blood glucose measurement was less than 4mmol, or if the capillary blood glucose had been less than 4mmol in the last 24 hours, so that perfusion changes secondary to hypoglycaemia could not interfere with the scan.  Subjects BP and pulse were taken prior to entry to the scanning room.  EMLA® (Astra Zeneca, London UK) cream was applied to the left antecubital fossa. After 20 minutes the subjects were cannulated in a vein of the antecubital fossa.  The subjects were questioned as to whether they experienced ongoing discomfort after cannulation with a view to removing the cannula and rebooking the scan if the subject answered yes.  All images were acquired using a Philips </w:t>
      </w:r>
      <w:proofErr w:type="spellStart"/>
      <w:r w:rsidRPr="00DA5D56">
        <w:rPr>
          <w:rFonts w:cs="Arial"/>
        </w:rPr>
        <w:t>Ingenia</w:t>
      </w:r>
      <w:proofErr w:type="spellEnd"/>
      <w:r w:rsidRPr="00DA5D56">
        <w:rPr>
          <w:rFonts w:cs="Arial"/>
        </w:rPr>
        <w:t xml:space="preserve"> 3T scanner (Philips Healthcare, 5680 DA Best, The Netherlands).  </w:t>
      </w:r>
    </w:p>
    <w:p w14:paraId="0EBF4A1C" w14:textId="77777777" w:rsidR="00DA5D56" w:rsidRPr="00DA5D56" w:rsidRDefault="00DA5D56" w:rsidP="00DA5D56">
      <w:pPr>
        <w:spacing w:line="360" w:lineRule="auto"/>
        <w:rPr>
          <w:rFonts w:cs="Arial"/>
        </w:rPr>
      </w:pPr>
      <w:r w:rsidRPr="00DA5D56">
        <w:rPr>
          <w:rFonts w:cs="Arial"/>
          <w:color w:val="000000"/>
        </w:rPr>
        <w:t>A DSC image was acquired to interrogate tissue perfusion using gradient echo (Philips Fast Field Echo -“FFE”) and single shot EPI (echo-planar imaging). FOV (field of view) 224x224x99mm; voxel size 2.33x2.33; flip angle 60</w:t>
      </w:r>
      <w:r w:rsidRPr="00DA5D56">
        <w:rPr>
          <w:rFonts w:cs="Arial"/>
          <w:color w:val="000000"/>
          <w:vertAlign w:val="superscript"/>
        </w:rPr>
        <w:t>0</w:t>
      </w:r>
      <w:r w:rsidRPr="00DA5D56">
        <w:rPr>
          <w:rFonts w:cs="Arial"/>
          <w:color w:val="000000"/>
        </w:rPr>
        <w:t xml:space="preserve">, slice thickness 4mm; slices 20 interleaved with a 1mm slice gap, SENSE 2.10, TR/TE 1250/35; 72 dynamics (for a full description of the MRI settings used please see Appendix B).  </w:t>
      </w:r>
      <w:proofErr w:type="gramStart"/>
      <w:r w:rsidRPr="00DA5D56">
        <w:rPr>
          <w:rFonts w:cs="Arial"/>
          <w:color w:val="000000"/>
        </w:rPr>
        <w:t>Gadolinium</w:t>
      </w:r>
      <w:proofErr w:type="gramEnd"/>
      <w:r w:rsidRPr="00DA5D56">
        <w:rPr>
          <w:rFonts w:cs="Arial"/>
          <w:color w:val="000000"/>
        </w:rPr>
        <w:t xml:space="preserve"> chelate was delivered as </w:t>
      </w:r>
      <w:proofErr w:type="spellStart"/>
      <w:r w:rsidRPr="00DA5D56">
        <w:rPr>
          <w:rFonts w:cs="Arial"/>
          <w:color w:val="000000"/>
        </w:rPr>
        <w:t>Gadobutrol</w:t>
      </w:r>
      <w:proofErr w:type="spellEnd"/>
      <w:r w:rsidRPr="00DA5D56">
        <w:rPr>
          <w:rFonts w:cs="Arial"/>
          <w:color w:val="000000"/>
        </w:rPr>
        <w:t xml:space="preserve"> (</w:t>
      </w:r>
      <w:proofErr w:type="spellStart"/>
      <w:r w:rsidRPr="00DA5D56">
        <w:rPr>
          <w:rFonts w:cs="Arial"/>
          <w:color w:val="000000"/>
        </w:rPr>
        <w:t>Gadovist</w:t>
      </w:r>
      <w:proofErr w:type="spellEnd"/>
      <w:r w:rsidRPr="00DA5D56">
        <w:rPr>
          <w:rFonts w:cs="Arial"/>
          <w:color w:val="000000"/>
        </w:rPr>
        <w:t>®, Bayer plc, Berkshire United Kingdom) 1mmol/ml, calculated dose 1 ml per kg, and delivered at 5mls per second using a specially designed device (</w:t>
      </w:r>
      <w:proofErr w:type="spellStart"/>
      <w:r w:rsidRPr="00DA5D56">
        <w:rPr>
          <w:rFonts w:cs="Arial"/>
          <w:color w:val="000000"/>
        </w:rPr>
        <w:t>Medrad</w:t>
      </w:r>
      <w:proofErr w:type="spellEnd"/>
      <w:r w:rsidRPr="00DA5D56">
        <w:rPr>
          <w:rFonts w:cs="Arial"/>
          <w:color w:val="000000"/>
        </w:rPr>
        <w:t xml:space="preserve"> Spectris, Solaris version 008.001-sa, Pennsylvania, USA) on the 10</w:t>
      </w:r>
      <w:r w:rsidRPr="00DA5D56">
        <w:rPr>
          <w:rFonts w:cs="Arial"/>
          <w:color w:val="000000"/>
          <w:vertAlign w:val="superscript"/>
        </w:rPr>
        <w:t>th</w:t>
      </w:r>
      <w:r w:rsidRPr="00DA5D56">
        <w:rPr>
          <w:rFonts w:cs="Arial"/>
          <w:color w:val="000000"/>
        </w:rPr>
        <w:t xml:space="preserve"> dynamic of the above MRI sequence.</w:t>
      </w:r>
    </w:p>
    <w:p w14:paraId="5B8AD32F" w14:textId="77777777" w:rsidR="00DA5D56" w:rsidRPr="00DA5D56" w:rsidRDefault="00DA5D56" w:rsidP="00DA5D56">
      <w:pPr>
        <w:spacing w:line="360" w:lineRule="auto"/>
        <w:rPr>
          <w:rFonts w:cs="Arial"/>
        </w:rPr>
      </w:pPr>
      <w:r w:rsidRPr="00DA5D56">
        <w:rPr>
          <w:rFonts w:cs="Arial"/>
        </w:rPr>
        <w:t xml:space="preserve">The subjects were instructed to relax in the scanner and try not to think about anything.  </w:t>
      </w:r>
    </w:p>
    <w:p w14:paraId="77D4A90F" w14:textId="77777777" w:rsidR="00DA5D56" w:rsidRPr="00DA5D56" w:rsidRDefault="00DA5D56" w:rsidP="00DA5D56">
      <w:pPr>
        <w:spacing w:line="360" w:lineRule="auto"/>
        <w:rPr>
          <w:rFonts w:cs="Arial"/>
        </w:rPr>
      </w:pPr>
      <w:r w:rsidRPr="00DA5D56">
        <w:rPr>
          <w:rFonts w:cs="Arial"/>
        </w:rPr>
        <w:t xml:space="preserve">After the scan session concluded participants with T1D were asked to wait to have their blood glucose rechecked before leaving the department.  If the blood glucose measurement was greater than 15mmol they were instructed to check ketones and give insulin correction doses of rapid acting insulin.  If the blood glucose was below 4mmol/L </w:t>
      </w:r>
      <w:r w:rsidRPr="00DA5D56">
        <w:rPr>
          <w:rFonts w:cs="Arial"/>
        </w:rPr>
        <w:lastRenderedPageBreak/>
        <w:t xml:space="preserve">the participants were given rapidly absorbed glucose and instructed to wait to have their glucose rechecked.  </w:t>
      </w:r>
    </w:p>
    <w:p w14:paraId="34668F5F" w14:textId="77777777" w:rsidR="00DA5D56" w:rsidRPr="00DA5D56" w:rsidRDefault="00DA5D56" w:rsidP="00DA5D56">
      <w:pPr>
        <w:spacing w:line="360" w:lineRule="auto"/>
        <w:rPr>
          <w:rFonts w:cs="Arial"/>
        </w:rPr>
      </w:pPr>
      <w:r w:rsidRPr="00DA5D56">
        <w:rPr>
          <w:rFonts w:cs="Arial"/>
        </w:rPr>
        <w:t>The above protocol was repeated on the third visit.  The patients were subjected to experimental pain during the scan, but this protocol will be described in detail in Chapter 5.  AIF data was compared between the second and third visit.  No other data from the third visit was used. The aim of this chapter is to compare the dynamic susceptibility results between two raters at both visits.</w:t>
      </w:r>
    </w:p>
    <w:p w14:paraId="5D971124" w14:textId="1144ECC2" w:rsidR="00DA5D56" w:rsidRPr="00F07B5C" w:rsidRDefault="00DA5D56" w:rsidP="00E745CE">
      <w:pPr>
        <w:pStyle w:val="Heading3"/>
      </w:pPr>
      <w:bookmarkStart w:id="230" w:name="_Toc46213527"/>
      <w:bookmarkStart w:id="231" w:name="_Toc49766047"/>
      <w:bookmarkStart w:id="232" w:name="_Toc64723921"/>
      <w:r w:rsidRPr="00F07B5C">
        <w:t>DSC analysis</w:t>
      </w:r>
      <w:bookmarkEnd w:id="230"/>
      <w:bookmarkEnd w:id="231"/>
      <w:bookmarkEnd w:id="232"/>
    </w:p>
    <w:p w14:paraId="077985EC" w14:textId="77777777" w:rsidR="00DA5D56" w:rsidRPr="00DA5D56" w:rsidRDefault="00DA5D56" w:rsidP="00DA5D56">
      <w:pPr>
        <w:spacing w:line="360" w:lineRule="auto"/>
        <w:rPr>
          <w:rFonts w:cs="Arial"/>
        </w:rPr>
      </w:pPr>
      <w:r w:rsidRPr="00DA5D56">
        <w:rPr>
          <w:rFonts w:cs="Arial"/>
        </w:rPr>
        <w:t xml:space="preserve">The DSC data was analysed using the </w:t>
      </w:r>
      <w:proofErr w:type="spellStart"/>
      <w:r w:rsidRPr="00DA5D56">
        <w:rPr>
          <w:rFonts w:cs="Arial"/>
        </w:rPr>
        <w:t>NordicNeurolab</w:t>
      </w:r>
      <w:proofErr w:type="spellEnd"/>
      <w:r w:rsidRPr="00DA5D56">
        <w:rPr>
          <w:rFonts w:cs="Arial"/>
        </w:rPr>
        <w:t xml:space="preserve">, </w:t>
      </w:r>
      <w:proofErr w:type="spellStart"/>
      <w:r w:rsidRPr="00DA5D56">
        <w:rPr>
          <w:rFonts w:cs="Arial"/>
        </w:rPr>
        <w:t>nordicICE</w:t>
      </w:r>
      <w:proofErr w:type="spellEnd"/>
      <w:r w:rsidRPr="00DA5D56">
        <w:rPr>
          <w:rFonts w:cs="Arial"/>
        </w:rPr>
        <w:t xml:space="preserve"> perfusion package (V3.0, Bergen 2012) off the shelf software.  It was transferred as DICOM® (Digital Imaging and Communications in Medicine, Arlington, Virginia) files to </w:t>
      </w:r>
      <w:proofErr w:type="spellStart"/>
      <w:r w:rsidRPr="00DA5D56">
        <w:rPr>
          <w:rFonts w:cs="Arial"/>
        </w:rPr>
        <w:t>NordicICE</w:t>
      </w:r>
      <w:proofErr w:type="spellEnd"/>
      <w:r w:rsidRPr="00DA5D56">
        <w:rPr>
          <w:rFonts w:cs="Arial"/>
        </w:rPr>
        <w:t xml:space="preserve">, motion corrected, and the pre-bolus range was identified manually.  An arterial input function was used to normalise the data to arterial flow.  A global arterial input function </w:t>
      </w:r>
      <w:r w:rsidRPr="00DA5D56">
        <w:rPr>
          <w:rFonts w:cs="Arial"/>
        </w:rPr>
        <w:fldChar w:fldCharType="begin"/>
      </w:r>
      <w:r w:rsidRPr="00DA5D56">
        <w:rPr>
          <w:rFonts w:cs="Arial"/>
        </w:rPr>
        <w:instrText xml:space="preserve"> ADDIN EN.CITE &lt;EndNote&gt;&lt;Cite&gt;&lt;Author&gt;Calamante&lt;/Author&gt;&lt;Year&gt;2013&lt;/Year&gt;&lt;IDText&gt;Arterial input function in perfusion MRI: a comprehensive review&lt;/IDText&gt;&lt;DisplayText&gt;(Calamante, 2013)&lt;/DisplayText&gt;&lt;record&gt;&lt;dates&gt;&lt;pub-dates&gt;&lt;date&gt;Oct&lt;/date&gt;&lt;/pub-dates&gt;&lt;year&gt;2013&lt;/year&gt;&lt;/dates&gt;&lt;keywords&gt;&lt;keyword&gt;Brain&lt;/keyword&gt;&lt;keyword&gt;Cerebrovascular Circulation&lt;/keyword&gt;&lt;keyword&gt;Contrast Media&lt;/keyword&gt;&lt;keyword&gt;Humans&lt;/keyword&gt;&lt;keyword&gt;Magnetic Resonance Imaging&lt;/keyword&gt;&lt;/keywords&gt;&lt;urls&gt;&lt;related-urls&gt;&lt;url&gt;https://www.ncbi.nlm.nih.gov/pubmed/24083460&lt;/url&gt;&lt;/related-urls&gt;&lt;/urls&gt;&lt;isbn&gt;1873-3301&lt;/isbn&gt;&lt;titles&gt;&lt;title&gt;Arterial input function in perfusion MRI: a comprehensive review&lt;/title&gt;&lt;secondary-title&gt;Prog Nucl Magn Reson Spectrosc&lt;/secondary-title&gt;&lt;/titles&gt;&lt;pages&gt;1-32&lt;/pages&gt;&lt;contributors&gt;&lt;authors&gt;&lt;author&gt;Calamante, F.&lt;/author&gt;&lt;/authors&gt;&lt;/contributors&gt;&lt;edition&gt;2013/05/11&lt;/edition&gt;&lt;language&gt;eng&lt;/language&gt;&lt;added-date format="utc"&gt;1501257956&lt;/added-date&gt;&lt;ref-type name="Journal Article"&gt;17&lt;/ref-type&gt;&lt;rec-number&gt;882&lt;/rec-number&gt;&lt;last-updated-date format="utc"&gt;1501257956&lt;/last-updated-date&gt;&lt;accession-num&gt;24083460&lt;/accession-num&gt;&lt;electronic-resource-num&gt;10.1016/j.pnmrs.2013.04.002&lt;/electronic-resource-num&gt;&lt;volume&gt;74&lt;/volume&gt;&lt;/record&gt;&lt;/Cite&gt;&lt;/EndNote&gt;</w:instrText>
      </w:r>
      <w:r w:rsidRPr="00DA5D56">
        <w:rPr>
          <w:rFonts w:cs="Arial"/>
        </w:rPr>
        <w:fldChar w:fldCharType="separate"/>
      </w:r>
      <w:r w:rsidRPr="00DA5D56">
        <w:rPr>
          <w:rFonts w:cs="Arial"/>
          <w:noProof/>
        </w:rPr>
        <w:t>(Calamante, 2013)</w:t>
      </w:r>
      <w:r w:rsidRPr="00DA5D56">
        <w:rPr>
          <w:rFonts w:cs="Arial"/>
        </w:rPr>
        <w:fldChar w:fldCharType="end"/>
      </w:r>
      <w:r w:rsidRPr="00DA5D56">
        <w:rPr>
          <w:rFonts w:cs="Arial"/>
        </w:rPr>
        <w:t xml:space="preserve"> was identified in a semi-automated way by identifying the middle cerebral artery and selecting the region around it.  The </w:t>
      </w:r>
      <w:proofErr w:type="spellStart"/>
      <w:r w:rsidRPr="00DA5D56">
        <w:rPr>
          <w:rFonts w:cs="Arial"/>
        </w:rPr>
        <w:t>NordicICE</w:t>
      </w:r>
      <w:proofErr w:type="spellEnd"/>
      <w:r w:rsidRPr="00DA5D56">
        <w:rPr>
          <w:rFonts w:cs="Arial"/>
        </w:rPr>
        <w:t xml:space="preserve"> software arterial input generation function was used to automatically generate a number of arterial flow signal versus time graphs, within the selected region of interest that included the middle cerebral artery </w:t>
      </w:r>
      <w:r w:rsidRPr="00DA5D56">
        <w:rPr>
          <w:rFonts w:cs="Arial"/>
        </w:rPr>
        <w:fldChar w:fldCharType="begin"/>
      </w:r>
      <w:r w:rsidRPr="00DA5D56">
        <w:rPr>
          <w:rFonts w:cs="Arial"/>
        </w:rPr>
        <w:instrText xml:space="preserve"> ADDIN EN.CITE &lt;EndNote&gt;&lt;Cite&gt;&lt;Author&gt;Mouridsen&lt;/Author&gt;&lt;Year&gt;2006&lt;/Year&gt;&lt;IDText&gt;Automatic selection of arterial input function using cluster analysis&lt;/IDText&gt;&lt;DisplayText&gt;(Mouridsen et al., 2006)&lt;/DisplayText&gt;&lt;record&gt;&lt;dates&gt;&lt;pub-dates&gt;&lt;date&gt;Mar&lt;/date&gt;&lt;/pub-dates&gt;&lt;year&gt;2006&lt;/year&gt;&lt;/dates&gt;&lt;urls&gt;&lt;related-urls&gt;&lt;url&gt;&amp;lt;Go to ISI&amp;gt;://WOS:000235858400009&lt;/url&gt;&lt;/related-urls&gt;&lt;/urls&gt;&lt;isbn&gt;0740-3194&lt;/isbn&gt;&lt;titles&gt;&lt;title&gt;Automatic selection of arterial input function using cluster analysis&lt;/title&gt;&lt;secondary-title&gt;Magnetic Resonance in Medicine&lt;/secondary-title&gt;&lt;/titles&gt;&lt;pages&gt;524-531&lt;/pages&gt;&lt;number&gt;3&lt;/number&gt;&lt;contributors&gt;&lt;authors&gt;&lt;author&gt;Mouridsen, K.&lt;/author&gt;&lt;author&gt;Christensen, S.&lt;/author&gt;&lt;author&gt;Gydensted, L.&lt;/author&gt;&lt;author&gt;Ostergaard, L.&lt;/author&gt;&lt;/authors&gt;&lt;/contributors&gt;&lt;added-date format="utc"&gt;1373193149&lt;/added-date&gt;&lt;ref-type name="Journal Article"&gt;17&lt;/ref-type&gt;&lt;rec-number&gt;747&lt;/rec-number&gt;&lt;last-updated-date format="utc"&gt;1373193149&lt;/last-updated-date&gt;&lt;accession-num&gt;WOS:000235858400009&lt;/accession-num&gt;&lt;electronic-resource-num&gt;10.1002/mrm.20759&lt;/electronic-resource-num&gt;&lt;volume&gt;55&lt;/volume&gt;&lt;/record&gt;&lt;/Cite&gt;&lt;/EndNote&gt;</w:instrText>
      </w:r>
      <w:r w:rsidRPr="00DA5D56">
        <w:rPr>
          <w:rFonts w:cs="Arial"/>
        </w:rPr>
        <w:fldChar w:fldCharType="separate"/>
      </w:r>
      <w:r w:rsidRPr="00DA5D56">
        <w:rPr>
          <w:rFonts w:cs="Arial"/>
          <w:noProof/>
        </w:rPr>
        <w:t>(Mouridsen et al., 2006)</w:t>
      </w:r>
      <w:r w:rsidRPr="00DA5D56">
        <w:rPr>
          <w:rFonts w:cs="Arial"/>
        </w:rPr>
        <w:fldChar w:fldCharType="end"/>
      </w:r>
      <w:r w:rsidRPr="00DA5D56">
        <w:rPr>
          <w:rFonts w:cs="Arial"/>
        </w:rPr>
        <w:t xml:space="preserve">.  The final arterial input function was chosen from the selection generated by the automatic function.  These were selected on the basis of visual identification of the AIF within the middle cerebral artery,  and an appropriate signal response, i.e. rapid rise, tall peak and immediate and rapid fall assessed visually </w:t>
      </w:r>
      <w:r w:rsidRPr="00DA5D56">
        <w:rPr>
          <w:rFonts w:cs="Arial"/>
        </w:rPr>
        <w:fldChar w:fldCharType="begin"/>
      </w:r>
      <w:r w:rsidRPr="00DA5D56">
        <w:rPr>
          <w:rFonts w:cs="Arial"/>
        </w:rPr>
        <w:instrText xml:space="preserve"> ADDIN EN.CITE &lt;EndNote&gt;&lt;Cite&gt;&lt;Author&gt;Rempp&lt;/Author&gt;&lt;Year&gt;1994&lt;/Year&gt;&lt;IDText&gt;QUANTIFICATION OF REGIONAL CEREBRAL BLOOD-FLOW AND VOLUME WITH DYNAMIC SUSCEPTIBILITY CONTRAST-ENHANCED MR-IMAGING&lt;/IDText&gt;&lt;DisplayText&gt;(Rempp et al., 1994)&lt;/DisplayText&gt;&lt;record&gt;&lt;dates&gt;&lt;pub-dates&gt;&lt;date&gt;Dec&lt;/date&gt;&lt;/pub-dates&gt;&lt;year&gt;1994&lt;/year&gt;&lt;/dates&gt;&lt;keywords&gt;&lt;/keywords&gt;&lt;urls&gt;&lt;related-urls&gt;&lt;url&gt;&amp;lt;Go to ISI&amp;gt;://WOS:A1994PT55300013&lt;/url&gt;&lt;/related-urls&gt;&lt;/urls&gt;&lt;isbn&gt;0033-8419&lt;/isbn&gt;&lt;work-type&gt;Article&lt;/work-type&gt;&lt;titles&gt;&lt;title&gt;QUANTIFICATION OF REGIONAL CEREBRAL BLOOD-FLOW AND VOLUME WITH DYNAMIC SUSCEPTIBILITY CONTRAST-ENHANCED MR-IMAGING&lt;/title&gt;&lt;secondary-title&gt;Radiology&lt;/secondary-title&gt;&lt;/titles&gt;&lt;pages&gt;637-641&lt;/pages&gt;&lt;number&gt;3&lt;/number&gt;&lt;contributors&gt;&lt;authors&gt;&lt;author&gt;Rempp, K. A.&lt;/author&gt;&lt;author&gt;Brix, G.&lt;/author&gt;&lt;author&gt;Wenz, F.&lt;/author&gt;&lt;author&gt;Becker, C. R.&lt;/author&gt;&lt;author&gt;Guckel, F.&lt;/author&gt;&lt;author&gt;Lorenz, W. J.&lt;/author&gt;&lt;/authors&gt;&lt;/contributors&gt;&lt;language&gt;English&lt;/language&gt;&lt;added-date format="utc"&gt;1373191410&lt;/added-date&gt;&lt;ref-type name="Journal Article"&gt;17&lt;/ref-type&gt;&lt;auth-address&gt;REMPP, KA (reprint author), GERMAN CANC RES CTR,RADIOL DIAGNOST &amp;amp; THERAPY RES PROGRAM,NEUENHEIMER FELD 280,D-69120 HEIDELBERG,GERMANY.&lt;/auth-address&gt;&lt;rec-number&gt;745&lt;/rec-number&gt;&lt;last-updated-date format="utc"&gt;1373191410&lt;/last-updated-date&gt;&lt;accession-num&gt;WOS:A1994PT55300013&lt;/accession-num&gt;&lt;volume&gt;193&lt;/volume&gt;&lt;/record&gt;&lt;/Cite&gt;&lt;/EndNote&gt;</w:instrText>
      </w:r>
      <w:r w:rsidRPr="00DA5D56">
        <w:rPr>
          <w:rFonts w:cs="Arial"/>
        </w:rPr>
        <w:fldChar w:fldCharType="separate"/>
      </w:r>
      <w:r w:rsidRPr="00DA5D56">
        <w:rPr>
          <w:rFonts w:cs="Arial"/>
          <w:noProof/>
        </w:rPr>
        <w:t>(Rempp et al., 1994)</w:t>
      </w:r>
      <w:r w:rsidRPr="00DA5D56">
        <w:rPr>
          <w:rFonts w:cs="Arial"/>
        </w:rPr>
        <w:fldChar w:fldCharType="end"/>
      </w:r>
      <w:r w:rsidRPr="00DA5D56">
        <w:rPr>
          <w:rFonts w:cs="Arial"/>
        </w:rPr>
        <w:t xml:space="preserve">.  Then using </w:t>
      </w:r>
      <w:proofErr w:type="spellStart"/>
      <w:r w:rsidRPr="00DA5D56">
        <w:rPr>
          <w:rFonts w:cs="Arial"/>
        </w:rPr>
        <w:t>NordicICE</w:t>
      </w:r>
      <w:proofErr w:type="spellEnd"/>
      <w:r w:rsidRPr="00DA5D56">
        <w:rPr>
          <w:rFonts w:cs="Arial"/>
        </w:rPr>
        <w:t xml:space="preserve"> perfusion module software and the manually selected AIF; RBF, RBV and MTT maps were generated by the software.  Note that the TTP maps were not corrected for arterial input function by definition and were generated separately.  Single value deconvolution technique (SVD) was used to generate the automated maps for RBF, RBV and MTT.  SVD is a non- parametric technique which allows deconvolution even in the context of noise in the input data, which can cause a large deviation in calculated RBF from true values </w:t>
      </w:r>
      <w:r w:rsidRPr="00DA5D56">
        <w:rPr>
          <w:rFonts w:cs="Arial"/>
        </w:rPr>
        <w:fldChar w:fldCharType="begin"/>
      </w:r>
      <w:r w:rsidRPr="00DA5D56">
        <w:rPr>
          <w:rFonts w:cs="Arial"/>
        </w:rPr>
        <w:instrText xml:space="preserve"> ADDIN EN.CITE &lt;EndNote&gt;&lt;Cite&gt;&lt;Author&gt;Knutsson&lt;/Author&gt;&lt;Year&gt;2004&lt;/Year&gt;&lt;IDText&gt;Aspects on the accuracy of cerebral perfusion parameters obtained by dynamic susceptibility contrast MRI: a simulation study&lt;/IDText&gt;&lt;DisplayText&gt;(Knutsson et al., 2004)&lt;/DisplayText&gt;&lt;record&gt;&lt;keywords&gt;&lt;keyword&gt;Medical Imaging&lt;/keyword&gt;&lt;keyword&gt;Miscellaneous, Reviews&lt;/keyword&gt;&lt;/keywords&gt;&lt;isbn&gt;0730-725X&lt;/isbn&gt;&lt;titles&gt;&lt;title&gt;Aspects on the accuracy of cerebral perfusion parameters obtained by dynamic susceptibility contrast MRI: a simulation study&lt;/title&gt;&lt;secondary-title&gt;Magnetic Resonance Imaging&lt;/secondary-title&gt;&lt;/titles&gt;&lt;pages&gt;789-798&lt;/pages&gt;&lt;number&gt;6&lt;/number&gt;&lt;contributors&gt;&lt;authors&gt;&lt;author&gt;Knutsson, L.&lt;/author&gt;&lt;author&gt;Staahlberg, F.&lt;/author&gt;&lt;author&gt;Wirestam, R.&lt;/author&gt;&lt;/authors&gt;&lt;/contributors&gt;&lt;added-date format="utc"&gt;1569152868&lt;/added-date&gt;&lt;ref-type name="Journal Article"&gt;17&lt;/ref-type&gt;&lt;dates&gt;&lt;year&gt;2004&lt;/year&gt;&lt;/dates&gt;&lt;rec-number&gt;1123&lt;/rec-number&gt;&lt;last-updated-date format="utc"&gt;1569152905&lt;/last-updated-date&gt;&lt;contributors&gt;&lt;secondary-authors&gt;&lt;author&gt;Knutsson, L.&lt;/author&gt;&lt;/secondary-authors&gt;&lt;/contributors&gt;&lt;electronic-resource-num&gt;10.1016/j.mri.2003.12.002&lt;/electronic-resource-num&gt;&lt;volume&gt;22&lt;/volume&gt;&lt;/record&gt;&lt;/Cite&gt;&lt;/EndNote&gt;</w:instrText>
      </w:r>
      <w:r w:rsidRPr="00DA5D56">
        <w:rPr>
          <w:rFonts w:cs="Arial"/>
        </w:rPr>
        <w:fldChar w:fldCharType="separate"/>
      </w:r>
      <w:r w:rsidRPr="00DA5D56">
        <w:rPr>
          <w:rFonts w:cs="Arial"/>
          <w:noProof/>
        </w:rPr>
        <w:t>(Knutsson et al., 2004)</w:t>
      </w:r>
      <w:r w:rsidRPr="00DA5D56">
        <w:rPr>
          <w:rFonts w:cs="Arial"/>
        </w:rPr>
        <w:fldChar w:fldCharType="end"/>
      </w:r>
      <w:r w:rsidRPr="00DA5D56">
        <w:rPr>
          <w:rFonts w:cs="Arial"/>
        </w:rPr>
        <w:t xml:space="preserve">.  A region of interest (ROI) was hand drawn on areas reported to be implicated in pain processing the thalamus (Thal), the insula (INS), the anterior cingulate cortex (ACC), the primary sensory cortex (PSC) and the right sided posterior occipital white matter (POWM) as a control area </w:t>
      </w:r>
      <w:r w:rsidRPr="00DA5D56">
        <w:rPr>
          <w:rFonts w:cs="Arial"/>
        </w:rPr>
        <w:fldChar w:fldCharType="begin">
          <w:fldData xml:space="preserve">PEVuZE5vdGU+PENpdGU+PEF1dGhvcj5EdWVyZGVuPC9BdXRob3I+PFllYXI+MjAxMzwvWWVhcj48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</w:fldData>
        </w:fldChar>
      </w:r>
      <w:r w:rsidRPr="00DA5D56">
        <w:rPr>
          <w:rFonts w:cs="Arial"/>
        </w:rPr>
        <w:instrText xml:space="preserve"> ADDIN EN.CITE </w:instrText>
      </w:r>
      <w:r w:rsidRPr="00DA5D56">
        <w:rPr>
          <w:rFonts w:cs="Arial"/>
        </w:rPr>
        <w:fldChar w:fldCharType="begin">
          <w:fldData xml:space="preserve">PEVuZE5vdGU+PENpdGU+PEF1dGhvcj5EdWVyZGVuPC9BdXRob3I+PFllYXI+MjAxMzwvWWVhcj48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</w:fldData>
        </w:fldChar>
      </w:r>
      <w:r w:rsidRPr="00DA5D56">
        <w:rPr>
          <w:rFonts w:cs="Arial"/>
        </w:rPr>
        <w:instrText xml:space="preserve"> ADDIN EN.CITE.DATA </w:instrText>
      </w:r>
      <w:r w:rsidRPr="00DA5D56">
        <w:rPr>
          <w:rFonts w:cs="Arial"/>
        </w:rPr>
      </w:r>
      <w:r w:rsidRPr="00DA5D56">
        <w:rPr>
          <w:rFonts w:cs="Arial"/>
        </w:rPr>
        <w:fldChar w:fldCharType="end"/>
      </w:r>
      <w:r w:rsidRPr="00DA5D56">
        <w:rPr>
          <w:rFonts w:cs="Arial"/>
        </w:rPr>
      </w:r>
      <w:r w:rsidRPr="00DA5D56">
        <w:rPr>
          <w:rFonts w:cs="Arial"/>
        </w:rPr>
        <w:fldChar w:fldCharType="separate"/>
      </w:r>
      <w:r w:rsidRPr="00DA5D56">
        <w:rPr>
          <w:rFonts w:cs="Arial"/>
          <w:noProof/>
        </w:rPr>
        <w:t>(Duerden and Albanese, 2013)</w:t>
      </w:r>
      <w:r w:rsidRPr="00DA5D56">
        <w:rPr>
          <w:rFonts w:cs="Arial"/>
        </w:rPr>
        <w:fldChar w:fldCharType="end"/>
      </w:r>
      <w:r w:rsidRPr="00DA5D56">
        <w:rPr>
          <w:rFonts w:cs="Arial"/>
        </w:rPr>
        <w:t xml:space="preserve">.  ROI were drawn bilaterally, except in the case of the ACC where they were combined due to </w:t>
      </w:r>
      <w:r w:rsidRPr="00DA5D56">
        <w:rPr>
          <w:rFonts w:cs="Arial"/>
        </w:rPr>
        <w:lastRenderedPageBreak/>
        <w:t>the very small area, and the POWM control area which was right side only.  The descriptions for identifying landmarks at which to draw the region of interest “freehand”, which formed part of the standard operating procedure for both raters, are described below.</w:t>
      </w:r>
    </w:p>
    <w:p w14:paraId="5C135B2A" w14:textId="4D7CCFE4" w:rsidR="00DA5D56" w:rsidRPr="007A5260" w:rsidRDefault="00DA5D56" w:rsidP="007A5260">
      <w:pPr>
        <w:pStyle w:val="Heading4"/>
      </w:pPr>
      <w:r w:rsidRPr="007A5260">
        <w:t>Description of</w:t>
      </w:r>
      <w:r w:rsidR="00D16370">
        <w:t xml:space="preserve"> the</w:t>
      </w:r>
      <w:r w:rsidRPr="007A5260">
        <w:t xml:space="preserve"> position of the region of interest for the left and right thalamus</w:t>
      </w:r>
    </w:p>
    <w:p w14:paraId="6D9D4F71" w14:textId="7097EFED" w:rsidR="00DA5D56" w:rsidRDefault="00DA5D56" w:rsidP="00DA5D56">
      <w:pPr>
        <w:spacing w:line="360" w:lineRule="auto"/>
        <w:rPr>
          <w:rFonts w:cs="Arial"/>
        </w:rPr>
      </w:pPr>
      <w:r w:rsidRPr="00DA5D56">
        <w:rPr>
          <w:rFonts w:cs="Arial"/>
        </w:rPr>
        <w:t xml:space="preserve">The slice at which the ROI was drawn was identified as the first slice where the anterior horn of the lateral ventricle is apparent.  The ROI was identified using the following landmarks: At the level of the anterior and posterior commissure, the thalamus is medial to the internal capsule, lateral to the third ventricle and the posterior commissure. </w:t>
      </w:r>
      <w:r w:rsidRPr="00DA5D56">
        <w:rPr>
          <w:rFonts w:cs="Arial"/>
        </w:rPr>
        <w:fldChar w:fldCharType="begin"/>
      </w:r>
      <w:r w:rsidRPr="00DA5D56">
        <w:rPr>
          <w:rFonts w:cs="Arial"/>
        </w:rPr>
        <w:instrText xml:space="preserve"> ADDIN EN.CITE &lt;EndNote&gt;&lt;Cite&gt;&lt;Author&gt;Yamada&lt;/Author&gt;&lt;Year&gt;2010&lt;/Year&gt;&lt;IDText&gt;MR Imaging of Ventral Thalamic Nuclei&lt;/IDText&gt;&lt;DisplayText&gt;(Yamada et al., 2010)&lt;/DisplayText&gt;&lt;record&gt;&lt;dates&gt;&lt;pub-dates&gt;&lt;date&gt;Apr&lt;/date&gt;&lt;/pub-dates&gt;&lt;year&gt;2010&lt;/year&gt;&lt;/dates&gt;&lt;urls&gt;&lt;related-urls&gt;&lt;url&gt;&amp;lt;Go to ISI&amp;gt;://WOS:000277000500027&lt;/url&gt;&lt;/related-urls&gt;&lt;/urls&gt;&lt;isbn&gt;0195-6108&lt;/isbn&gt;&lt;titles&gt;&lt;title&gt;MR Imaging of Ventral Thalamic Nuclei&lt;/title&gt;&lt;secondary-title&gt;American Journal of Neuroradiology&lt;/secondary-title&gt;&lt;/titles&gt;&lt;pages&gt;732-735&lt;/pages&gt;&lt;number&gt;4&lt;/number&gt;&lt;contributors&gt;&lt;authors&gt;&lt;author&gt;Yamada, K.&lt;/author&gt;&lt;author&gt;Akazawa, K.&lt;/author&gt;&lt;author&gt;Yuen, S.&lt;/author&gt;&lt;author&gt;Goto, M.&lt;/author&gt;&lt;author&gt;Matsushima, S.&lt;/author&gt;&lt;author&gt;Takahata, A.&lt;/author&gt;&lt;author&gt;Nakagawa, M.&lt;/author&gt;&lt;author&gt;Mineura, K.&lt;/author&gt;&lt;author&gt;Nishimura, T.&lt;/author&gt;&lt;/authors&gt;&lt;/contributors&gt;&lt;added-date format="utc"&gt;1510155064&lt;/added-date&gt;&lt;ref-type name="Journal Article"&gt;17&lt;/ref-type&gt;&lt;rec-number&gt;891&lt;/rec-number&gt;&lt;last-updated-date format="utc"&gt;1510155064&lt;/last-updated-date&gt;&lt;accession-num&gt;WOS:000277000500027&lt;/accession-num&gt;&lt;electronic-resource-num&gt;10.3174/ajnr.A1870&lt;/electronic-resource-num&gt;&lt;volume&gt;31&lt;/volume&gt;&lt;/record&gt;&lt;/Cite&gt;&lt;/EndNote&gt;</w:instrText>
      </w:r>
      <w:r w:rsidRPr="00DA5D56">
        <w:rPr>
          <w:rFonts w:cs="Arial"/>
        </w:rPr>
        <w:fldChar w:fldCharType="separate"/>
      </w:r>
      <w:r w:rsidRPr="00DA5D56">
        <w:rPr>
          <w:rFonts w:cs="Arial"/>
          <w:noProof/>
        </w:rPr>
        <w:t>(Yamada et al., 2010)</w:t>
      </w:r>
      <w:r w:rsidRPr="00DA5D56">
        <w:rPr>
          <w:rFonts w:cs="Arial"/>
        </w:rPr>
        <w:fldChar w:fldCharType="end"/>
      </w:r>
      <w:r w:rsidRPr="00DA5D56">
        <w:rPr>
          <w:rFonts w:cs="Arial"/>
        </w:rPr>
        <w:t xml:space="preserve"> (Figure 3.2).</w:t>
      </w:r>
    </w:p>
    <w:p w14:paraId="0FDC4253" w14:textId="77777777" w:rsidR="007A5260" w:rsidRPr="00DA5D56" w:rsidRDefault="007A5260" w:rsidP="00DA5D56">
      <w:pPr>
        <w:spacing w:line="360" w:lineRule="auto"/>
        <w:rPr>
          <w:rFonts w:cs="Arial"/>
        </w:rPr>
      </w:pPr>
    </w:p>
    <w:p w14:paraId="46FDA58D" w14:textId="4F4D0466" w:rsidR="00DA5D56" w:rsidRPr="007A5260" w:rsidRDefault="00DA5D56" w:rsidP="007A5260">
      <w:pPr>
        <w:pStyle w:val="Subtitle"/>
      </w:pPr>
      <w:bookmarkStart w:id="233" w:name="_Toc45038104"/>
      <w:bookmarkStart w:id="234" w:name="_Toc49765502"/>
      <w:bookmarkStart w:id="235" w:name="_Toc64724181"/>
      <w:r w:rsidRPr="007A5260">
        <w:t xml:space="preserve">Figure 3.2  Example of the </w:t>
      </w:r>
      <w:r w:rsidR="00C13E7C">
        <w:t>P</w:t>
      </w:r>
      <w:r w:rsidRPr="007A5260">
        <w:t xml:space="preserve">osition of the </w:t>
      </w:r>
      <w:r w:rsidR="00C13E7C">
        <w:t>R</w:t>
      </w:r>
      <w:r w:rsidRPr="007A5260">
        <w:t xml:space="preserve">egion of </w:t>
      </w:r>
      <w:r w:rsidR="00C13E7C">
        <w:t>I</w:t>
      </w:r>
      <w:r w:rsidRPr="007A5260">
        <w:t xml:space="preserve">nterest for the </w:t>
      </w:r>
      <w:r w:rsidR="00C13E7C">
        <w:t>T</w:t>
      </w:r>
      <w:r w:rsidRPr="007A5260">
        <w:t>halamus</w:t>
      </w:r>
      <w:bookmarkEnd w:id="233"/>
      <w:bookmarkEnd w:id="234"/>
      <w:bookmarkEnd w:id="235"/>
    </w:p>
    <w:p w14:paraId="0BC4E3AC" w14:textId="77777777" w:rsidR="00DA5D56" w:rsidRPr="00DA5D56" w:rsidRDefault="00DA5D56" w:rsidP="00DA5D56">
      <w:pPr>
        <w:rPr>
          <w:lang w:eastAsia="en-GB"/>
        </w:rPr>
      </w:pPr>
    </w:p>
    <w:p w14:paraId="1B5F01F9" w14:textId="77777777" w:rsidR="00DA5D56" w:rsidRPr="00DA5D56" w:rsidRDefault="00DA5D56" w:rsidP="00DA5D56">
      <w:pPr>
        <w:spacing w:line="360" w:lineRule="auto"/>
        <w:rPr>
          <w:rFonts w:cs="Arial"/>
        </w:rPr>
      </w:pPr>
      <w:r w:rsidRPr="00DA5D56">
        <w:rPr>
          <w:rFonts w:cs="Arial"/>
          <w:noProof/>
          <w:lang w:eastAsia="en-GB"/>
        </w:rPr>
        <w:drawing>
          <wp:inline distT="0" distB="0" distL="0" distR="0" wp14:anchorId="60CB3B01" wp14:editId="6FA36F33">
            <wp:extent cx="2154116" cy="2083777"/>
            <wp:effectExtent l="0" t="0" r="5080" b="0"/>
            <wp:docPr id="2178" name="image90.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2178" name="image90.png" descr="A screenshot of a computer&#10;&#10;Description automatically generated"/>
                    <pic:cNvPicPr preferRelativeResize="0"/>
                  </pic:nvPicPr>
                  <pic:blipFill>
                    <a:blip r:embed="rId28"/>
                    <a:srcRect l="3418" t="11424" r="72036" b="41942"/>
                    <a:stretch>
                      <a:fillRect/>
                    </a:stretch>
                  </pic:blipFill>
                  <pic:spPr>
                    <a:xfrm>
                      <a:off x="0" y="0"/>
                      <a:ext cx="2188682" cy="2117214"/>
                    </a:xfrm>
                    <a:prstGeom prst="rect">
                      <a:avLst/>
                    </a:prstGeom>
                    <a:ln/>
                  </pic:spPr>
                </pic:pic>
              </a:graphicData>
            </a:graphic>
          </wp:inline>
        </w:drawing>
      </w:r>
    </w:p>
    <w:p w14:paraId="26DB61AF" w14:textId="2A20D0C0" w:rsidR="00DA5D56" w:rsidRPr="007A5260" w:rsidRDefault="00DA5D56" w:rsidP="00DA5D56">
      <w:pPr>
        <w:spacing w:line="360" w:lineRule="auto"/>
        <w:rPr>
          <w:rStyle w:val="SubtleEmphasis"/>
        </w:rPr>
      </w:pPr>
      <w:r w:rsidRPr="007A5260">
        <w:rPr>
          <w:rStyle w:val="SubtleEmphasis"/>
        </w:rPr>
        <w:t>Position of the ROI for the right thalamus.  The ROI is marked in red.</w:t>
      </w:r>
    </w:p>
    <w:p w14:paraId="47F530DD" w14:textId="77777777" w:rsidR="007A5260" w:rsidRPr="00DA5D56" w:rsidRDefault="007A5260" w:rsidP="00DA5D56">
      <w:pPr>
        <w:spacing w:line="360" w:lineRule="auto"/>
        <w:rPr>
          <w:iCs/>
          <w:color w:val="808080" w:themeColor="text1" w:themeTint="7F"/>
          <w:sz w:val="21"/>
        </w:rPr>
      </w:pPr>
    </w:p>
    <w:p w14:paraId="20CF6D93" w14:textId="5F1BEDC0" w:rsidR="007A5260" w:rsidRDefault="00DA5D56" w:rsidP="007A5260">
      <w:pPr>
        <w:pStyle w:val="Heading4"/>
      </w:pPr>
      <w:r w:rsidRPr="00DA5D56">
        <w:t>Description of position of the region of interest for the left and right insula cortex</w:t>
      </w:r>
    </w:p>
    <w:p w14:paraId="493F4134" w14:textId="1B40BF8E" w:rsidR="00DA5D56" w:rsidRPr="00DA5D56" w:rsidRDefault="00DA5D56" w:rsidP="00DA5D56">
      <w:pPr>
        <w:spacing w:line="360" w:lineRule="auto"/>
        <w:rPr>
          <w:rFonts w:cs="Arial"/>
        </w:rPr>
      </w:pPr>
      <w:r w:rsidRPr="00DA5D56">
        <w:rPr>
          <w:rFonts w:cs="Arial"/>
        </w:rPr>
        <w:t xml:space="preserve">The insula is lateral to the claustrum on the same slice as the thalamus.  The insula is between a coronal line drawn at the junction of the anterior limb in the internal capsule and the external capsule for the anterior insula, and the coronal line at the level of the PC defines the posterior insula </w:t>
      </w:r>
      <w:r w:rsidRPr="00DA5D56">
        <w:rPr>
          <w:rFonts w:cs="Arial"/>
        </w:rPr>
        <w:fldChar w:fldCharType="begin"/>
      </w:r>
      <w:r w:rsidRPr="00DA5D56">
        <w:rPr>
          <w:rFonts w:cs="Arial"/>
        </w:rPr>
        <w:instrText xml:space="preserve"> ADDIN EN.CITE &lt;EndNote&gt;&lt;Cite&gt;&lt;Author&gt;Naidich&lt;/Author&gt;&lt;Year&gt;2004&lt;/Year&gt;&lt;IDText&gt;The insula: Anatomic study and MR Imaging display at 1.5 T&lt;/IDText&gt;&lt;DisplayText&gt;(Naidich et al., 2004)&lt;/DisplayText&gt;&lt;record&gt;&lt;dates&gt;&lt;pub-dates&gt;&lt;date&gt;Feb&lt;/date&gt;&lt;/pub-dates&gt;&lt;year&gt;2004&lt;/year&gt;&lt;/dates&gt;&lt;urls&gt;&lt;related-urls&gt;&lt;url&gt;&amp;lt;Go to ISI&amp;gt;://WOS:000189105600012&lt;/url&gt;&lt;/related-urls&gt;&lt;/urls&gt;&lt;isbn&gt;0195-6108&lt;/isbn&gt;&lt;titles&gt;&lt;title&gt;The insula: Anatomic study and MR Imaging display at 1.5 T&lt;/title&gt;&lt;secondary-title&gt;American Journal of Neuroradiology&lt;/secondary-title&gt;&lt;/titles&gt;&lt;pages&gt;222-232&lt;/pages&gt;&lt;number&gt;2&lt;/number&gt;&lt;contributors&gt;&lt;authors&gt;&lt;author&gt;Naidich, T. P.&lt;/author&gt;&lt;author&gt;Kang, E.&lt;/author&gt;&lt;author&gt;Fatterpekar, G. M.&lt;/author&gt;&lt;author&gt;Delman, B. N.&lt;/author&gt;&lt;author&gt;Gultekin, S. H.&lt;/author&gt;&lt;author&gt;Wolfe, D.&lt;/author&gt;&lt;author&gt;Ortiz, O.&lt;/author&gt;&lt;author&gt;Yousry, I.&lt;/author&gt;&lt;author&gt;Weismann, M.&lt;/author&gt;&lt;author&gt;Yousry, T. A.&lt;/author&gt;&lt;/authors&gt;&lt;/contributors&gt;&lt;added-date format="utc"&gt;1510155320&lt;/added-date&gt;&lt;ref-type name="Journal Article"&gt;17&lt;/ref-type&gt;&lt;rec-number&gt;892&lt;/rec-number&gt;&lt;last-updated-date format="utc"&gt;1510155320&lt;/last-updated-date&gt;&lt;accession-num&gt;WOS:000189105600012&lt;/accession-num&gt;&lt;volume&gt;25&lt;/volume&gt;&lt;/record&gt;&lt;/Cite&gt;&lt;/EndNote&gt;</w:instrText>
      </w:r>
      <w:r w:rsidRPr="00DA5D56">
        <w:rPr>
          <w:rFonts w:cs="Arial"/>
        </w:rPr>
        <w:fldChar w:fldCharType="separate"/>
      </w:r>
      <w:r w:rsidRPr="00DA5D56">
        <w:rPr>
          <w:rFonts w:cs="Arial"/>
          <w:noProof/>
        </w:rPr>
        <w:t>(Naidich et al., 2004)</w:t>
      </w:r>
      <w:r w:rsidRPr="00DA5D56">
        <w:rPr>
          <w:rFonts w:cs="Arial"/>
        </w:rPr>
        <w:fldChar w:fldCharType="end"/>
      </w:r>
      <w:r w:rsidRPr="00DA5D56">
        <w:rPr>
          <w:rFonts w:cs="Arial"/>
        </w:rPr>
        <w:t xml:space="preserve">.  The ROI was drawn to follow the line of the gyri and to avoid major perforating vessels (Figure 3.3). </w:t>
      </w:r>
    </w:p>
    <w:p w14:paraId="1AB53E6F" w14:textId="77777777" w:rsidR="00DA5D56" w:rsidRPr="00DA5D56" w:rsidRDefault="00DA5D56" w:rsidP="00DA5D56">
      <w:pPr>
        <w:rPr>
          <w:rFonts w:cs="Arial"/>
        </w:rPr>
      </w:pPr>
      <w:bookmarkStart w:id="236" w:name="_Toc45038105"/>
      <w:bookmarkStart w:id="237" w:name="_Toc49765503"/>
      <w:r w:rsidRPr="00DA5D56">
        <w:rPr>
          <w:rFonts w:cs="Arial"/>
          <w:i/>
        </w:rPr>
        <w:br w:type="page"/>
      </w:r>
    </w:p>
    <w:p w14:paraId="3628FA4C" w14:textId="59F00021" w:rsidR="00DA5D56" w:rsidRPr="00DA5D56" w:rsidRDefault="00DA5D56" w:rsidP="007A5260">
      <w:pPr>
        <w:pStyle w:val="Subtitle"/>
      </w:pPr>
      <w:bookmarkStart w:id="238" w:name="_Toc64724182"/>
      <w:r w:rsidRPr="00DA5D56">
        <w:lastRenderedPageBreak/>
        <w:t xml:space="preserve">Figure 3.3  Example of the </w:t>
      </w:r>
      <w:r w:rsidR="00AC2038">
        <w:t>P</w:t>
      </w:r>
      <w:r w:rsidRPr="00DA5D56">
        <w:t xml:space="preserve">osition of the </w:t>
      </w:r>
      <w:r w:rsidR="00AC2038">
        <w:t>R</w:t>
      </w:r>
      <w:r w:rsidRPr="00DA5D56">
        <w:t xml:space="preserve">egion of </w:t>
      </w:r>
      <w:r w:rsidR="00AC2038">
        <w:t>I</w:t>
      </w:r>
      <w:r w:rsidRPr="00DA5D56">
        <w:t xml:space="preserve">nterest for the </w:t>
      </w:r>
      <w:r w:rsidR="00AC2038">
        <w:t>I</w:t>
      </w:r>
      <w:r w:rsidRPr="00DA5D56">
        <w:t xml:space="preserve">nsular </w:t>
      </w:r>
      <w:r w:rsidR="00AC2038">
        <w:t>C</w:t>
      </w:r>
      <w:r w:rsidRPr="00DA5D56">
        <w:t>ortex</w:t>
      </w:r>
      <w:bookmarkEnd w:id="236"/>
      <w:bookmarkEnd w:id="237"/>
      <w:bookmarkEnd w:id="238"/>
    </w:p>
    <w:p w14:paraId="5D170482" w14:textId="77777777" w:rsidR="00DA5D56" w:rsidRPr="00DA5D56" w:rsidRDefault="00DA5D56" w:rsidP="00DA5D56">
      <w:pPr>
        <w:spacing w:line="360" w:lineRule="auto"/>
        <w:rPr>
          <w:rFonts w:cs="Arial"/>
        </w:rPr>
      </w:pPr>
      <w:r w:rsidRPr="00DA5D56">
        <w:rPr>
          <w:rFonts w:cs="Arial"/>
          <w:noProof/>
          <w:lang w:eastAsia="en-GB"/>
        </w:rPr>
        <w:drawing>
          <wp:inline distT="0" distB="0" distL="0" distR="0" wp14:anchorId="6BEDEF8F" wp14:editId="220C40DB">
            <wp:extent cx="2215662" cy="2435128"/>
            <wp:effectExtent l="0" t="0" r="0" b="3810"/>
            <wp:docPr id="2179" name="image86.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2179" name="image86.png" descr="A screenshot of a computer&#10;&#10;Description automatically generated"/>
                    <pic:cNvPicPr preferRelativeResize="0"/>
                  </pic:nvPicPr>
                  <pic:blipFill rotWithShape="1">
                    <a:blip r:embed="rId29"/>
                    <a:srcRect l="1006" t="9528" r="72474" b="40794"/>
                    <a:stretch/>
                  </pic:blipFill>
                  <pic:spPr bwMode="auto">
                    <a:xfrm>
                      <a:off x="0" y="0"/>
                      <a:ext cx="2284568" cy="2510860"/>
                    </a:xfrm>
                    <a:prstGeom prst="rect">
                      <a:avLst/>
                    </a:prstGeom>
                    <a:ln>
                      <a:noFill/>
                    </a:ln>
                    <a:extLst>
                      <a:ext uri="{53640926-AAD7-44D8-BBD7-CCE9431645EC}">
                        <a14:shadowObscured xmlns:a14="http://schemas.microsoft.com/office/drawing/2010/main"/>
                      </a:ext>
                    </a:extLst>
                  </pic:spPr>
                </pic:pic>
              </a:graphicData>
            </a:graphic>
          </wp:inline>
        </w:drawing>
      </w:r>
    </w:p>
    <w:p w14:paraId="5714D354" w14:textId="2343209F" w:rsidR="00DA5D56" w:rsidRDefault="00DA5D56" w:rsidP="00DA5D56">
      <w:pPr>
        <w:spacing w:line="360" w:lineRule="auto"/>
        <w:rPr>
          <w:rStyle w:val="SubtleEmphasis"/>
        </w:rPr>
      </w:pPr>
      <w:r w:rsidRPr="007A5260">
        <w:rPr>
          <w:rStyle w:val="SubtleEmphasis"/>
        </w:rPr>
        <w:t>Position of the ROI for left insula cortex.  The ROI is marked in red.</w:t>
      </w:r>
    </w:p>
    <w:p w14:paraId="6147297C" w14:textId="77777777" w:rsidR="007A5260" w:rsidRPr="007A5260" w:rsidRDefault="007A5260" w:rsidP="00DA5D56">
      <w:pPr>
        <w:spacing w:line="360" w:lineRule="auto"/>
        <w:rPr>
          <w:rStyle w:val="SubtleEmphasis"/>
        </w:rPr>
      </w:pPr>
    </w:p>
    <w:p w14:paraId="226DCD7E" w14:textId="77777777" w:rsidR="007A5260" w:rsidRDefault="00DA5D56" w:rsidP="00DA5D56">
      <w:pPr>
        <w:spacing w:line="360" w:lineRule="auto"/>
        <w:rPr>
          <w:rStyle w:val="Heading4Char"/>
        </w:rPr>
      </w:pPr>
      <w:r w:rsidRPr="007A5260">
        <w:rPr>
          <w:rStyle w:val="Heading4Char"/>
        </w:rPr>
        <w:t xml:space="preserve">Description of position of the region of interest for the anterior cingulate cortex: </w:t>
      </w:r>
    </w:p>
    <w:p w14:paraId="54FC3121" w14:textId="69710DE0" w:rsidR="00DA5D56" w:rsidRDefault="00DA5D56" w:rsidP="00DA5D56">
      <w:pPr>
        <w:spacing w:line="360" w:lineRule="auto"/>
        <w:rPr>
          <w:rFonts w:cs="Arial"/>
        </w:rPr>
      </w:pPr>
      <w:r w:rsidRPr="007A5260">
        <w:rPr>
          <w:rStyle w:val="Heading4Char"/>
        </w:rPr>
        <w:t xml:space="preserve"> </w:t>
      </w:r>
      <w:r w:rsidRPr="007A5260">
        <w:t>Given</w:t>
      </w:r>
      <w:r w:rsidRPr="00DA5D56">
        <w:rPr>
          <w:rFonts w:cs="Arial"/>
        </w:rPr>
        <w:t xml:space="preserve"> that the ACC is close to the midline, draw the anterior cingulate cortex so it covers both areas and avoid vessels.  Locate it anteriorly between the callosal sulcus and the cingulate sulcus at the level of the corpus callosum </w:t>
      </w:r>
      <w:r w:rsidRPr="00DA5D56">
        <w:rPr>
          <w:rFonts w:cs="Arial"/>
        </w:rPr>
        <w:fldChar w:fldCharType="begin"/>
      </w:r>
      <w:r w:rsidRPr="00DA5D56">
        <w:rPr>
          <w:rFonts w:cs="Arial"/>
        </w:rPr>
        <w:instrText xml:space="preserve"> ADDIN EN.CITE &lt;EndNote&gt;&lt;Cite&gt;&lt;Author&gt;Jones&lt;/Author&gt;&lt;Year&gt;2006&lt;/Year&gt;&lt;IDText&gt;Differential regional atrophy of the cingulate gyrus in Alzheimer disease: A volumetric MRI study&lt;/IDText&gt;&lt;DisplayText&gt;(Jones et al., 2006)&lt;/DisplayText&gt;&lt;record&gt;&lt;dates&gt;&lt;pub-dates&gt;&lt;date&gt;Dec&lt;/date&gt;&lt;/pub-dates&gt;&lt;year&gt;2006&lt;/year&gt;&lt;/dates&gt;&lt;urls&gt;&lt;related-urls&gt;&lt;url&gt;&amp;lt;Go to ISI&amp;gt;://WOS:000241896800003&lt;/url&gt;&lt;/related-urls&gt;&lt;/urls&gt;&lt;isbn&gt;1047-3211&lt;/isbn&gt;&lt;titles&gt;&lt;title&gt;Differential regional atrophy of the cingulate gyrus in Alzheimer disease: A volumetric MRI study&lt;/title&gt;&lt;secondary-title&gt;Cerebral Cortex&lt;/secondary-title&gt;&lt;/titles&gt;&lt;pages&gt;1701-1708&lt;/pages&gt;&lt;number&gt;12&lt;/number&gt;&lt;contributors&gt;&lt;authors&gt;&lt;author&gt;Jones, Bethany F.&lt;/author&gt;&lt;author&gt;Barnes, Josephine&lt;/author&gt;&lt;author&gt;Uylings, Harry B. M.&lt;/author&gt;&lt;author&gt;Fox, Nick C.&lt;/author&gt;&lt;author&gt;Frost, Chris&lt;/author&gt;&lt;author&gt;Witter, Menno P.&lt;/author&gt;&lt;author&gt;Scheftens, Philip&lt;/author&gt;&lt;/authors&gt;&lt;/contributors&gt;&lt;added-date format="utc"&gt;1510157800&lt;/added-date&gt;&lt;ref-type name="Journal Article"&gt;17&lt;/ref-type&gt;&lt;rec-number&gt;893&lt;/rec-number&gt;&lt;last-updated-date format="utc"&gt;1510157800&lt;/last-updated-date&gt;&lt;accession-num&gt;WOS:000241896800003&lt;/accession-num&gt;&lt;electronic-resource-num&gt;10.1093/cercor/bhj105&lt;/electronic-resource-num&gt;&lt;volume&gt;16&lt;/volume&gt;&lt;/record&gt;&lt;/Cite&gt;&lt;/EndNote&gt;</w:instrText>
      </w:r>
      <w:r w:rsidRPr="00DA5D56">
        <w:rPr>
          <w:rFonts w:cs="Arial"/>
        </w:rPr>
        <w:fldChar w:fldCharType="separate"/>
      </w:r>
      <w:r w:rsidRPr="00DA5D56">
        <w:rPr>
          <w:rFonts w:cs="Arial"/>
          <w:noProof/>
        </w:rPr>
        <w:t>(Jones et al., 2006)</w:t>
      </w:r>
      <w:r w:rsidRPr="00DA5D56">
        <w:rPr>
          <w:rFonts w:cs="Arial"/>
        </w:rPr>
        <w:fldChar w:fldCharType="end"/>
      </w:r>
      <w:r w:rsidRPr="00DA5D56">
        <w:rPr>
          <w:rFonts w:cs="Arial"/>
        </w:rPr>
        <w:t xml:space="preserve"> (Figure 3.4).  </w:t>
      </w:r>
    </w:p>
    <w:p w14:paraId="312E3693" w14:textId="77777777" w:rsidR="007A5260" w:rsidRPr="00DA5D56" w:rsidRDefault="007A5260" w:rsidP="00DA5D56">
      <w:pPr>
        <w:spacing w:line="360" w:lineRule="auto"/>
        <w:rPr>
          <w:rFonts w:cs="Arial"/>
        </w:rPr>
      </w:pPr>
    </w:p>
    <w:p w14:paraId="69F5A33D" w14:textId="181C1933" w:rsidR="00DA5D56" w:rsidRPr="007A5260" w:rsidRDefault="00DA5D56" w:rsidP="007A5260">
      <w:pPr>
        <w:pStyle w:val="Subtitle"/>
      </w:pPr>
      <w:bookmarkStart w:id="239" w:name="_Toc45038106"/>
      <w:bookmarkStart w:id="240" w:name="_Toc49765504"/>
      <w:bookmarkStart w:id="241" w:name="_Toc64724183"/>
      <w:r w:rsidRPr="007A5260">
        <w:t xml:space="preserve">Figure 3.4  Example of the </w:t>
      </w:r>
      <w:r w:rsidR="008C21F7">
        <w:t>P</w:t>
      </w:r>
      <w:r w:rsidRPr="007A5260">
        <w:t xml:space="preserve">osition of the </w:t>
      </w:r>
      <w:r w:rsidR="008C21F7">
        <w:t>R</w:t>
      </w:r>
      <w:r w:rsidRPr="007A5260">
        <w:t xml:space="preserve">egion of </w:t>
      </w:r>
      <w:r w:rsidR="008C21F7">
        <w:t>I</w:t>
      </w:r>
      <w:r w:rsidRPr="007A5260">
        <w:t xml:space="preserve">nterest for the </w:t>
      </w:r>
      <w:bookmarkEnd w:id="239"/>
      <w:r w:rsidR="008C21F7">
        <w:t>A</w:t>
      </w:r>
      <w:r w:rsidRPr="007A5260">
        <w:t xml:space="preserve">nterior </w:t>
      </w:r>
      <w:r w:rsidR="008C21F7">
        <w:t>C</w:t>
      </w:r>
      <w:r w:rsidRPr="007A5260">
        <w:t xml:space="preserve">ingulate </w:t>
      </w:r>
      <w:r w:rsidR="008C21F7">
        <w:t>C</w:t>
      </w:r>
      <w:r w:rsidRPr="007A5260">
        <w:t>ortex</w:t>
      </w:r>
      <w:bookmarkEnd w:id="240"/>
      <w:bookmarkEnd w:id="241"/>
    </w:p>
    <w:p w14:paraId="0F845CB7" w14:textId="77777777" w:rsidR="00DA5D56" w:rsidRPr="00DA5D56" w:rsidRDefault="00DA5D56" w:rsidP="00DA5D56">
      <w:pPr>
        <w:spacing w:line="360" w:lineRule="auto"/>
        <w:rPr>
          <w:rFonts w:cs="Arial"/>
        </w:rPr>
      </w:pPr>
      <w:r w:rsidRPr="00DA5D56">
        <w:rPr>
          <w:rFonts w:cs="Arial"/>
          <w:noProof/>
          <w:lang w:eastAsia="en-GB"/>
        </w:rPr>
        <w:drawing>
          <wp:inline distT="0" distB="0" distL="0" distR="0" wp14:anchorId="4B20C76F" wp14:editId="438FB7CE">
            <wp:extent cx="2373923" cy="2602523"/>
            <wp:effectExtent l="0" t="0" r="1270" b="1270"/>
            <wp:docPr id="2180" name="image89.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2180" name="image89.png" descr="A screenshot of a computer&#10;&#10;Description automatically generated"/>
                    <pic:cNvPicPr preferRelativeResize="0"/>
                  </pic:nvPicPr>
                  <pic:blipFill rotWithShape="1">
                    <a:blip r:embed="rId30"/>
                    <a:srcRect l="3309" t="8853" r="70561" b="38165"/>
                    <a:stretch/>
                  </pic:blipFill>
                  <pic:spPr bwMode="auto">
                    <a:xfrm>
                      <a:off x="0" y="0"/>
                      <a:ext cx="2393398" cy="2623874"/>
                    </a:xfrm>
                    <a:prstGeom prst="rect">
                      <a:avLst/>
                    </a:prstGeom>
                    <a:ln>
                      <a:noFill/>
                    </a:ln>
                    <a:extLst>
                      <a:ext uri="{53640926-AAD7-44D8-BBD7-CCE9431645EC}">
                        <a14:shadowObscured xmlns:a14="http://schemas.microsoft.com/office/drawing/2010/main"/>
                      </a:ext>
                    </a:extLst>
                  </pic:spPr>
                </pic:pic>
              </a:graphicData>
            </a:graphic>
          </wp:inline>
        </w:drawing>
      </w:r>
    </w:p>
    <w:p w14:paraId="63E58E21" w14:textId="54F063F7" w:rsidR="00DA5D56" w:rsidRDefault="00DA5D56" w:rsidP="00DA5D56">
      <w:pPr>
        <w:spacing w:line="360" w:lineRule="auto"/>
        <w:rPr>
          <w:rStyle w:val="SubtleEmphasis"/>
        </w:rPr>
      </w:pPr>
      <w:r w:rsidRPr="007A5260">
        <w:rPr>
          <w:rStyle w:val="SubtleEmphasis"/>
        </w:rPr>
        <w:t>Position of the ROI for the ACC.  The ROI is marked in red.</w:t>
      </w:r>
    </w:p>
    <w:p w14:paraId="2537EE46" w14:textId="77777777" w:rsidR="007A5260" w:rsidRPr="007A5260" w:rsidRDefault="007A5260" w:rsidP="00DA5D56">
      <w:pPr>
        <w:spacing w:line="360" w:lineRule="auto"/>
        <w:rPr>
          <w:rStyle w:val="SubtleEmphasis"/>
        </w:rPr>
      </w:pPr>
    </w:p>
    <w:p w14:paraId="788A63EC" w14:textId="62367B10" w:rsidR="00DA5D56" w:rsidRPr="00DA5D56" w:rsidRDefault="00DA5D56" w:rsidP="00DA5D56">
      <w:pPr>
        <w:spacing w:line="360" w:lineRule="auto"/>
        <w:rPr>
          <w:rFonts w:cs="Arial"/>
        </w:rPr>
      </w:pPr>
      <w:r w:rsidRPr="007A5260">
        <w:rPr>
          <w:rStyle w:val="Heading4Char"/>
        </w:rPr>
        <w:lastRenderedPageBreak/>
        <w:t>Description of position of the region of interest for the parieto-occipital white matter</w:t>
      </w:r>
      <w:r w:rsidRPr="00DA5D56">
        <w:rPr>
          <w:rFonts w:cs="Arial"/>
        </w:rPr>
        <w:t xml:space="preserve">  Place between the posterior lateral horn of the ventricle and the occipital grey, where the lateral ventricles are in continuous contact along the midline.  Use a small circle around 1cm</w:t>
      </w:r>
      <w:r w:rsidRPr="00DA5D56">
        <w:rPr>
          <w:rFonts w:cs="Arial"/>
          <w:vertAlign w:val="superscript"/>
        </w:rPr>
        <w:t xml:space="preserve">2 </w:t>
      </w:r>
      <w:r w:rsidRPr="00DA5D56">
        <w:rPr>
          <w:rFonts w:cs="Arial"/>
        </w:rPr>
        <w:t xml:space="preserve">as there are no contours to follow (Figure 3.5). </w:t>
      </w:r>
    </w:p>
    <w:p w14:paraId="70285010" w14:textId="77777777" w:rsidR="00DA5D56" w:rsidRPr="00DA5D56" w:rsidRDefault="00DA5D56" w:rsidP="00DA5D56">
      <w:pPr>
        <w:spacing w:line="360" w:lineRule="auto"/>
        <w:rPr>
          <w:rFonts w:cs="Arial"/>
        </w:rPr>
      </w:pPr>
    </w:p>
    <w:p w14:paraId="5594756A" w14:textId="085F26AA" w:rsidR="00DA5D56" w:rsidRPr="00DA5D56" w:rsidRDefault="00DA5D56" w:rsidP="007A5260">
      <w:pPr>
        <w:pStyle w:val="Subtitle"/>
      </w:pPr>
      <w:bookmarkStart w:id="242" w:name="_Toc49765505"/>
      <w:bookmarkStart w:id="243" w:name="_Toc64724184"/>
      <w:bookmarkStart w:id="244" w:name="_Toc45038107"/>
      <w:r w:rsidRPr="00DA5D56">
        <w:t xml:space="preserve">Figure 3.5  Example of the </w:t>
      </w:r>
      <w:r w:rsidR="00EE7633">
        <w:t>P</w:t>
      </w:r>
      <w:r w:rsidRPr="00DA5D56">
        <w:t xml:space="preserve">osition of the </w:t>
      </w:r>
      <w:r w:rsidR="00EE7633">
        <w:t>R</w:t>
      </w:r>
      <w:r w:rsidRPr="00DA5D56">
        <w:t xml:space="preserve">egion of </w:t>
      </w:r>
      <w:r w:rsidR="00EE7633">
        <w:t>I</w:t>
      </w:r>
      <w:r w:rsidRPr="00DA5D56">
        <w:t xml:space="preserve">nterest for the </w:t>
      </w:r>
      <w:r w:rsidR="00EE7633">
        <w:t>P</w:t>
      </w:r>
      <w:r w:rsidRPr="00DA5D56">
        <w:t>arieto-</w:t>
      </w:r>
      <w:r w:rsidR="00EE7633">
        <w:t>O</w:t>
      </w:r>
      <w:r w:rsidRPr="00DA5D56">
        <w:t xml:space="preserve">ccipital </w:t>
      </w:r>
      <w:r w:rsidR="00EE7633">
        <w:t>W</w:t>
      </w:r>
      <w:r w:rsidRPr="00DA5D56">
        <w:t xml:space="preserve">hite </w:t>
      </w:r>
      <w:r w:rsidR="00EE7633">
        <w:t>M</w:t>
      </w:r>
      <w:r w:rsidRPr="00DA5D56">
        <w:t>atter</w:t>
      </w:r>
      <w:bookmarkEnd w:id="242"/>
      <w:bookmarkEnd w:id="243"/>
      <w:r w:rsidRPr="00DA5D56">
        <w:t xml:space="preserve"> </w:t>
      </w:r>
      <w:bookmarkEnd w:id="244"/>
    </w:p>
    <w:p w14:paraId="3B694A3C" w14:textId="77777777" w:rsidR="00DA5D56" w:rsidRPr="00DA5D56" w:rsidRDefault="00DA5D56" w:rsidP="00DA5D56">
      <w:pPr>
        <w:spacing w:line="360" w:lineRule="auto"/>
        <w:rPr>
          <w:rFonts w:cs="Arial"/>
        </w:rPr>
      </w:pPr>
      <w:r w:rsidRPr="00DA5D56">
        <w:rPr>
          <w:rFonts w:cs="Arial"/>
          <w:noProof/>
          <w:lang w:eastAsia="en-GB"/>
        </w:rPr>
        <w:drawing>
          <wp:inline distT="0" distB="0" distL="0" distR="0" wp14:anchorId="7B8B2270" wp14:editId="23B52344">
            <wp:extent cx="2435470" cy="2365131"/>
            <wp:effectExtent l="0" t="0" r="3175" b="0"/>
            <wp:docPr id="2181" name="image85.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2181" name="image85.png" descr="A screenshot of a computer&#10;&#10;Description automatically generated"/>
                    <pic:cNvPicPr preferRelativeResize="0"/>
                  </pic:nvPicPr>
                  <pic:blipFill rotWithShape="1">
                    <a:blip r:embed="rId31"/>
                    <a:srcRect l="1206" t="10719" r="71532" b="40814"/>
                    <a:stretch/>
                  </pic:blipFill>
                  <pic:spPr bwMode="auto">
                    <a:xfrm>
                      <a:off x="0" y="0"/>
                      <a:ext cx="2457844" cy="2386859"/>
                    </a:xfrm>
                    <a:prstGeom prst="rect">
                      <a:avLst/>
                    </a:prstGeom>
                    <a:ln>
                      <a:noFill/>
                    </a:ln>
                    <a:extLst>
                      <a:ext uri="{53640926-AAD7-44D8-BBD7-CCE9431645EC}">
                        <a14:shadowObscured xmlns:a14="http://schemas.microsoft.com/office/drawing/2010/main"/>
                      </a:ext>
                    </a:extLst>
                  </pic:spPr>
                </pic:pic>
              </a:graphicData>
            </a:graphic>
          </wp:inline>
        </w:drawing>
      </w:r>
    </w:p>
    <w:p w14:paraId="5151BAC2" w14:textId="77777777" w:rsidR="00DA5D56" w:rsidRPr="007A5260" w:rsidRDefault="00DA5D56" w:rsidP="00DA5D56">
      <w:pPr>
        <w:spacing w:line="360" w:lineRule="auto"/>
        <w:rPr>
          <w:rStyle w:val="SubtleEmphasis"/>
        </w:rPr>
      </w:pPr>
      <w:r w:rsidRPr="007A5260">
        <w:rPr>
          <w:rStyle w:val="SubtleEmphasis"/>
        </w:rPr>
        <w:t>Position of the ROI for the right POWM.  The ROI is marked in red.</w:t>
      </w:r>
    </w:p>
    <w:p w14:paraId="477691F2" w14:textId="08DD13A1" w:rsidR="00DA5D56" w:rsidRPr="00DA5D56" w:rsidRDefault="00DA5D56" w:rsidP="007A5260">
      <w:pPr>
        <w:pStyle w:val="Heading4"/>
      </w:pPr>
      <w:r w:rsidRPr="00DA5D56">
        <w:t xml:space="preserve">Primary </w:t>
      </w:r>
      <w:r w:rsidR="00D24C18">
        <w:t>S</w:t>
      </w:r>
      <w:r w:rsidRPr="00DA5D56">
        <w:t xml:space="preserve">ensory </w:t>
      </w:r>
      <w:r w:rsidR="00D24C18">
        <w:t>C</w:t>
      </w:r>
      <w:r w:rsidRPr="00DA5D56">
        <w:t xml:space="preserve">ortex is </w:t>
      </w:r>
      <w:r w:rsidR="00D24C18">
        <w:t>L</w:t>
      </w:r>
      <w:r w:rsidRPr="00DA5D56">
        <w:t xml:space="preserve">ocated in the </w:t>
      </w:r>
      <w:r w:rsidR="00D24C18">
        <w:t>P</w:t>
      </w:r>
      <w:r w:rsidRPr="00DA5D56">
        <w:t xml:space="preserve">ost </w:t>
      </w:r>
      <w:r w:rsidR="00D24C18">
        <w:t>C</w:t>
      </w:r>
      <w:r w:rsidRPr="00DA5D56">
        <w:t xml:space="preserve">entral </w:t>
      </w:r>
      <w:r w:rsidR="00D24C18">
        <w:t>G</w:t>
      </w:r>
      <w:r w:rsidRPr="00DA5D56">
        <w:t xml:space="preserve">yrus  </w:t>
      </w:r>
    </w:p>
    <w:p w14:paraId="2AC9D937" w14:textId="315D6045" w:rsidR="007A5260" w:rsidRDefault="00DA5D56" w:rsidP="00DA5D56">
      <w:pPr>
        <w:spacing w:line="360" w:lineRule="auto"/>
        <w:rPr>
          <w:rFonts w:cs="Arial"/>
        </w:rPr>
      </w:pPr>
      <w:r w:rsidRPr="00DA5D56">
        <w:rPr>
          <w:rFonts w:cs="Arial"/>
        </w:rPr>
        <w:t xml:space="preserve">Identification of the superior frontal sulcus which intersects with the precentral sulcus will help to identify the precentral gyrus. The precentral gyrus is immediately anterior to the central sulcus. Identify the most superior slice in which the omega sign can be identified in the pre-central gyrus.  This is the slice level. Both the pre and post central gyrus will form a continuous strip that extends to the edge of the brain parenchyma. The post central gyrus is smaller volume and posterior to the precentral gyrus </w:t>
      </w:r>
      <w:r w:rsidRPr="00DA5D56">
        <w:rPr>
          <w:rFonts w:cs="Arial"/>
          <w:lang w:val="en"/>
        </w:rPr>
        <w:fldChar w:fldCharType="begin"/>
      </w:r>
      <w:r w:rsidRPr="00DA5D56">
        <w:rPr>
          <w:rFonts w:cs="Arial"/>
          <w:lang w:val="en"/>
        </w:rPr>
        <w:instrText xml:space="preserve"> ADDIN EN.CITE &lt;EndNote&gt;&lt;Cite&gt;&lt;Author&gt;Meyer&lt;/Author&gt;&lt;Year&gt;1996&lt;/Year&gt;&lt;IDText&gt;Location of the central sulcus via cortical thickness of the precentral and postcentral gyri on MR&lt;/IDText&gt;&lt;DisplayText&gt;(Meyer et al., 1996)&lt;/DisplayText&gt;&lt;record&gt;&lt;dates&gt;&lt;pub-dates&gt;&lt;date&gt;Oct&lt;/date&gt;&lt;/pub-dates&gt;&lt;year&gt;1996&lt;/year&gt;&lt;/dates&gt;&lt;urls&gt;&lt;related-urls&gt;&lt;url&gt;&amp;lt;Go to ISI&amp;gt;://WOS:A1996VM68500019&lt;/url&gt;&lt;/related-urls&gt;&lt;/urls&gt;&lt;isbn&gt;0195-6108&lt;/isbn&gt;&lt;titles&gt;&lt;title&gt;Location of the central sulcus via cortical thickness of the precentral and postcentral gyri on MR&lt;/title&gt;&lt;secondary-title&gt;American Journal of Neuroradiology&lt;/secondary-title&gt;&lt;/titles&gt;&lt;pages&gt;1699-1706&lt;/pages&gt;&lt;number&gt;9&lt;/number&gt;&lt;contributors&gt;&lt;authors&gt;&lt;author&gt;Meyer, J. R.&lt;/author&gt;&lt;author&gt;Roychowdhury, S.&lt;/author&gt;&lt;author&gt;Russell, E. J.&lt;/author&gt;&lt;author&gt;Callahan, C.&lt;/author&gt;&lt;author&gt;Gitelman, D.&lt;/author&gt;&lt;author&gt;Mesulam, M. M.&lt;/author&gt;&lt;/authors&gt;&lt;/contributors&gt;&lt;added-date format="utc"&gt;1510159005&lt;/added-date&gt;&lt;ref-type name="Journal Article"&gt;17&lt;/ref-type&gt;&lt;rec-number&gt;894&lt;/rec-number&gt;&lt;last-updated-date format="utc"&gt;1510159005&lt;/last-updated-date&gt;&lt;accession-num&gt;WOS:A1996VM68500019&lt;/accession-num&gt;&lt;volume&gt;17&lt;/volume&gt;&lt;/record&gt;&lt;/Cite&gt;&lt;/EndNote&gt;</w:instrText>
      </w:r>
      <w:r w:rsidRPr="00DA5D56">
        <w:rPr>
          <w:rFonts w:cs="Arial"/>
          <w:lang w:val="en"/>
        </w:rPr>
        <w:fldChar w:fldCharType="separate"/>
      </w:r>
      <w:r w:rsidRPr="00DA5D56">
        <w:rPr>
          <w:rFonts w:cs="Arial"/>
          <w:noProof/>
          <w:lang w:val="en"/>
        </w:rPr>
        <w:t>(Meyer et al., 1996)</w:t>
      </w:r>
      <w:r w:rsidRPr="00DA5D56">
        <w:rPr>
          <w:rFonts w:cs="Arial"/>
          <w:lang w:val="en"/>
        </w:rPr>
        <w:fldChar w:fldCharType="end"/>
      </w:r>
      <w:r w:rsidRPr="00DA5D56">
        <w:rPr>
          <w:rFonts w:cs="Arial"/>
          <w:lang w:val="en"/>
        </w:rPr>
        <w:t xml:space="preserve"> (Figure 3.6)</w:t>
      </w:r>
      <w:r w:rsidRPr="00DA5D56">
        <w:rPr>
          <w:rFonts w:cs="Arial"/>
        </w:rPr>
        <w:t xml:space="preserve">. </w:t>
      </w:r>
    </w:p>
    <w:p w14:paraId="664309EF" w14:textId="77777777" w:rsidR="007A5260" w:rsidRDefault="007A5260">
      <w:pPr>
        <w:rPr>
          <w:rFonts w:cs="Arial"/>
        </w:rPr>
      </w:pPr>
      <w:r>
        <w:rPr>
          <w:rFonts w:cs="Arial"/>
        </w:rPr>
        <w:br w:type="page"/>
      </w:r>
    </w:p>
    <w:p w14:paraId="1C9EE6D4" w14:textId="238BA061" w:rsidR="00DA5D56" w:rsidRPr="004F6C96" w:rsidRDefault="00DA5D56" w:rsidP="004F6C96">
      <w:pPr>
        <w:pStyle w:val="Subtitle"/>
      </w:pPr>
      <w:bookmarkStart w:id="245" w:name="_Toc64724185"/>
      <w:bookmarkStart w:id="246" w:name="_Toc45038108"/>
      <w:bookmarkStart w:id="247" w:name="_Toc49765506"/>
      <w:r w:rsidRPr="004F6C96">
        <w:lastRenderedPageBreak/>
        <w:t xml:space="preserve">Figure 3.6  Example of the </w:t>
      </w:r>
      <w:r w:rsidR="00A15ED2">
        <w:t>P</w:t>
      </w:r>
      <w:r w:rsidRPr="004F6C96">
        <w:t xml:space="preserve">osition of the </w:t>
      </w:r>
      <w:r w:rsidR="00A15ED2">
        <w:t>R</w:t>
      </w:r>
      <w:r w:rsidRPr="004F6C96">
        <w:t xml:space="preserve">egion of </w:t>
      </w:r>
      <w:r w:rsidR="00A15ED2">
        <w:t>I</w:t>
      </w:r>
      <w:r w:rsidRPr="004F6C96">
        <w:t xml:space="preserve">nterest for the </w:t>
      </w:r>
      <w:r w:rsidR="00A15ED2">
        <w:t>P</w:t>
      </w:r>
      <w:r w:rsidRPr="004F6C96">
        <w:t xml:space="preserve">rimary </w:t>
      </w:r>
      <w:r w:rsidR="00A15ED2">
        <w:t>S</w:t>
      </w:r>
      <w:r w:rsidRPr="004F6C96">
        <w:t xml:space="preserve">ensory </w:t>
      </w:r>
      <w:r w:rsidR="00A15ED2">
        <w:t>C</w:t>
      </w:r>
      <w:r w:rsidRPr="004F6C96">
        <w:t>ortex</w:t>
      </w:r>
      <w:bookmarkEnd w:id="245"/>
      <w:r w:rsidRPr="004F6C96">
        <w:t xml:space="preserve"> </w:t>
      </w:r>
      <w:bookmarkEnd w:id="246"/>
      <w:bookmarkEnd w:id="247"/>
    </w:p>
    <w:p w14:paraId="170A104F" w14:textId="77777777" w:rsidR="00DA5D56" w:rsidRPr="00DA5D56" w:rsidRDefault="00DA5D56" w:rsidP="00DA5D56">
      <w:pPr>
        <w:spacing w:line="360" w:lineRule="auto"/>
        <w:rPr>
          <w:rFonts w:cs="Arial"/>
        </w:rPr>
      </w:pPr>
      <w:r w:rsidRPr="00DA5D56">
        <w:rPr>
          <w:rFonts w:cs="Arial"/>
          <w:noProof/>
          <w:lang w:eastAsia="en-GB"/>
        </w:rPr>
        <w:drawing>
          <wp:inline distT="0" distB="0" distL="0" distR="0" wp14:anchorId="7716B5DA" wp14:editId="3D4B5758">
            <wp:extent cx="2829970" cy="2864095"/>
            <wp:effectExtent l="0" t="0" r="2540" b="0"/>
            <wp:docPr id="2155" name="image84.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2155" name="image84.png" descr="A screenshot of a computer&#10;&#10;Description automatically generated"/>
                    <pic:cNvPicPr preferRelativeResize="0"/>
                  </pic:nvPicPr>
                  <pic:blipFill rotWithShape="1">
                    <a:blip r:embed="rId32"/>
                    <a:srcRect l="908" t="9867" r="70045" b="37870"/>
                    <a:stretch/>
                  </pic:blipFill>
                  <pic:spPr bwMode="auto">
                    <a:xfrm>
                      <a:off x="0" y="0"/>
                      <a:ext cx="2830178" cy="2864306"/>
                    </a:xfrm>
                    <a:prstGeom prst="rect">
                      <a:avLst/>
                    </a:prstGeom>
                    <a:ln>
                      <a:noFill/>
                    </a:ln>
                    <a:extLst>
                      <a:ext uri="{53640926-AAD7-44D8-BBD7-CCE9431645EC}">
                        <a14:shadowObscured xmlns:a14="http://schemas.microsoft.com/office/drawing/2010/main"/>
                      </a:ext>
                    </a:extLst>
                  </pic:spPr>
                </pic:pic>
              </a:graphicData>
            </a:graphic>
          </wp:inline>
        </w:drawing>
      </w:r>
    </w:p>
    <w:p w14:paraId="78207080" w14:textId="77777777" w:rsidR="00DA5D56" w:rsidRPr="004F6C96" w:rsidRDefault="00DA5D56" w:rsidP="00DA5D56">
      <w:pPr>
        <w:spacing w:line="360" w:lineRule="auto"/>
        <w:rPr>
          <w:rStyle w:val="SubtleEmphasis"/>
        </w:rPr>
      </w:pPr>
      <w:r w:rsidRPr="004F6C96">
        <w:rPr>
          <w:rStyle w:val="SubtleEmphasis"/>
        </w:rPr>
        <w:t>Position of the ROI for the left primary sensory cortex.  The ROI is marked in red.</w:t>
      </w:r>
    </w:p>
    <w:p w14:paraId="0F88DB7C" w14:textId="77777777" w:rsidR="00DA5D56" w:rsidRPr="00DA5D56" w:rsidRDefault="00DA5D56" w:rsidP="00DA5D56">
      <w:pPr>
        <w:spacing w:line="360" w:lineRule="auto"/>
        <w:rPr>
          <w:rFonts w:cs="Arial"/>
        </w:rPr>
      </w:pPr>
    </w:p>
    <w:p w14:paraId="1058D6A0" w14:textId="352AED94" w:rsidR="00DA5D56" w:rsidRPr="00DA5D56" w:rsidRDefault="00DA5D56" w:rsidP="004F6C96">
      <w:pPr>
        <w:pStyle w:val="Heading3"/>
      </w:pPr>
      <w:bookmarkStart w:id="248" w:name="_Toc46213528"/>
      <w:bookmarkStart w:id="249" w:name="_Toc49766048"/>
      <w:bookmarkStart w:id="250" w:name="_Toc64723922"/>
      <w:r w:rsidRPr="00DA5D56">
        <w:t>Reproducibility Protocol</w:t>
      </w:r>
      <w:bookmarkEnd w:id="248"/>
      <w:bookmarkEnd w:id="249"/>
      <w:bookmarkEnd w:id="250"/>
    </w:p>
    <w:p w14:paraId="3B2E82E7" w14:textId="77777777" w:rsidR="00DA5D56" w:rsidRPr="00DA5D56" w:rsidRDefault="00DA5D56" w:rsidP="00DA5D56">
      <w:pPr>
        <w:spacing w:line="360" w:lineRule="auto"/>
        <w:rPr>
          <w:rFonts w:cs="Arial"/>
        </w:rPr>
      </w:pPr>
      <w:r w:rsidRPr="00DA5D56">
        <w:rPr>
          <w:rFonts w:cs="Arial"/>
        </w:rPr>
        <w:t xml:space="preserve">The above protocol was used by two separate assessors using the same data set to establish the reproducibility of the protocol.  The second assessor was blinded to the participants group.  The first assessor had randomised the patients and so was aware of the participants group.  AIF at the second and third visit was compared between raters.  A single ROI was selected to compare the different perfusion parameters (RBV, RBF, MTT, TTP) for agreement.  RBV was compared at the LThal, LINS, ACC, POWM and LPSC between raters.  </w:t>
      </w:r>
    </w:p>
    <w:p w14:paraId="0260BC67" w14:textId="3A0FD685" w:rsidR="00DA5D56" w:rsidRPr="00DA5D56" w:rsidRDefault="00DA5D56" w:rsidP="004F6C96">
      <w:pPr>
        <w:pStyle w:val="Heading3"/>
      </w:pPr>
      <w:bookmarkStart w:id="251" w:name="_Toc46213529"/>
      <w:bookmarkStart w:id="252" w:name="_Toc49766049"/>
      <w:bookmarkStart w:id="253" w:name="_Toc64723923"/>
      <w:r w:rsidRPr="00DA5D56">
        <w:t>Statistical Analysis</w:t>
      </w:r>
      <w:bookmarkEnd w:id="251"/>
      <w:bookmarkEnd w:id="252"/>
      <w:bookmarkEnd w:id="253"/>
    </w:p>
    <w:p w14:paraId="54285EC9" w14:textId="7AE3FA94" w:rsidR="00DA5D56" w:rsidRPr="00DA5D56" w:rsidRDefault="00DA5D56" w:rsidP="00DA5D56">
      <w:pPr>
        <w:spacing w:line="360" w:lineRule="auto"/>
        <w:rPr>
          <w:rFonts w:cs="Arial"/>
        </w:rPr>
      </w:pPr>
      <w:r w:rsidRPr="00DA5D56">
        <w:rPr>
          <w:rFonts w:cs="Arial"/>
        </w:rPr>
        <w:t>The results were analysed using SPSS (</w:t>
      </w:r>
      <w:r w:rsidR="00810941">
        <w:rPr>
          <w:rFonts w:cs="Arial"/>
        </w:rPr>
        <w:t>Version 26</w:t>
      </w:r>
      <w:r w:rsidRPr="00DA5D56">
        <w:rPr>
          <w:rFonts w:cs="Arial"/>
        </w:rPr>
        <w:t xml:space="preserve">, IBM Corp, Armonk, New York),  </w:t>
      </w:r>
    </w:p>
    <w:p w14:paraId="2BC914AC" w14:textId="77777777" w:rsidR="00DA5D56" w:rsidRPr="00DA5D56" w:rsidRDefault="00DA5D56" w:rsidP="00DA5D56">
      <w:pPr>
        <w:spacing w:line="360" w:lineRule="auto"/>
        <w:rPr>
          <w:rFonts w:cs="Arial"/>
        </w:rPr>
      </w:pPr>
      <w:r w:rsidRPr="00DA5D56">
        <w:rPr>
          <w:rFonts w:cs="Arial"/>
        </w:rPr>
        <w:t xml:space="preserve"> and Graph Pad Prism (Version 8.4.3, GraphPad software, San Diego California).  Bland-Altman plots of agreement and Intraclass correlation co-efficient (absolute agreement) were used to compare the assessor’s results.  Statistical significance was set at p&lt;.05. </w:t>
      </w:r>
    </w:p>
    <w:p w14:paraId="5C2AD82F" w14:textId="38E3D267" w:rsidR="00DA5D56" w:rsidRPr="00DA5D56" w:rsidRDefault="00DA5D56" w:rsidP="004F6C96">
      <w:pPr>
        <w:pStyle w:val="Heading2"/>
      </w:pPr>
      <w:bookmarkStart w:id="254" w:name="_Toc46213530"/>
      <w:bookmarkStart w:id="255" w:name="_Toc49766050"/>
      <w:bookmarkStart w:id="256" w:name="_Toc64723924"/>
      <w:r w:rsidRPr="00DA5D56">
        <w:lastRenderedPageBreak/>
        <w:t>Results</w:t>
      </w:r>
      <w:bookmarkEnd w:id="254"/>
      <w:bookmarkEnd w:id="255"/>
      <w:bookmarkEnd w:id="256"/>
    </w:p>
    <w:p w14:paraId="72B46AC6" w14:textId="77777777" w:rsidR="00DA5D56" w:rsidRPr="00DA5D56" w:rsidRDefault="00DA5D56" w:rsidP="004F6C96">
      <w:pPr>
        <w:pStyle w:val="Heading3"/>
      </w:pPr>
      <w:bookmarkStart w:id="257" w:name="_Toc64723925"/>
      <w:r w:rsidRPr="00DA5D56">
        <w:t>Arterial input function</w:t>
      </w:r>
      <w:bookmarkEnd w:id="257"/>
    </w:p>
    <w:p w14:paraId="0E7116C2" w14:textId="77777777" w:rsidR="00DA5D56" w:rsidRPr="00DA5D56" w:rsidRDefault="00DA5D56" w:rsidP="00DA5D56">
      <w:pPr>
        <w:spacing w:line="360" w:lineRule="auto"/>
        <w:rPr>
          <w:rFonts w:cs="Arial"/>
        </w:rPr>
      </w:pPr>
      <w:r w:rsidRPr="00DA5D56">
        <w:rPr>
          <w:rFonts w:cs="Arial"/>
        </w:rPr>
        <w:t xml:space="preserve">The Arterial input function (AIF) is the basis of calculation of three of the 4 perfusion parameters.  Therefore, the reproducibility of the AIF is crucial to the reproducibility of the other perfusion parameters.  Bland-Altman analysis and plots are shown.  Although the bias was very small for AIF peak on the second and third visits, the standard deviation of the bias is just under 20 units for both visits (Table 3.1).  The difference vs average plots show that there is some variability between the raters measurements (Figure 3.7 and Figure 3.8).  Bland-Altman plots show that there is significant negative bias at higher measurements from Rater 1 to Rater 2.  Intraclass correlation coefficient (ICC) for the agreement between AIF measurements was significant V2=0.38 and V3 =0.42 (p&lt;.05). </w:t>
      </w:r>
    </w:p>
    <w:p w14:paraId="6B50B18D" w14:textId="77777777" w:rsidR="00DA5D56" w:rsidRPr="00DA5D56" w:rsidRDefault="00DA5D56" w:rsidP="00DA5D56">
      <w:pPr>
        <w:spacing w:line="360" w:lineRule="auto"/>
        <w:rPr>
          <w:rFonts w:cs="Arial"/>
        </w:rPr>
      </w:pPr>
    </w:p>
    <w:p w14:paraId="11B85CE5" w14:textId="2FB32A39" w:rsidR="00DA5D56" w:rsidRPr="00DA5D56" w:rsidRDefault="00DA5D56" w:rsidP="00DA5D56">
      <w:pPr>
        <w:rPr>
          <w:i/>
          <w:iCs/>
          <w:color w:val="44546A" w:themeColor="text2"/>
        </w:rPr>
      </w:pPr>
      <w:bookmarkStart w:id="258" w:name="_Toc45038294"/>
      <w:bookmarkStart w:id="259" w:name="_Toc49765412"/>
      <w:r w:rsidRPr="00DA5D56">
        <w:rPr>
          <w:i/>
          <w:iCs/>
          <w:color w:val="44546A" w:themeColor="text2"/>
        </w:rPr>
        <w:t xml:space="preserve">Table 3.1  Bland-Altman </w:t>
      </w:r>
      <w:r w:rsidR="00C55ADC">
        <w:rPr>
          <w:i/>
          <w:iCs/>
          <w:color w:val="44546A" w:themeColor="text2"/>
        </w:rPr>
        <w:t>S</w:t>
      </w:r>
      <w:r w:rsidRPr="00DA5D56">
        <w:rPr>
          <w:i/>
          <w:iCs/>
          <w:color w:val="44546A" w:themeColor="text2"/>
        </w:rPr>
        <w:t xml:space="preserve">tatistics </w:t>
      </w:r>
      <w:r w:rsidR="00C55ADC">
        <w:rPr>
          <w:i/>
          <w:iCs/>
          <w:color w:val="44546A" w:themeColor="text2"/>
        </w:rPr>
        <w:t>C</w:t>
      </w:r>
      <w:r w:rsidRPr="00DA5D56">
        <w:rPr>
          <w:i/>
          <w:iCs/>
          <w:color w:val="44546A" w:themeColor="text2"/>
        </w:rPr>
        <w:t xml:space="preserve">omparing </w:t>
      </w:r>
      <w:r w:rsidR="00C55ADC">
        <w:rPr>
          <w:i/>
          <w:iCs/>
          <w:color w:val="44546A" w:themeColor="text2"/>
        </w:rPr>
        <w:t>M</w:t>
      </w:r>
      <w:r w:rsidRPr="00DA5D56">
        <w:rPr>
          <w:i/>
          <w:iCs/>
          <w:color w:val="44546A" w:themeColor="text2"/>
        </w:rPr>
        <w:t xml:space="preserve">easured AIF </w:t>
      </w:r>
      <w:r w:rsidR="00C55ADC">
        <w:rPr>
          <w:i/>
          <w:iCs/>
          <w:color w:val="44546A" w:themeColor="text2"/>
        </w:rPr>
        <w:t>P</w:t>
      </w:r>
      <w:r w:rsidRPr="00DA5D56">
        <w:rPr>
          <w:i/>
          <w:iCs/>
          <w:color w:val="44546A" w:themeColor="text2"/>
        </w:rPr>
        <w:t xml:space="preserve">eak </w:t>
      </w:r>
      <w:r w:rsidR="00C55ADC">
        <w:rPr>
          <w:i/>
          <w:iCs/>
          <w:color w:val="44546A" w:themeColor="text2"/>
        </w:rPr>
        <w:t>B</w:t>
      </w:r>
      <w:r w:rsidRPr="00DA5D56">
        <w:rPr>
          <w:i/>
          <w:iCs/>
          <w:color w:val="44546A" w:themeColor="text2"/>
        </w:rPr>
        <w:t xml:space="preserve">etween </w:t>
      </w:r>
      <w:r w:rsidR="00C55ADC">
        <w:rPr>
          <w:i/>
          <w:iCs/>
          <w:color w:val="44546A" w:themeColor="text2"/>
        </w:rPr>
        <w:t>T</w:t>
      </w:r>
      <w:r w:rsidRPr="00DA5D56">
        <w:rPr>
          <w:i/>
          <w:iCs/>
          <w:color w:val="44546A" w:themeColor="text2"/>
        </w:rPr>
        <w:t xml:space="preserve">wo </w:t>
      </w:r>
      <w:r w:rsidR="00C55ADC">
        <w:rPr>
          <w:i/>
          <w:iCs/>
          <w:color w:val="44546A" w:themeColor="text2"/>
        </w:rPr>
        <w:t>R</w:t>
      </w:r>
      <w:r w:rsidRPr="00DA5D56">
        <w:rPr>
          <w:i/>
          <w:iCs/>
          <w:color w:val="44546A" w:themeColor="text2"/>
        </w:rPr>
        <w:t>aters</w:t>
      </w:r>
      <w:bookmarkEnd w:id="258"/>
      <w:bookmarkEnd w:id="259"/>
    </w:p>
    <w:p w14:paraId="68D07B9B" w14:textId="77777777" w:rsidR="00DA5D56" w:rsidRPr="00DA5D56" w:rsidRDefault="00DA5D56" w:rsidP="00DA5D56"/>
    <w:tbl>
      <w:tblPr>
        <w:tblStyle w:val="GridTable2-Accent21"/>
        <w:tblW w:w="9054" w:type="dxa"/>
        <w:tblBorders>
          <w:top w:val="single" w:sz="4" w:space="0" w:color="auto"/>
          <w:left w:val="single" w:sz="4" w:space="0" w:color="auto"/>
          <w:bottom w:val="single" w:sz="4" w:space="0" w:color="auto"/>
          <w:right w:val="single" w:sz="4" w:space="0" w:color="auto"/>
        </w:tblBorders>
        <w:tblLayout w:type="fixed"/>
        <w:tblLook w:val="0400" w:firstRow="0" w:lastRow="0" w:firstColumn="0" w:lastColumn="0" w:noHBand="0" w:noVBand="1"/>
      </w:tblPr>
      <w:tblGrid>
        <w:gridCol w:w="1414"/>
        <w:gridCol w:w="1219"/>
        <w:gridCol w:w="1543"/>
        <w:gridCol w:w="4878"/>
      </w:tblGrid>
      <w:tr w:rsidR="00DA5D56" w:rsidRPr="00DA5D56" w14:paraId="429DFFBB" w14:textId="77777777" w:rsidTr="00256299">
        <w:trPr>
          <w:cnfStyle w:val="000000100000" w:firstRow="0" w:lastRow="0" w:firstColumn="0" w:lastColumn="0" w:oddVBand="0" w:evenVBand="0" w:oddHBand="1" w:evenHBand="0" w:firstRowFirstColumn="0" w:firstRowLastColumn="0" w:lastRowFirstColumn="0" w:lastRowLastColumn="0"/>
          <w:trHeight w:val="300"/>
        </w:trPr>
        <w:tc>
          <w:tcPr>
            <w:tcW w:w="1414" w:type="dxa"/>
          </w:tcPr>
          <w:p w14:paraId="2122CEEA" w14:textId="77777777" w:rsidR="00DA5D56" w:rsidRPr="00DA5D56" w:rsidRDefault="00DA5D56" w:rsidP="00DA5D56">
            <w:pPr>
              <w:spacing w:line="360" w:lineRule="auto"/>
              <w:rPr>
                <w:rFonts w:asciiTheme="minorHAnsi" w:hAnsiTheme="minorHAnsi" w:cs="Arial"/>
                <w:i/>
                <w:iCs/>
                <w:sz w:val="22"/>
                <w:szCs w:val="22"/>
              </w:rPr>
            </w:pPr>
          </w:p>
        </w:tc>
        <w:tc>
          <w:tcPr>
            <w:tcW w:w="1219" w:type="dxa"/>
          </w:tcPr>
          <w:p w14:paraId="4F68A62C" w14:textId="77777777" w:rsidR="00DA5D56" w:rsidRPr="00DA5D56" w:rsidRDefault="00DA5D56" w:rsidP="00DA5D56">
            <w:pPr>
              <w:spacing w:line="360" w:lineRule="auto"/>
              <w:rPr>
                <w:rFonts w:asciiTheme="minorHAnsi" w:hAnsiTheme="minorHAnsi" w:cs="Arial"/>
                <w:i/>
                <w:iCs/>
                <w:sz w:val="22"/>
                <w:szCs w:val="22"/>
              </w:rPr>
            </w:pPr>
            <w:r w:rsidRPr="00DA5D56">
              <w:rPr>
                <w:rFonts w:asciiTheme="minorHAnsi" w:hAnsiTheme="minorHAnsi" w:cs="Arial"/>
                <w:i/>
                <w:iCs/>
                <w:sz w:val="22"/>
                <w:szCs w:val="22"/>
              </w:rPr>
              <w:t>Bias:</w:t>
            </w:r>
          </w:p>
        </w:tc>
        <w:tc>
          <w:tcPr>
            <w:tcW w:w="1543" w:type="dxa"/>
          </w:tcPr>
          <w:p w14:paraId="7CBBC48A" w14:textId="77777777" w:rsidR="00DA5D56" w:rsidRPr="00DA5D56" w:rsidRDefault="00DA5D56" w:rsidP="00DA5D56">
            <w:pPr>
              <w:spacing w:line="360" w:lineRule="auto"/>
              <w:rPr>
                <w:rFonts w:asciiTheme="minorHAnsi" w:hAnsiTheme="minorHAnsi" w:cs="Arial"/>
                <w:i/>
                <w:iCs/>
                <w:sz w:val="22"/>
                <w:szCs w:val="22"/>
              </w:rPr>
            </w:pPr>
            <w:r w:rsidRPr="00DA5D56">
              <w:rPr>
                <w:rFonts w:asciiTheme="minorHAnsi" w:hAnsiTheme="minorHAnsi" w:cs="Arial"/>
                <w:i/>
                <w:iCs/>
                <w:sz w:val="22"/>
                <w:szCs w:val="22"/>
              </w:rPr>
              <w:t>SD of the bias (units)</w:t>
            </w:r>
          </w:p>
        </w:tc>
        <w:tc>
          <w:tcPr>
            <w:tcW w:w="4878" w:type="dxa"/>
          </w:tcPr>
          <w:p w14:paraId="4A6FEB2D" w14:textId="77777777" w:rsidR="00DA5D56" w:rsidRPr="00DA5D56" w:rsidRDefault="00DA5D56" w:rsidP="00DA5D56">
            <w:pPr>
              <w:spacing w:line="360" w:lineRule="auto"/>
              <w:rPr>
                <w:rFonts w:asciiTheme="minorHAnsi" w:hAnsiTheme="minorHAnsi" w:cs="Arial"/>
                <w:i/>
                <w:iCs/>
                <w:sz w:val="22"/>
                <w:szCs w:val="22"/>
              </w:rPr>
            </w:pPr>
            <w:r w:rsidRPr="00DA5D56">
              <w:rPr>
                <w:rFonts w:asciiTheme="minorHAnsi" w:hAnsiTheme="minorHAnsi" w:cs="Arial"/>
                <w:i/>
                <w:iCs/>
                <w:sz w:val="22"/>
                <w:szCs w:val="22"/>
              </w:rPr>
              <w:t>95% Limits of Agreement (units)</w:t>
            </w:r>
          </w:p>
        </w:tc>
      </w:tr>
      <w:tr w:rsidR="00DA5D56" w:rsidRPr="00DA5D56" w14:paraId="7B4AD7C6" w14:textId="77777777" w:rsidTr="00256299">
        <w:trPr>
          <w:trHeight w:val="300"/>
        </w:trPr>
        <w:tc>
          <w:tcPr>
            <w:tcW w:w="1414" w:type="dxa"/>
          </w:tcPr>
          <w:p w14:paraId="42686F5E" w14:textId="77777777" w:rsidR="00DA5D56" w:rsidRPr="00DA5D56" w:rsidRDefault="00DA5D56" w:rsidP="00DA5D56">
            <w:pPr>
              <w:spacing w:line="360" w:lineRule="auto"/>
              <w:rPr>
                <w:rFonts w:asciiTheme="minorHAnsi" w:hAnsiTheme="minorHAnsi" w:cs="Arial"/>
                <w:i/>
                <w:iCs/>
                <w:sz w:val="22"/>
                <w:szCs w:val="22"/>
              </w:rPr>
            </w:pPr>
            <w:r w:rsidRPr="00DA5D56">
              <w:rPr>
                <w:rFonts w:asciiTheme="minorHAnsi" w:hAnsiTheme="minorHAnsi" w:cs="Arial"/>
                <w:i/>
                <w:iCs/>
                <w:sz w:val="22"/>
                <w:szCs w:val="22"/>
              </w:rPr>
              <w:t>Peak:</w:t>
            </w:r>
          </w:p>
        </w:tc>
        <w:tc>
          <w:tcPr>
            <w:tcW w:w="1219" w:type="dxa"/>
          </w:tcPr>
          <w:p w14:paraId="3B853919" w14:textId="77777777" w:rsidR="00DA5D56" w:rsidRPr="00DA5D56" w:rsidRDefault="00DA5D56" w:rsidP="00DA5D56">
            <w:pPr>
              <w:spacing w:line="360" w:lineRule="auto"/>
              <w:rPr>
                <w:rFonts w:asciiTheme="minorHAnsi" w:hAnsiTheme="minorHAnsi" w:cs="Arial"/>
                <w:i/>
                <w:iCs/>
                <w:sz w:val="22"/>
                <w:szCs w:val="22"/>
              </w:rPr>
            </w:pPr>
          </w:p>
        </w:tc>
        <w:tc>
          <w:tcPr>
            <w:tcW w:w="1543" w:type="dxa"/>
          </w:tcPr>
          <w:p w14:paraId="00EC46A8" w14:textId="77777777" w:rsidR="00DA5D56" w:rsidRPr="00DA5D56" w:rsidRDefault="00DA5D56" w:rsidP="00DA5D56">
            <w:pPr>
              <w:spacing w:line="360" w:lineRule="auto"/>
              <w:rPr>
                <w:rFonts w:asciiTheme="minorHAnsi" w:hAnsiTheme="minorHAnsi" w:cs="Arial"/>
                <w:i/>
                <w:iCs/>
                <w:sz w:val="22"/>
                <w:szCs w:val="22"/>
              </w:rPr>
            </w:pPr>
          </w:p>
        </w:tc>
        <w:tc>
          <w:tcPr>
            <w:tcW w:w="4878" w:type="dxa"/>
          </w:tcPr>
          <w:p w14:paraId="035F54F4" w14:textId="77777777" w:rsidR="00DA5D56" w:rsidRPr="00DA5D56" w:rsidRDefault="00DA5D56" w:rsidP="00DA5D56">
            <w:pPr>
              <w:spacing w:line="360" w:lineRule="auto"/>
              <w:rPr>
                <w:rFonts w:asciiTheme="minorHAnsi" w:hAnsiTheme="minorHAnsi" w:cs="Arial"/>
                <w:i/>
                <w:iCs/>
                <w:sz w:val="22"/>
                <w:szCs w:val="22"/>
              </w:rPr>
            </w:pPr>
          </w:p>
        </w:tc>
      </w:tr>
      <w:tr w:rsidR="00DA5D56" w:rsidRPr="00DA5D56" w14:paraId="0180EB63" w14:textId="77777777" w:rsidTr="00256299">
        <w:trPr>
          <w:cnfStyle w:val="000000100000" w:firstRow="0" w:lastRow="0" w:firstColumn="0" w:lastColumn="0" w:oddVBand="0" w:evenVBand="0" w:oddHBand="1" w:evenHBand="0" w:firstRowFirstColumn="0" w:firstRowLastColumn="0" w:lastRowFirstColumn="0" w:lastRowLastColumn="0"/>
          <w:trHeight w:val="600"/>
        </w:trPr>
        <w:tc>
          <w:tcPr>
            <w:tcW w:w="1414" w:type="dxa"/>
          </w:tcPr>
          <w:p w14:paraId="0144C90B" w14:textId="77777777" w:rsidR="00DA5D56" w:rsidRPr="00DA5D56" w:rsidRDefault="00DA5D56" w:rsidP="00DA5D56">
            <w:pPr>
              <w:spacing w:line="360" w:lineRule="auto"/>
              <w:rPr>
                <w:rFonts w:asciiTheme="minorHAnsi" w:hAnsiTheme="minorHAnsi" w:cs="Arial"/>
                <w:i/>
                <w:iCs/>
                <w:sz w:val="22"/>
                <w:szCs w:val="22"/>
              </w:rPr>
            </w:pPr>
            <w:r w:rsidRPr="00DA5D56">
              <w:rPr>
                <w:rFonts w:asciiTheme="minorHAnsi" w:hAnsiTheme="minorHAnsi" w:cs="Arial"/>
                <w:i/>
                <w:iCs/>
                <w:sz w:val="22"/>
                <w:szCs w:val="22"/>
              </w:rPr>
              <w:t>Visit 2</w:t>
            </w:r>
          </w:p>
        </w:tc>
        <w:tc>
          <w:tcPr>
            <w:tcW w:w="1219" w:type="dxa"/>
          </w:tcPr>
          <w:p w14:paraId="46E153D5" w14:textId="77777777" w:rsidR="00DA5D56" w:rsidRPr="00DA5D56" w:rsidRDefault="00DA5D56" w:rsidP="00DA5D56">
            <w:pPr>
              <w:spacing w:line="360" w:lineRule="auto"/>
              <w:rPr>
                <w:rFonts w:asciiTheme="minorHAnsi" w:hAnsiTheme="minorHAnsi" w:cs="Arial"/>
                <w:sz w:val="22"/>
                <w:szCs w:val="22"/>
              </w:rPr>
            </w:pPr>
            <w:r w:rsidRPr="00DA5D56">
              <w:rPr>
                <w:rFonts w:asciiTheme="minorHAnsi" w:hAnsiTheme="minorHAnsi" w:cs="Arial"/>
                <w:sz w:val="22"/>
                <w:szCs w:val="22"/>
              </w:rPr>
              <w:t>-3.217</w:t>
            </w:r>
          </w:p>
        </w:tc>
        <w:tc>
          <w:tcPr>
            <w:tcW w:w="1543" w:type="dxa"/>
          </w:tcPr>
          <w:p w14:paraId="4D59EBFE" w14:textId="77777777" w:rsidR="00DA5D56" w:rsidRPr="00DA5D56" w:rsidRDefault="00DA5D56" w:rsidP="00DA5D56">
            <w:pPr>
              <w:spacing w:line="360" w:lineRule="auto"/>
              <w:rPr>
                <w:rFonts w:asciiTheme="minorHAnsi" w:hAnsiTheme="minorHAnsi" w:cs="Arial"/>
                <w:sz w:val="22"/>
                <w:szCs w:val="22"/>
              </w:rPr>
            </w:pPr>
            <w:r w:rsidRPr="00DA5D56">
              <w:rPr>
                <w:rFonts w:asciiTheme="minorHAnsi" w:hAnsiTheme="minorHAnsi" w:cs="Arial"/>
                <w:sz w:val="22"/>
                <w:szCs w:val="22"/>
              </w:rPr>
              <w:t>18.20</w:t>
            </w:r>
          </w:p>
        </w:tc>
        <w:tc>
          <w:tcPr>
            <w:tcW w:w="4878" w:type="dxa"/>
          </w:tcPr>
          <w:p w14:paraId="0DBF5DDF" w14:textId="77777777" w:rsidR="00DA5D56" w:rsidRPr="00DA5D56" w:rsidRDefault="00DA5D56" w:rsidP="00DA5D56">
            <w:pPr>
              <w:spacing w:line="360" w:lineRule="auto"/>
              <w:rPr>
                <w:rFonts w:asciiTheme="minorHAnsi" w:hAnsiTheme="minorHAnsi" w:cs="Arial"/>
                <w:sz w:val="22"/>
                <w:szCs w:val="22"/>
              </w:rPr>
            </w:pPr>
            <w:r w:rsidRPr="00DA5D56">
              <w:rPr>
                <w:rFonts w:asciiTheme="minorHAnsi" w:hAnsiTheme="minorHAnsi" w:cs="Arial"/>
                <w:sz w:val="22"/>
                <w:szCs w:val="22"/>
              </w:rPr>
              <w:t xml:space="preserve">-38.89 to 32.46  </w:t>
            </w:r>
          </w:p>
        </w:tc>
      </w:tr>
      <w:tr w:rsidR="00DA5D56" w:rsidRPr="00DA5D56" w14:paraId="1C82F023" w14:textId="77777777" w:rsidTr="00256299">
        <w:trPr>
          <w:trHeight w:val="600"/>
        </w:trPr>
        <w:tc>
          <w:tcPr>
            <w:tcW w:w="1414" w:type="dxa"/>
          </w:tcPr>
          <w:p w14:paraId="49D2F15B" w14:textId="77777777" w:rsidR="00DA5D56" w:rsidRPr="00DA5D56" w:rsidRDefault="00DA5D56" w:rsidP="00DA5D56">
            <w:pPr>
              <w:spacing w:line="360" w:lineRule="auto"/>
              <w:rPr>
                <w:rFonts w:asciiTheme="minorHAnsi" w:hAnsiTheme="minorHAnsi" w:cs="Arial"/>
                <w:i/>
                <w:iCs/>
                <w:sz w:val="22"/>
                <w:szCs w:val="22"/>
              </w:rPr>
            </w:pPr>
            <w:r w:rsidRPr="00DA5D56">
              <w:rPr>
                <w:rFonts w:asciiTheme="minorHAnsi" w:hAnsiTheme="minorHAnsi" w:cs="Arial"/>
                <w:i/>
                <w:iCs/>
                <w:sz w:val="22"/>
                <w:szCs w:val="22"/>
              </w:rPr>
              <w:t>Visit 3</w:t>
            </w:r>
            <w:r w:rsidRPr="00DA5D56">
              <w:rPr>
                <w:rFonts w:asciiTheme="minorHAnsi" w:hAnsiTheme="minorHAnsi" w:cs="Arial"/>
                <w:i/>
                <w:iCs/>
                <w:sz w:val="22"/>
                <w:szCs w:val="22"/>
              </w:rPr>
              <w:tab/>
            </w:r>
            <w:r w:rsidRPr="00DA5D56">
              <w:rPr>
                <w:rFonts w:asciiTheme="minorHAnsi" w:hAnsiTheme="minorHAnsi" w:cs="Arial"/>
                <w:i/>
                <w:iCs/>
                <w:sz w:val="22"/>
                <w:szCs w:val="22"/>
              </w:rPr>
              <w:tab/>
            </w:r>
          </w:p>
        </w:tc>
        <w:tc>
          <w:tcPr>
            <w:tcW w:w="1219" w:type="dxa"/>
          </w:tcPr>
          <w:p w14:paraId="3C821956" w14:textId="77777777" w:rsidR="00DA5D56" w:rsidRPr="00DA5D56" w:rsidRDefault="00DA5D56" w:rsidP="00DA5D56">
            <w:pPr>
              <w:spacing w:line="360" w:lineRule="auto"/>
              <w:rPr>
                <w:rFonts w:asciiTheme="minorHAnsi" w:hAnsiTheme="minorHAnsi" w:cs="Arial"/>
                <w:sz w:val="22"/>
                <w:szCs w:val="22"/>
              </w:rPr>
            </w:pPr>
            <w:r w:rsidRPr="00DA5D56">
              <w:rPr>
                <w:rFonts w:asciiTheme="minorHAnsi" w:hAnsiTheme="minorHAnsi" w:cs="Arial"/>
                <w:sz w:val="22"/>
                <w:szCs w:val="22"/>
              </w:rPr>
              <w:t>-4.836</w:t>
            </w:r>
          </w:p>
        </w:tc>
        <w:tc>
          <w:tcPr>
            <w:tcW w:w="1543" w:type="dxa"/>
          </w:tcPr>
          <w:p w14:paraId="6612BF0C" w14:textId="77777777" w:rsidR="00DA5D56" w:rsidRPr="00DA5D56" w:rsidRDefault="00DA5D56" w:rsidP="00DA5D56">
            <w:pPr>
              <w:spacing w:line="360" w:lineRule="auto"/>
              <w:rPr>
                <w:rFonts w:asciiTheme="minorHAnsi" w:hAnsiTheme="minorHAnsi" w:cs="Arial"/>
                <w:sz w:val="22"/>
                <w:szCs w:val="22"/>
              </w:rPr>
            </w:pPr>
            <w:r w:rsidRPr="00DA5D56">
              <w:rPr>
                <w:rFonts w:asciiTheme="minorHAnsi" w:hAnsiTheme="minorHAnsi" w:cs="Arial"/>
                <w:sz w:val="22"/>
                <w:szCs w:val="22"/>
              </w:rPr>
              <w:t>16.01</w:t>
            </w:r>
          </w:p>
        </w:tc>
        <w:tc>
          <w:tcPr>
            <w:tcW w:w="4878" w:type="dxa"/>
          </w:tcPr>
          <w:p w14:paraId="78382225" w14:textId="77777777" w:rsidR="00DA5D56" w:rsidRPr="00DA5D56" w:rsidRDefault="00DA5D56" w:rsidP="00DA5D56">
            <w:pPr>
              <w:spacing w:line="360" w:lineRule="auto"/>
              <w:rPr>
                <w:rFonts w:asciiTheme="minorHAnsi" w:hAnsiTheme="minorHAnsi" w:cs="Arial"/>
                <w:sz w:val="22"/>
                <w:szCs w:val="22"/>
              </w:rPr>
            </w:pPr>
            <w:r w:rsidRPr="00DA5D56">
              <w:rPr>
                <w:rFonts w:asciiTheme="minorHAnsi" w:hAnsiTheme="minorHAnsi" w:cs="Arial"/>
                <w:sz w:val="22"/>
                <w:szCs w:val="22"/>
              </w:rPr>
              <w:t>-36.22 to 26.55</w:t>
            </w:r>
          </w:p>
        </w:tc>
      </w:tr>
    </w:tbl>
    <w:p w14:paraId="66432A95" w14:textId="77777777" w:rsidR="00DA5D56" w:rsidRPr="00DA5D56" w:rsidRDefault="00DA5D56" w:rsidP="00DA5D56">
      <w:pPr>
        <w:spacing w:line="360" w:lineRule="auto"/>
        <w:rPr>
          <w:i/>
          <w:color w:val="808080" w:themeColor="text1" w:themeTint="7F"/>
          <w:sz w:val="21"/>
        </w:rPr>
      </w:pPr>
      <w:r w:rsidRPr="00DA5D56">
        <w:rPr>
          <w:i/>
          <w:color w:val="808080" w:themeColor="text1" w:themeTint="7F"/>
          <w:sz w:val="21"/>
        </w:rPr>
        <w:t>SD= standard deviation, AIF is represented as arbitrary units</w:t>
      </w:r>
    </w:p>
    <w:p w14:paraId="39C574FD" w14:textId="64E24156" w:rsidR="00DA5D56" w:rsidRPr="000E4394" w:rsidRDefault="00DA5D56" w:rsidP="000E4394">
      <w:pPr>
        <w:pStyle w:val="Subtitle"/>
      </w:pPr>
      <w:bookmarkStart w:id="260" w:name="_Toc49765507"/>
      <w:bookmarkStart w:id="261" w:name="_Toc64724186"/>
      <w:r w:rsidRPr="000E4394">
        <w:t>Figure 3.7  Bland-Altman Plot: Difference vs Average for Arterial Input Function-Visit 2.  Rater 1 vs Rater 2</w:t>
      </w:r>
      <w:bookmarkEnd w:id="260"/>
      <w:bookmarkEnd w:id="261"/>
      <w:r w:rsidRPr="000E4394">
        <w:t xml:space="preserve"> </w:t>
      </w:r>
    </w:p>
    <w:p w14:paraId="6725E619" w14:textId="77777777" w:rsidR="00DA5D56" w:rsidRPr="00DA5D56" w:rsidRDefault="00DA5D56" w:rsidP="00DA5D56">
      <w:pPr>
        <w:rPr>
          <w:lang w:eastAsia="en-GB"/>
        </w:rPr>
      </w:pPr>
      <w:r w:rsidRPr="00DA5D56">
        <w:rPr>
          <w:noProof/>
          <w:lang w:eastAsia="en-GB"/>
        </w:rPr>
        <w:drawing>
          <wp:inline distT="0" distB="0" distL="0" distR="0" wp14:anchorId="0E629B38" wp14:editId="0C4F2D4C">
            <wp:extent cx="4453459" cy="2248349"/>
            <wp:effectExtent l="0" t="0" r="444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547198" cy="2295673"/>
                    </a:xfrm>
                    <a:prstGeom prst="rect">
                      <a:avLst/>
                    </a:prstGeom>
                  </pic:spPr>
                </pic:pic>
              </a:graphicData>
            </a:graphic>
          </wp:inline>
        </w:drawing>
      </w:r>
    </w:p>
    <w:p w14:paraId="16D66A7A" w14:textId="77777777" w:rsidR="004F6C96" w:rsidRDefault="004F6C96">
      <w:pPr>
        <w:rPr>
          <w:lang w:eastAsia="en-GB"/>
        </w:rPr>
      </w:pPr>
      <w:bookmarkStart w:id="262" w:name="_Toc49765508"/>
      <w:r>
        <w:rPr>
          <w:lang w:eastAsia="en-GB"/>
        </w:rPr>
        <w:br w:type="page"/>
      </w:r>
    </w:p>
    <w:p w14:paraId="7CE32907" w14:textId="74EBD850" w:rsidR="00DA5D56" w:rsidRPr="000E4394" w:rsidRDefault="00DA5D56" w:rsidP="000E4394">
      <w:pPr>
        <w:pStyle w:val="Subtitle"/>
      </w:pPr>
      <w:bookmarkStart w:id="263" w:name="_Toc64724187"/>
      <w:r w:rsidRPr="000E4394">
        <w:lastRenderedPageBreak/>
        <w:t>Figure 3.8  Bland-Altman Plot: Difference vs Average for Arterial Input Function-Visit 3.  Rater 1 vs Rater 2</w:t>
      </w:r>
      <w:bookmarkEnd w:id="262"/>
      <w:bookmarkEnd w:id="263"/>
      <w:r w:rsidRPr="000E4394">
        <w:t xml:space="preserve"> </w:t>
      </w:r>
    </w:p>
    <w:p w14:paraId="31A9DDE4" w14:textId="77777777" w:rsidR="00DA5D56" w:rsidRPr="00DA5D56" w:rsidRDefault="00DA5D56" w:rsidP="00DA5D56">
      <w:pPr>
        <w:rPr>
          <w:lang w:eastAsia="en-GB"/>
        </w:rPr>
      </w:pPr>
      <w:r w:rsidRPr="00DA5D56">
        <w:rPr>
          <w:noProof/>
          <w:lang w:eastAsia="en-GB"/>
        </w:rPr>
        <w:drawing>
          <wp:inline distT="0" distB="0" distL="0" distR="0" wp14:anchorId="5330D465" wp14:editId="3801608B">
            <wp:extent cx="3837305" cy="2397013"/>
            <wp:effectExtent l="12700" t="12700" r="10795" b="165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881827" cy="2424824"/>
                    </a:xfrm>
                    <a:prstGeom prst="rect">
                      <a:avLst/>
                    </a:prstGeom>
                    <a:ln>
                      <a:solidFill>
                        <a:srgbClr val="000000"/>
                      </a:solidFill>
                    </a:ln>
                  </pic:spPr>
                </pic:pic>
              </a:graphicData>
            </a:graphic>
          </wp:inline>
        </w:drawing>
      </w:r>
    </w:p>
    <w:p w14:paraId="5CB2407A" w14:textId="77777777" w:rsidR="00DA5D56" w:rsidRPr="00DA5D56" w:rsidRDefault="00DA5D56" w:rsidP="00DA5D56">
      <w:pPr>
        <w:rPr>
          <w:lang w:eastAsia="en-GB"/>
        </w:rPr>
      </w:pPr>
    </w:p>
    <w:p w14:paraId="3D60818E" w14:textId="77777777" w:rsidR="00DA5D56" w:rsidRPr="00DA5D56" w:rsidRDefault="00DA5D56" w:rsidP="000E4394">
      <w:pPr>
        <w:pStyle w:val="Heading3"/>
      </w:pPr>
      <w:bookmarkStart w:id="264" w:name="_Toc64723926"/>
      <w:r w:rsidRPr="00DA5D56">
        <w:t>Reproducibility by perfusion parameter</w:t>
      </w:r>
      <w:bookmarkEnd w:id="264"/>
      <w:r w:rsidRPr="00DA5D56">
        <w:t xml:space="preserve"> </w:t>
      </w:r>
    </w:p>
    <w:p w14:paraId="3A56FA61" w14:textId="410EA445" w:rsidR="00DA5D56" w:rsidRDefault="00DA5D56" w:rsidP="00DA5D56">
      <w:pPr>
        <w:spacing w:line="360" w:lineRule="auto"/>
        <w:rPr>
          <w:rFonts w:cs="Arial"/>
        </w:rPr>
      </w:pPr>
      <w:r w:rsidRPr="00DA5D56">
        <w:rPr>
          <w:rFonts w:cs="Arial"/>
        </w:rPr>
        <w:t>Reproducibility was assessed for the different cerebral perfusion measurements at the left thalamus only, to interrogate whether a particular perfusion measurement was more reliable than others.</w:t>
      </w:r>
    </w:p>
    <w:p w14:paraId="69C0C2E1" w14:textId="77777777" w:rsidR="000E4394" w:rsidRPr="00DA5D56" w:rsidRDefault="000E4394" w:rsidP="00DA5D56">
      <w:pPr>
        <w:spacing w:line="360" w:lineRule="auto"/>
        <w:rPr>
          <w:rFonts w:cs="Arial"/>
        </w:rPr>
      </w:pPr>
    </w:p>
    <w:p w14:paraId="5278F15C" w14:textId="2446B233" w:rsidR="000E4394" w:rsidRPr="000E4394" w:rsidRDefault="00DA5D56" w:rsidP="00D24C18">
      <w:pPr>
        <w:pStyle w:val="Quote"/>
      </w:pPr>
      <w:bookmarkStart w:id="265" w:name="_Toc45038296"/>
      <w:bookmarkStart w:id="266" w:name="_Toc49765413"/>
      <w:bookmarkStart w:id="267" w:name="_Toc64724082"/>
      <w:r w:rsidRPr="00DA5D56">
        <w:t xml:space="preserve">Table 3.2  Bland-Altman Statistics </w:t>
      </w:r>
      <w:r w:rsidR="00C55ADC">
        <w:t>C</w:t>
      </w:r>
      <w:r w:rsidRPr="00DA5D56">
        <w:t>omparing Perfusion Measurements by Rater</w:t>
      </w:r>
      <w:bookmarkEnd w:id="265"/>
      <w:bookmarkEnd w:id="266"/>
      <w:bookmarkEnd w:id="267"/>
    </w:p>
    <w:tbl>
      <w:tblPr>
        <w:tblStyle w:val="GridTable2-Accent21"/>
        <w:tblW w:w="8516" w:type="dxa"/>
        <w:tblBorders>
          <w:top w:val="single" w:sz="4" w:space="0" w:color="auto"/>
          <w:left w:val="single" w:sz="4" w:space="0" w:color="auto"/>
          <w:bottom w:val="single" w:sz="4" w:space="0" w:color="auto"/>
          <w:right w:val="single" w:sz="4" w:space="0" w:color="auto"/>
        </w:tblBorders>
        <w:tblLayout w:type="fixed"/>
        <w:tblLook w:val="0400" w:firstRow="0" w:lastRow="0" w:firstColumn="0" w:lastColumn="0" w:noHBand="0" w:noVBand="1"/>
      </w:tblPr>
      <w:tblGrid>
        <w:gridCol w:w="2129"/>
        <w:gridCol w:w="2129"/>
        <w:gridCol w:w="2129"/>
        <w:gridCol w:w="2129"/>
      </w:tblGrid>
      <w:tr w:rsidR="00DA5D56" w:rsidRPr="00DA5D56" w14:paraId="214AE88D" w14:textId="77777777" w:rsidTr="00256299">
        <w:trPr>
          <w:cnfStyle w:val="000000100000" w:firstRow="0" w:lastRow="0" w:firstColumn="0" w:lastColumn="0" w:oddVBand="0" w:evenVBand="0" w:oddHBand="1" w:evenHBand="0" w:firstRowFirstColumn="0" w:firstRowLastColumn="0" w:lastRowFirstColumn="0" w:lastRowLastColumn="0"/>
        </w:trPr>
        <w:tc>
          <w:tcPr>
            <w:tcW w:w="2129" w:type="dxa"/>
          </w:tcPr>
          <w:p w14:paraId="0F71735D" w14:textId="77777777" w:rsidR="00DA5D56" w:rsidRPr="00DA5D56" w:rsidRDefault="00DA5D56" w:rsidP="00D24C18">
            <w:pPr>
              <w:spacing w:line="360" w:lineRule="auto"/>
              <w:rPr>
                <w:rFonts w:asciiTheme="minorHAnsi" w:hAnsiTheme="minorHAnsi" w:cs="Arial"/>
                <w:i/>
                <w:iCs/>
                <w:sz w:val="22"/>
                <w:szCs w:val="22"/>
              </w:rPr>
            </w:pPr>
            <w:r w:rsidRPr="00DA5D56">
              <w:rPr>
                <w:rFonts w:asciiTheme="minorHAnsi" w:hAnsiTheme="minorHAnsi" w:cs="Arial"/>
                <w:i/>
                <w:iCs/>
                <w:sz w:val="22"/>
                <w:szCs w:val="22"/>
              </w:rPr>
              <w:t>Perfusion Measurement</w:t>
            </w:r>
          </w:p>
        </w:tc>
        <w:tc>
          <w:tcPr>
            <w:tcW w:w="2129" w:type="dxa"/>
          </w:tcPr>
          <w:p w14:paraId="0E6370C8" w14:textId="77777777" w:rsidR="00DA5D56" w:rsidRPr="00DA5D56" w:rsidRDefault="00DA5D56" w:rsidP="00D24C18">
            <w:pPr>
              <w:spacing w:line="360" w:lineRule="auto"/>
              <w:rPr>
                <w:rFonts w:asciiTheme="minorHAnsi" w:hAnsiTheme="minorHAnsi" w:cs="Arial"/>
                <w:i/>
                <w:iCs/>
                <w:sz w:val="22"/>
                <w:szCs w:val="22"/>
              </w:rPr>
            </w:pPr>
            <w:r w:rsidRPr="00DA5D56">
              <w:rPr>
                <w:rFonts w:asciiTheme="minorHAnsi" w:hAnsiTheme="minorHAnsi" w:cs="Arial"/>
                <w:i/>
                <w:iCs/>
                <w:sz w:val="22"/>
                <w:szCs w:val="22"/>
              </w:rPr>
              <w:t>Bias</w:t>
            </w:r>
          </w:p>
        </w:tc>
        <w:tc>
          <w:tcPr>
            <w:tcW w:w="2129" w:type="dxa"/>
          </w:tcPr>
          <w:p w14:paraId="17EA72C3" w14:textId="77777777" w:rsidR="00DA5D56" w:rsidRPr="00DA5D56" w:rsidRDefault="00DA5D56" w:rsidP="00D24C18">
            <w:pPr>
              <w:spacing w:line="360" w:lineRule="auto"/>
              <w:rPr>
                <w:rFonts w:asciiTheme="minorHAnsi" w:hAnsiTheme="minorHAnsi" w:cs="Arial"/>
                <w:i/>
                <w:iCs/>
                <w:sz w:val="22"/>
                <w:szCs w:val="22"/>
              </w:rPr>
            </w:pPr>
            <w:r w:rsidRPr="00DA5D56">
              <w:rPr>
                <w:rFonts w:asciiTheme="minorHAnsi" w:hAnsiTheme="minorHAnsi" w:cs="Arial"/>
                <w:i/>
                <w:iCs/>
                <w:sz w:val="22"/>
                <w:szCs w:val="22"/>
              </w:rPr>
              <w:t>SD of bias</w:t>
            </w:r>
          </w:p>
        </w:tc>
        <w:tc>
          <w:tcPr>
            <w:tcW w:w="2129" w:type="dxa"/>
          </w:tcPr>
          <w:p w14:paraId="18416EF8" w14:textId="77777777" w:rsidR="00DA5D56" w:rsidRPr="00DA5D56" w:rsidRDefault="00DA5D56" w:rsidP="00D24C18">
            <w:pPr>
              <w:spacing w:line="360" w:lineRule="auto"/>
              <w:rPr>
                <w:rFonts w:asciiTheme="minorHAnsi" w:hAnsiTheme="minorHAnsi" w:cs="Arial"/>
                <w:i/>
                <w:iCs/>
                <w:sz w:val="22"/>
                <w:szCs w:val="22"/>
              </w:rPr>
            </w:pPr>
            <w:r w:rsidRPr="00DA5D56">
              <w:rPr>
                <w:rFonts w:asciiTheme="minorHAnsi" w:hAnsiTheme="minorHAnsi" w:cs="Arial"/>
                <w:i/>
                <w:iCs/>
                <w:sz w:val="22"/>
                <w:szCs w:val="22"/>
              </w:rPr>
              <w:t>95% Limits of Agreement</w:t>
            </w:r>
          </w:p>
        </w:tc>
      </w:tr>
      <w:tr w:rsidR="00DA5D56" w:rsidRPr="00DA5D56" w14:paraId="321638F9" w14:textId="77777777" w:rsidTr="00256299">
        <w:tc>
          <w:tcPr>
            <w:tcW w:w="2129" w:type="dxa"/>
          </w:tcPr>
          <w:p w14:paraId="51C83580" w14:textId="77777777" w:rsidR="00DA5D56" w:rsidRPr="00DA5D56" w:rsidRDefault="00DA5D56" w:rsidP="00D24C18">
            <w:pPr>
              <w:spacing w:line="360" w:lineRule="auto"/>
              <w:rPr>
                <w:rFonts w:asciiTheme="minorHAnsi" w:hAnsiTheme="minorHAnsi" w:cs="Arial"/>
                <w:i/>
                <w:iCs/>
                <w:sz w:val="22"/>
                <w:szCs w:val="22"/>
              </w:rPr>
            </w:pPr>
            <w:r w:rsidRPr="00DA5D56">
              <w:rPr>
                <w:rFonts w:asciiTheme="minorHAnsi" w:hAnsiTheme="minorHAnsi" w:cs="Arial"/>
                <w:i/>
                <w:iCs/>
                <w:sz w:val="22"/>
                <w:szCs w:val="22"/>
              </w:rPr>
              <w:t>RBV</w:t>
            </w:r>
          </w:p>
        </w:tc>
        <w:tc>
          <w:tcPr>
            <w:tcW w:w="2129" w:type="dxa"/>
          </w:tcPr>
          <w:p w14:paraId="08B945E5" w14:textId="77777777" w:rsidR="00DA5D56" w:rsidRPr="00DA5D56" w:rsidRDefault="00DA5D56" w:rsidP="00D24C18">
            <w:pPr>
              <w:spacing w:line="360" w:lineRule="auto"/>
              <w:rPr>
                <w:rFonts w:asciiTheme="minorHAnsi" w:hAnsiTheme="minorHAnsi" w:cs="Arial"/>
                <w:sz w:val="22"/>
                <w:szCs w:val="22"/>
              </w:rPr>
            </w:pPr>
            <w:r w:rsidRPr="00DA5D56">
              <w:rPr>
                <w:rFonts w:asciiTheme="minorHAnsi" w:hAnsiTheme="minorHAnsi" w:cs="Arial"/>
                <w:sz w:val="22"/>
                <w:szCs w:val="22"/>
              </w:rPr>
              <w:t xml:space="preserve">-0.6240, </w:t>
            </w:r>
          </w:p>
        </w:tc>
        <w:tc>
          <w:tcPr>
            <w:tcW w:w="2129" w:type="dxa"/>
          </w:tcPr>
          <w:p w14:paraId="46BB263A" w14:textId="77777777" w:rsidR="00DA5D56" w:rsidRPr="00DA5D56" w:rsidRDefault="00DA5D56" w:rsidP="00D24C18">
            <w:pPr>
              <w:spacing w:line="360" w:lineRule="auto"/>
              <w:rPr>
                <w:rFonts w:asciiTheme="minorHAnsi" w:hAnsiTheme="minorHAnsi" w:cs="Arial"/>
                <w:sz w:val="22"/>
                <w:szCs w:val="22"/>
              </w:rPr>
            </w:pPr>
            <w:r w:rsidRPr="00DA5D56">
              <w:rPr>
                <w:rFonts w:asciiTheme="minorHAnsi" w:hAnsiTheme="minorHAnsi" w:cs="Arial"/>
                <w:sz w:val="22"/>
                <w:szCs w:val="22"/>
              </w:rPr>
              <w:t xml:space="preserve">5.528, </w:t>
            </w:r>
          </w:p>
        </w:tc>
        <w:tc>
          <w:tcPr>
            <w:tcW w:w="2129" w:type="dxa"/>
          </w:tcPr>
          <w:p w14:paraId="14B65637" w14:textId="77777777" w:rsidR="00DA5D56" w:rsidRPr="00DA5D56" w:rsidRDefault="00DA5D56" w:rsidP="00D24C18">
            <w:pPr>
              <w:spacing w:line="360" w:lineRule="auto"/>
              <w:rPr>
                <w:rFonts w:asciiTheme="minorHAnsi" w:hAnsiTheme="minorHAnsi" w:cs="Arial"/>
                <w:sz w:val="22"/>
                <w:szCs w:val="22"/>
              </w:rPr>
            </w:pPr>
            <w:r w:rsidRPr="00DA5D56">
              <w:rPr>
                <w:rFonts w:asciiTheme="minorHAnsi" w:hAnsiTheme="minorHAnsi" w:cs="Arial"/>
                <w:sz w:val="22"/>
                <w:szCs w:val="22"/>
              </w:rPr>
              <w:t xml:space="preserve">From -11.46 To 10.21 </w:t>
            </w:r>
          </w:p>
        </w:tc>
      </w:tr>
      <w:tr w:rsidR="00DA5D56" w:rsidRPr="00DA5D56" w14:paraId="6803E14F" w14:textId="77777777" w:rsidTr="00256299">
        <w:trPr>
          <w:cnfStyle w:val="000000100000" w:firstRow="0" w:lastRow="0" w:firstColumn="0" w:lastColumn="0" w:oddVBand="0" w:evenVBand="0" w:oddHBand="1" w:evenHBand="0" w:firstRowFirstColumn="0" w:firstRowLastColumn="0" w:lastRowFirstColumn="0" w:lastRowLastColumn="0"/>
        </w:trPr>
        <w:tc>
          <w:tcPr>
            <w:tcW w:w="2129" w:type="dxa"/>
          </w:tcPr>
          <w:p w14:paraId="19947CC1" w14:textId="77777777" w:rsidR="00DA5D56" w:rsidRPr="00DA5D56" w:rsidRDefault="00DA5D56" w:rsidP="00D24C18">
            <w:pPr>
              <w:spacing w:line="360" w:lineRule="auto"/>
              <w:rPr>
                <w:rFonts w:asciiTheme="minorHAnsi" w:hAnsiTheme="minorHAnsi" w:cs="Arial"/>
                <w:i/>
                <w:iCs/>
                <w:sz w:val="22"/>
                <w:szCs w:val="22"/>
              </w:rPr>
            </w:pPr>
            <w:r w:rsidRPr="00DA5D56">
              <w:rPr>
                <w:rFonts w:asciiTheme="minorHAnsi" w:hAnsiTheme="minorHAnsi" w:cs="Arial"/>
                <w:i/>
                <w:iCs/>
                <w:sz w:val="22"/>
                <w:szCs w:val="22"/>
              </w:rPr>
              <w:t>RBF</w:t>
            </w:r>
          </w:p>
        </w:tc>
        <w:tc>
          <w:tcPr>
            <w:tcW w:w="2129" w:type="dxa"/>
          </w:tcPr>
          <w:p w14:paraId="7082B8D9" w14:textId="77777777" w:rsidR="00DA5D56" w:rsidRPr="00DA5D56" w:rsidRDefault="00DA5D56" w:rsidP="00D24C18">
            <w:pPr>
              <w:spacing w:line="360" w:lineRule="auto"/>
              <w:rPr>
                <w:rFonts w:asciiTheme="minorHAnsi" w:hAnsiTheme="minorHAnsi" w:cs="Arial"/>
                <w:sz w:val="22"/>
                <w:szCs w:val="22"/>
              </w:rPr>
            </w:pPr>
            <w:r w:rsidRPr="00DA5D56">
              <w:rPr>
                <w:rFonts w:asciiTheme="minorHAnsi" w:hAnsiTheme="minorHAnsi" w:cs="Arial"/>
                <w:sz w:val="22"/>
                <w:szCs w:val="22"/>
              </w:rPr>
              <w:t xml:space="preserve">-4.929 </w:t>
            </w:r>
          </w:p>
        </w:tc>
        <w:tc>
          <w:tcPr>
            <w:tcW w:w="2129" w:type="dxa"/>
          </w:tcPr>
          <w:p w14:paraId="61FA5AA3" w14:textId="77777777" w:rsidR="00DA5D56" w:rsidRPr="00DA5D56" w:rsidRDefault="00DA5D56" w:rsidP="00D24C18">
            <w:pPr>
              <w:spacing w:line="360" w:lineRule="auto"/>
              <w:rPr>
                <w:rFonts w:asciiTheme="minorHAnsi" w:hAnsiTheme="minorHAnsi" w:cs="Arial"/>
                <w:sz w:val="22"/>
                <w:szCs w:val="22"/>
              </w:rPr>
            </w:pPr>
            <w:r w:rsidRPr="00DA5D56">
              <w:rPr>
                <w:rFonts w:asciiTheme="minorHAnsi" w:hAnsiTheme="minorHAnsi" w:cs="Arial"/>
                <w:sz w:val="22"/>
                <w:szCs w:val="22"/>
              </w:rPr>
              <w:t xml:space="preserve">45.07 </w:t>
            </w:r>
          </w:p>
        </w:tc>
        <w:tc>
          <w:tcPr>
            <w:tcW w:w="2129" w:type="dxa"/>
          </w:tcPr>
          <w:p w14:paraId="5C73F827" w14:textId="77777777" w:rsidR="00DA5D56" w:rsidRPr="00DA5D56" w:rsidRDefault="00DA5D56" w:rsidP="00D24C18">
            <w:pPr>
              <w:spacing w:line="360" w:lineRule="auto"/>
              <w:rPr>
                <w:rFonts w:asciiTheme="minorHAnsi" w:hAnsiTheme="minorHAnsi" w:cs="Arial"/>
                <w:sz w:val="22"/>
                <w:szCs w:val="22"/>
              </w:rPr>
            </w:pPr>
            <w:r w:rsidRPr="00DA5D56">
              <w:rPr>
                <w:rFonts w:asciiTheme="minorHAnsi" w:hAnsiTheme="minorHAnsi" w:cs="Arial"/>
                <w:sz w:val="22"/>
                <w:szCs w:val="22"/>
              </w:rPr>
              <w:t>From-93.27 To 83.42</w:t>
            </w:r>
          </w:p>
        </w:tc>
      </w:tr>
      <w:tr w:rsidR="00DA5D56" w:rsidRPr="00DA5D56" w14:paraId="34CEB8E9" w14:textId="77777777" w:rsidTr="00256299">
        <w:tc>
          <w:tcPr>
            <w:tcW w:w="2129" w:type="dxa"/>
          </w:tcPr>
          <w:p w14:paraId="77E7782D" w14:textId="77777777" w:rsidR="00DA5D56" w:rsidRPr="00DA5D56" w:rsidRDefault="00DA5D56" w:rsidP="00D24C18">
            <w:pPr>
              <w:spacing w:line="360" w:lineRule="auto"/>
              <w:rPr>
                <w:rFonts w:asciiTheme="minorHAnsi" w:hAnsiTheme="minorHAnsi" w:cs="Arial"/>
                <w:i/>
                <w:iCs/>
                <w:sz w:val="22"/>
                <w:szCs w:val="22"/>
              </w:rPr>
            </w:pPr>
            <w:r w:rsidRPr="00DA5D56">
              <w:rPr>
                <w:rFonts w:asciiTheme="minorHAnsi" w:hAnsiTheme="minorHAnsi" w:cs="Arial"/>
                <w:i/>
                <w:iCs/>
                <w:sz w:val="22"/>
                <w:szCs w:val="22"/>
              </w:rPr>
              <w:t>MTT</w:t>
            </w:r>
          </w:p>
        </w:tc>
        <w:tc>
          <w:tcPr>
            <w:tcW w:w="2129" w:type="dxa"/>
          </w:tcPr>
          <w:p w14:paraId="05FA4672" w14:textId="77777777" w:rsidR="00DA5D56" w:rsidRPr="00DA5D56" w:rsidRDefault="00DA5D56" w:rsidP="00D24C18">
            <w:pPr>
              <w:spacing w:line="360" w:lineRule="auto"/>
              <w:rPr>
                <w:rFonts w:asciiTheme="minorHAnsi" w:hAnsiTheme="minorHAnsi" w:cs="Arial"/>
                <w:sz w:val="22"/>
                <w:szCs w:val="22"/>
              </w:rPr>
            </w:pPr>
            <w:r w:rsidRPr="00DA5D56">
              <w:rPr>
                <w:rFonts w:asciiTheme="minorHAnsi" w:hAnsiTheme="minorHAnsi" w:cs="Arial"/>
                <w:sz w:val="22"/>
                <w:szCs w:val="22"/>
              </w:rPr>
              <w:t xml:space="preserve">-0.1427 </w:t>
            </w:r>
          </w:p>
        </w:tc>
        <w:tc>
          <w:tcPr>
            <w:tcW w:w="2129" w:type="dxa"/>
          </w:tcPr>
          <w:p w14:paraId="6D6D2CB2" w14:textId="77777777" w:rsidR="00DA5D56" w:rsidRPr="00DA5D56" w:rsidRDefault="00DA5D56" w:rsidP="00D24C18">
            <w:pPr>
              <w:spacing w:line="360" w:lineRule="auto"/>
              <w:rPr>
                <w:rFonts w:asciiTheme="minorHAnsi" w:hAnsiTheme="minorHAnsi" w:cs="Arial"/>
                <w:sz w:val="22"/>
                <w:szCs w:val="22"/>
              </w:rPr>
            </w:pPr>
            <w:r w:rsidRPr="00DA5D56">
              <w:rPr>
                <w:rFonts w:asciiTheme="minorHAnsi" w:hAnsiTheme="minorHAnsi" w:cs="Arial"/>
                <w:sz w:val="22"/>
                <w:szCs w:val="22"/>
              </w:rPr>
              <w:t xml:space="preserve">1.339 </w:t>
            </w:r>
          </w:p>
        </w:tc>
        <w:tc>
          <w:tcPr>
            <w:tcW w:w="2129" w:type="dxa"/>
          </w:tcPr>
          <w:p w14:paraId="1058AC17" w14:textId="77777777" w:rsidR="00DA5D56" w:rsidRPr="00DA5D56" w:rsidRDefault="00DA5D56" w:rsidP="00D24C18">
            <w:pPr>
              <w:spacing w:line="360" w:lineRule="auto"/>
              <w:rPr>
                <w:rFonts w:asciiTheme="minorHAnsi" w:hAnsiTheme="minorHAnsi" w:cs="Arial"/>
                <w:sz w:val="22"/>
                <w:szCs w:val="22"/>
              </w:rPr>
            </w:pPr>
            <w:r w:rsidRPr="00DA5D56">
              <w:rPr>
                <w:rFonts w:asciiTheme="minorHAnsi" w:hAnsiTheme="minorHAnsi" w:cs="Arial"/>
                <w:sz w:val="22"/>
                <w:szCs w:val="22"/>
              </w:rPr>
              <w:t xml:space="preserve">From-2.768 To 2.482 </w:t>
            </w:r>
          </w:p>
        </w:tc>
      </w:tr>
      <w:tr w:rsidR="00DA5D56" w:rsidRPr="00DA5D56" w14:paraId="1C97FC25" w14:textId="77777777" w:rsidTr="00256299">
        <w:trPr>
          <w:cnfStyle w:val="000000100000" w:firstRow="0" w:lastRow="0" w:firstColumn="0" w:lastColumn="0" w:oddVBand="0" w:evenVBand="0" w:oddHBand="1" w:evenHBand="0" w:firstRowFirstColumn="0" w:firstRowLastColumn="0" w:lastRowFirstColumn="0" w:lastRowLastColumn="0"/>
        </w:trPr>
        <w:tc>
          <w:tcPr>
            <w:tcW w:w="2129" w:type="dxa"/>
          </w:tcPr>
          <w:p w14:paraId="79989237" w14:textId="77777777" w:rsidR="00DA5D56" w:rsidRPr="00DA5D56" w:rsidRDefault="00DA5D56" w:rsidP="00D24C18">
            <w:pPr>
              <w:spacing w:line="360" w:lineRule="auto"/>
              <w:rPr>
                <w:rFonts w:asciiTheme="minorHAnsi" w:hAnsiTheme="minorHAnsi" w:cs="Arial"/>
                <w:i/>
                <w:iCs/>
                <w:sz w:val="22"/>
                <w:szCs w:val="22"/>
              </w:rPr>
            </w:pPr>
            <w:r w:rsidRPr="00DA5D56">
              <w:rPr>
                <w:rFonts w:asciiTheme="minorHAnsi" w:hAnsiTheme="minorHAnsi" w:cs="Arial"/>
                <w:i/>
                <w:iCs/>
                <w:sz w:val="22"/>
                <w:szCs w:val="22"/>
              </w:rPr>
              <w:t>TTP</w:t>
            </w:r>
          </w:p>
        </w:tc>
        <w:tc>
          <w:tcPr>
            <w:tcW w:w="2129" w:type="dxa"/>
          </w:tcPr>
          <w:p w14:paraId="6D2E446F" w14:textId="77777777" w:rsidR="00DA5D56" w:rsidRPr="00DA5D56" w:rsidRDefault="00DA5D56" w:rsidP="00D24C18">
            <w:pPr>
              <w:spacing w:line="360" w:lineRule="auto"/>
              <w:rPr>
                <w:rFonts w:asciiTheme="minorHAnsi" w:hAnsiTheme="minorHAnsi" w:cs="Arial"/>
                <w:sz w:val="22"/>
                <w:szCs w:val="22"/>
              </w:rPr>
            </w:pPr>
            <w:r w:rsidRPr="00DA5D56">
              <w:rPr>
                <w:rFonts w:asciiTheme="minorHAnsi" w:hAnsiTheme="minorHAnsi" w:cs="Arial"/>
                <w:sz w:val="22"/>
                <w:szCs w:val="22"/>
              </w:rPr>
              <w:t xml:space="preserve">0.3227 </w:t>
            </w:r>
          </w:p>
        </w:tc>
        <w:tc>
          <w:tcPr>
            <w:tcW w:w="2129" w:type="dxa"/>
          </w:tcPr>
          <w:p w14:paraId="23044B4A" w14:textId="77777777" w:rsidR="00DA5D56" w:rsidRPr="00DA5D56" w:rsidRDefault="00DA5D56" w:rsidP="00D24C18">
            <w:pPr>
              <w:spacing w:line="360" w:lineRule="auto"/>
              <w:rPr>
                <w:rFonts w:asciiTheme="minorHAnsi" w:hAnsiTheme="minorHAnsi" w:cs="Arial"/>
                <w:sz w:val="22"/>
                <w:szCs w:val="22"/>
              </w:rPr>
            </w:pPr>
            <w:r w:rsidRPr="00DA5D56">
              <w:rPr>
                <w:rFonts w:asciiTheme="minorHAnsi" w:hAnsiTheme="minorHAnsi" w:cs="Arial"/>
                <w:sz w:val="22"/>
                <w:szCs w:val="22"/>
              </w:rPr>
              <w:t xml:space="preserve">0.6873 </w:t>
            </w:r>
          </w:p>
        </w:tc>
        <w:tc>
          <w:tcPr>
            <w:tcW w:w="2129" w:type="dxa"/>
          </w:tcPr>
          <w:p w14:paraId="76C91E30" w14:textId="77777777" w:rsidR="00DA5D56" w:rsidRPr="00DA5D56" w:rsidRDefault="00DA5D56" w:rsidP="00D24C18">
            <w:pPr>
              <w:spacing w:line="360" w:lineRule="auto"/>
              <w:rPr>
                <w:rFonts w:asciiTheme="minorHAnsi" w:hAnsiTheme="minorHAnsi" w:cs="Arial"/>
                <w:sz w:val="22"/>
                <w:szCs w:val="22"/>
              </w:rPr>
            </w:pPr>
            <w:r w:rsidRPr="00DA5D56">
              <w:rPr>
                <w:rFonts w:asciiTheme="minorHAnsi" w:hAnsiTheme="minorHAnsi" w:cs="Arial"/>
                <w:sz w:val="22"/>
                <w:szCs w:val="22"/>
              </w:rPr>
              <w:t xml:space="preserve">From-1.024 To 1.670 </w:t>
            </w:r>
          </w:p>
        </w:tc>
      </w:tr>
    </w:tbl>
    <w:p w14:paraId="0DB0CFB7" w14:textId="738565FA" w:rsidR="00DA5D56" w:rsidRPr="000E4394" w:rsidRDefault="00DA5D56" w:rsidP="000E4394">
      <w:pPr>
        <w:spacing w:line="360" w:lineRule="auto"/>
        <w:rPr>
          <w:rStyle w:val="SubtleEmphasis"/>
        </w:rPr>
      </w:pPr>
      <w:r w:rsidRPr="000E4394">
        <w:rPr>
          <w:rStyle w:val="SubtleEmphasis"/>
        </w:rPr>
        <w:t>SD=standard deviation, RBV regional blood volume, RBF regional blood flow, MTT mean transit time, TTP Time-to-peak concentration</w:t>
      </w:r>
    </w:p>
    <w:p w14:paraId="531D62C4" w14:textId="77777777" w:rsidR="00DA5D56" w:rsidRPr="00DA5D56" w:rsidRDefault="00DA5D56" w:rsidP="00DA5D56">
      <w:pPr>
        <w:spacing w:line="360" w:lineRule="auto"/>
        <w:rPr>
          <w:iCs/>
          <w:color w:val="808080" w:themeColor="text1" w:themeTint="7F"/>
          <w:sz w:val="21"/>
        </w:rPr>
      </w:pPr>
    </w:p>
    <w:p w14:paraId="2962D764" w14:textId="77777777" w:rsidR="00DA5D56" w:rsidRPr="00DA5D56" w:rsidRDefault="00DA5D56" w:rsidP="00DA5D56">
      <w:pPr>
        <w:spacing w:line="360" w:lineRule="auto"/>
        <w:rPr>
          <w:rFonts w:cs="Arial"/>
        </w:rPr>
      </w:pPr>
      <w:r w:rsidRPr="00DA5D56">
        <w:rPr>
          <w:rFonts w:cs="Arial"/>
        </w:rPr>
        <w:t>The ICC for the four perfusion variables was significantly correlated: RBV=0.443, RBF =0.710, MTT= 0.618, TTP 0.837 (p&lt;.05 for all).</w:t>
      </w:r>
      <w:r w:rsidRPr="00DA5D56">
        <w:rPr>
          <w:rFonts w:cs="Arial"/>
        </w:rPr>
        <w:tab/>
        <w:t xml:space="preserve"> </w:t>
      </w:r>
    </w:p>
    <w:p w14:paraId="72645D2B" w14:textId="6AB624FA" w:rsidR="00DA5D56" w:rsidRPr="00DA5D56" w:rsidRDefault="00DA5D56" w:rsidP="00DA5D56">
      <w:pPr>
        <w:spacing w:line="360" w:lineRule="auto"/>
        <w:rPr>
          <w:rFonts w:cs="Arial"/>
        </w:rPr>
      </w:pPr>
      <w:r w:rsidRPr="00DA5D56">
        <w:rPr>
          <w:rFonts w:cs="Arial"/>
        </w:rPr>
        <w:t>TTP was the most reliable measurement at the left thalamus, the 95% limits of agreement were between -1.024 to 1.67 (Table 3.2 and Figure 3.12).  The other measurements had wider intervals for 95% limits of agreement, representing a higher of variability between rater 1 and rater 2 values (Table 3.2 and figures 3.9 - 3.11).</w:t>
      </w:r>
    </w:p>
    <w:p w14:paraId="0F571E94" w14:textId="5EC7C944" w:rsidR="00DA5D56" w:rsidRPr="00DA5D56" w:rsidRDefault="00DA5D56" w:rsidP="00522CA9">
      <w:pPr>
        <w:pStyle w:val="Subtitle"/>
      </w:pPr>
      <w:bookmarkStart w:id="268" w:name="_Toc45038110"/>
      <w:bookmarkStart w:id="269" w:name="_Toc49765509"/>
      <w:bookmarkStart w:id="270" w:name="_Toc64724188"/>
      <w:r w:rsidRPr="00DA5D56">
        <w:lastRenderedPageBreak/>
        <w:t>Figure 3.9  Bland-Altman Difference vs Average Plot; Comparing Rater 1 and Rater 2 for Regional Blood Volume at the Left Thalamus</w:t>
      </w:r>
      <w:bookmarkEnd w:id="268"/>
      <w:bookmarkEnd w:id="269"/>
      <w:bookmarkEnd w:id="270"/>
    </w:p>
    <w:p w14:paraId="1C3CD33B" w14:textId="77777777" w:rsidR="00DA5D56" w:rsidRPr="00DA5D56" w:rsidRDefault="00DA5D56" w:rsidP="00DA5D56">
      <w:pPr>
        <w:rPr>
          <w:lang w:eastAsia="en-GB"/>
        </w:rPr>
      </w:pPr>
      <w:r w:rsidRPr="00DA5D56">
        <w:rPr>
          <w:noProof/>
          <w:lang w:eastAsia="en-GB"/>
        </w:rPr>
        <w:drawing>
          <wp:inline distT="0" distB="0" distL="0" distR="0" wp14:anchorId="28235556" wp14:editId="3D61F233">
            <wp:extent cx="4041775" cy="2164715"/>
            <wp:effectExtent l="12700" t="12700" r="9525"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136490" cy="2215443"/>
                    </a:xfrm>
                    <a:prstGeom prst="rect">
                      <a:avLst/>
                    </a:prstGeom>
                    <a:ln>
                      <a:solidFill>
                        <a:srgbClr val="000000"/>
                      </a:solidFill>
                    </a:ln>
                  </pic:spPr>
                </pic:pic>
              </a:graphicData>
            </a:graphic>
          </wp:inline>
        </w:drawing>
      </w:r>
    </w:p>
    <w:p w14:paraId="64805280" w14:textId="6E74B45E" w:rsidR="00DA5D56" w:rsidRPr="000E4394" w:rsidRDefault="00DA5D56" w:rsidP="00DA5D56">
      <w:pPr>
        <w:spacing w:line="360" w:lineRule="auto"/>
        <w:rPr>
          <w:rStyle w:val="SubtleEmphasis"/>
        </w:rPr>
      </w:pPr>
      <w:r w:rsidRPr="000E4394">
        <w:rPr>
          <w:rStyle w:val="SubtleEmphasis"/>
        </w:rPr>
        <w:t>RBV=regional blood volume, LThal=left thalamus.  Note that there is a negative bias at higher values.</w:t>
      </w:r>
    </w:p>
    <w:p w14:paraId="0ED1B042" w14:textId="362DB967" w:rsidR="00DA5D56" w:rsidRPr="00DA5D56" w:rsidRDefault="00DA5D56" w:rsidP="00522CA9">
      <w:pPr>
        <w:pStyle w:val="Subtitle"/>
      </w:pPr>
      <w:bookmarkStart w:id="271" w:name="_Toc45038111"/>
      <w:bookmarkStart w:id="272" w:name="_Toc49765510"/>
      <w:bookmarkStart w:id="273" w:name="_Toc64724189"/>
      <w:r w:rsidRPr="00DA5D56">
        <w:t>Figure 3.10:  Bland-Altman Difference vs Average Plot; comparing Rater 1 and Rater 2 for Regional Blood Flow at the Left Thalamus</w:t>
      </w:r>
      <w:bookmarkEnd w:id="271"/>
      <w:bookmarkEnd w:id="272"/>
      <w:bookmarkEnd w:id="273"/>
    </w:p>
    <w:p w14:paraId="5F502AB2" w14:textId="77777777" w:rsidR="000E4394" w:rsidRDefault="00DA5D56" w:rsidP="00DA5D56">
      <w:pPr>
        <w:spacing w:line="360" w:lineRule="auto"/>
        <w:rPr>
          <w:rFonts w:cs="Arial"/>
        </w:rPr>
      </w:pPr>
      <w:r w:rsidRPr="00DA5D56">
        <w:rPr>
          <w:noProof/>
          <w:lang w:eastAsia="en-GB"/>
        </w:rPr>
        <w:drawing>
          <wp:inline distT="0" distB="0" distL="0" distR="0" wp14:anchorId="45D48CE5" wp14:editId="44A55359">
            <wp:extent cx="3967630" cy="2021205"/>
            <wp:effectExtent l="12700" t="12700" r="7620" b="1079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007997" cy="2041769"/>
                    </a:xfrm>
                    <a:prstGeom prst="rect">
                      <a:avLst/>
                    </a:prstGeom>
                    <a:ln>
                      <a:solidFill>
                        <a:srgbClr val="000000"/>
                      </a:solidFill>
                    </a:ln>
                  </pic:spPr>
                </pic:pic>
              </a:graphicData>
            </a:graphic>
          </wp:inline>
        </w:drawing>
      </w:r>
    </w:p>
    <w:p w14:paraId="0DFFC270" w14:textId="268178C7" w:rsidR="00DA5D56" w:rsidRPr="000E4394" w:rsidRDefault="00DA5D56" w:rsidP="00DA5D56">
      <w:pPr>
        <w:spacing w:line="360" w:lineRule="auto"/>
        <w:rPr>
          <w:rFonts w:cs="Arial"/>
        </w:rPr>
      </w:pPr>
      <w:r w:rsidRPr="00DA5D56">
        <w:rPr>
          <w:i/>
          <w:color w:val="808080" w:themeColor="text1" w:themeTint="7F"/>
          <w:sz w:val="21"/>
        </w:rPr>
        <w:t xml:space="preserve">RBF=regional blood flow and </w:t>
      </w:r>
      <w:r w:rsidR="00264184">
        <w:rPr>
          <w:i/>
          <w:color w:val="808080" w:themeColor="text1" w:themeTint="7F"/>
          <w:sz w:val="21"/>
        </w:rPr>
        <w:t>LThal</w:t>
      </w:r>
      <w:r w:rsidRPr="00DA5D56">
        <w:rPr>
          <w:i/>
          <w:color w:val="808080" w:themeColor="text1" w:themeTint="7F"/>
          <w:sz w:val="21"/>
        </w:rPr>
        <w:t xml:space="preserve"> = left thalamus.  Bias appears to increase at higher values</w:t>
      </w:r>
    </w:p>
    <w:p w14:paraId="27D2F604" w14:textId="72E38CE3" w:rsidR="00DA5D56" w:rsidRPr="00DA5D56" w:rsidRDefault="00DA5D56" w:rsidP="00522CA9">
      <w:pPr>
        <w:pStyle w:val="Subtitle"/>
        <w:rPr>
          <w:rFonts w:eastAsia="Calibri"/>
        </w:rPr>
      </w:pPr>
      <w:bookmarkStart w:id="274" w:name="_Toc45038112"/>
      <w:bookmarkStart w:id="275" w:name="_Toc49765511"/>
      <w:bookmarkStart w:id="276" w:name="_Toc64724190"/>
      <w:r w:rsidRPr="00DA5D56">
        <w:rPr>
          <w:rFonts w:eastAsia="Calibri"/>
        </w:rPr>
        <w:t>Figure 3.11 Bland-Altman Difference vs Average Plot; comparing Rater 1 and Rater 2 for Mean Transit Time at the Left Thalamus</w:t>
      </w:r>
      <w:bookmarkEnd w:id="274"/>
      <w:bookmarkEnd w:id="275"/>
      <w:bookmarkEnd w:id="276"/>
    </w:p>
    <w:p w14:paraId="6334BB30" w14:textId="77777777" w:rsidR="00DA5D56" w:rsidRPr="00DA5D56" w:rsidRDefault="00DA5D56" w:rsidP="00DA5D56">
      <w:pPr>
        <w:rPr>
          <w:lang w:eastAsia="en-GB"/>
        </w:rPr>
      </w:pPr>
      <w:r w:rsidRPr="00DA5D56">
        <w:rPr>
          <w:noProof/>
          <w:lang w:eastAsia="en-GB"/>
        </w:rPr>
        <w:drawing>
          <wp:inline distT="0" distB="0" distL="0" distR="0" wp14:anchorId="2C132F23" wp14:editId="070DF481">
            <wp:extent cx="4041775" cy="2095799"/>
            <wp:effectExtent l="12700" t="12700" r="9525" b="1270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127575" cy="2140289"/>
                    </a:xfrm>
                    <a:prstGeom prst="rect">
                      <a:avLst/>
                    </a:prstGeom>
                    <a:ln>
                      <a:solidFill>
                        <a:srgbClr val="000000"/>
                      </a:solidFill>
                    </a:ln>
                  </pic:spPr>
                </pic:pic>
              </a:graphicData>
            </a:graphic>
          </wp:inline>
        </w:drawing>
      </w:r>
    </w:p>
    <w:p w14:paraId="78FE0211" w14:textId="25238303" w:rsidR="00DA5D56" w:rsidRPr="00DA5D56" w:rsidRDefault="00DA5D56" w:rsidP="00DA5D56">
      <w:pPr>
        <w:spacing w:line="360" w:lineRule="auto"/>
        <w:rPr>
          <w:i/>
          <w:color w:val="808080" w:themeColor="text1" w:themeTint="7F"/>
          <w:sz w:val="21"/>
        </w:rPr>
      </w:pPr>
      <w:r w:rsidRPr="00DA5D56">
        <w:rPr>
          <w:i/>
          <w:color w:val="808080" w:themeColor="text1" w:themeTint="7F"/>
          <w:sz w:val="21"/>
        </w:rPr>
        <w:t xml:space="preserve">MTT= mean transit time, </w:t>
      </w:r>
      <w:r w:rsidR="00264184">
        <w:rPr>
          <w:i/>
          <w:color w:val="808080" w:themeColor="text1" w:themeTint="7F"/>
          <w:sz w:val="21"/>
        </w:rPr>
        <w:t>LThal</w:t>
      </w:r>
      <w:r w:rsidRPr="00DA5D56">
        <w:rPr>
          <w:i/>
          <w:color w:val="808080" w:themeColor="text1" w:themeTint="7F"/>
          <w:sz w:val="21"/>
        </w:rPr>
        <w:t xml:space="preserve">=left thalamus.  </w:t>
      </w:r>
    </w:p>
    <w:p w14:paraId="43A23A04" w14:textId="77777777" w:rsidR="00DA5D56" w:rsidRPr="00DA5D56" w:rsidRDefault="00DA5D56" w:rsidP="00DA5D56">
      <w:pPr>
        <w:rPr>
          <w:rFonts w:eastAsia="Calibri" w:cs="Arial"/>
          <w:i/>
          <w:color w:val="4F81BD"/>
          <w:lang w:eastAsia="en-GB"/>
        </w:rPr>
      </w:pPr>
      <w:bookmarkStart w:id="277" w:name="_Toc45038113"/>
      <w:bookmarkStart w:id="278" w:name="_Toc49765512"/>
    </w:p>
    <w:p w14:paraId="41987E66" w14:textId="544DAAB6" w:rsidR="00DA5D56" w:rsidRPr="00DA5D56" w:rsidRDefault="00DA5D56" w:rsidP="00522CA9">
      <w:pPr>
        <w:pStyle w:val="Subtitle"/>
      </w:pPr>
      <w:bookmarkStart w:id="279" w:name="_Toc64724191"/>
      <w:r w:rsidRPr="00DA5D56">
        <w:t>Figure 3.12 Bland-Altman Difference vs Average Plot; comparing Rater 1 and Rater 2 for Time to peak at the Left Thalamus</w:t>
      </w:r>
      <w:bookmarkEnd w:id="277"/>
      <w:bookmarkEnd w:id="278"/>
      <w:bookmarkEnd w:id="279"/>
    </w:p>
    <w:p w14:paraId="1235EBD2" w14:textId="77777777" w:rsidR="00DA5D56" w:rsidRPr="00DA5D56" w:rsidRDefault="00DA5D56" w:rsidP="00DA5D56">
      <w:pPr>
        <w:rPr>
          <w:lang w:eastAsia="en-GB"/>
        </w:rPr>
      </w:pPr>
      <w:r w:rsidRPr="00DA5D56">
        <w:rPr>
          <w:noProof/>
          <w:lang w:eastAsia="en-GB"/>
        </w:rPr>
        <w:drawing>
          <wp:inline distT="0" distB="0" distL="0" distR="0" wp14:anchorId="716D2D47" wp14:editId="046EFE33">
            <wp:extent cx="3775108" cy="2145781"/>
            <wp:effectExtent l="12700" t="12700" r="9525" b="133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816072" cy="2169065"/>
                    </a:xfrm>
                    <a:prstGeom prst="rect">
                      <a:avLst/>
                    </a:prstGeom>
                    <a:ln>
                      <a:solidFill>
                        <a:srgbClr val="000000"/>
                      </a:solidFill>
                    </a:ln>
                  </pic:spPr>
                </pic:pic>
              </a:graphicData>
            </a:graphic>
          </wp:inline>
        </w:drawing>
      </w:r>
    </w:p>
    <w:p w14:paraId="39A485D2" w14:textId="043C8647" w:rsidR="00DA5D56" w:rsidRPr="00DA5D56" w:rsidRDefault="00DA5D56" w:rsidP="00DA5D56">
      <w:pPr>
        <w:spacing w:line="360" w:lineRule="auto"/>
        <w:rPr>
          <w:i/>
          <w:color w:val="808080" w:themeColor="text1" w:themeTint="7F"/>
          <w:sz w:val="21"/>
        </w:rPr>
      </w:pPr>
      <w:r w:rsidRPr="00DA5D56">
        <w:rPr>
          <w:i/>
          <w:color w:val="808080" w:themeColor="text1" w:themeTint="7F"/>
          <w:sz w:val="21"/>
        </w:rPr>
        <w:t xml:space="preserve">TTP=time-to-peak, </w:t>
      </w:r>
      <w:r w:rsidR="00264184">
        <w:rPr>
          <w:i/>
          <w:color w:val="808080" w:themeColor="text1" w:themeTint="7F"/>
          <w:sz w:val="21"/>
        </w:rPr>
        <w:t>LThal</w:t>
      </w:r>
      <w:r w:rsidRPr="00DA5D56">
        <w:rPr>
          <w:i/>
          <w:color w:val="808080" w:themeColor="text1" w:themeTint="7F"/>
          <w:sz w:val="21"/>
        </w:rPr>
        <w:t>=Left thalamus. Very minimal differences in rater values, most are within 1 second.</w:t>
      </w:r>
    </w:p>
    <w:p w14:paraId="77AE9B68" w14:textId="77777777" w:rsidR="00DA5D56" w:rsidRPr="00DA5D56" w:rsidRDefault="00DA5D56" w:rsidP="00DA5D56">
      <w:pPr>
        <w:keepNext/>
        <w:keepLines/>
        <w:spacing w:before="200" w:line="360" w:lineRule="auto"/>
        <w:outlineLvl w:val="3"/>
        <w:rPr>
          <w:rFonts w:eastAsiaTheme="majorEastAsia" w:cs="Arial"/>
          <w:b/>
          <w:bCs/>
          <w:i/>
          <w:iCs/>
          <w:color w:val="4472C4" w:themeColor="accent1"/>
        </w:rPr>
      </w:pPr>
      <w:r w:rsidRPr="00DA5D56">
        <w:rPr>
          <w:rFonts w:eastAsiaTheme="majorEastAsia" w:cs="Arial"/>
          <w:b/>
          <w:bCs/>
          <w:i/>
          <w:iCs/>
          <w:color w:val="4472C4" w:themeColor="accent1"/>
        </w:rPr>
        <w:t>Reproducibility by area</w:t>
      </w:r>
    </w:p>
    <w:p w14:paraId="008CE7FC" w14:textId="758BD3D4" w:rsidR="00DA5D56" w:rsidRPr="00DA5D56" w:rsidRDefault="00DA5D56" w:rsidP="00DA5D56">
      <w:pPr>
        <w:spacing w:line="360" w:lineRule="auto"/>
        <w:rPr>
          <w:rFonts w:cs="Arial"/>
        </w:rPr>
      </w:pPr>
      <w:r w:rsidRPr="00DA5D56">
        <w:rPr>
          <w:rFonts w:cs="Arial"/>
        </w:rPr>
        <w:t xml:space="preserve">The left sided regions of interest (LThal, LINS, LPSC), the anterior cingulate and parieto-occipital white matter were compared to see if particular anatomical areas were more prone to poor inter-rater reliability than others (Table 3.3).  RBV was compared at the LThal, LINS, ACC, POWM and LPSC between raters.  </w:t>
      </w:r>
    </w:p>
    <w:p w14:paraId="4889CE3B" w14:textId="76C50766" w:rsidR="00DA5D56" w:rsidRPr="00DA5D56" w:rsidRDefault="00DA5D56" w:rsidP="000E4394">
      <w:pPr>
        <w:pStyle w:val="Quote"/>
      </w:pPr>
      <w:bookmarkStart w:id="280" w:name="_Toc45038297"/>
      <w:bookmarkStart w:id="281" w:name="_Toc49765414"/>
      <w:bookmarkStart w:id="282" w:name="_Toc64724083"/>
      <w:r w:rsidRPr="00DA5D56">
        <w:t>Table 3.3: Bland-Altman Statistics Comparing Regional Blood Volume by Rater and Region of Interest</w:t>
      </w:r>
      <w:bookmarkEnd w:id="280"/>
      <w:bookmarkEnd w:id="281"/>
      <w:bookmarkEnd w:id="282"/>
    </w:p>
    <w:tbl>
      <w:tblPr>
        <w:tblStyle w:val="GridTable2-Accent21"/>
        <w:tblW w:w="8516" w:type="dxa"/>
        <w:tblBorders>
          <w:top w:val="single" w:sz="4" w:space="0" w:color="auto"/>
          <w:left w:val="single" w:sz="4" w:space="0" w:color="auto"/>
          <w:bottom w:val="single" w:sz="4" w:space="0" w:color="auto"/>
          <w:right w:val="single" w:sz="4" w:space="0" w:color="auto"/>
        </w:tblBorders>
        <w:tblLayout w:type="fixed"/>
        <w:tblLook w:val="0400" w:firstRow="0" w:lastRow="0" w:firstColumn="0" w:lastColumn="0" w:noHBand="0" w:noVBand="1"/>
      </w:tblPr>
      <w:tblGrid>
        <w:gridCol w:w="2129"/>
        <w:gridCol w:w="2129"/>
        <w:gridCol w:w="2129"/>
        <w:gridCol w:w="2129"/>
      </w:tblGrid>
      <w:tr w:rsidR="00DA5D56" w:rsidRPr="00DA5D56" w14:paraId="65D1369C" w14:textId="77777777" w:rsidTr="00256299">
        <w:trPr>
          <w:cnfStyle w:val="000000100000" w:firstRow="0" w:lastRow="0" w:firstColumn="0" w:lastColumn="0" w:oddVBand="0" w:evenVBand="0" w:oddHBand="1" w:evenHBand="0" w:firstRowFirstColumn="0" w:firstRowLastColumn="0" w:lastRowFirstColumn="0" w:lastRowLastColumn="0"/>
        </w:trPr>
        <w:tc>
          <w:tcPr>
            <w:tcW w:w="2129" w:type="dxa"/>
          </w:tcPr>
          <w:p w14:paraId="69B991FC" w14:textId="77777777" w:rsidR="00DA5D56" w:rsidRPr="00DA5D56" w:rsidRDefault="00DA5D56" w:rsidP="00DA5D56">
            <w:pPr>
              <w:spacing w:line="360" w:lineRule="auto"/>
              <w:rPr>
                <w:rFonts w:asciiTheme="minorHAnsi" w:hAnsiTheme="minorHAnsi" w:cstheme="minorHAnsi"/>
                <w:i/>
                <w:iCs/>
                <w:sz w:val="22"/>
                <w:szCs w:val="22"/>
              </w:rPr>
            </w:pPr>
            <w:r w:rsidRPr="00DA5D56">
              <w:rPr>
                <w:rFonts w:asciiTheme="minorHAnsi" w:hAnsiTheme="minorHAnsi" w:cstheme="minorHAnsi"/>
                <w:i/>
                <w:iCs/>
                <w:sz w:val="22"/>
                <w:szCs w:val="22"/>
              </w:rPr>
              <w:t>ROI</w:t>
            </w:r>
          </w:p>
        </w:tc>
        <w:tc>
          <w:tcPr>
            <w:tcW w:w="2129" w:type="dxa"/>
          </w:tcPr>
          <w:p w14:paraId="0F22679C" w14:textId="77777777" w:rsidR="00DA5D56" w:rsidRPr="00DA5D56" w:rsidRDefault="00DA5D56" w:rsidP="00DA5D56">
            <w:pPr>
              <w:spacing w:line="360" w:lineRule="auto"/>
              <w:rPr>
                <w:rFonts w:asciiTheme="minorHAnsi" w:hAnsiTheme="minorHAnsi" w:cstheme="minorHAnsi"/>
                <w:i/>
                <w:iCs/>
                <w:sz w:val="22"/>
                <w:szCs w:val="22"/>
              </w:rPr>
            </w:pPr>
            <w:r w:rsidRPr="00DA5D56">
              <w:rPr>
                <w:rFonts w:asciiTheme="minorHAnsi" w:hAnsiTheme="minorHAnsi" w:cstheme="minorHAnsi"/>
                <w:i/>
                <w:iCs/>
                <w:sz w:val="22"/>
                <w:szCs w:val="22"/>
              </w:rPr>
              <w:t>Bias</w:t>
            </w:r>
          </w:p>
        </w:tc>
        <w:tc>
          <w:tcPr>
            <w:tcW w:w="2129" w:type="dxa"/>
          </w:tcPr>
          <w:p w14:paraId="35ED9733" w14:textId="77777777" w:rsidR="00DA5D56" w:rsidRPr="00DA5D56" w:rsidRDefault="00DA5D56" w:rsidP="00DA5D56">
            <w:pPr>
              <w:spacing w:line="360" w:lineRule="auto"/>
              <w:rPr>
                <w:rFonts w:asciiTheme="minorHAnsi" w:hAnsiTheme="minorHAnsi" w:cstheme="minorHAnsi"/>
                <w:i/>
                <w:iCs/>
                <w:sz w:val="22"/>
                <w:szCs w:val="22"/>
              </w:rPr>
            </w:pPr>
            <w:r w:rsidRPr="00DA5D56">
              <w:rPr>
                <w:rFonts w:asciiTheme="minorHAnsi" w:hAnsiTheme="minorHAnsi" w:cstheme="minorHAnsi"/>
                <w:i/>
                <w:iCs/>
                <w:sz w:val="22"/>
                <w:szCs w:val="22"/>
              </w:rPr>
              <w:t>SD of bias</w:t>
            </w:r>
          </w:p>
        </w:tc>
        <w:tc>
          <w:tcPr>
            <w:tcW w:w="2129" w:type="dxa"/>
          </w:tcPr>
          <w:p w14:paraId="76CE5CF6" w14:textId="77777777" w:rsidR="00DA5D56" w:rsidRPr="00DA5D56" w:rsidRDefault="00DA5D56" w:rsidP="00DA5D56">
            <w:pPr>
              <w:spacing w:line="360" w:lineRule="auto"/>
              <w:rPr>
                <w:rFonts w:asciiTheme="minorHAnsi" w:hAnsiTheme="minorHAnsi" w:cstheme="minorHAnsi"/>
                <w:i/>
                <w:iCs/>
                <w:sz w:val="22"/>
                <w:szCs w:val="22"/>
              </w:rPr>
            </w:pPr>
            <w:r w:rsidRPr="00DA5D56">
              <w:rPr>
                <w:rFonts w:asciiTheme="minorHAnsi" w:hAnsiTheme="minorHAnsi" w:cstheme="minorHAnsi"/>
                <w:i/>
                <w:iCs/>
                <w:sz w:val="22"/>
                <w:szCs w:val="22"/>
              </w:rPr>
              <w:t xml:space="preserve">95% Limits of Agreement </w:t>
            </w:r>
          </w:p>
        </w:tc>
      </w:tr>
      <w:tr w:rsidR="00DA5D56" w:rsidRPr="00DA5D56" w14:paraId="6591D893" w14:textId="77777777" w:rsidTr="00256299">
        <w:tc>
          <w:tcPr>
            <w:tcW w:w="2129" w:type="dxa"/>
          </w:tcPr>
          <w:p w14:paraId="2628F895" w14:textId="77777777" w:rsidR="00DA5D56" w:rsidRPr="00DA5D56" w:rsidRDefault="00DA5D56" w:rsidP="00DA5D56">
            <w:pPr>
              <w:spacing w:line="360" w:lineRule="auto"/>
              <w:rPr>
                <w:rFonts w:asciiTheme="minorHAnsi" w:hAnsiTheme="minorHAnsi" w:cstheme="minorHAnsi"/>
                <w:i/>
                <w:iCs/>
                <w:sz w:val="22"/>
                <w:szCs w:val="22"/>
              </w:rPr>
            </w:pPr>
            <w:r w:rsidRPr="00DA5D56">
              <w:rPr>
                <w:rFonts w:asciiTheme="minorHAnsi" w:hAnsiTheme="minorHAnsi" w:cstheme="minorHAnsi"/>
                <w:i/>
                <w:iCs/>
                <w:sz w:val="22"/>
                <w:szCs w:val="22"/>
              </w:rPr>
              <w:t>LThal</w:t>
            </w:r>
          </w:p>
        </w:tc>
        <w:tc>
          <w:tcPr>
            <w:tcW w:w="2129" w:type="dxa"/>
          </w:tcPr>
          <w:p w14:paraId="0CD533EA" w14:textId="77777777" w:rsidR="00DA5D56" w:rsidRPr="00DA5D56" w:rsidRDefault="00DA5D56" w:rsidP="00DA5D56">
            <w:pPr>
              <w:spacing w:line="360" w:lineRule="auto"/>
              <w:rPr>
                <w:rFonts w:asciiTheme="minorHAnsi" w:hAnsiTheme="minorHAnsi" w:cstheme="minorHAnsi"/>
                <w:sz w:val="22"/>
                <w:szCs w:val="22"/>
              </w:rPr>
            </w:pPr>
            <w:r w:rsidRPr="00DA5D56">
              <w:rPr>
                <w:rFonts w:asciiTheme="minorHAnsi" w:hAnsiTheme="minorHAnsi" w:cstheme="minorHAnsi"/>
                <w:sz w:val="22"/>
                <w:szCs w:val="22"/>
              </w:rPr>
              <w:t xml:space="preserve">-0.6240, </w:t>
            </w:r>
          </w:p>
        </w:tc>
        <w:tc>
          <w:tcPr>
            <w:tcW w:w="2129" w:type="dxa"/>
          </w:tcPr>
          <w:p w14:paraId="6A354BEE" w14:textId="77777777" w:rsidR="00DA5D56" w:rsidRPr="00DA5D56" w:rsidRDefault="00DA5D56" w:rsidP="00DA5D56">
            <w:pPr>
              <w:spacing w:line="360" w:lineRule="auto"/>
              <w:rPr>
                <w:rFonts w:asciiTheme="minorHAnsi" w:hAnsiTheme="minorHAnsi" w:cstheme="minorHAnsi"/>
                <w:sz w:val="22"/>
                <w:szCs w:val="22"/>
              </w:rPr>
            </w:pPr>
            <w:r w:rsidRPr="00DA5D56">
              <w:rPr>
                <w:rFonts w:asciiTheme="minorHAnsi" w:hAnsiTheme="minorHAnsi" w:cstheme="minorHAnsi"/>
                <w:sz w:val="22"/>
                <w:szCs w:val="22"/>
              </w:rPr>
              <w:t xml:space="preserve">5.528, </w:t>
            </w:r>
          </w:p>
        </w:tc>
        <w:tc>
          <w:tcPr>
            <w:tcW w:w="2129" w:type="dxa"/>
          </w:tcPr>
          <w:p w14:paraId="19AEE4F2" w14:textId="77777777" w:rsidR="00DA5D56" w:rsidRPr="00DA5D56" w:rsidRDefault="00DA5D56" w:rsidP="00DA5D56">
            <w:pPr>
              <w:spacing w:line="360" w:lineRule="auto"/>
              <w:rPr>
                <w:rFonts w:asciiTheme="minorHAnsi" w:hAnsiTheme="minorHAnsi" w:cstheme="minorHAnsi"/>
                <w:sz w:val="22"/>
                <w:szCs w:val="22"/>
              </w:rPr>
            </w:pPr>
            <w:r w:rsidRPr="00DA5D56">
              <w:rPr>
                <w:rFonts w:asciiTheme="minorHAnsi" w:hAnsiTheme="minorHAnsi" w:cstheme="minorHAnsi"/>
                <w:sz w:val="22"/>
                <w:szCs w:val="22"/>
              </w:rPr>
              <w:t>-11.46 To 10.21</w:t>
            </w:r>
          </w:p>
        </w:tc>
      </w:tr>
      <w:tr w:rsidR="00DA5D56" w:rsidRPr="00DA5D56" w14:paraId="5EF8B01D" w14:textId="77777777" w:rsidTr="00256299">
        <w:trPr>
          <w:cnfStyle w:val="000000100000" w:firstRow="0" w:lastRow="0" w:firstColumn="0" w:lastColumn="0" w:oddVBand="0" w:evenVBand="0" w:oddHBand="1" w:evenHBand="0" w:firstRowFirstColumn="0" w:firstRowLastColumn="0" w:lastRowFirstColumn="0" w:lastRowLastColumn="0"/>
        </w:trPr>
        <w:tc>
          <w:tcPr>
            <w:tcW w:w="2129" w:type="dxa"/>
          </w:tcPr>
          <w:p w14:paraId="272E763E" w14:textId="77777777" w:rsidR="00DA5D56" w:rsidRPr="00DA5D56" w:rsidRDefault="00DA5D56" w:rsidP="00DA5D56">
            <w:pPr>
              <w:spacing w:line="360" w:lineRule="auto"/>
              <w:rPr>
                <w:rFonts w:asciiTheme="minorHAnsi" w:hAnsiTheme="minorHAnsi" w:cstheme="minorHAnsi"/>
                <w:i/>
                <w:iCs/>
                <w:sz w:val="22"/>
                <w:szCs w:val="22"/>
              </w:rPr>
            </w:pPr>
            <w:r w:rsidRPr="00DA5D56">
              <w:rPr>
                <w:rFonts w:asciiTheme="minorHAnsi" w:hAnsiTheme="minorHAnsi" w:cstheme="minorHAnsi"/>
                <w:i/>
                <w:iCs/>
                <w:sz w:val="22"/>
                <w:szCs w:val="22"/>
              </w:rPr>
              <w:t>LINS</w:t>
            </w:r>
          </w:p>
        </w:tc>
        <w:tc>
          <w:tcPr>
            <w:tcW w:w="2129" w:type="dxa"/>
          </w:tcPr>
          <w:p w14:paraId="3C7ADF26" w14:textId="77777777" w:rsidR="00DA5D56" w:rsidRPr="00DA5D56" w:rsidRDefault="00DA5D56" w:rsidP="00DA5D56">
            <w:pPr>
              <w:spacing w:line="360" w:lineRule="auto"/>
              <w:rPr>
                <w:rFonts w:asciiTheme="minorHAnsi" w:hAnsiTheme="minorHAnsi" w:cstheme="minorHAnsi"/>
                <w:sz w:val="22"/>
                <w:szCs w:val="22"/>
              </w:rPr>
            </w:pPr>
            <w:r w:rsidRPr="00DA5D56">
              <w:rPr>
                <w:rFonts w:asciiTheme="minorHAnsi" w:hAnsiTheme="minorHAnsi" w:cstheme="minorHAnsi"/>
                <w:sz w:val="22"/>
                <w:szCs w:val="22"/>
              </w:rPr>
              <w:t xml:space="preserve">4.809 </w:t>
            </w:r>
          </w:p>
        </w:tc>
        <w:tc>
          <w:tcPr>
            <w:tcW w:w="2129" w:type="dxa"/>
          </w:tcPr>
          <w:p w14:paraId="50CF783D" w14:textId="77777777" w:rsidR="00DA5D56" w:rsidRPr="00DA5D56" w:rsidRDefault="00DA5D56" w:rsidP="00DA5D56">
            <w:pPr>
              <w:spacing w:line="360" w:lineRule="auto"/>
              <w:rPr>
                <w:rFonts w:asciiTheme="minorHAnsi" w:hAnsiTheme="minorHAnsi" w:cstheme="minorHAnsi"/>
                <w:sz w:val="22"/>
                <w:szCs w:val="22"/>
              </w:rPr>
            </w:pPr>
            <w:r w:rsidRPr="00DA5D56">
              <w:rPr>
                <w:rFonts w:asciiTheme="minorHAnsi" w:hAnsiTheme="minorHAnsi" w:cstheme="minorHAnsi"/>
                <w:sz w:val="22"/>
                <w:szCs w:val="22"/>
              </w:rPr>
              <w:t xml:space="preserve">5.346 </w:t>
            </w:r>
          </w:p>
        </w:tc>
        <w:tc>
          <w:tcPr>
            <w:tcW w:w="2129" w:type="dxa"/>
          </w:tcPr>
          <w:p w14:paraId="4244A848" w14:textId="77777777" w:rsidR="00DA5D56" w:rsidRPr="00DA5D56" w:rsidRDefault="00DA5D56" w:rsidP="00DA5D56">
            <w:pPr>
              <w:spacing w:line="360" w:lineRule="auto"/>
              <w:rPr>
                <w:rFonts w:asciiTheme="minorHAnsi" w:hAnsiTheme="minorHAnsi" w:cstheme="minorHAnsi"/>
                <w:sz w:val="22"/>
                <w:szCs w:val="22"/>
              </w:rPr>
            </w:pPr>
            <w:r w:rsidRPr="00DA5D56">
              <w:rPr>
                <w:rFonts w:asciiTheme="minorHAnsi" w:hAnsiTheme="minorHAnsi" w:cstheme="minorHAnsi"/>
                <w:sz w:val="22"/>
                <w:szCs w:val="22"/>
              </w:rPr>
              <w:t xml:space="preserve">-5.668 To 15.29 </w:t>
            </w:r>
          </w:p>
        </w:tc>
      </w:tr>
      <w:tr w:rsidR="00DA5D56" w:rsidRPr="00DA5D56" w14:paraId="1C2FB3CE" w14:textId="77777777" w:rsidTr="00256299">
        <w:tc>
          <w:tcPr>
            <w:tcW w:w="2129" w:type="dxa"/>
          </w:tcPr>
          <w:p w14:paraId="05894033" w14:textId="77777777" w:rsidR="00DA5D56" w:rsidRPr="00DA5D56" w:rsidRDefault="00DA5D56" w:rsidP="00DA5D56">
            <w:pPr>
              <w:spacing w:line="360" w:lineRule="auto"/>
              <w:rPr>
                <w:rFonts w:asciiTheme="minorHAnsi" w:hAnsiTheme="minorHAnsi" w:cstheme="minorHAnsi"/>
                <w:i/>
                <w:iCs/>
                <w:sz w:val="22"/>
                <w:szCs w:val="22"/>
              </w:rPr>
            </w:pPr>
            <w:r w:rsidRPr="00DA5D56">
              <w:rPr>
                <w:rFonts w:asciiTheme="minorHAnsi" w:hAnsiTheme="minorHAnsi" w:cstheme="minorHAnsi"/>
                <w:i/>
                <w:iCs/>
                <w:sz w:val="22"/>
                <w:szCs w:val="22"/>
              </w:rPr>
              <w:t>ACC</w:t>
            </w:r>
          </w:p>
        </w:tc>
        <w:tc>
          <w:tcPr>
            <w:tcW w:w="2129" w:type="dxa"/>
          </w:tcPr>
          <w:p w14:paraId="7D709B12" w14:textId="77777777" w:rsidR="00DA5D56" w:rsidRPr="00DA5D56" w:rsidRDefault="00DA5D56" w:rsidP="00DA5D56">
            <w:pPr>
              <w:spacing w:line="360" w:lineRule="auto"/>
              <w:rPr>
                <w:rFonts w:asciiTheme="minorHAnsi" w:hAnsiTheme="minorHAnsi" w:cstheme="minorHAnsi"/>
                <w:sz w:val="22"/>
                <w:szCs w:val="22"/>
              </w:rPr>
            </w:pPr>
            <w:r w:rsidRPr="00DA5D56">
              <w:rPr>
                <w:rFonts w:asciiTheme="minorHAnsi" w:hAnsiTheme="minorHAnsi" w:cstheme="minorHAnsi"/>
                <w:sz w:val="22"/>
                <w:szCs w:val="22"/>
              </w:rPr>
              <w:t xml:space="preserve">-3.109 </w:t>
            </w:r>
          </w:p>
        </w:tc>
        <w:tc>
          <w:tcPr>
            <w:tcW w:w="2129" w:type="dxa"/>
          </w:tcPr>
          <w:p w14:paraId="63FA0ABB" w14:textId="77777777" w:rsidR="00DA5D56" w:rsidRPr="00DA5D56" w:rsidRDefault="00DA5D56" w:rsidP="00DA5D56">
            <w:pPr>
              <w:spacing w:line="360" w:lineRule="auto"/>
              <w:rPr>
                <w:rFonts w:asciiTheme="minorHAnsi" w:hAnsiTheme="minorHAnsi" w:cstheme="minorHAnsi"/>
                <w:sz w:val="22"/>
                <w:szCs w:val="22"/>
              </w:rPr>
            </w:pPr>
            <w:r w:rsidRPr="00DA5D56">
              <w:rPr>
                <w:rFonts w:asciiTheme="minorHAnsi" w:hAnsiTheme="minorHAnsi" w:cstheme="minorHAnsi"/>
                <w:sz w:val="22"/>
                <w:szCs w:val="22"/>
              </w:rPr>
              <w:t xml:space="preserve">7.360 </w:t>
            </w:r>
          </w:p>
        </w:tc>
        <w:tc>
          <w:tcPr>
            <w:tcW w:w="2129" w:type="dxa"/>
          </w:tcPr>
          <w:p w14:paraId="0A7A9841" w14:textId="77777777" w:rsidR="00DA5D56" w:rsidRPr="00DA5D56" w:rsidRDefault="00DA5D56" w:rsidP="00DA5D56">
            <w:pPr>
              <w:spacing w:line="360" w:lineRule="auto"/>
              <w:rPr>
                <w:rFonts w:asciiTheme="minorHAnsi" w:hAnsiTheme="minorHAnsi" w:cstheme="minorHAnsi"/>
                <w:sz w:val="22"/>
                <w:szCs w:val="22"/>
              </w:rPr>
            </w:pPr>
            <w:r w:rsidRPr="00DA5D56">
              <w:rPr>
                <w:rFonts w:asciiTheme="minorHAnsi" w:hAnsiTheme="minorHAnsi" w:cstheme="minorHAnsi"/>
                <w:sz w:val="22"/>
                <w:szCs w:val="22"/>
              </w:rPr>
              <w:t xml:space="preserve">-17.53 To 11.32 </w:t>
            </w:r>
          </w:p>
        </w:tc>
      </w:tr>
      <w:tr w:rsidR="00DA5D56" w:rsidRPr="00DA5D56" w14:paraId="2B69C2EC" w14:textId="77777777" w:rsidTr="00256299">
        <w:trPr>
          <w:cnfStyle w:val="000000100000" w:firstRow="0" w:lastRow="0" w:firstColumn="0" w:lastColumn="0" w:oddVBand="0" w:evenVBand="0" w:oddHBand="1" w:evenHBand="0" w:firstRowFirstColumn="0" w:firstRowLastColumn="0" w:lastRowFirstColumn="0" w:lastRowLastColumn="0"/>
        </w:trPr>
        <w:tc>
          <w:tcPr>
            <w:tcW w:w="2129" w:type="dxa"/>
          </w:tcPr>
          <w:p w14:paraId="6D11B688" w14:textId="77777777" w:rsidR="00DA5D56" w:rsidRPr="00DA5D56" w:rsidRDefault="00DA5D56" w:rsidP="00DA5D56">
            <w:pPr>
              <w:spacing w:line="360" w:lineRule="auto"/>
              <w:rPr>
                <w:rFonts w:asciiTheme="minorHAnsi" w:hAnsiTheme="minorHAnsi" w:cstheme="minorHAnsi"/>
                <w:i/>
                <w:iCs/>
                <w:sz w:val="22"/>
                <w:szCs w:val="22"/>
              </w:rPr>
            </w:pPr>
            <w:r w:rsidRPr="00DA5D56">
              <w:rPr>
                <w:rFonts w:asciiTheme="minorHAnsi" w:hAnsiTheme="minorHAnsi" w:cstheme="minorHAnsi"/>
                <w:i/>
                <w:iCs/>
                <w:sz w:val="22"/>
                <w:szCs w:val="22"/>
              </w:rPr>
              <w:t>POWM</w:t>
            </w:r>
          </w:p>
        </w:tc>
        <w:tc>
          <w:tcPr>
            <w:tcW w:w="2129" w:type="dxa"/>
          </w:tcPr>
          <w:p w14:paraId="5B94714C" w14:textId="77777777" w:rsidR="00DA5D56" w:rsidRPr="00DA5D56" w:rsidRDefault="00DA5D56" w:rsidP="00DA5D56">
            <w:pPr>
              <w:spacing w:line="360" w:lineRule="auto"/>
              <w:rPr>
                <w:rFonts w:asciiTheme="minorHAnsi" w:hAnsiTheme="minorHAnsi" w:cstheme="minorHAnsi"/>
                <w:sz w:val="22"/>
                <w:szCs w:val="22"/>
              </w:rPr>
            </w:pPr>
            <w:r w:rsidRPr="00DA5D56">
              <w:rPr>
                <w:rFonts w:asciiTheme="minorHAnsi" w:hAnsiTheme="minorHAnsi" w:cstheme="minorHAnsi"/>
                <w:sz w:val="22"/>
                <w:szCs w:val="22"/>
              </w:rPr>
              <w:t xml:space="preserve">-1.837 </w:t>
            </w:r>
          </w:p>
        </w:tc>
        <w:tc>
          <w:tcPr>
            <w:tcW w:w="2129" w:type="dxa"/>
          </w:tcPr>
          <w:p w14:paraId="68CB4E0B" w14:textId="77777777" w:rsidR="00DA5D56" w:rsidRPr="00DA5D56" w:rsidRDefault="00DA5D56" w:rsidP="00DA5D56">
            <w:pPr>
              <w:spacing w:line="360" w:lineRule="auto"/>
              <w:rPr>
                <w:rFonts w:asciiTheme="minorHAnsi" w:hAnsiTheme="minorHAnsi" w:cstheme="minorHAnsi"/>
                <w:sz w:val="22"/>
                <w:szCs w:val="22"/>
              </w:rPr>
            </w:pPr>
            <w:r w:rsidRPr="00DA5D56">
              <w:rPr>
                <w:rFonts w:asciiTheme="minorHAnsi" w:hAnsiTheme="minorHAnsi" w:cstheme="minorHAnsi"/>
                <w:sz w:val="22"/>
                <w:szCs w:val="22"/>
              </w:rPr>
              <w:t>3.049</w:t>
            </w:r>
          </w:p>
        </w:tc>
        <w:tc>
          <w:tcPr>
            <w:tcW w:w="2129" w:type="dxa"/>
          </w:tcPr>
          <w:p w14:paraId="5A7DE93E" w14:textId="77777777" w:rsidR="00DA5D56" w:rsidRPr="00DA5D56" w:rsidRDefault="00DA5D56" w:rsidP="00DA5D56">
            <w:pPr>
              <w:spacing w:line="360" w:lineRule="auto"/>
              <w:rPr>
                <w:rFonts w:asciiTheme="minorHAnsi" w:hAnsiTheme="minorHAnsi" w:cstheme="minorHAnsi"/>
                <w:sz w:val="22"/>
                <w:szCs w:val="22"/>
              </w:rPr>
            </w:pPr>
            <w:r w:rsidRPr="00DA5D56">
              <w:rPr>
                <w:rFonts w:asciiTheme="minorHAnsi" w:hAnsiTheme="minorHAnsi" w:cstheme="minorHAnsi"/>
                <w:sz w:val="22"/>
                <w:szCs w:val="22"/>
              </w:rPr>
              <w:t xml:space="preserve">-7.814 To 4.139 </w:t>
            </w:r>
          </w:p>
        </w:tc>
      </w:tr>
      <w:tr w:rsidR="00DA5D56" w:rsidRPr="00DA5D56" w14:paraId="66073225" w14:textId="77777777" w:rsidTr="00256299">
        <w:tc>
          <w:tcPr>
            <w:tcW w:w="2129" w:type="dxa"/>
          </w:tcPr>
          <w:p w14:paraId="13679195" w14:textId="77777777" w:rsidR="00DA5D56" w:rsidRPr="00DA5D56" w:rsidRDefault="00DA5D56" w:rsidP="00DA5D56">
            <w:pPr>
              <w:spacing w:line="360" w:lineRule="auto"/>
              <w:rPr>
                <w:rFonts w:asciiTheme="minorHAnsi" w:hAnsiTheme="minorHAnsi" w:cstheme="minorHAnsi"/>
                <w:i/>
                <w:iCs/>
                <w:sz w:val="22"/>
                <w:szCs w:val="22"/>
              </w:rPr>
            </w:pPr>
            <w:r w:rsidRPr="00DA5D56">
              <w:rPr>
                <w:rFonts w:asciiTheme="minorHAnsi" w:hAnsiTheme="minorHAnsi" w:cstheme="minorHAnsi"/>
                <w:i/>
                <w:iCs/>
                <w:sz w:val="22"/>
                <w:szCs w:val="22"/>
              </w:rPr>
              <w:t>LPSC</w:t>
            </w:r>
          </w:p>
        </w:tc>
        <w:tc>
          <w:tcPr>
            <w:tcW w:w="2129" w:type="dxa"/>
          </w:tcPr>
          <w:p w14:paraId="0748BD4D" w14:textId="77777777" w:rsidR="00DA5D56" w:rsidRPr="00DA5D56" w:rsidRDefault="00DA5D56" w:rsidP="00DA5D56">
            <w:pPr>
              <w:spacing w:line="360" w:lineRule="auto"/>
              <w:rPr>
                <w:rFonts w:asciiTheme="minorHAnsi" w:hAnsiTheme="minorHAnsi" w:cstheme="minorHAnsi"/>
                <w:sz w:val="22"/>
                <w:szCs w:val="22"/>
              </w:rPr>
            </w:pPr>
            <w:r w:rsidRPr="00DA5D56">
              <w:rPr>
                <w:rFonts w:asciiTheme="minorHAnsi" w:hAnsiTheme="minorHAnsi" w:cstheme="minorHAnsi"/>
                <w:sz w:val="22"/>
                <w:szCs w:val="22"/>
              </w:rPr>
              <w:t xml:space="preserve">0.7987 </w:t>
            </w:r>
          </w:p>
        </w:tc>
        <w:tc>
          <w:tcPr>
            <w:tcW w:w="2129" w:type="dxa"/>
          </w:tcPr>
          <w:p w14:paraId="0C92E0FB" w14:textId="77777777" w:rsidR="00DA5D56" w:rsidRPr="00DA5D56" w:rsidRDefault="00DA5D56" w:rsidP="00DA5D56">
            <w:pPr>
              <w:spacing w:line="360" w:lineRule="auto"/>
              <w:rPr>
                <w:rFonts w:asciiTheme="minorHAnsi" w:hAnsiTheme="minorHAnsi" w:cstheme="minorHAnsi"/>
                <w:sz w:val="22"/>
                <w:szCs w:val="22"/>
              </w:rPr>
            </w:pPr>
            <w:r w:rsidRPr="00DA5D56">
              <w:rPr>
                <w:rFonts w:asciiTheme="minorHAnsi" w:hAnsiTheme="minorHAnsi" w:cstheme="minorHAnsi"/>
                <w:sz w:val="22"/>
                <w:szCs w:val="22"/>
              </w:rPr>
              <w:t xml:space="preserve">3.585 </w:t>
            </w:r>
          </w:p>
        </w:tc>
        <w:tc>
          <w:tcPr>
            <w:tcW w:w="2129" w:type="dxa"/>
          </w:tcPr>
          <w:p w14:paraId="79CDC4E3" w14:textId="77777777" w:rsidR="00DA5D56" w:rsidRPr="00DA5D56" w:rsidRDefault="00DA5D56" w:rsidP="00DA5D56">
            <w:pPr>
              <w:spacing w:line="360" w:lineRule="auto"/>
              <w:rPr>
                <w:rFonts w:asciiTheme="minorHAnsi" w:hAnsiTheme="minorHAnsi" w:cstheme="minorHAnsi"/>
                <w:sz w:val="22"/>
                <w:szCs w:val="22"/>
              </w:rPr>
            </w:pPr>
            <w:r w:rsidRPr="00DA5D56">
              <w:rPr>
                <w:rFonts w:asciiTheme="minorHAnsi" w:hAnsiTheme="minorHAnsi" w:cstheme="minorHAnsi"/>
                <w:sz w:val="22"/>
                <w:szCs w:val="22"/>
              </w:rPr>
              <w:t xml:space="preserve">-6.227 To 7.824 </w:t>
            </w:r>
          </w:p>
        </w:tc>
      </w:tr>
    </w:tbl>
    <w:p w14:paraId="3D1BB50B" w14:textId="31B2D01C" w:rsidR="00DA5D56" w:rsidRDefault="00DA5D56" w:rsidP="00DA5D56">
      <w:pPr>
        <w:spacing w:line="360" w:lineRule="auto"/>
        <w:rPr>
          <w:i/>
          <w:color w:val="808080" w:themeColor="text1" w:themeTint="7F"/>
          <w:sz w:val="21"/>
        </w:rPr>
      </w:pPr>
      <w:r w:rsidRPr="00DA5D56">
        <w:rPr>
          <w:i/>
          <w:color w:val="808080" w:themeColor="text1" w:themeTint="7F"/>
          <w:sz w:val="21"/>
        </w:rPr>
        <w:t xml:space="preserve">ROI=region of interest, RBV= regional blood volume, SD=standard deviation, LThal= left thalamus, LINS= left insula, ACC=anterior cingulate gyrus, POWM=parieto-occipital white matter, LPSC= left primary sensory cortex. LPSC has smaller 95% limits of agreement than the other areas. </w:t>
      </w:r>
    </w:p>
    <w:p w14:paraId="33E67F50" w14:textId="77777777" w:rsidR="004A1176" w:rsidRPr="00DA5D56" w:rsidRDefault="004A1176" w:rsidP="00DA5D56">
      <w:pPr>
        <w:spacing w:line="360" w:lineRule="auto"/>
        <w:rPr>
          <w:i/>
          <w:color w:val="808080" w:themeColor="text1" w:themeTint="7F"/>
          <w:sz w:val="21"/>
        </w:rPr>
      </w:pPr>
    </w:p>
    <w:p w14:paraId="1E078DD9" w14:textId="77777777" w:rsidR="004A1176" w:rsidRDefault="004A1176" w:rsidP="004A1176">
      <w:pPr>
        <w:spacing w:line="360" w:lineRule="auto"/>
        <w:rPr>
          <w:rFonts w:cs="Arial"/>
        </w:rPr>
      </w:pPr>
      <w:r w:rsidRPr="00DA5D56">
        <w:rPr>
          <w:rFonts w:cs="Arial"/>
        </w:rPr>
        <w:t xml:space="preserve">The ICC (by “absolute agreement” definition) was 0.443 for the LThal as before, 0.431 for the LINS, 0.432 for the ACC, 0.418 for the POWM and 0.560 for the LPSC (all p&lt;.05).  The primary sensory cortex (LPSC) had the best agreement for the areas </w:t>
      </w:r>
      <w:r w:rsidRPr="00DA5D56">
        <w:rPr>
          <w:rFonts w:cs="Arial"/>
        </w:rPr>
        <w:lastRenderedPageBreak/>
        <w:t xml:space="preserve">between raters (Table 3.3 and Figure 3.16).  Bland-Altman analysis shows that there is a negative bias at higher values (Table 3.3 and figures 3.13 – 3.16). </w:t>
      </w:r>
    </w:p>
    <w:p w14:paraId="212F6141" w14:textId="09F52E8D" w:rsidR="004A1176" w:rsidRPr="00DA5D56" w:rsidRDefault="004A1176" w:rsidP="004A1176">
      <w:pPr>
        <w:spacing w:line="360" w:lineRule="auto"/>
        <w:rPr>
          <w:rFonts w:cs="Arial"/>
        </w:rPr>
      </w:pPr>
      <w:r w:rsidRPr="00DA5D56">
        <w:rPr>
          <w:rFonts w:cs="Arial"/>
        </w:rPr>
        <w:t xml:space="preserve"> </w:t>
      </w:r>
    </w:p>
    <w:p w14:paraId="1298AD4D" w14:textId="30145D7E" w:rsidR="00DA5D56" w:rsidRPr="00DA5D56" w:rsidRDefault="00DA5D56" w:rsidP="004A1176">
      <w:pPr>
        <w:pStyle w:val="Subtitle"/>
      </w:pPr>
      <w:bookmarkStart w:id="283" w:name="_Toc45038115"/>
      <w:bookmarkStart w:id="284" w:name="_Toc49765513"/>
      <w:bookmarkStart w:id="285" w:name="_Toc64724192"/>
      <w:r w:rsidRPr="00DA5D56">
        <w:t>Figure 3.13  Bland-Altman Difference vs Average Plot; comparing Rater 1 and Rater 2 for Regional Blood Volume at the Left Insula on visit 2.</w:t>
      </w:r>
      <w:bookmarkEnd w:id="283"/>
      <w:bookmarkEnd w:id="284"/>
      <w:bookmarkEnd w:id="285"/>
      <w:r w:rsidRPr="00DA5D56">
        <w:t xml:space="preserve"> </w:t>
      </w:r>
    </w:p>
    <w:p w14:paraId="74252252" w14:textId="77777777" w:rsidR="00DA5D56" w:rsidRPr="00DA5D56" w:rsidRDefault="00DA5D56" w:rsidP="00DA5D56">
      <w:pPr>
        <w:rPr>
          <w:lang w:eastAsia="en-GB"/>
        </w:rPr>
      </w:pPr>
      <w:r w:rsidRPr="00DA5D56">
        <w:rPr>
          <w:noProof/>
          <w:lang w:eastAsia="en-GB"/>
        </w:rPr>
        <w:drawing>
          <wp:inline distT="0" distB="0" distL="0" distR="0" wp14:anchorId="311A9251" wp14:editId="0F857B2E">
            <wp:extent cx="3587115" cy="1966595"/>
            <wp:effectExtent l="12700" t="12700" r="6985" b="1460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660824" cy="2007005"/>
                    </a:xfrm>
                    <a:prstGeom prst="rect">
                      <a:avLst/>
                    </a:prstGeom>
                    <a:ln>
                      <a:solidFill>
                        <a:srgbClr val="000000"/>
                      </a:solidFill>
                    </a:ln>
                  </pic:spPr>
                </pic:pic>
              </a:graphicData>
            </a:graphic>
          </wp:inline>
        </w:drawing>
      </w:r>
    </w:p>
    <w:p w14:paraId="4FA29D66" w14:textId="77777777" w:rsidR="00DA5D56" w:rsidRPr="00DA5D56" w:rsidRDefault="00DA5D56" w:rsidP="00DA5D56">
      <w:pPr>
        <w:spacing w:line="360" w:lineRule="auto"/>
        <w:rPr>
          <w:rFonts w:cs="Arial"/>
        </w:rPr>
      </w:pPr>
    </w:p>
    <w:p w14:paraId="2C7D2467" w14:textId="5184F5BF" w:rsidR="00DA5D56" w:rsidRPr="00DA5D56" w:rsidRDefault="00DA5D56" w:rsidP="004A1176">
      <w:pPr>
        <w:pStyle w:val="Subtitle"/>
      </w:pPr>
      <w:bookmarkStart w:id="286" w:name="_Toc45038116"/>
      <w:bookmarkStart w:id="287" w:name="_Toc49765514"/>
      <w:bookmarkStart w:id="288" w:name="_Toc64724193"/>
      <w:r w:rsidRPr="00DA5D56">
        <w:t>Figure 3.14  Bland-Altman Difference vs Average Plot; comparing Rater 1 and Rater 2 for Regional Blood Volume at the ACC on visit 2.</w:t>
      </w:r>
      <w:bookmarkEnd w:id="286"/>
      <w:bookmarkEnd w:id="287"/>
      <w:bookmarkEnd w:id="288"/>
      <w:r w:rsidRPr="00DA5D56">
        <w:t xml:space="preserve"> </w:t>
      </w:r>
    </w:p>
    <w:p w14:paraId="52DDB79C" w14:textId="77777777" w:rsidR="00DA5D56" w:rsidRPr="00DA5D56" w:rsidRDefault="00DA5D56" w:rsidP="00DA5D56">
      <w:pPr>
        <w:rPr>
          <w:lang w:eastAsia="en-GB"/>
        </w:rPr>
      </w:pPr>
      <w:r w:rsidRPr="00DA5D56">
        <w:rPr>
          <w:noProof/>
          <w:lang w:eastAsia="en-GB"/>
        </w:rPr>
        <w:drawing>
          <wp:inline distT="0" distB="0" distL="0" distR="0" wp14:anchorId="3F37D1B7" wp14:editId="72217E3F">
            <wp:extent cx="3587115" cy="1892806"/>
            <wp:effectExtent l="12700" t="12700" r="6985" b="1270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630595" cy="1915749"/>
                    </a:xfrm>
                    <a:prstGeom prst="rect">
                      <a:avLst/>
                    </a:prstGeom>
                    <a:ln>
                      <a:solidFill>
                        <a:srgbClr val="000000"/>
                      </a:solidFill>
                    </a:ln>
                  </pic:spPr>
                </pic:pic>
              </a:graphicData>
            </a:graphic>
          </wp:inline>
        </w:drawing>
      </w:r>
    </w:p>
    <w:p w14:paraId="1ED9AACC" w14:textId="77777777" w:rsidR="00DA5D56" w:rsidRPr="00DA5D56" w:rsidRDefault="00DA5D56" w:rsidP="00DA5D56">
      <w:pPr>
        <w:spacing w:line="360" w:lineRule="auto"/>
        <w:rPr>
          <w:rFonts w:cs="Arial"/>
        </w:rPr>
      </w:pPr>
    </w:p>
    <w:p w14:paraId="2C2DA15E" w14:textId="22D98145" w:rsidR="00DA5D56" w:rsidRPr="00DA5D56" w:rsidRDefault="00DA5D56" w:rsidP="004A1176">
      <w:pPr>
        <w:pStyle w:val="Subtitle"/>
      </w:pPr>
      <w:bookmarkStart w:id="289" w:name="_Toc45038117"/>
      <w:bookmarkStart w:id="290" w:name="_Toc49765515"/>
      <w:bookmarkStart w:id="291" w:name="_Toc64724194"/>
      <w:r w:rsidRPr="00DA5D56">
        <w:t>Figure 3.15  Bland-Altman Difference vs Average Plot; comparing Rater 1 and Rater 2 for Regional Blood Volume at the Parieto-Occipital White matter on visit 2.</w:t>
      </w:r>
      <w:bookmarkEnd w:id="289"/>
      <w:bookmarkEnd w:id="290"/>
      <w:bookmarkEnd w:id="291"/>
    </w:p>
    <w:p w14:paraId="6D945229" w14:textId="77777777" w:rsidR="00DA5D56" w:rsidRPr="00DA5D56" w:rsidRDefault="00DA5D56" w:rsidP="00DA5D56">
      <w:pPr>
        <w:rPr>
          <w:lang w:eastAsia="en-GB"/>
        </w:rPr>
      </w:pPr>
      <w:r w:rsidRPr="00DA5D56">
        <w:rPr>
          <w:noProof/>
          <w:lang w:eastAsia="en-GB"/>
        </w:rPr>
        <w:drawing>
          <wp:inline distT="0" distB="0" distL="0" distR="0" wp14:anchorId="3B3E76F4" wp14:editId="66663286">
            <wp:extent cx="3587238" cy="1921847"/>
            <wp:effectExtent l="12700" t="12700" r="6985" b="88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637691" cy="1948877"/>
                    </a:xfrm>
                    <a:prstGeom prst="rect">
                      <a:avLst/>
                    </a:prstGeom>
                    <a:ln>
                      <a:solidFill>
                        <a:srgbClr val="000000"/>
                      </a:solidFill>
                    </a:ln>
                  </pic:spPr>
                </pic:pic>
              </a:graphicData>
            </a:graphic>
          </wp:inline>
        </w:drawing>
      </w:r>
    </w:p>
    <w:p w14:paraId="7F1FD3A8" w14:textId="5808B2FB" w:rsidR="00DA5D56" w:rsidRPr="00DA5D56" w:rsidRDefault="00DA5D56" w:rsidP="004A1176">
      <w:pPr>
        <w:pStyle w:val="Subtitle"/>
      </w:pPr>
      <w:bookmarkStart w:id="292" w:name="_Toc45038118"/>
      <w:bookmarkStart w:id="293" w:name="_Toc49765516"/>
      <w:bookmarkStart w:id="294" w:name="_Toc64724195"/>
      <w:r w:rsidRPr="00DA5D56">
        <w:lastRenderedPageBreak/>
        <w:t>Figure 3.16  Bland-Altman Difference vs Average Plot; comparing Rater 1 and Rater 2 for Regional Blood Volume at the LPSC on visit 2.</w:t>
      </w:r>
      <w:bookmarkEnd w:id="292"/>
      <w:bookmarkEnd w:id="293"/>
      <w:bookmarkEnd w:id="294"/>
    </w:p>
    <w:p w14:paraId="0307DC08" w14:textId="77777777" w:rsidR="00DA5D56" w:rsidRPr="00DA5D56" w:rsidRDefault="00DA5D56" w:rsidP="00DA5D56">
      <w:pPr>
        <w:rPr>
          <w:lang w:eastAsia="en-GB"/>
        </w:rPr>
      </w:pPr>
      <w:r w:rsidRPr="00DA5D56">
        <w:rPr>
          <w:noProof/>
          <w:lang w:eastAsia="en-GB"/>
        </w:rPr>
        <w:drawing>
          <wp:inline distT="0" distB="0" distL="0" distR="0" wp14:anchorId="79AD2E3F" wp14:editId="03D4127D">
            <wp:extent cx="3663561" cy="2270325"/>
            <wp:effectExtent l="12700" t="12700" r="6985" b="158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713462" cy="2301249"/>
                    </a:xfrm>
                    <a:prstGeom prst="rect">
                      <a:avLst/>
                    </a:prstGeom>
                    <a:ln>
                      <a:solidFill>
                        <a:srgbClr val="000000"/>
                      </a:solidFill>
                    </a:ln>
                  </pic:spPr>
                </pic:pic>
              </a:graphicData>
            </a:graphic>
          </wp:inline>
        </w:drawing>
      </w:r>
    </w:p>
    <w:p w14:paraId="5F90C618" w14:textId="77777777" w:rsidR="00DA5D56" w:rsidRPr="00DA5D56" w:rsidRDefault="00DA5D56" w:rsidP="00DA5D56">
      <w:pPr>
        <w:rPr>
          <w:lang w:eastAsia="en-GB"/>
        </w:rPr>
      </w:pPr>
    </w:p>
    <w:p w14:paraId="500C607C" w14:textId="77777777" w:rsidR="00DA5D56" w:rsidRPr="00DA5D56" w:rsidRDefault="00DA5D56" w:rsidP="00DA5D56">
      <w:pPr>
        <w:spacing w:line="360" w:lineRule="auto"/>
        <w:rPr>
          <w:rFonts w:cs="Arial"/>
        </w:rPr>
      </w:pPr>
      <w:r w:rsidRPr="00DA5D56">
        <w:rPr>
          <w:rFonts w:cs="Arial"/>
        </w:rPr>
        <w:t xml:space="preserve">In summary, our results indicate that TTP has the best inter-rater reliability of the perfusion measures although MTT and RBF are good, and RBV is acceptable.  The arterial input function has acceptable inter-rater reliability. The left primary sensory cortex has the best inter-rater reliability of all the areas that were compared.  </w:t>
      </w:r>
    </w:p>
    <w:p w14:paraId="05DE56C2" w14:textId="77777777" w:rsidR="00DA5D56" w:rsidRPr="00DA5D56" w:rsidRDefault="00DA5D56" w:rsidP="00DA5D56">
      <w:pPr>
        <w:spacing w:line="360" w:lineRule="auto"/>
        <w:rPr>
          <w:rFonts w:cs="Arial"/>
        </w:rPr>
      </w:pPr>
      <w:r w:rsidRPr="00DA5D56">
        <w:rPr>
          <w:rFonts w:cs="Arial"/>
        </w:rPr>
        <w:t>Therefore, TTP in the sensory cortex is the most stable measurement with the narrowest confidence intervals.</w:t>
      </w:r>
    </w:p>
    <w:p w14:paraId="3DB2FE8F" w14:textId="72AA0162" w:rsidR="00DA5D56" w:rsidRPr="00DA5D56" w:rsidRDefault="00DA5D56" w:rsidP="004A1176">
      <w:pPr>
        <w:pStyle w:val="Heading2"/>
      </w:pPr>
      <w:bookmarkStart w:id="295" w:name="_Toc46213532"/>
      <w:bookmarkStart w:id="296" w:name="_Toc49766051"/>
      <w:bookmarkStart w:id="297" w:name="_Toc64723927"/>
      <w:r w:rsidRPr="00DA5D56">
        <w:t>Discussion</w:t>
      </w:r>
      <w:bookmarkEnd w:id="295"/>
      <w:bookmarkEnd w:id="296"/>
      <w:bookmarkEnd w:id="297"/>
    </w:p>
    <w:p w14:paraId="16DC82A0" w14:textId="3719F528" w:rsidR="00DA5D56" w:rsidRPr="00DA5D56" w:rsidRDefault="00DA5D56" w:rsidP="00DA5D56">
      <w:pPr>
        <w:spacing w:line="360" w:lineRule="auto"/>
        <w:rPr>
          <w:rFonts w:cs="Arial"/>
        </w:rPr>
      </w:pPr>
      <w:r w:rsidRPr="00DA5D56">
        <w:rPr>
          <w:rFonts w:cs="Arial"/>
        </w:rPr>
        <w:t xml:space="preserve">Dynamic susceptibility contrast is used in the clinical field widely under two conditions. It is useful </w:t>
      </w:r>
      <w:r w:rsidR="00B145C8">
        <w:rPr>
          <w:rFonts w:cs="Arial"/>
        </w:rPr>
        <w:t>if there is an altered</w:t>
      </w:r>
      <w:r w:rsidRPr="00DA5D56">
        <w:rPr>
          <w:rFonts w:cs="Arial"/>
        </w:rPr>
        <w:t xml:space="preserve"> perfusion </w:t>
      </w:r>
      <w:r w:rsidR="00B145C8">
        <w:rPr>
          <w:rFonts w:cs="Arial"/>
        </w:rPr>
        <w:t xml:space="preserve">due to </w:t>
      </w:r>
      <w:r w:rsidRPr="00DA5D56">
        <w:rPr>
          <w:rFonts w:cs="Arial"/>
        </w:rPr>
        <w:t>angiogenesis secondary to tumour formation in the CNS, or in stroke medicine where there is infarction or areas of pathologically decreased perfusion.  The maps produced for RBV,</w:t>
      </w:r>
      <w:r w:rsidR="002365A2">
        <w:rPr>
          <w:rFonts w:cs="Arial"/>
        </w:rPr>
        <w:t xml:space="preserve"> </w:t>
      </w:r>
      <w:r w:rsidRPr="00DA5D56">
        <w:rPr>
          <w:rFonts w:cs="Arial"/>
        </w:rPr>
        <w:t xml:space="preserve">RBF, MTT and TTP can be visually inspected and compared to other areas in the same brain </w:t>
      </w:r>
      <w:r w:rsidRPr="00DA5D56">
        <w:rPr>
          <w:rFonts w:cs="Arial"/>
        </w:rPr>
        <w:fldChar w:fldCharType="begin"/>
      </w:r>
      <w:r w:rsidRPr="00DA5D56">
        <w:rPr>
          <w:rFonts w:cs="Arial"/>
        </w:rPr>
        <w:instrText xml:space="preserve"> ADDIN EN.CITE &lt;EndNote&gt;&lt;Cite&gt;&lt;Author&gt;Medina&lt;/Author&gt;&lt;Year&gt;2014&lt;/Year&gt;&lt;IDText&gt;Dynamic Susceptibility Contrast-Enhanced MRI Perfusion: Basic Principles and Clinical Applications&lt;/IDText&gt;&lt;DisplayText&gt;(Medina et al., 2014)&lt;/DisplayText&gt;&lt;record&gt;&lt;urls&gt;&lt;related-urls&gt;&lt;url&gt;&amp;lt;Go to ISI&amp;gt;://WOS:000362331100019&lt;/url&gt;&lt;/related-urls&gt;&lt;/urls&gt;&lt;titles&gt;&lt;title&gt;Dynamic Susceptibility Contrast-Enhanced MRI Perfusion: Basic Principles and Clinical Applications&lt;/title&gt;&lt;secondary-title&gt;Vascular Imaging of the Central Nervous System: Physical Principles, Clinical Applications, and Emerging Techniques&lt;/secondary-title&gt;&lt;/titles&gt;&lt;pages&gt;275-293&lt;/pages&gt;&lt;contributors&gt;&lt;authors&gt;&lt;author&gt;Medina, F. J.&lt;/author&gt;&lt;author&gt;Castillo, M.&lt;/author&gt;&lt;author&gt;Marquez, J. C.&lt;/author&gt;&lt;/authors&gt;&lt;/contributors&gt;&lt;added-date format="utc"&gt;1511346730&lt;/added-date&gt;&lt;ref-type name="Journal Article"&gt;17&lt;/ref-type&gt;&lt;dates&gt;&lt;year&gt;2014&lt;/year&gt;&lt;/dates&gt;&lt;rec-number&gt;897&lt;/rec-number&gt;&lt;last-updated-date format="utc"&gt;1511346730&lt;/last-updated-date&gt;&lt;accession-num&gt;WOS:000362331100019&lt;/accession-num&gt;&lt;/record&gt;&lt;/Cite&gt;&lt;/EndNote&gt;</w:instrText>
      </w:r>
      <w:r w:rsidRPr="00DA5D56">
        <w:rPr>
          <w:rFonts w:cs="Arial"/>
        </w:rPr>
        <w:fldChar w:fldCharType="separate"/>
      </w:r>
      <w:r w:rsidRPr="00DA5D56">
        <w:rPr>
          <w:rFonts w:cs="Arial"/>
          <w:noProof/>
        </w:rPr>
        <w:t>(Medina et al., 2014)</w:t>
      </w:r>
      <w:r w:rsidRPr="00DA5D56">
        <w:rPr>
          <w:rFonts w:cs="Arial"/>
        </w:rPr>
        <w:fldChar w:fldCharType="end"/>
      </w:r>
      <w:r w:rsidRPr="00DA5D56">
        <w:rPr>
          <w:rFonts w:cs="Arial"/>
        </w:rPr>
        <w:t xml:space="preserve">.  The challenge in this study was not to visually compare but to use quantification of perfusion parameters to compare regions of interest and subjects.  We hypothesised that there may be subtle perfusion differences that could represent a biomarker for P-DPN.  Reproducibility information is important to validate DSC-MRI which is an established technique in a novel context.  The results from the reproducibility experiment highlight some of the known difficulties with quantification of perfusion in the brain using DSC MRI.  </w:t>
      </w:r>
    </w:p>
    <w:p w14:paraId="248C0354" w14:textId="77777777" w:rsidR="00DA5D56" w:rsidRPr="00DA5D56" w:rsidRDefault="00DA5D56" w:rsidP="00DA5D56">
      <w:pPr>
        <w:spacing w:line="360" w:lineRule="auto"/>
      </w:pPr>
      <w:r w:rsidRPr="00DA5D56">
        <w:t xml:space="preserve">Repeatability measurements stratified by regions of interest for DSC-MRI quantification, </w:t>
      </w:r>
      <w:r w:rsidRPr="00DA5D56">
        <w:rPr>
          <w:rFonts w:cs="Arial"/>
        </w:rPr>
        <w:t>have</w:t>
      </w:r>
      <w:r w:rsidRPr="00DA5D56">
        <w:t xml:space="preserve"> not previously been published to our knowledge.  There was no significant difference in interrater reliability between the regions by rater, although the repeatability </w:t>
      </w:r>
      <w:r w:rsidRPr="00DA5D56">
        <w:lastRenderedPageBreak/>
        <w:t xml:space="preserve">was slightly higher in the LPSC.  This indicates that post processing methods other than drawing the region of interest are likely to affect the repeatability, and these differences are distributed across the regions.  We have established that the regions of interest are not drivers of variance in repeatability.  </w:t>
      </w:r>
    </w:p>
    <w:p w14:paraId="2A6860C5" w14:textId="77777777" w:rsidR="00DA5D56" w:rsidRPr="00DA5D56" w:rsidRDefault="00DA5D56" w:rsidP="00DA5D56">
      <w:pPr>
        <w:spacing w:line="360" w:lineRule="auto"/>
        <w:rPr>
          <w:rFonts w:cs="Arial"/>
        </w:rPr>
      </w:pPr>
      <w:r w:rsidRPr="00DA5D56">
        <w:rPr>
          <w:rFonts w:cs="Arial"/>
        </w:rPr>
        <w:t xml:space="preserve">Time to peak was the most reproducible variable in this study.  The Bland-Altman plots show approximately 10% variability for the difference vs average between the two raters, and an ICC of 0.837.  TTP does not need de-convolution with the AIF therefore there is less variability.  Variability can be introduced by differences in the values generated by the k-cluster algorithms that automatically generate the AIF in </w:t>
      </w:r>
      <w:proofErr w:type="spellStart"/>
      <w:r w:rsidRPr="00DA5D56">
        <w:rPr>
          <w:rFonts w:cs="Arial"/>
        </w:rPr>
        <w:t>NordicICE</w:t>
      </w:r>
      <w:proofErr w:type="spellEnd"/>
      <w:r w:rsidRPr="00DA5D56">
        <w:rPr>
          <w:rFonts w:cs="Arial"/>
        </w:rPr>
        <w:t xml:space="preserve"> or other automatic or semiautomatic AIF generating software </w:t>
      </w:r>
      <w:r w:rsidRPr="00DA5D56">
        <w:rPr>
          <w:rFonts w:cs="Arial"/>
        </w:rPr>
        <w:fldChar w:fldCharType="begin">
          <w:fldData xml:space="preserve">PEVuZE5vdGU+PENpdGU+PEF1dGhvcj5Nb3VyaWRzZW48L0F1dGhvcj48WWVhcj4yMDA2PC9ZZWFy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=
</w:fldData>
        </w:fldChar>
      </w:r>
      <w:r w:rsidRPr="00DA5D56">
        <w:rPr>
          <w:rFonts w:cs="Arial"/>
        </w:rPr>
        <w:instrText xml:space="preserve"> ADDIN EN.CITE </w:instrText>
      </w:r>
      <w:r w:rsidRPr="00DA5D56">
        <w:rPr>
          <w:rFonts w:cs="Arial"/>
        </w:rPr>
        <w:fldChar w:fldCharType="begin">
          <w:fldData xml:space="preserve">PEVuZE5vdGU+PENpdGU+PEF1dGhvcj5Nb3VyaWRzZW48L0F1dGhvcj48WWVhcj4yMDA2PC9ZZWFy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=
</w:fldData>
        </w:fldChar>
      </w:r>
      <w:r w:rsidRPr="00DA5D56">
        <w:rPr>
          <w:rFonts w:cs="Arial"/>
        </w:rPr>
        <w:instrText xml:space="preserve"> ADDIN EN.CITE.DATA </w:instrText>
      </w:r>
      <w:r w:rsidRPr="00DA5D56">
        <w:rPr>
          <w:rFonts w:cs="Arial"/>
        </w:rPr>
      </w:r>
      <w:r w:rsidRPr="00DA5D56">
        <w:rPr>
          <w:rFonts w:cs="Arial"/>
        </w:rPr>
        <w:fldChar w:fldCharType="end"/>
      </w:r>
      <w:r w:rsidRPr="00DA5D56">
        <w:rPr>
          <w:rFonts w:cs="Arial"/>
        </w:rPr>
      </w:r>
      <w:r w:rsidRPr="00DA5D56">
        <w:rPr>
          <w:rFonts w:cs="Arial"/>
        </w:rPr>
        <w:fldChar w:fldCharType="separate"/>
      </w:r>
      <w:r w:rsidRPr="00DA5D56">
        <w:rPr>
          <w:rFonts w:cs="Arial"/>
          <w:noProof/>
        </w:rPr>
        <w:t>(Mouridsen et al., 2006, Yin et al., 2014, Yin et al., 2015)</w:t>
      </w:r>
      <w:r w:rsidRPr="00DA5D56">
        <w:rPr>
          <w:rFonts w:cs="Arial"/>
        </w:rPr>
        <w:fldChar w:fldCharType="end"/>
      </w:r>
      <w:r w:rsidRPr="00DA5D56">
        <w:rPr>
          <w:rFonts w:cs="Arial"/>
        </w:rPr>
        <w:t xml:space="preserve">.  Our findings for TTP reproducibility are corroborated by findings in the literature.  A reproducibility study using DSC-MRI and 2D freehand ROI of gliomas, reported an ICC of 0.974 for TTP measurement between raters </w:t>
      </w:r>
      <w:r w:rsidRPr="00DA5D56">
        <w:rPr>
          <w:rFonts w:cs="Arial"/>
        </w:rPr>
        <w:fldChar w:fldCharType="begin"/>
      </w:r>
      <w:r w:rsidRPr="00DA5D56">
        <w:rPr>
          <w:rFonts w:cs="Arial"/>
        </w:rPr>
        <w:instrText xml:space="preserve"> ADDIN EN.CITE &lt;EndNote&gt;&lt;Cite&gt;&lt;Author&gt;Dijkstra&lt;/Author&gt;&lt;Year&gt;2020&lt;/Year&gt;&lt;IDText&gt;Inter-observer reproducibility of quantitative dynamic susceptibility contrast and diffusion MRI parameters in histogram analysis of gliomas&lt;/IDText&gt;&lt;DisplayText&gt;(Dijkstra et al., 2020)&lt;/DisplayText&gt;&lt;record&gt;&lt;dates&gt;&lt;pub-dates&gt;&lt;date&gt;Jan&lt;/date&gt;&lt;/pub-dates&gt;&lt;year&gt;2020&lt;/year&gt;&lt;/dates&gt;&lt;urls&gt;&lt;related-urls&gt;&lt;url&gt;&amp;lt;Go to ISI&amp;gt;://WOS:000504598500009&lt;/url&gt;&lt;/related-urls&gt;&lt;/urls&gt;&lt;isbn&gt;0284-1851&lt;/isbn&gt;&lt;titles&gt;&lt;title&gt;Inter-observer reproducibility of quantitative dynamic susceptibility contrast and diffusion MRI parameters in histogram analysis of gliomas&lt;/title&gt;&lt;secondary-title&gt;Acta Radiologica&lt;/secondary-title&gt;&lt;/titles&gt;&lt;pages&gt;76-84&lt;/pages&gt;&lt;number&gt;1&lt;/number&gt;&lt;contributors&gt;&lt;authors&gt;&lt;author&gt;Dijkstra, H.&lt;/author&gt;&lt;author&gt;Sijens, P. E.&lt;/author&gt;&lt;author&gt;van der Hoorn, A.&lt;/author&gt;&lt;author&gt;van Laar, P. J.&lt;/author&gt;&lt;/authors&gt;&lt;/contributors&gt;&lt;added-date format="utc"&gt;1590763600&lt;/added-date&gt;&lt;ref-type name="Journal Article"&gt;17&lt;/ref-type&gt;&lt;rec-number&gt;1257&lt;/rec-number&gt;&lt;last-updated-date format="utc"&gt;1590763600&lt;/last-updated-date&gt;&lt;accession-num&gt;WOS:000504598500009&lt;/accession-num&gt;&lt;electronic-resource-num&gt;10.1177/0284185119852729&lt;/electronic-resource-num&gt;&lt;volume&gt;61&lt;/volume&gt;&lt;/record&gt;&lt;/Cite&gt;&lt;/EndNote&gt;</w:instrText>
      </w:r>
      <w:r w:rsidRPr="00DA5D56">
        <w:rPr>
          <w:rFonts w:cs="Arial"/>
        </w:rPr>
        <w:fldChar w:fldCharType="separate"/>
      </w:r>
      <w:r w:rsidRPr="00DA5D56">
        <w:rPr>
          <w:rFonts w:cs="Arial"/>
          <w:noProof/>
        </w:rPr>
        <w:t>(Dijkstra et al., 2020)</w:t>
      </w:r>
      <w:r w:rsidRPr="00DA5D56">
        <w:rPr>
          <w:rFonts w:cs="Arial"/>
        </w:rPr>
        <w:fldChar w:fldCharType="end"/>
      </w:r>
      <w:r w:rsidRPr="00DA5D56">
        <w:rPr>
          <w:rFonts w:cs="Arial"/>
        </w:rPr>
        <w:t xml:space="preserve">.  TTP has been reported to be clinically useful in acute stroke due to its reproducibility </w:t>
      </w:r>
      <w:r w:rsidRPr="00DA5D56">
        <w:rPr>
          <w:rFonts w:cs="Arial"/>
        </w:rPr>
        <w:fldChar w:fldCharType="begin"/>
      </w:r>
      <w:r w:rsidRPr="00DA5D56">
        <w:rPr>
          <w:rFonts w:cs="Arial"/>
        </w:rPr>
        <w:instrText xml:space="preserve"> ADDIN EN.CITE &lt;EndNote&gt;&lt;Cite&gt;&lt;Author&gt;Copen&lt;/Author&gt;&lt;Year&gt;2011&lt;/Year&gt;&lt;IDText&gt;MR perfusion imaging in acute ischemic stroke&lt;/IDText&gt;&lt;DisplayText&gt;(Copen et al., 2011)&lt;/DisplayText&gt;&lt;record&gt;&lt;dates&gt;&lt;pub-dates&gt;&lt;date&gt;May&lt;/date&gt;&lt;/pub-dates&gt;&lt;year&gt;2011&lt;/year&gt;&lt;/dates&gt;&lt;keywords&gt;&lt;keyword&gt;Brain Ischemia&lt;/keyword&gt;&lt;keyword&gt;Cerebral Angiography&lt;/keyword&gt;&lt;keyword&gt;Humans&lt;/keyword&gt;&lt;keyword&gt;Magnetic Resonance Angiography&lt;/keyword&gt;&lt;keyword&gt;Stroke&lt;/keyword&gt;&lt;/keywords&gt;&lt;urls&gt;&lt;related-urls&gt;&lt;url&gt;https://www.ncbi.nlm.nih.gov/pubmed/21640299&lt;/url&gt;&lt;/related-urls&gt;&lt;/urls&gt;&lt;isbn&gt;1557-9867&lt;/isbn&gt;&lt;custom2&gt;PMC3135980&lt;/custom2&gt;&lt;titles&gt;&lt;title&gt;MR perfusion imaging in acute ischemic stroke&lt;/title&gt;&lt;secondary-title&gt;Neuroimaging Clin N Am&lt;/secondary-title&gt;&lt;/titles&gt;&lt;pages&gt;259-83, x&lt;/pages&gt;&lt;number&gt;2&lt;/number&gt;&lt;contributors&gt;&lt;authors&gt;&lt;author&gt;Copen, W. A.&lt;/author&gt;&lt;author&gt;Schaefer, P. W.&lt;/author&gt;&lt;author&gt;Wu, O.&lt;/author&gt;&lt;/authors&gt;&lt;/contributors&gt;&lt;language&gt;eng&lt;/language&gt;&lt;added-date format="utc"&gt;1501260264&lt;/added-date&gt;&lt;ref-type name="Journal Article"&gt;17&lt;/ref-type&gt;&lt;rec-number&gt;883&lt;/rec-number&gt;&lt;last-updated-date format="utc"&gt;1501260264&lt;/last-updated-date&gt;&lt;accession-num&gt;21640299&lt;/accession-num&gt;&lt;electronic-resource-num&gt;10.1016/j.nic.2011.02.007&lt;/electronic-resource-num&gt;&lt;volume&gt;21&lt;/volume&gt;&lt;/record&gt;&lt;/Cite&gt;&lt;/EndNote&gt;</w:instrText>
      </w:r>
      <w:r w:rsidRPr="00DA5D56">
        <w:rPr>
          <w:rFonts w:cs="Arial"/>
        </w:rPr>
        <w:fldChar w:fldCharType="separate"/>
      </w:r>
      <w:r w:rsidRPr="00DA5D56">
        <w:rPr>
          <w:rFonts w:cs="Arial"/>
          <w:noProof/>
        </w:rPr>
        <w:t>(Copen et al., 2011)</w:t>
      </w:r>
      <w:r w:rsidRPr="00DA5D56">
        <w:rPr>
          <w:rFonts w:cs="Arial"/>
        </w:rPr>
        <w:fldChar w:fldCharType="end"/>
      </w:r>
      <w:r w:rsidRPr="00DA5D56">
        <w:rPr>
          <w:rFonts w:cs="Arial"/>
        </w:rPr>
        <w:t xml:space="preserve">.  Despite the excellent reproducibility, interpretation of TTP requires an account of peripheral perfusion factors as well as central factors </w:t>
      </w:r>
      <w:r w:rsidRPr="00DA5D56">
        <w:rPr>
          <w:rFonts w:cs="Arial"/>
        </w:rPr>
        <w:fldChar w:fldCharType="begin"/>
      </w:r>
      <w:r w:rsidRPr="00DA5D56">
        <w:rPr>
          <w:rFonts w:cs="Arial"/>
        </w:rPr>
        <w:instrText xml:space="preserve"> ADDIN EN.CITE &lt;EndNote&gt;&lt;Cite&gt;&lt;Author&gt;Perthen&lt;/Author&gt;&lt;Year&gt;2002&lt;/Year&gt;&lt;IDText&gt;Is quantification of bolus tracking MRI reliable without deconvolution?&lt;/IDText&gt;&lt;DisplayText&gt;(Perthen et al., 2002)&lt;/DisplayText&gt;&lt;record&gt;&lt;keywords&gt;&lt;keyword&gt;Perfusion&lt;/keyword&gt;&lt;keyword&gt;Cerebral Blood Flow&lt;/keyword&gt;&lt;keyword&gt;Arterial Input Function&lt;/keyword&gt;&lt;keyword&gt;Numerical Simulations&lt;/keyword&gt;&lt;keyword&gt;Deconvolution&lt;/keyword&gt;&lt;/keywords&gt;&lt;isbn&gt;0740-3194&lt;/isbn&gt;&lt;titles&gt;&lt;title&gt;Is quantification of bolus tracking MRI reliable without deconvolution?&lt;/title&gt;&lt;secondary-title&gt;Magnetic Resonance in Medicine&lt;/secondary-title&gt;&lt;/titles&gt;&lt;pages&gt;61-67&lt;/pages&gt;&lt;number&gt;1&lt;/number&gt;&lt;contributors&gt;&lt;authors&gt;&lt;author&gt;Perthen, Joanna E.&lt;/author&gt;&lt;author&gt;Calamante, Fernando&lt;/author&gt;&lt;author&gt;Gadian, David G.&lt;/author&gt;&lt;author&gt;Connelly, Alan&lt;/author&gt;&lt;/authors&gt;&lt;/contributors&gt;&lt;added-date format="utc"&gt;1569364571&lt;/added-date&gt;&lt;pub-location&gt;New York&lt;/pub-location&gt;&lt;ref-type name="Journal Article"&gt;17&lt;/ref-type&gt;&lt;dates&gt;&lt;year&gt;2002&lt;/year&gt;&lt;/dates&gt;&lt;rec-number&gt;1125&lt;/rec-number&gt;&lt;last-updated-date format="utc"&gt;1569364571&lt;/last-updated-date&gt;&lt;electronic-resource-num&gt;10.1002/mrm.10020&lt;/electronic-resource-num&gt;&lt;volume&gt;47&lt;/volume&gt;&lt;/record&gt;&lt;/Cite&gt;&lt;/EndNote&gt;</w:instrText>
      </w:r>
      <w:r w:rsidRPr="00DA5D56">
        <w:rPr>
          <w:rFonts w:cs="Arial"/>
        </w:rPr>
        <w:fldChar w:fldCharType="separate"/>
      </w:r>
      <w:r w:rsidRPr="00DA5D56">
        <w:rPr>
          <w:rFonts w:cs="Arial"/>
          <w:noProof/>
        </w:rPr>
        <w:t>(Perthen et al., 2002)</w:t>
      </w:r>
      <w:r w:rsidRPr="00DA5D56">
        <w:rPr>
          <w:rFonts w:cs="Arial"/>
        </w:rPr>
        <w:fldChar w:fldCharType="end"/>
      </w:r>
      <w:r w:rsidRPr="00DA5D56">
        <w:rPr>
          <w:rFonts w:cs="Arial"/>
        </w:rPr>
        <w:t xml:space="preserve">.  Copen and colleagues </w:t>
      </w:r>
      <w:r w:rsidRPr="00DA5D56">
        <w:rPr>
          <w:rFonts w:cs="Arial"/>
        </w:rPr>
        <w:fldChar w:fldCharType="begin"/>
      </w:r>
      <w:r w:rsidRPr="00DA5D56">
        <w:rPr>
          <w:rFonts w:cs="Arial"/>
        </w:rPr>
        <w:instrText xml:space="preserve"> ADDIN EN.CITE &lt;EndNote&gt;&lt;Cite ExcludeAuth="1"&gt;&lt;Author&gt;Copen&lt;/Author&gt;&lt;Year&gt;2011&lt;/Year&gt;&lt;IDText&gt;MR perfusion imaging in acute ischemic stroke&lt;/IDText&gt;&lt;DisplayText&gt;(2011)&lt;/DisplayText&gt;&lt;record&gt;&lt;dates&gt;&lt;pub-dates&gt;&lt;date&gt;May&lt;/date&gt;&lt;/pub-dates&gt;&lt;year&gt;2011&lt;/year&gt;&lt;/dates&gt;&lt;keywords&gt;&lt;keyword&gt;Brain Ischemia&lt;/keyword&gt;&lt;keyword&gt;Cerebral Angiography&lt;/keyword&gt;&lt;keyword&gt;Humans&lt;/keyword&gt;&lt;keyword&gt;Magnetic Resonance Angiography&lt;/keyword&gt;&lt;keyword&gt;Stroke&lt;/keyword&gt;&lt;/keywords&gt;&lt;urls&gt;&lt;related-urls&gt;&lt;url&gt;https://www.ncbi.nlm.nih.gov/pubmed/21640299&lt;/url&gt;&lt;/related-urls&gt;&lt;/urls&gt;&lt;isbn&gt;1557-9867&lt;/isbn&gt;&lt;custom2&gt;PMC3135980&lt;/custom2&gt;&lt;titles&gt;&lt;title&gt;MR perfusion imaging in acute ischemic stroke&lt;/title&gt;&lt;secondary-title&gt;Neuroimaging Clin N Am&lt;/secondary-title&gt;&lt;/titles&gt;&lt;pages&gt;259-83, x&lt;/pages&gt;&lt;number&gt;2&lt;/number&gt;&lt;contributors&gt;&lt;authors&gt;&lt;author&gt;Copen, W. A.&lt;/author&gt;&lt;author&gt;Schaefer, P. W.&lt;/author&gt;&lt;author&gt;Wu, O.&lt;/author&gt;&lt;/authors&gt;&lt;/contributors&gt;&lt;language&gt;eng&lt;/language&gt;&lt;added-date format="utc"&gt;1501260264&lt;/added-date&gt;&lt;ref-type name="Journal Article"&gt;17&lt;/ref-type&gt;&lt;rec-number&gt;883&lt;/rec-number&gt;&lt;last-updated-date format="utc"&gt;1501260264&lt;/last-updated-date&gt;&lt;accession-num&gt;21640299&lt;/accession-num&gt;&lt;electronic-resource-num&gt;10.1016/j.nic.2011.02.007&lt;/electronic-resource-num&gt;&lt;volume&gt;21&lt;/volume&gt;&lt;/record&gt;&lt;/Cite&gt;&lt;/EndNote&gt;</w:instrText>
      </w:r>
      <w:r w:rsidRPr="00DA5D56">
        <w:rPr>
          <w:rFonts w:cs="Arial"/>
        </w:rPr>
        <w:fldChar w:fldCharType="separate"/>
      </w:r>
      <w:r w:rsidRPr="00DA5D56">
        <w:rPr>
          <w:rFonts w:cs="Arial"/>
          <w:noProof/>
        </w:rPr>
        <w:t>(2011)</w:t>
      </w:r>
      <w:r w:rsidRPr="00DA5D56">
        <w:rPr>
          <w:rFonts w:cs="Arial"/>
        </w:rPr>
        <w:fldChar w:fldCharType="end"/>
      </w:r>
      <w:r w:rsidRPr="00DA5D56">
        <w:rPr>
          <w:rFonts w:cs="Arial"/>
        </w:rPr>
        <w:t xml:space="preserve"> demonstrated using perfusion maps that increased TTP occurs in the following conditions: (A) delayed bolus arrival with preserved cerebral perfusion pressure, (B) compensated low cerebral perfusion pressure, (C) hypoperfusion, and (D) post-ischaemic hyperperfusion.  Interpretation is possible in the context of MTT, RBV and RBF.  Therefore, a statistically significant difference in TTP would reflect a clinical difference in cerebral perfusion in our study, but it would require interpretation in the context of the other parameters. </w:t>
      </w:r>
    </w:p>
    <w:p w14:paraId="01552256" w14:textId="77777777" w:rsidR="00DA5D56" w:rsidRPr="00DA5D56" w:rsidRDefault="00DA5D56" w:rsidP="00DA5D56">
      <w:pPr>
        <w:spacing w:line="360" w:lineRule="auto"/>
        <w:rPr>
          <w:rFonts w:cs="Arial"/>
        </w:rPr>
      </w:pPr>
      <w:r w:rsidRPr="00DA5D56">
        <w:rPr>
          <w:rFonts w:cs="Arial"/>
        </w:rPr>
        <w:t xml:space="preserve">Although agreement was excellent, there was not perfect agreement for TTP in our study.  The raters were examining the same scan, so the likely cause for variations </w:t>
      </w:r>
      <w:proofErr w:type="gramStart"/>
      <w:r w:rsidRPr="00DA5D56">
        <w:rPr>
          <w:rFonts w:cs="Arial"/>
        </w:rPr>
        <w:t>are</w:t>
      </w:r>
      <w:proofErr w:type="gramEnd"/>
      <w:r w:rsidRPr="00DA5D56">
        <w:rPr>
          <w:rFonts w:cs="Arial"/>
        </w:rPr>
        <w:t xml:space="preserve"> due to post processing methods.  There may have been variability introduced during automatic registration to the anatomical scan and during automatic motion correction.  There may have been slight variances in drawing the region of interest, as this was a freehand technique to interrogate particular anatomical and functional structures and not a fixed diameter technique </w:t>
      </w:r>
      <w:r w:rsidRPr="00DA5D56">
        <w:rPr>
          <w:rFonts w:cs="Arial"/>
        </w:rPr>
        <w:fldChar w:fldCharType="begin"/>
      </w:r>
      <w:r w:rsidRPr="00DA5D56">
        <w:rPr>
          <w:rFonts w:cs="Arial"/>
        </w:rPr>
        <w:instrText xml:space="preserve"> ADDIN EN.CITE &lt;EndNote&gt;&lt;Cite&gt;&lt;Author&gt;Oei&lt;/Author&gt;&lt;Year&gt;2018&lt;/Year&gt;&lt;IDText&gt;Observer variability of reference tissue selection for relativecerebral blood volume measurements in glioma patients&lt;/IDText&gt;&lt;DisplayText&gt;(Oei et al., 2018)&lt;/DisplayText&gt;&lt;record&gt;&lt;keywords&gt;&lt;keyword&gt;Cerebral blood volume&lt;/keyword&gt;&lt;keyword&gt;Observer variation&lt;/keyword&gt;&lt;keyword&gt;Perfusion imaging&lt;/keyword&gt;&lt;keyword&gt;Magnetic resonance angiography&lt;/keyword&gt;&lt;keyword&gt;Glioma&lt;/keyword&gt;&lt;/keywords&gt;&lt;isbn&gt;0938-7994&lt;/isbn&gt;&lt;titles&gt;&lt;title&gt;Observer variability of reference tissue selection for relativecerebral blood volume measurements in glioma patients&lt;/title&gt;&lt;secondary-title&gt;European Radiology&lt;/secondary-title&gt;&lt;/titles&gt;&lt;pages&gt;3902-3911&lt;/pages&gt;&lt;number&gt;9&lt;/number&gt;&lt;contributors&gt;&lt;authors&gt;&lt;author&gt;Oei, Marcel&lt;/author&gt;&lt;author&gt;Meijer, Frederick&lt;/author&gt;&lt;author&gt;Mordang, Jan-Jurre&lt;/author&gt;&lt;author&gt;Smit, Ewoud&lt;/author&gt;&lt;author&gt;Idema, Albert&lt;/author&gt;&lt;author&gt;Goraj, Bozena&lt;/author&gt;&lt;author&gt;Laue, Hendrik&lt;/author&gt;&lt;author&gt;Prokop, Mathias&lt;/author&gt;&lt;author&gt;Manniesing, Rashindra&lt;/author&gt;&lt;/authors&gt;&lt;/contributors&gt;&lt;added-date format="utc"&gt;1569365457&lt;/added-date&gt;&lt;pub-location&gt;Berlin/Heidelberg&lt;/pub-location&gt;&lt;ref-type name="Journal Article"&gt;17&lt;/ref-type&gt;&lt;dates&gt;&lt;year&gt;2018&lt;/year&gt;&lt;/dates&gt;&lt;rec-number&gt;1126&lt;/rec-number&gt;&lt;last-updated-date format="utc"&gt;1569365457&lt;/last-updated-date&gt;&lt;electronic-resource-num&gt;10.1007/s00330-018-5353-y&lt;/electronic-resource-num&gt;&lt;volume&gt;28&lt;/volume&gt;&lt;/record&gt;&lt;/Cite&gt;&lt;/EndNote&gt;</w:instrText>
      </w:r>
      <w:r w:rsidRPr="00DA5D56">
        <w:rPr>
          <w:rFonts w:cs="Arial"/>
        </w:rPr>
        <w:fldChar w:fldCharType="separate"/>
      </w:r>
      <w:r w:rsidRPr="00DA5D56">
        <w:rPr>
          <w:rFonts w:cs="Arial"/>
          <w:noProof/>
        </w:rPr>
        <w:t>(Oei et al., 2018)</w:t>
      </w:r>
      <w:r w:rsidRPr="00DA5D56">
        <w:rPr>
          <w:rFonts w:cs="Arial"/>
        </w:rPr>
        <w:fldChar w:fldCharType="end"/>
      </w:r>
      <w:r w:rsidRPr="00DA5D56">
        <w:rPr>
          <w:rFonts w:cs="Arial"/>
        </w:rPr>
        <w:t xml:space="preserve">.  This is a plausible explanation however recent work has shown that 2D freehand ROI has better reproducibility than fixed diameter techniques </w:t>
      </w:r>
      <w:r w:rsidRPr="00DA5D56">
        <w:rPr>
          <w:rFonts w:cs="Arial"/>
        </w:rPr>
        <w:fldChar w:fldCharType="begin"/>
      </w:r>
      <w:r w:rsidRPr="00DA5D56">
        <w:rPr>
          <w:rFonts w:cs="Arial"/>
        </w:rPr>
        <w:instrText xml:space="preserve"> ADDIN ENCITE &lt;EndNote&gt;&lt;Cite&gt;&lt;Author&gt;Dijkstra&lt;/Author&gt;&lt;Year&gt;2020&lt;/Year&gt;&lt;IDText&gt;Inter-observer reproducibility of quantitative dynamic susceptibility contrast and diffusion MRI parameters in histogram analysis of gliomas&lt;/IDText&gt;&lt;DisplayText&gt;(Dijkstra et al., 2020)&lt;/DisplayText&gt;&lt;record&gt;&lt;dates&gt;&lt;pub-dates&gt;&lt;date&gt;Jan&lt;/date&gt;&lt;/pub-dates&gt;&lt;year&gt;2020&lt;/year&gt;&lt;/dates&gt;&lt;urls&gt;&lt;related-urls&gt;&lt;url&gt;&amp;lt;Go to ISI&amp;gt;://WOS:000504598500009&lt;/url&gt;&lt;/related-urls&gt;&lt;/urls&gt;&lt;isbn&gt;0284-1851&lt;/isbn&gt;&lt;titles&gt;&lt;title&gt;Inter-observer reproducibility of quantitative dynamic susceptibility contrast and diffusion MRI parameters in histogram analysis of gliomas&lt;/title&gt;&lt;secondary-title&gt;Acta Radiologica&lt;/secondary-title&gt;&lt;/titles&gt;&lt;pages&gt;76-84&lt;/pages&gt;&lt;number&gt;1&lt;/number&gt;&lt;contributors&gt;&lt;authors&gt;&lt;author&gt;Dijkstra, H.&lt;/author&gt;&lt;author&gt;Sijens, P. E.&lt;/author&gt;&lt;author&gt;van der Hoorn, A.&lt;/author&gt;&lt;author&gt;van Laar, P. J.&lt;/author&gt;&lt;/authors&gt;&lt;/contributors&gt;&lt;added-date format="utc"&gt;1590763600&lt;/added-date&gt;&lt;ref-type name="Journal Article"&gt;17&lt;/ref-type&gt;&lt;rec-number&gt;1257&lt;/rec-number&gt;&lt;last-updated-date format="utc"&gt;1590763600&lt;/last-updated-date&gt;&lt;accession-num&gt;WOS:000504598500009&lt;/accession-num&gt;&lt;electronic-resource-num&gt;10.1177/0284185119852729&lt;/electronic-resource-num&gt;&lt;volume&gt;61&lt;/volume&gt;&lt;/record&gt;&lt;/Cite&gt;&lt;/EndNote&gt;</w:instrText>
      </w:r>
      <w:r w:rsidRPr="00DA5D56">
        <w:rPr>
          <w:rFonts w:cs="Arial"/>
        </w:rPr>
        <w:fldChar w:fldCharType="separate"/>
      </w:r>
      <w:r w:rsidRPr="00DA5D56">
        <w:rPr>
          <w:rFonts w:cs="Arial"/>
          <w:noProof/>
        </w:rPr>
        <w:t>(Dijkstra et al., 2020)</w:t>
      </w:r>
      <w:r w:rsidRPr="00DA5D56">
        <w:rPr>
          <w:rFonts w:cs="Arial"/>
        </w:rPr>
        <w:fldChar w:fldCharType="end"/>
      </w:r>
      <w:r w:rsidRPr="00DA5D56">
        <w:rPr>
          <w:rFonts w:cs="Arial"/>
        </w:rPr>
        <w:t xml:space="preserve">.  Therefore, although there may be a small amount of variability introduced by drawing a freehand ROI, it introduces less variability than an automated map.  In summary, we have found TTP is the most reliable </w:t>
      </w:r>
      <w:r w:rsidRPr="00DA5D56">
        <w:rPr>
          <w:rFonts w:cs="Arial"/>
        </w:rPr>
        <w:lastRenderedPageBreak/>
        <w:t xml:space="preserve">measurement of perfusion using DSC-MRI in line with previous reports, but interpretation in isolation is difficult as there can be extracranial determinants of the bolus arrival and dispersion.  </w:t>
      </w:r>
    </w:p>
    <w:p w14:paraId="0E3B72CA" w14:textId="49ACD68C" w:rsidR="001A49FC" w:rsidRDefault="00DA5D56" w:rsidP="001A49FC">
      <w:pPr>
        <w:spacing w:line="360" w:lineRule="auto"/>
      </w:pPr>
      <w:r w:rsidRPr="00DA5D56">
        <w:rPr>
          <w:rFonts w:cs="Arial"/>
        </w:rPr>
        <w:t xml:space="preserve">The Bland-Altman Plot of difference vs average of peak AIF for two raters showed that using the modified </w:t>
      </w:r>
      <w:proofErr w:type="spellStart"/>
      <w:r w:rsidRPr="00DA5D56">
        <w:rPr>
          <w:rFonts w:cs="Arial"/>
        </w:rPr>
        <w:t>NordicICE</w:t>
      </w:r>
      <w:proofErr w:type="spellEnd"/>
      <w:r w:rsidRPr="00DA5D56">
        <w:rPr>
          <w:rFonts w:cs="Arial"/>
        </w:rPr>
        <w:t xml:space="preserve"> method for generating an AIF, the AIF </w:t>
      </w:r>
      <w:r w:rsidR="00371319">
        <w:rPr>
          <w:rFonts w:cs="Arial"/>
        </w:rPr>
        <w:t xml:space="preserve">can vary between raters </w:t>
      </w:r>
      <w:r w:rsidRPr="00DA5D56">
        <w:rPr>
          <w:rFonts w:cs="Arial"/>
        </w:rPr>
        <w:t xml:space="preserve">from -38.89 to +32.46 units </w:t>
      </w:r>
      <w:r w:rsidR="00371319">
        <w:rPr>
          <w:rFonts w:cs="Arial"/>
        </w:rPr>
        <w:t>on</w:t>
      </w:r>
      <w:r w:rsidRPr="00DA5D56">
        <w:rPr>
          <w:rFonts w:cs="Arial"/>
        </w:rPr>
        <w:t xml:space="preserve"> the second visit</w:t>
      </w:r>
      <w:r w:rsidR="00371319">
        <w:rPr>
          <w:rFonts w:cs="Arial"/>
        </w:rPr>
        <w:t>.  The difference vs average</w:t>
      </w:r>
      <w:r w:rsidRPr="00DA5D56">
        <w:rPr>
          <w:rFonts w:cs="Arial"/>
        </w:rPr>
        <w:t xml:space="preserve"> for </w:t>
      </w:r>
      <w:r w:rsidR="00371319">
        <w:rPr>
          <w:rFonts w:cs="Arial"/>
        </w:rPr>
        <w:t xml:space="preserve">AIF on </w:t>
      </w:r>
      <w:r w:rsidRPr="00DA5D56">
        <w:rPr>
          <w:rFonts w:cs="Arial"/>
        </w:rPr>
        <w:t xml:space="preserve">the third visit </w:t>
      </w:r>
      <w:r w:rsidR="00371319">
        <w:rPr>
          <w:rFonts w:cs="Arial"/>
        </w:rPr>
        <w:t xml:space="preserve">was </w:t>
      </w:r>
      <w:r w:rsidRPr="00DA5D56">
        <w:rPr>
          <w:rFonts w:cs="Arial"/>
        </w:rPr>
        <w:t xml:space="preserve">between -36.22 to +26.55 of the measured value. </w:t>
      </w:r>
      <w:r w:rsidR="00371319">
        <w:rPr>
          <w:rFonts w:cs="Arial"/>
        </w:rPr>
        <w:t>This explains the increase in variability in t</w:t>
      </w:r>
      <w:r w:rsidRPr="00DA5D56">
        <w:rPr>
          <w:rFonts w:cs="Arial"/>
        </w:rPr>
        <w:t xml:space="preserve">he following measurements </w:t>
      </w:r>
      <w:r w:rsidR="00371319">
        <w:rPr>
          <w:rFonts w:cs="Arial"/>
        </w:rPr>
        <w:t xml:space="preserve">that </w:t>
      </w:r>
      <w:r w:rsidRPr="00DA5D56">
        <w:rPr>
          <w:rFonts w:cs="Arial"/>
        </w:rPr>
        <w:t xml:space="preserve">are dependent on AIF: RBF, RBV, and MTT.  </w:t>
      </w:r>
      <w:r w:rsidR="00371319">
        <w:rPr>
          <w:rFonts w:cs="Arial"/>
        </w:rPr>
        <w:t>To try and standardise the generation of the AIF t</w:t>
      </w:r>
      <w:r w:rsidRPr="00DA5D56">
        <w:rPr>
          <w:rFonts w:cs="Arial"/>
        </w:rPr>
        <w:t xml:space="preserve">he </w:t>
      </w:r>
      <w:proofErr w:type="spellStart"/>
      <w:r w:rsidRPr="00DA5D56">
        <w:rPr>
          <w:rFonts w:cs="Arial"/>
        </w:rPr>
        <w:t>NordicNeurolab</w:t>
      </w:r>
      <w:proofErr w:type="spellEnd"/>
      <w:r w:rsidRPr="00DA5D56">
        <w:rPr>
          <w:rFonts w:cs="Arial"/>
        </w:rPr>
        <w:t xml:space="preserve">, </w:t>
      </w:r>
      <w:proofErr w:type="spellStart"/>
      <w:r w:rsidRPr="00DA5D56">
        <w:rPr>
          <w:rFonts w:cs="Arial"/>
        </w:rPr>
        <w:t>nordicICE</w:t>
      </w:r>
      <w:proofErr w:type="spellEnd"/>
      <w:r w:rsidRPr="00DA5D56">
        <w:rPr>
          <w:rFonts w:cs="Arial"/>
        </w:rPr>
        <w:t xml:space="preserve"> perfusion package, (V3.0, Bergen 2012) used a computer-generated AIF across a region of interest within a slice or across a whole slice.  It creates automated selection of AIF by searching for voxels with the ideal characteristics of arterial flow: early bolus arrival, steep smooth gradient and quick washout</w:t>
      </w:r>
      <w:r w:rsidR="00371319">
        <w:rPr>
          <w:rFonts w:cs="Arial"/>
        </w:rPr>
        <w:t>.  I</w:t>
      </w:r>
      <w:r w:rsidRPr="00DA5D56">
        <w:rPr>
          <w:rFonts w:cs="Arial"/>
        </w:rPr>
        <w:t xml:space="preserve">t groups similar voxels together and selects the cluster in which the mean curve has the lowest first moment (k-clustering) </w:t>
      </w:r>
      <w:r w:rsidRPr="00DA5D56">
        <w:rPr>
          <w:rFonts w:cs="Arial"/>
        </w:rPr>
        <w:fldChar w:fldCharType="begin"/>
      </w:r>
      <w:r w:rsidRPr="00DA5D56">
        <w:rPr>
          <w:rFonts w:cs="Arial"/>
        </w:rPr>
        <w:instrText xml:space="preserve"> ADDIN EN.CITE &lt;EndNote&gt;&lt;Cite&gt;&lt;Author&gt;Mouridsen&lt;/Author&gt;&lt;Year&gt;2006&lt;/Year&gt;&lt;IDText&gt;Automatic selection of arterial input function using cluster analysis&lt;/IDText&gt;&lt;DisplayText&gt;(Mouridsen et al., 2006)&lt;/DisplayText&gt;&lt;record&gt;&lt;dates&gt;&lt;pub-dates&gt;&lt;date&gt;Mar&lt;/date&gt;&lt;/pub-dates&gt;&lt;year&gt;2006&lt;/year&gt;&lt;/dates&gt;&lt;urls&gt;&lt;related-urls&gt;&lt;url&gt;&amp;lt;Go to ISI&amp;gt;://WOS:000235858400009&lt;/url&gt;&lt;/related-urls&gt;&lt;/urls&gt;&lt;isbn&gt;0740-3194&lt;/isbn&gt;&lt;titles&gt;&lt;title&gt;Automatic selection of arterial input function using cluster analysis&lt;/title&gt;&lt;secondary-title&gt;Magnetic Resonance in Medicine&lt;/secondary-title&gt;&lt;/titles&gt;&lt;pages&gt;524-531&lt;/pages&gt;&lt;number&gt;3&lt;/number&gt;&lt;contributors&gt;&lt;authors&gt;&lt;author&gt;Mouridsen, K.&lt;/author&gt;&lt;author&gt;Christensen, S.&lt;/author&gt;&lt;author&gt;Gydensted, L.&lt;/author&gt;&lt;author&gt;Ostergaard, L.&lt;/author&gt;&lt;/authors&gt;&lt;/contributors&gt;&lt;added-date format="utc"&gt;1373193149&lt;/added-date&gt;&lt;ref-type name="Journal Article"&gt;17&lt;/ref-type&gt;&lt;rec-number&gt;747&lt;/rec-number&gt;&lt;last-updated-date format="utc"&gt;1510057545&lt;/last-updated-date&gt;&lt;accession-num&gt;WOS:000235858400009&lt;/accession-num&gt;&lt;electronic-resource-num&gt;10.1002/mrm.20759&lt;/electronic-resource-num&gt;&lt;volume&gt;55&lt;/volume&gt;&lt;/record&gt;&lt;/Cite&gt;&lt;/EndNote&gt;</w:instrText>
      </w:r>
      <w:r w:rsidRPr="00DA5D56">
        <w:rPr>
          <w:rFonts w:cs="Arial"/>
        </w:rPr>
        <w:fldChar w:fldCharType="separate"/>
      </w:r>
      <w:r w:rsidRPr="00DA5D56">
        <w:rPr>
          <w:rFonts w:cs="Arial"/>
          <w:noProof/>
        </w:rPr>
        <w:t>(Mouridsen et al., 2006)</w:t>
      </w:r>
      <w:r w:rsidRPr="00DA5D56">
        <w:rPr>
          <w:rFonts w:cs="Arial"/>
        </w:rPr>
        <w:fldChar w:fldCharType="end"/>
      </w:r>
      <w:r w:rsidRPr="00DA5D56">
        <w:rPr>
          <w:rFonts w:cs="Arial"/>
        </w:rPr>
        <w:t xml:space="preserve">.  A challenge for this system is that although it is quick, voxels may be selected representing anatomically disparate areas of the CNS arterial tree.  Therefore, </w:t>
      </w:r>
      <w:r w:rsidR="001A49FC">
        <w:rPr>
          <w:rFonts w:cs="Arial"/>
        </w:rPr>
        <w:t>in our study</w:t>
      </w:r>
      <w:r w:rsidRPr="00DA5D56">
        <w:rPr>
          <w:rFonts w:cs="Arial"/>
        </w:rPr>
        <w:t xml:space="preserve"> semi-automated protocol was chosen.  The cluster search was confined to an area including the middle cerebral artery at the level of the Circle of Willis.  The curves were visually inspected and any curves outside the MCA or with non-ideal characteristics were discarded.  </w:t>
      </w:r>
      <w:r w:rsidR="001A49FC">
        <w:rPr>
          <w:rFonts w:cs="Arial"/>
        </w:rPr>
        <w:t xml:space="preserve">We compared our results using this modification of the automated system with reported Bland Altman plots of difference vs average </w:t>
      </w:r>
      <w:r w:rsidR="006061A9">
        <w:rPr>
          <w:rFonts w:cs="Arial"/>
        </w:rPr>
        <w:t>using a non-aut</w:t>
      </w:r>
      <w:r w:rsidR="00F7770E">
        <w:rPr>
          <w:rFonts w:cs="Arial"/>
        </w:rPr>
        <w:t>o</w:t>
      </w:r>
      <w:r w:rsidR="006061A9">
        <w:rPr>
          <w:rFonts w:cs="Arial"/>
        </w:rPr>
        <w:t xml:space="preserve">mated system and an automated system </w:t>
      </w:r>
      <w:r w:rsidR="001A49FC">
        <w:rPr>
          <w:rFonts w:cs="Arial"/>
        </w:rPr>
        <w:t>(see Figure 3.17)</w:t>
      </w:r>
      <w:r w:rsidR="006061A9">
        <w:rPr>
          <w:rFonts w:cs="Arial"/>
        </w:rPr>
        <w:t xml:space="preserve"> </w:t>
      </w:r>
      <w:r w:rsidR="006061A9">
        <w:rPr>
          <w:rFonts w:cs="Arial"/>
        </w:rPr>
        <w:fldChar w:fldCharType="begin"/>
      </w:r>
      <w:r w:rsidR="006061A9">
        <w:rPr>
          <w:rFonts w:cs="Arial"/>
        </w:rPr>
        <w:instrText xml:space="preserve"> ADDIN EN.CITE &lt;EndNote&gt;&lt;Cite&gt;&lt;Author&gt;Mouridsen&lt;/Author&gt;&lt;Year&gt;2006&lt;/Year&gt;&lt;IDText&gt;Automatic selection of arterial input function using cluster analysis&lt;/IDText&gt;&lt;DisplayText&gt;(Mouridsen et al., 2006)&lt;/DisplayText&gt;&lt;record&gt;&lt;dates&gt;&lt;pub-dates&gt;&lt;date&gt;Mar&lt;/date&gt;&lt;/pub-dates&gt;&lt;year&gt;2006&lt;/year&gt;&lt;/dates&gt;&lt;urls&gt;&lt;related-urls&gt;&lt;url&gt;&amp;lt;Go to ISI&amp;gt;://WOS:000235858400009&lt;/url&gt;&lt;/related-urls&gt;&lt;/urls&gt;&lt;isbn&gt;0740-3194&lt;/isbn&gt;&lt;titles&gt;&lt;title&gt;Automatic selection of arterial input function using cluster analysis&lt;/title&gt;&lt;secondary-title&gt;Magnetic Resonance in Medicine&lt;/secondary-title&gt;&lt;/titles&gt;&lt;pages&gt;524-531&lt;/pages&gt;&lt;number&gt;3&lt;/number&gt;&lt;contributors&gt;&lt;authors&gt;&lt;author&gt;Mouridsen, K.&lt;/author&gt;&lt;author&gt;Christensen, S.&lt;/author&gt;&lt;author&gt;Gydensted, L.&lt;/author&gt;&lt;author&gt;Ostergaard, L.&lt;/author&gt;&lt;/authors&gt;&lt;/contributors&gt;&lt;added-date format="utc"&gt;1373207549&lt;/added-date&gt;&lt;ref-type name="Journal Article"&gt;17&lt;/ref-type&gt;&lt;rec-number&gt;747&lt;/rec-number&gt;&lt;last-updated-date format="utc"&gt;1510075545&lt;/last-updated-date&gt;&lt;accession-num&gt;WOS:000235858400009&lt;/accession-num&gt;&lt;electronic-resource-num&gt;10.1002/mrm.20759&lt;/electronic-resource-num&gt;&lt;volume&gt;55&lt;/volume&gt;&lt;/record&gt;&lt;/Cite&gt;&lt;/EndNote&gt;</w:instrText>
      </w:r>
      <w:r w:rsidR="006061A9">
        <w:rPr>
          <w:rFonts w:cs="Arial"/>
        </w:rPr>
        <w:fldChar w:fldCharType="separate"/>
      </w:r>
      <w:r w:rsidR="006061A9">
        <w:rPr>
          <w:rFonts w:cs="Arial"/>
          <w:noProof/>
        </w:rPr>
        <w:t>(Mouridsen et al., 2006)</w:t>
      </w:r>
      <w:r w:rsidR="006061A9">
        <w:rPr>
          <w:rFonts w:cs="Arial"/>
        </w:rPr>
        <w:fldChar w:fldCharType="end"/>
      </w:r>
      <w:r w:rsidR="006061A9">
        <w:rPr>
          <w:rFonts w:cs="Arial"/>
        </w:rPr>
        <w:t xml:space="preserve">.  </w:t>
      </w:r>
      <w:r w:rsidR="00F7770E">
        <w:rPr>
          <w:rFonts w:cs="Arial"/>
        </w:rPr>
        <w:t xml:space="preserve">The appearance of our Bland Altman plots </w:t>
      </w:r>
      <w:proofErr w:type="gramStart"/>
      <w:r w:rsidR="00F7770E">
        <w:rPr>
          <w:rFonts w:cs="Arial"/>
        </w:rPr>
        <w:t>are</w:t>
      </w:r>
      <w:proofErr w:type="gramEnd"/>
      <w:r w:rsidR="00F7770E">
        <w:rPr>
          <w:rFonts w:cs="Arial"/>
        </w:rPr>
        <w:t xml:space="preserve"> similar to those reported by </w:t>
      </w:r>
      <w:proofErr w:type="spellStart"/>
      <w:r w:rsidR="00F7770E">
        <w:rPr>
          <w:rFonts w:cs="Arial"/>
        </w:rPr>
        <w:t>Mouridsen</w:t>
      </w:r>
      <w:proofErr w:type="spellEnd"/>
      <w:r w:rsidR="00F7770E">
        <w:rPr>
          <w:rFonts w:cs="Arial"/>
        </w:rPr>
        <w:t xml:space="preserve"> and colleagues.  </w:t>
      </w:r>
      <w:r w:rsidR="001A49FC">
        <w:t>R</w:t>
      </w:r>
      <w:r w:rsidR="001A49FC" w:rsidRPr="005E4340">
        <w:t xml:space="preserve">epeatability </w:t>
      </w:r>
      <w:r w:rsidR="001A49FC">
        <w:t xml:space="preserve">of DSC-MRI perfusion measures has been undertaken </w:t>
      </w:r>
      <w:r w:rsidR="001A49FC" w:rsidRPr="005E4340">
        <w:t>in subjects with glioblastoma (Jafari-</w:t>
      </w:r>
      <w:proofErr w:type="spellStart"/>
      <w:r w:rsidR="001A49FC" w:rsidRPr="005E4340">
        <w:t>Khouzani</w:t>
      </w:r>
      <w:proofErr w:type="spellEnd"/>
      <w:r w:rsidR="001A49FC" w:rsidRPr="005E4340">
        <w:t xml:space="preserve"> et al., 2015).  Using an automated procedure, similar levels of agreement to those found in our study for perfusion measures between raters were reported.  For the RBV the ICC=0.42 and in our study ICC=0.44, and for the RBF ICC =0.63 and we found ICC=0.71</w:t>
      </w:r>
      <w:r w:rsidR="001A49FC">
        <w:t xml:space="preserve"> </w:t>
      </w:r>
      <w:r w:rsidR="001A49FC" w:rsidRPr="003F46B5">
        <w:t>(Jafari-</w:t>
      </w:r>
      <w:proofErr w:type="spellStart"/>
      <w:r w:rsidR="001A49FC" w:rsidRPr="003F46B5">
        <w:t>Khouzani</w:t>
      </w:r>
      <w:proofErr w:type="spellEnd"/>
      <w:r w:rsidR="001A49FC" w:rsidRPr="003F46B5">
        <w:t xml:space="preserve"> et al., 2015).</w:t>
      </w:r>
      <w:r w:rsidR="001A49FC">
        <w:t xml:space="preserve"> This is validating for our results. </w:t>
      </w:r>
    </w:p>
    <w:p w14:paraId="196F356D" w14:textId="4CF73B7E" w:rsidR="00DA5D56" w:rsidRPr="00DA5D56" w:rsidRDefault="00F7770E" w:rsidP="00DA5D56">
      <w:pPr>
        <w:spacing w:line="360" w:lineRule="auto"/>
        <w:rPr>
          <w:rFonts w:cs="Arial"/>
        </w:rPr>
      </w:pPr>
      <w:proofErr w:type="gramStart"/>
      <w:r>
        <w:rPr>
          <w:rFonts w:cs="Arial"/>
        </w:rPr>
        <w:t>Therefore</w:t>
      </w:r>
      <w:proofErr w:type="gramEnd"/>
      <w:r>
        <w:rPr>
          <w:rFonts w:cs="Arial"/>
        </w:rPr>
        <w:t xml:space="preserve"> a</w:t>
      </w:r>
      <w:r w:rsidR="009B3424">
        <w:rPr>
          <w:rFonts w:cs="Arial"/>
        </w:rPr>
        <w:t>lthough there is increased variability in the AIF dependent measures</w:t>
      </w:r>
      <w:r w:rsidR="001A49FC">
        <w:rPr>
          <w:rFonts w:cs="Arial"/>
        </w:rPr>
        <w:t>,</w:t>
      </w:r>
      <w:r w:rsidR="009B3424">
        <w:rPr>
          <w:rFonts w:cs="Arial"/>
        </w:rPr>
        <w:t xml:space="preserve"> o</w:t>
      </w:r>
      <w:r w:rsidR="00DA5D56" w:rsidRPr="00DA5D56">
        <w:rPr>
          <w:rFonts w:cs="Arial"/>
        </w:rPr>
        <w:t xml:space="preserve">ur reproducibility analysis shows </w:t>
      </w:r>
      <w:r w:rsidR="00371319">
        <w:rPr>
          <w:rFonts w:cs="Arial"/>
        </w:rPr>
        <w:t>agreement with</w:t>
      </w:r>
      <w:r w:rsidR="00DA5D56" w:rsidRPr="00DA5D56">
        <w:rPr>
          <w:rFonts w:cs="Arial"/>
        </w:rPr>
        <w:t xml:space="preserve"> Bland-Altman </w:t>
      </w:r>
      <w:r w:rsidR="009B3424">
        <w:rPr>
          <w:rFonts w:cs="Arial"/>
        </w:rPr>
        <w:t xml:space="preserve">plots reported </w:t>
      </w:r>
      <w:r w:rsidR="00DA5D56" w:rsidRPr="00DA5D56">
        <w:rPr>
          <w:rFonts w:cs="Arial"/>
        </w:rPr>
        <w:t xml:space="preserve">by </w:t>
      </w:r>
      <w:proofErr w:type="spellStart"/>
      <w:r w:rsidR="00DA5D56" w:rsidRPr="00DA5D56">
        <w:rPr>
          <w:rFonts w:cs="Arial"/>
        </w:rPr>
        <w:t>Mouridsen</w:t>
      </w:r>
      <w:proofErr w:type="spellEnd"/>
      <w:r w:rsidR="00DA5D56" w:rsidRPr="00DA5D56">
        <w:rPr>
          <w:rFonts w:cs="Arial"/>
        </w:rPr>
        <w:t xml:space="preserve"> et al. (2006) comparing manual vs automated methods of AIF generation</w:t>
      </w:r>
      <w:r w:rsidR="005E4340">
        <w:rPr>
          <w:rFonts w:cs="Arial"/>
        </w:rPr>
        <w:t xml:space="preserve"> (Figure 3.17)</w:t>
      </w:r>
      <w:r>
        <w:rPr>
          <w:rFonts w:cs="Arial"/>
        </w:rPr>
        <w:t xml:space="preserve"> and the ICC is in line with previously published reports</w:t>
      </w:r>
      <w:r w:rsidR="005E4340">
        <w:rPr>
          <w:rFonts w:cs="Arial"/>
        </w:rPr>
        <w:t xml:space="preserve">.  </w:t>
      </w:r>
      <w:r w:rsidR="00DA5D56" w:rsidRPr="00DA5D56">
        <w:rPr>
          <w:rFonts w:cs="Arial"/>
        </w:rPr>
        <w:t xml:space="preserve"> </w:t>
      </w:r>
    </w:p>
    <w:p w14:paraId="4CBD6229" w14:textId="77777777" w:rsidR="0056458E" w:rsidRDefault="0056458E">
      <w:bookmarkStart w:id="298" w:name="_Toc45038119"/>
      <w:bookmarkStart w:id="299" w:name="_Toc49765517"/>
      <w:r>
        <w:rPr>
          <w:i/>
          <w:iCs/>
        </w:rPr>
        <w:br w:type="page"/>
      </w:r>
    </w:p>
    <w:p w14:paraId="5A614BA5" w14:textId="107AA94B" w:rsidR="00DA5D56" w:rsidRPr="00DA5D56" w:rsidRDefault="00DA5D56" w:rsidP="004A1176">
      <w:pPr>
        <w:pStyle w:val="Subtitle"/>
      </w:pPr>
      <w:bookmarkStart w:id="300" w:name="_Toc64724196"/>
      <w:r w:rsidRPr="00DA5D56">
        <w:lastRenderedPageBreak/>
        <w:t xml:space="preserve">Figure 3.17. Automatic </w:t>
      </w:r>
      <w:r w:rsidR="00631533">
        <w:t>S</w:t>
      </w:r>
      <w:r w:rsidRPr="00DA5D56">
        <w:t xml:space="preserve">election of </w:t>
      </w:r>
      <w:r w:rsidR="00631533">
        <w:t>A</w:t>
      </w:r>
      <w:r w:rsidRPr="00DA5D56">
        <w:t xml:space="preserve">rterial </w:t>
      </w:r>
      <w:r w:rsidR="00631533">
        <w:t>I</w:t>
      </w:r>
      <w:r w:rsidRPr="00DA5D56">
        <w:t xml:space="preserve">nput </w:t>
      </w:r>
      <w:r w:rsidR="00631533">
        <w:t>F</w:t>
      </w:r>
      <w:r w:rsidRPr="00DA5D56">
        <w:t xml:space="preserve">unction </w:t>
      </w:r>
      <w:r w:rsidR="00631533">
        <w:t>U</w:t>
      </w:r>
      <w:r w:rsidRPr="00DA5D56">
        <w:t xml:space="preserve">sing </w:t>
      </w:r>
      <w:r w:rsidR="00631533">
        <w:t>C</w:t>
      </w:r>
      <w:r w:rsidRPr="00DA5D56">
        <w:t xml:space="preserve">luster </w:t>
      </w:r>
      <w:r w:rsidR="00631533">
        <w:t>A</w:t>
      </w:r>
      <w:r w:rsidRPr="00DA5D56">
        <w:t>nalysis</w:t>
      </w:r>
      <w:bookmarkEnd w:id="298"/>
      <w:bookmarkEnd w:id="299"/>
      <w:bookmarkEnd w:id="300"/>
    </w:p>
    <w:p w14:paraId="619FE9DB" w14:textId="77777777" w:rsidR="00DA5D56" w:rsidRPr="00DA5D56" w:rsidRDefault="00DA5D56" w:rsidP="00DA5D56">
      <w:pPr>
        <w:spacing w:line="360" w:lineRule="auto"/>
        <w:rPr>
          <w:rFonts w:cs="Arial"/>
          <w:color w:val="808080"/>
        </w:rPr>
      </w:pPr>
      <w:r w:rsidRPr="00DA5D56">
        <w:rPr>
          <w:rFonts w:cs="Arial"/>
        </w:rPr>
        <w:t xml:space="preserve"> </w:t>
      </w:r>
      <w:r w:rsidRPr="00DA5D56">
        <w:rPr>
          <w:rFonts w:cs="Arial"/>
          <w:noProof/>
          <w:lang w:eastAsia="en-GB"/>
        </w:rPr>
        <w:drawing>
          <wp:inline distT="0" distB="0" distL="0" distR="0" wp14:anchorId="79D5F297" wp14:editId="1FC87901">
            <wp:extent cx="2966872" cy="2835012"/>
            <wp:effectExtent l="0" t="0" r="0" b="0"/>
            <wp:docPr id="2103" name="image87.jpg" descr="A close up of a map&#10;&#10;Description automatically generated"/>
            <wp:cNvGraphicFramePr/>
            <a:graphic xmlns:a="http://schemas.openxmlformats.org/drawingml/2006/main">
              <a:graphicData uri="http://schemas.openxmlformats.org/drawingml/2006/picture">
                <pic:pic xmlns:pic="http://schemas.openxmlformats.org/drawingml/2006/picture">
                  <pic:nvPicPr>
                    <pic:cNvPr id="2103" name="image87.jpg" descr="A close up of a map&#10;&#10;Description automatically generated"/>
                    <pic:cNvPicPr preferRelativeResize="0"/>
                  </pic:nvPicPr>
                  <pic:blipFill>
                    <a:blip r:embed="rId43"/>
                    <a:srcRect/>
                    <a:stretch>
                      <a:fillRect/>
                    </a:stretch>
                  </pic:blipFill>
                  <pic:spPr>
                    <a:xfrm>
                      <a:off x="0" y="0"/>
                      <a:ext cx="2966872" cy="2835012"/>
                    </a:xfrm>
                    <a:prstGeom prst="rect">
                      <a:avLst/>
                    </a:prstGeom>
                    <a:ln/>
                  </pic:spPr>
                </pic:pic>
              </a:graphicData>
            </a:graphic>
          </wp:inline>
        </w:drawing>
      </w:r>
    </w:p>
    <w:p w14:paraId="4EDB6C7F" w14:textId="77777777" w:rsidR="00DA5D56" w:rsidRPr="00DA5D56" w:rsidRDefault="00DA5D56" w:rsidP="00DA5D56">
      <w:pPr>
        <w:spacing w:line="360" w:lineRule="auto"/>
        <w:rPr>
          <w:rFonts w:cs="Arial"/>
        </w:rPr>
      </w:pPr>
    </w:p>
    <w:p w14:paraId="52DE1A3A" w14:textId="132F9907" w:rsidR="00DA5D56" w:rsidRPr="005E4340" w:rsidRDefault="00DA5D56" w:rsidP="005E4340">
      <w:pPr>
        <w:spacing w:line="360" w:lineRule="auto"/>
        <w:rPr>
          <w:rStyle w:val="SubtleEmphasis"/>
        </w:rPr>
      </w:pPr>
      <w:r w:rsidRPr="005E4340">
        <w:rPr>
          <w:rStyle w:val="SubtleEmphasis"/>
        </w:rPr>
        <w:t>Examples of relations between RBF values obtained manually and automatically. In the top row we depict the correlation in RBF values between observer 1 and the algorithm (a) and between observer 1 and observer 4 (b). The identity line is displayed for reference. Below we illustrate how agreement depends on the size of measurements using Bland</w:t>
      </w:r>
      <w:r w:rsidRPr="005E4340">
        <w:rPr>
          <w:rStyle w:val="SubtleEmphasis"/>
          <w:rFonts w:hint="eastAsia"/>
        </w:rPr>
        <w:t>‐</w:t>
      </w:r>
      <w:r w:rsidRPr="005E4340">
        <w:rPr>
          <w:rStyle w:val="SubtleEmphasis"/>
        </w:rPr>
        <w:t xml:space="preserve">Altman plots for observer 1 and the algorithm (c) and for observers 1 and 4 (d). reproduced from </w:t>
      </w:r>
      <w:r w:rsidRPr="005E4340">
        <w:rPr>
          <w:rStyle w:val="SubtleEmphasis"/>
        </w:rPr>
        <w:fldChar w:fldCharType="begin"/>
      </w:r>
      <w:r w:rsidRPr="005E4340">
        <w:rPr>
          <w:rStyle w:val="SubtleEmphasis"/>
        </w:rPr>
        <w:instrText xml:space="preserve"> ADDIN EN.CITE &lt;EndNote&gt;&lt;Cite&gt;&lt;Author&gt;Mouridsen&lt;/Author&gt;&lt;Year&gt;2006&lt;/Year&gt;&lt;IDText&gt;Automatic selection of arterial input function using cluster analysis&lt;/IDText&gt;&lt;DisplayText&gt;(Mouridsen et al., 2006)&lt;/DisplayText&gt;&lt;record&gt;&lt;dates&gt;&lt;pub-dates&gt;&lt;date&gt;Mar&lt;/date&gt;&lt;/pub-dates&gt;&lt;year&gt;2006&lt;/year&gt;&lt;/dates&gt;&lt;urls&gt;&lt;related-urls&gt;&lt;url&gt;&amp;lt;Go to ISI&amp;gt;://WOS:000235858400009&lt;/url&gt;&lt;/related-urls&gt;&lt;/urls&gt;&lt;isbn&gt;0740-3194&lt;/isbn&gt;&lt;titles&gt;&lt;title&gt;Automatic selection of arterial input function using cluster analysis&lt;/title&gt;&lt;secondary-title&gt;Magnetic Resonance in Medicine&lt;/secondary-title&gt;&lt;/titles&gt;&lt;pages&gt;524-531&lt;/pages&gt;&lt;number&gt;3&lt;/number&gt;&lt;contributors&gt;&lt;authors&gt;&lt;author&gt;Mouridsen, K.&lt;/author&gt;&lt;author&gt;Christensen, S.&lt;/author&gt;&lt;author&gt;Gydensted, L.&lt;/author&gt;&lt;author&gt;Ostergaard, L.&lt;/author&gt;&lt;/authors&gt;&lt;/contributors&gt;&lt;added-date format="utc"&gt;1373193149&lt;/added-date&gt;&lt;ref-type name="Journal Article"&gt;17&lt;/ref-type&gt;&lt;rec-number&gt;747&lt;/rec-number&gt;&lt;last-updated-date format="utc"&gt;1510057545&lt;/last-updated-date&gt;&lt;accession-num&gt;WOS:000235858400009&lt;/accession-num&gt;&lt;electronic-resource-num&gt;10.1002/mrm.20759&lt;/electronic-resource-num&gt;&lt;volume&gt;55&lt;/volume&gt;&lt;/record&gt;&lt;/Cite&gt;&lt;/EndNote&gt;</w:instrText>
      </w:r>
      <w:r w:rsidRPr="005E4340">
        <w:rPr>
          <w:rStyle w:val="SubtleEmphasis"/>
        </w:rPr>
        <w:fldChar w:fldCharType="separate"/>
      </w:r>
      <w:r w:rsidRPr="005E4340">
        <w:rPr>
          <w:rStyle w:val="SubtleEmphasis"/>
        </w:rPr>
        <w:t>(Mouridsen et al., 2006)</w:t>
      </w:r>
      <w:r w:rsidRPr="005E4340">
        <w:rPr>
          <w:rStyle w:val="SubtleEmphasis"/>
        </w:rPr>
        <w:fldChar w:fldCharType="end"/>
      </w:r>
      <w:r w:rsidR="00FC720B">
        <w:rPr>
          <w:rStyle w:val="SubtleEmphasis"/>
        </w:rPr>
        <w:t xml:space="preserve"> </w:t>
      </w:r>
      <w:proofErr w:type="spellStart"/>
      <w:r w:rsidR="00FB35C4" w:rsidRPr="00FB35C4">
        <w:rPr>
          <w:rFonts w:asciiTheme="minorHAnsi" w:eastAsia="Arial Unicode MS" w:hAnsiTheme="minorHAnsi" w:cstheme="minorHAnsi"/>
          <w:i/>
          <w:iCs/>
          <w:color w:val="808080"/>
          <w:sz w:val="21"/>
          <w:szCs w:val="21"/>
          <w:u w:color="808080"/>
          <w:bdr w:val="nil"/>
          <w:lang w:val="it-IT" w:eastAsia="en-GB"/>
        </w:rPr>
        <w:t>reproduced</w:t>
      </w:r>
      <w:proofErr w:type="spellEnd"/>
      <w:r w:rsidR="00FB35C4" w:rsidRPr="00FB35C4">
        <w:rPr>
          <w:rFonts w:asciiTheme="minorHAnsi" w:eastAsia="Arial Unicode MS" w:hAnsiTheme="minorHAnsi" w:cstheme="minorHAnsi"/>
          <w:i/>
          <w:iCs/>
          <w:color w:val="808080"/>
          <w:sz w:val="21"/>
          <w:szCs w:val="21"/>
          <w:u w:color="808080"/>
          <w:bdr w:val="nil"/>
          <w:lang w:val="it-IT" w:eastAsia="en-GB"/>
        </w:rPr>
        <w:t xml:space="preserve"> with </w:t>
      </w:r>
      <w:proofErr w:type="spellStart"/>
      <w:r w:rsidR="00FB35C4" w:rsidRPr="00FB35C4">
        <w:rPr>
          <w:rFonts w:asciiTheme="minorHAnsi" w:eastAsia="Arial Unicode MS" w:hAnsiTheme="minorHAnsi" w:cstheme="minorHAnsi"/>
          <w:i/>
          <w:iCs/>
          <w:color w:val="808080"/>
          <w:sz w:val="21"/>
          <w:szCs w:val="21"/>
          <w:u w:color="808080"/>
          <w:bdr w:val="nil"/>
          <w:lang w:val="it-IT" w:eastAsia="en-GB"/>
        </w:rPr>
        <w:t>permission</w:t>
      </w:r>
      <w:proofErr w:type="spellEnd"/>
      <w:r w:rsidR="00FB35C4" w:rsidRPr="00FB35C4">
        <w:rPr>
          <w:rFonts w:asciiTheme="minorHAnsi" w:eastAsia="Arial Unicode MS" w:hAnsiTheme="minorHAnsi" w:cstheme="minorHAnsi"/>
          <w:i/>
          <w:iCs/>
          <w:color w:val="808080"/>
          <w:sz w:val="21"/>
          <w:szCs w:val="21"/>
          <w:u w:color="808080"/>
          <w:bdr w:val="nil"/>
          <w:lang w:val="it-IT" w:eastAsia="en-GB"/>
        </w:rPr>
        <w:t xml:space="preserve"> </w:t>
      </w:r>
      <w:r w:rsidR="00FB35C4" w:rsidRPr="00FB35C4">
        <w:rPr>
          <w:rFonts w:asciiTheme="minorHAnsi" w:eastAsia="Arial" w:hAnsiTheme="minorHAnsi" w:cstheme="minorHAnsi"/>
          <w:i/>
          <w:iCs/>
          <w:color w:val="808080"/>
          <w:sz w:val="21"/>
          <w:szCs w:val="21"/>
          <w:u w:color="808080"/>
          <w:bdr w:val="nil"/>
          <w:lang w:eastAsia="en-GB"/>
        </w:rPr>
        <w:t>© 20</w:t>
      </w:r>
      <w:r w:rsidR="00FB35C4" w:rsidRPr="00FB35C4">
        <w:rPr>
          <w:rFonts w:asciiTheme="minorHAnsi" w:eastAsia="Arial" w:hAnsiTheme="minorHAnsi" w:cstheme="minorHAnsi"/>
          <w:i/>
          <w:iCs/>
          <w:color w:val="808080"/>
          <w:sz w:val="21"/>
          <w:szCs w:val="21"/>
          <w:u w:color="808080"/>
          <w:bdr w:val="nil"/>
          <w:lang w:eastAsia="en-GB"/>
        </w:rPr>
        <w:t>06</w:t>
      </w:r>
      <w:r w:rsidR="00FB35C4" w:rsidRPr="00FB35C4">
        <w:rPr>
          <w:rFonts w:asciiTheme="minorHAnsi" w:eastAsia="Arial" w:hAnsiTheme="minorHAnsi" w:cstheme="minorHAnsi"/>
          <w:i/>
          <w:iCs/>
          <w:color w:val="808080"/>
          <w:sz w:val="21"/>
          <w:szCs w:val="21"/>
          <w:u w:color="808080"/>
          <w:bdr w:val="nil"/>
          <w:lang w:eastAsia="en-GB"/>
        </w:rPr>
        <w:t>, John Wiley and Sons</w:t>
      </w:r>
    </w:p>
    <w:p w14:paraId="2DA117F6" w14:textId="77777777" w:rsidR="00DA5D56" w:rsidRPr="005E4340" w:rsidRDefault="00DA5D56" w:rsidP="005E4340">
      <w:pPr>
        <w:spacing w:line="360" w:lineRule="auto"/>
        <w:rPr>
          <w:rStyle w:val="SubtleEmphasis"/>
        </w:rPr>
      </w:pPr>
    </w:p>
    <w:p w14:paraId="1820F9A2" w14:textId="6895D1F7" w:rsidR="00DA5D56" w:rsidRPr="00DA5D56" w:rsidRDefault="00DA5D56" w:rsidP="00DA5D56">
      <w:pPr>
        <w:spacing w:line="360" w:lineRule="auto"/>
        <w:rPr>
          <w:rFonts w:cs="Arial"/>
        </w:rPr>
      </w:pPr>
      <w:r w:rsidRPr="00DA5D56">
        <w:rPr>
          <w:rFonts w:cs="Arial"/>
          <w:highlight w:val="white"/>
        </w:rPr>
        <w:t>Normalisation is a feature of the relative measurement of perfusion by DSC-MRI</w:t>
      </w:r>
      <w:r w:rsidR="0056458E">
        <w:rPr>
          <w:rFonts w:cs="Arial"/>
          <w:highlight w:val="white"/>
        </w:rPr>
        <w:t xml:space="preserve"> which some groups have used to overcome the problem of variability in the AIF</w:t>
      </w:r>
      <w:r w:rsidRPr="00DA5D56">
        <w:rPr>
          <w:rFonts w:cs="Arial"/>
          <w:highlight w:val="white"/>
        </w:rPr>
        <w:t xml:space="preserve">.  We </w:t>
      </w:r>
      <w:r w:rsidR="0056458E">
        <w:rPr>
          <w:rFonts w:cs="Arial"/>
          <w:highlight w:val="white"/>
        </w:rPr>
        <w:t>performed</w:t>
      </w:r>
      <w:r w:rsidRPr="00DA5D56">
        <w:rPr>
          <w:rFonts w:cs="Arial"/>
          <w:highlight w:val="white"/>
        </w:rPr>
        <w:t xml:space="preserve"> a standardisation </w:t>
      </w:r>
      <w:r w:rsidR="0056458E">
        <w:rPr>
          <w:rFonts w:cs="Arial"/>
          <w:highlight w:val="white"/>
        </w:rPr>
        <w:t xml:space="preserve">of the perfusion parameter measurements </w:t>
      </w:r>
      <w:r w:rsidRPr="00DA5D56">
        <w:rPr>
          <w:rFonts w:cs="Arial"/>
          <w:highlight w:val="white"/>
        </w:rPr>
        <w:t xml:space="preserve">to the parieto-occipital white matter </w:t>
      </w:r>
      <w:r w:rsidR="0056458E">
        <w:rPr>
          <w:rFonts w:cs="Arial"/>
          <w:highlight w:val="white"/>
        </w:rPr>
        <w:t>ROI</w:t>
      </w:r>
      <w:r w:rsidRPr="00DA5D56">
        <w:rPr>
          <w:rFonts w:cs="Arial"/>
          <w:highlight w:val="white"/>
        </w:rPr>
        <w:t xml:space="preserve"> as described by </w:t>
      </w:r>
      <w:proofErr w:type="spellStart"/>
      <w:r w:rsidRPr="00DA5D56">
        <w:rPr>
          <w:rFonts w:cs="Arial"/>
          <w:highlight w:val="white"/>
        </w:rPr>
        <w:t>Willats</w:t>
      </w:r>
      <w:proofErr w:type="spellEnd"/>
      <w:r w:rsidRPr="00DA5D56">
        <w:rPr>
          <w:rFonts w:cs="Arial"/>
          <w:highlight w:val="white"/>
        </w:rPr>
        <w:t xml:space="preserve"> and </w:t>
      </w:r>
      <w:proofErr w:type="spellStart"/>
      <w:r w:rsidRPr="00DA5D56">
        <w:rPr>
          <w:rFonts w:cs="Arial"/>
          <w:highlight w:val="white"/>
        </w:rPr>
        <w:t>Calamante</w:t>
      </w:r>
      <w:proofErr w:type="spellEnd"/>
      <w:r w:rsidRPr="00DA5D56">
        <w:rPr>
          <w:rFonts w:cs="Arial"/>
          <w:highlight w:val="white"/>
        </w:rPr>
        <w:t xml:space="preserve"> </w:t>
      </w:r>
      <w:r w:rsidRPr="00DA5D56">
        <w:rPr>
          <w:rFonts w:eastAsia="Times New Roman" w:cs="Arial"/>
          <w:shd w:val="clear" w:color="auto" w:fill="FFFFFF"/>
        </w:rPr>
        <w:fldChar w:fldCharType="begin"/>
      </w:r>
      <w:r w:rsidR="009968E0">
        <w:rPr>
          <w:rFonts w:eastAsia="Times New Roman" w:cs="Arial"/>
          <w:shd w:val="clear" w:color="auto" w:fill="FFFFFF"/>
        </w:rPr>
        <w:instrText xml:space="preserve"> ADDIN EN.CITE &lt;EndNote&gt;&lt;Cite ExcludeAuth="1"&gt;&lt;Author&gt;Willats&lt;/Author&gt;&lt;Year&gt;2013&lt;/Year&gt;&lt;IDText&gt;The 39 steps: evading error and deciphering the secrets for accurate dynamic susceptibility contrast MRI&lt;/IDText&gt;&lt;DisplayText&gt;(2013a)&lt;/DisplayText&gt;&lt;record&gt;&lt;dates&gt;&lt;pub-dates&gt;&lt;date&gt;Aug&lt;/date&gt;&lt;/pub-dates&gt;&lt;year&gt;2013&lt;/year&gt;&lt;/dates&gt;&lt;urls&gt;&lt;related-urls&gt;&lt;url&gt;&amp;lt;Go to ISI&amp;gt;://WOS:000322167500006&lt;/url&gt;&lt;/related-urls&gt;&lt;/urls&gt;&lt;isbn&gt;0952-3480&lt;/isbn&gt;&lt;titles&gt;&lt;title&gt;The 39 steps: evading error and deciphering the secrets for accurate dynamic susceptibility contrast MRI&lt;/title&gt;&lt;secondary-title&gt;Nmr in Biomedicine&lt;/secondary-title&gt;&lt;/titles&gt;&lt;pages&gt;913-931&lt;/pages&gt;&lt;number&gt;8&lt;/number&gt;&lt;contributors&gt;&lt;authors&gt;&lt;author&gt;Willats, Lisa&lt;/author&gt;&lt;author&gt;Calamante, Fernando&lt;/author&gt;&lt;/authors&gt;&lt;/contributors&gt;&lt;added-date format="utc"&gt;1510057848&lt;/added-date&gt;&lt;ref-type name="Journal Article"&gt;17&lt;/ref-type&gt;&lt;rec-number&gt;888&lt;/rec-number&gt;&lt;last-updated-date format="utc"&gt;1510057848&lt;/last-updated-date&gt;&lt;accession-num&gt;WOS:000322167500006&lt;/accession-num&gt;&lt;electronic-resource-num&gt;10.1002/nbm.2833&lt;/electronic-resource-num&gt;&lt;volume&gt;26&lt;/volume&gt;&lt;/record&gt;&lt;/Cite&gt;&lt;/EndNote&gt;</w:instrText>
      </w:r>
      <w:r w:rsidRPr="00DA5D56">
        <w:rPr>
          <w:rFonts w:eastAsia="Times New Roman" w:cs="Arial"/>
          <w:shd w:val="clear" w:color="auto" w:fill="FFFFFF"/>
        </w:rPr>
        <w:fldChar w:fldCharType="separate"/>
      </w:r>
      <w:r w:rsidR="009968E0">
        <w:rPr>
          <w:rFonts w:eastAsia="Times New Roman" w:cs="Arial"/>
          <w:noProof/>
          <w:shd w:val="clear" w:color="auto" w:fill="FFFFFF"/>
        </w:rPr>
        <w:t>(2013a)</w:t>
      </w:r>
      <w:r w:rsidRPr="00DA5D56">
        <w:rPr>
          <w:rFonts w:eastAsia="Times New Roman" w:cs="Arial"/>
          <w:shd w:val="clear" w:color="auto" w:fill="FFFFFF"/>
        </w:rPr>
        <w:fldChar w:fldCharType="end"/>
      </w:r>
      <w:r w:rsidRPr="00DA5D56">
        <w:rPr>
          <w:rFonts w:eastAsia="Times New Roman" w:cs="Arial"/>
          <w:shd w:val="clear" w:color="auto" w:fill="FFFFFF"/>
        </w:rPr>
        <w:t>.</w:t>
      </w:r>
      <w:r w:rsidRPr="00DA5D56">
        <w:rPr>
          <w:rFonts w:cs="Arial"/>
          <w:highlight w:val="white"/>
        </w:rPr>
        <w:t xml:space="preserve"> </w:t>
      </w:r>
      <w:r w:rsidR="0056458E">
        <w:rPr>
          <w:rFonts w:cs="Arial"/>
          <w:highlight w:val="white"/>
        </w:rPr>
        <w:t xml:space="preserve">  </w:t>
      </w:r>
      <w:r w:rsidRPr="00DA5D56">
        <w:rPr>
          <w:rFonts w:cs="Arial"/>
          <w:highlight w:val="white"/>
        </w:rPr>
        <w:t>ICC for the two raters for the standardised ratios (</w:t>
      </w:r>
      <w:proofErr w:type="spellStart"/>
      <w:r w:rsidRPr="00DA5D56">
        <w:rPr>
          <w:rFonts w:cs="Arial"/>
          <w:highlight w:val="white"/>
        </w:rPr>
        <w:t>st</w:t>
      </w:r>
      <w:proofErr w:type="spellEnd"/>
      <w:r w:rsidRPr="00DA5D56">
        <w:rPr>
          <w:rFonts w:cs="Arial"/>
          <w:highlight w:val="white"/>
        </w:rPr>
        <w:t xml:space="preserve">) were </w:t>
      </w:r>
      <w:proofErr w:type="spellStart"/>
      <w:r w:rsidRPr="00DA5D56">
        <w:rPr>
          <w:rFonts w:cs="Arial"/>
          <w:highlight w:val="white"/>
        </w:rPr>
        <w:t>stRBV</w:t>
      </w:r>
      <w:proofErr w:type="spellEnd"/>
      <w:r w:rsidRPr="00DA5D56">
        <w:rPr>
          <w:rFonts w:cs="Arial"/>
          <w:highlight w:val="white"/>
        </w:rPr>
        <w:t xml:space="preserve"> 0.426, </w:t>
      </w:r>
      <w:proofErr w:type="spellStart"/>
      <w:r w:rsidRPr="00DA5D56">
        <w:rPr>
          <w:rFonts w:cs="Arial"/>
          <w:highlight w:val="white"/>
        </w:rPr>
        <w:t>stRBF</w:t>
      </w:r>
      <w:proofErr w:type="spellEnd"/>
      <w:r w:rsidRPr="00DA5D56">
        <w:rPr>
          <w:rFonts w:cs="Arial"/>
          <w:highlight w:val="white"/>
        </w:rPr>
        <w:t xml:space="preserve"> 0.436, </w:t>
      </w:r>
      <w:proofErr w:type="spellStart"/>
      <w:r w:rsidRPr="00DA5D56">
        <w:rPr>
          <w:rFonts w:cs="Arial"/>
          <w:highlight w:val="white"/>
        </w:rPr>
        <w:t>stMTT</w:t>
      </w:r>
      <w:proofErr w:type="spellEnd"/>
      <w:r w:rsidRPr="00DA5D56">
        <w:rPr>
          <w:rFonts w:cs="Arial"/>
          <w:highlight w:val="white"/>
        </w:rPr>
        <w:t xml:space="preserve"> 0.633, </w:t>
      </w:r>
      <w:proofErr w:type="spellStart"/>
      <w:r w:rsidRPr="00DA5D56">
        <w:rPr>
          <w:rFonts w:cs="Arial"/>
          <w:highlight w:val="white"/>
        </w:rPr>
        <w:t>stTTP</w:t>
      </w:r>
      <w:proofErr w:type="spellEnd"/>
      <w:r w:rsidRPr="00DA5D56">
        <w:rPr>
          <w:rFonts w:cs="Arial"/>
          <w:highlight w:val="white"/>
        </w:rPr>
        <w:t xml:space="preserve"> 0.798 (quantitative: </w:t>
      </w:r>
      <w:r w:rsidRPr="00DA5D56">
        <w:rPr>
          <w:rFonts w:cs="Arial"/>
        </w:rPr>
        <w:t xml:space="preserve">RBV=0.443, RBF =0.710, MTT= 0.618, TTP 0.837) </w:t>
      </w:r>
      <w:r w:rsidRPr="00DA5D56">
        <w:rPr>
          <w:rFonts w:cs="Arial"/>
          <w:highlight w:val="white"/>
        </w:rPr>
        <w:t xml:space="preserve">which represented a decrease in the ICC for RBF and TTP and no improvement in RBV and MTT.  Hence, quantification using AIF was superior to standardised values. </w:t>
      </w:r>
    </w:p>
    <w:p w14:paraId="44157758" w14:textId="77777777" w:rsidR="00DA5D56" w:rsidRPr="00DA5D56" w:rsidRDefault="00DA5D56" w:rsidP="00DA5D56">
      <w:pPr>
        <w:spacing w:line="360" w:lineRule="auto"/>
        <w:rPr>
          <w:rFonts w:cs="Arial"/>
        </w:rPr>
      </w:pPr>
      <w:r w:rsidRPr="00DA5D56">
        <w:rPr>
          <w:rFonts w:cs="Arial"/>
        </w:rPr>
        <w:t xml:space="preserve">In comparison to BOLD fMRI, DSC-MRI has similar reproducibility.  Because BOLD fMRI is event related and relies on comparison to baseline activation, reproducibility is determined by the reliability of the same voxels being activated if the same protocol is run multiple times.  BOLD fMRI is a completely automated technique and so sources of inter-rater error are nil.  Quoted ICC values for BOLD fMRI regardless of the event or task given to the subjects is 0.50 with an average cluster overlap of 29% </w:t>
      </w:r>
      <w:r w:rsidRPr="00DA5D56">
        <w:rPr>
          <w:rFonts w:cs="Arial"/>
        </w:rPr>
        <w:fldChar w:fldCharType="begin"/>
      </w:r>
      <w:r w:rsidRPr="00DA5D56">
        <w:rPr>
          <w:rFonts w:cs="Arial"/>
        </w:rPr>
        <w:instrText xml:space="preserve"> ADDIN EN.CITE &lt;EndNote&gt;&lt;Cite&gt;&lt;Author&gt;Bennett&lt;/Author&gt;&lt;Year&gt;2010&lt;/Year&gt;&lt;IDText&gt;How reliable are the results from functional magnetic resonance imaging?&lt;/IDText&gt;&lt;DisplayText&gt;(Bennett and Miller, 2010)&lt;/DisplayText&gt;&lt;record&gt;&lt;dates&gt;&lt;pub-dates&gt;&lt;date&gt;Mar&lt;/date&gt;&lt;/pub-dates&gt;&lt;year&gt;2010&lt;/year&gt;&lt;/dates&gt;&lt;keywords&gt;&lt;keyword&gt;Humans&lt;/keyword&gt;&lt;keyword&gt;Magnetic Resonance Imaging&lt;/keyword&gt;&lt;keyword&gt;Reproducibility of Results&lt;/keyword&gt;&lt;/keywords&gt;&lt;urls&gt;&lt;related-urls&gt;&lt;url&gt;https://www.ncbi.nlm.nih.gov/pubmed/20392279&lt;/url&gt;&lt;/related-urls&gt;&lt;/urls&gt;&lt;isbn&gt;1749-6632&lt;/isbn&gt;&lt;titles&gt;&lt;title&gt;How reliable are the results from functional magnetic resonance imaging?&lt;/title&gt;&lt;secondary-title&gt;Ann N Y Acad Sci&lt;/secondary-title&gt;&lt;/titles&gt;&lt;pages&gt;133-55&lt;/pages&gt;&lt;contributors&gt;&lt;authors&gt;&lt;author&gt;Bennett, C. M.&lt;/author&gt;&lt;author&gt;Miller, M. B.&lt;/author&gt;&lt;/authors&gt;&lt;/contributors&gt;&lt;language&gt;eng&lt;/language&gt;&lt;added-date format="utc"&gt;1598856981&lt;/added-date&gt;&lt;ref-type name="Journal Article"&gt;17&lt;/ref-type&gt;&lt;rec-number&gt;1339&lt;/rec-number&gt;&lt;last-updated-date format="utc"&gt;1598856981&lt;/last-updated-date&gt;&lt;accession-num&gt;20392279&lt;/accession-num&gt;&lt;electronic-resource-num&gt;10.1111/j.1749-6632.2010.05446.x&lt;/electronic-resource-num&gt;&lt;volume&gt;1191&lt;/volume&gt;&lt;/record&gt;&lt;/Cite&gt;&lt;/EndNote&gt;</w:instrText>
      </w:r>
      <w:r w:rsidRPr="00DA5D56">
        <w:rPr>
          <w:rFonts w:cs="Arial"/>
        </w:rPr>
        <w:fldChar w:fldCharType="separate"/>
      </w:r>
      <w:r w:rsidRPr="00DA5D56">
        <w:rPr>
          <w:rFonts w:cs="Arial"/>
          <w:noProof/>
        </w:rPr>
        <w:t>(Bennett and Miller, 2010)</w:t>
      </w:r>
      <w:r w:rsidRPr="00DA5D56">
        <w:rPr>
          <w:rFonts w:cs="Arial"/>
        </w:rPr>
        <w:fldChar w:fldCharType="end"/>
      </w:r>
      <w:r w:rsidRPr="00DA5D56">
        <w:rPr>
          <w:rFonts w:cs="Arial"/>
        </w:rPr>
        <w:t xml:space="preserve">.  Using a thermal noxious stimulus was reported to give a test retest ICC of </w:t>
      </w:r>
      <w:r w:rsidRPr="00DA5D56">
        <w:rPr>
          <w:rFonts w:cs="Arial"/>
        </w:rPr>
        <w:lastRenderedPageBreak/>
        <w:t xml:space="preserve">between 0.32 to 0.71 </w:t>
      </w:r>
      <w:r w:rsidRPr="00DA5D56">
        <w:rPr>
          <w:rFonts w:cs="Arial"/>
        </w:rPr>
        <w:fldChar w:fldCharType="begin"/>
      </w:r>
      <w:r w:rsidRPr="00DA5D56">
        <w:rPr>
          <w:rFonts w:cs="Arial"/>
        </w:rPr>
        <w:instrText xml:space="preserve"> ADDIN EN.CITE &lt;EndNote&gt;&lt;Cite&gt;&lt;Author&gt;Letzen&lt;/Author&gt;&lt;Year&gt;2014&lt;/Year&gt;&lt;IDText&gt;Test-retest reliability of pain-related brain activity in healthy controls undergoing experimental thermal pain&lt;/IDText&gt;&lt;DisplayText&gt;(Letzen et al., 2014)&lt;/DisplayText&gt;&lt;record&gt;&lt;dates&gt;&lt;pub-dates&gt;&lt;date&gt;Oct&lt;/date&gt;&lt;/pub-dates&gt;&lt;year&gt;2014&lt;/year&gt;&lt;/dates&gt;&lt;keywords&gt;&lt;keyword&gt;Brain&lt;/keyword&gt;&lt;keyword&gt;Brain Mapping&lt;/keyword&gt;&lt;keyword&gt;Female&lt;/keyword&gt;&lt;keyword&gt;Hot Temperature&lt;/keyword&gt;&lt;keyword&gt;Humans&lt;/keyword&gt;&lt;keyword&gt;Linear Models&lt;/keyword&gt;&lt;keyword&gt;Magnetic Resonance Imaging&lt;/keyword&gt;&lt;keyword&gt;Male&lt;/keyword&gt;&lt;keyword&gt;Pain&lt;/keyword&gt;&lt;keyword&gt;Pain Measurement&lt;/keyword&gt;&lt;keyword&gt;Psychometrics&lt;/keyword&gt;&lt;keyword&gt;Reproducibility of Results&lt;/keyword&gt;&lt;keyword&gt;Self Report&lt;/keyword&gt;&lt;keyword&gt;Young Adult&lt;/keyword&gt;&lt;keyword&gt;Functional magnetic resonance imaging&lt;/keyword&gt;&lt;keyword&gt;anterior cingulate cortex&lt;/keyword&gt;&lt;keyword&gt;insula&lt;/keyword&gt;&lt;keyword&gt;test-retest reliability&lt;/keyword&gt;&lt;/keywords&gt;&lt;urls&gt;&lt;related-urls&gt;&lt;url&gt;https://www.ncbi.nlm.nih.gov/pubmed/24998897&lt;/url&gt;&lt;/related-urls&gt;&lt;/urls&gt;&lt;isbn&gt;1528-8447&lt;/isbn&gt;&lt;custom2&gt;PMC4182117&lt;/custom2&gt;&lt;titles&gt;&lt;title&gt;Test-retest reliability of pain-related brain activity in healthy controls undergoing experimental thermal pain&lt;/title&gt;&lt;secondary-title&gt;J Pain&lt;/secondary-title&gt;&lt;/titles&gt;&lt;pages&gt;1008-14&lt;/pages&gt;&lt;number&gt;10&lt;/number&gt;&lt;contributors&gt;&lt;authors&gt;&lt;author&gt;Letzen, J. E.&lt;/author&gt;&lt;author&gt;Sevel, L. S.&lt;/author&gt;&lt;author&gt;Gay, C. W.&lt;/author&gt;&lt;author&gt;O&amp;apos;Shea, A. M.&lt;/author&gt;&lt;author&gt;Craggs, J. G.&lt;/author&gt;&lt;author&gt;Price, D. D.&lt;/author&gt;&lt;author&gt;Robinson, M. E.&lt;/author&gt;&lt;/authors&gt;&lt;/contributors&gt;&lt;edition&gt;2014/07/03&lt;/edition&gt;&lt;language&gt;eng&lt;/language&gt;&lt;added-date format="utc"&gt;1598856714&lt;/added-date&gt;&lt;ref-type name="Journal Article"&gt;17&lt;/ref-type&gt;&lt;rec-number&gt;1338&lt;/rec-number&gt;&lt;last-updated-date format="utc"&gt;1598856714&lt;/last-updated-date&gt;&lt;accession-num&gt;24998897&lt;/accession-num&gt;&lt;electronic-resource-num&gt;10.1016/j.jpain.2014.06.011&lt;/electronic-resource-num&gt;&lt;volume&gt;15&lt;/volume&gt;&lt;/record&gt;&lt;/Cite&gt;&lt;/EndNote&gt;</w:instrText>
      </w:r>
      <w:r w:rsidRPr="00DA5D56">
        <w:rPr>
          <w:rFonts w:cs="Arial"/>
        </w:rPr>
        <w:fldChar w:fldCharType="separate"/>
      </w:r>
      <w:r w:rsidRPr="00DA5D56">
        <w:rPr>
          <w:rFonts w:cs="Arial"/>
          <w:noProof/>
        </w:rPr>
        <w:t>(Letzen et al., 2014)</w:t>
      </w:r>
      <w:r w:rsidRPr="00DA5D56">
        <w:rPr>
          <w:rFonts w:cs="Arial"/>
        </w:rPr>
        <w:fldChar w:fldCharType="end"/>
      </w:r>
      <w:r w:rsidRPr="00DA5D56">
        <w:rPr>
          <w:rFonts w:cs="Arial"/>
        </w:rPr>
        <w:t xml:space="preserve">.  DSC-MRI test retest reliability has been reported as between 0.68 and 0.92, which is superior to BOLD fMRI </w:t>
      </w:r>
      <w:r w:rsidRPr="00DA5D56">
        <w:rPr>
          <w:rFonts w:cs="Arial"/>
        </w:rPr>
        <w:fldChar w:fldCharType="begin">
          <w:fldData xml:space="preserve">PEVuZE5vdGU+PENpdGU+PEF1dGhvcj5IZW5yeTwvQXV0aG9yPjxZZWFyPjIwMDE8L1llYXI+PElE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</w:fldData>
        </w:fldChar>
      </w:r>
      <w:r w:rsidRPr="00DA5D56">
        <w:rPr>
          <w:rFonts w:cs="Arial"/>
        </w:rPr>
        <w:instrText xml:space="preserve"> ADDIN EN.CITE </w:instrText>
      </w:r>
      <w:r w:rsidRPr="00DA5D56">
        <w:rPr>
          <w:rFonts w:cs="Arial"/>
        </w:rPr>
        <w:fldChar w:fldCharType="begin">
          <w:fldData xml:space="preserve">PEVuZE5vdGU+PENpdGU+PEF1dGhvcj5IZW5yeTwvQXV0aG9yPjxZZWFyPjIwMDE8L1llYXI+PElE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</w:fldData>
        </w:fldChar>
      </w:r>
      <w:r w:rsidRPr="00DA5D56">
        <w:rPr>
          <w:rFonts w:cs="Arial"/>
        </w:rPr>
        <w:instrText xml:space="preserve"> ADDIN EN.CITE.DATA </w:instrText>
      </w:r>
      <w:r w:rsidRPr="00DA5D56">
        <w:rPr>
          <w:rFonts w:cs="Arial"/>
        </w:rPr>
      </w:r>
      <w:r w:rsidRPr="00DA5D56">
        <w:rPr>
          <w:rFonts w:cs="Arial"/>
        </w:rPr>
        <w:fldChar w:fldCharType="end"/>
      </w:r>
      <w:r w:rsidRPr="00DA5D56">
        <w:rPr>
          <w:rFonts w:cs="Arial"/>
        </w:rPr>
      </w:r>
      <w:r w:rsidRPr="00DA5D56">
        <w:rPr>
          <w:rFonts w:cs="Arial"/>
        </w:rPr>
        <w:fldChar w:fldCharType="separate"/>
      </w:r>
      <w:r w:rsidRPr="00DA5D56">
        <w:rPr>
          <w:rFonts w:cs="Arial"/>
          <w:noProof/>
        </w:rPr>
        <w:t>(Henry et al., 2001, Shin et al., 2007)</w:t>
      </w:r>
      <w:r w:rsidRPr="00DA5D56">
        <w:rPr>
          <w:rFonts w:cs="Arial"/>
        </w:rPr>
        <w:fldChar w:fldCharType="end"/>
      </w:r>
      <w:r w:rsidRPr="00DA5D56">
        <w:rPr>
          <w:rFonts w:cs="Arial"/>
        </w:rPr>
        <w:t xml:space="preserve">.  Therefore, despite the limitations to the technique, DSC-MRI is a good option for perfusion measurement with good to excellent test retest agreement between visits and therefore comparable or superior to BOLD fMRI.  Unfortunately, one of the limitations of this study is that we did not repeat the contrast scan on an interim visit between the baseline and the pain condition.  This means that we cannot comment on the test retest reliability of the perfusion findings at baseline in subjects with P-DPN, although the previous literature has reported very good to excellent agreement as discussed above.  We considered the ethical considerations of multiple doses of contrast in a population at higher risk of nephrogenic systemic fibrosis and the burden of another visit, to outweigh the benefits of a further baseline scan.  </w:t>
      </w:r>
    </w:p>
    <w:p w14:paraId="06904D5A" w14:textId="77777777" w:rsidR="00DA5D56" w:rsidRPr="00DA5D56" w:rsidRDefault="00DA5D56" w:rsidP="00DA5D56">
      <w:pPr>
        <w:spacing w:line="360" w:lineRule="auto"/>
        <w:rPr>
          <w:rFonts w:cs="Arial"/>
          <w:highlight w:val="white"/>
        </w:rPr>
      </w:pPr>
    </w:p>
    <w:p w14:paraId="68F43C20" w14:textId="6DDFF83A" w:rsidR="00DA5D56" w:rsidRPr="00045933" w:rsidRDefault="00DA5D56" w:rsidP="00045933">
      <w:pPr>
        <w:pStyle w:val="Heading2"/>
      </w:pPr>
      <w:bookmarkStart w:id="301" w:name="_Toc46213534"/>
      <w:bookmarkStart w:id="302" w:name="_Toc49766052"/>
      <w:bookmarkStart w:id="303" w:name="_Toc64723928"/>
      <w:r w:rsidRPr="00045933">
        <w:rPr>
          <w:rStyle w:val="Heading2Char"/>
          <w:b/>
          <w:bCs/>
        </w:rPr>
        <w:t>Conclusion</w:t>
      </w:r>
      <w:r w:rsidRPr="00045933">
        <w:t>:</w:t>
      </w:r>
      <w:bookmarkEnd w:id="301"/>
      <w:bookmarkEnd w:id="302"/>
      <w:bookmarkEnd w:id="303"/>
      <w:r w:rsidRPr="00045933">
        <w:t xml:space="preserve"> </w:t>
      </w:r>
    </w:p>
    <w:p w14:paraId="7CB38DEF" w14:textId="77777777" w:rsidR="00DA5D56" w:rsidRPr="00DA5D56" w:rsidRDefault="00DA5D56" w:rsidP="00DA5D56">
      <w:pPr>
        <w:spacing w:line="360" w:lineRule="auto"/>
        <w:rPr>
          <w:rFonts w:cs="Arial"/>
        </w:rPr>
        <w:sectPr w:rsidR="00DA5D56" w:rsidRPr="00DA5D56" w:rsidSect="000C4457">
          <w:pgSz w:w="11900" w:h="16840"/>
          <w:pgMar w:top="1440" w:right="1418" w:bottom="1440" w:left="1418" w:header="709" w:footer="709" w:gutter="0"/>
          <w:cols w:space="720" w:equalWidth="0">
            <w:col w:w="9360"/>
          </w:cols>
        </w:sectPr>
      </w:pPr>
      <w:r w:rsidRPr="00DA5D56">
        <w:rPr>
          <w:rFonts w:cs="Arial"/>
        </w:rPr>
        <w:t xml:space="preserve">The DSC-MRI results were compared between two raters.  The best inter-rater reliability and hence the most robust measure of cerebral perfusion, was for the measure TTP.  Bland-Altman plots and ICC values were consistent with previously published reports for this technique.  </w:t>
      </w:r>
      <w:r w:rsidRPr="00DA5D56">
        <w:rPr>
          <w:rFonts w:cs="Arial"/>
          <w:highlight w:val="white"/>
        </w:rPr>
        <w:t>The ICC was considered to be excellent for TTP, good for the MTT and RBF and fair for the RBV</w:t>
      </w:r>
      <w:r w:rsidRPr="00DA5D56">
        <w:rPr>
          <w:rFonts w:cs="Arial"/>
        </w:rPr>
        <w:t xml:space="preserve"> </w:t>
      </w:r>
      <w:r w:rsidRPr="00DA5D56">
        <w:rPr>
          <w:rFonts w:eastAsia="Times New Roman" w:cs="Arial"/>
          <w:shd w:val="clear" w:color="auto" w:fill="FFFFFF"/>
        </w:rPr>
        <w:fldChar w:fldCharType="begin"/>
      </w:r>
      <w:r w:rsidRPr="00DA5D56">
        <w:rPr>
          <w:rFonts w:eastAsia="Times New Roman" w:cs="Arial"/>
          <w:shd w:val="clear" w:color="auto" w:fill="FFFFFF"/>
        </w:rPr>
        <w:instrText xml:space="preserve"> ADDIN EN.CITE &lt;EndNote&gt;&lt;Cite&gt;&lt;Author&gt;Cicchetti&lt;/Author&gt;&lt;Year&gt;1994&lt;/Year&gt;&lt;IDText&gt;Guidelines, criteria, and rules of thumb for evaluating normed and standardized assessment instruments in psychology.&lt;/IDText&gt;&lt;DisplayText&gt;(Cicchetti, 1994)&lt;/DisplayText&gt;&lt;record&gt;&lt;titles&gt;&lt;title&gt;Guidelines, criteria, and rules of thumb for evaluating normed and standardized assessment instruments in psychology.&lt;/title&gt;&lt;secondary-title&gt;Psychological Assessment&lt;/secondary-title&gt;&lt;/titles&gt;&lt;pages&gt;284-290&lt;/pages&gt;&lt;number&gt;4&lt;/number&gt;&lt;contributors&gt;&lt;authors&gt;&lt;author&gt;Cicchetti, D&lt;/author&gt;&lt;/authors&gt;&lt;/contributors&gt;&lt;added-date format="utc"&gt;1511451375&lt;/added-date&gt;&lt;ref-type name="Journal Article"&gt;17&lt;/ref-type&gt;&lt;dates&gt;&lt;year&gt;1994&lt;/year&gt;&lt;/dates&gt;&lt;rec-number&gt;901&lt;/rec-number&gt;&lt;last-updated-date format="utc"&gt;1511451491&lt;/last-updated-date&gt;&lt;electronic-resource-num&gt;http://dx.doi.org/10.1037/1040-3590.6.4.284&lt;/electronic-resource-num&gt;&lt;volume&gt;6&lt;/volume&gt;&lt;/record&gt;&lt;/Cite&gt;&lt;/EndNote&gt;</w:instrText>
      </w:r>
      <w:r w:rsidRPr="00DA5D56">
        <w:rPr>
          <w:rFonts w:eastAsia="Times New Roman" w:cs="Arial"/>
          <w:shd w:val="clear" w:color="auto" w:fill="FFFFFF"/>
        </w:rPr>
        <w:fldChar w:fldCharType="separate"/>
      </w:r>
      <w:r w:rsidRPr="00DA5D56">
        <w:rPr>
          <w:rFonts w:eastAsia="Times New Roman" w:cs="Arial"/>
          <w:noProof/>
          <w:shd w:val="clear" w:color="auto" w:fill="FFFFFF"/>
        </w:rPr>
        <w:t>(Cicchetti, 1994)</w:t>
      </w:r>
      <w:r w:rsidRPr="00DA5D56">
        <w:rPr>
          <w:rFonts w:eastAsia="Times New Roman" w:cs="Arial"/>
          <w:shd w:val="clear" w:color="auto" w:fill="FFFFFF"/>
        </w:rPr>
        <w:fldChar w:fldCharType="end"/>
      </w:r>
      <w:r w:rsidRPr="00DA5D56">
        <w:rPr>
          <w:rFonts w:eastAsia="Times New Roman" w:cs="Arial"/>
          <w:shd w:val="clear" w:color="auto" w:fill="FFFFFF"/>
        </w:rPr>
        <w:t>.</w:t>
      </w:r>
      <w:r w:rsidRPr="00DA5D56">
        <w:rPr>
          <w:rFonts w:cs="Arial"/>
          <w:highlight w:val="white"/>
        </w:rPr>
        <w:t xml:space="preserve">  </w:t>
      </w:r>
      <w:r w:rsidRPr="00DA5D56">
        <w:rPr>
          <w:rFonts w:cs="Arial"/>
        </w:rPr>
        <w:t xml:space="preserve">These results validate the scanning and analysis protocol and will allow generalisability of the results.  </w:t>
      </w:r>
    </w:p>
    <w:p w14:paraId="405E115A" w14:textId="29EB5A9D" w:rsidR="00052BEA" w:rsidRPr="00052BEA" w:rsidRDefault="00052BEA" w:rsidP="005E4340">
      <w:pPr>
        <w:pStyle w:val="Heading1"/>
      </w:pPr>
      <w:bookmarkStart w:id="304" w:name="_Toc44861328"/>
      <w:bookmarkStart w:id="305" w:name="_Toc64723929"/>
      <w:r w:rsidRPr="00052BEA">
        <w:lastRenderedPageBreak/>
        <w:t xml:space="preserve">Chapter 4: </w:t>
      </w:r>
      <w:r w:rsidR="007D7DEA">
        <w:t>Microvascular</w:t>
      </w:r>
      <w:r w:rsidRPr="00052BEA">
        <w:t xml:space="preserve"> </w:t>
      </w:r>
      <w:r w:rsidR="003537D7">
        <w:t>P</w:t>
      </w:r>
      <w:r w:rsidRPr="00052BEA">
        <w:t xml:space="preserve">erfusion </w:t>
      </w:r>
      <w:r w:rsidR="003537D7">
        <w:t>C</w:t>
      </w:r>
      <w:r w:rsidRPr="00052BEA">
        <w:t xml:space="preserve">haracteristics of the </w:t>
      </w:r>
      <w:r w:rsidR="003537D7">
        <w:t>T</w:t>
      </w:r>
      <w:r w:rsidRPr="00052BEA">
        <w:t xml:space="preserve">halamus and </w:t>
      </w:r>
      <w:r w:rsidR="003537D7">
        <w:t>A</w:t>
      </w:r>
      <w:r w:rsidRPr="00052BEA">
        <w:t xml:space="preserve">reas of the </w:t>
      </w:r>
      <w:r w:rsidR="003537D7">
        <w:t>P</w:t>
      </w:r>
      <w:r w:rsidRPr="00052BEA">
        <w:t xml:space="preserve">ain </w:t>
      </w:r>
      <w:r w:rsidR="003537D7">
        <w:t>M</w:t>
      </w:r>
      <w:r w:rsidRPr="00052BEA">
        <w:t xml:space="preserve">atrix at </w:t>
      </w:r>
      <w:r w:rsidR="003537D7">
        <w:t>B</w:t>
      </w:r>
      <w:r w:rsidRPr="00052BEA">
        <w:t xml:space="preserve">aseline </w:t>
      </w:r>
      <w:r w:rsidR="003537D7">
        <w:t>U</w:t>
      </w:r>
      <w:r w:rsidRPr="00052BEA">
        <w:t xml:space="preserve">sing </w:t>
      </w:r>
      <w:r w:rsidR="003537D7">
        <w:t>D</w:t>
      </w:r>
      <w:r w:rsidRPr="00052BEA">
        <w:t xml:space="preserve">ynamic </w:t>
      </w:r>
      <w:r w:rsidR="003537D7">
        <w:t>S</w:t>
      </w:r>
      <w:r w:rsidRPr="00052BEA">
        <w:t xml:space="preserve">usceptibility </w:t>
      </w:r>
      <w:r w:rsidR="003537D7">
        <w:t>C</w:t>
      </w:r>
      <w:r w:rsidRPr="00052BEA">
        <w:t>ontrast</w:t>
      </w:r>
      <w:r w:rsidR="003537D7">
        <w:t xml:space="preserve"> Magnetic Resonance Imaging</w:t>
      </w:r>
      <w:r w:rsidRPr="00052BEA">
        <w:t>.</w:t>
      </w:r>
      <w:bookmarkEnd w:id="304"/>
      <w:bookmarkEnd w:id="305"/>
      <w:r w:rsidRPr="00052BEA" w:rsidDel="00F31CE8">
        <w:t xml:space="preserve"> </w:t>
      </w:r>
    </w:p>
    <w:p w14:paraId="73CC8F8F" w14:textId="4E7BFD6B" w:rsidR="00052BEA" w:rsidRPr="00CA04EB" w:rsidRDefault="00052BEA" w:rsidP="00CA04EB">
      <w:pPr>
        <w:pStyle w:val="Heading2"/>
      </w:pPr>
      <w:bookmarkStart w:id="306" w:name="_Toc64723930"/>
      <w:r w:rsidRPr="00CA04EB">
        <w:t>Abstract</w:t>
      </w:r>
      <w:bookmarkEnd w:id="306"/>
    </w:p>
    <w:p w14:paraId="09AC4BA7" w14:textId="472F1689" w:rsidR="00052BEA" w:rsidRPr="00052BEA" w:rsidRDefault="00052BEA" w:rsidP="00052BEA">
      <w:pPr>
        <w:spacing w:line="360" w:lineRule="auto"/>
        <w:rPr>
          <w:rFonts w:cs="Arial"/>
        </w:rPr>
      </w:pPr>
      <w:r w:rsidRPr="005E4340">
        <w:rPr>
          <w:rFonts w:eastAsiaTheme="majorEastAsia" w:cstheme="majorBidi"/>
          <w:b/>
          <w:bCs/>
          <w:color w:val="4472C4" w:themeColor="accent1"/>
        </w:rPr>
        <w:t>Objective</w:t>
      </w:r>
      <w:r w:rsidR="00D24C18">
        <w:rPr>
          <w:rFonts w:eastAsiaTheme="majorEastAsia" w:cstheme="majorBidi"/>
          <w:b/>
          <w:bCs/>
          <w:color w:val="4472C4" w:themeColor="accent1"/>
        </w:rPr>
        <w:t>:</w:t>
      </w:r>
      <w:r w:rsidRPr="00052BEA">
        <w:rPr>
          <w:rFonts w:cs="Arial"/>
        </w:rPr>
        <w:t xml:space="preserve">  We have previously reported increased thalamic vascularity in painful diabetic peripheral neuropathy (P-DPN), but the microvascular perfusion characteristics of other pain processing areas of the brain (pain matrix) have not been assessed. The aim of this study was to measure cerebral perfusion of pain matrix areas using dynamic susceptibility contrast magnetic resonance imaging (DSC-MRI). </w:t>
      </w:r>
    </w:p>
    <w:p w14:paraId="31DEEBF5" w14:textId="0B498229" w:rsidR="00052BEA" w:rsidRPr="00052BEA" w:rsidRDefault="00052BEA" w:rsidP="00052BEA">
      <w:pPr>
        <w:spacing w:line="360" w:lineRule="auto"/>
        <w:rPr>
          <w:rFonts w:cs="Arial"/>
        </w:rPr>
      </w:pPr>
      <w:r w:rsidRPr="005E4340">
        <w:rPr>
          <w:rFonts w:eastAsiaTheme="majorEastAsia" w:cstheme="majorBidi"/>
          <w:b/>
          <w:bCs/>
          <w:color w:val="4472C4" w:themeColor="accent1"/>
        </w:rPr>
        <w:t>Methods</w:t>
      </w:r>
      <w:r w:rsidR="00D24C18">
        <w:rPr>
          <w:rFonts w:eastAsiaTheme="majorEastAsia" w:cstheme="majorBidi"/>
          <w:b/>
          <w:bCs/>
          <w:color w:val="4472C4" w:themeColor="accent1"/>
        </w:rPr>
        <w:t>:</w:t>
      </w:r>
      <w:r w:rsidRPr="00052BEA">
        <w:rPr>
          <w:rFonts w:cs="Arial"/>
        </w:rPr>
        <w:t xml:space="preserve">  55 subjects with Type 1 diabetes (T1D)</w:t>
      </w:r>
      <w:r w:rsidR="009105E0">
        <w:rPr>
          <w:rFonts w:cs="Arial"/>
        </w:rPr>
        <w:t xml:space="preserve">: </w:t>
      </w:r>
      <w:r w:rsidRPr="00052BEA">
        <w:rPr>
          <w:rFonts w:cs="Arial"/>
        </w:rPr>
        <w:t xml:space="preserve">20 </w:t>
      </w:r>
      <w:r w:rsidR="00240834" w:rsidRPr="00052BEA">
        <w:rPr>
          <w:rFonts w:cs="Arial"/>
        </w:rPr>
        <w:t>painful diabetic peripheral neuropathy</w:t>
      </w:r>
      <w:r w:rsidR="00240834">
        <w:rPr>
          <w:rFonts w:cs="Arial"/>
        </w:rPr>
        <w:t xml:space="preserve"> (P-DPN)</w:t>
      </w:r>
      <w:r w:rsidRPr="00052BEA">
        <w:rPr>
          <w:rFonts w:cs="Arial"/>
        </w:rPr>
        <w:t xml:space="preserve">, 23 painless diabetic peripheral neuropathy (DPN), 13 </w:t>
      </w:r>
      <w:r w:rsidR="00240834">
        <w:rPr>
          <w:rFonts w:cs="Arial"/>
        </w:rPr>
        <w:t>with type 1 diabetes mellitus</w:t>
      </w:r>
      <w:r w:rsidRPr="00052BEA">
        <w:rPr>
          <w:rFonts w:cs="Arial"/>
        </w:rPr>
        <w:t xml:space="preserve"> and no neuropathy (DM-NN)</w:t>
      </w:r>
      <w:r w:rsidR="00A92399">
        <w:rPr>
          <w:rFonts w:cs="Arial"/>
        </w:rPr>
        <w:t>;</w:t>
      </w:r>
      <w:r w:rsidRPr="00052BEA">
        <w:rPr>
          <w:rFonts w:cs="Arial"/>
        </w:rPr>
        <w:t xml:space="preserve"> and 19 healthy volunteers (HV), underwent detailed clinical and neurophysiological assessments. </w:t>
      </w:r>
      <w:r w:rsidR="00240834">
        <w:rPr>
          <w:rFonts w:cs="Arial"/>
        </w:rPr>
        <w:t>Dynamic susceptibility contrast magnetic resonance</w:t>
      </w:r>
      <w:r w:rsidRPr="00052BEA">
        <w:rPr>
          <w:rFonts w:cs="Arial"/>
        </w:rPr>
        <w:t xml:space="preserve"> images (3-Tesla, Philips, Netherlands) assessed the passage of intravenous gadolinium-chelate through the cerebral vascular bed at rest.  The </w:t>
      </w:r>
      <w:r w:rsidR="00240834" w:rsidRPr="00052BEA">
        <w:rPr>
          <w:rFonts w:cs="Arial"/>
        </w:rPr>
        <w:t xml:space="preserve">painful diabetic peripheral neuropathy </w:t>
      </w:r>
      <w:r w:rsidRPr="00052BEA">
        <w:rPr>
          <w:rFonts w:cs="Arial"/>
        </w:rPr>
        <w:t xml:space="preserve">group was further divided into those that had </w:t>
      </w:r>
      <w:r w:rsidR="00240834">
        <w:rPr>
          <w:rFonts w:cs="Arial"/>
        </w:rPr>
        <w:t xml:space="preserve">spontaneous </w:t>
      </w:r>
      <w:r w:rsidRPr="00052BEA">
        <w:rPr>
          <w:rFonts w:cs="Arial"/>
        </w:rPr>
        <w:t xml:space="preserve">neuropathic pain during the scan P+, and </w:t>
      </w:r>
      <w:r w:rsidR="00240834">
        <w:rPr>
          <w:rFonts w:cs="Arial"/>
        </w:rPr>
        <w:t xml:space="preserve">those with </w:t>
      </w:r>
      <w:r w:rsidRPr="00052BEA">
        <w:rPr>
          <w:rFonts w:cs="Arial"/>
        </w:rPr>
        <w:t xml:space="preserve">no </w:t>
      </w:r>
      <w:r w:rsidR="00240834">
        <w:rPr>
          <w:rFonts w:cs="Arial"/>
        </w:rPr>
        <w:t xml:space="preserve">spontaneous </w:t>
      </w:r>
      <w:r w:rsidRPr="00052BEA">
        <w:rPr>
          <w:rFonts w:cs="Arial"/>
        </w:rPr>
        <w:t xml:space="preserve">pain P-. The intensity of spontaneous neuropathic pain at the time of scanning was recorded. The regional blood volume (RBV), regional blood flow (RBF), Mean Transit Time (MTT) and time-to-peak (TTP) concentrations of gadolinium in pain matrix areas (thalamus-Thal, insular cortex -INS, anterior cingulate cortex –ACC, </w:t>
      </w:r>
      <w:r w:rsidR="00FA6171">
        <w:rPr>
          <w:rFonts w:cs="Arial"/>
        </w:rPr>
        <w:t>parieto-occipital white matter -</w:t>
      </w:r>
      <w:r w:rsidRPr="00052BEA">
        <w:rPr>
          <w:rFonts w:cs="Arial"/>
        </w:rPr>
        <w:t xml:space="preserve">POWM and primary sensory cortices - PSC), were measured and compared between groups. </w:t>
      </w:r>
    </w:p>
    <w:p w14:paraId="36515338" w14:textId="77777777" w:rsidR="00F263A4" w:rsidRDefault="00052BEA" w:rsidP="00052BEA">
      <w:pPr>
        <w:spacing w:line="360" w:lineRule="auto"/>
        <w:rPr>
          <w:rFonts w:cs="Arial"/>
        </w:rPr>
      </w:pPr>
      <w:r w:rsidRPr="005E4340">
        <w:rPr>
          <w:rFonts w:eastAsiaTheme="majorEastAsia" w:cstheme="majorBidi"/>
          <w:b/>
          <w:bCs/>
          <w:color w:val="4472C4" w:themeColor="accent1"/>
        </w:rPr>
        <w:t>Results</w:t>
      </w:r>
      <w:r w:rsidR="00D24C18">
        <w:rPr>
          <w:rFonts w:eastAsiaTheme="majorEastAsia" w:cstheme="majorBidi"/>
          <w:b/>
          <w:bCs/>
          <w:color w:val="4472C4" w:themeColor="accent1"/>
        </w:rPr>
        <w:t>:</w:t>
      </w:r>
      <w:r w:rsidRPr="00052BEA">
        <w:rPr>
          <w:rFonts w:cs="Arial"/>
        </w:rPr>
        <w:t xml:space="preserve">  M</w:t>
      </w:r>
      <w:r w:rsidR="00F263A4">
        <w:rPr>
          <w:rFonts w:cs="Arial"/>
        </w:rPr>
        <w:t>ean transit time</w:t>
      </w:r>
      <w:r w:rsidRPr="00052BEA">
        <w:rPr>
          <w:rFonts w:cs="Arial"/>
        </w:rPr>
        <w:t xml:space="preserve"> was shorter at baseline for the </w:t>
      </w:r>
      <w:r w:rsidR="00F263A4">
        <w:rPr>
          <w:rFonts w:cs="Arial"/>
        </w:rPr>
        <w:t>type 1 diabetes mellitus with no neuropathy</w:t>
      </w:r>
      <w:r w:rsidRPr="00052BEA">
        <w:rPr>
          <w:rFonts w:cs="Arial"/>
        </w:rPr>
        <w:t xml:space="preserve"> group at the left </w:t>
      </w:r>
      <w:proofErr w:type="spellStart"/>
      <w:r w:rsidR="00F263A4">
        <w:rPr>
          <w:rFonts w:cs="Arial"/>
        </w:rPr>
        <w:t>left</w:t>
      </w:r>
      <w:proofErr w:type="spellEnd"/>
      <w:r w:rsidR="00F263A4">
        <w:rPr>
          <w:rFonts w:cs="Arial"/>
        </w:rPr>
        <w:t xml:space="preserve"> insula</w:t>
      </w:r>
      <w:r w:rsidRPr="00052BEA">
        <w:rPr>
          <w:rFonts w:cs="Arial"/>
        </w:rPr>
        <w:t xml:space="preserve">, (p=.017), </w:t>
      </w:r>
      <w:r w:rsidR="00F263A4">
        <w:rPr>
          <w:rFonts w:cs="Arial"/>
        </w:rPr>
        <w:t>right insula</w:t>
      </w:r>
      <w:r w:rsidRPr="00052BEA">
        <w:rPr>
          <w:rFonts w:cs="Arial"/>
        </w:rPr>
        <w:t xml:space="preserve"> (p=.039), </w:t>
      </w:r>
      <w:r w:rsidR="00F263A4">
        <w:rPr>
          <w:rFonts w:cs="Arial"/>
        </w:rPr>
        <w:t>left primary sensory cortex</w:t>
      </w:r>
      <w:r w:rsidRPr="00052BEA">
        <w:rPr>
          <w:rFonts w:cs="Arial"/>
        </w:rPr>
        <w:t xml:space="preserve"> (p=.026), </w:t>
      </w:r>
      <w:r w:rsidR="00F263A4">
        <w:rPr>
          <w:rFonts w:cs="Arial"/>
        </w:rPr>
        <w:t>right primary sensory cortex</w:t>
      </w:r>
      <w:r w:rsidRPr="00052BEA">
        <w:rPr>
          <w:rFonts w:cs="Arial"/>
        </w:rPr>
        <w:t xml:space="preserve"> (p=.047) from the </w:t>
      </w:r>
      <w:r w:rsidR="00F263A4">
        <w:rPr>
          <w:rFonts w:cs="Arial"/>
        </w:rPr>
        <w:t>healthy volunteers</w:t>
      </w:r>
      <w:r w:rsidRPr="00052BEA">
        <w:rPr>
          <w:rFonts w:cs="Arial"/>
        </w:rPr>
        <w:t xml:space="preserve">. </w:t>
      </w:r>
    </w:p>
    <w:p w14:paraId="500EE8E0" w14:textId="3709AFE3" w:rsidR="00052BEA" w:rsidRPr="00052BEA" w:rsidRDefault="000A120B" w:rsidP="00052BEA">
      <w:pPr>
        <w:spacing w:line="360" w:lineRule="auto"/>
        <w:rPr>
          <w:rFonts w:cs="Arial"/>
        </w:rPr>
      </w:pPr>
      <w:r>
        <w:rPr>
          <w:rFonts w:cs="Arial"/>
        </w:rPr>
        <w:lastRenderedPageBreak/>
        <w:t>A subgroup analys</w:t>
      </w:r>
      <w:r w:rsidR="00A92399">
        <w:rPr>
          <w:rFonts w:cs="Arial"/>
        </w:rPr>
        <w:t>i</w:t>
      </w:r>
      <w:r>
        <w:rPr>
          <w:rFonts w:cs="Arial"/>
        </w:rPr>
        <w:t>s showed that s</w:t>
      </w:r>
      <w:r w:rsidR="00052BEA" w:rsidRPr="00052BEA">
        <w:rPr>
          <w:rFonts w:cs="Arial"/>
        </w:rPr>
        <w:t xml:space="preserve">ubjects experiencing spontaneous neuropathic pain (P+, n=10, VAS score </w:t>
      </w:r>
      <m:oMath>
        <m:r>
          <w:rPr>
            <w:rFonts w:ascii="Cambria Math" w:hAnsi="Cambria Math" w:cs="Arial"/>
          </w:rPr>
          <m:t>≥</m:t>
        </m:r>
      </m:oMath>
      <w:r w:rsidR="00052BEA" w:rsidRPr="00052BEA">
        <w:rPr>
          <w:rFonts w:cs="Arial"/>
        </w:rPr>
        <w:t xml:space="preserve"> 4) during scanning had significantly shorter mean </w:t>
      </w:r>
      <w:r w:rsidR="00F263A4">
        <w:rPr>
          <w:rFonts w:cs="Arial"/>
        </w:rPr>
        <w:t>time-to-peak concentration</w:t>
      </w:r>
      <w:r w:rsidR="00052BEA" w:rsidRPr="00052BEA">
        <w:rPr>
          <w:rFonts w:cs="Arial"/>
        </w:rPr>
        <w:t xml:space="preserve"> in seconds at the </w:t>
      </w:r>
      <w:r w:rsidR="00F263A4">
        <w:rPr>
          <w:rFonts w:cs="Arial"/>
        </w:rPr>
        <w:t>right thalamus</w:t>
      </w:r>
      <w:r w:rsidR="00052BEA" w:rsidRPr="00052BEA">
        <w:rPr>
          <w:rFonts w:cs="Arial"/>
        </w:rPr>
        <w:t xml:space="preserve">: vs </w:t>
      </w:r>
      <w:r>
        <w:rPr>
          <w:rFonts w:cs="Arial"/>
        </w:rPr>
        <w:t>painless diabetic peripheral neuropathy</w:t>
      </w:r>
      <w:r w:rsidR="00052BEA" w:rsidRPr="00052BEA">
        <w:rPr>
          <w:rFonts w:cs="Arial"/>
        </w:rPr>
        <w:t xml:space="preserve"> (p=.017), </w:t>
      </w:r>
      <w:r>
        <w:rPr>
          <w:rFonts w:cs="Arial"/>
        </w:rPr>
        <w:t xml:space="preserve"> and </w:t>
      </w:r>
      <w:r w:rsidR="00052BEA" w:rsidRPr="00052BEA">
        <w:rPr>
          <w:rFonts w:cs="Arial"/>
        </w:rPr>
        <w:t xml:space="preserve">vs </w:t>
      </w:r>
      <w:r>
        <w:rPr>
          <w:rFonts w:cs="Arial"/>
        </w:rPr>
        <w:t>healthy volunteers</w:t>
      </w:r>
      <w:r w:rsidR="00052BEA" w:rsidRPr="00052BEA">
        <w:rPr>
          <w:rFonts w:cs="Arial"/>
        </w:rPr>
        <w:t xml:space="preserve"> (p=.033)</w:t>
      </w:r>
      <w:r>
        <w:rPr>
          <w:rFonts w:cs="Arial"/>
        </w:rPr>
        <w:t>.  This was also present at the</w:t>
      </w:r>
      <w:r w:rsidR="00052BEA" w:rsidRPr="00052BEA">
        <w:rPr>
          <w:rFonts w:cs="Arial"/>
        </w:rPr>
        <w:t xml:space="preserve"> </w:t>
      </w:r>
      <w:r>
        <w:rPr>
          <w:rFonts w:cs="Arial"/>
        </w:rPr>
        <w:t xml:space="preserve">right insula </w:t>
      </w:r>
      <w:r w:rsidR="00052BEA" w:rsidRPr="00052BEA">
        <w:rPr>
          <w:rFonts w:cs="Arial"/>
        </w:rPr>
        <w:t xml:space="preserve">vs </w:t>
      </w:r>
      <w:r>
        <w:rPr>
          <w:rFonts w:cs="Arial"/>
        </w:rPr>
        <w:t>painless diabetic peripheral neuropathy</w:t>
      </w:r>
      <w:r w:rsidRPr="00052BEA">
        <w:rPr>
          <w:rFonts w:cs="Arial"/>
        </w:rPr>
        <w:t xml:space="preserve"> </w:t>
      </w:r>
      <w:r w:rsidR="00052BEA" w:rsidRPr="00052BEA">
        <w:rPr>
          <w:rFonts w:cs="Arial"/>
        </w:rPr>
        <w:t xml:space="preserve">(p=.048); and </w:t>
      </w:r>
      <w:r>
        <w:rPr>
          <w:rFonts w:cs="Arial"/>
        </w:rPr>
        <w:t>at the parieto-occipital white matter</w:t>
      </w:r>
      <w:r w:rsidR="00052BEA" w:rsidRPr="00052BEA">
        <w:rPr>
          <w:rFonts w:cs="Arial"/>
        </w:rPr>
        <w:t xml:space="preserve">: vs </w:t>
      </w:r>
      <w:r>
        <w:rPr>
          <w:rFonts w:cs="Arial"/>
        </w:rPr>
        <w:t xml:space="preserve">no spontaneous pain </w:t>
      </w:r>
      <w:r w:rsidR="00052BEA" w:rsidRPr="00052BEA">
        <w:rPr>
          <w:rFonts w:cs="Arial"/>
        </w:rPr>
        <w:t xml:space="preserve">P- (p=.009), vs </w:t>
      </w:r>
      <w:r>
        <w:rPr>
          <w:rFonts w:cs="Arial"/>
        </w:rPr>
        <w:t>painless diabetic peripheral neuropathy</w:t>
      </w:r>
      <w:r w:rsidR="00052BEA" w:rsidRPr="00052BEA">
        <w:rPr>
          <w:rFonts w:cs="Arial"/>
        </w:rPr>
        <w:t xml:space="preserve"> (p=.034), </w:t>
      </w:r>
      <w:r>
        <w:rPr>
          <w:rFonts w:cs="Arial"/>
        </w:rPr>
        <w:t>and</w:t>
      </w:r>
      <w:r w:rsidR="00052BEA" w:rsidRPr="00052BEA">
        <w:rPr>
          <w:rFonts w:cs="Arial"/>
        </w:rPr>
        <w:t xml:space="preserve"> vs </w:t>
      </w:r>
      <w:r>
        <w:rPr>
          <w:rFonts w:cs="Arial"/>
        </w:rPr>
        <w:t xml:space="preserve">Healthy volunteers </w:t>
      </w:r>
      <w:r w:rsidR="00052BEA" w:rsidRPr="00052BEA">
        <w:rPr>
          <w:rFonts w:cs="Arial"/>
        </w:rPr>
        <w:t xml:space="preserve">(p=.011).  </w:t>
      </w:r>
      <w:r>
        <w:rPr>
          <w:rFonts w:cs="Arial"/>
        </w:rPr>
        <w:t xml:space="preserve">Mean transit time </w:t>
      </w:r>
      <w:r w:rsidR="00052BEA" w:rsidRPr="00052BEA">
        <w:rPr>
          <w:rFonts w:cs="Arial"/>
        </w:rPr>
        <w:t xml:space="preserve">(s) was significantly shorter at the </w:t>
      </w:r>
      <w:r>
        <w:rPr>
          <w:rFonts w:cs="Arial"/>
        </w:rPr>
        <w:t>right thalamus between the spontaneous pain</w:t>
      </w:r>
      <w:r w:rsidRPr="00052BEA">
        <w:rPr>
          <w:rFonts w:cs="Arial"/>
        </w:rPr>
        <w:t xml:space="preserve"> </w:t>
      </w:r>
      <w:r w:rsidR="00052BEA" w:rsidRPr="00052BEA">
        <w:rPr>
          <w:rFonts w:cs="Arial"/>
        </w:rPr>
        <w:t xml:space="preserve">P+ </w:t>
      </w:r>
      <w:r>
        <w:rPr>
          <w:rFonts w:cs="Arial"/>
        </w:rPr>
        <w:t xml:space="preserve">group </w:t>
      </w:r>
      <w:r w:rsidR="00052BEA" w:rsidRPr="00052BEA">
        <w:rPr>
          <w:rFonts w:cs="Arial"/>
        </w:rPr>
        <w:t xml:space="preserve">vs </w:t>
      </w:r>
      <w:r>
        <w:rPr>
          <w:rFonts w:cs="Arial"/>
        </w:rPr>
        <w:t xml:space="preserve">healthy volunteers </w:t>
      </w:r>
      <w:r w:rsidR="00052BEA" w:rsidRPr="00052BEA">
        <w:rPr>
          <w:rFonts w:cs="Arial"/>
        </w:rPr>
        <w:t>HV (p=.043)</w:t>
      </w:r>
      <w:r>
        <w:rPr>
          <w:rFonts w:cs="Arial"/>
        </w:rPr>
        <w:t>.</w:t>
      </w:r>
    </w:p>
    <w:p w14:paraId="6708AF2A" w14:textId="737C6E2C" w:rsidR="00052BEA" w:rsidRPr="00052BEA" w:rsidRDefault="00052BEA" w:rsidP="00052BEA">
      <w:pPr>
        <w:spacing w:line="360" w:lineRule="auto"/>
        <w:rPr>
          <w:rFonts w:cs="Arial"/>
        </w:rPr>
      </w:pPr>
      <w:r w:rsidRPr="005E4340">
        <w:rPr>
          <w:rFonts w:eastAsiaTheme="majorEastAsia" w:cstheme="majorBidi"/>
          <w:b/>
          <w:bCs/>
          <w:color w:val="4472C4" w:themeColor="accent1"/>
        </w:rPr>
        <w:t>Conclusion</w:t>
      </w:r>
      <w:r w:rsidR="00D24C18">
        <w:rPr>
          <w:rFonts w:eastAsiaTheme="majorEastAsia" w:cstheme="majorBidi"/>
          <w:b/>
          <w:bCs/>
          <w:color w:val="4472C4" w:themeColor="accent1"/>
        </w:rPr>
        <w:t>:</w:t>
      </w:r>
      <w:r w:rsidRPr="00052BEA">
        <w:rPr>
          <w:rFonts w:cs="Arial"/>
        </w:rPr>
        <w:t xml:space="preserve">  This is the first study to show there is altered cerebral perfusion in the pain processing areas of the brain, with shorter </w:t>
      </w:r>
      <w:r w:rsidR="00F3418F">
        <w:rPr>
          <w:rFonts w:cs="Arial"/>
        </w:rPr>
        <w:t>time-to-peak concentration of contrast</w:t>
      </w:r>
      <w:r w:rsidRPr="00052BEA">
        <w:rPr>
          <w:rFonts w:cs="Arial"/>
        </w:rPr>
        <w:t xml:space="preserve"> during spontaneous pain at the time of scanning. This novel finding may serve as an objective marker of spontaneous neuropathic pain, and a target for the development of novel treatments. </w:t>
      </w:r>
    </w:p>
    <w:p w14:paraId="5334DDA3" w14:textId="22164776" w:rsidR="00052BEA" w:rsidRPr="00FA6171" w:rsidRDefault="00052BEA" w:rsidP="00FA6171">
      <w:pPr>
        <w:pStyle w:val="Heading2"/>
      </w:pPr>
      <w:bookmarkStart w:id="307" w:name="_Toc431375301"/>
      <w:bookmarkStart w:id="308" w:name="_Toc44861329"/>
      <w:bookmarkStart w:id="309" w:name="_Toc64723931"/>
      <w:r w:rsidRPr="00FA6171">
        <w:t>Introduction</w:t>
      </w:r>
      <w:bookmarkEnd w:id="307"/>
      <w:bookmarkEnd w:id="308"/>
      <w:bookmarkEnd w:id="309"/>
      <w:r w:rsidRPr="00FA6171">
        <w:t xml:space="preserve">  </w:t>
      </w:r>
    </w:p>
    <w:p w14:paraId="2E2787F7" w14:textId="7B09F3C2" w:rsidR="00052BEA" w:rsidRPr="00052BEA" w:rsidRDefault="00A5674E" w:rsidP="00052BEA">
      <w:pPr>
        <w:spacing w:line="360" w:lineRule="auto"/>
      </w:pPr>
      <w:r>
        <w:t>Painful diabetic peripheral neuropathy (</w:t>
      </w:r>
      <w:r w:rsidR="00052BEA" w:rsidRPr="00052BEA">
        <w:t>P-DPN</w:t>
      </w:r>
      <w:r>
        <w:t>)</w:t>
      </w:r>
      <w:r w:rsidR="00052BEA" w:rsidRPr="00052BEA">
        <w:t xml:space="preserve"> is a disabling problem for 10-28% of people living with diabetes </w:t>
      </w:r>
      <w:r w:rsidR="00052BEA" w:rsidRPr="00052BEA">
        <w:fldChar w:fldCharType="begin">
          <w:fldData xml:space="preserve">PEVuZE5vdGU+PENpdGU+PEF1dGhvcj5EeWNrPC9BdXRob3I+PFllYXI+MTk5MzwvWWVhcj48SURU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==
</w:fldData>
        </w:fldChar>
      </w:r>
      <w:r w:rsidR="009968E0">
        <w:instrText xml:space="preserve"> ADDIN EN.CITE </w:instrText>
      </w:r>
      <w:r w:rsidR="009968E0">
        <w:fldChar w:fldCharType="begin">
          <w:fldData xml:space="preserve">PEVuZE5vdGU+PENpdGU+PEF1dGhvcj5EeWNrPC9BdXRob3I+PFllYXI+MTk5MzwvWWVhcj48SURU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==
</w:fldData>
        </w:fldChar>
      </w:r>
      <w:r w:rsidR="009968E0">
        <w:instrText xml:space="preserve"> ADDIN EN.CITE.DATA </w:instrText>
      </w:r>
      <w:r w:rsidR="009968E0">
        <w:fldChar w:fldCharType="end"/>
      </w:r>
      <w:r w:rsidR="00052BEA" w:rsidRPr="00052BEA">
        <w:fldChar w:fldCharType="separate"/>
      </w:r>
      <w:r w:rsidR="009968E0">
        <w:rPr>
          <w:noProof/>
        </w:rPr>
        <w:t>(Dyck et al., 1993a, Davies et al., 2006, Hartsfield et al., 2008, Van Acker et al., 2009, Abbott et al., 2011, Barbosa et al., 2019)</w:t>
      </w:r>
      <w:r w:rsidR="00052BEA" w:rsidRPr="00052BEA">
        <w:fldChar w:fldCharType="end"/>
      </w:r>
      <w:r w:rsidR="00052BEA" w:rsidRPr="00052BEA">
        <w:t xml:space="preserve">.  P-DPN is characterised by different types of neuropathic pain.  These pains are described most commonly as burning pain, pins and needles pain, electric shock type pain and cold pain </w:t>
      </w:r>
      <w:r w:rsidR="00052BEA" w:rsidRPr="00052BEA">
        <w:fldChar w:fldCharType="begin">
          <w:fldData xml:space="preserve">PEVuZE5vdGU+PENpdGU+PEF1dGhvcj5Cb3VoYXNzaXJhPC9BdXRob3I+PFllYXI+MjAwNTwvWWVh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</w:fldData>
        </w:fldChar>
      </w:r>
      <w:r w:rsidR="00052BEA" w:rsidRPr="00052BEA">
        <w:instrText xml:space="preserve"> ADDIN EN.CITE </w:instrText>
      </w:r>
      <w:r w:rsidR="00052BEA" w:rsidRPr="00052BEA">
        <w:fldChar w:fldCharType="begin">
          <w:fldData xml:space="preserve">PEVuZE5vdGU+PENpdGU+PEF1dGhvcj5Cb3VoYXNzaXJhPC9BdXRob3I+PFllYXI+MjAwNTwvWWVh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</w:fldData>
        </w:fldChar>
      </w:r>
      <w:r w:rsidR="00052BEA" w:rsidRPr="00052BEA">
        <w:instrText xml:space="preserve"> ADDIN EN.CITE.DATA </w:instrText>
      </w:r>
      <w:r w:rsidR="00052BEA" w:rsidRPr="00052BEA">
        <w:fldChar w:fldCharType="end"/>
      </w:r>
      <w:r w:rsidR="00052BEA" w:rsidRPr="00052BEA">
        <w:fldChar w:fldCharType="separate"/>
      </w:r>
      <w:r w:rsidR="00052BEA" w:rsidRPr="00052BEA">
        <w:rPr>
          <w:noProof/>
        </w:rPr>
        <w:t>(Bouhassira et al., 2005, Tesfaye et al., 2010b, Abbott et al., 2011, Tesfaye et al., 2011)</w:t>
      </w:r>
      <w:r w:rsidR="00052BEA" w:rsidRPr="00052BEA">
        <w:fldChar w:fldCharType="end"/>
      </w:r>
      <w:r w:rsidR="00052BEA" w:rsidRPr="00052BEA">
        <w:t xml:space="preserve">.  The pain is distressing and can interfere with quality of life, sleep, relationships, and can cause a loss of employment </w:t>
      </w:r>
      <w:r w:rsidR="00052BEA" w:rsidRPr="00052BEA">
        <w:fldChar w:fldCharType="begin">
          <w:fldData xml:space="preserve">PEVuZE5vdGU+PENpdGU+PEF1dGhvcj5CZW5ib3c8L0F1dGhvcj48WWVhcj4xOTk4PC9ZZWFyPjxJ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</w:fldData>
        </w:fldChar>
      </w:r>
      <w:r w:rsidR="00052BEA" w:rsidRPr="00052BEA">
        <w:instrText xml:space="preserve"> ADDIN EN.CITE </w:instrText>
      </w:r>
      <w:r w:rsidR="00052BEA" w:rsidRPr="00052BEA">
        <w:fldChar w:fldCharType="begin">
          <w:fldData xml:space="preserve">PEVuZE5vdGU+PENpdGU+PEF1dGhvcj5CZW5ib3c8L0F1dGhvcj48WWVhcj4xOTk4PC9ZZWFyPjxJ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</w:fldData>
        </w:fldChar>
      </w:r>
      <w:r w:rsidR="00052BEA" w:rsidRPr="00052BEA">
        <w:instrText xml:space="preserve"> ADDIN EN.CITE.DATA </w:instrText>
      </w:r>
      <w:r w:rsidR="00052BEA" w:rsidRPr="00052BEA">
        <w:fldChar w:fldCharType="end"/>
      </w:r>
      <w:r w:rsidR="00052BEA" w:rsidRPr="00052BEA">
        <w:fldChar w:fldCharType="separate"/>
      </w:r>
      <w:r w:rsidR="00052BEA" w:rsidRPr="00052BEA">
        <w:rPr>
          <w:noProof/>
        </w:rPr>
        <w:t>(Benbow et al., 1998, Galer et al., 2000, Quattrini and Tesfaye, 2003, Gore et al., 2005, Argoff et al., 2006, Currie et al., 2006, Davies et al., 2006, Zelman et al., 2006, Jensen et al., 2007, O'Connor, 2009, Van Acker et al., 2009, Doth et al., 2010, Hoffman et al., 2010, daCosta DiBonaventura et al., 2011, Smith and Torrance, 2012, Smith et al., 2012)</w:t>
      </w:r>
      <w:r w:rsidR="00052BEA" w:rsidRPr="00052BEA">
        <w:fldChar w:fldCharType="end"/>
      </w:r>
      <w:r w:rsidR="00052BEA" w:rsidRPr="00052BEA">
        <w:t xml:space="preserve">.  Given that diabetes prevalence is predicted to rise by 242 million cases to 693 million cases worldwide by 2045 </w:t>
      </w:r>
      <w:r w:rsidR="00052BEA" w:rsidRPr="00052BEA">
        <w:fldChar w:fldCharType="begin"/>
      </w:r>
      <w:r w:rsidR="00052BEA" w:rsidRPr="00052BEA">
        <w:instrText xml:space="preserve"> ADDIN EN.CITE &lt;EndNote&gt;&lt;Cite&gt;&lt;Author&gt;Cho&lt;/Author&gt;&lt;Year&gt;2018&lt;/Year&gt;&lt;IDText&gt;IDF Diabetes Atlas: Global estimates of diabetes prevalence for 2017 and projections for 2045&lt;/IDText&gt;&lt;DisplayText&gt;(Cho et al., 2018)&lt;/DisplayText&gt;&lt;record&gt;&lt;keywords&gt;&lt;keyword&gt;Diabetes Prevalence&lt;/keyword&gt;&lt;keyword&gt;Health Economics&lt;/keyword&gt;&lt;keyword&gt;Mortality&lt;/keyword&gt;&lt;keyword&gt;Epidemiology&lt;/keyword&gt;&lt;keyword&gt;Impaired Glucose Tolerance&lt;/keyword&gt;&lt;keyword&gt;Gestational Diabetes&lt;/keyword&gt;&lt;/keywords&gt;&lt;urls&gt;&lt;related-urls&gt;&lt;/related-urls&gt;&lt;/urls&gt;&lt;isbn&gt;0168-8227&lt;/isbn&gt;&lt;titles&gt;&lt;title&gt;IDF Diabetes Atlas: Global estimates of diabetes prevalence for 2017 and projections for 2045&lt;/title&gt;&lt;secondary-title&gt;Diabetes Research and Clinical Practice&lt;/secondary-title&gt;&lt;/titles&gt;&lt;pages&gt;271-281&lt;/pages&gt;&lt;contributors&gt;&lt;authors&gt;&lt;author&gt;Cho, N. H.&lt;/author&gt;&lt;author&gt;Shaw, J. E.&lt;/author&gt;&lt;author&gt;Karuranga, S.&lt;/author&gt;&lt;author&gt;Huang, Y.&lt;/author&gt;&lt;author&gt;Da Rocha Fernandes, J. D.&lt;/author&gt;&lt;author&gt;Ohlrogge, A. W.&lt;/author&gt;&lt;author&gt;Malanda, B.&lt;/author&gt;&lt;/authors&gt;&lt;/contributors&gt;&lt;added-date format="utc"&gt;1569750484&lt;/added-date&gt;&lt;ref-type name="Journal Article"&gt;17&lt;/ref-type&gt;&lt;dates&gt;&lt;year&gt;2018&lt;/year&gt;&lt;/dates&gt;&lt;rec-number&gt;1141&lt;/rec-number&gt;&lt;last-updated-date format="utc"&gt;1597579845&lt;/last-updated-date&gt;&lt;electronic-resource-num&gt;10.1016/j.diabres.2018.02.023&lt;/electronic-resource-num&gt;&lt;volume&gt;138&lt;/volume&gt;&lt;/record&gt;&lt;/Cite&gt;&lt;/EndNote&gt;</w:instrText>
      </w:r>
      <w:r w:rsidR="00052BEA" w:rsidRPr="00052BEA">
        <w:fldChar w:fldCharType="separate"/>
      </w:r>
      <w:r w:rsidR="00052BEA" w:rsidRPr="00052BEA">
        <w:rPr>
          <w:noProof/>
        </w:rPr>
        <w:t>(Cho et al., 2018)</w:t>
      </w:r>
      <w:r w:rsidR="00052BEA" w:rsidRPr="00052BEA">
        <w:fldChar w:fldCharType="end"/>
      </w:r>
      <w:r w:rsidR="00052BEA" w:rsidRPr="00052BEA">
        <w:t xml:space="preserve">, the personal and financial burden of this disease will be felt by individuals and communities unless an effective treatment is developed.  </w:t>
      </w:r>
    </w:p>
    <w:p w14:paraId="3D97C8BA" w14:textId="5915B3F0" w:rsidR="00052BEA" w:rsidRPr="00052BEA" w:rsidRDefault="00052BEA" w:rsidP="00052BEA">
      <w:pPr>
        <w:spacing w:line="360" w:lineRule="auto"/>
      </w:pPr>
      <w:r w:rsidRPr="00052BEA">
        <w:t xml:space="preserve">Glucose management </w:t>
      </w:r>
      <w:r w:rsidR="00FA6171">
        <w:t>is</w:t>
      </w:r>
      <w:r w:rsidRPr="00052BEA">
        <w:t xml:space="preserve"> helpful in preventing progression but cannot reverse the complication of P-DPN </w:t>
      </w:r>
      <w:r w:rsidRPr="00052BEA">
        <w:fldChar w:fldCharType="begin">
          <w:fldData xml:space="preserve">PEVuZE5vdGU+PENpdGU+PEF1dGhvcj5BbGxlbjwvQXV0aG9yPjxZZWFyPjE5OTc8L1llYXI+PElE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</w:fldData>
        </w:fldChar>
      </w:r>
      <w:r w:rsidR="00D06F2D">
        <w:instrText xml:space="preserve"> ADDIN EN.CITE </w:instrText>
      </w:r>
      <w:r w:rsidR="00D06F2D">
        <w:fldChar w:fldCharType="begin">
          <w:fldData xml:space="preserve">PEVuZE5vdGU+PENpdGU+PEF1dGhvcj5BbGxlbjwvQXV0aG9yPjxZZWFyPjE5OTc8L1llYXI+PElE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</w:fldData>
        </w:fldChar>
      </w:r>
      <w:r w:rsidR="00D06F2D">
        <w:instrText xml:space="preserve"> ADDIN EN.CITE.DATA </w:instrText>
      </w:r>
      <w:r w:rsidR="00D06F2D">
        <w:fldChar w:fldCharType="end"/>
      </w:r>
      <w:r w:rsidRPr="00052BEA">
        <w:fldChar w:fldCharType="separate"/>
      </w:r>
      <w:r w:rsidR="00D06F2D">
        <w:rPr>
          <w:noProof/>
        </w:rPr>
        <w:t xml:space="preserve">(Allen et al., 1997, Nathan et al., 2005, Pop-Busui et al., </w:t>
      </w:r>
      <w:r w:rsidR="00D06F2D">
        <w:rPr>
          <w:noProof/>
        </w:rPr>
        <w:lastRenderedPageBreak/>
        <w:t>2010, Perkins et al., 2010, Bril, 2012, Lachin et al., 2017a)</w:t>
      </w:r>
      <w:r w:rsidRPr="00052BEA">
        <w:fldChar w:fldCharType="end"/>
      </w:r>
      <w:r w:rsidRPr="00052BEA">
        <w:t>.  Therefore, some individuals with Type 1 (T1D)</w:t>
      </w:r>
      <w:r w:rsidR="002E1062">
        <w:t xml:space="preserve"> and Type 2 diabetes (T2D)</w:t>
      </w:r>
      <w:r w:rsidRPr="00052BEA">
        <w:t xml:space="preserve"> and poor access to </w:t>
      </w:r>
      <w:r w:rsidR="002E1062">
        <w:t>diabetes medicines</w:t>
      </w:r>
      <w:r w:rsidRPr="00052BEA">
        <w:t xml:space="preserve"> and</w:t>
      </w:r>
      <w:r w:rsidR="002E1062">
        <w:t xml:space="preserve"> or</w:t>
      </w:r>
      <w:r w:rsidRPr="00052BEA">
        <w:t xml:space="preserve"> self-monitoring devices, or with periods of pre-existing poor control, can find themselves with established P-DPN that cannot be reversed.  Therefore, an effective treatment either for the painful symptoms or the underlying condition needs to be identified.  At this point only symptomatic treatments have been identified as effective, and these do not give all those with P-DPN relief.  A recent review found that for every 1 patient with P-DPN that gets significant symptomatic relief, 3 to 7 patients get no symptomatic relief from current treatments </w:t>
      </w:r>
      <w:r w:rsidRPr="00052BEA">
        <w:fldChar w:fldCharType="begin"/>
      </w:r>
      <w:r w:rsidRPr="00052BEA">
        <w:instrText xml:space="preserve"> ADDIN EN.CITE &lt;EndNote&gt;&lt;Cite&gt;&lt;Author&gt;Finnerup&lt;/Author&gt;&lt;Year&gt;2015&lt;/Year&gt;&lt;IDText&gt;Pharmacotherapy for neuropathic pain in adults: a systematic review and meta-analysis&lt;/IDText&gt;&lt;DisplayText&gt;(Finnerup et al., 2015)&lt;/DisplayText&gt;&lt;record&gt;&lt;keywords&gt;&lt;keyword&gt;Adults – Analysis&lt;/keyword&gt;&lt;keyword&gt;Neurosciences – Analysis&lt;/keyword&gt;&lt;keyword&gt;Pain Management – Analysis&lt;/keyword&gt;&lt;keyword&gt;Medical Schools – Analysis&lt;/keyword&gt;&lt;keyword&gt;Analgesics – Analysis&lt;/keyword&gt;&lt;/keywords&gt;&lt;isbn&gt;1474-4422&lt;/isbn&gt;&lt;titles&gt;&lt;title&gt;Pharmacotherapy for neuropathic pain in adults: a systematic review and meta-analysis&lt;/title&gt;&lt;secondary-title&gt;Lancet Neurology&lt;/secondary-title&gt;&lt;/titles&gt;&lt;pages&gt;162-173&lt;/pages&gt;&lt;number&gt;2&lt;/number&gt;&lt;contributors&gt;&lt;authors&gt;&lt;author&gt;Finnerup, Nanna B.&lt;/author&gt;&lt;author&gt;Attal, Nadine&lt;/author&gt;&lt;author&gt;Haroutounian, Simon&lt;/author&gt;&lt;author&gt;McNicol, Ewan&lt;/author&gt;&lt;author&gt;Baron, Ralf&lt;/author&gt;&lt;author&gt;Dworkin, Robert H.&lt;/author&gt;&lt;author&gt;Gilron, Ian&lt;/author&gt;&lt;author&gt;Haanpää, Maija&lt;/author&gt;&lt;author&gt;Hansson, Per&lt;/author&gt;&lt;author&gt;Jensen, Troels S.&lt;/author&gt;&lt;author&gt;Kamerman, Peter R.&lt;/author&gt;&lt;author&gt;Lund, Karen&lt;/author&gt;&lt;author&gt;Moore, Andrew&lt;/author&gt;&lt;author&gt;Raja, Srinivasa N.&lt;/author&gt;&lt;author&gt;Rice, Andrew S. C.&lt;/author&gt;&lt;author&gt;Rowbotham, Michael&lt;/author&gt;&lt;author&gt;Sena, Emily&lt;/author&gt;&lt;author&gt;Siddall, Philip&lt;/author&gt;&lt;author&gt;Smith, Blair H.&lt;/author&gt;&lt;author&gt;Wallace, Mark&lt;/author&gt;&lt;/authors&gt;&lt;/contributors&gt;&lt;added-date format="utc"&gt;1569751177&lt;/added-date&gt;&lt;ref-type name="Journal Article"&gt;17&lt;/ref-type&gt;&lt;dates&gt;&lt;year&gt;2015&lt;/year&gt;&lt;/dates&gt;&lt;rec-number&gt;1143&lt;/rec-number&gt;&lt;last-updated-date format="utc"&gt;1569751177&lt;/last-updated-date&gt;&lt;electronic-resource-num&gt;10.1016/S1474-4422(14)70251-0&lt;/electronic-resource-num&gt;&lt;volume&gt;14&lt;/volume&gt;&lt;/record&gt;&lt;/Cite&gt;&lt;/EndNote&gt;</w:instrText>
      </w:r>
      <w:r w:rsidRPr="00052BEA">
        <w:fldChar w:fldCharType="separate"/>
      </w:r>
      <w:r w:rsidRPr="00052BEA">
        <w:rPr>
          <w:noProof/>
        </w:rPr>
        <w:t>(Finnerup et al., 2015)</w:t>
      </w:r>
      <w:r w:rsidRPr="00052BEA">
        <w:fldChar w:fldCharType="end"/>
      </w:r>
      <w:r w:rsidRPr="00052BEA">
        <w:t xml:space="preserve">.  </w:t>
      </w:r>
    </w:p>
    <w:p w14:paraId="02FC51AE" w14:textId="607403D5" w:rsidR="00052BEA" w:rsidRPr="00052BEA" w:rsidRDefault="00052BEA" w:rsidP="00052BEA">
      <w:pPr>
        <w:spacing w:line="360" w:lineRule="auto"/>
        <w:rPr>
          <w:rFonts w:cs="Arial"/>
        </w:rPr>
      </w:pPr>
      <w:r w:rsidRPr="00052BEA">
        <w:rPr>
          <w:rFonts w:cs="Arial"/>
        </w:rPr>
        <w:t xml:space="preserve">P-DPN is described as sensory loss in a glove and stocking distribution, associated with painful symptoms such as burning, pins and needles, and electric shock type pain </w:t>
      </w:r>
      <w:r w:rsidRPr="00052BEA">
        <w:rPr>
          <w:rFonts w:cs="Arial"/>
        </w:rPr>
        <w:fldChar w:fldCharType="begin"/>
      </w:r>
      <w:r w:rsidRPr="00052BEA">
        <w:rPr>
          <w:rFonts w:cs="Arial"/>
        </w:rPr>
        <w:instrText xml:space="preserve"> ADDIN EN.CITE &lt;EndNote&gt;&lt;Cite&gt;&lt;Author&gt;Tesfaye&lt;/Author&gt;&lt;Year&gt;2010&lt;/Year&gt;&lt;IDText&gt;Diabetic Neuropathies: Update on Definitions, Diagnostic Criteria, Estimation of Severity, and Treatments&lt;/IDText&gt;&lt;DisplayText&gt;(Tesfaye et al., 2010a)&lt;/DisplayText&gt;&lt;record&gt;&lt;dates&gt;&lt;pub-dates&gt;&lt;date&gt;Oct&lt;/date&gt;&lt;/pub-dates&gt;&lt;year&gt;2010&lt;/year&gt;&lt;/dates&gt;&lt;urls&gt;&lt;related-urls&gt;&lt;url&gt;&amp;lt;Go to ISI&amp;gt;://WOS:000283205100029&lt;/url&gt;&lt;/related-urls&gt;&lt;/urls&gt;&lt;isbn&gt;0149-5992&lt;/isbn&gt;&lt;titles&gt;&lt;title&gt;Diabetic Neuropathies: Update on Definitions, Diagnostic Criteria, Estimation of Severity, and Treatments&lt;/title&gt;&lt;secondary-title&gt;Diabetes Care&lt;/secondary-title&gt;&lt;/titles&gt;&lt;pages&gt;2285-2293&lt;/pages&gt;&lt;number&gt;10&lt;/number&gt;&lt;contributors&gt;&lt;authors&gt;&lt;author&gt;Tesfaye, S.&lt;/author&gt;&lt;author&gt;Boulton, A. J. M.&lt;/author&gt;&lt;author&gt;Dyck, P. J.&lt;/author&gt;&lt;author&gt;Freeman, R.&lt;/author&gt;&lt;author&gt;Horowitz, M.&lt;/author&gt;&lt;author&gt;Kempler, P.&lt;/author&gt;&lt;author&gt;Lauria, G.&lt;/author&gt;&lt;author&gt;Malik, R. A.&lt;/author&gt;&lt;author&gt;Spallone, V.&lt;/author&gt;&lt;author&gt;Vinik, A.&lt;/author&gt;&lt;author&gt;Bernardi, L.&lt;/author&gt;&lt;author&gt;Valensi, P.&lt;/author&gt;&lt;author&gt;Frontoni, S.&lt;/author&gt;&lt;author&gt;Toronto Diabet Neuropathy Expert, G.&lt;/author&gt;&lt;/authors&gt;&lt;/contributors&gt;&lt;added-date format="utc"&gt;1375792532&lt;/added-date&gt;&lt;ref-type name="Journal Article"&gt;17&lt;/ref-type&gt;&lt;rec-number&gt;772&lt;/rec-number&gt;&lt;last-updated-date format="utc"&gt;1375792532&lt;/last-updated-date&gt;&lt;accession-num&gt;WOS:000283205100029&lt;/accession-num&gt;&lt;electronic-resource-num&gt;10.2337/dc10-1303&lt;/electronic-resource-num&gt;&lt;volume&gt;33&lt;/volume&gt;&lt;/record&gt;&lt;/Cite&gt;&lt;/EndNote&gt;</w:instrText>
      </w:r>
      <w:r w:rsidRPr="00052BEA">
        <w:rPr>
          <w:rFonts w:cs="Arial"/>
        </w:rPr>
        <w:fldChar w:fldCharType="separate"/>
      </w:r>
      <w:r w:rsidRPr="00052BEA">
        <w:rPr>
          <w:rFonts w:cs="Arial"/>
          <w:noProof/>
        </w:rPr>
        <w:t>(Tesfaye et al., 2010a)</w:t>
      </w:r>
      <w:r w:rsidRPr="00052BEA">
        <w:rPr>
          <w:rFonts w:cs="Arial"/>
        </w:rPr>
        <w:fldChar w:fldCharType="end"/>
      </w:r>
      <w:r w:rsidRPr="00052BEA">
        <w:rPr>
          <w:rFonts w:cs="Arial"/>
        </w:rPr>
        <w:t xml:space="preserve">. However, studies investigating mechanisms of P-DPN in the peripheral nerve have not identified a cause for why some people develop painful and some people develop painless neuropathy </w:t>
      </w:r>
      <w:r w:rsidRPr="00052BEA">
        <w:rPr>
          <w:rFonts w:cs="Arial"/>
        </w:rPr>
        <w:fldChar w:fldCharType="begin">
          <w:fldData xml:space="preserve">PEVuZE5vdGU+PENpdGU+PEF1dGhvcj5TbG9hbjwvQXV0aG9yPjxZZWFyPjIwMTg8L1llYXI+PElE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</w:fldData>
        </w:fldChar>
      </w:r>
      <w:r w:rsidRPr="00052BEA">
        <w:rPr>
          <w:rFonts w:cs="Arial"/>
        </w:rPr>
        <w:instrText xml:space="preserve"> ADDIN EN.CITE </w:instrText>
      </w:r>
      <w:r w:rsidRPr="00052BEA">
        <w:rPr>
          <w:rFonts w:cs="Arial"/>
        </w:rPr>
        <w:fldChar w:fldCharType="begin">
          <w:fldData xml:space="preserve">PEVuZE5vdGU+PENpdGU+PEF1dGhvcj5TbG9hbjwvQXV0aG9yPjxZZWFyPjIwMTg8L1llYXI+PElE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</w:fldData>
        </w:fldChar>
      </w:r>
      <w:r w:rsidRPr="00052BEA">
        <w:rPr>
          <w:rFonts w:cs="Arial"/>
        </w:rPr>
        <w:instrText xml:space="preserve"> ADDIN EN.CITE.DATA </w:instrText>
      </w:r>
      <w:r w:rsidRPr="00052BEA">
        <w:rPr>
          <w:rFonts w:cs="Arial"/>
        </w:rPr>
      </w:r>
      <w:r w:rsidRPr="00052BEA">
        <w:rPr>
          <w:rFonts w:cs="Arial"/>
        </w:rPr>
        <w:fldChar w:fldCharType="end"/>
      </w:r>
      <w:r w:rsidRPr="00052BEA">
        <w:rPr>
          <w:rFonts w:cs="Arial"/>
        </w:rPr>
      </w:r>
      <w:r w:rsidRPr="00052BEA">
        <w:rPr>
          <w:rFonts w:cs="Arial"/>
        </w:rPr>
        <w:fldChar w:fldCharType="separate"/>
      </w:r>
      <w:r w:rsidRPr="00052BEA">
        <w:rPr>
          <w:rFonts w:cs="Arial"/>
          <w:noProof/>
        </w:rPr>
        <w:t>(Sloan et al., 2018, Shillo et al., 2019)</w:t>
      </w:r>
      <w:r w:rsidRPr="00052BEA">
        <w:rPr>
          <w:rFonts w:cs="Arial"/>
        </w:rPr>
        <w:fldChar w:fldCharType="end"/>
      </w:r>
      <w:r w:rsidRPr="00052BEA">
        <w:rPr>
          <w:rFonts w:cs="Arial"/>
        </w:rPr>
        <w:t xml:space="preserve">.  Pain has been defined by the International Association for the Study of Pain (IASP) as separate from the nociceptive experience that occurs in the periphery </w:t>
      </w:r>
      <w:r w:rsidRPr="00052BEA">
        <w:rPr>
          <w:rFonts w:cs="Arial"/>
        </w:rPr>
        <w:fldChar w:fldCharType="begin"/>
      </w:r>
      <w:r w:rsidRPr="00052BEA">
        <w:rPr>
          <w:rFonts w:cs="Arial"/>
        </w:rPr>
        <w:instrText xml:space="preserve"> ADDIN EN.CITE &lt;EndNote&gt;&lt;Cite&gt;&lt;Author&gt;IASP&lt;/Author&gt;&lt;Year&gt;2017&lt;/Year&gt;&lt;IDText&gt;IASP Terminology&lt;/IDText&gt;&lt;DisplayText&gt;(IASP, 2017)&lt;/DisplayText&gt;&lt;record&gt;&lt;urls&gt;&lt;related-urls&gt;&lt;url&gt;https://www.iasp-pain.org/Education/Content.aspx?ItemNumber=1698#Neuropathicpain&lt;/url&gt;&lt;/related-urls&gt;&lt;/urls&gt;&lt;titles&gt;&lt;title&gt;IASP Terminology&lt;/title&gt;&lt;/titles&gt;&lt;number&gt;9/11/2018&lt;/number&gt;&lt;contributors&gt;&lt;authors&gt;&lt;author&gt;IASP&lt;/author&gt;&lt;/authors&gt;&lt;/contributors&gt;&lt;added-date format="utc"&gt;1541756957&lt;/added-date&gt;&lt;ref-type name="Web Page"&gt;12&lt;/ref-type&gt;&lt;dates&gt;&lt;year&gt;2017&lt;/year&gt;&lt;/dates&gt;&lt;rec-number&gt;975&lt;/rec-number&gt;&lt;last-updated-date format="utc"&gt;1598169840&lt;/last-updated-date&gt;&lt;volume&gt;2020&lt;/volume&gt;&lt;/record&gt;&lt;/Cite&gt;&lt;/EndNote&gt;</w:instrText>
      </w:r>
      <w:r w:rsidRPr="00052BEA">
        <w:rPr>
          <w:rFonts w:cs="Arial"/>
        </w:rPr>
        <w:fldChar w:fldCharType="separate"/>
      </w:r>
      <w:r w:rsidRPr="00052BEA">
        <w:rPr>
          <w:rFonts w:cs="Arial"/>
          <w:noProof/>
        </w:rPr>
        <w:t>(IASP, 2017)</w:t>
      </w:r>
      <w:r w:rsidRPr="00052BEA">
        <w:rPr>
          <w:rFonts w:cs="Arial"/>
        </w:rPr>
        <w:fldChar w:fldCharType="end"/>
      </w:r>
      <w:r w:rsidRPr="00052BEA">
        <w:rPr>
          <w:rFonts w:cs="Arial"/>
        </w:rPr>
        <w:t xml:space="preserve">.  Pain has been described as comprising of sensory discriminative and affective motivational components generated in the CNS, and it is thought that this is what discriminates the pain experience from pure nociception </w:t>
      </w:r>
      <w:r w:rsidRPr="00052BEA">
        <w:rPr>
          <w:rFonts w:cs="Arial"/>
        </w:rPr>
        <w:fldChar w:fldCharType="begin"/>
      </w:r>
      <w:r w:rsidRPr="00052BEA">
        <w:rPr>
          <w:rFonts w:cs="Arial"/>
        </w:rPr>
        <w:instrText xml:space="preserve"> ADDIN EN.CITE &lt;EndNote&gt;&lt;Cite&gt;&lt;Author&gt;Auvray&lt;/Author&gt;&lt;Year&gt;2010&lt;/Year&gt;&lt;IDText&gt;The sensory-discriminative and affective-motivational aspects of pain&lt;/IDText&gt;&lt;DisplayText&gt;(Auvray et al., 2010)&lt;/DisplayText&gt;&lt;record&gt;&lt;dates&gt;&lt;pub-dates&gt;&lt;date&gt;Feb&lt;/date&gt;&lt;/pub-dates&gt;&lt;year&gt;2010&lt;/year&gt;&lt;/dates&gt;&lt;keywords&gt;&lt;keyword&gt;Affect&lt;/keyword&gt;&lt;keyword&gt;Discrimination, Psychological&lt;/keyword&gt;&lt;keyword&gt;Humans&lt;/keyword&gt;&lt;keyword&gt;Motivation&lt;/keyword&gt;&lt;keyword&gt;Pain&lt;/keyword&gt;&lt;keyword&gt;Perception&lt;/keyword&gt;&lt;keyword&gt;Psychological Theory&lt;/keyword&gt;&lt;/keywords&gt;&lt;urls&gt;&lt;related-urls&gt;&lt;url&gt;https://www.ncbi.nlm.nih.gov/pubmed/18718486&lt;/url&gt;&lt;/related-urls&gt;&lt;/urls&gt;&lt;isbn&gt;1873-7528&lt;/isbn&gt;&lt;titles&gt;&lt;title&gt;The sensory-discriminative and affective-motivational aspects of pain&lt;/title&gt;&lt;secondary-title&gt;Neurosci Biobehav Rev&lt;/secondary-title&gt;&lt;/titles&gt;&lt;pages&gt;214-23&lt;/pages&gt;&lt;number&gt;2&lt;/number&gt;&lt;contributors&gt;&lt;authors&gt;&lt;author&gt;Auvray, M.&lt;/author&gt;&lt;author&gt;Myin, E.&lt;/author&gt;&lt;author&gt;Spence, C.&lt;/author&gt;&lt;/authors&gt;&lt;/contributors&gt;&lt;edition&gt;2008/07/31&lt;/edition&gt;&lt;language&gt;eng&lt;/language&gt;&lt;added-date format="utc"&gt;1598013753&lt;/added-date&gt;&lt;ref-type name="Journal Article"&gt;17&lt;/ref-type&gt;&lt;rec-number&gt;1307&lt;/rec-number&gt;&lt;last-updated-date format="utc"&gt;1598013753&lt;/last-updated-date&gt;&lt;accession-num&gt;18718486&lt;/accession-num&gt;&lt;electronic-resource-num&gt;10.1016/j.neubiorev.2008.07.008&lt;/electronic-resource-num&gt;&lt;volume&gt;34&lt;/volume&gt;&lt;/record&gt;&lt;/Cite&gt;&lt;/EndNote&gt;</w:instrText>
      </w:r>
      <w:r w:rsidRPr="00052BEA">
        <w:rPr>
          <w:rFonts w:cs="Arial"/>
        </w:rPr>
        <w:fldChar w:fldCharType="separate"/>
      </w:r>
      <w:r w:rsidRPr="00052BEA">
        <w:rPr>
          <w:rFonts w:cs="Arial"/>
          <w:noProof/>
        </w:rPr>
        <w:t>(Auvray et al., 2010)</w:t>
      </w:r>
      <w:r w:rsidRPr="00052BEA">
        <w:rPr>
          <w:rFonts w:cs="Arial"/>
        </w:rPr>
        <w:fldChar w:fldCharType="end"/>
      </w:r>
      <w:r w:rsidRPr="00052BEA">
        <w:rPr>
          <w:rFonts w:cs="Arial"/>
        </w:rPr>
        <w:t xml:space="preserve">.  Therefore, understanding the contribution of the CNS is crucially important to understanding the reason why some of those with neuropathy experience pain and some do not.  </w:t>
      </w:r>
    </w:p>
    <w:p w14:paraId="24D625FA" w14:textId="7D4F7629" w:rsidR="00052BEA" w:rsidRPr="00052BEA" w:rsidRDefault="00052BEA" w:rsidP="00052BEA">
      <w:pPr>
        <w:spacing w:line="360" w:lineRule="auto"/>
        <w:rPr>
          <w:rFonts w:cs="Arial"/>
        </w:rPr>
      </w:pPr>
      <w:r w:rsidRPr="00052BEA">
        <w:rPr>
          <w:rFonts w:cs="Arial"/>
        </w:rPr>
        <w:t xml:space="preserve">Our group has shown that there are CNS changes in subjects with DPN using MRI techniques.  Our group has found the following for subjects with DPN: reduced volume in the cervical spinal cord </w:t>
      </w:r>
      <w:r w:rsidRPr="00052BEA">
        <w:rPr>
          <w:rFonts w:cs="Arial"/>
        </w:rPr>
        <w:fldChar w:fldCharType="begin"/>
      </w:r>
      <w:r w:rsidRPr="00052BEA">
        <w:rPr>
          <w:rFonts w:cs="Arial"/>
        </w:rPr>
        <w:instrText xml:space="preserve"> ADDIN EN.CITE &lt;EndNote&gt;&lt;Cite&gt;&lt;Author&gt;Selvarajah&lt;/Author&gt;&lt;Year&gt;2006&lt;/Year&gt;&lt;IDText&gt;Early involvement of the spinal cord in diabetic peripheral neuropathy&lt;/IDText&gt;&lt;DisplayText&gt;(Selvarajah et al., 2006)&lt;/DisplayText&gt;&lt;record&gt;&lt;dates&gt;&lt;pub-dates&gt;&lt;date&gt;Dec&lt;/date&gt;&lt;/pub-dates&gt;&lt;year&gt;2006&lt;/year&gt;&lt;/dates&gt;&lt;urls&gt;&lt;related-urls&gt;&lt;url&gt;&amp;lt;Go to ISI&amp;gt;://WOS:000242450300016&lt;/url&gt;&lt;/related-urls&gt;&lt;/urls&gt;&lt;isbn&gt;0149-5992&lt;/isbn&gt;&lt;titles&gt;&lt;title&gt;Early involvement of the spinal cord in diabetic peripheral neuropathy&lt;/title&gt;&lt;secondary-title&gt;Diabetes Care&lt;/secondary-title&gt;&lt;/titles&gt;&lt;pages&gt;2664-2669&lt;/pages&gt;&lt;number&gt;12&lt;/number&gt;&lt;contributors&gt;&lt;authors&gt;&lt;author&gt;Selvarajah, D.&lt;/author&gt;&lt;author&gt;Wilkinson, I. D.&lt;/author&gt;&lt;author&gt;Emery, C. J.&lt;/author&gt;&lt;author&gt;D Harris, N.&lt;/author&gt;&lt;author&gt;Shaw, P. J.&lt;/author&gt;&lt;author&gt;Witte, D. R.&lt;/author&gt;&lt;author&gt;Griffiths, P. D.&lt;/author&gt;&lt;author&gt;Tesfaye, S.&lt;/author&gt;&lt;/authors&gt;&lt;/contributors&gt;&lt;added-date format="utc"&gt;1356361044&lt;/added-date&gt;&lt;ref-type name="Journal Article"&gt;17&lt;/ref-type&gt;&lt;rec-number&gt;482&lt;/rec-number&gt;&lt;last-updated-date format="utc"&gt;1356361044&lt;/last-updated-date&gt;&lt;accession-num&gt;WOS:000242450300016&lt;/accession-num&gt;&lt;electronic-resource-num&gt;10.2337/dc06-0650&lt;/electronic-resource-num&gt;&lt;volume&gt;29&lt;/volume&gt;&lt;/record&gt;&lt;/Cite&gt;&lt;/EndNote&gt;</w:instrText>
      </w:r>
      <w:r w:rsidRPr="00052BEA">
        <w:rPr>
          <w:rFonts w:cs="Arial"/>
        </w:rPr>
        <w:fldChar w:fldCharType="separate"/>
      </w:r>
      <w:r w:rsidRPr="00052BEA">
        <w:rPr>
          <w:rFonts w:cs="Arial"/>
          <w:noProof/>
        </w:rPr>
        <w:t>(Selvarajah et al., 2006)</w:t>
      </w:r>
      <w:r w:rsidRPr="00052BEA">
        <w:rPr>
          <w:rFonts w:cs="Arial"/>
        </w:rPr>
        <w:fldChar w:fldCharType="end"/>
      </w:r>
      <w:r w:rsidRPr="00052BEA">
        <w:rPr>
          <w:rFonts w:cs="Arial"/>
        </w:rPr>
        <w:t xml:space="preserve">, decreased neuronal metabolite N-acetyl Aspartate (NAA)/Choline (Cho) and NAA/Creatine (Cr) ratio in the thalamus </w:t>
      </w:r>
      <w:r w:rsidRPr="00052BEA">
        <w:rPr>
          <w:rFonts w:cs="Arial"/>
        </w:rPr>
        <w:fldChar w:fldCharType="begin">
          <w:fldData xml:space="preserve">PEVuZE5vdGU+PENpdGU+PEF1dGhvcj5TZWx2YXJhamFoPC9BdXRob3I+PFllYXI+MjAwODwvWWVh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=
</w:fldData>
        </w:fldChar>
      </w:r>
      <w:r w:rsidR="009968E0">
        <w:rPr>
          <w:rFonts w:cs="Arial"/>
        </w:rPr>
        <w:instrText xml:space="preserve"> ADDIN EN.CITE </w:instrText>
      </w:r>
      <w:r w:rsidR="009968E0">
        <w:rPr>
          <w:rFonts w:cs="Arial"/>
        </w:rPr>
        <w:fldChar w:fldCharType="begin">
          <w:fldData xml:space="preserve">PEVuZE5vdGU+PENpdGU+PEF1dGhvcj5TZWx2YXJhamFoPC9BdXRob3I+PFllYXI+MjAwODwvWWVh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=
</w:fldData>
        </w:fldChar>
      </w:r>
      <w:r w:rsidR="009968E0">
        <w:rPr>
          <w:rFonts w:cs="Arial"/>
        </w:rPr>
        <w:instrText xml:space="preserve"> ADDIN EN.CITE.DATA </w:instrText>
      </w:r>
      <w:r w:rsidR="009968E0">
        <w:rPr>
          <w:rFonts w:cs="Arial"/>
        </w:rPr>
      </w:r>
      <w:r w:rsidR="009968E0">
        <w:rPr>
          <w:rFonts w:cs="Arial"/>
        </w:rPr>
        <w:fldChar w:fldCharType="end"/>
      </w:r>
      <w:r w:rsidRPr="00052BEA">
        <w:rPr>
          <w:rFonts w:cs="Arial"/>
        </w:rPr>
      </w:r>
      <w:r w:rsidRPr="00052BEA">
        <w:rPr>
          <w:rFonts w:cs="Arial"/>
        </w:rPr>
        <w:fldChar w:fldCharType="separate"/>
      </w:r>
      <w:r w:rsidR="009968E0">
        <w:rPr>
          <w:rFonts w:cs="Arial"/>
          <w:noProof/>
        </w:rPr>
        <w:t>(Selvarajah et al., 2008b, Gandhi, 2013)</w:t>
      </w:r>
      <w:r w:rsidRPr="00052BEA">
        <w:rPr>
          <w:rFonts w:cs="Arial"/>
        </w:rPr>
        <w:fldChar w:fldCharType="end"/>
      </w:r>
      <w:r w:rsidRPr="00052BEA">
        <w:rPr>
          <w:rFonts w:cs="Arial"/>
        </w:rPr>
        <w:t xml:space="preserve">, decreased neurotransmitter gamma aminobutyric acid (GABA)/water ratio in the thalamus </w:t>
      </w:r>
      <w:r w:rsidRPr="00052BEA">
        <w:rPr>
          <w:rFonts w:cs="Arial"/>
        </w:rPr>
        <w:fldChar w:fldCharType="begin"/>
      </w:r>
      <w:r w:rsidRPr="00052BEA">
        <w:rPr>
          <w:rFonts w:cs="Arial"/>
        </w:rPr>
        <w:instrText xml:space="preserve"> ADDIN EN.CITE &lt;EndNote&gt;&lt;Cite&gt;&lt;Author&gt;Shillo&lt;/Author&gt;&lt;Year&gt;2016&lt;/Year&gt;&lt;IDText&gt;Painless diabetic peripheral neuropathy is characterised by reduced thalamic gamma-aminobutyric acid (GABA)&lt;/IDText&gt;&lt;DisplayText&gt;(Shillo et al., 2016)&lt;/DisplayText&gt;&lt;record&gt;&lt;dates&gt;&lt;pub-dates&gt;&lt;date&gt;Mar&lt;/date&gt;&lt;/pub-dates&gt;&lt;year&gt;2016&lt;/year&gt;&lt;/dates&gt;&lt;urls&gt;&lt;related-urls&gt;&lt;url&gt;&amp;lt;Go to ISI&amp;gt;://WOS:000372304800032&lt;/url&gt;&lt;/related-urls&gt;&lt;/urls&gt;&lt;isbn&gt;0742-3071&lt;/isbn&gt;&lt;titles&gt;&lt;title&gt;Painless diabetic peripheral neuropathy is characterised by reduced thalamic gamma-aminobutyric acid (GABA)&lt;/title&gt;&lt;secondary-title&gt;Diabetic Medicine&lt;/secondary-title&gt;&lt;/titles&gt;&lt;pages&gt;15-16&lt;/pages&gt;&lt;contributors&gt;&lt;authors&gt;&lt;author&gt;Shillo, P. R.&lt;/author&gt;&lt;author&gt;Selvarajah, D.&lt;/author&gt;&lt;author&gt;Greig, M.&lt;/author&gt;&lt;author&gt;Rao, G. D.&lt;/author&gt;&lt;author&gt;Edden, R. A. E.&lt;/author&gt;&lt;author&gt;Wilkinson, I. D.&lt;/author&gt;&lt;author&gt;Tesfaye, S.&lt;/author&gt;&lt;/authors&gt;&lt;/contributors&gt;&lt;added-date format="utc"&gt;1462812223&lt;/added-date&gt;&lt;ref-type name="Journal Article"&gt;17&lt;/ref-type&gt;&lt;rec-number&gt;854&lt;/rec-number&gt;&lt;last-updated-date format="utc"&gt;1462812223&lt;/last-updated-date&gt;&lt;accession-num&gt;WOS:000372304800032&lt;/accession-num&gt;&lt;volume&gt;33&lt;/volume&gt;&lt;/record&gt;&lt;/Cite&gt;&lt;/EndNote&gt;</w:instrText>
      </w:r>
      <w:r w:rsidRPr="00052BEA">
        <w:rPr>
          <w:rFonts w:cs="Arial"/>
        </w:rPr>
        <w:fldChar w:fldCharType="separate"/>
      </w:r>
      <w:r w:rsidRPr="00052BEA">
        <w:rPr>
          <w:rFonts w:cs="Arial"/>
          <w:noProof/>
        </w:rPr>
        <w:t>(Shillo et al., 2016)</w:t>
      </w:r>
      <w:r w:rsidRPr="00052BEA">
        <w:rPr>
          <w:rFonts w:cs="Arial"/>
        </w:rPr>
        <w:fldChar w:fldCharType="end"/>
      </w:r>
      <w:r w:rsidRPr="00052BEA">
        <w:rPr>
          <w:rFonts w:cs="Arial"/>
        </w:rPr>
        <w:t xml:space="preserve">, and reduced cortical volume in the somatosensory cortex </w:t>
      </w:r>
      <w:r w:rsidRPr="00052BEA">
        <w:rPr>
          <w:rFonts w:cs="Arial"/>
        </w:rPr>
        <w:fldChar w:fldCharType="begin"/>
      </w:r>
      <w:r w:rsidRPr="00052BEA">
        <w:rPr>
          <w:rFonts w:cs="Arial"/>
        </w:rPr>
        <w:instrText xml:space="preserve"> ADDIN EN.CITE &lt;EndNote&gt;&lt;Cite&gt;&lt;Author&gt;Selvarajah&lt;/Author&gt;&lt;Year&gt;2012&lt;/Year&gt;&lt;IDText&gt;Evidence of grey matter atrophy in diabetic neuropathy: a magnetic resonance imaging brainvolumetric study&lt;/IDText&gt;&lt;DisplayText&gt;(Selvarajah et al., 2012)&lt;/DisplayText&gt;&lt;record&gt;&lt;titles&gt;&lt;title&gt;Evidence of grey matter atrophy in diabetic neuropathy: a magnetic resonance imaging brainvolumetric study&lt;/title&gt;&lt;secondary-title&gt;EASD 2012&lt;/secondary-title&gt;&lt;/titles&gt;&lt;number&gt;1 Supplement&lt;/number&gt;&lt;contributors&gt;&lt;authors&gt;&lt;author&gt;Selvarajah, D.&lt;/author&gt;&lt;author&gt;Maxwell, M.&lt;/author&gt;&lt;author&gt;Davies, J.&lt;/author&gt;&lt;author&gt;Sankar, A&lt;/author&gt;&lt;author&gt;Cachia, E.&lt;/author&gt;&lt;author&gt;Gandhi, R.&lt;/author&gt;&lt;author&gt;Wilkinson, I.&lt;/author&gt;&lt;author&gt;Tesfaye, S.&lt;/author&gt;&lt;/authors&gt;&lt;/contributors&gt;&lt;added-date format="utc"&gt;1357532166&lt;/added-date&gt;&lt;pub-location&gt;Berlin&lt;/pub-location&gt;&lt;ref-type name="Conference Paper"&gt;47&lt;/ref-type&gt;&lt;dates&gt;&lt;year&gt;2012&lt;/year&gt;&lt;/dates&gt;&lt;rec-number&gt;639&lt;/rec-number&gt;&lt;publisher&gt;Diabetologia&lt;/publisher&gt;&lt;last-updated-date format="utc"&gt;1357532412&lt;/last-updated-date&gt;&lt;/record&gt;&lt;/Cite&gt;&lt;/EndNote&gt;</w:instrText>
      </w:r>
      <w:r w:rsidRPr="00052BEA">
        <w:rPr>
          <w:rFonts w:cs="Arial"/>
        </w:rPr>
        <w:fldChar w:fldCharType="separate"/>
      </w:r>
      <w:r w:rsidRPr="00052BEA">
        <w:rPr>
          <w:rFonts w:cs="Arial"/>
          <w:noProof/>
        </w:rPr>
        <w:t>(Selvarajah et al., 2012)</w:t>
      </w:r>
      <w:r w:rsidRPr="00052BEA">
        <w:rPr>
          <w:rFonts w:cs="Arial"/>
        </w:rPr>
        <w:fldChar w:fldCharType="end"/>
      </w:r>
      <w:r w:rsidRPr="00052BEA">
        <w:rPr>
          <w:rFonts w:cs="Arial"/>
        </w:rPr>
        <w:t xml:space="preserve">. However, these findings are focussed on DPN and do not help us to differentiate between P-DPN and DPN.  However, our group has shown a difference between P-DPN, DPN, and control groups for perfusion parameters of the thalamus.  Therefore, measurement of perfusion abnormalities may give some clue as to the neuronal </w:t>
      </w:r>
      <w:r w:rsidRPr="00052BEA">
        <w:rPr>
          <w:rFonts w:cs="Arial"/>
        </w:rPr>
        <w:lastRenderedPageBreak/>
        <w:t xml:space="preserve">activity that is occurring in the brains of those with P-DPN and how they may be experiencing neuropathic pain. </w:t>
      </w:r>
    </w:p>
    <w:p w14:paraId="467BB047" w14:textId="5C1B9C18" w:rsidR="00052BEA" w:rsidRPr="00052BEA" w:rsidRDefault="00052BEA" w:rsidP="00052BEA">
      <w:pPr>
        <w:spacing w:line="360" w:lineRule="auto"/>
        <w:rPr>
          <w:rFonts w:cs="Arial"/>
        </w:rPr>
      </w:pPr>
      <w:r w:rsidRPr="00052BEA">
        <w:rPr>
          <w:rFonts w:cs="Arial"/>
        </w:rPr>
        <w:t xml:space="preserve">MRI is an ideal technique to non-invasively measure perfusion as a marker for neuronal activity.  Neurovascular coupling, the measurement of perfusion as a marker of neuronal activity </w:t>
      </w:r>
      <w:r w:rsidRPr="00052BEA">
        <w:rPr>
          <w:rFonts w:cs="Arial"/>
        </w:rPr>
        <w:fldChar w:fldCharType="begin"/>
      </w:r>
      <w:r w:rsidRPr="00052BEA">
        <w:rPr>
          <w:rFonts w:cs="Arial"/>
        </w:rPr>
        <w:instrText xml:space="preserve"> ADDIN EN.CITE &lt;EndNote&gt;&lt;Cite&gt;&lt;Author&gt;Friedland&lt;/Author&gt;&lt;Year&gt;1991&lt;/Year&gt;&lt;IDText&gt;ROY AND SHERRINGTON (1890) - A CENTENNIAL REEXAMINATION OF ON THE REGULATION OF THE BLOOD-SUPPLY OF THE BRAIN&lt;/IDText&gt;&lt;DisplayText&gt;(Friedland and Iadecola, 1991)&lt;/DisplayText&gt;&lt;record&gt;&lt;dates&gt;&lt;pub-dates&gt;&lt;date&gt;Jan&lt;/date&gt;&lt;/pub-dates&gt;&lt;year&gt;1991&lt;/year&gt;&lt;/dates&gt;&lt;urls&gt;&lt;related-urls&gt;&lt;url&gt;&amp;lt;Go to ISI&amp;gt;://WOS:A1991ER63300002&lt;/url&gt;&lt;/related-urls&gt;&lt;/urls&gt;&lt;isbn&gt;0028-3878&lt;/isbn&gt;&lt;titles&gt;&lt;title&gt;ROY AND SHERRINGTON (1890) - A CENTENNIAL REEXAMINATION OF ON THE REGULATION OF THE BLOOD-SUPPLY OF THE BRAIN&lt;/title&gt;&lt;secondary-title&gt;Neurology&lt;/secondary-title&gt;&lt;/titles&gt;&lt;pages&gt;10-14&lt;/pages&gt;&lt;number&gt;1&lt;/number&gt;&lt;contributors&gt;&lt;authors&gt;&lt;author&gt;Friedland, R. P.&lt;/author&gt;&lt;author&gt;Iadecola, C.&lt;/author&gt;&lt;/authors&gt;&lt;/contributors&gt;&lt;added-date format="utc"&gt;1357146354&lt;/added-date&gt;&lt;ref-type name="Journal Article"&gt;17&lt;/ref-type&gt;&lt;rec-number&gt;571&lt;/rec-number&gt;&lt;last-updated-date format="utc"&gt;1479836811&lt;/last-updated-date&gt;&lt;accession-num&gt;WOS:A1991ER63300002&lt;/accession-num&gt;&lt;volume&gt;41&lt;/volume&gt;&lt;/record&gt;&lt;/Cite&gt;&lt;/EndNote&gt;</w:instrText>
      </w:r>
      <w:r w:rsidRPr="00052BEA">
        <w:rPr>
          <w:rFonts w:cs="Arial"/>
        </w:rPr>
        <w:fldChar w:fldCharType="separate"/>
      </w:r>
      <w:r w:rsidRPr="00052BEA">
        <w:rPr>
          <w:rFonts w:cs="Arial"/>
          <w:noProof/>
        </w:rPr>
        <w:t>(Friedland and Iadecola, 1991)</w:t>
      </w:r>
      <w:r w:rsidRPr="00052BEA">
        <w:rPr>
          <w:rFonts w:cs="Arial"/>
        </w:rPr>
        <w:fldChar w:fldCharType="end"/>
      </w:r>
      <w:r w:rsidRPr="00052BEA">
        <w:rPr>
          <w:rFonts w:cs="Arial"/>
        </w:rPr>
        <w:t xml:space="preserve">, has been described in the literature as the underlying principle for arterial spin labelling (ASL), BOLD fMRI (Blood oxygen level dependent functional magnetic resonance imaging), fluorodeoxyglucose (FDG)-Positron emission tomography (PET), and DSC-MRI.  To measure perfusion in a cohort that may be experiencing fluctuating spontaneous pain, an MRI technique needs good temporal resolution, </w:t>
      </w:r>
      <w:proofErr w:type="gramStart"/>
      <w:r w:rsidRPr="00052BEA">
        <w:rPr>
          <w:rFonts w:cs="Arial"/>
        </w:rPr>
        <w:t>i.e.</w:t>
      </w:r>
      <w:proofErr w:type="gramEnd"/>
      <w:r w:rsidRPr="00052BEA">
        <w:rPr>
          <w:rFonts w:cs="Arial"/>
        </w:rPr>
        <w:t xml:space="preserve"> can show activity over short time periods, such as BOLD fMRI (Blood oxygen level dependent functional magnetic resonance imaging) or DSC-MRI. </w:t>
      </w:r>
      <w:r w:rsidR="004E59F7">
        <w:rPr>
          <w:rFonts w:cs="Arial"/>
        </w:rPr>
        <w:t xml:space="preserve"> </w:t>
      </w:r>
      <w:r w:rsidRPr="00052BEA">
        <w:rPr>
          <w:rFonts w:cs="Arial"/>
        </w:rPr>
        <w:t xml:space="preserve">BOLD fMRI measures the amount of oxygenated and deoxygenated haemoglobin due to their </w:t>
      </w:r>
      <w:r w:rsidR="004E59F7">
        <w:rPr>
          <w:rFonts w:cs="Arial"/>
        </w:rPr>
        <w:t xml:space="preserve">differing </w:t>
      </w:r>
      <w:r w:rsidRPr="00052BEA">
        <w:rPr>
          <w:rFonts w:cs="Arial"/>
        </w:rPr>
        <w:t xml:space="preserve">paramagnetic properties. </w:t>
      </w:r>
      <w:r w:rsidR="00772E7E">
        <w:rPr>
          <w:rFonts w:cs="Arial"/>
        </w:rPr>
        <w:t xml:space="preserve"> </w:t>
      </w:r>
      <w:r w:rsidRPr="00052BEA">
        <w:rPr>
          <w:rFonts w:cs="Arial"/>
        </w:rPr>
        <w:t xml:space="preserve">It has good temporal resolution and a high signal to noise (SNR) ratio, however it does not directly measure perfusion and therefore does not give reliable information about baseline blood flow or volume </w:t>
      </w:r>
      <w:r w:rsidRPr="00052BEA">
        <w:rPr>
          <w:rFonts w:cs="Arial"/>
        </w:rPr>
        <w:fldChar w:fldCharType="begin"/>
      </w:r>
      <w:r w:rsidRPr="00052BEA">
        <w:rPr>
          <w:rFonts w:cs="Arial"/>
        </w:rPr>
        <w:instrText xml:space="preserve"> ADDIN EN.CITE &lt;EndNote&gt;&lt;Cite&gt;&lt;Author&gt;Aguirre&lt;/Author&gt;&lt;Year&gt;2002&lt;/Year&gt;&lt;IDText&gt;Experimental design and the relative sensitivity of BOLD and perfusion fMRI&lt;/IDText&gt;&lt;DisplayText&gt;(Aguirre et al., 2002)&lt;/DisplayText&gt;&lt;record&gt;&lt;dates&gt;&lt;pub-dates&gt;&lt;date&gt;Mar&lt;/date&gt;&lt;/pub-dates&gt;&lt;year&gt;2002&lt;/year&gt;&lt;/dates&gt;&lt;urls&gt;&lt;related-urls&gt;&lt;url&gt;&amp;lt;Go to ISI&amp;gt;://WOS:000174163900003&lt;/url&gt;&lt;/related-urls&gt;&lt;/urls&gt;&lt;isbn&gt;1053-8119&lt;/isbn&gt;&lt;titles&gt;&lt;title&gt;Experimental design and the relative sensitivity of BOLD and perfusion fMRI&lt;/title&gt;&lt;secondary-title&gt;Neuroimage&lt;/secondary-title&gt;&lt;/titles&gt;&lt;number&gt;3&lt;/number&gt;&lt;contributors&gt;&lt;authors&gt;&lt;author&gt;Aguirre, G. K.&lt;/author&gt;&lt;author&gt;Detre, J. A.&lt;/author&gt;&lt;author&gt;Zarahn, E.&lt;/author&gt;&lt;author&gt;Alsop, D. C.&lt;/author&gt;&lt;/authors&gt;&lt;/contributors&gt;&lt;added-date format="utc"&gt;1357402819&lt;/added-date&gt;&lt;ref-type name="Journal Article"&gt;17&lt;/ref-type&gt;&lt;rec-number&gt;591&lt;/rec-number&gt;&lt;last-updated-date format="utc"&gt;1479833858&lt;/last-updated-date&gt;&lt;accession-num&gt;WOS:000174163900003&lt;/accession-num&gt;&lt;electronic-resource-num&gt;10.1006/nimg.2001.0990&lt;/electronic-resource-num&gt;&lt;volume&gt;15&lt;/volume&gt;&lt;/record&gt;&lt;/Cite&gt;&lt;/EndNote&gt;</w:instrText>
      </w:r>
      <w:r w:rsidRPr="00052BEA">
        <w:rPr>
          <w:rFonts w:cs="Arial"/>
        </w:rPr>
        <w:fldChar w:fldCharType="separate"/>
      </w:r>
      <w:r w:rsidRPr="00052BEA">
        <w:rPr>
          <w:rFonts w:cs="Arial"/>
          <w:noProof/>
        </w:rPr>
        <w:t>(Aguirre et al., 2002)</w:t>
      </w:r>
      <w:r w:rsidRPr="00052BEA">
        <w:rPr>
          <w:rFonts w:cs="Arial"/>
        </w:rPr>
        <w:fldChar w:fldCharType="end"/>
      </w:r>
      <w:r w:rsidRPr="00052BEA">
        <w:rPr>
          <w:rFonts w:cs="Arial"/>
        </w:rPr>
        <w:t xml:space="preserve">.  ASL can quantify cerebral blood flow (CBF) but has poor temporal resolution, as the SNR is very low, and therefore the outputs need to be averaged over minutes </w:t>
      </w:r>
      <w:r w:rsidRPr="00052BEA">
        <w:rPr>
          <w:rFonts w:cs="Arial"/>
        </w:rPr>
        <w:fldChar w:fldCharType="begin">
          <w:fldData xml:space="preserve">PEVuZE5vdGU+PENpdGU+PEF1dGhvcj5LcmlzaG5hbXVydGh5PC9BdXRob3I+PFllYXI+MjAxOTwv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</w:fldData>
        </w:fldChar>
      </w:r>
      <w:r w:rsidRPr="00052BEA">
        <w:rPr>
          <w:rFonts w:cs="Arial"/>
        </w:rPr>
        <w:instrText xml:space="preserve"> ADDIN EN.CITE </w:instrText>
      </w:r>
      <w:r w:rsidRPr="00052BEA">
        <w:rPr>
          <w:rFonts w:cs="Arial"/>
        </w:rPr>
        <w:fldChar w:fldCharType="begin">
          <w:fldData xml:space="preserve">PEVuZE5vdGU+PENpdGU+PEF1dGhvcj5LcmlzaG5hbXVydGh5PC9BdXRob3I+PFllYXI+MjAxOTwv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</w:fldData>
        </w:fldChar>
      </w:r>
      <w:r w:rsidRPr="00052BEA">
        <w:rPr>
          <w:rFonts w:cs="Arial"/>
        </w:rPr>
        <w:instrText xml:space="preserve"> ADDIN EN.CITE.DATA </w:instrText>
      </w:r>
      <w:r w:rsidRPr="00052BEA">
        <w:rPr>
          <w:rFonts w:cs="Arial"/>
        </w:rPr>
      </w:r>
      <w:r w:rsidRPr="00052BEA">
        <w:rPr>
          <w:rFonts w:cs="Arial"/>
        </w:rPr>
        <w:fldChar w:fldCharType="end"/>
      </w:r>
      <w:r w:rsidRPr="00052BEA">
        <w:rPr>
          <w:rFonts w:cs="Arial"/>
        </w:rPr>
      </w:r>
      <w:r w:rsidRPr="00052BEA">
        <w:rPr>
          <w:rFonts w:cs="Arial"/>
        </w:rPr>
        <w:fldChar w:fldCharType="separate"/>
      </w:r>
      <w:r w:rsidRPr="00052BEA">
        <w:rPr>
          <w:rFonts w:cs="Arial"/>
          <w:noProof/>
        </w:rPr>
        <w:t>(Krishnamurthy et al., 2019)</w:t>
      </w:r>
      <w:r w:rsidRPr="00052BEA">
        <w:rPr>
          <w:rFonts w:cs="Arial"/>
        </w:rPr>
        <w:fldChar w:fldCharType="end"/>
      </w:r>
      <w:r w:rsidRPr="00052BEA">
        <w:rPr>
          <w:rFonts w:cs="Arial"/>
        </w:rPr>
        <w:t xml:space="preserve">.  FDG-PET has a similar drawback in that it has poor temporal resolution </w:t>
      </w:r>
      <w:r w:rsidRPr="00052BEA">
        <w:rPr>
          <w:rFonts w:cs="Arial"/>
        </w:rPr>
        <w:fldChar w:fldCharType="begin"/>
      </w:r>
      <w:r w:rsidRPr="00052BEA">
        <w:rPr>
          <w:rFonts w:cs="Arial"/>
        </w:rPr>
        <w:instrText xml:space="preserve"> ADDIN EN.CITE &lt;EndNote&gt;&lt;Cite&gt;&lt;Author&gt;Kameyama&lt;/Author&gt;&lt;Year&gt;2016&lt;/Year&gt;&lt;IDText&gt;Comparison of [(15)O] H2O Positron Emission Tomography and Functional Magnetic Resonance Imaging in Activation Studies&lt;/IDText&gt;&lt;DisplayText&gt;(Kameyama et al., 2016)&lt;/DisplayText&gt;&lt;record&gt;&lt;keywords&gt;&lt;keyword&gt;Studies&lt;/keyword&gt;&lt;keyword&gt;Human subjects&lt;/keyword&gt;&lt;keyword&gt;Nuclear magnetic resonance--NMR&lt;/keyword&gt;&lt;keyword&gt;Brain research&lt;/keyword&gt;&lt;keyword&gt;Metabolism&lt;/keyword&gt;&lt;keyword&gt;Advantages&lt;/keyword&gt;&lt;keyword&gt;cerebral blood flow&lt;/keyword&gt;&lt;keyword&gt;magnetic resonance imaging&lt;/keyword&gt;&lt;keyword&gt;Review&lt;/keyword&gt;&lt;keyword&gt;blood oxygen level dependent&lt;/keyword&gt;&lt;keyword&gt;positron emission tomography&lt;/keyword&gt;&lt;keyword&gt;Arterial spin labeling&lt;/keyword&gt;&lt;/keywords&gt;&lt;isbn&gt;1450-1147&lt;/isbn&gt;&lt;titles&gt;&lt;title&gt;Comparison of [(15)O] H2O Positron Emission Tomography and Functional Magnetic Resonance Imaging in Activation Studies&lt;/title&gt;&lt;secondary-title&gt;World J Nucl Med&lt;/secondary-title&gt;&lt;/titles&gt;&lt;pages&gt;3-6&lt;/pages&gt;&lt;number&gt;1&lt;/number&gt;&lt;contributors&gt;&lt;authors&gt;&lt;author&gt;Kameyama, M.&lt;/author&gt;&lt;author&gt;Murakami, K.&lt;/author&gt;&lt;author&gt;Jinzaki, M.&lt;/author&gt;&lt;/authors&gt;&lt;/contributors&gt;&lt;added-date format="utc"&gt;1598344448&lt;/added-date&gt;&lt;pub-location&gt;Austria&lt;/pub-location&gt;&lt;ref-type name="Journal Article"&gt;17&lt;/ref-type&gt;&lt;dates&gt;&lt;year&gt;2016&lt;/year&gt;&lt;/dates&gt;&lt;rec-number&gt;1324&lt;/rec-number&gt;&lt;publisher&gt;Austria: Medknow Publications &amp;amp; Media Pvt. Ltd&lt;/publisher&gt;&lt;last-updated-date format="utc"&gt;1598344523&lt;/last-updated-date&gt;&lt;electronic-resource-num&gt;10.4103/1450-1147.172139&lt;/electronic-resource-num&gt;&lt;volume&gt;15&lt;/volume&gt;&lt;/record&gt;&lt;/Cite&gt;&lt;/EndNote&gt;</w:instrText>
      </w:r>
      <w:r w:rsidRPr="00052BEA">
        <w:rPr>
          <w:rFonts w:cs="Arial"/>
        </w:rPr>
        <w:fldChar w:fldCharType="separate"/>
      </w:r>
      <w:r w:rsidRPr="00052BEA">
        <w:rPr>
          <w:rFonts w:cs="Arial"/>
          <w:noProof/>
        </w:rPr>
        <w:t>(Kameyama et al., 2016)</w:t>
      </w:r>
      <w:r w:rsidRPr="00052BEA">
        <w:rPr>
          <w:rFonts w:cs="Arial"/>
        </w:rPr>
        <w:fldChar w:fldCharType="end"/>
      </w:r>
      <w:r w:rsidRPr="00052BEA">
        <w:rPr>
          <w:rFonts w:cs="Arial"/>
        </w:rPr>
        <w:t xml:space="preserve">.  The advantages of DSC-MRI are that it has good temporal resolution and the ability to generate quantified measurements of perfusion.  The disadvantage is that it requires an intravenous dose of gadolinium-based contrast.  Therefore it is not repeatable within a session </w:t>
      </w:r>
      <w:r w:rsidRPr="00052BEA">
        <w:rPr>
          <w:rFonts w:cs="Arial"/>
        </w:rPr>
        <w:fldChar w:fldCharType="begin"/>
      </w:r>
      <w:r w:rsidR="009968E0">
        <w:rPr>
          <w:rFonts w:cs="Arial"/>
        </w:rPr>
        <w:instrText xml:space="preserve"> ADDIN EN.CITE &lt;EndNote&gt;&lt;Cite&gt;&lt;Author&gt;Willats&lt;/Author&gt;&lt;Year&gt;2013&lt;/Year&gt;&lt;IDText&gt;The 39 steps: evading error and deciphering the secrets for accurate dynamic susceptibility contrast MRI&lt;/IDText&gt;&lt;DisplayText&gt;(Willats and Calamante, 2013a)&lt;/DisplayText&gt;&lt;record&gt;&lt;dates&gt;&lt;pub-dates&gt;&lt;date&gt;Aug&lt;/date&gt;&lt;/pub-dates&gt;&lt;year&gt;2013&lt;/year&gt;&lt;/dates&gt;&lt;urls&gt;&lt;related-urls&gt;&lt;url&gt;&amp;lt;Go to ISI&amp;gt;://WOS:000322167500006&lt;/url&gt;&lt;/related-urls&gt;&lt;/urls&gt;&lt;isbn&gt;0952-3480&lt;/isbn&gt;&lt;titles&gt;&lt;title&gt;The 39 steps: evading error and deciphering the secrets for accurate dynamic susceptibility contrast MRI&lt;/title&gt;&lt;secondary-title&gt;Nmr in Biomedicine&lt;/secondary-title&gt;&lt;/titles&gt;&lt;pages&gt;913-931&lt;/pages&gt;&lt;number&gt;8&lt;/number&gt;&lt;contributors&gt;&lt;authors&gt;&lt;author&gt;Willats, Lisa&lt;/author&gt;&lt;author&gt;Calamante, Fernando&lt;/author&gt;&lt;/authors&gt;&lt;/contributors&gt;&lt;added-date format="utc"&gt;1510075848&lt;/added-date&gt;&lt;ref-type name="Journal Article"&gt;17&lt;/ref-type&gt;&lt;rec-number&gt;888&lt;/rec-number&gt;&lt;last-updated-date format="utc"&gt;1569073619&lt;/last-updated-date&gt;&lt;accession-num&gt;WOS:000322167500006&lt;/accession-num&gt;&lt;electronic-resource-num&gt;10.1002/nbm.2833&lt;/electronic-resource-num&gt;&lt;volume&gt;26&lt;/volume&gt;&lt;/record&gt;&lt;/Cite&gt;&lt;/EndNote&gt;</w:instrText>
      </w:r>
      <w:r w:rsidRPr="00052BEA">
        <w:rPr>
          <w:rFonts w:cs="Arial"/>
        </w:rPr>
        <w:fldChar w:fldCharType="separate"/>
      </w:r>
      <w:r w:rsidR="009968E0">
        <w:rPr>
          <w:rFonts w:cs="Arial"/>
          <w:noProof/>
        </w:rPr>
        <w:t>(Willats and Calamante, 2013a)</w:t>
      </w:r>
      <w:r w:rsidRPr="00052BEA">
        <w:rPr>
          <w:rFonts w:cs="Arial"/>
        </w:rPr>
        <w:fldChar w:fldCharType="end"/>
      </w:r>
      <w:r w:rsidRPr="00052BEA">
        <w:rPr>
          <w:rFonts w:cs="Arial"/>
        </w:rPr>
        <w:t xml:space="preserve">.  Hence, as the aim was to measure the correlates of neural activity over a short time course, and that baseline measures were important to differentiate baseline from provoked conditions across groups, DSC-MRI was chosen as the method to measure perfusion.  </w:t>
      </w:r>
    </w:p>
    <w:p w14:paraId="12267713" w14:textId="18351AAF" w:rsidR="00052BEA" w:rsidRPr="00052BEA" w:rsidRDefault="00052BEA" w:rsidP="00052BEA">
      <w:pPr>
        <w:spacing w:line="360" w:lineRule="auto"/>
        <w:rPr>
          <w:rFonts w:cs="Arial"/>
        </w:rPr>
      </w:pPr>
      <w:r w:rsidRPr="00052BEA">
        <w:rPr>
          <w:rFonts w:cs="Arial"/>
        </w:rPr>
        <w:t xml:space="preserve">To investigate baseline perfusion abnormalities that may exist in subjects with P-DPN, we studied regions of interest (ROI) believed to be part of the pain matrix: the Thal, INS, ACC, and PSC, </w:t>
      </w:r>
      <w:r w:rsidRPr="00052BEA">
        <w:rPr>
          <w:rFonts w:cs="Arial"/>
        </w:rPr>
        <w:fldChar w:fldCharType="begin">
          <w:fldData xml:space="preserve">PEVuZE5vdGU+PENpdGU+PEF1dGhvcj5EdWVyZGVuPC9BdXRob3I+PFllYXI+MjAxMzwvWWVhcj48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=
</w:fldData>
        </w:fldChar>
      </w:r>
      <w:r w:rsidRPr="00052BEA">
        <w:rPr>
          <w:rFonts w:cs="Arial"/>
        </w:rPr>
        <w:instrText xml:space="preserve"> ADDIN EN.CITE </w:instrText>
      </w:r>
      <w:r w:rsidRPr="00052BEA">
        <w:rPr>
          <w:rFonts w:cs="Arial"/>
        </w:rPr>
        <w:fldChar w:fldCharType="begin">
          <w:fldData xml:space="preserve">PEVuZE5vdGU+PENpdGU+PEF1dGhvcj5EdWVyZGVuPC9BdXRob3I+PFllYXI+MjAxMzwvWWVhcj48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=
</w:fldData>
        </w:fldChar>
      </w:r>
      <w:r w:rsidRPr="00052BEA">
        <w:rPr>
          <w:rFonts w:cs="Arial"/>
        </w:rPr>
        <w:instrText xml:space="preserve"> ADDIN EN.CITE.DATA </w:instrText>
      </w:r>
      <w:r w:rsidRPr="00052BEA">
        <w:rPr>
          <w:rFonts w:cs="Arial"/>
        </w:rPr>
      </w:r>
      <w:r w:rsidRPr="00052BEA">
        <w:rPr>
          <w:rFonts w:cs="Arial"/>
        </w:rPr>
        <w:fldChar w:fldCharType="end"/>
      </w:r>
      <w:r w:rsidRPr="00052BEA">
        <w:rPr>
          <w:rFonts w:cs="Arial"/>
        </w:rPr>
      </w:r>
      <w:r w:rsidRPr="00052BEA">
        <w:rPr>
          <w:rFonts w:cs="Arial"/>
        </w:rPr>
        <w:fldChar w:fldCharType="separate"/>
      </w:r>
      <w:r w:rsidRPr="00052BEA">
        <w:rPr>
          <w:rFonts w:cs="Arial"/>
          <w:noProof/>
        </w:rPr>
        <w:t>(Duerden and Albanese, 2013, Jensen et al., 2016, Tanasescu et al., 2016)</w:t>
      </w:r>
      <w:r w:rsidRPr="00052BEA">
        <w:rPr>
          <w:rFonts w:cs="Arial"/>
        </w:rPr>
        <w:fldChar w:fldCharType="end"/>
      </w:r>
      <w:r w:rsidRPr="00052BEA">
        <w:rPr>
          <w:rFonts w:cs="Arial"/>
        </w:rPr>
        <w:t xml:space="preserve"> using DSC–MRI.  Based on the principle of neurovascular coupling </w:t>
      </w:r>
      <w:r w:rsidRPr="00052BEA">
        <w:rPr>
          <w:rFonts w:cs="Arial"/>
        </w:rPr>
        <w:fldChar w:fldCharType="begin"/>
      </w:r>
      <w:r w:rsidRPr="00052BEA">
        <w:rPr>
          <w:rFonts w:cs="Arial"/>
        </w:rPr>
        <w:instrText xml:space="preserve"> ADDIN EN.CITE &lt;EndNote&gt;&lt;Cite&gt;&lt;Author&gt;Friedland&lt;/Author&gt;&lt;Year&gt;1991&lt;/Year&gt;&lt;IDText&gt;ROY AND SHERRINGTON (1890) - A CENTENNIAL REEXAMINATION OF ON THE REGULATION OF THE BLOOD-SUPPLY OF THE BRAIN&lt;/IDText&gt;&lt;DisplayText&gt;(Friedland and Iadecola, 1991)&lt;/DisplayText&gt;&lt;record&gt;&lt;dates&gt;&lt;pub-dates&gt;&lt;date&gt;Jan&lt;/date&gt;&lt;/pub-dates&gt;&lt;year&gt;1991&lt;/year&gt;&lt;/dates&gt;&lt;urls&gt;&lt;related-urls&gt;&lt;url&gt;&amp;lt;Go to ISI&amp;gt;://WOS:A1991ER63300002&lt;/url&gt;&lt;/related-urls&gt;&lt;/urls&gt;&lt;isbn&gt;0028-3878&lt;/isbn&gt;&lt;titles&gt;&lt;title&gt;ROY AND SHERRINGTON (1890) - A CENTENNIAL REEXAMINATION OF ON THE REGULATION OF THE BLOOD-SUPPLY OF THE BRAIN&lt;/title&gt;&lt;secondary-title&gt;Neurology&lt;/secondary-title&gt;&lt;/titles&gt;&lt;pages&gt;10-14&lt;/pages&gt;&lt;number&gt;1&lt;/number&gt;&lt;contributors&gt;&lt;authors&gt;&lt;author&gt;Friedland, R. P.&lt;/author&gt;&lt;author&gt;Iadecola, C.&lt;/author&gt;&lt;/authors&gt;&lt;/contributors&gt;&lt;added-date format="utc"&gt;1357146354&lt;/added-date&gt;&lt;ref-type name="Journal Article"&gt;17&lt;/ref-type&gt;&lt;rec-number&gt;571&lt;/rec-number&gt;&lt;last-updated-date format="utc"&gt;1479836811&lt;/last-updated-date&gt;&lt;accession-num&gt;WOS:A1991ER63300002&lt;/accession-num&gt;&lt;volume&gt;41&lt;/volume&gt;&lt;/record&gt;&lt;/Cite&gt;&lt;/EndNote&gt;</w:instrText>
      </w:r>
      <w:r w:rsidRPr="00052BEA">
        <w:rPr>
          <w:rFonts w:cs="Arial"/>
        </w:rPr>
        <w:fldChar w:fldCharType="separate"/>
      </w:r>
      <w:r w:rsidRPr="00052BEA">
        <w:rPr>
          <w:rFonts w:cs="Arial"/>
          <w:noProof/>
        </w:rPr>
        <w:t>(Friedland and Iadecola, 1991)</w:t>
      </w:r>
      <w:r w:rsidRPr="00052BEA">
        <w:rPr>
          <w:rFonts w:cs="Arial"/>
        </w:rPr>
        <w:fldChar w:fldCharType="end"/>
      </w:r>
      <w:r w:rsidRPr="00052BEA">
        <w:rPr>
          <w:rFonts w:cs="Arial"/>
        </w:rPr>
        <w:t xml:space="preserve">, we hypothesised that DSC-MRI would show increased perfusion of the thalamus and other regions of the pain matrix in subjects with P-DPN, as was shown in a pilot study </w:t>
      </w:r>
      <w:r w:rsidRPr="00052BEA">
        <w:rPr>
          <w:rFonts w:cs="Arial"/>
        </w:rPr>
        <w:fldChar w:fldCharType="begin"/>
      </w:r>
      <w:r w:rsidR="009968E0">
        <w:rPr>
          <w:rFonts w:cs="Arial"/>
        </w:rPr>
        <w:instrText xml:space="preserve"> ADDIN EN.CITE &lt;EndNote&gt;&lt;Cite&gt;&lt;Author&gt;Selvarajah&lt;/Author&gt;&lt;Year&gt;2011&lt;/Year&gt;&lt;IDText&gt;Microvascular Perfusion Abnormalities of the Thalamus in Painful but Not Painless Diabetic Polyneuropathy A clue to the pathogenesis of pain in type 1 diabetes&lt;/IDText&gt;&lt;DisplayText&gt;(Selvarajah et al., 2011a)&lt;/DisplayText&gt;&lt;record&gt;&lt;dates&gt;&lt;pub-dates&gt;&lt;date&gt;Mar&lt;/date&gt;&lt;/pub-dates&gt;&lt;year&gt;2011&lt;/year&gt;&lt;/dates&gt;&lt;urls&gt;&lt;related-urls&gt;&lt;url&gt;&amp;lt;Go to ISI&amp;gt;://WOS:000288145400038&lt;/url&gt;&lt;/related-urls&gt;&lt;/urls&gt;&lt;isbn&gt;0149-5992&lt;/isbn&gt;&lt;titles&gt;&lt;title&gt;Microvascular Perfusion Abnormalities of the Thalamus in Painful but Not Painless Diabetic Polyneuropathy A clue to the pathogenesis of pain in type 1 diabetes&lt;/title&gt;&lt;secondary-title&gt;Diabetes Care&lt;/secondary-title&gt;&lt;/titles&gt;&lt;number&gt;3&lt;/number&gt;&lt;contributors&gt;&lt;authors&gt;&lt;author&gt;Selvarajah, Dinesh&lt;/author&gt;&lt;author&gt;Wilkinson, Iain D.&lt;/author&gt;&lt;author&gt;Gandhi, Rajiv&lt;/author&gt;&lt;author&gt;Griffiths, Paul D.&lt;/author&gt;&lt;author&gt;Tesfaye, Solomon&lt;/author&gt;&lt;/authors&gt;&lt;/contributors&gt;&lt;added-date format="utc"&gt;1353513588&lt;/added-date&gt;&lt;ref-type name="Journal Article"&gt;17&lt;/ref-type&gt;&lt;rec-number&gt;290&lt;/rec-number&gt;&lt;last-updated-date format="utc"&gt;1353523152&lt;/last-updated-date&gt;&lt;accession-num&gt;WOS:000288145400038&lt;/accession-num&gt;&lt;electronic-resource-num&gt;10.2337/dc10-1550&lt;/electronic-resource-num&gt;&lt;volume&gt;34&lt;/volume&gt;&lt;/record&gt;&lt;/Cite&gt;&lt;/EndNote&gt;</w:instrText>
      </w:r>
      <w:r w:rsidRPr="00052BEA">
        <w:rPr>
          <w:rFonts w:cs="Arial"/>
        </w:rPr>
        <w:fldChar w:fldCharType="separate"/>
      </w:r>
      <w:r w:rsidR="009968E0">
        <w:rPr>
          <w:rFonts w:cs="Arial"/>
          <w:noProof/>
        </w:rPr>
        <w:t>(Selvarajah et al., 2011a)</w:t>
      </w:r>
      <w:r w:rsidRPr="00052BEA">
        <w:rPr>
          <w:rFonts w:cs="Arial"/>
        </w:rPr>
        <w:fldChar w:fldCharType="end"/>
      </w:r>
      <w:r w:rsidRPr="00052BEA">
        <w:rPr>
          <w:rFonts w:cs="Arial"/>
        </w:rPr>
        <w:t xml:space="preserve">. </w:t>
      </w:r>
    </w:p>
    <w:p w14:paraId="68B2E13A" w14:textId="500D90FB" w:rsidR="00052BEA" w:rsidRPr="00052BEA" w:rsidRDefault="00052BEA" w:rsidP="00052BEA">
      <w:pPr>
        <w:spacing w:line="360" w:lineRule="auto"/>
        <w:rPr>
          <w:rFonts w:cs="Arial"/>
        </w:rPr>
      </w:pPr>
      <w:r w:rsidRPr="00052BEA">
        <w:rPr>
          <w:rFonts w:cs="Arial"/>
        </w:rPr>
        <w:lastRenderedPageBreak/>
        <w:t xml:space="preserve">The perfusion parameters that can be described by DSC-MRI after post processing are MTT, RBV, RBF, and TTP  </w:t>
      </w:r>
      <w:r w:rsidRPr="00052BEA">
        <w:rPr>
          <w:rFonts w:cs="Arial"/>
        </w:rPr>
        <w:fldChar w:fldCharType="begin"/>
      </w:r>
      <w:r w:rsidRPr="00052BEA">
        <w:rPr>
          <w:rFonts w:cs="Arial"/>
        </w:rPr>
        <w:instrText xml:space="preserve"> ADDIN EN.CITE &lt;EndNote&gt;&lt;Cite&gt;&lt;Author&gt;Copen&lt;/Author&gt;&lt;Year&gt;2011&lt;/Year&gt;&lt;IDText&gt;MR perfusion imaging in acute ischemic stroke&lt;/IDText&gt;&lt;DisplayText&gt;(Copen et al., 2011)&lt;/DisplayText&gt;&lt;record&gt;&lt;dates&gt;&lt;pub-dates&gt;&lt;date&gt;May&lt;/date&gt;&lt;/pub-dates&gt;&lt;year&gt;2011&lt;/year&gt;&lt;/dates&gt;&lt;keywords&gt;&lt;keyword&gt;Brain Ischemia&lt;/keyword&gt;&lt;keyword&gt;Cerebral Angiography&lt;/keyword&gt;&lt;keyword&gt;Humans&lt;/keyword&gt;&lt;keyword&gt;Magnetic Resonance Angiography&lt;/keyword&gt;&lt;keyword&gt;Stroke&lt;/keyword&gt;&lt;/keywords&gt;&lt;urls&gt;&lt;related-urls&gt;&lt;url&gt;https://www.ncbi.nlm.nih.gov/pubmed/21640299&lt;/url&gt;&lt;/related-urls&gt;&lt;/urls&gt;&lt;isbn&gt;1557-9867&lt;/isbn&gt;&lt;custom2&gt;PMC3135980&lt;/custom2&gt;&lt;titles&gt;&lt;title&gt;MR perfusion imaging in acute ischemic stroke&lt;/title&gt;&lt;secondary-title&gt;Neuroimaging Clin N Am&lt;/secondary-title&gt;&lt;/titles&gt;&lt;pages&gt;259-83, x&lt;/pages&gt;&lt;number&gt;2&lt;/number&gt;&lt;contributors&gt;&lt;authors&gt;&lt;author&gt;Copen, W. A.&lt;/author&gt;&lt;author&gt;Schaefer, P. W.&lt;/author&gt;&lt;author&gt;Wu, O.&lt;/author&gt;&lt;/authors&gt;&lt;/contributors&gt;&lt;language&gt;eng&lt;/language&gt;&lt;added-date format="utc"&gt;1501245864&lt;/added-date&gt;&lt;ref-type name="Journal Article"&gt;17&lt;/ref-type&gt;&lt;rec-number&gt;883&lt;/rec-number&gt;&lt;last-updated-date format="utc"&gt;1501245864&lt;/last-updated-date&gt;&lt;accession-num&gt;21640299&lt;/accession-num&gt;&lt;electronic-resource-num&gt;10.1016/j.nic.2011.02.007&lt;/electronic-resource-num&gt;&lt;volume&gt;21&lt;/volume&gt;&lt;/record&gt;&lt;/Cite&gt;&lt;/EndNote&gt;</w:instrText>
      </w:r>
      <w:r w:rsidRPr="00052BEA">
        <w:rPr>
          <w:rFonts w:cs="Arial"/>
        </w:rPr>
        <w:fldChar w:fldCharType="separate"/>
      </w:r>
      <w:r w:rsidRPr="00052BEA">
        <w:rPr>
          <w:rFonts w:cs="Arial"/>
          <w:noProof/>
        </w:rPr>
        <w:t>(Copen et al., 2011)</w:t>
      </w:r>
      <w:r w:rsidRPr="00052BEA">
        <w:rPr>
          <w:rFonts w:cs="Arial"/>
        </w:rPr>
        <w:fldChar w:fldCharType="end"/>
      </w:r>
      <w:r w:rsidRPr="00052BEA">
        <w:rPr>
          <w:rFonts w:cs="Arial"/>
        </w:rPr>
        <w:t>.  The perfusion parameters are described in detail in Chapter 1</w:t>
      </w:r>
      <w:r w:rsidR="005F0088">
        <w:rPr>
          <w:rFonts w:cs="Arial"/>
        </w:rPr>
        <w:t xml:space="preserve">, </w:t>
      </w:r>
      <w:r w:rsidRPr="00052BEA">
        <w:rPr>
          <w:rFonts w:cs="Arial"/>
        </w:rPr>
        <w:t>pp</w:t>
      </w:r>
      <w:r w:rsidR="005F0088">
        <w:rPr>
          <w:rFonts w:cs="Arial"/>
        </w:rPr>
        <w:t xml:space="preserve"> 30-33.</w:t>
      </w:r>
      <w:r w:rsidRPr="00052BEA">
        <w:rPr>
          <w:rFonts w:cs="Arial"/>
        </w:rPr>
        <w:t xml:space="preserve"> One of the difficulties with using perfusion as a marker of neuronal function in experiments in subjects with diabetes, is the hypothetical risk that cerebral blood flow could be uncoupled from neural activity given the micro- and macro-vascular changes that occur in this condition </w:t>
      </w:r>
      <w:r w:rsidRPr="00052BEA">
        <w:rPr>
          <w:rFonts w:cs="Arial"/>
        </w:rPr>
        <w:fldChar w:fldCharType="begin"/>
      </w:r>
      <w:r w:rsidRPr="00052BEA">
        <w:rPr>
          <w:rFonts w:cs="Arial"/>
        </w:rPr>
        <w:instrText xml:space="preserve"> ADDIN EN.CITE &lt;EndNote&gt;&lt;Cite&gt;&lt;Author&gt;Duarte&lt;/Author&gt;&lt;Year&gt;2015&lt;/Year&gt;&lt;IDText&gt;Early disrupted neurovascular coupling and changed event level hemodynamic response function in type 2 diabetes: an fMRI study&lt;/IDText&gt;&lt;DisplayText&gt;(Duarte et al., 2015)&lt;/DisplayText&gt;&lt;record&gt;&lt;dates&gt;&lt;pub-dates&gt;&lt;date&gt;Oct&lt;/date&gt;&lt;/pub-dates&gt;&lt;year&gt;2015&lt;/year&gt;&lt;/dates&gt;&lt;urls&gt;&lt;related-urls&gt;&lt;url&gt;&amp;lt;Go to ISI&amp;gt;://WOS:000362045300017&lt;/url&gt;&lt;/related-urls&gt;&lt;/urls&gt;&lt;isbn&gt;0271-678X&lt;/isbn&gt;&lt;titles&gt;&lt;title&gt;Early disrupted neurovascular coupling and changed event level hemodynamic response function in type 2 diabetes: an fMRI study&lt;/title&gt;&lt;secondary-title&gt;Journal of Cerebral Blood Flow and Metabolism&lt;/secondary-title&gt;&lt;/titles&gt;&lt;pages&gt;1671-1680&lt;/pages&gt;&lt;number&gt;10&lt;/number&gt;&lt;contributors&gt;&lt;authors&gt;&lt;author&gt;Duarte, Joao V.&lt;/author&gt;&lt;author&gt;Pereira, Joao M. S.&lt;/author&gt;&lt;author&gt;Quendera, Bruno&lt;/author&gt;&lt;author&gt;Raimundo, Miguel&lt;/author&gt;&lt;author&gt;Moreno, Carolina&lt;/author&gt;&lt;author&gt;Gomes, Leonor&lt;/author&gt;&lt;author&gt;Carrilho, Francisco&lt;/author&gt;&lt;author&gt;Castelo-Branco, Miguel&lt;/author&gt;&lt;/authors&gt;&lt;/contributors&gt;&lt;added-date format="utc"&gt;1520452025&lt;/added-date&gt;&lt;ref-type name="Journal Article"&gt;17&lt;/ref-type&gt;&lt;rec-number&gt;920&lt;/rec-number&gt;&lt;last-updated-date format="utc"&gt;1567321870&lt;/last-updated-date&gt;&lt;accession-num&gt;WOS:000362045300017&lt;/accession-num&gt;&lt;electronic-resource-num&gt;10.1038/jcbfm.2015.106&lt;/electronic-resource-num&gt;&lt;volume&gt;35&lt;/volume&gt;&lt;/record&gt;&lt;/Cite&gt;&lt;/EndNote&gt;</w:instrText>
      </w:r>
      <w:r w:rsidRPr="00052BEA">
        <w:rPr>
          <w:rFonts w:cs="Arial"/>
        </w:rPr>
        <w:fldChar w:fldCharType="separate"/>
      </w:r>
      <w:r w:rsidRPr="00052BEA">
        <w:rPr>
          <w:rFonts w:cs="Arial"/>
          <w:noProof/>
        </w:rPr>
        <w:t>(Duarte et al., 2015)</w:t>
      </w:r>
      <w:r w:rsidRPr="00052BEA">
        <w:rPr>
          <w:rFonts w:cs="Arial"/>
        </w:rPr>
        <w:fldChar w:fldCharType="end"/>
      </w:r>
      <w:r w:rsidRPr="00052BEA">
        <w:rPr>
          <w:rFonts w:cs="Arial"/>
        </w:rPr>
        <w:t>.  The advantage of a DSC- MRI baseline experiment is that changes can be seen in baseline perfusion, which could describe any underlying individual microvascular differences.  Deconvolution of the signal time curve with the arterial input function (AIF) resolves the problem of early or late bolus arrival or dispersion due to macrovascular changes for RBV, RBF and MTT.</w:t>
      </w:r>
    </w:p>
    <w:p w14:paraId="4AA96950" w14:textId="78C534C8" w:rsidR="00052BEA" w:rsidRPr="00052BEA" w:rsidRDefault="00052BEA" w:rsidP="00052BEA">
      <w:pPr>
        <w:spacing w:line="360" w:lineRule="auto"/>
        <w:rPr>
          <w:rFonts w:cs="Arial"/>
        </w:rPr>
      </w:pPr>
      <w:r w:rsidRPr="00052BEA">
        <w:rPr>
          <w:rFonts w:cs="Arial"/>
        </w:rPr>
        <w:t>A Pilot study from our group( HV n=6, P-DPN n=5 , DPN  n=</w:t>
      </w:r>
      <w:r w:rsidR="00A5674E">
        <w:rPr>
          <w:rFonts w:cs="Arial"/>
        </w:rPr>
        <w:t>7</w:t>
      </w:r>
      <w:r w:rsidRPr="00052BEA">
        <w:rPr>
          <w:rFonts w:cs="Arial"/>
        </w:rPr>
        <w:t xml:space="preserve">, DM-NN n=6) </w:t>
      </w:r>
      <w:r w:rsidRPr="00052BEA">
        <w:rPr>
          <w:rFonts w:cs="Arial"/>
        </w:rPr>
        <w:fldChar w:fldCharType="begin"/>
      </w:r>
      <w:r w:rsidR="009968E0">
        <w:rPr>
          <w:rFonts w:cs="Arial"/>
        </w:rPr>
        <w:instrText xml:space="preserve"> ADDIN EN.CITE &lt;EndNote&gt;&lt;Cite&gt;&lt;Author&gt;Selvarajah&lt;/Author&gt;&lt;Year&gt;2011&lt;/Year&gt;&lt;IDText&gt;Microvascular Perfusion Abnormalities of the Thalamus in Painful but Not Painless Diabetic Polyneuropathy A clue to the pathogenesis of pain in type 1 diabetes&lt;/IDText&gt;&lt;DisplayText&gt;(Selvarajah et al., 2011a)&lt;/DisplayText&gt;&lt;record&gt;&lt;dates&gt;&lt;pub-dates&gt;&lt;date&gt;Mar&lt;/date&gt;&lt;/pub-dates&gt;&lt;year&gt;2011&lt;/year&gt;&lt;/dates&gt;&lt;urls&gt;&lt;related-urls&gt;&lt;url&gt;&amp;lt;Go to ISI&amp;gt;://WOS:000288145400038&lt;/url&gt;&lt;/related-urls&gt;&lt;/urls&gt;&lt;isbn&gt;0149-5992&lt;/isbn&gt;&lt;titles&gt;&lt;title&gt;Microvascular Perfusion Abnormalities of the Thalamus in Painful but Not Painless Diabetic Polyneuropathy A clue to the pathogenesis of pain in type 1 diabetes&lt;/title&gt;&lt;secondary-title&gt;Diabetes Care&lt;/secondary-title&gt;&lt;/titles&gt;&lt;number&gt;3&lt;/number&gt;&lt;contributors&gt;&lt;authors&gt;&lt;author&gt;Selvarajah, Dinesh&lt;/author&gt;&lt;author&gt;Wilkinson, Iain D.&lt;/author&gt;&lt;author&gt;Gandhi, Rajiv&lt;/author&gt;&lt;author&gt;Griffiths, Paul D.&lt;/author&gt;&lt;author&gt;Tesfaye, Solomon&lt;/author&gt;&lt;/authors&gt;&lt;/contributors&gt;&lt;added-date format="utc"&gt;1353513588&lt;/added-date&gt;&lt;ref-type name="Journal Article"&gt;17&lt;/ref-type&gt;&lt;rec-number&gt;290&lt;/rec-number&gt;&lt;last-updated-date format="utc"&gt;1353523152&lt;/last-updated-date&gt;&lt;accession-num&gt;WOS:000288145400038&lt;/accession-num&gt;&lt;electronic-resource-num&gt;10.2337/dc10-1550&lt;/electronic-resource-num&gt;&lt;volume&gt;34&lt;/volume&gt;&lt;/record&gt;&lt;/Cite&gt;&lt;/EndNote&gt;</w:instrText>
      </w:r>
      <w:r w:rsidRPr="00052BEA">
        <w:rPr>
          <w:rFonts w:cs="Arial"/>
        </w:rPr>
        <w:fldChar w:fldCharType="separate"/>
      </w:r>
      <w:r w:rsidR="009968E0">
        <w:rPr>
          <w:rFonts w:cs="Arial"/>
          <w:noProof/>
        </w:rPr>
        <w:t>(Selvarajah et al., 2011a)</w:t>
      </w:r>
      <w:r w:rsidRPr="00052BEA">
        <w:rPr>
          <w:rFonts w:cs="Arial"/>
        </w:rPr>
        <w:fldChar w:fldCharType="end"/>
      </w:r>
      <w:r w:rsidRPr="00052BEA">
        <w:rPr>
          <w:rFonts w:cs="Arial"/>
        </w:rPr>
        <w:t xml:space="preserve">, found that those with P-DPN had significantly greater mean </w:t>
      </w:r>
      <w:r w:rsidRPr="00052BEA">
        <w:rPr>
          <w:rFonts w:cs="Arial"/>
          <w:i/>
        </w:rPr>
        <w:t>relative</w:t>
      </w:r>
      <w:r w:rsidRPr="00052BEA">
        <w:rPr>
          <w:rFonts w:cs="Arial"/>
        </w:rPr>
        <w:t xml:space="preserve"> blood volume in the thalamus than the caudate when compared with healthy volunteers.  There was a corresponding difference in the first moment transit time (TTFM- analogous to MTT) between P-DPN and HV.  However, there are limitations to using a “relative” approach, as absolute quantification would have enabled the description of global differences in CNS perfusion </w:t>
      </w:r>
      <w:r w:rsidRPr="00052BEA">
        <w:rPr>
          <w:rFonts w:cs="Arial"/>
        </w:rPr>
        <w:fldChar w:fldCharType="begin">
          <w:fldData xml:space="preserve">PEVuZE5vdGU+PENpdGU+PEF1dGhvcj5DYWxhbWFudGU8L0F1dGhvcj48WWVhcj4yMDAyPC9ZZWFy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</w:fldData>
        </w:fldChar>
      </w:r>
      <w:r w:rsidR="009968E0">
        <w:rPr>
          <w:rFonts w:cs="Arial"/>
        </w:rPr>
        <w:instrText xml:space="preserve"> ADDIN EN.CITE </w:instrText>
      </w:r>
      <w:r w:rsidR="009968E0">
        <w:rPr>
          <w:rFonts w:cs="Arial"/>
        </w:rPr>
        <w:fldChar w:fldCharType="begin">
          <w:fldData xml:space="preserve">PEVuZE5vdGU+PENpdGU+PEF1dGhvcj5DYWxhbWFudGU8L0F1dGhvcj48WWVhcj4yMDAyPC9ZZWFy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</w:fldData>
        </w:fldChar>
      </w:r>
      <w:r w:rsidR="009968E0">
        <w:rPr>
          <w:rFonts w:cs="Arial"/>
        </w:rPr>
        <w:instrText xml:space="preserve"> ADDIN EN.CITE.DATA </w:instrText>
      </w:r>
      <w:r w:rsidR="009968E0">
        <w:rPr>
          <w:rFonts w:cs="Arial"/>
        </w:rPr>
      </w:r>
      <w:r w:rsidR="009968E0">
        <w:rPr>
          <w:rFonts w:cs="Arial"/>
        </w:rPr>
        <w:fldChar w:fldCharType="end"/>
      </w:r>
      <w:r w:rsidRPr="00052BEA">
        <w:rPr>
          <w:rFonts w:cs="Arial"/>
        </w:rPr>
      </w:r>
      <w:r w:rsidRPr="00052BEA">
        <w:rPr>
          <w:rFonts w:cs="Arial"/>
        </w:rPr>
        <w:fldChar w:fldCharType="separate"/>
      </w:r>
      <w:r w:rsidR="009968E0">
        <w:rPr>
          <w:rFonts w:cs="Arial"/>
          <w:noProof/>
        </w:rPr>
        <w:t>(Calamante et al., 2002, Willats and Calamante, 2013a)</w:t>
      </w:r>
      <w:r w:rsidRPr="00052BEA">
        <w:rPr>
          <w:rFonts w:cs="Arial"/>
        </w:rPr>
        <w:fldChar w:fldCharType="end"/>
      </w:r>
      <w:r w:rsidRPr="00052BEA">
        <w:rPr>
          <w:rFonts w:cs="Arial"/>
        </w:rPr>
        <w:t xml:space="preserve">.  Moreover, the pilot study did not report RBF values, which we felt would be important to fully describe the perfusion state.  Finally, the pilot study did not report the presence of spontaneous pain (P+) during the time of scanning in those with P-DPN. </w:t>
      </w:r>
    </w:p>
    <w:p w14:paraId="2BE35A32" w14:textId="77777777" w:rsidR="00052BEA" w:rsidRPr="00052BEA" w:rsidRDefault="00052BEA" w:rsidP="00052BEA">
      <w:pPr>
        <w:spacing w:line="360" w:lineRule="auto"/>
        <w:rPr>
          <w:rFonts w:cs="Arial"/>
        </w:rPr>
      </w:pPr>
      <w:r w:rsidRPr="00052BEA">
        <w:rPr>
          <w:rFonts w:cs="Arial"/>
        </w:rPr>
        <w:t xml:space="preserve">The overall aim of this experiment was to confirm the results of the pilot study as well as address its shortcomings. The aim of the study was to compare P-DPN and control groups for baseline perfusion characteristics.  </w:t>
      </w:r>
    </w:p>
    <w:p w14:paraId="4C07F087" w14:textId="719E6061" w:rsidR="00052BEA" w:rsidRPr="00052BEA" w:rsidRDefault="00052BEA" w:rsidP="005E4340">
      <w:pPr>
        <w:pStyle w:val="Heading2"/>
      </w:pPr>
      <w:bookmarkStart w:id="310" w:name="_Toc431375302"/>
      <w:bookmarkStart w:id="311" w:name="_Toc44861330"/>
      <w:bookmarkStart w:id="312" w:name="_Toc64723932"/>
      <w:r w:rsidRPr="00052BEA">
        <w:t>Methods</w:t>
      </w:r>
      <w:bookmarkEnd w:id="310"/>
      <w:bookmarkEnd w:id="311"/>
      <w:bookmarkEnd w:id="312"/>
      <w:r w:rsidRPr="00052BEA">
        <w:t xml:space="preserve"> </w:t>
      </w:r>
    </w:p>
    <w:p w14:paraId="67A34601" w14:textId="6C8EF960" w:rsidR="00052BEA" w:rsidRPr="00052BEA" w:rsidRDefault="00052BEA" w:rsidP="00052BEA">
      <w:pPr>
        <w:spacing w:line="360" w:lineRule="auto"/>
        <w:rPr>
          <w:rFonts w:cs="Arial"/>
        </w:rPr>
      </w:pPr>
      <w:r w:rsidRPr="00052BEA">
        <w:rPr>
          <w:rFonts w:cs="Arial"/>
        </w:rPr>
        <w:t xml:space="preserve">The details of the methods </w:t>
      </w:r>
      <w:r w:rsidR="00BB23D0">
        <w:rPr>
          <w:rFonts w:cs="Arial"/>
        </w:rPr>
        <w:t xml:space="preserve">for subject inclusion, and characterisation </w:t>
      </w:r>
      <w:r w:rsidRPr="00052BEA">
        <w:rPr>
          <w:rFonts w:cs="Arial"/>
        </w:rPr>
        <w:t>have been described in Chapter 2</w:t>
      </w:r>
      <w:r w:rsidR="00BB23D0">
        <w:rPr>
          <w:rFonts w:cs="Arial"/>
        </w:rPr>
        <w:t>:</w:t>
      </w:r>
      <w:r w:rsidRPr="00052BEA">
        <w:rPr>
          <w:rFonts w:cs="Arial"/>
        </w:rPr>
        <w:t xml:space="preserve"> pp </w:t>
      </w:r>
      <w:r w:rsidR="00BB23D0">
        <w:rPr>
          <w:rFonts w:cs="Arial"/>
        </w:rPr>
        <w:t>50-54</w:t>
      </w:r>
      <w:r w:rsidR="0068734B">
        <w:rPr>
          <w:rFonts w:cs="Arial"/>
        </w:rPr>
        <w:t>,</w:t>
      </w:r>
      <w:r w:rsidR="00BB23D0">
        <w:rPr>
          <w:rFonts w:cs="Arial"/>
        </w:rPr>
        <w:t xml:space="preserve"> </w:t>
      </w:r>
      <w:r w:rsidRPr="00052BEA">
        <w:rPr>
          <w:rFonts w:cs="Arial"/>
        </w:rPr>
        <w:t xml:space="preserve">and </w:t>
      </w:r>
      <w:r w:rsidR="00BB23D0">
        <w:rPr>
          <w:rFonts w:cs="Arial"/>
        </w:rPr>
        <w:t xml:space="preserve">for the DSC-MRI protocol Chapter </w:t>
      </w:r>
      <w:r w:rsidRPr="00052BEA">
        <w:rPr>
          <w:rFonts w:cs="Arial"/>
        </w:rPr>
        <w:t>3</w:t>
      </w:r>
      <w:r w:rsidR="00BB23D0">
        <w:rPr>
          <w:rFonts w:cs="Arial"/>
        </w:rPr>
        <w:t>:</w:t>
      </w:r>
      <w:r w:rsidRPr="00052BEA">
        <w:rPr>
          <w:rFonts w:cs="Arial"/>
        </w:rPr>
        <w:t xml:space="preserve"> pp</w:t>
      </w:r>
      <w:r w:rsidR="00BB23D0">
        <w:rPr>
          <w:rFonts w:cs="Arial"/>
        </w:rPr>
        <w:t xml:space="preserve"> 79-85</w:t>
      </w:r>
      <w:r w:rsidR="0068734B">
        <w:rPr>
          <w:rFonts w:cs="Arial"/>
        </w:rPr>
        <w:t xml:space="preserve">.  Therefore, they will only be described </w:t>
      </w:r>
      <w:r w:rsidRPr="00052BEA">
        <w:rPr>
          <w:rFonts w:cs="Arial"/>
        </w:rPr>
        <w:t>briefly: the participants attended for 2 visits for the experiment described in this chapter (see figure 4.1 red box). The first visit was a screening and characterisation visit. The participants demographic data was collected, and they were assessed for height and weight, baseline neuropathy measures, and measures of diabetes control (see Chapter 2: Methods</w:t>
      </w:r>
      <w:r w:rsidR="00BB23D0">
        <w:rPr>
          <w:rFonts w:cs="Arial"/>
        </w:rPr>
        <w:t xml:space="preserve"> pp 50-54</w:t>
      </w:r>
      <w:r w:rsidRPr="00052BEA">
        <w:rPr>
          <w:rFonts w:cs="Arial"/>
        </w:rPr>
        <w:t xml:space="preserve">). </w:t>
      </w:r>
      <w:r w:rsidRPr="00052BEA">
        <w:rPr>
          <w:rFonts w:cs="Arial"/>
        </w:rPr>
        <w:lastRenderedPageBreak/>
        <w:t>Serum urea and electrolytes and estimated glomerular filtration rate (</w:t>
      </w:r>
      <w:r w:rsidR="00233478">
        <w:rPr>
          <w:rFonts w:cs="Arial"/>
        </w:rPr>
        <w:t>eGFR</w:t>
      </w:r>
      <w:r w:rsidRPr="00052BEA">
        <w:rPr>
          <w:rFonts w:cs="Arial"/>
        </w:rPr>
        <w:t xml:space="preserve">) were measured  to establish that the participants would be at negligible risk for developing complications secondary to gadolinium chelate contrast in the DSC part of the study </w:t>
      </w:r>
      <w:r w:rsidRPr="00052BEA">
        <w:rPr>
          <w:rFonts w:cs="Arial"/>
        </w:rPr>
        <w:fldChar w:fldCharType="begin"/>
      </w:r>
      <w:r w:rsidRPr="00052BEA">
        <w:rPr>
          <w:rFonts w:cs="Arial"/>
        </w:rPr>
        <w:instrText xml:space="preserve"> ADDIN EN.CITE &lt;EndNote&gt;&lt;Cite&gt;&lt;Author&gt;Kitajima&lt;/Author&gt;&lt;Year&gt;2012&lt;/Year&gt;&lt;IDText&gt;Recent topics related to nephrogenic systemic fibrosis associated with gadolinium-based contrast agents&lt;/IDText&gt;&lt;DisplayText&gt;(Kitajima et al., 2012)&lt;/DisplayText&gt;&lt;record&gt;&lt;dates&gt;&lt;pub-dates&gt;&lt;date&gt;Sep&lt;/date&gt;&lt;/pub-dates&gt;&lt;year&gt;2012&lt;/year&gt;&lt;/dates&gt;&lt;urls&gt;&lt;related-urls&gt;&lt;url&gt;&amp;lt;Go to ISI&amp;gt;://WOS:000307882500004&lt;/url&gt;&lt;/related-urls&gt;&lt;/urls&gt;&lt;isbn&gt;0919-8172&lt;/isbn&gt;&lt;titles&gt;&lt;title&gt;Recent topics related to nephrogenic systemic fibrosis associated with gadolinium-based contrast agents&lt;/title&gt;&lt;secondary-title&gt;International Journal of Urology&lt;/secondary-title&gt;&lt;/titles&gt;&lt;pages&gt;806-811&lt;/pages&gt;&lt;number&gt;9&lt;/number&gt;&lt;contributors&gt;&lt;authors&gt;&lt;author&gt;Kitajima, K.&lt;/author&gt;&lt;author&gt;Maeda, T.&lt;/author&gt;&lt;author&gt;Watanabe, S.&lt;/author&gt;&lt;author&gt;Ueno, Y.&lt;/author&gt;&lt;author&gt;Sugimura, K.&lt;/author&gt;&lt;/authors&gt;&lt;/contributors&gt;&lt;added-date format="utc"&gt;1357164385&lt;/added-date&gt;&lt;ref-type name="Journal Article"&gt;17&lt;/ref-type&gt;&lt;rec-number&gt;586&lt;/rec-number&gt;&lt;last-updated-date format="utc"&gt;1357164385&lt;/last-updated-date&gt;&lt;accession-num&gt;WOS:000307882500004&lt;/accession-num&gt;&lt;electronic-resource-num&gt;10.1111/j.1442-2042.2012.03042.x&lt;/electronic-resource-num&gt;&lt;volume&gt;19&lt;/volume&gt;&lt;/record&gt;&lt;/Cite&gt;&lt;/EndNote&gt;</w:instrText>
      </w:r>
      <w:r w:rsidRPr="00052BEA">
        <w:rPr>
          <w:rFonts w:cs="Arial"/>
        </w:rPr>
        <w:fldChar w:fldCharType="separate"/>
      </w:r>
      <w:r w:rsidRPr="00052BEA">
        <w:rPr>
          <w:rFonts w:cs="Arial"/>
          <w:noProof/>
        </w:rPr>
        <w:t>(Kitajima et al., 2012)</w:t>
      </w:r>
      <w:r w:rsidRPr="00052BEA">
        <w:rPr>
          <w:rFonts w:cs="Arial"/>
        </w:rPr>
        <w:fldChar w:fldCharType="end"/>
      </w:r>
      <w:r w:rsidRPr="00052BEA">
        <w:rPr>
          <w:rFonts w:cs="Arial"/>
        </w:rPr>
        <w:t>.  At the second visit the participant attended for DSC-MRI scanning</w:t>
      </w:r>
      <w:r w:rsidR="00BB23D0">
        <w:rPr>
          <w:rFonts w:cs="Arial"/>
        </w:rPr>
        <w:t xml:space="preserve"> (see Chapter 3: Methods pp</w:t>
      </w:r>
      <w:r w:rsidR="0068734B">
        <w:rPr>
          <w:rFonts w:cs="Arial"/>
        </w:rPr>
        <w:t xml:space="preserve"> </w:t>
      </w:r>
      <w:r w:rsidR="00BB23D0">
        <w:rPr>
          <w:rFonts w:cs="Arial"/>
        </w:rPr>
        <w:t>79-85)</w:t>
      </w:r>
      <w:r w:rsidRPr="00052BEA">
        <w:rPr>
          <w:rFonts w:cs="Arial"/>
        </w:rPr>
        <w:t>.  They reported details of spontaneous pain, blood glucose measurements within the past 48 hours and had their blood glucose, blood pressure and pulse recorded. They then underwent a baseline DSC- MRI scan (</w:t>
      </w:r>
      <w:proofErr w:type="spellStart"/>
      <w:r w:rsidRPr="00052BEA">
        <w:rPr>
          <w:rFonts w:cs="Arial"/>
        </w:rPr>
        <w:t>Ingenia</w:t>
      </w:r>
      <w:proofErr w:type="spellEnd"/>
      <w:r w:rsidRPr="00052BEA">
        <w:rPr>
          <w:rFonts w:cs="Arial"/>
        </w:rPr>
        <w:t xml:space="preserve">, Philips, Netherlands -see Appendix B for full details of scan settings) with gadolinium-based contrast injection. The comparison of perfusion data between the P-DPN group and the control groups from Visit 2 is the focus of this chapter. </w:t>
      </w:r>
    </w:p>
    <w:p w14:paraId="039EB0AF" w14:textId="51391FF2" w:rsidR="00052BEA" w:rsidRPr="00052BEA" w:rsidRDefault="00052BEA" w:rsidP="005E4340">
      <w:pPr>
        <w:pStyle w:val="Subtitle"/>
      </w:pPr>
      <w:bookmarkStart w:id="313" w:name="_Toc49807622"/>
      <w:bookmarkStart w:id="314" w:name="_Toc64724197"/>
      <w:r w:rsidRPr="00052BEA">
        <w:t xml:space="preserve">Figure 4.1  Overview of the </w:t>
      </w:r>
      <w:r w:rsidR="00BB23D0">
        <w:t>S</w:t>
      </w:r>
      <w:r w:rsidRPr="00052BEA">
        <w:t>tudy</w:t>
      </w:r>
      <w:bookmarkEnd w:id="313"/>
      <w:bookmarkEnd w:id="314"/>
    </w:p>
    <w:p w14:paraId="79ECD70D" w14:textId="1D33B7C6" w:rsidR="00052BEA" w:rsidRPr="00052BEA" w:rsidRDefault="00A92399" w:rsidP="00052BEA">
      <w:pPr>
        <w:pBdr>
          <w:top w:val="single" w:sz="4" w:space="1" w:color="auto"/>
          <w:left w:val="single" w:sz="4" w:space="4" w:color="auto"/>
          <w:bottom w:val="single" w:sz="4" w:space="1" w:color="auto"/>
          <w:right w:val="single" w:sz="4" w:space="4" w:color="auto"/>
        </w:pBdr>
        <w:spacing w:line="360" w:lineRule="auto"/>
        <w:rPr>
          <w:rFonts w:cs="Arial"/>
        </w:rPr>
      </w:pPr>
      <w:r w:rsidRPr="00052BEA">
        <w:rPr>
          <w:rFonts w:cs="Arial"/>
          <w:noProof/>
          <w:lang w:eastAsia="en-GB"/>
        </w:rPr>
        <mc:AlternateContent>
          <mc:Choice Requires="wps">
            <w:drawing>
              <wp:anchor distT="0" distB="0" distL="114300" distR="114300" simplePos="0" relativeHeight="251727872" behindDoc="0" locked="0" layoutInCell="1" allowOverlap="1" wp14:anchorId="137CEDEE" wp14:editId="5A507874">
                <wp:simplePos x="0" y="0"/>
                <wp:positionH relativeFrom="column">
                  <wp:posOffset>995681</wp:posOffset>
                </wp:positionH>
                <wp:positionV relativeFrom="paragraph">
                  <wp:posOffset>55880</wp:posOffset>
                </wp:positionV>
                <wp:extent cx="1808480" cy="477078"/>
                <wp:effectExtent l="0" t="0" r="7620" b="18415"/>
                <wp:wrapNone/>
                <wp:docPr id="2050" name="Rectangle 2050"/>
                <wp:cNvGraphicFramePr/>
                <a:graphic xmlns:a="http://schemas.openxmlformats.org/drawingml/2006/main">
                  <a:graphicData uri="http://schemas.microsoft.com/office/word/2010/wordprocessingShape">
                    <wps:wsp>
                      <wps:cNvSpPr/>
                      <wps:spPr>
                        <a:xfrm>
                          <a:off x="0" y="0"/>
                          <a:ext cx="1808480" cy="477078"/>
                        </a:xfrm>
                        <a:prstGeom prst="rect">
                          <a:avLst/>
                        </a:prstGeom>
                        <a:solidFill>
                          <a:srgbClr val="4472C4"/>
                        </a:solidFill>
                        <a:ln w="12700" cap="flat" cmpd="sng" algn="ctr">
                          <a:solidFill>
                            <a:srgbClr val="4472C4">
                              <a:shade val="50000"/>
                            </a:srgbClr>
                          </a:solidFill>
                          <a:prstDash val="solid"/>
                          <a:miter lim="800000"/>
                        </a:ln>
                        <a:effectLst/>
                      </wps:spPr>
                      <wps:txbx>
                        <w:txbxContent>
                          <w:p w14:paraId="4509F850" w14:textId="77777777" w:rsidR="00D17A43" w:rsidRPr="00052BEA" w:rsidRDefault="00D17A43" w:rsidP="00052BEA">
                            <w:pPr>
                              <w:jc w:val="center"/>
                              <w:rPr>
                                <w:color w:val="FFFFFF" w:themeColor="background1"/>
                              </w:rPr>
                            </w:pPr>
                            <w:r w:rsidRPr="00052BEA">
                              <w:rPr>
                                <w:color w:val="FFFFFF" w:themeColor="background1"/>
                              </w:rPr>
                              <w:t xml:space="preserve">Subjects identified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37CEDEE" id="Rectangle 2050" o:spid="_x0000_s1063" style="position:absolute;margin-left:78.4pt;margin-top:4.4pt;width:142.4pt;height:37.55pt;z-index:251727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" fillcolor="#4472c4" strokecolor="#2f528f" strokeweight="1pt">
                <v:textbox>
                  <w:txbxContent>
                    <w:p w14:paraId="4509F850" w14:textId="77777777" w:rsidR="00D17A43" w:rsidRPr="00052BEA" w:rsidRDefault="00D17A43" w:rsidP="00052BEA">
                      <w:pPr>
                        <w:jc w:val="center"/>
                        <w:rPr>
                          <w:color w:val="FFFFFF" w:themeColor="background1"/>
                        </w:rPr>
                      </w:pPr>
                      <w:r w:rsidRPr="00052BEA">
                        <w:rPr>
                          <w:color w:val="FFFFFF" w:themeColor="background1"/>
                        </w:rPr>
                        <w:t xml:space="preserve">Subjects identified </w:t>
                      </w:r>
                    </w:p>
                  </w:txbxContent>
                </v:textbox>
              </v:rect>
            </w:pict>
          </mc:Fallback>
        </mc:AlternateContent>
      </w:r>
    </w:p>
    <w:p w14:paraId="0E0317BE" w14:textId="563A7F55" w:rsidR="00052BEA" w:rsidRPr="00052BEA" w:rsidRDefault="00052BEA" w:rsidP="00052BEA">
      <w:pPr>
        <w:pBdr>
          <w:top w:val="single" w:sz="4" w:space="1" w:color="auto"/>
          <w:left w:val="single" w:sz="4" w:space="4" w:color="auto"/>
          <w:bottom w:val="single" w:sz="4" w:space="1" w:color="auto"/>
          <w:right w:val="single" w:sz="4" w:space="4" w:color="auto"/>
        </w:pBdr>
        <w:rPr>
          <w:rFonts w:cs="Arial"/>
        </w:rPr>
      </w:pPr>
    </w:p>
    <w:p w14:paraId="27B29DFB" w14:textId="78DF9922" w:rsidR="00052BEA" w:rsidRPr="00052BEA" w:rsidRDefault="00F0172A" w:rsidP="00052BEA">
      <w:pPr>
        <w:pBdr>
          <w:top w:val="single" w:sz="4" w:space="1" w:color="auto"/>
          <w:left w:val="single" w:sz="4" w:space="4" w:color="auto"/>
          <w:bottom w:val="single" w:sz="4" w:space="1" w:color="auto"/>
          <w:right w:val="single" w:sz="4" w:space="4" w:color="auto"/>
        </w:pBdr>
        <w:rPr>
          <w:rFonts w:cs="Arial"/>
        </w:rPr>
      </w:pPr>
      <w:r w:rsidRPr="00052BEA">
        <w:rPr>
          <w:rFonts w:cs="Arial"/>
          <w:noProof/>
          <w:lang w:eastAsia="en-GB"/>
        </w:rPr>
        <mc:AlternateContent>
          <mc:Choice Requires="wps">
            <w:drawing>
              <wp:anchor distT="0" distB="0" distL="114300" distR="114300" simplePos="0" relativeHeight="251728896" behindDoc="0" locked="0" layoutInCell="1" allowOverlap="1" wp14:anchorId="071AEA48" wp14:editId="484E80FE">
                <wp:simplePos x="0" y="0"/>
                <wp:positionH relativeFrom="column">
                  <wp:posOffset>1709420</wp:posOffset>
                </wp:positionH>
                <wp:positionV relativeFrom="paragraph">
                  <wp:posOffset>75565</wp:posOffset>
                </wp:positionV>
                <wp:extent cx="357505" cy="314960"/>
                <wp:effectExtent l="12700" t="0" r="23495" b="27940"/>
                <wp:wrapNone/>
                <wp:docPr id="2051" name="Down Arrow 2051"/>
                <wp:cNvGraphicFramePr/>
                <a:graphic xmlns:a="http://schemas.openxmlformats.org/drawingml/2006/main">
                  <a:graphicData uri="http://schemas.microsoft.com/office/word/2010/wordprocessingShape">
                    <wps:wsp>
                      <wps:cNvSpPr/>
                      <wps:spPr>
                        <a:xfrm>
                          <a:off x="0" y="0"/>
                          <a:ext cx="357505" cy="314960"/>
                        </a:xfrm>
                        <a:prstGeom prst="downArrow">
                          <a:avLst>
                            <a:gd name="adj1" fmla="val 50000"/>
                            <a:gd name="adj2" fmla="val 50000"/>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0A6955F" id="Down Arrow 2051" o:spid="_x0000_s1026" type="#_x0000_t67" style="position:absolute;margin-left:134.6pt;margin-top:5.95pt;width:28.15pt;height:24.8pt;z-index:251728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" adj="10800" fillcolor="#4472c4" strokecolor="#2f528f" strokeweight="1pt"/>
            </w:pict>
          </mc:Fallback>
        </mc:AlternateContent>
      </w:r>
    </w:p>
    <w:p w14:paraId="0A636461" w14:textId="5DBB635C" w:rsidR="00052BEA" w:rsidRPr="00052BEA" w:rsidRDefault="00052BEA" w:rsidP="00052BEA">
      <w:pPr>
        <w:pBdr>
          <w:top w:val="single" w:sz="4" w:space="1" w:color="auto"/>
          <w:left w:val="single" w:sz="4" w:space="4" w:color="auto"/>
          <w:bottom w:val="single" w:sz="4" w:space="1" w:color="auto"/>
          <w:right w:val="single" w:sz="4" w:space="4" w:color="auto"/>
        </w:pBdr>
        <w:rPr>
          <w:rFonts w:cs="Arial"/>
        </w:rPr>
      </w:pPr>
    </w:p>
    <w:p w14:paraId="220E8793" w14:textId="332A3925" w:rsidR="00052BEA" w:rsidRPr="00052BEA" w:rsidRDefault="00F0172A" w:rsidP="00052BEA">
      <w:pPr>
        <w:pBdr>
          <w:top w:val="single" w:sz="4" w:space="1" w:color="auto"/>
          <w:left w:val="single" w:sz="4" w:space="4" w:color="auto"/>
          <w:bottom w:val="single" w:sz="4" w:space="1" w:color="auto"/>
          <w:right w:val="single" w:sz="4" w:space="4" w:color="auto"/>
        </w:pBdr>
        <w:rPr>
          <w:rFonts w:cs="Arial"/>
        </w:rPr>
      </w:pPr>
      <w:r w:rsidRPr="00052BEA">
        <w:rPr>
          <w:rFonts w:cs="Arial"/>
          <w:noProof/>
          <w:lang w:eastAsia="en-GB"/>
        </w:rPr>
        <mc:AlternateContent>
          <mc:Choice Requires="wps">
            <w:drawing>
              <wp:anchor distT="0" distB="0" distL="114300" distR="114300" simplePos="0" relativeHeight="251730944" behindDoc="0" locked="0" layoutInCell="1" allowOverlap="1" wp14:anchorId="798C4B19" wp14:editId="320FB2F6">
                <wp:simplePos x="0" y="0"/>
                <wp:positionH relativeFrom="column">
                  <wp:posOffset>3702050</wp:posOffset>
                </wp:positionH>
                <wp:positionV relativeFrom="paragraph">
                  <wp:posOffset>98425</wp:posOffset>
                </wp:positionV>
                <wp:extent cx="1439186" cy="505129"/>
                <wp:effectExtent l="12700" t="12700" r="8890" b="15875"/>
                <wp:wrapNone/>
                <wp:docPr id="2052" name="Rectangle 2052"/>
                <wp:cNvGraphicFramePr/>
                <a:graphic xmlns:a="http://schemas.openxmlformats.org/drawingml/2006/main">
                  <a:graphicData uri="http://schemas.microsoft.com/office/word/2010/wordprocessingShape">
                    <wps:wsp>
                      <wps:cNvSpPr/>
                      <wps:spPr>
                        <a:xfrm>
                          <a:off x="0" y="0"/>
                          <a:ext cx="1439186" cy="505129"/>
                        </a:xfrm>
                        <a:prstGeom prst="rect">
                          <a:avLst/>
                        </a:prstGeom>
                        <a:solidFill>
                          <a:srgbClr val="4472C4"/>
                        </a:solidFill>
                        <a:ln w="12700" cap="flat" cmpd="sng" algn="ctr">
                          <a:solidFill>
                            <a:srgbClr val="4472C4">
                              <a:shade val="50000"/>
                            </a:srgbClr>
                          </a:solidFill>
                          <a:prstDash val="solid"/>
                          <a:miter lim="800000"/>
                        </a:ln>
                        <a:effectLst/>
                      </wps:spPr>
                      <wps:txbx>
                        <w:txbxContent>
                          <w:p w14:paraId="2A87F68C" w14:textId="77777777" w:rsidR="00D17A43" w:rsidRPr="00052BEA" w:rsidRDefault="00D17A43" w:rsidP="00052BEA">
                            <w:pPr>
                              <w:jc w:val="center"/>
                              <w:rPr>
                                <w:color w:val="FFFFFF" w:themeColor="background1"/>
                              </w:rPr>
                            </w:pPr>
                            <w:r w:rsidRPr="00052BEA">
                              <w:rPr>
                                <w:color w:val="FFFFFF" w:themeColor="background1"/>
                              </w:rPr>
                              <w:t>Not suitable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8C4B19" id="Rectangle 2052" o:spid="_x0000_s1064" style="position:absolute;margin-left:291.5pt;margin-top:7.75pt;width:113.3pt;height:39.7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" fillcolor="#4472c4" strokecolor="#2f528f" strokeweight="1pt">
                <v:textbox>
                  <w:txbxContent>
                    <w:p w14:paraId="2A87F68C" w14:textId="77777777" w:rsidR="00D17A43" w:rsidRPr="00052BEA" w:rsidRDefault="00D17A43" w:rsidP="00052BEA">
                      <w:pPr>
                        <w:jc w:val="center"/>
                        <w:rPr>
                          <w:color w:val="FFFFFF" w:themeColor="background1"/>
                        </w:rPr>
                      </w:pPr>
                      <w:r w:rsidRPr="00052BEA">
                        <w:rPr>
                          <w:color w:val="FFFFFF" w:themeColor="background1"/>
                        </w:rPr>
                        <w:t>Not suitable</w:t>
                      </w:r>
                    </w:p>
                  </w:txbxContent>
                </v:textbox>
              </v:rect>
            </w:pict>
          </mc:Fallback>
        </mc:AlternateContent>
      </w:r>
      <w:r w:rsidRPr="00052BEA">
        <w:rPr>
          <w:rFonts w:cs="Arial"/>
          <w:noProof/>
          <w:lang w:eastAsia="en-GB"/>
        </w:rPr>
        <mc:AlternateContent>
          <mc:Choice Requires="wps">
            <w:drawing>
              <wp:anchor distT="0" distB="0" distL="114300" distR="114300" simplePos="0" relativeHeight="251739136" behindDoc="0" locked="0" layoutInCell="1" allowOverlap="1" wp14:anchorId="604A1384" wp14:editId="4F10106B">
                <wp:simplePos x="0" y="0"/>
                <wp:positionH relativeFrom="column">
                  <wp:posOffset>2876550</wp:posOffset>
                </wp:positionH>
                <wp:positionV relativeFrom="paragraph">
                  <wp:posOffset>79375</wp:posOffset>
                </wp:positionV>
                <wp:extent cx="755373" cy="500933"/>
                <wp:effectExtent l="0" t="12700" r="19685" b="20320"/>
                <wp:wrapNone/>
                <wp:docPr id="2053" name="Right Arrow 2053"/>
                <wp:cNvGraphicFramePr/>
                <a:graphic xmlns:a="http://schemas.openxmlformats.org/drawingml/2006/main">
                  <a:graphicData uri="http://schemas.microsoft.com/office/word/2010/wordprocessingShape">
                    <wps:wsp>
                      <wps:cNvSpPr/>
                      <wps:spPr>
                        <a:xfrm>
                          <a:off x="0" y="0"/>
                          <a:ext cx="755373" cy="500933"/>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AD7D8BB" id="Right Arrow 2053" o:spid="_x0000_s1026" type="#_x0000_t13" style="position:absolute;margin-left:226.5pt;margin-top:6.25pt;width:59.5pt;height:39.45pt;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" adj="14438" fillcolor="#4472c4" strokecolor="#2f528f" strokeweight="1pt"/>
            </w:pict>
          </mc:Fallback>
        </mc:AlternateContent>
      </w:r>
      <w:r w:rsidRPr="00052BEA">
        <w:rPr>
          <w:rFonts w:cs="Arial"/>
          <w:noProof/>
          <w:lang w:eastAsia="en-GB"/>
        </w:rPr>
        <mc:AlternateContent>
          <mc:Choice Requires="wps">
            <w:drawing>
              <wp:anchor distT="0" distB="0" distL="114300" distR="114300" simplePos="0" relativeHeight="251729920" behindDoc="0" locked="0" layoutInCell="1" allowOverlap="1" wp14:anchorId="44F64719" wp14:editId="564950A0">
                <wp:simplePos x="0" y="0"/>
                <wp:positionH relativeFrom="column">
                  <wp:posOffset>924560</wp:posOffset>
                </wp:positionH>
                <wp:positionV relativeFrom="paragraph">
                  <wp:posOffset>106045</wp:posOffset>
                </wp:positionV>
                <wp:extent cx="1879600" cy="476885"/>
                <wp:effectExtent l="0" t="0" r="12700" b="18415"/>
                <wp:wrapNone/>
                <wp:docPr id="2054" name="Rectangle 2054"/>
                <wp:cNvGraphicFramePr/>
                <a:graphic xmlns:a="http://schemas.openxmlformats.org/drawingml/2006/main">
                  <a:graphicData uri="http://schemas.microsoft.com/office/word/2010/wordprocessingShape">
                    <wps:wsp>
                      <wps:cNvSpPr/>
                      <wps:spPr>
                        <a:xfrm>
                          <a:off x="0" y="0"/>
                          <a:ext cx="1879600" cy="476885"/>
                        </a:xfrm>
                        <a:prstGeom prst="rect">
                          <a:avLst/>
                        </a:prstGeom>
                        <a:solidFill>
                          <a:srgbClr val="4472C4"/>
                        </a:solidFill>
                        <a:ln w="12700" cap="flat" cmpd="sng" algn="ctr">
                          <a:solidFill>
                            <a:srgbClr val="4472C4">
                              <a:shade val="50000"/>
                            </a:srgbClr>
                          </a:solidFill>
                          <a:prstDash val="solid"/>
                          <a:miter lim="800000"/>
                        </a:ln>
                        <a:effectLst/>
                      </wps:spPr>
                      <wps:txbx>
                        <w:txbxContent>
                          <w:p w14:paraId="3D0A1866" w14:textId="77777777" w:rsidR="00D17A43" w:rsidRPr="00052BEA" w:rsidRDefault="00D17A43" w:rsidP="00052BEA">
                            <w:pPr>
                              <w:jc w:val="center"/>
                              <w:rPr>
                                <w:color w:val="FFFFFF" w:themeColor="background1"/>
                              </w:rPr>
                            </w:pPr>
                            <w:r w:rsidRPr="00052BEA">
                              <w:rPr>
                                <w:color w:val="FFFFFF" w:themeColor="background1"/>
                              </w:rPr>
                              <w:t>Screening Visit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4F64719" id="Rectangle 2054" o:spid="_x0000_s1065" style="position:absolute;margin-left:72.8pt;margin-top:8.35pt;width:148pt;height:37.55pt;z-index:251729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" fillcolor="#4472c4" strokecolor="#2f528f" strokeweight="1pt">
                <v:textbox>
                  <w:txbxContent>
                    <w:p w14:paraId="3D0A1866" w14:textId="77777777" w:rsidR="00D17A43" w:rsidRPr="00052BEA" w:rsidRDefault="00D17A43" w:rsidP="00052BEA">
                      <w:pPr>
                        <w:jc w:val="center"/>
                        <w:rPr>
                          <w:color w:val="FFFFFF" w:themeColor="background1"/>
                        </w:rPr>
                      </w:pPr>
                      <w:r w:rsidRPr="00052BEA">
                        <w:rPr>
                          <w:color w:val="FFFFFF" w:themeColor="background1"/>
                        </w:rPr>
                        <w:t>Screening Visit</w:t>
                      </w:r>
                    </w:p>
                  </w:txbxContent>
                </v:textbox>
              </v:rect>
            </w:pict>
          </mc:Fallback>
        </mc:AlternateContent>
      </w:r>
    </w:p>
    <w:p w14:paraId="2273DDEF" w14:textId="38F4DC17" w:rsidR="00052BEA" w:rsidRPr="00052BEA" w:rsidRDefault="00052BEA" w:rsidP="00052BEA">
      <w:pPr>
        <w:pBdr>
          <w:top w:val="single" w:sz="4" w:space="1" w:color="auto"/>
          <w:left w:val="single" w:sz="4" w:space="4" w:color="auto"/>
          <w:bottom w:val="single" w:sz="4" w:space="1" w:color="auto"/>
          <w:right w:val="single" w:sz="4" w:space="4" w:color="auto"/>
        </w:pBdr>
        <w:rPr>
          <w:rFonts w:cs="Arial"/>
        </w:rPr>
      </w:pPr>
    </w:p>
    <w:p w14:paraId="5215D0E5" w14:textId="6D92C8B2" w:rsidR="00052BEA" w:rsidRPr="00052BEA" w:rsidRDefault="00F0172A" w:rsidP="00052BEA">
      <w:pPr>
        <w:pBdr>
          <w:top w:val="single" w:sz="4" w:space="1" w:color="auto"/>
          <w:left w:val="single" w:sz="4" w:space="4" w:color="auto"/>
          <w:bottom w:val="single" w:sz="4" w:space="1" w:color="auto"/>
          <w:right w:val="single" w:sz="4" w:space="4" w:color="auto"/>
        </w:pBdr>
        <w:rPr>
          <w:rFonts w:cs="Arial"/>
        </w:rPr>
      </w:pPr>
      <w:r w:rsidRPr="00052BEA">
        <w:rPr>
          <w:rFonts w:cs="Arial"/>
          <w:noProof/>
          <w:lang w:eastAsia="en-GB"/>
        </w:rPr>
        <mc:AlternateContent>
          <mc:Choice Requires="wps">
            <w:drawing>
              <wp:anchor distT="0" distB="0" distL="114300" distR="114300" simplePos="0" relativeHeight="251732992" behindDoc="0" locked="0" layoutInCell="1" allowOverlap="1" wp14:anchorId="67DD430E" wp14:editId="3E32761D">
                <wp:simplePos x="0" y="0"/>
                <wp:positionH relativeFrom="column">
                  <wp:posOffset>-199071</wp:posOffset>
                </wp:positionH>
                <wp:positionV relativeFrom="paragraph">
                  <wp:posOffset>197802</wp:posOffset>
                </wp:positionV>
                <wp:extent cx="1125538" cy="476885"/>
                <wp:effectExtent l="0" t="6033" r="11748" b="11747"/>
                <wp:wrapNone/>
                <wp:docPr id="2057" name="Rectangle 2057"/>
                <wp:cNvGraphicFramePr/>
                <a:graphic xmlns:a="http://schemas.openxmlformats.org/drawingml/2006/main">
                  <a:graphicData uri="http://schemas.microsoft.com/office/word/2010/wordprocessingShape">
                    <wps:wsp>
                      <wps:cNvSpPr/>
                      <wps:spPr>
                        <a:xfrm rot="16200000">
                          <a:off x="0" y="0"/>
                          <a:ext cx="1125538" cy="476885"/>
                        </a:xfrm>
                        <a:prstGeom prst="rect">
                          <a:avLst/>
                        </a:prstGeom>
                        <a:solidFill>
                          <a:srgbClr val="4472C4"/>
                        </a:solidFill>
                        <a:ln w="12700" cap="flat" cmpd="sng" algn="ctr">
                          <a:solidFill>
                            <a:srgbClr val="4472C4">
                              <a:shade val="50000"/>
                            </a:srgbClr>
                          </a:solidFill>
                          <a:prstDash val="solid"/>
                          <a:miter lim="800000"/>
                        </a:ln>
                        <a:effectLst/>
                      </wps:spPr>
                      <wps:txbx>
                        <w:txbxContent>
                          <w:p w14:paraId="6A4652CB" w14:textId="77777777" w:rsidR="00D17A43" w:rsidRPr="00052BEA" w:rsidRDefault="00D17A43" w:rsidP="00052BEA">
                            <w:pPr>
                              <w:jc w:val="center"/>
                              <w:rPr>
                                <w:color w:val="FFFFFF" w:themeColor="background1"/>
                              </w:rPr>
                            </w:pPr>
                            <w:r w:rsidRPr="00052BEA">
                              <w:rPr>
                                <w:color w:val="FFFFFF" w:themeColor="background1"/>
                              </w:rPr>
                              <w:t>Visit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7DD430E" id="Rectangle 2057" o:spid="_x0000_s1066" style="position:absolute;margin-left:-15.65pt;margin-top:15.55pt;width:88.65pt;height:37.55pt;rotation:-90;z-index:251732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" fillcolor="#4472c4" strokecolor="#2f528f" strokeweight="1pt">
                <v:textbox>
                  <w:txbxContent>
                    <w:p w14:paraId="6A4652CB" w14:textId="77777777" w:rsidR="00D17A43" w:rsidRPr="00052BEA" w:rsidRDefault="00D17A43" w:rsidP="00052BEA">
                      <w:pPr>
                        <w:jc w:val="center"/>
                        <w:rPr>
                          <w:color w:val="FFFFFF" w:themeColor="background1"/>
                        </w:rPr>
                      </w:pPr>
                      <w:r w:rsidRPr="00052BEA">
                        <w:rPr>
                          <w:color w:val="FFFFFF" w:themeColor="background1"/>
                        </w:rPr>
                        <w:t>Visit 1</w:t>
                      </w:r>
                    </w:p>
                  </w:txbxContent>
                </v:textbox>
              </v:rect>
            </w:pict>
          </mc:Fallback>
        </mc:AlternateContent>
      </w:r>
    </w:p>
    <w:p w14:paraId="29FBCE70" w14:textId="16DABBE6" w:rsidR="00052BEA" w:rsidRPr="00052BEA" w:rsidRDefault="00F0172A" w:rsidP="00052BEA">
      <w:pPr>
        <w:pBdr>
          <w:top w:val="single" w:sz="4" w:space="1" w:color="auto"/>
          <w:left w:val="single" w:sz="4" w:space="4" w:color="auto"/>
          <w:bottom w:val="single" w:sz="4" w:space="1" w:color="auto"/>
          <w:right w:val="single" w:sz="4" w:space="4" w:color="auto"/>
        </w:pBdr>
        <w:tabs>
          <w:tab w:val="left" w:pos="1690"/>
        </w:tabs>
        <w:rPr>
          <w:rFonts w:cs="Arial"/>
        </w:rPr>
      </w:pPr>
      <w:r w:rsidRPr="00052BEA">
        <w:rPr>
          <w:rFonts w:cs="Arial"/>
          <w:noProof/>
          <w:lang w:eastAsia="en-GB"/>
        </w:rPr>
        <mc:AlternateContent>
          <mc:Choice Requires="wps">
            <w:drawing>
              <wp:anchor distT="0" distB="0" distL="114300" distR="114300" simplePos="0" relativeHeight="251736064" behindDoc="0" locked="0" layoutInCell="1" allowOverlap="1" wp14:anchorId="3CD74728" wp14:editId="699C1BC5">
                <wp:simplePos x="0" y="0"/>
                <wp:positionH relativeFrom="column">
                  <wp:posOffset>1709420</wp:posOffset>
                </wp:positionH>
                <wp:positionV relativeFrom="paragraph">
                  <wp:posOffset>103505</wp:posOffset>
                </wp:positionV>
                <wp:extent cx="357505" cy="386080"/>
                <wp:effectExtent l="12700" t="0" r="23495" b="20320"/>
                <wp:wrapNone/>
                <wp:docPr id="2056" name="Down Arrow 2056"/>
                <wp:cNvGraphicFramePr/>
                <a:graphic xmlns:a="http://schemas.openxmlformats.org/drawingml/2006/main">
                  <a:graphicData uri="http://schemas.microsoft.com/office/word/2010/wordprocessingShape">
                    <wps:wsp>
                      <wps:cNvSpPr/>
                      <wps:spPr>
                        <a:xfrm>
                          <a:off x="0" y="0"/>
                          <a:ext cx="357505" cy="386080"/>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2385274" id="Down Arrow 2056" o:spid="_x0000_s1026" type="#_x0000_t67" style="position:absolute;margin-left:134.6pt;margin-top:8.15pt;width:28.15pt;height:30.4pt;z-index:25173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" adj="11599" fillcolor="#4472c4" strokecolor="#2f528f" strokeweight="1pt"/>
            </w:pict>
          </mc:Fallback>
        </mc:AlternateContent>
      </w:r>
      <w:r w:rsidR="00052BEA" w:rsidRPr="00052BEA">
        <w:rPr>
          <w:rFonts w:cs="Arial"/>
        </w:rPr>
        <w:tab/>
      </w:r>
    </w:p>
    <w:p w14:paraId="3C2B7215" w14:textId="15396F4B" w:rsidR="00052BEA" w:rsidRPr="00052BEA" w:rsidRDefault="00052BEA" w:rsidP="00052BEA">
      <w:pPr>
        <w:pBdr>
          <w:top w:val="single" w:sz="4" w:space="1" w:color="auto"/>
          <w:left w:val="single" w:sz="4" w:space="4" w:color="auto"/>
          <w:bottom w:val="single" w:sz="4" w:space="1" w:color="auto"/>
          <w:right w:val="single" w:sz="4" w:space="4" w:color="auto"/>
        </w:pBdr>
        <w:spacing w:line="360" w:lineRule="auto"/>
        <w:rPr>
          <w:rFonts w:cs="Arial"/>
        </w:rPr>
      </w:pPr>
    </w:p>
    <w:p w14:paraId="69C46FD6" w14:textId="41B36ABF" w:rsidR="00052BEA" w:rsidRPr="00052BEA" w:rsidRDefault="00F0172A" w:rsidP="00052BEA">
      <w:pPr>
        <w:pBdr>
          <w:top w:val="single" w:sz="4" w:space="1" w:color="auto"/>
          <w:left w:val="single" w:sz="4" w:space="4" w:color="auto"/>
          <w:bottom w:val="single" w:sz="4" w:space="1" w:color="auto"/>
          <w:right w:val="single" w:sz="4" w:space="4" w:color="auto"/>
        </w:pBdr>
        <w:spacing w:line="360" w:lineRule="auto"/>
        <w:rPr>
          <w:rFonts w:cs="Arial"/>
        </w:rPr>
      </w:pPr>
      <w:r w:rsidRPr="00052BEA">
        <w:rPr>
          <w:rFonts w:cs="Arial"/>
          <w:noProof/>
          <w:lang w:eastAsia="en-GB"/>
        </w:rPr>
        <mc:AlternateContent>
          <mc:Choice Requires="wps">
            <w:drawing>
              <wp:anchor distT="0" distB="0" distL="114300" distR="114300" simplePos="0" relativeHeight="251735040" behindDoc="0" locked="0" layoutInCell="1" allowOverlap="1" wp14:anchorId="59C66CEE" wp14:editId="658142D5">
                <wp:simplePos x="0" y="0"/>
                <wp:positionH relativeFrom="column">
                  <wp:posOffset>995680</wp:posOffset>
                </wp:positionH>
                <wp:positionV relativeFrom="paragraph">
                  <wp:posOffset>52705</wp:posOffset>
                </wp:positionV>
                <wp:extent cx="1879600" cy="476885"/>
                <wp:effectExtent l="0" t="0" r="12700" b="18415"/>
                <wp:wrapNone/>
                <wp:docPr id="2055" name="Rectangle 2055"/>
                <wp:cNvGraphicFramePr/>
                <a:graphic xmlns:a="http://schemas.openxmlformats.org/drawingml/2006/main">
                  <a:graphicData uri="http://schemas.microsoft.com/office/word/2010/wordprocessingShape">
                    <wps:wsp>
                      <wps:cNvSpPr/>
                      <wps:spPr>
                        <a:xfrm>
                          <a:off x="0" y="0"/>
                          <a:ext cx="1879600" cy="476885"/>
                        </a:xfrm>
                        <a:prstGeom prst="rect">
                          <a:avLst/>
                        </a:prstGeom>
                        <a:solidFill>
                          <a:srgbClr val="4472C4"/>
                        </a:solidFill>
                        <a:ln w="12700" cap="flat" cmpd="sng" algn="ctr">
                          <a:solidFill>
                            <a:srgbClr val="4472C4">
                              <a:shade val="50000"/>
                            </a:srgbClr>
                          </a:solidFill>
                          <a:prstDash val="solid"/>
                          <a:miter lim="800000"/>
                        </a:ln>
                        <a:effectLst/>
                      </wps:spPr>
                      <wps:txbx>
                        <w:txbxContent>
                          <w:p w14:paraId="4756DC18" w14:textId="77777777" w:rsidR="00D17A43" w:rsidRPr="00052BEA" w:rsidRDefault="00D17A43" w:rsidP="00052BEA">
                            <w:pPr>
                              <w:jc w:val="center"/>
                              <w:rPr>
                                <w:color w:val="FFFFFF" w:themeColor="background1"/>
                              </w:rPr>
                            </w:pPr>
                            <w:r w:rsidRPr="00052BEA">
                              <w:rPr>
                                <w:color w:val="FFFFFF" w:themeColor="background1"/>
                              </w:rPr>
                              <w:t>Characterisation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9C66CEE" id="Rectangle 2055" o:spid="_x0000_s1067" style="position:absolute;margin-left:78.4pt;margin-top:4.15pt;width:148pt;height:37.55pt;z-index:25173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" fillcolor="#4472c4" strokecolor="#2f528f" strokeweight="1pt">
                <v:textbox>
                  <w:txbxContent>
                    <w:p w14:paraId="4756DC18" w14:textId="77777777" w:rsidR="00D17A43" w:rsidRPr="00052BEA" w:rsidRDefault="00D17A43" w:rsidP="00052BEA">
                      <w:pPr>
                        <w:jc w:val="center"/>
                        <w:rPr>
                          <w:color w:val="FFFFFF" w:themeColor="background1"/>
                        </w:rPr>
                      </w:pPr>
                      <w:r w:rsidRPr="00052BEA">
                        <w:rPr>
                          <w:color w:val="FFFFFF" w:themeColor="background1"/>
                        </w:rPr>
                        <w:t>Characterisation</w:t>
                      </w:r>
                    </w:p>
                  </w:txbxContent>
                </v:textbox>
              </v:rect>
            </w:pict>
          </mc:Fallback>
        </mc:AlternateContent>
      </w:r>
    </w:p>
    <w:p w14:paraId="30034746" w14:textId="4ACCF565" w:rsidR="00052BEA" w:rsidRPr="00052BEA" w:rsidRDefault="00F0172A" w:rsidP="00052BEA">
      <w:pPr>
        <w:pBdr>
          <w:top w:val="single" w:sz="4" w:space="1" w:color="auto"/>
          <w:left w:val="single" w:sz="4" w:space="4" w:color="auto"/>
          <w:bottom w:val="single" w:sz="4" w:space="1" w:color="auto"/>
          <w:right w:val="single" w:sz="4" w:space="4" w:color="auto"/>
        </w:pBdr>
        <w:spacing w:line="360" w:lineRule="auto"/>
        <w:rPr>
          <w:rFonts w:cs="Arial"/>
        </w:rPr>
      </w:pPr>
      <w:r w:rsidRPr="00052BEA">
        <w:rPr>
          <w:rFonts w:cs="Arial"/>
          <w:noProof/>
          <w:lang w:eastAsia="en-GB"/>
        </w:rPr>
        <mc:AlternateContent>
          <mc:Choice Requires="wps">
            <w:drawing>
              <wp:anchor distT="0" distB="0" distL="114300" distR="114300" simplePos="0" relativeHeight="251738112" behindDoc="0" locked="0" layoutInCell="1" allowOverlap="1" wp14:anchorId="1058459F" wp14:editId="34F9A562">
                <wp:simplePos x="0" y="0"/>
                <wp:positionH relativeFrom="column">
                  <wp:posOffset>1709420</wp:posOffset>
                </wp:positionH>
                <wp:positionV relativeFrom="paragraph">
                  <wp:posOffset>267335</wp:posOffset>
                </wp:positionV>
                <wp:extent cx="357505" cy="314960"/>
                <wp:effectExtent l="12700" t="0" r="23495" b="27940"/>
                <wp:wrapNone/>
                <wp:docPr id="2058" name="Down Arrow 2058"/>
                <wp:cNvGraphicFramePr/>
                <a:graphic xmlns:a="http://schemas.openxmlformats.org/drawingml/2006/main">
                  <a:graphicData uri="http://schemas.microsoft.com/office/word/2010/wordprocessingShape">
                    <wps:wsp>
                      <wps:cNvSpPr/>
                      <wps:spPr>
                        <a:xfrm>
                          <a:off x="0" y="0"/>
                          <a:ext cx="357505" cy="314960"/>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90475CE" id="Down Arrow 2058" o:spid="_x0000_s1026" type="#_x0000_t67" style="position:absolute;margin-left:134.6pt;margin-top:21.05pt;width:28.15pt;height:24.8pt;z-index:251738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" adj="10800" fillcolor="#4472c4" strokecolor="#2f528f" strokeweight="1pt"/>
            </w:pict>
          </mc:Fallback>
        </mc:AlternateContent>
      </w:r>
    </w:p>
    <w:p w14:paraId="08D21CCD" w14:textId="21F478F9" w:rsidR="00052BEA" w:rsidRPr="00052BEA" w:rsidRDefault="00F0172A" w:rsidP="00052BEA">
      <w:pPr>
        <w:pBdr>
          <w:top w:val="single" w:sz="4" w:space="1" w:color="auto"/>
          <w:left w:val="single" w:sz="4" w:space="4" w:color="auto"/>
          <w:bottom w:val="single" w:sz="4" w:space="1" w:color="auto"/>
          <w:right w:val="single" w:sz="4" w:space="4" w:color="auto"/>
        </w:pBdr>
        <w:spacing w:line="360" w:lineRule="auto"/>
        <w:rPr>
          <w:rFonts w:cs="Arial"/>
        </w:rPr>
      </w:pPr>
      <w:r w:rsidRPr="00052BEA">
        <w:rPr>
          <w:rFonts w:cs="Arial"/>
          <w:noProof/>
          <w:lang w:eastAsia="en-GB"/>
        </w:rPr>
        <mc:AlternateContent>
          <mc:Choice Requires="wps">
            <w:drawing>
              <wp:anchor distT="0" distB="0" distL="114300" distR="114300" simplePos="0" relativeHeight="251726847" behindDoc="0" locked="0" layoutInCell="1" allowOverlap="1" wp14:anchorId="24E7DBF7" wp14:editId="4A8EA81E">
                <wp:simplePos x="0" y="0"/>
                <wp:positionH relativeFrom="column">
                  <wp:posOffset>20320</wp:posOffset>
                </wp:positionH>
                <wp:positionV relativeFrom="paragraph">
                  <wp:posOffset>207645</wp:posOffset>
                </wp:positionV>
                <wp:extent cx="5334000" cy="1209040"/>
                <wp:effectExtent l="12700" t="12700" r="25400" b="22860"/>
                <wp:wrapNone/>
                <wp:docPr id="2065" name="Rectangle 2065"/>
                <wp:cNvGraphicFramePr/>
                <a:graphic xmlns:a="http://schemas.openxmlformats.org/drawingml/2006/main">
                  <a:graphicData uri="http://schemas.microsoft.com/office/word/2010/wordprocessingShape">
                    <wps:wsp>
                      <wps:cNvSpPr/>
                      <wps:spPr>
                        <a:xfrm>
                          <a:off x="0" y="0"/>
                          <a:ext cx="5334000" cy="120904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BEA998" id="Rectangle 2065" o:spid="_x0000_s1026" style="position:absolute;margin-left:1.6pt;margin-top:16.35pt;width:420pt;height:95.2pt;z-index:2517268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" filled="f" strokecolor="red" strokeweight="3pt"/>
            </w:pict>
          </mc:Fallback>
        </mc:AlternateContent>
      </w:r>
    </w:p>
    <w:p w14:paraId="7FA7AC2D" w14:textId="01055637" w:rsidR="00052BEA" w:rsidRPr="00052BEA" w:rsidRDefault="00F0172A" w:rsidP="00052BEA">
      <w:pPr>
        <w:pBdr>
          <w:top w:val="single" w:sz="4" w:space="1" w:color="auto"/>
          <w:left w:val="single" w:sz="4" w:space="4" w:color="auto"/>
          <w:bottom w:val="single" w:sz="4" w:space="1" w:color="auto"/>
          <w:right w:val="single" w:sz="4" w:space="4" w:color="auto"/>
        </w:pBdr>
        <w:spacing w:line="360" w:lineRule="auto"/>
        <w:rPr>
          <w:rFonts w:cs="Arial"/>
        </w:rPr>
      </w:pPr>
      <w:r w:rsidRPr="00052BEA">
        <w:rPr>
          <w:rFonts w:cs="Arial"/>
          <w:noProof/>
          <w:lang w:eastAsia="en-GB"/>
        </w:rPr>
        <mc:AlternateContent>
          <mc:Choice Requires="wps">
            <w:drawing>
              <wp:anchor distT="0" distB="0" distL="114300" distR="114300" simplePos="0" relativeHeight="251743232" behindDoc="0" locked="0" layoutInCell="1" allowOverlap="1" wp14:anchorId="5DB59891" wp14:editId="4B32E82B">
                <wp:simplePos x="0" y="0"/>
                <wp:positionH relativeFrom="column">
                  <wp:posOffset>3172460</wp:posOffset>
                </wp:positionH>
                <wp:positionV relativeFrom="paragraph">
                  <wp:posOffset>59690</wp:posOffset>
                </wp:positionV>
                <wp:extent cx="1967230" cy="988175"/>
                <wp:effectExtent l="0" t="0" r="13970" b="15240"/>
                <wp:wrapNone/>
                <wp:docPr id="1" name="Text Box 1"/>
                <wp:cNvGraphicFramePr/>
                <a:graphic xmlns:a="http://schemas.openxmlformats.org/drawingml/2006/main">
                  <a:graphicData uri="http://schemas.microsoft.com/office/word/2010/wordprocessingShape">
                    <wps:wsp>
                      <wps:cNvSpPr txBox="1"/>
                      <wps:spPr>
                        <a:xfrm>
                          <a:off x="0" y="0"/>
                          <a:ext cx="1967230" cy="988175"/>
                        </a:xfrm>
                        <a:prstGeom prst="rect">
                          <a:avLst/>
                        </a:prstGeom>
                        <a:solidFill>
                          <a:srgbClr val="4472C4"/>
                        </a:solidFill>
                        <a:ln w="12700" cap="flat" cmpd="sng" algn="ctr">
                          <a:solidFill>
                            <a:srgbClr val="4472C4">
                              <a:shade val="50000"/>
                            </a:srgbClr>
                          </a:solidFill>
                          <a:prstDash val="solid"/>
                          <a:miter lim="800000"/>
                        </a:ln>
                        <a:effectLst/>
                      </wps:spPr>
                      <wps:txbx>
                        <w:txbxContent>
                          <w:p w14:paraId="26E319ED" w14:textId="77777777" w:rsidR="00D17A43" w:rsidRPr="00052BEA" w:rsidRDefault="00D17A43" w:rsidP="00052BEA">
                            <w:pPr>
                              <w:rPr>
                                <w:color w:val="FFFFFF" w:themeColor="background1"/>
                              </w:rPr>
                            </w:pPr>
                            <w:r w:rsidRPr="00052BEA">
                              <w:rPr>
                                <w:color w:val="FFFFFF" w:themeColor="background1"/>
                              </w:rPr>
                              <w:t>Comparison of haemodynamic parameters and DSC-MRI perfusion measures at baseline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DB59891" id="Text Box 1" o:spid="_x0000_s1068" type="#_x0000_t202" style="position:absolute;margin-left:249.8pt;margin-top:4.7pt;width:154.9pt;height:77.8pt;z-index:251743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" fillcolor="#4472c4" strokecolor="#2f528f" strokeweight="1pt">
                <v:textbox>
                  <w:txbxContent>
                    <w:p w14:paraId="26E319ED" w14:textId="77777777" w:rsidR="00D17A43" w:rsidRPr="00052BEA" w:rsidRDefault="00D17A43" w:rsidP="00052BEA">
                      <w:pPr>
                        <w:rPr>
                          <w:color w:val="FFFFFF" w:themeColor="background1"/>
                        </w:rPr>
                      </w:pPr>
                      <w:r w:rsidRPr="00052BEA">
                        <w:rPr>
                          <w:color w:val="FFFFFF" w:themeColor="background1"/>
                        </w:rPr>
                        <w:t>Comparison of haemodynamic parameters and DSC-MRI perfusion measures at baseline</w:t>
                      </w:r>
                    </w:p>
                  </w:txbxContent>
                </v:textbox>
              </v:shape>
            </w:pict>
          </mc:Fallback>
        </mc:AlternateContent>
      </w:r>
      <w:r w:rsidRPr="00052BEA">
        <w:rPr>
          <w:rFonts w:cs="Arial"/>
          <w:noProof/>
          <w:lang w:eastAsia="en-GB"/>
        </w:rPr>
        <mc:AlternateContent>
          <mc:Choice Requires="wps">
            <w:drawing>
              <wp:anchor distT="0" distB="0" distL="114300" distR="114300" simplePos="0" relativeHeight="251731968" behindDoc="0" locked="0" layoutInCell="1" allowOverlap="1" wp14:anchorId="6A7B003E" wp14:editId="3F05E051">
                <wp:simplePos x="0" y="0"/>
                <wp:positionH relativeFrom="column">
                  <wp:posOffset>924560</wp:posOffset>
                </wp:positionH>
                <wp:positionV relativeFrom="paragraph">
                  <wp:posOffset>216535</wp:posOffset>
                </wp:positionV>
                <wp:extent cx="2021840" cy="476885"/>
                <wp:effectExtent l="0" t="0" r="10160" b="18415"/>
                <wp:wrapNone/>
                <wp:docPr id="2060" name="Rectangle 2060"/>
                <wp:cNvGraphicFramePr/>
                <a:graphic xmlns:a="http://schemas.openxmlformats.org/drawingml/2006/main">
                  <a:graphicData uri="http://schemas.microsoft.com/office/word/2010/wordprocessingShape">
                    <wps:wsp>
                      <wps:cNvSpPr/>
                      <wps:spPr>
                        <a:xfrm>
                          <a:off x="0" y="0"/>
                          <a:ext cx="2021840" cy="476885"/>
                        </a:xfrm>
                        <a:prstGeom prst="rect">
                          <a:avLst/>
                        </a:prstGeom>
                        <a:solidFill>
                          <a:srgbClr val="4472C4"/>
                        </a:solidFill>
                        <a:ln w="12700" cap="flat" cmpd="sng" algn="ctr">
                          <a:solidFill>
                            <a:srgbClr val="4472C4">
                              <a:shade val="50000"/>
                            </a:srgbClr>
                          </a:solidFill>
                          <a:prstDash val="solid"/>
                          <a:miter lim="800000"/>
                        </a:ln>
                        <a:effectLst/>
                      </wps:spPr>
                      <wps:txbx>
                        <w:txbxContent>
                          <w:p w14:paraId="71666D50" w14:textId="77777777" w:rsidR="00D17A43" w:rsidRPr="00052BEA" w:rsidRDefault="00D17A43" w:rsidP="00052BEA">
                            <w:pPr>
                              <w:jc w:val="center"/>
                              <w:rPr>
                                <w:color w:val="FFFFFF" w:themeColor="background1"/>
                              </w:rPr>
                            </w:pPr>
                            <w:r w:rsidRPr="00052BEA">
                              <w:rPr>
                                <w:color w:val="FFFFFF" w:themeColor="background1"/>
                              </w:rPr>
                              <w:t>DSC-MRI visit- baseline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A7B003E" id="Rectangle 2060" o:spid="_x0000_s1069" style="position:absolute;margin-left:72.8pt;margin-top:17.05pt;width:159.2pt;height:37.55pt;z-index:25173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" fillcolor="#4472c4" strokecolor="#2f528f" strokeweight="1pt">
                <v:textbox>
                  <w:txbxContent>
                    <w:p w14:paraId="71666D50" w14:textId="77777777" w:rsidR="00D17A43" w:rsidRPr="00052BEA" w:rsidRDefault="00D17A43" w:rsidP="00052BEA">
                      <w:pPr>
                        <w:jc w:val="center"/>
                        <w:rPr>
                          <w:color w:val="FFFFFF" w:themeColor="background1"/>
                        </w:rPr>
                      </w:pPr>
                      <w:r w:rsidRPr="00052BEA">
                        <w:rPr>
                          <w:color w:val="FFFFFF" w:themeColor="background1"/>
                        </w:rPr>
                        <w:t>DSC-MRI visit- baseline</w:t>
                      </w:r>
                    </w:p>
                  </w:txbxContent>
                </v:textbox>
              </v:rect>
            </w:pict>
          </mc:Fallback>
        </mc:AlternateContent>
      </w:r>
    </w:p>
    <w:p w14:paraId="5E853408" w14:textId="54ED46F1" w:rsidR="00052BEA" w:rsidRPr="00052BEA" w:rsidRDefault="00F0172A" w:rsidP="00052BEA">
      <w:pPr>
        <w:pBdr>
          <w:top w:val="single" w:sz="4" w:space="1" w:color="auto"/>
          <w:left w:val="single" w:sz="4" w:space="4" w:color="auto"/>
          <w:bottom w:val="single" w:sz="4" w:space="1" w:color="auto"/>
          <w:right w:val="single" w:sz="4" w:space="4" w:color="auto"/>
        </w:pBdr>
        <w:spacing w:line="360" w:lineRule="auto"/>
        <w:rPr>
          <w:rFonts w:cs="Arial"/>
        </w:rPr>
      </w:pPr>
      <w:r w:rsidRPr="00052BEA">
        <w:rPr>
          <w:rFonts w:cs="Arial"/>
          <w:noProof/>
          <w:lang w:eastAsia="en-GB"/>
        </w:rPr>
        <mc:AlternateContent>
          <mc:Choice Requires="wps">
            <w:drawing>
              <wp:anchor distT="0" distB="0" distL="114300" distR="114300" simplePos="0" relativeHeight="251740160" behindDoc="0" locked="0" layoutInCell="1" allowOverlap="1" wp14:anchorId="25D44CAA" wp14:editId="32F3ED26">
                <wp:simplePos x="0" y="0"/>
                <wp:positionH relativeFrom="column">
                  <wp:posOffset>70168</wp:posOffset>
                </wp:positionH>
                <wp:positionV relativeFrom="paragraph">
                  <wp:posOffset>11112</wp:posOffset>
                </wp:positionV>
                <wp:extent cx="588604" cy="477078"/>
                <wp:effectExtent l="4762" t="0" r="13653" b="13652"/>
                <wp:wrapNone/>
                <wp:docPr id="2059" name="Rectangle 2059"/>
                <wp:cNvGraphicFramePr/>
                <a:graphic xmlns:a="http://schemas.openxmlformats.org/drawingml/2006/main">
                  <a:graphicData uri="http://schemas.microsoft.com/office/word/2010/wordprocessingShape">
                    <wps:wsp>
                      <wps:cNvSpPr/>
                      <wps:spPr>
                        <a:xfrm rot="16200000">
                          <a:off x="0" y="0"/>
                          <a:ext cx="588604" cy="477078"/>
                        </a:xfrm>
                        <a:prstGeom prst="rect">
                          <a:avLst/>
                        </a:prstGeom>
                        <a:solidFill>
                          <a:srgbClr val="4472C4"/>
                        </a:solidFill>
                        <a:ln w="12700" cap="flat" cmpd="sng" algn="ctr">
                          <a:solidFill>
                            <a:srgbClr val="4472C4">
                              <a:shade val="50000"/>
                            </a:srgbClr>
                          </a:solidFill>
                          <a:prstDash val="solid"/>
                          <a:miter lim="800000"/>
                        </a:ln>
                        <a:effectLst/>
                      </wps:spPr>
                      <wps:txbx>
                        <w:txbxContent>
                          <w:p w14:paraId="017C9C90" w14:textId="77777777" w:rsidR="00D17A43" w:rsidRPr="00052BEA" w:rsidRDefault="00D17A43" w:rsidP="00052BEA">
                            <w:pPr>
                              <w:jc w:val="center"/>
                              <w:rPr>
                                <w:color w:val="FFFFFF" w:themeColor="background1"/>
                              </w:rPr>
                            </w:pPr>
                            <w:r w:rsidRPr="00052BEA">
                              <w:rPr>
                                <w:color w:val="FFFFFF" w:themeColor="background1"/>
                              </w:rPr>
                              <w:t>Visit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5D44CAA" id="Rectangle 2059" o:spid="_x0000_s1070" style="position:absolute;margin-left:5.55pt;margin-top:.85pt;width:46.35pt;height:37.55pt;rotation:-90;z-index:251740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" fillcolor="#4472c4" strokecolor="#2f528f" strokeweight="1pt">
                <v:textbox>
                  <w:txbxContent>
                    <w:p w14:paraId="017C9C90" w14:textId="77777777" w:rsidR="00D17A43" w:rsidRPr="00052BEA" w:rsidRDefault="00D17A43" w:rsidP="00052BEA">
                      <w:pPr>
                        <w:jc w:val="center"/>
                        <w:rPr>
                          <w:color w:val="FFFFFF" w:themeColor="background1"/>
                        </w:rPr>
                      </w:pPr>
                      <w:r w:rsidRPr="00052BEA">
                        <w:rPr>
                          <w:color w:val="FFFFFF" w:themeColor="background1"/>
                        </w:rPr>
                        <w:t>Visit 2</w:t>
                      </w:r>
                    </w:p>
                  </w:txbxContent>
                </v:textbox>
              </v:rect>
            </w:pict>
          </mc:Fallback>
        </mc:AlternateContent>
      </w:r>
    </w:p>
    <w:p w14:paraId="3729F026" w14:textId="0F13ADF5" w:rsidR="00052BEA" w:rsidRPr="00052BEA" w:rsidRDefault="00052BEA" w:rsidP="00052BEA">
      <w:pPr>
        <w:pBdr>
          <w:top w:val="single" w:sz="4" w:space="1" w:color="auto"/>
          <w:left w:val="single" w:sz="4" w:space="4" w:color="auto"/>
          <w:bottom w:val="single" w:sz="4" w:space="1" w:color="auto"/>
          <w:right w:val="single" w:sz="4" w:space="4" w:color="auto"/>
        </w:pBdr>
        <w:spacing w:line="360" w:lineRule="auto"/>
        <w:rPr>
          <w:rFonts w:cs="Arial"/>
        </w:rPr>
      </w:pPr>
    </w:p>
    <w:p w14:paraId="5EEEA217" w14:textId="0C3ED887" w:rsidR="00052BEA" w:rsidRPr="00052BEA" w:rsidRDefault="00F0172A" w:rsidP="00052BEA">
      <w:pPr>
        <w:pBdr>
          <w:top w:val="single" w:sz="4" w:space="1" w:color="auto"/>
          <w:left w:val="single" w:sz="4" w:space="4" w:color="auto"/>
          <w:bottom w:val="single" w:sz="4" w:space="1" w:color="auto"/>
          <w:right w:val="single" w:sz="4" w:space="4" w:color="auto"/>
        </w:pBdr>
        <w:spacing w:line="360" w:lineRule="auto"/>
        <w:rPr>
          <w:rFonts w:cs="Arial"/>
        </w:rPr>
      </w:pPr>
      <w:r w:rsidRPr="00052BEA">
        <w:rPr>
          <w:rFonts w:cs="Arial"/>
          <w:noProof/>
          <w:lang w:eastAsia="en-GB"/>
        </w:rPr>
        <mc:AlternateContent>
          <mc:Choice Requires="wps">
            <w:drawing>
              <wp:anchor distT="0" distB="0" distL="114300" distR="114300" simplePos="0" relativeHeight="251737088" behindDoc="0" locked="0" layoutInCell="1" allowOverlap="1" wp14:anchorId="4A5BE734" wp14:editId="4CDABC13">
                <wp:simplePos x="0" y="0"/>
                <wp:positionH relativeFrom="column">
                  <wp:posOffset>1709420</wp:posOffset>
                </wp:positionH>
                <wp:positionV relativeFrom="paragraph">
                  <wp:posOffset>19685</wp:posOffset>
                </wp:positionV>
                <wp:extent cx="357505" cy="711200"/>
                <wp:effectExtent l="12700" t="0" r="23495" b="25400"/>
                <wp:wrapNone/>
                <wp:docPr id="2061" name="Down Arrow 2061"/>
                <wp:cNvGraphicFramePr/>
                <a:graphic xmlns:a="http://schemas.openxmlformats.org/drawingml/2006/main">
                  <a:graphicData uri="http://schemas.microsoft.com/office/word/2010/wordprocessingShape">
                    <wps:wsp>
                      <wps:cNvSpPr/>
                      <wps:spPr>
                        <a:xfrm>
                          <a:off x="0" y="0"/>
                          <a:ext cx="357505" cy="711200"/>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8BAF392" id="Down Arrow 2061" o:spid="_x0000_s1026" type="#_x0000_t67" style="position:absolute;margin-left:134.6pt;margin-top:1.55pt;width:28.15pt;height:56pt;z-index:251737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" adj="16171" fillcolor="#4472c4" strokecolor="#2f528f" strokeweight="1pt"/>
            </w:pict>
          </mc:Fallback>
        </mc:AlternateContent>
      </w:r>
    </w:p>
    <w:p w14:paraId="03CD46B8" w14:textId="7DBB6D79" w:rsidR="00052BEA" w:rsidRPr="00052BEA" w:rsidRDefault="00052BEA" w:rsidP="00052BEA">
      <w:pPr>
        <w:pBdr>
          <w:top w:val="single" w:sz="4" w:space="1" w:color="auto"/>
          <w:left w:val="single" w:sz="4" w:space="4" w:color="auto"/>
          <w:bottom w:val="single" w:sz="4" w:space="1" w:color="auto"/>
          <w:right w:val="single" w:sz="4" w:space="4" w:color="auto"/>
        </w:pBdr>
        <w:spacing w:line="360" w:lineRule="auto"/>
        <w:rPr>
          <w:rFonts w:cs="Arial"/>
        </w:rPr>
      </w:pPr>
    </w:p>
    <w:p w14:paraId="751EA5B5" w14:textId="6DE884E3" w:rsidR="00052BEA" w:rsidRPr="00052BEA" w:rsidRDefault="00052BEA" w:rsidP="00052BEA">
      <w:pPr>
        <w:pBdr>
          <w:top w:val="single" w:sz="4" w:space="1" w:color="auto"/>
          <w:left w:val="single" w:sz="4" w:space="4" w:color="auto"/>
          <w:bottom w:val="single" w:sz="4" w:space="1" w:color="auto"/>
          <w:right w:val="single" w:sz="4" w:space="4" w:color="auto"/>
        </w:pBdr>
        <w:spacing w:line="360" w:lineRule="auto"/>
        <w:rPr>
          <w:rFonts w:cs="Arial"/>
        </w:rPr>
      </w:pPr>
    </w:p>
    <w:p w14:paraId="33C7F8AE" w14:textId="6B164BF7" w:rsidR="00052BEA" w:rsidRPr="00052BEA" w:rsidRDefault="00F0172A" w:rsidP="00052BEA">
      <w:pPr>
        <w:pBdr>
          <w:top w:val="single" w:sz="4" w:space="1" w:color="auto"/>
          <w:left w:val="single" w:sz="4" w:space="4" w:color="auto"/>
          <w:bottom w:val="single" w:sz="4" w:space="1" w:color="auto"/>
          <w:right w:val="single" w:sz="4" w:space="4" w:color="auto"/>
        </w:pBdr>
        <w:spacing w:line="360" w:lineRule="auto"/>
        <w:rPr>
          <w:rFonts w:cs="Arial"/>
        </w:rPr>
      </w:pPr>
      <w:r w:rsidRPr="00052BEA">
        <w:rPr>
          <w:rFonts w:cs="Arial"/>
          <w:noProof/>
          <w:lang w:eastAsia="en-GB"/>
        </w:rPr>
        <mc:AlternateContent>
          <mc:Choice Requires="wps">
            <w:drawing>
              <wp:anchor distT="0" distB="0" distL="114300" distR="114300" simplePos="0" relativeHeight="251741184" behindDoc="0" locked="0" layoutInCell="1" allowOverlap="1" wp14:anchorId="18F2B0BE" wp14:editId="50DCCEA7">
                <wp:simplePos x="0" y="0"/>
                <wp:positionH relativeFrom="column">
                  <wp:posOffset>68898</wp:posOffset>
                </wp:positionH>
                <wp:positionV relativeFrom="paragraph">
                  <wp:posOffset>164781</wp:posOffset>
                </wp:positionV>
                <wp:extent cx="588010" cy="476885"/>
                <wp:effectExtent l="4762" t="0" r="13653" b="13652"/>
                <wp:wrapNone/>
                <wp:docPr id="2062" name="Rectangle 2062"/>
                <wp:cNvGraphicFramePr/>
                <a:graphic xmlns:a="http://schemas.openxmlformats.org/drawingml/2006/main">
                  <a:graphicData uri="http://schemas.microsoft.com/office/word/2010/wordprocessingShape">
                    <wps:wsp>
                      <wps:cNvSpPr/>
                      <wps:spPr>
                        <a:xfrm rot="16200000">
                          <a:off x="0" y="0"/>
                          <a:ext cx="588010" cy="476885"/>
                        </a:xfrm>
                        <a:prstGeom prst="rect">
                          <a:avLst/>
                        </a:prstGeom>
                        <a:solidFill>
                          <a:srgbClr val="4472C4"/>
                        </a:solidFill>
                        <a:ln w="12700" cap="flat" cmpd="sng" algn="ctr">
                          <a:solidFill>
                            <a:srgbClr val="4472C4">
                              <a:shade val="50000"/>
                            </a:srgbClr>
                          </a:solidFill>
                          <a:prstDash val="solid"/>
                          <a:miter lim="800000"/>
                        </a:ln>
                        <a:effectLst/>
                      </wps:spPr>
                      <wps:txbx>
                        <w:txbxContent>
                          <w:p w14:paraId="248EF597" w14:textId="77777777" w:rsidR="00D17A43" w:rsidRPr="00052BEA" w:rsidRDefault="00D17A43" w:rsidP="00052BEA">
                            <w:pPr>
                              <w:jc w:val="center"/>
                              <w:rPr>
                                <w:color w:val="FFFFFF" w:themeColor="background1"/>
                              </w:rPr>
                            </w:pPr>
                            <w:r w:rsidRPr="00052BEA">
                              <w:rPr>
                                <w:color w:val="FFFFFF" w:themeColor="background1"/>
                              </w:rPr>
                              <w:t>Visit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8F2B0BE" id="Rectangle 2062" o:spid="_x0000_s1071" style="position:absolute;margin-left:5.45pt;margin-top:12.95pt;width:46.3pt;height:37.55pt;rotation:-90;z-index:251741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" fillcolor="#4472c4" strokecolor="#2f528f" strokeweight="1pt">
                <v:textbox>
                  <w:txbxContent>
                    <w:p w14:paraId="248EF597" w14:textId="77777777" w:rsidR="00D17A43" w:rsidRPr="00052BEA" w:rsidRDefault="00D17A43" w:rsidP="00052BEA">
                      <w:pPr>
                        <w:jc w:val="center"/>
                        <w:rPr>
                          <w:color w:val="FFFFFF" w:themeColor="background1"/>
                        </w:rPr>
                      </w:pPr>
                      <w:r w:rsidRPr="00052BEA">
                        <w:rPr>
                          <w:color w:val="FFFFFF" w:themeColor="background1"/>
                        </w:rPr>
                        <w:t>Visit 3</w:t>
                      </w:r>
                    </w:p>
                  </w:txbxContent>
                </v:textbox>
              </v:rect>
            </w:pict>
          </mc:Fallback>
        </mc:AlternateContent>
      </w:r>
      <w:r w:rsidRPr="00052BEA">
        <w:rPr>
          <w:rFonts w:cs="Arial"/>
          <w:noProof/>
          <w:lang w:eastAsia="en-GB"/>
        </w:rPr>
        <mc:AlternateContent>
          <mc:Choice Requires="wps">
            <w:drawing>
              <wp:anchor distT="0" distB="0" distL="114300" distR="114300" simplePos="0" relativeHeight="251734016" behindDoc="0" locked="0" layoutInCell="1" allowOverlap="1" wp14:anchorId="2AFECACF" wp14:editId="2EA07A4C">
                <wp:simplePos x="0" y="0"/>
                <wp:positionH relativeFrom="column">
                  <wp:posOffset>863600</wp:posOffset>
                </wp:positionH>
                <wp:positionV relativeFrom="paragraph">
                  <wp:posOffset>105410</wp:posOffset>
                </wp:positionV>
                <wp:extent cx="2011680" cy="476885"/>
                <wp:effectExtent l="0" t="0" r="7620" b="18415"/>
                <wp:wrapNone/>
                <wp:docPr id="2063" name="Rectangle 2063"/>
                <wp:cNvGraphicFramePr/>
                <a:graphic xmlns:a="http://schemas.openxmlformats.org/drawingml/2006/main">
                  <a:graphicData uri="http://schemas.microsoft.com/office/word/2010/wordprocessingShape">
                    <wps:wsp>
                      <wps:cNvSpPr/>
                      <wps:spPr>
                        <a:xfrm>
                          <a:off x="0" y="0"/>
                          <a:ext cx="2011680" cy="476885"/>
                        </a:xfrm>
                        <a:prstGeom prst="rect">
                          <a:avLst/>
                        </a:prstGeom>
                        <a:solidFill>
                          <a:srgbClr val="4472C4"/>
                        </a:solidFill>
                        <a:ln w="12700" cap="flat" cmpd="sng" algn="ctr">
                          <a:solidFill>
                            <a:srgbClr val="4472C4">
                              <a:shade val="50000"/>
                            </a:srgbClr>
                          </a:solidFill>
                          <a:prstDash val="solid"/>
                          <a:miter lim="800000"/>
                        </a:ln>
                        <a:effectLst/>
                      </wps:spPr>
                      <wps:txbx>
                        <w:txbxContent>
                          <w:p w14:paraId="1B705AF4" w14:textId="77777777" w:rsidR="00D17A43" w:rsidRPr="00052BEA" w:rsidRDefault="00D17A43" w:rsidP="00052BEA">
                            <w:pPr>
                              <w:jc w:val="center"/>
                              <w:rPr>
                                <w:color w:val="FFFFFF" w:themeColor="background1"/>
                              </w:rPr>
                            </w:pPr>
                            <w:r w:rsidRPr="00052BEA">
                              <w:rPr>
                                <w:color w:val="FFFFFF" w:themeColor="background1"/>
                              </w:rPr>
                              <w:t>DSC MRI visit – Pain Condition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AFECACF" id="Rectangle 2063" o:spid="_x0000_s1072" style="position:absolute;margin-left:68pt;margin-top:8.3pt;width:158.4pt;height:37.55pt;z-index:251734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" fillcolor="#4472c4" strokecolor="#2f528f" strokeweight="1pt">
                <v:textbox>
                  <w:txbxContent>
                    <w:p w14:paraId="1B705AF4" w14:textId="77777777" w:rsidR="00D17A43" w:rsidRPr="00052BEA" w:rsidRDefault="00D17A43" w:rsidP="00052BEA">
                      <w:pPr>
                        <w:jc w:val="center"/>
                        <w:rPr>
                          <w:color w:val="FFFFFF" w:themeColor="background1"/>
                        </w:rPr>
                      </w:pPr>
                      <w:r w:rsidRPr="00052BEA">
                        <w:rPr>
                          <w:color w:val="FFFFFF" w:themeColor="background1"/>
                        </w:rPr>
                        <w:t>DSC MRI visit – Pain Condition</w:t>
                      </w:r>
                    </w:p>
                  </w:txbxContent>
                </v:textbox>
              </v:rect>
            </w:pict>
          </mc:Fallback>
        </mc:AlternateContent>
      </w:r>
    </w:p>
    <w:p w14:paraId="199C02A8" w14:textId="3B493F01" w:rsidR="00052BEA" w:rsidRPr="00052BEA" w:rsidRDefault="00052BEA" w:rsidP="00052BEA">
      <w:pPr>
        <w:pBdr>
          <w:top w:val="single" w:sz="4" w:space="1" w:color="auto"/>
          <w:left w:val="single" w:sz="4" w:space="4" w:color="auto"/>
          <w:bottom w:val="single" w:sz="4" w:space="1" w:color="auto"/>
          <w:right w:val="single" w:sz="4" w:space="4" w:color="auto"/>
        </w:pBdr>
        <w:spacing w:line="360" w:lineRule="auto"/>
        <w:rPr>
          <w:rFonts w:cs="Arial"/>
        </w:rPr>
      </w:pPr>
    </w:p>
    <w:p w14:paraId="1658765E" w14:textId="77777777" w:rsidR="00052BEA" w:rsidRPr="00052BEA" w:rsidRDefault="00052BEA" w:rsidP="00052BEA">
      <w:pPr>
        <w:pBdr>
          <w:top w:val="single" w:sz="4" w:space="1" w:color="auto"/>
          <w:left w:val="single" w:sz="4" w:space="4" w:color="auto"/>
          <w:bottom w:val="single" w:sz="4" w:space="1" w:color="auto"/>
          <w:right w:val="single" w:sz="4" w:space="4" w:color="auto"/>
        </w:pBdr>
        <w:spacing w:line="360" w:lineRule="auto"/>
        <w:rPr>
          <w:rFonts w:cs="Arial"/>
        </w:rPr>
      </w:pPr>
    </w:p>
    <w:p w14:paraId="558FD108" w14:textId="5FB3CAB1" w:rsidR="00052BEA" w:rsidRPr="00052BEA" w:rsidRDefault="00052BEA" w:rsidP="005E4340">
      <w:pPr>
        <w:pStyle w:val="Heading3"/>
      </w:pPr>
      <w:bookmarkStart w:id="315" w:name="_Toc64723933"/>
      <w:r w:rsidRPr="00052BEA">
        <w:lastRenderedPageBreak/>
        <w:t>Statistical Analysis</w:t>
      </w:r>
      <w:bookmarkEnd w:id="315"/>
      <w:r w:rsidRPr="00052BEA">
        <w:t xml:space="preserve"> </w:t>
      </w:r>
    </w:p>
    <w:p w14:paraId="09531193" w14:textId="1CAFC9C0" w:rsidR="00052BEA" w:rsidRPr="00052BEA" w:rsidRDefault="00052BEA" w:rsidP="00052BEA">
      <w:pPr>
        <w:spacing w:line="360" w:lineRule="auto"/>
      </w:pPr>
      <w:r w:rsidRPr="00052BEA">
        <w:rPr>
          <w:rFonts w:cs="Arial"/>
        </w:rPr>
        <w:t>Participants’ baseline characteristics were compared using analysis of variance (ANOVA) for scale variables, Kruskal Wallis test for non-parametric data, and Chi square test for nominal data.  The data from the baseline DSC-MRI experiment was compared using SPSS (</w:t>
      </w:r>
      <w:r w:rsidR="00810941">
        <w:rPr>
          <w:rFonts w:cs="Arial"/>
        </w:rPr>
        <w:t>Version 26</w:t>
      </w:r>
      <w:r w:rsidRPr="00052BEA">
        <w:rPr>
          <w:rFonts w:cs="Arial"/>
        </w:rPr>
        <w:t>, IBM Corp, Armonk, New York).  The analysis was planned to compare groups</w:t>
      </w:r>
      <w:r w:rsidR="0068734B">
        <w:rPr>
          <w:rFonts w:cs="Arial"/>
        </w:rPr>
        <w:t xml:space="preserve"> at different regions of interest</w:t>
      </w:r>
      <w:r w:rsidRPr="00052BEA">
        <w:rPr>
          <w:rFonts w:cs="Arial"/>
        </w:rPr>
        <w:t xml:space="preserve"> using MANOVA</w:t>
      </w:r>
      <w:r w:rsidR="0068734B">
        <w:rPr>
          <w:rFonts w:cs="Arial"/>
        </w:rPr>
        <w:t>, to account for multiple comparisons</w:t>
      </w:r>
      <w:r w:rsidRPr="00052BEA">
        <w:rPr>
          <w:rFonts w:cs="Arial"/>
        </w:rPr>
        <w:t xml:space="preserve">.  </w:t>
      </w:r>
      <w:proofErr w:type="spellStart"/>
      <w:r w:rsidRPr="00052BEA">
        <w:rPr>
          <w:rFonts w:cs="Arial"/>
        </w:rPr>
        <w:t>Levene’s</w:t>
      </w:r>
      <w:proofErr w:type="spellEnd"/>
      <w:r w:rsidRPr="00052BEA">
        <w:rPr>
          <w:rFonts w:cs="Arial"/>
        </w:rPr>
        <w:t xml:space="preserve"> Statistic was calculated to ascertain the homogeneity of variance. The Welch’s F statistic was planned for use in those comparisons where a violation of the assumption of homogeneity occurred.  Groups were compared between all measured ROI using a parameter (RBV, RBF, MTT, TTP), to see if any areas were significantly different between the groups.  For variables found to be significantly different, post Hoc tests were used to identify relationships between groups and were performed using Šidak Method.  Planned Orthogonal Contrasts were performed to explore group differences highlighted by the ANOVA.  The planned orthogonal contrasts compared (HV) vs Diabetes Groups (ALLDM), DM-NN vs Diabetes with Neuropathy (DM-NEUR), and P-DPN vs Painless Neuropathy (DPN).  Stepwise backwards conditional linear regression analysis was performed to identify any explanatory factors in the demographic information.  Significance was set at p&lt;.05 for all tests. </w:t>
      </w:r>
      <w:r w:rsidR="00896C3B">
        <w:rPr>
          <w:rFonts w:cs="Arial"/>
        </w:rPr>
        <w:t xml:space="preserve"> </w:t>
      </w:r>
      <w:r w:rsidRPr="00052BEA">
        <w:t xml:space="preserve">Using the G*Power calculator </w:t>
      </w:r>
      <w:r w:rsidRPr="00052BEA">
        <w:fldChar w:fldCharType="begin"/>
      </w:r>
      <w:r w:rsidRPr="00052BEA">
        <w:instrText xml:space="preserve"> ADDIN EN.CITE &lt;EndNote&gt;&lt;Cite&gt;&lt;Author&gt;Faul&lt;/Author&gt;&lt;Year&gt;2007&lt;/Year&gt;&lt;IDText&gt;GPower 3: A flexible statistical power analysis program for the social, behavioral, and biomedical sciences&lt;/IDText&gt;&lt;DisplayText&gt;(Faul et al., 2007)&lt;/DisplayText&gt;&lt;record&gt;&lt;keywords&gt;&lt;keyword&gt;Cognitive Psychology&lt;/keyword&gt;&lt;keyword&gt;Psychology&lt;/keyword&gt;&lt;keyword&gt;Behavioral Sciences - methods&lt;/keyword&gt;&lt;keyword&gt;Social Sciences - methods&lt;/keyword&gt;&lt;keyword&gt;Data Interpretation, Statistical&lt;/keyword&gt;&lt;keyword&gt;Algorithms&lt;/keyword&gt;&lt;keyword&gt;Sensitivity and Specificity&lt;/keyword&gt;&lt;keyword&gt;Statistics, Nonparametric&lt;/keyword&gt;&lt;keyword&gt;Microcomputers&lt;/keyword&gt;&lt;keyword&gt;Biomedical Research - methods&lt;/keyword&gt;&lt;keyword&gt;Software&lt;/keyword&gt;&lt;keyword&gt;Mathematical Computing&lt;/keyword&gt;&lt;/keywords&gt;&lt;isbn&gt;1554-351X&lt;/isbn&gt;&lt;titles&gt;&lt;title&gt;GPower 3: A flexible statistical power analysis program for the social, behavioral, and biomedical sciences&lt;/title&gt;&lt;secondary-title&gt;Behav Res Methods&lt;/secondary-title&gt;&lt;/titles&gt;&lt;pages&gt;175-191&lt;/pages&gt;&lt;number&gt;2&lt;/number&gt;&lt;contributors&gt;&lt;authors&gt;&lt;author&gt;Faul, Franz&lt;/author&gt;&lt;author&gt;Erdfelder, Edgar&lt;/author&gt;&lt;author&gt;Lang, Albert-Georg&lt;/author&gt;&lt;author&gt;Buchner, Axel&lt;/author&gt;&lt;/authors&gt;&lt;/contributors&gt;&lt;added-date format="utc"&gt;1599169210&lt;/added-date&gt;&lt;pub-location&gt;New York&lt;/pub-location&gt;&lt;ref-type name="Journal Article"&gt;17&lt;/ref-type&gt;&lt;dates&gt;&lt;year&gt;2007&lt;/year&gt;&lt;/dates&gt;&lt;rec-number&gt;1354&lt;/rec-number&gt;&lt;publisher&gt;New York: Springer-Verlag&lt;/publisher&gt;&lt;last-updated-date format="utc"&gt;1599169210&lt;/last-updated-date&gt;&lt;electronic-resource-num&gt;10.3758/BF03193146&lt;/electronic-resource-num&gt;&lt;volume&gt;39&lt;/volume&gt;&lt;/record&gt;&lt;/Cite&gt;&lt;/EndNote&gt;</w:instrText>
      </w:r>
      <w:r w:rsidRPr="00052BEA">
        <w:fldChar w:fldCharType="separate"/>
      </w:r>
      <w:r w:rsidRPr="00052BEA">
        <w:t>(Faul et al., 2007)</w:t>
      </w:r>
      <w:r w:rsidRPr="00052BEA">
        <w:fldChar w:fldCharType="end"/>
      </w:r>
      <w:r w:rsidRPr="00052BEA">
        <w:t xml:space="preserve"> and the data from the pilot study we estimated that the population </w:t>
      </w:r>
      <w:r w:rsidR="00896C3B">
        <w:t>standard deviation</w:t>
      </w:r>
      <w:r w:rsidRPr="00052BEA">
        <w:t xml:space="preserve"> was 40.625</w:t>
      </w:r>
      <w:r w:rsidR="00C6119C">
        <w:t xml:space="preserve"> for CBV</w:t>
      </w:r>
      <w:r w:rsidRPr="00052BEA">
        <w:t xml:space="preserve">, and used the means and the participant numbers from the pilot study to determine the number of participants required in the </w:t>
      </w:r>
      <w:r w:rsidR="00D142CF">
        <w:t>study</w:t>
      </w:r>
      <w:r w:rsidRPr="00052BEA">
        <w:t>.  Used in this way effect size was determined to be F= 0.41</w:t>
      </w:r>
      <w:r w:rsidR="00896C3B">
        <w:t>.</w:t>
      </w:r>
      <w:r w:rsidRPr="00052BEA">
        <w:t xml:space="preserve"> </w:t>
      </w:r>
      <w:r w:rsidR="00896C3B">
        <w:t>Hence,</w:t>
      </w:r>
      <w:r w:rsidRPr="00052BEA">
        <w:t xml:space="preserve"> for an </w:t>
      </w:r>
      <w:r w:rsidRPr="00052BEA">
        <w:rPr>
          <w:rFonts w:hint="eastAsia"/>
        </w:rPr>
        <w:t>α</w:t>
      </w:r>
      <w:r w:rsidRPr="00052BEA">
        <w:t xml:space="preserve"> error rate </w:t>
      </w:r>
      <w:r w:rsidR="00BD3B0B">
        <w:t>o</w:t>
      </w:r>
      <w:r w:rsidRPr="00052BEA">
        <w:t>f 0.05 and a power (1-</w:t>
      </w:r>
      <w:r w:rsidRPr="00052BEA">
        <w:rPr>
          <w:rFonts w:hint="eastAsia"/>
        </w:rPr>
        <w:t>β</w:t>
      </w:r>
      <w:r w:rsidRPr="00052BEA">
        <w:t>) of 0.8, the number required in the study was 68 or 17 per group.</w:t>
      </w:r>
    </w:p>
    <w:p w14:paraId="76553011" w14:textId="77777777" w:rsidR="00052BEA" w:rsidRPr="00052BEA" w:rsidRDefault="00052BEA" w:rsidP="00052BEA">
      <w:pPr>
        <w:spacing w:line="360" w:lineRule="auto"/>
        <w:rPr>
          <w:rFonts w:cs="Arial"/>
        </w:rPr>
      </w:pPr>
      <w:r w:rsidRPr="00052BEA">
        <w:rPr>
          <w:rFonts w:cs="Arial"/>
        </w:rPr>
        <w:t xml:space="preserve">To investigate the effect spontaneous neuropathic pain may have had on perfusion measurements, the P-DPN group was subdivided into those who had significant pain during the baseline scan and those that did not.  The P-DPN group was split into 2 groups: P+, which represented those that had pain rated on a Likert scale ≥4; and P- was the remainder of the group that had no significant pain at the time of the scan (&lt; 4 by Likert scale).  There were 10 subjects in the P+ group and 9 in the P- group.  We analysed these subjects to add information about the influence of pain </w:t>
      </w:r>
      <w:r w:rsidRPr="00052BEA">
        <w:rPr>
          <w:rFonts w:cs="Arial"/>
        </w:rPr>
        <w:lastRenderedPageBreak/>
        <w:t>experienced at the time of scanning, acknowledging that this was a smaller group and the analysis may be underpowered.</w:t>
      </w:r>
    </w:p>
    <w:p w14:paraId="3D21F4D0" w14:textId="7E888249" w:rsidR="00052BEA" w:rsidRPr="00052BEA" w:rsidRDefault="00052BEA" w:rsidP="005E4340">
      <w:pPr>
        <w:pStyle w:val="Heading2"/>
      </w:pPr>
      <w:bookmarkStart w:id="316" w:name="_Toc431375303"/>
      <w:bookmarkStart w:id="317" w:name="_Toc44861331"/>
      <w:bookmarkStart w:id="318" w:name="_Toc64723934"/>
      <w:r w:rsidRPr="00052BEA">
        <w:t>Results</w:t>
      </w:r>
      <w:bookmarkEnd w:id="316"/>
      <w:bookmarkEnd w:id="317"/>
      <w:bookmarkEnd w:id="318"/>
    </w:p>
    <w:p w14:paraId="5AB9941F" w14:textId="77777777" w:rsidR="00052BEA" w:rsidRPr="00052BEA" w:rsidRDefault="00052BEA" w:rsidP="00052BEA">
      <w:pPr>
        <w:spacing w:line="360" w:lineRule="auto"/>
      </w:pPr>
      <w:r w:rsidRPr="00052BEA">
        <w:rPr>
          <w:rFonts w:cs="Arial"/>
        </w:rPr>
        <w:t xml:space="preserve">After recruitment twelve patients withdrew from the study: eight could not tolerate the MRI scan, one developed atrial fibrillation, and one patient had an abnormality picked up on MRI scanning which required further medical attention and precluded them from the study.  Therefore, there were 19 subjects with P-DPN, 23 DPN, 13 DM-NN, and 19 HV in the study. </w:t>
      </w:r>
    </w:p>
    <w:p w14:paraId="1C744AD2" w14:textId="20892F82" w:rsidR="00052BEA" w:rsidRPr="00052BEA" w:rsidRDefault="00234C1B" w:rsidP="005E4340">
      <w:pPr>
        <w:pStyle w:val="Heading3"/>
      </w:pPr>
      <w:bookmarkStart w:id="319" w:name="_Toc64723935"/>
      <w:r>
        <w:t>Baseline Characteristics</w:t>
      </w:r>
      <w:bookmarkEnd w:id="319"/>
    </w:p>
    <w:p w14:paraId="346720CC" w14:textId="1A92F531" w:rsidR="00052BEA" w:rsidRPr="00052BEA" w:rsidRDefault="00052BEA" w:rsidP="00052BEA">
      <w:pPr>
        <w:spacing w:line="360" w:lineRule="auto"/>
      </w:pPr>
      <w:r w:rsidRPr="00052BEA">
        <w:t xml:space="preserve">Baseline </w:t>
      </w:r>
      <w:r w:rsidR="00234C1B">
        <w:t>characteristics</w:t>
      </w:r>
      <w:r w:rsidRPr="00052BEA">
        <w:t xml:space="preserve"> </w:t>
      </w:r>
      <w:r w:rsidR="00234C1B">
        <w:t xml:space="preserve">of the groups </w:t>
      </w:r>
      <w:r w:rsidRPr="00052BEA">
        <w:t xml:space="preserve">are reported in Chapter 2 </w:t>
      </w:r>
      <w:r w:rsidR="00896C3B">
        <w:t>,</w:t>
      </w:r>
      <w:r w:rsidRPr="00052BEA">
        <w:t>Table 2.2</w:t>
      </w:r>
      <w:r w:rsidR="00896C3B">
        <w:t>,</w:t>
      </w:r>
      <w:r w:rsidRPr="00052BEA">
        <w:t xml:space="preserve"> p</w:t>
      </w:r>
      <w:r w:rsidR="00234C1B">
        <w:t xml:space="preserve"> 58.</w:t>
      </w:r>
      <w:r w:rsidRPr="00052BEA">
        <w:t xml:space="preserve">  Of note the age of the DPN participants was significantly higher than the P-DPN participants.  Therefore, age is analysed as a covariant of perfusion measures.  The results are reported in Appendix C, table C.1.  There were no perfusion measures or regions of interest at which age was a significant covariant.</w:t>
      </w:r>
    </w:p>
    <w:p w14:paraId="73620906" w14:textId="7C95ED07" w:rsidR="00052BEA" w:rsidRDefault="00234C1B" w:rsidP="00052BEA">
      <w:pPr>
        <w:spacing w:line="360" w:lineRule="auto"/>
        <w:rPr>
          <w:rFonts w:cs="Arial"/>
        </w:rPr>
      </w:pPr>
      <w:r>
        <w:rPr>
          <w:rFonts w:cs="Arial"/>
        </w:rPr>
        <w:t xml:space="preserve">Baseline characteristics of the groups on the day of the scan are reported in Table 4.1.  </w:t>
      </w:r>
      <w:r w:rsidR="00052BEA" w:rsidRPr="00052BEA">
        <w:rPr>
          <w:rFonts w:cs="Arial"/>
        </w:rPr>
        <w:t xml:space="preserve">There was a significant difference between the groups for baseline neuropathic pain (Table 4.1; p&lt;.001) between the P-DPN group and the other groups.  There were no significant differences for any other parameters, including blood pressure, pulse and blood glucose (Table 4.1).  </w:t>
      </w:r>
      <w:r w:rsidR="00DB75BB">
        <w:rPr>
          <w:rFonts w:cs="Arial"/>
        </w:rPr>
        <w:t>There was no difference for delta blood glucose between arrival and departure (Appendix D, Table D.2)</w:t>
      </w:r>
      <w:r w:rsidR="00052BEA" w:rsidRPr="00052BEA">
        <w:rPr>
          <w:rFonts w:cs="Arial"/>
        </w:rPr>
        <w:t>The frequencies for Likert scale report for pain in the P-DPN group are depicted in Figure 4.2</w:t>
      </w:r>
    </w:p>
    <w:p w14:paraId="1EB30DC5" w14:textId="44795956" w:rsidR="00F0733F" w:rsidRDefault="00F0733F">
      <w:pPr>
        <w:rPr>
          <w:rFonts w:cs="Arial"/>
        </w:rPr>
      </w:pPr>
      <w:r>
        <w:rPr>
          <w:rFonts w:cs="Arial"/>
        </w:rPr>
        <w:br w:type="page"/>
      </w:r>
    </w:p>
    <w:p w14:paraId="13011FFF" w14:textId="473C6571" w:rsidR="00052BEA" w:rsidRPr="00052BEA" w:rsidRDefault="00052BEA" w:rsidP="005E4340">
      <w:pPr>
        <w:pStyle w:val="Quote"/>
      </w:pPr>
      <w:bookmarkStart w:id="320" w:name="_Toc49271588"/>
      <w:bookmarkStart w:id="321" w:name="_Toc64724084"/>
      <w:r w:rsidRPr="00052BEA">
        <w:lastRenderedPageBreak/>
        <w:t xml:space="preserve">Table 4.1  Descriptive </w:t>
      </w:r>
      <w:r w:rsidR="005E4340">
        <w:t>S</w:t>
      </w:r>
      <w:r w:rsidRPr="00052BEA">
        <w:t>tatistics for Visit 2 Baseline Characteristics</w:t>
      </w:r>
      <w:bookmarkEnd w:id="320"/>
      <w:bookmarkEnd w:id="321"/>
    </w:p>
    <w:tbl>
      <w:tblPr>
        <w:tblStyle w:val="GridTable2-Accent2"/>
        <w:tblW w:w="5000" w:type="pct"/>
        <w:tblLook w:val="0420" w:firstRow="1" w:lastRow="0" w:firstColumn="0" w:lastColumn="0" w:noHBand="0" w:noVBand="1"/>
      </w:tblPr>
      <w:tblGrid>
        <w:gridCol w:w="1842"/>
        <w:gridCol w:w="1982"/>
        <w:gridCol w:w="1557"/>
        <w:gridCol w:w="991"/>
        <w:gridCol w:w="851"/>
        <w:gridCol w:w="991"/>
        <w:gridCol w:w="796"/>
      </w:tblGrid>
      <w:tr w:rsidR="00052BEA" w:rsidRPr="00052BEA" w14:paraId="3E775A15" w14:textId="77777777" w:rsidTr="00AB4128">
        <w:trPr>
          <w:cnfStyle w:val="100000000000" w:firstRow="1" w:lastRow="0" w:firstColumn="0" w:lastColumn="0" w:oddVBand="0" w:evenVBand="0" w:oddHBand="0" w:evenHBand="0" w:firstRowFirstColumn="0" w:firstRowLastColumn="0" w:lastRowFirstColumn="0" w:lastRowLastColumn="0"/>
          <w:trHeight w:val="360"/>
        </w:trPr>
        <w:tc>
          <w:tcPr>
            <w:tcW w:w="2986" w:type="pct"/>
            <w:gridSpan w:val="3"/>
            <w:tcBorders>
              <w:top w:val="single" w:sz="4" w:space="0" w:color="auto"/>
              <w:left w:val="single" w:sz="4" w:space="0" w:color="auto"/>
            </w:tcBorders>
          </w:tcPr>
          <w:p w14:paraId="2D353402" w14:textId="77777777" w:rsidR="00052BEA" w:rsidRPr="00052BEA" w:rsidRDefault="00052BEA" w:rsidP="00052BEA">
            <w:pPr>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 </w:t>
            </w:r>
          </w:p>
        </w:tc>
        <w:tc>
          <w:tcPr>
            <w:tcW w:w="550" w:type="pct"/>
            <w:tcBorders>
              <w:top w:val="single" w:sz="4" w:space="0" w:color="auto"/>
            </w:tcBorders>
          </w:tcPr>
          <w:p w14:paraId="6D18F74E" w14:textId="77777777" w:rsidR="00052BEA" w:rsidRPr="00052BEA" w:rsidRDefault="00052BEA" w:rsidP="00052BEA">
            <w:pPr>
              <w:jc w:val="center"/>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P-DPN</w:t>
            </w:r>
          </w:p>
        </w:tc>
        <w:tc>
          <w:tcPr>
            <w:tcW w:w="472" w:type="pct"/>
            <w:tcBorders>
              <w:top w:val="single" w:sz="4" w:space="0" w:color="auto"/>
            </w:tcBorders>
          </w:tcPr>
          <w:p w14:paraId="71D46F95" w14:textId="77777777" w:rsidR="00052BEA" w:rsidRPr="00052BEA" w:rsidRDefault="00052BEA" w:rsidP="00052BEA">
            <w:pPr>
              <w:jc w:val="center"/>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DPN</w:t>
            </w:r>
          </w:p>
        </w:tc>
        <w:tc>
          <w:tcPr>
            <w:tcW w:w="550" w:type="pct"/>
            <w:tcBorders>
              <w:top w:val="single" w:sz="4" w:space="0" w:color="auto"/>
            </w:tcBorders>
          </w:tcPr>
          <w:p w14:paraId="7DC997E4" w14:textId="77777777" w:rsidR="00052BEA" w:rsidRPr="00052BEA" w:rsidRDefault="00052BEA" w:rsidP="00052BEA">
            <w:pPr>
              <w:jc w:val="center"/>
              <w:rPr>
                <w:rFonts w:asciiTheme="minorHAnsi" w:eastAsia="Times New Roman" w:hAnsiTheme="minorHAnsi" w:cstheme="minorHAnsi"/>
                <w:i/>
                <w:iCs/>
                <w:color w:val="000000"/>
                <w:sz w:val="21"/>
                <w:szCs w:val="21"/>
              </w:rPr>
            </w:pPr>
            <w:r w:rsidRPr="00052BEA">
              <w:rPr>
                <w:rFonts w:asciiTheme="minorHAnsi" w:eastAsia="Arial" w:hAnsiTheme="minorHAnsi" w:cstheme="minorHAnsi"/>
                <w:i/>
                <w:iCs/>
                <w:color w:val="000000"/>
                <w:sz w:val="21"/>
                <w:szCs w:val="21"/>
              </w:rPr>
              <w:t>DM-NN</w:t>
            </w:r>
          </w:p>
        </w:tc>
        <w:tc>
          <w:tcPr>
            <w:tcW w:w="442" w:type="pct"/>
            <w:tcBorders>
              <w:top w:val="single" w:sz="4" w:space="0" w:color="auto"/>
              <w:right w:val="single" w:sz="4" w:space="0" w:color="auto"/>
            </w:tcBorders>
          </w:tcPr>
          <w:p w14:paraId="39D51444" w14:textId="77777777" w:rsidR="00052BEA" w:rsidRPr="00052BEA" w:rsidRDefault="00052BEA" w:rsidP="00052BEA">
            <w:pPr>
              <w:jc w:val="center"/>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HV</w:t>
            </w:r>
          </w:p>
        </w:tc>
      </w:tr>
      <w:tr w:rsidR="00052BEA" w:rsidRPr="00052BEA" w14:paraId="7D0C7122" w14:textId="77777777" w:rsidTr="00AB4128">
        <w:trPr>
          <w:cnfStyle w:val="000000100000" w:firstRow="0" w:lastRow="0" w:firstColumn="0" w:lastColumn="0" w:oddVBand="0" w:evenVBand="0" w:oddHBand="1" w:evenHBand="0" w:firstRowFirstColumn="0" w:firstRowLastColumn="0" w:lastRowFirstColumn="0" w:lastRowLastColumn="0"/>
          <w:trHeight w:val="360"/>
        </w:trPr>
        <w:tc>
          <w:tcPr>
            <w:tcW w:w="1022" w:type="pct"/>
            <w:vMerge w:val="restart"/>
            <w:tcBorders>
              <w:left w:val="single" w:sz="4" w:space="0" w:color="auto"/>
            </w:tcBorders>
          </w:tcPr>
          <w:p w14:paraId="03C7A841" w14:textId="77777777" w:rsidR="00052BEA" w:rsidRPr="00052BEA" w:rsidRDefault="00052BEA" w:rsidP="00052BEA">
            <w:pPr>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Pain score/10</w:t>
            </w:r>
          </w:p>
        </w:tc>
        <w:tc>
          <w:tcPr>
            <w:tcW w:w="1964" w:type="pct"/>
            <w:gridSpan w:val="2"/>
          </w:tcPr>
          <w:p w14:paraId="1D8E8A2D" w14:textId="77777777" w:rsidR="00052BEA" w:rsidRPr="00052BEA" w:rsidRDefault="00052BEA" w:rsidP="00052BEA">
            <w:pPr>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N</w:t>
            </w:r>
          </w:p>
        </w:tc>
        <w:tc>
          <w:tcPr>
            <w:tcW w:w="550" w:type="pct"/>
          </w:tcPr>
          <w:p w14:paraId="00579B8C"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19</w:t>
            </w:r>
          </w:p>
        </w:tc>
        <w:tc>
          <w:tcPr>
            <w:tcW w:w="472" w:type="pct"/>
          </w:tcPr>
          <w:p w14:paraId="3BF6EA01"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23</w:t>
            </w:r>
          </w:p>
        </w:tc>
        <w:tc>
          <w:tcPr>
            <w:tcW w:w="550" w:type="pct"/>
          </w:tcPr>
          <w:p w14:paraId="0A7BFF49"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13</w:t>
            </w:r>
          </w:p>
        </w:tc>
        <w:tc>
          <w:tcPr>
            <w:tcW w:w="442" w:type="pct"/>
            <w:tcBorders>
              <w:right w:val="single" w:sz="4" w:space="0" w:color="auto"/>
            </w:tcBorders>
          </w:tcPr>
          <w:p w14:paraId="51FD49FE"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19</w:t>
            </w:r>
          </w:p>
        </w:tc>
      </w:tr>
      <w:tr w:rsidR="00052BEA" w:rsidRPr="00052BEA" w14:paraId="58CCBD9D" w14:textId="77777777" w:rsidTr="00AB4128">
        <w:trPr>
          <w:trHeight w:val="360"/>
        </w:trPr>
        <w:tc>
          <w:tcPr>
            <w:tcW w:w="1022" w:type="pct"/>
            <w:vMerge/>
            <w:tcBorders>
              <w:left w:val="single" w:sz="4" w:space="0" w:color="auto"/>
            </w:tcBorders>
          </w:tcPr>
          <w:p w14:paraId="615D19B7" w14:textId="77777777" w:rsidR="00052BEA" w:rsidRPr="00052BEA" w:rsidRDefault="00052BEA" w:rsidP="00052BEA">
            <w:pPr>
              <w:widowControl w:val="0"/>
              <w:pBdr>
                <w:top w:val="nil"/>
                <w:left w:val="nil"/>
                <w:bottom w:val="nil"/>
                <w:right w:val="nil"/>
                <w:between w:val="nil"/>
              </w:pBdr>
              <w:spacing w:line="276" w:lineRule="auto"/>
              <w:rPr>
                <w:rFonts w:asciiTheme="minorHAnsi" w:eastAsia="Times New Roman" w:hAnsiTheme="minorHAnsi" w:cstheme="minorHAnsi"/>
                <w:i/>
                <w:iCs/>
                <w:color w:val="000000"/>
                <w:sz w:val="21"/>
                <w:szCs w:val="21"/>
              </w:rPr>
            </w:pPr>
          </w:p>
        </w:tc>
        <w:tc>
          <w:tcPr>
            <w:tcW w:w="1964" w:type="pct"/>
            <w:gridSpan w:val="2"/>
          </w:tcPr>
          <w:p w14:paraId="4BB05EC4" w14:textId="77777777" w:rsidR="00052BEA" w:rsidRPr="00052BEA" w:rsidRDefault="00052BEA" w:rsidP="00052BEA">
            <w:pPr>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Median</w:t>
            </w:r>
          </w:p>
        </w:tc>
        <w:tc>
          <w:tcPr>
            <w:tcW w:w="550" w:type="pct"/>
          </w:tcPr>
          <w:p w14:paraId="48306483"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5</w:t>
            </w:r>
          </w:p>
        </w:tc>
        <w:tc>
          <w:tcPr>
            <w:tcW w:w="472" w:type="pct"/>
          </w:tcPr>
          <w:p w14:paraId="038CD13B"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0</w:t>
            </w:r>
          </w:p>
        </w:tc>
        <w:tc>
          <w:tcPr>
            <w:tcW w:w="550" w:type="pct"/>
          </w:tcPr>
          <w:p w14:paraId="4C437D87"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0</w:t>
            </w:r>
          </w:p>
        </w:tc>
        <w:tc>
          <w:tcPr>
            <w:tcW w:w="442" w:type="pct"/>
            <w:tcBorders>
              <w:right w:val="single" w:sz="4" w:space="0" w:color="auto"/>
            </w:tcBorders>
          </w:tcPr>
          <w:p w14:paraId="54338D9E"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0</w:t>
            </w:r>
          </w:p>
        </w:tc>
      </w:tr>
      <w:tr w:rsidR="00052BEA" w:rsidRPr="00052BEA" w14:paraId="726D00F8" w14:textId="77777777" w:rsidTr="00AB4128">
        <w:trPr>
          <w:cnfStyle w:val="000000100000" w:firstRow="0" w:lastRow="0" w:firstColumn="0" w:lastColumn="0" w:oddVBand="0" w:evenVBand="0" w:oddHBand="1" w:evenHBand="0" w:firstRowFirstColumn="0" w:firstRowLastColumn="0" w:lastRowFirstColumn="0" w:lastRowLastColumn="0"/>
          <w:trHeight w:val="360"/>
        </w:trPr>
        <w:tc>
          <w:tcPr>
            <w:tcW w:w="1022" w:type="pct"/>
            <w:vMerge/>
            <w:tcBorders>
              <w:left w:val="single" w:sz="4" w:space="0" w:color="auto"/>
            </w:tcBorders>
          </w:tcPr>
          <w:p w14:paraId="41931A5C" w14:textId="77777777" w:rsidR="00052BEA" w:rsidRPr="00052BEA" w:rsidRDefault="00052BEA" w:rsidP="00052BEA">
            <w:pPr>
              <w:widowControl w:val="0"/>
              <w:pBdr>
                <w:top w:val="nil"/>
                <w:left w:val="nil"/>
                <w:bottom w:val="nil"/>
                <w:right w:val="nil"/>
                <w:between w:val="nil"/>
              </w:pBdr>
              <w:spacing w:line="276" w:lineRule="auto"/>
              <w:rPr>
                <w:rFonts w:asciiTheme="minorHAnsi" w:eastAsia="Times New Roman" w:hAnsiTheme="minorHAnsi" w:cstheme="minorHAnsi"/>
                <w:i/>
                <w:iCs/>
                <w:color w:val="000000"/>
                <w:sz w:val="21"/>
                <w:szCs w:val="21"/>
              </w:rPr>
            </w:pPr>
          </w:p>
        </w:tc>
        <w:tc>
          <w:tcPr>
            <w:tcW w:w="1964" w:type="pct"/>
            <w:gridSpan w:val="2"/>
          </w:tcPr>
          <w:p w14:paraId="43670B98" w14:textId="77777777" w:rsidR="00052BEA" w:rsidRPr="00052BEA" w:rsidRDefault="00052BEA" w:rsidP="00052BEA">
            <w:pPr>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Range</w:t>
            </w:r>
          </w:p>
        </w:tc>
        <w:tc>
          <w:tcPr>
            <w:tcW w:w="550" w:type="pct"/>
          </w:tcPr>
          <w:p w14:paraId="6334ADB1"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10</w:t>
            </w:r>
          </w:p>
        </w:tc>
        <w:tc>
          <w:tcPr>
            <w:tcW w:w="472" w:type="pct"/>
          </w:tcPr>
          <w:p w14:paraId="76F85995"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0</w:t>
            </w:r>
          </w:p>
        </w:tc>
        <w:tc>
          <w:tcPr>
            <w:tcW w:w="550" w:type="pct"/>
          </w:tcPr>
          <w:p w14:paraId="309193C1"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0</w:t>
            </w:r>
          </w:p>
        </w:tc>
        <w:tc>
          <w:tcPr>
            <w:tcW w:w="442" w:type="pct"/>
            <w:tcBorders>
              <w:right w:val="single" w:sz="4" w:space="0" w:color="auto"/>
            </w:tcBorders>
          </w:tcPr>
          <w:p w14:paraId="5BDE18DF"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0</w:t>
            </w:r>
          </w:p>
        </w:tc>
      </w:tr>
      <w:tr w:rsidR="00052BEA" w:rsidRPr="00052BEA" w14:paraId="5EC1D88F" w14:textId="77777777" w:rsidTr="00AB4128">
        <w:trPr>
          <w:trHeight w:val="360"/>
        </w:trPr>
        <w:tc>
          <w:tcPr>
            <w:tcW w:w="1022" w:type="pct"/>
            <w:vMerge/>
            <w:tcBorders>
              <w:left w:val="single" w:sz="4" w:space="0" w:color="auto"/>
            </w:tcBorders>
          </w:tcPr>
          <w:p w14:paraId="5ACB21C1" w14:textId="77777777" w:rsidR="00052BEA" w:rsidRPr="00052BEA" w:rsidRDefault="00052BEA" w:rsidP="00052BEA">
            <w:pPr>
              <w:widowControl w:val="0"/>
              <w:pBdr>
                <w:top w:val="nil"/>
                <w:left w:val="nil"/>
                <w:bottom w:val="nil"/>
                <w:right w:val="nil"/>
                <w:between w:val="nil"/>
              </w:pBdr>
              <w:spacing w:line="276" w:lineRule="auto"/>
              <w:rPr>
                <w:rFonts w:asciiTheme="minorHAnsi" w:eastAsia="Times New Roman" w:hAnsiTheme="minorHAnsi" w:cstheme="minorHAnsi"/>
                <w:i/>
                <w:iCs/>
                <w:color w:val="000000"/>
                <w:sz w:val="21"/>
                <w:szCs w:val="21"/>
              </w:rPr>
            </w:pPr>
          </w:p>
        </w:tc>
        <w:tc>
          <w:tcPr>
            <w:tcW w:w="1100" w:type="pct"/>
            <w:vMerge w:val="restart"/>
          </w:tcPr>
          <w:p w14:paraId="3DDAC61A" w14:textId="77777777" w:rsidR="00052BEA" w:rsidRPr="00052BEA" w:rsidRDefault="00052BEA" w:rsidP="00052BEA">
            <w:pPr>
              <w:rPr>
                <w:rFonts w:asciiTheme="minorHAnsi" w:eastAsia="Times New Roman" w:hAnsiTheme="minorHAnsi" w:cstheme="minorHAnsi"/>
                <w:i/>
                <w:iCs/>
                <w:color w:val="000000"/>
                <w:sz w:val="21"/>
                <w:szCs w:val="21"/>
              </w:rPr>
            </w:pPr>
          </w:p>
        </w:tc>
        <w:tc>
          <w:tcPr>
            <w:tcW w:w="864" w:type="pct"/>
          </w:tcPr>
          <w:p w14:paraId="0CEE96E2" w14:textId="77777777" w:rsidR="00052BEA" w:rsidRPr="00052BEA" w:rsidRDefault="00052BEA" w:rsidP="00052BEA">
            <w:pPr>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Min</w:t>
            </w:r>
          </w:p>
        </w:tc>
        <w:tc>
          <w:tcPr>
            <w:tcW w:w="550" w:type="pct"/>
          </w:tcPr>
          <w:p w14:paraId="381F21DC"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0</w:t>
            </w:r>
          </w:p>
        </w:tc>
        <w:tc>
          <w:tcPr>
            <w:tcW w:w="472" w:type="pct"/>
          </w:tcPr>
          <w:p w14:paraId="1D62D2E2"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0</w:t>
            </w:r>
          </w:p>
        </w:tc>
        <w:tc>
          <w:tcPr>
            <w:tcW w:w="550" w:type="pct"/>
          </w:tcPr>
          <w:p w14:paraId="7340F965"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0</w:t>
            </w:r>
          </w:p>
        </w:tc>
        <w:tc>
          <w:tcPr>
            <w:tcW w:w="442" w:type="pct"/>
            <w:tcBorders>
              <w:right w:val="single" w:sz="4" w:space="0" w:color="auto"/>
            </w:tcBorders>
          </w:tcPr>
          <w:p w14:paraId="1EAC9AF8"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0</w:t>
            </w:r>
          </w:p>
        </w:tc>
      </w:tr>
      <w:tr w:rsidR="00052BEA" w:rsidRPr="00052BEA" w14:paraId="2CEC21C5" w14:textId="77777777" w:rsidTr="00AB4128">
        <w:trPr>
          <w:cnfStyle w:val="000000100000" w:firstRow="0" w:lastRow="0" w:firstColumn="0" w:lastColumn="0" w:oddVBand="0" w:evenVBand="0" w:oddHBand="1" w:evenHBand="0" w:firstRowFirstColumn="0" w:firstRowLastColumn="0" w:lastRowFirstColumn="0" w:lastRowLastColumn="0"/>
          <w:trHeight w:val="360"/>
        </w:trPr>
        <w:tc>
          <w:tcPr>
            <w:tcW w:w="1022" w:type="pct"/>
            <w:vMerge/>
            <w:tcBorders>
              <w:left w:val="single" w:sz="4" w:space="0" w:color="auto"/>
            </w:tcBorders>
          </w:tcPr>
          <w:p w14:paraId="4D9DD631" w14:textId="77777777" w:rsidR="00052BEA" w:rsidRPr="00052BEA" w:rsidRDefault="00052BEA" w:rsidP="00052BEA">
            <w:pPr>
              <w:widowControl w:val="0"/>
              <w:pBdr>
                <w:top w:val="nil"/>
                <w:left w:val="nil"/>
                <w:bottom w:val="nil"/>
                <w:right w:val="nil"/>
                <w:between w:val="nil"/>
              </w:pBdr>
              <w:spacing w:line="276" w:lineRule="auto"/>
              <w:rPr>
                <w:rFonts w:asciiTheme="minorHAnsi" w:eastAsia="Times New Roman" w:hAnsiTheme="minorHAnsi" w:cstheme="minorHAnsi"/>
                <w:i/>
                <w:iCs/>
                <w:color w:val="000000"/>
                <w:sz w:val="21"/>
                <w:szCs w:val="21"/>
              </w:rPr>
            </w:pPr>
          </w:p>
        </w:tc>
        <w:tc>
          <w:tcPr>
            <w:tcW w:w="1100" w:type="pct"/>
            <w:vMerge/>
          </w:tcPr>
          <w:p w14:paraId="3B2EF363" w14:textId="77777777" w:rsidR="00052BEA" w:rsidRPr="00052BEA" w:rsidRDefault="00052BEA" w:rsidP="00052BEA">
            <w:pPr>
              <w:widowControl w:val="0"/>
              <w:pBdr>
                <w:top w:val="nil"/>
                <w:left w:val="nil"/>
                <w:bottom w:val="nil"/>
                <w:right w:val="nil"/>
                <w:between w:val="nil"/>
              </w:pBdr>
              <w:spacing w:line="276" w:lineRule="auto"/>
              <w:rPr>
                <w:rFonts w:asciiTheme="minorHAnsi" w:eastAsia="Times New Roman" w:hAnsiTheme="minorHAnsi" w:cstheme="minorHAnsi"/>
                <w:i/>
                <w:iCs/>
                <w:color w:val="000000"/>
                <w:sz w:val="21"/>
                <w:szCs w:val="21"/>
              </w:rPr>
            </w:pPr>
          </w:p>
        </w:tc>
        <w:tc>
          <w:tcPr>
            <w:tcW w:w="864" w:type="pct"/>
          </w:tcPr>
          <w:p w14:paraId="133BF1C9" w14:textId="77777777" w:rsidR="00052BEA" w:rsidRPr="00052BEA" w:rsidRDefault="00052BEA" w:rsidP="00052BEA">
            <w:pPr>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Max</w:t>
            </w:r>
          </w:p>
        </w:tc>
        <w:tc>
          <w:tcPr>
            <w:tcW w:w="550" w:type="pct"/>
          </w:tcPr>
          <w:p w14:paraId="7DB7772B"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10</w:t>
            </w:r>
          </w:p>
        </w:tc>
        <w:tc>
          <w:tcPr>
            <w:tcW w:w="472" w:type="pct"/>
          </w:tcPr>
          <w:p w14:paraId="0263B3F2"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0</w:t>
            </w:r>
          </w:p>
        </w:tc>
        <w:tc>
          <w:tcPr>
            <w:tcW w:w="550" w:type="pct"/>
          </w:tcPr>
          <w:p w14:paraId="45FB0030"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0</w:t>
            </w:r>
          </w:p>
        </w:tc>
        <w:tc>
          <w:tcPr>
            <w:tcW w:w="442" w:type="pct"/>
            <w:tcBorders>
              <w:right w:val="single" w:sz="4" w:space="0" w:color="auto"/>
            </w:tcBorders>
          </w:tcPr>
          <w:p w14:paraId="494310E6"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0</w:t>
            </w:r>
          </w:p>
        </w:tc>
      </w:tr>
      <w:tr w:rsidR="00052BEA" w:rsidRPr="00052BEA" w14:paraId="7A9D67A0" w14:textId="77777777" w:rsidTr="00AB4128">
        <w:trPr>
          <w:trHeight w:val="360"/>
        </w:trPr>
        <w:tc>
          <w:tcPr>
            <w:tcW w:w="5000" w:type="pct"/>
            <w:gridSpan w:val="7"/>
            <w:tcBorders>
              <w:left w:val="single" w:sz="4" w:space="0" w:color="auto"/>
              <w:right w:val="single" w:sz="4" w:space="0" w:color="auto"/>
            </w:tcBorders>
          </w:tcPr>
          <w:p w14:paraId="79D850B7" w14:textId="77777777" w:rsidR="00052BEA" w:rsidRPr="00052BEA" w:rsidRDefault="00052BEA" w:rsidP="00052BEA">
            <w:pPr>
              <w:jc w:val="center"/>
              <w:rPr>
                <w:rFonts w:asciiTheme="minorHAnsi" w:eastAsia="Times New Roman" w:hAnsiTheme="minorHAnsi" w:cstheme="minorHAnsi"/>
                <w:i/>
                <w:iCs/>
                <w:color w:val="000000"/>
                <w:sz w:val="21"/>
                <w:szCs w:val="21"/>
                <w:vertAlign w:val="superscript"/>
              </w:rPr>
            </w:pPr>
            <w:r w:rsidRPr="00052BEA">
              <w:rPr>
                <w:rFonts w:asciiTheme="minorHAnsi" w:eastAsia="Times New Roman" w:hAnsiTheme="minorHAnsi" w:cstheme="minorHAnsi"/>
                <w:i/>
                <w:iCs/>
                <w:color w:val="000000"/>
                <w:sz w:val="21"/>
                <w:szCs w:val="21"/>
              </w:rPr>
              <w:t>p</w:t>
            </w:r>
            <w:r w:rsidRPr="00052BEA">
              <w:rPr>
                <w:rFonts w:ascii="Calibri" w:eastAsia="Times New Roman" w:hAnsi="Calibri" w:cs="Calibri"/>
                <w:i/>
                <w:iCs/>
                <w:color w:val="000000"/>
                <w:sz w:val="21"/>
                <w:szCs w:val="21"/>
                <w:u w:val="single"/>
              </w:rPr>
              <w:t>&lt;</w:t>
            </w:r>
            <w:r w:rsidRPr="00052BEA">
              <w:rPr>
                <w:rFonts w:asciiTheme="minorHAnsi" w:eastAsia="Times New Roman" w:hAnsiTheme="minorHAnsi" w:cstheme="minorHAnsi"/>
                <w:i/>
                <w:iCs/>
                <w:color w:val="000000"/>
                <w:sz w:val="21"/>
                <w:szCs w:val="21"/>
              </w:rPr>
              <w:t>.001</w:t>
            </w:r>
          </w:p>
        </w:tc>
      </w:tr>
      <w:tr w:rsidR="00052BEA" w:rsidRPr="00052BEA" w14:paraId="2976C67A" w14:textId="77777777" w:rsidTr="00AB4128">
        <w:trPr>
          <w:cnfStyle w:val="000000100000" w:firstRow="0" w:lastRow="0" w:firstColumn="0" w:lastColumn="0" w:oddVBand="0" w:evenVBand="0" w:oddHBand="1" w:evenHBand="0" w:firstRowFirstColumn="0" w:firstRowLastColumn="0" w:lastRowFirstColumn="0" w:lastRowLastColumn="0"/>
          <w:trHeight w:val="360"/>
        </w:trPr>
        <w:tc>
          <w:tcPr>
            <w:tcW w:w="1022" w:type="pct"/>
            <w:vMerge w:val="restart"/>
            <w:tcBorders>
              <w:left w:val="single" w:sz="4" w:space="0" w:color="auto"/>
            </w:tcBorders>
          </w:tcPr>
          <w:p w14:paraId="039D5BBE" w14:textId="77777777" w:rsidR="00052BEA" w:rsidRPr="00052BEA" w:rsidRDefault="00052BEA" w:rsidP="00052BEA">
            <w:pPr>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Pulse (beats per minute)</w:t>
            </w:r>
          </w:p>
        </w:tc>
        <w:tc>
          <w:tcPr>
            <w:tcW w:w="1964" w:type="pct"/>
            <w:gridSpan w:val="2"/>
          </w:tcPr>
          <w:p w14:paraId="46D529D1" w14:textId="77777777" w:rsidR="00052BEA" w:rsidRPr="00052BEA" w:rsidRDefault="00052BEA" w:rsidP="00052BEA">
            <w:pPr>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N</w:t>
            </w:r>
          </w:p>
        </w:tc>
        <w:tc>
          <w:tcPr>
            <w:tcW w:w="550" w:type="pct"/>
          </w:tcPr>
          <w:p w14:paraId="7AB20DB1"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19</w:t>
            </w:r>
          </w:p>
        </w:tc>
        <w:tc>
          <w:tcPr>
            <w:tcW w:w="472" w:type="pct"/>
          </w:tcPr>
          <w:p w14:paraId="1BC4262E"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23</w:t>
            </w:r>
          </w:p>
        </w:tc>
        <w:tc>
          <w:tcPr>
            <w:tcW w:w="550" w:type="pct"/>
          </w:tcPr>
          <w:p w14:paraId="4EF97552"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13</w:t>
            </w:r>
          </w:p>
        </w:tc>
        <w:tc>
          <w:tcPr>
            <w:tcW w:w="442" w:type="pct"/>
            <w:tcBorders>
              <w:right w:val="single" w:sz="4" w:space="0" w:color="auto"/>
            </w:tcBorders>
          </w:tcPr>
          <w:p w14:paraId="5316B6FC"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18</w:t>
            </w:r>
          </w:p>
        </w:tc>
      </w:tr>
      <w:tr w:rsidR="00052BEA" w:rsidRPr="00052BEA" w14:paraId="5616D1E3" w14:textId="77777777" w:rsidTr="00AB4128">
        <w:trPr>
          <w:trHeight w:val="360"/>
        </w:trPr>
        <w:tc>
          <w:tcPr>
            <w:tcW w:w="1022" w:type="pct"/>
            <w:vMerge/>
            <w:tcBorders>
              <w:left w:val="single" w:sz="4" w:space="0" w:color="auto"/>
            </w:tcBorders>
          </w:tcPr>
          <w:p w14:paraId="4CA9037F" w14:textId="77777777" w:rsidR="00052BEA" w:rsidRPr="00052BEA" w:rsidRDefault="00052BEA" w:rsidP="00052BEA">
            <w:pPr>
              <w:widowControl w:val="0"/>
              <w:pBdr>
                <w:top w:val="nil"/>
                <w:left w:val="nil"/>
                <w:bottom w:val="nil"/>
                <w:right w:val="nil"/>
                <w:between w:val="nil"/>
              </w:pBdr>
              <w:spacing w:line="276" w:lineRule="auto"/>
              <w:rPr>
                <w:rFonts w:asciiTheme="minorHAnsi" w:eastAsia="Times New Roman" w:hAnsiTheme="minorHAnsi" w:cstheme="minorHAnsi"/>
                <w:i/>
                <w:iCs/>
                <w:color w:val="000000"/>
                <w:sz w:val="21"/>
                <w:szCs w:val="21"/>
              </w:rPr>
            </w:pPr>
          </w:p>
        </w:tc>
        <w:tc>
          <w:tcPr>
            <w:tcW w:w="1964" w:type="pct"/>
            <w:gridSpan w:val="2"/>
          </w:tcPr>
          <w:p w14:paraId="0AF7FC6D" w14:textId="77777777" w:rsidR="00052BEA" w:rsidRPr="00052BEA" w:rsidRDefault="00052BEA" w:rsidP="00052BEA">
            <w:pPr>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Mean</w:t>
            </w:r>
          </w:p>
        </w:tc>
        <w:tc>
          <w:tcPr>
            <w:tcW w:w="550" w:type="pct"/>
          </w:tcPr>
          <w:p w14:paraId="669B9A8B"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77</w:t>
            </w:r>
          </w:p>
        </w:tc>
        <w:tc>
          <w:tcPr>
            <w:tcW w:w="472" w:type="pct"/>
          </w:tcPr>
          <w:p w14:paraId="7A84A221"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75</w:t>
            </w:r>
          </w:p>
        </w:tc>
        <w:tc>
          <w:tcPr>
            <w:tcW w:w="550" w:type="pct"/>
          </w:tcPr>
          <w:p w14:paraId="4D4CD1CF"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68</w:t>
            </w:r>
          </w:p>
        </w:tc>
        <w:tc>
          <w:tcPr>
            <w:tcW w:w="442" w:type="pct"/>
            <w:tcBorders>
              <w:right w:val="single" w:sz="4" w:space="0" w:color="auto"/>
            </w:tcBorders>
          </w:tcPr>
          <w:p w14:paraId="1719DBED"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73</w:t>
            </w:r>
          </w:p>
        </w:tc>
      </w:tr>
      <w:tr w:rsidR="00052BEA" w:rsidRPr="00052BEA" w14:paraId="0BD4D3DB" w14:textId="77777777" w:rsidTr="00AB4128">
        <w:trPr>
          <w:cnfStyle w:val="000000100000" w:firstRow="0" w:lastRow="0" w:firstColumn="0" w:lastColumn="0" w:oddVBand="0" w:evenVBand="0" w:oddHBand="1" w:evenHBand="0" w:firstRowFirstColumn="0" w:firstRowLastColumn="0" w:lastRowFirstColumn="0" w:lastRowLastColumn="0"/>
          <w:trHeight w:val="360"/>
        </w:trPr>
        <w:tc>
          <w:tcPr>
            <w:tcW w:w="1022" w:type="pct"/>
            <w:vMerge/>
            <w:tcBorders>
              <w:left w:val="single" w:sz="4" w:space="0" w:color="auto"/>
            </w:tcBorders>
          </w:tcPr>
          <w:p w14:paraId="447ED38C" w14:textId="77777777" w:rsidR="00052BEA" w:rsidRPr="00052BEA" w:rsidRDefault="00052BEA" w:rsidP="00052BEA">
            <w:pPr>
              <w:widowControl w:val="0"/>
              <w:pBdr>
                <w:top w:val="nil"/>
                <w:left w:val="nil"/>
                <w:bottom w:val="nil"/>
                <w:right w:val="nil"/>
                <w:between w:val="nil"/>
              </w:pBdr>
              <w:spacing w:line="276" w:lineRule="auto"/>
              <w:rPr>
                <w:rFonts w:asciiTheme="minorHAnsi" w:eastAsia="Times New Roman" w:hAnsiTheme="minorHAnsi" w:cstheme="minorHAnsi"/>
                <w:i/>
                <w:iCs/>
                <w:color w:val="000000"/>
                <w:sz w:val="21"/>
                <w:szCs w:val="21"/>
              </w:rPr>
            </w:pPr>
          </w:p>
        </w:tc>
        <w:tc>
          <w:tcPr>
            <w:tcW w:w="1964" w:type="pct"/>
            <w:gridSpan w:val="2"/>
          </w:tcPr>
          <w:p w14:paraId="508672C8" w14:textId="77777777" w:rsidR="00052BEA" w:rsidRPr="00052BEA" w:rsidRDefault="00052BEA" w:rsidP="00052BEA">
            <w:pPr>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Std. Deviation</w:t>
            </w:r>
          </w:p>
        </w:tc>
        <w:tc>
          <w:tcPr>
            <w:tcW w:w="550" w:type="pct"/>
          </w:tcPr>
          <w:p w14:paraId="50EE4317"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13</w:t>
            </w:r>
          </w:p>
        </w:tc>
        <w:tc>
          <w:tcPr>
            <w:tcW w:w="472" w:type="pct"/>
          </w:tcPr>
          <w:p w14:paraId="5F909A6D"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14</w:t>
            </w:r>
          </w:p>
        </w:tc>
        <w:tc>
          <w:tcPr>
            <w:tcW w:w="550" w:type="pct"/>
          </w:tcPr>
          <w:p w14:paraId="498135F7"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7</w:t>
            </w:r>
          </w:p>
        </w:tc>
        <w:tc>
          <w:tcPr>
            <w:tcW w:w="442" w:type="pct"/>
            <w:tcBorders>
              <w:right w:val="single" w:sz="4" w:space="0" w:color="auto"/>
            </w:tcBorders>
          </w:tcPr>
          <w:p w14:paraId="7D0033EC"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9</w:t>
            </w:r>
          </w:p>
        </w:tc>
      </w:tr>
      <w:tr w:rsidR="00052BEA" w:rsidRPr="00052BEA" w14:paraId="50A8C831" w14:textId="77777777" w:rsidTr="00AB4128">
        <w:trPr>
          <w:trHeight w:val="360"/>
        </w:trPr>
        <w:tc>
          <w:tcPr>
            <w:tcW w:w="1022" w:type="pct"/>
            <w:vMerge/>
            <w:tcBorders>
              <w:left w:val="single" w:sz="4" w:space="0" w:color="auto"/>
            </w:tcBorders>
          </w:tcPr>
          <w:p w14:paraId="7ED03A6B" w14:textId="77777777" w:rsidR="00052BEA" w:rsidRPr="00052BEA" w:rsidRDefault="00052BEA" w:rsidP="00052BEA">
            <w:pPr>
              <w:widowControl w:val="0"/>
              <w:pBdr>
                <w:top w:val="nil"/>
                <w:left w:val="nil"/>
                <w:bottom w:val="nil"/>
                <w:right w:val="nil"/>
                <w:between w:val="nil"/>
              </w:pBdr>
              <w:spacing w:line="276" w:lineRule="auto"/>
              <w:rPr>
                <w:rFonts w:asciiTheme="minorHAnsi" w:eastAsia="Times New Roman" w:hAnsiTheme="minorHAnsi" w:cstheme="minorHAnsi"/>
                <w:i/>
                <w:iCs/>
                <w:color w:val="000000"/>
                <w:sz w:val="21"/>
                <w:szCs w:val="21"/>
              </w:rPr>
            </w:pPr>
          </w:p>
        </w:tc>
        <w:tc>
          <w:tcPr>
            <w:tcW w:w="1100" w:type="pct"/>
            <w:vMerge w:val="restart"/>
          </w:tcPr>
          <w:p w14:paraId="155E0E1D" w14:textId="77777777" w:rsidR="00052BEA" w:rsidRPr="00052BEA" w:rsidRDefault="00052BEA" w:rsidP="00052BEA">
            <w:pPr>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95% Confidence Interval for Mean</w:t>
            </w:r>
          </w:p>
        </w:tc>
        <w:tc>
          <w:tcPr>
            <w:tcW w:w="864" w:type="pct"/>
          </w:tcPr>
          <w:p w14:paraId="54503019" w14:textId="77777777" w:rsidR="00052BEA" w:rsidRPr="00052BEA" w:rsidRDefault="00052BEA" w:rsidP="00052BEA">
            <w:pPr>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Lower Bound</w:t>
            </w:r>
          </w:p>
        </w:tc>
        <w:tc>
          <w:tcPr>
            <w:tcW w:w="550" w:type="pct"/>
          </w:tcPr>
          <w:p w14:paraId="23520673"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71</w:t>
            </w:r>
          </w:p>
        </w:tc>
        <w:tc>
          <w:tcPr>
            <w:tcW w:w="472" w:type="pct"/>
          </w:tcPr>
          <w:p w14:paraId="1CCE3BAD"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68</w:t>
            </w:r>
          </w:p>
        </w:tc>
        <w:tc>
          <w:tcPr>
            <w:tcW w:w="550" w:type="pct"/>
          </w:tcPr>
          <w:p w14:paraId="2ED423C8"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63</w:t>
            </w:r>
          </w:p>
        </w:tc>
        <w:tc>
          <w:tcPr>
            <w:tcW w:w="442" w:type="pct"/>
            <w:tcBorders>
              <w:right w:val="single" w:sz="4" w:space="0" w:color="auto"/>
            </w:tcBorders>
          </w:tcPr>
          <w:p w14:paraId="1B6D7185"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69</w:t>
            </w:r>
          </w:p>
        </w:tc>
      </w:tr>
      <w:tr w:rsidR="00052BEA" w:rsidRPr="00052BEA" w14:paraId="1833478F" w14:textId="77777777" w:rsidTr="00AB4128">
        <w:trPr>
          <w:cnfStyle w:val="000000100000" w:firstRow="0" w:lastRow="0" w:firstColumn="0" w:lastColumn="0" w:oddVBand="0" w:evenVBand="0" w:oddHBand="1" w:evenHBand="0" w:firstRowFirstColumn="0" w:firstRowLastColumn="0" w:lastRowFirstColumn="0" w:lastRowLastColumn="0"/>
          <w:trHeight w:val="360"/>
        </w:trPr>
        <w:tc>
          <w:tcPr>
            <w:tcW w:w="1022" w:type="pct"/>
            <w:vMerge/>
            <w:tcBorders>
              <w:left w:val="single" w:sz="4" w:space="0" w:color="auto"/>
            </w:tcBorders>
          </w:tcPr>
          <w:p w14:paraId="7614E793" w14:textId="77777777" w:rsidR="00052BEA" w:rsidRPr="00052BEA" w:rsidRDefault="00052BEA" w:rsidP="00052BEA">
            <w:pPr>
              <w:widowControl w:val="0"/>
              <w:pBdr>
                <w:top w:val="nil"/>
                <w:left w:val="nil"/>
                <w:bottom w:val="nil"/>
                <w:right w:val="nil"/>
                <w:between w:val="nil"/>
              </w:pBdr>
              <w:spacing w:line="276" w:lineRule="auto"/>
              <w:rPr>
                <w:rFonts w:asciiTheme="minorHAnsi" w:eastAsia="Times New Roman" w:hAnsiTheme="minorHAnsi" w:cstheme="minorHAnsi"/>
                <w:i/>
                <w:iCs/>
                <w:color w:val="000000"/>
                <w:sz w:val="21"/>
                <w:szCs w:val="21"/>
              </w:rPr>
            </w:pPr>
          </w:p>
        </w:tc>
        <w:tc>
          <w:tcPr>
            <w:tcW w:w="1100" w:type="pct"/>
            <w:vMerge/>
          </w:tcPr>
          <w:p w14:paraId="1B04E233" w14:textId="77777777" w:rsidR="00052BEA" w:rsidRPr="00052BEA" w:rsidRDefault="00052BEA" w:rsidP="00052BEA">
            <w:pPr>
              <w:widowControl w:val="0"/>
              <w:pBdr>
                <w:top w:val="nil"/>
                <w:left w:val="nil"/>
                <w:bottom w:val="nil"/>
                <w:right w:val="nil"/>
                <w:between w:val="nil"/>
              </w:pBdr>
              <w:spacing w:line="276" w:lineRule="auto"/>
              <w:rPr>
                <w:rFonts w:asciiTheme="minorHAnsi" w:eastAsia="Times New Roman" w:hAnsiTheme="minorHAnsi" w:cstheme="minorHAnsi"/>
                <w:i/>
                <w:iCs/>
                <w:color w:val="000000"/>
                <w:sz w:val="21"/>
                <w:szCs w:val="21"/>
              </w:rPr>
            </w:pPr>
          </w:p>
        </w:tc>
        <w:tc>
          <w:tcPr>
            <w:tcW w:w="864" w:type="pct"/>
          </w:tcPr>
          <w:p w14:paraId="2566724E" w14:textId="77777777" w:rsidR="00052BEA" w:rsidRPr="00052BEA" w:rsidRDefault="00052BEA" w:rsidP="00052BEA">
            <w:pPr>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Upper Bound</w:t>
            </w:r>
          </w:p>
        </w:tc>
        <w:tc>
          <w:tcPr>
            <w:tcW w:w="550" w:type="pct"/>
          </w:tcPr>
          <w:p w14:paraId="663BE184"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83</w:t>
            </w:r>
          </w:p>
        </w:tc>
        <w:tc>
          <w:tcPr>
            <w:tcW w:w="472" w:type="pct"/>
          </w:tcPr>
          <w:p w14:paraId="22477439"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81</w:t>
            </w:r>
          </w:p>
        </w:tc>
        <w:tc>
          <w:tcPr>
            <w:tcW w:w="550" w:type="pct"/>
          </w:tcPr>
          <w:p w14:paraId="2A427E6F"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72</w:t>
            </w:r>
          </w:p>
        </w:tc>
        <w:tc>
          <w:tcPr>
            <w:tcW w:w="442" w:type="pct"/>
            <w:tcBorders>
              <w:right w:val="single" w:sz="4" w:space="0" w:color="auto"/>
            </w:tcBorders>
          </w:tcPr>
          <w:p w14:paraId="53F925FD"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78</w:t>
            </w:r>
          </w:p>
        </w:tc>
      </w:tr>
      <w:tr w:rsidR="00052BEA" w:rsidRPr="00052BEA" w14:paraId="5E448A2E" w14:textId="77777777" w:rsidTr="00AB4128">
        <w:trPr>
          <w:trHeight w:val="360"/>
        </w:trPr>
        <w:tc>
          <w:tcPr>
            <w:tcW w:w="5000" w:type="pct"/>
            <w:gridSpan w:val="7"/>
            <w:tcBorders>
              <w:left w:val="single" w:sz="4" w:space="0" w:color="auto"/>
              <w:right w:val="single" w:sz="4" w:space="0" w:color="auto"/>
            </w:tcBorders>
          </w:tcPr>
          <w:p w14:paraId="024CFAF7" w14:textId="77777777" w:rsidR="00052BEA" w:rsidRPr="00052BEA" w:rsidRDefault="00052BEA" w:rsidP="00052BEA">
            <w:pPr>
              <w:jc w:val="center"/>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p=.194</w:t>
            </w:r>
          </w:p>
        </w:tc>
      </w:tr>
      <w:tr w:rsidR="00052BEA" w:rsidRPr="00052BEA" w14:paraId="641E17CA" w14:textId="77777777" w:rsidTr="00AB4128">
        <w:trPr>
          <w:cnfStyle w:val="000000100000" w:firstRow="0" w:lastRow="0" w:firstColumn="0" w:lastColumn="0" w:oddVBand="0" w:evenVBand="0" w:oddHBand="1" w:evenHBand="0" w:firstRowFirstColumn="0" w:firstRowLastColumn="0" w:lastRowFirstColumn="0" w:lastRowLastColumn="0"/>
          <w:trHeight w:val="360"/>
        </w:trPr>
        <w:tc>
          <w:tcPr>
            <w:tcW w:w="1022" w:type="pct"/>
            <w:vMerge w:val="restart"/>
            <w:tcBorders>
              <w:left w:val="single" w:sz="4" w:space="0" w:color="auto"/>
            </w:tcBorders>
          </w:tcPr>
          <w:p w14:paraId="0675E640" w14:textId="77777777" w:rsidR="00052BEA" w:rsidRPr="00052BEA" w:rsidRDefault="00052BEA" w:rsidP="00052BEA">
            <w:pPr>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Blood pressure systolic (mmHg)</w:t>
            </w:r>
          </w:p>
        </w:tc>
        <w:tc>
          <w:tcPr>
            <w:tcW w:w="1964" w:type="pct"/>
            <w:gridSpan w:val="2"/>
          </w:tcPr>
          <w:p w14:paraId="740EE011" w14:textId="77777777" w:rsidR="00052BEA" w:rsidRPr="00052BEA" w:rsidRDefault="00052BEA" w:rsidP="00052BEA">
            <w:pPr>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N</w:t>
            </w:r>
          </w:p>
        </w:tc>
        <w:tc>
          <w:tcPr>
            <w:tcW w:w="550" w:type="pct"/>
          </w:tcPr>
          <w:p w14:paraId="79B6DC91"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19</w:t>
            </w:r>
          </w:p>
        </w:tc>
        <w:tc>
          <w:tcPr>
            <w:tcW w:w="472" w:type="pct"/>
          </w:tcPr>
          <w:p w14:paraId="77389232"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23</w:t>
            </w:r>
          </w:p>
        </w:tc>
        <w:tc>
          <w:tcPr>
            <w:tcW w:w="550" w:type="pct"/>
          </w:tcPr>
          <w:p w14:paraId="504D7B2E"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13</w:t>
            </w:r>
          </w:p>
        </w:tc>
        <w:tc>
          <w:tcPr>
            <w:tcW w:w="442" w:type="pct"/>
            <w:tcBorders>
              <w:right w:val="single" w:sz="4" w:space="0" w:color="auto"/>
            </w:tcBorders>
          </w:tcPr>
          <w:p w14:paraId="477B66A8"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19</w:t>
            </w:r>
          </w:p>
        </w:tc>
      </w:tr>
      <w:tr w:rsidR="00052BEA" w:rsidRPr="00052BEA" w14:paraId="4B4BC06D" w14:textId="77777777" w:rsidTr="00AB4128">
        <w:trPr>
          <w:trHeight w:val="360"/>
        </w:trPr>
        <w:tc>
          <w:tcPr>
            <w:tcW w:w="1022" w:type="pct"/>
            <w:vMerge/>
            <w:tcBorders>
              <w:left w:val="single" w:sz="4" w:space="0" w:color="auto"/>
            </w:tcBorders>
          </w:tcPr>
          <w:p w14:paraId="71839BA3" w14:textId="77777777" w:rsidR="00052BEA" w:rsidRPr="00052BEA" w:rsidRDefault="00052BEA" w:rsidP="00052BEA">
            <w:pPr>
              <w:widowControl w:val="0"/>
              <w:pBdr>
                <w:top w:val="nil"/>
                <w:left w:val="nil"/>
                <w:bottom w:val="nil"/>
                <w:right w:val="nil"/>
                <w:between w:val="nil"/>
              </w:pBdr>
              <w:spacing w:line="276" w:lineRule="auto"/>
              <w:rPr>
                <w:rFonts w:asciiTheme="minorHAnsi" w:eastAsia="Times New Roman" w:hAnsiTheme="minorHAnsi" w:cstheme="minorHAnsi"/>
                <w:i/>
                <w:iCs/>
                <w:color w:val="000000"/>
                <w:sz w:val="21"/>
                <w:szCs w:val="21"/>
              </w:rPr>
            </w:pPr>
          </w:p>
        </w:tc>
        <w:tc>
          <w:tcPr>
            <w:tcW w:w="1964" w:type="pct"/>
            <w:gridSpan w:val="2"/>
          </w:tcPr>
          <w:p w14:paraId="60F6B4B3" w14:textId="77777777" w:rsidR="00052BEA" w:rsidRPr="00052BEA" w:rsidRDefault="00052BEA" w:rsidP="00052BEA">
            <w:pPr>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Mean</w:t>
            </w:r>
          </w:p>
        </w:tc>
        <w:tc>
          <w:tcPr>
            <w:tcW w:w="550" w:type="pct"/>
          </w:tcPr>
          <w:p w14:paraId="737F13DC"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126</w:t>
            </w:r>
          </w:p>
        </w:tc>
        <w:tc>
          <w:tcPr>
            <w:tcW w:w="472" w:type="pct"/>
          </w:tcPr>
          <w:p w14:paraId="6D29E125"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137</w:t>
            </w:r>
          </w:p>
        </w:tc>
        <w:tc>
          <w:tcPr>
            <w:tcW w:w="550" w:type="pct"/>
          </w:tcPr>
          <w:p w14:paraId="7AAF3CF4"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138</w:t>
            </w:r>
          </w:p>
        </w:tc>
        <w:tc>
          <w:tcPr>
            <w:tcW w:w="442" w:type="pct"/>
            <w:tcBorders>
              <w:right w:val="single" w:sz="4" w:space="0" w:color="auto"/>
            </w:tcBorders>
          </w:tcPr>
          <w:p w14:paraId="2FC247DD"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132</w:t>
            </w:r>
          </w:p>
        </w:tc>
      </w:tr>
      <w:tr w:rsidR="00052BEA" w:rsidRPr="00052BEA" w14:paraId="0A29BDCD" w14:textId="77777777" w:rsidTr="00AB4128">
        <w:trPr>
          <w:cnfStyle w:val="000000100000" w:firstRow="0" w:lastRow="0" w:firstColumn="0" w:lastColumn="0" w:oddVBand="0" w:evenVBand="0" w:oddHBand="1" w:evenHBand="0" w:firstRowFirstColumn="0" w:firstRowLastColumn="0" w:lastRowFirstColumn="0" w:lastRowLastColumn="0"/>
          <w:trHeight w:val="360"/>
        </w:trPr>
        <w:tc>
          <w:tcPr>
            <w:tcW w:w="1022" w:type="pct"/>
            <w:vMerge/>
            <w:tcBorders>
              <w:left w:val="single" w:sz="4" w:space="0" w:color="auto"/>
            </w:tcBorders>
          </w:tcPr>
          <w:p w14:paraId="3421F8F4" w14:textId="77777777" w:rsidR="00052BEA" w:rsidRPr="00052BEA" w:rsidRDefault="00052BEA" w:rsidP="00052BEA">
            <w:pPr>
              <w:widowControl w:val="0"/>
              <w:pBdr>
                <w:top w:val="nil"/>
                <w:left w:val="nil"/>
                <w:bottom w:val="nil"/>
                <w:right w:val="nil"/>
                <w:between w:val="nil"/>
              </w:pBdr>
              <w:spacing w:line="276" w:lineRule="auto"/>
              <w:rPr>
                <w:rFonts w:asciiTheme="minorHAnsi" w:eastAsia="Times New Roman" w:hAnsiTheme="minorHAnsi" w:cstheme="minorHAnsi"/>
                <w:i/>
                <w:iCs/>
                <w:color w:val="000000"/>
                <w:sz w:val="21"/>
                <w:szCs w:val="21"/>
              </w:rPr>
            </w:pPr>
          </w:p>
        </w:tc>
        <w:tc>
          <w:tcPr>
            <w:tcW w:w="1964" w:type="pct"/>
            <w:gridSpan w:val="2"/>
          </w:tcPr>
          <w:p w14:paraId="16587CF0" w14:textId="77777777" w:rsidR="00052BEA" w:rsidRPr="00052BEA" w:rsidRDefault="00052BEA" w:rsidP="00052BEA">
            <w:pPr>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Std. Deviation</w:t>
            </w:r>
          </w:p>
        </w:tc>
        <w:tc>
          <w:tcPr>
            <w:tcW w:w="550" w:type="pct"/>
          </w:tcPr>
          <w:p w14:paraId="5BBDC3ED"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17</w:t>
            </w:r>
          </w:p>
        </w:tc>
        <w:tc>
          <w:tcPr>
            <w:tcW w:w="472" w:type="pct"/>
          </w:tcPr>
          <w:p w14:paraId="1A12328B"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16</w:t>
            </w:r>
          </w:p>
        </w:tc>
        <w:tc>
          <w:tcPr>
            <w:tcW w:w="550" w:type="pct"/>
          </w:tcPr>
          <w:p w14:paraId="4729B0FF"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24</w:t>
            </w:r>
          </w:p>
        </w:tc>
        <w:tc>
          <w:tcPr>
            <w:tcW w:w="442" w:type="pct"/>
            <w:tcBorders>
              <w:right w:val="single" w:sz="4" w:space="0" w:color="auto"/>
            </w:tcBorders>
          </w:tcPr>
          <w:p w14:paraId="257810D0"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15</w:t>
            </w:r>
          </w:p>
        </w:tc>
      </w:tr>
      <w:tr w:rsidR="00052BEA" w:rsidRPr="00052BEA" w14:paraId="5EB5A5B2" w14:textId="77777777" w:rsidTr="00AB4128">
        <w:trPr>
          <w:trHeight w:val="360"/>
        </w:trPr>
        <w:tc>
          <w:tcPr>
            <w:tcW w:w="1022" w:type="pct"/>
            <w:vMerge/>
            <w:tcBorders>
              <w:left w:val="single" w:sz="4" w:space="0" w:color="auto"/>
            </w:tcBorders>
          </w:tcPr>
          <w:p w14:paraId="7E632AD3" w14:textId="77777777" w:rsidR="00052BEA" w:rsidRPr="00052BEA" w:rsidRDefault="00052BEA" w:rsidP="00052BEA">
            <w:pPr>
              <w:widowControl w:val="0"/>
              <w:pBdr>
                <w:top w:val="nil"/>
                <w:left w:val="nil"/>
                <w:bottom w:val="nil"/>
                <w:right w:val="nil"/>
                <w:between w:val="nil"/>
              </w:pBdr>
              <w:spacing w:line="276" w:lineRule="auto"/>
              <w:rPr>
                <w:rFonts w:asciiTheme="minorHAnsi" w:eastAsia="Times New Roman" w:hAnsiTheme="minorHAnsi" w:cstheme="minorHAnsi"/>
                <w:i/>
                <w:iCs/>
                <w:color w:val="000000"/>
                <w:sz w:val="21"/>
                <w:szCs w:val="21"/>
              </w:rPr>
            </w:pPr>
          </w:p>
        </w:tc>
        <w:tc>
          <w:tcPr>
            <w:tcW w:w="1100" w:type="pct"/>
            <w:vMerge w:val="restart"/>
          </w:tcPr>
          <w:p w14:paraId="3D6EDA30" w14:textId="77777777" w:rsidR="00052BEA" w:rsidRPr="00052BEA" w:rsidRDefault="00052BEA" w:rsidP="00052BEA">
            <w:pPr>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95% Confidence Interval for Mean</w:t>
            </w:r>
          </w:p>
        </w:tc>
        <w:tc>
          <w:tcPr>
            <w:tcW w:w="864" w:type="pct"/>
          </w:tcPr>
          <w:p w14:paraId="60B52EE3" w14:textId="77777777" w:rsidR="00052BEA" w:rsidRPr="00052BEA" w:rsidRDefault="00052BEA" w:rsidP="00052BEA">
            <w:pPr>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Lower Bound</w:t>
            </w:r>
          </w:p>
        </w:tc>
        <w:tc>
          <w:tcPr>
            <w:tcW w:w="550" w:type="pct"/>
          </w:tcPr>
          <w:p w14:paraId="21D4B74C"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117</w:t>
            </w:r>
          </w:p>
        </w:tc>
        <w:tc>
          <w:tcPr>
            <w:tcW w:w="472" w:type="pct"/>
          </w:tcPr>
          <w:p w14:paraId="7888A99C"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130</w:t>
            </w:r>
          </w:p>
        </w:tc>
        <w:tc>
          <w:tcPr>
            <w:tcW w:w="550" w:type="pct"/>
          </w:tcPr>
          <w:p w14:paraId="2DDFBF0F"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123</w:t>
            </w:r>
          </w:p>
        </w:tc>
        <w:tc>
          <w:tcPr>
            <w:tcW w:w="442" w:type="pct"/>
            <w:tcBorders>
              <w:right w:val="single" w:sz="4" w:space="0" w:color="auto"/>
            </w:tcBorders>
          </w:tcPr>
          <w:p w14:paraId="7BB15FD0"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125</w:t>
            </w:r>
          </w:p>
        </w:tc>
      </w:tr>
      <w:tr w:rsidR="00052BEA" w:rsidRPr="00052BEA" w14:paraId="718B272E" w14:textId="77777777" w:rsidTr="00034A83">
        <w:trPr>
          <w:cnfStyle w:val="000000100000" w:firstRow="0" w:lastRow="0" w:firstColumn="0" w:lastColumn="0" w:oddVBand="0" w:evenVBand="0" w:oddHBand="1" w:evenHBand="0" w:firstRowFirstColumn="0" w:firstRowLastColumn="0" w:lastRowFirstColumn="0" w:lastRowLastColumn="0"/>
          <w:trHeight w:val="360"/>
        </w:trPr>
        <w:tc>
          <w:tcPr>
            <w:tcW w:w="1022" w:type="pct"/>
            <w:vMerge/>
            <w:tcBorders>
              <w:left w:val="single" w:sz="4" w:space="0" w:color="auto"/>
              <w:bottom w:val="single" w:sz="2" w:space="0" w:color="F4B083" w:themeColor="accent2" w:themeTint="99"/>
            </w:tcBorders>
          </w:tcPr>
          <w:p w14:paraId="79A296AC" w14:textId="77777777" w:rsidR="00052BEA" w:rsidRPr="00052BEA" w:rsidRDefault="00052BEA" w:rsidP="00052BEA">
            <w:pPr>
              <w:widowControl w:val="0"/>
              <w:pBdr>
                <w:top w:val="nil"/>
                <w:left w:val="nil"/>
                <w:bottom w:val="nil"/>
                <w:right w:val="nil"/>
                <w:between w:val="nil"/>
              </w:pBdr>
              <w:spacing w:line="276" w:lineRule="auto"/>
              <w:rPr>
                <w:rFonts w:asciiTheme="minorHAnsi" w:eastAsia="Times New Roman" w:hAnsiTheme="minorHAnsi" w:cstheme="minorHAnsi"/>
                <w:i/>
                <w:iCs/>
                <w:color w:val="000000"/>
                <w:sz w:val="21"/>
                <w:szCs w:val="21"/>
              </w:rPr>
            </w:pPr>
          </w:p>
        </w:tc>
        <w:tc>
          <w:tcPr>
            <w:tcW w:w="1100" w:type="pct"/>
            <w:vMerge/>
            <w:tcBorders>
              <w:bottom w:val="single" w:sz="2" w:space="0" w:color="F4B083" w:themeColor="accent2" w:themeTint="99"/>
            </w:tcBorders>
          </w:tcPr>
          <w:p w14:paraId="6D7B2BBC" w14:textId="77777777" w:rsidR="00052BEA" w:rsidRPr="00052BEA" w:rsidRDefault="00052BEA" w:rsidP="00052BEA">
            <w:pPr>
              <w:widowControl w:val="0"/>
              <w:pBdr>
                <w:top w:val="nil"/>
                <w:left w:val="nil"/>
                <w:bottom w:val="nil"/>
                <w:right w:val="nil"/>
                <w:between w:val="nil"/>
              </w:pBdr>
              <w:spacing w:line="276" w:lineRule="auto"/>
              <w:rPr>
                <w:rFonts w:asciiTheme="minorHAnsi" w:eastAsia="Times New Roman" w:hAnsiTheme="minorHAnsi" w:cstheme="minorHAnsi"/>
                <w:i/>
                <w:iCs/>
                <w:color w:val="000000"/>
                <w:sz w:val="21"/>
                <w:szCs w:val="21"/>
              </w:rPr>
            </w:pPr>
          </w:p>
        </w:tc>
        <w:tc>
          <w:tcPr>
            <w:tcW w:w="864" w:type="pct"/>
            <w:tcBorders>
              <w:bottom w:val="single" w:sz="2" w:space="0" w:color="F4B083" w:themeColor="accent2" w:themeTint="99"/>
            </w:tcBorders>
          </w:tcPr>
          <w:p w14:paraId="2949B0D4" w14:textId="77777777" w:rsidR="00052BEA" w:rsidRPr="00052BEA" w:rsidRDefault="00052BEA" w:rsidP="00052BEA">
            <w:pPr>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Upper Bound</w:t>
            </w:r>
          </w:p>
        </w:tc>
        <w:tc>
          <w:tcPr>
            <w:tcW w:w="550" w:type="pct"/>
            <w:tcBorders>
              <w:bottom w:val="single" w:sz="2" w:space="0" w:color="F4B083" w:themeColor="accent2" w:themeTint="99"/>
            </w:tcBorders>
          </w:tcPr>
          <w:p w14:paraId="0B116D4A"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134</w:t>
            </w:r>
          </w:p>
        </w:tc>
        <w:tc>
          <w:tcPr>
            <w:tcW w:w="472" w:type="pct"/>
            <w:tcBorders>
              <w:bottom w:val="single" w:sz="2" w:space="0" w:color="F4B083" w:themeColor="accent2" w:themeTint="99"/>
            </w:tcBorders>
          </w:tcPr>
          <w:p w14:paraId="369A732B"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144</w:t>
            </w:r>
          </w:p>
        </w:tc>
        <w:tc>
          <w:tcPr>
            <w:tcW w:w="550" w:type="pct"/>
            <w:tcBorders>
              <w:bottom w:val="single" w:sz="2" w:space="0" w:color="F4B083" w:themeColor="accent2" w:themeTint="99"/>
            </w:tcBorders>
          </w:tcPr>
          <w:p w14:paraId="5E4116CE"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152</w:t>
            </w:r>
          </w:p>
        </w:tc>
        <w:tc>
          <w:tcPr>
            <w:tcW w:w="442" w:type="pct"/>
            <w:tcBorders>
              <w:bottom w:val="single" w:sz="2" w:space="0" w:color="F4B083" w:themeColor="accent2" w:themeTint="99"/>
              <w:right w:val="single" w:sz="4" w:space="0" w:color="auto"/>
            </w:tcBorders>
          </w:tcPr>
          <w:p w14:paraId="0214C30B"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139</w:t>
            </w:r>
          </w:p>
        </w:tc>
      </w:tr>
      <w:tr w:rsidR="00052BEA" w:rsidRPr="00052BEA" w14:paraId="5C12BD83" w14:textId="77777777" w:rsidTr="00034A83">
        <w:trPr>
          <w:trHeight w:val="360"/>
        </w:trPr>
        <w:tc>
          <w:tcPr>
            <w:tcW w:w="5000" w:type="pct"/>
            <w:gridSpan w:val="7"/>
            <w:tcBorders>
              <w:left w:val="single" w:sz="4" w:space="0" w:color="auto"/>
              <w:bottom w:val="single" w:sz="2" w:space="0" w:color="000000" w:themeColor="text1"/>
              <w:right w:val="single" w:sz="4" w:space="0" w:color="auto"/>
            </w:tcBorders>
          </w:tcPr>
          <w:p w14:paraId="026AF3AC" w14:textId="77777777" w:rsidR="00052BEA" w:rsidRPr="00052BEA" w:rsidRDefault="00052BEA" w:rsidP="00052BEA">
            <w:pPr>
              <w:jc w:val="center"/>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p=.136</w:t>
            </w:r>
          </w:p>
        </w:tc>
      </w:tr>
      <w:tr w:rsidR="00052BEA" w:rsidRPr="00052BEA" w14:paraId="6B2365AD" w14:textId="77777777" w:rsidTr="00AB4128">
        <w:trPr>
          <w:cnfStyle w:val="000000100000" w:firstRow="0" w:lastRow="0" w:firstColumn="0" w:lastColumn="0" w:oddVBand="0" w:evenVBand="0" w:oddHBand="1" w:evenHBand="0" w:firstRowFirstColumn="0" w:firstRowLastColumn="0" w:lastRowFirstColumn="0" w:lastRowLastColumn="0"/>
          <w:trHeight w:val="360"/>
        </w:trPr>
        <w:tc>
          <w:tcPr>
            <w:tcW w:w="1022" w:type="pct"/>
            <w:vMerge w:val="restart"/>
            <w:tcBorders>
              <w:left w:val="single" w:sz="4" w:space="0" w:color="auto"/>
            </w:tcBorders>
          </w:tcPr>
          <w:p w14:paraId="55FD34FD" w14:textId="77777777" w:rsidR="00052BEA" w:rsidRPr="00052BEA" w:rsidRDefault="00052BEA" w:rsidP="00052BEA">
            <w:pPr>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 xml:space="preserve">Blood </w:t>
            </w:r>
            <w:r w:rsidRPr="00052BEA">
              <w:rPr>
                <w:rFonts w:asciiTheme="minorHAnsi" w:eastAsia="Arial" w:hAnsiTheme="minorHAnsi" w:cstheme="minorHAnsi"/>
                <w:i/>
                <w:iCs/>
                <w:color w:val="000000"/>
                <w:sz w:val="21"/>
                <w:szCs w:val="21"/>
              </w:rPr>
              <w:t xml:space="preserve">pressure </w:t>
            </w:r>
            <w:r w:rsidRPr="00052BEA">
              <w:rPr>
                <w:rFonts w:asciiTheme="minorHAnsi" w:eastAsia="Times New Roman" w:hAnsiTheme="minorHAnsi" w:cstheme="minorHAnsi"/>
                <w:i/>
                <w:iCs/>
                <w:color w:val="000000"/>
                <w:sz w:val="21"/>
                <w:szCs w:val="21"/>
              </w:rPr>
              <w:t>diastolic (mmHg)</w:t>
            </w:r>
          </w:p>
        </w:tc>
        <w:tc>
          <w:tcPr>
            <w:tcW w:w="1964" w:type="pct"/>
            <w:gridSpan w:val="2"/>
          </w:tcPr>
          <w:p w14:paraId="6DE6BC0D" w14:textId="77777777" w:rsidR="00052BEA" w:rsidRPr="00052BEA" w:rsidRDefault="00052BEA" w:rsidP="00052BEA">
            <w:pPr>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N</w:t>
            </w:r>
          </w:p>
        </w:tc>
        <w:tc>
          <w:tcPr>
            <w:tcW w:w="550" w:type="pct"/>
          </w:tcPr>
          <w:p w14:paraId="47C93F60"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19</w:t>
            </w:r>
          </w:p>
        </w:tc>
        <w:tc>
          <w:tcPr>
            <w:tcW w:w="472" w:type="pct"/>
          </w:tcPr>
          <w:p w14:paraId="0E911B12"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23</w:t>
            </w:r>
          </w:p>
        </w:tc>
        <w:tc>
          <w:tcPr>
            <w:tcW w:w="550" w:type="pct"/>
          </w:tcPr>
          <w:p w14:paraId="6FC8492B"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13</w:t>
            </w:r>
          </w:p>
        </w:tc>
        <w:tc>
          <w:tcPr>
            <w:tcW w:w="442" w:type="pct"/>
            <w:tcBorders>
              <w:right w:val="single" w:sz="4" w:space="0" w:color="auto"/>
            </w:tcBorders>
          </w:tcPr>
          <w:p w14:paraId="71ABE955"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19</w:t>
            </w:r>
          </w:p>
        </w:tc>
      </w:tr>
      <w:tr w:rsidR="00052BEA" w:rsidRPr="00052BEA" w14:paraId="3B4D8D64" w14:textId="77777777" w:rsidTr="00AB4128">
        <w:trPr>
          <w:trHeight w:val="360"/>
        </w:trPr>
        <w:tc>
          <w:tcPr>
            <w:tcW w:w="1022" w:type="pct"/>
            <w:vMerge/>
            <w:tcBorders>
              <w:left w:val="single" w:sz="4" w:space="0" w:color="auto"/>
            </w:tcBorders>
          </w:tcPr>
          <w:p w14:paraId="48008B2B" w14:textId="77777777" w:rsidR="00052BEA" w:rsidRPr="00052BEA" w:rsidRDefault="00052BEA" w:rsidP="00052BEA">
            <w:pPr>
              <w:widowControl w:val="0"/>
              <w:pBdr>
                <w:top w:val="nil"/>
                <w:left w:val="nil"/>
                <w:bottom w:val="nil"/>
                <w:right w:val="nil"/>
                <w:between w:val="nil"/>
              </w:pBdr>
              <w:spacing w:line="276" w:lineRule="auto"/>
              <w:rPr>
                <w:rFonts w:asciiTheme="minorHAnsi" w:eastAsia="Times New Roman" w:hAnsiTheme="minorHAnsi" w:cstheme="minorHAnsi"/>
                <w:i/>
                <w:iCs/>
                <w:color w:val="000000"/>
                <w:sz w:val="21"/>
                <w:szCs w:val="21"/>
              </w:rPr>
            </w:pPr>
          </w:p>
        </w:tc>
        <w:tc>
          <w:tcPr>
            <w:tcW w:w="1964" w:type="pct"/>
            <w:gridSpan w:val="2"/>
          </w:tcPr>
          <w:p w14:paraId="57E7CB0F" w14:textId="77777777" w:rsidR="00052BEA" w:rsidRPr="00052BEA" w:rsidRDefault="00052BEA" w:rsidP="00052BEA">
            <w:pPr>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Mean</w:t>
            </w:r>
          </w:p>
        </w:tc>
        <w:tc>
          <w:tcPr>
            <w:tcW w:w="550" w:type="pct"/>
          </w:tcPr>
          <w:p w14:paraId="7265E180"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82</w:t>
            </w:r>
          </w:p>
        </w:tc>
        <w:tc>
          <w:tcPr>
            <w:tcW w:w="472" w:type="pct"/>
          </w:tcPr>
          <w:p w14:paraId="4988F0A6"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82</w:t>
            </w:r>
          </w:p>
        </w:tc>
        <w:tc>
          <w:tcPr>
            <w:tcW w:w="550" w:type="pct"/>
          </w:tcPr>
          <w:p w14:paraId="2584E19B"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83</w:t>
            </w:r>
          </w:p>
        </w:tc>
        <w:tc>
          <w:tcPr>
            <w:tcW w:w="442" w:type="pct"/>
            <w:tcBorders>
              <w:right w:val="single" w:sz="4" w:space="0" w:color="auto"/>
            </w:tcBorders>
          </w:tcPr>
          <w:p w14:paraId="75CFADDA"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90</w:t>
            </w:r>
          </w:p>
        </w:tc>
      </w:tr>
      <w:tr w:rsidR="00052BEA" w:rsidRPr="00052BEA" w14:paraId="569552B3" w14:textId="77777777" w:rsidTr="00AB4128">
        <w:trPr>
          <w:cnfStyle w:val="000000100000" w:firstRow="0" w:lastRow="0" w:firstColumn="0" w:lastColumn="0" w:oddVBand="0" w:evenVBand="0" w:oddHBand="1" w:evenHBand="0" w:firstRowFirstColumn="0" w:firstRowLastColumn="0" w:lastRowFirstColumn="0" w:lastRowLastColumn="0"/>
          <w:trHeight w:val="360"/>
        </w:trPr>
        <w:tc>
          <w:tcPr>
            <w:tcW w:w="1022" w:type="pct"/>
            <w:vMerge/>
            <w:tcBorders>
              <w:left w:val="single" w:sz="4" w:space="0" w:color="auto"/>
            </w:tcBorders>
          </w:tcPr>
          <w:p w14:paraId="2935FF49" w14:textId="77777777" w:rsidR="00052BEA" w:rsidRPr="00052BEA" w:rsidRDefault="00052BEA" w:rsidP="00052BEA">
            <w:pPr>
              <w:widowControl w:val="0"/>
              <w:pBdr>
                <w:top w:val="nil"/>
                <w:left w:val="nil"/>
                <w:bottom w:val="nil"/>
                <w:right w:val="nil"/>
                <w:between w:val="nil"/>
              </w:pBdr>
              <w:spacing w:line="276" w:lineRule="auto"/>
              <w:rPr>
                <w:rFonts w:asciiTheme="minorHAnsi" w:eastAsia="Times New Roman" w:hAnsiTheme="minorHAnsi" w:cstheme="minorHAnsi"/>
                <w:i/>
                <w:iCs/>
                <w:color w:val="000000"/>
                <w:sz w:val="21"/>
                <w:szCs w:val="21"/>
              </w:rPr>
            </w:pPr>
          </w:p>
        </w:tc>
        <w:tc>
          <w:tcPr>
            <w:tcW w:w="1964" w:type="pct"/>
            <w:gridSpan w:val="2"/>
          </w:tcPr>
          <w:p w14:paraId="178F51B6" w14:textId="77777777" w:rsidR="00052BEA" w:rsidRPr="00052BEA" w:rsidRDefault="00052BEA" w:rsidP="00052BEA">
            <w:pPr>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Std. Deviation</w:t>
            </w:r>
          </w:p>
        </w:tc>
        <w:tc>
          <w:tcPr>
            <w:tcW w:w="550" w:type="pct"/>
          </w:tcPr>
          <w:p w14:paraId="703E83D0"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10</w:t>
            </w:r>
          </w:p>
        </w:tc>
        <w:tc>
          <w:tcPr>
            <w:tcW w:w="472" w:type="pct"/>
          </w:tcPr>
          <w:p w14:paraId="2953B475"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10</w:t>
            </w:r>
          </w:p>
        </w:tc>
        <w:tc>
          <w:tcPr>
            <w:tcW w:w="550" w:type="pct"/>
          </w:tcPr>
          <w:p w14:paraId="0B3EA394"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10</w:t>
            </w:r>
          </w:p>
        </w:tc>
        <w:tc>
          <w:tcPr>
            <w:tcW w:w="442" w:type="pct"/>
            <w:tcBorders>
              <w:right w:val="single" w:sz="4" w:space="0" w:color="auto"/>
            </w:tcBorders>
          </w:tcPr>
          <w:p w14:paraId="7D162BA5"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16</w:t>
            </w:r>
          </w:p>
        </w:tc>
      </w:tr>
      <w:tr w:rsidR="00052BEA" w:rsidRPr="00052BEA" w14:paraId="79E68700" w14:textId="77777777" w:rsidTr="00AB4128">
        <w:trPr>
          <w:trHeight w:val="360"/>
        </w:trPr>
        <w:tc>
          <w:tcPr>
            <w:tcW w:w="1022" w:type="pct"/>
            <w:vMerge/>
            <w:tcBorders>
              <w:left w:val="single" w:sz="4" w:space="0" w:color="auto"/>
            </w:tcBorders>
          </w:tcPr>
          <w:p w14:paraId="39927D50" w14:textId="77777777" w:rsidR="00052BEA" w:rsidRPr="00052BEA" w:rsidRDefault="00052BEA" w:rsidP="00052BEA">
            <w:pPr>
              <w:widowControl w:val="0"/>
              <w:pBdr>
                <w:top w:val="nil"/>
                <w:left w:val="nil"/>
                <w:bottom w:val="nil"/>
                <w:right w:val="nil"/>
                <w:between w:val="nil"/>
              </w:pBdr>
              <w:spacing w:line="276" w:lineRule="auto"/>
              <w:rPr>
                <w:rFonts w:asciiTheme="minorHAnsi" w:eastAsia="Times New Roman" w:hAnsiTheme="minorHAnsi" w:cstheme="minorHAnsi"/>
                <w:i/>
                <w:iCs/>
                <w:color w:val="000000"/>
                <w:sz w:val="21"/>
                <w:szCs w:val="21"/>
              </w:rPr>
            </w:pPr>
          </w:p>
        </w:tc>
        <w:tc>
          <w:tcPr>
            <w:tcW w:w="1100" w:type="pct"/>
            <w:vMerge w:val="restart"/>
          </w:tcPr>
          <w:p w14:paraId="43DE2933" w14:textId="77777777" w:rsidR="00052BEA" w:rsidRPr="00052BEA" w:rsidRDefault="00052BEA" w:rsidP="00052BEA">
            <w:pPr>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95% Confidence Interval for Mean</w:t>
            </w:r>
          </w:p>
        </w:tc>
        <w:tc>
          <w:tcPr>
            <w:tcW w:w="864" w:type="pct"/>
          </w:tcPr>
          <w:p w14:paraId="3CDF59C7" w14:textId="77777777" w:rsidR="00052BEA" w:rsidRPr="00052BEA" w:rsidRDefault="00052BEA" w:rsidP="00052BEA">
            <w:pPr>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Lower Bound</w:t>
            </w:r>
          </w:p>
        </w:tc>
        <w:tc>
          <w:tcPr>
            <w:tcW w:w="550" w:type="pct"/>
          </w:tcPr>
          <w:p w14:paraId="5F83EF5F"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77</w:t>
            </w:r>
          </w:p>
        </w:tc>
        <w:tc>
          <w:tcPr>
            <w:tcW w:w="472" w:type="pct"/>
          </w:tcPr>
          <w:p w14:paraId="638305AC"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78</w:t>
            </w:r>
          </w:p>
        </w:tc>
        <w:tc>
          <w:tcPr>
            <w:tcW w:w="550" w:type="pct"/>
          </w:tcPr>
          <w:p w14:paraId="347D827C"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77</w:t>
            </w:r>
          </w:p>
        </w:tc>
        <w:tc>
          <w:tcPr>
            <w:tcW w:w="442" w:type="pct"/>
            <w:tcBorders>
              <w:right w:val="single" w:sz="4" w:space="0" w:color="auto"/>
            </w:tcBorders>
          </w:tcPr>
          <w:p w14:paraId="4E039135"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83</w:t>
            </w:r>
          </w:p>
        </w:tc>
      </w:tr>
      <w:tr w:rsidR="00052BEA" w:rsidRPr="00052BEA" w14:paraId="2445FD63" w14:textId="77777777" w:rsidTr="00AB4128">
        <w:trPr>
          <w:cnfStyle w:val="000000100000" w:firstRow="0" w:lastRow="0" w:firstColumn="0" w:lastColumn="0" w:oddVBand="0" w:evenVBand="0" w:oddHBand="1" w:evenHBand="0" w:firstRowFirstColumn="0" w:firstRowLastColumn="0" w:lastRowFirstColumn="0" w:lastRowLastColumn="0"/>
          <w:trHeight w:val="360"/>
        </w:trPr>
        <w:tc>
          <w:tcPr>
            <w:tcW w:w="1022" w:type="pct"/>
            <w:vMerge/>
            <w:tcBorders>
              <w:left w:val="single" w:sz="4" w:space="0" w:color="auto"/>
            </w:tcBorders>
          </w:tcPr>
          <w:p w14:paraId="1BD608A8" w14:textId="77777777" w:rsidR="00052BEA" w:rsidRPr="00052BEA" w:rsidRDefault="00052BEA" w:rsidP="00052BEA">
            <w:pPr>
              <w:widowControl w:val="0"/>
              <w:pBdr>
                <w:top w:val="nil"/>
                <w:left w:val="nil"/>
                <w:bottom w:val="nil"/>
                <w:right w:val="nil"/>
                <w:between w:val="nil"/>
              </w:pBdr>
              <w:spacing w:line="276" w:lineRule="auto"/>
              <w:rPr>
                <w:rFonts w:asciiTheme="minorHAnsi" w:eastAsia="Times New Roman" w:hAnsiTheme="minorHAnsi" w:cstheme="minorHAnsi"/>
                <w:i/>
                <w:iCs/>
                <w:color w:val="000000"/>
                <w:sz w:val="21"/>
                <w:szCs w:val="21"/>
              </w:rPr>
            </w:pPr>
          </w:p>
        </w:tc>
        <w:tc>
          <w:tcPr>
            <w:tcW w:w="1100" w:type="pct"/>
            <w:vMerge/>
          </w:tcPr>
          <w:p w14:paraId="7D16E008" w14:textId="77777777" w:rsidR="00052BEA" w:rsidRPr="00052BEA" w:rsidRDefault="00052BEA" w:rsidP="00052BEA">
            <w:pPr>
              <w:widowControl w:val="0"/>
              <w:pBdr>
                <w:top w:val="nil"/>
                <w:left w:val="nil"/>
                <w:bottom w:val="nil"/>
                <w:right w:val="nil"/>
                <w:between w:val="nil"/>
              </w:pBdr>
              <w:spacing w:line="276" w:lineRule="auto"/>
              <w:rPr>
                <w:rFonts w:asciiTheme="minorHAnsi" w:eastAsia="Times New Roman" w:hAnsiTheme="minorHAnsi" w:cstheme="minorHAnsi"/>
                <w:i/>
                <w:iCs/>
                <w:color w:val="000000"/>
                <w:sz w:val="21"/>
                <w:szCs w:val="21"/>
              </w:rPr>
            </w:pPr>
          </w:p>
        </w:tc>
        <w:tc>
          <w:tcPr>
            <w:tcW w:w="864" w:type="pct"/>
          </w:tcPr>
          <w:p w14:paraId="719D8C4A" w14:textId="77777777" w:rsidR="00052BEA" w:rsidRPr="00052BEA" w:rsidRDefault="00052BEA" w:rsidP="00052BEA">
            <w:pPr>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Upper Bound</w:t>
            </w:r>
          </w:p>
        </w:tc>
        <w:tc>
          <w:tcPr>
            <w:tcW w:w="550" w:type="pct"/>
          </w:tcPr>
          <w:p w14:paraId="441BD69D"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87</w:t>
            </w:r>
          </w:p>
        </w:tc>
        <w:tc>
          <w:tcPr>
            <w:tcW w:w="472" w:type="pct"/>
          </w:tcPr>
          <w:p w14:paraId="7B0515E1"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86</w:t>
            </w:r>
          </w:p>
        </w:tc>
        <w:tc>
          <w:tcPr>
            <w:tcW w:w="550" w:type="pct"/>
          </w:tcPr>
          <w:p w14:paraId="0D255892"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89</w:t>
            </w:r>
          </w:p>
        </w:tc>
        <w:tc>
          <w:tcPr>
            <w:tcW w:w="442" w:type="pct"/>
            <w:tcBorders>
              <w:right w:val="single" w:sz="4" w:space="0" w:color="auto"/>
            </w:tcBorders>
          </w:tcPr>
          <w:p w14:paraId="6CC38804"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98</w:t>
            </w:r>
          </w:p>
        </w:tc>
      </w:tr>
      <w:tr w:rsidR="00052BEA" w:rsidRPr="00052BEA" w14:paraId="76B50DC0" w14:textId="77777777" w:rsidTr="00AB4128">
        <w:trPr>
          <w:trHeight w:val="360"/>
        </w:trPr>
        <w:tc>
          <w:tcPr>
            <w:tcW w:w="5000" w:type="pct"/>
            <w:gridSpan w:val="7"/>
            <w:tcBorders>
              <w:left w:val="single" w:sz="4" w:space="0" w:color="auto"/>
              <w:right w:val="single" w:sz="4" w:space="0" w:color="auto"/>
            </w:tcBorders>
          </w:tcPr>
          <w:p w14:paraId="2C16833A" w14:textId="77777777" w:rsidR="00052BEA" w:rsidRPr="00052BEA" w:rsidRDefault="00052BEA" w:rsidP="00052BEA">
            <w:pPr>
              <w:jc w:val="center"/>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p=.098</w:t>
            </w:r>
          </w:p>
        </w:tc>
      </w:tr>
      <w:tr w:rsidR="000D0695" w:rsidRPr="00052BEA" w14:paraId="2999AC3A" w14:textId="77777777" w:rsidTr="00AB4128">
        <w:trPr>
          <w:cnfStyle w:val="000000100000" w:firstRow="0" w:lastRow="0" w:firstColumn="0" w:lastColumn="0" w:oddVBand="0" w:evenVBand="0" w:oddHBand="1" w:evenHBand="0" w:firstRowFirstColumn="0" w:firstRowLastColumn="0" w:lastRowFirstColumn="0" w:lastRowLastColumn="0"/>
          <w:trHeight w:val="360"/>
        </w:trPr>
        <w:tc>
          <w:tcPr>
            <w:tcW w:w="1022" w:type="pct"/>
            <w:vMerge w:val="restart"/>
            <w:tcBorders>
              <w:left w:val="single" w:sz="4" w:space="0" w:color="auto"/>
            </w:tcBorders>
          </w:tcPr>
          <w:p w14:paraId="1ADD7C1C" w14:textId="77777777" w:rsidR="00052BEA" w:rsidRPr="00052BEA" w:rsidRDefault="00052BEA" w:rsidP="00052BEA">
            <w:pPr>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 xml:space="preserve">Blood </w:t>
            </w:r>
            <w:r w:rsidRPr="00052BEA">
              <w:rPr>
                <w:rFonts w:asciiTheme="minorHAnsi" w:eastAsia="Arial" w:hAnsiTheme="minorHAnsi" w:cstheme="minorHAnsi"/>
                <w:i/>
                <w:iCs/>
                <w:color w:val="000000"/>
                <w:sz w:val="21"/>
                <w:szCs w:val="21"/>
              </w:rPr>
              <w:t>glucose</w:t>
            </w:r>
            <w:r w:rsidRPr="00052BEA">
              <w:rPr>
                <w:rFonts w:asciiTheme="minorHAnsi" w:eastAsia="Times New Roman" w:hAnsiTheme="minorHAnsi" w:cstheme="minorHAnsi"/>
                <w:i/>
                <w:iCs/>
                <w:color w:val="000000"/>
                <w:sz w:val="21"/>
                <w:szCs w:val="21"/>
              </w:rPr>
              <w:t xml:space="preserve"> arrival</w:t>
            </w:r>
          </w:p>
          <w:p w14:paraId="3DEEED4D" w14:textId="77777777" w:rsidR="00052BEA" w:rsidRPr="00052BEA" w:rsidRDefault="00052BEA" w:rsidP="00052BEA">
            <w:pPr>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(mmol)</w:t>
            </w:r>
          </w:p>
        </w:tc>
        <w:tc>
          <w:tcPr>
            <w:tcW w:w="1964" w:type="pct"/>
            <w:gridSpan w:val="2"/>
          </w:tcPr>
          <w:p w14:paraId="1212867B" w14:textId="77777777" w:rsidR="00052BEA" w:rsidRPr="00052BEA" w:rsidRDefault="00052BEA" w:rsidP="00052BEA">
            <w:pPr>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N</w:t>
            </w:r>
          </w:p>
        </w:tc>
        <w:tc>
          <w:tcPr>
            <w:tcW w:w="550" w:type="pct"/>
          </w:tcPr>
          <w:p w14:paraId="6BBDD88D"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19</w:t>
            </w:r>
          </w:p>
        </w:tc>
        <w:tc>
          <w:tcPr>
            <w:tcW w:w="472" w:type="pct"/>
          </w:tcPr>
          <w:p w14:paraId="6D297814"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23</w:t>
            </w:r>
          </w:p>
        </w:tc>
        <w:tc>
          <w:tcPr>
            <w:tcW w:w="550" w:type="pct"/>
          </w:tcPr>
          <w:p w14:paraId="6AF095F8"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13</w:t>
            </w:r>
          </w:p>
        </w:tc>
        <w:tc>
          <w:tcPr>
            <w:tcW w:w="442" w:type="pct"/>
            <w:tcBorders>
              <w:right w:val="single" w:sz="4" w:space="0" w:color="auto"/>
            </w:tcBorders>
          </w:tcPr>
          <w:p w14:paraId="2AB62AEE"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0</w:t>
            </w:r>
          </w:p>
        </w:tc>
      </w:tr>
      <w:tr w:rsidR="000D0695" w:rsidRPr="00052BEA" w14:paraId="29F0237C" w14:textId="77777777" w:rsidTr="00AB4128">
        <w:trPr>
          <w:trHeight w:val="360"/>
        </w:trPr>
        <w:tc>
          <w:tcPr>
            <w:tcW w:w="1022" w:type="pct"/>
            <w:vMerge/>
            <w:tcBorders>
              <w:left w:val="single" w:sz="4" w:space="0" w:color="auto"/>
            </w:tcBorders>
          </w:tcPr>
          <w:p w14:paraId="0770F6A7" w14:textId="77777777" w:rsidR="00052BEA" w:rsidRPr="00052BEA" w:rsidRDefault="00052BEA" w:rsidP="00052BEA">
            <w:pPr>
              <w:widowControl w:val="0"/>
              <w:pBdr>
                <w:top w:val="nil"/>
                <w:left w:val="nil"/>
                <w:bottom w:val="nil"/>
                <w:right w:val="nil"/>
                <w:between w:val="nil"/>
              </w:pBdr>
              <w:spacing w:line="276" w:lineRule="auto"/>
              <w:rPr>
                <w:rFonts w:asciiTheme="minorHAnsi" w:eastAsia="Times New Roman" w:hAnsiTheme="minorHAnsi" w:cstheme="minorHAnsi"/>
                <w:i/>
                <w:iCs/>
                <w:color w:val="000000"/>
                <w:sz w:val="21"/>
                <w:szCs w:val="21"/>
              </w:rPr>
            </w:pPr>
          </w:p>
        </w:tc>
        <w:tc>
          <w:tcPr>
            <w:tcW w:w="1964" w:type="pct"/>
            <w:gridSpan w:val="2"/>
          </w:tcPr>
          <w:p w14:paraId="13B32662" w14:textId="77777777" w:rsidR="00052BEA" w:rsidRPr="00052BEA" w:rsidRDefault="00052BEA" w:rsidP="00052BEA">
            <w:pPr>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Mean</w:t>
            </w:r>
          </w:p>
        </w:tc>
        <w:tc>
          <w:tcPr>
            <w:tcW w:w="550" w:type="pct"/>
          </w:tcPr>
          <w:p w14:paraId="5AD43C8A"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13</w:t>
            </w:r>
          </w:p>
        </w:tc>
        <w:tc>
          <w:tcPr>
            <w:tcW w:w="472" w:type="pct"/>
          </w:tcPr>
          <w:p w14:paraId="1B236A27"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13</w:t>
            </w:r>
          </w:p>
        </w:tc>
        <w:tc>
          <w:tcPr>
            <w:tcW w:w="550" w:type="pct"/>
          </w:tcPr>
          <w:p w14:paraId="38AC22D9"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13</w:t>
            </w:r>
          </w:p>
        </w:tc>
        <w:tc>
          <w:tcPr>
            <w:tcW w:w="442" w:type="pct"/>
            <w:tcBorders>
              <w:right w:val="single" w:sz="4" w:space="0" w:color="auto"/>
            </w:tcBorders>
          </w:tcPr>
          <w:p w14:paraId="3EC1C004"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 </w:t>
            </w:r>
          </w:p>
        </w:tc>
      </w:tr>
      <w:tr w:rsidR="000D0695" w:rsidRPr="00052BEA" w14:paraId="459AFFB9" w14:textId="77777777" w:rsidTr="00AB4128">
        <w:trPr>
          <w:cnfStyle w:val="000000100000" w:firstRow="0" w:lastRow="0" w:firstColumn="0" w:lastColumn="0" w:oddVBand="0" w:evenVBand="0" w:oddHBand="1" w:evenHBand="0" w:firstRowFirstColumn="0" w:firstRowLastColumn="0" w:lastRowFirstColumn="0" w:lastRowLastColumn="0"/>
          <w:trHeight w:val="360"/>
        </w:trPr>
        <w:tc>
          <w:tcPr>
            <w:tcW w:w="1022" w:type="pct"/>
            <w:vMerge/>
            <w:tcBorders>
              <w:left w:val="single" w:sz="4" w:space="0" w:color="auto"/>
            </w:tcBorders>
          </w:tcPr>
          <w:p w14:paraId="7C8E1134" w14:textId="77777777" w:rsidR="00052BEA" w:rsidRPr="00052BEA" w:rsidRDefault="00052BEA" w:rsidP="00052BEA">
            <w:pPr>
              <w:widowControl w:val="0"/>
              <w:pBdr>
                <w:top w:val="nil"/>
                <w:left w:val="nil"/>
                <w:bottom w:val="nil"/>
                <w:right w:val="nil"/>
                <w:between w:val="nil"/>
              </w:pBdr>
              <w:spacing w:line="276" w:lineRule="auto"/>
              <w:rPr>
                <w:rFonts w:asciiTheme="minorHAnsi" w:eastAsia="Times New Roman" w:hAnsiTheme="minorHAnsi" w:cstheme="minorHAnsi"/>
                <w:i/>
                <w:iCs/>
                <w:color w:val="000000"/>
                <w:sz w:val="21"/>
                <w:szCs w:val="21"/>
              </w:rPr>
            </w:pPr>
          </w:p>
        </w:tc>
        <w:tc>
          <w:tcPr>
            <w:tcW w:w="1964" w:type="pct"/>
            <w:gridSpan w:val="2"/>
          </w:tcPr>
          <w:p w14:paraId="7136EAD4" w14:textId="77777777" w:rsidR="00052BEA" w:rsidRPr="00052BEA" w:rsidRDefault="00052BEA" w:rsidP="00052BEA">
            <w:pPr>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Std. Deviation</w:t>
            </w:r>
          </w:p>
        </w:tc>
        <w:tc>
          <w:tcPr>
            <w:tcW w:w="550" w:type="pct"/>
          </w:tcPr>
          <w:p w14:paraId="62DBB96E"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4</w:t>
            </w:r>
          </w:p>
        </w:tc>
        <w:tc>
          <w:tcPr>
            <w:tcW w:w="472" w:type="pct"/>
          </w:tcPr>
          <w:p w14:paraId="226598E3"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6</w:t>
            </w:r>
          </w:p>
        </w:tc>
        <w:tc>
          <w:tcPr>
            <w:tcW w:w="550" w:type="pct"/>
          </w:tcPr>
          <w:p w14:paraId="2EA713D5"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6</w:t>
            </w:r>
          </w:p>
        </w:tc>
        <w:tc>
          <w:tcPr>
            <w:tcW w:w="442" w:type="pct"/>
            <w:tcBorders>
              <w:right w:val="single" w:sz="4" w:space="0" w:color="auto"/>
            </w:tcBorders>
          </w:tcPr>
          <w:p w14:paraId="5AB0A446"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 </w:t>
            </w:r>
          </w:p>
        </w:tc>
      </w:tr>
      <w:tr w:rsidR="000D0695" w:rsidRPr="00052BEA" w14:paraId="0C0901A1" w14:textId="77777777" w:rsidTr="00AB4128">
        <w:trPr>
          <w:trHeight w:val="360"/>
        </w:trPr>
        <w:tc>
          <w:tcPr>
            <w:tcW w:w="1022" w:type="pct"/>
            <w:vMerge/>
            <w:tcBorders>
              <w:left w:val="single" w:sz="4" w:space="0" w:color="auto"/>
            </w:tcBorders>
          </w:tcPr>
          <w:p w14:paraId="6651446E" w14:textId="77777777" w:rsidR="00052BEA" w:rsidRPr="00052BEA" w:rsidRDefault="00052BEA" w:rsidP="00052BEA">
            <w:pPr>
              <w:widowControl w:val="0"/>
              <w:pBdr>
                <w:top w:val="nil"/>
                <w:left w:val="nil"/>
                <w:bottom w:val="nil"/>
                <w:right w:val="nil"/>
                <w:between w:val="nil"/>
              </w:pBdr>
              <w:spacing w:line="276" w:lineRule="auto"/>
              <w:rPr>
                <w:rFonts w:asciiTheme="minorHAnsi" w:eastAsia="Times New Roman" w:hAnsiTheme="minorHAnsi" w:cstheme="minorHAnsi"/>
                <w:i/>
                <w:iCs/>
                <w:color w:val="000000"/>
                <w:sz w:val="21"/>
                <w:szCs w:val="21"/>
              </w:rPr>
            </w:pPr>
          </w:p>
        </w:tc>
        <w:tc>
          <w:tcPr>
            <w:tcW w:w="1100" w:type="pct"/>
            <w:vMerge w:val="restart"/>
          </w:tcPr>
          <w:p w14:paraId="56BB2333" w14:textId="77777777" w:rsidR="00052BEA" w:rsidRPr="00052BEA" w:rsidRDefault="00052BEA" w:rsidP="00052BEA">
            <w:pPr>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95% Confidence Interval for Mean</w:t>
            </w:r>
          </w:p>
        </w:tc>
        <w:tc>
          <w:tcPr>
            <w:tcW w:w="864" w:type="pct"/>
          </w:tcPr>
          <w:p w14:paraId="6442434D" w14:textId="77777777" w:rsidR="00052BEA" w:rsidRPr="00052BEA" w:rsidRDefault="00052BEA" w:rsidP="00052BEA">
            <w:pPr>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Lower Bound</w:t>
            </w:r>
          </w:p>
        </w:tc>
        <w:tc>
          <w:tcPr>
            <w:tcW w:w="550" w:type="pct"/>
          </w:tcPr>
          <w:p w14:paraId="5D1CD0C4"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11</w:t>
            </w:r>
          </w:p>
        </w:tc>
        <w:tc>
          <w:tcPr>
            <w:tcW w:w="472" w:type="pct"/>
          </w:tcPr>
          <w:p w14:paraId="3581C958"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11</w:t>
            </w:r>
          </w:p>
        </w:tc>
        <w:tc>
          <w:tcPr>
            <w:tcW w:w="550" w:type="pct"/>
          </w:tcPr>
          <w:p w14:paraId="4F15FC26"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10</w:t>
            </w:r>
          </w:p>
        </w:tc>
        <w:tc>
          <w:tcPr>
            <w:tcW w:w="442" w:type="pct"/>
            <w:tcBorders>
              <w:right w:val="single" w:sz="4" w:space="0" w:color="auto"/>
            </w:tcBorders>
          </w:tcPr>
          <w:p w14:paraId="19772D13"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 </w:t>
            </w:r>
          </w:p>
        </w:tc>
      </w:tr>
      <w:tr w:rsidR="000D0695" w:rsidRPr="00052BEA" w14:paraId="5FB44835" w14:textId="77777777" w:rsidTr="00AB4128">
        <w:trPr>
          <w:cnfStyle w:val="000000100000" w:firstRow="0" w:lastRow="0" w:firstColumn="0" w:lastColumn="0" w:oddVBand="0" w:evenVBand="0" w:oddHBand="1" w:evenHBand="0" w:firstRowFirstColumn="0" w:firstRowLastColumn="0" w:lastRowFirstColumn="0" w:lastRowLastColumn="0"/>
          <w:trHeight w:val="360"/>
        </w:trPr>
        <w:tc>
          <w:tcPr>
            <w:tcW w:w="1022" w:type="pct"/>
            <w:vMerge/>
            <w:tcBorders>
              <w:left w:val="single" w:sz="4" w:space="0" w:color="auto"/>
            </w:tcBorders>
          </w:tcPr>
          <w:p w14:paraId="50903B27" w14:textId="77777777" w:rsidR="00052BEA" w:rsidRPr="00052BEA" w:rsidRDefault="00052BEA" w:rsidP="00052BEA">
            <w:pPr>
              <w:widowControl w:val="0"/>
              <w:pBdr>
                <w:top w:val="nil"/>
                <w:left w:val="nil"/>
                <w:bottom w:val="nil"/>
                <w:right w:val="nil"/>
                <w:between w:val="nil"/>
              </w:pBdr>
              <w:spacing w:line="276" w:lineRule="auto"/>
              <w:rPr>
                <w:rFonts w:asciiTheme="minorHAnsi" w:eastAsia="Times New Roman" w:hAnsiTheme="minorHAnsi" w:cstheme="minorHAnsi"/>
                <w:i/>
                <w:iCs/>
                <w:color w:val="000000"/>
                <w:sz w:val="21"/>
                <w:szCs w:val="21"/>
              </w:rPr>
            </w:pPr>
          </w:p>
        </w:tc>
        <w:tc>
          <w:tcPr>
            <w:tcW w:w="1100" w:type="pct"/>
            <w:vMerge/>
          </w:tcPr>
          <w:p w14:paraId="483A33D0" w14:textId="77777777" w:rsidR="00052BEA" w:rsidRPr="00052BEA" w:rsidRDefault="00052BEA" w:rsidP="00052BEA">
            <w:pPr>
              <w:widowControl w:val="0"/>
              <w:pBdr>
                <w:top w:val="nil"/>
                <w:left w:val="nil"/>
                <w:bottom w:val="nil"/>
                <w:right w:val="nil"/>
                <w:between w:val="nil"/>
              </w:pBdr>
              <w:spacing w:line="276" w:lineRule="auto"/>
              <w:rPr>
                <w:rFonts w:asciiTheme="minorHAnsi" w:eastAsia="Times New Roman" w:hAnsiTheme="minorHAnsi" w:cstheme="minorHAnsi"/>
                <w:i/>
                <w:iCs/>
                <w:color w:val="000000"/>
                <w:sz w:val="21"/>
                <w:szCs w:val="21"/>
              </w:rPr>
            </w:pPr>
          </w:p>
        </w:tc>
        <w:tc>
          <w:tcPr>
            <w:tcW w:w="864" w:type="pct"/>
          </w:tcPr>
          <w:p w14:paraId="7BE29AEF" w14:textId="77777777" w:rsidR="00052BEA" w:rsidRPr="00052BEA" w:rsidRDefault="00052BEA" w:rsidP="00052BEA">
            <w:pPr>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Upper Bound</w:t>
            </w:r>
          </w:p>
        </w:tc>
        <w:tc>
          <w:tcPr>
            <w:tcW w:w="550" w:type="pct"/>
          </w:tcPr>
          <w:p w14:paraId="3F5EC400"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15</w:t>
            </w:r>
          </w:p>
        </w:tc>
        <w:tc>
          <w:tcPr>
            <w:tcW w:w="472" w:type="pct"/>
          </w:tcPr>
          <w:p w14:paraId="31921389"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16</w:t>
            </w:r>
          </w:p>
        </w:tc>
        <w:tc>
          <w:tcPr>
            <w:tcW w:w="550" w:type="pct"/>
          </w:tcPr>
          <w:p w14:paraId="4C0438F3"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17</w:t>
            </w:r>
          </w:p>
        </w:tc>
        <w:tc>
          <w:tcPr>
            <w:tcW w:w="442" w:type="pct"/>
            <w:tcBorders>
              <w:right w:val="single" w:sz="4" w:space="0" w:color="auto"/>
            </w:tcBorders>
          </w:tcPr>
          <w:p w14:paraId="5909955F"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 </w:t>
            </w:r>
          </w:p>
        </w:tc>
      </w:tr>
      <w:tr w:rsidR="00052BEA" w:rsidRPr="00052BEA" w14:paraId="013A85F1" w14:textId="77777777" w:rsidTr="00AB4128">
        <w:trPr>
          <w:trHeight w:val="360"/>
        </w:trPr>
        <w:tc>
          <w:tcPr>
            <w:tcW w:w="5000" w:type="pct"/>
            <w:gridSpan w:val="7"/>
            <w:tcBorders>
              <w:left w:val="single" w:sz="4" w:space="0" w:color="auto"/>
              <w:right w:val="single" w:sz="4" w:space="0" w:color="auto"/>
            </w:tcBorders>
          </w:tcPr>
          <w:p w14:paraId="22430C45" w14:textId="77777777" w:rsidR="00052BEA" w:rsidRPr="00052BEA" w:rsidRDefault="00052BEA" w:rsidP="00052BEA">
            <w:pPr>
              <w:jc w:val="center"/>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p=.996</w:t>
            </w:r>
          </w:p>
        </w:tc>
      </w:tr>
      <w:tr w:rsidR="000D0695" w:rsidRPr="00052BEA" w14:paraId="40EEA3F0" w14:textId="77777777" w:rsidTr="00AB4128">
        <w:trPr>
          <w:cnfStyle w:val="000000100000" w:firstRow="0" w:lastRow="0" w:firstColumn="0" w:lastColumn="0" w:oddVBand="0" w:evenVBand="0" w:oddHBand="1" w:evenHBand="0" w:firstRowFirstColumn="0" w:firstRowLastColumn="0" w:lastRowFirstColumn="0" w:lastRowLastColumn="0"/>
          <w:trHeight w:val="360"/>
        </w:trPr>
        <w:tc>
          <w:tcPr>
            <w:tcW w:w="1022" w:type="pct"/>
            <w:vMerge w:val="restart"/>
            <w:tcBorders>
              <w:left w:val="single" w:sz="4" w:space="0" w:color="auto"/>
            </w:tcBorders>
          </w:tcPr>
          <w:p w14:paraId="3D311DFB" w14:textId="77777777" w:rsidR="00052BEA" w:rsidRPr="00052BEA" w:rsidRDefault="00052BEA" w:rsidP="00052BEA">
            <w:pPr>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 xml:space="preserve">Blood </w:t>
            </w:r>
            <w:r w:rsidRPr="00052BEA">
              <w:rPr>
                <w:rFonts w:asciiTheme="minorHAnsi" w:eastAsia="Arial" w:hAnsiTheme="minorHAnsi" w:cstheme="minorHAnsi"/>
                <w:i/>
                <w:iCs/>
                <w:color w:val="000000"/>
                <w:sz w:val="21"/>
                <w:szCs w:val="21"/>
              </w:rPr>
              <w:t>glucose</w:t>
            </w:r>
            <w:r w:rsidRPr="00052BEA">
              <w:rPr>
                <w:rFonts w:asciiTheme="minorHAnsi" w:eastAsia="Times New Roman" w:hAnsiTheme="minorHAnsi" w:cstheme="minorHAnsi"/>
                <w:i/>
                <w:iCs/>
                <w:color w:val="000000"/>
                <w:sz w:val="21"/>
                <w:szCs w:val="21"/>
              </w:rPr>
              <w:t xml:space="preserve"> departure (mmol)</w:t>
            </w:r>
          </w:p>
        </w:tc>
        <w:tc>
          <w:tcPr>
            <w:tcW w:w="1964" w:type="pct"/>
            <w:gridSpan w:val="2"/>
          </w:tcPr>
          <w:p w14:paraId="2057FF34" w14:textId="77777777" w:rsidR="00052BEA" w:rsidRPr="00052BEA" w:rsidRDefault="00052BEA" w:rsidP="00052BEA">
            <w:pPr>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N</w:t>
            </w:r>
          </w:p>
        </w:tc>
        <w:tc>
          <w:tcPr>
            <w:tcW w:w="550" w:type="pct"/>
          </w:tcPr>
          <w:p w14:paraId="6AE624BC"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17</w:t>
            </w:r>
          </w:p>
        </w:tc>
        <w:tc>
          <w:tcPr>
            <w:tcW w:w="472" w:type="pct"/>
          </w:tcPr>
          <w:p w14:paraId="1A1C3F01"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20</w:t>
            </w:r>
          </w:p>
        </w:tc>
        <w:tc>
          <w:tcPr>
            <w:tcW w:w="550" w:type="pct"/>
          </w:tcPr>
          <w:p w14:paraId="48A9C2D5"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12</w:t>
            </w:r>
          </w:p>
        </w:tc>
        <w:tc>
          <w:tcPr>
            <w:tcW w:w="442" w:type="pct"/>
            <w:tcBorders>
              <w:right w:val="single" w:sz="4" w:space="0" w:color="auto"/>
            </w:tcBorders>
          </w:tcPr>
          <w:p w14:paraId="33A44B6F"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0</w:t>
            </w:r>
          </w:p>
        </w:tc>
      </w:tr>
      <w:tr w:rsidR="000D0695" w:rsidRPr="00052BEA" w14:paraId="49E4B818" w14:textId="77777777" w:rsidTr="00AB4128">
        <w:trPr>
          <w:trHeight w:val="360"/>
        </w:trPr>
        <w:tc>
          <w:tcPr>
            <w:tcW w:w="1022" w:type="pct"/>
            <w:vMerge/>
            <w:tcBorders>
              <w:left w:val="single" w:sz="4" w:space="0" w:color="auto"/>
            </w:tcBorders>
          </w:tcPr>
          <w:p w14:paraId="1E13F406" w14:textId="77777777" w:rsidR="00052BEA" w:rsidRPr="00052BEA" w:rsidRDefault="00052BEA" w:rsidP="00052BEA">
            <w:pPr>
              <w:widowControl w:val="0"/>
              <w:pBdr>
                <w:top w:val="nil"/>
                <w:left w:val="nil"/>
                <w:bottom w:val="nil"/>
                <w:right w:val="nil"/>
                <w:between w:val="nil"/>
              </w:pBdr>
              <w:spacing w:line="276" w:lineRule="auto"/>
              <w:rPr>
                <w:rFonts w:asciiTheme="minorHAnsi" w:eastAsia="Times New Roman" w:hAnsiTheme="minorHAnsi" w:cstheme="minorHAnsi"/>
                <w:i/>
                <w:iCs/>
                <w:color w:val="000000"/>
                <w:sz w:val="21"/>
                <w:szCs w:val="21"/>
              </w:rPr>
            </w:pPr>
          </w:p>
        </w:tc>
        <w:tc>
          <w:tcPr>
            <w:tcW w:w="1964" w:type="pct"/>
            <w:gridSpan w:val="2"/>
          </w:tcPr>
          <w:p w14:paraId="7E8548BE" w14:textId="77777777" w:rsidR="00052BEA" w:rsidRPr="00052BEA" w:rsidRDefault="00052BEA" w:rsidP="00052BEA">
            <w:pPr>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Mean</w:t>
            </w:r>
          </w:p>
        </w:tc>
        <w:tc>
          <w:tcPr>
            <w:tcW w:w="550" w:type="pct"/>
          </w:tcPr>
          <w:p w14:paraId="5A449490"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12</w:t>
            </w:r>
          </w:p>
        </w:tc>
        <w:tc>
          <w:tcPr>
            <w:tcW w:w="472" w:type="pct"/>
          </w:tcPr>
          <w:p w14:paraId="140435C0"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11</w:t>
            </w:r>
          </w:p>
        </w:tc>
        <w:tc>
          <w:tcPr>
            <w:tcW w:w="550" w:type="pct"/>
          </w:tcPr>
          <w:p w14:paraId="008ECDA3"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10</w:t>
            </w:r>
          </w:p>
        </w:tc>
        <w:tc>
          <w:tcPr>
            <w:tcW w:w="442" w:type="pct"/>
            <w:tcBorders>
              <w:right w:val="single" w:sz="4" w:space="0" w:color="auto"/>
            </w:tcBorders>
          </w:tcPr>
          <w:p w14:paraId="01739340"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 </w:t>
            </w:r>
          </w:p>
        </w:tc>
      </w:tr>
      <w:tr w:rsidR="000D0695" w:rsidRPr="00052BEA" w14:paraId="2E41AF04" w14:textId="77777777" w:rsidTr="00AB4128">
        <w:trPr>
          <w:cnfStyle w:val="000000100000" w:firstRow="0" w:lastRow="0" w:firstColumn="0" w:lastColumn="0" w:oddVBand="0" w:evenVBand="0" w:oddHBand="1" w:evenHBand="0" w:firstRowFirstColumn="0" w:firstRowLastColumn="0" w:lastRowFirstColumn="0" w:lastRowLastColumn="0"/>
          <w:trHeight w:val="360"/>
        </w:trPr>
        <w:tc>
          <w:tcPr>
            <w:tcW w:w="1022" w:type="pct"/>
            <w:vMerge/>
            <w:tcBorders>
              <w:left w:val="single" w:sz="4" w:space="0" w:color="auto"/>
            </w:tcBorders>
          </w:tcPr>
          <w:p w14:paraId="66775EBF" w14:textId="77777777" w:rsidR="00052BEA" w:rsidRPr="00052BEA" w:rsidRDefault="00052BEA" w:rsidP="00052BEA">
            <w:pPr>
              <w:widowControl w:val="0"/>
              <w:pBdr>
                <w:top w:val="nil"/>
                <w:left w:val="nil"/>
                <w:bottom w:val="nil"/>
                <w:right w:val="nil"/>
                <w:between w:val="nil"/>
              </w:pBdr>
              <w:spacing w:line="276" w:lineRule="auto"/>
              <w:rPr>
                <w:rFonts w:asciiTheme="minorHAnsi" w:eastAsia="Times New Roman" w:hAnsiTheme="minorHAnsi" w:cstheme="minorHAnsi"/>
                <w:i/>
                <w:iCs/>
                <w:color w:val="000000"/>
                <w:sz w:val="21"/>
                <w:szCs w:val="21"/>
              </w:rPr>
            </w:pPr>
          </w:p>
        </w:tc>
        <w:tc>
          <w:tcPr>
            <w:tcW w:w="1964" w:type="pct"/>
            <w:gridSpan w:val="2"/>
          </w:tcPr>
          <w:p w14:paraId="0C7AB7CE" w14:textId="77777777" w:rsidR="00052BEA" w:rsidRPr="00052BEA" w:rsidRDefault="00052BEA" w:rsidP="00052BEA">
            <w:pPr>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Std. Deviation</w:t>
            </w:r>
          </w:p>
        </w:tc>
        <w:tc>
          <w:tcPr>
            <w:tcW w:w="550" w:type="pct"/>
          </w:tcPr>
          <w:p w14:paraId="5AEA1B52"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5</w:t>
            </w:r>
          </w:p>
        </w:tc>
        <w:tc>
          <w:tcPr>
            <w:tcW w:w="472" w:type="pct"/>
          </w:tcPr>
          <w:p w14:paraId="62270F8C"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5</w:t>
            </w:r>
          </w:p>
        </w:tc>
        <w:tc>
          <w:tcPr>
            <w:tcW w:w="550" w:type="pct"/>
          </w:tcPr>
          <w:p w14:paraId="0F8C6A3E"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4</w:t>
            </w:r>
          </w:p>
        </w:tc>
        <w:tc>
          <w:tcPr>
            <w:tcW w:w="442" w:type="pct"/>
            <w:tcBorders>
              <w:right w:val="single" w:sz="4" w:space="0" w:color="auto"/>
            </w:tcBorders>
          </w:tcPr>
          <w:p w14:paraId="18D49415"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 </w:t>
            </w:r>
          </w:p>
        </w:tc>
      </w:tr>
      <w:tr w:rsidR="000D0695" w:rsidRPr="00052BEA" w14:paraId="03FAE417" w14:textId="77777777" w:rsidTr="00AB4128">
        <w:trPr>
          <w:trHeight w:val="360"/>
        </w:trPr>
        <w:tc>
          <w:tcPr>
            <w:tcW w:w="1022" w:type="pct"/>
            <w:vMerge/>
            <w:tcBorders>
              <w:left w:val="single" w:sz="4" w:space="0" w:color="auto"/>
            </w:tcBorders>
          </w:tcPr>
          <w:p w14:paraId="28E3E793" w14:textId="77777777" w:rsidR="00052BEA" w:rsidRPr="00052BEA" w:rsidRDefault="00052BEA" w:rsidP="00052BEA">
            <w:pPr>
              <w:widowControl w:val="0"/>
              <w:pBdr>
                <w:top w:val="nil"/>
                <w:left w:val="nil"/>
                <w:bottom w:val="nil"/>
                <w:right w:val="nil"/>
                <w:between w:val="nil"/>
              </w:pBdr>
              <w:spacing w:line="276" w:lineRule="auto"/>
              <w:rPr>
                <w:rFonts w:asciiTheme="minorHAnsi" w:eastAsia="Times New Roman" w:hAnsiTheme="minorHAnsi" w:cstheme="minorHAnsi"/>
                <w:i/>
                <w:iCs/>
                <w:color w:val="000000"/>
                <w:sz w:val="21"/>
                <w:szCs w:val="21"/>
              </w:rPr>
            </w:pPr>
          </w:p>
        </w:tc>
        <w:tc>
          <w:tcPr>
            <w:tcW w:w="1100" w:type="pct"/>
            <w:vMerge w:val="restart"/>
          </w:tcPr>
          <w:p w14:paraId="4A37B1F1" w14:textId="77777777" w:rsidR="00052BEA" w:rsidRPr="00052BEA" w:rsidRDefault="00052BEA" w:rsidP="00052BEA">
            <w:pPr>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95% Confidence Interval for Mean</w:t>
            </w:r>
          </w:p>
        </w:tc>
        <w:tc>
          <w:tcPr>
            <w:tcW w:w="864" w:type="pct"/>
          </w:tcPr>
          <w:p w14:paraId="55B24596" w14:textId="77777777" w:rsidR="00052BEA" w:rsidRPr="00052BEA" w:rsidRDefault="00052BEA" w:rsidP="00052BEA">
            <w:pPr>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Lower Bound</w:t>
            </w:r>
          </w:p>
        </w:tc>
        <w:tc>
          <w:tcPr>
            <w:tcW w:w="550" w:type="pct"/>
          </w:tcPr>
          <w:p w14:paraId="33247FEF"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10</w:t>
            </w:r>
          </w:p>
        </w:tc>
        <w:tc>
          <w:tcPr>
            <w:tcW w:w="472" w:type="pct"/>
          </w:tcPr>
          <w:p w14:paraId="1A4CB1A5"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9</w:t>
            </w:r>
          </w:p>
        </w:tc>
        <w:tc>
          <w:tcPr>
            <w:tcW w:w="550" w:type="pct"/>
          </w:tcPr>
          <w:p w14:paraId="0B47B4CD"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7</w:t>
            </w:r>
          </w:p>
        </w:tc>
        <w:tc>
          <w:tcPr>
            <w:tcW w:w="442" w:type="pct"/>
            <w:tcBorders>
              <w:right w:val="single" w:sz="4" w:space="0" w:color="auto"/>
            </w:tcBorders>
          </w:tcPr>
          <w:p w14:paraId="58EFD63E"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 </w:t>
            </w:r>
          </w:p>
        </w:tc>
      </w:tr>
      <w:tr w:rsidR="000D0695" w:rsidRPr="00052BEA" w14:paraId="437F3E43" w14:textId="77777777" w:rsidTr="00AB4128">
        <w:trPr>
          <w:cnfStyle w:val="000000100000" w:firstRow="0" w:lastRow="0" w:firstColumn="0" w:lastColumn="0" w:oddVBand="0" w:evenVBand="0" w:oddHBand="1" w:evenHBand="0" w:firstRowFirstColumn="0" w:firstRowLastColumn="0" w:lastRowFirstColumn="0" w:lastRowLastColumn="0"/>
          <w:trHeight w:val="360"/>
        </w:trPr>
        <w:tc>
          <w:tcPr>
            <w:tcW w:w="1022" w:type="pct"/>
            <w:vMerge/>
            <w:tcBorders>
              <w:left w:val="single" w:sz="4" w:space="0" w:color="auto"/>
            </w:tcBorders>
          </w:tcPr>
          <w:p w14:paraId="4B0CF87B" w14:textId="77777777" w:rsidR="00052BEA" w:rsidRPr="00052BEA" w:rsidRDefault="00052BEA" w:rsidP="00052BEA">
            <w:pPr>
              <w:widowControl w:val="0"/>
              <w:pBdr>
                <w:top w:val="nil"/>
                <w:left w:val="nil"/>
                <w:bottom w:val="nil"/>
                <w:right w:val="nil"/>
                <w:between w:val="nil"/>
              </w:pBdr>
              <w:spacing w:line="276" w:lineRule="auto"/>
              <w:rPr>
                <w:rFonts w:asciiTheme="minorHAnsi" w:eastAsia="Times New Roman" w:hAnsiTheme="minorHAnsi" w:cstheme="minorHAnsi"/>
                <w:i/>
                <w:iCs/>
                <w:color w:val="000000"/>
                <w:sz w:val="21"/>
                <w:szCs w:val="21"/>
              </w:rPr>
            </w:pPr>
          </w:p>
        </w:tc>
        <w:tc>
          <w:tcPr>
            <w:tcW w:w="1100" w:type="pct"/>
            <w:vMerge/>
          </w:tcPr>
          <w:p w14:paraId="4BA57461" w14:textId="77777777" w:rsidR="00052BEA" w:rsidRPr="00052BEA" w:rsidRDefault="00052BEA" w:rsidP="00052BEA">
            <w:pPr>
              <w:widowControl w:val="0"/>
              <w:pBdr>
                <w:top w:val="nil"/>
                <w:left w:val="nil"/>
                <w:bottom w:val="nil"/>
                <w:right w:val="nil"/>
                <w:between w:val="nil"/>
              </w:pBdr>
              <w:spacing w:line="276" w:lineRule="auto"/>
              <w:rPr>
                <w:rFonts w:asciiTheme="minorHAnsi" w:eastAsia="Times New Roman" w:hAnsiTheme="minorHAnsi" w:cstheme="minorHAnsi"/>
                <w:i/>
                <w:iCs/>
                <w:color w:val="000000"/>
                <w:sz w:val="21"/>
                <w:szCs w:val="21"/>
              </w:rPr>
            </w:pPr>
          </w:p>
        </w:tc>
        <w:tc>
          <w:tcPr>
            <w:tcW w:w="864" w:type="pct"/>
          </w:tcPr>
          <w:p w14:paraId="256E8415" w14:textId="77777777" w:rsidR="00052BEA" w:rsidRPr="00052BEA" w:rsidRDefault="00052BEA" w:rsidP="00052BEA">
            <w:pPr>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Upper Bound</w:t>
            </w:r>
          </w:p>
        </w:tc>
        <w:tc>
          <w:tcPr>
            <w:tcW w:w="550" w:type="pct"/>
          </w:tcPr>
          <w:p w14:paraId="1BCDE11D"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15</w:t>
            </w:r>
          </w:p>
        </w:tc>
        <w:tc>
          <w:tcPr>
            <w:tcW w:w="472" w:type="pct"/>
          </w:tcPr>
          <w:p w14:paraId="4441D3F3"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14</w:t>
            </w:r>
          </w:p>
        </w:tc>
        <w:tc>
          <w:tcPr>
            <w:tcW w:w="550" w:type="pct"/>
          </w:tcPr>
          <w:p w14:paraId="2C6CF6E2"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13</w:t>
            </w:r>
          </w:p>
        </w:tc>
        <w:tc>
          <w:tcPr>
            <w:tcW w:w="442" w:type="pct"/>
            <w:tcBorders>
              <w:right w:val="single" w:sz="4" w:space="0" w:color="auto"/>
            </w:tcBorders>
          </w:tcPr>
          <w:p w14:paraId="6B47FB44" w14:textId="77777777" w:rsidR="00052BEA" w:rsidRPr="00052BEA" w:rsidRDefault="00052BEA" w:rsidP="00052BEA">
            <w:pPr>
              <w:jc w:val="right"/>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 </w:t>
            </w:r>
          </w:p>
        </w:tc>
      </w:tr>
      <w:tr w:rsidR="00052BEA" w:rsidRPr="00052BEA" w14:paraId="0B4328DE" w14:textId="77777777" w:rsidTr="00AB4128">
        <w:trPr>
          <w:trHeight w:val="360"/>
        </w:trPr>
        <w:tc>
          <w:tcPr>
            <w:tcW w:w="5000" w:type="pct"/>
            <w:gridSpan w:val="7"/>
            <w:tcBorders>
              <w:left w:val="single" w:sz="4" w:space="0" w:color="auto"/>
              <w:bottom w:val="single" w:sz="4" w:space="0" w:color="auto"/>
              <w:right w:val="single" w:sz="4" w:space="0" w:color="auto"/>
            </w:tcBorders>
          </w:tcPr>
          <w:p w14:paraId="0384732D" w14:textId="77777777" w:rsidR="00052BEA" w:rsidRPr="00052BEA" w:rsidRDefault="00052BEA" w:rsidP="00052BEA">
            <w:pPr>
              <w:jc w:val="center"/>
              <w:rPr>
                <w:rFonts w:asciiTheme="minorHAnsi" w:eastAsia="Times New Roman" w:hAnsiTheme="minorHAnsi" w:cstheme="minorHAnsi"/>
                <w:i/>
                <w:iCs/>
                <w:color w:val="000000"/>
                <w:sz w:val="21"/>
                <w:szCs w:val="21"/>
              </w:rPr>
            </w:pPr>
            <w:r w:rsidRPr="00052BEA">
              <w:rPr>
                <w:rFonts w:asciiTheme="minorHAnsi" w:eastAsia="Times New Roman" w:hAnsiTheme="minorHAnsi" w:cstheme="minorHAnsi"/>
                <w:i/>
                <w:iCs/>
                <w:color w:val="000000"/>
                <w:sz w:val="21"/>
                <w:szCs w:val="21"/>
              </w:rPr>
              <w:t>p=.468</w:t>
            </w:r>
          </w:p>
        </w:tc>
      </w:tr>
    </w:tbl>
    <w:p w14:paraId="1266D6D5" w14:textId="498BC7FD" w:rsidR="00052BEA" w:rsidRPr="00052BEA" w:rsidRDefault="00052BEA" w:rsidP="00FB3597">
      <w:pPr>
        <w:pStyle w:val="Subtitle"/>
      </w:pPr>
      <w:bookmarkStart w:id="322" w:name="_Toc45030386"/>
      <w:bookmarkStart w:id="323" w:name="_Toc49807623"/>
      <w:bookmarkStart w:id="324" w:name="_Toc64724198"/>
      <w:r w:rsidRPr="00052BEA">
        <w:lastRenderedPageBreak/>
        <w:t xml:space="preserve">Figure 4.2 Bar </w:t>
      </w:r>
      <w:r w:rsidR="00234C1B">
        <w:t>C</w:t>
      </w:r>
      <w:r w:rsidRPr="00052BEA">
        <w:t xml:space="preserve">hart for </w:t>
      </w:r>
      <w:r w:rsidR="00234C1B">
        <w:t>S</w:t>
      </w:r>
      <w:r w:rsidRPr="00052BEA">
        <w:t>elf-</w:t>
      </w:r>
      <w:r w:rsidR="00234C1B">
        <w:t>R</w:t>
      </w:r>
      <w:r w:rsidRPr="00052BEA">
        <w:t xml:space="preserve">eport of </w:t>
      </w:r>
      <w:r w:rsidR="00234C1B">
        <w:t>P</w:t>
      </w:r>
      <w:r w:rsidRPr="00052BEA">
        <w:t xml:space="preserve">ain as </w:t>
      </w:r>
      <w:r w:rsidR="00234C1B">
        <w:t>M</w:t>
      </w:r>
      <w:r w:rsidRPr="00052BEA">
        <w:t xml:space="preserve">easured by Likert </w:t>
      </w:r>
      <w:r w:rsidR="00234C1B">
        <w:t>S</w:t>
      </w:r>
      <w:r w:rsidRPr="00052BEA">
        <w:t xml:space="preserve">cale by </w:t>
      </w:r>
      <w:r w:rsidR="00234C1B">
        <w:t>P</w:t>
      </w:r>
      <w:r w:rsidRPr="00052BEA">
        <w:t>articipants in the P-DPN group</w:t>
      </w:r>
      <w:bookmarkEnd w:id="322"/>
      <w:bookmarkEnd w:id="323"/>
      <w:bookmarkEnd w:id="324"/>
    </w:p>
    <w:p w14:paraId="0E4C7489" w14:textId="77777777" w:rsidR="00052BEA" w:rsidRPr="00052BEA" w:rsidRDefault="00052BEA" w:rsidP="00052BEA">
      <w:pPr>
        <w:rPr>
          <w:rFonts w:cs="Arial"/>
        </w:rPr>
      </w:pPr>
      <w:r w:rsidRPr="00052BEA">
        <w:rPr>
          <w:rFonts w:cs="Arial"/>
          <w:noProof/>
          <w:lang w:eastAsia="en-GB"/>
        </w:rPr>
        <mc:AlternateContent>
          <mc:Choice Requires="wps">
            <w:drawing>
              <wp:anchor distT="0" distB="0" distL="114300" distR="114300" simplePos="0" relativeHeight="251744256" behindDoc="0" locked="0" layoutInCell="1" allowOverlap="1" wp14:anchorId="0C199E6B" wp14:editId="4DDF2066">
                <wp:simplePos x="0" y="0"/>
                <wp:positionH relativeFrom="column">
                  <wp:posOffset>2267643</wp:posOffset>
                </wp:positionH>
                <wp:positionV relativeFrom="paragraph">
                  <wp:posOffset>83358</wp:posOffset>
                </wp:positionV>
                <wp:extent cx="1016000" cy="129309"/>
                <wp:effectExtent l="0" t="0" r="0" b="0"/>
                <wp:wrapNone/>
                <wp:docPr id="56" name="Rectangle 56"/>
                <wp:cNvGraphicFramePr/>
                <a:graphic xmlns:a="http://schemas.openxmlformats.org/drawingml/2006/main">
                  <a:graphicData uri="http://schemas.microsoft.com/office/word/2010/wordprocessingShape">
                    <wps:wsp>
                      <wps:cNvSpPr/>
                      <wps:spPr>
                        <a:xfrm>
                          <a:off x="0" y="0"/>
                          <a:ext cx="1016000" cy="129309"/>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D19DB42" id="Rectangle 56" o:spid="_x0000_s1026" style="position:absolute;margin-left:178.55pt;margin-top:6.55pt;width:80pt;height:10.2pt;z-index:25174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" fillcolor="window" stroked="f" strokeweight="1pt"/>
            </w:pict>
          </mc:Fallback>
        </mc:AlternateContent>
      </w:r>
      <w:r w:rsidRPr="00052BEA">
        <w:rPr>
          <w:rFonts w:cs="Arial"/>
          <w:noProof/>
        </w:rPr>
        <w:t xml:space="preserve"> </w:t>
      </w:r>
      <w:r w:rsidRPr="00052BEA">
        <w:rPr>
          <w:rFonts w:cs="Arial"/>
          <w:noProof/>
          <w:lang w:eastAsia="en-GB"/>
        </w:rPr>
        <w:drawing>
          <wp:inline distT="0" distB="0" distL="0" distR="0" wp14:anchorId="03EAC55F" wp14:editId="7825B6D8">
            <wp:extent cx="4081780" cy="2408919"/>
            <wp:effectExtent l="12700" t="12700" r="7620" b="17145"/>
            <wp:docPr id="57" name="Picture 57"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lose up of a logo&#10;&#10;Description automatically generated"/>
                    <pic:cNvPicPr/>
                  </pic:nvPicPr>
                  <pic:blipFill>
                    <a:blip r:embed="rId44"/>
                    <a:stretch>
                      <a:fillRect/>
                    </a:stretch>
                  </pic:blipFill>
                  <pic:spPr>
                    <a:xfrm>
                      <a:off x="0" y="0"/>
                      <a:ext cx="4104320" cy="2422221"/>
                    </a:xfrm>
                    <a:prstGeom prst="rect">
                      <a:avLst/>
                    </a:prstGeom>
                    <a:ln>
                      <a:solidFill>
                        <a:srgbClr val="4472C4"/>
                      </a:solidFill>
                    </a:ln>
                  </pic:spPr>
                </pic:pic>
              </a:graphicData>
            </a:graphic>
          </wp:inline>
        </w:drawing>
      </w:r>
    </w:p>
    <w:p w14:paraId="261F665E" w14:textId="77777777" w:rsidR="00052BEA" w:rsidRPr="00FB3597" w:rsidRDefault="00052BEA" w:rsidP="00FB3597">
      <w:pPr>
        <w:spacing w:line="360" w:lineRule="auto"/>
        <w:rPr>
          <w:rStyle w:val="SubtleEmphasis"/>
        </w:rPr>
      </w:pPr>
      <w:r w:rsidRPr="00FB3597">
        <w:rPr>
          <w:rStyle w:val="SubtleEmphasis"/>
        </w:rPr>
        <w:t>Participants reporting pain measured by Likert scale /10 at the time of Visit 2.  There are 12 participants experiencing pain at the time of Visit 2 and 10 experiencing significant pain (Likert scale &gt;4)</w:t>
      </w:r>
    </w:p>
    <w:p w14:paraId="1DA6D946" w14:textId="39488E2A" w:rsidR="00052BEA" w:rsidRPr="00052BEA" w:rsidRDefault="00052BEA" w:rsidP="0002605E">
      <w:pPr>
        <w:pStyle w:val="Heading3"/>
      </w:pPr>
      <w:bookmarkStart w:id="325" w:name="_Toc431375305"/>
      <w:bookmarkStart w:id="326" w:name="_Toc44861333"/>
      <w:bookmarkStart w:id="327" w:name="_Toc64723936"/>
      <w:r w:rsidRPr="00052BEA">
        <w:t>Baseline RBV</w:t>
      </w:r>
      <w:bookmarkEnd w:id="325"/>
      <w:bookmarkEnd w:id="326"/>
      <w:bookmarkEnd w:id="327"/>
    </w:p>
    <w:p w14:paraId="24EA23F4" w14:textId="667F20E5" w:rsidR="000D0695" w:rsidRDefault="00052BEA" w:rsidP="00052BEA">
      <w:pPr>
        <w:spacing w:line="360" w:lineRule="auto"/>
      </w:pPr>
      <w:r w:rsidRPr="00052BEA">
        <w:t xml:space="preserve">There was no overall effect of group on RBV by multivariate ANOVA: Wilks' </w:t>
      </w:r>
      <w:r w:rsidRPr="00052BEA">
        <w:rPr>
          <w:rFonts w:hint="eastAsia"/>
        </w:rPr>
        <w:t>λ</w:t>
      </w:r>
      <w:r w:rsidRPr="00052BEA">
        <w:t>= .677, F(24,183), =1.099, p=.349.  There was no significant difference by univariate ANOVA for RBV in the individual regions of interest (Figure 4.3,</w:t>
      </w:r>
      <w:r w:rsidR="00BA7112">
        <w:t xml:space="preserve"> and </w:t>
      </w:r>
      <w:r w:rsidRPr="00052BEA">
        <w:t xml:space="preserve">Appendix C, Table C.2).  </w:t>
      </w:r>
    </w:p>
    <w:p w14:paraId="45721318" w14:textId="53E57DF8" w:rsidR="00052BEA" w:rsidRPr="00052BEA" w:rsidRDefault="00052BEA" w:rsidP="00FB3597">
      <w:pPr>
        <w:pStyle w:val="Subtitle"/>
        <w:rPr>
          <w:rFonts w:eastAsia="Calibri"/>
        </w:rPr>
      </w:pPr>
      <w:bookmarkStart w:id="328" w:name="_Toc417900850"/>
      <w:bookmarkStart w:id="329" w:name="_Toc45030387"/>
      <w:bookmarkStart w:id="330" w:name="_Toc49807624"/>
      <w:bookmarkStart w:id="331" w:name="_Toc64724199"/>
      <w:r w:rsidRPr="00052BEA">
        <w:rPr>
          <w:rFonts w:eastAsia="Calibri"/>
        </w:rPr>
        <w:t xml:space="preserve">Figure 4.3  95% Confidence intervals for the Group </w:t>
      </w:r>
      <w:r w:rsidR="00821061">
        <w:rPr>
          <w:rFonts w:eastAsia="Calibri"/>
        </w:rPr>
        <w:t>M</w:t>
      </w:r>
      <w:r w:rsidRPr="00052BEA">
        <w:rPr>
          <w:rFonts w:eastAsia="Calibri"/>
        </w:rPr>
        <w:t xml:space="preserve">eans and Regions of Interest for </w:t>
      </w:r>
      <w:r w:rsidR="00D46266">
        <w:rPr>
          <w:rFonts w:eastAsia="Calibri"/>
        </w:rPr>
        <w:t>R</w:t>
      </w:r>
      <w:r w:rsidRPr="00052BEA">
        <w:rPr>
          <w:rFonts w:eastAsia="Calibri"/>
        </w:rPr>
        <w:t xml:space="preserve">egional </w:t>
      </w:r>
      <w:r w:rsidR="00D46266">
        <w:rPr>
          <w:rFonts w:eastAsia="Calibri"/>
        </w:rPr>
        <w:t>B</w:t>
      </w:r>
      <w:r w:rsidRPr="00052BEA">
        <w:rPr>
          <w:rFonts w:eastAsia="Calibri"/>
        </w:rPr>
        <w:t xml:space="preserve">lood </w:t>
      </w:r>
      <w:r w:rsidR="00D46266">
        <w:rPr>
          <w:rFonts w:eastAsia="Calibri"/>
        </w:rPr>
        <w:t>V</w:t>
      </w:r>
      <w:r w:rsidRPr="00052BEA">
        <w:rPr>
          <w:rFonts w:eastAsia="Calibri"/>
        </w:rPr>
        <w:t xml:space="preserve">olume at </w:t>
      </w:r>
      <w:r w:rsidR="00821061">
        <w:rPr>
          <w:rFonts w:eastAsia="Calibri"/>
        </w:rPr>
        <w:t>V</w:t>
      </w:r>
      <w:r w:rsidRPr="00052BEA">
        <w:rPr>
          <w:rFonts w:eastAsia="Calibri"/>
        </w:rPr>
        <w:t>isit 2</w:t>
      </w:r>
      <w:bookmarkEnd w:id="328"/>
      <w:bookmarkEnd w:id="329"/>
      <w:bookmarkEnd w:id="330"/>
      <w:bookmarkEnd w:id="331"/>
    </w:p>
    <w:p w14:paraId="44535630" w14:textId="401E779D" w:rsidR="00052BEA" w:rsidRDefault="00052BEA" w:rsidP="00052BEA">
      <w:pPr>
        <w:rPr>
          <w:rFonts w:cs="Arial"/>
        </w:rPr>
      </w:pPr>
      <w:r w:rsidRPr="00052BEA">
        <w:rPr>
          <w:rFonts w:cs="Arial"/>
          <w:noProof/>
          <w:lang w:eastAsia="en-GB"/>
        </w:rPr>
        <w:drawing>
          <wp:inline distT="0" distB="0" distL="0" distR="0" wp14:anchorId="53F94A11" wp14:editId="2ED46EF5">
            <wp:extent cx="4226560" cy="2540162"/>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320375" cy="2596545"/>
                    </a:xfrm>
                    <a:prstGeom prst="rect">
                      <a:avLst/>
                    </a:prstGeom>
                  </pic:spPr>
                </pic:pic>
              </a:graphicData>
            </a:graphic>
          </wp:inline>
        </w:drawing>
      </w:r>
    </w:p>
    <w:p w14:paraId="6631612B" w14:textId="59412B9B" w:rsidR="00FB3597" w:rsidRDefault="00052BEA" w:rsidP="000D0695">
      <w:pPr>
        <w:spacing w:line="360" w:lineRule="auto"/>
        <w:rPr>
          <w:rStyle w:val="SubtleEmphasis"/>
        </w:rPr>
      </w:pPr>
      <w:r w:rsidRPr="00FB3597">
        <w:rPr>
          <w:rStyle w:val="SubtleEmphasis"/>
        </w:rPr>
        <w:t>Mean RBV is represented on the Y axis with error bars representing 95% confidence intervals.  Regions of Interest (ROI) are shown across the X axis, and groups are represented by colour.  Mean RBV is not different between the groups</w:t>
      </w:r>
    </w:p>
    <w:p w14:paraId="7D80935F" w14:textId="77777777" w:rsidR="00FB3597" w:rsidRPr="00052BEA" w:rsidRDefault="00FB3597" w:rsidP="0002605E">
      <w:pPr>
        <w:pStyle w:val="Heading3"/>
      </w:pPr>
      <w:bookmarkStart w:id="332" w:name="_Toc431375307"/>
      <w:bookmarkStart w:id="333" w:name="_Toc44861334"/>
      <w:bookmarkStart w:id="334" w:name="_Toc64723937"/>
      <w:bookmarkStart w:id="335" w:name="_Toc431375308"/>
      <w:bookmarkStart w:id="336" w:name="_Toc44861335"/>
      <w:r w:rsidRPr="00052BEA">
        <w:lastRenderedPageBreak/>
        <w:t>Baseline RBF</w:t>
      </w:r>
      <w:bookmarkEnd w:id="332"/>
      <w:bookmarkEnd w:id="333"/>
      <w:bookmarkEnd w:id="334"/>
    </w:p>
    <w:p w14:paraId="48A29B9F" w14:textId="6B397DAC" w:rsidR="00FB3597" w:rsidRPr="00052BEA" w:rsidRDefault="00FB3597" w:rsidP="00FB3597">
      <w:pPr>
        <w:spacing w:line="360" w:lineRule="auto"/>
      </w:pPr>
      <w:r w:rsidRPr="00052BEA">
        <w:t xml:space="preserve">There was no overall effect of group on RBF by multivariate ANOVA: Wilks' </w:t>
      </w:r>
      <w:r w:rsidRPr="00052BEA">
        <w:rPr>
          <w:rFonts w:hint="eastAsia"/>
        </w:rPr>
        <w:t>λ</w:t>
      </w:r>
      <w:r w:rsidRPr="00052BEA">
        <w:t xml:space="preserve">= 0.699, F(24,183) =1.002, p=.465.  There was no significant difference by univariate ANOVA RBF for individual regions of interest, see Figure 4.4 and table C.3 in appendix C for individual values. </w:t>
      </w:r>
    </w:p>
    <w:bookmarkEnd w:id="335"/>
    <w:bookmarkEnd w:id="336"/>
    <w:p w14:paraId="3432CCA0" w14:textId="77777777" w:rsidR="00FB3597" w:rsidRPr="00FB3597" w:rsidRDefault="00FB3597" w:rsidP="000D0695">
      <w:pPr>
        <w:spacing w:line="360" w:lineRule="auto"/>
        <w:rPr>
          <w:i/>
          <w:color w:val="808080" w:themeColor="text1" w:themeTint="7F"/>
          <w:sz w:val="21"/>
        </w:rPr>
      </w:pPr>
    </w:p>
    <w:p w14:paraId="288319D7" w14:textId="153ED3A4" w:rsidR="00052BEA" w:rsidRPr="00B37FEA" w:rsidRDefault="00052BEA" w:rsidP="00B37FEA">
      <w:pPr>
        <w:spacing w:line="360" w:lineRule="auto"/>
      </w:pPr>
      <w:bookmarkStart w:id="337" w:name="_Toc64724200"/>
      <w:bookmarkStart w:id="338" w:name="_Toc49807625"/>
      <w:r w:rsidRPr="00B37FEA">
        <w:rPr>
          <w:rStyle w:val="SubtitleChar"/>
        </w:rPr>
        <w:t xml:space="preserve">Figure 4.4  95% Confidence </w:t>
      </w:r>
      <w:r w:rsidR="00D46266">
        <w:rPr>
          <w:rStyle w:val="SubtitleChar"/>
        </w:rPr>
        <w:t>I</w:t>
      </w:r>
      <w:r w:rsidRPr="00B37FEA">
        <w:rPr>
          <w:rStyle w:val="SubtitleChar"/>
        </w:rPr>
        <w:t xml:space="preserve">ntervals for the Group </w:t>
      </w:r>
      <w:r w:rsidR="00D46266">
        <w:rPr>
          <w:rStyle w:val="SubtitleChar"/>
        </w:rPr>
        <w:t>M</w:t>
      </w:r>
      <w:r w:rsidRPr="00B37FEA">
        <w:rPr>
          <w:rStyle w:val="SubtitleChar"/>
        </w:rPr>
        <w:t xml:space="preserve">eans and Regions of Interest for Regional Blood Flow at </w:t>
      </w:r>
      <w:r w:rsidR="00D46266">
        <w:rPr>
          <w:rStyle w:val="SubtitleChar"/>
        </w:rPr>
        <w:t>V</w:t>
      </w:r>
      <w:r w:rsidR="000D0695" w:rsidRPr="00B37FEA">
        <w:rPr>
          <w:rStyle w:val="SubtitleChar"/>
        </w:rPr>
        <w:t>isit 2</w:t>
      </w:r>
      <w:bookmarkEnd w:id="337"/>
      <w:r w:rsidR="000D0695" w:rsidRPr="00B37FEA">
        <w:rPr>
          <w:noProof/>
        </w:rPr>
        <w:drawing>
          <wp:inline distT="0" distB="0" distL="0" distR="0" wp14:anchorId="74F5127A" wp14:editId="1AE1452D">
            <wp:extent cx="4958080" cy="273621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012475" cy="2766234"/>
                    </a:xfrm>
                    <a:prstGeom prst="rect">
                      <a:avLst/>
                    </a:prstGeom>
                  </pic:spPr>
                </pic:pic>
              </a:graphicData>
            </a:graphic>
          </wp:inline>
        </w:drawing>
      </w:r>
      <w:bookmarkEnd w:id="338"/>
    </w:p>
    <w:p w14:paraId="69603042" w14:textId="77777777" w:rsidR="00052BEA" w:rsidRPr="00052BEA" w:rsidRDefault="00052BEA" w:rsidP="000D0695">
      <w:pPr>
        <w:spacing w:line="360" w:lineRule="auto"/>
        <w:rPr>
          <w:i/>
          <w:iCs/>
          <w:color w:val="808080" w:themeColor="text1" w:themeTint="7F"/>
          <w:sz w:val="21"/>
        </w:rPr>
      </w:pPr>
      <w:r w:rsidRPr="00052BEA">
        <w:rPr>
          <w:i/>
          <w:iCs/>
          <w:color w:val="808080" w:themeColor="text1" w:themeTint="7F"/>
          <w:sz w:val="21"/>
        </w:rPr>
        <w:t>Mean RBF is represented on the Y axis with error bars representing 95% confidence intervals.  Regions of Interest (ROI) are shown across the X axis, and groups are represented by colour.  Mean RBF is not different between the groups</w:t>
      </w:r>
    </w:p>
    <w:p w14:paraId="450686E5" w14:textId="77777777" w:rsidR="00FB3597" w:rsidRPr="00052BEA" w:rsidRDefault="00FB3597" w:rsidP="0002605E">
      <w:pPr>
        <w:pStyle w:val="Heading3"/>
      </w:pPr>
      <w:bookmarkStart w:id="339" w:name="_Toc64723938"/>
      <w:r w:rsidRPr="00052BEA">
        <w:t>Baseline MTT</w:t>
      </w:r>
      <w:bookmarkEnd w:id="339"/>
    </w:p>
    <w:p w14:paraId="2671E758" w14:textId="6F41741B" w:rsidR="00FB3597" w:rsidRDefault="00FB3597" w:rsidP="00FB3597">
      <w:pPr>
        <w:spacing w:line="360" w:lineRule="auto"/>
      </w:pPr>
      <w:r w:rsidRPr="00052BEA">
        <w:t xml:space="preserve">There was no overall effect of group on MTT by multivariate ANOVA: Wilks' </w:t>
      </w:r>
      <w:r w:rsidRPr="00052BEA">
        <w:rPr>
          <w:rFonts w:hint="eastAsia"/>
        </w:rPr>
        <w:t>λ</w:t>
      </w:r>
      <w:r w:rsidRPr="00052BEA">
        <w:t xml:space="preserve"> = .627, F(24,183), =1.334, p=.147.  However, there was statistical significance of the univariate ANOVA at the LINS F(3,70)= 3.642, p=.017</w:t>
      </w:r>
      <w:r w:rsidR="000465DF">
        <w:t>;</w:t>
      </w:r>
      <w:r w:rsidRPr="00052BEA">
        <w:t xml:space="preserve"> RINS F(3,70)=2.936,</w:t>
      </w:r>
      <w:r w:rsidR="000465DF">
        <w:t xml:space="preserve"> </w:t>
      </w:r>
      <w:r w:rsidRPr="00052BEA">
        <w:t>p=.039</w:t>
      </w:r>
      <w:r w:rsidR="000465DF">
        <w:t xml:space="preserve">; </w:t>
      </w:r>
      <w:r w:rsidRPr="00052BEA">
        <w:t>LPSC F(3,70)= 3.291, p=.026</w:t>
      </w:r>
      <w:r w:rsidR="000465DF">
        <w:t>; and</w:t>
      </w:r>
      <w:r w:rsidRPr="00052BEA">
        <w:t xml:space="preserve"> RPSC F(3,70)= 2.789, p=.047 </w:t>
      </w:r>
      <w:r w:rsidR="000465DF">
        <w:t>(</w:t>
      </w:r>
      <w:r w:rsidRPr="00052BEA">
        <w:t>see Figure 4.4 and Appendix C, table C.3</w:t>
      </w:r>
      <w:r w:rsidR="000465DF">
        <w:t>)</w:t>
      </w:r>
      <w:r w:rsidRPr="00052BEA">
        <w:t xml:space="preserve">. </w:t>
      </w:r>
      <w:r w:rsidR="00F46B66">
        <w:t xml:space="preserve"> </w:t>
      </w:r>
      <w:r w:rsidRPr="00052BEA">
        <w:t xml:space="preserve">Therefore, for many regions of interest the DM-NN have a significantly faster MTT than HV. </w:t>
      </w:r>
    </w:p>
    <w:p w14:paraId="5131816B" w14:textId="77777777" w:rsidR="00FB3597" w:rsidRDefault="00FB3597" w:rsidP="00FB3597">
      <w:pPr>
        <w:spacing w:line="360" w:lineRule="auto"/>
        <w:rPr>
          <w:rFonts w:cs="Arial"/>
          <w:color w:val="000000" w:themeColor="text1"/>
        </w:rPr>
      </w:pPr>
      <w:r w:rsidRPr="00052BEA">
        <w:rPr>
          <w:rFonts w:cs="Arial"/>
          <w:color w:val="000000" w:themeColor="text1"/>
        </w:rPr>
        <w:t>Post Hoc testing revealed that group means for MTT at the left insula were significantly different between the HV and the DM-NN, and the HV and the DPN group (Figure 4.5).  At the RINS and the LPSC the group mean MTT was statistically significantly different between the HV and the DM-NN groups (Figure 4.5).  There was no post Hoc significance for the RPSC.</w:t>
      </w:r>
    </w:p>
    <w:p w14:paraId="44B6DACC" w14:textId="59B37E92" w:rsidR="00052BEA" w:rsidRPr="00052BEA" w:rsidRDefault="00052BEA" w:rsidP="0002605E">
      <w:pPr>
        <w:pStyle w:val="Subtitle"/>
      </w:pPr>
      <w:bookmarkStart w:id="340" w:name="_Toc417900854"/>
      <w:bookmarkStart w:id="341" w:name="_Toc45030389"/>
      <w:bookmarkStart w:id="342" w:name="_Toc49807626"/>
      <w:bookmarkStart w:id="343" w:name="_Toc64724201"/>
      <w:r w:rsidRPr="00052BEA">
        <w:lastRenderedPageBreak/>
        <w:t xml:space="preserve">Figure 4.5 95% Confidence </w:t>
      </w:r>
      <w:r w:rsidR="0002605E">
        <w:t>I</w:t>
      </w:r>
      <w:r w:rsidRPr="00052BEA">
        <w:t xml:space="preserve">ntervals for the Group </w:t>
      </w:r>
      <w:r w:rsidR="00D46266">
        <w:t>M</w:t>
      </w:r>
      <w:r w:rsidRPr="00052BEA">
        <w:t xml:space="preserve">eans and Regions of Interest for Mean </w:t>
      </w:r>
      <w:r w:rsidR="0002605E">
        <w:t>T</w:t>
      </w:r>
      <w:r w:rsidRPr="00052BEA">
        <w:t xml:space="preserve">ransit </w:t>
      </w:r>
      <w:r w:rsidR="0002605E">
        <w:t>T</w:t>
      </w:r>
      <w:r w:rsidRPr="00052BEA">
        <w:t xml:space="preserve">ime at </w:t>
      </w:r>
      <w:r w:rsidR="0002605E">
        <w:t>V</w:t>
      </w:r>
      <w:r w:rsidRPr="00052BEA">
        <w:t>isit 2</w:t>
      </w:r>
      <w:bookmarkEnd w:id="340"/>
      <w:bookmarkEnd w:id="341"/>
      <w:bookmarkEnd w:id="342"/>
      <w:bookmarkEnd w:id="343"/>
      <w:r w:rsidRPr="00052BEA">
        <w:t xml:space="preserve"> </w:t>
      </w:r>
    </w:p>
    <w:p w14:paraId="35F49170" w14:textId="77777777" w:rsidR="00052BEA" w:rsidRPr="00052BEA" w:rsidRDefault="00052BEA" w:rsidP="00052BEA">
      <w:pPr>
        <w:rPr>
          <w:rFonts w:cs="Arial"/>
        </w:rPr>
      </w:pPr>
      <w:r w:rsidRPr="00052BEA">
        <w:rPr>
          <w:rFonts w:cs="Arial"/>
          <w:noProof/>
          <w:lang w:eastAsia="en-GB"/>
        </w:rPr>
        <w:drawing>
          <wp:inline distT="0" distB="0" distL="0" distR="0" wp14:anchorId="66BFE5B4" wp14:editId="0A659B02">
            <wp:extent cx="5452110" cy="3397474"/>
            <wp:effectExtent l="12700" t="12700" r="8890" b="190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472126" cy="3409947"/>
                    </a:xfrm>
                    <a:prstGeom prst="rect">
                      <a:avLst/>
                    </a:prstGeom>
                    <a:ln>
                      <a:solidFill>
                        <a:srgbClr val="4472C4"/>
                      </a:solidFill>
                    </a:ln>
                  </pic:spPr>
                </pic:pic>
              </a:graphicData>
            </a:graphic>
          </wp:inline>
        </w:drawing>
      </w:r>
    </w:p>
    <w:p w14:paraId="027C3A8D" w14:textId="1F6BA17B" w:rsidR="00052BEA" w:rsidRPr="00052BEA" w:rsidRDefault="00052BEA" w:rsidP="00052BEA">
      <w:pPr>
        <w:spacing w:line="360" w:lineRule="auto"/>
        <w:rPr>
          <w:rFonts w:cs="Arial"/>
          <w:i/>
          <w:iCs/>
          <w:color w:val="808080"/>
          <w:sz w:val="21"/>
          <w:szCs w:val="21"/>
        </w:rPr>
      </w:pPr>
      <w:r w:rsidRPr="00052BEA">
        <w:rPr>
          <w:i/>
          <w:iCs/>
          <w:color w:val="808080" w:themeColor="text1" w:themeTint="7F"/>
          <w:sz w:val="21"/>
        </w:rPr>
        <w:t xml:space="preserve">Mean MTT is represented on the Y axis with error bars representing 95% confidence intervals.  Regions of Interest (ROI) are shown across the X axis, and groups are represented by colour.  Mean MTT is different at the </w:t>
      </w:r>
      <w:r w:rsidRPr="00052BEA">
        <w:rPr>
          <w:i/>
          <w:iCs/>
          <w:color w:val="808080" w:themeColor="text1" w:themeTint="7F"/>
          <w:sz w:val="21"/>
          <w:szCs w:val="21"/>
        </w:rPr>
        <w:t xml:space="preserve">LINS: </w:t>
      </w:r>
      <w:r w:rsidRPr="00052BEA">
        <w:rPr>
          <w:rFonts w:cs="Arial"/>
          <w:i/>
          <w:iCs/>
          <w:color w:val="808080"/>
          <w:sz w:val="21"/>
          <w:szCs w:val="21"/>
        </w:rPr>
        <w:t xml:space="preserve">HV vs DM-NN p=.027, HV vs DPN p=.049, the RINS: HV vs DM-NN p=.046, LPSC: HV vs DM-NN p=.041, RPSC </w:t>
      </w:r>
      <w:r w:rsidRPr="00052BEA">
        <w:rPr>
          <w:rFonts w:cs="Arial"/>
          <w:i/>
          <w:iCs/>
          <w:color w:val="808080" w:themeColor="text1" w:themeTint="7F"/>
          <w:sz w:val="21"/>
        </w:rPr>
        <w:t>no post Hoc significance</w:t>
      </w:r>
      <w:r w:rsidRPr="00052BEA">
        <w:rPr>
          <w:rFonts w:cs="Arial"/>
          <w:i/>
          <w:iCs/>
          <w:color w:val="808080"/>
          <w:sz w:val="21"/>
          <w:szCs w:val="21"/>
        </w:rPr>
        <w:t xml:space="preserve"> </w:t>
      </w:r>
    </w:p>
    <w:p w14:paraId="72DEE3EC" w14:textId="77777777" w:rsidR="00052BEA" w:rsidRPr="00052BEA" w:rsidRDefault="00052BEA" w:rsidP="00052BEA">
      <w:pPr>
        <w:rPr>
          <w:i/>
          <w:iCs/>
          <w:color w:val="808080" w:themeColor="text1" w:themeTint="7F"/>
          <w:sz w:val="21"/>
          <w:szCs w:val="21"/>
        </w:rPr>
      </w:pPr>
      <w:r w:rsidRPr="00052BEA">
        <w:rPr>
          <w:rFonts w:cs="Arial"/>
          <w:i/>
          <w:iCs/>
          <w:color w:val="808080"/>
          <w:sz w:val="21"/>
          <w:szCs w:val="21"/>
        </w:rPr>
        <w:t xml:space="preserve"> </w:t>
      </w:r>
    </w:p>
    <w:p w14:paraId="6BDAD77C" w14:textId="6BE24E51" w:rsidR="00052BEA" w:rsidRPr="00052BEA" w:rsidRDefault="00052BEA" w:rsidP="0002605E">
      <w:pPr>
        <w:pStyle w:val="Heading3"/>
      </w:pPr>
      <w:bookmarkStart w:id="344" w:name="_Toc44861336"/>
      <w:bookmarkStart w:id="345" w:name="_Toc64723939"/>
      <w:r w:rsidRPr="00052BEA">
        <w:t>MTT: further exploration</w:t>
      </w:r>
      <w:bookmarkEnd w:id="344"/>
      <w:bookmarkEnd w:id="345"/>
    </w:p>
    <w:p w14:paraId="45899F77" w14:textId="77777777" w:rsidR="00052BEA" w:rsidRPr="00052BEA" w:rsidRDefault="00052BEA" w:rsidP="00052BEA">
      <w:pPr>
        <w:spacing w:line="360" w:lineRule="auto"/>
        <w:rPr>
          <w:rFonts w:cs="Arial"/>
        </w:rPr>
      </w:pPr>
      <w:r w:rsidRPr="00052BEA">
        <w:rPr>
          <w:rFonts w:cs="Arial"/>
        </w:rPr>
        <w:t>Further exploration was undertaken to generate hypotheses for the difference between the HV group and the DM-NN group.</w:t>
      </w:r>
    </w:p>
    <w:p w14:paraId="4BB775F7" w14:textId="074A2BF9" w:rsidR="00052BEA" w:rsidRPr="00052BEA" w:rsidRDefault="00052BEA" w:rsidP="00052BEA">
      <w:pPr>
        <w:spacing w:line="360" w:lineRule="auto"/>
        <w:rPr>
          <w:rFonts w:cs="Arial"/>
        </w:rPr>
      </w:pPr>
      <w:proofErr w:type="gramStart"/>
      <w:r w:rsidRPr="00052BEA">
        <w:rPr>
          <w:rFonts w:cs="Arial"/>
        </w:rPr>
        <w:t>Firstly</w:t>
      </w:r>
      <w:proofErr w:type="gramEnd"/>
      <w:r w:rsidRPr="00052BEA">
        <w:rPr>
          <w:rFonts w:cs="Arial"/>
        </w:rPr>
        <w:t xml:space="preserve"> factors that may have affected the groups differently on the day of scanning were examined: age, pulse rate, BMI and systolic blood pressure were not significant across the modality or in the regions of interest, determined by a general linear model multivariate analysis, neither were they significant for between subject effects for the regions of interest.  There was a multivariate effect for diastolic blood pressure, p=.039 (</w:t>
      </w:r>
      <w:r w:rsidR="007109C0">
        <w:rPr>
          <w:rFonts w:cs="Arial"/>
        </w:rPr>
        <w:t xml:space="preserve">Appendix C, </w:t>
      </w:r>
      <w:r w:rsidRPr="00052BEA">
        <w:rPr>
          <w:rFonts w:cs="Arial"/>
        </w:rPr>
        <w:t xml:space="preserve">Table C.5). </w:t>
      </w:r>
    </w:p>
    <w:p w14:paraId="5835677C" w14:textId="77777777" w:rsidR="00052BEA" w:rsidRPr="00052BEA" w:rsidRDefault="00052BEA" w:rsidP="0002605E">
      <w:pPr>
        <w:pStyle w:val="Heading4"/>
      </w:pPr>
      <w:r w:rsidRPr="00052BEA">
        <w:t>Diastolic blood pressure</w:t>
      </w:r>
    </w:p>
    <w:p w14:paraId="13CFE953" w14:textId="456BF810" w:rsidR="00052BEA" w:rsidRPr="00052BEA" w:rsidRDefault="0019510E" w:rsidP="00052BEA">
      <w:pPr>
        <w:spacing w:line="360" w:lineRule="auto"/>
        <w:rPr>
          <w:rFonts w:cs="Arial"/>
        </w:rPr>
      </w:pPr>
      <w:r>
        <w:rPr>
          <w:rFonts w:cs="Arial"/>
        </w:rPr>
        <w:t xml:space="preserve">Diastolic </w:t>
      </w:r>
      <w:r w:rsidR="00052BEA" w:rsidRPr="00052BEA">
        <w:rPr>
          <w:rFonts w:cs="Arial"/>
        </w:rPr>
        <w:t xml:space="preserve">BP was examined alone as an explanatory covariate with group for MTT at the LINS and RINS and LPS and RPS. </w:t>
      </w:r>
      <w:r>
        <w:rPr>
          <w:rFonts w:cs="Arial"/>
        </w:rPr>
        <w:t>Diastolic BP</w:t>
      </w:r>
      <w:r w:rsidR="00052BEA" w:rsidRPr="00052BEA">
        <w:rPr>
          <w:rFonts w:cs="Arial"/>
        </w:rPr>
        <w:t xml:space="preserve"> was not significant as a covariate for any of the ROI:  LINS p=.169, RINS p=.755, LPS p=.294, RPS p=.794 (Appendix C- Table C.6)</w:t>
      </w:r>
    </w:p>
    <w:p w14:paraId="2A36D07F" w14:textId="77777777" w:rsidR="00052BEA" w:rsidRPr="00052BEA" w:rsidRDefault="00052BEA" w:rsidP="0002605E">
      <w:pPr>
        <w:pStyle w:val="Heading4"/>
      </w:pPr>
      <w:r w:rsidRPr="00052BEA">
        <w:lastRenderedPageBreak/>
        <w:t>Diabetes:</w:t>
      </w:r>
    </w:p>
    <w:p w14:paraId="13E96C95" w14:textId="280AA1BC" w:rsidR="00052BEA" w:rsidRPr="00052BEA" w:rsidRDefault="00052BEA" w:rsidP="00052BEA">
      <w:pPr>
        <w:spacing w:line="360" w:lineRule="auto"/>
        <w:rPr>
          <w:rFonts w:cs="Arial"/>
        </w:rPr>
      </w:pPr>
      <w:r w:rsidRPr="00052BEA">
        <w:rPr>
          <w:rFonts w:cs="Arial"/>
        </w:rPr>
        <w:t xml:space="preserve">A polynomial contrasts analysis was undertaken to examine whether the effect of MTT may be related to diabetes, due to the interrelated nature of the groups.  All Diabetes groups (ALLDM) vs HV was significant. LINS </w:t>
      </w:r>
      <w:r w:rsidRPr="00052BEA">
        <w:rPr>
          <w:rFonts w:cs="Arial"/>
          <w:color w:val="000000" w:themeColor="text1"/>
        </w:rPr>
        <w:t xml:space="preserve">HV vs </w:t>
      </w:r>
      <w:proofErr w:type="spellStart"/>
      <w:r w:rsidRPr="00052BEA">
        <w:rPr>
          <w:rFonts w:cs="Arial"/>
          <w:color w:val="000000" w:themeColor="text1"/>
        </w:rPr>
        <w:t>AllDM</w:t>
      </w:r>
      <w:proofErr w:type="spellEnd"/>
      <w:r w:rsidRPr="00052BEA">
        <w:rPr>
          <w:rFonts w:cs="Arial"/>
          <w:color w:val="000000" w:themeColor="text1"/>
        </w:rPr>
        <w:t xml:space="preserve"> p=.003, RINS: HV vs </w:t>
      </w:r>
      <w:proofErr w:type="spellStart"/>
      <w:r w:rsidRPr="00052BEA">
        <w:rPr>
          <w:rFonts w:cs="Arial"/>
          <w:color w:val="000000" w:themeColor="text1"/>
        </w:rPr>
        <w:t>AllDM</w:t>
      </w:r>
      <w:proofErr w:type="spellEnd"/>
      <w:r w:rsidRPr="00052BEA">
        <w:rPr>
          <w:rFonts w:cs="Arial"/>
          <w:color w:val="000000" w:themeColor="text1"/>
        </w:rPr>
        <w:t xml:space="preserve">: p=.009, LPSC: HV vs </w:t>
      </w:r>
      <w:proofErr w:type="spellStart"/>
      <w:r w:rsidRPr="00052BEA">
        <w:rPr>
          <w:rFonts w:cs="Arial"/>
          <w:color w:val="000000" w:themeColor="text1"/>
        </w:rPr>
        <w:t>AllDM</w:t>
      </w:r>
      <w:proofErr w:type="spellEnd"/>
      <w:r w:rsidRPr="00052BEA">
        <w:rPr>
          <w:rFonts w:cs="Arial"/>
          <w:color w:val="000000" w:themeColor="text1"/>
        </w:rPr>
        <w:t xml:space="preserve">: p=.004; RPSC; HV vs </w:t>
      </w:r>
      <w:proofErr w:type="spellStart"/>
      <w:r w:rsidRPr="00052BEA">
        <w:rPr>
          <w:rFonts w:cs="Arial"/>
          <w:color w:val="000000" w:themeColor="text1"/>
        </w:rPr>
        <w:t>AllDM</w:t>
      </w:r>
      <w:proofErr w:type="spellEnd"/>
      <w:r w:rsidRPr="00052BEA">
        <w:rPr>
          <w:rFonts w:cs="Arial"/>
          <w:color w:val="000000" w:themeColor="text1"/>
        </w:rPr>
        <w:t>: p=.012. (See Appendix C- section “Polynomial Contrasts Examining the Effect of Diabetes on MTT”</w:t>
      </w:r>
      <w:r w:rsidR="0019510E">
        <w:rPr>
          <w:rFonts w:cs="Arial"/>
          <w:color w:val="000000" w:themeColor="text1"/>
        </w:rPr>
        <w:t xml:space="preserve">, p 196 </w:t>
      </w:r>
      <w:r w:rsidRPr="00052BEA">
        <w:rPr>
          <w:rFonts w:cs="Arial"/>
          <w:color w:val="000000" w:themeColor="text1"/>
        </w:rPr>
        <w:t xml:space="preserve"> for full results). </w:t>
      </w:r>
      <w:r w:rsidR="0019510E">
        <w:rPr>
          <w:rFonts w:cs="Arial"/>
          <w:color w:val="000000" w:themeColor="text1"/>
        </w:rPr>
        <w:t xml:space="preserve"> This indicates that there is an effect of diabetes on the MTT.  </w:t>
      </w:r>
    </w:p>
    <w:p w14:paraId="7CF75ECD" w14:textId="77777777" w:rsidR="00052BEA" w:rsidRPr="00052BEA" w:rsidRDefault="00052BEA" w:rsidP="0002605E">
      <w:pPr>
        <w:pStyle w:val="Heading4"/>
      </w:pPr>
      <w:r w:rsidRPr="00052BEA">
        <w:t xml:space="preserve">Gender: </w:t>
      </w:r>
    </w:p>
    <w:p w14:paraId="38FCD409" w14:textId="542439C8" w:rsidR="00052BEA" w:rsidRPr="00052BEA" w:rsidRDefault="00052BEA" w:rsidP="00052BEA">
      <w:pPr>
        <w:spacing w:line="360" w:lineRule="auto"/>
        <w:rPr>
          <w:rFonts w:cs="Arial"/>
        </w:rPr>
      </w:pPr>
      <w:r w:rsidRPr="00052BEA">
        <w:rPr>
          <w:rFonts w:cs="Arial"/>
        </w:rPr>
        <w:t xml:space="preserve">An analysis of the effect of gender on the outcome of MTT was undertaken.  </w:t>
      </w:r>
      <w:r w:rsidR="004D6000">
        <w:rPr>
          <w:rFonts w:cs="Arial"/>
        </w:rPr>
        <w:t xml:space="preserve">The analysis was repeated with only the female participants.  </w:t>
      </w:r>
      <w:r w:rsidRPr="00052BEA">
        <w:rPr>
          <w:rFonts w:cs="Arial"/>
        </w:rPr>
        <w:t xml:space="preserve">The numbers were too small to reach significance, but the </w:t>
      </w:r>
      <w:r w:rsidR="004D6000">
        <w:rPr>
          <w:rFonts w:cs="Arial"/>
        </w:rPr>
        <w:t xml:space="preserve">same </w:t>
      </w:r>
      <w:r w:rsidRPr="00052BEA">
        <w:rPr>
          <w:rFonts w:cs="Arial"/>
        </w:rPr>
        <w:t xml:space="preserve">pattern was </w:t>
      </w:r>
      <w:r w:rsidR="004D6000">
        <w:rPr>
          <w:rFonts w:cs="Arial"/>
        </w:rPr>
        <w:t>seen</w:t>
      </w:r>
      <w:r w:rsidRPr="00052BEA">
        <w:rPr>
          <w:rFonts w:cs="Arial"/>
        </w:rPr>
        <w:t xml:space="preserve"> across the means for each group</w:t>
      </w:r>
      <w:r w:rsidR="004D6000">
        <w:rPr>
          <w:rFonts w:cs="Arial"/>
        </w:rPr>
        <w:t xml:space="preserve"> as seen in the main analysis:</w:t>
      </w:r>
      <w:r w:rsidRPr="00052BEA">
        <w:rPr>
          <w:rFonts w:cs="Arial"/>
        </w:rPr>
        <w:t xml:space="preserve"> the lowest mean in the DM-NN and the highest in the HV group. (See Appendix C, Table C.7). </w:t>
      </w:r>
    </w:p>
    <w:p w14:paraId="565F36F5" w14:textId="49691F62" w:rsidR="00052BEA" w:rsidRPr="00052BEA" w:rsidRDefault="00052BEA" w:rsidP="0002605E">
      <w:pPr>
        <w:pStyle w:val="Heading3"/>
      </w:pPr>
      <w:bookmarkStart w:id="346" w:name="_Toc431375309"/>
      <w:bookmarkStart w:id="347" w:name="_Toc44861337"/>
      <w:bookmarkStart w:id="348" w:name="_Toc64723940"/>
      <w:r w:rsidRPr="00052BEA">
        <w:t>Baseline TTP</w:t>
      </w:r>
      <w:bookmarkEnd w:id="346"/>
      <w:bookmarkEnd w:id="347"/>
      <w:bookmarkEnd w:id="348"/>
    </w:p>
    <w:p w14:paraId="1DCC3F1B" w14:textId="5E7293F9" w:rsidR="00052BEA" w:rsidRDefault="00052BEA" w:rsidP="00052BEA">
      <w:pPr>
        <w:spacing w:line="360" w:lineRule="auto"/>
        <w:rPr>
          <w:rFonts w:cs="Arial"/>
        </w:rPr>
      </w:pPr>
      <w:r w:rsidRPr="00052BEA">
        <w:rPr>
          <w:rFonts w:cs="Arial"/>
        </w:rPr>
        <w:t xml:space="preserve">The Multivariate ANOVA was not significant for group and TTP: Wilks' Lambda </w:t>
      </w:r>
      <w:r w:rsidRPr="00052BEA">
        <w:rPr>
          <w:rFonts w:hint="eastAsia"/>
        </w:rPr>
        <w:t>λ</w:t>
      </w:r>
      <w:r w:rsidRPr="00052BEA" w:rsidDel="005A4643">
        <w:rPr>
          <w:rFonts w:cs="Arial"/>
        </w:rPr>
        <w:t xml:space="preserve"> </w:t>
      </w:r>
      <w:r w:rsidRPr="00052BEA">
        <w:rPr>
          <w:rFonts w:cs="Arial"/>
        </w:rPr>
        <w:t>=.665, F</w:t>
      </w:r>
      <w:r w:rsidR="00F35564" w:rsidRPr="00052BEA">
        <w:rPr>
          <w:rFonts w:cs="Arial"/>
        </w:rPr>
        <w:t>(24,183)</w:t>
      </w:r>
      <w:r w:rsidRPr="00052BEA">
        <w:rPr>
          <w:rFonts w:cs="Arial"/>
        </w:rPr>
        <w:t xml:space="preserve">= 1.155, p=.289. The Univariate ANOVA for the measured regions of interest- (see Appendix C. Table C.8), did not reach statistical significance for any of the ROI but there was near significance of the p value for the </w:t>
      </w:r>
      <w:proofErr w:type="spellStart"/>
      <w:r w:rsidRPr="00052BEA">
        <w:rPr>
          <w:rFonts w:cs="Arial"/>
        </w:rPr>
        <w:t>RThal</w:t>
      </w:r>
      <w:proofErr w:type="spellEnd"/>
      <w:r w:rsidRPr="00052BEA">
        <w:rPr>
          <w:rFonts w:cs="Arial"/>
        </w:rPr>
        <w:t xml:space="preserve">, p= .058 (Figure 4.6). </w:t>
      </w:r>
    </w:p>
    <w:p w14:paraId="53465DA4" w14:textId="77777777" w:rsidR="000A4E8A" w:rsidRDefault="000A4E8A">
      <w:pPr>
        <w:rPr>
          <w:rFonts w:cs="Arial"/>
        </w:rPr>
      </w:pPr>
      <w:bookmarkStart w:id="349" w:name="_Toc45030394"/>
      <w:bookmarkStart w:id="350" w:name="_Toc49807627"/>
      <w:r>
        <w:rPr>
          <w:i/>
          <w:iCs/>
        </w:rPr>
        <w:br w:type="page"/>
      </w:r>
    </w:p>
    <w:p w14:paraId="1E928EBE" w14:textId="1FF53F25" w:rsidR="00052BEA" w:rsidRPr="0002605E" w:rsidRDefault="00052BEA" w:rsidP="0002605E">
      <w:pPr>
        <w:pStyle w:val="Subtitle"/>
      </w:pPr>
      <w:bookmarkStart w:id="351" w:name="_Toc64724202"/>
      <w:r w:rsidRPr="0002605E">
        <w:lastRenderedPageBreak/>
        <w:t xml:space="preserve">Figure 4.6  95% Confidence intervals for the Group </w:t>
      </w:r>
      <w:r w:rsidR="00CC3DE1">
        <w:t>M</w:t>
      </w:r>
      <w:r w:rsidRPr="0002605E">
        <w:t>eans and Regions of Interest for Time-</w:t>
      </w:r>
      <w:r w:rsidR="00CC3DE1">
        <w:t>t</w:t>
      </w:r>
      <w:r w:rsidRPr="0002605E">
        <w:t>o-</w:t>
      </w:r>
      <w:r w:rsidR="00CC3DE1">
        <w:t>P</w:t>
      </w:r>
      <w:r w:rsidRPr="0002605E">
        <w:t xml:space="preserve">eak at </w:t>
      </w:r>
      <w:r w:rsidR="00CC3DE1">
        <w:t>V</w:t>
      </w:r>
      <w:r w:rsidRPr="0002605E">
        <w:t>isit 2</w:t>
      </w:r>
      <w:bookmarkEnd w:id="349"/>
      <w:bookmarkEnd w:id="350"/>
      <w:bookmarkEnd w:id="351"/>
    </w:p>
    <w:p w14:paraId="777AE1D1" w14:textId="77777777" w:rsidR="00052BEA" w:rsidRPr="00052BEA" w:rsidRDefault="00052BEA" w:rsidP="00052BEA">
      <w:pPr>
        <w:rPr>
          <w:rFonts w:cs="Arial"/>
        </w:rPr>
      </w:pPr>
      <w:r w:rsidRPr="00052BEA">
        <w:rPr>
          <w:rFonts w:cs="Arial"/>
          <w:noProof/>
          <w:lang w:eastAsia="en-GB"/>
        </w:rPr>
        <w:drawing>
          <wp:inline distT="0" distB="0" distL="0" distR="0" wp14:anchorId="19B72DC6" wp14:editId="2363D22F">
            <wp:extent cx="4834836" cy="3290047"/>
            <wp:effectExtent l="0" t="0" r="444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860381" cy="3307430"/>
                    </a:xfrm>
                    <a:prstGeom prst="rect">
                      <a:avLst/>
                    </a:prstGeom>
                  </pic:spPr>
                </pic:pic>
              </a:graphicData>
            </a:graphic>
          </wp:inline>
        </w:drawing>
      </w:r>
    </w:p>
    <w:p w14:paraId="4036041D" w14:textId="77777777" w:rsidR="00052BEA" w:rsidRPr="00052BEA" w:rsidRDefault="00052BEA" w:rsidP="000D0695">
      <w:pPr>
        <w:spacing w:line="360" w:lineRule="auto"/>
        <w:rPr>
          <w:rFonts w:cs="Arial"/>
          <w:i/>
          <w:iCs/>
          <w:color w:val="808080" w:themeColor="text1" w:themeTint="7F"/>
          <w:sz w:val="21"/>
        </w:rPr>
      </w:pPr>
      <w:r w:rsidRPr="00052BEA">
        <w:rPr>
          <w:i/>
          <w:iCs/>
          <w:color w:val="808080" w:themeColor="text1" w:themeTint="7F"/>
          <w:sz w:val="21"/>
        </w:rPr>
        <w:t xml:space="preserve">Mean TTP is represented on the Y axis with error bars representing 95% confidence intervals.  Regions of Interest (ROI) are shown across the X axis, and groups are represented by colour.  Mean TTP is not significantly different at any of the ROI but there is a trend to significance at the  </w:t>
      </w:r>
      <w:proofErr w:type="spellStart"/>
      <w:r w:rsidRPr="00052BEA">
        <w:rPr>
          <w:i/>
          <w:iCs/>
          <w:color w:val="808080" w:themeColor="text1" w:themeTint="7F"/>
          <w:sz w:val="21"/>
          <w:szCs w:val="21"/>
        </w:rPr>
        <w:t>RThal</w:t>
      </w:r>
      <w:proofErr w:type="spellEnd"/>
      <w:r w:rsidRPr="00052BEA">
        <w:rPr>
          <w:i/>
          <w:iCs/>
          <w:color w:val="808080" w:themeColor="text1" w:themeTint="7F"/>
          <w:sz w:val="21"/>
          <w:szCs w:val="21"/>
        </w:rPr>
        <w:t xml:space="preserve">: </w:t>
      </w:r>
      <w:r w:rsidRPr="00052BEA">
        <w:rPr>
          <w:rFonts w:cs="Arial"/>
          <w:i/>
          <w:iCs/>
          <w:color w:val="808080" w:themeColor="text1" w:themeTint="7F"/>
          <w:sz w:val="21"/>
        </w:rPr>
        <w:t>p=.058 P-DPN vs DPN</w:t>
      </w:r>
    </w:p>
    <w:p w14:paraId="7348A9AB" w14:textId="77777777" w:rsidR="00052BEA" w:rsidRPr="00052BEA" w:rsidRDefault="00052BEA" w:rsidP="000D0695">
      <w:pPr>
        <w:spacing w:line="360" w:lineRule="auto"/>
        <w:rPr>
          <w:rFonts w:cs="Arial"/>
          <w:i/>
          <w:iCs/>
          <w:color w:val="808080" w:themeColor="text1" w:themeTint="7F"/>
          <w:sz w:val="21"/>
        </w:rPr>
      </w:pPr>
    </w:p>
    <w:p w14:paraId="45A1FCDB" w14:textId="48C1B8F1" w:rsidR="00052BEA" w:rsidRPr="00052BEA" w:rsidRDefault="00052BEA" w:rsidP="00390188">
      <w:pPr>
        <w:pStyle w:val="Heading3"/>
      </w:pPr>
      <w:bookmarkStart w:id="352" w:name="_Toc44861338"/>
      <w:bookmarkStart w:id="353" w:name="_Toc64723941"/>
      <w:r w:rsidRPr="00052BEA">
        <w:t xml:space="preserve">Baseline </w:t>
      </w:r>
      <w:r w:rsidR="00087AE1">
        <w:t>v</w:t>
      </w:r>
      <w:r w:rsidRPr="00052BEA">
        <w:t>alues for P-DPN stratified by the presence of neuropathic pain at the time of scanning</w:t>
      </w:r>
      <w:bookmarkEnd w:id="352"/>
      <w:r w:rsidR="00087AE1">
        <w:t>.</w:t>
      </w:r>
      <w:bookmarkEnd w:id="353"/>
      <w:r w:rsidRPr="00052BEA">
        <w:t xml:space="preserve"> </w:t>
      </w:r>
    </w:p>
    <w:p w14:paraId="726E4196" w14:textId="77777777" w:rsidR="00052BEA" w:rsidRPr="00052BEA" w:rsidRDefault="00052BEA" w:rsidP="00052BEA">
      <w:pPr>
        <w:spacing w:line="360" w:lineRule="auto"/>
        <w:rPr>
          <w:rFonts w:cs="Arial"/>
        </w:rPr>
      </w:pPr>
      <w:bookmarkStart w:id="354" w:name="_Toc431375311"/>
      <w:r w:rsidRPr="00052BEA">
        <w:rPr>
          <w:rFonts w:cs="Arial"/>
        </w:rPr>
        <w:t xml:space="preserve">Comparing the 5 groups by ANOVA, there were statistically significant differences for age p=.031 (no post Hoc significance), Hba1c p=.020 (P- vs DM-NN p=.037,P+ vs DM-NN p=.003) and O’Brien’s autonomic function tests p=.004 (P- vs HV p=.009, DM-NN vs P- p=.007).  There were no other significant differences (see Appendix C, Table C.9). </w:t>
      </w:r>
    </w:p>
    <w:p w14:paraId="0AD70424" w14:textId="2791A8A3" w:rsidR="00052BEA" w:rsidRPr="00052BEA" w:rsidRDefault="00052BEA" w:rsidP="00052BEA">
      <w:pPr>
        <w:spacing w:line="360" w:lineRule="auto"/>
        <w:rPr>
          <w:rFonts w:cs="Arial"/>
        </w:rPr>
      </w:pPr>
      <w:r w:rsidRPr="00052BEA">
        <w:rPr>
          <w:rFonts w:cs="Arial"/>
        </w:rPr>
        <w:t xml:space="preserve">There was no difference between the groups by multivariate analysis for RBV: Wilks’ </w:t>
      </w:r>
      <w:r w:rsidR="004C0BD4" w:rsidRPr="00052BEA">
        <w:rPr>
          <w:rFonts w:hint="eastAsia"/>
        </w:rPr>
        <w:t>λ</w:t>
      </w:r>
      <w:r w:rsidRPr="00052BEA">
        <w:rPr>
          <w:rFonts w:cs="Arial"/>
        </w:rPr>
        <w:t>= .613, F(32, 230)=1.021, p=.442; RBF: Wilks’</w:t>
      </w:r>
      <w:r w:rsidR="004C0BD4" w:rsidRPr="00052BEA">
        <w:rPr>
          <w:rFonts w:hint="eastAsia"/>
        </w:rPr>
        <w:t>λ</w:t>
      </w:r>
      <w:r w:rsidRPr="00052BEA">
        <w:rPr>
          <w:rFonts w:cs="Arial"/>
        </w:rPr>
        <w:t xml:space="preserve">=0.581, F(32, 230)=1.143, p=.283,  </w:t>
      </w:r>
    </w:p>
    <w:p w14:paraId="75C69B3D" w14:textId="77777777" w:rsidR="00052BEA" w:rsidRPr="00052BEA" w:rsidRDefault="00052BEA" w:rsidP="00390188">
      <w:pPr>
        <w:pStyle w:val="Heading4"/>
      </w:pPr>
      <w:r w:rsidRPr="00052BEA">
        <w:t>MTT</w:t>
      </w:r>
    </w:p>
    <w:p w14:paraId="5F3E5BE9" w14:textId="173D046C" w:rsidR="00052BEA" w:rsidRDefault="00052BEA" w:rsidP="00052BEA">
      <w:pPr>
        <w:spacing w:line="360" w:lineRule="auto"/>
        <w:rPr>
          <w:rFonts w:cs="Arial"/>
        </w:rPr>
      </w:pPr>
      <w:r w:rsidRPr="00052BEA">
        <w:rPr>
          <w:rFonts w:cs="Arial"/>
        </w:rPr>
        <w:t>MTT seemed to be shorter in the P+ group than the HV . There was a group difference for multivariate ANOVA MTT: Wilks’</w:t>
      </w:r>
      <w:r w:rsidR="004C0BD4" w:rsidRPr="00052BEA">
        <w:rPr>
          <w:rFonts w:hint="eastAsia"/>
        </w:rPr>
        <w:t>λ</w:t>
      </w:r>
      <w:r w:rsidRPr="00052BEA">
        <w:rPr>
          <w:rFonts w:cs="Arial"/>
        </w:rPr>
        <w:t xml:space="preserve">=0.490, F(32, 230)=1.536, p=0.039  (see Figure 4.6), but discriminant function analysis was not significant and could only </w:t>
      </w:r>
      <w:r w:rsidRPr="00052BEA">
        <w:rPr>
          <w:rFonts w:cs="Arial"/>
        </w:rPr>
        <w:lastRenderedPageBreak/>
        <w:t>correctly classify 58.1% of the cases. The univariate ANOVA showed differences</w:t>
      </w:r>
      <w:r w:rsidR="004C0BD4">
        <w:rPr>
          <w:rFonts w:cs="Arial"/>
        </w:rPr>
        <w:t xml:space="preserve"> between group means</w:t>
      </w:r>
      <w:r w:rsidRPr="00052BEA">
        <w:rPr>
          <w:rFonts w:cs="Arial"/>
        </w:rPr>
        <w:t xml:space="preserve"> at all the ROI except the LThal (Figure 4.7). </w:t>
      </w:r>
    </w:p>
    <w:p w14:paraId="2CDA4881" w14:textId="77777777" w:rsidR="00087AE1" w:rsidRPr="00052BEA" w:rsidRDefault="00087AE1" w:rsidP="00052BEA">
      <w:pPr>
        <w:spacing w:line="360" w:lineRule="auto"/>
        <w:rPr>
          <w:rFonts w:cs="Arial"/>
        </w:rPr>
      </w:pPr>
    </w:p>
    <w:p w14:paraId="7658D115" w14:textId="332CF09C" w:rsidR="00052BEA" w:rsidRPr="00052BEA" w:rsidRDefault="00052BEA" w:rsidP="00390188">
      <w:pPr>
        <w:pStyle w:val="Subtitle"/>
      </w:pPr>
      <w:bookmarkStart w:id="355" w:name="_Toc49807628"/>
      <w:bookmarkStart w:id="356" w:name="_Toc64724203"/>
      <w:r w:rsidRPr="00052BEA">
        <w:t xml:space="preserve">Figure 4.7  95% Confidence </w:t>
      </w:r>
      <w:r w:rsidR="004C0BD4">
        <w:t>I</w:t>
      </w:r>
      <w:r w:rsidRPr="00052BEA">
        <w:t xml:space="preserve">ntervals for the Group means and Regions of Interest for Mean </w:t>
      </w:r>
      <w:r w:rsidR="00390188">
        <w:t>T</w:t>
      </w:r>
      <w:r w:rsidRPr="00052BEA">
        <w:t xml:space="preserve">ransit </w:t>
      </w:r>
      <w:r w:rsidR="00390188">
        <w:t>T</w:t>
      </w:r>
      <w:r w:rsidRPr="00052BEA">
        <w:t xml:space="preserve">ime at </w:t>
      </w:r>
      <w:r w:rsidR="00390188">
        <w:t>V</w:t>
      </w:r>
      <w:r w:rsidRPr="00052BEA">
        <w:t>isit 2</w:t>
      </w:r>
      <w:r w:rsidR="004C0BD4">
        <w:t>,</w:t>
      </w:r>
      <w:r w:rsidRPr="00052BEA">
        <w:t xml:space="preserve"> </w:t>
      </w:r>
      <w:r w:rsidR="00390188">
        <w:t>S</w:t>
      </w:r>
      <w:r w:rsidRPr="00052BEA">
        <w:t xml:space="preserve">tratified for </w:t>
      </w:r>
      <w:r w:rsidR="00390188">
        <w:t>P</w:t>
      </w:r>
      <w:r w:rsidRPr="00052BEA">
        <w:t xml:space="preserve">resence of </w:t>
      </w:r>
      <w:r w:rsidR="00390188">
        <w:t>S</w:t>
      </w:r>
      <w:r w:rsidRPr="00052BEA">
        <w:t xml:space="preserve">pontaneous </w:t>
      </w:r>
      <w:r w:rsidR="00390188">
        <w:t>N</w:t>
      </w:r>
      <w:r w:rsidRPr="00052BEA">
        <w:t xml:space="preserve">europathic </w:t>
      </w:r>
      <w:r w:rsidR="00390188">
        <w:t>P</w:t>
      </w:r>
      <w:r w:rsidRPr="00052BEA">
        <w:t>ain.</w:t>
      </w:r>
      <w:bookmarkEnd w:id="355"/>
      <w:bookmarkEnd w:id="356"/>
      <w:r w:rsidRPr="00052BEA">
        <w:t xml:space="preserve"> </w:t>
      </w:r>
    </w:p>
    <w:p w14:paraId="426BE8E2" w14:textId="77777777" w:rsidR="00052BEA" w:rsidRPr="00052BEA" w:rsidRDefault="00052BEA" w:rsidP="00052BEA">
      <w:pPr>
        <w:spacing w:line="360" w:lineRule="auto"/>
        <w:rPr>
          <w:rFonts w:cs="Arial"/>
        </w:rPr>
      </w:pPr>
      <w:r w:rsidRPr="00052BEA">
        <w:rPr>
          <w:rFonts w:cs="Arial"/>
          <w:noProof/>
        </w:rPr>
        <w:drawing>
          <wp:inline distT="0" distB="0" distL="0" distR="0" wp14:anchorId="478312F7" wp14:editId="0A7B68EC">
            <wp:extent cx="5727700" cy="384937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27700" cy="3849370"/>
                    </a:xfrm>
                    <a:prstGeom prst="rect">
                      <a:avLst/>
                    </a:prstGeom>
                  </pic:spPr>
                </pic:pic>
              </a:graphicData>
            </a:graphic>
          </wp:inline>
        </w:drawing>
      </w:r>
    </w:p>
    <w:p w14:paraId="40D1F646" w14:textId="787D716C" w:rsidR="00052BEA" w:rsidRDefault="00052BEA" w:rsidP="00052BEA">
      <w:pPr>
        <w:spacing w:line="360" w:lineRule="auto"/>
        <w:rPr>
          <w:i/>
          <w:iCs/>
          <w:color w:val="808080" w:themeColor="text1" w:themeTint="7F"/>
          <w:sz w:val="21"/>
        </w:rPr>
      </w:pPr>
      <w:r w:rsidRPr="00052BEA">
        <w:rPr>
          <w:i/>
          <w:iCs/>
          <w:color w:val="808080" w:themeColor="text1" w:themeTint="7F"/>
          <w:sz w:val="21"/>
        </w:rPr>
        <w:t>Y axis shows MTT in seconds (s).  X axis shows the ROI</w:t>
      </w:r>
      <w:r w:rsidR="001F5DB7">
        <w:rPr>
          <w:i/>
          <w:iCs/>
          <w:color w:val="808080" w:themeColor="text1" w:themeTint="7F"/>
          <w:sz w:val="21"/>
        </w:rPr>
        <w:t>,</w:t>
      </w:r>
      <w:r w:rsidRPr="00052BEA">
        <w:rPr>
          <w:i/>
          <w:iCs/>
          <w:color w:val="808080" w:themeColor="text1" w:themeTint="7F"/>
          <w:sz w:val="21"/>
        </w:rPr>
        <w:t xml:space="preserve"> and groups are represented by colour. * = p&lt;.05, white significance bars indicate the groups which are significantly different in post HOC testing.  ANOVA showed a difference for all the ROI except the LThal. LThal p=.072, </w:t>
      </w:r>
      <w:proofErr w:type="spellStart"/>
      <w:r w:rsidRPr="00052BEA">
        <w:rPr>
          <w:i/>
          <w:iCs/>
          <w:color w:val="808080" w:themeColor="text1" w:themeTint="7F"/>
          <w:sz w:val="21"/>
        </w:rPr>
        <w:t>RThal</w:t>
      </w:r>
      <w:proofErr w:type="spellEnd"/>
      <w:r w:rsidRPr="00052BEA">
        <w:rPr>
          <w:i/>
          <w:iCs/>
          <w:color w:val="808080" w:themeColor="text1" w:themeTint="7F"/>
          <w:sz w:val="21"/>
        </w:rPr>
        <w:t xml:space="preserve"> p=.013 post hoc (P+ vs HV p=.043), LINS p=.005 (no post Hoc sig.) RINS p=.009 (no post hoc sig.), ACC p=.029 (no post hoc sig.), POWM p=.049 (no post hoc sig.), LPSC p=.018 (no post hoc sig.), RPSC p=.005 (no post hoc sig.)</w:t>
      </w:r>
    </w:p>
    <w:p w14:paraId="71B94088" w14:textId="77777777" w:rsidR="00390188" w:rsidRPr="00052BEA" w:rsidRDefault="00390188" w:rsidP="00052BEA">
      <w:pPr>
        <w:spacing w:line="360" w:lineRule="auto"/>
        <w:rPr>
          <w:i/>
          <w:iCs/>
          <w:color w:val="808080" w:themeColor="text1" w:themeTint="7F"/>
          <w:sz w:val="21"/>
        </w:rPr>
      </w:pPr>
    </w:p>
    <w:p w14:paraId="51E1C2E8" w14:textId="77777777" w:rsidR="00052BEA" w:rsidRPr="00052BEA" w:rsidRDefault="00052BEA" w:rsidP="00052BEA">
      <w:pPr>
        <w:spacing w:line="360" w:lineRule="auto"/>
        <w:rPr>
          <w:rFonts w:cs="Arial"/>
        </w:rPr>
      </w:pPr>
      <w:r w:rsidRPr="00052BEA">
        <w:rPr>
          <w:rFonts w:cs="Arial"/>
        </w:rPr>
        <w:t xml:space="preserve">Post Hoc analysis revealed that MTT at the </w:t>
      </w:r>
      <w:proofErr w:type="spellStart"/>
      <w:r w:rsidRPr="00052BEA">
        <w:rPr>
          <w:rFonts w:cs="Arial"/>
        </w:rPr>
        <w:t>RThal</w:t>
      </w:r>
      <w:proofErr w:type="spellEnd"/>
      <w:r w:rsidRPr="00052BEA">
        <w:rPr>
          <w:rFonts w:cs="Arial"/>
        </w:rPr>
        <w:t xml:space="preserve">: P+ vs HV was significant p=.043, and at the LINS: HV vs DM-NN was significant p=.036. </w:t>
      </w:r>
    </w:p>
    <w:p w14:paraId="5CFF1233" w14:textId="77777777" w:rsidR="00052BEA" w:rsidRPr="00052BEA" w:rsidRDefault="00052BEA" w:rsidP="00390188">
      <w:pPr>
        <w:pStyle w:val="Heading4"/>
      </w:pPr>
      <w:r w:rsidRPr="00052BEA">
        <w:t>TTP</w:t>
      </w:r>
    </w:p>
    <w:p w14:paraId="406A1927" w14:textId="122436FF" w:rsidR="00052BEA" w:rsidRPr="00052BEA" w:rsidRDefault="00052BEA" w:rsidP="00052BEA">
      <w:pPr>
        <w:spacing w:line="360" w:lineRule="auto"/>
        <w:rPr>
          <w:rFonts w:cs="Arial"/>
        </w:rPr>
      </w:pPr>
      <w:r w:rsidRPr="00052BEA">
        <w:rPr>
          <w:rFonts w:cs="Arial"/>
        </w:rPr>
        <w:t xml:space="preserve">There were individual differences in the regions of interest comparing group means of TTP between the groups at the </w:t>
      </w:r>
      <w:proofErr w:type="spellStart"/>
      <w:r w:rsidR="00264184">
        <w:rPr>
          <w:rFonts w:cs="Arial"/>
        </w:rPr>
        <w:t>RThal</w:t>
      </w:r>
      <w:proofErr w:type="spellEnd"/>
      <w:r w:rsidRPr="00052BEA">
        <w:rPr>
          <w:rFonts w:cs="Arial"/>
        </w:rPr>
        <w:t xml:space="preserve">: P+ vs DPN p=.017, P+ vs HV p=.033 (Figure 4.8); the RINS: P+ vs DPN p=.048 (Figure 4.9); and at the parieto-occipital </w:t>
      </w:r>
      <w:r w:rsidRPr="00052BEA">
        <w:rPr>
          <w:rFonts w:cs="Arial"/>
        </w:rPr>
        <w:lastRenderedPageBreak/>
        <w:t xml:space="preserve">white matter (POWM): P+ vs P- p=.009, P+ vs DPN p=.034, P+ vs HV p=0.011 (Figure 4.14).  There was no group difference for the multivariate ANOVA for TTP: Wilks’ </w:t>
      </w:r>
      <w:r w:rsidRPr="00052BEA">
        <w:rPr>
          <w:rFonts w:hint="eastAsia"/>
        </w:rPr>
        <w:t>λ</w:t>
      </w:r>
      <w:r w:rsidRPr="00052BEA">
        <w:rPr>
          <w:rFonts w:cs="Arial"/>
        </w:rPr>
        <w:t xml:space="preserve"> =0.520, F (32,230)=1.394, p=.0873 (See Appendix C, Table</w:t>
      </w:r>
      <w:r w:rsidR="001F5DB7">
        <w:rPr>
          <w:rFonts w:cs="Arial"/>
        </w:rPr>
        <w:t xml:space="preserve"> C</w:t>
      </w:r>
      <w:r w:rsidRPr="00052BEA">
        <w:rPr>
          <w:rFonts w:cs="Arial"/>
        </w:rPr>
        <w:t>.</w:t>
      </w:r>
      <w:r w:rsidR="001F5DB7">
        <w:rPr>
          <w:rFonts w:cs="Arial"/>
        </w:rPr>
        <w:t>11)</w:t>
      </w:r>
    </w:p>
    <w:p w14:paraId="43012C30" w14:textId="3A963C03" w:rsidR="00052BEA" w:rsidRPr="00390188" w:rsidRDefault="00052BEA" w:rsidP="00390188">
      <w:pPr>
        <w:pStyle w:val="Subtitle"/>
      </w:pPr>
      <w:bookmarkStart w:id="357" w:name="_Toc49807629"/>
      <w:bookmarkStart w:id="358" w:name="_Toc64724204"/>
      <w:bookmarkStart w:id="359" w:name="_Toc45030397"/>
      <w:r w:rsidRPr="00390188">
        <w:t xml:space="preserve">Figure 4.8  Scatter </w:t>
      </w:r>
      <w:r w:rsidR="00087AE1">
        <w:t>P</w:t>
      </w:r>
      <w:r w:rsidRPr="00390188">
        <w:t>lot of Time-to-</w:t>
      </w:r>
      <w:r w:rsidR="00087AE1">
        <w:t>P</w:t>
      </w:r>
      <w:r w:rsidRPr="00390188">
        <w:t>eak at the Right Thalamus and the Right Insula</w:t>
      </w:r>
      <w:bookmarkEnd w:id="357"/>
      <w:bookmarkEnd w:id="358"/>
      <w:r w:rsidRPr="00390188">
        <w:t xml:space="preserve"> </w:t>
      </w:r>
      <w:bookmarkEnd w:id="359"/>
    </w:p>
    <w:p w14:paraId="1F0902DC" w14:textId="77777777" w:rsidR="00052BEA" w:rsidRPr="00052BEA" w:rsidRDefault="00052BEA" w:rsidP="00052BEA">
      <w:pPr>
        <w:rPr>
          <w:noProof/>
        </w:rPr>
      </w:pPr>
      <w:r w:rsidRPr="00052BEA">
        <w:rPr>
          <w:noProof/>
        </w:rPr>
        <w:drawing>
          <wp:inline distT="0" distB="0" distL="0" distR="0" wp14:anchorId="3B74DB62" wp14:editId="0D111A8B">
            <wp:extent cx="2671000" cy="2795666"/>
            <wp:effectExtent l="0" t="0" r="0" b="0"/>
            <wp:docPr id="1073741824" name="Picture 107374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682471" cy="2807673"/>
                    </a:xfrm>
                    <a:prstGeom prst="rect">
                      <a:avLst/>
                    </a:prstGeom>
                  </pic:spPr>
                </pic:pic>
              </a:graphicData>
            </a:graphic>
          </wp:inline>
        </w:drawing>
      </w:r>
      <w:r w:rsidRPr="00052BEA">
        <w:rPr>
          <w:noProof/>
        </w:rPr>
        <w:drawing>
          <wp:inline distT="0" distB="0" distL="0" distR="0" wp14:anchorId="6433F51A" wp14:editId="384EBF89">
            <wp:extent cx="2531872" cy="2794042"/>
            <wp:effectExtent l="0" t="0" r="0" b="0"/>
            <wp:docPr id="1073741874" name="Picture 107374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552062" cy="2816323"/>
                    </a:xfrm>
                    <a:prstGeom prst="rect">
                      <a:avLst/>
                    </a:prstGeom>
                  </pic:spPr>
                </pic:pic>
              </a:graphicData>
            </a:graphic>
          </wp:inline>
        </w:drawing>
      </w:r>
    </w:p>
    <w:p w14:paraId="37BF6819" w14:textId="77777777" w:rsidR="00052BEA" w:rsidRPr="00052BEA" w:rsidRDefault="00052BEA" w:rsidP="00052BEA">
      <w:pPr>
        <w:rPr>
          <w:noProof/>
        </w:rPr>
        <w:sectPr w:rsidR="00052BEA" w:rsidRPr="00052BEA" w:rsidSect="000C4457">
          <w:pgSz w:w="11900" w:h="16840"/>
          <w:pgMar w:top="1440" w:right="1440" w:bottom="1440" w:left="1440" w:header="708" w:footer="708" w:gutter="0"/>
          <w:cols w:space="708"/>
          <w:docGrid w:linePitch="360"/>
        </w:sectPr>
      </w:pPr>
    </w:p>
    <w:p w14:paraId="45094712" w14:textId="77777777" w:rsidR="00052BEA" w:rsidRPr="00052BEA" w:rsidRDefault="00052BEA" w:rsidP="00052BEA">
      <w:pPr>
        <w:rPr>
          <w:i/>
          <w:iCs/>
          <w:color w:val="808080" w:themeColor="text1" w:themeTint="7F"/>
          <w:sz w:val="21"/>
        </w:rPr>
      </w:pPr>
      <w:r w:rsidRPr="00052BEA">
        <w:rPr>
          <w:i/>
          <w:iCs/>
          <w:color w:val="808080" w:themeColor="text1" w:themeTint="7F"/>
          <w:sz w:val="21"/>
        </w:rPr>
        <w:t>Panel A: Time to peak measurements at the Right thalamus. P+ vs DPN p=.048, P+ vs HV p=.028.  Coloured Line represents median of the values. *= p&lt;.05</w:t>
      </w:r>
    </w:p>
    <w:p w14:paraId="0FF85C07" w14:textId="77777777" w:rsidR="00052BEA" w:rsidRPr="00052BEA" w:rsidRDefault="00052BEA" w:rsidP="00052BEA">
      <w:pPr>
        <w:rPr>
          <w:i/>
          <w:iCs/>
          <w:color w:val="808080" w:themeColor="text1" w:themeTint="7F"/>
          <w:sz w:val="21"/>
        </w:rPr>
      </w:pPr>
      <w:r w:rsidRPr="00052BEA">
        <w:rPr>
          <w:i/>
          <w:iCs/>
          <w:color w:val="808080" w:themeColor="text1" w:themeTint="7F"/>
          <w:sz w:val="21"/>
        </w:rPr>
        <w:t>Panel B: Time to peak measurements at the right insula. P+ vs DPN p=.017, P+ vs HV p=.033</w:t>
      </w:r>
    </w:p>
    <w:p w14:paraId="45EF2DE4" w14:textId="77777777" w:rsidR="00052BEA" w:rsidRPr="00052BEA" w:rsidRDefault="00052BEA" w:rsidP="00052BEA">
      <w:pPr>
        <w:rPr>
          <w:lang w:eastAsia="en-GB"/>
        </w:rPr>
      </w:pPr>
    </w:p>
    <w:p w14:paraId="03C06A42" w14:textId="77777777" w:rsidR="00052BEA" w:rsidRPr="00052BEA" w:rsidRDefault="00052BEA" w:rsidP="00052BEA">
      <w:pPr>
        <w:rPr>
          <w:lang w:eastAsia="en-GB"/>
        </w:rPr>
        <w:sectPr w:rsidR="00052BEA" w:rsidRPr="00052BEA" w:rsidSect="000C4457">
          <w:type w:val="continuous"/>
          <w:pgSz w:w="11900" w:h="16840"/>
          <w:pgMar w:top="1440" w:right="1440" w:bottom="1440" w:left="1440" w:header="708" w:footer="708" w:gutter="0"/>
          <w:cols w:num="2" w:space="708"/>
          <w:docGrid w:linePitch="360"/>
        </w:sectPr>
      </w:pPr>
    </w:p>
    <w:p w14:paraId="07B92512" w14:textId="77777777" w:rsidR="00052BEA" w:rsidRPr="00052BEA" w:rsidRDefault="00052BEA" w:rsidP="00052BEA">
      <w:pPr>
        <w:rPr>
          <w:rFonts w:eastAsia="Calibri" w:cs="Arial"/>
          <w:i/>
          <w:color w:val="4F81BD"/>
          <w:lang w:eastAsia="en-GB"/>
        </w:rPr>
      </w:pPr>
    </w:p>
    <w:p w14:paraId="6A7C9793" w14:textId="142C42A3" w:rsidR="00390188" w:rsidRPr="00052BEA" w:rsidRDefault="00390188" w:rsidP="00390188">
      <w:pPr>
        <w:pStyle w:val="Subtitle"/>
      </w:pPr>
      <w:bookmarkStart w:id="360" w:name="_Toc45030399"/>
      <w:bookmarkStart w:id="361" w:name="_Toc49807630"/>
      <w:bookmarkStart w:id="362" w:name="_Toc64724205"/>
      <w:r w:rsidRPr="00052BEA">
        <w:t xml:space="preserve">Figure 4.9  Scatter </w:t>
      </w:r>
      <w:r w:rsidR="00087AE1">
        <w:t>P</w:t>
      </w:r>
      <w:r w:rsidRPr="00052BEA">
        <w:t>lot of Time</w:t>
      </w:r>
      <w:r w:rsidR="00087AE1">
        <w:t>-</w:t>
      </w:r>
      <w:r w:rsidRPr="00052BEA">
        <w:t>to</w:t>
      </w:r>
      <w:r w:rsidR="00087AE1">
        <w:t>-P</w:t>
      </w:r>
      <w:r w:rsidRPr="00052BEA">
        <w:t xml:space="preserve">eak at the </w:t>
      </w:r>
      <w:r w:rsidR="00087AE1">
        <w:t>P</w:t>
      </w:r>
      <w:r w:rsidRPr="00052BEA">
        <w:t>arieto-</w:t>
      </w:r>
      <w:r w:rsidR="00087AE1">
        <w:t>O</w:t>
      </w:r>
      <w:r w:rsidRPr="00052BEA">
        <w:t xml:space="preserve">ccipital </w:t>
      </w:r>
      <w:r w:rsidR="00087AE1">
        <w:t>W</w:t>
      </w:r>
      <w:r w:rsidRPr="00052BEA">
        <w:t xml:space="preserve">hite </w:t>
      </w:r>
      <w:r w:rsidR="00087AE1">
        <w:t>M</w:t>
      </w:r>
      <w:r w:rsidRPr="00052BEA">
        <w:t>atter</w:t>
      </w:r>
      <w:bookmarkEnd w:id="360"/>
      <w:bookmarkEnd w:id="361"/>
      <w:bookmarkEnd w:id="362"/>
    </w:p>
    <w:p w14:paraId="48CFD0FF" w14:textId="77777777" w:rsidR="00390188" w:rsidRPr="00052BEA" w:rsidRDefault="00390188" w:rsidP="00390188">
      <w:pPr>
        <w:tabs>
          <w:tab w:val="center" w:pos="4532"/>
        </w:tabs>
        <w:spacing w:line="360" w:lineRule="auto"/>
        <w:rPr>
          <w:rFonts w:cs="Arial"/>
        </w:rPr>
      </w:pPr>
      <w:r w:rsidRPr="00052BEA">
        <w:rPr>
          <w:rFonts w:cs="Arial"/>
        </w:rPr>
        <w:t xml:space="preserve"> </w:t>
      </w:r>
      <w:r w:rsidRPr="00052BEA">
        <w:rPr>
          <w:rFonts w:cs="Arial"/>
          <w:noProof/>
        </w:rPr>
        <w:drawing>
          <wp:inline distT="0" distB="0" distL="0" distR="0" wp14:anchorId="2DF920FB" wp14:editId="4972F887">
            <wp:extent cx="2629820" cy="2923082"/>
            <wp:effectExtent l="0" t="0" r="0" b="0"/>
            <wp:docPr id="1073741875" name="Picture 1073741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655841" cy="2952005"/>
                    </a:xfrm>
                    <a:prstGeom prst="rect">
                      <a:avLst/>
                    </a:prstGeom>
                  </pic:spPr>
                </pic:pic>
              </a:graphicData>
            </a:graphic>
          </wp:inline>
        </w:drawing>
      </w:r>
      <w:r w:rsidRPr="00052BEA">
        <w:rPr>
          <w:rFonts w:cs="Arial"/>
        </w:rPr>
        <w:tab/>
      </w:r>
    </w:p>
    <w:p w14:paraId="6791A45F" w14:textId="77777777" w:rsidR="00390188" w:rsidRPr="00390188" w:rsidRDefault="00390188" w:rsidP="00390188">
      <w:pPr>
        <w:rPr>
          <w:rStyle w:val="SubtleEmphasis"/>
        </w:rPr>
      </w:pPr>
      <w:r w:rsidRPr="00390188">
        <w:rPr>
          <w:rStyle w:val="SubtleEmphasis"/>
        </w:rPr>
        <w:t>Time to peak measurements at the parieto-occipital white matter. P+ vs P- p=.009, P+ vs DPN p=.034, P+ vs HV p=0.011.  Coloured Line represents median of the values. *= p&lt;.05</w:t>
      </w:r>
    </w:p>
    <w:p w14:paraId="595BB344" w14:textId="77777777" w:rsidR="00390188" w:rsidRPr="00052BEA" w:rsidRDefault="00390188" w:rsidP="00390188">
      <w:pPr>
        <w:rPr>
          <w:rFonts w:cs="Arial"/>
          <w:color w:val="808080"/>
        </w:rPr>
      </w:pPr>
    </w:p>
    <w:p w14:paraId="64CFD4C4" w14:textId="77777777" w:rsidR="00052BEA" w:rsidRPr="00052BEA" w:rsidRDefault="00052BEA" w:rsidP="00052BEA">
      <w:pPr>
        <w:spacing w:line="360" w:lineRule="auto"/>
        <w:rPr>
          <w:rFonts w:cs="Arial"/>
          <w:color w:val="808080"/>
        </w:rPr>
        <w:sectPr w:rsidR="00052BEA" w:rsidRPr="00052BEA" w:rsidSect="000C4457">
          <w:type w:val="continuous"/>
          <w:pgSz w:w="11900" w:h="16840"/>
          <w:pgMar w:top="1440" w:right="1440" w:bottom="1440" w:left="1440" w:header="708" w:footer="708" w:gutter="0"/>
          <w:cols w:space="708"/>
          <w:docGrid w:linePitch="360"/>
        </w:sectPr>
      </w:pPr>
    </w:p>
    <w:p w14:paraId="5EEA3B4C" w14:textId="3AE52E59" w:rsidR="00052BEA" w:rsidRPr="00052BEA" w:rsidRDefault="00052BEA" w:rsidP="00390188">
      <w:pPr>
        <w:pStyle w:val="Heading2"/>
      </w:pPr>
      <w:bookmarkStart w:id="363" w:name="_Toc64723942"/>
      <w:r w:rsidRPr="00052BEA">
        <w:lastRenderedPageBreak/>
        <w:t>Discussion</w:t>
      </w:r>
      <w:bookmarkEnd w:id="354"/>
      <w:bookmarkEnd w:id="363"/>
    </w:p>
    <w:p w14:paraId="0831ACA5" w14:textId="77777777" w:rsidR="00052BEA" w:rsidRPr="00052BEA" w:rsidRDefault="00052BEA" w:rsidP="00052BEA">
      <w:pPr>
        <w:spacing w:line="360" w:lineRule="auto"/>
        <w:rPr>
          <w:rFonts w:cs="Arial"/>
        </w:rPr>
      </w:pPr>
      <w:r w:rsidRPr="00052BEA">
        <w:rPr>
          <w:rFonts w:cs="Arial"/>
        </w:rPr>
        <w:t xml:space="preserve">This study showed that the MTT, an indicator of time taken for blood to transit through a region of interest, was faster in patients with DM-NN in the LINS and RINS and the RPSC. In addition, although not significant there was a trend for faster MTT at all the pain processing areas of the brain. Moreover, the TTP was significantly faster in </w:t>
      </w:r>
      <w:proofErr w:type="spellStart"/>
      <w:r w:rsidRPr="00052BEA">
        <w:rPr>
          <w:rFonts w:cs="Arial"/>
        </w:rPr>
        <w:t>RThal</w:t>
      </w:r>
      <w:proofErr w:type="spellEnd"/>
      <w:r w:rsidRPr="00052BEA">
        <w:rPr>
          <w:rFonts w:cs="Arial"/>
        </w:rPr>
        <w:t xml:space="preserve">, RINS, POWM in those experiencing neuropathic pain on the day of the scan (P+). We will discuss these findings below.  </w:t>
      </w:r>
    </w:p>
    <w:p w14:paraId="74B8E8D1" w14:textId="7909F116" w:rsidR="00052BEA" w:rsidRPr="00052BEA" w:rsidRDefault="00052BEA" w:rsidP="00052BEA">
      <w:pPr>
        <w:spacing w:line="360" w:lineRule="auto"/>
        <w:rPr>
          <w:rFonts w:cs="Arial"/>
        </w:rPr>
      </w:pPr>
      <w:r w:rsidRPr="00052BEA">
        <w:rPr>
          <w:rFonts w:cs="Arial"/>
        </w:rPr>
        <w:t xml:space="preserve">There is evidence for decreased MTT in other microvascular environments in subjects with T1D relative to healthy volunteers.  Subclinical nephropathy can be manifest by hyperperfusion </w:t>
      </w:r>
      <w:r w:rsidRPr="00052BEA">
        <w:rPr>
          <w:rFonts w:cs="Arial"/>
        </w:rPr>
        <w:fldChar w:fldCharType="begin"/>
      </w:r>
      <w:r w:rsidRPr="00052BEA">
        <w:rPr>
          <w:rFonts w:cs="Arial"/>
        </w:rPr>
        <w:instrText xml:space="preserve"> ADDIN EN.CITE &lt;EndNote&gt;&lt;Cite&gt;&lt;Author&gt;Tonneijck&lt;/Author&gt;&lt;Year&gt;2017&lt;/Year&gt;&lt;IDText&gt;Glomerular Hyperfiltration in Diabetes: Mechanisms, Clinical Significance, and Treatment&lt;/IDText&gt;&lt;DisplayText&gt;(Tonneijck et al., 2017)&lt;/DisplayText&gt;&lt;record&gt;&lt;dates&gt;&lt;pub-dates&gt;&lt;date&gt;Apr&lt;/date&gt;&lt;/pub-dates&gt;&lt;year&gt;2017&lt;/year&gt;&lt;/dates&gt;&lt;urls&gt;&lt;related-urls&gt;&lt;url&gt;&amp;lt;Go to ISI&amp;gt;://WOS:000397832900007&lt;/url&gt;&lt;/related-urls&gt;&lt;/urls&gt;&lt;isbn&gt;1046-6673&lt;/isbn&gt;&lt;titles&gt;&lt;title&gt;Glomerular Hyperfiltration in Diabetes: Mechanisms, Clinical Significance, and Treatment&lt;/title&gt;&lt;secondary-title&gt;Journal of the American Society of Nephrology&lt;/secondary-title&gt;&lt;/titles&gt;&lt;pages&gt;1023-1039&lt;/pages&gt;&lt;number&gt;4&lt;/number&gt;&lt;contributors&gt;&lt;authors&gt;&lt;author&gt;Tonneijck, L.&lt;/author&gt;&lt;author&gt;Muskiet, M. H. A.&lt;/author&gt;&lt;author&gt;Smits, M. M.&lt;/author&gt;&lt;author&gt;van Bommel, E. J.&lt;/author&gt;&lt;author&gt;Heerspink, H. J. L.&lt;/author&gt;&lt;author&gt;van Raalte, D. H.&lt;/author&gt;&lt;author&gt;Joles, J. A.&lt;/author&gt;&lt;/authors&gt;&lt;/contributors&gt;&lt;added-date format="utc"&gt;1562755027&lt;/added-date&gt;&lt;ref-type name="Journal Article"&gt;17&lt;/ref-type&gt;&lt;rec-number&gt;1052&lt;/rec-number&gt;&lt;last-updated-date format="utc"&gt;1562755027&lt;/last-updated-date&gt;&lt;accession-num&gt;WOS:000397832900007&lt;/accession-num&gt;&lt;electronic-resource-num&gt;10.1681/asn.2016060666&lt;/electronic-resource-num&gt;&lt;volume&gt;28&lt;/volume&gt;&lt;/record&gt;&lt;/Cite&gt;&lt;/EndNote&gt;</w:instrText>
      </w:r>
      <w:r w:rsidRPr="00052BEA">
        <w:rPr>
          <w:rFonts w:cs="Arial"/>
        </w:rPr>
        <w:fldChar w:fldCharType="separate"/>
      </w:r>
      <w:r w:rsidRPr="00052BEA">
        <w:rPr>
          <w:rFonts w:cs="Arial"/>
          <w:noProof/>
        </w:rPr>
        <w:t>(Tonneijck et al., 2017)</w:t>
      </w:r>
      <w:r w:rsidRPr="00052BEA">
        <w:rPr>
          <w:rFonts w:cs="Arial"/>
        </w:rPr>
        <w:fldChar w:fldCharType="end"/>
      </w:r>
      <w:r w:rsidRPr="00052BEA">
        <w:rPr>
          <w:rFonts w:cs="Arial"/>
        </w:rPr>
        <w:t xml:space="preserve">. This state is multifactorial, and some factors are specific to the kidney e.g. Tubular sodium and glucose transport and kidney and nephron size; but imbalance in humoural control of pre and post glomerular tone of the arterioles is a generalised microvascular effect </w:t>
      </w:r>
      <w:r w:rsidRPr="00052BEA">
        <w:rPr>
          <w:rFonts w:cs="Arial"/>
        </w:rPr>
        <w:fldChar w:fldCharType="begin"/>
      </w:r>
      <w:r w:rsidRPr="00052BEA">
        <w:rPr>
          <w:rFonts w:cs="Arial"/>
        </w:rPr>
        <w:instrText xml:space="preserve"> ADDIN EN.CITE &lt;EndNote&gt;&lt;Cite&gt;&lt;Author&gt;Stehouwer&lt;/Author&gt;&lt;Year&gt;2018&lt;/Year&gt;&lt;IDText&gt;Microvascular Dysfunction and Hyperglycemia: A Vicious Cycle With Widespread Consequences&lt;/IDText&gt;&lt;DisplayText&gt;(Stehouwer, 2018)&lt;/DisplayText&gt;&lt;record&gt;&lt;dates&gt;&lt;pub-dates&gt;&lt;date&gt;Sep 1&lt;/date&gt;&lt;/pub-dates&gt;&lt;year&gt;2018&lt;/year&gt;&lt;/dates&gt;&lt;urls&gt;&lt;related-urls&gt;&lt;url&gt;&amp;lt;Go to ISI&amp;gt;://WOS:000442337900004&lt;/url&gt;&lt;/related-urls&gt;&lt;/urls&gt;&lt;isbn&gt;0012-1797&lt;/isbn&gt;&lt;titles&gt;&lt;title&gt;Microvascular Dysfunction and Hyperglycemia: A Vicious Cycle With Widespread Consequences&lt;/title&gt;&lt;secondary-title&gt;Diabetes&lt;/secondary-title&gt;&lt;/titles&gt;&lt;pages&gt;1729-1741&lt;/pages&gt;&lt;number&gt;9&lt;/number&gt;&lt;contributors&gt;&lt;authors&gt;&lt;author&gt;Stehouwer, Coen D. A.&lt;/author&gt;&lt;/authors&gt;&lt;/contributors&gt;&lt;added-date format="utc"&gt;1562680931&lt;/added-date&gt;&lt;ref-type name="Journal Article"&gt;17&lt;/ref-type&gt;&lt;rec-number&gt;1050&lt;/rec-number&gt;&lt;last-updated-date format="utc"&gt;1562680931&lt;/last-updated-date&gt;&lt;accession-num&gt;WOS:000442337900004&lt;/accession-num&gt;&lt;electronic-resource-num&gt;10.2337/dbi17-0044&lt;/electronic-resource-num&gt;&lt;volume&gt;67&lt;/volume&gt;&lt;/record&gt;&lt;/Cite&gt;&lt;/EndNote&gt;</w:instrText>
      </w:r>
      <w:r w:rsidRPr="00052BEA">
        <w:rPr>
          <w:rFonts w:cs="Arial"/>
        </w:rPr>
        <w:fldChar w:fldCharType="separate"/>
      </w:r>
      <w:r w:rsidRPr="00052BEA">
        <w:rPr>
          <w:rFonts w:cs="Arial"/>
          <w:noProof/>
        </w:rPr>
        <w:t>(Stehouwer, 2018)</w:t>
      </w:r>
      <w:r w:rsidRPr="00052BEA">
        <w:rPr>
          <w:rFonts w:cs="Arial"/>
        </w:rPr>
        <w:fldChar w:fldCharType="end"/>
      </w:r>
      <w:r w:rsidRPr="00052BEA">
        <w:rPr>
          <w:rFonts w:cs="Arial"/>
        </w:rPr>
        <w:t xml:space="preserve">.  Relatively mild metabolic defects can induce hyperfiltration as evidenced by studies showing that impaired fasting glucose is an association </w:t>
      </w:r>
      <w:r w:rsidRPr="00052BEA">
        <w:rPr>
          <w:rFonts w:cs="Arial"/>
        </w:rPr>
        <w:fldChar w:fldCharType="begin">
          <w:fldData xml:space="preserve">PEVuZE5vdGU+PENpdGU+PEF1dGhvcj5NZWxzb208L0F1dGhvcj48WWVhcj4yMDExPC9ZZWFyPjxJ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</w:fldData>
        </w:fldChar>
      </w:r>
      <w:r w:rsidRPr="00052BEA">
        <w:rPr>
          <w:rFonts w:cs="Arial"/>
        </w:rPr>
        <w:instrText xml:space="preserve"> ADDIN EN.CITE </w:instrText>
      </w:r>
      <w:r w:rsidRPr="00052BEA">
        <w:rPr>
          <w:rFonts w:cs="Arial"/>
        </w:rPr>
        <w:fldChar w:fldCharType="begin">
          <w:fldData xml:space="preserve">PEVuZE5vdGU+PENpdGU+PEF1dGhvcj5NZWxzb208L0F1dGhvcj48WWVhcj4yMDExPC9ZZWFyPjxJ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</w:fldData>
        </w:fldChar>
      </w:r>
      <w:r w:rsidRPr="00052BEA">
        <w:rPr>
          <w:rFonts w:cs="Arial"/>
        </w:rPr>
        <w:instrText xml:space="preserve"> ADDIN EN.CITE.DATA </w:instrText>
      </w:r>
      <w:r w:rsidRPr="00052BEA">
        <w:rPr>
          <w:rFonts w:cs="Arial"/>
        </w:rPr>
      </w:r>
      <w:r w:rsidRPr="00052BEA">
        <w:rPr>
          <w:rFonts w:cs="Arial"/>
        </w:rPr>
        <w:fldChar w:fldCharType="end"/>
      </w:r>
      <w:r w:rsidRPr="00052BEA">
        <w:rPr>
          <w:rFonts w:cs="Arial"/>
        </w:rPr>
      </w:r>
      <w:r w:rsidRPr="00052BEA">
        <w:rPr>
          <w:rFonts w:cs="Arial"/>
        </w:rPr>
        <w:fldChar w:fldCharType="separate"/>
      </w:r>
      <w:r w:rsidRPr="00052BEA">
        <w:rPr>
          <w:rFonts w:cs="Arial"/>
          <w:noProof/>
        </w:rPr>
        <w:t>(Melsom et al., 2011, Melsom et al., 2016)</w:t>
      </w:r>
      <w:r w:rsidRPr="00052BEA">
        <w:rPr>
          <w:rFonts w:cs="Arial"/>
        </w:rPr>
        <w:fldChar w:fldCharType="end"/>
      </w:r>
      <w:r w:rsidRPr="00052BEA">
        <w:rPr>
          <w:rFonts w:cs="Arial"/>
        </w:rPr>
        <w:t xml:space="preserve">.  In T1D up to 24% of individuals can have </w:t>
      </w:r>
      <w:r w:rsidR="00233478">
        <w:rPr>
          <w:rFonts w:cs="Arial"/>
        </w:rPr>
        <w:t>eGFR</w:t>
      </w:r>
      <w:r w:rsidRPr="00052BEA">
        <w:rPr>
          <w:rFonts w:cs="Arial"/>
        </w:rPr>
        <w:t xml:space="preserve"> considered to be consistent with hyperfiltration </w:t>
      </w:r>
      <w:r w:rsidRPr="00052BEA">
        <w:rPr>
          <w:rFonts w:cs="Arial"/>
        </w:rPr>
        <w:fldChar w:fldCharType="begin"/>
      </w:r>
      <w:r w:rsidRPr="00052BEA">
        <w:rPr>
          <w:rFonts w:cs="Arial"/>
        </w:rPr>
        <w:instrText xml:space="preserve"> ADDIN EN.CITE &lt;EndNote&gt;&lt;Cite&gt;&lt;Author&gt;Molitch&lt;/Author&gt;&lt;Year&gt;2019&lt;/Year&gt;&lt;IDText&gt;Early Glomerular Hyperfiltration and Long-Term Kidney Outcomes in Type 1 Diabetes: The DCCT/EDIC Experience&lt;/IDText&gt;&lt;DisplayText&gt;(Molitch et al., 2019)&lt;/DisplayText&gt;&lt;record&gt;&lt;dates&gt;&lt;pub-dates&gt;&lt;date&gt;2019-Jun-07&lt;/date&gt;&lt;/pub-dates&gt;&lt;year&gt;2019&lt;/year&gt;&lt;/dates&gt;&lt;urls&gt;&lt;related-urls&gt;&lt;url&gt;&amp;lt;Go to ISI&amp;gt;://MEDLINE:31123181&lt;/url&gt;&lt;/related-urls&gt;&lt;/urls&gt;&lt;titles&gt;&lt;title&gt;Early Glomerular Hyperfiltration and Long-Term Kidney Outcomes in Type 1 Diabetes: The DCCT/EDIC Experience&lt;/title&gt;&lt;secondary-title&gt;Clinical journal of the American Society of Nephrology : CJASN&lt;/secondary-title&gt;&lt;/titles&gt;&lt;pages&gt;854-861&lt;/pages&gt;&lt;number&gt;6&lt;/number&gt;&lt;contributors&gt;&lt;authors&gt;&lt;author&gt;Molitch, Mark E.&lt;/author&gt;&lt;author&gt;Gao, Xiaoyu&lt;/author&gt;&lt;author&gt;Bebu, Ionut&lt;/author&gt;&lt;author&gt;de Boer, Ian H.&lt;/author&gt;&lt;author&gt;Lachin, John&lt;/author&gt;&lt;author&gt;Paterson, Andrew&lt;/author&gt;&lt;author&gt;Perkins, Bruce&lt;/author&gt;&lt;author&gt;Saenger, Amy K.&lt;/author&gt;&lt;author&gt;Steffes, Michael&lt;/author&gt;&lt;author&gt;Zinman, Bernard&lt;/author&gt;&lt;author&gt;Diabetes Control and Complications Trial/Epidemiology of, Diabetes&lt;/author&gt;&lt;author&gt;Interventions and Complications Research, Group&lt;/author&gt;&lt;/authors&gt;&lt;/contributors&gt;&lt;added-date format="utc"&gt;1566396944&lt;/added-date&gt;&lt;ref-type name="Journal Article"&gt;17&lt;/ref-type&gt;&lt;rec-number&gt;1072&lt;/rec-number&gt;&lt;last-updated-date format="utc"&gt;1566396944&lt;/last-updated-date&gt;&lt;accession-num&gt;MEDLINE:31123181&lt;/accession-num&gt;&lt;electronic-resource-num&gt;10.2215/cjn.14831218&lt;/electronic-resource-num&gt;&lt;volume&gt;14&lt;/volume&gt;&lt;/record&gt;&lt;/Cite&gt;&lt;/EndNote&gt;</w:instrText>
      </w:r>
      <w:r w:rsidRPr="00052BEA">
        <w:rPr>
          <w:rFonts w:cs="Arial"/>
        </w:rPr>
        <w:fldChar w:fldCharType="separate"/>
      </w:r>
      <w:r w:rsidRPr="00052BEA">
        <w:rPr>
          <w:rFonts w:cs="Arial"/>
          <w:noProof/>
        </w:rPr>
        <w:t>(Molitch et al., 2019)</w:t>
      </w:r>
      <w:r w:rsidRPr="00052BEA">
        <w:rPr>
          <w:rFonts w:cs="Arial"/>
        </w:rPr>
        <w:fldChar w:fldCharType="end"/>
      </w:r>
      <w:r w:rsidRPr="00052BEA">
        <w:rPr>
          <w:rFonts w:cs="Arial"/>
        </w:rPr>
        <w:t xml:space="preserve">.  A change in microvascular tone has been shown to be mediated by local endothelial responses in the kidney such as cyclo-oxygenase 2 (COX-2) function and nitric oxide (NO) regulation </w:t>
      </w:r>
      <w:r w:rsidRPr="00052BEA">
        <w:rPr>
          <w:rFonts w:cs="Arial"/>
        </w:rPr>
        <w:fldChar w:fldCharType="begin">
          <w:fldData xml:space="preserve">PEVuZE5vdGU+PENpdGU+PEF1dGhvcj5DaGVybmV5PC9BdXRob3I+PFllYXI+MjAwODwvWWVhcj48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</w:fldData>
        </w:fldChar>
      </w:r>
      <w:r w:rsidRPr="00052BEA">
        <w:rPr>
          <w:rFonts w:cs="Arial"/>
        </w:rPr>
        <w:instrText xml:space="preserve"> ADDIN EN.CITE </w:instrText>
      </w:r>
      <w:r w:rsidRPr="00052BEA">
        <w:rPr>
          <w:rFonts w:cs="Arial"/>
        </w:rPr>
        <w:fldChar w:fldCharType="begin">
          <w:fldData xml:space="preserve">PEVuZE5vdGU+PENpdGU+PEF1dGhvcj5DaGVybmV5PC9BdXRob3I+PFllYXI+MjAwODwvWWVhcj48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</w:fldData>
        </w:fldChar>
      </w:r>
      <w:r w:rsidRPr="00052BEA">
        <w:rPr>
          <w:rFonts w:cs="Arial"/>
        </w:rPr>
        <w:instrText xml:space="preserve"> ADDIN EN.CITE.DATA </w:instrText>
      </w:r>
      <w:r w:rsidRPr="00052BEA">
        <w:rPr>
          <w:rFonts w:cs="Arial"/>
        </w:rPr>
      </w:r>
      <w:r w:rsidRPr="00052BEA">
        <w:rPr>
          <w:rFonts w:cs="Arial"/>
        </w:rPr>
        <w:fldChar w:fldCharType="end"/>
      </w:r>
      <w:r w:rsidRPr="00052BEA">
        <w:rPr>
          <w:rFonts w:cs="Arial"/>
        </w:rPr>
      </w:r>
      <w:r w:rsidRPr="00052BEA">
        <w:rPr>
          <w:rFonts w:cs="Arial"/>
        </w:rPr>
        <w:fldChar w:fldCharType="separate"/>
      </w:r>
      <w:r w:rsidRPr="00052BEA">
        <w:rPr>
          <w:rFonts w:cs="Arial"/>
          <w:noProof/>
        </w:rPr>
        <w:t>(Cherney et al., 2008, Cherney et al., 2010)</w:t>
      </w:r>
      <w:r w:rsidRPr="00052BEA">
        <w:rPr>
          <w:rFonts w:cs="Arial"/>
        </w:rPr>
        <w:fldChar w:fldCharType="end"/>
      </w:r>
      <w:r w:rsidRPr="00052BEA">
        <w:rPr>
          <w:rFonts w:cs="Arial"/>
        </w:rPr>
        <w:t xml:space="preserve">.  These local mediators are widespread throughout microcirculatory vessels and therefore this effect may be generalizable to other organs, including the brain.  In subjects with T1D without complications compared with age matched healthy volunteers, there is an increase in pro-inflammatory markers measured in the serum, some of which are known to increase NO release </w:t>
      </w:r>
      <w:r w:rsidRPr="00052BEA">
        <w:rPr>
          <w:rFonts w:cs="Arial"/>
        </w:rPr>
        <w:fldChar w:fldCharType="begin"/>
      </w:r>
      <w:r w:rsidRPr="00052BEA">
        <w:rPr>
          <w:rFonts w:cs="Arial"/>
        </w:rPr>
        <w:instrText xml:space="preserve"> ADDIN EN.CITE &lt;EndNote&gt;&lt;Cite&gt;&lt;Author&gt;Sochett&lt;/Author&gt;&lt;Year&gt;2017&lt;/Year&gt;&lt;IDText&gt;Relationship between serum inflammatory markers and vascular function in a cohort of adolescents with type 1 diabetes&lt;/IDText&gt;&lt;DisplayText&gt;(Sochett et al., 2017)&lt;/DisplayText&gt;&lt;record&gt;&lt;dates&gt;&lt;pub-dates&gt;&lt;date&gt;Nov&lt;/date&gt;&lt;/pub-dates&gt;&lt;year&gt;2017&lt;/year&gt;&lt;/dates&gt;&lt;urls&gt;&lt;related-urls&gt;&lt;url&gt;&amp;lt;Go to ISI&amp;gt;://WOS:000416186500030&lt;/url&gt;&lt;/related-urls&gt;&lt;/urls&gt;&lt;isbn&gt;1043-4666&lt;/isbn&gt;&lt;titles&gt;&lt;title&gt;Relationship between serum inflammatory markers and vascular function in a cohort of adolescents with type 1 diabetes&lt;/title&gt;&lt;secondary-title&gt;Cytokine&lt;/secondary-title&gt;&lt;/titles&gt;&lt;pages&gt;233-239&lt;/pages&gt;&lt;contributors&gt;&lt;authors&gt;&lt;author&gt;Sochett, Etienne&lt;/author&gt;&lt;author&gt;Noone, Damien&lt;/author&gt;&lt;author&gt;Grattan, Michael&lt;/author&gt;&lt;author&gt;Slorach, Cameron&lt;/author&gt;&lt;author&gt;Moineddin, Rahim&lt;/author&gt;&lt;author&gt;Elia, Yesmino&lt;/author&gt;&lt;author&gt;Mahmud, Farid H.&lt;/author&gt;&lt;author&gt;Dunger, David B.&lt;/author&gt;&lt;author&gt;Dalton, Neil&lt;/author&gt;&lt;author&gt;Cherney, David&lt;/author&gt;&lt;author&gt;Scholey, James&lt;/author&gt;&lt;author&gt;Reich, Heather&lt;/author&gt;&lt;author&gt;Deanfield, John&lt;/author&gt;&lt;/authors&gt;&lt;/contributors&gt;&lt;added-date format="utc"&gt;1566397440&lt;/added-date&gt;&lt;ref-type name="Journal Article"&gt;17&lt;/ref-type&gt;&lt;rec-number&gt;1073&lt;/rec-number&gt;&lt;last-updated-date format="utc"&gt;1566397440&lt;/last-updated-date&gt;&lt;accession-num&gt;WOS:000416186500030&lt;/accession-num&gt;&lt;electronic-resource-num&gt;10.1016/j.cyto.2017.07.013&lt;/electronic-resource-num&gt;&lt;volume&gt;99&lt;/volume&gt;&lt;/record&gt;&lt;/Cite&gt;&lt;/EndNote&gt;</w:instrText>
      </w:r>
      <w:r w:rsidRPr="00052BEA">
        <w:rPr>
          <w:rFonts w:cs="Arial"/>
        </w:rPr>
        <w:fldChar w:fldCharType="separate"/>
      </w:r>
      <w:r w:rsidRPr="00052BEA">
        <w:rPr>
          <w:rFonts w:cs="Arial"/>
          <w:noProof/>
        </w:rPr>
        <w:t>(Sochett et al., 2017)</w:t>
      </w:r>
      <w:r w:rsidRPr="00052BEA">
        <w:rPr>
          <w:rFonts w:cs="Arial"/>
        </w:rPr>
        <w:fldChar w:fldCharType="end"/>
      </w:r>
      <w:r w:rsidRPr="00052BEA">
        <w:rPr>
          <w:rFonts w:cs="Arial"/>
        </w:rPr>
        <w:t xml:space="preserve">.  This could be an explanation for faster MTT due to vasodilation of the circulation in those in the DM-NN group.  The effect is perhaps less marked in the other diabetes groups due to long-term hyperglycaemia causing impaired nitric oxide production, and the long-term effects of hyperglycaemia resulting in atherogenesis and alterations to autonomic function </w:t>
      </w:r>
      <w:r w:rsidRPr="00052BEA">
        <w:rPr>
          <w:rFonts w:cs="Arial"/>
        </w:rPr>
        <w:fldChar w:fldCharType="begin"/>
      </w:r>
      <w:r w:rsidRPr="00052BEA">
        <w:rPr>
          <w:rFonts w:cs="Arial"/>
        </w:rPr>
        <w:instrText xml:space="preserve"> ADDIN EN.CITE &lt;EndNote&gt;&lt;Cite&gt;&lt;Author&gt;Bertoluci&lt;/Author&gt;&lt;Year&gt;2015&lt;/Year&gt;&lt;IDText&gt;Endothelial dysfunction as a predictor of cardiovascular disease in type 1 diabetes&lt;/IDText&gt;&lt;DisplayText&gt;(Bertoluci et al., 2015)&lt;/DisplayText&gt;&lt;record&gt;&lt;dates&gt;&lt;pub-dates&gt;&lt;date&gt;Jun 10&lt;/date&gt;&lt;/pub-dates&gt;&lt;year&gt;2015&lt;/year&gt;&lt;/dates&gt;&lt;urls&gt;&lt;related-urls&gt;&lt;url&gt;&amp;lt;Go to ISI&amp;gt;://WOS:000360989300002&lt;/url&gt;&lt;/related-urls&gt;&lt;/urls&gt;&lt;titles&gt;&lt;title&gt;Endothelial dysfunction as a predictor of cardiovascular disease in type 1 diabetes&lt;/title&gt;&lt;secondary-title&gt;World Journal of Diabetes&lt;/secondary-title&gt;&lt;/titles&gt;&lt;pages&gt;679-692&lt;/pages&gt;&lt;number&gt;5&lt;/number&gt;&lt;contributors&gt;&lt;authors&gt;&lt;author&gt;Bertoluci, Marcello C.&lt;/author&gt;&lt;author&gt;Ce, Gislaine V.&lt;/author&gt;&lt;author&gt;da Silva, Antonio M. V.&lt;/author&gt;&lt;author&gt;Wainstein, Marco V.&lt;/author&gt;&lt;author&gt;Boff, Winston&lt;/author&gt;&lt;author&gt;Punales, Marcia&lt;/author&gt;&lt;/authors&gt;&lt;/contributors&gt;&lt;added-date format="utc"&gt;1566823042&lt;/added-date&gt;&lt;ref-type name="Journal Article"&gt;17&lt;/ref-type&gt;&lt;rec-number&gt;1074&lt;/rec-number&gt;&lt;last-updated-date format="utc"&gt;1566823042&lt;/last-updated-date&gt;&lt;accession-num&gt;WOS:000360989300002&lt;/accession-num&gt;&lt;electronic-resource-num&gt;10.4239/wjd.v6.i5.679&lt;/electronic-resource-num&gt;&lt;volume&gt;6&lt;/volume&gt;&lt;/record&gt;&lt;/Cite&gt;&lt;/EndNote&gt;</w:instrText>
      </w:r>
      <w:r w:rsidRPr="00052BEA">
        <w:rPr>
          <w:rFonts w:cs="Arial"/>
        </w:rPr>
        <w:fldChar w:fldCharType="separate"/>
      </w:r>
      <w:r w:rsidRPr="00052BEA">
        <w:rPr>
          <w:rFonts w:cs="Arial"/>
          <w:noProof/>
        </w:rPr>
        <w:t>(Bertoluci et al., 2015)</w:t>
      </w:r>
      <w:r w:rsidRPr="00052BEA">
        <w:rPr>
          <w:rFonts w:cs="Arial"/>
        </w:rPr>
        <w:fldChar w:fldCharType="end"/>
      </w:r>
      <w:r w:rsidRPr="00052BEA">
        <w:rPr>
          <w:rFonts w:cs="Arial"/>
        </w:rPr>
        <w:t xml:space="preserve">.  In our study </w:t>
      </w:r>
      <w:r w:rsidR="00233478">
        <w:rPr>
          <w:rFonts w:cs="Arial"/>
        </w:rPr>
        <w:t>eGFR</w:t>
      </w:r>
      <w:r w:rsidRPr="00052BEA">
        <w:rPr>
          <w:rFonts w:cs="Arial"/>
        </w:rPr>
        <w:t xml:space="preserve"> was estimated by MDRD calculation, and values greater than 90mls/min/1.73m</w:t>
      </w:r>
      <w:r w:rsidRPr="00052BEA">
        <w:rPr>
          <w:rFonts w:cs="Arial"/>
          <w:vertAlign w:val="superscript"/>
        </w:rPr>
        <w:t xml:space="preserve">2 </w:t>
      </w:r>
      <w:r w:rsidRPr="00052BEA">
        <w:rPr>
          <w:rFonts w:cs="Arial"/>
        </w:rPr>
        <w:t xml:space="preserve">were not reported, so we were unable to correlate MTT with GFR. It is known that MDRD </w:t>
      </w:r>
      <w:r w:rsidR="00233478">
        <w:rPr>
          <w:rFonts w:cs="Arial"/>
        </w:rPr>
        <w:t>eGFR</w:t>
      </w:r>
      <w:r w:rsidRPr="00052BEA">
        <w:rPr>
          <w:rFonts w:cs="Arial"/>
        </w:rPr>
        <w:t xml:space="preserve"> commonly underestimates GFR by between 6.2-29%</w:t>
      </w:r>
      <w:r w:rsidRPr="00052BEA">
        <w:rPr>
          <w:rFonts w:cs="Arial"/>
        </w:rPr>
        <w:fldChar w:fldCharType="begin"/>
      </w:r>
      <w:r w:rsidRPr="00052BEA">
        <w:rPr>
          <w:rFonts w:cs="Arial"/>
        </w:rPr>
        <w:instrText xml:space="preserve"> ADDIN EN.CITE &lt;EndNote&gt;&lt;Cite&gt;&lt;Author&gt;Rule&lt;/Author&gt;&lt;Year&gt;2004&lt;/Year&gt;&lt;IDText&gt;Using serum creatinine to estimate glomerular filtration rate: Accuracy in good health and in chronic kidney disease&lt;/IDText&gt;&lt;DisplayText&gt;(Rule et al., 2004)&lt;/DisplayText&gt;&lt;record&gt;&lt;dates&gt;&lt;pub-dates&gt;&lt;date&gt;Dec 21&lt;/date&gt;&lt;/pub-dates&gt;&lt;year&gt;2004&lt;/year&gt;&lt;/dates&gt;&lt;urls&gt;&lt;related-urls&gt;&lt;url&gt;&amp;lt;Go to ISI&amp;gt;://WOS:000225923000004&lt;/url&gt;&lt;/related-urls&gt;&lt;/urls&gt;&lt;isbn&gt;0003-4819&lt;/isbn&gt;&lt;titles&gt;&lt;title&gt;Using serum creatinine to estimate glomerular filtration rate: Accuracy in good health and in chronic kidney disease&lt;/title&gt;&lt;secondary-title&gt;Annals of Internal Medicine&lt;/secondary-title&gt;&lt;/titles&gt;&lt;pages&gt;929-937&lt;/pages&gt;&lt;number&gt;12&lt;/number&gt;&lt;contributors&gt;&lt;authors&gt;&lt;author&gt;Rule, A. D.&lt;/author&gt;&lt;author&gt;Larson, T. S.&lt;/author&gt;&lt;author&gt;Bergstralh, E. J.&lt;/author&gt;&lt;author&gt;Slezak, J. M.&lt;/author&gt;&lt;author&gt;Jacobsen, S. J.&lt;/author&gt;&lt;author&gt;Cosio, F. G.&lt;/author&gt;&lt;/authors&gt;&lt;/contributors&gt;&lt;added-date format="utc"&gt;1567576948&lt;/added-date&gt;&lt;ref-type name="Journal Article"&gt;17&lt;/ref-type&gt;&lt;rec-number&gt;1114&lt;/rec-number&gt;&lt;last-updated-date format="utc"&gt;1567576948&lt;/last-updated-date&gt;&lt;accession-num&gt;WOS:000225923000004&lt;/accession-num&gt;&lt;electronic-resource-num&gt;10.7326/0003-4819-141-12-200412210-00009&lt;/electronic-resource-num&gt;&lt;volume&gt;141&lt;/volume&gt;&lt;/record&gt;&lt;/Cite&gt;&lt;/EndNote&gt;</w:instrText>
      </w:r>
      <w:r w:rsidRPr="00052BEA">
        <w:rPr>
          <w:rFonts w:cs="Arial"/>
        </w:rPr>
        <w:fldChar w:fldCharType="separate"/>
      </w:r>
      <w:r w:rsidRPr="00052BEA">
        <w:rPr>
          <w:rFonts w:cs="Arial"/>
          <w:noProof/>
        </w:rPr>
        <w:t>(Rule et al., 2004)</w:t>
      </w:r>
      <w:r w:rsidRPr="00052BEA">
        <w:rPr>
          <w:rFonts w:cs="Arial"/>
        </w:rPr>
        <w:fldChar w:fldCharType="end"/>
      </w:r>
      <w:r w:rsidRPr="00052BEA">
        <w:rPr>
          <w:rFonts w:cs="Arial"/>
        </w:rPr>
        <w:t xml:space="preserve">.  Hence in further investigations a direct measurement of </w:t>
      </w:r>
      <w:r w:rsidRPr="00052BEA">
        <w:rPr>
          <w:rFonts w:cs="Arial"/>
        </w:rPr>
        <w:lastRenderedPageBreak/>
        <w:t xml:space="preserve">GFR such as inulin clearance </w:t>
      </w:r>
      <w:r w:rsidRPr="00052BEA">
        <w:rPr>
          <w:rFonts w:cs="Arial"/>
        </w:rPr>
        <w:fldChar w:fldCharType="begin"/>
      </w:r>
      <w:r w:rsidRPr="00052BEA">
        <w:rPr>
          <w:rFonts w:cs="Arial"/>
        </w:rPr>
        <w:instrText xml:space="preserve"> ADDIN EN.CITE &lt;EndNote&gt;&lt;Cite&gt;&lt;Author&gt;Hsu&lt;/Author&gt;&lt;Year&gt;2011&lt;/Year&gt;&lt;IDText&gt;Measured GFR as &amp;quot;Gold Standard&amp;quot;-All that Glitters Is Not Gold?&lt;/IDText&gt;&lt;DisplayText&gt;(Hsu and Bansal, 2011)&lt;/DisplayText&gt;&lt;record&gt;&lt;dates&gt;&lt;pub-dates&gt;&lt;date&gt;Aug&lt;/date&gt;&lt;/pub-dates&gt;&lt;year&gt;2011&lt;/year&gt;&lt;/dates&gt;&lt;urls&gt;&lt;related-urls&gt;&lt;url&gt;&amp;lt;Go to ISI&amp;gt;://WOS:000293721400004&lt;/url&gt;&lt;/related-urls&gt;&lt;/urls&gt;&lt;isbn&gt;1555-9041&lt;/isbn&gt;&lt;titles&gt;&lt;title&gt;Measured GFR as &amp;quot;Gold Standard&amp;quot;-All that Glitters Is Not Gold?&lt;/title&gt;&lt;secondary-title&gt;Clinical Journal of the American Society of Nephrology&lt;/secondary-title&gt;&lt;/titles&gt;&lt;pages&gt;1813-1814&lt;/pages&gt;&lt;number&gt;8&lt;/number&gt;&lt;contributors&gt;&lt;authors&gt;&lt;author&gt;Hsu, Chi-yuan&lt;/author&gt;&lt;author&gt;Bansal, Nisha&lt;/author&gt;&lt;/authors&gt;&lt;/contributors&gt;&lt;added-date format="utc"&gt;1567576746&lt;/added-date&gt;&lt;ref-type name="Journal Article"&gt;17&lt;/ref-type&gt;&lt;rec-number&gt;1113&lt;/rec-number&gt;&lt;last-updated-date format="utc"&gt;1567576746&lt;/last-updated-date&gt;&lt;accession-num&gt;WOS:000293721400004&lt;/accession-num&gt;&lt;electronic-resource-num&gt;10.2215/cjn.06040611&lt;/electronic-resource-num&gt;&lt;volume&gt;6&lt;/volume&gt;&lt;/record&gt;&lt;/Cite&gt;&lt;/EndNote&gt;</w:instrText>
      </w:r>
      <w:r w:rsidRPr="00052BEA">
        <w:rPr>
          <w:rFonts w:cs="Arial"/>
        </w:rPr>
        <w:fldChar w:fldCharType="separate"/>
      </w:r>
      <w:r w:rsidRPr="00052BEA">
        <w:rPr>
          <w:rFonts w:cs="Arial"/>
          <w:noProof/>
        </w:rPr>
        <w:t>(Hsu and Bansal, 2011)</w:t>
      </w:r>
      <w:r w:rsidRPr="00052BEA">
        <w:rPr>
          <w:rFonts w:cs="Arial"/>
        </w:rPr>
        <w:fldChar w:fldCharType="end"/>
      </w:r>
      <w:r w:rsidRPr="00052BEA">
        <w:rPr>
          <w:rFonts w:cs="Arial"/>
        </w:rPr>
        <w:t xml:space="preserve"> may be able to establish a correlation between hyperfiltration of the kidney and hyperperfusion of the cerebral circulation as evidenced by a faster MTT in subjects with diabetes but without neuropathy.  </w:t>
      </w:r>
    </w:p>
    <w:p w14:paraId="4AF981E9" w14:textId="1F0F4F1E" w:rsidR="00052BEA" w:rsidRPr="00052BEA" w:rsidRDefault="00052BEA" w:rsidP="00052BEA">
      <w:pPr>
        <w:spacing w:line="360" w:lineRule="auto"/>
        <w:rPr>
          <w:rFonts w:cs="Arial"/>
        </w:rPr>
      </w:pPr>
      <w:r w:rsidRPr="00052BEA">
        <w:rPr>
          <w:rFonts w:cs="Arial"/>
        </w:rPr>
        <w:t xml:space="preserve">Retinal microvascular flow has been reported to be increased in diabetes without complications </w:t>
      </w:r>
      <w:r w:rsidRPr="00052BEA">
        <w:rPr>
          <w:rFonts w:cs="Arial"/>
        </w:rPr>
        <w:fldChar w:fldCharType="begin">
          <w:fldData xml:space="preserve">PEVuZE5vdGU+PENpdGU+PEF1dGhvcj5TaW5jbGFpcjwvQXV0aG9yPjxZZWFyPjE5OTE8L1llYXI+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</w:fldData>
        </w:fldChar>
      </w:r>
      <w:r w:rsidRPr="00052BEA">
        <w:rPr>
          <w:rFonts w:cs="Arial"/>
        </w:rPr>
        <w:instrText xml:space="preserve"> ADDIN EN.CITE </w:instrText>
      </w:r>
      <w:r w:rsidRPr="00052BEA">
        <w:rPr>
          <w:rFonts w:cs="Arial"/>
        </w:rPr>
        <w:fldChar w:fldCharType="begin">
          <w:fldData xml:space="preserve">PEVuZE5vdGU+PENpdGU+PEF1dGhvcj5TaW5jbGFpcjwvQXV0aG9yPjxZZWFyPjE5OTE8L1llYXI+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</w:fldData>
        </w:fldChar>
      </w:r>
      <w:r w:rsidRPr="00052BEA">
        <w:rPr>
          <w:rFonts w:cs="Arial"/>
        </w:rPr>
        <w:instrText xml:space="preserve"> ADDIN EN.CITE.DATA </w:instrText>
      </w:r>
      <w:r w:rsidRPr="00052BEA">
        <w:rPr>
          <w:rFonts w:cs="Arial"/>
        </w:rPr>
      </w:r>
      <w:r w:rsidRPr="00052BEA">
        <w:rPr>
          <w:rFonts w:cs="Arial"/>
        </w:rPr>
        <w:fldChar w:fldCharType="end"/>
      </w:r>
      <w:r w:rsidRPr="00052BEA">
        <w:rPr>
          <w:rFonts w:cs="Arial"/>
        </w:rPr>
      </w:r>
      <w:r w:rsidRPr="00052BEA">
        <w:rPr>
          <w:rFonts w:cs="Arial"/>
        </w:rPr>
        <w:fldChar w:fldCharType="separate"/>
      </w:r>
      <w:r w:rsidRPr="00052BEA">
        <w:rPr>
          <w:rFonts w:cs="Arial"/>
          <w:noProof/>
        </w:rPr>
        <w:t>(Sinclair, 1991, Grunwald et al., 1996, Burgansky-Eliash et al., 2012)</w:t>
      </w:r>
      <w:r w:rsidRPr="00052BEA">
        <w:rPr>
          <w:rFonts w:cs="Arial"/>
        </w:rPr>
        <w:fldChar w:fldCharType="end"/>
      </w:r>
      <w:r w:rsidRPr="00052BEA">
        <w:rPr>
          <w:rFonts w:cs="Arial"/>
        </w:rPr>
        <w:t xml:space="preserve">. One study reported increased retinal microvascular flow in conjunction with subtle arteriolar widening in subjects with T1D under euglycaemic clamp conditions </w:t>
      </w:r>
      <w:r w:rsidRPr="00052BEA">
        <w:rPr>
          <w:rFonts w:cs="Arial"/>
        </w:rPr>
        <w:fldChar w:fldCharType="begin"/>
      </w:r>
      <w:r w:rsidRPr="00052BEA">
        <w:rPr>
          <w:rFonts w:cs="Arial"/>
        </w:rPr>
        <w:instrText xml:space="preserve"> ADDIN EN.CITE &lt;EndNote&gt;&lt;Cite&gt;&lt;Author&gt;Pemp&lt;/Author&gt;&lt;Year&gt;2010&lt;/Year&gt;&lt;IDText&gt;Retinal Blood Flow in Type 1 Diabetic Patients With No or Mild Diabetic Retinopathy During Euglycemic Clamp&lt;/IDText&gt;&lt;DisplayText&gt;(Pemp et al., 2010)&lt;/DisplayText&gt;&lt;record&gt;&lt;dates&gt;&lt;pub-dates&gt;&lt;date&gt;Sep&lt;/date&gt;&lt;/pub-dates&gt;&lt;year&gt;2010&lt;/year&gt;&lt;/dates&gt;&lt;urls&gt;&lt;related-urls&gt;&lt;url&gt;&amp;lt;Go to ISI&amp;gt;://WOS:000282560300027&lt;/url&gt;&lt;/related-urls&gt;&lt;/urls&gt;&lt;isbn&gt;0149-5992&lt;/isbn&gt;&lt;titles&gt;&lt;title&gt;Retinal Blood Flow in Type 1 Diabetic Patients With No or Mild Diabetic Retinopathy During Euglycemic Clamp&lt;/title&gt;&lt;secondary-title&gt;Diabetes Care&lt;/secondary-title&gt;&lt;/titles&gt;&lt;pages&gt;2038-2042&lt;/pages&gt;&lt;number&gt;9&lt;/number&gt;&lt;contributors&gt;&lt;authors&gt;&lt;author&gt;Pemp, Berthold&lt;/author&gt;&lt;author&gt;Polska, Elzbieta&lt;/author&gt;&lt;author&gt;Garhofer, Gerhard&lt;/author&gt;&lt;author&gt;Bayerle-Eder, Michaela&lt;/author&gt;&lt;author&gt;Kautzky-Willer, Alexandra&lt;/author&gt;&lt;author&gt;Schmetterer, Leopold&lt;/author&gt;&lt;/authors&gt;&lt;/contributors&gt;&lt;added-date format="utc"&gt;1562672569&lt;/added-date&gt;&lt;ref-type name="Journal Article"&gt;17&lt;/ref-type&gt;&lt;rec-number&gt;1049&lt;/rec-number&gt;&lt;last-updated-date format="utc"&gt;1562672569&lt;/last-updated-date&gt;&lt;accession-num&gt;WOS:000282560300027&lt;/accession-num&gt;&lt;electronic-resource-num&gt;10.2337/dc10-0502&lt;/electronic-resource-num&gt;&lt;volume&gt;33&lt;/volume&gt;&lt;/record&gt;&lt;/Cite&gt;&lt;/EndNote&gt;</w:instrText>
      </w:r>
      <w:r w:rsidRPr="00052BEA">
        <w:rPr>
          <w:rFonts w:cs="Arial"/>
        </w:rPr>
        <w:fldChar w:fldCharType="separate"/>
      </w:r>
      <w:r w:rsidRPr="00052BEA">
        <w:rPr>
          <w:rFonts w:cs="Arial"/>
          <w:noProof/>
        </w:rPr>
        <w:t>(Pemp et al., 2010)</w:t>
      </w:r>
      <w:r w:rsidRPr="00052BEA">
        <w:rPr>
          <w:rFonts w:cs="Arial"/>
        </w:rPr>
        <w:fldChar w:fldCharType="end"/>
      </w:r>
      <w:r w:rsidRPr="00052BEA">
        <w:rPr>
          <w:rFonts w:cs="Arial"/>
        </w:rPr>
        <w:t xml:space="preserve">. </w:t>
      </w:r>
      <w:r w:rsidR="00B13EA5">
        <w:rPr>
          <w:rFonts w:cs="Arial"/>
        </w:rPr>
        <w:t xml:space="preserve"> </w:t>
      </w:r>
      <w:r w:rsidRPr="00052BEA">
        <w:rPr>
          <w:rFonts w:cs="Arial"/>
        </w:rPr>
        <w:t xml:space="preserve">There have also been studies which showed increased flow in the presence of complications both retinal </w:t>
      </w:r>
      <w:r w:rsidRPr="00052BEA">
        <w:rPr>
          <w:rFonts w:cs="Arial"/>
        </w:rPr>
        <w:fldChar w:fldCharType="begin"/>
      </w:r>
      <w:r w:rsidRPr="00052BEA">
        <w:rPr>
          <w:rFonts w:cs="Arial"/>
        </w:rPr>
        <w:instrText xml:space="preserve"> ADDIN EN.CITE &lt;EndNote&gt;&lt;Cite&gt;&lt;Author&gt;Nguyen&lt;/Author&gt;&lt;Year&gt;2016&lt;/Year&gt;&lt;IDText&gt;Retinal blood flow is increased in type 1 diabetes mellitus patients with advanced stages of retinopathy&lt;/IDText&gt;&lt;DisplayText&gt;(Nguyen et al., 2016)&lt;/DisplayText&gt;&lt;record&gt;&lt;dates&gt;&lt;pub-dates&gt;&lt;date&gt;May&lt;/date&gt;&lt;/pub-dates&gt;&lt;year&gt;2016&lt;/year&gt;&lt;/dates&gt;&lt;urls&gt;&lt;related-urls&gt;&lt;url&gt;&amp;lt;Go to ISI&amp;gt;://WOS:000376716200002&lt;/url&gt;&lt;/related-urls&gt;&lt;/urls&gt;&lt;isbn&gt;1472-6823&lt;/isbn&gt;&lt;titles&gt;&lt;title&gt;Retinal blood flow is increased in type 1 diabetes mellitus patients with advanced stages of retinopathy&lt;/title&gt;&lt;secondary-title&gt;Bmc Endocrine Disorders&lt;/secondary-title&gt;&lt;/titles&gt;&lt;contributors&gt;&lt;authors&gt;&lt;author&gt;Nguyen, H. T.&lt;/author&gt;&lt;author&gt;van Duinkerken, E.&lt;/author&gt;&lt;author&gt;Verbraak, F. D.&lt;/author&gt;&lt;author&gt;Polak, B. C. P.&lt;/author&gt;&lt;author&gt;Ringens, P. J.&lt;/author&gt;&lt;author&gt;Diamant, M.&lt;/author&gt;&lt;author&gt;Moll, A. C.&lt;/author&gt;&lt;/authors&gt;&lt;/contributors&gt;&lt;custom7&gt;25&lt;/custom7&gt;&lt;added-date format="utc"&gt;1566829006&lt;/added-date&gt;&lt;ref-type name="Journal Article"&gt;17&lt;/ref-type&gt;&lt;rec-number&gt;1079&lt;/rec-number&gt;&lt;last-updated-date format="utc"&gt;1566829006&lt;/last-updated-date&gt;&lt;accession-num&gt;WOS:000376716200002&lt;/accession-num&gt;&lt;electronic-resource-num&gt;10.1186/s12902-016-0105-y&lt;/electronic-resource-num&gt;&lt;volume&gt;16&lt;/volume&gt;&lt;/record&gt;&lt;/Cite&gt;&lt;/EndNote&gt;</w:instrText>
      </w:r>
      <w:r w:rsidRPr="00052BEA">
        <w:rPr>
          <w:rFonts w:cs="Arial"/>
        </w:rPr>
        <w:fldChar w:fldCharType="separate"/>
      </w:r>
      <w:r w:rsidRPr="00052BEA">
        <w:rPr>
          <w:rFonts w:cs="Arial"/>
          <w:noProof/>
        </w:rPr>
        <w:t>(Nguyen et al., 2016)</w:t>
      </w:r>
      <w:r w:rsidRPr="00052BEA">
        <w:rPr>
          <w:rFonts w:cs="Arial"/>
        </w:rPr>
        <w:fldChar w:fldCharType="end"/>
      </w:r>
      <w:r w:rsidRPr="00052BEA">
        <w:rPr>
          <w:rFonts w:cs="Arial"/>
        </w:rPr>
        <w:t xml:space="preserve"> and neuropathic </w:t>
      </w:r>
      <w:r w:rsidRPr="00052BEA">
        <w:rPr>
          <w:rFonts w:cs="Arial"/>
        </w:rPr>
        <w:fldChar w:fldCharType="begin"/>
      </w:r>
      <w:r w:rsidRPr="00052BEA">
        <w:rPr>
          <w:rFonts w:cs="Arial"/>
        </w:rPr>
        <w:instrText xml:space="preserve"> ADDIN EN.CITE &lt;EndNote&gt;&lt;Cite&gt;&lt;Author&gt;Forst&lt;/Author&gt;&lt;Year&gt;2014&lt;/Year&gt;&lt;IDText&gt;Retinal Microcirculation in Type 1 Diabetic Patients With and Without Peripheral Sensory Neuropathy&lt;/IDText&gt;&lt;DisplayText&gt;(Forst et al., 2014)&lt;/DisplayText&gt;&lt;record&gt;&lt;dates&gt;&lt;pub-dates&gt;&lt;date&gt;2014-Mar&lt;/date&gt;&lt;/pub-dates&gt;&lt;year&gt;2014&lt;/year&gt;&lt;/dates&gt;&lt;urls&gt;&lt;related-urls&gt;&lt;url&gt;&amp;lt;Go to ISI&amp;gt;://MEDLINE:24876588&lt;/url&gt;&lt;/related-urls&gt;&lt;/urls&gt;&lt;titles&gt;&lt;title&gt;Retinal Microcirculation in Type 1 Diabetic Patients With and Without Peripheral Sensory Neuropathy&lt;/title&gt;&lt;secondary-title&gt;Journal of diabetes science and technology&lt;/secondary-title&gt;&lt;/titles&gt;&lt;pages&gt;356-361&lt;/pages&gt;&lt;number&gt;2&lt;/number&gt;&lt;contributors&gt;&lt;authors&gt;&lt;author&gt;Forst, Thomas&lt;/author&gt;&lt;author&gt;Weber, Matthias M.&lt;/author&gt;&lt;author&gt;Mitry, Michael&lt;/author&gt;&lt;author&gt;Muller, Lena&lt;/author&gt;&lt;author&gt;Forst, Senait&lt;/author&gt;&lt;author&gt;Tanis, Mukkadar&lt;/author&gt;&lt;author&gt;Pfutzner, Andreas&lt;/author&gt;&lt;author&gt;Michelson, Georg&lt;/author&gt;&lt;/authors&gt;&lt;/contributors&gt;&lt;added-date format="utc"&gt;1562672465&lt;/added-date&gt;&lt;ref-type name="Journal Article"&gt;17&lt;/ref-type&gt;&lt;rec-number&gt;1048&lt;/rec-number&gt;&lt;last-updated-date format="utc"&gt;1562672465&lt;/last-updated-date&gt;&lt;accession-num&gt;MEDLINE:24876588&lt;/accession-num&gt;&lt;volume&gt;8&lt;/volume&gt;&lt;/record&gt;&lt;/Cite&gt;&lt;/EndNote&gt;</w:instrText>
      </w:r>
      <w:r w:rsidRPr="00052BEA">
        <w:rPr>
          <w:rFonts w:cs="Arial"/>
        </w:rPr>
        <w:fldChar w:fldCharType="separate"/>
      </w:r>
      <w:r w:rsidRPr="00052BEA">
        <w:rPr>
          <w:rFonts w:cs="Arial"/>
          <w:noProof/>
        </w:rPr>
        <w:t>(Forst et al., 2014)</w:t>
      </w:r>
      <w:r w:rsidRPr="00052BEA">
        <w:rPr>
          <w:rFonts w:cs="Arial"/>
        </w:rPr>
        <w:fldChar w:fldCharType="end"/>
      </w:r>
      <w:r w:rsidRPr="00052BEA">
        <w:rPr>
          <w:rFonts w:cs="Arial"/>
        </w:rPr>
        <w:t xml:space="preserve">. </w:t>
      </w:r>
      <w:r w:rsidR="00B13EA5">
        <w:rPr>
          <w:rFonts w:cs="Arial"/>
        </w:rPr>
        <w:t xml:space="preserve"> </w:t>
      </w:r>
      <w:r w:rsidRPr="00052BEA">
        <w:rPr>
          <w:rFonts w:cs="Arial"/>
        </w:rPr>
        <w:t xml:space="preserve">Retinal flow would be a more meaningful correlate of increased blood flow in the cerebral hemispheres than nephropathy, as it is also determined in part by neurovascular coupling and functional hyperaemia </w:t>
      </w:r>
      <w:r w:rsidRPr="00052BEA">
        <w:rPr>
          <w:rFonts w:cs="Arial"/>
        </w:rPr>
        <w:fldChar w:fldCharType="begin"/>
      </w:r>
      <w:r w:rsidRPr="00052BEA">
        <w:rPr>
          <w:rFonts w:cs="Arial"/>
        </w:rPr>
        <w:instrText xml:space="preserve"> ADDIN EN.CITE &lt;EndNote&gt;&lt;Cite&gt;&lt;Author&gt;Newman&lt;/Author&gt;&lt;Year&gt;2013&lt;/Year&gt;&lt;IDText&gt;Functional hyperemia and mechanisms of neurovascular coupling in the retinal vasculature&lt;/IDText&gt;&lt;DisplayText&gt;(Newman, 2013)&lt;/DisplayText&gt;&lt;record&gt;&lt;dates&gt;&lt;pub-dates&gt;&lt;date&gt;Nov&lt;/date&gt;&lt;/pub-dates&gt;&lt;year&gt;2013&lt;/year&gt;&lt;/dates&gt;&lt;urls&gt;&lt;related-urls&gt;&lt;url&gt;&amp;lt;Go to ISI&amp;gt;://WOS:000326559300004&lt;/url&gt;&lt;/related-urls&gt;&lt;/urls&gt;&lt;isbn&gt;0271-678X&lt;/isbn&gt;&lt;titles&gt;&lt;title&gt;Functional hyperemia and mechanisms of neurovascular coupling in the retinal vasculature&lt;/title&gt;&lt;secondary-title&gt;Journal of Cerebral Blood Flow and Metabolism&lt;/secondary-title&gt;&lt;/titles&gt;&lt;pages&gt;1685-1695&lt;/pages&gt;&lt;number&gt;11&lt;/number&gt;&lt;contributors&gt;&lt;authors&gt;&lt;author&gt;Newman, E. A.&lt;/author&gt;&lt;/authors&gt;&lt;/contributors&gt;&lt;added-date format="utc"&gt;1566828723&lt;/added-date&gt;&lt;ref-type name="Journal Article"&gt;17&lt;/ref-type&gt;&lt;rec-number&gt;1075&lt;/rec-number&gt;&lt;last-updated-date format="utc"&gt;1566828723&lt;/last-updated-date&gt;&lt;accession-num&gt;WOS:000326559300004&lt;/accession-num&gt;&lt;electronic-resource-num&gt;10.1038/jcbfm.2013.145&lt;/electronic-resource-num&gt;&lt;volume&gt;33&lt;/volume&gt;&lt;/record&gt;&lt;/Cite&gt;&lt;/EndNote&gt;</w:instrText>
      </w:r>
      <w:r w:rsidRPr="00052BEA">
        <w:rPr>
          <w:rFonts w:cs="Arial"/>
        </w:rPr>
        <w:fldChar w:fldCharType="separate"/>
      </w:r>
      <w:r w:rsidRPr="00052BEA">
        <w:rPr>
          <w:rFonts w:cs="Arial"/>
          <w:noProof/>
        </w:rPr>
        <w:t>(Newman, 2013)</w:t>
      </w:r>
      <w:r w:rsidRPr="00052BEA">
        <w:rPr>
          <w:rFonts w:cs="Arial"/>
        </w:rPr>
        <w:fldChar w:fldCharType="end"/>
      </w:r>
      <w:r w:rsidRPr="00052BEA">
        <w:rPr>
          <w:rFonts w:cs="Arial"/>
        </w:rPr>
        <w:t xml:space="preserve">.  A recent study comparing retinal blood flow between groups with increasing severity of retinopathy, found that those with diabetes and no neuropathy had the highest retinal blood flow. The flow was higher than control subjects without diabetes, and groups with non-proliferative retinopathy </w:t>
      </w:r>
      <w:r w:rsidRPr="00052BEA">
        <w:rPr>
          <w:rFonts w:cs="Arial"/>
        </w:rPr>
        <w:fldChar w:fldCharType="begin"/>
      </w:r>
      <w:r w:rsidRPr="00052BEA">
        <w:rPr>
          <w:rFonts w:cs="Arial"/>
        </w:rPr>
        <w:instrText xml:space="preserve"> ADDIN EN.CITE &lt;EndNote&gt;&lt;Cite&gt;&lt;Author&gt;Palochak&lt;/Author&gt;&lt;Year&gt;2019&lt;/Year&gt;&lt;IDText&gt;Retinal Blood Velocity and Flow in Early Diabetes and Diabetic Retinopathy Using Adaptive Optics Scanning Laser Ophthalmoscopy&lt;/IDText&gt;&lt;DisplayText&gt;(Palochak et al., 2019)&lt;/DisplayText&gt;&lt;record&gt;&lt;dates&gt;&lt;pub-dates&gt;&lt;date&gt;Aug&lt;/date&gt;&lt;/pub-dates&gt;&lt;year&gt;2019&lt;/year&gt;&lt;/dates&gt;&lt;keywords&gt;&lt;keyword&gt;adaptive optics scanning laser ophthalmoscopy&lt;/keyword&gt;&lt;keyword&gt;blood flow&lt;/keyword&gt;&lt;keyword&gt;diabetes mellitus&lt;/keyword&gt;&lt;keyword&gt;diabetic retinopathy&lt;/keyword&gt;&lt;keyword&gt;optical coherence tomography angiography&lt;/keyword&gt;&lt;keyword&gt;retina&lt;/keyword&gt;&lt;/keywords&gt;&lt;urls&gt;&lt;related-urls&gt;&lt;url&gt;https://www.ncbi.nlm.nih.gov/pubmed/31382617&lt;/url&gt;&lt;/related-urls&gt;&lt;/urls&gt;&lt;isbn&gt;2077-0383&lt;/isbn&gt;&lt;titles&gt;&lt;title&gt;Retinal Blood Velocity and Flow in Early Diabetes and Diabetic Retinopathy Using Adaptive Optics Scanning Laser Ophthalmoscopy&lt;/title&gt;&lt;secondary-title&gt;J Clin Med&lt;/secondary-title&gt;&lt;/titles&gt;&lt;number&gt;8&lt;/number&gt;&lt;contributors&gt;&lt;authors&gt;&lt;author&gt;Palochak, C. M. A.&lt;/author&gt;&lt;author&gt;Lee, H. E.&lt;/author&gt;&lt;author&gt;Song, J.&lt;/author&gt;&lt;author&gt;Geng, A.&lt;/author&gt;&lt;author&gt;Linsenmeier, R. A.&lt;/author&gt;&lt;author&gt;Burns, S. A.&lt;/author&gt;&lt;author&gt;Fawzi, A. A.&lt;/author&gt;&lt;/authors&gt;&lt;/contributors&gt;&lt;edition&gt;2019/08/03&lt;/edition&gt;&lt;language&gt;eng&lt;/language&gt;&lt;added-date format="utc"&gt;1566984071&lt;/added-date&gt;&lt;ref-type name="Journal Article"&gt;17&lt;/ref-type&gt;&lt;rec-number&gt;1091&lt;/rec-number&gt;&lt;last-updated-date format="utc"&gt;1566984071&lt;/last-updated-date&gt;&lt;accession-num&gt;31382617&lt;/accession-num&gt;&lt;electronic-resource-num&gt;10.3390/jcm8081165&lt;/electronic-resource-num&gt;&lt;volume&gt;8&lt;/volume&gt;&lt;/record&gt;&lt;/Cite&gt;&lt;/EndNote&gt;</w:instrText>
      </w:r>
      <w:r w:rsidRPr="00052BEA">
        <w:rPr>
          <w:rFonts w:cs="Arial"/>
        </w:rPr>
        <w:fldChar w:fldCharType="separate"/>
      </w:r>
      <w:r w:rsidRPr="00052BEA">
        <w:rPr>
          <w:rFonts w:cs="Arial"/>
          <w:noProof/>
        </w:rPr>
        <w:t>(Palochak et al., 2019)</w:t>
      </w:r>
      <w:r w:rsidRPr="00052BEA">
        <w:rPr>
          <w:rFonts w:cs="Arial"/>
        </w:rPr>
        <w:fldChar w:fldCharType="end"/>
      </w:r>
      <w:r w:rsidRPr="00052BEA">
        <w:rPr>
          <w:rFonts w:cs="Arial"/>
        </w:rPr>
        <w:t xml:space="preserve">. This would mirror the findings of our study in which the DM-NN had faster MTT than HV.  </w:t>
      </w:r>
    </w:p>
    <w:p w14:paraId="639DE4C0" w14:textId="5F36CFC6" w:rsidR="00052BEA" w:rsidRPr="00052BEA" w:rsidRDefault="00052BEA" w:rsidP="00052BEA">
      <w:pPr>
        <w:spacing w:line="360" w:lineRule="auto"/>
        <w:rPr>
          <w:rFonts w:cs="Arial"/>
        </w:rPr>
      </w:pPr>
      <w:r w:rsidRPr="00052BEA">
        <w:rPr>
          <w:rFonts w:cs="Arial"/>
        </w:rPr>
        <w:t xml:space="preserve">A histopathological study of the microvascular environment of peripheral nerves with distal symmetrical polyneuropathy, has reported pericyte degeneration and basement membrane duplication </w:t>
      </w:r>
      <w:r w:rsidRPr="00052BEA">
        <w:rPr>
          <w:rFonts w:cs="Arial"/>
        </w:rPr>
        <w:fldChar w:fldCharType="begin"/>
      </w:r>
      <w:r w:rsidRPr="00052BEA">
        <w:rPr>
          <w:rFonts w:cs="Arial"/>
        </w:rPr>
        <w:instrText xml:space="preserve"> ADDIN EN.CITE &lt;EndNote&gt;&lt;Cite&gt;&lt;Author&gt;Giannini&lt;/Author&gt;&lt;Year&gt;1995&lt;/Year&gt;&lt;IDText&gt;BASEMENT-MEMBRANE REDUPLICATION AND PERICYTE DEGENERATION PRECEDE DEVELOPMENT OF DIABETIC POLYNEUROPATHY AND ARE ASSOCIATED WITH ITS SEVERITY&lt;/IDText&gt;&lt;DisplayText&gt;(Giannini and Dyck, 1995)&lt;/DisplayText&gt;&lt;record&gt;&lt;dates&gt;&lt;pub-dates&gt;&lt;date&gt;Apr&lt;/date&gt;&lt;/pub-dates&gt;&lt;year&gt;1995&lt;/year&gt;&lt;/dates&gt;&lt;urls&gt;&lt;related-urls&gt;&lt;url&gt;&amp;lt;Go to ISI&amp;gt;://WOS:A1995RD29000011&lt;/url&gt;&lt;/related-urls&gt;&lt;/urls&gt;&lt;isbn&gt;0364-5134&lt;/isbn&gt;&lt;titles&gt;&lt;title&gt;BASEMENT-MEMBRANE REDUPLICATION AND PERICYTE DEGENERATION PRECEDE DEVELOPMENT OF DIABETIC POLYNEUROPATHY AND ARE ASSOCIATED WITH ITS SEVERITY&lt;/title&gt;&lt;secondary-title&gt;Annals of Neurology&lt;/secondary-title&gt;&lt;/titles&gt;&lt;pages&gt;498-504&lt;/pages&gt;&lt;number&gt;4&lt;/number&gt;&lt;contributors&gt;&lt;authors&gt;&lt;author&gt;Giannini, C.&lt;/author&gt;&lt;author&gt;Dyck, P. J.&lt;/author&gt;&lt;/authors&gt;&lt;/contributors&gt;&lt;added-date format="utc"&gt;1554462275&lt;/added-date&gt;&lt;ref-type name="Journal Article"&gt;17&lt;/ref-type&gt;&lt;rec-number&gt;1022&lt;/rec-number&gt;&lt;last-updated-date format="utc"&gt;1554462275&lt;/last-updated-date&gt;&lt;accession-num&gt;WOS:A1995RD29000011&lt;/accession-num&gt;&lt;electronic-resource-num&gt;10.1002/ana.410370412&lt;/electronic-resource-num&gt;&lt;volume&gt;37&lt;/volume&gt;&lt;/record&gt;&lt;/Cite&gt;&lt;/EndNote&gt;</w:instrText>
      </w:r>
      <w:r w:rsidRPr="00052BEA">
        <w:rPr>
          <w:rFonts w:cs="Arial"/>
        </w:rPr>
        <w:fldChar w:fldCharType="separate"/>
      </w:r>
      <w:r w:rsidRPr="00052BEA">
        <w:rPr>
          <w:rFonts w:cs="Arial"/>
          <w:noProof/>
        </w:rPr>
        <w:t>(Giannini and Dyck, 1995)</w:t>
      </w:r>
      <w:r w:rsidRPr="00052BEA">
        <w:rPr>
          <w:rFonts w:cs="Arial"/>
        </w:rPr>
        <w:fldChar w:fldCharType="end"/>
      </w:r>
      <w:r w:rsidRPr="00052BEA">
        <w:rPr>
          <w:rFonts w:cs="Arial"/>
        </w:rPr>
        <w:t xml:space="preserve">. Increased microvascular blood flow has been reported in </w:t>
      </w:r>
      <w:r w:rsidR="00B7211C">
        <w:rPr>
          <w:rFonts w:cs="Arial"/>
        </w:rPr>
        <w:t>streptozocin</w:t>
      </w:r>
      <w:r w:rsidRPr="00052BEA">
        <w:rPr>
          <w:rFonts w:cs="Arial"/>
        </w:rPr>
        <w:t xml:space="preserve"> rat sciatic nerves in early diabetes </w:t>
      </w:r>
      <w:r w:rsidRPr="00052BEA">
        <w:rPr>
          <w:rFonts w:cs="Arial"/>
        </w:rPr>
        <w:fldChar w:fldCharType="begin"/>
      </w:r>
      <w:r w:rsidRPr="00052BEA">
        <w:rPr>
          <w:rFonts w:cs="Arial"/>
        </w:rPr>
        <w:instrText xml:space="preserve"> ADDIN EN.CITE &lt;EndNote&gt;&lt;Cite&gt;&lt;Author&gt;Pugliese&lt;/Author&gt;&lt;Year&gt;1989&lt;/Year&gt;&lt;IDText&gt;EFFECTS OF VERY MILD VERSUS OVERT DIABETES ON VASCULAR HEMODYNAMICS AND BARRIER FUNCTION IN RATS&lt;/IDText&gt;&lt;DisplayText&gt;(Pugliese et al., 1989)&lt;/DisplayText&gt;&lt;record&gt;&lt;dates&gt;&lt;pub-dates&gt;&lt;date&gt;Dec&lt;/date&gt;&lt;/pub-dates&gt;&lt;year&gt;1989&lt;/year&gt;&lt;/dates&gt;&lt;urls&gt;&lt;related-urls&gt;&lt;url&gt;&amp;lt;Go to ISI&amp;gt;://WOS:A1989CF43700003&lt;/url&gt;&lt;/related-urls&gt;&lt;/urls&gt;&lt;isbn&gt;0012-186X&lt;/isbn&gt;&lt;titles&gt;&lt;title&gt;EFFECTS OF VERY MILD VERSUS OVERT DIABETES ON VASCULAR HEMODYNAMICS AND BARRIER FUNCTION IN RATS&lt;/title&gt;&lt;secondary-title&gt;Diabetologia&lt;/secondary-title&gt;&lt;/titles&gt;&lt;pages&gt;845-857&lt;/pages&gt;&lt;number&gt;12&lt;/number&gt;&lt;contributors&gt;&lt;authors&gt;&lt;author&gt;Pugliese, G.&lt;/author&gt;&lt;author&gt;Tilton, R. G.&lt;/author&gt;&lt;author&gt;Speedy, A.&lt;/author&gt;&lt;author&gt;Chang, K.&lt;/author&gt;&lt;author&gt;Santarelli, E.&lt;/author&gt;&lt;author&gt;Province, M. A.&lt;/author&gt;&lt;author&gt;Eades, D.&lt;/author&gt;&lt;author&gt;Sherman, W. R.&lt;/author&gt;&lt;author&gt;Williamson, J. R.&lt;/author&gt;&lt;/authors&gt;&lt;/contributors&gt;&lt;added-date format="utc"&gt;1566988812&lt;/added-date&gt;&lt;ref-type name="Journal Article"&gt;17&lt;/ref-type&gt;&lt;rec-number&gt;1093&lt;/rec-number&gt;&lt;last-updated-date format="utc"&gt;1566988812&lt;/last-updated-date&gt;&lt;accession-num&gt;WOS:A1989CF43700003&lt;/accession-num&gt;&lt;electronic-resource-num&gt;10.1007/bf00297449&lt;/electronic-resource-num&gt;&lt;volume&gt;32&lt;/volume&gt;&lt;/record&gt;&lt;/Cite&gt;&lt;/EndNote&gt;</w:instrText>
      </w:r>
      <w:r w:rsidRPr="00052BEA">
        <w:rPr>
          <w:rFonts w:cs="Arial"/>
        </w:rPr>
        <w:fldChar w:fldCharType="separate"/>
      </w:r>
      <w:r w:rsidRPr="00052BEA">
        <w:rPr>
          <w:rFonts w:cs="Arial"/>
          <w:noProof/>
        </w:rPr>
        <w:t>(Pugliese et al., 1989)</w:t>
      </w:r>
      <w:r w:rsidRPr="00052BEA">
        <w:rPr>
          <w:rFonts w:cs="Arial"/>
        </w:rPr>
        <w:fldChar w:fldCharType="end"/>
      </w:r>
      <w:r w:rsidRPr="00052BEA">
        <w:rPr>
          <w:rFonts w:cs="Arial"/>
        </w:rPr>
        <w:t xml:space="preserve"> which may be mediated by nitric oxide dysfunction </w:t>
      </w:r>
      <w:r w:rsidRPr="00052BEA">
        <w:rPr>
          <w:rFonts w:cs="Arial"/>
        </w:rPr>
        <w:fldChar w:fldCharType="begin"/>
      </w:r>
      <w:r w:rsidRPr="00052BEA">
        <w:rPr>
          <w:rFonts w:cs="Arial"/>
        </w:rPr>
        <w:instrText xml:space="preserve"> ADDIN EN.CITE &lt;EndNote&gt;&lt;Cite&gt;&lt;Author&gt;Tilton&lt;/Author&gt;&lt;Year&gt;1993&lt;/Year&gt;&lt;IDText&gt;PREVENTION OF DIABETIC VASCULAR DYSFUNCTION BY GUANIDINES - INHIBITION OF NITRIC-OXIDE SYNTHASE VERSUS ADVANCED GLYCATION END-PRODUCT FORMATION&lt;/IDText&gt;&lt;DisplayText&gt;(Tilton et al., 1993)&lt;/DisplayText&gt;&lt;record&gt;&lt;dates&gt;&lt;pub-dates&gt;&lt;date&gt;Feb&lt;/date&gt;&lt;/pub-dates&gt;&lt;year&gt;1993&lt;/year&gt;&lt;/dates&gt;&lt;urls&gt;&lt;related-urls&gt;&lt;url&gt;&amp;lt;Go to ISI&amp;gt;://WOS:A1993KK48000002&lt;/url&gt;&lt;/related-urls&gt;&lt;/urls&gt;&lt;isbn&gt;0012-1797&lt;/isbn&gt;&lt;titles&gt;&lt;title&gt;PREVENTION OF DIABETIC VASCULAR DYSFUNCTION BY GUANIDINES - INHIBITION OF NITRIC-OXIDE SYNTHASE VERSUS ADVANCED GLYCATION END-PRODUCT FORMATION&lt;/title&gt;&lt;secondary-title&gt;Diabetes&lt;/secondary-title&gt;&lt;/titles&gt;&lt;pages&gt;221-232&lt;/pages&gt;&lt;number&gt;2&lt;/number&gt;&lt;contributors&gt;&lt;authors&gt;&lt;author&gt;Tilton, R. G.&lt;/author&gt;&lt;author&gt;Chang, K.&lt;/author&gt;&lt;author&gt;Hasan, K. S.&lt;/author&gt;&lt;author&gt;Smith, S. R.&lt;/author&gt;&lt;author&gt;Petrash, J. M.&lt;/author&gt;&lt;author&gt;Misko, T. P.&lt;/author&gt;&lt;author&gt;Moore, W. M.&lt;/author&gt;&lt;author&gt;Currie, M. G.&lt;/author&gt;&lt;author&gt;Corbett, J. A.&lt;/author&gt;&lt;author&gt;McDaniel, M. L.&lt;/author&gt;&lt;author&gt;Williamson, J. R.&lt;/author&gt;&lt;/authors&gt;&lt;/contributors&gt;&lt;added-date format="utc"&gt;1566989147&lt;/added-date&gt;&lt;ref-type name="Journal Article"&gt;17&lt;/ref-type&gt;&lt;rec-number&gt;1094&lt;/rec-number&gt;&lt;last-updated-date format="utc"&gt;1566989147&lt;/last-updated-date&gt;&lt;accession-num&gt;WOS:A1993KK48000002&lt;/accession-num&gt;&lt;electronic-resource-num&gt;10.2337/diabetes.42.2.221&lt;/electronic-resource-num&gt;&lt;volume&gt;42&lt;/volume&gt;&lt;/record&gt;&lt;/Cite&gt;&lt;/EndNote&gt;</w:instrText>
      </w:r>
      <w:r w:rsidRPr="00052BEA">
        <w:rPr>
          <w:rFonts w:cs="Arial"/>
        </w:rPr>
        <w:fldChar w:fldCharType="separate"/>
      </w:r>
      <w:r w:rsidRPr="00052BEA">
        <w:rPr>
          <w:rFonts w:cs="Arial"/>
          <w:noProof/>
        </w:rPr>
        <w:t>(Tilton et al., 1993)</w:t>
      </w:r>
      <w:r w:rsidRPr="00052BEA">
        <w:rPr>
          <w:rFonts w:cs="Arial"/>
        </w:rPr>
        <w:fldChar w:fldCharType="end"/>
      </w:r>
      <w:r w:rsidRPr="00052BEA">
        <w:rPr>
          <w:rFonts w:cs="Arial"/>
        </w:rPr>
        <w:t xml:space="preserve">.  Tesfaye </w:t>
      </w:r>
      <w:r w:rsidRPr="00052BEA">
        <w:rPr>
          <w:rFonts w:cs="Arial"/>
        </w:rPr>
        <w:fldChar w:fldCharType="begin"/>
      </w:r>
      <w:r w:rsidRPr="00052BEA">
        <w:rPr>
          <w:rFonts w:cs="Arial"/>
        </w:rPr>
        <w:instrText xml:space="preserve"> ADDIN EN.CITE &lt;EndNote&gt;&lt;Cite ExcludeAuth="1"&gt;&lt;Author&gt;Tesfaye&lt;/Author&gt;&lt;Year&gt;1993&lt;/Year&gt;&lt;IDText&gt;IMPAIRED BLOOD-FLOW AND ARTERIOVENOUS SHUNTING IN HUMAN DIABETIC NEUROPATHY - A NOVEL TECHNIQUE OF NERVE PHOTOGRAPHY AND FLUORESCEIN ANGIOGRAPHY&lt;/IDText&gt;&lt;DisplayText&gt;(1993)&lt;/DisplayText&gt;&lt;record&gt;&lt;dates&gt;&lt;pub-dates&gt;&lt;date&gt;Dec&lt;/date&gt;&lt;/pub-dates&gt;&lt;year&gt;1993&lt;/year&gt;&lt;/dates&gt;&lt;urls&gt;&lt;related-urls&gt;&lt;url&gt;&amp;lt;Go to ISI&amp;gt;://WOS:A1993MK01000007&lt;/url&gt;&lt;/related-urls&gt;&lt;/urls&gt;&lt;isbn&gt;0012-186X&lt;/isbn&gt;&lt;titles&gt;&lt;title&gt;IMPAIRED BLOOD-FLOW AND ARTERIOVENOUS SHUNTING IN HUMAN DIABETIC NEUROPATHY - A NOVEL TECHNIQUE OF NERVE PHOTOGRAPHY AND FLUORESCEIN ANGIOGRAPHY&lt;/title&gt;&lt;secondary-title&gt;Diabetologia&lt;/secondary-title&gt;&lt;/titles&gt;&lt;pages&gt;1266-1274&lt;/pages&gt;&lt;number&gt;12&lt;/number&gt;&lt;contributors&gt;&lt;authors&gt;&lt;author&gt;Tesfaye, S.&lt;/author&gt;&lt;author&gt;Harris, N.&lt;/author&gt;&lt;author&gt;Jakubowski, J. J.&lt;/author&gt;&lt;author&gt;Mody, C.&lt;/author&gt;&lt;author&gt;Wilson, R. M.&lt;/author&gt;&lt;author&gt;Rennie, I. G.&lt;/author&gt;&lt;author&gt;Ward, J. D.&lt;/author&gt;&lt;/authors&gt;&lt;/contributors&gt;&lt;added-date format="utc"&gt;1554390403&lt;/added-date&gt;&lt;ref-type name="Journal Article"&gt;17&lt;/ref-type&gt;&lt;rec-number&gt;1013&lt;/rec-number&gt;&lt;last-updated-date format="utc"&gt;1554390403&lt;/last-updated-date&gt;&lt;accession-num&gt;WOS:A1993MK01000007&lt;/accession-num&gt;&lt;electronic-resource-num&gt;10.1007/bf00400804&lt;/electronic-resource-num&gt;&lt;volume&gt;36&lt;/volume&gt;&lt;/record&gt;&lt;/Cite&gt;&lt;/EndNote&gt;</w:instrText>
      </w:r>
      <w:r w:rsidRPr="00052BEA">
        <w:rPr>
          <w:rFonts w:cs="Arial"/>
        </w:rPr>
        <w:fldChar w:fldCharType="separate"/>
      </w:r>
      <w:r w:rsidRPr="00052BEA">
        <w:rPr>
          <w:rFonts w:cs="Arial"/>
          <w:noProof/>
        </w:rPr>
        <w:t>(1993)</w:t>
      </w:r>
      <w:r w:rsidRPr="00052BEA">
        <w:rPr>
          <w:rFonts w:cs="Arial"/>
        </w:rPr>
        <w:fldChar w:fldCharType="end"/>
      </w:r>
      <w:r w:rsidRPr="00052BEA">
        <w:rPr>
          <w:rFonts w:cs="Arial"/>
        </w:rPr>
        <w:t xml:space="preserve"> found that there was capillary dysfunction and altered oxygen and glucose extraction in the microcirculation of the sural nerve in participants with diabetes.  There was increased flow with arteriovenous shunting in those subjects with diabetes and no complications, compared with those with chronic distal symmetrical polyneuropathy and healthy controls.  This suggests that there are peripheral nerve correlates for central nervous system hyperperfusion in early or mild diabetes. </w:t>
      </w:r>
    </w:p>
    <w:p w14:paraId="3B5D941C" w14:textId="23B610A8" w:rsidR="00052BEA" w:rsidRPr="00052BEA" w:rsidRDefault="00052BEA" w:rsidP="00052BEA">
      <w:pPr>
        <w:spacing w:line="360" w:lineRule="auto"/>
        <w:rPr>
          <w:rFonts w:cs="Arial"/>
        </w:rPr>
      </w:pPr>
      <w:proofErr w:type="spellStart"/>
      <w:r w:rsidRPr="00052BEA">
        <w:rPr>
          <w:rFonts w:cs="Arial"/>
        </w:rPr>
        <w:t>Østergaard</w:t>
      </w:r>
      <w:proofErr w:type="spellEnd"/>
      <w:r w:rsidRPr="00052BEA">
        <w:rPr>
          <w:rFonts w:cs="Arial"/>
        </w:rPr>
        <w:t xml:space="preserve"> has proposed a theory that links the vascular changes in the peripheral nervous system to changes within the CNS </w:t>
      </w:r>
      <w:r w:rsidRPr="00052BEA">
        <w:rPr>
          <w:rFonts w:cs="Arial"/>
        </w:rPr>
        <w:fldChar w:fldCharType="begin"/>
      </w:r>
      <w:r w:rsidRPr="00052BEA">
        <w:rPr>
          <w:rFonts w:cs="Arial"/>
        </w:rPr>
        <w:instrText xml:space="preserve"> ADDIN EN.CITE &lt;EndNote&gt;&lt;Cite&gt;&lt;Author&gt;Ostergaard&lt;/Author&gt;&lt;Year&gt;2015&lt;/Year&gt;&lt;IDText&gt;The effects of capillary dysfunction on oxygen and glucose extraction in diabetic neuropathy&lt;/IDText&gt;&lt;DisplayText&gt;(Ostergaard et al., 2015)&lt;/DisplayText&gt;&lt;record&gt;&lt;dates&gt;&lt;pub-dates&gt;&lt;date&gt;Apr&lt;/date&gt;&lt;/pub-dates&gt;&lt;year&gt;2015&lt;/year&gt;&lt;/dates&gt;&lt;urls&gt;&lt;related-urls&gt;&lt;url&gt;&amp;lt;Go to ISI&amp;gt;://WOS:000350878400005&lt;/url&gt;&lt;/related-urls&gt;&lt;/urls&gt;&lt;isbn&gt;0012-186X&lt;/isbn&gt;&lt;titles&gt;&lt;title&gt;The effects of capillary dysfunction on oxygen and glucose extraction in diabetic neuropathy&lt;/title&gt;&lt;secondary-title&gt;Diabetologia&lt;/secondary-title&gt;&lt;/titles&gt;&lt;pages&gt;666-677&lt;/pages&gt;&lt;number&gt;4&lt;/number&gt;&lt;contributors&gt;&lt;authors&gt;&lt;author&gt;Ostergaard, Leif&lt;/author&gt;&lt;author&gt;Finnerup, Nanna B.&lt;/author&gt;&lt;author&gt;Terkelsen, Astrid J.&lt;/author&gt;&lt;author&gt;Olesen, Rasmus A.&lt;/author&gt;&lt;author&gt;Drasbek, Kim R.&lt;/author&gt;&lt;author&gt;Knudsen, Lone&lt;/author&gt;&lt;author&gt;Jespersen, Sune N.&lt;/author&gt;&lt;author&gt;Frystyk, Jan&lt;/author&gt;&lt;author&gt;Charles, Morten&lt;/author&gt;&lt;author&gt;Thomsen, Reimar W.&lt;/author&gt;&lt;author&gt;Christiansen, Jens S.&lt;/author&gt;&lt;author&gt;Beck-Nielsen, Henning&lt;/author&gt;&lt;author&gt;Jensen, Troels S.&lt;/author&gt;&lt;author&gt;Andersen, Henning&lt;/author&gt;&lt;/authors&gt;&lt;/contributors&gt;&lt;added-date format="utc"&gt;1554381098&lt;/added-date&gt;&lt;ref-type name="Journal Article"&gt;17&lt;/ref-type&gt;&lt;rec-number&gt;1012&lt;/rec-number&gt;&lt;last-updated-date format="utc"&gt;1554381098&lt;/last-updated-date&gt;&lt;accession-num&gt;WOS:000350878400005&lt;/accession-num&gt;&lt;electronic-resource-num&gt;10.1007/s00125-014-3461-z&lt;/electronic-resource-num&gt;&lt;volume&gt;58&lt;/volume&gt;&lt;/record&gt;&lt;/Cite&gt;&lt;/EndNote&gt;</w:instrText>
      </w:r>
      <w:r w:rsidRPr="00052BEA">
        <w:rPr>
          <w:rFonts w:cs="Arial"/>
        </w:rPr>
        <w:fldChar w:fldCharType="separate"/>
      </w:r>
      <w:r w:rsidRPr="00052BEA">
        <w:rPr>
          <w:rFonts w:cs="Arial"/>
          <w:noProof/>
        </w:rPr>
        <w:t>(Ostergaard et al., 2015)</w:t>
      </w:r>
      <w:r w:rsidRPr="00052BEA">
        <w:rPr>
          <w:rFonts w:cs="Arial"/>
        </w:rPr>
        <w:fldChar w:fldCharType="end"/>
      </w:r>
      <w:r w:rsidRPr="00052BEA">
        <w:rPr>
          <w:rFonts w:cs="Arial"/>
        </w:rPr>
        <w:t xml:space="preserve">.  They hypothesise that capillary dysfunction leads to hyperperfusion in order to increase oxygen extraction fraction. Hyperperfusion across the capillary bed increases to </w:t>
      </w:r>
      <w:r w:rsidRPr="00052BEA">
        <w:rPr>
          <w:rFonts w:cs="Arial"/>
        </w:rPr>
        <w:lastRenderedPageBreak/>
        <w:t xml:space="preserve">compensate for more severe capillary abnormalities. Known CNS pathology associated with diabetes renders the capillaries less responsive to vasodilatory stimuli, decreases capillary diameter secondary to basement membrane thickening and endothelial cell proliferation </w:t>
      </w:r>
      <w:r w:rsidRPr="00052BEA">
        <w:rPr>
          <w:rFonts w:cs="Arial"/>
        </w:rPr>
        <w:fldChar w:fldCharType="begin">
          <w:fldData xml:space="preserve">PEVuZE5vdGU+PENpdGU+PEF1dGhvcj7DmHN0ZXJnYWFyZDwvQXV0aG9yPjxZZWFyPjIwMTM8L1ll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==
</w:fldData>
        </w:fldChar>
      </w:r>
      <w:r w:rsidR="009968E0">
        <w:rPr>
          <w:rFonts w:cs="Arial"/>
        </w:rPr>
        <w:instrText xml:space="preserve"> ADDIN EN.CITE </w:instrText>
      </w:r>
      <w:r w:rsidR="009968E0">
        <w:rPr>
          <w:rFonts w:cs="Arial"/>
        </w:rPr>
        <w:fldChar w:fldCharType="begin">
          <w:fldData xml:space="preserve">PEVuZE5vdGU+PENpdGU+PEF1dGhvcj7DmHN0ZXJnYWFyZDwvQXV0aG9yPjxZZWFyPjIwMTM8L1ll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==
</w:fldData>
        </w:fldChar>
      </w:r>
      <w:r w:rsidR="009968E0">
        <w:rPr>
          <w:rFonts w:cs="Arial"/>
        </w:rPr>
        <w:instrText xml:space="preserve"> ADDIN EN.CITE.DATA </w:instrText>
      </w:r>
      <w:r w:rsidR="009968E0">
        <w:rPr>
          <w:rFonts w:cs="Arial"/>
        </w:rPr>
      </w:r>
      <w:r w:rsidR="009968E0">
        <w:rPr>
          <w:rFonts w:cs="Arial"/>
        </w:rPr>
        <w:fldChar w:fldCharType="end"/>
      </w:r>
      <w:r w:rsidRPr="00052BEA">
        <w:rPr>
          <w:rFonts w:cs="Arial"/>
        </w:rPr>
      </w:r>
      <w:r w:rsidRPr="00052BEA">
        <w:rPr>
          <w:rFonts w:cs="Arial"/>
        </w:rPr>
        <w:fldChar w:fldCharType="separate"/>
      </w:r>
      <w:r w:rsidR="009968E0">
        <w:rPr>
          <w:rFonts w:cs="Arial"/>
          <w:noProof/>
        </w:rPr>
        <w:t>(Østergaard et al., 2013b)</w:t>
      </w:r>
      <w:r w:rsidRPr="00052BEA">
        <w:rPr>
          <w:rFonts w:cs="Arial"/>
        </w:rPr>
        <w:fldChar w:fldCharType="end"/>
      </w:r>
      <w:r w:rsidRPr="00052BEA">
        <w:rPr>
          <w:rFonts w:cs="Arial"/>
        </w:rPr>
        <w:t xml:space="preserve">.  Consequently, the capillaries with relatively normal morphology increase flow to compensate and develop a physiological shunt, as the flow is now too rapid to allow effective oxygen extraction.  RBF eventually must fall as a physiological response to decreased overall oxygen tension, to improve the oxygen extraction fraction. Eventually there is no physiological compensation possible, and hypoxic damage occurs due to microvascular shunting and critically low blood flow in the epineural and endoneural microcirculation in the neuropathic peripheral nerve. </w:t>
      </w:r>
    </w:p>
    <w:p w14:paraId="1007C167" w14:textId="7CEA54F4" w:rsidR="00052BEA" w:rsidRDefault="00052BEA" w:rsidP="00052BEA">
      <w:pPr>
        <w:spacing w:line="360" w:lineRule="auto"/>
        <w:rPr>
          <w:rFonts w:cs="Arial"/>
        </w:rPr>
      </w:pPr>
      <w:r w:rsidRPr="00052BEA">
        <w:rPr>
          <w:rFonts w:cs="Arial"/>
        </w:rPr>
        <w:t xml:space="preserve">A further paper from this group has tested the CTTH (capillary transit time heterogeneity) model for the CNS using data from rat brain microcirculation studies performed under physiological stress </w:t>
      </w:r>
      <w:r w:rsidRPr="00052BEA">
        <w:rPr>
          <w:rFonts w:cs="Arial"/>
        </w:rPr>
        <w:fldChar w:fldCharType="begin"/>
      </w:r>
      <w:r w:rsidRPr="00052BEA">
        <w:rPr>
          <w:rFonts w:cs="Arial"/>
        </w:rPr>
        <w:instrText xml:space="preserve"> ADDIN EN.CITE &lt;EndNote&gt;&lt;Cite&gt;&lt;Author&gt;Jespersen&lt;/Author&gt;&lt;Year&gt;2012&lt;/Year&gt;&lt;IDText&gt;The roles of cerebral blood flow, capillary transit time heterogeneity, and oxygen tension in brain oxygenation and metabolism&lt;/IDText&gt;&lt;DisplayText&gt;(Jespersen and Ostergaard, 2012)&lt;/DisplayText&gt;&lt;record&gt;&lt;dates&gt;&lt;pub-dates&gt;&lt;date&gt;Feb&lt;/date&gt;&lt;/pub-dates&gt;&lt;year&gt;2012&lt;/year&gt;&lt;/dates&gt;&lt;urls&gt;&lt;related-urls&gt;&lt;url&gt;&amp;lt;Go to ISI&amp;gt;://WOS:000299857200008&lt;/url&gt;&lt;/related-urls&gt;&lt;/urls&gt;&lt;isbn&gt;0271-678X&lt;/isbn&gt;&lt;titles&gt;&lt;title&gt;The roles of cerebral blood flow, capillary transit time heterogeneity, and oxygen tension in brain oxygenation and metabolism&lt;/title&gt;&lt;secondary-title&gt;Journal of Cerebral Blood Flow and Metabolism&lt;/secondary-title&gt;&lt;/titles&gt;&lt;pages&gt;264-277&lt;/pages&gt;&lt;number&gt;2&lt;/number&gt;&lt;contributors&gt;&lt;authors&gt;&lt;author&gt;Jespersen, S. N.&lt;/author&gt;&lt;author&gt;Ostergaard, L.&lt;/author&gt;&lt;/authors&gt;&lt;/contributors&gt;&lt;added-date format="utc"&gt;1554209700&lt;/added-date&gt;&lt;ref-type name="Journal Article"&gt;17&lt;/ref-type&gt;&lt;rec-number&gt;1003&lt;/rec-number&gt;&lt;last-updated-date format="utc"&gt;1567321870&lt;/last-updated-date&gt;&lt;accession-num&gt;WOS:000299857200008&lt;/accession-num&gt;&lt;electronic-resource-num&gt;10.1038/jcbfm.2011.153&lt;/electronic-resource-num&gt;&lt;volume&gt;32&lt;/volume&gt;&lt;/record&gt;&lt;/Cite&gt;&lt;/EndNote&gt;</w:instrText>
      </w:r>
      <w:r w:rsidRPr="00052BEA">
        <w:rPr>
          <w:rFonts w:cs="Arial"/>
        </w:rPr>
        <w:fldChar w:fldCharType="separate"/>
      </w:r>
      <w:r w:rsidRPr="00052BEA">
        <w:rPr>
          <w:rFonts w:cs="Arial"/>
          <w:noProof/>
        </w:rPr>
        <w:t>(Jespersen and Ostergaard, 2012)</w:t>
      </w:r>
      <w:r w:rsidRPr="00052BEA">
        <w:rPr>
          <w:rFonts w:cs="Arial"/>
        </w:rPr>
        <w:fldChar w:fldCharType="end"/>
      </w:r>
      <w:r w:rsidRPr="00052BEA">
        <w:rPr>
          <w:rFonts w:cs="Arial"/>
        </w:rPr>
        <w:t xml:space="preserve">. CTTH is analogous to MTT but is represented by the standard deviation of capillary transit times. In health CTTH is lower and relatively more homogeneous.  It is proposed that there is a condition at which increased flow does not result in further extraction of oxygen and glucose as diffusible substances, and this may occur in pathological states such as diabetes for which there is significant capillary pathology </w:t>
      </w:r>
      <w:r w:rsidRPr="00052BEA">
        <w:rPr>
          <w:rFonts w:cs="Arial"/>
        </w:rPr>
        <w:fldChar w:fldCharType="begin"/>
      </w:r>
      <w:r w:rsidRPr="00052BEA">
        <w:rPr>
          <w:rFonts w:cs="Arial"/>
        </w:rPr>
        <w:instrText xml:space="preserve"> ADDIN EN.CITE &lt;EndNote&gt;&lt;Cite&gt;&lt;Author&gt;Jespersen&lt;/Author&gt;&lt;Year&gt;2012&lt;/Year&gt;&lt;IDText&gt;The roles of cerebral blood flow, capillary transit time heterogeneity, and oxygen tension in brain oxygenation and metabolism&lt;/IDText&gt;&lt;DisplayText&gt;(Jespersen and Ostergaard, 2012)&lt;/DisplayText&gt;&lt;record&gt;&lt;dates&gt;&lt;pub-dates&gt;&lt;date&gt;Feb&lt;/date&gt;&lt;/pub-dates&gt;&lt;year&gt;2012&lt;/year&gt;&lt;/dates&gt;&lt;urls&gt;&lt;related-urls&gt;&lt;url&gt;&amp;lt;Go to ISI&amp;gt;://WOS:000299857200008&lt;/url&gt;&lt;/related-urls&gt;&lt;/urls&gt;&lt;isbn&gt;0271-678X&lt;/isbn&gt;&lt;titles&gt;&lt;title&gt;The roles of cerebral blood flow, capillary transit time heterogeneity, and oxygen tension in brain oxygenation and metabolism&lt;/title&gt;&lt;secondary-title&gt;Journal of Cerebral Blood Flow and Metabolism&lt;/secondary-title&gt;&lt;/titles&gt;&lt;pages&gt;264-277&lt;/pages&gt;&lt;number&gt;2&lt;/number&gt;&lt;contributors&gt;&lt;authors&gt;&lt;author&gt;Jespersen, S. N.&lt;/author&gt;&lt;author&gt;Ostergaard, L.&lt;/author&gt;&lt;/authors&gt;&lt;/contributors&gt;&lt;added-date format="utc"&gt;1554209700&lt;/added-date&gt;&lt;ref-type name="Journal Article"&gt;17&lt;/ref-type&gt;&lt;rec-number&gt;1003&lt;/rec-number&gt;&lt;last-updated-date format="utc"&gt;1554209700&lt;/last-updated-date&gt;&lt;accession-num&gt;WOS:000299857200008&lt;/accession-num&gt;&lt;electronic-resource-num&gt;10.1038/jcbfm.2011.153&lt;/electronic-resource-num&gt;&lt;volume&gt;32&lt;/volume&gt;&lt;/record&gt;&lt;/Cite&gt;&lt;/EndNote&gt;</w:instrText>
      </w:r>
      <w:r w:rsidRPr="00052BEA">
        <w:rPr>
          <w:rFonts w:cs="Arial"/>
        </w:rPr>
        <w:fldChar w:fldCharType="separate"/>
      </w:r>
      <w:r w:rsidRPr="00052BEA">
        <w:rPr>
          <w:rFonts w:cs="Arial"/>
          <w:noProof/>
        </w:rPr>
        <w:t>(Jespersen and Ostergaard, 2012)</w:t>
      </w:r>
      <w:r w:rsidRPr="00052BEA">
        <w:rPr>
          <w:rFonts w:cs="Arial"/>
        </w:rPr>
        <w:fldChar w:fldCharType="end"/>
      </w:r>
      <w:r w:rsidRPr="00052BEA">
        <w:rPr>
          <w:rFonts w:cs="Arial"/>
        </w:rPr>
        <w:t xml:space="preserve">. </w:t>
      </w:r>
    </w:p>
    <w:p w14:paraId="0015FE1F" w14:textId="77777777" w:rsidR="00EB3091" w:rsidRDefault="000D0695" w:rsidP="000D0695">
      <w:pPr>
        <w:spacing w:line="360" w:lineRule="auto"/>
        <w:rPr>
          <w:rFonts w:cs="Arial"/>
        </w:rPr>
      </w:pPr>
      <w:r w:rsidRPr="00052BEA">
        <w:rPr>
          <w:rFonts w:cs="Arial"/>
        </w:rPr>
        <w:t xml:space="preserve">Therefore, there is neurovascular uncoupling at the point at which CTTH exists, to a degree at which further rises in CBF would cause physiological shunting, and therefore despite neurological activity there are decreases in CBF to maximise oxygen extraction fraction. At less severe levels of capillary dysfunction an increase in CBF and therefore decrease in MTT can still support increased oxygen extraction, at more severe levels of capillary dysfunction there must be a drop in CBF to increase the time available for oxygen extraction (Figure 4.10).  </w:t>
      </w:r>
    </w:p>
    <w:p w14:paraId="7B32D967" w14:textId="77777777" w:rsidR="003B5B62" w:rsidRDefault="003B5B62">
      <w:pPr>
        <w:rPr>
          <w:rFonts w:cs="Arial"/>
        </w:rPr>
      </w:pPr>
      <w:bookmarkStart w:id="364" w:name="_Toc45030400"/>
      <w:bookmarkStart w:id="365" w:name="_Toc49807631"/>
      <w:r>
        <w:rPr>
          <w:rFonts w:cs="Arial"/>
        </w:rPr>
        <w:br w:type="page"/>
      </w:r>
    </w:p>
    <w:p w14:paraId="77892C56" w14:textId="1AA9B288" w:rsidR="00EB3091" w:rsidRPr="00052BEA" w:rsidRDefault="00EB3091" w:rsidP="00EB3091">
      <w:pPr>
        <w:rPr>
          <w:rFonts w:eastAsia="Calibri" w:cs="Calibri"/>
          <w:i/>
          <w:color w:val="4F81BD"/>
          <w:lang w:eastAsia="en-GB"/>
        </w:rPr>
      </w:pPr>
      <w:r w:rsidRPr="00052BEA">
        <w:rPr>
          <w:rFonts w:eastAsia="Calibri" w:cs="Calibri"/>
          <w:i/>
          <w:color w:val="4F81BD"/>
          <w:lang w:eastAsia="en-GB"/>
        </w:rPr>
        <w:lastRenderedPageBreak/>
        <w:t xml:space="preserve">Figure 4.10 Changes in </w:t>
      </w:r>
      <w:r w:rsidR="00D713F6">
        <w:rPr>
          <w:rFonts w:eastAsia="Calibri" w:cs="Calibri"/>
          <w:i/>
          <w:color w:val="4F81BD"/>
          <w:lang w:eastAsia="en-GB"/>
        </w:rPr>
        <w:t>C</w:t>
      </w:r>
      <w:r w:rsidRPr="00052BEA">
        <w:rPr>
          <w:rFonts w:eastAsia="Calibri" w:cs="Calibri"/>
          <w:i/>
          <w:color w:val="4F81BD"/>
          <w:lang w:eastAsia="en-GB"/>
        </w:rPr>
        <w:t xml:space="preserve">erebral </w:t>
      </w:r>
      <w:r w:rsidR="00D713F6">
        <w:rPr>
          <w:rFonts w:eastAsia="Calibri" w:cs="Calibri"/>
          <w:i/>
          <w:color w:val="4F81BD"/>
          <w:lang w:eastAsia="en-GB"/>
        </w:rPr>
        <w:t>B</w:t>
      </w:r>
      <w:r w:rsidRPr="00052BEA">
        <w:rPr>
          <w:rFonts w:eastAsia="Calibri" w:cs="Calibri"/>
          <w:i/>
          <w:color w:val="4F81BD"/>
          <w:lang w:eastAsia="en-GB"/>
        </w:rPr>
        <w:t xml:space="preserve">lood </w:t>
      </w:r>
      <w:r w:rsidR="00D713F6">
        <w:rPr>
          <w:rFonts w:eastAsia="Calibri" w:cs="Calibri"/>
          <w:i/>
          <w:color w:val="4F81BD"/>
          <w:lang w:eastAsia="en-GB"/>
        </w:rPr>
        <w:t>F</w:t>
      </w:r>
      <w:r w:rsidRPr="00052BEA">
        <w:rPr>
          <w:rFonts w:eastAsia="Calibri" w:cs="Calibri"/>
          <w:i/>
          <w:color w:val="4F81BD"/>
          <w:lang w:eastAsia="en-GB"/>
        </w:rPr>
        <w:t xml:space="preserve">low (CBF) and </w:t>
      </w:r>
      <w:r w:rsidR="00D713F6">
        <w:rPr>
          <w:rFonts w:eastAsia="Calibri" w:cs="Calibri"/>
          <w:i/>
          <w:color w:val="4F81BD"/>
          <w:lang w:eastAsia="en-GB"/>
        </w:rPr>
        <w:t>T</w:t>
      </w:r>
      <w:r w:rsidRPr="00052BEA">
        <w:rPr>
          <w:rFonts w:eastAsia="Calibri" w:cs="Calibri"/>
          <w:i/>
          <w:color w:val="4F81BD"/>
          <w:lang w:eastAsia="en-GB"/>
        </w:rPr>
        <w:t xml:space="preserve">issue </w:t>
      </w:r>
      <w:r w:rsidR="00D713F6">
        <w:rPr>
          <w:rFonts w:eastAsia="Calibri" w:cs="Calibri"/>
          <w:i/>
          <w:color w:val="4F81BD"/>
          <w:lang w:eastAsia="en-GB"/>
        </w:rPr>
        <w:t>O</w:t>
      </w:r>
      <w:r w:rsidRPr="00052BEA">
        <w:rPr>
          <w:rFonts w:eastAsia="Calibri" w:cs="Calibri"/>
          <w:i/>
          <w:color w:val="4F81BD"/>
          <w:lang w:eastAsia="en-GB"/>
        </w:rPr>
        <w:t xml:space="preserve">xygen </w:t>
      </w:r>
      <w:r w:rsidR="00D713F6">
        <w:rPr>
          <w:rFonts w:eastAsia="Calibri" w:cs="Calibri"/>
          <w:i/>
          <w:color w:val="4F81BD"/>
          <w:lang w:eastAsia="en-GB"/>
        </w:rPr>
        <w:t>T</w:t>
      </w:r>
      <w:r w:rsidRPr="00052BEA">
        <w:rPr>
          <w:rFonts w:eastAsia="Calibri" w:cs="Calibri"/>
          <w:i/>
          <w:color w:val="4F81BD"/>
          <w:lang w:eastAsia="en-GB"/>
        </w:rPr>
        <w:t xml:space="preserve">ension that </w:t>
      </w:r>
      <w:r w:rsidR="00D713F6">
        <w:rPr>
          <w:rFonts w:eastAsia="Calibri" w:cs="Calibri"/>
          <w:i/>
          <w:color w:val="4F81BD"/>
          <w:lang w:eastAsia="en-GB"/>
        </w:rPr>
        <w:t>M</w:t>
      </w:r>
      <w:r w:rsidRPr="00052BEA">
        <w:rPr>
          <w:rFonts w:eastAsia="Calibri" w:cs="Calibri"/>
          <w:i/>
          <w:color w:val="4F81BD"/>
          <w:lang w:eastAsia="en-GB"/>
        </w:rPr>
        <w:t>ust</w:t>
      </w:r>
      <w:r w:rsidR="00D713F6">
        <w:rPr>
          <w:rFonts w:eastAsia="Calibri" w:cs="Calibri"/>
          <w:i/>
          <w:color w:val="4F81BD"/>
          <w:lang w:eastAsia="en-GB"/>
        </w:rPr>
        <w:t xml:space="preserve"> A</w:t>
      </w:r>
      <w:r w:rsidRPr="00052BEA">
        <w:rPr>
          <w:rFonts w:eastAsia="Calibri" w:cs="Calibri"/>
          <w:i/>
          <w:color w:val="4F81BD"/>
          <w:lang w:eastAsia="en-GB"/>
        </w:rPr>
        <w:t xml:space="preserve">ccompany </w:t>
      </w:r>
      <w:r w:rsidR="00D713F6">
        <w:rPr>
          <w:rFonts w:eastAsia="Calibri" w:cs="Calibri"/>
          <w:i/>
          <w:color w:val="4F81BD"/>
          <w:lang w:eastAsia="en-GB"/>
        </w:rPr>
        <w:t>I</w:t>
      </w:r>
      <w:r w:rsidRPr="00052BEA">
        <w:rPr>
          <w:rFonts w:eastAsia="Calibri" w:cs="Calibri"/>
          <w:i/>
          <w:color w:val="4F81BD"/>
          <w:lang w:eastAsia="en-GB"/>
        </w:rPr>
        <w:t xml:space="preserve">ncreasing levels of </w:t>
      </w:r>
      <w:r w:rsidR="00D713F6">
        <w:rPr>
          <w:rFonts w:eastAsia="Calibri" w:cs="Calibri"/>
          <w:i/>
          <w:color w:val="4F81BD"/>
          <w:lang w:eastAsia="en-GB"/>
        </w:rPr>
        <w:t>C</w:t>
      </w:r>
      <w:r w:rsidRPr="00052BEA">
        <w:rPr>
          <w:rFonts w:eastAsia="Calibri" w:cs="Calibri"/>
          <w:i/>
          <w:color w:val="4F81BD"/>
          <w:lang w:eastAsia="en-GB"/>
        </w:rPr>
        <w:t xml:space="preserve">apillary </w:t>
      </w:r>
      <w:r w:rsidR="00D713F6">
        <w:rPr>
          <w:rFonts w:eastAsia="Calibri" w:cs="Calibri"/>
          <w:i/>
          <w:color w:val="4F81BD"/>
          <w:lang w:eastAsia="en-GB"/>
        </w:rPr>
        <w:t>D</w:t>
      </w:r>
      <w:r w:rsidRPr="00052BEA">
        <w:rPr>
          <w:rFonts w:eastAsia="Calibri" w:cs="Calibri"/>
          <w:i/>
          <w:color w:val="4F81BD"/>
          <w:lang w:eastAsia="en-GB"/>
        </w:rPr>
        <w:t xml:space="preserve">ysfunction to </w:t>
      </w:r>
      <w:r w:rsidR="00D713F6">
        <w:rPr>
          <w:rFonts w:eastAsia="Calibri" w:cs="Calibri"/>
          <w:i/>
          <w:color w:val="4F81BD"/>
          <w:lang w:eastAsia="en-GB"/>
        </w:rPr>
        <w:t>M</w:t>
      </w:r>
      <w:r w:rsidRPr="00052BEA">
        <w:rPr>
          <w:rFonts w:eastAsia="Calibri" w:cs="Calibri"/>
          <w:i/>
          <w:color w:val="4F81BD"/>
          <w:lang w:eastAsia="en-GB"/>
        </w:rPr>
        <w:t xml:space="preserve">aintain </w:t>
      </w:r>
      <w:r w:rsidR="00D713F6">
        <w:rPr>
          <w:rFonts w:eastAsia="Calibri" w:cs="Calibri"/>
          <w:i/>
          <w:color w:val="4F81BD"/>
          <w:lang w:eastAsia="en-GB"/>
        </w:rPr>
        <w:t>T</w:t>
      </w:r>
      <w:r w:rsidRPr="00052BEA">
        <w:rPr>
          <w:rFonts w:eastAsia="Calibri" w:cs="Calibri"/>
          <w:i/>
          <w:color w:val="4F81BD"/>
          <w:lang w:eastAsia="en-GB"/>
        </w:rPr>
        <w:t xml:space="preserve">issue </w:t>
      </w:r>
      <w:r w:rsidR="00D713F6">
        <w:rPr>
          <w:rFonts w:eastAsia="Calibri" w:cs="Calibri"/>
          <w:i/>
          <w:color w:val="4F81BD"/>
          <w:lang w:eastAsia="en-GB"/>
        </w:rPr>
        <w:t>O</w:t>
      </w:r>
      <w:r w:rsidRPr="00052BEA">
        <w:rPr>
          <w:rFonts w:eastAsia="Calibri" w:cs="Calibri"/>
          <w:i/>
          <w:color w:val="4F81BD"/>
          <w:lang w:eastAsia="en-GB"/>
        </w:rPr>
        <w:t xml:space="preserve">xygen </w:t>
      </w:r>
      <w:r w:rsidR="00D713F6">
        <w:rPr>
          <w:rFonts w:eastAsia="Calibri" w:cs="Calibri"/>
          <w:i/>
          <w:color w:val="4F81BD"/>
          <w:lang w:eastAsia="en-GB"/>
        </w:rPr>
        <w:t>A</w:t>
      </w:r>
      <w:r w:rsidRPr="00052BEA">
        <w:rPr>
          <w:rFonts w:eastAsia="Calibri" w:cs="Calibri"/>
          <w:i/>
          <w:color w:val="4F81BD"/>
          <w:lang w:eastAsia="en-GB"/>
        </w:rPr>
        <w:t xml:space="preserve">vailability </w:t>
      </w:r>
      <w:r w:rsidR="00D713F6">
        <w:rPr>
          <w:rFonts w:eastAsia="Calibri" w:cs="Calibri"/>
          <w:i/>
          <w:color w:val="4F81BD"/>
          <w:lang w:eastAsia="en-GB"/>
        </w:rPr>
        <w:t>B</w:t>
      </w:r>
      <w:r w:rsidRPr="00052BEA">
        <w:rPr>
          <w:rFonts w:eastAsia="Calibri" w:cs="Calibri"/>
          <w:i/>
          <w:color w:val="4F81BD"/>
          <w:lang w:eastAsia="en-GB"/>
        </w:rPr>
        <w:t xml:space="preserve">efore </w:t>
      </w:r>
      <w:r w:rsidR="00D713F6">
        <w:rPr>
          <w:rFonts w:eastAsia="Calibri" w:cs="Calibri"/>
          <w:i/>
          <w:color w:val="4F81BD"/>
          <w:lang w:eastAsia="en-GB"/>
        </w:rPr>
        <w:t>S</w:t>
      </w:r>
      <w:r w:rsidRPr="00052BEA">
        <w:rPr>
          <w:rFonts w:eastAsia="Calibri" w:cs="Calibri"/>
          <w:i/>
          <w:color w:val="4F81BD"/>
          <w:lang w:eastAsia="en-GB"/>
        </w:rPr>
        <w:t>troke</w:t>
      </w:r>
      <w:bookmarkEnd w:id="364"/>
      <w:bookmarkEnd w:id="365"/>
    </w:p>
    <w:p w14:paraId="6476CAFD" w14:textId="77777777" w:rsidR="00EB3091" w:rsidRPr="00052BEA" w:rsidRDefault="00EB3091" w:rsidP="00EB3091">
      <w:pPr>
        <w:rPr>
          <w:rFonts w:cs="Arial"/>
        </w:rPr>
      </w:pPr>
      <w:bookmarkStart w:id="366" w:name="_Toc45030401"/>
      <w:r w:rsidRPr="00052BEA">
        <w:rPr>
          <w:rFonts w:cs="Arial"/>
          <w:noProof/>
          <w:lang w:eastAsia="en-GB"/>
        </w:rPr>
        <w:drawing>
          <wp:inline distT="0" distB="0" distL="0" distR="0" wp14:anchorId="0631F542" wp14:editId="459A8D70">
            <wp:extent cx="4206240" cy="4917182"/>
            <wp:effectExtent l="0" t="0" r="0" b="0"/>
            <wp:docPr id="3076" name="Picture 4" descr="A screenshot of a social media post&#10;&#10;Description automatically generated">
              <a:extLst xmlns:a="http://schemas.openxmlformats.org/drawingml/2006/main">
                <a:ext uri="{FF2B5EF4-FFF2-40B4-BE49-F238E27FC236}">
                  <a16:creationId xmlns:a16="http://schemas.microsoft.com/office/drawing/2014/main" id="{634FF19E-5F28-E74B-9F63-E1951E006F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a:extLst>
                        <a:ext uri="{FF2B5EF4-FFF2-40B4-BE49-F238E27FC236}">
                          <a16:creationId xmlns:a16="http://schemas.microsoft.com/office/drawing/2014/main" id="{634FF19E-5F28-E74B-9F63-E1951E006FF6}"/>
                        </a:ext>
                      </a:extLst>
                    </pic:cNvP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220716" cy="4934104"/>
                    </a:xfrm>
                    <a:prstGeom prst="rect">
                      <a:avLst/>
                    </a:prstGeom>
                    <a:noFill/>
                    <a:ln>
                      <a:noFill/>
                    </a:ln>
                    <a:effectLst/>
                  </pic:spPr>
                </pic:pic>
              </a:graphicData>
            </a:graphic>
          </wp:inline>
        </w:drawing>
      </w:r>
      <w:bookmarkEnd w:id="366"/>
    </w:p>
    <w:p w14:paraId="511DFAF9" w14:textId="177D0D9B" w:rsidR="00EB3091" w:rsidRPr="005868A5" w:rsidRDefault="00EB3091" w:rsidP="00EB3091">
      <w:pPr>
        <w:spacing w:line="360" w:lineRule="auto"/>
        <w:rPr>
          <w:rFonts w:cs="Arial"/>
          <w:i/>
          <w:iCs/>
          <w:color w:val="808080" w:themeColor="text1" w:themeTint="7F"/>
          <w:sz w:val="21"/>
          <w:lang w:val="en-US"/>
        </w:rPr>
      </w:pPr>
      <w:r w:rsidRPr="00052BEA">
        <w:rPr>
          <w:rFonts w:cs="Arial"/>
          <w:i/>
          <w:iCs/>
          <w:color w:val="808080" w:themeColor="text1" w:themeTint="7F"/>
          <w:sz w:val="21"/>
          <w:lang w:val="en-US"/>
        </w:rPr>
        <w:t xml:space="preserve">The figure displays the adaptations of CBF (second panel from the top) and PtO2 (third panel from the top) that are necessary to maintain tissue oxygen availability as capillary transit time heterogeneity (CTTH) levels (top panel) gradually increase, both during rest (upper graph in each panel) and during functional activation (lower graph in each panel). These changes are hypothesized to occur in relation to conditions that predispose to stroke, </w:t>
      </w:r>
      <w:proofErr w:type="gramStart"/>
      <w:r w:rsidRPr="00052BEA">
        <w:rPr>
          <w:rFonts w:cs="Arial"/>
          <w:i/>
          <w:iCs/>
          <w:color w:val="808080" w:themeColor="text1" w:themeTint="7F"/>
          <w:sz w:val="21"/>
          <w:lang w:val="en-US"/>
        </w:rPr>
        <w:t>e.g.</w:t>
      </w:r>
      <w:proofErr w:type="gramEnd"/>
      <w:r w:rsidRPr="00052BEA">
        <w:rPr>
          <w:rFonts w:cs="Arial"/>
          <w:i/>
          <w:iCs/>
          <w:color w:val="808080" w:themeColor="text1" w:themeTint="7F"/>
          <w:sz w:val="21"/>
          <w:lang w:val="en-US"/>
        </w:rPr>
        <w:t xml:space="preserve"> diabetes, years before symptoms develop.</w:t>
      </w:r>
      <w:r w:rsidRPr="00052BEA">
        <w:rPr>
          <w:rFonts w:cs="Arial"/>
          <w:lang w:val="en-US"/>
        </w:rPr>
        <w:t xml:space="preserve"> </w:t>
      </w:r>
      <w:r w:rsidRPr="00052BEA">
        <w:rPr>
          <w:rFonts w:cs="Arial"/>
          <w:i/>
          <w:iCs/>
          <w:color w:val="808080" w:themeColor="text1" w:themeTint="7F"/>
          <w:sz w:val="21"/>
          <w:lang w:val="en-US"/>
        </w:rPr>
        <w:t xml:space="preserve">PtO2= Partial pressure of oxygen in tissue, </w:t>
      </w:r>
      <w:r w:rsidRPr="00052BEA">
        <w:rPr>
          <w:rFonts w:cs="Arial"/>
          <w:i/>
          <w:iCs/>
          <w:color w:val="808080" w:themeColor="text1" w:themeTint="7F"/>
          <w:sz w:val="21"/>
          <w:lang w:val="en-US"/>
        </w:rPr>
        <w:sym w:font="Symbol" w:char="F044"/>
      </w:r>
      <w:r w:rsidRPr="00052BEA">
        <w:rPr>
          <w:rFonts w:cs="Arial"/>
          <w:i/>
          <w:iCs/>
          <w:color w:val="808080" w:themeColor="text1" w:themeTint="7F"/>
          <w:sz w:val="21"/>
          <w:lang w:val="en-US"/>
        </w:rPr>
        <w:t xml:space="preserve">CMRO2 – </w:t>
      </w:r>
      <w:r w:rsidRPr="00052BEA">
        <w:rPr>
          <w:rFonts w:cs="Arial"/>
          <w:i/>
          <w:color w:val="808080" w:themeColor="text1" w:themeTint="7F"/>
          <w:sz w:val="21"/>
        </w:rPr>
        <w:t>maximum cerebral metabolic rate of oxygen</w:t>
      </w:r>
      <w:r w:rsidRPr="00052BEA">
        <w:rPr>
          <w:rFonts w:cs="Arial"/>
          <w:i/>
          <w:iCs/>
          <w:color w:val="808080" w:themeColor="text1" w:themeTint="7F"/>
          <w:sz w:val="21"/>
          <w:lang w:val="en-US"/>
        </w:rPr>
        <w:t xml:space="preserve">,from:  </w:t>
      </w:r>
      <w:proofErr w:type="spellStart"/>
      <w:r w:rsidRPr="00052BEA">
        <w:rPr>
          <w:rFonts w:cs="Arial"/>
          <w:i/>
          <w:iCs/>
          <w:color w:val="808080" w:themeColor="text1" w:themeTint="7F"/>
          <w:sz w:val="21"/>
          <w:lang w:eastAsia="en-GB"/>
        </w:rPr>
        <w:t>Østergaard</w:t>
      </w:r>
      <w:proofErr w:type="spellEnd"/>
      <w:r w:rsidRPr="00052BEA">
        <w:rPr>
          <w:rFonts w:cs="Arial"/>
          <w:i/>
          <w:iCs/>
          <w:color w:val="808080" w:themeColor="text1" w:themeTint="7F"/>
          <w:sz w:val="21"/>
          <w:lang w:eastAsia="en-GB"/>
        </w:rPr>
        <w:t xml:space="preserve">, L., Jespersen, S. N., </w:t>
      </w:r>
      <w:proofErr w:type="spellStart"/>
      <w:r w:rsidRPr="00052BEA">
        <w:rPr>
          <w:rFonts w:cs="Arial"/>
          <w:i/>
          <w:iCs/>
          <w:color w:val="808080" w:themeColor="text1" w:themeTint="7F"/>
          <w:sz w:val="21"/>
          <w:lang w:eastAsia="en-GB"/>
        </w:rPr>
        <w:t>Mouridsen</w:t>
      </w:r>
      <w:proofErr w:type="spellEnd"/>
      <w:r w:rsidRPr="00052BEA">
        <w:rPr>
          <w:rFonts w:cs="Arial"/>
          <w:i/>
          <w:iCs/>
          <w:color w:val="808080" w:themeColor="text1" w:themeTint="7F"/>
          <w:sz w:val="21"/>
          <w:lang w:eastAsia="en-GB"/>
        </w:rPr>
        <w:t xml:space="preserve">, et al., (2013). </w:t>
      </w:r>
      <w:r w:rsidR="005868A5">
        <w:rPr>
          <w:rFonts w:cs="Arial"/>
          <w:i/>
          <w:iCs/>
          <w:color w:val="808080" w:themeColor="text1" w:themeTint="7F"/>
          <w:sz w:val="21"/>
          <w:lang w:eastAsia="en-GB"/>
        </w:rPr>
        <w:t xml:space="preserve">Reproduced with permission © 2013 </w:t>
      </w:r>
      <w:r w:rsidR="005868A5">
        <w:rPr>
          <w:rFonts w:cs="Arial"/>
          <w:i/>
          <w:iCs/>
          <w:color w:val="808080" w:themeColor="text1" w:themeTint="7F"/>
          <w:sz w:val="21"/>
          <w:lang w:eastAsia="en-GB"/>
        </w:rPr>
        <w:t>S</w:t>
      </w:r>
      <w:r w:rsidR="005868A5">
        <w:rPr>
          <w:rFonts w:cs="Arial"/>
          <w:i/>
          <w:iCs/>
          <w:color w:val="808080" w:themeColor="text1" w:themeTint="7F"/>
          <w:sz w:val="21"/>
          <w:lang w:eastAsia="en-GB"/>
        </w:rPr>
        <w:t>AGE</w:t>
      </w:r>
      <w:r w:rsidR="005868A5">
        <w:rPr>
          <w:rFonts w:cs="Arial"/>
          <w:i/>
          <w:iCs/>
          <w:color w:val="808080" w:themeColor="text1" w:themeTint="7F"/>
          <w:sz w:val="21"/>
          <w:lang w:eastAsia="en-GB"/>
        </w:rPr>
        <w:t xml:space="preserve"> </w:t>
      </w:r>
      <w:r w:rsidR="005868A5">
        <w:rPr>
          <w:rFonts w:cs="Arial"/>
          <w:i/>
          <w:iCs/>
          <w:color w:val="808080" w:themeColor="text1" w:themeTint="7F"/>
          <w:sz w:val="21"/>
          <w:lang w:eastAsia="en-GB"/>
        </w:rPr>
        <w:t>publications.</w:t>
      </w:r>
    </w:p>
    <w:p w14:paraId="3F8B6011" w14:textId="66C294D8" w:rsidR="000D0695" w:rsidRPr="00052BEA" w:rsidRDefault="000D0695" w:rsidP="000D0695">
      <w:pPr>
        <w:spacing w:line="360" w:lineRule="auto"/>
        <w:rPr>
          <w:rFonts w:cs="Arial"/>
        </w:rPr>
      </w:pPr>
      <w:r w:rsidRPr="00052BEA">
        <w:rPr>
          <w:rFonts w:cs="Arial"/>
        </w:rPr>
        <w:t xml:space="preserve">This is analogous to the regression of MTT towards the HV for the P-DPN and DPN groups. </w:t>
      </w:r>
    </w:p>
    <w:p w14:paraId="4062CAF9" w14:textId="417AB93F" w:rsidR="00052BEA" w:rsidRPr="00052BEA" w:rsidRDefault="00052BEA" w:rsidP="00052BEA">
      <w:pPr>
        <w:spacing w:line="360" w:lineRule="auto"/>
        <w:rPr>
          <w:rFonts w:cs="Arial"/>
        </w:rPr>
      </w:pPr>
      <w:r w:rsidRPr="00052BEA">
        <w:rPr>
          <w:rFonts w:cs="Arial"/>
        </w:rPr>
        <w:t xml:space="preserve">This theory could explain the heterogeneity of findings with regards to CBF and MTT in subjects with diabetes in the literature. Studies using PET to measure CBF found that the CBF is the same or decreased in those with diabetes compared with healthy volunteers </w:t>
      </w:r>
      <w:r w:rsidRPr="00052BEA">
        <w:rPr>
          <w:rFonts w:cs="Arial"/>
        </w:rPr>
        <w:fldChar w:fldCharType="begin">
          <w:fldData xml:space="preserve">PEVuZE5vdGU+PENpdGU+PEF1dGhvcj5aaWVnbGVyPC9BdXRob3I+PFllYXI+MTk5NDwvWWVhcj48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</w:fldData>
        </w:fldChar>
      </w:r>
      <w:r w:rsidRPr="00052BEA">
        <w:rPr>
          <w:rFonts w:cs="Arial"/>
        </w:rPr>
        <w:instrText xml:space="preserve"> ADDIN EN.CITE </w:instrText>
      </w:r>
      <w:r w:rsidRPr="00052BEA">
        <w:rPr>
          <w:rFonts w:cs="Arial"/>
        </w:rPr>
        <w:fldChar w:fldCharType="begin">
          <w:fldData xml:space="preserve">PEVuZE5vdGU+PENpdGU+PEF1dGhvcj5aaWVnbGVyPC9BdXRob3I+PFllYXI+MTk5NDwvWWVhcj48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</w:fldData>
        </w:fldChar>
      </w:r>
      <w:r w:rsidRPr="00052BEA">
        <w:rPr>
          <w:rFonts w:cs="Arial"/>
        </w:rPr>
        <w:instrText xml:space="preserve"> ADDIN EN.CITE.DATA </w:instrText>
      </w:r>
      <w:r w:rsidRPr="00052BEA">
        <w:rPr>
          <w:rFonts w:cs="Arial"/>
        </w:rPr>
      </w:r>
      <w:r w:rsidRPr="00052BEA">
        <w:rPr>
          <w:rFonts w:cs="Arial"/>
        </w:rPr>
        <w:fldChar w:fldCharType="end"/>
      </w:r>
      <w:r w:rsidRPr="00052BEA">
        <w:rPr>
          <w:rFonts w:cs="Arial"/>
        </w:rPr>
      </w:r>
      <w:r w:rsidRPr="00052BEA">
        <w:rPr>
          <w:rFonts w:cs="Arial"/>
        </w:rPr>
        <w:fldChar w:fldCharType="separate"/>
      </w:r>
      <w:r w:rsidRPr="00052BEA">
        <w:rPr>
          <w:rFonts w:cs="Arial"/>
          <w:noProof/>
        </w:rPr>
        <w:t>(Ziegler et al., 1994, Fanelli et al., 1998, van Golen et al., 2013)</w:t>
      </w:r>
      <w:r w:rsidRPr="00052BEA">
        <w:rPr>
          <w:rFonts w:cs="Arial"/>
        </w:rPr>
        <w:fldChar w:fldCharType="end"/>
      </w:r>
      <w:r w:rsidRPr="00052BEA">
        <w:rPr>
          <w:rFonts w:cs="Arial"/>
        </w:rPr>
        <w:t xml:space="preserve">.  A </w:t>
      </w:r>
      <w:r w:rsidRPr="00052BEA">
        <w:rPr>
          <w:rFonts w:cs="Arial"/>
        </w:rPr>
        <w:lastRenderedPageBreak/>
        <w:t xml:space="preserve">retrospective comparison of MTT in the grey and white matter using DSC-MRI obtained post stroke, analysed MTT in the non-stroke affected hemisphere to compare between groups with Hba1c&gt; 6.5%, and &lt;6.5%, </w:t>
      </w:r>
      <w:r w:rsidRPr="00052BEA">
        <w:rPr>
          <w:rFonts w:cs="Arial"/>
        </w:rPr>
        <w:fldChar w:fldCharType="begin"/>
      </w:r>
      <w:r w:rsidRPr="00052BEA">
        <w:rPr>
          <w:rFonts w:cs="Arial"/>
        </w:rPr>
        <w:instrText xml:space="preserve"> ADDIN EN.CITE &lt;EndNote&gt;&lt;Cite&gt;&lt;Author&gt;Hou&lt;/Author&gt;&lt;Year&gt;2013&lt;/Year&gt;&lt;IDText&gt;Influence of Chronic Hyperglycemia on Cerebral Microvascular Remodeling An In Vivo Study Using Perfusion Computed Tomography in Acute Ischemic Stroke Patients&lt;/IDText&gt;&lt;DisplayText&gt;(Hou et al., 2013)&lt;/DisplayText&gt;&lt;record&gt;&lt;dates&gt;&lt;pub-dates&gt;&lt;date&gt;Dec&lt;/date&gt;&lt;/pub-dates&gt;&lt;year&gt;2013&lt;/year&gt;&lt;/dates&gt;&lt;urls&gt;&lt;related-urls&gt;&lt;url&gt;&amp;lt;Go to ISI&amp;gt;://WOS:000327386300335&lt;/url&gt;&lt;/related-urls&gt;&lt;/urls&gt;&lt;isbn&gt;0039-2499&lt;/isbn&gt;&lt;titles&gt;&lt;title&gt;Influence of Chronic Hyperglycemia on Cerebral Microvascular Remodeling An In Vivo Study Using Perfusion Computed Tomography in Acute Ischemic Stroke Patients&lt;/title&gt;&lt;secondary-title&gt;Stroke&lt;/secondary-title&gt;&lt;/titles&gt;&lt;pages&gt;3557-3560&lt;/pages&gt;&lt;number&gt;12&lt;/number&gt;&lt;contributors&gt;&lt;authors&gt;&lt;author&gt;Hou, Qinghua&lt;/author&gt;&lt;author&gt;Zuo, Zhiyi&lt;/author&gt;&lt;author&gt;Michel, Patrik&lt;/author&gt;&lt;author&gt;Zhang, Yanrong&lt;/author&gt;&lt;author&gt;Eskandari, Ashraf&lt;/author&gt;&lt;author&gt;Man, Fengyuan&lt;/author&gt;&lt;author&gt;Gao, Qingcun&lt;/author&gt;&lt;author&gt;Johnston, Karen C.&lt;/author&gt;&lt;author&gt;Wintermark, Max&lt;/author&gt;&lt;/authors&gt;&lt;/contributors&gt;&lt;added-date format="utc"&gt;1566207096&lt;/added-date&gt;&lt;ref-type name="Journal Article"&gt;17&lt;/ref-type&gt;&lt;rec-number&gt;1064&lt;/rec-number&gt;&lt;last-updated-date format="utc"&gt;1566207096&lt;/last-updated-date&gt;&lt;accession-num&gt;WOS:000327386300335&lt;/accession-num&gt;&lt;electronic-resource-num&gt;10.1161/strokeaha.113.003150&lt;/electronic-resource-num&gt;&lt;volume&gt;44&lt;/volume&gt;&lt;/record&gt;&lt;/Cite&gt;&lt;/EndNote&gt;</w:instrText>
      </w:r>
      <w:r w:rsidRPr="00052BEA">
        <w:rPr>
          <w:rFonts w:cs="Arial"/>
        </w:rPr>
        <w:fldChar w:fldCharType="separate"/>
      </w:r>
      <w:r w:rsidRPr="00052BEA">
        <w:rPr>
          <w:rFonts w:cs="Arial"/>
          <w:noProof/>
        </w:rPr>
        <w:t>(Hou et al., 2013)</w:t>
      </w:r>
      <w:r w:rsidRPr="00052BEA">
        <w:rPr>
          <w:rFonts w:cs="Arial"/>
        </w:rPr>
        <w:fldChar w:fldCharType="end"/>
      </w:r>
      <w:r w:rsidRPr="00052BEA">
        <w:rPr>
          <w:rFonts w:cs="Arial"/>
        </w:rPr>
        <w:t>. They found that those with a lower Hba1c (which would be analogous to our DM-NN group) had a significantly shorter MTT in the non-stroke affected cerebral hemisphere. Our findings suggest that those with diabetes, but no neuropathy have shorter MTT than healthy volunteers.  Our findings could indicate that diabetes associated complications are associated with initial CNS hyper-perfusion when mild</w:t>
      </w:r>
      <w:r w:rsidR="00B13EA5">
        <w:rPr>
          <w:rFonts w:cs="Arial"/>
        </w:rPr>
        <w:t xml:space="preserve">, </w:t>
      </w:r>
      <w:r w:rsidRPr="00052BEA">
        <w:rPr>
          <w:rFonts w:cs="Arial"/>
        </w:rPr>
        <w:t xml:space="preserve">then progression could result in relative reductions as described in the model of CTTH proposed by Jespersen and </w:t>
      </w:r>
      <w:proofErr w:type="spellStart"/>
      <w:r w:rsidRPr="00052BEA">
        <w:rPr>
          <w:rFonts w:cs="Arial"/>
        </w:rPr>
        <w:t>Ostergaard</w:t>
      </w:r>
      <w:proofErr w:type="spellEnd"/>
      <w:r w:rsidRPr="00052BEA">
        <w:rPr>
          <w:rFonts w:cs="Arial"/>
        </w:rPr>
        <w:t xml:space="preserve"> </w:t>
      </w:r>
      <w:r w:rsidRPr="00052BEA">
        <w:rPr>
          <w:rFonts w:cs="Arial"/>
        </w:rPr>
        <w:fldChar w:fldCharType="begin"/>
      </w:r>
      <w:r w:rsidRPr="00052BEA">
        <w:rPr>
          <w:rFonts w:cs="Arial"/>
        </w:rPr>
        <w:instrText xml:space="preserve"> ADDIN EN.CITE &lt;EndNote&gt;&lt;Cite ExcludeAuth="1"&gt;&lt;Author&gt;Jespersen&lt;/Author&gt;&lt;Year&gt;2012&lt;/Year&gt;&lt;IDText&gt;The roles of cerebral blood flow, capillary transit time heterogeneity, and oxygen tension in brain oxygenation and metabolism&lt;/IDText&gt;&lt;DisplayText&gt;(2012)&lt;/DisplayText&gt;&lt;record&gt;&lt;dates&gt;&lt;pub-dates&gt;&lt;date&gt;Feb&lt;/date&gt;&lt;/pub-dates&gt;&lt;year&gt;2012&lt;/year&gt;&lt;/dates&gt;&lt;urls&gt;&lt;related-urls&gt;&lt;url&gt;&amp;lt;Go to ISI&amp;gt;://WOS:000299857200008&lt;/url&gt;&lt;/related-urls&gt;&lt;/urls&gt;&lt;isbn&gt;0271-678X&lt;/isbn&gt;&lt;titles&gt;&lt;title&gt;The roles of cerebral blood flow, capillary transit time heterogeneity, and oxygen tension in brain oxygenation and metabolism&lt;/title&gt;&lt;secondary-title&gt;Journal of Cerebral Blood Flow and Metabolism&lt;/secondary-title&gt;&lt;/titles&gt;&lt;pages&gt;264-277&lt;/pages&gt;&lt;number&gt;2&lt;/number&gt;&lt;contributors&gt;&lt;authors&gt;&lt;author&gt;Jespersen, S. N.&lt;/author&gt;&lt;author&gt;Ostergaard, L.&lt;/author&gt;&lt;/authors&gt;&lt;/contributors&gt;&lt;added-date format="utc"&gt;1554209700&lt;/added-date&gt;&lt;ref-type name="Journal Article"&gt;17&lt;/ref-type&gt;&lt;rec-number&gt;1003&lt;/rec-number&gt;&lt;last-updated-date format="utc"&gt;1567321870&lt;/last-updated-date&gt;&lt;accession-num&gt;WOS:000299857200008&lt;/accession-num&gt;&lt;electronic-resource-num&gt;10.1038/jcbfm.2011.153&lt;/electronic-resource-num&gt;&lt;volume&gt;32&lt;/volume&gt;&lt;/record&gt;&lt;/Cite&gt;&lt;/EndNote&gt;</w:instrText>
      </w:r>
      <w:r w:rsidRPr="00052BEA">
        <w:rPr>
          <w:rFonts w:cs="Arial"/>
        </w:rPr>
        <w:fldChar w:fldCharType="separate"/>
      </w:r>
      <w:r w:rsidRPr="00052BEA">
        <w:rPr>
          <w:rFonts w:cs="Arial"/>
          <w:noProof/>
        </w:rPr>
        <w:t>(2012)</w:t>
      </w:r>
      <w:r w:rsidRPr="00052BEA">
        <w:rPr>
          <w:rFonts w:cs="Arial"/>
        </w:rPr>
        <w:fldChar w:fldCharType="end"/>
      </w:r>
      <w:r w:rsidRPr="00052BEA">
        <w:rPr>
          <w:rFonts w:cs="Arial"/>
        </w:rPr>
        <w:t>.  Shunts and increased CTTH cause increases in blood flow across all diabetes groups but these become less marked with increasing pathology.</w:t>
      </w:r>
    </w:p>
    <w:p w14:paraId="29119A3C" w14:textId="77777777" w:rsidR="00052BEA" w:rsidRPr="00052BEA" w:rsidRDefault="00052BEA" w:rsidP="00052BEA">
      <w:pPr>
        <w:spacing w:line="360" w:lineRule="auto"/>
        <w:rPr>
          <w:rFonts w:cs="Arial"/>
        </w:rPr>
      </w:pPr>
      <w:r w:rsidRPr="00052BEA">
        <w:rPr>
          <w:rFonts w:cs="Arial"/>
        </w:rPr>
        <w:t>In summary the finding of a shortened MTT in the DM-NN group compared with other groups can be plausibly compared to similar findings in other organs.  A summary of the literature describing hyper-perfusion in the retina, the kidney and the peripheral nerve has been discussed drawing parallels with cerebral perfusion, and a hypothesis that encompasses not just the findings in the DM-NN group but also the findings in the other diabetes groups has been explained.</w:t>
      </w:r>
    </w:p>
    <w:p w14:paraId="2356B93B" w14:textId="166F3D51" w:rsidR="00052BEA" w:rsidRPr="00052BEA" w:rsidRDefault="00052BEA" w:rsidP="00052BEA">
      <w:pPr>
        <w:spacing w:line="360" w:lineRule="auto"/>
        <w:rPr>
          <w:rFonts w:cs="Arial"/>
        </w:rPr>
      </w:pPr>
      <w:r w:rsidRPr="00052BEA">
        <w:rPr>
          <w:rFonts w:cs="Arial"/>
        </w:rPr>
        <w:t xml:space="preserve">There is evidence that blood glucose may influence perfusion parameters in subjects with T1D. It has been shown that hypoglycaemia causes increased cerebral blood flow </w:t>
      </w:r>
      <w:r w:rsidRPr="00052BEA">
        <w:rPr>
          <w:rFonts w:cs="Arial"/>
        </w:rPr>
        <w:fldChar w:fldCharType="begin"/>
      </w:r>
      <w:r w:rsidRPr="00052BEA">
        <w:rPr>
          <w:rFonts w:cs="Arial"/>
        </w:rPr>
        <w:instrText xml:space="preserve"> ADDIN EN.CITE &lt;EndNote&gt;&lt;Cite&gt;&lt;Author&gt;Neil&lt;/Author&gt;&lt;Year&gt;1987&lt;/Year&gt;&lt;IDText&gt;CEREBRAL BLOOD-FLOW INCREASES DURING INSULIN-INDUCED HYPOGLYCEMIA IN TYPE-1 (INSULIN-DEPENDENT) DIABETIC-PATIENTS AND CONTROL SUBJECTS&lt;/IDText&gt;&lt;DisplayText&gt;(Neil et al., 1987)&lt;/DisplayText&gt;&lt;record&gt;&lt;dates&gt;&lt;pub-dates&gt;&lt;date&gt;May&lt;/date&gt;&lt;/pub-dates&gt;&lt;year&gt;1987&lt;/year&gt;&lt;/dates&gt;&lt;urls&gt;&lt;related-urls&gt;&lt;url&gt;&amp;lt;Go to ISI&amp;gt;://WOS:A1987H861800004&lt;/url&gt;&lt;/related-urls&gt;&lt;/urls&gt;&lt;isbn&gt;0012-186X&lt;/isbn&gt;&lt;titles&gt;&lt;title&gt;CEREBRAL BLOOD-FLOW INCREASES DURING INSULIN-INDUCED HYPOGLYCEMIA IN TYPE-1 (INSULIN-DEPENDENT) DIABETIC-PATIENTS AND CONTROL SUBJECTS&lt;/title&gt;&lt;secondary-title&gt;Diabetologia&lt;/secondary-title&gt;&lt;/titles&gt;&lt;pages&gt;305-309&lt;/pages&gt;&lt;number&gt;5&lt;/number&gt;&lt;contributors&gt;&lt;authors&gt;&lt;author&gt;Neil, H. A. W.&lt;/author&gt;&lt;author&gt;Gale, E. A. M.&lt;/author&gt;&lt;author&gt;Hamilton, S. J. C.&lt;/author&gt;&lt;author&gt;Lopezespinoza, I.&lt;/author&gt;&lt;author&gt;Kaura, R.&lt;/author&gt;&lt;author&gt;McCarthy, S. T.&lt;/author&gt;&lt;/authors&gt;&lt;/contributors&gt;&lt;added-date format="utc"&gt;1566221967&lt;/added-date&gt;&lt;ref-type name="Journal Article"&gt;17&lt;/ref-type&gt;&lt;rec-number&gt;1065&lt;/rec-number&gt;&lt;last-updated-date format="utc"&gt;1566221967&lt;/last-updated-date&gt;&lt;accession-num&gt;WOS:A1987H861800004&lt;/accession-num&gt;&lt;electronic-resource-num&gt;10.1007/bf00299022&lt;/electronic-resource-num&gt;&lt;volume&gt;30&lt;/volume&gt;&lt;/record&gt;&lt;/Cite&gt;&lt;/EndNote&gt;</w:instrText>
      </w:r>
      <w:r w:rsidRPr="00052BEA">
        <w:rPr>
          <w:rFonts w:cs="Arial"/>
        </w:rPr>
        <w:fldChar w:fldCharType="separate"/>
      </w:r>
      <w:r w:rsidRPr="00052BEA">
        <w:rPr>
          <w:rFonts w:cs="Arial"/>
          <w:noProof/>
        </w:rPr>
        <w:t>(Neil et al., 1987)</w:t>
      </w:r>
      <w:r w:rsidRPr="00052BEA">
        <w:rPr>
          <w:rFonts w:cs="Arial"/>
        </w:rPr>
        <w:fldChar w:fldCharType="end"/>
      </w:r>
      <w:r w:rsidRPr="00052BEA">
        <w:rPr>
          <w:rFonts w:cs="Arial"/>
        </w:rPr>
        <w:t xml:space="preserve"> and that hypoglycaemia can cause locally increased blood flow to the thalamus, and parietal lobe </w:t>
      </w:r>
      <w:r w:rsidRPr="00052BEA">
        <w:rPr>
          <w:rFonts w:cs="Arial"/>
        </w:rPr>
        <w:fldChar w:fldCharType="begin"/>
      </w:r>
      <w:r w:rsidRPr="00052BEA">
        <w:rPr>
          <w:rFonts w:cs="Arial"/>
        </w:rPr>
        <w:instrText xml:space="preserve"> ADDIN EN.CITE &lt;EndNote&gt;&lt;Cite&gt;&lt;Author&gt;Gejl&lt;/Author&gt;&lt;Year&gt;2018&lt;/Year&gt;&lt;IDText&gt;Effects of hypoglycaemia on working memory and regional cerebral blood flow in type 1 diabetes: a randomised, crossover trial&lt;/IDText&gt;&lt;DisplayText&gt;(Gejl et al., 2018)&lt;/DisplayText&gt;&lt;record&gt;&lt;dates&gt;&lt;pub-dates&gt;&lt;date&gt;Mar&lt;/date&gt;&lt;/pub-dates&gt;&lt;year&gt;2018&lt;/year&gt;&lt;/dates&gt;&lt;urls&gt;&lt;related-urls&gt;&lt;url&gt;&amp;lt;Go to ISI&amp;gt;://WOS:000424446700005&lt;/url&gt;&lt;/related-urls&gt;&lt;/urls&gt;&lt;isbn&gt;0012-186X&lt;/isbn&gt;&lt;titles&gt;&lt;title&gt;Effects of hypoglycaemia on working memory and regional cerebral blood flow in type 1 diabetes: a randomised, crossover trial&lt;/title&gt;&lt;secondary-title&gt;Diabetologia&lt;/secondary-title&gt;&lt;/titles&gt;&lt;pages&gt;551-561&lt;/pages&gt;&lt;number&gt;3&lt;/number&gt;&lt;contributors&gt;&lt;authors&gt;&lt;author&gt;Gejl, Michael&lt;/author&gt;&lt;author&gt;Gjedde, Albert&lt;/author&gt;&lt;author&gt;Brock, Birgitte&lt;/author&gt;&lt;author&gt;Moller, Arne&lt;/author&gt;&lt;author&gt;van Duinkerken, Eelco&lt;/author&gt;&lt;author&gt;Haahr, Hanne L.&lt;/author&gt;&lt;author&gt;Hansen, Charlotte T.&lt;/author&gt;&lt;author&gt;Chu, Pei-Ling&lt;/author&gt;&lt;author&gt;Stender-Petersen, Kirstine L.&lt;/author&gt;&lt;author&gt;Rungby, Jorgen&lt;/author&gt;&lt;/authors&gt;&lt;/contributors&gt;&lt;added-date format="utc"&gt;1566223748&lt;/added-date&gt;&lt;ref-type name="Journal Article"&gt;17&lt;/ref-type&gt;&lt;rec-number&gt;1068&lt;/rec-number&gt;&lt;last-updated-date format="utc"&gt;1566223748&lt;/last-updated-date&gt;&lt;accession-num&gt;WOS:000424446700005&lt;/accession-num&gt;&lt;electronic-resource-num&gt;10.1007/s00125-017-4502-1&lt;/electronic-resource-num&gt;&lt;volume&gt;61&lt;/volume&gt;&lt;/record&gt;&lt;/Cite&gt;&lt;/EndNote&gt;</w:instrText>
      </w:r>
      <w:r w:rsidRPr="00052BEA">
        <w:rPr>
          <w:rFonts w:cs="Arial"/>
        </w:rPr>
        <w:fldChar w:fldCharType="separate"/>
      </w:r>
      <w:r w:rsidRPr="00052BEA">
        <w:rPr>
          <w:rFonts w:cs="Arial"/>
          <w:noProof/>
        </w:rPr>
        <w:t>(Gejl et al., 2018)</w:t>
      </w:r>
      <w:r w:rsidRPr="00052BEA">
        <w:rPr>
          <w:rFonts w:cs="Arial"/>
        </w:rPr>
        <w:fldChar w:fldCharType="end"/>
      </w:r>
      <w:r w:rsidRPr="00052BEA">
        <w:rPr>
          <w:rFonts w:cs="Arial"/>
        </w:rPr>
        <w:t>. In our study the protocol controlled for hypoglycaemia by rebooking the scans for any subject arriving for the study with hypoglycaemia (defined as BG&lt;4) or having had an episode of hypoglycaemia within the last forty-eight hours.  Some study participants did experience falls in blood glucose whilst they were undergoing the scanning protocol. There were similar numbers with BG less than 5 in each group, and there was no statistically significant difference between the groups with diabetes with regards to arrival, departure or delta blood glucose</w:t>
      </w:r>
      <w:r w:rsidR="00DB75BB">
        <w:rPr>
          <w:rFonts w:cs="Arial"/>
        </w:rPr>
        <w:t xml:space="preserve"> (Appendix D, Table D.2)</w:t>
      </w:r>
      <w:r w:rsidRPr="00052BEA">
        <w:rPr>
          <w:rFonts w:cs="Arial"/>
        </w:rPr>
        <w:t xml:space="preserve">.  Linear regression was performed and there was no effect of any of the blood glucose parameters on MTT in the left or right insula or the left or right primary sensory cortex. As there was no correlation in our study between any of the glucose measurements and the MTT, </w:t>
      </w:r>
      <w:r w:rsidR="00466286">
        <w:rPr>
          <w:rFonts w:cs="Arial"/>
        </w:rPr>
        <w:t xml:space="preserve">blood </w:t>
      </w:r>
      <w:r w:rsidRPr="00052BEA">
        <w:rPr>
          <w:rFonts w:cs="Arial"/>
        </w:rPr>
        <w:t>glucose</w:t>
      </w:r>
      <w:r w:rsidR="00466286">
        <w:rPr>
          <w:rFonts w:cs="Arial"/>
        </w:rPr>
        <w:t xml:space="preserve"> level or</w:t>
      </w:r>
      <w:r w:rsidRPr="00052BEA">
        <w:rPr>
          <w:rFonts w:cs="Arial"/>
        </w:rPr>
        <w:t xml:space="preserve"> flux does not explain the faster MTT in the DM-NN group.  </w:t>
      </w:r>
    </w:p>
    <w:p w14:paraId="491E2748" w14:textId="77777777" w:rsidR="00052BEA" w:rsidRPr="00052BEA" w:rsidRDefault="00052BEA" w:rsidP="00052BEA">
      <w:pPr>
        <w:spacing w:line="360" w:lineRule="auto"/>
        <w:rPr>
          <w:rFonts w:cs="Arial"/>
        </w:rPr>
      </w:pPr>
      <w:r w:rsidRPr="00052BEA">
        <w:rPr>
          <w:rFonts w:cs="Arial"/>
        </w:rPr>
        <w:lastRenderedPageBreak/>
        <w:t xml:space="preserve">When the subgroup analysis was performed comparing P+ to P-, a significantly shorter TTP coupled with faster MTT was observed at the </w:t>
      </w:r>
      <w:proofErr w:type="spellStart"/>
      <w:r w:rsidRPr="00052BEA">
        <w:rPr>
          <w:rFonts w:cs="Arial"/>
        </w:rPr>
        <w:t>RThal</w:t>
      </w:r>
      <w:proofErr w:type="spellEnd"/>
      <w:r w:rsidRPr="00052BEA">
        <w:rPr>
          <w:rFonts w:cs="Arial"/>
        </w:rPr>
        <w:t xml:space="preserve">.  Moreover, there was a trend for this relationship across the other studied regions of interest.  </w:t>
      </w:r>
    </w:p>
    <w:p w14:paraId="24D5DDC2" w14:textId="6101C6C6" w:rsidR="00052BEA" w:rsidRPr="00052BEA" w:rsidRDefault="00052BEA" w:rsidP="00052BEA">
      <w:pPr>
        <w:spacing w:line="360" w:lineRule="auto"/>
        <w:rPr>
          <w:rFonts w:cs="Arial"/>
        </w:rPr>
      </w:pPr>
      <w:r w:rsidRPr="00052BEA">
        <w:rPr>
          <w:rFonts w:cs="Arial"/>
        </w:rPr>
        <w:t xml:space="preserve">Pain as a symptom of P-DPN varies in intensity and frequency throughout the day. </w:t>
      </w:r>
      <w:r w:rsidR="00302583">
        <w:rPr>
          <w:rFonts w:cs="Arial"/>
        </w:rPr>
        <w:t>T</w:t>
      </w:r>
      <w:r w:rsidR="00302583" w:rsidRPr="00052BEA">
        <w:rPr>
          <w:rFonts w:cs="Arial"/>
        </w:rPr>
        <w:t>herefore</w:t>
      </w:r>
      <w:r w:rsidR="00302583">
        <w:rPr>
          <w:rFonts w:cs="Arial"/>
        </w:rPr>
        <w:t>,</w:t>
      </w:r>
      <w:r w:rsidR="00302583" w:rsidRPr="00052BEA">
        <w:rPr>
          <w:rFonts w:cs="Arial"/>
        </w:rPr>
        <w:t xml:space="preserve"> </w:t>
      </w:r>
      <w:r w:rsidR="00302583">
        <w:rPr>
          <w:rFonts w:cs="Arial"/>
        </w:rPr>
        <w:t>t</w:t>
      </w:r>
      <w:r w:rsidRPr="00052BEA">
        <w:rPr>
          <w:rFonts w:cs="Arial"/>
        </w:rPr>
        <w:t xml:space="preserve">here is a good rationale for investigating microvascular perfusion during an episode of spontaneous neuropathic pain. </w:t>
      </w:r>
      <w:r w:rsidR="00163D01">
        <w:rPr>
          <w:rFonts w:cs="Arial"/>
        </w:rPr>
        <w:t xml:space="preserve"> </w:t>
      </w:r>
      <w:r w:rsidRPr="00052BEA">
        <w:rPr>
          <w:rFonts w:cs="Arial"/>
        </w:rPr>
        <w:t xml:space="preserve">Symptoms of P-DPN are known to include non-elicited pain and elicited pain </w:t>
      </w:r>
      <w:r w:rsidRPr="00052BEA">
        <w:rPr>
          <w:rFonts w:cs="Arial"/>
        </w:rPr>
        <w:fldChar w:fldCharType="begin"/>
      </w:r>
      <w:r w:rsidRPr="00052BEA">
        <w:rPr>
          <w:rFonts w:cs="Arial"/>
        </w:rPr>
        <w:instrText xml:space="preserve"> ADDIN EN.CITE &lt;EndNote&gt;&lt;Cite&gt;&lt;Author&gt;Jensen&lt;/Author&gt;&lt;Year&gt;2001&lt;/Year&gt;&lt;IDText&gt;The clinical picture of neuropathic pain&lt;/IDText&gt;&lt;DisplayText&gt;(Jensen et al., 2001)&lt;/DisplayText&gt;&lt;record&gt;&lt;keywords&gt;&lt;keyword&gt;Neuropathic Pain&lt;/keyword&gt;&lt;keyword&gt;Hyperexcitability&lt;/keyword&gt;&lt;keyword&gt;Manifestations&lt;/keyword&gt;&lt;keyword&gt;Pain&lt;/keyword&gt;&lt;keyword&gt;Spontaneous&lt;/keyword&gt;&lt;keyword&gt;Pains&lt;/keyword&gt;&lt;keyword&gt;Evoked&lt;/keyword&gt;&lt;keyword&gt;Pharmacy, Therapeutics, &amp;amp; Pharmacology&lt;/keyword&gt;&lt;/keywords&gt;&lt;isbn&gt;0014-2999&lt;/isbn&gt;&lt;titles&gt;&lt;title&gt;The clinical picture of neuropathic pain&lt;/title&gt;&lt;secondary-title&gt;European Journal of Pharmacology&lt;/secondary-title&gt;&lt;/titles&gt;&lt;pages&gt;1-11&lt;/pages&gt;&lt;number&gt;1-3&lt;/number&gt;&lt;contributors&gt;&lt;authors&gt;&lt;author&gt;Jensen, Troels Staehelin&lt;/author&gt;&lt;author&gt;Gottrup, Hanne&lt;/author&gt;&lt;author&gt;Sindrup, Søren Hein&lt;/author&gt;&lt;author&gt;Bach, Flemming Winther&lt;/author&gt;&lt;/authors&gt;&lt;/contributors&gt;&lt;added-date format="utc"&gt;1573405480&lt;/added-date&gt;&lt;ref-type name="Journal Article"&gt;17&lt;/ref-type&gt;&lt;dates&gt;&lt;year&gt;2001&lt;/year&gt;&lt;/dates&gt;&lt;rec-number&gt;1185&lt;/rec-number&gt;&lt;last-updated-date format="utc"&gt;1573405480&lt;/last-updated-date&gt;&lt;electronic-resource-num&gt;10.1016/S0014-2999(01)01302-4&lt;/electronic-resource-num&gt;&lt;volume&gt;429&lt;/volume&gt;&lt;/record&gt;&lt;/Cite&gt;&lt;/EndNote&gt;</w:instrText>
      </w:r>
      <w:r w:rsidRPr="00052BEA">
        <w:rPr>
          <w:rFonts w:cs="Arial"/>
        </w:rPr>
        <w:fldChar w:fldCharType="separate"/>
      </w:r>
      <w:r w:rsidRPr="00052BEA">
        <w:rPr>
          <w:rFonts w:cs="Arial"/>
          <w:noProof/>
        </w:rPr>
        <w:t>(Jensen et al., 2001)</w:t>
      </w:r>
      <w:r w:rsidRPr="00052BEA">
        <w:rPr>
          <w:rFonts w:cs="Arial"/>
        </w:rPr>
        <w:fldChar w:fldCharType="end"/>
      </w:r>
      <w:r w:rsidRPr="00052BEA">
        <w:rPr>
          <w:rFonts w:cs="Arial"/>
        </w:rPr>
        <w:t xml:space="preserve">. </w:t>
      </w:r>
      <w:r w:rsidR="00163D01">
        <w:rPr>
          <w:rFonts w:cs="Arial"/>
        </w:rPr>
        <w:t xml:space="preserve"> </w:t>
      </w:r>
      <w:r w:rsidRPr="00052BEA">
        <w:rPr>
          <w:rFonts w:cs="Arial"/>
        </w:rPr>
        <w:t>There have been no studies examining how long subjects with P-DPN are in pain per day.  However, it has been reported that pain is constant for 53% of those with P-DPN, and for 30% it is intermittent (</w:t>
      </w:r>
      <w:proofErr w:type="spellStart"/>
      <w:r w:rsidRPr="00052BEA">
        <w:rPr>
          <w:rFonts w:cs="Arial"/>
        </w:rPr>
        <w:t>Galer</w:t>
      </w:r>
      <w:proofErr w:type="spellEnd"/>
      <w:r w:rsidRPr="00052BEA">
        <w:rPr>
          <w:rFonts w:cs="Arial"/>
        </w:rPr>
        <w:t xml:space="preserve"> et al., 2000).  Fifty-two percent of respondents have reported that pain was worse at night, 61% reported it was worse when tired and 46% reported it was worse when stressed </w:t>
      </w:r>
      <w:r w:rsidRPr="00052BEA">
        <w:rPr>
          <w:rFonts w:cs="Arial"/>
        </w:rPr>
        <w:fldChar w:fldCharType="begin"/>
      </w:r>
      <w:r w:rsidRPr="00052BEA">
        <w:rPr>
          <w:rFonts w:cs="Arial"/>
        </w:rPr>
        <w:instrText xml:space="preserve"> ADDIN EN.CITE &lt;EndNote&gt;&lt;Cite&gt;&lt;Author&gt;Galer&lt;/Author&gt;&lt;Year&gt;2000&lt;/Year&gt;&lt;IDText&gt;Painful diabetic polyneuropathy: epidemiology, pain description, and quality of life&lt;/IDText&gt;&lt;DisplayText&gt;(Galer et al., 2000)&lt;/DisplayText&gt;&lt;record&gt;&lt;dates&gt;&lt;pub-dates&gt;&lt;date&gt;Feb&lt;/date&gt;&lt;/pub-dates&gt;&lt;year&gt;2000&lt;/year&gt;&lt;/dates&gt;&lt;keywords&gt;&lt;keyword&gt;Diabetic Neuropathies&lt;/keyword&gt;&lt;keyword&gt;Ethnic Groups&lt;/keyword&gt;&lt;keyword&gt;Female&lt;/keyword&gt;&lt;keyword&gt;Humans&lt;/keyword&gt;&lt;keyword&gt;Male&lt;/keyword&gt;&lt;keyword&gt;Middle Aged&lt;/keyword&gt;&lt;keyword&gt;Pain&lt;/keyword&gt;&lt;keyword&gt;Pain Measurement&lt;/keyword&gt;&lt;keyword&gt;Prospective Studies&lt;/keyword&gt;&lt;keyword&gt;Quality of Life&lt;/keyword&gt;&lt;keyword&gt;United States&lt;/keyword&gt;&lt;/keywords&gt;&lt;urls&gt;&lt;related-urls&gt;&lt;url&gt;http://www.ncbi.nlm.nih.gov/pubmed/10670912&lt;/url&gt;&lt;/related-urls&gt;&lt;/urls&gt;&lt;isbn&gt;0168-8227&lt;/isbn&gt;&lt;titles&gt;&lt;title&gt;Painful diabetic polyneuropathy: epidemiology, pain description, and quality of life&lt;/title&gt;&lt;secondary-title&gt;Diabetes Res Clin Pract&lt;/secondary-title&gt;&lt;/titles&gt;&lt;pages&gt;123-8&lt;/pages&gt;&lt;number&gt;2&lt;/number&gt;&lt;contributors&gt;&lt;authors&gt;&lt;author&gt;Galer, B. S.&lt;/author&gt;&lt;author&gt;Gianas, A.&lt;/author&gt;&lt;author&gt;Jensen, M. P.&lt;/author&gt;&lt;/authors&gt;&lt;/contributors&gt;&lt;language&gt;eng&lt;/language&gt;&lt;added-date format="utc"&gt;1350578388&lt;/added-date&gt;&lt;ref-type name="Journal Article"&gt;17&lt;/ref-type&gt;&lt;auth-address&gt;Department of Pain Medicine and Palliative Care, Institute for Education and Research in Pain Medicine and Palliative Care, Beth Israel Medical Center, New York, NY 10003, USA. bgaler@bethisraelny.org&lt;/auth-address&gt;&lt;rec-number&gt;111&lt;/rec-number&gt;&lt;last-updated-date format="utc"&gt;1350578388&lt;/last-updated-date&gt;&lt;accession-num&gt;10670912&lt;/accession-num&gt;&lt;electronic-resource-num&gt;S0168-8227(99)00112-6 [pii]&lt;/electronic-resource-num&gt;&lt;volume&gt;47&lt;/volume&gt;&lt;/record&gt;&lt;/Cite&gt;&lt;/EndNote&gt;</w:instrText>
      </w:r>
      <w:r w:rsidRPr="00052BEA">
        <w:rPr>
          <w:rFonts w:cs="Arial"/>
        </w:rPr>
        <w:fldChar w:fldCharType="separate"/>
      </w:r>
      <w:r w:rsidRPr="00052BEA">
        <w:rPr>
          <w:rFonts w:cs="Arial"/>
          <w:noProof/>
        </w:rPr>
        <w:t>(Galer et al., 2000)</w:t>
      </w:r>
      <w:r w:rsidRPr="00052BEA">
        <w:rPr>
          <w:rFonts w:cs="Arial"/>
        </w:rPr>
        <w:fldChar w:fldCharType="end"/>
      </w:r>
      <w:r w:rsidRPr="00052BEA">
        <w:rPr>
          <w:rFonts w:cs="Arial"/>
        </w:rPr>
        <w:t xml:space="preserve">. This suggests that reported pain can significantly vary due to circumstances and time of day.  Another study has reported that pain varies as a function of time of day and becomes worse as the day goes on </w:t>
      </w:r>
      <w:r w:rsidRPr="00052BEA">
        <w:rPr>
          <w:rFonts w:cs="Arial"/>
        </w:rPr>
        <w:fldChar w:fldCharType="begin"/>
      </w:r>
      <w:r w:rsidRPr="00052BEA">
        <w:rPr>
          <w:rFonts w:cs="Arial"/>
        </w:rPr>
        <w:instrText xml:space="preserve"> ADDIN EN.CITE &lt;EndNote&gt;&lt;Cite&gt;&lt;Author&gt;Odrcich&lt;/Author&gt;&lt;Year&gt;2006&lt;/Year&gt;&lt;IDText&gt;Chronobiological characteristics of painful diabetic neuropathy and postherpetic neuralgia: Diurnal pain variation and effects of analgesic therapy&lt;/IDText&gt;&lt;DisplayText&gt;(Odrcich et al., 2006)&lt;/DisplayText&gt;&lt;record&gt;&lt;keywords&gt;&lt;keyword&gt;Analgesics -- Administration &amp;amp; Dosage&lt;/keyword&gt;&lt;keyword&gt;Chronobiology Disorders -- Drug Therapy&lt;/keyword&gt;&lt;keyword&gt;Diabetic Neuropathies -- Drug Therapy&lt;/keyword&gt;&lt;keyword&gt;Neuralgia, Postherpetic -- Drug Therapy&lt;/keyword&gt;&lt;/keywords&gt;&lt;isbn&gt;0304-3959&lt;/isbn&gt;&lt;titles&gt;&lt;title&gt;Chronobiological characteristics of painful diabetic neuropathy and postherpetic neuralgia: Diurnal pain variation and effects of analgesic therapy&lt;/title&gt;&lt;secondary-title&gt;Pain&lt;/secondary-title&gt;&lt;/titles&gt;&lt;pages&gt;207-212&lt;/pages&gt;&lt;number&gt;1-2&lt;/number&gt;&lt;contributors&gt;&lt;authors&gt;&lt;author&gt;Odrcich, M. Mark&lt;/author&gt;&lt;author&gt;Bailey, M. Joan&lt;/author&gt;&lt;author&gt;Cahill, M. Catherine&lt;/author&gt;&lt;author&gt;Gilron, M. Ian&lt;/author&gt;&lt;/authors&gt;&lt;/contributors&gt;&lt;added-date format="utc"&gt;1573405960&lt;/added-date&gt;&lt;ref-type name="Journal Article"&gt;17&lt;/ref-type&gt;&lt;dates&gt;&lt;year&gt;2006&lt;/year&gt;&lt;/dates&gt;&lt;rec-number&gt;1188&lt;/rec-number&gt;&lt;last-updated-date format="utc"&gt;1573405960&lt;/last-updated-date&gt;&lt;electronic-resource-num&gt;10.1016/j.pain.2005.10.007&lt;/electronic-resource-num&gt;&lt;volume&gt;120&lt;/volume&gt;&lt;/record&gt;&lt;/Cite&gt;&lt;/EndNote&gt;</w:instrText>
      </w:r>
      <w:r w:rsidRPr="00052BEA">
        <w:rPr>
          <w:rFonts w:cs="Arial"/>
        </w:rPr>
        <w:fldChar w:fldCharType="separate"/>
      </w:r>
      <w:r w:rsidRPr="00052BEA">
        <w:rPr>
          <w:rFonts w:cs="Arial"/>
          <w:noProof/>
        </w:rPr>
        <w:t>(Odrcich et al., 2006)</w:t>
      </w:r>
      <w:r w:rsidRPr="00052BEA">
        <w:rPr>
          <w:rFonts w:cs="Arial"/>
        </w:rPr>
        <w:fldChar w:fldCharType="end"/>
      </w:r>
      <w:r w:rsidRPr="00052BEA">
        <w:rPr>
          <w:rFonts w:cs="Arial"/>
        </w:rPr>
        <w:t>.  The findings from these studies suggest that participants may still have significant symptoms of P-DPN which may not be reported at the time of visit</w:t>
      </w:r>
      <w:r w:rsidR="00367E16">
        <w:rPr>
          <w:rFonts w:cs="Arial"/>
        </w:rPr>
        <w:t>,</w:t>
      </w:r>
      <w:r w:rsidRPr="00052BEA">
        <w:rPr>
          <w:rFonts w:cs="Arial"/>
        </w:rPr>
        <w:t xml:space="preserve"> due to time of the day and intermittency of the symptoms.  Therefore, there is a rationale for including an analysis of P- and P+ as they are legitimate subgroups of the P-DPN group.  </w:t>
      </w:r>
    </w:p>
    <w:p w14:paraId="3BA924D5" w14:textId="66929890" w:rsidR="00052BEA" w:rsidRPr="00052BEA" w:rsidRDefault="00052BEA" w:rsidP="00052BEA">
      <w:pPr>
        <w:spacing w:line="360" w:lineRule="auto"/>
        <w:rPr>
          <w:rFonts w:cs="Arial"/>
        </w:rPr>
      </w:pPr>
      <w:r w:rsidRPr="00052BEA">
        <w:rPr>
          <w:rFonts w:cs="Arial"/>
        </w:rPr>
        <w:t xml:space="preserve">The results show a faster TTP and a faster MTT at the right thalamus between the P+ group and the HV.  This suggests that there is an effect of pain on the transit time in the thalamus secondary to the neurovascular coupling response due to spontaneous pain.  The thalamus is a plausible candidate for an area of increased neural activity.  It is implicated in central pain generation and neuropathic pain perception as discussed in the Introduction-Chapter 1 (Supporting evidence for increased perfusion in the thalamus in subjects with neuropathic pain).  The other ROI with significant differences in group mean TTP (RINS, POWM) may also have changes in perfusion caused by neurovascular coupling.  </w:t>
      </w:r>
      <w:r w:rsidR="00136C6C">
        <w:rPr>
          <w:rFonts w:cs="Arial"/>
        </w:rPr>
        <w:t>There is a significant group mean difference in these areas</w:t>
      </w:r>
      <w:r w:rsidR="00AA6C99">
        <w:rPr>
          <w:rFonts w:cs="Arial"/>
        </w:rPr>
        <w:t xml:space="preserve"> for MTT in these areas</w:t>
      </w:r>
      <w:r w:rsidR="00136C6C">
        <w:rPr>
          <w:rFonts w:cs="Arial"/>
        </w:rPr>
        <w:t xml:space="preserve"> but post Hoc tests fail to identify differences in the pair-wise comparisons</w:t>
      </w:r>
      <w:r w:rsidRPr="00052BEA">
        <w:rPr>
          <w:rFonts w:cs="Arial"/>
        </w:rPr>
        <w:t xml:space="preserve">. TTP is the most reproducible measure as discussed in Chapter 3.  Therefore, subtle differences in other parameters may be masked due to variability or small sample size. </w:t>
      </w:r>
    </w:p>
    <w:p w14:paraId="62F6D28C" w14:textId="6245844C" w:rsidR="00052BEA" w:rsidRPr="00052BEA" w:rsidRDefault="00136C6C" w:rsidP="00052BEA">
      <w:pPr>
        <w:spacing w:line="360" w:lineRule="auto"/>
        <w:rPr>
          <w:rFonts w:cs="Arial"/>
        </w:rPr>
      </w:pPr>
      <w:r>
        <w:rPr>
          <w:rFonts w:cs="Arial"/>
        </w:rPr>
        <w:t xml:space="preserve">Although it is most likely that TTP is related to neurovascular coupling given the association with group mean differences in MTT, there may be </w:t>
      </w:r>
      <w:r w:rsidR="00052BEA" w:rsidRPr="00052BEA">
        <w:rPr>
          <w:rFonts w:cs="Arial"/>
        </w:rPr>
        <w:t xml:space="preserve">a non-local factor </w:t>
      </w:r>
      <w:r w:rsidR="00052BEA" w:rsidRPr="00052BEA">
        <w:rPr>
          <w:rFonts w:cs="Arial"/>
        </w:rPr>
        <w:lastRenderedPageBreak/>
        <w:t>contribut</w:t>
      </w:r>
      <w:r>
        <w:rPr>
          <w:rFonts w:cs="Arial"/>
        </w:rPr>
        <w:t>ing</w:t>
      </w:r>
      <w:r w:rsidR="00052BEA" w:rsidRPr="00052BEA">
        <w:rPr>
          <w:rFonts w:cs="Arial"/>
        </w:rPr>
        <w:t xml:space="preserve"> to a shorter TTP. Possible explanatory variables could be BP or pulse rate; however, we found no significant difference between pulse, systolic or diastolic blood pressure in the subgroup analysis.  There was no significant difference between arrival or departure blood glucose measurements.  Therefore, it is possible that there may be an unmeasured causative variable contributing to earlier bolus arrival time and faster TTP in the RINS and the POWM. </w:t>
      </w:r>
    </w:p>
    <w:p w14:paraId="31F83687" w14:textId="630B4DFD" w:rsidR="00052BEA" w:rsidRPr="00052BEA" w:rsidRDefault="00052BEA" w:rsidP="00052BEA">
      <w:pPr>
        <w:spacing w:line="360" w:lineRule="auto"/>
        <w:rPr>
          <w:rFonts w:cs="Arial"/>
        </w:rPr>
      </w:pPr>
      <w:r w:rsidRPr="00052BEA">
        <w:rPr>
          <w:rFonts w:cs="Arial"/>
        </w:rPr>
        <w:t xml:space="preserve">Factors other than neurovascular coupling which may contribute to shorter TTP are other cerebrovascular autoregulators, such as vascular smooth muscle constriction to pressure and flow in arteries and arterioles, chemosensitivity to PaC02, and autonomic responses in the cerebral inflow vessels </w:t>
      </w:r>
      <w:r w:rsidRPr="00052BEA">
        <w:rPr>
          <w:rFonts w:cs="Arial"/>
        </w:rPr>
        <w:fldChar w:fldCharType="begin"/>
      </w:r>
      <w:r w:rsidRPr="00052BEA">
        <w:rPr>
          <w:rFonts w:cs="Arial"/>
        </w:rPr>
        <w:instrText xml:space="preserve"> ADDIN EN.CITE &lt;EndNote&gt;&lt;Cite&gt;&lt;Author&gt;Toth&lt;/Author&gt;&lt;Year&gt;2017&lt;/Year&gt;&lt;IDText&gt;Functional vascular contributions to cognitive impairment and dementia: mechanisms and consequences of cerebral autoregulatory dysfunction, endothelial impairment, and neurovascular uncoupling in aging&lt;/IDText&gt;&lt;DisplayText&gt;(Toth et al., 2017)&lt;/DisplayText&gt;&lt;record&gt;&lt;keywords&gt;&lt;keyword&gt;Endothelium -- Physiological Aspects&lt;/keyword&gt;&lt;keyword&gt;Aging (Biology) -- Physiological Aspects&lt;/keyword&gt;&lt;keyword&gt;Dementia -- Physiological Aspects&lt;/keyword&gt;&lt;/keywords&gt;&lt;isbn&gt;0363-6135&amp;#xD;00029513&lt;/isbn&gt;&lt;titles&gt;&lt;title&gt;Functional vascular contributions to cognitive impairment and dementia: mechanisms and consequences of cerebral autoregulatory dysfunction, endothelial impairment, and neurovascular uncoupling in aging&lt;/title&gt;&lt;secondary-title&gt;Am. J. Physiol.-Heart Circul. Physiol.&lt;/secondary-title&gt;&lt;/titles&gt;&lt;pages&gt;H1-H20&lt;/pages&gt;&lt;number&gt;1&lt;/number&gt;&lt;contributors&gt;&lt;authors&gt;&lt;author&gt;Toth, P.&lt;/author&gt;&lt;author&gt;Tarantini, S.&lt;/author&gt;&lt;author&gt;Csiszar, A.&lt;/author&gt;&lt;author&gt;Ungvari, Z.&lt;/author&gt;&lt;/authors&gt;&lt;/contributors&gt;&lt;added-date format="utc"&gt;1595512981&lt;/added-date&gt;&lt;ref-type name="Journal Article"&gt;17&lt;/ref-type&gt;&lt;dates&gt;&lt;year&gt;2017&lt;/year&gt;&lt;/dates&gt;&lt;rec-number&gt;1262&lt;/rec-number&gt;&lt;last-updated-date format="utc"&gt;1595512981&lt;/last-updated-date&gt;&lt;electronic-resource-num&gt;10.1152/ajpheart.00581.2016&lt;/electronic-resource-num&gt;&lt;volume&gt;312&lt;/volume&gt;&lt;/record&gt;&lt;/Cite&gt;&lt;/EndNote&gt;</w:instrText>
      </w:r>
      <w:r w:rsidRPr="00052BEA">
        <w:rPr>
          <w:rFonts w:cs="Arial"/>
        </w:rPr>
        <w:fldChar w:fldCharType="separate"/>
      </w:r>
      <w:r w:rsidRPr="00052BEA">
        <w:rPr>
          <w:rFonts w:cs="Arial"/>
          <w:noProof/>
        </w:rPr>
        <w:t>(Toth et al., 2017)</w:t>
      </w:r>
      <w:r w:rsidRPr="00052BEA">
        <w:rPr>
          <w:rFonts w:cs="Arial"/>
        </w:rPr>
        <w:fldChar w:fldCharType="end"/>
      </w:r>
      <w:r w:rsidRPr="00052BEA">
        <w:rPr>
          <w:rFonts w:cs="Arial"/>
        </w:rPr>
        <w:t xml:space="preserve">.  The response to these factors is termed cerebrovascular reactivity.  Cerebrovascular reactivity is the unique system by which the cerebral macrovascular circulation regulates perfusion, such that adequate supplies of oxygen and glucose are maintained, whilst protecting against increases in pressure and flow that may harm delicate end artery structures or increase volume in an enclosed space </w:t>
      </w:r>
      <w:r w:rsidRPr="00052BEA">
        <w:rPr>
          <w:rFonts w:cs="Arial"/>
        </w:rPr>
        <w:fldChar w:fldCharType="begin"/>
      </w:r>
      <w:r w:rsidRPr="00052BEA">
        <w:rPr>
          <w:rFonts w:cs="Arial"/>
        </w:rPr>
        <w:instrText xml:space="preserve"> ADDIN EN.CITE &lt;EndNote&gt;&lt;Cite&gt;&lt;Author&gt;Koller&lt;/Author&gt;&lt;Year&gt;2012&lt;/Year&gt;&lt;IDText&gt;Contribution of Flow-Dependent Vasomotor Mechanisms to the Autoregulation of Cerebral Blood Flow&lt;/IDText&gt;&lt;DisplayText&gt;(Koller and Toth, 2012)&lt;/DisplayText&gt;&lt;record&gt;&lt;keywords&gt;&lt;keyword&gt;Cerebral blood flow&lt;/keyword&gt;&lt;keyword&gt;Flow-induced responses&lt;/keyword&gt;&lt;keyword&gt;Myogenic mechanisms&lt;/keyword&gt;&lt;keyword&gt;Autoregulation&lt;/keyword&gt;&lt;keyword&gt;Hemodynamic forces&lt;/keyword&gt;&lt;/keywords&gt;&lt;isbn&gt;1018-1172&lt;/isbn&gt;&lt;titles&gt;&lt;title&gt;Contribution of Flow-Dependent Vasomotor Mechanisms to the Autoregulation of Cerebral Blood Flow&lt;/title&gt;&lt;secondary-title&gt;J. Vasc. Res.&lt;/secondary-title&gt;&lt;/titles&gt;&lt;pages&gt;375-389&lt;/pages&gt;&lt;number&gt;5&lt;/number&gt;&lt;contributors&gt;&lt;authors&gt;&lt;author&gt;Koller, A.&lt;/author&gt;&lt;author&gt;Toth, P.&lt;/author&gt;&lt;/authors&gt;&lt;/contributors&gt;&lt;added-date format="utc"&gt;1595512907&lt;/added-date&gt;&lt;ref-type name="Journal Article"&gt;17&lt;/ref-type&gt;&lt;dates&gt;&lt;year&gt;2012&lt;/year&gt;&lt;/dates&gt;&lt;rec-number&gt;1261&lt;/rec-number&gt;&lt;last-updated-date format="utc"&gt;1595512907&lt;/last-updated-date&gt;&lt;electronic-resource-num&gt;10.1159/000338747&lt;/electronic-resource-num&gt;&lt;volume&gt;49&lt;/volume&gt;&lt;/record&gt;&lt;/Cite&gt;&lt;/EndNote&gt;</w:instrText>
      </w:r>
      <w:r w:rsidRPr="00052BEA">
        <w:rPr>
          <w:rFonts w:cs="Arial"/>
        </w:rPr>
        <w:fldChar w:fldCharType="separate"/>
      </w:r>
      <w:r w:rsidRPr="00052BEA">
        <w:rPr>
          <w:rFonts w:cs="Arial"/>
          <w:noProof/>
        </w:rPr>
        <w:t>(Koller and Toth, 2012)</w:t>
      </w:r>
      <w:r w:rsidRPr="00052BEA">
        <w:rPr>
          <w:rFonts w:cs="Arial"/>
        </w:rPr>
        <w:fldChar w:fldCharType="end"/>
      </w:r>
      <w:r w:rsidRPr="00052BEA">
        <w:rPr>
          <w:rFonts w:cs="Arial"/>
        </w:rPr>
        <w:t>.  When cerebrovascular reactivity</w:t>
      </w:r>
      <w:r w:rsidR="002E5A5D">
        <w:rPr>
          <w:rFonts w:cs="Arial"/>
        </w:rPr>
        <w:t xml:space="preserve"> (CVR)</w:t>
      </w:r>
      <w:r w:rsidRPr="00052BEA">
        <w:rPr>
          <w:rFonts w:cs="Arial"/>
        </w:rPr>
        <w:t xml:space="preserve"> is impaired RBF cannot be lowered by decreasing the radius of the blood vessels (Poiseuille's Law) and therefore higher flows are transmitted to structures further from the base of the brain.  Long term T1D has been reported to be associated with abnormal CVR and increased RBF in the large vessels </w:t>
      </w:r>
      <w:r w:rsidRPr="00052BEA">
        <w:rPr>
          <w:rFonts w:cs="Arial"/>
        </w:rPr>
        <w:fldChar w:fldCharType="begin"/>
      </w:r>
      <w:r w:rsidRPr="00052BEA">
        <w:rPr>
          <w:rFonts w:cs="Arial"/>
        </w:rPr>
        <w:instrText xml:space="preserve"> ADDIN EN.CITE &lt;EndNote&gt;&lt;Cite&gt;&lt;Author&gt;Siró&lt;/Author&gt;&lt;Year&gt;2009&lt;/Year&gt;&lt;IDText&gt;Carotid intima</w:instrText>
      </w:r>
      <w:r w:rsidRPr="00052BEA">
        <w:rPr>
          <w:rFonts w:ascii="Cambria Math" w:hAnsi="Cambria Math" w:cs="Cambria Math"/>
        </w:rPr>
        <w:instrText>‐</w:instrText>
      </w:r>
      <w:r w:rsidRPr="00052BEA">
        <w:rPr>
          <w:rFonts w:cs="Arial"/>
        </w:rPr>
        <w:instrText>media thickness and cerebrovascular reactivity in long</w:instrText>
      </w:r>
      <w:r w:rsidRPr="00052BEA">
        <w:rPr>
          <w:rFonts w:ascii="Cambria Math" w:hAnsi="Cambria Math" w:cs="Cambria Math"/>
        </w:rPr>
        <w:instrText>‐</w:instrText>
      </w:r>
      <w:r w:rsidRPr="00052BEA">
        <w:rPr>
          <w:rFonts w:cs="Arial"/>
        </w:rPr>
        <w:instrText>term type 1 diabetes mellitus&lt;/IDText&gt;&lt;DisplayText&gt;(Siró et al., 2009)&lt;/DisplayText&gt;&lt;record&gt;&lt;keywords&gt;&lt;keyword&gt;Iddm&lt;/keyword&gt;&lt;keyword&gt;Intima</w:instrText>
      </w:r>
      <w:r w:rsidRPr="00052BEA">
        <w:rPr>
          <w:rFonts w:ascii="Cambria Math" w:hAnsi="Cambria Math" w:cs="Cambria Math"/>
        </w:rPr>
        <w:instrText>‐</w:instrText>
      </w:r>
      <w:r w:rsidRPr="00052BEA">
        <w:rPr>
          <w:rFonts w:cs="Arial"/>
        </w:rPr>
        <w:instrText>Media Thickness&lt;/keyword&gt;&lt;keyword&gt;Cerebral Vasoreactivity&lt;/keyword&gt;&lt;keyword&gt;Transcranial Doppler&lt;/keyword&gt;&lt;keyword&gt;Cerebral Macro</w:instrText>
      </w:r>
      <w:r w:rsidRPr="00052BEA">
        <w:rPr>
          <w:rFonts w:ascii="Cambria Math" w:hAnsi="Cambria Math" w:cs="Cambria Math"/>
        </w:rPr>
        <w:instrText>‐</w:instrText>
      </w:r>
      <w:r w:rsidRPr="00052BEA">
        <w:rPr>
          <w:rFonts w:cs="Arial"/>
        </w:rPr>
        <w:instrText>&lt;/keyword&gt;&lt;keyword&gt;And Microangiopathy&lt;/keyword&gt;&lt;/keywords&gt;&lt;isbn&gt;0091-2751&lt;/isbn&gt;&lt;titles&gt;&lt;title&gt;Carotid intima</w:instrText>
      </w:r>
      <w:r w:rsidRPr="00052BEA">
        <w:rPr>
          <w:rFonts w:ascii="Cambria Math" w:hAnsi="Cambria Math" w:cs="Cambria Math"/>
        </w:rPr>
        <w:instrText>‐</w:instrText>
      </w:r>
      <w:r w:rsidRPr="00052BEA">
        <w:rPr>
          <w:rFonts w:cs="Arial"/>
        </w:rPr>
        <w:instrText>media thickness and cerebrovascular reactivity in long</w:instrText>
      </w:r>
      <w:r w:rsidRPr="00052BEA">
        <w:rPr>
          <w:rFonts w:ascii="Cambria Math" w:hAnsi="Cambria Math" w:cs="Cambria Math"/>
        </w:rPr>
        <w:instrText>‐</w:instrText>
      </w:r>
      <w:r w:rsidRPr="00052BEA">
        <w:rPr>
          <w:rFonts w:cs="Arial"/>
        </w:rPr>
        <w:instrText>term type 1 diabetes mellitus&lt;/title&gt;&lt;secondary-title&gt;Journal of Clinical Ultrasound&lt;/secondary-title&gt;&lt;/titles&gt;&lt;pages&gt;451-456&lt;/pages&gt;&lt;number&gt;8&lt;/number&gt;&lt;contributors&gt;&lt;authors&gt;&lt;author&gt;Siró, P&lt;/author&gt;&lt;author&gt;Molnár, C&lt;/author&gt;&lt;author&gt;Katona, É&lt;/author&gt;&lt;author&gt;Antek, C&lt;/author&gt;&lt;author&gt;Kollár, J&lt;/author&gt;&lt;author&gt;Settakis, G&lt;/author&gt;&lt;author&gt;Fülesdi, B&lt;/author&gt;&lt;/authors&gt;&lt;/contributors&gt;&lt;added-date format="utc"&gt;1595514862&lt;/added-date&gt;&lt;pub-location&gt;Hoboken&lt;/pub-location&gt;&lt;ref-type name="Journal Article"&gt;17&lt;/ref-type&gt;&lt;dates&gt;&lt;year&gt;2009&lt;/year&gt;&lt;/dates&gt;&lt;rec-number&gt;1267&lt;/rec-number&gt;&lt;last-updated-date format="utc"&gt;1595514912&lt;/last-updated-date&gt;&lt;electronic-resource-num&gt;10.1002/jcu.20617&lt;/electronic-resource-num&gt;&lt;volume&gt;37&lt;/volume&gt;&lt;/record&gt;&lt;/Cite&gt;&lt;/EndNote&gt;</w:instrText>
      </w:r>
      <w:r w:rsidRPr="00052BEA">
        <w:rPr>
          <w:rFonts w:cs="Arial"/>
        </w:rPr>
        <w:fldChar w:fldCharType="separate"/>
      </w:r>
      <w:r w:rsidRPr="00052BEA">
        <w:rPr>
          <w:rFonts w:cs="Arial"/>
          <w:noProof/>
        </w:rPr>
        <w:t>(Siró et al., 2009)</w:t>
      </w:r>
      <w:r w:rsidRPr="00052BEA">
        <w:rPr>
          <w:rFonts w:cs="Arial"/>
        </w:rPr>
        <w:fldChar w:fldCharType="end"/>
      </w:r>
      <w:r w:rsidRPr="00052BEA">
        <w:rPr>
          <w:rFonts w:cs="Arial"/>
        </w:rPr>
        <w:t xml:space="preserve">.  Our group has previously demonstrated a significant decrease in cerebrovascular reactivity (CVR) in T2D and a higher </w:t>
      </w:r>
      <w:proofErr w:type="spellStart"/>
      <w:r w:rsidRPr="00052BEA">
        <w:rPr>
          <w:rFonts w:cs="Arial"/>
        </w:rPr>
        <w:t>pulsatility</w:t>
      </w:r>
      <w:proofErr w:type="spellEnd"/>
      <w:r w:rsidRPr="00052BEA">
        <w:rPr>
          <w:rFonts w:cs="Arial"/>
        </w:rPr>
        <w:t xml:space="preserve"> index in those with complications, indicating diabetes may be  a significant contributor to decreased cerebrovascular reactivity </w:t>
      </w:r>
      <w:r w:rsidRPr="00052BEA">
        <w:rPr>
          <w:rFonts w:cs="Arial"/>
        </w:rPr>
        <w:fldChar w:fldCharType="begin"/>
      </w:r>
      <w:r w:rsidRPr="00052BEA">
        <w:rPr>
          <w:rFonts w:cs="Arial"/>
        </w:rPr>
        <w:instrText xml:space="preserve"> ADDIN EN.CITE &lt;EndNote&gt;&lt;Cite&gt;&lt;Author&gt;Selvarajah&lt;/Author&gt;&lt;Year&gt;2016&lt;/Year&gt;&lt;IDText&gt;A preliminary study of brain macrovascular reactivity in impaired glucose tolerance and type-2 diabetes: Quantitative internal carotid artery blood flow using magnetic resonance phase contrast angiography&lt;/IDText&gt;&lt;DisplayText&gt;(Selvarajah et al., 2016)&lt;/DisplayText&gt;&lt;record&gt;&lt;titles&gt;&lt;title&gt;A preliminary study of brain macrovascular reactivity in impaired glucose tolerance and type-2 diabetes: Quantitative internal carotid artery blood flow using magnetic resonance phase contrast angiography&lt;/title&gt;&lt;/titles&gt;&lt;contributors&gt;&lt;authors&gt;&lt;author&gt;Selvarajah, D.&lt;/author&gt;&lt;author&gt;Hughes, T.&lt;/author&gt;&lt;author&gt;Reeves, J.&lt;/author&gt;&lt;author&gt;Boland, E.&lt;/author&gt;&lt;author&gt;Marques, J.&lt;/author&gt;&lt;author&gt;Gandhi, R.&lt;/author&gt;&lt;author&gt;Griffiths, P. D.&lt;/author&gt;&lt;author&gt;Tesfaye, S.&lt;/author&gt;&lt;author&gt;Wilkinson, I. D.&lt;/author&gt;&lt;/authors&gt;&lt;/contributors&gt;&lt;added-date format="utc"&gt;1595513339&lt;/added-date&gt;&lt;ref-type name="Journal Article"&gt;17&lt;/ref-type&gt;&lt;dates&gt;&lt;year&gt;2016&lt;/year&gt;&lt;/dates&gt;&lt;rec-number&gt;1264&lt;/rec-number&gt;&lt;publisher&gt;SAGE Publications&lt;/publisher&gt;&lt;last-updated-date format="utc"&gt;1595513339&lt;/last-updated-date&gt;&lt;/record&gt;&lt;/Cite&gt;&lt;/EndNote&gt;</w:instrText>
      </w:r>
      <w:r w:rsidRPr="00052BEA">
        <w:rPr>
          <w:rFonts w:cs="Arial"/>
        </w:rPr>
        <w:fldChar w:fldCharType="separate"/>
      </w:r>
      <w:r w:rsidRPr="00052BEA">
        <w:rPr>
          <w:rFonts w:cs="Arial"/>
          <w:noProof/>
        </w:rPr>
        <w:t>(Selvarajah et al., 2016)</w:t>
      </w:r>
      <w:r w:rsidRPr="00052BEA">
        <w:rPr>
          <w:rFonts w:cs="Arial"/>
        </w:rPr>
        <w:fldChar w:fldCharType="end"/>
      </w:r>
      <w:r w:rsidRPr="00052BEA">
        <w:rPr>
          <w:rFonts w:cs="Arial"/>
        </w:rPr>
        <w:t xml:space="preserve">.  It is tenable that the P+ patients have a higher burden of disease as they have a higher Hba1c, and therefore may be more likely to have impaired CVR.  This would lead to higher flow rates and therefore shorter TTP in the arteries and arterioles supplying the ROI, contributing to a faster TTP.  The AIF would account for the change in CVR and therefore there would be no differences in MTT, RBV or RBF. </w:t>
      </w:r>
    </w:p>
    <w:p w14:paraId="1A50A194" w14:textId="101E6528" w:rsidR="00052BEA" w:rsidRPr="00052BEA" w:rsidRDefault="00052BEA" w:rsidP="00052BEA">
      <w:pPr>
        <w:spacing w:line="360" w:lineRule="auto"/>
        <w:rPr>
          <w:rFonts w:cs="Arial"/>
        </w:rPr>
      </w:pPr>
      <w:r w:rsidRPr="00052BEA">
        <w:rPr>
          <w:rFonts w:cs="Arial"/>
        </w:rPr>
        <w:t xml:space="preserve">Autonomic dysfunction is a specific cause of decreased cerebrovascular reactivity leading to an increase in RBF. It has been reported that reversible sympathetic block or ganglion excision has resulted in increased CBF in major cerebral vessels in 8 studies, with equivocal results in 3 studies, and a decrease in only one study </w:t>
      </w:r>
      <w:r w:rsidRPr="00052BEA">
        <w:rPr>
          <w:rFonts w:cs="Arial"/>
        </w:rPr>
        <w:fldChar w:fldCharType="begin"/>
      </w:r>
      <w:r w:rsidRPr="00052BEA">
        <w:rPr>
          <w:rFonts w:cs="Arial"/>
        </w:rPr>
        <w:instrText xml:space="preserve"> ADDIN EN.CITE &lt;EndNote&gt;&lt;Cite&gt;&lt;Author&gt;Willie&lt;/Author&gt;&lt;Year&gt;2014&lt;/Year&gt;&lt;IDText&gt;Integrative regulation of human brain blood flow&lt;/IDText&gt;&lt;DisplayText&gt;(Willie et al., 2014)&lt;/DisplayText&gt;&lt;record&gt;&lt;keywords&gt;&lt;keyword&gt;Autonomic Nervous System–Physiology&lt;/keyword&gt;&lt;keyword&gt;Blood Flow Velocity–Physiology&lt;/keyword&gt;&lt;keyword&gt;Blood Pressure–Physiology&lt;/keyword&gt;&lt;keyword&gt;Brain–Physiology&lt;/keyword&gt;&lt;keyword&gt;Cerebrovascular Circulation–Physiology&lt;/keyword&gt;&lt;keyword&gt;Feedback, Physiological–Physiology&lt;/keyword&gt;&lt;keyword&gt;Humans–Physiology&lt;/keyword&gt;&lt;keyword&gt;Models, Cardiovascular–Physiology&lt;/keyword&gt;&lt;keyword&gt;Neurons–Physiology&lt;/keyword&gt;&lt;keyword&gt;Pulmonary Gas Exchange–Physiology&lt;/keyword&gt;&lt;/keywords&gt;&lt;isbn&gt;0022-3751&lt;/isbn&gt;&lt;titles&gt;&lt;title&gt;Integrative regulation of human brain blood flow&lt;/title&gt;&lt;/titles&gt;&lt;pages&gt;841-859&lt;/pages&gt;&lt;contributors&gt;&lt;authors&gt;&lt;author&gt;Willie, C. K.&lt;/author&gt;&lt;author&gt;Tzeng, Y.&lt;/author&gt;&lt;author&gt;Fisher, J.&lt;/author&gt;&lt;author&gt;Ainslie, P.&lt;/author&gt;&lt;/authors&gt;&lt;/contributors&gt;&lt;added-date format="utc"&gt;1595514656&lt;/added-date&gt;&lt;ref-type name="Generic"&gt;13&lt;/ref-type&gt;&lt;dates&gt;&lt;year&gt;2014&lt;/year&gt;&lt;/dates&gt;&lt;rec-number&gt;1266&lt;/rec-number&gt;&lt;last-updated-date format="utc"&gt;1595514709&lt;/last-updated-date&gt;&lt;electronic-resource-num&gt;10.1113/jphysiol.2013.268953&lt;/electronic-resource-num&gt;&lt;volume&gt;592&lt;/volume&gt;&lt;/record&gt;&lt;/Cite&gt;&lt;/EndNote&gt;</w:instrText>
      </w:r>
      <w:r w:rsidRPr="00052BEA">
        <w:rPr>
          <w:rFonts w:cs="Arial"/>
        </w:rPr>
        <w:fldChar w:fldCharType="separate"/>
      </w:r>
      <w:r w:rsidRPr="00052BEA">
        <w:rPr>
          <w:rFonts w:cs="Arial"/>
          <w:noProof/>
        </w:rPr>
        <w:t>(Willie et al., 2014)</w:t>
      </w:r>
      <w:r w:rsidRPr="00052BEA">
        <w:rPr>
          <w:rFonts w:cs="Arial"/>
        </w:rPr>
        <w:fldChar w:fldCharType="end"/>
      </w:r>
      <w:r w:rsidRPr="00052BEA">
        <w:rPr>
          <w:rFonts w:cs="Arial"/>
        </w:rPr>
        <w:t xml:space="preserve">.  A study of subjects with T1D found that those with signs of cardiac </w:t>
      </w:r>
      <w:r w:rsidRPr="00052BEA">
        <w:rPr>
          <w:rFonts w:cs="Arial"/>
        </w:rPr>
        <w:lastRenderedPageBreak/>
        <w:t xml:space="preserve">autonomic neuropathy were significantly more likely to have reduced dynamic cerebral autoregulation </w:t>
      </w:r>
      <w:r w:rsidRPr="00052BEA">
        <w:rPr>
          <w:rFonts w:cs="Arial"/>
        </w:rPr>
        <w:fldChar w:fldCharType="begin"/>
      </w:r>
      <w:r w:rsidRPr="00052BEA">
        <w:rPr>
          <w:rFonts w:cs="Arial"/>
        </w:rPr>
        <w:instrText xml:space="preserve"> ADDIN EN.CITE &lt;EndNote&gt;&lt;Cite&gt;&lt;Author&gt;Nasr&lt;/Author&gt;&lt;Year&gt;2011&lt;/Year&gt;&lt;IDText&gt;Autonomic neuropathy is associated with impairment of dynamic cerebral autoregulation in type 1 diabetes&lt;/IDText&gt;&lt;DisplayText&gt;(Nasr et al., 2011)&lt;/DisplayText&gt;&lt;record&gt;&lt;keywords&gt;&lt;keyword&gt;Autonomic Neuropathy&lt;/keyword&gt;&lt;keyword&gt;Type 1 Diabetes&lt;/keyword&gt;&lt;keyword&gt;Cerebral Circulation&lt;/keyword&gt;&lt;keyword&gt;Transcranial Doppler&lt;/keyword&gt;&lt;keyword&gt;Cerebrovascular Disease/Stroke&lt;/keyword&gt;&lt;keyword&gt;Autonomic Neuropathy&lt;/keyword&gt;&lt;keyword&gt;Type 1 Diabetes&lt;/keyword&gt;&lt;keyword&gt;Cerebral Circulation&lt;/keyword&gt;&lt;keyword&gt;Transcranial Doppler&lt;/keyword&gt;&lt;keyword&gt;Cerebrovascular Disease/Stroke&lt;/keyword&gt;&lt;keyword&gt;Anatomy &amp;amp; Physiology&lt;/keyword&gt;&lt;/keywords&gt;&lt;isbn&gt;1566-0702&lt;/isbn&gt;&lt;titles&gt;&lt;title&gt;Autonomic neuropathy is associated with impairment of dynamic cerebral autoregulation in type 1 diabetes&lt;/title&gt;&lt;secondary-title&gt;Autonomic Neuroscience: Basic and Clinical&lt;/secondary-title&gt;&lt;/titles&gt;&lt;pages&gt;59-63&lt;/pages&gt;&lt;number&gt;1-2&lt;/number&gt;&lt;contributors&gt;&lt;authors&gt;&lt;author&gt;Nasr, N.&lt;/author&gt;&lt;author&gt;Czosnyka, M.&lt;/author&gt;&lt;author&gt;Arevalo, F.&lt;/author&gt;&lt;author&gt;Hanaire, H.&lt;/author&gt;&lt;author&gt;Guidolin, B.&lt;/author&gt;&lt;author&gt;Larrue, V.&lt;/author&gt;&lt;/authors&gt;&lt;/contributors&gt;&lt;added-date format="utc"&gt;1595513018&lt;/added-date&gt;&lt;ref-type name="Journal Article"&gt;17&lt;/ref-type&gt;&lt;dates&gt;&lt;year&gt;2011&lt;/year&gt;&lt;/dates&gt;&lt;rec-number&gt;1263&lt;/rec-number&gt;&lt;last-updated-date format="utc"&gt;1595513018&lt;/last-updated-date&gt;&lt;electronic-resource-num&gt;10.1016/j.autneu.2010.10.001&lt;/electronic-resource-num&gt;&lt;volume&gt;160&lt;/volume&gt;&lt;/record&gt;&lt;/Cite&gt;&lt;/EndNote&gt;</w:instrText>
      </w:r>
      <w:r w:rsidRPr="00052BEA">
        <w:rPr>
          <w:rFonts w:cs="Arial"/>
        </w:rPr>
        <w:fldChar w:fldCharType="separate"/>
      </w:r>
      <w:r w:rsidRPr="00052BEA">
        <w:rPr>
          <w:rFonts w:cs="Arial"/>
          <w:noProof/>
        </w:rPr>
        <w:t>(Nasr et al., 2011)</w:t>
      </w:r>
      <w:r w:rsidRPr="00052BEA">
        <w:rPr>
          <w:rFonts w:cs="Arial"/>
        </w:rPr>
        <w:fldChar w:fldCharType="end"/>
      </w:r>
      <w:r w:rsidRPr="00052BEA">
        <w:rPr>
          <w:rFonts w:cs="Arial"/>
        </w:rPr>
        <w:t xml:space="preserve">.  In our study there was a higher rate of autonomic neuropathy by O’Brien’s score in the P-DPN group compared with DM-NN and HV, although there was not a statistically significant difference between the group means of the P+ and P- groups.  Failure of sympathetic vasoconstriction is a possible candidate for contribution to an shorter TTP in the P+ group, as autonomic neuropathy is frequently associated with painful neuropathy </w:t>
      </w:r>
      <w:r w:rsidRPr="00052BEA">
        <w:rPr>
          <w:rFonts w:cs="Arial"/>
        </w:rPr>
        <w:fldChar w:fldCharType="begin"/>
      </w:r>
      <w:r w:rsidRPr="00052BEA">
        <w:rPr>
          <w:rFonts w:cs="Arial"/>
        </w:rPr>
        <w:instrText xml:space="preserve"> ADDIN EN.CITE &lt;EndNote&gt;&lt;Cite&gt;&lt;Author&gt;Gandhi&lt;/Author&gt;&lt;Year&gt;2010&lt;/Year&gt;&lt;IDText&gt;Painful Diabetic Neuropathy Is Associated With Greater Autonomic Dysfunction Than Painless Diabetic Neuropathy&lt;/IDText&gt;&lt;DisplayText&gt;(Gandhi et al., 2010)&lt;/DisplayText&gt;&lt;record&gt;&lt;dates&gt;&lt;pub-dates&gt;&lt;date&gt;Jul&lt;/date&gt;&lt;/pub-dates&gt;&lt;year&gt;2010&lt;/year&gt;&lt;/dates&gt;&lt;urls&gt;&lt;related-urls&gt;&lt;url&gt;&amp;lt;Go to ISI&amp;gt;://WOS:000282356800034&lt;/url&gt;&lt;/related-urls&gt;&lt;/urls&gt;&lt;isbn&gt;0149-5992&lt;/isbn&gt;&lt;titles&gt;&lt;title&gt;Painful Diabetic Neuropathy Is Associated With Greater Autonomic Dysfunction Than Painless Diabetic Neuropathy&lt;/title&gt;&lt;secondary-title&gt;Diabetes Care&lt;/secondary-title&gt;&lt;/titles&gt;&lt;number&gt;7&lt;/number&gt;&lt;contributors&gt;&lt;authors&gt;&lt;author&gt;Gandhi, Rajiv A.&lt;/author&gt;&lt;author&gt;Marques, Jefferson L. B.&lt;/author&gt;&lt;author&gt;Selvarajah, Dinesh&lt;/author&gt;&lt;author&gt;Emery, Celia J.&lt;/author&gt;&lt;author&gt;Tesfaye, Solomon&lt;/author&gt;&lt;/authors&gt;&lt;/contributors&gt;&lt;added-date format="utc"&gt;1353615671&lt;/added-date&gt;&lt;ref-type name="Journal Article"&gt;17&lt;/ref-type&gt;&lt;rec-number&gt;334&lt;/rec-number&gt;&lt;last-updated-date format="utc"&gt;1556618379&lt;/last-updated-date&gt;&lt;accession-num&gt;WOS:000282356800034&lt;/accession-num&gt;&lt;electronic-resource-num&gt;10.2337/dc09-2314&lt;/electronic-resource-num&gt;&lt;volume&gt;33&lt;/volume&gt;&lt;/record&gt;&lt;/Cite&gt;&lt;/EndNote&gt;</w:instrText>
      </w:r>
      <w:r w:rsidRPr="00052BEA">
        <w:rPr>
          <w:rFonts w:cs="Arial"/>
        </w:rPr>
        <w:fldChar w:fldCharType="separate"/>
      </w:r>
      <w:r w:rsidRPr="00052BEA">
        <w:rPr>
          <w:rFonts w:cs="Arial"/>
          <w:noProof/>
        </w:rPr>
        <w:t>(Gandhi et al., 2010)</w:t>
      </w:r>
      <w:r w:rsidRPr="00052BEA">
        <w:rPr>
          <w:rFonts w:cs="Arial"/>
        </w:rPr>
        <w:fldChar w:fldCharType="end"/>
      </w:r>
      <w:r w:rsidRPr="00052BEA">
        <w:rPr>
          <w:rFonts w:cs="Arial"/>
        </w:rPr>
        <w:t xml:space="preserve"> and both are seen in conjunction with a higher Hba1c </w:t>
      </w:r>
      <w:r w:rsidRPr="00052BEA">
        <w:rPr>
          <w:rFonts w:cs="Arial"/>
        </w:rPr>
        <w:fldChar w:fldCharType="begin">
          <w:fldData xml:space="preserve">PEVuZE5vdGU+PENpdGU+PEF1dGhvcj5aaWVnbGVyPC9BdXRob3I+PFllYXI+MjAwOTwvWWVhcj48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</w:fldData>
        </w:fldChar>
      </w:r>
      <w:r w:rsidR="00D06F2D">
        <w:rPr>
          <w:rFonts w:cs="Arial"/>
        </w:rPr>
        <w:instrText xml:space="preserve"> ADDIN EN.CITE </w:instrText>
      </w:r>
      <w:r w:rsidR="00D06F2D">
        <w:rPr>
          <w:rFonts w:cs="Arial"/>
        </w:rPr>
        <w:fldChar w:fldCharType="begin">
          <w:fldData xml:space="preserve">PEVuZE5vdGU+PENpdGU+PEF1dGhvcj5aaWVnbGVyPC9BdXRob3I+PFllYXI+MjAwOTwvWWVhcj48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</w:fldData>
        </w:fldChar>
      </w:r>
      <w:r w:rsidR="00D06F2D">
        <w:rPr>
          <w:rFonts w:cs="Arial"/>
        </w:rPr>
        <w:instrText xml:space="preserve"> ADDIN EN.CITE.DATA </w:instrText>
      </w:r>
      <w:r w:rsidR="00D06F2D">
        <w:rPr>
          <w:rFonts w:cs="Arial"/>
        </w:rPr>
      </w:r>
      <w:r w:rsidR="00D06F2D">
        <w:rPr>
          <w:rFonts w:cs="Arial"/>
        </w:rPr>
        <w:fldChar w:fldCharType="end"/>
      </w:r>
      <w:r w:rsidRPr="00052BEA">
        <w:rPr>
          <w:rFonts w:cs="Arial"/>
        </w:rPr>
      </w:r>
      <w:r w:rsidRPr="00052BEA">
        <w:rPr>
          <w:rFonts w:cs="Arial"/>
        </w:rPr>
        <w:fldChar w:fldCharType="separate"/>
      </w:r>
      <w:r w:rsidR="00D06F2D">
        <w:rPr>
          <w:rFonts w:cs="Arial"/>
          <w:noProof/>
        </w:rPr>
        <w:t>(Ziegler et al., 2009b, Themistocleous et al., 2016)</w:t>
      </w:r>
      <w:r w:rsidRPr="00052BEA">
        <w:rPr>
          <w:rFonts w:cs="Arial"/>
        </w:rPr>
        <w:fldChar w:fldCharType="end"/>
      </w:r>
      <w:r w:rsidRPr="00052BEA">
        <w:rPr>
          <w:rFonts w:cs="Arial"/>
        </w:rPr>
        <w:t xml:space="preserve">. </w:t>
      </w:r>
    </w:p>
    <w:p w14:paraId="225357A6" w14:textId="77777777" w:rsidR="00052BEA" w:rsidRPr="00052BEA" w:rsidRDefault="00052BEA" w:rsidP="00052BEA">
      <w:pPr>
        <w:spacing w:line="360" w:lineRule="auto"/>
        <w:rPr>
          <w:rFonts w:cs="Arial"/>
        </w:rPr>
      </w:pPr>
      <w:r w:rsidRPr="00052BEA">
        <w:rPr>
          <w:rFonts w:cs="Arial"/>
        </w:rPr>
        <w:t xml:space="preserve">In summary, for the subgroup analysis there was a significant difference between the P+ and HV groups for MTT at the </w:t>
      </w:r>
      <w:proofErr w:type="spellStart"/>
      <w:r w:rsidRPr="00052BEA">
        <w:rPr>
          <w:rFonts w:cs="Arial"/>
        </w:rPr>
        <w:t>RThal</w:t>
      </w:r>
      <w:proofErr w:type="spellEnd"/>
      <w:r w:rsidRPr="00052BEA">
        <w:rPr>
          <w:rFonts w:cs="Arial"/>
        </w:rPr>
        <w:t xml:space="preserve">, which may be explained by </w:t>
      </w:r>
      <w:proofErr w:type="spellStart"/>
      <w:r w:rsidRPr="00052BEA">
        <w:rPr>
          <w:rFonts w:cs="Arial"/>
        </w:rPr>
        <w:t>intrathalamic</w:t>
      </w:r>
      <w:proofErr w:type="spellEnd"/>
      <w:r w:rsidRPr="00052BEA">
        <w:rPr>
          <w:rFonts w:cs="Arial"/>
        </w:rPr>
        <w:t xml:space="preserve"> perfusion differences, involved in the perception of spontaneous pain.  Neurovascular coupling may be causing the effect of faster TTP at the RINS and POWM due to the experience of pain during the scan.  MTT, RBV and RBF may not have shown a subtle difference due to greater variability introduced by AIF generation - this is discussed in Chapter 3.  An alternative explanation for the shorter TTP at the RINS and the POWM, is that it may be due to decreased CVR caused by autonomic neuropathy.  Future work in this area would require a larger number of subjects in the P+ group to increase the power to avoid a type 1 statistical error, and a concurrent measurement of CVR and autonomic dysfunction such as heart rate variability.  </w:t>
      </w:r>
    </w:p>
    <w:p w14:paraId="72564D93" w14:textId="62496A62" w:rsidR="00052BEA" w:rsidRPr="00052BEA" w:rsidRDefault="00052BEA" w:rsidP="00052BEA">
      <w:pPr>
        <w:spacing w:line="360" w:lineRule="auto"/>
        <w:rPr>
          <w:rFonts w:cs="Arial"/>
        </w:rPr>
      </w:pPr>
      <w:r w:rsidRPr="00052BEA">
        <w:rPr>
          <w:rFonts w:cs="Arial"/>
        </w:rPr>
        <w:t xml:space="preserve">There were limitations to the study.  The mean age of the P-DPN group was significantly older than the DPN group.  As we were recruiting patients with </w:t>
      </w:r>
      <w:r w:rsidR="00233478">
        <w:rPr>
          <w:rFonts w:cs="Arial"/>
        </w:rPr>
        <w:t>eGFR</w:t>
      </w:r>
      <w:r w:rsidRPr="00052BEA">
        <w:rPr>
          <w:rFonts w:cs="Arial"/>
        </w:rPr>
        <w:t xml:space="preserve"> &gt;40mls/min/1.73m</w:t>
      </w:r>
      <w:r w:rsidRPr="00052BEA">
        <w:rPr>
          <w:rFonts w:cs="Arial"/>
          <w:vertAlign w:val="superscript"/>
        </w:rPr>
        <w:t>2</w:t>
      </w:r>
      <w:r w:rsidRPr="00052BEA">
        <w:rPr>
          <w:rFonts w:cs="Arial"/>
        </w:rPr>
        <w:t xml:space="preserve">, this may have led to exclusion of subjects with P-DPN who were older due to the association with severity of complications and age </w:t>
      </w:r>
      <w:r w:rsidRPr="00052BEA">
        <w:rPr>
          <w:rFonts w:cs="Arial"/>
        </w:rPr>
        <w:fldChar w:fldCharType="begin">
          <w:fldData xml:space="preserve">PEVuZE5vdGU+PENpdGU+PEF1dGhvcj5UZXNmYXllPC9BdXRob3I+PFllYXI+MTk5NjwvWWVhcj48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</w:fldData>
        </w:fldChar>
      </w:r>
      <w:r w:rsidR="009968E0">
        <w:rPr>
          <w:rFonts w:cs="Arial"/>
        </w:rPr>
        <w:instrText xml:space="preserve"> ADDIN EN.CITE </w:instrText>
      </w:r>
      <w:r w:rsidR="009968E0">
        <w:rPr>
          <w:rFonts w:cs="Arial"/>
        </w:rPr>
        <w:fldChar w:fldCharType="begin">
          <w:fldData xml:space="preserve">PEVuZE5vdGU+PENpdGU+PEF1dGhvcj5UZXNmYXllPC9BdXRob3I+PFllYXI+MTk5NjwvWWVhcj48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</w:fldData>
        </w:fldChar>
      </w:r>
      <w:r w:rsidR="009968E0">
        <w:rPr>
          <w:rFonts w:cs="Arial"/>
        </w:rPr>
        <w:instrText xml:space="preserve"> ADDIN EN.CITE.DATA </w:instrText>
      </w:r>
      <w:r w:rsidR="009968E0">
        <w:rPr>
          <w:rFonts w:cs="Arial"/>
        </w:rPr>
      </w:r>
      <w:r w:rsidR="009968E0">
        <w:rPr>
          <w:rFonts w:cs="Arial"/>
        </w:rPr>
        <w:fldChar w:fldCharType="end"/>
      </w:r>
      <w:r w:rsidRPr="00052BEA">
        <w:rPr>
          <w:rFonts w:cs="Arial"/>
        </w:rPr>
      </w:r>
      <w:r w:rsidRPr="00052BEA">
        <w:rPr>
          <w:rFonts w:cs="Arial"/>
        </w:rPr>
        <w:fldChar w:fldCharType="separate"/>
      </w:r>
      <w:r w:rsidR="009968E0">
        <w:rPr>
          <w:rFonts w:cs="Arial"/>
          <w:noProof/>
        </w:rPr>
        <w:t>(Tesfaye et al., 1996b)</w:t>
      </w:r>
      <w:r w:rsidRPr="00052BEA">
        <w:rPr>
          <w:rFonts w:cs="Arial"/>
        </w:rPr>
        <w:fldChar w:fldCharType="end"/>
      </w:r>
      <w:r w:rsidRPr="00052BEA">
        <w:rPr>
          <w:rFonts w:cs="Arial"/>
        </w:rPr>
        <w:t xml:space="preserve">.  Age has been reported as a potential confounder in cerebral perfusion imaging </w:t>
      </w:r>
      <w:r w:rsidRPr="00052BEA">
        <w:rPr>
          <w:rFonts w:cs="Arial"/>
        </w:rPr>
        <w:fldChar w:fldCharType="begin">
          <w:fldData xml:space="preserve">PEVuZE5vdGU+PENpdGU+PEF1dGhvcj5SZW1wcDwvQXV0aG9yPjxZZWFyPjE5OTQ8L1llYXI+PElE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</w:fldData>
        </w:fldChar>
      </w:r>
      <w:r w:rsidRPr="00052BEA">
        <w:rPr>
          <w:rFonts w:cs="Arial"/>
        </w:rPr>
        <w:instrText xml:space="preserve"> ADDIN EN.CITE </w:instrText>
      </w:r>
      <w:r w:rsidRPr="00052BEA">
        <w:rPr>
          <w:rFonts w:cs="Arial"/>
        </w:rPr>
        <w:fldChar w:fldCharType="begin">
          <w:fldData xml:space="preserve">PEVuZE5vdGU+PENpdGU+PEF1dGhvcj5SZW1wcDwvQXV0aG9yPjxZZWFyPjE5OTQ8L1llYXI+PElE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</w:fldData>
        </w:fldChar>
      </w:r>
      <w:r w:rsidRPr="00052BEA">
        <w:rPr>
          <w:rFonts w:cs="Arial"/>
        </w:rPr>
        <w:instrText xml:space="preserve"> ADDIN EN.CITE.DATA </w:instrText>
      </w:r>
      <w:r w:rsidRPr="00052BEA">
        <w:rPr>
          <w:rFonts w:cs="Arial"/>
        </w:rPr>
      </w:r>
      <w:r w:rsidRPr="00052BEA">
        <w:rPr>
          <w:rFonts w:cs="Arial"/>
        </w:rPr>
        <w:fldChar w:fldCharType="end"/>
      </w:r>
      <w:r w:rsidRPr="00052BEA">
        <w:rPr>
          <w:rFonts w:cs="Arial"/>
        </w:rPr>
      </w:r>
      <w:r w:rsidRPr="00052BEA">
        <w:rPr>
          <w:rFonts w:cs="Arial"/>
        </w:rPr>
        <w:fldChar w:fldCharType="separate"/>
      </w:r>
      <w:r w:rsidRPr="00052BEA">
        <w:rPr>
          <w:rFonts w:cs="Arial"/>
          <w:noProof/>
        </w:rPr>
        <w:t>(Rempp et al., 1994, Bjornerud and Emblem, 2010)</w:t>
      </w:r>
      <w:r w:rsidRPr="00052BEA">
        <w:rPr>
          <w:rFonts w:cs="Arial"/>
        </w:rPr>
        <w:fldChar w:fldCharType="end"/>
      </w:r>
      <w:r w:rsidRPr="00052BEA">
        <w:rPr>
          <w:rFonts w:cs="Arial"/>
        </w:rPr>
        <w:t xml:space="preserve">, although this finding was not universal </w:t>
      </w:r>
      <w:r w:rsidRPr="00052BEA">
        <w:rPr>
          <w:rFonts w:cs="Arial"/>
        </w:rPr>
        <w:fldChar w:fldCharType="begin"/>
      </w:r>
      <w:r w:rsidRPr="00052BEA">
        <w:rPr>
          <w:rFonts w:cs="Arial"/>
        </w:rPr>
        <w:instrText xml:space="preserve"> ADDIN EN.CITE &lt;EndNote&gt;&lt;Cite&gt;&lt;Author&gt;Helenius&lt;/Author&gt;&lt;Year&gt;2003&lt;/Year&gt;&lt;IDText&gt;Cerebral hemodynamics in a healthy population measured by dynamic susceptibility contrast MR imaging&lt;/IDText&gt;&lt;DisplayText&gt;(Helenius et al., 2003)&lt;/DisplayText&gt;&lt;record&gt;&lt;dates&gt;&lt;pub-dates&gt;&lt;date&gt;Sep&lt;/date&gt;&lt;/pub-dates&gt;&lt;year&gt;2003&lt;/year&gt;&lt;/dates&gt;&lt;urls&gt;&lt;related-urls&gt;&lt;url&gt;&amp;lt;Go to ISI&amp;gt;://WOS:000185368500012&lt;/url&gt;&lt;/related-urls&gt;&lt;/urls&gt;&lt;isbn&gt;0284-1851&lt;/isbn&gt;&lt;titles&gt;&lt;title&gt;Cerebral hemodynamics in a healthy population measured by dynamic susceptibility contrast MR imaging&lt;/title&gt;&lt;secondary-title&gt;Acta Radiologica&lt;/secondary-title&gt;&lt;/titles&gt;&lt;pages&gt;538-546&lt;/pages&gt;&lt;number&gt;5&lt;/number&gt;&lt;contributors&gt;&lt;authors&gt;&lt;author&gt;Helenius, J.&lt;/author&gt;&lt;author&gt;Perkio, J.&lt;/author&gt;&lt;author&gt;Soinne, L.&lt;/author&gt;&lt;author&gt;Ostergaard, L.&lt;/author&gt;&lt;author&gt;Carano, R. A. D.&lt;/author&gt;&lt;author&gt;Salonen, O.&lt;/author&gt;&lt;author&gt;Savolainen, S.&lt;/author&gt;&lt;author&gt;Kaste, M.&lt;/author&gt;&lt;author&gt;Aronen, H. J.&lt;/author&gt;&lt;author&gt;Tatlisumak, T.&lt;/author&gt;&lt;/authors&gt;&lt;/contributors&gt;&lt;added-date format="utc"&gt;1519905766&lt;/added-date&gt;&lt;ref-type name="Journal Article"&gt;17&lt;/ref-type&gt;&lt;rec-number&gt;913&lt;/rec-number&gt;&lt;last-updated-date format="utc"&gt;1569072912&lt;/last-updated-date&gt;&lt;accession-num&gt;WOS:000185368500012&lt;/accession-num&gt;&lt;electronic-resource-num&gt;10.1034/j.1600-0455.2003.00104.x&lt;/electronic-resource-num&gt;&lt;volume&gt;44&lt;/volume&gt;&lt;/record&gt;&lt;/Cite&gt;&lt;/EndNote&gt;</w:instrText>
      </w:r>
      <w:r w:rsidRPr="00052BEA">
        <w:rPr>
          <w:rFonts w:cs="Arial"/>
        </w:rPr>
        <w:fldChar w:fldCharType="separate"/>
      </w:r>
      <w:r w:rsidRPr="00052BEA">
        <w:rPr>
          <w:rFonts w:cs="Arial"/>
          <w:noProof/>
        </w:rPr>
        <w:t>(Helenius et al., 2003)</w:t>
      </w:r>
      <w:r w:rsidRPr="00052BEA">
        <w:rPr>
          <w:rFonts w:cs="Arial"/>
        </w:rPr>
        <w:fldChar w:fldCharType="end"/>
      </w:r>
      <w:r w:rsidRPr="00052BEA">
        <w:rPr>
          <w:rFonts w:cs="Arial"/>
        </w:rPr>
        <w:t xml:space="preserve">.  At most a loss of 3.3mls/min of RBF per 10 years  may occur, whilst RBV has </w:t>
      </w:r>
      <w:r w:rsidR="00285FA5">
        <w:rPr>
          <w:rFonts w:cs="Arial"/>
        </w:rPr>
        <w:t xml:space="preserve">been </w:t>
      </w:r>
      <w:r w:rsidRPr="00052BEA">
        <w:rPr>
          <w:rFonts w:cs="Arial"/>
        </w:rPr>
        <w:t xml:space="preserve">reported to be stable despite increasing age </w:t>
      </w:r>
      <w:r w:rsidRPr="00052BEA">
        <w:rPr>
          <w:rFonts w:cs="Arial"/>
        </w:rPr>
        <w:fldChar w:fldCharType="begin"/>
      </w:r>
      <w:r w:rsidRPr="00052BEA">
        <w:rPr>
          <w:rFonts w:cs="Arial"/>
        </w:rPr>
        <w:instrText xml:space="preserve"> ADDIN EN.CITE &lt;EndNote&gt;&lt;Cite&gt;&lt;Author&gt;Bjornerud&lt;/Author&gt;&lt;Year&gt;2010&lt;/Year&gt;&lt;IDText&gt;A fully automated method for quantitative cerebral hemodynamic analysis using DSC-MRI&lt;/IDText&gt;&lt;DisplayText&gt;(Bjornerud and Emblem, 2010)&lt;/DisplayText&gt;&lt;record&gt;&lt;dates&gt;&lt;pub-dates&gt;&lt;date&gt;May&lt;/date&gt;&lt;/pub-dates&gt;&lt;year&gt;2010&lt;/year&gt;&lt;/dates&gt;&lt;urls&gt;&lt;related-urls&gt;&lt;url&gt;&amp;lt;Go to ISI&amp;gt;://WOS:000277250900018&lt;/url&gt;&lt;/related-urls&gt;&lt;/urls&gt;&lt;isbn&gt;0271-678X&lt;/isbn&gt;&lt;titles&gt;&lt;title&gt;A fully automated method for quantitative cerebral hemodynamic analysis using DSC-MRI&lt;/title&gt;&lt;secondary-title&gt;Journal of Cerebral Blood Flow and Metabolism&lt;/secondary-title&gt;&lt;/titles&gt;&lt;pages&gt;1066-1078&lt;/pages&gt;&lt;number&gt;5&lt;/number&gt;&lt;contributors&gt;&lt;authors&gt;&lt;author&gt;Bjornerud, Atle&lt;/author&gt;&lt;author&gt;Emblem, Kyrre E.&lt;/author&gt;&lt;/authors&gt;&lt;/contributors&gt;&lt;added-date format="utc"&gt;1510078802&lt;/added-date&gt;&lt;ref-type name="Journal Article"&gt;17&lt;/ref-type&gt;&lt;rec-number&gt;889&lt;/rec-number&gt;&lt;last-updated-date format="utc"&gt;1569073591&lt;/last-updated-date&gt;&lt;accession-num&gt;WOS:000277250900018&lt;/accession-num&gt;&lt;electronic-resource-num&gt;10.1038/jcbfm.2010.4&lt;/electronic-resource-num&gt;&lt;volume&gt;30&lt;/volume&gt;&lt;/record&gt;&lt;/Cite&gt;&lt;/EndNote&gt;</w:instrText>
      </w:r>
      <w:r w:rsidRPr="00052BEA">
        <w:rPr>
          <w:rFonts w:cs="Arial"/>
        </w:rPr>
        <w:fldChar w:fldCharType="separate"/>
      </w:r>
      <w:r w:rsidRPr="00052BEA">
        <w:rPr>
          <w:rFonts w:cs="Arial"/>
          <w:noProof/>
        </w:rPr>
        <w:t>(Bjornerud and Emblem, 2010)</w:t>
      </w:r>
      <w:r w:rsidRPr="00052BEA">
        <w:rPr>
          <w:rFonts w:cs="Arial"/>
        </w:rPr>
        <w:fldChar w:fldCharType="end"/>
      </w:r>
      <w:r w:rsidRPr="00052BEA">
        <w:rPr>
          <w:rFonts w:cs="Arial"/>
        </w:rPr>
        <w:t xml:space="preserve">.  The mean age difference in our study was 10 years between the P-DPN and DPN groups.  Therefore, there is unlikely to be a clinically significant difference in mean RBF when grey matter values in our study are greater than or equal to 90mls/min and the narrowest confidence intervals are 25mls/min in grey matter for RBF. </w:t>
      </w:r>
    </w:p>
    <w:p w14:paraId="73EAEB2C" w14:textId="0B425B3C" w:rsidR="00052BEA" w:rsidRPr="00052BEA" w:rsidRDefault="00052BEA" w:rsidP="00052BEA">
      <w:pPr>
        <w:spacing w:line="360" w:lineRule="auto"/>
        <w:rPr>
          <w:rFonts w:cs="Arial"/>
        </w:rPr>
      </w:pPr>
      <w:r w:rsidRPr="00052BEA">
        <w:rPr>
          <w:rFonts w:cs="Arial"/>
        </w:rPr>
        <w:lastRenderedPageBreak/>
        <w:t xml:space="preserve"> What of the other perfusion measurements and why did we not see statistically significant differences between the groups for these measures? RBV reflects the capillary density or degree of capillary dilation in the areas of interest </w:t>
      </w:r>
      <w:r w:rsidRPr="00052BEA">
        <w:rPr>
          <w:rFonts w:cs="Arial"/>
        </w:rPr>
        <w:fldChar w:fldCharType="begin"/>
      </w:r>
      <w:r w:rsidRPr="00052BEA">
        <w:rPr>
          <w:rFonts w:cs="Arial"/>
        </w:rPr>
        <w:instrText xml:space="preserve"> ADDIN EN.CITE &lt;EndNote&gt;&lt;Cite&gt;&lt;Author&gt;Copen&lt;/Author&gt;&lt;Year&gt;2011&lt;/Year&gt;&lt;IDText&gt;MR perfusion imaging in acute ischemic stroke&lt;/IDText&gt;&lt;DisplayText&gt;(Copen et al., 2011)&lt;/DisplayText&gt;&lt;record&gt;&lt;dates&gt;&lt;pub-dates&gt;&lt;date&gt;May&lt;/date&gt;&lt;/pub-dates&gt;&lt;year&gt;2011&lt;/year&gt;&lt;/dates&gt;&lt;keywords&gt;&lt;keyword&gt;Brain Ischemia&lt;/keyword&gt;&lt;keyword&gt;Cerebral Angiography&lt;/keyword&gt;&lt;keyword&gt;Humans&lt;/keyword&gt;&lt;keyword&gt;Magnetic Resonance Angiography&lt;/keyword&gt;&lt;keyword&gt;Stroke&lt;/keyword&gt;&lt;/keywords&gt;&lt;urls&gt;&lt;related-urls&gt;&lt;url&gt;https://www.ncbi.nlm.nih.gov/pubmed/21640299&lt;/url&gt;&lt;/related-urls&gt;&lt;/urls&gt;&lt;isbn&gt;1557-9867&lt;/isbn&gt;&lt;custom2&gt;PMC3135980&lt;/custom2&gt;&lt;titles&gt;&lt;title&gt;MR perfusion imaging in acute ischemic stroke&lt;/title&gt;&lt;secondary-title&gt;Neuroimaging Clin N Am&lt;/secondary-title&gt;&lt;/titles&gt;&lt;pages&gt;259-83, x&lt;/pages&gt;&lt;number&gt;2&lt;/number&gt;&lt;contributors&gt;&lt;authors&gt;&lt;author&gt;Copen, W. A.&lt;/author&gt;&lt;author&gt;Schaefer, P. W.&lt;/author&gt;&lt;author&gt;Wu, O.&lt;/author&gt;&lt;/authors&gt;&lt;/contributors&gt;&lt;language&gt;eng&lt;/language&gt;&lt;added-date format="utc"&gt;1501260264&lt;/added-date&gt;&lt;ref-type name="Journal Article"&gt;17&lt;/ref-type&gt;&lt;rec-number&gt;883&lt;/rec-number&gt;&lt;last-updated-date format="utc"&gt;1501260264&lt;/last-updated-date&gt;&lt;accession-num&gt;21640299&lt;/accession-num&gt;&lt;electronic-resource-num&gt;10.1016/j.nic.2011.02.007&lt;/electronic-resource-num&gt;&lt;volume&gt;21&lt;/volume&gt;&lt;/record&gt;&lt;/Cite&gt;&lt;/EndNote&gt;</w:instrText>
      </w:r>
      <w:r w:rsidRPr="00052BEA">
        <w:rPr>
          <w:rFonts w:cs="Arial"/>
        </w:rPr>
        <w:fldChar w:fldCharType="separate"/>
      </w:r>
      <w:r w:rsidRPr="00052BEA">
        <w:rPr>
          <w:rFonts w:cs="Arial"/>
          <w:noProof/>
        </w:rPr>
        <w:t>(Copen et al., 2011)</w:t>
      </w:r>
      <w:r w:rsidRPr="00052BEA">
        <w:rPr>
          <w:rFonts w:cs="Arial"/>
        </w:rPr>
        <w:fldChar w:fldCharType="end"/>
      </w:r>
      <w:r w:rsidRPr="00052BEA">
        <w:rPr>
          <w:rFonts w:cs="Arial"/>
        </w:rPr>
        <w:t xml:space="preserve">. In the group comparison there was no effect of RBV between groups for the individual regions of interest or overall. The P-DPN group showed a trend approaching significance for a higher RBV at the RPSC and LPSC. However the study was unable to replicate the findings of the pilot work by </w:t>
      </w:r>
      <w:proofErr w:type="spellStart"/>
      <w:r w:rsidRPr="00052BEA">
        <w:rPr>
          <w:rFonts w:cs="Arial"/>
        </w:rPr>
        <w:t>Selvarajah</w:t>
      </w:r>
      <w:proofErr w:type="spellEnd"/>
      <w:r w:rsidRPr="00052BEA">
        <w:rPr>
          <w:rFonts w:cs="Arial"/>
        </w:rPr>
        <w:t xml:space="preserve"> </w:t>
      </w:r>
      <w:r w:rsidRPr="00052BEA">
        <w:rPr>
          <w:rFonts w:cs="Arial"/>
        </w:rPr>
        <w:fldChar w:fldCharType="begin"/>
      </w:r>
      <w:r w:rsidR="009968E0">
        <w:rPr>
          <w:rFonts w:cs="Arial"/>
        </w:rPr>
        <w:instrText xml:space="preserve"> ADDIN EN.CITE &lt;EndNote&gt;&lt;Cite&gt;&lt;Author&gt;Selvarajah&lt;/Author&gt;&lt;Year&gt;2011&lt;/Year&gt;&lt;IDText&gt;Microvascular Perfusion Abnormalities of the Thalamus in Painful but Not Painless Diabetic Polyneuropathy A clue to the pathogenesis of pain in type 1 diabetes&lt;/IDText&gt;&lt;DisplayText&gt;(Selvarajah et al., 2011a)&lt;/DisplayText&gt;&lt;record&gt;&lt;dates&gt;&lt;pub-dates&gt;&lt;date&gt;Mar&lt;/date&gt;&lt;/pub-dates&gt;&lt;year&gt;2011&lt;/year&gt;&lt;/dates&gt;&lt;urls&gt;&lt;related-urls&gt;&lt;url&gt;&amp;lt;Go to ISI&amp;gt;://WOS:000288145400038&lt;/url&gt;&lt;/related-urls&gt;&lt;/urls&gt;&lt;isbn&gt;0149-5992&lt;/isbn&gt;&lt;titles&gt;&lt;title&gt;Microvascular Perfusion Abnormalities of the Thalamus in Painful but Not Painless Diabetic Polyneuropathy A clue to the pathogenesis of pain in type 1 diabetes&lt;/title&gt;&lt;secondary-title&gt;Diabetes Care&lt;/secondary-title&gt;&lt;/titles&gt;&lt;number&gt;3&lt;/number&gt;&lt;contributors&gt;&lt;authors&gt;&lt;author&gt;Selvarajah, Dinesh&lt;/author&gt;&lt;author&gt;Wilkinson, Iain D.&lt;/author&gt;&lt;author&gt;Gandhi, Rajiv&lt;/author&gt;&lt;author&gt;Griffiths, Paul D.&lt;/author&gt;&lt;author&gt;Tesfaye, Solomon&lt;/author&gt;&lt;/authors&gt;&lt;/contributors&gt;&lt;added-date format="utc"&gt;1353495588&lt;/added-date&gt;&lt;ref-type name="Journal Article"&gt;17&lt;/ref-type&gt;&lt;rec-number&gt;290&lt;/rec-number&gt;&lt;last-updated-date format="utc"&gt;1353505152&lt;/last-updated-date&gt;&lt;accession-num&gt;WOS:000288145400038&lt;/accession-num&gt;&lt;electronic-resource-num&gt;10.2337/dc10-1550&lt;/electronic-resource-num&gt;&lt;volume&gt;34&lt;/volume&gt;&lt;/record&gt;&lt;/Cite&gt;&lt;/EndNote&gt;</w:instrText>
      </w:r>
      <w:r w:rsidRPr="00052BEA">
        <w:rPr>
          <w:rFonts w:cs="Arial"/>
        </w:rPr>
        <w:fldChar w:fldCharType="separate"/>
      </w:r>
      <w:r w:rsidR="009968E0">
        <w:rPr>
          <w:rFonts w:cs="Arial"/>
          <w:noProof/>
        </w:rPr>
        <w:t>(Selvarajah et al., 2011a)</w:t>
      </w:r>
      <w:r w:rsidRPr="00052BEA">
        <w:rPr>
          <w:rFonts w:cs="Arial"/>
        </w:rPr>
        <w:fldChar w:fldCharType="end"/>
      </w:r>
      <w:r w:rsidRPr="00052BEA">
        <w:rPr>
          <w:rFonts w:cs="Arial"/>
        </w:rPr>
        <w:t xml:space="preserve"> who found that the P-DPN group had the largest RBV in the thalamus.  </w:t>
      </w:r>
    </w:p>
    <w:p w14:paraId="164CF10C" w14:textId="72BBC694" w:rsidR="00052BEA" w:rsidRPr="00052BEA" w:rsidRDefault="00052BEA" w:rsidP="00052BEA">
      <w:pPr>
        <w:spacing w:line="360" w:lineRule="auto"/>
        <w:rPr>
          <w:rFonts w:cs="Arial"/>
        </w:rPr>
      </w:pPr>
      <w:proofErr w:type="spellStart"/>
      <w:r w:rsidRPr="00052BEA">
        <w:rPr>
          <w:rFonts w:cs="Arial"/>
        </w:rPr>
        <w:t>Selvarajah</w:t>
      </w:r>
      <w:proofErr w:type="spellEnd"/>
      <w:r w:rsidRPr="00052BEA">
        <w:rPr>
          <w:rFonts w:cs="Arial"/>
        </w:rPr>
        <w:t xml:space="preserve"> had hypothesised that neurons in the thalamus may be chronically hyperactive in those with P-DPN due to central sensitisation causing capillary dilation and increased RBV </w:t>
      </w:r>
      <w:r w:rsidRPr="00052BEA">
        <w:rPr>
          <w:rFonts w:cs="Arial"/>
        </w:rPr>
        <w:fldChar w:fldCharType="begin"/>
      </w:r>
      <w:r w:rsidR="009968E0">
        <w:rPr>
          <w:rFonts w:cs="Arial"/>
        </w:rPr>
        <w:instrText xml:space="preserve"> ADDIN EN.CITE &lt;EndNote&gt;&lt;Cite ExcludeAuth="1"&gt;&lt;Author&gt;Selvarajah&lt;/Author&gt;&lt;Year&gt;2011&lt;/Year&gt;&lt;IDText&gt;Microvascular Perfusion Abnormalities of the Thalamus in Painful but Not Painless Diabetic Polyneuropathy A clue to the pathogenesis of pain in type 1 diabetes&lt;/IDText&gt;&lt;DisplayText&gt;(2011a)&lt;/DisplayText&gt;&lt;record&gt;&lt;dates&gt;&lt;pub-dates&gt;&lt;date&gt;Mar&lt;/date&gt;&lt;/pub-dates&gt;&lt;year&gt;2011&lt;/year&gt;&lt;/dates&gt;&lt;urls&gt;&lt;related-urls&gt;&lt;url&gt;&amp;lt;Go to ISI&amp;gt;://WOS:000288145400038&lt;/url&gt;&lt;/related-urls&gt;&lt;/urls&gt;&lt;isbn&gt;0149-5992&lt;/isbn&gt;&lt;titles&gt;&lt;title&gt;Microvascular Perfusion Abnormalities of the Thalamus in Painful but Not Painless Diabetic Polyneuropathy A clue to the pathogenesis of pain in type 1 diabetes&lt;/title&gt;&lt;secondary-title&gt;Diabetes Care&lt;/secondary-title&gt;&lt;/titles&gt;&lt;number&gt;3&lt;/number&gt;&lt;contributors&gt;&lt;authors&gt;&lt;author&gt;Selvarajah, Dinesh&lt;/author&gt;&lt;author&gt;Wilkinson, Iain D.&lt;/author&gt;&lt;author&gt;Gandhi, Rajiv&lt;/author&gt;&lt;author&gt;Griffiths, Paul D.&lt;/author&gt;&lt;author&gt;Tesfaye, Solomon&lt;/author&gt;&lt;/authors&gt;&lt;/contributors&gt;&lt;added-date format="utc"&gt;1353513588&lt;/added-date&gt;&lt;ref-type name="Journal Article"&gt;17&lt;/ref-type&gt;&lt;rec-number&gt;290&lt;/rec-number&gt;&lt;last-updated-date format="utc"&gt;1353523152&lt;/last-updated-date&gt;&lt;accession-num&gt;WOS:000288145400038&lt;/accession-num&gt;&lt;electronic-resource-num&gt;10.2337/dc10-1550&lt;/electronic-resource-num&gt;&lt;volume&gt;34&lt;/volume&gt;&lt;/record&gt;&lt;/Cite&gt;&lt;/EndNote&gt;</w:instrText>
      </w:r>
      <w:r w:rsidRPr="00052BEA">
        <w:rPr>
          <w:rFonts w:cs="Arial"/>
        </w:rPr>
        <w:fldChar w:fldCharType="separate"/>
      </w:r>
      <w:r w:rsidR="009968E0">
        <w:rPr>
          <w:rFonts w:cs="Arial"/>
          <w:noProof/>
        </w:rPr>
        <w:t>(2011a)</w:t>
      </w:r>
      <w:r w:rsidRPr="00052BEA">
        <w:rPr>
          <w:rFonts w:cs="Arial"/>
        </w:rPr>
        <w:fldChar w:fldCharType="end"/>
      </w:r>
      <w:r w:rsidRPr="00052BEA">
        <w:rPr>
          <w:rFonts w:cs="Arial"/>
        </w:rPr>
        <w:t xml:space="preserve">. This supported experimental findings in an animal model of P-DPN where there was increased baseline neurological activity in the thalamus </w:t>
      </w:r>
      <w:r w:rsidRPr="00052BEA">
        <w:rPr>
          <w:rFonts w:cs="Arial"/>
        </w:rPr>
        <w:fldChar w:fldCharType="begin"/>
      </w:r>
      <w:r w:rsidR="00D06F2D">
        <w:rPr>
          <w:rFonts w:cs="Arial"/>
        </w:rPr>
        <w:instrText xml:space="preserve"> ADDIN EN.CITE &lt;EndNote&gt;&lt;Cite&gt;&lt;Author&gt;Fischer&lt;/Author&gt;&lt;Year&gt;2009&lt;/Year&gt;&lt;IDText&gt;Thalamic neuron hyperexcitability and enlarged receptive fields in the STZ model of diabetic pain&lt;/IDText&gt;&lt;DisplayText&gt;(Fischer et al., 2009b)&lt;/DisplayText&gt;&lt;record&gt;&lt;dates&gt;&lt;pub-dates&gt;&lt;date&gt;May&lt;/date&gt;&lt;/pub-dates&gt;&lt;year&gt;2009&lt;/year&gt;&lt;/dates&gt;&lt;keywords&gt;&lt;keyword&gt;Action Potentials&lt;/keyword&gt;&lt;keyword&gt;Analysis of Variance&lt;/keyword&gt;&lt;keyword&gt;Animals&lt;/keyword&gt;&lt;keyword&gt;Blood Glucose&lt;/keyword&gt;&lt;keyword&gt;Diabetes Mellitus, Experimental&lt;/keyword&gt;&lt;keyword&gt;Hyperglycemia&lt;/keyword&gt;&lt;keyword&gt;Male&lt;/keyword&gt;&lt;keyword&gt;Microelectrodes&lt;/keyword&gt;&lt;keyword&gt;Neurons&lt;/keyword&gt;&lt;keyword&gt;Pain&lt;/keyword&gt;&lt;keyword&gt;Pain Measurement&lt;/keyword&gt;&lt;keyword&gt;Physical Stimulation&lt;/keyword&gt;&lt;keyword&gt;Rats&lt;/keyword&gt;&lt;keyword&gt;Rats, Sprague-Dawley&lt;/keyword&gt;&lt;keyword&gt;Streptozocin&lt;/keyword&gt;&lt;keyword&gt;Thalamus&lt;/keyword&gt;&lt;/keywords&gt;&lt;urls&gt;&lt;related-urls&gt;&lt;url&gt;http://www.ncbi.nlm.nih.gov/pubmed/19285053&lt;/url&gt;&lt;/related-urls&gt;&lt;/urls&gt;&lt;isbn&gt;1872-6240&lt;/isbn&gt;&lt;titles&gt;&lt;title&gt;Thalamic neuron hyperexcitability and enlarged receptive fields in the STZ model of diabetic pain&lt;/title&gt;&lt;secondary-title&gt;Brain Res&lt;/secondary-title&gt;&lt;/titles&gt;&lt;pages&gt;154-61&lt;/pages&gt;&lt;contributors&gt;&lt;authors&gt;&lt;author&gt;Fischer, T. Z.&lt;/author&gt;&lt;author&gt;Tan, A. M.&lt;/author&gt;&lt;author&gt;Waxman, S. G.&lt;/author&gt;&lt;/authors&gt;&lt;/contributors&gt;&lt;language&gt;eng&lt;/language&gt;&lt;added-date format="utc"&gt;1349968030&lt;/added-date&gt;&lt;ref-type name="Journal Article"&gt;17&lt;/ref-type&gt;&lt;auth-address&gt;Department of Neurology, Yale University School of Medicine, New Haven, CT 06510, USA. tanya.fischer@yale.edu&lt;/auth-address&gt;&lt;rec-number&gt;6&lt;/rec-number&gt;&lt;last-updated-date format="utc"&gt;1356715525&lt;/last-updated-date&gt;&lt;accession-num&gt;19285053&lt;/accession-num&gt;&lt;electronic-resource-num&gt;S0006-8993(09)00411-9 [pii]&amp;#xD;&amp;#xA;10.1016/j.brainres.2009.02.063&lt;/electronic-resource-num&gt;&lt;volume&gt;1268&lt;/volume&gt;&lt;/record&gt;&lt;/Cite&gt;&lt;/EndNote&gt;</w:instrText>
      </w:r>
      <w:r w:rsidRPr="00052BEA">
        <w:rPr>
          <w:rFonts w:cs="Arial"/>
        </w:rPr>
        <w:fldChar w:fldCharType="separate"/>
      </w:r>
      <w:r w:rsidR="00D06F2D">
        <w:rPr>
          <w:rFonts w:cs="Arial"/>
          <w:noProof/>
        </w:rPr>
        <w:t>(Fischer et al., 2009b)</w:t>
      </w:r>
      <w:r w:rsidRPr="00052BEA">
        <w:rPr>
          <w:rFonts w:cs="Arial"/>
        </w:rPr>
        <w:fldChar w:fldCharType="end"/>
      </w:r>
      <w:r w:rsidRPr="00052BEA">
        <w:rPr>
          <w:rFonts w:cs="Arial"/>
        </w:rPr>
        <w:t>.  Using higher field strength MRI, more sophisticated techniques and larger numbers, we hoped to replicate this finding.  Although the mean RBV was higher in the P-DPN group, greater numbers did not show a consistent difference between the groups.  The P-DPN group was not different to the HV or the DPN group in terms of MTT, so this parameter did not reveal any insights into the mechanism of neuropathic pain generation in the brain.</w:t>
      </w:r>
    </w:p>
    <w:p w14:paraId="20C808CB" w14:textId="5BC12230" w:rsidR="00052BEA" w:rsidRDefault="00052BEA" w:rsidP="00052BEA">
      <w:pPr>
        <w:spacing w:line="360" w:lineRule="auto"/>
        <w:rPr>
          <w:rFonts w:cs="Arial"/>
        </w:rPr>
      </w:pPr>
      <w:r w:rsidRPr="00052BEA">
        <w:rPr>
          <w:rFonts w:cs="Arial"/>
        </w:rPr>
        <w:t xml:space="preserve">There are several important technical and statistical differences between the pilot study and the current study.  Firstly, as the </w:t>
      </w:r>
      <w:proofErr w:type="spellStart"/>
      <w:r w:rsidRPr="00052BEA">
        <w:rPr>
          <w:rFonts w:cs="Arial"/>
        </w:rPr>
        <w:t>Selvarajah</w:t>
      </w:r>
      <w:proofErr w:type="spellEnd"/>
      <w:r w:rsidRPr="00052BEA">
        <w:rPr>
          <w:rFonts w:cs="Arial"/>
        </w:rPr>
        <w:t xml:space="preserve"> study was a preliminary study there were only 24 subjects in total and between 5-7 in each group. The </w:t>
      </w:r>
      <w:proofErr w:type="spellStart"/>
      <w:r w:rsidRPr="00052BEA">
        <w:rPr>
          <w:rFonts w:cs="Arial"/>
        </w:rPr>
        <w:t>Selvarajah</w:t>
      </w:r>
      <w:proofErr w:type="spellEnd"/>
      <w:r w:rsidRPr="00052BEA">
        <w:rPr>
          <w:rFonts w:cs="Arial"/>
        </w:rPr>
        <w:t xml:space="preserve"> study did not use AIF but used a ratio of the internal carotid signal to the region of interest signal, to account for differences in bolus dispersion arriving at the tissue of interest. Therefore, the reported values are relative and not quantitative, making comparisons difficult. In this study we have used quantification using a similar method to authors that have reported normative data </w:t>
      </w:r>
      <w:r w:rsidRPr="00052BEA">
        <w:rPr>
          <w:rFonts w:cs="Arial"/>
        </w:rPr>
        <w:fldChar w:fldCharType="begin">
          <w:fldData xml:space="preserve">PEVuZE5vdGU+PENpdGU+PEF1dGhvcj5SZW1wcDwvQXV0aG9yPjxZZWFyPjE5OTQ8L1llYXI+PElE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</w:fldData>
        </w:fldChar>
      </w:r>
      <w:r w:rsidR="009968E0">
        <w:rPr>
          <w:rFonts w:cs="Arial"/>
        </w:rPr>
        <w:instrText xml:space="preserve"> ADDIN EN.CITE </w:instrText>
      </w:r>
      <w:r w:rsidR="009968E0">
        <w:rPr>
          <w:rFonts w:cs="Arial"/>
        </w:rPr>
        <w:fldChar w:fldCharType="begin">
          <w:fldData xml:space="preserve">PEVuZE5vdGU+PENpdGU+PEF1dGhvcj5SZW1wcDwvQXV0aG9yPjxZZWFyPjE5OTQ8L1llYXI+PElE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</w:fldData>
        </w:fldChar>
      </w:r>
      <w:r w:rsidR="009968E0">
        <w:rPr>
          <w:rFonts w:cs="Arial"/>
        </w:rPr>
        <w:instrText xml:space="preserve"> ADDIN EN.CITE.DATA </w:instrText>
      </w:r>
      <w:r w:rsidR="009968E0">
        <w:rPr>
          <w:rFonts w:cs="Arial"/>
        </w:rPr>
      </w:r>
      <w:r w:rsidR="009968E0">
        <w:rPr>
          <w:rFonts w:cs="Arial"/>
        </w:rPr>
        <w:fldChar w:fldCharType="end"/>
      </w:r>
      <w:r w:rsidRPr="00052BEA">
        <w:rPr>
          <w:rFonts w:cs="Arial"/>
        </w:rPr>
      </w:r>
      <w:r w:rsidRPr="00052BEA">
        <w:rPr>
          <w:rFonts w:cs="Arial"/>
        </w:rPr>
        <w:fldChar w:fldCharType="separate"/>
      </w:r>
      <w:r w:rsidR="009968E0">
        <w:rPr>
          <w:rFonts w:cs="Arial"/>
          <w:noProof/>
        </w:rPr>
        <w:t>(Rempp et al., 1994, Helenius et al., 2003, Knutsson et al., 2010b)</w:t>
      </w:r>
      <w:r w:rsidRPr="00052BEA">
        <w:rPr>
          <w:rFonts w:cs="Arial"/>
        </w:rPr>
        <w:fldChar w:fldCharType="end"/>
      </w:r>
      <w:r w:rsidRPr="00052BEA">
        <w:rPr>
          <w:rFonts w:cs="Arial"/>
        </w:rPr>
        <w:t xml:space="preserve">.  RBV, RBF and MTT have been calculated using </w:t>
      </w:r>
      <w:proofErr w:type="spellStart"/>
      <w:r w:rsidRPr="00052BEA">
        <w:rPr>
          <w:rFonts w:cs="Arial"/>
        </w:rPr>
        <w:t>NordicNeurolab</w:t>
      </w:r>
      <w:proofErr w:type="spellEnd"/>
      <w:r w:rsidRPr="00052BEA">
        <w:rPr>
          <w:rFonts w:cs="Arial"/>
        </w:rPr>
        <w:t xml:space="preserve"> ICE software using a semi-automated approach.  This has the benefit of being able to easily generate multiple arterial input functions within a vessel and then manually select the most suitable AIF, that is least susceptible to partial volume effects, and most likely to be 90</w:t>
      </w:r>
      <w:r w:rsidRPr="00052BEA">
        <w:rPr>
          <w:rFonts w:cs="Arial"/>
          <w:vertAlign w:val="superscript"/>
        </w:rPr>
        <w:t>o</w:t>
      </w:r>
      <w:r w:rsidRPr="00052BEA">
        <w:rPr>
          <w:rFonts w:cs="Arial"/>
        </w:rPr>
        <w:t xml:space="preserve"> to the image plane.  AIF determination is essential for absolute quantification, and the semi-automated generation of AIF has benefits over completely manual AIF </w:t>
      </w:r>
      <w:r w:rsidRPr="00052BEA">
        <w:rPr>
          <w:rFonts w:cs="Arial"/>
        </w:rPr>
        <w:fldChar w:fldCharType="begin"/>
      </w:r>
      <w:r w:rsidRPr="00052BEA">
        <w:rPr>
          <w:rFonts w:cs="Arial"/>
        </w:rPr>
        <w:instrText xml:space="preserve"> ADDIN EN.CITE &lt;EndNote&gt;&lt;Cite&gt;&lt;Author&gt;Mouridsen&lt;/Author&gt;&lt;Year&gt;2006&lt;/Year&gt;&lt;IDText&gt;Automatic selection of arterial input function using cluster analysis&lt;/IDText&gt;&lt;DisplayText&gt;(Mouridsen et al., 2006)&lt;/DisplayText&gt;&lt;record&gt;&lt;dates&gt;&lt;pub-dates&gt;&lt;date&gt;Mar&lt;/date&gt;&lt;/pub-dates&gt;&lt;year&gt;2006&lt;/year&gt;&lt;/dates&gt;&lt;urls&gt;&lt;related-urls&gt;&lt;url&gt;&amp;lt;Go to ISI&amp;gt;://WOS:000235858400009&lt;/url&gt;&lt;/related-urls&gt;&lt;/urls&gt;&lt;isbn&gt;0740-3194&lt;/isbn&gt;&lt;titles&gt;&lt;title&gt;Automatic selection of arterial input function using cluster analysis&lt;/title&gt;&lt;secondary-title&gt;Magnetic Resonance in Medicine&lt;/secondary-title&gt;&lt;/titles&gt;&lt;pages&gt;524-531&lt;/pages&gt;&lt;number&gt;3&lt;/number&gt;&lt;contributors&gt;&lt;authors&gt;&lt;author&gt;Mouridsen, K.&lt;/author&gt;&lt;author&gt;Christensen, S.&lt;/author&gt;&lt;author&gt;Gydensted, L.&lt;/author&gt;&lt;author&gt;Ostergaard, L.&lt;/author&gt;&lt;/authors&gt;&lt;/contributors&gt;&lt;added-date format="utc"&gt;1373207549&lt;/added-date&gt;&lt;ref-type name="Journal Article"&gt;17&lt;/ref-type&gt;&lt;rec-number&gt;747&lt;/rec-number&gt;&lt;last-updated-date format="utc"&gt;1510075545&lt;/last-updated-date&gt;&lt;accession-num&gt;WOS:000235858400009&lt;/accession-num&gt;&lt;electronic-resource-num&gt;10.1002/mrm.20759&lt;/electronic-resource-num&gt;&lt;volume&gt;55&lt;/volume&gt;&lt;/record&gt;&lt;/Cite&gt;&lt;/EndNote&gt;</w:instrText>
      </w:r>
      <w:r w:rsidRPr="00052BEA">
        <w:rPr>
          <w:rFonts w:cs="Arial"/>
        </w:rPr>
        <w:fldChar w:fldCharType="separate"/>
      </w:r>
      <w:r w:rsidRPr="00052BEA">
        <w:rPr>
          <w:rFonts w:cs="Arial"/>
          <w:noProof/>
        </w:rPr>
        <w:t>(Mouridsen et al., 2006)</w:t>
      </w:r>
      <w:r w:rsidRPr="00052BEA">
        <w:rPr>
          <w:rFonts w:cs="Arial"/>
        </w:rPr>
        <w:fldChar w:fldCharType="end"/>
      </w:r>
      <w:r w:rsidRPr="00052BEA">
        <w:rPr>
          <w:rFonts w:cs="Arial"/>
        </w:rPr>
        <w:t xml:space="preserve">.  The </w:t>
      </w:r>
      <w:proofErr w:type="spellStart"/>
      <w:r w:rsidRPr="00052BEA">
        <w:rPr>
          <w:rFonts w:cs="Arial"/>
        </w:rPr>
        <w:t>Selvarajah</w:t>
      </w:r>
      <w:proofErr w:type="spellEnd"/>
      <w:r w:rsidRPr="00052BEA">
        <w:rPr>
          <w:rFonts w:cs="Arial"/>
        </w:rPr>
        <w:t xml:space="preserve"> study was performed at 1.5T strength rather than 3T giving a lower </w:t>
      </w:r>
      <w:r w:rsidRPr="00052BEA">
        <w:rPr>
          <w:rFonts w:cs="Arial"/>
        </w:rPr>
        <w:lastRenderedPageBreak/>
        <w:t xml:space="preserve">SNR. We know that at lower SNR the RBF peak will tend to be overestimated, whilst at higher SNR AIF will be more accurate which will lead to lower estimates of perfusion </w:t>
      </w:r>
      <w:r w:rsidRPr="00052BEA">
        <w:rPr>
          <w:rFonts w:cs="Arial"/>
        </w:rPr>
        <w:fldChar w:fldCharType="begin"/>
      </w:r>
      <w:r w:rsidRPr="00052BEA">
        <w:rPr>
          <w:rFonts w:cs="Arial"/>
        </w:rPr>
        <w:instrText xml:space="preserve"> ADDIN EN.CITE &lt;EndNote&gt;&lt;Cite&gt;&lt;Author&gt;Smith&lt;/Author&gt;&lt;Year&gt;2003&lt;/Year&gt;&lt;IDText&gt;Signal</w:instrText>
      </w:r>
      <w:r w:rsidRPr="00052BEA">
        <w:rPr>
          <w:rFonts w:ascii="Cambria Math" w:hAnsi="Cambria Math" w:cs="Cambria Math"/>
        </w:rPr>
        <w:instrText>‐</w:instrText>
      </w:r>
      <w:r w:rsidRPr="00052BEA">
        <w:rPr>
          <w:rFonts w:cs="Arial"/>
        </w:rPr>
        <w:instrText>to</w:instrText>
      </w:r>
      <w:r w:rsidRPr="00052BEA">
        <w:rPr>
          <w:rFonts w:ascii="Cambria Math" w:hAnsi="Cambria Math" w:cs="Cambria Math"/>
        </w:rPr>
        <w:instrText>‐</w:instrText>
      </w:r>
      <w:r w:rsidRPr="00052BEA">
        <w:rPr>
          <w:rFonts w:cs="Arial"/>
        </w:rPr>
        <w:instrText>noise ratio effects in quantitative cerebral perfusion using dynamic susceptibility contrast agents&lt;/IDText&gt;&lt;DisplayText&gt;(Smith et al., 2003)&lt;/DisplayText&gt;&lt;record&gt;&lt;keywords&gt;&lt;keyword&gt;Blood Flow&lt;/keyword&gt;&lt;keyword&gt;Magnetic Resonance Imaging Perfusion Studies&lt;/keyword&gt;&lt;keyword&gt;Svd Deconvolution&lt;/keyword&gt;&lt;keyword&gt;Optimum Signal</w:instrText>
      </w:r>
      <w:r w:rsidRPr="00052BEA">
        <w:rPr>
          <w:rFonts w:ascii="Cambria Math" w:hAnsi="Cambria Math" w:cs="Cambria Math"/>
        </w:rPr>
        <w:instrText>‐</w:instrText>
      </w:r>
      <w:r w:rsidRPr="00052BEA">
        <w:rPr>
          <w:rFonts w:cs="Arial"/>
        </w:rPr>
        <w:instrText>To</w:instrText>
      </w:r>
      <w:r w:rsidRPr="00052BEA">
        <w:rPr>
          <w:rFonts w:ascii="Cambria Math" w:hAnsi="Cambria Math" w:cs="Cambria Math"/>
        </w:rPr>
        <w:instrText>‐</w:instrText>
      </w:r>
      <w:r w:rsidRPr="00052BEA">
        <w:rPr>
          <w:rFonts w:cs="Arial"/>
        </w:rPr>
        <w:instrText>Noise Ratio&lt;/keyword&gt;&lt;keyword&gt;Optimum Experimental Parameter Selection&lt;/keyword&gt;&lt;/keywords&gt;&lt;isbn&gt;0740-3194&lt;/isbn&gt;&lt;titles&gt;&lt;title&gt;Signal</w:instrText>
      </w:r>
      <w:r w:rsidRPr="00052BEA">
        <w:rPr>
          <w:rFonts w:ascii="Cambria Math" w:hAnsi="Cambria Math" w:cs="Cambria Math"/>
        </w:rPr>
        <w:instrText>‐</w:instrText>
      </w:r>
      <w:r w:rsidRPr="00052BEA">
        <w:rPr>
          <w:rFonts w:cs="Arial"/>
        </w:rPr>
        <w:instrText>to</w:instrText>
      </w:r>
      <w:r w:rsidRPr="00052BEA">
        <w:rPr>
          <w:rFonts w:ascii="Cambria Math" w:hAnsi="Cambria Math" w:cs="Cambria Math"/>
        </w:rPr>
        <w:instrText>‐</w:instrText>
      </w:r>
      <w:r w:rsidRPr="00052BEA">
        <w:rPr>
          <w:rFonts w:cs="Arial"/>
        </w:rPr>
        <w:instrText>noise ratio effects in quantitative cerebral perfusion using dynamic susceptibility contrast agents&lt;/title&gt;&lt;secondary-title&gt;Magnetic Resonance in Medicine&lt;/secondary-title&gt;&lt;/titles&gt;&lt;pages&gt;122-128&lt;/pages&gt;&lt;number&gt;1&lt;/number&gt;&lt;contributors&gt;&lt;authors&gt;&lt;author&gt;Smith, Michael R.&lt;/author&gt;&lt;author&gt;Lu, Hong&lt;/author&gt;&lt;author&gt;Frayne, Richard&lt;/author&gt;&lt;/authors&gt;&lt;/contributors&gt;&lt;added-date format="utc"&gt;1569474198&lt;/added-date&gt;&lt;pub-location&gt;New York&lt;/pub-location&gt;&lt;ref-type name="Journal Article"&gt;17&lt;/ref-type&gt;&lt;dates&gt;&lt;year&gt;2003&lt;/year&gt;&lt;/dates&gt;&lt;rec-number&gt;1127&lt;/rec-number&gt;&lt;last-updated-date format="utc"&gt;1569474272&lt;/last-updated-date&gt;&lt;electronic-resource-num&gt;10.1002/mrm.10330&lt;/electronic-resource-num&gt;&lt;volume&gt;49&lt;/volume&gt;&lt;/record&gt;&lt;/Cite&gt;&lt;/EndNote&gt;</w:instrText>
      </w:r>
      <w:r w:rsidRPr="00052BEA">
        <w:rPr>
          <w:rFonts w:cs="Arial"/>
        </w:rPr>
        <w:fldChar w:fldCharType="separate"/>
      </w:r>
      <w:r w:rsidRPr="00052BEA">
        <w:rPr>
          <w:rFonts w:cs="Arial"/>
          <w:noProof/>
        </w:rPr>
        <w:t>(Smith et al., 2003)</w:t>
      </w:r>
      <w:r w:rsidRPr="00052BEA">
        <w:rPr>
          <w:rFonts w:cs="Arial"/>
        </w:rPr>
        <w:fldChar w:fldCharType="end"/>
      </w:r>
      <w:r w:rsidRPr="00052BEA">
        <w:rPr>
          <w:rFonts w:cs="Arial"/>
        </w:rPr>
        <w:t xml:space="preserve">, and higher field strengths universally increase sensitivity </w:t>
      </w:r>
      <w:r w:rsidRPr="00052BEA">
        <w:rPr>
          <w:rFonts w:cs="Arial"/>
        </w:rPr>
        <w:fldChar w:fldCharType="begin"/>
      </w:r>
      <w:r w:rsidRPr="00052BEA">
        <w:rPr>
          <w:rFonts w:cs="Arial"/>
        </w:rPr>
        <w:instrText xml:space="preserve"> ADDIN EN.CITE &lt;EndNote&gt;&lt;Cite&gt;&lt;Author&gt;Ladd&lt;/Author&gt;&lt;Year&gt;2018&lt;/Year&gt;&lt;IDText&gt;Pros and cons of ultra-high-field MRI/MRS for human application&lt;/IDText&gt;&lt;DisplayText&gt;(Ladd et al., 2018)&lt;/DisplayText&gt;&lt;record&gt;&lt;keywords&gt;&lt;keyword&gt;Mri&lt;/keyword&gt;&lt;keyword&gt;Mrs&lt;/keyword&gt;&lt;keyword&gt;Ultra-High Field&lt;/keyword&gt;&lt;keyword&gt;7 tesla&lt;/keyword&gt;&lt;keyword&gt;Human&lt;/keyword&gt;&lt;/keywords&gt;&lt;isbn&gt;0079-6565&lt;/isbn&gt;&lt;titles&gt;&lt;title&gt;Pros and cons of ultra-high-field MRI/MRS for human application&lt;/title&gt;&lt;secondary-title&gt;Progress in Nuclear Magnetic Resonance Spectroscopy&lt;/secondary-title&gt;&lt;/titles&gt;&lt;pages&gt;1-50&lt;/pages&gt;&lt;contributors&gt;&lt;authors&gt;&lt;author&gt;Ladd, Mark E.&lt;/author&gt;&lt;author&gt;Bachert, Peter&lt;/author&gt;&lt;author&gt;Meyerspeer, Martin&lt;/author&gt;&lt;author&gt;Moser, Ewald&lt;/author&gt;&lt;author&gt;Nagel, Armin M.&lt;/author&gt;&lt;author&gt;Norris, David G.&lt;/author&gt;&lt;author&gt;Schmitter, Sebastian&lt;/author&gt;&lt;author&gt;Speck, Oliver&lt;/author&gt;&lt;author&gt;Straub, Sina&lt;/author&gt;&lt;author&gt;Zaiss, Moritz&lt;/author&gt;&lt;/authors&gt;&lt;/contributors&gt;&lt;added-date format="utc"&gt;1569475653&lt;/added-date&gt;&lt;ref-type name="Journal Article"&gt;17&lt;/ref-type&gt;&lt;dates&gt;&lt;year&gt;2018&lt;/year&gt;&lt;/dates&gt;&lt;rec-number&gt;1128&lt;/rec-number&gt;&lt;last-updated-date format="utc"&gt;1569475653&lt;/last-updated-date&gt;&lt;electronic-resource-num&gt;10.1016/j.pnmrs.2018.06.001&lt;/electronic-resource-num&gt;&lt;volume&gt;109&lt;/volume&gt;&lt;/record&gt;&lt;/Cite&gt;&lt;/EndNote&gt;</w:instrText>
      </w:r>
      <w:r w:rsidRPr="00052BEA">
        <w:rPr>
          <w:rFonts w:cs="Arial"/>
        </w:rPr>
        <w:fldChar w:fldCharType="separate"/>
      </w:r>
      <w:r w:rsidRPr="00052BEA">
        <w:rPr>
          <w:rFonts w:cs="Arial"/>
          <w:noProof/>
        </w:rPr>
        <w:t>(Ladd et al., 2018)</w:t>
      </w:r>
      <w:r w:rsidRPr="00052BEA">
        <w:rPr>
          <w:rFonts w:cs="Arial"/>
        </w:rPr>
        <w:fldChar w:fldCharType="end"/>
      </w:r>
      <w:r w:rsidRPr="00052BEA">
        <w:rPr>
          <w:rFonts w:cs="Arial"/>
        </w:rPr>
        <w:t xml:space="preserve">.  In summary differences in the post-processing technique </w:t>
      </w:r>
      <w:proofErr w:type="gramStart"/>
      <w:r w:rsidRPr="00052BEA">
        <w:rPr>
          <w:rFonts w:cs="Arial"/>
        </w:rPr>
        <w:t>i.e.</w:t>
      </w:r>
      <w:proofErr w:type="gramEnd"/>
      <w:r w:rsidRPr="00052BEA">
        <w:rPr>
          <w:rFonts w:cs="Arial"/>
        </w:rPr>
        <w:t xml:space="preserve"> Quantitative vs Relative and in the MR field strength may have contributed to the differences in findings between the two studies. </w:t>
      </w:r>
    </w:p>
    <w:p w14:paraId="1B497876" w14:textId="143F1529" w:rsidR="00FD0E63" w:rsidRPr="00052BEA" w:rsidRDefault="00FD0E63" w:rsidP="00052BEA">
      <w:pPr>
        <w:spacing w:line="360" w:lineRule="auto"/>
        <w:rPr>
          <w:rFonts w:cs="Arial"/>
        </w:rPr>
      </w:pPr>
      <w:r>
        <w:rPr>
          <w:rFonts w:cs="Arial"/>
        </w:rPr>
        <w:t>There was a smaller number of participants than we had planned in the DM-NN group according to our power calculation.  The difficulty of recruiting to this group is that it requires no signs or symptoms of neuropathy, with a relatively long duration of diabetes in a working age group.  There were fewer suitable subjects identified after long duration of T1D.  There were some that could not agree to take part due to the time commitment.  Therefore, the findings in the DM-NN group are subject to possible type 2 error due to the slightly smaller number of subjects in this group than planned.  However due to practical considerations it was not possible to recruit the proposed number of subjects</w:t>
      </w:r>
      <w:r w:rsidR="005D030A">
        <w:rPr>
          <w:rFonts w:cs="Arial"/>
        </w:rPr>
        <w:t xml:space="preserve">.  In MRI studies it is usual to have quite small numbers due to the cost and the time commitment of the scans.  </w:t>
      </w:r>
      <w:r w:rsidR="0075202A">
        <w:rPr>
          <w:rFonts w:cs="Arial"/>
        </w:rPr>
        <w:t xml:space="preserve">A recent study </w:t>
      </w:r>
      <w:r w:rsidR="00D138D9">
        <w:rPr>
          <w:rFonts w:cs="Arial"/>
        </w:rPr>
        <w:t xml:space="preserve">of 1000 neuroimaging papers </w:t>
      </w:r>
      <w:r w:rsidR="0075202A">
        <w:rPr>
          <w:rFonts w:cs="Arial"/>
        </w:rPr>
        <w:t xml:space="preserve">has shown that the </w:t>
      </w:r>
      <w:r w:rsidR="008C39D9">
        <w:rPr>
          <w:rFonts w:cs="Arial"/>
        </w:rPr>
        <w:t>median</w:t>
      </w:r>
      <w:r w:rsidR="0075202A">
        <w:rPr>
          <w:rFonts w:cs="Arial"/>
        </w:rPr>
        <w:t xml:space="preserve"> </w:t>
      </w:r>
      <w:r w:rsidR="00D138D9">
        <w:rPr>
          <w:rFonts w:cs="Arial"/>
        </w:rPr>
        <w:t xml:space="preserve">number of participants per group </w:t>
      </w:r>
      <w:r w:rsidR="0075202A">
        <w:rPr>
          <w:rFonts w:cs="Arial"/>
        </w:rPr>
        <w:t xml:space="preserve"> in clinical neuroimaging studies with multiple groups was 12</w:t>
      </w:r>
      <w:r w:rsidR="008C39D9">
        <w:rPr>
          <w:rFonts w:cs="Arial"/>
        </w:rPr>
        <w:t xml:space="preserve"> </w:t>
      </w:r>
      <w:r w:rsidR="00D138D9">
        <w:rPr>
          <w:rFonts w:cs="Arial"/>
        </w:rPr>
        <w:fldChar w:fldCharType="begin"/>
      </w:r>
      <w:r w:rsidR="00D138D9">
        <w:rPr>
          <w:rFonts w:cs="Arial"/>
        </w:rPr>
        <w:instrText xml:space="preserve"> ADDIN EN.CITE &lt;EndNote&gt;&lt;Cite&gt;&lt;Author&gt;Szucs&lt;/Author&gt;&lt;Year&gt;2020&lt;/Year&gt;&lt;IDText&gt;Sample size evolution in neuroimaging research: An evaluation of highly-cited studies (1990–2012) and of latest practices (2017–2018) in high-impact journals&lt;/IDText&gt;&lt;DisplayText&gt;(Szucs and Ioannidis, 2020)&lt;/DisplayText&gt;&lt;record&gt;&lt;isbn&gt;1053-8119&lt;/isbn&gt;&lt;titles&gt;&lt;title&gt;Sample size evolution in neuroimaging research: An evaluation of highly-cited studies (1990–2012) and of latest practices (2017–2018) in high-impact journals&lt;/title&gt;&lt;secondary-title&gt;NeuroImage (Orlando, Fla.)&lt;/secondary-title&gt;&lt;/titles&gt;&lt;pages&gt;117164&lt;/pages&gt;&lt;contributors&gt;&lt;authors&gt;&lt;author&gt;Szucs, Denes&lt;/author&gt;&lt;author&gt;Ioannidis, John P. A.&lt;/author&gt;&lt;/authors&gt;&lt;/contributors&gt;&lt;added-date format="utc"&gt;1599316541&lt;/added-date&gt;&lt;ref-type name="Journal Article"&gt;17&lt;/ref-type&gt;&lt;dates&gt;&lt;year&gt;2020&lt;/year&gt;&lt;/dates&gt;&lt;rec-number&gt;1355&lt;/rec-number&gt;&lt;publisher&gt;Elsevier Inc&lt;/publisher&gt;&lt;last-updated-date format="utc"&gt;1599316541&lt;/last-updated-date&gt;&lt;electronic-resource-num&gt;10.1016/j.neuroimage.2020.117164&lt;/electronic-resource-num&gt;&lt;volume&gt;221&lt;/volume&gt;&lt;/record&gt;&lt;/Cite&gt;&lt;/EndNote&gt;</w:instrText>
      </w:r>
      <w:r w:rsidR="00D138D9">
        <w:rPr>
          <w:rFonts w:cs="Arial"/>
        </w:rPr>
        <w:fldChar w:fldCharType="separate"/>
      </w:r>
      <w:r w:rsidR="00D138D9">
        <w:rPr>
          <w:rFonts w:cs="Arial"/>
          <w:noProof/>
        </w:rPr>
        <w:t>(Szucs and Ioannidis, 2020)</w:t>
      </w:r>
      <w:r w:rsidR="00D138D9">
        <w:rPr>
          <w:rFonts w:cs="Arial"/>
        </w:rPr>
        <w:fldChar w:fldCharType="end"/>
      </w:r>
      <w:r w:rsidR="008C39D9">
        <w:rPr>
          <w:rFonts w:cs="Arial"/>
        </w:rPr>
        <w:t xml:space="preserve">.  Our study may have had only 13 subjects in the DM-NN group but it </w:t>
      </w:r>
      <w:r w:rsidR="007D1E26">
        <w:rPr>
          <w:rFonts w:cs="Arial"/>
        </w:rPr>
        <w:t>exceeded the number of required</w:t>
      </w:r>
      <w:r w:rsidR="008C39D9">
        <w:rPr>
          <w:rFonts w:cs="Arial"/>
        </w:rPr>
        <w:t xml:space="preserve"> </w:t>
      </w:r>
      <w:r w:rsidR="007D1E26">
        <w:rPr>
          <w:rFonts w:cs="Arial"/>
        </w:rPr>
        <w:t>participants</w:t>
      </w:r>
      <w:r w:rsidR="008C39D9">
        <w:rPr>
          <w:rFonts w:cs="Arial"/>
        </w:rPr>
        <w:t xml:space="preserve"> in the other groups and in all exceeded the number of participants required by the power calculatio</w:t>
      </w:r>
      <w:r w:rsidR="007D1E26">
        <w:rPr>
          <w:rFonts w:cs="Arial"/>
        </w:rPr>
        <w:t>n.</w:t>
      </w:r>
    </w:p>
    <w:p w14:paraId="433048CD" w14:textId="2C19068E" w:rsidR="00052BEA" w:rsidRPr="00052BEA" w:rsidRDefault="00052BEA" w:rsidP="00052BEA">
      <w:pPr>
        <w:spacing w:line="360" w:lineRule="auto"/>
        <w:rPr>
          <w:rFonts w:cs="Arial"/>
        </w:rPr>
      </w:pPr>
      <w:r w:rsidRPr="00052BEA">
        <w:rPr>
          <w:rFonts w:cs="Arial"/>
        </w:rPr>
        <w:t xml:space="preserve">We had hypothesised that increased flow at baseline may represent processing of chronic pain signals or reflect hyperactivity in a specific tissue of interest.  Although the temporal resolution of DSC-MRI is very good, it still may not lend itself to the detection of very subtle activations temporally or spatially.  It is possible measurements of flow and blood volume are different between groups, but the temporal and spatial characteristics of the neurovascular coupling response are too subtle to be represented in a time curve from a two dimensional region of interest </w:t>
      </w:r>
      <w:r w:rsidRPr="00052BEA">
        <w:rPr>
          <w:rFonts w:cs="Arial"/>
        </w:rPr>
        <w:fldChar w:fldCharType="begin"/>
      </w:r>
      <w:r w:rsidRPr="00052BEA">
        <w:rPr>
          <w:rFonts w:cs="Arial"/>
        </w:rPr>
        <w:instrText xml:space="preserve"> ADDIN EN.CITE &lt;EndNote&gt;&lt;Cite&gt;&lt;Author&gt;Haxby&lt;/Author&gt;&lt;Year&gt;2014&lt;/Year&gt;&lt;IDText&gt;Decoding Neural Representational Spaces Using Multivariate Pattern Analysis&lt;/IDText&gt;&lt;DisplayText&gt;(Haxby et al., 2014)&lt;/DisplayText&gt;&lt;record&gt;&lt;keywords&gt;&lt;keyword&gt;neural decoding&lt;/keyword&gt;&lt;keyword&gt;MVPA&lt;/keyword&gt;&lt;keyword&gt;RSA&lt;/keyword&gt;&lt;keyword&gt;hyperalignment&lt;/keyword&gt;&lt;keyword&gt;population response&lt;/keyword&gt;&lt;keyword&gt;fMRI&lt;/keyword&gt;&lt;/keywords&gt;&lt;isbn&gt;0147-006x&lt;/isbn&gt;&lt;titles&gt;&lt;title&gt;Decoding Neural Representational Spaces Using Multivariate Pattern Analysis&lt;/title&gt;&lt;secondary-title&gt;Annu. Rev. Neurosci.&lt;/secondary-title&gt;&lt;/titles&gt;&lt;pages&gt;435-456&lt;/pages&gt;&lt;contributors&gt;&lt;authors&gt;&lt;author&gt;Haxby, James V.&lt;/author&gt;&lt;author&gt;Connolly, Andrew C.&lt;/author&gt;&lt;author&gt;Guntupalli, J. Swaroop&lt;/author&gt;&lt;/authors&gt;&lt;/contributors&gt;&lt;added-date format="utc"&gt;1569665181&lt;/added-date&gt;&lt;ref-type name="Generic"&gt;13&lt;/ref-type&gt;&lt;dates&gt;&lt;year&gt;2014&lt;/year&gt;&lt;/dates&gt;&lt;rec-number&gt;1133&lt;/rec-number&gt;&lt;last-updated-date format="utc"&gt;1569665181&lt;/last-updated-date&gt;&lt;electronic-resource-num&gt;10.1146/annurev-neuro-062012-170325&lt;/electronic-resource-num&gt;&lt;volume&gt;37&lt;/volume&gt;&lt;/record&gt;&lt;/Cite&gt;&lt;/EndNote&gt;</w:instrText>
      </w:r>
      <w:r w:rsidRPr="00052BEA">
        <w:rPr>
          <w:rFonts w:cs="Arial"/>
        </w:rPr>
        <w:fldChar w:fldCharType="separate"/>
      </w:r>
      <w:r w:rsidRPr="00052BEA">
        <w:rPr>
          <w:rFonts w:cs="Arial"/>
          <w:noProof/>
        </w:rPr>
        <w:t>(Haxby et al., 2014)</w:t>
      </w:r>
      <w:r w:rsidRPr="00052BEA">
        <w:rPr>
          <w:rFonts w:cs="Arial"/>
        </w:rPr>
        <w:fldChar w:fldCharType="end"/>
      </w:r>
      <w:r w:rsidRPr="00052BEA">
        <w:rPr>
          <w:rFonts w:cs="Arial"/>
        </w:rPr>
        <w:t xml:space="preserve">.  Some investigators interested in decoding pain are studying dissociable multivariate approaches that can link pain distinguishing patterns of neural activity associated with different stimuli or cognitive states </w:t>
      </w:r>
      <w:r w:rsidRPr="00052BEA">
        <w:rPr>
          <w:rFonts w:cs="Arial"/>
        </w:rPr>
        <w:fldChar w:fldCharType="begin">
          <w:fldData xml:space="preserve">PEVuZE5vdGU+PENpdGU+PEF1dGhvcj5XYWdlcjwvQXV0aG9yPjxZZWFyPjIwMTM8L1llYXI+PElE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</w:fldData>
        </w:fldChar>
      </w:r>
      <w:r w:rsidR="00D06F2D">
        <w:rPr>
          <w:rFonts w:cs="Arial"/>
        </w:rPr>
        <w:instrText xml:space="preserve"> ADDIN EN.CITE </w:instrText>
      </w:r>
      <w:r w:rsidR="00D06F2D">
        <w:rPr>
          <w:rFonts w:cs="Arial"/>
        </w:rPr>
        <w:fldChar w:fldCharType="begin">
          <w:fldData xml:space="preserve">PEVuZE5vdGU+PENpdGU+PEF1dGhvcj5XYWdlcjwvQXV0aG9yPjxZZWFyPjIwMTM8L1llYXI+PElE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</w:fldData>
        </w:fldChar>
      </w:r>
      <w:r w:rsidR="00D06F2D">
        <w:rPr>
          <w:rFonts w:cs="Arial"/>
        </w:rPr>
        <w:instrText xml:space="preserve"> ADDIN EN.CITE.DATA </w:instrText>
      </w:r>
      <w:r w:rsidR="00D06F2D">
        <w:rPr>
          <w:rFonts w:cs="Arial"/>
        </w:rPr>
      </w:r>
      <w:r w:rsidR="00D06F2D">
        <w:rPr>
          <w:rFonts w:cs="Arial"/>
        </w:rPr>
        <w:fldChar w:fldCharType="end"/>
      </w:r>
      <w:r w:rsidRPr="00052BEA">
        <w:rPr>
          <w:rFonts w:cs="Arial"/>
        </w:rPr>
      </w:r>
      <w:r w:rsidRPr="00052BEA">
        <w:rPr>
          <w:rFonts w:cs="Arial"/>
        </w:rPr>
        <w:fldChar w:fldCharType="separate"/>
      </w:r>
      <w:r w:rsidR="00D06F2D">
        <w:rPr>
          <w:rFonts w:cs="Arial"/>
          <w:noProof/>
        </w:rPr>
        <w:t>(Wager et al., 2013b, Choong-Wan et al., 2016, Reddan and Wager, 2018)</w:t>
      </w:r>
      <w:r w:rsidRPr="00052BEA">
        <w:rPr>
          <w:rFonts w:cs="Arial"/>
        </w:rPr>
        <w:fldChar w:fldCharType="end"/>
      </w:r>
      <w:r w:rsidRPr="00052BEA">
        <w:rPr>
          <w:rFonts w:cs="Arial"/>
        </w:rPr>
        <w:t xml:space="preserve">. This approach has allowed the development of the NPS( Neurological Pain Signature) </w:t>
      </w:r>
      <w:r w:rsidRPr="00052BEA">
        <w:rPr>
          <w:rFonts w:cs="Arial"/>
        </w:rPr>
        <w:fldChar w:fldCharType="begin">
          <w:fldData xml:space="preserve">PEVuZE5vdGU+PENpdGU+PEF1dGhvcj5XYWdlcjwvQXV0aG9yPjxZZWFyPjIwMTM8L1llYXI+PElE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</w:fldData>
        </w:fldChar>
      </w:r>
      <w:r w:rsidR="00D06F2D">
        <w:rPr>
          <w:rFonts w:cs="Arial"/>
        </w:rPr>
        <w:instrText xml:space="preserve"> ADDIN EN.CITE </w:instrText>
      </w:r>
      <w:r w:rsidR="00D06F2D">
        <w:rPr>
          <w:rFonts w:cs="Arial"/>
        </w:rPr>
        <w:fldChar w:fldCharType="begin">
          <w:fldData xml:space="preserve">PEVuZE5vdGU+PENpdGU+PEF1dGhvcj5XYWdlcjwvQXV0aG9yPjxZZWFyPjIwMTM8L1llYXI+PElE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</w:fldData>
        </w:fldChar>
      </w:r>
      <w:r w:rsidR="00D06F2D">
        <w:rPr>
          <w:rFonts w:cs="Arial"/>
        </w:rPr>
        <w:instrText xml:space="preserve"> ADDIN EN.CITE.DATA </w:instrText>
      </w:r>
      <w:r w:rsidR="00D06F2D">
        <w:rPr>
          <w:rFonts w:cs="Arial"/>
        </w:rPr>
      </w:r>
      <w:r w:rsidR="00D06F2D">
        <w:rPr>
          <w:rFonts w:cs="Arial"/>
        </w:rPr>
        <w:fldChar w:fldCharType="end"/>
      </w:r>
      <w:r w:rsidRPr="00052BEA">
        <w:rPr>
          <w:rFonts w:cs="Arial"/>
        </w:rPr>
      </w:r>
      <w:r w:rsidRPr="00052BEA">
        <w:rPr>
          <w:rFonts w:cs="Arial"/>
        </w:rPr>
        <w:fldChar w:fldCharType="separate"/>
      </w:r>
      <w:r w:rsidR="00D06F2D">
        <w:rPr>
          <w:rFonts w:cs="Arial"/>
          <w:noProof/>
        </w:rPr>
        <w:t>(Wager et al., 2013b)</w:t>
      </w:r>
      <w:r w:rsidRPr="00052BEA">
        <w:rPr>
          <w:rFonts w:cs="Arial"/>
        </w:rPr>
        <w:fldChar w:fldCharType="end"/>
      </w:r>
      <w:r w:rsidRPr="00052BEA">
        <w:rPr>
          <w:rFonts w:cs="Arial"/>
        </w:rPr>
        <w:t xml:space="preserve"> which can accurately predict using fMRI multivariate approach, whether a </w:t>
      </w:r>
      <w:r w:rsidRPr="00052BEA">
        <w:rPr>
          <w:rFonts w:cs="Arial"/>
        </w:rPr>
        <w:lastRenderedPageBreak/>
        <w:t xml:space="preserve">healthy subject is experiencing pain whilst being scanned.  There is not yet a similarly validated signature for the experience of chronic pain.  Investigators are focusing on the dimensionality of pain – which they describe as the “dynamic pain connectome” </w:t>
      </w:r>
      <w:r w:rsidRPr="00052BEA">
        <w:rPr>
          <w:rFonts w:cs="Arial"/>
        </w:rPr>
        <w:fldChar w:fldCharType="begin"/>
      </w:r>
      <w:r w:rsidRPr="00052BEA">
        <w:rPr>
          <w:rFonts w:cs="Arial"/>
        </w:rPr>
        <w:instrText xml:space="preserve"> ADDIN EN.CITE &lt;EndNote&gt;&lt;Cite&gt;&lt;Author&gt;Kucyi&lt;/Author&gt;&lt;Year&gt;2017&lt;/Year&gt;&lt;IDText&gt;The Neural Code for Pain: From Single-Cell Electrophysiology to the Dynamic Pain Connectome&lt;/IDText&gt;&lt;DisplayText&gt;(Kucyi and Davis, 2017)&lt;/DisplayText&gt;&lt;record&gt;&lt;keywords&gt;&lt;keyword&gt;Pain&lt;/keyword&gt;&lt;keyword&gt;Connectome&lt;/keyword&gt;&lt;keyword&gt;Dynamics&lt;/keyword&gt;&lt;keyword&gt;Default Mode Network&lt;/keyword&gt;&lt;keyword&gt;Salience Network&lt;/keyword&gt;&lt;keyword&gt;Mind-Wandering&lt;/keyword&gt;&lt;keyword&gt;Fmri&lt;/keyword&gt;&lt;keyword&gt;Functional Connectivity&lt;/keyword&gt;&lt;keyword&gt;Variability&lt;/keyword&gt;&lt;keyword&gt;Medicine&lt;/keyword&gt;&lt;/keywords&gt;&lt;isbn&gt;1073-8584&lt;/isbn&gt;&lt;titles&gt;&lt;title&gt;The Neural Code for Pain: From Single-Cell Electrophysiology to the Dynamic Pain Connectome&lt;/title&gt;&lt;/titles&gt;&lt;pages&gt;397-414&lt;/pages&gt;&lt;contributors&gt;&lt;authors&gt;&lt;author&gt;Kucyi, Aaron&lt;/author&gt;&lt;author&gt;Davis, Karen D.&lt;/author&gt;&lt;/authors&gt;&lt;/contributors&gt;&lt;added-date format="utc"&gt;1569680532&lt;/added-date&gt;&lt;pub-location&gt;Los Angeles, CA&lt;/pub-location&gt;&lt;ref-type name="Generic"&gt;13&lt;/ref-type&gt;&lt;dates&gt;&lt;year&gt;2017&lt;/year&gt;&lt;/dates&gt;&lt;rec-number&gt;1139&lt;/rec-number&gt;&lt;last-updated-date format="utc"&gt;1569680532&lt;/last-updated-date&gt;&lt;electronic-resource-num&gt;10.1177/1073858416667716&lt;/electronic-resource-num&gt;&lt;volume&gt;23&lt;/volume&gt;&lt;/record&gt;&lt;/Cite&gt;&lt;/EndNote&gt;</w:instrText>
      </w:r>
      <w:r w:rsidRPr="00052BEA">
        <w:rPr>
          <w:rFonts w:cs="Arial"/>
        </w:rPr>
        <w:fldChar w:fldCharType="separate"/>
      </w:r>
      <w:r w:rsidRPr="00052BEA">
        <w:rPr>
          <w:rFonts w:cs="Arial"/>
          <w:noProof/>
        </w:rPr>
        <w:t>(Kucyi and Davis, 2017)</w:t>
      </w:r>
      <w:r w:rsidRPr="00052BEA">
        <w:rPr>
          <w:rFonts w:cs="Arial"/>
        </w:rPr>
        <w:fldChar w:fldCharType="end"/>
      </w:r>
      <w:r w:rsidRPr="00052BEA">
        <w:rPr>
          <w:rFonts w:cs="Arial"/>
        </w:rPr>
        <w:t xml:space="preserve">.  However as stated above- one of the difficulties with an fMRI approach is that </w:t>
      </w:r>
      <w:r w:rsidR="00FD0E63">
        <w:rPr>
          <w:rFonts w:cs="Arial"/>
        </w:rPr>
        <w:t>it</w:t>
      </w:r>
      <w:r w:rsidRPr="00052BEA">
        <w:rPr>
          <w:rFonts w:cs="Arial"/>
        </w:rPr>
        <w:t xml:space="preserve"> depend</w:t>
      </w:r>
      <w:r w:rsidR="00FD0E63">
        <w:rPr>
          <w:rFonts w:cs="Arial"/>
        </w:rPr>
        <w:t>s</w:t>
      </w:r>
      <w:r w:rsidRPr="00052BEA">
        <w:rPr>
          <w:rFonts w:cs="Arial"/>
        </w:rPr>
        <w:t xml:space="preserve"> on an intact neurovascular coupling response. Our study using a novel method of measuring cerebral perfusion aims to address this knowledge gap.  </w:t>
      </w:r>
    </w:p>
    <w:p w14:paraId="2E65C0D5" w14:textId="77777777" w:rsidR="00052BEA" w:rsidRPr="00052BEA" w:rsidRDefault="00052BEA" w:rsidP="00052BEA">
      <w:pPr>
        <w:spacing w:line="360" w:lineRule="auto"/>
        <w:rPr>
          <w:rFonts w:cs="Arial"/>
        </w:rPr>
      </w:pPr>
    </w:p>
    <w:p w14:paraId="10A3757C" w14:textId="0AEB35C2" w:rsidR="00052BEA" w:rsidRPr="00052BEA" w:rsidRDefault="00052BEA" w:rsidP="00EB3091">
      <w:pPr>
        <w:pStyle w:val="Heading2"/>
      </w:pPr>
      <w:bookmarkStart w:id="367" w:name="_Toc431375313"/>
      <w:bookmarkStart w:id="368" w:name="_Toc44861339"/>
      <w:bookmarkStart w:id="369" w:name="_Toc64723943"/>
      <w:r w:rsidRPr="00052BEA">
        <w:t>Conclusion:</w:t>
      </w:r>
      <w:bookmarkEnd w:id="367"/>
      <w:bookmarkEnd w:id="368"/>
      <w:bookmarkEnd w:id="369"/>
    </w:p>
    <w:p w14:paraId="69DEE22C" w14:textId="0AC3A4D7" w:rsidR="00052BEA" w:rsidRPr="00052BEA" w:rsidRDefault="00052BEA" w:rsidP="00052BEA">
      <w:pPr>
        <w:spacing w:line="360" w:lineRule="auto"/>
        <w:rPr>
          <w:rFonts w:cs="Arial"/>
        </w:rPr>
      </w:pPr>
      <w:r w:rsidRPr="00052BEA">
        <w:rPr>
          <w:rFonts w:cs="Arial"/>
        </w:rPr>
        <w:t>In conclusion we found shorter mean transit time</w:t>
      </w:r>
      <w:r w:rsidR="00AA6C99">
        <w:rPr>
          <w:rFonts w:cs="Arial"/>
        </w:rPr>
        <w:t>s</w:t>
      </w:r>
      <w:r w:rsidRPr="00052BEA">
        <w:rPr>
          <w:rFonts w:cs="Arial"/>
        </w:rPr>
        <w:t xml:space="preserve"> for the </w:t>
      </w:r>
      <w:r w:rsidR="00AA6C99">
        <w:rPr>
          <w:rFonts w:cs="Arial"/>
        </w:rPr>
        <w:t>group with type 1 diabetes mellitus and no neuropathy</w:t>
      </w:r>
      <w:r w:rsidRPr="00052BEA">
        <w:rPr>
          <w:rFonts w:cs="Arial"/>
        </w:rPr>
        <w:t xml:space="preserve"> group and longer mean transit times at baseline for the </w:t>
      </w:r>
      <w:r w:rsidR="00AA6C99">
        <w:rPr>
          <w:rFonts w:cs="Arial"/>
        </w:rPr>
        <w:t>healthy volunteer</w:t>
      </w:r>
      <w:r w:rsidRPr="00052BEA">
        <w:rPr>
          <w:rFonts w:cs="Arial"/>
        </w:rPr>
        <w:t xml:space="preserve"> group, bilaterally in the insula and the primary sensory cortex.  This may indicate </w:t>
      </w:r>
      <w:r w:rsidR="00AA6C99">
        <w:rPr>
          <w:rFonts w:cs="Arial"/>
        </w:rPr>
        <w:t>central nervous system</w:t>
      </w:r>
      <w:r w:rsidRPr="00052BEA">
        <w:rPr>
          <w:rFonts w:cs="Arial"/>
        </w:rPr>
        <w:t xml:space="preserve"> hyperperfusion in subjects with diabetes analogous to perfusion differences in other microvascular circulation beds such as the retina or the kidney.  This is the first study to describe shortened </w:t>
      </w:r>
      <w:r w:rsidR="00AA6C99">
        <w:rPr>
          <w:rFonts w:cs="Arial"/>
        </w:rPr>
        <w:t>mean transit time</w:t>
      </w:r>
      <w:r w:rsidRPr="00052BEA">
        <w:rPr>
          <w:rFonts w:cs="Arial"/>
        </w:rPr>
        <w:t xml:space="preserve"> in a clinical setting and supports the prediction of the model of capillary transit time heterogeneity as a result of altered perfusion secondary to diabetes.  </w:t>
      </w:r>
    </w:p>
    <w:p w14:paraId="2697A0CE" w14:textId="77777777" w:rsidR="00052BEA" w:rsidRPr="00052BEA" w:rsidRDefault="00052BEA" w:rsidP="00052BEA">
      <w:pPr>
        <w:spacing w:line="360" w:lineRule="auto"/>
        <w:rPr>
          <w:rFonts w:cs="Arial"/>
        </w:rPr>
      </w:pPr>
      <w:r w:rsidRPr="00052BEA">
        <w:rPr>
          <w:rFonts w:cs="Arial"/>
        </w:rPr>
        <w:t xml:space="preserve">This study was unable to replicate the findings of the pilot study, although significant differences in the methodology by using quantification rather than relative perfusion make the findings difficult to compare. </w:t>
      </w:r>
    </w:p>
    <w:p w14:paraId="2200CB1D" w14:textId="0E97959D" w:rsidR="00052BEA" w:rsidRPr="00052BEA" w:rsidRDefault="00052BEA" w:rsidP="00052BEA">
      <w:pPr>
        <w:spacing w:line="360" w:lineRule="auto"/>
        <w:rPr>
          <w:rFonts w:cs="Arial"/>
        </w:rPr>
      </w:pPr>
      <w:r w:rsidRPr="00052BEA">
        <w:rPr>
          <w:rFonts w:cs="Arial"/>
        </w:rPr>
        <w:t xml:space="preserve">Subgroup analysis suggests that there is a shorter </w:t>
      </w:r>
      <w:r w:rsidR="00AA6C99">
        <w:rPr>
          <w:rFonts w:cs="Arial"/>
        </w:rPr>
        <w:t>time-to-peak concentration of contrast</w:t>
      </w:r>
      <w:r w:rsidRPr="00052BEA">
        <w:rPr>
          <w:rFonts w:cs="Arial"/>
        </w:rPr>
        <w:t xml:space="preserve"> and</w:t>
      </w:r>
      <w:r w:rsidR="00AA6C99">
        <w:rPr>
          <w:rFonts w:cs="Arial"/>
        </w:rPr>
        <w:t xml:space="preserve"> shorter mean transit time</w:t>
      </w:r>
      <w:r w:rsidRPr="00052BEA">
        <w:rPr>
          <w:rFonts w:cs="Arial"/>
        </w:rPr>
        <w:t xml:space="preserve"> between </w:t>
      </w:r>
      <w:r w:rsidR="00AA6C99">
        <w:rPr>
          <w:rFonts w:cs="Arial"/>
        </w:rPr>
        <w:t xml:space="preserve">a subgroup of the painful diabetic peripheral neuropathy group who were experiencing spontaneous pain (P+) during the scan </w:t>
      </w:r>
      <w:r w:rsidRPr="00052BEA">
        <w:rPr>
          <w:rFonts w:cs="Arial"/>
        </w:rPr>
        <w:t xml:space="preserve">and the </w:t>
      </w:r>
      <w:r w:rsidR="00AA6C99">
        <w:rPr>
          <w:rFonts w:cs="Arial"/>
        </w:rPr>
        <w:t xml:space="preserve">healthy volunteer and painless diabetic neuropathy groups.  Although this is a subgroup finding, shorter transit times </w:t>
      </w:r>
      <w:r w:rsidRPr="00052BEA">
        <w:rPr>
          <w:rFonts w:cs="Arial"/>
        </w:rPr>
        <w:t xml:space="preserve">may indicate measurement of neurovascular coupling due to spontaneous pain during the scan.  </w:t>
      </w:r>
    </w:p>
    <w:p w14:paraId="2DBDD412" w14:textId="54A8D2C4" w:rsidR="000D0695" w:rsidRDefault="000D0695">
      <w:r>
        <w:br w:type="page"/>
      </w:r>
    </w:p>
    <w:p w14:paraId="65CEE90B" w14:textId="5ADC3D28" w:rsidR="006416A2" w:rsidRPr="00BB75E6" w:rsidRDefault="006416A2" w:rsidP="0031237D">
      <w:pPr>
        <w:pStyle w:val="Heading1"/>
      </w:pPr>
      <w:bookmarkStart w:id="370" w:name="_Toc48469266"/>
      <w:bookmarkStart w:id="371" w:name="_Toc64723944"/>
      <w:r w:rsidRPr="00BB75E6">
        <w:lastRenderedPageBreak/>
        <w:t xml:space="preserve">Chapter 5: </w:t>
      </w:r>
      <w:r w:rsidRPr="00176FCD">
        <w:t xml:space="preserve">The </w:t>
      </w:r>
      <w:r w:rsidR="00D84C5C">
        <w:t>E</w:t>
      </w:r>
      <w:r w:rsidRPr="00176FCD">
        <w:t xml:space="preserve">ffect of </w:t>
      </w:r>
      <w:r>
        <w:t xml:space="preserve">a </w:t>
      </w:r>
      <w:r w:rsidR="00D84C5C">
        <w:t>N</w:t>
      </w:r>
      <w:r>
        <w:t xml:space="preserve">oxious </w:t>
      </w:r>
      <w:r w:rsidR="00D84C5C">
        <w:t>T</w:t>
      </w:r>
      <w:r>
        <w:t>hermal</w:t>
      </w:r>
      <w:r w:rsidRPr="00176FCD">
        <w:t xml:space="preserve"> </w:t>
      </w:r>
      <w:r w:rsidR="00D84C5C">
        <w:t>S</w:t>
      </w:r>
      <w:r w:rsidRPr="00176FCD">
        <w:t xml:space="preserve">timulus on </w:t>
      </w:r>
      <w:r w:rsidR="00D84C5C">
        <w:t>t</w:t>
      </w:r>
      <w:r w:rsidRPr="00176FCD">
        <w:t xml:space="preserve">he </w:t>
      </w:r>
      <w:r w:rsidR="00D84C5C">
        <w:t>M</w:t>
      </w:r>
      <w:r w:rsidRPr="00176FCD">
        <w:t xml:space="preserve">icrovascular </w:t>
      </w:r>
      <w:r w:rsidR="00D84C5C">
        <w:t>P</w:t>
      </w:r>
      <w:r w:rsidRPr="00176FCD">
        <w:t xml:space="preserve">erfusion of the </w:t>
      </w:r>
      <w:r w:rsidR="00D84C5C">
        <w:t>T</w:t>
      </w:r>
      <w:r w:rsidRPr="00176FCD">
        <w:t xml:space="preserve">halamus and </w:t>
      </w:r>
      <w:r w:rsidR="00D84C5C">
        <w:t>Ar</w:t>
      </w:r>
      <w:r>
        <w:t xml:space="preserve">eas of the </w:t>
      </w:r>
      <w:r w:rsidR="00D84C5C">
        <w:t>P</w:t>
      </w:r>
      <w:r>
        <w:t xml:space="preserve">ain </w:t>
      </w:r>
      <w:r w:rsidR="00D84C5C">
        <w:t>M</w:t>
      </w:r>
      <w:r>
        <w:t xml:space="preserve">atrix, in </w:t>
      </w:r>
      <w:r w:rsidR="00D84C5C">
        <w:t>P</w:t>
      </w:r>
      <w:r>
        <w:t xml:space="preserve">ainful </w:t>
      </w:r>
      <w:r w:rsidR="00D84C5C">
        <w:t>D</w:t>
      </w:r>
      <w:r>
        <w:t xml:space="preserve">iabetic </w:t>
      </w:r>
      <w:r w:rsidR="00D84C5C">
        <w:t>N</w:t>
      </w:r>
      <w:r>
        <w:t>europathy</w:t>
      </w:r>
      <w:r w:rsidRPr="00176FCD">
        <w:t xml:space="preserve"> </w:t>
      </w:r>
      <w:r w:rsidR="00D84C5C">
        <w:t>U</w:t>
      </w:r>
      <w:r w:rsidRPr="00176FCD">
        <w:t xml:space="preserve">sing </w:t>
      </w:r>
      <w:r w:rsidR="00D84C5C">
        <w:t>D</w:t>
      </w:r>
      <w:r w:rsidRPr="00176FCD">
        <w:t xml:space="preserve">ynamic </w:t>
      </w:r>
      <w:r w:rsidR="00D84C5C">
        <w:t>S</w:t>
      </w:r>
      <w:r w:rsidRPr="00176FCD">
        <w:t xml:space="preserve">usceptibility </w:t>
      </w:r>
      <w:r w:rsidR="00D84C5C">
        <w:t>C</w:t>
      </w:r>
      <w:r w:rsidRPr="00176FCD">
        <w:t>ontrast</w:t>
      </w:r>
      <w:bookmarkEnd w:id="370"/>
      <w:r w:rsidR="00DF7B5F">
        <w:t xml:space="preserve"> Magnetic Resonance Imaging</w:t>
      </w:r>
      <w:bookmarkEnd w:id="371"/>
    </w:p>
    <w:p w14:paraId="4DCF3911" w14:textId="77777777" w:rsidR="006416A2" w:rsidRPr="00BB75E6" w:rsidRDefault="006416A2" w:rsidP="006416A2">
      <w:pPr>
        <w:rPr>
          <w:rFonts w:cs="Arial"/>
        </w:rPr>
      </w:pPr>
    </w:p>
    <w:p w14:paraId="21CD1480" w14:textId="77777777" w:rsidR="006416A2" w:rsidRDefault="006416A2" w:rsidP="00E745CE">
      <w:pPr>
        <w:pStyle w:val="Heading2"/>
      </w:pPr>
      <w:bookmarkStart w:id="372" w:name="_Toc46213552"/>
      <w:bookmarkStart w:id="373" w:name="_Toc48469267"/>
      <w:bookmarkStart w:id="374" w:name="_Toc64723945"/>
      <w:bookmarkStart w:id="375" w:name="_Toc431375315"/>
      <w:r>
        <w:t>Abstract</w:t>
      </w:r>
      <w:bookmarkEnd w:id="372"/>
      <w:bookmarkEnd w:id="373"/>
      <w:bookmarkEnd w:id="374"/>
    </w:p>
    <w:p w14:paraId="53982560" w14:textId="40439371" w:rsidR="006416A2" w:rsidRPr="00435BD5" w:rsidRDefault="004018DD" w:rsidP="006416A2">
      <w:pPr>
        <w:spacing w:line="360" w:lineRule="auto"/>
        <w:rPr>
          <w:lang w:val="en"/>
        </w:rPr>
      </w:pPr>
      <w:r>
        <w:rPr>
          <w:b/>
          <w:bCs/>
          <w:color w:val="4472C4" w:themeColor="accent1"/>
          <w:lang w:val="en"/>
        </w:rPr>
        <w:t>Background</w:t>
      </w:r>
      <w:r w:rsidR="006416A2">
        <w:rPr>
          <w:b/>
          <w:bCs/>
          <w:lang w:val="en"/>
        </w:rPr>
        <w:t>:</w:t>
      </w:r>
      <w:r w:rsidR="006416A2" w:rsidRPr="00435BD5">
        <w:rPr>
          <w:lang w:val="en"/>
        </w:rPr>
        <w:t xml:space="preserve"> </w:t>
      </w:r>
      <w:r w:rsidR="006416A2">
        <w:t>Painful diabetic</w:t>
      </w:r>
      <w:r w:rsidR="006416A2" w:rsidRPr="00435BD5">
        <w:t xml:space="preserve"> p</w:t>
      </w:r>
      <w:r w:rsidR="006416A2">
        <w:t>eripheral neuropathy (P-DPN</w:t>
      </w:r>
      <w:r w:rsidR="006416A2" w:rsidRPr="00435BD5">
        <w:t>) negatively impacts quality of life of affected individuals and exacts an enormous socio-economic cost. Currently</w:t>
      </w:r>
      <w:r w:rsidR="006416A2">
        <w:t>,</w:t>
      </w:r>
      <w:r w:rsidR="006416A2" w:rsidRPr="00435BD5">
        <w:t xml:space="preserve"> symptomatic treatments provide inadequate management of pain in many patients. Our understanding of the risk factors that underlie the development of chronic neuropathic pain is limited. </w:t>
      </w:r>
      <w:r w:rsidR="006416A2" w:rsidRPr="00435BD5">
        <w:rPr>
          <w:lang w:val="en"/>
        </w:rPr>
        <w:t xml:space="preserve">The aim of this study was to measure cerebral perfusion of the pain processing areas of the brain using Dynamic Susceptibility Contrast </w:t>
      </w:r>
      <w:r w:rsidR="00DF7B5F">
        <w:rPr>
          <w:lang w:val="en"/>
        </w:rPr>
        <w:t xml:space="preserve">magnetic resonance imaging </w:t>
      </w:r>
      <w:r w:rsidR="006416A2" w:rsidRPr="00435BD5">
        <w:rPr>
          <w:lang w:val="en"/>
        </w:rPr>
        <w:t>(DSC</w:t>
      </w:r>
      <w:r w:rsidR="00DF7B5F">
        <w:rPr>
          <w:lang w:val="en"/>
        </w:rPr>
        <w:t>-MRI</w:t>
      </w:r>
      <w:r w:rsidR="006416A2" w:rsidRPr="00435BD5">
        <w:rPr>
          <w:lang w:val="en"/>
        </w:rPr>
        <w:t xml:space="preserve">) imaging at rest and </w:t>
      </w:r>
      <w:r w:rsidR="006416A2">
        <w:rPr>
          <w:lang w:val="en"/>
        </w:rPr>
        <w:t>during an</w:t>
      </w:r>
      <w:r w:rsidR="006416A2" w:rsidRPr="00435BD5">
        <w:rPr>
          <w:lang w:val="en"/>
        </w:rPr>
        <w:t xml:space="preserve"> experimental pain condition. </w:t>
      </w:r>
    </w:p>
    <w:p w14:paraId="0EDEBA88" w14:textId="482A1ED1" w:rsidR="006416A2" w:rsidRPr="00435BD5" w:rsidRDefault="006416A2" w:rsidP="006416A2">
      <w:pPr>
        <w:spacing w:line="360" w:lineRule="auto"/>
        <w:rPr>
          <w:lang w:val="en"/>
        </w:rPr>
      </w:pPr>
      <w:r w:rsidRPr="004018DD">
        <w:rPr>
          <w:b/>
          <w:bCs/>
          <w:color w:val="4472C4" w:themeColor="accent1"/>
          <w:lang w:val="en"/>
        </w:rPr>
        <w:t>Methods</w:t>
      </w:r>
      <w:r>
        <w:rPr>
          <w:b/>
          <w:bCs/>
          <w:lang w:val="en"/>
        </w:rPr>
        <w:t>:</w:t>
      </w:r>
      <w:r w:rsidRPr="00435BD5">
        <w:rPr>
          <w:lang w:val="en"/>
        </w:rPr>
        <w:t xml:space="preserve"> 5</w:t>
      </w:r>
      <w:r>
        <w:rPr>
          <w:lang w:val="en"/>
        </w:rPr>
        <w:t>5</w:t>
      </w:r>
      <w:r w:rsidRPr="00435BD5">
        <w:rPr>
          <w:lang w:val="en"/>
        </w:rPr>
        <w:t xml:space="preserve"> </w:t>
      </w:r>
      <w:r>
        <w:rPr>
          <w:lang w:val="en"/>
        </w:rPr>
        <w:t>patients with type 1 diabetes (</w:t>
      </w:r>
      <w:r w:rsidRPr="00435BD5">
        <w:rPr>
          <w:lang w:val="en"/>
        </w:rPr>
        <w:t>T1D</w:t>
      </w:r>
      <w:r>
        <w:rPr>
          <w:lang w:val="en"/>
        </w:rPr>
        <w:t>)</w:t>
      </w:r>
      <w:r w:rsidRPr="00435BD5">
        <w:rPr>
          <w:lang w:val="en"/>
        </w:rPr>
        <w:t xml:space="preserve"> subjects </w:t>
      </w:r>
      <w:r w:rsidR="009803FB">
        <w:rPr>
          <w:lang w:val="en"/>
        </w:rPr>
        <w:t>(</w:t>
      </w:r>
      <w:r>
        <w:rPr>
          <w:lang w:val="en"/>
        </w:rPr>
        <w:t xml:space="preserve">19 </w:t>
      </w:r>
      <w:r w:rsidR="009803FB">
        <w:rPr>
          <w:lang w:val="en"/>
        </w:rPr>
        <w:t xml:space="preserve">with painful diabetic peripheral neuropathy </w:t>
      </w:r>
      <w:r w:rsidRPr="00435BD5">
        <w:rPr>
          <w:lang w:val="en"/>
        </w:rPr>
        <w:t xml:space="preserve">, 23 </w:t>
      </w:r>
      <w:r w:rsidR="009803FB">
        <w:rPr>
          <w:lang w:val="en"/>
        </w:rPr>
        <w:t>with</w:t>
      </w:r>
      <w:r>
        <w:rPr>
          <w:lang w:val="en"/>
        </w:rPr>
        <w:t xml:space="preserve"> painless</w:t>
      </w:r>
      <w:r w:rsidR="009803FB">
        <w:rPr>
          <w:lang w:val="en"/>
        </w:rPr>
        <w:t xml:space="preserve"> diabetic peripheral neuropathy (DPN)</w:t>
      </w:r>
      <w:r w:rsidRPr="00435BD5">
        <w:rPr>
          <w:lang w:val="en"/>
        </w:rPr>
        <w:t xml:space="preserve">, 13 </w:t>
      </w:r>
      <w:r w:rsidR="009803FB">
        <w:rPr>
          <w:lang w:val="en"/>
        </w:rPr>
        <w:t>with type 1 diabetes mellitus and no neuropathy (</w:t>
      </w:r>
      <w:r>
        <w:rPr>
          <w:lang w:val="en"/>
        </w:rPr>
        <w:t>DM-NN</w:t>
      </w:r>
      <w:r w:rsidR="009803FB">
        <w:rPr>
          <w:lang w:val="en"/>
        </w:rPr>
        <w:t>)</w:t>
      </w:r>
      <w:r>
        <w:rPr>
          <w:lang w:val="en"/>
        </w:rPr>
        <w:t xml:space="preserve"> </w:t>
      </w:r>
      <w:r w:rsidRPr="00435BD5">
        <w:rPr>
          <w:lang w:val="en"/>
        </w:rPr>
        <w:t>and 19 healthy non</w:t>
      </w:r>
      <w:r>
        <w:rPr>
          <w:lang w:val="en"/>
        </w:rPr>
        <w:t>-</w:t>
      </w:r>
      <w:r w:rsidRPr="00435BD5">
        <w:rPr>
          <w:lang w:val="en"/>
        </w:rPr>
        <w:t>diabetic volunteers</w:t>
      </w:r>
      <w:r>
        <w:rPr>
          <w:lang w:val="en"/>
        </w:rPr>
        <w:t xml:space="preserve"> (HV) took part in the study. </w:t>
      </w:r>
      <w:r w:rsidR="009803FB">
        <w:rPr>
          <w:lang w:val="en"/>
        </w:rPr>
        <w:t>Magnetic resonance</w:t>
      </w:r>
      <w:r w:rsidRPr="00435BD5">
        <w:rPr>
          <w:lang w:val="en"/>
        </w:rPr>
        <w:t xml:space="preserve"> images were obtained at 3</w:t>
      </w:r>
      <w:r w:rsidR="009803FB">
        <w:rPr>
          <w:lang w:val="en"/>
        </w:rPr>
        <w:t xml:space="preserve"> </w:t>
      </w:r>
      <w:r w:rsidRPr="00435BD5">
        <w:rPr>
          <w:lang w:val="en"/>
        </w:rPr>
        <w:t>T</w:t>
      </w:r>
      <w:r w:rsidR="009803FB">
        <w:rPr>
          <w:lang w:val="en"/>
        </w:rPr>
        <w:t>esla</w:t>
      </w:r>
      <w:r w:rsidRPr="00435BD5">
        <w:rPr>
          <w:lang w:val="en"/>
        </w:rPr>
        <w:t xml:space="preserve"> using </w:t>
      </w:r>
      <w:proofErr w:type="gramStart"/>
      <w:r w:rsidRPr="00435BD5">
        <w:rPr>
          <w:lang w:val="en"/>
        </w:rPr>
        <w:t>a</w:t>
      </w:r>
      <w:r w:rsidR="00F146D5">
        <w:rPr>
          <w:lang w:val="en"/>
        </w:rPr>
        <w:t>n</w:t>
      </w:r>
      <w:proofErr w:type="gramEnd"/>
      <w:r w:rsidRPr="00435BD5">
        <w:rPr>
          <w:lang w:val="en"/>
        </w:rPr>
        <w:t xml:space="preserve"> </w:t>
      </w:r>
      <w:r w:rsidR="009803FB">
        <w:rPr>
          <w:lang w:val="en"/>
        </w:rPr>
        <w:t xml:space="preserve">dynamic susceptibility contrast magnetic resonance imaging </w:t>
      </w:r>
      <w:r w:rsidRPr="00435BD5">
        <w:rPr>
          <w:lang w:val="en"/>
        </w:rPr>
        <w:t>T2*-weighted technique (</w:t>
      </w:r>
      <w:r w:rsidR="009803FB">
        <w:rPr>
          <w:lang w:val="en"/>
        </w:rPr>
        <w:t xml:space="preserve">Time to repetition/ Time to Echo </w:t>
      </w:r>
      <w:r w:rsidRPr="00435BD5">
        <w:rPr>
          <w:lang w:val="en"/>
        </w:rPr>
        <w:t xml:space="preserve">TR/TE=1250/35ms; 72 dynamics) to assess the passage of a bolus of intravenous gadolinium-chelate through </w:t>
      </w:r>
      <w:r>
        <w:rPr>
          <w:lang w:val="en"/>
        </w:rPr>
        <w:t xml:space="preserve">the </w:t>
      </w:r>
      <w:r w:rsidRPr="00435BD5">
        <w:rPr>
          <w:lang w:val="en"/>
        </w:rPr>
        <w:t>cerebral vascular bed. Subjects were scanned at baseline and during 90s of heat-pain applied to the right lateral thigh (non-neuropathic area). The time-to-peak (TTP)</w:t>
      </w:r>
      <w:r>
        <w:rPr>
          <w:lang w:val="en"/>
        </w:rPr>
        <w:t>, regional blood volume (RBV), regional blood flow (RBF) and mean transit time (MTT)</w:t>
      </w:r>
      <w:r w:rsidRPr="00435BD5">
        <w:rPr>
          <w:lang w:val="en"/>
        </w:rPr>
        <w:t xml:space="preserve"> </w:t>
      </w:r>
      <w:r>
        <w:rPr>
          <w:lang w:val="en"/>
        </w:rPr>
        <w:t>were calculated for the left (L</w:t>
      </w:r>
      <w:r w:rsidR="00264184">
        <w:rPr>
          <w:lang w:val="en"/>
        </w:rPr>
        <w:t>T</w:t>
      </w:r>
      <w:r>
        <w:rPr>
          <w:lang w:val="en"/>
        </w:rPr>
        <w:t>hal) and right thalamus (</w:t>
      </w:r>
      <w:proofErr w:type="spellStart"/>
      <w:r>
        <w:rPr>
          <w:lang w:val="en"/>
        </w:rPr>
        <w:t>RThal</w:t>
      </w:r>
      <w:proofErr w:type="spellEnd"/>
      <w:r>
        <w:rPr>
          <w:lang w:val="en"/>
        </w:rPr>
        <w:t xml:space="preserve">), left and right insula (LINS, RINS), anterior cingulate cortex (ACC), parieto-occipital white matter (POWM), and </w:t>
      </w:r>
      <w:r w:rsidRPr="002B4479">
        <w:t xml:space="preserve">left and right primary sensory cortex (LPSC, RPSC) and adjusted for pain perception during the experiment. The </w:t>
      </w:r>
      <w:r w:rsidR="009803FB">
        <w:t>Delta (</w:t>
      </w:r>
      <w:r w:rsidRPr="002B4479">
        <w:rPr>
          <w:rFonts w:hint="eastAsia"/>
        </w:rPr>
        <w:t>Δ</w:t>
      </w:r>
      <w:r w:rsidR="009803FB">
        <w:rPr>
          <w:rFonts w:hint="eastAsia"/>
        </w:rPr>
        <w:t>)</w:t>
      </w:r>
      <w:r w:rsidRPr="002B4479">
        <w:t xml:space="preserve"> value was calculated for the difference between the baseline and pain experiment values for all perfusion parameters and regions of</w:t>
      </w:r>
      <w:r>
        <w:rPr>
          <w:lang w:val="en"/>
        </w:rPr>
        <w:t xml:space="preserve"> interest. The presence of spontaneous pain was correlated with perfusion measures.</w:t>
      </w:r>
    </w:p>
    <w:p w14:paraId="071FD636" w14:textId="77777777" w:rsidR="00D41A08" w:rsidRDefault="006416A2" w:rsidP="006416A2">
      <w:pPr>
        <w:spacing w:line="360" w:lineRule="auto"/>
        <w:rPr>
          <w:lang w:val="en"/>
        </w:rPr>
      </w:pPr>
      <w:r w:rsidRPr="004018DD">
        <w:rPr>
          <w:b/>
          <w:bCs/>
          <w:color w:val="4472C4" w:themeColor="accent1"/>
          <w:lang w:val="en"/>
        </w:rPr>
        <w:lastRenderedPageBreak/>
        <w:t>Results</w:t>
      </w:r>
      <w:r>
        <w:rPr>
          <w:lang w:val="en"/>
        </w:rPr>
        <w:t>:</w:t>
      </w:r>
      <w:r w:rsidRPr="00435BD5">
        <w:rPr>
          <w:lang w:val="en"/>
        </w:rPr>
        <w:t xml:space="preserve"> </w:t>
      </w:r>
      <w:r>
        <w:rPr>
          <w:lang w:val="en"/>
        </w:rPr>
        <w:t>T</w:t>
      </w:r>
      <w:r w:rsidRPr="00435BD5">
        <w:rPr>
          <w:lang w:val="en"/>
        </w:rPr>
        <w:t xml:space="preserve">he change in </w:t>
      </w:r>
      <w:r w:rsidR="009803FB">
        <w:rPr>
          <w:lang w:val="en"/>
        </w:rPr>
        <w:t xml:space="preserve">time-to-peak concentration of contrast </w:t>
      </w:r>
      <w:r w:rsidRPr="00435BD5">
        <w:rPr>
          <w:lang w:val="en"/>
        </w:rPr>
        <w:t xml:space="preserve"> in response to thermal pain </w:t>
      </w:r>
      <w:r>
        <w:rPr>
          <w:lang w:val="en"/>
        </w:rPr>
        <w:t xml:space="preserve">[Δ TTP (s)], </w:t>
      </w:r>
      <w:r w:rsidRPr="00435BD5">
        <w:rPr>
          <w:lang w:val="en"/>
        </w:rPr>
        <w:t xml:space="preserve">was significantly prolonged in the </w:t>
      </w:r>
      <w:r w:rsidR="003A08CE">
        <w:rPr>
          <w:lang w:val="en"/>
        </w:rPr>
        <w:t>painful diabetic peripheral neuropathy</w:t>
      </w:r>
      <w:r w:rsidRPr="00435BD5">
        <w:rPr>
          <w:lang w:val="en"/>
        </w:rPr>
        <w:t xml:space="preserve"> group in the </w:t>
      </w:r>
      <w:r w:rsidR="009803FB">
        <w:rPr>
          <w:lang w:val="en"/>
        </w:rPr>
        <w:t xml:space="preserve">left thalamus </w:t>
      </w:r>
      <w:r w:rsidRPr="00435BD5">
        <w:rPr>
          <w:lang w:val="en"/>
        </w:rPr>
        <w:t xml:space="preserve">(p=0.021), </w:t>
      </w:r>
      <w:r w:rsidR="009803FB">
        <w:rPr>
          <w:lang w:val="en"/>
        </w:rPr>
        <w:t>right thalamus</w:t>
      </w:r>
      <w:r w:rsidRPr="00435BD5">
        <w:rPr>
          <w:lang w:val="en"/>
        </w:rPr>
        <w:t xml:space="preserve"> (p=0.003), </w:t>
      </w:r>
      <w:r w:rsidR="003A08CE">
        <w:rPr>
          <w:lang w:val="en"/>
        </w:rPr>
        <w:t>left insula</w:t>
      </w:r>
      <w:r>
        <w:rPr>
          <w:lang w:val="en"/>
        </w:rPr>
        <w:t xml:space="preserve"> (p=.017), </w:t>
      </w:r>
      <w:r w:rsidR="003A08CE">
        <w:rPr>
          <w:lang w:val="en"/>
        </w:rPr>
        <w:t>left primary sensory cortex</w:t>
      </w:r>
      <w:r w:rsidRPr="00435BD5">
        <w:rPr>
          <w:lang w:val="en"/>
        </w:rPr>
        <w:t xml:space="preserve"> (p=0.009), </w:t>
      </w:r>
      <w:r w:rsidR="003A08CE">
        <w:rPr>
          <w:lang w:val="en"/>
        </w:rPr>
        <w:t>and right primary sensory cortex</w:t>
      </w:r>
      <w:r w:rsidRPr="00435BD5">
        <w:rPr>
          <w:lang w:val="en"/>
        </w:rPr>
        <w:t xml:space="preserve"> (p=0.008). Whilst </w:t>
      </w:r>
      <w:r w:rsidR="003A08CE">
        <w:rPr>
          <w:lang w:val="en"/>
        </w:rPr>
        <w:t>the healthy volunteers</w:t>
      </w:r>
      <w:r w:rsidRPr="00435BD5">
        <w:rPr>
          <w:lang w:val="en"/>
        </w:rPr>
        <w:t xml:space="preserve"> respond</w:t>
      </w:r>
      <w:r w:rsidR="003A08CE">
        <w:rPr>
          <w:lang w:val="en"/>
        </w:rPr>
        <w:t>ed</w:t>
      </w:r>
      <w:r w:rsidRPr="00435BD5">
        <w:rPr>
          <w:lang w:val="en"/>
        </w:rPr>
        <w:t xml:space="preserve"> to thermal pain by shortening the </w:t>
      </w:r>
      <w:r w:rsidR="003A08CE">
        <w:rPr>
          <w:lang w:val="en"/>
        </w:rPr>
        <w:t xml:space="preserve">time-to-peak concentration of contrast, </w:t>
      </w:r>
      <w:r w:rsidRPr="00435BD5">
        <w:rPr>
          <w:lang w:val="en"/>
        </w:rPr>
        <w:t xml:space="preserve"> the</w:t>
      </w:r>
      <w:r w:rsidR="003A08CE">
        <w:rPr>
          <w:lang w:val="en"/>
        </w:rPr>
        <w:t xml:space="preserve"> response of </w:t>
      </w:r>
      <w:r w:rsidRPr="00435BD5">
        <w:rPr>
          <w:lang w:val="en"/>
        </w:rPr>
        <w:t xml:space="preserve"> </w:t>
      </w:r>
      <w:r w:rsidR="003A08CE">
        <w:rPr>
          <w:lang w:val="en"/>
        </w:rPr>
        <w:t>painful diabetic peripheral neuropathy</w:t>
      </w:r>
      <w:r w:rsidRPr="00435BD5">
        <w:rPr>
          <w:lang w:val="en"/>
        </w:rPr>
        <w:t xml:space="preserve"> group </w:t>
      </w:r>
      <w:r w:rsidR="003A08CE">
        <w:rPr>
          <w:lang w:val="en"/>
        </w:rPr>
        <w:t>was to prolong the time-to-peak concentration</w:t>
      </w:r>
      <w:r w:rsidRPr="00435BD5">
        <w:rPr>
          <w:lang w:val="en"/>
        </w:rPr>
        <w:t xml:space="preserve"> (p&lt;0.05). </w:t>
      </w:r>
      <w:r w:rsidR="003A08CE">
        <w:rPr>
          <w:lang w:val="en"/>
        </w:rPr>
        <w:t xml:space="preserve">The change in regional blood volume in response to thermal pain was </w:t>
      </w:r>
      <w:r>
        <w:rPr>
          <w:lang w:val="en"/>
        </w:rPr>
        <w:t xml:space="preserve">significantly different at the </w:t>
      </w:r>
      <w:r w:rsidR="003A08CE">
        <w:rPr>
          <w:lang w:val="en"/>
        </w:rPr>
        <w:t>right primary sensory cortex</w:t>
      </w:r>
      <w:r>
        <w:rPr>
          <w:lang w:val="en"/>
        </w:rPr>
        <w:t xml:space="preserve"> (p=.01) and the </w:t>
      </w:r>
      <w:r w:rsidR="003A08CE">
        <w:rPr>
          <w:lang w:val="en"/>
        </w:rPr>
        <w:t>parieto-occipital white matter</w:t>
      </w:r>
      <w:r>
        <w:rPr>
          <w:lang w:val="en"/>
        </w:rPr>
        <w:t xml:space="preserve"> (p=.04) when accounting for the effect of pain perception. </w:t>
      </w:r>
    </w:p>
    <w:p w14:paraId="11A6A10A" w14:textId="66287E6D" w:rsidR="006416A2" w:rsidRPr="00435BD5" w:rsidRDefault="006416A2" w:rsidP="006416A2">
      <w:pPr>
        <w:spacing w:line="360" w:lineRule="auto"/>
        <w:rPr>
          <w:lang w:val="en"/>
        </w:rPr>
      </w:pPr>
      <w:r>
        <w:rPr>
          <w:lang w:val="en"/>
        </w:rPr>
        <w:t>The</w:t>
      </w:r>
      <w:r w:rsidR="00D41A08">
        <w:rPr>
          <w:lang w:val="en"/>
        </w:rPr>
        <w:t xml:space="preserve"> </w:t>
      </w:r>
      <w:r w:rsidR="003A08CE">
        <w:rPr>
          <w:lang w:val="en"/>
        </w:rPr>
        <w:t>subgroup analysis accounting for spontaneous pain during the scan showed that the painful neuropathy subgroup</w:t>
      </w:r>
      <w:r w:rsidR="00D41A08">
        <w:rPr>
          <w:lang w:val="en"/>
        </w:rPr>
        <w:t>,</w:t>
      </w:r>
      <w:r w:rsidR="003A08CE">
        <w:rPr>
          <w:lang w:val="en"/>
        </w:rPr>
        <w:t xml:space="preserve"> who were not experiencing spontaneous pain</w:t>
      </w:r>
      <w:r w:rsidR="00D41A08">
        <w:rPr>
          <w:lang w:val="en"/>
        </w:rPr>
        <w:t>,</w:t>
      </w:r>
      <w:r w:rsidR="003A08CE">
        <w:rPr>
          <w:lang w:val="en"/>
        </w:rPr>
        <w:t xml:space="preserve"> </w:t>
      </w:r>
      <w:r>
        <w:rPr>
          <w:lang w:val="en"/>
        </w:rPr>
        <w:t xml:space="preserve">had significantly prolonged TTP in response to the painful noxious stimulus in the </w:t>
      </w:r>
      <w:r w:rsidR="00D41A08">
        <w:rPr>
          <w:lang w:val="en"/>
        </w:rPr>
        <w:t>right thalamus</w:t>
      </w:r>
      <w:r w:rsidR="00375E68">
        <w:rPr>
          <w:lang w:val="en"/>
        </w:rPr>
        <w:t xml:space="preserve"> (p=.022)</w:t>
      </w:r>
      <w:r>
        <w:rPr>
          <w:lang w:val="en"/>
        </w:rPr>
        <w:t xml:space="preserve"> and </w:t>
      </w:r>
      <w:r w:rsidR="00D41A08">
        <w:rPr>
          <w:lang w:val="en"/>
        </w:rPr>
        <w:t>right primary sensory cortex</w:t>
      </w:r>
      <w:r w:rsidR="00375E68">
        <w:rPr>
          <w:lang w:val="en"/>
        </w:rPr>
        <w:t xml:space="preserve"> (p=.013) compared with </w:t>
      </w:r>
      <w:r w:rsidR="00D41A08">
        <w:rPr>
          <w:lang w:val="en"/>
        </w:rPr>
        <w:t>the healthy volunteer group</w:t>
      </w:r>
      <w:r>
        <w:rPr>
          <w:lang w:val="en"/>
        </w:rPr>
        <w:t xml:space="preserve">. </w:t>
      </w:r>
    </w:p>
    <w:p w14:paraId="407CC7DC" w14:textId="7977FD15" w:rsidR="006416A2" w:rsidRPr="00435BD5" w:rsidRDefault="006416A2" w:rsidP="006416A2">
      <w:pPr>
        <w:spacing w:line="360" w:lineRule="auto"/>
      </w:pPr>
      <w:r w:rsidRPr="004018DD">
        <w:rPr>
          <w:b/>
          <w:bCs/>
          <w:color w:val="4472C4" w:themeColor="accent1"/>
          <w:lang w:val="en"/>
        </w:rPr>
        <w:t>Conclusion</w:t>
      </w:r>
      <w:r w:rsidR="00CA04EB">
        <w:rPr>
          <w:b/>
          <w:bCs/>
          <w:color w:val="4472C4" w:themeColor="accent1"/>
          <w:lang w:val="en"/>
        </w:rPr>
        <w:t>s</w:t>
      </w:r>
      <w:r>
        <w:rPr>
          <w:b/>
          <w:bCs/>
          <w:lang w:val="en"/>
        </w:rPr>
        <w:t>:</w:t>
      </w:r>
      <w:r w:rsidRPr="00435BD5">
        <w:rPr>
          <w:lang w:val="en"/>
        </w:rPr>
        <w:t xml:space="preserve"> Subjects with </w:t>
      </w:r>
      <w:r w:rsidR="00D41A08">
        <w:rPr>
          <w:lang w:val="en"/>
        </w:rPr>
        <w:t>painful diabetic peripheral neuropathy</w:t>
      </w:r>
      <w:r w:rsidRPr="00435BD5">
        <w:rPr>
          <w:lang w:val="en"/>
        </w:rPr>
        <w:t xml:space="preserve"> have a paradoxical increase in </w:t>
      </w:r>
      <w:r w:rsidR="00D41A08">
        <w:rPr>
          <w:lang w:val="en"/>
        </w:rPr>
        <w:t>time-to-peak concentration of contrast</w:t>
      </w:r>
      <w:r>
        <w:rPr>
          <w:lang w:val="en"/>
        </w:rPr>
        <w:t xml:space="preserve"> and </w:t>
      </w:r>
      <w:r w:rsidR="00D41A08">
        <w:rPr>
          <w:lang w:val="en"/>
        </w:rPr>
        <w:t xml:space="preserve">a </w:t>
      </w:r>
      <w:r>
        <w:rPr>
          <w:lang w:val="en"/>
        </w:rPr>
        <w:t xml:space="preserve">decrease in </w:t>
      </w:r>
      <w:r w:rsidR="00D41A08">
        <w:rPr>
          <w:lang w:val="en"/>
        </w:rPr>
        <w:t>regional blood volume</w:t>
      </w:r>
      <w:r w:rsidR="00375E68">
        <w:rPr>
          <w:lang w:val="en"/>
        </w:rPr>
        <w:t xml:space="preserve"> in some </w:t>
      </w:r>
      <w:r w:rsidR="00D41A08">
        <w:rPr>
          <w:lang w:val="en"/>
        </w:rPr>
        <w:t>areas of the pain matrix</w:t>
      </w:r>
      <w:r w:rsidRPr="00435BD5">
        <w:rPr>
          <w:lang w:val="en"/>
        </w:rPr>
        <w:t>, indicating that chronic neuropathic pain may result</w:t>
      </w:r>
      <w:r>
        <w:rPr>
          <w:lang w:val="en"/>
        </w:rPr>
        <w:t xml:space="preserve"> </w:t>
      </w:r>
      <w:r w:rsidRPr="00B46242">
        <w:rPr>
          <w:lang w:val="en"/>
        </w:rPr>
        <w:t xml:space="preserve">in an abnormal neurovascular coupling response. This response exists independently of clinically significant spontaneous pain. This novel finding may serve as an objective marker of chronic </w:t>
      </w:r>
      <w:r w:rsidR="00D41A08">
        <w:rPr>
          <w:lang w:val="en"/>
        </w:rPr>
        <w:t>painful diabetic peripheral neuropathy</w:t>
      </w:r>
      <w:r w:rsidRPr="00B46242">
        <w:rPr>
          <w:lang w:val="en"/>
        </w:rPr>
        <w:t>, and a target for the development of novel treatments.</w:t>
      </w:r>
    </w:p>
    <w:p w14:paraId="0E0C2ADA" w14:textId="77777777" w:rsidR="006416A2" w:rsidRPr="00435BD5" w:rsidRDefault="006416A2" w:rsidP="006416A2"/>
    <w:p w14:paraId="03D49E34" w14:textId="68CB47FD" w:rsidR="006416A2" w:rsidRPr="00BB75E6" w:rsidRDefault="006416A2" w:rsidP="00E745CE">
      <w:pPr>
        <w:pStyle w:val="Heading2"/>
      </w:pPr>
      <w:bookmarkStart w:id="376" w:name="_Toc46213553"/>
      <w:bookmarkStart w:id="377" w:name="_Toc48469268"/>
      <w:bookmarkStart w:id="378" w:name="_Toc64723946"/>
      <w:r w:rsidRPr="00BB75E6">
        <w:t>Introduction</w:t>
      </w:r>
      <w:bookmarkEnd w:id="375"/>
      <w:bookmarkEnd w:id="376"/>
      <w:bookmarkEnd w:id="377"/>
      <w:bookmarkEnd w:id="378"/>
    </w:p>
    <w:p w14:paraId="57A60987" w14:textId="2CD35A0F" w:rsidR="006416A2" w:rsidRPr="00BB75E6" w:rsidRDefault="006416A2" w:rsidP="006416A2">
      <w:pPr>
        <w:spacing w:line="360" w:lineRule="auto"/>
        <w:rPr>
          <w:rFonts w:cs="Arial"/>
        </w:rPr>
      </w:pPr>
      <w:r w:rsidRPr="00BB75E6">
        <w:rPr>
          <w:rFonts w:cs="Arial"/>
        </w:rPr>
        <w:t>Neuropathic pain is the end result of the central processing of nociceptive input</w:t>
      </w:r>
      <w:r>
        <w:rPr>
          <w:rFonts w:cs="Arial"/>
        </w:rPr>
        <w:t>,</w:t>
      </w:r>
      <w:r w:rsidRPr="00BB75E6">
        <w:rPr>
          <w:rFonts w:cs="Arial"/>
        </w:rPr>
        <w:t xml:space="preserve"> generated from a disease or injury to the somatosensory nervous system </w:t>
      </w:r>
      <w:r w:rsidRPr="00BB75E6">
        <w:rPr>
          <w:rFonts w:cs="Arial"/>
          <w:bCs/>
          <w:lang w:val="en-US"/>
        </w:rPr>
        <w:fldChar w:fldCharType="begin"/>
      </w:r>
      <w:r w:rsidRPr="00BB75E6">
        <w:rPr>
          <w:rFonts w:cs="Arial"/>
          <w:bCs/>
          <w:lang w:val="en-US"/>
        </w:rPr>
        <w:instrText xml:space="preserve"> ADDIN EN.CITE &lt;EndNote&gt;&lt;Cite&gt;&lt;Author&gt;Finnerup&lt;/Author&gt;&lt;Year&gt;2016&lt;/Year&gt;&lt;IDText&gt;Neuropathic pain: an updated grading system for research and clinical practice&lt;/IDText&gt;&lt;DisplayText&gt;(Finnerup et al., 2016)&lt;/DisplayText&gt;&lt;record&gt;&lt;dates&gt;&lt;pub-dates&gt;&lt;date&gt;Aug&lt;/date&gt;&lt;/pub-dates&gt;&lt;year&gt;2016&lt;/year&gt;&lt;/dates&gt;&lt;urls&gt;&lt;related-urls&gt;&lt;url&gt;&amp;lt;Go to ISI&amp;gt;://WOS:000386014000007&lt;/url&gt;&lt;/related-urls&gt;&lt;/urls&gt;&lt;isbn&gt;0304-3959&lt;/isbn&gt;&lt;titles&gt;&lt;title&gt;Neuropathic pain: an updated grading system for research and clinical practice&lt;/title&gt;&lt;secondary-title&gt;Pain&lt;/secondary-title&gt;&lt;/titles&gt;&lt;pages&gt;1599-1606&lt;/pages&gt;&lt;number&gt;8&lt;/number&gt;&lt;contributors&gt;&lt;authors&gt;&lt;author&gt;Finnerup, Nanna B.&lt;/author&gt;&lt;author&gt;Haroutounian, Simon&lt;/author&gt;&lt;author&gt;Kamerman, Peter&lt;/author&gt;&lt;author&gt;Baron, Ralf&lt;/author&gt;&lt;author&gt;Bennett, David L. H.&lt;/author&gt;&lt;author&gt;Bouhassira, Didier&lt;/author&gt;&lt;author&gt;Cruccu, Giorgio&lt;/author&gt;&lt;author&gt;Freeman, Roy&lt;/author&gt;&lt;author&gt;Hansson, Per&lt;/author&gt;&lt;author&gt;Nurmikko, Turo&lt;/author&gt;&lt;author&gt;Raja, Srinivasa N.&lt;/author&gt;&lt;author&gt;Rice, Andrew S. C.&lt;/author&gt;&lt;author&gt;Serra, Jordi&lt;/author&gt;&lt;author&gt;Smith, Blair H.&lt;/author&gt;&lt;author&gt;Treede, Rolf-Detlef&lt;/author&gt;&lt;author&gt;Jensen, Troels S.&lt;/author&gt;&lt;/authors&gt;&lt;/contributors&gt;&lt;added-date format="utc"&gt;1541756288&lt;/added-date&gt;&lt;ref-type name="Journal Article"&gt;17&lt;/ref-type&gt;&lt;rec-number&gt;973&lt;/rec-number&gt;&lt;last-updated-date format="utc"&gt;1541756288&lt;/last-updated-date&gt;&lt;accession-num&gt;WOS:000386014000007&lt;/accession-num&gt;&lt;electronic-resource-num&gt;10.1097/j.pain.0000000000000492&lt;/electronic-resource-num&gt;&lt;volume&gt;157&lt;/volume&gt;&lt;/record&gt;&lt;/Cite&gt;&lt;/EndNote&gt;</w:instrText>
      </w:r>
      <w:r w:rsidRPr="00BB75E6">
        <w:rPr>
          <w:rFonts w:cs="Arial"/>
          <w:bCs/>
          <w:lang w:val="en-US"/>
        </w:rPr>
        <w:fldChar w:fldCharType="separate"/>
      </w:r>
      <w:r w:rsidRPr="00BB75E6">
        <w:rPr>
          <w:rFonts w:cs="Arial"/>
          <w:bCs/>
          <w:noProof/>
          <w:lang w:val="en-US"/>
        </w:rPr>
        <w:t>(Finnerup et al., 2016)</w:t>
      </w:r>
      <w:r w:rsidRPr="00BB75E6">
        <w:rPr>
          <w:rFonts w:cs="Arial"/>
          <w:bCs/>
          <w:lang w:val="en-US"/>
        </w:rPr>
        <w:fldChar w:fldCharType="end"/>
      </w:r>
      <w:r w:rsidRPr="00BB75E6">
        <w:rPr>
          <w:rFonts w:cs="Arial"/>
        </w:rPr>
        <w:t xml:space="preserve">. </w:t>
      </w:r>
      <w:r>
        <w:rPr>
          <w:rFonts w:cs="Arial"/>
        </w:rPr>
        <w:t xml:space="preserve">The International Association for the Study of Pain described neuropathic pain in the following statement: </w:t>
      </w:r>
      <w:r w:rsidRPr="00BB75E6">
        <w:rPr>
          <w:rFonts w:cs="Arial"/>
        </w:rPr>
        <w:t xml:space="preserve"> </w:t>
      </w:r>
      <w:r>
        <w:rPr>
          <w:rFonts w:cs="Arial"/>
        </w:rPr>
        <w:t>“a</w:t>
      </w:r>
      <w:r w:rsidRPr="00BB75E6">
        <w:rPr>
          <w:rFonts w:cs="Arial"/>
        </w:rPr>
        <w:t>ctivity induced in the nociceptor and nociceptive pathways by a noxious stimulus is not pain, which is always a psychological state, even though we may well appreciate that pain most often has a proximate physical cause”</w:t>
      </w:r>
      <w:r w:rsidR="00375E68">
        <w:rPr>
          <w:rFonts w:cs="Arial"/>
        </w:rPr>
        <w:t xml:space="preserve"> </w:t>
      </w:r>
      <w:r w:rsidRPr="00BB75E6">
        <w:rPr>
          <w:rFonts w:cs="Arial"/>
          <w:bCs/>
        </w:rPr>
        <w:fldChar w:fldCharType="begin"/>
      </w:r>
      <w:r w:rsidRPr="00BB75E6">
        <w:rPr>
          <w:rFonts w:cs="Arial"/>
          <w:bCs/>
        </w:rPr>
        <w:instrText xml:space="preserve"> ADDIN EN.CITE &lt;EndNote&gt;&lt;Cite&gt;&lt;Author&gt;International&lt;/Author&gt;&lt;Year&gt;1994&lt;/Year&gt;&lt;IDText&gt;Part III: Pain Terms, A Current List with Definitions and Notes on Usage&lt;/IDText&gt;&lt;DisplayText&gt;(Pain, 1994, IASP, 2012)&lt;/DisplayText&gt;&lt;record&gt;&lt;contributors&gt;&lt;tertiary-authors&gt;&lt;author&gt;Merskey H&lt;/author&gt;&lt;author&gt;Bogduk N&lt;/author&gt;&lt;/tertiary-authors&gt;&lt;/contributors&gt;&lt;titles&gt;&lt;title&gt;Part III: Pain Terms, A Current List with Definitions and Notes on Usage&lt;/title&gt;&lt;secondary-title&gt;Classification of Chronic Pain&lt;/secondary-title&gt;&lt;/titles&gt;&lt;contributors&gt;&lt;authors&gt;&lt;author&gt;International Association for the Study of Pain&lt;/author&gt;&lt;/authors&gt;&lt;/contributors&gt;&lt;section&gt;209-214&lt;/section&gt;&lt;edition&gt;Second Edition&amp;#xA; &lt;/edition&gt;&lt;added-date format="utc"&gt;1541756596&lt;/added-date&gt;&lt;pub-location&gt;Seattle&lt;/pub-location&gt;&lt;ref-type name="Book"&gt;6&lt;/ref-type&gt;&lt;dates&gt;&lt;year&gt;1994&lt;/year&gt;&lt;/dates&gt;&lt;rec-number&gt;974&lt;/rec-number&gt;&lt;publisher&gt;IASP Press&lt;/publisher&gt;&lt;last-updated-date format="utc"&gt;1541756810&lt;/last-updated-date&gt;&lt;/record&gt;&lt;/Cite&gt;&lt;Cite&gt;&lt;Author&gt;IASP&lt;/Author&gt;&lt;Year&gt;2012&lt;/Year&gt;&lt;IDText&gt;IASP Terminology&lt;/IDText&gt;&lt;record&gt;&lt;urls&gt;&lt;related-urls&gt;&lt;url&gt;http://www.iasp-pain.org/Education/Content.aspx?ItemNumber=1698&amp;amp;navItemNumber=576&lt;/url&gt;&lt;/related-urls&gt;&lt;/urls&gt;&lt;titles&gt;&lt;title&gt;IASP Terminology&lt;/title&gt;&lt;/titles&gt;&lt;number&gt;9/11/2018&lt;/number&gt;&lt;contributors&gt;&lt;authors&gt;&lt;author&gt;IASP&lt;/author&gt;&lt;/authors&gt;&lt;/contributors&gt;&lt;added-date format="utc"&gt;1541756957&lt;/added-date&gt;&lt;ref-type name="Web Page"&gt;12&lt;/ref-type&gt;&lt;dates&gt;&lt;year&gt;2012&lt;/year&gt;&lt;/dates&gt;&lt;rec-number&gt;975&lt;/rec-number&gt;&lt;last-updated-date format="utc"&gt;1541757072&lt;/last-updated-date&gt;&lt;volume&gt;2018&lt;/volume&gt;&lt;/record&gt;&lt;/Cite&gt;&lt;/EndNote&gt;</w:instrText>
      </w:r>
      <w:r w:rsidRPr="00BB75E6">
        <w:rPr>
          <w:rFonts w:cs="Arial"/>
          <w:bCs/>
        </w:rPr>
        <w:fldChar w:fldCharType="separate"/>
      </w:r>
      <w:r w:rsidRPr="00BB75E6">
        <w:rPr>
          <w:rFonts w:cs="Arial"/>
          <w:bCs/>
          <w:noProof/>
        </w:rPr>
        <w:t>(Pain, 1994, IASP, 2012)</w:t>
      </w:r>
      <w:r w:rsidRPr="00BB75E6">
        <w:rPr>
          <w:rFonts w:cs="Arial"/>
          <w:bCs/>
        </w:rPr>
        <w:fldChar w:fldCharType="end"/>
      </w:r>
      <w:r>
        <w:rPr>
          <w:rFonts w:cs="Arial"/>
          <w:bCs/>
        </w:rPr>
        <w:t xml:space="preserve">. </w:t>
      </w:r>
      <w:r w:rsidRPr="00BB75E6">
        <w:rPr>
          <w:rFonts w:cs="Arial"/>
        </w:rPr>
        <w:t>Therefore</w:t>
      </w:r>
      <w:r>
        <w:rPr>
          <w:rFonts w:cs="Arial"/>
        </w:rPr>
        <w:t>,</w:t>
      </w:r>
      <w:r w:rsidRPr="00BB75E6">
        <w:rPr>
          <w:rFonts w:cs="Arial"/>
        </w:rPr>
        <w:t xml:space="preserve"> </w:t>
      </w:r>
      <w:r>
        <w:rPr>
          <w:rFonts w:cs="Arial"/>
        </w:rPr>
        <w:t>P-DPN</w:t>
      </w:r>
      <w:r w:rsidRPr="00BB75E6">
        <w:rPr>
          <w:rFonts w:cs="Arial"/>
        </w:rPr>
        <w:t xml:space="preserve"> is a disease of the periphery </w:t>
      </w:r>
      <w:r>
        <w:rPr>
          <w:rFonts w:cs="Arial"/>
        </w:rPr>
        <w:t>and the CNS</w:t>
      </w:r>
      <w:r w:rsidRPr="00BB75E6">
        <w:rPr>
          <w:rFonts w:cs="Arial"/>
        </w:rPr>
        <w:t xml:space="preserve">.  </w:t>
      </w:r>
      <w:r>
        <w:rPr>
          <w:rFonts w:cs="Arial"/>
        </w:rPr>
        <w:t xml:space="preserve">It remains unexplained why some with P-DPN experience symptoms of painful neuropathy whilst others (DPN) experience no pain.  </w:t>
      </w:r>
      <w:r>
        <w:rPr>
          <w:rFonts w:cs="Arial"/>
        </w:rPr>
        <w:lastRenderedPageBreak/>
        <w:t xml:space="preserve">It is also uncertain why </w:t>
      </w:r>
      <w:r w:rsidRPr="00BB75E6">
        <w:rPr>
          <w:rFonts w:cs="Arial"/>
        </w:rPr>
        <w:t xml:space="preserve"> some who have painful neuropathy subsequently develop painless neuropathy</w:t>
      </w:r>
      <w:r>
        <w:rPr>
          <w:rFonts w:cs="Arial"/>
        </w:rPr>
        <w:t xml:space="preserve"> </w:t>
      </w:r>
      <w:r w:rsidRPr="00BB75E6">
        <w:rPr>
          <w:rFonts w:cs="Arial"/>
          <w:bCs/>
          <w:lang w:val="en-US"/>
        </w:rPr>
        <w:fldChar w:fldCharType="begin"/>
      </w:r>
      <w:r w:rsidRPr="00BB75E6">
        <w:rPr>
          <w:rFonts w:cs="Arial"/>
          <w:bCs/>
          <w:lang w:val="en-US"/>
        </w:rPr>
        <w:instrText xml:space="preserve"> ADDIN EN.CITE &lt;EndNote&gt;&lt;Cite&gt;&lt;Author&gt;Daousi&lt;/Author&gt;&lt;Year&gt;2006&lt;/Year&gt;&lt;IDText&gt;The natural history of chronic painful peripheral neuropathy in a community diabetes population&lt;/IDText&gt;&lt;DisplayText&gt;(Daousi et al., 2006)&lt;/DisplayText&gt;&lt;record&gt;&lt;dates&gt;&lt;pub-dates&gt;&lt;date&gt;Sep&lt;/date&gt;&lt;/pub-dates&gt;&lt;year&gt;2006&lt;/year&gt;&lt;/dates&gt;&lt;urls&gt;&lt;related-urls&gt;&lt;url&gt;&amp;lt;Go to ISI&amp;gt;://WOS:000239798100013&lt;/url&gt;&lt;/related-urls&gt;&lt;/urls&gt;&lt;isbn&gt;0742-3071&lt;/isbn&gt;&lt;titles&gt;&lt;title&gt;The natural history of chronic painful peripheral neuropathy in a community diabetes population&lt;/title&gt;&lt;secondary-title&gt;Diabetic Medicine&lt;/secondary-title&gt;&lt;/titles&gt;&lt;number&gt;9&lt;/number&gt;&lt;contributors&gt;&lt;authors&gt;&lt;author&gt;Daousi, C.&lt;/author&gt;&lt;author&gt;Benbow, S. J.&lt;/author&gt;&lt;author&gt;Woodward, A.&lt;/author&gt;&lt;author&gt;MacFarlane, I. A.&lt;/author&gt;&lt;/authors&gt;&lt;/contributors&gt;&lt;added-date format="utc"&gt;1351621573&lt;/added-date&gt;&lt;ref-type name="Journal Article"&gt;17&lt;/ref-type&gt;&lt;rec-number&gt;124&lt;/rec-number&gt;&lt;last-updated-date format="utc"&gt;1352478223&lt;/last-updated-date&gt;&lt;accession-num&gt;WOS:000239798100013&lt;/accession-num&gt;&lt;electronic-resource-num&gt;10.1111/j.1464-5491.2006.01904.x&lt;/electronic-resource-num&gt;&lt;volume&gt;23&lt;/volume&gt;&lt;/record&gt;&lt;/Cite&gt;&lt;/EndNote&gt;</w:instrText>
      </w:r>
      <w:r w:rsidRPr="00BB75E6">
        <w:rPr>
          <w:rFonts w:cs="Arial"/>
          <w:bCs/>
          <w:lang w:val="en-US"/>
        </w:rPr>
        <w:fldChar w:fldCharType="separate"/>
      </w:r>
      <w:r w:rsidRPr="00BB75E6">
        <w:rPr>
          <w:rFonts w:cs="Arial"/>
          <w:bCs/>
          <w:noProof/>
          <w:lang w:val="en-US"/>
        </w:rPr>
        <w:t>(Daousi et al., 2006)</w:t>
      </w:r>
      <w:r w:rsidRPr="00BB75E6">
        <w:rPr>
          <w:rFonts w:cs="Arial"/>
          <w:bCs/>
          <w:lang w:val="en-US"/>
        </w:rPr>
        <w:fldChar w:fldCharType="end"/>
      </w:r>
      <w:r w:rsidRPr="00BB75E6">
        <w:rPr>
          <w:rFonts w:cs="Arial"/>
        </w:rPr>
        <w:t>.</w:t>
      </w:r>
      <w:r w:rsidR="00D25B4E">
        <w:rPr>
          <w:rFonts w:cs="Arial"/>
        </w:rPr>
        <w:t xml:space="preserve"> </w:t>
      </w:r>
      <w:r w:rsidRPr="00BB75E6">
        <w:rPr>
          <w:rFonts w:cs="Arial"/>
        </w:rPr>
        <w:t xml:space="preserve"> </w:t>
      </w:r>
      <w:r>
        <w:rPr>
          <w:rFonts w:cs="Arial"/>
        </w:rPr>
        <w:t xml:space="preserve">Given the severity of the symptoms of P-DPN and their adverse effects on quality of life </w:t>
      </w:r>
      <w:r>
        <w:rPr>
          <w:rFonts w:cs="Arial"/>
        </w:rPr>
        <w:fldChar w:fldCharType="begin"/>
      </w:r>
      <w:r>
        <w:rPr>
          <w:rFonts w:cs="Arial"/>
        </w:rPr>
        <w:instrText xml:space="preserve"> ADDIN EN.CITE &lt;EndNote&gt;&lt;Cite&gt;&lt;Author&gt;Benbow&lt;/Author&gt;&lt;Year&gt;1998&lt;/Year&gt;&lt;IDText&gt;Diabetic peripheral neuropathy and quality of life&lt;/IDText&gt;&lt;DisplayText&gt;(Benbow et al., 1998)&lt;/DisplayText&gt;&lt;record&gt;&lt;dates&gt;&lt;pub-dates&gt;&lt;date&gt;Nov&lt;/date&gt;&lt;/pub-dates&gt;&lt;year&gt;1998&lt;/year&gt;&lt;/dates&gt;&lt;urls&gt;&lt;related-urls&gt;&lt;url&gt;&amp;lt;Go to ISI&amp;gt;://WOS:000076976500004&lt;/url&gt;&lt;/related-urls&gt;&lt;/urls&gt;&lt;isbn&gt;0033-5622&lt;/isbn&gt;&lt;titles&gt;&lt;title&gt;Diabetic peripheral neuropathy and quality of life&lt;/title&gt;&lt;secondary-title&gt;Qjm-Monthly Journal of the Association of Physicians&lt;/secondary-title&gt;&lt;/titles&gt;&lt;number&gt;11&lt;/number&gt;&lt;contributors&gt;&lt;authors&gt;&lt;author&gt;Benbow, S. J.&lt;/author&gt;&lt;author&gt;Wallymahmed, M. E.&lt;/author&gt;&lt;author&gt;MacFarlane, I. A.&lt;/author&gt;&lt;/authors&gt;&lt;/contributors&gt;&lt;added-date format="utc"&gt;1350579374&lt;/added-date&gt;&lt;ref-type name="Journal Article"&gt;17&lt;/ref-type&gt;&lt;rec-number&gt;114&lt;/rec-number&gt;&lt;last-updated-date format="utc"&gt;1350583793&lt;/last-updated-date&gt;&lt;accession-num&gt;WOS:000076976500004&lt;/accession-num&gt;&lt;electronic-resource-num&gt;10.1093/qjmed/91.11.733&lt;/electronic-resource-num&gt;&lt;volume&gt;91&lt;/volume&gt;&lt;/record&gt;&lt;/Cite&gt;&lt;/EndNote&gt;</w:instrText>
      </w:r>
      <w:r>
        <w:rPr>
          <w:rFonts w:cs="Arial"/>
        </w:rPr>
        <w:fldChar w:fldCharType="separate"/>
      </w:r>
      <w:r>
        <w:rPr>
          <w:rFonts w:cs="Arial"/>
          <w:noProof/>
        </w:rPr>
        <w:t>(Benbow et al., 1998)</w:t>
      </w:r>
      <w:r>
        <w:rPr>
          <w:rFonts w:cs="Arial"/>
        </w:rPr>
        <w:fldChar w:fldCharType="end"/>
      </w:r>
      <w:r>
        <w:rPr>
          <w:rFonts w:cs="Arial"/>
        </w:rPr>
        <w:t xml:space="preserve">, an effective treatment is required.  However, </w:t>
      </w:r>
      <w:r>
        <w:rPr>
          <w:rFonts w:eastAsia="Arial" w:cs="Arial"/>
        </w:rPr>
        <w:t>f</w:t>
      </w:r>
      <w:r w:rsidRPr="003A3CA0">
        <w:rPr>
          <w:rFonts w:cs="Arial"/>
        </w:rPr>
        <w:t>or every one patient that has a significant reduction in pain</w:t>
      </w:r>
      <w:r w:rsidRPr="003A3CA0">
        <w:rPr>
          <w:rFonts w:eastAsia="Arial" w:cs="Arial"/>
        </w:rPr>
        <w:t xml:space="preserve">, </w:t>
      </w:r>
      <w:r w:rsidRPr="003A3CA0">
        <w:rPr>
          <w:rFonts w:cs="Arial"/>
        </w:rPr>
        <w:t xml:space="preserve">between 3 and 7 patients do not get </w:t>
      </w:r>
      <w:r w:rsidRPr="003A3CA0">
        <w:rPr>
          <w:rFonts w:eastAsia="Arial" w:cs="Arial"/>
        </w:rPr>
        <w:t xml:space="preserve">any </w:t>
      </w:r>
      <w:r w:rsidRPr="003A3CA0">
        <w:rPr>
          <w:rFonts w:cs="Arial"/>
        </w:rPr>
        <w:t>significant relief</w:t>
      </w:r>
      <w:r>
        <w:rPr>
          <w:rFonts w:cs="Arial"/>
        </w:rPr>
        <w:t xml:space="preserve"> from current treatments </w:t>
      </w:r>
      <w:r>
        <w:rPr>
          <w:rFonts w:cs="Arial"/>
        </w:rPr>
        <w:fldChar w:fldCharType="begin"/>
      </w:r>
      <w:r>
        <w:rPr>
          <w:rFonts w:cs="Arial"/>
        </w:rPr>
        <w:instrText xml:space="preserve"> ADDIN EN.CITE &lt;EndNote&gt;&lt;Cite&gt;&lt;Author&gt;Finnerup&lt;/Author&gt;&lt;Year&gt;2015&lt;/Year&gt;&lt;IDText&gt;Pharmacotherapy for neuropathic pain in adults: a systematic review and meta-analysis&lt;/IDText&gt;&lt;DisplayText&gt;(Finnerup et al., 2015)&lt;/DisplayText&gt;&lt;record&gt;&lt;keywords&gt;&lt;keyword&gt;Adults – Analysis&lt;/keyword&gt;&lt;keyword&gt;Neurosciences – Analysis&lt;/keyword&gt;&lt;keyword&gt;Pain Management – Analysis&lt;/keyword&gt;&lt;keyword&gt;Medical Schools – Analysis&lt;/keyword&gt;&lt;keyword&gt;Analgesics – Analysis&lt;/keyword&gt;&lt;/keywords&gt;&lt;isbn&gt;1474-4422&lt;/isbn&gt;&lt;titles&gt;&lt;title&gt;Pharmacotherapy for neuropathic pain in adults: a systematic review and meta-analysis&lt;/title&gt;&lt;secondary-title&gt;Lancet Neurology&lt;/secondary-title&gt;&lt;/titles&gt;&lt;pages&gt;162-173&lt;/pages&gt;&lt;number&gt;2&lt;/number&gt;&lt;contributors&gt;&lt;authors&gt;&lt;author&gt;Finnerup, Nanna B.&lt;/author&gt;&lt;author&gt;Attal, Nadine&lt;/author&gt;&lt;author&gt;Haroutounian, Simon&lt;/author&gt;&lt;author&gt;McNicol, Ewan&lt;/author&gt;&lt;author&gt;Baron, Ralf&lt;/author&gt;&lt;author&gt;Dworkin, Robert H.&lt;/author&gt;&lt;author&gt;Gilron, Ian&lt;/author&gt;&lt;author&gt;Haanpää, Maija&lt;/author&gt;&lt;author&gt;Hansson, Per&lt;/author&gt;&lt;author&gt;Jensen, Troels S.&lt;/author&gt;&lt;author&gt;Kamerman, Peter R.&lt;/author&gt;&lt;author&gt;Lund, Karen&lt;/author&gt;&lt;author&gt;Moore, Andrew&lt;/author&gt;&lt;author&gt;Raja, Srinivasa N.&lt;/author&gt;&lt;author&gt;Rice, Andrew S. C.&lt;/author&gt;&lt;author&gt;Rowbotham, Michael&lt;/author&gt;&lt;author&gt;Sena, Emily&lt;/author&gt;&lt;author&gt;Siddall, Philip&lt;/author&gt;&lt;author&gt;Smith, Blair H.&lt;/author&gt;&lt;author&gt;Wallace, Mark&lt;/author&gt;&lt;/authors&gt;&lt;/contributors&gt;&lt;added-date format="utc"&gt;1569751177&lt;/added-date&gt;&lt;ref-type name="Journal Article"&gt;17&lt;/ref-type&gt;&lt;dates&gt;&lt;year&gt;2015&lt;/year&gt;&lt;/dates&gt;&lt;rec-number&gt;1143&lt;/rec-number&gt;&lt;last-updated-date format="utc"&gt;1569751177&lt;/last-updated-date&gt;&lt;electronic-resource-num&gt;10.1016/S1474-4422(14)70251-0&lt;/electronic-resource-num&gt;&lt;volume&gt;14&lt;/volume&gt;&lt;/record&gt;&lt;/Cite&gt;&lt;/EndNote&gt;</w:instrText>
      </w:r>
      <w:r>
        <w:rPr>
          <w:rFonts w:cs="Arial"/>
        </w:rPr>
        <w:fldChar w:fldCharType="separate"/>
      </w:r>
      <w:r>
        <w:rPr>
          <w:rFonts w:cs="Arial"/>
          <w:noProof/>
        </w:rPr>
        <w:t>(Finnerup et al., 2015)</w:t>
      </w:r>
      <w:r>
        <w:rPr>
          <w:rFonts w:cs="Arial"/>
        </w:rPr>
        <w:fldChar w:fldCharType="end"/>
      </w:r>
      <w:r>
        <w:rPr>
          <w:rFonts w:cs="Arial"/>
        </w:rPr>
        <w:t>.</w:t>
      </w:r>
    </w:p>
    <w:p w14:paraId="7E54EBF0" w14:textId="77777777" w:rsidR="006416A2" w:rsidRPr="00BB75E6" w:rsidRDefault="006416A2" w:rsidP="006416A2">
      <w:pPr>
        <w:spacing w:line="360" w:lineRule="auto"/>
        <w:rPr>
          <w:rFonts w:cs="Arial"/>
        </w:rPr>
      </w:pPr>
      <w:r>
        <w:rPr>
          <w:rFonts w:cs="Arial"/>
        </w:rPr>
        <w:t xml:space="preserve">Investigations regarding the </w:t>
      </w:r>
      <w:r w:rsidRPr="00BB75E6">
        <w:rPr>
          <w:rFonts w:cs="Arial"/>
        </w:rPr>
        <w:t xml:space="preserve">generation of pain </w:t>
      </w:r>
      <w:r>
        <w:rPr>
          <w:rFonts w:cs="Arial"/>
        </w:rPr>
        <w:t xml:space="preserve">in the CNS using modern imaging techniques, </w:t>
      </w:r>
      <w:r w:rsidRPr="00BB75E6">
        <w:rPr>
          <w:rFonts w:cs="Arial"/>
        </w:rPr>
        <w:t xml:space="preserve">within the context of </w:t>
      </w:r>
      <w:r>
        <w:rPr>
          <w:rFonts w:cs="Arial"/>
        </w:rPr>
        <w:t>P-DPN,</w:t>
      </w:r>
      <w:r w:rsidRPr="00BB75E6">
        <w:rPr>
          <w:rFonts w:cs="Arial"/>
        </w:rPr>
        <w:t xml:space="preserve"> may lead to a better understanding of the pathogenesis</w:t>
      </w:r>
      <w:r>
        <w:rPr>
          <w:rFonts w:cs="Arial"/>
        </w:rPr>
        <w:t xml:space="preserve"> of this condition,</w:t>
      </w:r>
      <w:r w:rsidRPr="00BB75E6">
        <w:rPr>
          <w:rFonts w:cs="Arial"/>
        </w:rPr>
        <w:t xml:space="preserve"> and </w:t>
      </w:r>
      <w:r>
        <w:rPr>
          <w:rFonts w:cs="Arial"/>
        </w:rPr>
        <w:t>lay the foundation for novel treatments</w:t>
      </w:r>
      <w:r w:rsidRPr="00BB75E6">
        <w:rPr>
          <w:rFonts w:cs="Arial"/>
        </w:rPr>
        <w:t xml:space="preserve">. </w:t>
      </w:r>
      <w:r>
        <w:rPr>
          <w:rFonts w:cs="Arial"/>
        </w:rPr>
        <w:t>However, i</w:t>
      </w:r>
      <w:r w:rsidRPr="00BB75E6">
        <w:rPr>
          <w:rFonts w:cs="Arial"/>
        </w:rPr>
        <w:t>t has been very difficult to study human brains in-vivo until the advent of modern MR imaging.  Studying the brain in-vivo with MR imaging remains a technically difficult exercise full of confounds</w:t>
      </w:r>
      <w:r>
        <w:rPr>
          <w:rFonts w:cs="Arial"/>
        </w:rPr>
        <w:t>. T</w:t>
      </w:r>
      <w:r w:rsidRPr="00BB75E6">
        <w:rPr>
          <w:rFonts w:cs="Arial"/>
        </w:rPr>
        <w:t>he voxel</w:t>
      </w:r>
      <w:r>
        <w:rPr>
          <w:rFonts w:cs="Arial"/>
        </w:rPr>
        <w:t>,</w:t>
      </w:r>
      <w:r w:rsidRPr="00BB75E6">
        <w:rPr>
          <w:rFonts w:cs="Arial"/>
        </w:rPr>
        <w:t xml:space="preserve"> which is the smallest unit of measurement on an MR image</w:t>
      </w:r>
      <w:r>
        <w:rPr>
          <w:rFonts w:cs="Arial"/>
        </w:rPr>
        <w:t>,</w:t>
      </w:r>
      <w:r w:rsidRPr="00BB75E6">
        <w:rPr>
          <w:rFonts w:cs="Arial"/>
        </w:rPr>
        <w:t xml:space="preserve"> represents up to a million neurons which </w:t>
      </w:r>
      <w:r>
        <w:rPr>
          <w:rFonts w:cs="Arial"/>
        </w:rPr>
        <w:t>will</w:t>
      </w:r>
      <w:r w:rsidRPr="00BB75E6">
        <w:rPr>
          <w:rFonts w:cs="Arial"/>
        </w:rPr>
        <w:t xml:space="preserve"> not be operating homogenously</w:t>
      </w:r>
      <w:r>
        <w:rPr>
          <w:rFonts w:cs="Arial"/>
        </w:rPr>
        <w:t xml:space="preserve"> </w:t>
      </w:r>
      <w:r w:rsidRPr="00BB75E6">
        <w:rPr>
          <w:rFonts w:cs="Arial"/>
          <w:bCs/>
          <w:lang w:val="en-US"/>
        </w:rPr>
        <w:fldChar w:fldCharType="begin">
          <w:fldData xml:space="preserve">PEVuZE5vdGU+PENpdGU+PEF1dGhvcj5TbWl0aDwvQXV0aG9yPjxZZWFyPjIwMTc8L1llYXI+PElE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==
</w:fldData>
        </w:fldChar>
      </w:r>
      <w:r w:rsidRPr="00BB75E6">
        <w:rPr>
          <w:rFonts w:cs="Arial"/>
          <w:bCs/>
          <w:lang w:val="en-US"/>
        </w:rPr>
        <w:instrText xml:space="preserve"> ADDIN EN.CITE </w:instrText>
      </w:r>
      <w:r w:rsidRPr="00BB75E6">
        <w:rPr>
          <w:rFonts w:cs="Arial"/>
          <w:bCs/>
          <w:lang w:val="en-US"/>
        </w:rPr>
        <w:fldChar w:fldCharType="begin">
          <w:fldData xml:space="preserve">PEVuZE5vdGU+PENpdGU+PEF1dGhvcj5TbWl0aDwvQXV0aG9yPjxZZWFyPjIwMTc8L1llYXI+PElE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==
</w:fldData>
        </w:fldChar>
      </w:r>
      <w:r w:rsidRPr="00BB75E6">
        <w:rPr>
          <w:rFonts w:cs="Arial"/>
          <w:bCs/>
          <w:lang w:val="en-US"/>
        </w:rPr>
        <w:instrText xml:space="preserve"> ADDIN EN.CITE.DATA </w:instrText>
      </w:r>
      <w:r w:rsidRPr="00BB75E6">
        <w:rPr>
          <w:rFonts w:cs="Arial"/>
          <w:bCs/>
          <w:lang w:val="en-US"/>
        </w:rPr>
      </w:r>
      <w:r w:rsidRPr="00BB75E6">
        <w:rPr>
          <w:rFonts w:cs="Arial"/>
          <w:bCs/>
          <w:lang w:val="en-US"/>
        </w:rPr>
        <w:fldChar w:fldCharType="end"/>
      </w:r>
      <w:r w:rsidRPr="00BB75E6">
        <w:rPr>
          <w:rFonts w:cs="Arial"/>
          <w:bCs/>
          <w:lang w:val="en-US"/>
        </w:rPr>
      </w:r>
      <w:r w:rsidRPr="00BB75E6">
        <w:rPr>
          <w:rFonts w:cs="Arial"/>
          <w:bCs/>
          <w:lang w:val="en-US"/>
        </w:rPr>
        <w:fldChar w:fldCharType="separate"/>
      </w:r>
      <w:r w:rsidRPr="00BB75E6">
        <w:rPr>
          <w:rFonts w:cs="Arial"/>
          <w:bCs/>
          <w:noProof/>
          <w:lang w:val="en-US"/>
        </w:rPr>
        <w:t>(Smith et al., 2017)</w:t>
      </w:r>
      <w:r w:rsidRPr="00BB75E6">
        <w:rPr>
          <w:rFonts w:cs="Arial"/>
          <w:bCs/>
          <w:lang w:val="en-US"/>
        </w:rPr>
        <w:fldChar w:fldCharType="end"/>
      </w:r>
      <w:r w:rsidRPr="00BB75E6">
        <w:rPr>
          <w:rFonts w:cs="Arial"/>
        </w:rPr>
        <w:t xml:space="preserve">.  </w:t>
      </w:r>
    </w:p>
    <w:p w14:paraId="1AEC6454" w14:textId="319753DF" w:rsidR="006416A2" w:rsidRDefault="006416A2" w:rsidP="006416A2">
      <w:pPr>
        <w:spacing w:line="360" w:lineRule="auto"/>
        <w:rPr>
          <w:rFonts w:cs="Arial"/>
          <w:bCs/>
          <w:lang w:val="en-US"/>
        </w:rPr>
      </w:pPr>
      <w:r w:rsidRPr="00BB75E6">
        <w:rPr>
          <w:rFonts w:cs="Arial"/>
        </w:rPr>
        <w:t xml:space="preserve">The </w:t>
      </w:r>
      <w:r>
        <w:rPr>
          <w:rFonts w:cs="Arial"/>
        </w:rPr>
        <w:t xml:space="preserve">neurovascular coupling response to the perception of </w:t>
      </w:r>
      <w:r w:rsidRPr="00BB75E6">
        <w:rPr>
          <w:rFonts w:cs="Arial"/>
        </w:rPr>
        <w:t xml:space="preserve">pain in the brain </w:t>
      </w:r>
      <w:r>
        <w:rPr>
          <w:rFonts w:cs="Arial"/>
        </w:rPr>
        <w:t>is</w:t>
      </w:r>
      <w:r w:rsidRPr="00BB75E6">
        <w:rPr>
          <w:rFonts w:cs="Arial"/>
        </w:rPr>
        <w:t xml:space="preserve"> thought to increase cerebral blood flow </w:t>
      </w:r>
      <w:r>
        <w:rPr>
          <w:rFonts w:cs="Arial"/>
        </w:rPr>
        <w:t>by</w:t>
      </w:r>
      <w:r w:rsidRPr="00BB75E6">
        <w:rPr>
          <w:rFonts w:cs="Arial"/>
        </w:rPr>
        <w:t xml:space="preserve"> around 5% </w:t>
      </w:r>
      <w:r w:rsidRPr="00BB75E6">
        <w:rPr>
          <w:rFonts w:cs="Arial"/>
          <w:bCs/>
          <w:lang w:val="en-US"/>
        </w:rPr>
        <w:fldChar w:fldCharType="begin"/>
      </w:r>
      <w:r w:rsidRPr="00BB75E6">
        <w:rPr>
          <w:rFonts w:cs="Arial"/>
          <w:bCs/>
          <w:lang w:val="en-US"/>
        </w:rPr>
        <w:instrText xml:space="preserve"> ADDIN EN.CITE &lt;EndNote&gt;&lt;Cite&gt;&lt;Author&gt;Coghill&lt;/Author&gt;&lt;Year&gt;1994&lt;/Year&gt;&lt;IDText&gt;DISTRIBUTED-PROCESSING OF PAIN AND VIBRATION BY THE HUMAN BRAIN&lt;/IDText&gt;&lt;DisplayText&gt;(Coghill et al., 1994)&lt;/DisplayText&gt;&lt;record&gt;&lt;dates&gt;&lt;pub-dates&gt;&lt;date&gt;Jul&lt;/date&gt;&lt;/pub-dates&gt;&lt;year&gt;1994&lt;/year&gt;&lt;/dates&gt;&lt;urls&gt;&lt;related-urls&gt;&lt;url&gt;&amp;lt;Go to ISI&amp;gt;://WOS:A1994NZ62000009&lt;/url&gt;&lt;/related-urls&gt;&lt;/urls&gt;&lt;isbn&gt;0270-6474&lt;/isbn&gt;&lt;titles&gt;&lt;title&gt;DISTRIBUTED-PROCESSING OF PAIN AND VIBRATION BY THE HUMAN BRAIN&lt;/title&gt;&lt;secondary-title&gt;Journal of Neuroscience&lt;/secondary-title&gt;&lt;/titles&gt;&lt;pages&gt;4095-4108&lt;/pages&gt;&lt;number&gt;7&lt;/number&gt;&lt;contributors&gt;&lt;authors&gt;&lt;author&gt;Coghill, R. C.&lt;/author&gt;&lt;author&gt;Talbot, J. D.&lt;/author&gt;&lt;author&gt;Evans, A. C.&lt;/author&gt;&lt;author&gt;Meyer, E.&lt;/author&gt;&lt;author&gt;Gjedde, A.&lt;/author&gt;&lt;author&gt;Bushnell, M. C.&lt;/author&gt;&lt;author&gt;Duncan, G. H.&lt;/author&gt;&lt;/authors&gt;&lt;/contributors&gt;&lt;added-date format="utc"&gt;1541765720&lt;/added-date&gt;&lt;ref-type name="Journal Article"&gt;17&lt;/ref-type&gt;&lt;rec-number&gt;979&lt;/rec-number&gt;&lt;last-updated-date format="utc"&gt;1541765720&lt;/last-updated-date&gt;&lt;accession-num&gt;WOS:A1994NZ62000009&lt;/accession-num&gt;&lt;volume&gt;14&lt;/volume&gt;&lt;/record&gt;&lt;/Cite&gt;&lt;/EndNote&gt;</w:instrText>
      </w:r>
      <w:r w:rsidRPr="00BB75E6">
        <w:rPr>
          <w:rFonts w:cs="Arial"/>
          <w:bCs/>
          <w:lang w:val="en-US"/>
        </w:rPr>
        <w:fldChar w:fldCharType="separate"/>
      </w:r>
      <w:r w:rsidRPr="00BB75E6">
        <w:rPr>
          <w:rFonts w:cs="Arial"/>
          <w:bCs/>
          <w:noProof/>
          <w:lang w:val="en-US"/>
        </w:rPr>
        <w:t>(Coghill et al., 1994)</w:t>
      </w:r>
      <w:r w:rsidRPr="00BB75E6">
        <w:rPr>
          <w:rFonts w:cs="Arial"/>
          <w:bCs/>
          <w:lang w:val="en-US"/>
        </w:rPr>
        <w:fldChar w:fldCharType="end"/>
      </w:r>
      <w:r>
        <w:rPr>
          <w:rFonts w:cs="Arial"/>
        </w:rPr>
        <w:t>.  Therefore, to measure this response,</w:t>
      </w:r>
      <w:r w:rsidRPr="00BB75E6">
        <w:rPr>
          <w:rFonts w:cs="Arial"/>
        </w:rPr>
        <w:t xml:space="preserve"> a</w:t>
      </w:r>
      <w:r>
        <w:rPr>
          <w:rFonts w:cs="Arial"/>
        </w:rPr>
        <w:t>n</w:t>
      </w:r>
      <w:r w:rsidRPr="00BB75E6">
        <w:rPr>
          <w:rFonts w:cs="Arial"/>
        </w:rPr>
        <w:t xml:space="preserve"> </w:t>
      </w:r>
      <w:r>
        <w:rPr>
          <w:rFonts w:cs="Arial"/>
        </w:rPr>
        <w:t>MRI</w:t>
      </w:r>
      <w:r w:rsidRPr="00BB75E6">
        <w:rPr>
          <w:rFonts w:cs="Arial"/>
        </w:rPr>
        <w:t xml:space="preserve"> technique </w:t>
      </w:r>
      <w:r>
        <w:rPr>
          <w:rFonts w:cs="Arial"/>
        </w:rPr>
        <w:t xml:space="preserve">with </w:t>
      </w:r>
      <w:r w:rsidRPr="00BB75E6">
        <w:rPr>
          <w:rFonts w:cs="Arial"/>
        </w:rPr>
        <w:t>high signal to noise</w:t>
      </w:r>
      <w:r>
        <w:rPr>
          <w:rFonts w:cs="Arial"/>
        </w:rPr>
        <w:t xml:space="preserve"> ratio</w:t>
      </w:r>
      <w:r w:rsidRPr="00BB75E6">
        <w:rPr>
          <w:rFonts w:cs="Arial"/>
        </w:rPr>
        <w:t xml:space="preserve"> (SNR)</w:t>
      </w:r>
      <w:r>
        <w:rPr>
          <w:rFonts w:cs="Arial"/>
        </w:rPr>
        <w:t xml:space="preserve"> </w:t>
      </w:r>
      <w:r w:rsidRPr="00BB75E6">
        <w:rPr>
          <w:rFonts w:cs="Arial"/>
        </w:rPr>
        <w:t xml:space="preserve">is favoured.  </w:t>
      </w:r>
      <w:r>
        <w:rPr>
          <w:rFonts w:cs="Arial"/>
        </w:rPr>
        <w:t xml:space="preserve">As discussed in previous chapters, the </w:t>
      </w:r>
      <w:r w:rsidRPr="00BB75E6">
        <w:rPr>
          <w:rFonts w:cs="Arial"/>
        </w:rPr>
        <w:t>measurement of</w:t>
      </w:r>
      <w:r>
        <w:rPr>
          <w:rFonts w:cs="Arial"/>
        </w:rPr>
        <w:t xml:space="preserve"> CNS</w:t>
      </w:r>
      <w:r w:rsidRPr="00BB75E6">
        <w:rPr>
          <w:rFonts w:cs="Arial"/>
        </w:rPr>
        <w:t xml:space="preserve"> </w:t>
      </w:r>
      <w:r>
        <w:rPr>
          <w:rFonts w:cs="Arial"/>
        </w:rPr>
        <w:t xml:space="preserve">perfusion in </w:t>
      </w:r>
      <w:r w:rsidRPr="00BB75E6">
        <w:rPr>
          <w:rFonts w:cs="Arial"/>
        </w:rPr>
        <w:t>chronic pain does not lend</w:t>
      </w:r>
      <w:r>
        <w:rPr>
          <w:rFonts w:cs="Arial"/>
        </w:rPr>
        <w:t xml:space="preserve"> itself well to BOLD fMRI onset/</w:t>
      </w:r>
      <w:r w:rsidRPr="00BB75E6">
        <w:rPr>
          <w:rFonts w:cs="Arial"/>
        </w:rPr>
        <w:t>offset designs</w:t>
      </w:r>
      <w:r>
        <w:rPr>
          <w:rFonts w:cs="Arial"/>
        </w:rPr>
        <w:t xml:space="preserve"> (see Chapter 1 Introduction pp. </w:t>
      </w:r>
      <w:r w:rsidR="004E31BE">
        <w:rPr>
          <w:rFonts w:cs="Arial"/>
        </w:rPr>
        <w:t>30-40</w:t>
      </w:r>
      <w:r>
        <w:rPr>
          <w:rFonts w:cs="Arial"/>
        </w:rPr>
        <w:t>) A</w:t>
      </w:r>
      <w:r w:rsidRPr="00BB75E6">
        <w:rPr>
          <w:rFonts w:cs="Arial"/>
        </w:rPr>
        <w:t xml:space="preserve"> technique that is able to give quantitative measures</w:t>
      </w:r>
      <w:r>
        <w:rPr>
          <w:rFonts w:cs="Arial"/>
        </w:rPr>
        <w:t xml:space="preserve"> </w:t>
      </w:r>
      <w:r w:rsidRPr="00BB75E6">
        <w:rPr>
          <w:rFonts w:cs="Arial"/>
        </w:rPr>
        <w:t xml:space="preserve">and which has a high </w:t>
      </w:r>
      <w:r>
        <w:rPr>
          <w:rFonts w:cs="Arial"/>
        </w:rPr>
        <w:t>SNR</w:t>
      </w:r>
      <w:r w:rsidRPr="00BB75E6">
        <w:rPr>
          <w:rFonts w:cs="Arial"/>
        </w:rPr>
        <w:t xml:space="preserve"> would be favoured to measure </w:t>
      </w:r>
      <w:r>
        <w:rPr>
          <w:rFonts w:cs="Arial"/>
        </w:rPr>
        <w:t>perfusion,</w:t>
      </w:r>
      <w:r w:rsidRPr="00BB75E6">
        <w:rPr>
          <w:rFonts w:cs="Arial"/>
        </w:rPr>
        <w:t xml:space="preserve"> and to compare between the baseline condition and an experimental pain condition</w:t>
      </w:r>
      <w:r>
        <w:rPr>
          <w:rFonts w:cs="Arial"/>
        </w:rPr>
        <w:t>.</w:t>
      </w:r>
      <w:r w:rsidRPr="00BB75E6">
        <w:rPr>
          <w:rFonts w:cs="Arial"/>
        </w:rPr>
        <w:t xml:space="preserve"> </w:t>
      </w:r>
      <w:r>
        <w:rPr>
          <w:rFonts w:cs="Arial"/>
        </w:rPr>
        <w:t>DSC-MRI</w:t>
      </w:r>
      <w:r w:rsidRPr="00BB75E6">
        <w:rPr>
          <w:rFonts w:cs="Arial"/>
        </w:rPr>
        <w:t xml:space="preserve"> </w:t>
      </w:r>
      <w:r>
        <w:rPr>
          <w:rFonts w:cs="Arial"/>
        </w:rPr>
        <w:t xml:space="preserve">fulfils these criteria and so this </w:t>
      </w:r>
      <w:r w:rsidRPr="00BB75E6">
        <w:rPr>
          <w:rFonts w:cs="Arial"/>
        </w:rPr>
        <w:t xml:space="preserve">technique was used in </w:t>
      </w:r>
      <w:r>
        <w:rPr>
          <w:rFonts w:cs="Arial"/>
        </w:rPr>
        <w:t>our</w:t>
      </w:r>
      <w:r w:rsidRPr="00BB75E6">
        <w:rPr>
          <w:rFonts w:cs="Arial"/>
        </w:rPr>
        <w:t xml:space="preserve"> experiment.  </w:t>
      </w:r>
    </w:p>
    <w:p w14:paraId="79D1B404" w14:textId="5B059DA8" w:rsidR="006416A2" w:rsidRDefault="006416A2" w:rsidP="006416A2">
      <w:pPr>
        <w:spacing w:line="360" w:lineRule="auto"/>
        <w:rPr>
          <w:rFonts w:cs="Arial"/>
          <w:bCs/>
          <w:lang w:val="en-US"/>
        </w:rPr>
      </w:pPr>
      <w:r>
        <w:rPr>
          <w:rFonts w:cs="Arial"/>
          <w:bCs/>
          <w:lang w:val="en-US"/>
        </w:rPr>
        <w:t xml:space="preserve">In this experiment we planned to use a noxious thermal stimulus to evoke pain in all participants to study the responses between the groups.  A noxious thermal stimulus has been described as a model for studying responses to pain </w:t>
      </w:r>
      <w:r>
        <w:rPr>
          <w:rFonts w:cs="Arial"/>
          <w:bCs/>
          <w:lang w:val="en-US"/>
        </w:rPr>
        <w:fldChar w:fldCharType="begin">
          <w:fldData xml:space="preserve">PEVuZE5vdGU+PENpdGU+PEF1dGhvcj5EYXZpczwvQXV0aG9yPjxZZWFyPjE5OTg8L1llYXI+PElE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</w:fldData>
        </w:fldChar>
      </w:r>
      <w:r>
        <w:rPr>
          <w:rFonts w:cs="Arial"/>
          <w:bCs/>
          <w:lang w:val="en-US"/>
        </w:rPr>
        <w:instrText xml:space="preserve"> ADDIN EN.CITE </w:instrText>
      </w:r>
      <w:r>
        <w:rPr>
          <w:rFonts w:cs="Arial"/>
          <w:bCs/>
          <w:lang w:val="en-US"/>
        </w:rPr>
        <w:fldChar w:fldCharType="begin">
          <w:fldData xml:space="preserve">PEVuZE5vdGU+PENpdGU+PEF1dGhvcj5EYXZpczwvQXV0aG9yPjxZZWFyPjE5OTg8L1llYXI+PElE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</w:fldData>
        </w:fldChar>
      </w:r>
      <w:r>
        <w:rPr>
          <w:rFonts w:cs="Arial"/>
          <w:bCs/>
          <w:lang w:val="en-US"/>
        </w:rPr>
        <w:instrText xml:space="preserve"> ADDIN EN.CITE.DATA </w:instrText>
      </w:r>
      <w:r>
        <w:rPr>
          <w:rFonts w:cs="Arial"/>
          <w:bCs/>
          <w:lang w:val="en-US"/>
        </w:rPr>
      </w:r>
      <w:r>
        <w:rPr>
          <w:rFonts w:cs="Arial"/>
          <w:bCs/>
          <w:lang w:val="en-US"/>
        </w:rPr>
        <w:fldChar w:fldCharType="end"/>
      </w:r>
      <w:r>
        <w:rPr>
          <w:rFonts w:cs="Arial"/>
          <w:bCs/>
          <w:lang w:val="en-US"/>
        </w:rPr>
      </w:r>
      <w:r>
        <w:rPr>
          <w:rFonts w:cs="Arial"/>
          <w:bCs/>
          <w:lang w:val="en-US"/>
        </w:rPr>
        <w:fldChar w:fldCharType="separate"/>
      </w:r>
      <w:r>
        <w:rPr>
          <w:rFonts w:cs="Arial"/>
          <w:bCs/>
          <w:noProof/>
          <w:lang w:val="en-US"/>
        </w:rPr>
        <w:t>(Davis et al., 1998, Becerra et al., 1999, Becerra et al., 2006, Olesen et al., 2012, Quiton et al., 2014)</w:t>
      </w:r>
      <w:r>
        <w:rPr>
          <w:rFonts w:cs="Arial"/>
          <w:bCs/>
          <w:lang w:val="en-US"/>
        </w:rPr>
        <w:fldChar w:fldCharType="end"/>
      </w:r>
      <w:r>
        <w:rPr>
          <w:rFonts w:cs="Arial"/>
          <w:bCs/>
          <w:lang w:val="en-US"/>
        </w:rPr>
        <w:t xml:space="preserve">.  A thermal noxious stimulus is easily adjusted according to perception, as opposed to other models of pain such as capsaicin which may deliver unpredictable levels of perception of pain </w:t>
      </w:r>
      <w:r>
        <w:rPr>
          <w:rFonts w:cs="Arial"/>
          <w:bCs/>
          <w:lang w:val="en-US"/>
        </w:rPr>
        <w:fldChar w:fldCharType="begin">
          <w:fldData xml:space="preserve">PEVuZE5vdGU+PENpdGU+PEF1dGhvcj5Sb2JlcnRzPC9BdXRob3I+PFllYXI+MjAxMTwvWWVhcj48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</w:fldData>
        </w:fldChar>
      </w:r>
      <w:r w:rsidR="00CC16DE">
        <w:rPr>
          <w:rFonts w:cs="Arial"/>
          <w:bCs/>
          <w:lang w:val="en-US"/>
        </w:rPr>
        <w:instrText xml:space="preserve"> ADDIN EN.CITE </w:instrText>
      </w:r>
      <w:r w:rsidR="00CC16DE">
        <w:rPr>
          <w:rFonts w:cs="Arial"/>
          <w:bCs/>
          <w:lang w:val="en-US"/>
        </w:rPr>
        <w:fldChar w:fldCharType="begin">
          <w:fldData xml:space="preserve">PEVuZE5vdGU+PENpdGU+PEF1dGhvcj5Sb2JlcnRzPC9BdXRob3I+PFllYXI+MjAxMTwvWWVhcj48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</w:fldData>
        </w:fldChar>
      </w:r>
      <w:r w:rsidR="00CC16DE">
        <w:rPr>
          <w:rFonts w:cs="Arial"/>
          <w:bCs/>
          <w:lang w:val="en-US"/>
        </w:rPr>
        <w:instrText xml:space="preserve"> ADDIN EN.CITE.DATA </w:instrText>
      </w:r>
      <w:r w:rsidR="00CC16DE">
        <w:rPr>
          <w:rFonts w:cs="Arial"/>
          <w:bCs/>
          <w:lang w:val="en-US"/>
        </w:rPr>
      </w:r>
      <w:r w:rsidR="00CC16DE">
        <w:rPr>
          <w:rFonts w:cs="Arial"/>
          <w:bCs/>
          <w:lang w:val="en-US"/>
        </w:rPr>
        <w:fldChar w:fldCharType="end"/>
      </w:r>
      <w:r>
        <w:rPr>
          <w:rFonts w:cs="Arial"/>
          <w:bCs/>
          <w:lang w:val="en-US"/>
        </w:rPr>
      </w:r>
      <w:r>
        <w:rPr>
          <w:rFonts w:cs="Arial"/>
          <w:bCs/>
          <w:lang w:val="en-US"/>
        </w:rPr>
        <w:fldChar w:fldCharType="separate"/>
      </w:r>
      <w:r w:rsidR="00CC16DE">
        <w:rPr>
          <w:rFonts w:cs="Arial"/>
          <w:bCs/>
          <w:noProof/>
          <w:lang w:val="en-US"/>
        </w:rPr>
        <w:t>(Roberts et al., 2011, Price et al., 2018)</w:t>
      </w:r>
      <w:r>
        <w:rPr>
          <w:rFonts w:cs="Arial"/>
          <w:bCs/>
          <w:lang w:val="en-US"/>
        </w:rPr>
        <w:fldChar w:fldCharType="end"/>
      </w:r>
      <w:r>
        <w:rPr>
          <w:rFonts w:cs="Arial"/>
          <w:bCs/>
          <w:lang w:val="en-US"/>
        </w:rPr>
        <w:t>.</w:t>
      </w:r>
      <w:r w:rsidR="00951C04">
        <w:rPr>
          <w:rFonts w:cs="Arial"/>
          <w:bCs/>
          <w:lang w:val="en-US"/>
        </w:rPr>
        <w:t xml:space="preserve">  </w:t>
      </w:r>
      <w:r>
        <w:rPr>
          <w:rFonts w:cs="Arial"/>
          <w:bCs/>
          <w:lang w:val="en-US"/>
        </w:rPr>
        <w:t xml:space="preserve">Thermal stimuli could be applied at a fixed temperature or at a fixed perception level (perception lock). It has been reported that heat pain thresholds vary widely between individuals  </w:t>
      </w:r>
      <w:r>
        <w:rPr>
          <w:rFonts w:cs="Arial"/>
          <w:bCs/>
          <w:lang w:val="en-US"/>
        </w:rPr>
        <w:fldChar w:fldCharType="begin">
          <w:fldData xml:space="preserve">PEVuZE5vdGU+PENpdGU+PEF1dGhvcj5Sb2xrZTwvQXV0aG9yPjxZZWFyPjIwMDY8L1llYXI+PElE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</w:fldData>
        </w:fldChar>
      </w:r>
      <w:r w:rsidR="009968E0">
        <w:rPr>
          <w:rFonts w:cs="Arial"/>
          <w:bCs/>
          <w:lang w:val="en-US"/>
        </w:rPr>
        <w:instrText xml:space="preserve"> ADDIN EN.CITE </w:instrText>
      </w:r>
      <w:r w:rsidR="009968E0">
        <w:rPr>
          <w:rFonts w:cs="Arial"/>
          <w:bCs/>
          <w:lang w:val="en-US"/>
        </w:rPr>
        <w:fldChar w:fldCharType="begin">
          <w:fldData xml:space="preserve">PEVuZE5vdGU+PENpdGU+PEF1dGhvcj5Sb2xrZTwvQXV0aG9yPjxZZWFyPjIwMDY8L1llYXI+PElE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</w:fldData>
        </w:fldChar>
      </w:r>
      <w:r w:rsidR="009968E0">
        <w:rPr>
          <w:rFonts w:cs="Arial"/>
          <w:bCs/>
          <w:lang w:val="en-US"/>
        </w:rPr>
        <w:instrText xml:space="preserve"> ADDIN EN.CITE.DATA </w:instrText>
      </w:r>
      <w:r w:rsidR="009968E0">
        <w:rPr>
          <w:rFonts w:cs="Arial"/>
          <w:bCs/>
          <w:lang w:val="en-US"/>
        </w:rPr>
      </w:r>
      <w:r w:rsidR="009968E0">
        <w:rPr>
          <w:rFonts w:cs="Arial"/>
          <w:bCs/>
          <w:lang w:val="en-US"/>
        </w:rPr>
        <w:fldChar w:fldCharType="end"/>
      </w:r>
      <w:r>
        <w:rPr>
          <w:rFonts w:cs="Arial"/>
          <w:bCs/>
          <w:lang w:val="en-US"/>
        </w:rPr>
      </w:r>
      <w:r>
        <w:rPr>
          <w:rFonts w:cs="Arial"/>
          <w:bCs/>
          <w:lang w:val="en-US"/>
        </w:rPr>
        <w:fldChar w:fldCharType="separate"/>
      </w:r>
      <w:r w:rsidR="009968E0">
        <w:rPr>
          <w:rFonts w:cs="Arial"/>
          <w:bCs/>
          <w:noProof/>
          <w:lang w:val="en-US"/>
        </w:rPr>
        <w:t>(Rolke et al., 2006c, Wasner and Brock, 2008)</w:t>
      </w:r>
      <w:r>
        <w:rPr>
          <w:rFonts w:cs="Arial"/>
          <w:bCs/>
          <w:lang w:val="en-US"/>
        </w:rPr>
        <w:fldChar w:fldCharType="end"/>
      </w:r>
      <w:r>
        <w:rPr>
          <w:rFonts w:cs="Arial"/>
          <w:bCs/>
          <w:lang w:val="en-US"/>
        </w:rPr>
        <w:t xml:space="preserve">, therefore the delivery of the stimulus in this experiment was perception locked to ensure that all participants were experiencing </w:t>
      </w:r>
      <w:r>
        <w:rPr>
          <w:rFonts w:cs="Arial"/>
          <w:bCs/>
          <w:lang w:val="en-US"/>
        </w:rPr>
        <w:lastRenderedPageBreak/>
        <w:t xml:space="preserve">pain at the time of the scan.  Delivering a noxious thermal stimulus to all participants could help us to decide if the perfusion response is unique to the P-DPN group or is shared by all groups during thermal pain.  </w:t>
      </w:r>
    </w:p>
    <w:p w14:paraId="7CF404EC" w14:textId="0AC9D590" w:rsidR="006416A2" w:rsidRPr="00BB75E6" w:rsidRDefault="006416A2" w:rsidP="006416A2">
      <w:pPr>
        <w:spacing w:line="360" w:lineRule="auto"/>
        <w:rPr>
          <w:rFonts w:cs="Arial"/>
        </w:rPr>
      </w:pPr>
      <w:r>
        <w:rPr>
          <w:rFonts w:cs="Arial"/>
        </w:rPr>
        <w:t>P</w:t>
      </w:r>
      <w:r w:rsidRPr="00BB75E6">
        <w:rPr>
          <w:rFonts w:cs="Arial"/>
        </w:rPr>
        <w:t xml:space="preserve">ilot work performed by </w:t>
      </w:r>
      <w:r>
        <w:rPr>
          <w:rFonts w:cs="Arial"/>
        </w:rPr>
        <w:t>our group</w:t>
      </w:r>
      <w:r w:rsidRPr="00BB75E6">
        <w:rPr>
          <w:rFonts w:cs="Arial"/>
        </w:rPr>
        <w:t xml:space="preserve"> </w:t>
      </w:r>
      <w:r w:rsidRPr="00BB75E6">
        <w:rPr>
          <w:rFonts w:cs="Arial"/>
        </w:rPr>
        <w:fldChar w:fldCharType="begin"/>
      </w:r>
      <w:r w:rsidR="009968E0">
        <w:rPr>
          <w:rFonts w:cs="Arial"/>
        </w:rPr>
        <w:instrText xml:space="preserve"> ADDIN EN.CITE &lt;EndNote&gt;&lt;Cite&gt;&lt;Author&gt;Selvarajah&lt;/Author&gt;&lt;Year&gt;2011&lt;/Year&gt;&lt;IDText&gt;Microvascular perfusion abnormalities of the Thalamus in painful but not painless diabetic polyneuropathy: a clue to the pathogenesis of pain in type 1 diabetes&lt;/IDText&gt;&lt;DisplayText&gt;(Selvarajah et al., 2011b)&lt;/DisplayText&gt;&lt;record&gt;&lt;dates&gt;&lt;pub-dates&gt;&lt;date&gt;Mar&lt;/date&gt;&lt;/pub-dates&gt;&lt;year&gt;2011&lt;/year&gt;&lt;/dates&gt;&lt;keywords&gt;&lt;keyword&gt;Diabetes Mellitus, Type 1&lt;/keyword&gt;&lt;keyword&gt;Diabetic Neuropathies&lt;/keyword&gt;&lt;keyword&gt;Female&lt;/keyword&gt;&lt;keyword&gt;Humans&lt;/keyword&gt;&lt;keyword&gt;Male&lt;/keyword&gt;&lt;keyword&gt;Microvessels&lt;/keyword&gt;&lt;keyword&gt;Pain&lt;/keyword&gt;&lt;keyword&gt;Thalamus&lt;/keyword&gt;&lt;/keywords&gt;&lt;urls&gt;&lt;related-urls&gt;&lt;url&gt;http://www.ncbi.nlm.nih.gov/pubmed/21282344&lt;/url&gt;&lt;/related-urls&gt;&lt;/urls&gt;&lt;isbn&gt;1935-5548&lt;/isbn&gt;&lt;custom2&gt;PMC3041213&lt;/custom2&gt;&lt;titles&gt;&lt;title&gt;Microvascular perfusion abnormalities of the Thalamus in painful but not painless diabetic polyneuropathy: a clue to the pathogenesis of pain in type 1 diabetes&lt;/title&gt;&lt;secondary-title&gt;Diabetes Care&lt;/secondary-title&gt;&lt;/titles&gt;&lt;pages&gt;718-20&lt;/pages&gt;&lt;number&gt;3&lt;/number&gt;&lt;contributors&gt;&lt;authors&gt;&lt;author&gt;Selvarajah, D.&lt;/author&gt;&lt;author&gt;Wilkinson, I. D.&lt;/author&gt;&lt;author&gt;Gandhi, R.&lt;/author&gt;&lt;author&gt;Griffiths, P. D.&lt;/author&gt;&lt;author&gt;Tesfaye, S.&lt;/author&gt;&lt;/authors&gt;&lt;/contributors&gt;&lt;language&gt;eng&lt;/language&gt;&lt;added-date format="utc"&gt;1349953630&lt;/added-date&gt;&lt;ref-type name="Journal Article"&gt;17&lt;/ref-type&gt;&lt;auth-address&gt;Diabetes Research Department, Royal Hallamshire Hospital, Sheffield, UK. dinesh.selvarajah@gmail.com&lt;/auth-address&gt;&lt;rec-number&gt;3&lt;/rec-number&gt;&lt;last-updated-date format="utc"&gt;1349953630&lt;/last-updated-date&gt;&lt;accession-num&gt;21282344&lt;/accession-num&gt;&lt;electronic-resource-num&gt;dc10-1550 [pii]&amp;#xD;&amp;#xA;10.2337/dc10-1550&lt;/electronic-resource-num&gt;&lt;volume&gt;34&lt;/volume&gt;&lt;/record&gt;&lt;/Cite&gt;&lt;/EndNote&gt;</w:instrText>
      </w:r>
      <w:r w:rsidRPr="00BB75E6">
        <w:rPr>
          <w:rFonts w:cs="Arial"/>
        </w:rPr>
        <w:fldChar w:fldCharType="separate"/>
      </w:r>
      <w:r w:rsidR="009968E0">
        <w:rPr>
          <w:rFonts w:cs="Arial"/>
          <w:noProof/>
        </w:rPr>
        <w:t>(Selvarajah et al., 2011b)</w:t>
      </w:r>
      <w:r w:rsidRPr="00BB75E6">
        <w:rPr>
          <w:rFonts w:cs="Arial"/>
        </w:rPr>
        <w:fldChar w:fldCharType="end"/>
      </w:r>
      <w:r>
        <w:rPr>
          <w:rFonts w:cs="Arial"/>
        </w:rPr>
        <w:t xml:space="preserve"> using DSC-MRI showed there may be abnormal resting state thalamic perfusion in P-DPN</w:t>
      </w:r>
      <w:r w:rsidRPr="00BB75E6">
        <w:rPr>
          <w:rFonts w:cs="Arial"/>
        </w:rPr>
        <w:t xml:space="preserve">. </w:t>
      </w:r>
      <w:r>
        <w:rPr>
          <w:rFonts w:cs="Arial"/>
        </w:rPr>
        <w:t xml:space="preserve">The aim of this study was to take these </w:t>
      </w:r>
      <w:r w:rsidR="00951C04">
        <w:rPr>
          <w:rFonts w:cs="Arial"/>
        </w:rPr>
        <w:t xml:space="preserve">findings </w:t>
      </w:r>
      <w:r>
        <w:rPr>
          <w:rFonts w:cs="Arial"/>
        </w:rPr>
        <w:t xml:space="preserve">forward by interrogating measurement of resting perfusion </w:t>
      </w:r>
      <w:r w:rsidR="00951C04">
        <w:rPr>
          <w:rFonts w:cs="Arial"/>
        </w:rPr>
        <w:t>and</w:t>
      </w:r>
      <w:r>
        <w:rPr>
          <w:rFonts w:cs="Arial"/>
        </w:rPr>
        <w:t xml:space="preserve"> to study response to exogenous thermal pain applied to the lower limbs. </w:t>
      </w:r>
    </w:p>
    <w:p w14:paraId="386DBB29" w14:textId="7E6B0666" w:rsidR="006416A2" w:rsidRPr="00BB75E6" w:rsidRDefault="006416A2" w:rsidP="00E745CE">
      <w:pPr>
        <w:pStyle w:val="Heading2"/>
      </w:pPr>
      <w:bookmarkStart w:id="379" w:name="_Toc431375316"/>
      <w:bookmarkStart w:id="380" w:name="_Toc46213554"/>
      <w:bookmarkStart w:id="381" w:name="_Toc48469269"/>
      <w:bookmarkStart w:id="382" w:name="_Toc64723947"/>
      <w:r w:rsidRPr="00BB75E6">
        <w:t>Method:</w:t>
      </w:r>
      <w:bookmarkEnd w:id="379"/>
      <w:bookmarkEnd w:id="380"/>
      <w:bookmarkEnd w:id="381"/>
      <w:bookmarkEnd w:id="382"/>
    </w:p>
    <w:p w14:paraId="64B1DD3F" w14:textId="0BF98FE2" w:rsidR="006416A2" w:rsidRDefault="006416A2" w:rsidP="006416A2">
      <w:pPr>
        <w:spacing w:line="360" w:lineRule="auto"/>
        <w:rPr>
          <w:rFonts w:cs="Arial"/>
        </w:rPr>
      </w:pPr>
      <w:r>
        <w:rPr>
          <w:rFonts w:cs="Arial"/>
        </w:rPr>
        <w:t xml:space="preserve">The method of the screening, </w:t>
      </w:r>
      <w:r w:rsidR="004E31BE">
        <w:rPr>
          <w:rFonts w:cs="Arial"/>
        </w:rPr>
        <w:t xml:space="preserve">and characterisation have been described in Chapter 1: pp 50-54.  </w:t>
      </w:r>
      <w:r>
        <w:rPr>
          <w:rFonts w:cs="Arial"/>
        </w:rPr>
        <w:t xml:space="preserve"> </w:t>
      </w:r>
      <w:r w:rsidR="004E31BE">
        <w:rPr>
          <w:rFonts w:cs="Arial"/>
        </w:rPr>
        <w:t xml:space="preserve">The DSC-MRI protocol has been described in Chapter 2: pp 50-54 and Chapter 3: pp 70-85. </w:t>
      </w:r>
    </w:p>
    <w:p w14:paraId="1681B36C" w14:textId="42D7B0E9" w:rsidR="006416A2" w:rsidRDefault="006416A2" w:rsidP="009F58A0">
      <w:pPr>
        <w:pStyle w:val="Subtitle"/>
      </w:pPr>
      <w:bookmarkStart w:id="383" w:name="_Toc48469295"/>
      <w:bookmarkStart w:id="384" w:name="_Toc64724206"/>
      <w:r>
        <w:t>Figure 5.1- Overview of the Study- Visit 3</w:t>
      </w:r>
      <w:bookmarkEnd w:id="383"/>
      <w:bookmarkEnd w:id="384"/>
    </w:p>
    <w:p w14:paraId="08CD018A" w14:textId="2AEFBA14" w:rsidR="006416A2" w:rsidRDefault="004E3328" w:rsidP="006416A2">
      <w:pPr>
        <w:pBdr>
          <w:top w:val="single" w:sz="4" w:space="1" w:color="auto"/>
          <w:left w:val="single" w:sz="4" w:space="4" w:color="auto"/>
          <w:bottom w:val="single" w:sz="4" w:space="1" w:color="auto"/>
          <w:right w:val="single" w:sz="4" w:space="4" w:color="auto"/>
        </w:pBdr>
        <w:spacing w:line="360" w:lineRule="auto"/>
        <w:rPr>
          <w:rFonts w:cs="Arial"/>
        </w:rPr>
      </w:pPr>
      <w:r>
        <w:rPr>
          <w:noProof/>
          <w:lang w:eastAsia="en-GB"/>
        </w:rPr>
        <mc:AlternateContent>
          <mc:Choice Requires="wps">
            <w:drawing>
              <wp:anchor distT="0" distB="0" distL="114300" distR="114300" simplePos="0" relativeHeight="251746304" behindDoc="0" locked="0" layoutInCell="1" allowOverlap="1" wp14:anchorId="3B7D2882" wp14:editId="55C6077C">
                <wp:simplePos x="0" y="0"/>
                <wp:positionH relativeFrom="column">
                  <wp:posOffset>924560</wp:posOffset>
                </wp:positionH>
                <wp:positionV relativeFrom="paragraph">
                  <wp:posOffset>40640</wp:posOffset>
                </wp:positionV>
                <wp:extent cx="1981200" cy="365760"/>
                <wp:effectExtent l="0" t="0" r="12700" b="15240"/>
                <wp:wrapNone/>
                <wp:docPr id="2066" name="Rectangle 2066"/>
                <wp:cNvGraphicFramePr/>
                <a:graphic xmlns:a="http://schemas.openxmlformats.org/drawingml/2006/main">
                  <a:graphicData uri="http://schemas.microsoft.com/office/word/2010/wordprocessingShape">
                    <wps:wsp>
                      <wps:cNvSpPr/>
                      <wps:spPr>
                        <a:xfrm>
                          <a:off x="0" y="0"/>
                          <a:ext cx="1981200" cy="36576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15D8CEE" w14:textId="77777777" w:rsidR="00D17A43" w:rsidRDefault="00D17A43" w:rsidP="006416A2">
                            <w:pPr>
                              <w:jc w:val="center"/>
                            </w:pPr>
                            <w:r>
                              <w:t xml:space="preserve">Subjects identified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7D2882" id="Rectangle 2066" o:spid="_x0000_s1073" style="position:absolute;margin-left:72.8pt;margin-top:3.2pt;width:156pt;height:28.8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" fillcolor="#4472c4 [3204]" strokecolor="#1f3763 [1604]" strokeweight="1pt">
                <v:textbox>
                  <w:txbxContent>
                    <w:p w14:paraId="615D8CEE" w14:textId="77777777" w:rsidR="00D17A43" w:rsidRDefault="00D17A43" w:rsidP="006416A2">
                      <w:pPr>
                        <w:jc w:val="center"/>
                      </w:pPr>
                      <w:r>
                        <w:t xml:space="preserve">Subjects identified </w:t>
                      </w:r>
                    </w:p>
                  </w:txbxContent>
                </v:textbox>
              </v:rect>
            </w:pict>
          </mc:Fallback>
        </mc:AlternateContent>
      </w:r>
    </w:p>
    <w:p w14:paraId="3BC0D3AA" w14:textId="2CF46C30" w:rsidR="006416A2" w:rsidRDefault="00C619EF" w:rsidP="006416A2">
      <w:pPr>
        <w:pBdr>
          <w:top w:val="single" w:sz="4" w:space="1" w:color="auto"/>
          <w:left w:val="single" w:sz="4" w:space="4" w:color="auto"/>
          <w:bottom w:val="single" w:sz="4" w:space="1" w:color="auto"/>
          <w:right w:val="single" w:sz="4" w:space="4" w:color="auto"/>
        </w:pBdr>
      </w:pPr>
      <w:r>
        <w:rPr>
          <w:noProof/>
          <w:lang w:eastAsia="en-GB"/>
        </w:rPr>
        <mc:AlternateContent>
          <mc:Choice Requires="wps">
            <w:drawing>
              <wp:anchor distT="0" distB="0" distL="114300" distR="114300" simplePos="0" relativeHeight="251747328" behindDoc="0" locked="0" layoutInCell="1" allowOverlap="1" wp14:anchorId="37079D89" wp14:editId="65496DB9">
                <wp:simplePos x="0" y="0"/>
                <wp:positionH relativeFrom="column">
                  <wp:posOffset>1739900</wp:posOffset>
                </wp:positionH>
                <wp:positionV relativeFrom="paragraph">
                  <wp:posOffset>124460</wp:posOffset>
                </wp:positionV>
                <wp:extent cx="357505" cy="345440"/>
                <wp:effectExtent l="12700" t="0" r="23495" b="22860"/>
                <wp:wrapNone/>
                <wp:docPr id="2067" name="Down Arrow 2067"/>
                <wp:cNvGraphicFramePr/>
                <a:graphic xmlns:a="http://schemas.openxmlformats.org/drawingml/2006/main">
                  <a:graphicData uri="http://schemas.microsoft.com/office/word/2010/wordprocessingShape">
                    <wps:wsp>
                      <wps:cNvSpPr/>
                      <wps:spPr>
                        <a:xfrm>
                          <a:off x="0" y="0"/>
                          <a:ext cx="357505" cy="34544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C782890" id="Down Arrow 2067" o:spid="_x0000_s1026" type="#_x0000_t67" style="position:absolute;margin-left:137pt;margin-top:9.8pt;width:28.15pt;height:27.2pt;z-index:251747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" adj="10800" fillcolor="#4472c4 [3204]" strokecolor="#1f3763 [1604]" strokeweight="1pt"/>
            </w:pict>
          </mc:Fallback>
        </mc:AlternateContent>
      </w:r>
    </w:p>
    <w:p w14:paraId="6F84F400" w14:textId="51AB1FEB" w:rsidR="006416A2" w:rsidRPr="006A591C" w:rsidRDefault="006416A2" w:rsidP="006416A2">
      <w:pPr>
        <w:pBdr>
          <w:top w:val="single" w:sz="4" w:space="1" w:color="auto"/>
          <w:left w:val="single" w:sz="4" w:space="4" w:color="auto"/>
          <w:bottom w:val="single" w:sz="4" w:space="1" w:color="auto"/>
          <w:right w:val="single" w:sz="4" w:space="4" w:color="auto"/>
        </w:pBdr>
      </w:pPr>
    </w:p>
    <w:p w14:paraId="5A919CA2" w14:textId="3D47E5F1" w:rsidR="006416A2" w:rsidRPr="006A591C" w:rsidRDefault="00C619EF" w:rsidP="006416A2">
      <w:pPr>
        <w:pBdr>
          <w:top w:val="single" w:sz="4" w:space="1" w:color="auto"/>
          <w:left w:val="single" w:sz="4" w:space="4" w:color="auto"/>
          <w:bottom w:val="single" w:sz="4" w:space="1" w:color="auto"/>
          <w:right w:val="single" w:sz="4" w:space="4" w:color="auto"/>
        </w:pBdr>
      </w:pPr>
      <w:r>
        <w:rPr>
          <w:noProof/>
          <w:lang w:eastAsia="en-GB"/>
        </w:rPr>
        <mc:AlternateContent>
          <mc:Choice Requires="wps">
            <w:drawing>
              <wp:anchor distT="0" distB="0" distL="114300" distR="114300" simplePos="0" relativeHeight="251749376" behindDoc="0" locked="0" layoutInCell="1" allowOverlap="1" wp14:anchorId="63036388" wp14:editId="0FC2CB5B">
                <wp:simplePos x="0" y="0"/>
                <wp:positionH relativeFrom="column">
                  <wp:posOffset>3785870</wp:posOffset>
                </wp:positionH>
                <wp:positionV relativeFrom="paragraph">
                  <wp:posOffset>98425</wp:posOffset>
                </wp:positionV>
                <wp:extent cx="1439186" cy="505129"/>
                <wp:effectExtent l="12700" t="12700" r="8890" b="15875"/>
                <wp:wrapNone/>
                <wp:docPr id="2068" name="Rectangle 2068"/>
                <wp:cNvGraphicFramePr/>
                <a:graphic xmlns:a="http://schemas.openxmlformats.org/drawingml/2006/main">
                  <a:graphicData uri="http://schemas.microsoft.com/office/word/2010/wordprocessingShape">
                    <wps:wsp>
                      <wps:cNvSpPr/>
                      <wps:spPr>
                        <a:xfrm>
                          <a:off x="0" y="0"/>
                          <a:ext cx="1439186" cy="50512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CF464B8" w14:textId="77777777" w:rsidR="00D17A43" w:rsidRDefault="00D17A43" w:rsidP="006416A2">
                            <w:pPr>
                              <w:jc w:val="center"/>
                            </w:pPr>
                            <w:r>
                              <w:t>Not suitable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036388" id="Rectangle 2068" o:spid="_x0000_s1074" style="position:absolute;margin-left:298.1pt;margin-top:7.75pt;width:113.3pt;height:39.7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" fillcolor="#4472c4 [3204]" strokecolor="#1f3763 [1604]" strokeweight="1pt">
                <v:textbox>
                  <w:txbxContent>
                    <w:p w14:paraId="5CF464B8" w14:textId="77777777" w:rsidR="00D17A43" w:rsidRDefault="00D17A43" w:rsidP="006416A2">
                      <w:pPr>
                        <w:jc w:val="center"/>
                      </w:pPr>
                      <w:r>
                        <w:t>Not suitable</w:t>
                      </w:r>
                    </w:p>
                  </w:txbxContent>
                </v:textbox>
              </v:rect>
            </w:pict>
          </mc:Fallback>
        </mc:AlternateContent>
      </w:r>
      <w:r>
        <w:rPr>
          <w:noProof/>
          <w:lang w:eastAsia="en-GB"/>
        </w:rPr>
        <mc:AlternateContent>
          <mc:Choice Requires="wps">
            <w:drawing>
              <wp:anchor distT="0" distB="0" distL="114300" distR="114300" simplePos="0" relativeHeight="251757568" behindDoc="0" locked="0" layoutInCell="1" allowOverlap="1" wp14:anchorId="7FCCEB01" wp14:editId="5ABFE55B">
                <wp:simplePos x="0" y="0"/>
                <wp:positionH relativeFrom="column">
                  <wp:posOffset>2957830</wp:posOffset>
                </wp:positionH>
                <wp:positionV relativeFrom="paragraph">
                  <wp:posOffset>99695</wp:posOffset>
                </wp:positionV>
                <wp:extent cx="755373" cy="500933"/>
                <wp:effectExtent l="0" t="12700" r="19685" b="20320"/>
                <wp:wrapNone/>
                <wp:docPr id="2069" name="Right Arrow 2069"/>
                <wp:cNvGraphicFramePr/>
                <a:graphic xmlns:a="http://schemas.openxmlformats.org/drawingml/2006/main">
                  <a:graphicData uri="http://schemas.microsoft.com/office/word/2010/wordprocessingShape">
                    <wps:wsp>
                      <wps:cNvSpPr/>
                      <wps:spPr>
                        <a:xfrm>
                          <a:off x="0" y="0"/>
                          <a:ext cx="755373" cy="500933"/>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9B248BF" id="Right Arrow 2069" o:spid="_x0000_s1026" type="#_x0000_t13" style="position:absolute;margin-left:232.9pt;margin-top:7.85pt;width:59.5pt;height:39.45pt;z-index:251757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" adj="14438" fillcolor="#4472c4 [3204]" strokecolor="#1f3763 [1604]" strokeweight="1pt"/>
            </w:pict>
          </mc:Fallback>
        </mc:AlternateContent>
      </w:r>
      <w:r>
        <w:rPr>
          <w:noProof/>
          <w:lang w:eastAsia="en-GB"/>
        </w:rPr>
        <mc:AlternateContent>
          <mc:Choice Requires="wps">
            <w:drawing>
              <wp:anchor distT="0" distB="0" distL="114300" distR="114300" simplePos="0" relativeHeight="251748352" behindDoc="0" locked="0" layoutInCell="1" allowOverlap="1" wp14:anchorId="57363156" wp14:editId="4B03F94F">
                <wp:simplePos x="0" y="0"/>
                <wp:positionH relativeFrom="column">
                  <wp:posOffset>863600</wp:posOffset>
                </wp:positionH>
                <wp:positionV relativeFrom="paragraph">
                  <wp:posOffset>119380</wp:posOffset>
                </wp:positionV>
                <wp:extent cx="2042160" cy="476885"/>
                <wp:effectExtent l="0" t="0" r="15240" b="18415"/>
                <wp:wrapNone/>
                <wp:docPr id="2070" name="Rectangle 2070"/>
                <wp:cNvGraphicFramePr/>
                <a:graphic xmlns:a="http://schemas.openxmlformats.org/drawingml/2006/main">
                  <a:graphicData uri="http://schemas.microsoft.com/office/word/2010/wordprocessingShape">
                    <wps:wsp>
                      <wps:cNvSpPr/>
                      <wps:spPr>
                        <a:xfrm>
                          <a:off x="0" y="0"/>
                          <a:ext cx="2042160" cy="47688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6C8D404" w14:textId="77777777" w:rsidR="00D17A43" w:rsidRDefault="00D17A43" w:rsidP="006416A2">
                            <w:pPr>
                              <w:jc w:val="center"/>
                            </w:pPr>
                            <w:r>
                              <w:t>Screening Visit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7363156" id="Rectangle 2070" o:spid="_x0000_s1075" style="position:absolute;margin-left:68pt;margin-top:9.4pt;width:160.8pt;height:37.55pt;z-index:251748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" fillcolor="#4472c4 [3204]" strokecolor="#1f3763 [1604]" strokeweight="1pt">
                <v:textbox>
                  <w:txbxContent>
                    <w:p w14:paraId="26C8D404" w14:textId="77777777" w:rsidR="00D17A43" w:rsidRDefault="00D17A43" w:rsidP="006416A2">
                      <w:pPr>
                        <w:jc w:val="center"/>
                      </w:pPr>
                      <w:r>
                        <w:t>Screening Visit</w:t>
                      </w:r>
                    </w:p>
                  </w:txbxContent>
                </v:textbox>
              </v:rect>
            </w:pict>
          </mc:Fallback>
        </mc:AlternateContent>
      </w:r>
    </w:p>
    <w:p w14:paraId="1F32DDC7" w14:textId="622343FF" w:rsidR="006416A2" w:rsidRPr="006A591C" w:rsidRDefault="006416A2" w:rsidP="006416A2">
      <w:pPr>
        <w:pBdr>
          <w:top w:val="single" w:sz="4" w:space="1" w:color="auto"/>
          <w:left w:val="single" w:sz="4" w:space="4" w:color="auto"/>
          <w:bottom w:val="single" w:sz="4" w:space="1" w:color="auto"/>
          <w:right w:val="single" w:sz="4" w:space="4" w:color="auto"/>
        </w:pBdr>
      </w:pPr>
    </w:p>
    <w:p w14:paraId="7D72D67C" w14:textId="7DF47329" w:rsidR="006416A2" w:rsidRPr="006A591C" w:rsidRDefault="00C619EF" w:rsidP="006416A2">
      <w:pPr>
        <w:pBdr>
          <w:top w:val="single" w:sz="4" w:space="1" w:color="auto"/>
          <w:left w:val="single" w:sz="4" w:space="4" w:color="auto"/>
          <w:bottom w:val="single" w:sz="4" w:space="1" w:color="auto"/>
          <w:right w:val="single" w:sz="4" w:space="4" w:color="auto"/>
        </w:pBdr>
      </w:pPr>
      <w:r>
        <w:rPr>
          <w:noProof/>
          <w:lang w:eastAsia="en-GB"/>
        </w:rPr>
        <mc:AlternateContent>
          <mc:Choice Requires="wps">
            <w:drawing>
              <wp:anchor distT="0" distB="0" distL="114300" distR="114300" simplePos="0" relativeHeight="251751424" behindDoc="0" locked="0" layoutInCell="1" allowOverlap="1" wp14:anchorId="379FDE34" wp14:editId="13208A3C">
                <wp:simplePos x="0" y="0"/>
                <wp:positionH relativeFrom="column">
                  <wp:posOffset>30799</wp:posOffset>
                </wp:positionH>
                <wp:positionV relativeFrom="paragraph">
                  <wp:posOffset>46037</wp:posOffset>
                </wp:positionV>
                <wp:extent cx="858837" cy="476885"/>
                <wp:effectExtent l="317" t="0" r="18098" b="18097"/>
                <wp:wrapNone/>
                <wp:docPr id="2073" name="Rectangle 2073"/>
                <wp:cNvGraphicFramePr/>
                <a:graphic xmlns:a="http://schemas.openxmlformats.org/drawingml/2006/main">
                  <a:graphicData uri="http://schemas.microsoft.com/office/word/2010/wordprocessingShape">
                    <wps:wsp>
                      <wps:cNvSpPr/>
                      <wps:spPr>
                        <a:xfrm rot="16200000">
                          <a:off x="0" y="0"/>
                          <a:ext cx="858837" cy="47688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03CC111" w14:textId="77777777" w:rsidR="00D17A43" w:rsidRDefault="00D17A43" w:rsidP="006416A2">
                            <w:pPr>
                              <w:jc w:val="center"/>
                            </w:pPr>
                            <w:r>
                              <w:t>Visit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79FDE34" id="Rectangle 2073" o:spid="_x0000_s1076" style="position:absolute;margin-left:2.45pt;margin-top:3.6pt;width:67.6pt;height:37.55pt;rotation:-90;z-index:251751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" fillcolor="#4472c4 [3204]" strokecolor="#1f3763 [1604]" strokeweight="1pt">
                <v:textbox>
                  <w:txbxContent>
                    <w:p w14:paraId="503CC111" w14:textId="77777777" w:rsidR="00D17A43" w:rsidRDefault="00D17A43" w:rsidP="006416A2">
                      <w:pPr>
                        <w:jc w:val="center"/>
                      </w:pPr>
                      <w:r>
                        <w:t>Visit 1</w:t>
                      </w:r>
                    </w:p>
                  </w:txbxContent>
                </v:textbox>
              </v:rect>
            </w:pict>
          </mc:Fallback>
        </mc:AlternateContent>
      </w:r>
    </w:p>
    <w:p w14:paraId="399B3FEB" w14:textId="3FA57ADB" w:rsidR="006416A2" w:rsidRDefault="00C619EF" w:rsidP="006416A2">
      <w:pPr>
        <w:pBdr>
          <w:top w:val="single" w:sz="4" w:space="1" w:color="auto"/>
          <w:left w:val="single" w:sz="4" w:space="4" w:color="auto"/>
          <w:bottom w:val="single" w:sz="4" w:space="1" w:color="auto"/>
          <w:right w:val="single" w:sz="4" w:space="4" w:color="auto"/>
        </w:pBdr>
      </w:pPr>
      <w:r>
        <w:rPr>
          <w:noProof/>
          <w:lang w:eastAsia="en-GB"/>
        </w:rPr>
        <mc:AlternateContent>
          <mc:Choice Requires="wps">
            <w:drawing>
              <wp:anchor distT="0" distB="0" distL="114300" distR="114300" simplePos="0" relativeHeight="251753472" behindDoc="0" locked="0" layoutInCell="1" allowOverlap="1" wp14:anchorId="544D29F7" wp14:editId="771CFB32">
                <wp:simplePos x="0" y="0"/>
                <wp:positionH relativeFrom="column">
                  <wp:posOffset>863600</wp:posOffset>
                </wp:positionH>
                <wp:positionV relativeFrom="paragraph">
                  <wp:posOffset>132080</wp:posOffset>
                </wp:positionV>
                <wp:extent cx="2092960" cy="476885"/>
                <wp:effectExtent l="0" t="0" r="15240" b="18415"/>
                <wp:wrapNone/>
                <wp:docPr id="2071" name="Rectangle 2071"/>
                <wp:cNvGraphicFramePr/>
                <a:graphic xmlns:a="http://schemas.openxmlformats.org/drawingml/2006/main">
                  <a:graphicData uri="http://schemas.microsoft.com/office/word/2010/wordprocessingShape">
                    <wps:wsp>
                      <wps:cNvSpPr/>
                      <wps:spPr>
                        <a:xfrm>
                          <a:off x="0" y="0"/>
                          <a:ext cx="2092960" cy="47688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17A69E2" w14:textId="77777777" w:rsidR="00D17A43" w:rsidRDefault="00D17A43" w:rsidP="006416A2">
                            <w:pPr>
                              <w:jc w:val="center"/>
                            </w:pPr>
                            <w:r>
                              <w:t>Characterisation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44D29F7" id="Rectangle 2071" o:spid="_x0000_s1077" style="position:absolute;margin-left:68pt;margin-top:10.4pt;width:164.8pt;height:37.55pt;z-index:25175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" fillcolor="#4472c4 [3204]" strokecolor="#1f3763 [1604]" strokeweight="1pt">
                <v:textbox>
                  <w:txbxContent>
                    <w:p w14:paraId="017A69E2" w14:textId="77777777" w:rsidR="00D17A43" w:rsidRDefault="00D17A43" w:rsidP="006416A2">
                      <w:pPr>
                        <w:jc w:val="center"/>
                      </w:pPr>
                      <w:r>
                        <w:t>Characterisation</w:t>
                      </w:r>
                    </w:p>
                  </w:txbxContent>
                </v:textbox>
              </v:rect>
            </w:pict>
          </mc:Fallback>
        </mc:AlternateContent>
      </w:r>
    </w:p>
    <w:p w14:paraId="13EFF15E" w14:textId="3FBC8E22" w:rsidR="006416A2" w:rsidRPr="006A591C" w:rsidRDefault="006416A2" w:rsidP="006416A2">
      <w:pPr>
        <w:pBdr>
          <w:top w:val="single" w:sz="4" w:space="1" w:color="auto"/>
          <w:left w:val="single" w:sz="4" w:space="4" w:color="auto"/>
          <w:bottom w:val="single" w:sz="4" w:space="1" w:color="auto"/>
          <w:right w:val="single" w:sz="4" w:space="4" w:color="auto"/>
        </w:pBdr>
        <w:tabs>
          <w:tab w:val="left" w:pos="1690"/>
        </w:tabs>
      </w:pPr>
      <w:r>
        <w:tab/>
      </w:r>
    </w:p>
    <w:p w14:paraId="770B5233" w14:textId="55E7D94B" w:rsidR="006416A2" w:rsidRDefault="00C619EF" w:rsidP="006416A2">
      <w:pPr>
        <w:pBdr>
          <w:top w:val="single" w:sz="4" w:space="1" w:color="auto"/>
          <w:left w:val="single" w:sz="4" w:space="4" w:color="auto"/>
          <w:bottom w:val="single" w:sz="4" w:space="1" w:color="auto"/>
          <w:right w:val="single" w:sz="4" w:space="4" w:color="auto"/>
        </w:pBdr>
        <w:spacing w:line="360" w:lineRule="auto"/>
        <w:rPr>
          <w:rFonts w:cs="Arial"/>
        </w:rPr>
      </w:pPr>
      <w:r>
        <w:rPr>
          <w:noProof/>
          <w:lang w:eastAsia="en-GB"/>
        </w:rPr>
        <mc:AlternateContent>
          <mc:Choice Requires="wps">
            <w:drawing>
              <wp:anchor distT="0" distB="0" distL="114300" distR="114300" simplePos="0" relativeHeight="251756544" behindDoc="0" locked="0" layoutInCell="1" allowOverlap="1" wp14:anchorId="57BC35FC" wp14:editId="1F28E878">
                <wp:simplePos x="0" y="0"/>
                <wp:positionH relativeFrom="column">
                  <wp:posOffset>1739900</wp:posOffset>
                </wp:positionH>
                <wp:positionV relativeFrom="paragraph">
                  <wp:posOffset>258445</wp:posOffset>
                </wp:positionV>
                <wp:extent cx="357505" cy="365760"/>
                <wp:effectExtent l="12700" t="0" r="23495" b="27940"/>
                <wp:wrapNone/>
                <wp:docPr id="2074" name="Down Arrow 2074"/>
                <wp:cNvGraphicFramePr/>
                <a:graphic xmlns:a="http://schemas.openxmlformats.org/drawingml/2006/main">
                  <a:graphicData uri="http://schemas.microsoft.com/office/word/2010/wordprocessingShape">
                    <wps:wsp>
                      <wps:cNvSpPr/>
                      <wps:spPr>
                        <a:xfrm>
                          <a:off x="0" y="0"/>
                          <a:ext cx="357505" cy="36576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04D355C" id="Down Arrow 2074" o:spid="_x0000_s1026" type="#_x0000_t67" style="position:absolute;margin-left:137pt;margin-top:20.35pt;width:28.15pt;height:28.8pt;z-index:251756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" adj="11044" fillcolor="#4472c4 [3204]" strokecolor="#1f3763 [1604]" strokeweight="1pt"/>
            </w:pict>
          </mc:Fallback>
        </mc:AlternateContent>
      </w:r>
    </w:p>
    <w:p w14:paraId="085D716E" w14:textId="7BED33C4" w:rsidR="006416A2" w:rsidRDefault="006416A2" w:rsidP="006416A2">
      <w:pPr>
        <w:pBdr>
          <w:top w:val="single" w:sz="4" w:space="1" w:color="auto"/>
          <w:left w:val="single" w:sz="4" w:space="4" w:color="auto"/>
          <w:bottom w:val="single" w:sz="4" w:space="1" w:color="auto"/>
          <w:right w:val="single" w:sz="4" w:space="4" w:color="auto"/>
        </w:pBdr>
        <w:spacing w:line="360" w:lineRule="auto"/>
        <w:rPr>
          <w:rFonts w:cs="Arial"/>
        </w:rPr>
      </w:pPr>
    </w:p>
    <w:p w14:paraId="03D54907" w14:textId="1FF200C8" w:rsidR="006416A2" w:rsidRDefault="00C619EF" w:rsidP="006416A2">
      <w:pPr>
        <w:pBdr>
          <w:top w:val="single" w:sz="4" w:space="1" w:color="auto"/>
          <w:left w:val="single" w:sz="4" w:space="4" w:color="auto"/>
          <w:bottom w:val="single" w:sz="4" w:space="1" w:color="auto"/>
          <w:right w:val="single" w:sz="4" w:space="4" w:color="auto"/>
        </w:pBdr>
        <w:spacing w:line="360" w:lineRule="auto"/>
        <w:rPr>
          <w:rFonts w:cs="Arial"/>
        </w:rPr>
      </w:pPr>
      <w:r>
        <w:rPr>
          <w:noProof/>
          <w:lang w:eastAsia="en-GB"/>
        </w:rPr>
        <mc:AlternateContent>
          <mc:Choice Requires="wps">
            <w:drawing>
              <wp:anchor distT="0" distB="0" distL="114300" distR="114300" simplePos="0" relativeHeight="251758592" behindDoc="0" locked="0" layoutInCell="1" allowOverlap="1" wp14:anchorId="60968EEE" wp14:editId="6E5FF028">
                <wp:simplePos x="0" y="0"/>
                <wp:positionH relativeFrom="column">
                  <wp:posOffset>163196</wp:posOffset>
                </wp:positionH>
                <wp:positionV relativeFrom="paragraph">
                  <wp:posOffset>153986</wp:posOffset>
                </wp:positionV>
                <wp:extent cx="588604" cy="477078"/>
                <wp:effectExtent l="4762" t="0" r="13653" b="13652"/>
                <wp:wrapNone/>
                <wp:docPr id="2075" name="Rectangle 2075"/>
                <wp:cNvGraphicFramePr/>
                <a:graphic xmlns:a="http://schemas.openxmlformats.org/drawingml/2006/main">
                  <a:graphicData uri="http://schemas.microsoft.com/office/word/2010/wordprocessingShape">
                    <wps:wsp>
                      <wps:cNvSpPr/>
                      <wps:spPr>
                        <a:xfrm rot="16200000">
                          <a:off x="0" y="0"/>
                          <a:ext cx="588604" cy="47707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5C78B55" w14:textId="77777777" w:rsidR="00D17A43" w:rsidRDefault="00D17A43" w:rsidP="006416A2">
                            <w:pPr>
                              <w:jc w:val="center"/>
                            </w:pPr>
                            <w:r>
                              <w:t>Visit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0968EEE" id="Rectangle 2075" o:spid="_x0000_s1078" style="position:absolute;margin-left:12.85pt;margin-top:12.1pt;width:46.35pt;height:37.55pt;rotation:-90;z-index:251758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" fillcolor="#4472c4 [3204]" strokecolor="#1f3763 [1604]" strokeweight="1pt">
                <v:textbox>
                  <w:txbxContent>
                    <w:p w14:paraId="45C78B55" w14:textId="77777777" w:rsidR="00D17A43" w:rsidRDefault="00D17A43" w:rsidP="006416A2">
                      <w:pPr>
                        <w:jc w:val="center"/>
                      </w:pPr>
                      <w:r>
                        <w:t>Visit 2</w:t>
                      </w:r>
                    </w:p>
                  </w:txbxContent>
                </v:textbox>
              </v:rect>
            </w:pict>
          </mc:Fallback>
        </mc:AlternateContent>
      </w:r>
      <w:r>
        <w:rPr>
          <w:noProof/>
          <w:lang w:eastAsia="en-GB"/>
        </w:rPr>
        <mc:AlternateContent>
          <mc:Choice Requires="wps">
            <w:drawing>
              <wp:anchor distT="0" distB="0" distL="114300" distR="114300" simplePos="0" relativeHeight="251750400" behindDoc="0" locked="0" layoutInCell="1" allowOverlap="1" wp14:anchorId="1EB7C982" wp14:editId="6EE78602">
                <wp:simplePos x="0" y="0"/>
                <wp:positionH relativeFrom="column">
                  <wp:posOffset>863600</wp:posOffset>
                </wp:positionH>
                <wp:positionV relativeFrom="paragraph">
                  <wp:posOffset>149860</wp:posOffset>
                </wp:positionV>
                <wp:extent cx="2164080" cy="477078"/>
                <wp:effectExtent l="0" t="0" r="7620" b="18415"/>
                <wp:wrapNone/>
                <wp:docPr id="2076" name="Rectangle 2076"/>
                <wp:cNvGraphicFramePr/>
                <a:graphic xmlns:a="http://schemas.openxmlformats.org/drawingml/2006/main">
                  <a:graphicData uri="http://schemas.microsoft.com/office/word/2010/wordprocessingShape">
                    <wps:wsp>
                      <wps:cNvSpPr/>
                      <wps:spPr>
                        <a:xfrm>
                          <a:off x="0" y="0"/>
                          <a:ext cx="2164080" cy="47707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3391F3D" w14:textId="77777777" w:rsidR="00D17A43" w:rsidRDefault="00D17A43" w:rsidP="006416A2">
                            <w:pPr>
                              <w:jc w:val="center"/>
                            </w:pPr>
                            <w:r>
                              <w:t>DSC-MRI visit- baseline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EB7C982" id="Rectangle 2076" o:spid="_x0000_s1079" style="position:absolute;margin-left:68pt;margin-top:11.8pt;width:170.4pt;height:37.55pt;z-index:251750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" fillcolor="#4472c4 [3204]" strokecolor="#1f3763 [1604]" strokeweight="1pt">
                <v:textbox>
                  <w:txbxContent>
                    <w:p w14:paraId="13391F3D" w14:textId="77777777" w:rsidR="00D17A43" w:rsidRDefault="00D17A43" w:rsidP="006416A2">
                      <w:pPr>
                        <w:jc w:val="center"/>
                      </w:pPr>
                      <w:r>
                        <w:t>DSC-MRI visit- baseline</w:t>
                      </w:r>
                    </w:p>
                  </w:txbxContent>
                </v:textbox>
              </v:rect>
            </w:pict>
          </mc:Fallback>
        </mc:AlternateContent>
      </w:r>
    </w:p>
    <w:p w14:paraId="285F50A2" w14:textId="4C5FC960" w:rsidR="006416A2" w:rsidRDefault="006416A2" w:rsidP="006416A2">
      <w:pPr>
        <w:pBdr>
          <w:top w:val="single" w:sz="4" w:space="1" w:color="auto"/>
          <w:left w:val="single" w:sz="4" w:space="4" w:color="auto"/>
          <w:bottom w:val="single" w:sz="4" w:space="1" w:color="auto"/>
          <w:right w:val="single" w:sz="4" w:space="4" w:color="auto"/>
        </w:pBdr>
        <w:spacing w:line="360" w:lineRule="auto"/>
        <w:rPr>
          <w:rFonts w:cs="Arial"/>
        </w:rPr>
      </w:pPr>
    </w:p>
    <w:p w14:paraId="6BA52E71" w14:textId="010CA18C" w:rsidR="006416A2" w:rsidRDefault="00C619EF" w:rsidP="006416A2">
      <w:pPr>
        <w:pBdr>
          <w:top w:val="single" w:sz="4" w:space="1" w:color="auto"/>
          <w:left w:val="single" w:sz="4" w:space="4" w:color="auto"/>
          <w:bottom w:val="single" w:sz="4" w:space="1" w:color="auto"/>
          <w:right w:val="single" w:sz="4" w:space="4" w:color="auto"/>
        </w:pBdr>
        <w:spacing w:line="360" w:lineRule="auto"/>
        <w:rPr>
          <w:rFonts w:cs="Arial"/>
        </w:rPr>
      </w:pPr>
      <w:r>
        <w:rPr>
          <w:rFonts w:cs="Arial"/>
          <w:noProof/>
          <w:lang w:eastAsia="en-GB"/>
        </w:rPr>
        <mc:AlternateContent>
          <mc:Choice Requires="wps">
            <w:drawing>
              <wp:anchor distT="0" distB="0" distL="114300" distR="114300" simplePos="0" relativeHeight="251760640" behindDoc="0" locked="0" layoutInCell="1" allowOverlap="1" wp14:anchorId="38A1374C" wp14:editId="4254DD93">
                <wp:simplePos x="0" y="0"/>
                <wp:positionH relativeFrom="column">
                  <wp:posOffset>0</wp:posOffset>
                </wp:positionH>
                <wp:positionV relativeFrom="paragraph">
                  <wp:posOffset>97155</wp:posOffset>
                </wp:positionV>
                <wp:extent cx="5664200" cy="1226820"/>
                <wp:effectExtent l="12700" t="12700" r="25400" b="30480"/>
                <wp:wrapNone/>
                <wp:docPr id="2080" name="Rectangle 2080"/>
                <wp:cNvGraphicFramePr/>
                <a:graphic xmlns:a="http://schemas.openxmlformats.org/drawingml/2006/main">
                  <a:graphicData uri="http://schemas.microsoft.com/office/word/2010/wordprocessingShape">
                    <wps:wsp>
                      <wps:cNvSpPr/>
                      <wps:spPr>
                        <a:xfrm>
                          <a:off x="0" y="0"/>
                          <a:ext cx="5664200" cy="1226820"/>
                        </a:xfrm>
                        <a:prstGeom prst="rect">
                          <a:avLst/>
                        </a:prstGeom>
                        <a:noFill/>
                        <a:ln w="38100">
                          <a:solidFill>
                            <a:srgbClr val="FF0000"/>
                          </a:solidFill>
                        </a:ln>
                      </wps:spPr>
                      <wps:style>
                        <a:lnRef idx="1">
                          <a:schemeClr val="accent1"/>
                        </a:lnRef>
                        <a:fillRef idx="3">
                          <a:schemeClr val="accent1"/>
                        </a:fillRef>
                        <a:effectRef idx="2">
                          <a:schemeClr val="accent1"/>
                        </a:effectRef>
                        <a:fontRef idx="minor">
                          <a:schemeClr val="lt1"/>
                        </a:fontRef>
                      </wps:style>
                      <wps:txbx>
                        <w:txbxContent>
                          <w:p w14:paraId="78A65AA9" w14:textId="5A4697F4" w:rsidR="00D17A43" w:rsidRPr="004E3328" w:rsidRDefault="00D17A43" w:rsidP="004E3328">
                            <w:pPr>
                              <w:rPr>
                                <w:rFonts w:cs="Arial"/>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A1374C" id="Rectangle 2080" o:spid="_x0000_s1080" style="position:absolute;margin-left:0;margin-top:7.65pt;width:446pt;height:96.6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" filled="f" strokecolor="red" strokeweight="3pt">
                <v:textbox>
                  <w:txbxContent>
                    <w:p w14:paraId="78A65AA9" w14:textId="5A4697F4" w:rsidR="00D17A43" w:rsidRPr="004E3328" w:rsidRDefault="00D17A43" w:rsidP="004E3328">
                      <w:pPr>
                        <w:rPr>
                          <w:rFonts w:cs="Arial"/>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rect>
            </w:pict>
          </mc:Fallback>
        </mc:AlternateContent>
      </w:r>
      <w:r>
        <w:rPr>
          <w:rFonts w:cs="Arial"/>
          <w:noProof/>
        </w:rPr>
        <mc:AlternateContent>
          <mc:Choice Requires="wps">
            <w:drawing>
              <wp:anchor distT="0" distB="0" distL="114300" distR="114300" simplePos="0" relativeHeight="251766784" behindDoc="0" locked="0" layoutInCell="1" allowOverlap="1" wp14:anchorId="5E1D8132" wp14:editId="727108F7">
                <wp:simplePos x="0" y="0"/>
                <wp:positionH relativeFrom="column">
                  <wp:posOffset>3393440</wp:posOffset>
                </wp:positionH>
                <wp:positionV relativeFrom="paragraph">
                  <wp:posOffset>223520</wp:posOffset>
                </wp:positionV>
                <wp:extent cx="2123440" cy="975360"/>
                <wp:effectExtent l="0" t="0" r="10160" b="15240"/>
                <wp:wrapNone/>
                <wp:docPr id="52" name="Text Box 52"/>
                <wp:cNvGraphicFramePr/>
                <a:graphic xmlns:a="http://schemas.openxmlformats.org/drawingml/2006/main">
                  <a:graphicData uri="http://schemas.microsoft.com/office/word/2010/wordprocessingShape">
                    <wps:wsp>
                      <wps:cNvSpPr txBox="1"/>
                      <wps:spPr>
                        <a:xfrm>
                          <a:off x="0" y="0"/>
                          <a:ext cx="2123440" cy="975360"/>
                        </a:xfrm>
                        <a:prstGeom prst="rect">
                          <a:avLst/>
                        </a:prstGeom>
                        <a:solidFill>
                          <a:schemeClr val="lt1"/>
                        </a:solidFill>
                        <a:ln w="6350">
                          <a:solidFill>
                            <a:prstClr val="black"/>
                          </a:solidFill>
                        </a:ln>
                      </wps:spPr>
                      <wps:txbx>
                        <w:txbxContent>
                          <w:p w14:paraId="61405969" w14:textId="77777777" w:rsidR="004E3328" w:rsidRPr="00DD63B2" w:rsidRDefault="004E3328" w:rsidP="004E3328">
                            <w:pPr>
                              <w:rPr>
                                <w:rFonts w:cs="Arial"/>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D63B2">
                              <w:rPr>
                                <w:rFonts w:cs="Arial"/>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Pain thresholds recorded</w:t>
                            </w:r>
                          </w:p>
                          <w:p w14:paraId="7CB2EEF4" w14:textId="77777777" w:rsidR="004E3328" w:rsidRPr="00DD63B2" w:rsidRDefault="004E3328" w:rsidP="004E3328">
                            <w:pPr>
                              <w:rPr>
                                <w:rFonts w:cs="Arial"/>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D63B2">
                              <w:rPr>
                                <w:rFonts w:cs="Arial"/>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7/10 </w:t>
                            </w:r>
                            <w:r>
                              <w:rPr>
                                <w:rFonts w:cs="Arial"/>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Temperature established</w:t>
                            </w:r>
                          </w:p>
                          <w:p w14:paraId="7785F05D" w14:textId="6A2B3399" w:rsidR="004E3328" w:rsidRPr="00DD63B2" w:rsidRDefault="00C619EF" w:rsidP="004E3328">
                            <w:pPr>
                              <w:rPr>
                                <w:rFonts w:cs="Arial"/>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Arial"/>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7/10 </w:t>
                            </w:r>
                            <w:r w:rsidR="004E3328" w:rsidRPr="00DD63B2">
                              <w:rPr>
                                <w:rFonts w:cs="Arial"/>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Pain applied during scan</w:t>
                            </w:r>
                          </w:p>
                          <w:p w14:paraId="68630503" w14:textId="2404E06B" w:rsidR="004E3328" w:rsidRPr="004E3328" w:rsidRDefault="00C619EF" w:rsidP="004E3328">
                            <w:pPr>
                              <w:rPr>
                                <w:rFonts w:cs="Arial"/>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Arial"/>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Actual </w:t>
                            </w:r>
                            <w:r w:rsidR="004E3328" w:rsidRPr="00DD63B2">
                              <w:rPr>
                                <w:rFonts w:cs="Arial"/>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Pain during scan recorded</w:t>
                            </w:r>
                          </w:p>
                          <w:p w14:paraId="62B75B3B" w14:textId="77777777" w:rsidR="004E3328" w:rsidRDefault="004E332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1D8132" id="Text Box 52" o:spid="_x0000_s1081" type="#_x0000_t202" style="position:absolute;margin-left:267.2pt;margin-top:17.6pt;width:167.2pt;height:76.8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" fillcolor="white [3201]" strokeweight=".5pt">
                <v:textbox>
                  <w:txbxContent>
                    <w:p w14:paraId="61405969" w14:textId="77777777" w:rsidR="004E3328" w:rsidRPr="00DD63B2" w:rsidRDefault="004E3328" w:rsidP="004E3328">
                      <w:pPr>
                        <w:rPr>
                          <w:rFonts w:cs="Arial"/>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D63B2">
                        <w:rPr>
                          <w:rFonts w:cs="Arial"/>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Pain thresholds recorded</w:t>
                      </w:r>
                    </w:p>
                    <w:p w14:paraId="7CB2EEF4" w14:textId="77777777" w:rsidR="004E3328" w:rsidRPr="00DD63B2" w:rsidRDefault="004E3328" w:rsidP="004E3328">
                      <w:pPr>
                        <w:rPr>
                          <w:rFonts w:cs="Arial"/>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D63B2">
                        <w:rPr>
                          <w:rFonts w:cs="Arial"/>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7/10 </w:t>
                      </w:r>
                      <w:r>
                        <w:rPr>
                          <w:rFonts w:cs="Arial"/>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Temperature established</w:t>
                      </w:r>
                    </w:p>
                    <w:p w14:paraId="7785F05D" w14:textId="6A2B3399" w:rsidR="004E3328" w:rsidRPr="00DD63B2" w:rsidRDefault="00C619EF" w:rsidP="004E3328">
                      <w:pPr>
                        <w:rPr>
                          <w:rFonts w:cs="Arial"/>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Arial"/>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7/10 </w:t>
                      </w:r>
                      <w:r w:rsidR="004E3328" w:rsidRPr="00DD63B2">
                        <w:rPr>
                          <w:rFonts w:cs="Arial"/>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Pain applied during scan</w:t>
                      </w:r>
                    </w:p>
                    <w:p w14:paraId="68630503" w14:textId="2404E06B" w:rsidR="004E3328" w:rsidRPr="004E3328" w:rsidRDefault="00C619EF" w:rsidP="004E3328">
                      <w:pPr>
                        <w:rPr>
                          <w:rFonts w:cs="Arial"/>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Arial"/>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Actual </w:t>
                      </w:r>
                      <w:r w:rsidR="004E3328" w:rsidRPr="00DD63B2">
                        <w:rPr>
                          <w:rFonts w:cs="Arial"/>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Pain during scan recorded</w:t>
                      </w:r>
                    </w:p>
                    <w:p w14:paraId="62B75B3B" w14:textId="77777777" w:rsidR="004E3328" w:rsidRDefault="004E3328"/>
                  </w:txbxContent>
                </v:textbox>
              </v:shape>
            </w:pict>
          </mc:Fallback>
        </mc:AlternateContent>
      </w:r>
      <w:r>
        <w:rPr>
          <w:noProof/>
          <w:lang w:eastAsia="en-GB"/>
        </w:rPr>
        <mc:AlternateContent>
          <mc:Choice Requires="wps">
            <w:drawing>
              <wp:anchor distT="0" distB="0" distL="114300" distR="114300" simplePos="0" relativeHeight="251755520" behindDoc="0" locked="0" layoutInCell="1" allowOverlap="1" wp14:anchorId="0488ED99" wp14:editId="321F9E81">
                <wp:simplePos x="0" y="0"/>
                <wp:positionH relativeFrom="column">
                  <wp:posOffset>1739900</wp:posOffset>
                </wp:positionH>
                <wp:positionV relativeFrom="paragraph">
                  <wp:posOffset>162560</wp:posOffset>
                </wp:positionV>
                <wp:extent cx="357505" cy="386080"/>
                <wp:effectExtent l="12700" t="0" r="23495" b="20320"/>
                <wp:wrapNone/>
                <wp:docPr id="2077" name="Down Arrow 2077"/>
                <wp:cNvGraphicFramePr/>
                <a:graphic xmlns:a="http://schemas.openxmlformats.org/drawingml/2006/main">
                  <a:graphicData uri="http://schemas.microsoft.com/office/word/2010/wordprocessingShape">
                    <wps:wsp>
                      <wps:cNvSpPr/>
                      <wps:spPr>
                        <a:xfrm>
                          <a:off x="0" y="0"/>
                          <a:ext cx="357505" cy="38608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162133C" id="Down Arrow 2077" o:spid="_x0000_s1026" type="#_x0000_t67" style="position:absolute;margin-left:137pt;margin-top:12.8pt;width:28.15pt;height:30.4pt;z-index:251755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" adj="11599" fillcolor="#4472c4 [3204]" strokecolor="#1f3763 [1604]" strokeweight="1pt"/>
            </w:pict>
          </mc:Fallback>
        </mc:AlternateContent>
      </w:r>
    </w:p>
    <w:p w14:paraId="3AF38BDA" w14:textId="60F003E6" w:rsidR="006416A2" w:rsidRDefault="006416A2" w:rsidP="006416A2">
      <w:pPr>
        <w:pBdr>
          <w:top w:val="single" w:sz="4" w:space="1" w:color="auto"/>
          <w:left w:val="single" w:sz="4" w:space="4" w:color="auto"/>
          <w:bottom w:val="single" w:sz="4" w:space="1" w:color="auto"/>
          <w:right w:val="single" w:sz="4" w:space="4" w:color="auto"/>
        </w:pBdr>
        <w:spacing w:line="360" w:lineRule="auto"/>
        <w:rPr>
          <w:rFonts w:cs="Arial"/>
        </w:rPr>
      </w:pPr>
    </w:p>
    <w:p w14:paraId="2C490C21" w14:textId="1C4233C8" w:rsidR="006416A2" w:rsidRDefault="00C619EF" w:rsidP="006416A2">
      <w:pPr>
        <w:pBdr>
          <w:top w:val="single" w:sz="4" w:space="1" w:color="auto"/>
          <w:left w:val="single" w:sz="4" w:space="4" w:color="auto"/>
          <w:bottom w:val="single" w:sz="4" w:space="1" w:color="auto"/>
          <w:right w:val="single" w:sz="4" w:space="4" w:color="auto"/>
        </w:pBdr>
        <w:spacing w:line="360" w:lineRule="auto"/>
        <w:rPr>
          <w:rFonts w:cs="Arial"/>
        </w:rPr>
      </w:pPr>
      <w:r>
        <w:rPr>
          <w:noProof/>
          <w:lang w:eastAsia="en-GB"/>
        </w:rPr>
        <mc:AlternateContent>
          <mc:Choice Requires="wps">
            <w:drawing>
              <wp:anchor distT="0" distB="0" distL="114300" distR="114300" simplePos="0" relativeHeight="251759616" behindDoc="0" locked="0" layoutInCell="1" allowOverlap="1" wp14:anchorId="0FB3B644" wp14:editId="10B50E9F">
                <wp:simplePos x="0" y="0"/>
                <wp:positionH relativeFrom="column">
                  <wp:posOffset>160338</wp:posOffset>
                </wp:positionH>
                <wp:positionV relativeFrom="paragraph">
                  <wp:posOffset>9206</wp:posOffset>
                </wp:positionV>
                <wp:extent cx="588010" cy="476885"/>
                <wp:effectExtent l="4762" t="0" r="13653" b="13652"/>
                <wp:wrapNone/>
                <wp:docPr id="2078" name="Rectangle 2078"/>
                <wp:cNvGraphicFramePr/>
                <a:graphic xmlns:a="http://schemas.openxmlformats.org/drawingml/2006/main">
                  <a:graphicData uri="http://schemas.microsoft.com/office/word/2010/wordprocessingShape">
                    <wps:wsp>
                      <wps:cNvSpPr/>
                      <wps:spPr>
                        <a:xfrm rot="16200000">
                          <a:off x="0" y="0"/>
                          <a:ext cx="588010" cy="47688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0F10D9E" w14:textId="77777777" w:rsidR="00D17A43" w:rsidRDefault="00D17A43" w:rsidP="006416A2">
                            <w:pPr>
                              <w:jc w:val="center"/>
                            </w:pPr>
                            <w:r>
                              <w:t>Visit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FB3B644" id="Rectangle 2078" o:spid="_x0000_s1082" style="position:absolute;margin-left:12.65pt;margin-top:.7pt;width:46.3pt;height:37.55pt;rotation:-90;z-index:251759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" fillcolor="#4472c4 [3204]" strokecolor="#1f3763 [1604]" strokeweight="1pt">
                <v:textbox>
                  <w:txbxContent>
                    <w:p w14:paraId="20F10D9E" w14:textId="77777777" w:rsidR="00D17A43" w:rsidRDefault="00D17A43" w:rsidP="006416A2">
                      <w:pPr>
                        <w:jc w:val="center"/>
                      </w:pPr>
                      <w:r>
                        <w:t>Visit 3</w:t>
                      </w:r>
                    </w:p>
                  </w:txbxContent>
                </v:textbox>
              </v:rect>
            </w:pict>
          </mc:Fallback>
        </mc:AlternateContent>
      </w:r>
      <w:r>
        <w:rPr>
          <w:noProof/>
          <w:lang w:eastAsia="en-GB"/>
        </w:rPr>
        <mc:AlternateContent>
          <mc:Choice Requires="wps">
            <w:drawing>
              <wp:anchor distT="0" distB="0" distL="114300" distR="114300" simplePos="0" relativeHeight="251752448" behindDoc="0" locked="0" layoutInCell="1" allowOverlap="1" wp14:anchorId="236F737D" wp14:editId="353307A1">
                <wp:simplePos x="0" y="0"/>
                <wp:positionH relativeFrom="column">
                  <wp:posOffset>914400</wp:posOffset>
                </wp:positionH>
                <wp:positionV relativeFrom="paragraph">
                  <wp:posOffset>62865</wp:posOffset>
                </wp:positionV>
                <wp:extent cx="2042160" cy="476885"/>
                <wp:effectExtent l="0" t="0" r="15240" b="18415"/>
                <wp:wrapNone/>
                <wp:docPr id="2079" name="Rectangle 2079"/>
                <wp:cNvGraphicFramePr/>
                <a:graphic xmlns:a="http://schemas.openxmlformats.org/drawingml/2006/main">
                  <a:graphicData uri="http://schemas.microsoft.com/office/word/2010/wordprocessingShape">
                    <wps:wsp>
                      <wps:cNvSpPr/>
                      <wps:spPr>
                        <a:xfrm>
                          <a:off x="0" y="0"/>
                          <a:ext cx="2042160" cy="47688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AA42291" w14:textId="77777777" w:rsidR="00D17A43" w:rsidRDefault="00D17A43" w:rsidP="006416A2">
                            <w:pPr>
                              <w:jc w:val="center"/>
                            </w:pPr>
                            <w:r>
                              <w:t>DSC MRI visit – Pain Condition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36F737D" id="Rectangle 2079" o:spid="_x0000_s1083" style="position:absolute;margin-left:1in;margin-top:4.95pt;width:160.8pt;height:37.55pt;z-index:251752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" fillcolor="#4472c4 [3204]" strokecolor="#1f3763 [1604]" strokeweight="1pt">
                <v:textbox>
                  <w:txbxContent>
                    <w:p w14:paraId="5AA42291" w14:textId="77777777" w:rsidR="00D17A43" w:rsidRDefault="00D17A43" w:rsidP="006416A2">
                      <w:pPr>
                        <w:jc w:val="center"/>
                      </w:pPr>
                      <w:r>
                        <w:t>DSC MRI visit – Pain Condition</w:t>
                      </w:r>
                    </w:p>
                  </w:txbxContent>
                </v:textbox>
              </v:rect>
            </w:pict>
          </mc:Fallback>
        </mc:AlternateContent>
      </w:r>
    </w:p>
    <w:p w14:paraId="096310FA" w14:textId="0B7ED872" w:rsidR="006416A2" w:rsidRDefault="006416A2" w:rsidP="006416A2">
      <w:pPr>
        <w:pBdr>
          <w:top w:val="single" w:sz="4" w:space="1" w:color="auto"/>
          <w:left w:val="single" w:sz="4" w:space="4" w:color="auto"/>
          <w:bottom w:val="single" w:sz="4" w:space="1" w:color="auto"/>
          <w:right w:val="single" w:sz="4" w:space="4" w:color="auto"/>
        </w:pBdr>
        <w:spacing w:line="360" w:lineRule="auto"/>
        <w:rPr>
          <w:rFonts w:cs="Arial"/>
        </w:rPr>
      </w:pPr>
    </w:p>
    <w:p w14:paraId="28AFD840" w14:textId="6A22404F" w:rsidR="006416A2" w:rsidRDefault="006416A2" w:rsidP="006416A2">
      <w:pPr>
        <w:pBdr>
          <w:top w:val="single" w:sz="4" w:space="1" w:color="auto"/>
          <w:left w:val="single" w:sz="4" w:space="4" w:color="auto"/>
          <w:bottom w:val="single" w:sz="4" w:space="1" w:color="auto"/>
          <w:right w:val="single" w:sz="4" w:space="4" w:color="auto"/>
        </w:pBdr>
        <w:spacing w:line="360" w:lineRule="auto"/>
        <w:rPr>
          <w:rFonts w:cs="Arial"/>
        </w:rPr>
      </w:pPr>
    </w:p>
    <w:p w14:paraId="3F0A15EE" w14:textId="77777777" w:rsidR="00C619EF" w:rsidRPr="003A3CA0" w:rsidRDefault="00C619EF" w:rsidP="006416A2">
      <w:pPr>
        <w:pBdr>
          <w:top w:val="single" w:sz="4" w:space="1" w:color="auto"/>
          <w:left w:val="single" w:sz="4" w:space="4" w:color="auto"/>
          <w:bottom w:val="single" w:sz="4" w:space="1" w:color="auto"/>
          <w:right w:val="single" w:sz="4" w:space="4" w:color="auto"/>
        </w:pBdr>
        <w:spacing w:line="360" w:lineRule="auto"/>
        <w:rPr>
          <w:rFonts w:cs="Arial"/>
        </w:rPr>
      </w:pPr>
    </w:p>
    <w:p w14:paraId="336C0A31" w14:textId="77777777" w:rsidR="006416A2" w:rsidRDefault="006416A2" w:rsidP="00514CB8">
      <w:pPr>
        <w:pStyle w:val="Heading3"/>
      </w:pPr>
      <w:bookmarkStart w:id="385" w:name="_Toc64723948"/>
      <w:bookmarkStart w:id="386" w:name="_Toc235118498"/>
      <w:r>
        <w:t>Scanning Procedure:</w:t>
      </w:r>
      <w:bookmarkEnd w:id="385"/>
    </w:p>
    <w:p w14:paraId="52CFD1FE" w14:textId="11D9F0DE" w:rsidR="006416A2" w:rsidRPr="00F95CF8" w:rsidRDefault="006416A2" w:rsidP="006416A2">
      <w:pPr>
        <w:spacing w:line="360" w:lineRule="auto"/>
      </w:pPr>
      <w:r>
        <w:t>The scanning procedure has been described in Chapter 3 Methods section in detail</w:t>
      </w:r>
      <w:r w:rsidR="00DD217A">
        <w:t xml:space="preserve"> (pp 79-85)</w:t>
      </w:r>
      <w:r>
        <w:t xml:space="preserve">.  The sections below describe the additional features of the protocol that were performed at the third visit (please see Figure 5.1, red box).  The presence and </w:t>
      </w:r>
      <w:r>
        <w:lastRenderedPageBreak/>
        <w:t>intensity of spontaneous neuropathic pain was recorded</w:t>
      </w:r>
      <w:r w:rsidR="00DD217A">
        <w:t xml:space="preserve"> at </w:t>
      </w:r>
      <w:r w:rsidR="00020C6F">
        <w:t xml:space="preserve">the second and third </w:t>
      </w:r>
      <w:r w:rsidR="00DD217A">
        <w:t>visits</w:t>
      </w:r>
      <w:r>
        <w:t xml:space="preserve">.  </w:t>
      </w:r>
    </w:p>
    <w:p w14:paraId="09B7CF19" w14:textId="474AB7DA" w:rsidR="006416A2" w:rsidRPr="00BB75E6" w:rsidRDefault="006416A2" w:rsidP="00514CB8">
      <w:pPr>
        <w:pStyle w:val="Heading3"/>
      </w:pPr>
      <w:bookmarkStart w:id="387" w:name="_Toc64723949"/>
      <w:r>
        <w:t xml:space="preserve">Comparison of </w:t>
      </w:r>
      <w:r w:rsidRPr="00BB75E6">
        <w:t>Thermal Threshold</w:t>
      </w:r>
      <w:bookmarkEnd w:id="386"/>
      <w:r>
        <w:t>s</w:t>
      </w:r>
      <w:bookmarkEnd w:id="387"/>
    </w:p>
    <w:p w14:paraId="6B90B30B" w14:textId="6F99F86E" w:rsidR="006416A2" w:rsidRPr="00BB75E6" w:rsidRDefault="006416A2" w:rsidP="006416A2">
      <w:pPr>
        <w:spacing w:line="360" w:lineRule="auto"/>
        <w:rPr>
          <w:rFonts w:cs="Arial"/>
        </w:rPr>
      </w:pPr>
      <w:r w:rsidRPr="00BB75E6">
        <w:rPr>
          <w:rFonts w:cs="Arial"/>
        </w:rPr>
        <w:t>The subjects underwent tests to determine thermal pain threshold</w:t>
      </w:r>
      <w:r>
        <w:rPr>
          <w:rFonts w:cs="Arial"/>
        </w:rPr>
        <w:t xml:space="preserve"> prior to scanning, on the right thigh </w:t>
      </w:r>
      <w:r w:rsidRPr="00BB75E6">
        <w:rPr>
          <w:rFonts w:cs="Arial"/>
        </w:rPr>
        <w:t>4 cm above the knee in the midline</w:t>
      </w:r>
      <w:r>
        <w:rPr>
          <w:rFonts w:cs="Arial"/>
        </w:rPr>
        <w:t xml:space="preserve">. This area was chosen as it was deemed to be non-neuropathic. </w:t>
      </w:r>
      <w:r w:rsidRPr="00BB75E6">
        <w:rPr>
          <w:rFonts w:cs="Arial"/>
        </w:rPr>
        <w:t xml:space="preserve"> </w:t>
      </w:r>
      <w:r>
        <w:rPr>
          <w:rFonts w:cs="Arial"/>
        </w:rPr>
        <w:t>A</w:t>
      </w:r>
      <w:r w:rsidRPr="00BB75E6">
        <w:rPr>
          <w:rFonts w:cs="Arial"/>
        </w:rPr>
        <w:t xml:space="preserve"> computer-controlled water heated </w:t>
      </w:r>
      <w:proofErr w:type="spellStart"/>
      <w:r w:rsidRPr="00BB75E6">
        <w:rPr>
          <w:rFonts w:cs="Arial"/>
        </w:rPr>
        <w:t>thermode</w:t>
      </w:r>
      <w:proofErr w:type="spellEnd"/>
      <w:r w:rsidRPr="00BB75E6">
        <w:rPr>
          <w:rFonts w:cs="Arial"/>
        </w:rPr>
        <w:t xml:space="preserve"> (Pathway, Medoc, Haifa, Israel) </w:t>
      </w:r>
      <w:r>
        <w:rPr>
          <w:rFonts w:cs="Arial"/>
        </w:rPr>
        <w:t>was used to apply the stimulus</w:t>
      </w:r>
      <w:r w:rsidRPr="00BB75E6">
        <w:rPr>
          <w:rFonts w:cs="Arial"/>
        </w:rPr>
        <w:t xml:space="preserve">.  The subjects were instructed to </w:t>
      </w:r>
      <w:r>
        <w:rPr>
          <w:rFonts w:cs="Arial"/>
        </w:rPr>
        <w:t>indicate when</w:t>
      </w:r>
      <w:r w:rsidRPr="00BB75E6">
        <w:rPr>
          <w:rFonts w:cs="Arial"/>
        </w:rPr>
        <w:t xml:space="preserve"> the stimulus </w:t>
      </w:r>
      <w:r>
        <w:rPr>
          <w:rFonts w:cs="Arial"/>
        </w:rPr>
        <w:t>first bec</w:t>
      </w:r>
      <w:r w:rsidR="00A702A5">
        <w:rPr>
          <w:rFonts w:cs="Arial"/>
        </w:rPr>
        <w:t>ame</w:t>
      </w:r>
      <w:r>
        <w:rPr>
          <w:rFonts w:cs="Arial"/>
        </w:rPr>
        <w:t xml:space="preserve"> uncomfortably hot</w:t>
      </w:r>
      <w:r w:rsidRPr="00BB75E6">
        <w:rPr>
          <w:rFonts w:cs="Arial"/>
        </w:rPr>
        <w:t xml:space="preserve">.  This has been described previously as part of the German DFNS neuropathy testing protocol </w:t>
      </w:r>
      <w:r>
        <w:rPr>
          <w:rFonts w:cs="Arial"/>
        </w:rPr>
        <w:t xml:space="preserve">for heat pain threshold (HPT) </w:t>
      </w:r>
      <w:r w:rsidRPr="00BB75E6">
        <w:rPr>
          <w:rFonts w:cs="Arial"/>
        </w:rPr>
        <w:fldChar w:fldCharType="begin"/>
      </w:r>
      <w:r>
        <w:rPr>
          <w:rFonts w:cs="Arial"/>
        </w:rPr>
        <w:instrText xml:space="preserve"> ADDIN EN.CITE &lt;EndNote&gt;&lt;Cite&gt;&lt;Author&gt;Rolke&lt;/Author&gt;&lt;Year&gt;2006&lt;/Year&gt;&lt;IDText&gt;Quantitative sensory testing in the German Research Network on Neuropathic Pain (DFNS): Standardized protocol and reference values&lt;/IDText&gt;&lt;DisplayText&gt;(Rolke et al., 2006a)&lt;/DisplayText&gt;&lt;record&gt;&lt;dates&gt;&lt;pub-dates&gt;&lt;date&gt;Aug&lt;/date&gt;&lt;/pub-dates&gt;&lt;year&gt;2006&lt;/year&gt;&lt;/dates&gt;&lt;urls&gt;&lt;related-urls&gt;&lt;url&gt;&amp;lt;Go to ISI&amp;gt;://WOS:000239855800005&lt;/url&gt;&lt;/related-urls&gt;&lt;/urls&gt;&lt;isbn&gt;0304-3959&lt;/isbn&gt;&lt;titles&gt;&lt;title&gt;Quantitative sensory testing in the German Research Network on Neuropathic Pain (DFNS): Standardized protocol and reference values&lt;/title&gt;&lt;secondary-title&gt;Pain&lt;/secondary-title&gt;&lt;/titles&gt;&lt;pages&gt;231-243&lt;/pages&gt;&lt;number&gt;3&lt;/number&gt;&lt;contributors&gt;&lt;authors&gt;&lt;author&gt;Rolke, R.&lt;/author&gt;&lt;author&gt;Baron, R.&lt;/author&gt;&lt;author&gt;Maier, C.&lt;/author&gt;&lt;author&gt;Tolle, T. R.&lt;/author&gt;&lt;author&gt;Treede, R. D.&lt;/author&gt;&lt;author&gt;Beyer, A.&lt;/author&gt;&lt;author&gt;Binder, A.&lt;/author&gt;&lt;author&gt;Birbaumer, N.&lt;/author&gt;&lt;author&gt;Birklein, F.&lt;/author&gt;&lt;author&gt;Botefur, I. C.&lt;/author&gt;&lt;author&gt;Braune, S.&lt;/author&gt;&lt;author&gt;Flor, H.&lt;/author&gt;&lt;author&gt;Huge, V.&lt;/author&gt;&lt;author&gt;Klug, R.&lt;/author&gt;&lt;author&gt;Landwehrmeyer, G. B.&lt;/author&gt;&lt;author&gt;Magerl, W.&lt;/author&gt;&lt;author&gt;Maihofner, C.&lt;/author&gt;&lt;author&gt;Rolko, C.&lt;/author&gt;&lt;author&gt;Schaub, C.&lt;/author&gt;&lt;author&gt;Scherens, A.&lt;/author&gt;&lt;author&gt;Sprenger, T.&lt;/author&gt;&lt;author&gt;Valet, M.&lt;/author&gt;&lt;author&gt;Wasserka, B.&lt;/author&gt;&lt;/authors&gt;&lt;/contributors&gt;&lt;added-date format="utc"&gt;1357496135&lt;/added-date&gt;&lt;ref-type name="Journal Article"&gt;17&lt;/ref-type&gt;&lt;rec-number&gt;613&lt;/rec-number&gt;&lt;last-updated-date format="utc"&gt;1357496135&lt;/last-updated-date&gt;&lt;accession-num&gt;WOS:000239855800005&lt;/accession-num&gt;&lt;electronic-resource-num&gt;10.1016/j.pain.2006.01.041&lt;/electronic-resource-num&gt;&lt;volume&gt;123&lt;/volume&gt;&lt;/record&gt;&lt;/Cite&gt;&lt;/EndNote&gt;</w:instrText>
      </w:r>
      <w:r w:rsidRPr="00BB75E6">
        <w:rPr>
          <w:rFonts w:cs="Arial"/>
        </w:rPr>
        <w:fldChar w:fldCharType="separate"/>
      </w:r>
      <w:r>
        <w:rPr>
          <w:rFonts w:cs="Arial"/>
          <w:noProof/>
        </w:rPr>
        <w:t>(Rolke et al., 2006a)</w:t>
      </w:r>
      <w:r w:rsidRPr="00BB75E6">
        <w:rPr>
          <w:rFonts w:cs="Arial"/>
        </w:rPr>
        <w:fldChar w:fldCharType="end"/>
      </w:r>
      <w:r w:rsidRPr="00BB75E6">
        <w:rPr>
          <w:rFonts w:cs="Arial"/>
        </w:rPr>
        <w:t xml:space="preserve">.  </w:t>
      </w:r>
    </w:p>
    <w:p w14:paraId="29319958" w14:textId="77777777" w:rsidR="006416A2" w:rsidRPr="00BB75E6" w:rsidRDefault="006416A2" w:rsidP="00514CB8">
      <w:pPr>
        <w:pStyle w:val="Heading3"/>
      </w:pPr>
      <w:bookmarkStart w:id="388" w:name="_Toc64723950"/>
      <w:r w:rsidRPr="00BB75E6">
        <w:t>Determination of 7/10 Pain threshold</w:t>
      </w:r>
      <w:bookmarkEnd w:id="388"/>
    </w:p>
    <w:p w14:paraId="6ED4919E" w14:textId="0C2F62FD" w:rsidR="006416A2" w:rsidRPr="00BB75E6" w:rsidRDefault="006416A2" w:rsidP="006416A2">
      <w:pPr>
        <w:spacing w:line="360" w:lineRule="auto"/>
        <w:rPr>
          <w:rFonts w:cs="Arial"/>
        </w:rPr>
      </w:pPr>
      <w:r>
        <w:rPr>
          <w:rFonts w:cs="Arial"/>
        </w:rPr>
        <w:t>S</w:t>
      </w:r>
      <w:r w:rsidRPr="00BB75E6">
        <w:rPr>
          <w:rFonts w:cs="Arial"/>
        </w:rPr>
        <w:t>ubject</w:t>
      </w:r>
      <w:r>
        <w:rPr>
          <w:rFonts w:cs="Arial"/>
        </w:rPr>
        <w:t>s were</w:t>
      </w:r>
      <w:r w:rsidRPr="00BB75E6">
        <w:rPr>
          <w:rFonts w:cs="Arial"/>
        </w:rPr>
        <w:t xml:space="preserve"> then instructed to rate a series of </w:t>
      </w:r>
      <w:r>
        <w:rPr>
          <w:rFonts w:cs="Arial"/>
        </w:rPr>
        <w:t xml:space="preserve">thermal </w:t>
      </w:r>
      <w:r w:rsidRPr="00BB75E6">
        <w:rPr>
          <w:rFonts w:cs="Arial"/>
        </w:rPr>
        <w:t>stimuli as being greater or less than 7/10 on the visual analogue scale of pain (Likert scale)</w:t>
      </w:r>
      <w:r>
        <w:rPr>
          <w:rFonts w:cs="Arial"/>
        </w:rPr>
        <w:t xml:space="preserve">. </w:t>
      </w:r>
      <w:r w:rsidR="00C619EF" w:rsidRPr="00BB75E6">
        <w:rPr>
          <w:rFonts w:cs="Arial"/>
        </w:rPr>
        <w:t xml:space="preserve">The Likert scale was displayed </w:t>
      </w:r>
      <w:r w:rsidR="00C619EF">
        <w:rPr>
          <w:rFonts w:cs="Arial"/>
        </w:rPr>
        <w:t xml:space="preserve">on a large piece of laminated card </w:t>
      </w:r>
      <w:r w:rsidR="00C619EF" w:rsidRPr="00BB75E6">
        <w:rPr>
          <w:rFonts w:cs="Arial"/>
        </w:rPr>
        <w:t>in front of the patient</w:t>
      </w:r>
      <w:r w:rsidR="00C619EF">
        <w:rPr>
          <w:rFonts w:cs="Arial"/>
        </w:rPr>
        <w:t>. Zero</w:t>
      </w:r>
      <w:r w:rsidR="00C619EF" w:rsidRPr="00BB75E6">
        <w:rPr>
          <w:rFonts w:cs="Arial"/>
        </w:rPr>
        <w:t xml:space="preserve"> was labelled as no pain and 10 was labelled as t</w:t>
      </w:r>
      <w:r w:rsidR="00C619EF">
        <w:rPr>
          <w:rFonts w:cs="Arial"/>
        </w:rPr>
        <w:t>he worst pain imaginable</w:t>
      </w:r>
      <w:r w:rsidR="00C619EF" w:rsidRPr="00BB75E6">
        <w:rPr>
          <w:rFonts w:cs="Arial"/>
        </w:rPr>
        <w:t>.</w:t>
      </w:r>
      <w:r w:rsidR="00C619EF">
        <w:rPr>
          <w:rFonts w:cs="Arial"/>
        </w:rPr>
        <w:t xml:space="preserve">  </w:t>
      </w:r>
      <w:r>
        <w:rPr>
          <w:rFonts w:cs="Arial"/>
        </w:rPr>
        <w:t xml:space="preserve">The initial temperature was </w:t>
      </w:r>
      <w:r w:rsidRPr="00BB75E6">
        <w:rPr>
          <w:rFonts w:cs="Arial"/>
        </w:rPr>
        <w:t>42 degrees</w:t>
      </w:r>
      <w:r>
        <w:rPr>
          <w:rFonts w:cs="Arial"/>
        </w:rPr>
        <w:t xml:space="preserve"> Celsius, and the subsequent temperatures were adjusted according to the subjects’ responses</w:t>
      </w:r>
      <w:r w:rsidRPr="00BB75E6">
        <w:rPr>
          <w:rFonts w:cs="Arial"/>
        </w:rPr>
        <w:t xml:space="preserve"> in a 4-2-1-0.5</w:t>
      </w:r>
      <w:r w:rsidR="00C619EF">
        <w:rPr>
          <w:rFonts w:cs="Arial"/>
          <w:vertAlign w:val="superscript"/>
        </w:rPr>
        <w:t>0</w:t>
      </w:r>
      <w:r w:rsidR="00C619EF">
        <w:rPr>
          <w:rFonts w:cs="Arial"/>
        </w:rPr>
        <w:t xml:space="preserve">C </w:t>
      </w:r>
      <w:r w:rsidRPr="00BB75E6">
        <w:rPr>
          <w:rFonts w:cs="Arial"/>
        </w:rPr>
        <w:t xml:space="preserve">stepping algorithm </w:t>
      </w:r>
      <w:r w:rsidRPr="00BB75E6">
        <w:rPr>
          <w:rFonts w:cs="Arial"/>
        </w:rPr>
        <w:fldChar w:fldCharType="begin"/>
      </w:r>
      <w:r w:rsidR="009968E0">
        <w:rPr>
          <w:rFonts w:cs="Arial"/>
        </w:rPr>
        <w:instrText xml:space="preserve"> ADDIN EN.CITE &lt;EndNote&gt;&lt;Cite&gt;&lt;Author&gt;Dyck&lt;/Author&gt;&lt;Year&gt;1993&lt;/Year&gt;&lt;IDText&gt;A 4, 2, and 1 stepping algorithm for quick and accurate estimation of cutaneous sensation threshold&lt;/IDText&gt;&lt;DisplayText&gt;(Dyck et al., 1993b)&lt;/DisplayText&gt;&lt;record&gt;&lt;dates&gt;&lt;pub-dates&gt;&lt;date&gt;Aug&lt;/date&gt;&lt;/pub-dates&gt;&lt;year&gt;1993&lt;/year&gt;&lt;/dates&gt;&lt;keywords&gt;&lt;keyword&gt;Algorithms&lt;/keyword&gt;&lt;keyword&gt;Cold Temperature&lt;/keyword&gt;&lt;keyword&gt;Computer Simulation&lt;/keyword&gt;&lt;keyword&gt;Hot Temperature&lt;/keyword&gt;&lt;keyword&gt;Humans&lt;/keyword&gt;&lt;keyword&gt;Nervous System Diseases&lt;/keyword&gt;&lt;keyword&gt;Nervous System Physiological Phenomena&lt;/keyword&gt;&lt;keyword&gt;Sensory Thresholds&lt;/keyword&gt;&lt;keyword&gt;Skin&lt;/keyword&gt;&lt;keyword&gt;Skin Physiological Phenomena&lt;/keyword&gt;&lt;keyword&gt;Vibration&lt;/keyword&gt;&lt;/keywords&gt;&lt;urls&gt;&lt;related-urls&gt;&lt;url&gt;https://www.ncbi.nlm.nih.gov/pubmed/8351003&lt;/url&gt;&lt;/related-urls&gt;&lt;/urls&gt;&lt;isbn&gt;0028-3878&lt;/isbn&gt;&lt;titles&gt;&lt;title&gt;A 4, 2, and 1 stepping algorithm for quick and accurate estimation of cutaneous sensation threshold&lt;/title&gt;&lt;secondary-title&gt;Neurology&lt;/secondary-title&gt;&lt;/titles&gt;&lt;pages&gt;1508-12&lt;/pages&gt;&lt;number&gt;8&lt;/number&gt;&lt;contributors&gt;&lt;authors&gt;&lt;author&gt;Dyck, P. J.&lt;/author&gt;&lt;author&gt;O&amp;apos;Brien, P. C.&lt;/author&gt;&lt;author&gt;Kosanke, J. L.&lt;/author&gt;&lt;author&gt;Gillen, D. A.&lt;/author&gt;&lt;author&gt;Karnes, J. L.&lt;/author&gt;&lt;/authors&gt;&lt;/contributors&gt;&lt;language&gt;eng&lt;/language&gt;&lt;added-date format="utc"&gt;1539421157&lt;/added-date&gt;&lt;ref-type name="Journal Article"&gt;17&lt;/ref-type&gt;&lt;rec-number&gt;972&lt;/rec-number&gt;&lt;last-updated-date format="utc"&gt;1539421157&lt;/last-updated-date&gt;&lt;accession-num&gt;8351003&lt;/accession-num&gt;&lt;volume&gt;43&lt;/volume&gt;&lt;/record&gt;&lt;/Cite&gt;&lt;/EndNote&gt;</w:instrText>
      </w:r>
      <w:r w:rsidRPr="00BB75E6">
        <w:rPr>
          <w:rFonts w:cs="Arial"/>
        </w:rPr>
        <w:fldChar w:fldCharType="separate"/>
      </w:r>
      <w:r w:rsidR="009968E0">
        <w:rPr>
          <w:rFonts w:cs="Arial"/>
          <w:noProof/>
        </w:rPr>
        <w:t>(Dyck et al., 1993b)</w:t>
      </w:r>
      <w:r w:rsidRPr="00BB75E6">
        <w:rPr>
          <w:rFonts w:cs="Arial"/>
        </w:rPr>
        <w:fldChar w:fldCharType="end"/>
      </w:r>
      <w:r w:rsidRPr="00BB75E6">
        <w:rPr>
          <w:rFonts w:cs="Arial"/>
        </w:rPr>
        <w:t xml:space="preserve">.  </w:t>
      </w:r>
      <w:r w:rsidR="00C619EF">
        <w:rPr>
          <w:rFonts w:cs="Arial"/>
        </w:rPr>
        <w:t>The temperature was increased or decreased by smaller increments at each step according to whether the perception of pain was greater than, less than or equal to 7/10.  When the pain was considered to be 7/10 the temperature was recorded.  This temperature was applied to the right thigh during the experiment requiring the noxious thermal stimulus.</w:t>
      </w:r>
    </w:p>
    <w:p w14:paraId="6BE353A1" w14:textId="77777777" w:rsidR="006416A2" w:rsidRPr="00BB75E6" w:rsidRDefault="006416A2" w:rsidP="006416A2">
      <w:pPr>
        <w:spacing w:line="360" w:lineRule="auto"/>
        <w:rPr>
          <w:rFonts w:cs="Arial"/>
        </w:rPr>
      </w:pPr>
      <w:r w:rsidRPr="00BB75E6">
        <w:rPr>
          <w:rFonts w:cs="Arial"/>
        </w:rPr>
        <w:t xml:space="preserve">The subject </w:t>
      </w:r>
      <w:r>
        <w:rPr>
          <w:rFonts w:cs="Arial"/>
        </w:rPr>
        <w:t xml:space="preserve">had </w:t>
      </w:r>
      <w:r w:rsidRPr="00BB75E6">
        <w:rPr>
          <w:rFonts w:cs="Arial"/>
        </w:rPr>
        <w:t xml:space="preserve">EMLA® </w:t>
      </w:r>
      <w:r>
        <w:rPr>
          <w:rFonts w:cs="Arial"/>
        </w:rPr>
        <w:t xml:space="preserve">anaesthetic cream applied to </w:t>
      </w:r>
      <w:r w:rsidRPr="00BB75E6">
        <w:rPr>
          <w:rFonts w:cs="Arial"/>
        </w:rPr>
        <w:t xml:space="preserve">the </w:t>
      </w:r>
      <w:r>
        <w:rPr>
          <w:rFonts w:cs="Arial"/>
        </w:rPr>
        <w:t xml:space="preserve">left </w:t>
      </w:r>
      <w:r w:rsidRPr="00BB75E6">
        <w:rPr>
          <w:rFonts w:cs="Arial"/>
        </w:rPr>
        <w:t>ante</w:t>
      </w:r>
      <w:r>
        <w:rPr>
          <w:rFonts w:cs="Arial"/>
        </w:rPr>
        <w:t>-</w:t>
      </w:r>
      <w:r w:rsidRPr="00BB75E6">
        <w:rPr>
          <w:rFonts w:cs="Arial"/>
        </w:rPr>
        <w:t>cubital fossa</w:t>
      </w:r>
      <w:r>
        <w:rPr>
          <w:rFonts w:cs="Arial"/>
        </w:rPr>
        <w:t xml:space="preserve">, then a cannula was inserted to an ante-cubital vein after 20 minutes.  </w:t>
      </w:r>
    </w:p>
    <w:p w14:paraId="7091A9C5" w14:textId="644535E9" w:rsidR="006416A2" w:rsidRPr="00BB75E6" w:rsidRDefault="006416A2" w:rsidP="00514CB8">
      <w:pPr>
        <w:pStyle w:val="Heading3"/>
      </w:pPr>
      <w:bookmarkStart w:id="389" w:name="_Toc235118500"/>
      <w:bookmarkStart w:id="390" w:name="_Toc64723951"/>
      <w:r w:rsidRPr="00BB75E6">
        <w:t xml:space="preserve">Dynamic Susceptibility </w:t>
      </w:r>
      <w:r w:rsidR="00F90127">
        <w:t>S</w:t>
      </w:r>
      <w:r w:rsidRPr="00BB75E6">
        <w:t>equence with 7/10 pain</w:t>
      </w:r>
      <w:bookmarkEnd w:id="389"/>
      <w:bookmarkEnd w:id="390"/>
    </w:p>
    <w:p w14:paraId="4B16098E" w14:textId="4738E3D4" w:rsidR="006416A2" w:rsidRPr="003B5B62" w:rsidRDefault="006416A2" w:rsidP="003B5B62">
      <w:pPr>
        <w:spacing w:line="360" w:lineRule="auto"/>
      </w:pPr>
      <w:r w:rsidRPr="003B5B62">
        <w:t xml:space="preserve">Participants were instructed to rate the intensity of the noxious stimulus during the scan, to be reported at the conclusion of the scanning process.  The detailed DSC-MRI scanning methodology is reported in Appendix B.  The </w:t>
      </w:r>
      <w:proofErr w:type="spellStart"/>
      <w:r w:rsidRPr="003B5B62">
        <w:t>thermode</w:t>
      </w:r>
      <w:proofErr w:type="spellEnd"/>
      <w:r w:rsidRPr="003B5B62">
        <w:t xml:space="preserve"> delivering the noxious thermal stimulus was activated at the commencement of the DSC scan.  The predetermined temperature was applied for 5s, after which a pulsed algorithm commenced.  The temperature decreased by 0.5 degrees for 1 second after each 5 second pulse. This cycle was repeated back to back throughout the 90 second scan </w:t>
      </w:r>
      <w:r w:rsidRPr="003B5B62">
        <w:lastRenderedPageBreak/>
        <w:t>to decrease the possibility of accommodation to the noxious thermal stimulus.</w:t>
      </w:r>
      <w:r w:rsidR="003B5B62">
        <w:t xml:space="preserve"> </w:t>
      </w:r>
      <w:r w:rsidRPr="00BB75E6">
        <w:rPr>
          <w:rFonts w:cs="Arial"/>
          <w:color w:val="000000"/>
        </w:rPr>
        <w:t>Immediately at the end of the sequence</w:t>
      </w:r>
      <w:r w:rsidR="008A71C4">
        <w:rPr>
          <w:rFonts w:cs="Arial"/>
          <w:color w:val="000000"/>
        </w:rPr>
        <w:t>,</w:t>
      </w:r>
      <w:r w:rsidRPr="00BB75E6">
        <w:rPr>
          <w:rFonts w:cs="Arial"/>
          <w:color w:val="000000"/>
        </w:rPr>
        <w:t xml:space="preserve"> the participant was requested to </w:t>
      </w:r>
      <w:r>
        <w:rPr>
          <w:rFonts w:cs="Arial"/>
          <w:color w:val="000000"/>
        </w:rPr>
        <w:t xml:space="preserve">report the </w:t>
      </w:r>
      <w:r w:rsidRPr="00BB75E6">
        <w:rPr>
          <w:rFonts w:cs="Arial"/>
          <w:color w:val="000000"/>
        </w:rPr>
        <w:t xml:space="preserve">score </w:t>
      </w:r>
      <w:r>
        <w:rPr>
          <w:rFonts w:cs="Arial"/>
          <w:color w:val="000000"/>
        </w:rPr>
        <w:t xml:space="preserve">of </w:t>
      </w:r>
      <w:r w:rsidRPr="00BB75E6">
        <w:rPr>
          <w:rFonts w:cs="Arial"/>
          <w:color w:val="000000"/>
        </w:rPr>
        <w:t xml:space="preserve">their perception of the intensity of the stimulus, </w:t>
      </w:r>
      <w:r>
        <w:rPr>
          <w:rFonts w:cs="Arial"/>
          <w:color w:val="000000"/>
        </w:rPr>
        <w:t xml:space="preserve">which was recorded </w:t>
      </w:r>
      <w:r w:rsidRPr="00BB75E6">
        <w:rPr>
          <w:rFonts w:cs="Arial"/>
          <w:color w:val="000000"/>
        </w:rPr>
        <w:t>before they were moved out of the scanner.</w:t>
      </w:r>
    </w:p>
    <w:p w14:paraId="27795DF6" w14:textId="77777777" w:rsidR="006416A2" w:rsidRPr="00BB75E6" w:rsidRDefault="006416A2" w:rsidP="00C8005D">
      <w:pPr>
        <w:pStyle w:val="Heading3"/>
      </w:pPr>
      <w:bookmarkStart w:id="391" w:name="_Toc48469270"/>
      <w:bookmarkStart w:id="392" w:name="_Toc64723952"/>
      <w:bookmarkStart w:id="393" w:name="_Toc431375319"/>
      <w:bookmarkStart w:id="394" w:name="_Toc46213555"/>
      <w:r w:rsidRPr="00BB75E6">
        <w:t>Statistical Analysis</w:t>
      </w:r>
      <w:bookmarkEnd w:id="391"/>
      <w:bookmarkEnd w:id="392"/>
    </w:p>
    <w:bookmarkEnd w:id="393"/>
    <w:bookmarkEnd w:id="394"/>
    <w:p w14:paraId="5402B3CF" w14:textId="4BD6DC39" w:rsidR="006416A2" w:rsidRPr="00BB75E6" w:rsidRDefault="006416A2" w:rsidP="006416A2">
      <w:pPr>
        <w:spacing w:line="360" w:lineRule="auto"/>
        <w:rPr>
          <w:rFonts w:cs="Arial"/>
        </w:rPr>
      </w:pPr>
      <w:r w:rsidRPr="00BB75E6">
        <w:rPr>
          <w:rFonts w:cs="Arial"/>
        </w:rPr>
        <w:t xml:space="preserve">Analysis of the dynamic susceptibility contrast data was undertaken in </w:t>
      </w:r>
      <w:proofErr w:type="spellStart"/>
      <w:r w:rsidRPr="00BB75E6">
        <w:rPr>
          <w:rFonts w:cs="Arial"/>
        </w:rPr>
        <w:t>NordicNeurolab</w:t>
      </w:r>
      <w:proofErr w:type="spellEnd"/>
      <w:r w:rsidRPr="00BB75E6">
        <w:rPr>
          <w:rFonts w:cs="Arial"/>
        </w:rPr>
        <w:t xml:space="preserve">, </w:t>
      </w:r>
      <w:proofErr w:type="spellStart"/>
      <w:r w:rsidRPr="00BB75E6">
        <w:rPr>
          <w:rFonts w:cs="Arial"/>
        </w:rPr>
        <w:t>nordicICE</w:t>
      </w:r>
      <w:proofErr w:type="spellEnd"/>
      <w:r w:rsidRPr="00BB75E6">
        <w:rPr>
          <w:rFonts w:cs="Arial"/>
        </w:rPr>
        <w:t xml:space="preserve"> perfusion package, (V3.0, Bergen 2012)</w:t>
      </w:r>
      <w:r>
        <w:rPr>
          <w:rFonts w:cs="Arial"/>
        </w:rPr>
        <w:t xml:space="preserve"> as described in Chapter 2</w:t>
      </w:r>
      <w:r w:rsidR="00DD217A">
        <w:rPr>
          <w:rFonts w:cs="Arial"/>
        </w:rPr>
        <w:t xml:space="preserve">: pp 50-54, </w:t>
      </w:r>
      <w:r>
        <w:rPr>
          <w:rFonts w:cs="Arial"/>
        </w:rPr>
        <w:t xml:space="preserve">and </w:t>
      </w:r>
      <w:r w:rsidR="00DD217A">
        <w:rPr>
          <w:rFonts w:cs="Arial"/>
        </w:rPr>
        <w:t xml:space="preserve">Chapter 3: </w:t>
      </w:r>
      <w:r w:rsidR="000A1D1E">
        <w:rPr>
          <w:rFonts w:cs="Arial"/>
        </w:rPr>
        <w:t xml:space="preserve">pp </w:t>
      </w:r>
      <w:r w:rsidR="00DD217A">
        <w:rPr>
          <w:rFonts w:cs="Arial"/>
        </w:rPr>
        <w:t>79-85</w:t>
      </w:r>
      <w:r w:rsidR="00514CB8">
        <w:rPr>
          <w:rFonts w:cs="Arial"/>
        </w:rPr>
        <w:t>.</w:t>
      </w:r>
      <w:r w:rsidRPr="00BB75E6">
        <w:rPr>
          <w:rFonts w:cs="Arial"/>
        </w:rPr>
        <w:t xml:space="preserve"> </w:t>
      </w:r>
    </w:p>
    <w:p w14:paraId="06B8FCD2" w14:textId="6F23DCBE" w:rsidR="006416A2" w:rsidRPr="00BB75E6" w:rsidRDefault="006416A2" w:rsidP="006416A2">
      <w:pPr>
        <w:spacing w:line="360" w:lineRule="auto"/>
        <w:rPr>
          <w:rFonts w:cs="Arial"/>
        </w:rPr>
      </w:pPr>
      <w:r w:rsidRPr="00BB75E6">
        <w:rPr>
          <w:rFonts w:cs="Arial"/>
        </w:rPr>
        <w:t>The baseline variables before the scan were recorded and compared using ANOVA</w:t>
      </w:r>
      <w:r>
        <w:rPr>
          <w:rFonts w:cs="Arial"/>
        </w:rPr>
        <w:t xml:space="preserve">. </w:t>
      </w:r>
      <w:r w:rsidRPr="00BB75E6">
        <w:rPr>
          <w:rFonts w:cs="Arial"/>
        </w:rPr>
        <w:t xml:space="preserve"> </w:t>
      </w:r>
      <w:r>
        <w:rPr>
          <w:rFonts w:cs="Arial"/>
        </w:rPr>
        <w:t>D</w:t>
      </w:r>
      <w:r w:rsidRPr="00BB75E6">
        <w:rPr>
          <w:rFonts w:cs="Arial"/>
        </w:rPr>
        <w:t xml:space="preserve">ifferences </w:t>
      </w:r>
      <w:r>
        <w:rPr>
          <w:rFonts w:cs="Arial"/>
        </w:rPr>
        <w:t xml:space="preserve">were </w:t>
      </w:r>
      <w:r w:rsidRPr="00BB75E6">
        <w:rPr>
          <w:rFonts w:cs="Arial"/>
        </w:rPr>
        <w:t xml:space="preserve">examined using post </w:t>
      </w:r>
      <w:r>
        <w:rPr>
          <w:rFonts w:cs="Arial"/>
        </w:rPr>
        <w:t>H</w:t>
      </w:r>
      <w:r w:rsidRPr="00BB75E6">
        <w:rPr>
          <w:rFonts w:cs="Arial"/>
        </w:rPr>
        <w:t xml:space="preserve">oc multiple comparisons using the </w:t>
      </w:r>
      <w:r w:rsidR="00DD217A">
        <w:rPr>
          <w:rFonts w:cs="Arial"/>
        </w:rPr>
        <w:t>Šidak</w:t>
      </w:r>
      <w:r w:rsidRPr="00BB75E6">
        <w:rPr>
          <w:rFonts w:cs="Arial"/>
        </w:rPr>
        <w:t xml:space="preserve"> method</w:t>
      </w:r>
      <w:r>
        <w:rPr>
          <w:rFonts w:cs="Arial"/>
        </w:rPr>
        <w:t xml:space="preserve"> </w:t>
      </w:r>
      <w:r w:rsidRPr="00BB75E6">
        <w:rPr>
          <w:rFonts w:cs="Arial"/>
        </w:rPr>
        <w:fldChar w:fldCharType="begin"/>
      </w:r>
      <w:r w:rsidRPr="00BB75E6">
        <w:rPr>
          <w:rFonts w:cs="Arial"/>
        </w:rPr>
        <w:instrText xml:space="preserve"> ADDIN EN.CITE &lt;EndNote&gt;&lt;Cite&gt;&lt;Author&gt;Kim&lt;/Author&gt;&lt;Year&gt;2015&lt;/Year&gt;&lt;IDText&gt;Statistical notes for clinical researchers: post-hoc multiple comparisons&lt;/IDText&gt;&lt;DisplayText&gt;(Kim, 2015)&lt;/DisplayText&gt;&lt;record&gt;&lt;dates&gt;&lt;pub-dates&gt;&lt;date&gt;May&lt;/date&gt;&lt;/pub-dates&gt;&lt;year&gt;2015&lt;/year&gt;&lt;/dates&gt;&lt;urls&gt;&lt;related-urls&gt;&lt;url&gt;https://www.ncbi.nlm.nih.gov/pubmed/25984481&lt;/url&gt;&lt;/related-urls&gt;&lt;/urls&gt;&lt;isbn&gt;2234-7658&lt;/isbn&gt;&lt;custom2&gt;PMC4432262&lt;/custom2&gt;&lt;titles&gt;&lt;title&gt;Statistical notes for clinical researchers: post-hoc multiple comparisons&lt;/title&gt;&lt;secondary-title&gt;Restor Dent Endod&lt;/secondary-title&gt;&lt;/titles&gt;&lt;pages&gt;172-6&lt;/pages&gt;&lt;number&gt;2&lt;/number&gt;&lt;contributors&gt;&lt;authors&gt;&lt;author&gt;Kim, H. Y.&lt;/author&gt;&lt;/authors&gt;&lt;/contributors&gt;&lt;language&gt;eng&lt;/language&gt;&lt;added-date format="utc"&gt;1542110338&lt;/added-date&gt;&lt;ref-type name="Journal Article"&gt;17&lt;/ref-type&gt;&lt;rec-number&gt;980&lt;/rec-number&gt;&lt;last-updated-date format="utc"&gt;1542110338&lt;/last-updated-date&gt;&lt;accession-num&gt;25984481&lt;/accession-num&gt;&lt;electronic-resource-num&gt;10.5395/rde.2015.40.2.172&lt;/electronic-resource-num&gt;&lt;volume&gt;40&lt;/volume&gt;&lt;/record&gt;&lt;/Cite&gt;&lt;/EndNote&gt;</w:instrText>
      </w:r>
      <w:r w:rsidRPr="00BB75E6">
        <w:rPr>
          <w:rFonts w:cs="Arial"/>
        </w:rPr>
        <w:fldChar w:fldCharType="separate"/>
      </w:r>
      <w:r w:rsidRPr="00BB75E6">
        <w:rPr>
          <w:rFonts w:cs="Arial"/>
          <w:noProof/>
        </w:rPr>
        <w:t>(Kim, 2015)</w:t>
      </w:r>
      <w:r w:rsidRPr="00BB75E6">
        <w:rPr>
          <w:rFonts w:cs="Arial"/>
        </w:rPr>
        <w:fldChar w:fldCharType="end"/>
      </w:r>
      <w:r w:rsidRPr="00BB75E6">
        <w:rPr>
          <w:rFonts w:cs="Arial"/>
        </w:rPr>
        <w:t xml:space="preserve">. The mean values for each participant for each region of interest (ROI) were recorded for RBV, RBF, MTT and TTP.  Given that there were 8 ROI and 4 groups, a multivariate analysis of covariance (MANCOVA) was performed.  The covariant was to account for pain perception during the pain experiment. </w:t>
      </w:r>
      <w:r w:rsidR="001908A6">
        <w:rPr>
          <w:rFonts w:cs="Arial"/>
        </w:rPr>
        <w:t xml:space="preserve"> </w:t>
      </w:r>
      <w:r w:rsidRPr="00BB75E6">
        <w:rPr>
          <w:rFonts w:cs="Arial"/>
        </w:rPr>
        <w:t>The covariant was tested for independence using an ANOVA to make sure there was no statistical difference between the groups.  The multivariate ANCOVA was to account for the multiple related dependent variables and to account for multiple comparisons</w:t>
      </w:r>
      <w:r>
        <w:rPr>
          <w:rFonts w:cs="Arial"/>
        </w:rPr>
        <w:t>,</w:t>
      </w:r>
      <w:r w:rsidRPr="00BB75E6">
        <w:rPr>
          <w:rFonts w:cs="Arial"/>
        </w:rPr>
        <w:t xml:space="preserve"> to see if there was an overall effect of group, pain perception or pain perception within groups</w:t>
      </w:r>
      <w:r>
        <w:rPr>
          <w:rFonts w:cs="Arial"/>
        </w:rPr>
        <w:t xml:space="preserve"> </w:t>
      </w:r>
      <w:r w:rsidRPr="00BB75E6">
        <w:rPr>
          <w:rFonts w:cs="Arial"/>
        </w:rPr>
        <w:fldChar w:fldCharType="begin"/>
      </w:r>
      <w:r>
        <w:rPr>
          <w:rFonts w:cs="Arial"/>
        </w:rPr>
        <w:instrText xml:space="preserve"> ADDIN EN.CITE &lt;EndNote&gt;&lt;Cite&gt;&lt;Author&gt;Huitema&lt;/Author&gt;&lt;Year&gt;2011.&lt;/Year&gt;&lt;IDText&gt;The analysis of covariance and alternatives: Statistical methods for experiments, quasi-experiments, and single-case studies&lt;/IDText&gt;&lt;DisplayText&gt;(Huitema, 2011.)&lt;/DisplayText&gt;&lt;record&gt;&lt;titles&gt;&lt;title&gt;&lt;style face="italic" font="default" size="100%"&gt;The analysis of covariance and alternatives: Statistical methods for experiments, quasi-experiments, and single-case studies&lt;/style&gt;&lt;/title&gt;&lt;secondary-title&gt;Wiley Series in Probability and Statistics&lt;/secondary-title&gt;&lt;/titles&gt;&lt;contributors&gt;&lt;authors&gt;&lt;author&gt;Huitema, Bradley&lt;/author&gt;&lt;/authors&gt;&lt;/contributors&gt;&lt;section&gt;Section 26.6&lt;/section&gt;&lt;edition&gt;2nd&lt;/edition&gt;&lt;added-date format="utc"&gt;1542112237&lt;/added-date&gt;&lt;pub-location&gt;New Jersey&lt;/pub-location&gt;&lt;ref-type name="Book"&gt;6&lt;/ref-type&gt;&lt;dates&gt;&lt;year&gt;2011.&lt;/year&gt;&lt;/dates&gt;&lt;rec-number&gt;981&lt;/rec-number&gt;&lt;publisher&gt;Wiley&lt;/publisher&gt;&lt;last-updated-date format="utc"&gt;1542112828&lt;/last-updated-date&gt;&lt;contributors&gt;&lt;secondary-authors&gt;&lt;author&gt;Balding,D&lt;/author&gt;&lt;author&gt;Cressie, N&lt;/author&gt;&lt;author&gt;Fitzmaurice, G&lt;/author&gt;&lt;author&gt;Goldstein, H&lt;/author&gt;&lt;author&gt;Johnstone, I&lt;/author&gt;&lt;author&gt;Molenberghs, G&lt;/author&gt;&lt;author&gt;Scott, D&lt;/author&gt;&lt;author&gt;Smith, A&lt;/author&gt;&lt;author&gt;Tsay, R&lt;/author&gt;&lt;author&gt;Weisberg, S&lt;/author&gt;&lt;/secondary-authors&gt;&lt;/contributors&gt;&lt;volume&gt;608&lt;/volume&gt;&lt;/record&gt;&lt;/Cite&gt;&lt;/EndNote&gt;</w:instrText>
      </w:r>
      <w:r w:rsidRPr="00BB75E6">
        <w:rPr>
          <w:rFonts w:cs="Arial"/>
        </w:rPr>
        <w:fldChar w:fldCharType="separate"/>
      </w:r>
      <w:r>
        <w:rPr>
          <w:rFonts w:cs="Arial"/>
          <w:noProof/>
        </w:rPr>
        <w:t>(Huitema, 2011.)</w:t>
      </w:r>
      <w:r w:rsidRPr="00BB75E6">
        <w:rPr>
          <w:rFonts w:cs="Arial"/>
        </w:rPr>
        <w:fldChar w:fldCharType="end"/>
      </w:r>
      <w:r>
        <w:rPr>
          <w:rFonts w:cs="Arial"/>
        </w:rPr>
        <w:t xml:space="preserve">. </w:t>
      </w:r>
      <w:r w:rsidRPr="00BB75E6">
        <w:rPr>
          <w:rFonts w:cs="Arial"/>
        </w:rPr>
        <w:t xml:space="preserve"> Any multivariate differences were then examined by a discriminant </w:t>
      </w:r>
      <w:r>
        <w:rPr>
          <w:rFonts w:cs="Arial"/>
        </w:rPr>
        <w:t xml:space="preserve">function </w:t>
      </w:r>
      <w:r w:rsidRPr="00BB75E6">
        <w:rPr>
          <w:rFonts w:cs="Arial"/>
        </w:rPr>
        <w:t xml:space="preserve">analysis.  The areas were examined using a univariate ANCOVA </w:t>
      </w:r>
      <w:r>
        <w:rPr>
          <w:rFonts w:cs="Arial"/>
        </w:rPr>
        <w:t>adjusted for pain perception.</w:t>
      </w:r>
    </w:p>
    <w:p w14:paraId="01C7B7FE" w14:textId="51DBF0B1" w:rsidR="006416A2" w:rsidRPr="00BB75E6" w:rsidRDefault="006416A2" w:rsidP="006416A2">
      <w:pPr>
        <w:spacing w:line="360" w:lineRule="auto"/>
        <w:rPr>
          <w:rFonts w:cs="Arial"/>
        </w:rPr>
      </w:pPr>
      <w:r>
        <w:rPr>
          <w:rFonts w:cs="Arial"/>
        </w:rPr>
        <w:t xml:space="preserve">Change in perfusion parameters between the baseline and pain condition were compared using MANCOVA of the four perfusion variables- </w:t>
      </w:r>
      <w:proofErr w:type="gramStart"/>
      <w:r>
        <w:rPr>
          <w:rFonts w:cs="Arial"/>
        </w:rPr>
        <w:t>e.g.</w:t>
      </w:r>
      <w:proofErr w:type="gramEnd"/>
      <w:r>
        <w:rPr>
          <w:rFonts w:cs="Arial"/>
        </w:rPr>
        <w:t xml:space="preserve"> Δ RBV adjusted for pain perception during the scan</w:t>
      </w:r>
      <w:r w:rsidRPr="00BB75E6">
        <w:rPr>
          <w:rFonts w:cs="Arial"/>
        </w:rPr>
        <w:t>.  SPSS statistics (</w:t>
      </w:r>
      <w:r w:rsidR="00810941">
        <w:rPr>
          <w:rFonts w:cs="Arial"/>
        </w:rPr>
        <w:t>Version 26</w:t>
      </w:r>
      <w:r w:rsidRPr="00BB75E6">
        <w:rPr>
          <w:rFonts w:cs="Arial"/>
        </w:rPr>
        <w:t xml:space="preserve">, IBM Corp, Armonk, New York) was used to perform the statistical analyses. </w:t>
      </w:r>
    </w:p>
    <w:p w14:paraId="65EA4B7C" w14:textId="4D2A6FC3" w:rsidR="006416A2" w:rsidRDefault="006416A2" w:rsidP="006416A2">
      <w:pPr>
        <w:spacing w:line="360" w:lineRule="auto"/>
        <w:rPr>
          <w:rFonts w:cs="Arial"/>
        </w:rPr>
      </w:pPr>
      <w:r w:rsidRPr="00BB75E6">
        <w:rPr>
          <w:rFonts w:cs="Arial"/>
        </w:rPr>
        <w:t xml:space="preserve">To examine interaction effects a moderation analysis was performed using the </w:t>
      </w:r>
      <w:proofErr w:type="spellStart"/>
      <w:r w:rsidRPr="00BB75E6">
        <w:rPr>
          <w:rFonts w:cs="Arial"/>
        </w:rPr>
        <w:t>Potthoff</w:t>
      </w:r>
      <w:proofErr w:type="spellEnd"/>
      <w:r w:rsidRPr="00BB75E6">
        <w:rPr>
          <w:rFonts w:cs="Arial"/>
        </w:rPr>
        <w:t xml:space="preserve"> method to compare regression slopes for significant differences (Weaver and </w:t>
      </w:r>
      <w:proofErr w:type="spellStart"/>
      <w:r w:rsidRPr="00BB75E6">
        <w:rPr>
          <w:rFonts w:cs="Arial"/>
        </w:rPr>
        <w:t>Wuensch</w:t>
      </w:r>
      <w:proofErr w:type="spellEnd"/>
      <w:r w:rsidRPr="00BB75E6">
        <w:rPr>
          <w:rFonts w:cs="Arial"/>
        </w:rPr>
        <w:t xml:space="preserve">, 2013) between interaction variables.  </w:t>
      </w:r>
      <w:r>
        <w:rPr>
          <w:rFonts w:cs="Arial"/>
        </w:rPr>
        <w:t xml:space="preserve">This procedure analyses the difference in </w:t>
      </w:r>
      <w:r w:rsidRPr="00BB75E6">
        <w:rPr>
          <w:rFonts w:cs="Arial"/>
        </w:rPr>
        <w:t xml:space="preserve">the regression slopes for a particular covariant which may be causing an interaction effect </w:t>
      </w:r>
      <w:proofErr w:type="gramStart"/>
      <w:r w:rsidRPr="00BB75E6">
        <w:rPr>
          <w:rFonts w:cs="Arial"/>
        </w:rPr>
        <w:t>e.g.</w:t>
      </w:r>
      <w:proofErr w:type="gramEnd"/>
      <w:r w:rsidRPr="00BB75E6">
        <w:rPr>
          <w:rFonts w:cs="Arial"/>
        </w:rPr>
        <w:t xml:space="preserve"> Likert pain perception.  This was performed </w:t>
      </w:r>
      <w:r>
        <w:rPr>
          <w:rFonts w:cs="Arial"/>
        </w:rPr>
        <w:t>using</w:t>
      </w:r>
      <w:r w:rsidRPr="00BB75E6">
        <w:rPr>
          <w:rFonts w:cs="Arial"/>
        </w:rPr>
        <w:t xml:space="preserve"> SPSS syntax commands- see Appendix </w:t>
      </w:r>
      <w:r>
        <w:rPr>
          <w:rFonts w:cs="Arial"/>
        </w:rPr>
        <w:t>F</w:t>
      </w:r>
      <w:r w:rsidRPr="00BB75E6">
        <w:rPr>
          <w:rFonts w:cs="Arial"/>
        </w:rPr>
        <w:t xml:space="preserve">.  </w:t>
      </w:r>
      <w:r w:rsidR="00D142CF">
        <w:rPr>
          <w:rFonts w:cs="Arial"/>
        </w:rPr>
        <w:t>The power calculation was described in Chapter 4: Methods p 101.</w:t>
      </w:r>
    </w:p>
    <w:p w14:paraId="1715FA0B" w14:textId="534C38C9" w:rsidR="006416A2" w:rsidRDefault="006416A2" w:rsidP="00E745CE">
      <w:pPr>
        <w:pStyle w:val="Heading2"/>
      </w:pPr>
      <w:bookmarkStart w:id="395" w:name="_Toc431375321"/>
      <w:bookmarkStart w:id="396" w:name="_Toc46213557"/>
      <w:bookmarkStart w:id="397" w:name="_Toc48469271"/>
      <w:bookmarkStart w:id="398" w:name="_Toc64723953"/>
      <w:r w:rsidRPr="00BB75E6">
        <w:lastRenderedPageBreak/>
        <w:t>R</w:t>
      </w:r>
      <w:bookmarkEnd w:id="395"/>
      <w:bookmarkEnd w:id="396"/>
      <w:bookmarkEnd w:id="397"/>
      <w:r w:rsidR="00936B81">
        <w:t>esults</w:t>
      </w:r>
      <w:bookmarkEnd w:id="398"/>
    </w:p>
    <w:p w14:paraId="4126301E" w14:textId="6DF1562F" w:rsidR="006416A2" w:rsidRPr="00925FAA" w:rsidRDefault="006416A2" w:rsidP="00C8005D">
      <w:pPr>
        <w:pStyle w:val="Heading3"/>
      </w:pPr>
      <w:bookmarkStart w:id="399" w:name="_Toc48469272"/>
      <w:bookmarkStart w:id="400" w:name="_Toc64723954"/>
      <w:r w:rsidRPr="00925FAA">
        <w:t xml:space="preserve">Baseline Characteristics </w:t>
      </w:r>
      <w:r w:rsidR="00DD217A">
        <w:t>P</w:t>
      </w:r>
      <w:r w:rsidRPr="00925FAA">
        <w:t xml:space="preserve">rior to </w:t>
      </w:r>
      <w:r w:rsidR="00DD217A">
        <w:t>S</w:t>
      </w:r>
      <w:r w:rsidRPr="00925FAA">
        <w:t>can 3</w:t>
      </w:r>
      <w:bookmarkEnd w:id="399"/>
      <w:bookmarkEnd w:id="400"/>
    </w:p>
    <w:p w14:paraId="2C39A91A" w14:textId="70FCFA7B" w:rsidR="006416A2" w:rsidRDefault="006416A2" w:rsidP="006416A2">
      <w:pPr>
        <w:spacing w:line="360" w:lineRule="auto"/>
      </w:pPr>
      <w:r>
        <w:t>The baseline characteristics of the cohort are described fully in Chapter 2 table 2.</w:t>
      </w:r>
      <w:r w:rsidR="00DD217A">
        <w:t>2, p 58</w:t>
      </w:r>
      <w:r>
        <w:t>.  Of note, there was a statistically significant difference in age of the participants between the P-DPN group and the DPN groups.</w:t>
      </w:r>
      <w:r w:rsidR="002F0A92">
        <w:t xml:space="preserve"> </w:t>
      </w:r>
      <w:r>
        <w:t xml:space="preserve"> Multivariate linear regression for age was performed for all regions of interest at visit 3</w:t>
      </w:r>
      <w:r w:rsidR="001B7A31">
        <w:t>,</w:t>
      </w:r>
      <w:r>
        <w:t xml:space="preserve"> and for the difference between experimental pain and baseline measurements.  </w:t>
      </w:r>
      <w:r w:rsidR="001B7A31">
        <w:t>A</w:t>
      </w:r>
      <w:r>
        <w:t>ge was not a significant covariant for th</w:t>
      </w:r>
      <w:r w:rsidR="001B7A31">
        <w:t>is</w:t>
      </w:r>
      <w:r>
        <w:t xml:space="preserve"> visit for </w:t>
      </w:r>
      <w:r w:rsidR="001B7A31">
        <w:t>any</w:t>
      </w:r>
      <w:r>
        <w:t xml:space="preserve"> perfusion measures </w:t>
      </w:r>
      <w:r w:rsidRPr="0046197E">
        <w:t xml:space="preserve">Wilks’ </w:t>
      </w:r>
      <w:r w:rsidRPr="0046197E">
        <w:rPr>
          <w:rFonts w:hint="eastAsia"/>
        </w:rPr>
        <w:t>λ</w:t>
      </w:r>
      <w:r w:rsidRPr="0046197E">
        <w:t xml:space="preserve">= </w:t>
      </w:r>
      <w:r w:rsidRPr="00010359">
        <w:t>.547</w:t>
      </w:r>
      <w:r>
        <w:t xml:space="preserve">, </w:t>
      </w:r>
      <w:r w:rsidRPr="0046197E">
        <w:t>F(</w:t>
      </w:r>
      <w:r>
        <w:t>32</w:t>
      </w:r>
      <w:r w:rsidRPr="0046197E">
        <w:t>,</w:t>
      </w:r>
      <w:r>
        <w:t>40</w:t>
      </w:r>
      <w:r w:rsidRPr="0046197E">
        <w:t xml:space="preserve">)= </w:t>
      </w:r>
      <w:r w:rsidRPr="00010359">
        <w:t>1.03</w:t>
      </w:r>
      <w:r w:rsidRPr="0046197E">
        <w:t>,</w:t>
      </w:r>
      <w:r>
        <w:t xml:space="preserve"> (p=</w:t>
      </w:r>
      <w:r w:rsidRPr="00010359">
        <w:t>.457</w:t>
      </w:r>
      <w:r>
        <w:t xml:space="preserve">) or for any of the 32 </w:t>
      </w:r>
      <w:r w:rsidR="00FF4C5E">
        <w:t>ROI and perfusion</w:t>
      </w:r>
      <w:r>
        <w:t xml:space="preserve"> measures.  For the difference between experimental pain and baseline measurements, age was not a significant covariant </w:t>
      </w:r>
      <w:r w:rsidRPr="0046197E">
        <w:t xml:space="preserve">Wilks’ </w:t>
      </w:r>
      <w:r w:rsidRPr="0046197E">
        <w:rPr>
          <w:rFonts w:hint="eastAsia"/>
        </w:rPr>
        <w:t>λ</w:t>
      </w:r>
      <w:r w:rsidRPr="0046197E">
        <w:t xml:space="preserve">= </w:t>
      </w:r>
      <w:r w:rsidR="00FF4C5E">
        <w:t>.</w:t>
      </w:r>
      <w:r w:rsidRPr="00010359">
        <w:t>725</w:t>
      </w:r>
      <w:r>
        <w:t xml:space="preserve">, </w:t>
      </w:r>
      <w:r w:rsidRPr="0046197E">
        <w:t>F(</w:t>
      </w:r>
      <w:r>
        <w:t>31</w:t>
      </w:r>
      <w:r w:rsidRPr="0046197E">
        <w:t>,</w:t>
      </w:r>
      <w:r>
        <w:t>41</w:t>
      </w:r>
      <w:r w:rsidRPr="0046197E">
        <w:t xml:space="preserve">)= </w:t>
      </w:r>
      <w:r>
        <w:t>5.02</w:t>
      </w:r>
      <w:r w:rsidRPr="0046197E">
        <w:t>,</w:t>
      </w:r>
      <w:r>
        <w:t xml:space="preserve"> (p=</w:t>
      </w:r>
      <w:r w:rsidRPr="00010359">
        <w:t>.</w:t>
      </w:r>
      <w:r>
        <w:t>975) for all perfusion measures, or for any of the individual perfusion measures (see Appendix D</w:t>
      </w:r>
      <w:r w:rsidR="00FF4C5E">
        <w:t>:</w:t>
      </w:r>
      <w:r>
        <w:t xml:space="preserve"> Table D.1)</w:t>
      </w:r>
      <w:r w:rsidR="00FF4C5E">
        <w:t>.</w:t>
      </w:r>
    </w:p>
    <w:p w14:paraId="3B19099C" w14:textId="70AE98C7" w:rsidR="006416A2" w:rsidRPr="00336DB8" w:rsidRDefault="006416A2" w:rsidP="00514CB8">
      <w:pPr>
        <w:pStyle w:val="Heading4"/>
      </w:pPr>
      <w:r w:rsidRPr="00336DB8">
        <w:t>C</w:t>
      </w:r>
      <w:r>
        <w:t>ardiovascular Indices</w:t>
      </w:r>
      <w:r w:rsidRPr="00336DB8">
        <w:t xml:space="preserve"> and </w:t>
      </w:r>
      <w:r w:rsidR="00DD217A">
        <w:t>B</w:t>
      </w:r>
      <w:r>
        <w:t xml:space="preserve">lood </w:t>
      </w:r>
      <w:r w:rsidR="00DD217A">
        <w:t>G</w:t>
      </w:r>
      <w:r w:rsidRPr="00336DB8">
        <w:t>lucose</w:t>
      </w:r>
    </w:p>
    <w:p w14:paraId="4A92843B" w14:textId="763D7152" w:rsidR="006416A2" w:rsidRPr="00E7192C" w:rsidRDefault="006416A2" w:rsidP="006416A2">
      <w:pPr>
        <w:spacing w:line="360" w:lineRule="auto"/>
      </w:pPr>
      <w:r>
        <w:t xml:space="preserve">There </w:t>
      </w:r>
      <w:r w:rsidRPr="00E7192C">
        <w:t xml:space="preserve">were no significant differences in cardiovascular indices </w:t>
      </w:r>
      <w:r>
        <w:t xml:space="preserve">or </w:t>
      </w:r>
      <w:r w:rsidRPr="00E7192C">
        <w:t>blood glucose measurements recorded prior to the scan on visit 3</w:t>
      </w:r>
      <w:r>
        <w:t xml:space="preserve"> (see table 5.1)</w:t>
      </w:r>
      <w:r w:rsidRPr="00E7192C">
        <w:t xml:space="preserve">.  </w:t>
      </w:r>
      <w:r>
        <w:t>T</w:t>
      </w:r>
      <w:r w:rsidRPr="00E7192C">
        <w:t>here was no statistically significant difference between the groups for those that record</w:t>
      </w:r>
      <w:r>
        <w:t>ed</w:t>
      </w:r>
      <w:r w:rsidRPr="00E7192C">
        <w:t xml:space="preserve"> a blood glucose measurement </w:t>
      </w:r>
      <w:r>
        <w:t>at the conclusion of the scanning protocol</w:t>
      </w:r>
      <w:r w:rsidRPr="00E7192C">
        <w:t>.</w:t>
      </w:r>
      <w:r>
        <w:t xml:space="preserve"> </w:t>
      </w:r>
      <w:r w:rsidR="001C41BA">
        <w:t>Cardiovascular Indices and blood glucose measurements were also compared between visits- there were no statistically significant difference</w:t>
      </w:r>
      <w:r w:rsidR="003E76C3">
        <w:t>s</w:t>
      </w:r>
      <w:r w:rsidR="001C41BA">
        <w:t xml:space="preserve"> (Appendix D. Table D.2)</w:t>
      </w:r>
    </w:p>
    <w:p w14:paraId="64BA79B3" w14:textId="25D2F3E4" w:rsidR="00BA7EAB" w:rsidRPr="00B93D19" w:rsidRDefault="00BA7EAB" w:rsidP="001C41BA">
      <w:pPr>
        <w:pStyle w:val="Quote"/>
      </w:pPr>
      <w:bookmarkStart w:id="401" w:name="_Toc417900949"/>
      <w:bookmarkStart w:id="402" w:name="_Toc48469316"/>
      <w:bookmarkStart w:id="403" w:name="_Toc64724085"/>
      <w:r>
        <w:t xml:space="preserve">Table </w:t>
      </w:r>
      <w:r w:rsidRPr="00B93D19">
        <w:t>5.1. Baseline Metabolic and Cardiovascular Characteristics of Participants at the time of Visit 3</w:t>
      </w:r>
      <w:bookmarkEnd w:id="401"/>
      <w:bookmarkEnd w:id="402"/>
      <w:bookmarkEnd w:id="403"/>
    </w:p>
    <w:tbl>
      <w:tblPr>
        <w:tblStyle w:val="GridTable1LightAccent2"/>
        <w:tblW w:w="5000" w:type="pct"/>
        <w:tblLook w:val="04A0" w:firstRow="1" w:lastRow="0" w:firstColumn="1" w:lastColumn="0" w:noHBand="0" w:noVBand="1"/>
      </w:tblPr>
      <w:tblGrid>
        <w:gridCol w:w="796"/>
        <w:gridCol w:w="674"/>
        <w:gridCol w:w="1375"/>
        <w:gridCol w:w="675"/>
        <w:gridCol w:w="1379"/>
        <w:gridCol w:w="677"/>
        <w:gridCol w:w="1379"/>
        <w:gridCol w:w="677"/>
        <w:gridCol w:w="1378"/>
      </w:tblGrid>
      <w:tr w:rsidR="007159EE" w:rsidRPr="00F443A7" w14:paraId="78498DFD" w14:textId="77777777" w:rsidTr="007159EE">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17" w:type="pct"/>
            <w:noWrap/>
            <w:hideMark/>
          </w:tcPr>
          <w:p w14:paraId="60DBB8B8" w14:textId="77777777" w:rsidR="00BA7EAB" w:rsidRPr="00B51F6A" w:rsidRDefault="00BA7EAB" w:rsidP="00FF1D46">
            <w:pPr>
              <w:spacing w:line="480" w:lineRule="auto"/>
              <w:jc w:val="center"/>
              <w:rPr>
                <w:rFonts w:asciiTheme="minorHAnsi" w:hAnsiTheme="minorHAnsi" w:cstheme="minorHAnsi"/>
                <w:bCs w:val="0"/>
                <w:i/>
                <w:iCs/>
                <w:sz w:val="22"/>
                <w:szCs w:val="22"/>
              </w:rPr>
            </w:pPr>
          </w:p>
        </w:tc>
        <w:tc>
          <w:tcPr>
            <w:tcW w:w="1169" w:type="pct"/>
            <w:gridSpan w:val="2"/>
            <w:noWrap/>
            <w:hideMark/>
          </w:tcPr>
          <w:p w14:paraId="684A4BE0" w14:textId="77777777" w:rsidR="00BA7EAB" w:rsidRPr="00B51F6A" w:rsidRDefault="00BA7EAB" w:rsidP="00FF1D46">
            <w:pPr>
              <w:spacing w:line="48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i/>
                <w:iCs/>
                <w:sz w:val="22"/>
                <w:szCs w:val="22"/>
              </w:rPr>
            </w:pPr>
            <w:r w:rsidRPr="00B51F6A">
              <w:rPr>
                <w:rFonts w:asciiTheme="minorHAnsi" w:hAnsiTheme="minorHAnsi" w:cstheme="minorHAnsi"/>
                <w:bCs w:val="0"/>
                <w:i/>
                <w:iCs/>
                <w:sz w:val="22"/>
                <w:szCs w:val="22"/>
              </w:rPr>
              <w:t xml:space="preserve">   P-DPN</w:t>
            </w:r>
          </w:p>
        </w:tc>
        <w:tc>
          <w:tcPr>
            <w:tcW w:w="1171" w:type="pct"/>
            <w:gridSpan w:val="2"/>
            <w:noWrap/>
            <w:hideMark/>
          </w:tcPr>
          <w:p w14:paraId="054DB2D6" w14:textId="77777777" w:rsidR="00BA7EAB" w:rsidRPr="00B51F6A" w:rsidRDefault="00BA7EAB" w:rsidP="00FF1D46">
            <w:pPr>
              <w:spacing w:line="48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i/>
                <w:iCs/>
                <w:sz w:val="22"/>
                <w:szCs w:val="22"/>
              </w:rPr>
            </w:pPr>
            <w:r w:rsidRPr="00B51F6A">
              <w:rPr>
                <w:rFonts w:asciiTheme="minorHAnsi" w:hAnsiTheme="minorHAnsi" w:cstheme="minorHAnsi"/>
                <w:bCs w:val="0"/>
                <w:i/>
                <w:iCs/>
                <w:sz w:val="22"/>
                <w:szCs w:val="22"/>
              </w:rPr>
              <w:t>DPN</w:t>
            </w:r>
          </w:p>
        </w:tc>
        <w:tc>
          <w:tcPr>
            <w:tcW w:w="1172" w:type="pct"/>
            <w:gridSpan w:val="2"/>
            <w:noWrap/>
            <w:hideMark/>
          </w:tcPr>
          <w:p w14:paraId="10D262C8" w14:textId="77777777" w:rsidR="00BA7EAB" w:rsidRPr="00B51F6A" w:rsidRDefault="00BA7EAB" w:rsidP="00FF1D46">
            <w:pPr>
              <w:spacing w:line="48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i/>
                <w:iCs/>
                <w:sz w:val="22"/>
                <w:szCs w:val="22"/>
              </w:rPr>
            </w:pPr>
            <w:r w:rsidRPr="00B51F6A">
              <w:rPr>
                <w:rFonts w:asciiTheme="minorHAnsi" w:hAnsiTheme="minorHAnsi" w:cstheme="minorHAnsi"/>
                <w:bCs w:val="0"/>
                <w:i/>
                <w:iCs/>
                <w:sz w:val="22"/>
                <w:szCs w:val="22"/>
              </w:rPr>
              <w:t xml:space="preserve">     DM-NN</w:t>
            </w:r>
          </w:p>
        </w:tc>
        <w:tc>
          <w:tcPr>
            <w:tcW w:w="1171" w:type="pct"/>
            <w:gridSpan w:val="2"/>
            <w:noWrap/>
            <w:hideMark/>
          </w:tcPr>
          <w:p w14:paraId="72245E7B" w14:textId="77777777" w:rsidR="00BA7EAB" w:rsidRPr="00B51F6A" w:rsidRDefault="00BA7EAB" w:rsidP="00FF1D46">
            <w:pPr>
              <w:spacing w:line="48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i/>
                <w:iCs/>
                <w:sz w:val="22"/>
                <w:szCs w:val="22"/>
              </w:rPr>
            </w:pPr>
            <w:r w:rsidRPr="00B51F6A">
              <w:rPr>
                <w:rFonts w:asciiTheme="minorHAnsi" w:hAnsiTheme="minorHAnsi" w:cstheme="minorHAnsi"/>
                <w:bCs w:val="0"/>
                <w:i/>
                <w:iCs/>
                <w:sz w:val="22"/>
                <w:szCs w:val="22"/>
              </w:rPr>
              <w:t>HV</w:t>
            </w:r>
          </w:p>
        </w:tc>
      </w:tr>
      <w:tr w:rsidR="007159EE" w:rsidRPr="00F443A7" w14:paraId="52DB0B1C" w14:textId="77777777" w:rsidTr="007159EE">
        <w:trPr>
          <w:trHeight w:val="320"/>
        </w:trPr>
        <w:tc>
          <w:tcPr>
            <w:cnfStyle w:val="001000000000" w:firstRow="0" w:lastRow="0" w:firstColumn="1" w:lastColumn="0" w:oddVBand="0" w:evenVBand="0" w:oddHBand="0" w:evenHBand="0" w:firstRowFirstColumn="0" w:firstRowLastColumn="0" w:lastRowFirstColumn="0" w:lastRowLastColumn="0"/>
            <w:tcW w:w="317" w:type="pct"/>
            <w:shd w:val="clear" w:color="auto" w:fill="FBE4D5" w:themeFill="accent2" w:themeFillTint="33"/>
            <w:noWrap/>
            <w:hideMark/>
          </w:tcPr>
          <w:p w14:paraId="38D9261C" w14:textId="77777777" w:rsidR="00BA7EAB" w:rsidRPr="00F443A7" w:rsidRDefault="00BA7EAB" w:rsidP="00FF1D46">
            <w:pPr>
              <w:spacing w:line="480" w:lineRule="auto"/>
              <w:rPr>
                <w:rFonts w:asciiTheme="minorHAnsi" w:hAnsiTheme="minorHAnsi" w:cstheme="minorHAnsi"/>
                <w:b w:val="0"/>
                <w:bCs w:val="0"/>
                <w:i/>
                <w:iCs/>
                <w:sz w:val="22"/>
                <w:szCs w:val="22"/>
              </w:rPr>
            </w:pPr>
          </w:p>
        </w:tc>
        <w:tc>
          <w:tcPr>
            <w:tcW w:w="390" w:type="pct"/>
            <w:shd w:val="clear" w:color="auto" w:fill="FBE4D5" w:themeFill="accent2" w:themeFillTint="33"/>
            <w:noWrap/>
            <w:hideMark/>
          </w:tcPr>
          <w:p w14:paraId="7D97DC1B" w14:textId="77777777" w:rsidR="00BA7EAB" w:rsidRPr="00F443A7" w:rsidRDefault="00BA7EAB" w:rsidP="00FF1D46">
            <w:pPr>
              <w:spacing w:line="48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22"/>
                <w:szCs w:val="22"/>
              </w:rPr>
            </w:pPr>
            <w:r w:rsidRPr="00F443A7">
              <w:rPr>
                <w:rFonts w:asciiTheme="minorHAnsi" w:hAnsiTheme="minorHAnsi" w:cstheme="minorHAnsi"/>
                <w:i/>
                <w:iCs/>
                <w:sz w:val="22"/>
                <w:szCs w:val="22"/>
              </w:rPr>
              <w:t>M</w:t>
            </w:r>
          </w:p>
        </w:tc>
        <w:tc>
          <w:tcPr>
            <w:tcW w:w="779" w:type="pct"/>
            <w:shd w:val="clear" w:color="auto" w:fill="FBE4D5" w:themeFill="accent2" w:themeFillTint="33"/>
            <w:noWrap/>
            <w:hideMark/>
          </w:tcPr>
          <w:p w14:paraId="45E3F324" w14:textId="77777777" w:rsidR="00BA7EAB" w:rsidRPr="00F443A7" w:rsidRDefault="00BA7EAB" w:rsidP="00FF1D46">
            <w:pPr>
              <w:spacing w:line="48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22"/>
                <w:szCs w:val="22"/>
              </w:rPr>
            </w:pPr>
            <w:r w:rsidRPr="00F443A7">
              <w:rPr>
                <w:rFonts w:asciiTheme="minorHAnsi" w:hAnsiTheme="minorHAnsi" w:cstheme="minorHAnsi"/>
                <w:i/>
                <w:iCs/>
                <w:sz w:val="22"/>
                <w:szCs w:val="22"/>
              </w:rPr>
              <w:t>95% CI</w:t>
            </w:r>
          </w:p>
        </w:tc>
        <w:tc>
          <w:tcPr>
            <w:tcW w:w="390" w:type="pct"/>
            <w:shd w:val="clear" w:color="auto" w:fill="FBE4D5" w:themeFill="accent2" w:themeFillTint="33"/>
            <w:noWrap/>
            <w:hideMark/>
          </w:tcPr>
          <w:p w14:paraId="54F38551" w14:textId="77777777" w:rsidR="00BA7EAB" w:rsidRPr="00F443A7" w:rsidRDefault="00BA7EAB" w:rsidP="00FF1D46">
            <w:pPr>
              <w:spacing w:line="48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22"/>
                <w:szCs w:val="22"/>
              </w:rPr>
            </w:pPr>
            <w:r w:rsidRPr="00F443A7">
              <w:rPr>
                <w:rFonts w:asciiTheme="minorHAnsi" w:hAnsiTheme="minorHAnsi" w:cstheme="minorHAnsi"/>
                <w:i/>
                <w:iCs/>
                <w:sz w:val="22"/>
                <w:szCs w:val="22"/>
              </w:rPr>
              <w:t>M</w:t>
            </w:r>
          </w:p>
        </w:tc>
        <w:tc>
          <w:tcPr>
            <w:tcW w:w="781" w:type="pct"/>
            <w:shd w:val="clear" w:color="auto" w:fill="FBE4D5" w:themeFill="accent2" w:themeFillTint="33"/>
            <w:noWrap/>
            <w:hideMark/>
          </w:tcPr>
          <w:p w14:paraId="1D4E5B14" w14:textId="77777777" w:rsidR="00BA7EAB" w:rsidRPr="00F443A7" w:rsidRDefault="00BA7EAB" w:rsidP="00FF1D46">
            <w:pPr>
              <w:spacing w:line="48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22"/>
                <w:szCs w:val="22"/>
              </w:rPr>
            </w:pPr>
            <w:r w:rsidRPr="00F443A7">
              <w:rPr>
                <w:rFonts w:asciiTheme="minorHAnsi" w:hAnsiTheme="minorHAnsi" w:cstheme="minorHAnsi"/>
                <w:i/>
                <w:iCs/>
                <w:sz w:val="22"/>
                <w:szCs w:val="22"/>
              </w:rPr>
              <w:t>95% CI</w:t>
            </w:r>
          </w:p>
        </w:tc>
        <w:tc>
          <w:tcPr>
            <w:tcW w:w="391" w:type="pct"/>
            <w:shd w:val="clear" w:color="auto" w:fill="FBE4D5" w:themeFill="accent2" w:themeFillTint="33"/>
            <w:noWrap/>
            <w:hideMark/>
          </w:tcPr>
          <w:p w14:paraId="6208E242" w14:textId="77777777" w:rsidR="00BA7EAB" w:rsidRPr="00F443A7" w:rsidRDefault="00BA7EAB" w:rsidP="00FF1D46">
            <w:pPr>
              <w:spacing w:line="48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22"/>
                <w:szCs w:val="22"/>
              </w:rPr>
            </w:pPr>
            <w:r w:rsidRPr="00F443A7">
              <w:rPr>
                <w:rFonts w:asciiTheme="minorHAnsi" w:hAnsiTheme="minorHAnsi" w:cstheme="minorHAnsi"/>
                <w:i/>
                <w:iCs/>
                <w:sz w:val="22"/>
                <w:szCs w:val="22"/>
              </w:rPr>
              <w:t>M</w:t>
            </w:r>
          </w:p>
        </w:tc>
        <w:tc>
          <w:tcPr>
            <w:tcW w:w="781" w:type="pct"/>
            <w:shd w:val="clear" w:color="auto" w:fill="FBE4D5" w:themeFill="accent2" w:themeFillTint="33"/>
            <w:noWrap/>
            <w:hideMark/>
          </w:tcPr>
          <w:p w14:paraId="09DCEF92" w14:textId="77777777" w:rsidR="00BA7EAB" w:rsidRPr="00F443A7" w:rsidRDefault="00BA7EAB" w:rsidP="00FF1D46">
            <w:pPr>
              <w:spacing w:line="48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22"/>
                <w:szCs w:val="22"/>
              </w:rPr>
            </w:pPr>
            <w:r w:rsidRPr="00F443A7">
              <w:rPr>
                <w:rFonts w:asciiTheme="minorHAnsi" w:hAnsiTheme="minorHAnsi" w:cstheme="minorHAnsi"/>
                <w:i/>
                <w:iCs/>
                <w:sz w:val="22"/>
                <w:szCs w:val="22"/>
              </w:rPr>
              <w:t>95% CI</w:t>
            </w:r>
          </w:p>
        </w:tc>
        <w:tc>
          <w:tcPr>
            <w:tcW w:w="391" w:type="pct"/>
            <w:shd w:val="clear" w:color="auto" w:fill="FBE4D5" w:themeFill="accent2" w:themeFillTint="33"/>
            <w:noWrap/>
            <w:hideMark/>
          </w:tcPr>
          <w:p w14:paraId="7BDF7599" w14:textId="77777777" w:rsidR="00BA7EAB" w:rsidRPr="00F443A7" w:rsidRDefault="00BA7EAB" w:rsidP="00FF1D46">
            <w:pPr>
              <w:spacing w:line="48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22"/>
                <w:szCs w:val="22"/>
              </w:rPr>
            </w:pPr>
            <w:r w:rsidRPr="00F443A7">
              <w:rPr>
                <w:rFonts w:asciiTheme="minorHAnsi" w:hAnsiTheme="minorHAnsi" w:cstheme="minorHAnsi"/>
                <w:i/>
                <w:iCs/>
                <w:sz w:val="22"/>
                <w:szCs w:val="22"/>
              </w:rPr>
              <w:t>M</w:t>
            </w:r>
          </w:p>
        </w:tc>
        <w:tc>
          <w:tcPr>
            <w:tcW w:w="780" w:type="pct"/>
            <w:shd w:val="clear" w:color="auto" w:fill="FBE4D5" w:themeFill="accent2" w:themeFillTint="33"/>
            <w:noWrap/>
            <w:hideMark/>
          </w:tcPr>
          <w:p w14:paraId="46AF6C50" w14:textId="77777777" w:rsidR="00BA7EAB" w:rsidRPr="00F443A7" w:rsidRDefault="00BA7EAB" w:rsidP="00FF1D46">
            <w:pPr>
              <w:spacing w:line="48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22"/>
                <w:szCs w:val="22"/>
              </w:rPr>
            </w:pPr>
            <w:r w:rsidRPr="00F443A7">
              <w:rPr>
                <w:rFonts w:asciiTheme="minorHAnsi" w:hAnsiTheme="minorHAnsi" w:cstheme="minorHAnsi"/>
                <w:i/>
                <w:iCs/>
                <w:sz w:val="22"/>
                <w:szCs w:val="22"/>
              </w:rPr>
              <w:t>95% CI</w:t>
            </w:r>
          </w:p>
        </w:tc>
      </w:tr>
      <w:tr w:rsidR="00BA7EAB" w:rsidRPr="00F443A7" w14:paraId="38BB27F2" w14:textId="77777777" w:rsidTr="007159EE">
        <w:trPr>
          <w:trHeight w:val="320"/>
        </w:trPr>
        <w:tc>
          <w:tcPr>
            <w:cnfStyle w:val="001000000000" w:firstRow="0" w:lastRow="0" w:firstColumn="1" w:lastColumn="0" w:oddVBand="0" w:evenVBand="0" w:oddHBand="0" w:evenHBand="0" w:firstRowFirstColumn="0" w:firstRowLastColumn="0" w:lastRowFirstColumn="0" w:lastRowLastColumn="0"/>
            <w:tcW w:w="317" w:type="pct"/>
            <w:noWrap/>
            <w:hideMark/>
          </w:tcPr>
          <w:p w14:paraId="3846070A" w14:textId="77777777" w:rsidR="00BA7EAB" w:rsidRPr="00B51F6A" w:rsidRDefault="00BA7EAB" w:rsidP="00FF1D46">
            <w:pPr>
              <w:spacing w:line="480" w:lineRule="auto"/>
              <w:jc w:val="center"/>
              <w:rPr>
                <w:rFonts w:asciiTheme="minorHAnsi" w:hAnsiTheme="minorHAnsi" w:cstheme="minorHAnsi"/>
                <w:bCs w:val="0"/>
                <w:i/>
                <w:iCs/>
                <w:sz w:val="22"/>
                <w:szCs w:val="22"/>
              </w:rPr>
            </w:pPr>
            <w:r w:rsidRPr="00B51F6A">
              <w:rPr>
                <w:rFonts w:asciiTheme="minorHAnsi" w:hAnsiTheme="minorHAnsi" w:cstheme="minorHAnsi"/>
                <w:bCs w:val="0"/>
                <w:i/>
                <w:iCs/>
                <w:sz w:val="22"/>
                <w:szCs w:val="22"/>
              </w:rPr>
              <w:t>P</w:t>
            </w:r>
          </w:p>
        </w:tc>
        <w:tc>
          <w:tcPr>
            <w:tcW w:w="390" w:type="pct"/>
            <w:noWrap/>
            <w:hideMark/>
          </w:tcPr>
          <w:p w14:paraId="7188EA9D" w14:textId="77777777" w:rsidR="00BA7EAB" w:rsidRPr="00F443A7" w:rsidRDefault="00BA7EAB" w:rsidP="00FF1D46">
            <w:pPr>
              <w:spacing w:line="48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22"/>
                <w:szCs w:val="22"/>
              </w:rPr>
            </w:pPr>
            <w:r w:rsidRPr="00F443A7">
              <w:rPr>
                <w:rFonts w:asciiTheme="minorHAnsi" w:hAnsiTheme="minorHAnsi" w:cstheme="minorHAnsi"/>
                <w:i/>
                <w:iCs/>
                <w:color w:val="010205"/>
                <w:sz w:val="22"/>
                <w:szCs w:val="22"/>
              </w:rPr>
              <w:t>80</w:t>
            </w:r>
          </w:p>
        </w:tc>
        <w:tc>
          <w:tcPr>
            <w:tcW w:w="779" w:type="pct"/>
            <w:noWrap/>
            <w:hideMark/>
          </w:tcPr>
          <w:p w14:paraId="2C9D7D07" w14:textId="77777777" w:rsidR="00BA7EAB" w:rsidRPr="00F443A7" w:rsidRDefault="00BA7EAB" w:rsidP="00FF1D46">
            <w:pPr>
              <w:spacing w:line="48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22"/>
                <w:szCs w:val="22"/>
              </w:rPr>
            </w:pPr>
            <w:r w:rsidRPr="00F443A7">
              <w:rPr>
                <w:rFonts w:asciiTheme="minorHAnsi" w:hAnsiTheme="minorHAnsi" w:cstheme="minorHAnsi"/>
                <w:i/>
                <w:iCs/>
                <w:color w:val="010205"/>
                <w:sz w:val="22"/>
                <w:szCs w:val="22"/>
              </w:rPr>
              <w:t>73-87</w:t>
            </w:r>
          </w:p>
        </w:tc>
        <w:tc>
          <w:tcPr>
            <w:tcW w:w="390" w:type="pct"/>
            <w:noWrap/>
            <w:hideMark/>
          </w:tcPr>
          <w:p w14:paraId="30D22FEA" w14:textId="77777777" w:rsidR="00BA7EAB" w:rsidRPr="00F443A7" w:rsidRDefault="00BA7EAB" w:rsidP="00FF1D46">
            <w:pPr>
              <w:spacing w:line="48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22"/>
                <w:szCs w:val="22"/>
              </w:rPr>
            </w:pPr>
            <w:r w:rsidRPr="00F443A7">
              <w:rPr>
                <w:rFonts w:asciiTheme="minorHAnsi" w:hAnsiTheme="minorHAnsi" w:cstheme="minorHAnsi"/>
                <w:i/>
                <w:iCs/>
                <w:color w:val="010205"/>
                <w:sz w:val="22"/>
                <w:szCs w:val="22"/>
              </w:rPr>
              <w:t>77</w:t>
            </w:r>
          </w:p>
        </w:tc>
        <w:tc>
          <w:tcPr>
            <w:tcW w:w="781" w:type="pct"/>
            <w:noWrap/>
            <w:hideMark/>
          </w:tcPr>
          <w:p w14:paraId="0A84EA98" w14:textId="77777777" w:rsidR="00BA7EAB" w:rsidRPr="00F443A7" w:rsidRDefault="00BA7EAB" w:rsidP="00FF1D46">
            <w:pPr>
              <w:spacing w:line="48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22"/>
                <w:szCs w:val="22"/>
              </w:rPr>
            </w:pPr>
            <w:r w:rsidRPr="00F443A7">
              <w:rPr>
                <w:rFonts w:asciiTheme="minorHAnsi" w:hAnsiTheme="minorHAnsi" w:cstheme="minorHAnsi"/>
                <w:i/>
                <w:iCs/>
                <w:color w:val="010205"/>
                <w:sz w:val="22"/>
                <w:szCs w:val="22"/>
              </w:rPr>
              <w:t>72-82</w:t>
            </w:r>
          </w:p>
        </w:tc>
        <w:tc>
          <w:tcPr>
            <w:tcW w:w="391" w:type="pct"/>
            <w:noWrap/>
            <w:hideMark/>
          </w:tcPr>
          <w:p w14:paraId="282880BE" w14:textId="77777777" w:rsidR="00BA7EAB" w:rsidRPr="00F443A7" w:rsidRDefault="00BA7EAB" w:rsidP="00FF1D46">
            <w:pPr>
              <w:spacing w:line="48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22"/>
                <w:szCs w:val="22"/>
              </w:rPr>
            </w:pPr>
            <w:r w:rsidRPr="00F443A7">
              <w:rPr>
                <w:rFonts w:asciiTheme="minorHAnsi" w:hAnsiTheme="minorHAnsi" w:cstheme="minorHAnsi"/>
                <w:i/>
                <w:iCs/>
                <w:color w:val="010205"/>
                <w:sz w:val="22"/>
                <w:szCs w:val="22"/>
              </w:rPr>
              <w:t>69</w:t>
            </w:r>
          </w:p>
        </w:tc>
        <w:tc>
          <w:tcPr>
            <w:tcW w:w="781" w:type="pct"/>
            <w:noWrap/>
            <w:hideMark/>
          </w:tcPr>
          <w:p w14:paraId="34DFC35A" w14:textId="77777777" w:rsidR="00BA7EAB" w:rsidRPr="00F443A7" w:rsidRDefault="00BA7EAB" w:rsidP="00FF1D46">
            <w:pPr>
              <w:spacing w:line="48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22"/>
                <w:szCs w:val="22"/>
              </w:rPr>
            </w:pPr>
            <w:r w:rsidRPr="00F443A7">
              <w:rPr>
                <w:rFonts w:asciiTheme="minorHAnsi" w:hAnsiTheme="minorHAnsi" w:cstheme="minorHAnsi"/>
                <w:i/>
                <w:iCs/>
                <w:color w:val="010205"/>
                <w:sz w:val="22"/>
                <w:szCs w:val="22"/>
              </w:rPr>
              <w:t>64-74</w:t>
            </w:r>
          </w:p>
        </w:tc>
        <w:tc>
          <w:tcPr>
            <w:tcW w:w="391" w:type="pct"/>
            <w:noWrap/>
            <w:hideMark/>
          </w:tcPr>
          <w:p w14:paraId="075634BB" w14:textId="77777777" w:rsidR="00BA7EAB" w:rsidRPr="00F443A7" w:rsidRDefault="00BA7EAB" w:rsidP="00FF1D46">
            <w:pPr>
              <w:spacing w:line="48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22"/>
                <w:szCs w:val="22"/>
              </w:rPr>
            </w:pPr>
            <w:r w:rsidRPr="00F443A7">
              <w:rPr>
                <w:rFonts w:asciiTheme="minorHAnsi" w:hAnsiTheme="minorHAnsi" w:cstheme="minorHAnsi"/>
                <w:i/>
                <w:iCs/>
                <w:color w:val="010205"/>
                <w:sz w:val="22"/>
                <w:szCs w:val="22"/>
              </w:rPr>
              <w:t>77</w:t>
            </w:r>
          </w:p>
        </w:tc>
        <w:tc>
          <w:tcPr>
            <w:tcW w:w="780" w:type="pct"/>
            <w:noWrap/>
            <w:hideMark/>
          </w:tcPr>
          <w:p w14:paraId="1131A607" w14:textId="77777777" w:rsidR="00BA7EAB" w:rsidRPr="00F443A7" w:rsidRDefault="00BA7EAB" w:rsidP="00FF1D46">
            <w:pPr>
              <w:spacing w:line="48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22"/>
                <w:szCs w:val="22"/>
              </w:rPr>
            </w:pPr>
            <w:r w:rsidRPr="00F443A7">
              <w:rPr>
                <w:rFonts w:asciiTheme="minorHAnsi" w:hAnsiTheme="minorHAnsi" w:cstheme="minorHAnsi"/>
                <w:i/>
                <w:iCs/>
                <w:color w:val="010205"/>
                <w:sz w:val="22"/>
                <w:szCs w:val="22"/>
              </w:rPr>
              <w:t>73-81</w:t>
            </w:r>
          </w:p>
        </w:tc>
      </w:tr>
      <w:tr w:rsidR="007159EE" w:rsidRPr="00F443A7" w14:paraId="5C18C2EF" w14:textId="77777777" w:rsidTr="007159EE">
        <w:trPr>
          <w:trHeight w:val="320"/>
        </w:trPr>
        <w:tc>
          <w:tcPr>
            <w:cnfStyle w:val="001000000000" w:firstRow="0" w:lastRow="0" w:firstColumn="1" w:lastColumn="0" w:oddVBand="0" w:evenVBand="0" w:oddHBand="0" w:evenHBand="0" w:firstRowFirstColumn="0" w:firstRowLastColumn="0" w:lastRowFirstColumn="0" w:lastRowLastColumn="0"/>
            <w:tcW w:w="317" w:type="pct"/>
            <w:shd w:val="clear" w:color="auto" w:fill="FBE4D5" w:themeFill="accent2" w:themeFillTint="33"/>
            <w:noWrap/>
            <w:hideMark/>
          </w:tcPr>
          <w:p w14:paraId="7EF83ABD" w14:textId="77777777" w:rsidR="00BA7EAB" w:rsidRPr="00B51F6A" w:rsidRDefault="00BA7EAB" w:rsidP="00FF1D46">
            <w:pPr>
              <w:spacing w:line="480" w:lineRule="auto"/>
              <w:jc w:val="center"/>
              <w:rPr>
                <w:rFonts w:asciiTheme="minorHAnsi" w:hAnsiTheme="minorHAnsi" w:cstheme="minorHAnsi"/>
                <w:bCs w:val="0"/>
                <w:i/>
                <w:iCs/>
                <w:sz w:val="22"/>
                <w:szCs w:val="22"/>
              </w:rPr>
            </w:pPr>
            <w:r w:rsidRPr="00B51F6A">
              <w:rPr>
                <w:rFonts w:asciiTheme="minorHAnsi" w:hAnsiTheme="minorHAnsi" w:cstheme="minorHAnsi"/>
                <w:bCs w:val="0"/>
                <w:i/>
                <w:iCs/>
                <w:sz w:val="22"/>
                <w:szCs w:val="22"/>
              </w:rPr>
              <w:t>BP-S</w:t>
            </w:r>
          </w:p>
        </w:tc>
        <w:tc>
          <w:tcPr>
            <w:tcW w:w="390" w:type="pct"/>
            <w:shd w:val="clear" w:color="auto" w:fill="FBE4D5" w:themeFill="accent2" w:themeFillTint="33"/>
            <w:noWrap/>
            <w:hideMark/>
          </w:tcPr>
          <w:p w14:paraId="13F25DF9" w14:textId="77777777" w:rsidR="00BA7EAB" w:rsidRPr="00F443A7" w:rsidRDefault="00BA7EAB" w:rsidP="00FF1D46">
            <w:pPr>
              <w:spacing w:line="48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22"/>
                <w:szCs w:val="22"/>
              </w:rPr>
            </w:pPr>
            <w:r w:rsidRPr="00F443A7">
              <w:rPr>
                <w:rFonts w:asciiTheme="minorHAnsi" w:hAnsiTheme="minorHAnsi" w:cstheme="minorHAnsi"/>
                <w:i/>
                <w:iCs/>
                <w:color w:val="010205"/>
                <w:sz w:val="22"/>
                <w:szCs w:val="22"/>
              </w:rPr>
              <w:t>127</w:t>
            </w:r>
          </w:p>
        </w:tc>
        <w:tc>
          <w:tcPr>
            <w:tcW w:w="779" w:type="pct"/>
            <w:shd w:val="clear" w:color="auto" w:fill="FBE4D5" w:themeFill="accent2" w:themeFillTint="33"/>
            <w:noWrap/>
            <w:hideMark/>
          </w:tcPr>
          <w:p w14:paraId="540BCFEE" w14:textId="77777777" w:rsidR="00BA7EAB" w:rsidRPr="00F443A7" w:rsidRDefault="00BA7EAB" w:rsidP="00FF1D46">
            <w:pPr>
              <w:spacing w:line="48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22"/>
                <w:szCs w:val="22"/>
              </w:rPr>
            </w:pPr>
            <w:r w:rsidRPr="00F443A7">
              <w:rPr>
                <w:rFonts w:asciiTheme="minorHAnsi" w:hAnsiTheme="minorHAnsi" w:cstheme="minorHAnsi"/>
                <w:i/>
                <w:iCs/>
                <w:color w:val="010205"/>
                <w:sz w:val="22"/>
                <w:szCs w:val="22"/>
              </w:rPr>
              <w:t>120-134</w:t>
            </w:r>
          </w:p>
        </w:tc>
        <w:tc>
          <w:tcPr>
            <w:tcW w:w="390" w:type="pct"/>
            <w:shd w:val="clear" w:color="auto" w:fill="FBE4D5" w:themeFill="accent2" w:themeFillTint="33"/>
            <w:noWrap/>
            <w:hideMark/>
          </w:tcPr>
          <w:p w14:paraId="6434B952" w14:textId="77777777" w:rsidR="00BA7EAB" w:rsidRPr="00F443A7" w:rsidRDefault="00BA7EAB" w:rsidP="00FF1D46">
            <w:pPr>
              <w:spacing w:line="48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22"/>
                <w:szCs w:val="22"/>
              </w:rPr>
            </w:pPr>
            <w:r w:rsidRPr="00F443A7">
              <w:rPr>
                <w:rFonts w:asciiTheme="minorHAnsi" w:hAnsiTheme="minorHAnsi" w:cstheme="minorHAnsi"/>
                <w:i/>
                <w:iCs/>
                <w:color w:val="010205"/>
                <w:sz w:val="22"/>
                <w:szCs w:val="22"/>
              </w:rPr>
              <w:t>134</w:t>
            </w:r>
          </w:p>
        </w:tc>
        <w:tc>
          <w:tcPr>
            <w:tcW w:w="781" w:type="pct"/>
            <w:shd w:val="clear" w:color="auto" w:fill="FBE4D5" w:themeFill="accent2" w:themeFillTint="33"/>
            <w:noWrap/>
            <w:hideMark/>
          </w:tcPr>
          <w:p w14:paraId="55B67327" w14:textId="77777777" w:rsidR="00BA7EAB" w:rsidRPr="00F443A7" w:rsidRDefault="00BA7EAB" w:rsidP="00FF1D46">
            <w:pPr>
              <w:spacing w:line="48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22"/>
                <w:szCs w:val="22"/>
              </w:rPr>
            </w:pPr>
            <w:r w:rsidRPr="00F443A7">
              <w:rPr>
                <w:rFonts w:asciiTheme="minorHAnsi" w:hAnsiTheme="minorHAnsi" w:cstheme="minorHAnsi"/>
                <w:i/>
                <w:iCs/>
                <w:color w:val="010205"/>
                <w:sz w:val="22"/>
                <w:szCs w:val="22"/>
              </w:rPr>
              <w:t>127-142</w:t>
            </w:r>
          </w:p>
        </w:tc>
        <w:tc>
          <w:tcPr>
            <w:tcW w:w="391" w:type="pct"/>
            <w:shd w:val="clear" w:color="auto" w:fill="FBE4D5" w:themeFill="accent2" w:themeFillTint="33"/>
            <w:noWrap/>
            <w:hideMark/>
          </w:tcPr>
          <w:p w14:paraId="536C7C61" w14:textId="77777777" w:rsidR="00BA7EAB" w:rsidRPr="00F443A7" w:rsidRDefault="00BA7EAB" w:rsidP="00FF1D46">
            <w:pPr>
              <w:spacing w:line="48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22"/>
                <w:szCs w:val="22"/>
              </w:rPr>
            </w:pPr>
            <w:r w:rsidRPr="00F443A7">
              <w:rPr>
                <w:rFonts w:asciiTheme="minorHAnsi" w:hAnsiTheme="minorHAnsi" w:cstheme="minorHAnsi"/>
                <w:i/>
                <w:iCs/>
                <w:color w:val="010205"/>
                <w:sz w:val="22"/>
                <w:szCs w:val="22"/>
              </w:rPr>
              <w:t>137</w:t>
            </w:r>
          </w:p>
        </w:tc>
        <w:tc>
          <w:tcPr>
            <w:tcW w:w="781" w:type="pct"/>
            <w:shd w:val="clear" w:color="auto" w:fill="FBE4D5" w:themeFill="accent2" w:themeFillTint="33"/>
            <w:noWrap/>
            <w:hideMark/>
          </w:tcPr>
          <w:p w14:paraId="03EC6D95" w14:textId="77777777" w:rsidR="00BA7EAB" w:rsidRPr="00F443A7" w:rsidRDefault="00BA7EAB" w:rsidP="00FF1D46">
            <w:pPr>
              <w:spacing w:line="48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22"/>
                <w:szCs w:val="22"/>
              </w:rPr>
            </w:pPr>
            <w:r w:rsidRPr="00F443A7">
              <w:rPr>
                <w:rFonts w:asciiTheme="minorHAnsi" w:hAnsiTheme="minorHAnsi" w:cstheme="minorHAnsi"/>
                <w:i/>
                <w:iCs/>
                <w:color w:val="010205"/>
                <w:sz w:val="22"/>
                <w:szCs w:val="22"/>
              </w:rPr>
              <w:t>119-155</w:t>
            </w:r>
          </w:p>
        </w:tc>
        <w:tc>
          <w:tcPr>
            <w:tcW w:w="391" w:type="pct"/>
            <w:shd w:val="clear" w:color="auto" w:fill="FBE4D5" w:themeFill="accent2" w:themeFillTint="33"/>
            <w:noWrap/>
            <w:hideMark/>
          </w:tcPr>
          <w:p w14:paraId="2034A687" w14:textId="77777777" w:rsidR="00BA7EAB" w:rsidRPr="00F443A7" w:rsidRDefault="00BA7EAB" w:rsidP="00FF1D46">
            <w:pPr>
              <w:spacing w:line="48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22"/>
                <w:szCs w:val="22"/>
              </w:rPr>
            </w:pPr>
            <w:r w:rsidRPr="00F443A7">
              <w:rPr>
                <w:rFonts w:asciiTheme="minorHAnsi" w:hAnsiTheme="minorHAnsi" w:cstheme="minorHAnsi"/>
                <w:i/>
                <w:iCs/>
                <w:color w:val="010205"/>
                <w:sz w:val="22"/>
                <w:szCs w:val="22"/>
              </w:rPr>
              <w:t>127</w:t>
            </w:r>
          </w:p>
        </w:tc>
        <w:tc>
          <w:tcPr>
            <w:tcW w:w="780" w:type="pct"/>
            <w:shd w:val="clear" w:color="auto" w:fill="FBE4D5" w:themeFill="accent2" w:themeFillTint="33"/>
            <w:noWrap/>
            <w:hideMark/>
          </w:tcPr>
          <w:p w14:paraId="1EE541C4" w14:textId="77777777" w:rsidR="00BA7EAB" w:rsidRPr="00F443A7" w:rsidRDefault="00BA7EAB" w:rsidP="00FF1D46">
            <w:pPr>
              <w:spacing w:line="48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22"/>
                <w:szCs w:val="22"/>
              </w:rPr>
            </w:pPr>
            <w:r w:rsidRPr="00F443A7">
              <w:rPr>
                <w:rFonts w:asciiTheme="minorHAnsi" w:hAnsiTheme="minorHAnsi" w:cstheme="minorHAnsi"/>
                <w:i/>
                <w:iCs/>
                <w:color w:val="010205"/>
                <w:sz w:val="22"/>
                <w:szCs w:val="22"/>
              </w:rPr>
              <w:t>119-135</w:t>
            </w:r>
          </w:p>
        </w:tc>
      </w:tr>
      <w:tr w:rsidR="00BA7EAB" w:rsidRPr="00F443A7" w14:paraId="1D61DDC9" w14:textId="77777777" w:rsidTr="007159EE">
        <w:trPr>
          <w:trHeight w:val="320"/>
        </w:trPr>
        <w:tc>
          <w:tcPr>
            <w:cnfStyle w:val="001000000000" w:firstRow="0" w:lastRow="0" w:firstColumn="1" w:lastColumn="0" w:oddVBand="0" w:evenVBand="0" w:oddHBand="0" w:evenHBand="0" w:firstRowFirstColumn="0" w:firstRowLastColumn="0" w:lastRowFirstColumn="0" w:lastRowLastColumn="0"/>
            <w:tcW w:w="317" w:type="pct"/>
            <w:noWrap/>
            <w:hideMark/>
          </w:tcPr>
          <w:p w14:paraId="3CFB36A6" w14:textId="77777777" w:rsidR="00BA7EAB" w:rsidRPr="00B51F6A" w:rsidRDefault="00BA7EAB" w:rsidP="00FF1D46">
            <w:pPr>
              <w:spacing w:line="480" w:lineRule="auto"/>
              <w:jc w:val="center"/>
              <w:rPr>
                <w:rFonts w:asciiTheme="minorHAnsi" w:hAnsiTheme="minorHAnsi" w:cstheme="minorHAnsi"/>
                <w:bCs w:val="0"/>
                <w:i/>
                <w:iCs/>
                <w:sz w:val="22"/>
                <w:szCs w:val="22"/>
              </w:rPr>
            </w:pPr>
            <w:r w:rsidRPr="00B51F6A">
              <w:rPr>
                <w:rFonts w:asciiTheme="minorHAnsi" w:hAnsiTheme="minorHAnsi" w:cstheme="minorHAnsi"/>
                <w:bCs w:val="0"/>
                <w:i/>
                <w:iCs/>
                <w:sz w:val="22"/>
                <w:szCs w:val="22"/>
              </w:rPr>
              <w:t>BP-D</w:t>
            </w:r>
          </w:p>
        </w:tc>
        <w:tc>
          <w:tcPr>
            <w:tcW w:w="390" w:type="pct"/>
            <w:noWrap/>
            <w:hideMark/>
          </w:tcPr>
          <w:p w14:paraId="0C6C4065" w14:textId="77777777" w:rsidR="00BA7EAB" w:rsidRPr="00F443A7" w:rsidRDefault="00BA7EAB" w:rsidP="00FF1D46">
            <w:pPr>
              <w:spacing w:line="48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22"/>
                <w:szCs w:val="22"/>
              </w:rPr>
            </w:pPr>
            <w:r w:rsidRPr="00F443A7">
              <w:rPr>
                <w:rFonts w:asciiTheme="minorHAnsi" w:hAnsiTheme="minorHAnsi" w:cstheme="minorHAnsi"/>
                <w:i/>
                <w:iCs/>
                <w:color w:val="010205"/>
                <w:sz w:val="22"/>
                <w:szCs w:val="22"/>
              </w:rPr>
              <w:t>80</w:t>
            </w:r>
          </w:p>
        </w:tc>
        <w:tc>
          <w:tcPr>
            <w:tcW w:w="779" w:type="pct"/>
            <w:noWrap/>
            <w:hideMark/>
          </w:tcPr>
          <w:p w14:paraId="2FEF1E1C" w14:textId="77777777" w:rsidR="00BA7EAB" w:rsidRPr="00F443A7" w:rsidRDefault="00BA7EAB" w:rsidP="00FF1D46">
            <w:pPr>
              <w:spacing w:line="48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22"/>
                <w:szCs w:val="22"/>
              </w:rPr>
            </w:pPr>
            <w:r w:rsidRPr="00F443A7">
              <w:rPr>
                <w:rFonts w:asciiTheme="minorHAnsi" w:hAnsiTheme="minorHAnsi" w:cstheme="minorHAnsi"/>
                <w:i/>
                <w:iCs/>
                <w:color w:val="010205"/>
                <w:sz w:val="22"/>
                <w:szCs w:val="22"/>
              </w:rPr>
              <w:t>75-84</w:t>
            </w:r>
          </w:p>
        </w:tc>
        <w:tc>
          <w:tcPr>
            <w:tcW w:w="390" w:type="pct"/>
            <w:noWrap/>
            <w:hideMark/>
          </w:tcPr>
          <w:p w14:paraId="0362F397" w14:textId="77777777" w:rsidR="00BA7EAB" w:rsidRPr="00F443A7" w:rsidRDefault="00BA7EAB" w:rsidP="00FF1D46">
            <w:pPr>
              <w:spacing w:line="48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22"/>
                <w:szCs w:val="22"/>
              </w:rPr>
            </w:pPr>
            <w:r w:rsidRPr="00F443A7">
              <w:rPr>
                <w:rFonts w:asciiTheme="minorHAnsi" w:hAnsiTheme="minorHAnsi" w:cstheme="minorHAnsi"/>
                <w:i/>
                <w:iCs/>
                <w:color w:val="010205"/>
                <w:sz w:val="22"/>
                <w:szCs w:val="22"/>
              </w:rPr>
              <w:t>81</w:t>
            </w:r>
          </w:p>
        </w:tc>
        <w:tc>
          <w:tcPr>
            <w:tcW w:w="781" w:type="pct"/>
            <w:noWrap/>
            <w:hideMark/>
          </w:tcPr>
          <w:p w14:paraId="06278C0D" w14:textId="77777777" w:rsidR="00BA7EAB" w:rsidRPr="00F443A7" w:rsidRDefault="00BA7EAB" w:rsidP="00FF1D46">
            <w:pPr>
              <w:spacing w:line="48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22"/>
                <w:szCs w:val="22"/>
              </w:rPr>
            </w:pPr>
            <w:r w:rsidRPr="00F443A7">
              <w:rPr>
                <w:rFonts w:asciiTheme="minorHAnsi" w:hAnsiTheme="minorHAnsi" w:cstheme="minorHAnsi"/>
                <w:i/>
                <w:iCs/>
                <w:color w:val="010205"/>
                <w:sz w:val="22"/>
                <w:szCs w:val="22"/>
              </w:rPr>
              <w:t>77-85</w:t>
            </w:r>
          </w:p>
        </w:tc>
        <w:tc>
          <w:tcPr>
            <w:tcW w:w="391" w:type="pct"/>
            <w:noWrap/>
            <w:hideMark/>
          </w:tcPr>
          <w:p w14:paraId="363477EF" w14:textId="77777777" w:rsidR="00BA7EAB" w:rsidRPr="00F443A7" w:rsidRDefault="00BA7EAB" w:rsidP="00FF1D46">
            <w:pPr>
              <w:spacing w:line="48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22"/>
                <w:szCs w:val="22"/>
              </w:rPr>
            </w:pPr>
            <w:r w:rsidRPr="00F443A7">
              <w:rPr>
                <w:rFonts w:asciiTheme="minorHAnsi" w:hAnsiTheme="minorHAnsi" w:cstheme="minorHAnsi"/>
                <w:i/>
                <w:iCs/>
                <w:color w:val="010205"/>
                <w:sz w:val="22"/>
                <w:szCs w:val="22"/>
              </w:rPr>
              <w:t>87</w:t>
            </w:r>
          </w:p>
        </w:tc>
        <w:tc>
          <w:tcPr>
            <w:tcW w:w="781" w:type="pct"/>
            <w:noWrap/>
            <w:hideMark/>
          </w:tcPr>
          <w:p w14:paraId="15E9E1EB" w14:textId="77777777" w:rsidR="00BA7EAB" w:rsidRPr="00F443A7" w:rsidRDefault="00BA7EAB" w:rsidP="00FF1D46">
            <w:pPr>
              <w:spacing w:line="48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22"/>
                <w:szCs w:val="22"/>
              </w:rPr>
            </w:pPr>
            <w:r w:rsidRPr="00F443A7">
              <w:rPr>
                <w:rFonts w:asciiTheme="minorHAnsi" w:hAnsiTheme="minorHAnsi" w:cstheme="minorHAnsi"/>
                <w:i/>
                <w:iCs/>
                <w:color w:val="010205"/>
                <w:sz w:val="22"/>
                <w:szCs w:val="22"/>
              </w:rPr>
              <w:t>78-96</w:t>
            </w:r>
          </w:p>
        </w:tc>
        <w:tc>
          <w:tcPr>
            <w:tcW w:w="391" w:type="pct"/>
            <w:noWrap/>
            <w:hideMark/>
          </w:tcPr>
          <w:p w14:paraId="488CC2E5" w14:textId="77777777" w:rsidR="00BA7EAB" w:rsidRPr="00F443A7" w:rsidRDefault="00BA7EAB" w:rsidP="00FF1D46">
            <w:pPr>
              <w:spacing w:line="48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22"/>
                <w:szCs w:val="22"/>
              </w:rPr>
            </w:pPr>
            <w:r w:rsidRPr="00F443A7">
              <w:rPr>
                <w:rFonts w:asciiTheme="minorHAnsi" w:hAnsiTheme="minorHAnsi" w:cstheme="minorHAnsi"/>
                <w:i/>
                <w:iCs/>
                <w:color w:val="010205"/>
                <w:sz w:val="22"/>
                <w:szCs w:val="22"/>
              </w:rPr>
              <w:t>88</w:t>
            </w:r>
          </w:p>
        </w:tc>
        <w:tc>
          <w:tcPr>
            <w:tcW w:w="780" w:type="pct"/>
            <w:noWrap/>
            <w:hideMark/>
          </w:tcPr>
          <w:p w14:paraId="5B1DB2D1" w14:textId="77777777" w:rsidR="00BA7EAB" w:rsidRPr="00F443A7" w:rsidRDefault="00BA7EAB" w:rsidP="00FF1D46">
            <w:pPr>
              <w:spacing w:line="48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22"/>
                <w:szCs w:val="22"/>
              </w:rPr>
            </w:pPr>
            <w:r w:rsidRPr="00F443A7">
              <w:rPr>
                <w:rFonts w:asciiTheme="minorHAnsi" w:hAnsiTheme="minorHAnsi" w:cstheme="minorHAnsi"/>
                <w:i/>
                <w:iCs/>
                <w:color w:val="010205"/>
                <w:sz w:val="22"/>
                <w:szCs w:val="22"/>
              </w:rPr>
              <w:t>82-94</w:t>
            </w:r>
          </w:p>
        </w:tc>
      </w:tr>
      <w:tr w:rsidR="007159EE" w:rsidRPr="00F443A7" w14:paraId="328337E3" w14:textId="77777777" w:rsidTr="007159EE">
        <w:trPr>
          <w:trHeight w:val="320"/>
        </w:trPr>
        <w:tc>
          <w:tcPr>
            <w:cnfStyle w:val="001000000000" w:firstRow="0" w:lastRow="0" w:firstColumn="1" w:lastColumn="0" w:oddVBand="0" w:evenVBand="0" w:oddHBand="0" w:evenHBand="0" w:firstRowFirstColumn="0" w:firstRowLastColumn="0" w:lastRowFirstColumn="0" w:lastRowLastColumn="0"/>
            <w:tcW w:w="317" w:type="pct"/>
            <w:shd w:val="clear" w:color="auto" w:fill="FBE4D5" w:themeFill="accent2" w:themeFillTint="33"/>
            <w:noWrap/>
            <w:hideMark/>
          </w:tcPr>
          <w:p w14:paraId="4E862409" w14:textId="77777777" w:rsidR="00BA7EAB" w:rsidRPr="00B51F6A" w:rsidRDefault="00BA7EAB" w:rsidP="00FF1D46">
            <w:pPr>
              <w:spacing w:line="480" w:lineRule="auto"/>
              <w:jc w:val="center"/>
              <w:rPr>
                <w:rFonts w:asciiTheme="minorHAnsi" w:hAnsiTheme="minorHAnsi" w:cstheme="minorHAnsi"/>
                <w:bCs w:val="0"/>
                <w:i/>
                <w:iCs/>
                <w:sz w:val="22"/>
                <w:szCs w:val="22"/>
              </w:rPr>
            </w:pPr>
            <w:r w:rsidRPr="00B51F6A">
              <w:rPr>
                <w:rFonts w:asciiTheme="minorHAnsi" w:hAnsiTheme="minorHAnsi" w:cstheme="minorHAnsi"/>
                <w:bCs w:val="0"/>
                <w:i/>
                <w:iCs/>
                <w:sz w:val="22"/>
                <w:szCs w:val="22"/>
              </w:rPr>
              <w:t>BG-A</w:t>
            </w:r>
          </w:p>
        </w:tc>
        <w:tc>
          <w:tcPr>
            <w:tcW w:w="390" w:type="pct"/>
            <w:shd w:val="clear" w:color="auto" w:fill="FBE4D5" w:themeFill="accent2" w:themeFillTint="33"/>
            <w:noWrap/>
            <w:hideMark/>
          </w:tcPr>
          <w:p w14:paraId="0B215A12" w14:textId="77777777" w:rsidR="00BA7EAB" w:rsidRPr="00F443A7" w:rsidRDefault="00BA7EAB" w:rsidP="00FF1D46">
            <w:pPr>
              <w:spacing w:line="48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22"/>
                <w:szCs w:val="22"/>
              </w:rPr>
            </w:pPr>
            <w:r w:rsidRPr="00F443A7">
              <w:rPr>
                <w:rFonts w:asciiTheme="minorHAnsi" w:hAnsiTheme="minorHAnsi" w:cstheme="minorHAnsi"/>
                <w:i/>
                <w:iCs/>
                <w:color w:val="010205"/>
                <w:sz w:val="22"/>
                <w:szCs w:val="22"/>
              </w:rPr>
              <w:t>12.8</w:t>
            </w:r>
          </w:p>
        </w:tc>
        <w:tc>
          <w:tcPr>
            <w:tcW w:w="779" w:type="pct"/>
            <w:shd w:val="clear" w:color="auto" w:fill="FBE4D5" w:themeFill="accent2" w:themeFillTint="33"/>
            <w:noWrap/>
            <w:hideMark/>
          </w:tcPr>
          <w:p w14:paraId="19890E20" w14:textId="77777777" w:rsidR="00BA7EAB" w:rsidRPr="00F443A7" w:rsidRDefault="00BA7EAB" w:rsidP="00FF1D46">
            <w:pPr>
              <w:spacing w:line="48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22"/>
                <w:szCs w:val="22"/>
              </w:rPr>
            </w:pPr>
            <w:r w:rsidRPr="00F443A7">
              <w:rPr>
                <w:rFonts w:asciiTheme="minorHAnsi" w:hAnsiTheme="minorHAnsi" w:cstheme="minorHAnsi"/>
                <w:i/>
                <w:iCs/>
                <w:color w:val="010205"/>
                <w:sz w:val="22"/>
                <w:szCs w:val="22"/>
              </w:rPr>
              <w:t>10.7-14.9</w:t>
            </w:r>
          </w:p>
        </w:tc>
        <w:tc>
          <w:tcPr>
            <w:tcW w:w="390" w:type="pct"/>
            <w:shd w:val="clear" w:color="auto" w:fill="FBE4D5" w:themeFill="accent2" w:themeFillTint="33"/>
            <w:noWrap/>
            <w:hideMark/>
          </w:tcPr>
          <w:p w14:paraId="39EFB432" w14:textId="77777777" w:rsidR="00BA7EAB" w:rsidRPr="00F443A7" w:rsidRDefault="00BA7EAB" w:rsidP="00FF1D46">
            <w:pPr>
              <w:spacing w:line="48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22"/>
                <w:szCs w:val="22"/>
              </w:rPr>
            </w:pPr>
            <w:r w:rsidRPr="00F443A7">
              <w:rPr>
                <w:rFonts w:asciiTheme="minorHAnsi" w:hAnsiTheme="minorHAnsi" w:cstheme="minorHAnsi"/>
                <w:i/>
                <w:iCs/>
                <w:color w:val="010205"/>
                <w:sz w:val="22"/>
                <w:szCs w:val="22"/>
              </w:rPr>
              <w:t>11.4</w:t>
            </w:r>
          </w:p>
        </w:tc>
        <w:tc>
          <w:tcPr>
            <w:tcW w:w="781" w:type="pct"/>
            <w:shd w:val="clear" w:color="auto" w:fill="FBE4D5" w:themeFill="accent2" w:themeFillTint="33"/>
            <w:noWrap/>
            <w:hideMark/>
          </w:tcPr>
          <w:p w14:paraId="3BE0C273" w14:textId="77777777" w:rsidR="00BA7EAB" w:rsidRPr="00F443A7" w:rsidRDefault="00BA7EAB" w:rsidP="00FF1D46">
            <w:pPr>
              <w:spacing w:line="48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22"/>
                <w:szCs w:val="22"/>
              </w:rPr>
            </w:pPr>
            <w:r w:rsidRPr="00F443A7">
              <w:rPr>
                <w:rFonts w:asciiTheme="minorHAnsi" w:hAnsiTheme="minorHAnsi" w:cstheme="minorHAnsi"/>
                <w:i/>
                <w:iCs/>
                <w:color w:val="010205"/>
                <w:sz w:val="22"/>
                <w:szCs w:val="22"/>
              </w:rPr>
              <w:t>9.6-13.2</w:t>
            </w:r>
          </w:p>
        </w:tc>
        <w:tc>
          <w:tcPr>
            <w:tcW w:w="391" w:type="pct"/>
            <w:shd w:val="clear" w:color="auto" w:fill="FBE4D5" w:themeFill="accent2" w:themeFillTint="33"/>
            <w:noWrap/>
            <w:hideMark/>
          </w:tcPr>
          <w:p w14:paraId="389078EA" w14:textId="77777777" w:rsidR="00BA7EAB" w:rsidRPr="00F443A7" w:rsidRDefault="00BA7EAB" w:rsidP="00FF1D46">
            <w:pPr>
              <w:spacing w:line="48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22"/>
                <w:szCs w:val="22"/>
              </w:rPr>
            </w:pPr>
            <w:r w:rsidRPr="00F443A7">
              <w:rPr>
                <w:rFonts w:asciiTheme="minorHAnsi" w:hAnsiTheme="minorHAnsi" w:cstheme="minorHAnsi"/>
                <w:i/>
                <w:iCs/>
                <w:color w:val="010205"/>
                <w:sz w:val="22"/>
                <w:szCs w:val="22"/>
              </w:rPr>
              <w:t>13.6</w:t>
            </w:r>
          </w:p>
        </w:tc>
        <w:tc>
          <w:tcPr>
            <w:tcW w:w="781" w:type="pct"/>
            <w:shd w:val="clear" w:color="auto" w:fill="FBE4D5" w:themeFill="accent2" w:themeFillTint="33"/>
            <w:noWrap/>
            <w:hideMark/>
          </w:tcPr>
          <w:p w14:paraId="197B7942" w14:textId="77777777" w:rsidR="00BA7EAB" w:rsidRPr="00F443A7" w:rsidRDefault="00BA7EAB" w:rsidP="00FF1D46">
            <w:pPr>
              <w:spacing w:line="48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22"/>
                <w:szCs w:val="22"/>
              </w:rPr>
            </w:pPr>
            <w:r w:rsidRPr="00F443A7">
              <w:rPr>
                <w:rFonts w:asciiTheme="minorHAnsi" w:hAnsiTheme="minorHAnsi" w:cstheme="minorHAnsi"/>
                <w:i/>
                <w:iCs/>
                <w:color w:val="010205"/>
                <w:sz w:val="22"/>
                <w:szCs w:val="22"/>
              </w:rPr>
              <w:t>10.8-16.4</w:t>
            </w:r>
          </w:p>
        </w:tc>
        <w:tc>
          <w:tcPr>
            <w:tcW w:w="391" w:type="pct"/>
            <w:shd w:val="clear" w:color="auto" w:fill="FBE4D5" w:themeFill="accent2" w:themeFillTint="33"/>
            <w:noWrap/>
            <w:hideMark/>
          </w:tcPr>
          <w:p w14:paraId="30E7A10F" w14:textId="77777777" w:rsidR="00BA7EAB" w:rsidRPr="00F443A7" w:rsidRDefault="00BA7EAB" w:rsidP="00FF1D46">
            <w:pPr>
              <w:spacing w:line="48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22"/>
                <w:szCs w:val="22"/>
              </w:rPr>
            </w:pPr>
            <w:r>
              <w:rPr>
                <w:rFonts w:asciiTheme="minorHAnsi" w:hAnsiTheme="minorHAnsi" w:cstheme="minorHAnsi"/>
                <w:i/>
                <w:iCs/>
                <w:sz w:val="22"/>
                <w:szCs w:val="22"/>
              </w:rPr>
              <w:t>.</w:t>
            </w:r>
          </w:p>
        </w:tc>
        <w:tc>
          <w:tcPr>
            <w:tcW w:w="780" w:type="pct"/>
            <w:shd w:val="clear" w:color="auto" w:fill="FBE4D5" w:themeFill="accent2" w:themeFillTint="33"/>
            <w:noWrap/>
            <w:hideMark/>
          </w:tcPr>
          <w:p w14:paraId="411A8C40" w14:textId="77777777" w:rsidR="00BA7EAB" w:rsidRPr="00F443A7" w:rsidRDefault="00BA7EAB" w:rsidP="00FF1D46">
            <w:pPr>
              <w:spacing w:line="48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22"/>
                <w:szCs w:val="22"/>
              </w:rPr>
            </w:pPr>
            <w:r>
              <w:rPr>
                <w:rFonts w:asciiTheme="minorHAnsi" w:hAnsiTheme="minorHAnsi" w:cstheme="minorHAnsi"/>
                <w:i/>
                <w:iCs/>
                <w:sz w:val="22"/>
                <w:szCs w:val="22"/>
              </w:rPr>
              <w:t>.</w:t>
            </w:r>
          </w:p>
        </w:tc>
      </w:tr>
      <w:tr w:rsidR="00BA7EAB" w:rsidRPr="00F443A7" w14:paraId="28C37389" w14:textId="77777777" w:rsidTr="007159EE">
        <w:trPr>
          <w:trHeight w:val="320"/>
        </w:trPr>
        <w:tc>
          <w:tcPr>
            <w:cnfStyle w:val="001000000000" w:firstRow="0" w:lastRow="0" w:firstColumn="1" w:lastColumn="0" w:oddVBand="0" w:evenVBand="0" w:oddHBand="0" w:evenHBand="0" w:firstRowFirstColumn="0" w:firstRowLastColumn="0" w:lastRowFirstColumn="0" w:lastRowLastColumn="0"/>
            <w:tcW w:w="317" w:type="pct"/>
            <w:noWrap/>
            <w:hideMark/>
          </w:tcPr>
          <w:p w14:paraId="6F03C1A0" w14:textId="77777777" w:rsidR="00BA7EAB" w:rsidRPr="00B51F6A" w:rsidRDefault="00BA7EAB" w:rsidP="00FF1D46">
            <w:pPr>
              <w:spacing w:line="480" w:lineRule="auto"/>
              <w:jc w:val="center"/>
              <w:rPr>
                <w:rFonts w:asciiTheme="minorHAnsi" w:hAnsiTheme="minorHAnsi" w:cstheme="minorHAnsi"/>
                <w:bCs w:val="0"/>
                <w:i/>
                <w:iCs/>
                <w:sz w:val="22"/>
                <w:szCs w:val="22"/>
              </w:rPr>
            </w:pPr>
            <w:r w:rsidRPr="00B51F6A">
              <w:rPr>
                <w:rFonts w:asciiTheme="minorHAnsi" w:hAnsiTheme="minorHAnsi" w:cstheme="minorHAnsi"/>
                <w:bCs w:val="0"/>
                <w:i/>
                <w:iCs/>
                <w:sz w:val="22"/>
                <w:szCs w:val="22"/>
              </w:rPr>
              <w:t>BG-D*</w:t>
            </w:r>
          </w:p>
        </w:tc>
        <w:tc>
          <w:tcPr>
            <w:tcW w:w="390" w:type="pct"/>
            <w:noWrap/>
            <w:hideMark/>
          </w:tcPr>
          <w:p w14:paraId="7E27FFDF" w14:textId="77777777" w:rsidR="00BA7EAB" w:rsidRPr="00F443A7" w:rsidRDefault="00BA7EAB" w:rsidP="00FF1D46">
            <w:pPr>
              <w:spacing w:line="48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22"/>
                <w:szCs w:val="22"/>
              </w:rPr>
            </w:pPr>
            <w:r w:rsidRPr="00F443A7">
              <w:rPr>
                <w:rFonts w:asciiTheme="minorHAnsi" w:hAnsiTheme="minorHAnsi" w:cstheme="minorHAnsi"/>
                <w:i/>
                <w:iCs/>
                <w:color w:val="010205"/>
                <w:sz w:val="22"/>
                <w:szCs w:val="22"/>
              </w:rPr>
              <w:t>10.3</w:t>
            </w:r>
          </w:p>
        </w:tc>
        <w:tc>
          <w:tcPr>
            <w:tcW w:w="779" w:type="pct"/>
            <w:noWrap/>
            <w:hideMark/>
          </w:tcPr>
          <w:p w14:paraId="5F900BD1" w14:textId="77777777" w:rsidR="00BA7EAB" w:rsidRPr="00F443A7" w:rsidRDefault="00BA7EAB" w:rsidP="00FF1D46">
            <w:pPr>
              <w:spacing w:line="48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22"/>
                <w:szCs w:val="22"/>
              </w:rPr>
            </w:pPr>
            <w:r w:rsidRPr="00F443A7">
              <w:rPr>
                <w:rFonts w:asciiTheme="minorHAnsi" w:hAnsiTheme="minorHAnsi" w:cstheme="minorHAnsi"/>
                <w:i/>
                <w:iCs/>
                <w:color w:val="010205"/>
                <w:sz w:val="22"/>
                <w:szCs w:val="22"/>
              </w:rPr>
              <w:t>8.1-12.6</w:t>
            </w:r>
          </w:p>
        </w:tc>
        <w:tc>
          <w:tcPr>
            <w:tcW w:w="390" w:type="pct"/>
            <w:noWrap/>
            <w:hideMark/>
          </w:tcPr>
          <w:p w14:paraId="342229DE" w14:textId="77777777" w:rsidR="00BA7EAB" w:rsidRPr="00F443A7" w:rsidRDefault="00BA7EAB" w:rsidP="00FF1D46">
            <w:pPr>
              <w:spacing w:line="48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22"/>
                <w:szCs w:val="22"/>
              </w:rPr>
            </w:pPr>
            <w:r w:rsidRPr="00F443A7">
              <w:rPr>
                <w:rFonts w:asciiTheme="minorHAnsi" w:hAnsiTheme="minorHAnsi" w:cstheme="minorHAnsi"/>
                <w:i/>
                <w:iCs/>
                <w:color w:val="010205"/>
                <w:sz w:val="22"/>
                <w:szCs w:val="22"/>
              </w:rPr>
              <w:t>9.4</w:t>
            </w:r>
          </w:p>
        </w:tc>
        <w:tc>
          <w:tcPr>
            <w:tcW w:w="781" w:type="pct"/>
            <w:noWrap/>
            <w:hideMark/>
          </w:tcPr>
          <w:p w14:paraId="1DACF46E" w14:textId="77777777" w:rsidR="00BA7EAB" w:rsidRPr="00F443A7" w:rsidRDefault="00BA7EAB" w:rsidP="00FF1D46">
            <w:pPr>
              <w:spacing w:line="48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22"/>
                <w:szCs w:val="22"/>
              </w:rPr>
            </w:pPr>
            <w:r w:rsidRPr="00F443A7">
              <w:rPr>
                <w:rFonts w:asciiTheme="minorHAnsi" w:hAnsiTheme="minorHAnsi" w:cstheme="minorHAnsi"/>
                <w:i/>
                <w:iCs/>
                <w:color w:val="010205"/>
                <w:sz w:val="22"/>
                <w:szCs w:val="22"/>
              </w:rPr>
              <w:t>7.1-11.7</w:t>
            </w:r>
          </w:p>
        </w:tc>
        <w:tc>
          <w:tcPr>
            <w:tcW w:w="391" w:type="pct"/>
            <w:noWrap/>
            <w:hideMark/>
          </w:tcPr>
          <w:p w14:paraId="0F29DE14" w14:textId="77777777" w:rsidR="00BA7EAB" w:rsidRPr="00F443A7" w:rsidRDefault="00BA7EAB" w:rsidP="00FF1D46">
            <w:pPr>
              <w:spacing w:line="48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22"/>
                <w:szCs w:val="22"/>
              </w:rPr>
            </w:pPr>
            <w:r w:rsidRPr="00F443A7">
              <w:rPr>
                <w:rFonts w:asciiTheme="minorHAnsi" w:hAnsiTheme="minorHAnsi" w:cstheme="minorHAnsi"/>
                <w:i/>
                <w:iCs/>
                <w:color w:val="010205"/>
                <w:sz w:val="22"/>
                <w:szCs w:val="22"/>
              </w:rPr>
              <w:t>10.3</w:t>
            </w:r>
          </w:p>
        </w:tc>
        <w:tc>
          <w:tcPr>
            <w:tcW w:w="781" w:type="pct"/>
            <w:noWrap/>
            <w:hideMark/>
          </w:tcPr>
          <w:p w14:paraId="54396EFF" w14:textId="77777777" w:rsidR="00BA7EAB" w:rsidRPr="00F443A7" w:rsidRDefault="00BA7EAB" w:rsidP="00FF1D46">
            <w:pPr>
              <w:spacing w:line="48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22"/>
                <w:szCs w:val="22"/>
              </w:rPr>
            </w:pPr>
            <w:r w:rsidRPr="00F443A7">
              <w:rPr>
                <w:rFonts w:asciiTheme="minorHAnsi" w:hAnsiTheme="minorHAnsi" w:cstheme="minorHAnsi"/>
                <w:i/>
                <w:iCs/>
                <w:color w:val="010205"/>
                <w:sz w:val="22"/>
                <w:szCs w:val="22"/>
              </w:rPr>
              <w:t>8.2-12.4</w:t>
            </w:r>
          </w:p>
        </w:tc>
        <w:tc>
          <w:tcPr>
            <w:tcW w:w="391" w:type="pct"/>
            <w:noWrap/>
            <w:hideMark/>
          </w:tcPr>
          <w:p w14:paraId="3A63FC49" w14:textId="77777777" w:rsidR="00BA7EAB" w:rsidRPr="00F443A7" w:rsidRDefault="00BA7EAB" w:rsidP="00FF1D46">
            <w:pPr>
              <w:spacing w:line="48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22"/>
                <w:szCs w:val="22"/>
              </w:rPr>
            </w:pPr>
            <w:r>
              <w:rPr>
                <w:rFonts w:asciiTheme="minorHAnsi" w:hAnsiTheme="minorHAnsi" w:cstheme="minorHAnsi"/>
                <w:i/>
                <w:iCs/>
                <w:sz w:val="22"/>
                <w:szCs w:val="22"/>
              </w:rPr>
              <w:t>.</w:t>
            </w:r>
          </w:p>
        </w:tc>
        <w:tc>
          <w:tcPr>
            <w:tcW w:w="780" w:type="pct"/>
            <w:noWrap/>
            <w:hideMark/>
          </w:tcPr>
          <w:p w14:paraId="28D25995" w14:textId="77777777" w:rsidR="00BA7EAB" w:rsidRPr="00F443A7" w:rsidRDefault="00BA7EAB" w:rsidP="00FF1D46">
            <w:pPr>
              <w:spacing w:line="48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22"/>
                <w:szCs w:val="22"/>
              </w:rPr>
            </w:pPr>
            <w:r>
              <w:rPr>
                <w:rFonts w:asciiTheme="minorHAnsi" w:hAnsiTheme="minorHAnsi" w:cstheme="minorHAnsi"/>
                <w:i/>
                <w:iCs/>
                <w:sz w:val="22"/>
                <w:szCs w:val="22"/>
              </w:rPr>
              <w:t>.</w:t>
            </w:r>
          </w:p>
        </w:tc>
      </w:tr>
    </w:tbl>
    <w:p w14:paraId="0166441F" w14:textId="77777777" w:rsidR="00BA7EAB" w:rsidRPr="00BA7EAB" w:rsidRDefault="00BA7EAB" w:rsidP="00BA7EAB">
      <w:pPr>
        <w:pBdr>
          <w:top w:val="nil"/>
          <w:left w:val="nil"/>
          <w:bottom w:val="nil"/>
          <w:right w:val="nil"/>
          <w:between w:val="nil"/>
        </w:pBdr>
        <w:spacing w:line="360" w:lineRule="auto"/>
        <w:rPr>
          <w:rStyle w:val="SubtleEmphasis"/>
        </w:rPr>
      </w:pPr>
      <w:r w:rsidRPr="00BA7EAB">
        <w:rPr>
          <w:rStyle w:val="SubtleEmphasis"/>
        </w:rPr>
        <w:t>P=pulse, BP-S= systolic BP in mmHg, BP-D=diastolic in mmHg, BG-A=blood glucose on arrival, BG-D= BG on departure.  *There were 15- P-DPN, 19-DPN, 9-DM-NN who recorded BG on departure.  No significant differences for any of the parameters between the groups</w:t>
      </w:r>
    </w:p>
    <w:p w14:paraId="5F12DADD" w14:textId="77777777" w:rsidR="006416A2" w:rsidRDefault="006416A2" w:rsidP="00BA7EAB">
      <w:pPr>
        <w:pStyle w:val="Heading4"/>
      </w:pPr>
      <w:r>
        <w:lastRenderedPageBreak/>
        <w:t>Baseline Characteristics Pain Perception</w:t>
      </w:r>
    </w:p>
    <w:p w14:paraId="716342FF" w14:textId="77777777" w:rsidR="006416A2" w:rsidRDefault="006416A2" w:rsidP="006416A2">
      <w:pPr>
        <w:spacing w:line="360" w:lineRule="auto"/>
        <w:rPr>
          <w:rFonts w:cs="Arial"/>
        </w:rPr>
      </w:pPr>
      <w:r>
        <w:rPr>
          <w:rFonts w:cs="Arial"/>
        </w:rPr>
        <w:t>Pain perception (Likert scale ) was measured on the day immediately before the scan. The results are recorded in table 5.2.</w:t>
      </w:r>
    </w:p>
    <w:p w14:paraId="080E345D" w14:textId="0D49419B" w:rsidR="006416A2" w:rsidRDefault="006416A2" w:rsidP="006416A2">
      <w:pPr>
        <w:spacing w:line="360" w:lineRule="auto"/>
        <w:rPr>
          <w:rFonts w:cs="Arial"/>
        </w:rPr>
      </w:pPr>
      <w:r>
        <w:rPr>
          <w:rFonts w:cs="Arial"/>
        </w:rPr>
        <w:t xml:space="preserve">There was no difference between the temperatures of the thermal stimuli delivered during the experiment (p=.305) (Table 5.2). </w:t>
      </w:r>
      <w:r w:rsidRPr="00BB75E6">
        <w:rPr>
          <w:rFonts w:cs="Arial"/>
        </w:rPr>
        <w:t xml:space="preserve">There was no </w:t>
      </w:r>
      <w:r>
        <w:rPr>
          <w:rFonts w:cs="Arial"/>
        </w:rPr>
        <w:t xml:space="preserve">significant </w:t>
      </w:r>
      <w:r w:rsidRPr="00BB75E6">
        <w:rPr>
          <w:rFonts w:cs="Arial"/>
        </w:rPr>
        <w:t>difference between the groups for the Likert scale</w:t>
      </w:r>
      <w:r>
        <w:rPr>
          <w:rFonts w:cs="Arial"/>
        </w:rPr>
        <w:t xml:space="preserve"> rating of the thermal discomfort (LIKERT)</w:t>
      </w:r>
      <w:r w:rsidRPr="00BB75E6">
        <w:rPr>
          <w:rFonts w:cs="Arial"/>
        </w:rPr>
        <w:t xml:space="preserve"> between the groups</w:t>
      </w:r>
      <w:r>
        <w:rPr>
          <w:rFonts w:cs="Arial"/>
        </w:rPr>
        <w:t xml:space="preserve"> during the experimental scan</w:t>
      </w:r>
      <w:r w:rsidRPr="00BB75E6">
        <w:rPr>
          <w:rFonts w:cs="Arial"/>
        </w:rPr>
        <w:t xml:space="preserve">.  </w:t>
      </w:r>
      <w:r w:rsidRPr="00037DC7">
        <w:rPr>
          <w:rFonts w:cs="Arial"/>
        </w:rPr>
        <w:t>Therefore, this measure was a valid co</w:t>
      </w:r>
      <w:r>
        <w:rPr>
          <w:rFonts w:cs="Arial"/>
        </w:rPr>
        <w:t xml:space="preserve">variant for the analysis.  The </w:t>
      </w:r>
      <w:r w:rsidR="003E76C3">
        <w:rPr>
          <w:rFonts w:cs="Arial"/>
        </w:rPr>
        <w:t>overall mean</w:t>
      </w:r>
      <w:r w:rsidR="003E76C3" w:rsidRPr="00037DC7">
        <w:rPr>
          <w:rFonts w:cs="Arial"/>
        </w:rPr>
        <w:t xml:space="preserve"> </w:t>
      </w:r>
      <w:r>
        <w:rPr>
          <w:rFonts w:cs="Arial"/>
        </w:rPr>
        <w:t>LIKERT</w:t>
      </w:r>
      <w:r w:rsidRPr="00037DC7">
        <w:rPr>
          <w:rFonts w:cs="Arial"/>
        </w:rPr>
        <w:t xml:space="preserve"> was 7.16 </w:t>
      </w:r>
      <w:r w:rsidR="003E76C3">
        <w:rPr>
          <w:rFonts w:cs="Arial"/>
        </w:rPr>
        <w:t xml:space="preserve">and was </w:t>
      </w:r>
      <w:r w:rsidR="003E76C3" w:rsidRPr="00037DC7">
        <w:rPr>
          <w:rFonts w:cs="Arial"/>
        </w:rPr>
        <w:t xml:space="preserve">set </w:t>
      </w:r>
      <w:r w:rsidRPr="00037DC7">
        <w:rPr>
          <w:rFonts w:cs="Arial"/>
        </w:rPr>
        <w:t xml:space="preserve">as the covariant for all the analyses.  </w:t>
      </w:r>
    </w:p>
    <w:p w14:paraId="23FB93DA" w14:textId="77777777" w:rsidR="006416A2" w:rsidRPr="00037DC7" w:rsidRDefault="006416A2" w:rsidP="006416A2">
      <w:pPr>
        <w:spacing w:line="360" w:lineRule="auto"/>
        <w:rPr>
          <w:rFonts w:cs="Arial"/>
        </w:rPr>
      </w:pPr>
      <w:r>
        <w:rPr>
          <w:rFonts w:cs="Arial"/>
        </w:rPr>
        <w:t xml:space="preserve">There was no significant difference for heat pain threshold (HPT) on the right thigh </w:t>
      </w:r>
      <w:r w:rsidRPr="00B654D3">
        <w:rPr>
          <w:rFonts w:eastAsia="Times New Roman" w:cs="Arial"/>
          <w:color w:val="000000"/>
        </w:rPr>
        <w:t>(</w:t>
      </w:r>
      <w:r w:rsidRPr="00B654D3">
        <w:rPr>
          <w:rFonts w:cs="Arial"/>
        </w:rPr>
        <w:t>p=0.391)</w:t>
      </w:r>
      <w:r>
        <w:rPr>
          <w:rFonts w:cs="Arial"/>
        </w:rPr>
        <w:t xml:space="preserve"> (see Appendix D: Table D.3)</w:t>
      </w:r>
      <w:r w:rsidRPr="00B654D3">
        <w:rPr>
          <w:rFonts w:cs="Arial"/>
        </w:rPr>
        <w:t>.</w:t>
      </w:r>
      <w:r>
        <w:rPr>
          <w:rFonts w:cs="Arial"/>
        </w:rPr>
        <w:t xml:space="preserve">  </w:t>
      </w:r>
    </w:p>
    <w:p w14:paraId="5610D9F9" w14:textId="4BEA9E0B" w:rsidR="006416A2" w:rsidRDefault="006416A2" w:rsidP="00BA7EAB">
      <w:pPr>
        <w:pStyle w:val="Quote"/>
      </w:pPr>
      <w:bookmarkStart w:id="404" w:name="_Toc48469317"/>
      <w:bookmarkStart w:id="405" w:name="_Toc64724086"/>
      <w:r>
        <w:t xml:space="preserve">Table 5.2 Descriptive </w:t>
      </w:r>
      <w:r w:rsidR="008B6FF0">
        <w:t>S</w:t>
      </w:r>
      <w:r>
        <w:t xml:space="preserve">tatistics for </w:t>
      </w:r>
      <w:r w:rsidR="008B6FF0">
        <w:t>T</w:t>
      </w:r>
      <w:r>
        <w:t xml:space="preserve">hermal </w:t>
      </w:r>
      <w:r w:rsidR="008B6FF0">
        <w:t>T</w:t>
      </w:r>
      <w:r>
        <w:t xml:space="preserve">hresholds and </w:t>
      </w:r>
      <w:r w:rsidR="008B6FF0">
        <w:t>P</w:t>
      </w:r>
      <w:r>
        <w:t xml:space="preserve">ain </w:t>
      </w:r>
      <w:r w:rsidR="008B6FF0">
        <w:t>P</w:t>
      </w:r>
      <w:r>
        <w:t xml:space="preserve">erception by </w:t>
      </w:r>
      <w:r w:rsidR="008B6FF0">
        <w:t>G</w:t>
      </w:r>
      <w:r>
        <w:t>roup.</w:t>
      </w:r>
      <w:bookmarkEnd w:id="404"/>
      <w:bookmarkEnd w:id="405"/>
    </w:p>
    <w:tbl>
      <w:tblPr>
        <w:tblStyle w:val="GridTable2-Accent21"/>
        <w:tblW w:w="9493" w:type="dxa"/>
        <w:tblLayout w:type="fixed"/>
        <w:tblLook w:val="0420" w:firstRow="1" w:lastRow="0" w:firstColumn="0" w:lastColumn="0" w:noHBand="0" w:noVBand="1"/>
      </w:tblPr>
      <w:tblGrid>
        <w:gridCol w:w="1999"/>
        <w:gridCol w:w="1983"/>
        <w:gridCol w:w="992"/>
        <w:gridCol w:w="1170"/>
        <w:gridCol w:w="1134"/>
        <w:gridCol w:w="1276"/>
        <w:gridCol w:w="939"/>
      </w:tblGrid>
      <w:tr w:rsidR="006416A2" w:rsidRPr="008B6FF0" w14:paraId="4EACC759" w14:textId="77777777" w:rsidTr="00FF1D46">
        <w:trPr>
          <w:cnfStyle w:val="100000000000" w:firstRow="1" w:lastRow="0" w:firstColumn="0" w:lastColumn="0" w:oddVBand="0" w:evenVBand="0" w:oddHBand="0" w:evenHBand="0" w:firstRowFirstColumn="0" w:firstRowLastColumn="0" w:lastRowFirstColumn="0" w:lastRowLastColumn="0"/>
          <w:trHeight w:val="360"/>
        </w:trPr>
        <w:tc>
          <w:tcPr>
            <w:tcW w:w="1999" w:type="dxa"/>
            <w:tcBorders>
              <w:top w:val="single" w:sz="4" w:space="0" w:color="auto"/>
              <w:left w:val="single" w:sz="4" w:space="0" w:color="auto"/>
            </w:tcBorders>
          </w:tcPr>
          <w:p w14:paraId="5F870763" w14:textId="77777777" w:rsidR="006416A2" w:rsidRPr="008B6FF0" w:rsidRDefault="006416A2" w:rsidP="00FF1D46">
            <w:pPr>
              <w:rPr>
                <w:rFonts w:asciiTheme="minorHAnsi" w:eastAsia="Times New Roman" w:hAnsiTheme="minorHAnsi" w:cstheme="minorHAnsi"/>
                <w:i/>
                <w:iCs/>
                <w:color w:val="000000"/>
                <w:sz w:val="22"/>
                <w:szCs w:val="22"/>
              </w:rPr>
            </w:pPr>
            <w:r w:rsidRPr="008B6FF0">
              <w:rPr>
                <w:rFonts w:asciiTheme="minorHAnsi" w:eastAsia="Times New Roman" w:hAnsiTheme="minorHAnsi" w:cstheme="minorHAnsi"/>
                <w:i/>
                <w:iCs/>
                <w:color w:val="000000"/>
                <w:sz w:val="22"/>
                <w:szCs w:val="22"/>
              </w:rPr>
              <w:t> </w:t>
            </w:r>
          </w:p>
        </w:tc>
        <w:tc>
          <w:tcPr>
            <w:tcW w:w="2975" w:type="dxa"/>
            <w:gridSpan w:val="2"/>
            <w:tcBorders>
              <w:top w:val="single" w:sz="4" w:space="0" w:color="auto"/>
            </w:tcBorders>
          </w:tcPr>
          <w:p w14:paraId="5A334A50" w14:textId="77777777" w:rsidR="006416A2" w:rsidRPr="008B6FF0" w:rsidRDefault="006416A2" w:rsidP="00FF1D46">
            <w:pPr>
              <w:rPr>
                <w:rFonts w:asciiTheme="minorHAnsi" w:eastAsia="Times New Roman" w:hAnsiTheme="minorHAnsi" w:cstheme="minorHAnsi"/>
                <w:i/>
                <w:iCs/>
                <w:color w:val="000000"/>
                <w:sz w:val="22"/>
                <w:szCs w:val="22"/>
              </w:rPr>
            </w:pPr>
          </w:p>
        </w:tc>
        <w:tc>
          <w:tcPr>
            <w:tcW w:w="1170" w:type="dxa"/>
            <w:tcBorders>
              <w:top w:val="single" w:sz="4" w:space="0" w:color="auto"/>
            </w:tcBorders>
          </w:tcPr>
          <w:p w14:paraId="7CB6C7BC" w14:textId="77777777" w:rsidR="006416A2" w:rsidRPr="008B6FF0" w:rsidRDefault="006416A2" w:rsidP="00FF1D46">
            <w:pPr>
              <w:jc w:val="right"/>
              <w:rPr>
                <w:rFonts w:asciiTheme="minorHAnsi" w:eastAsia="Times New Roman" w:hAnsiTheme="minorHAnsi" w:cstheme="minorHAnsi"/>
                <w:i/>
                <w:iCs/>
                <w:color w:val="000000"/>
                <w:sz w:val="22"/>
                <w:szCs w:val="22"/>
              </w:rPr>
            </w:pPr>
            <w:r w:rsidRPr="008B6FF0">
              <w:rPr>
                <w:rFonts w:asciiTheme="minorHAnsi" w:eastAsia="Times New Roman" w:hAnsiTheme="minorHAnsi" w:cstheme="minorHAnsi"/>
                <w:i/>
                <w:iCs/>
                <w:color w:val="000000"/>
                <w:sz w:val="22"/>
                <w:szCs w:val="22"/>
              </w:rPr>
              <w:t>P-DPN</w:t>
            </w:r>
          </w:p>
        </w:tc>
        <w:tc>
          <w:tcPr>
            <w:tcW w:w="1134" w:type="dxa"/>
            <w:tcBorders>
              <w:top w:val="single" w:sz="4" w:space="0" w:color="auto"/>
            </w:tcBorders>
          </w:tcPr>
          <w:p w14:paraId="0B196DFD" w14:textId="77777777" w:rsidR="006416A2" w:rsidRPr="008B6FF0" w:rsidRDefault="006416A2" w:rsidP="00FF1D46">
            <w:pPr>
              <w:jc w:val="right"/>
              <w:rPr>
                <w:rFonts w:asciiTheme="minorHAnsi" w:eastAsia="Times New Roman" w:hAnsiTheme="minorHAnsi" w:cstheme="minorHAnsi"/>
                <w:i/>
                <w:iCs/>
                <w:color w:val="000000"/>
                <w:sz w:val="22"/>
                <w:szCs w:val="22"/>
              </w:rPr>
            </w:pPr>
            <w:r w:rsidRPr="008B6FF0">
              <w:rPr>
                <w:rFonts w:asciiTheme="minorHAnsi" w:eastAsia="Arial" w:hAnsiTheme="minorHAnsi" w:cstheme="minorHAnsi"/>
                <w:i/>
                <w:iCs/>
                <w:color w:val="000000"/>
                <w:sz w:val="22"/>
                <w:szCs w:val="22"/>
              </w:rPr>
              <w:t>DPN</w:t>
            </w:r>
          </w:p>
        </w:tc>
        <w:tc>
          <w:tcPr>
            <w:tcW w:w="1276" w:type="dxa"/>
            <w:tcBorders>
              <w:top w:val="single" w:sz="4" w:space="0" w:color="auto"/>
            </w:tcBorders>
          </w:tcPr>
          <w:p w14:paraId="699D2B98" w14:textId="77777777" w:rsidR="006416A2" w:rsidRPr="008B6FF0" w:rsidRDefault="006416A2" w:rsidP="00FF1D46">
            <w:pPr>
              <w:jc w:val="center"/>
              <w:rPr>
                <w:rFonts w:asciiTheme="minorHAnsi" w:eastAsia="Times New Roman" w:hAnsiTheme="minorHAnsi" w:cstheme="minorHAnsi"/>
                <w:i/>
                <w:iCs/>
                <w:color w:val="000000"/>
                <w:sz w:val="22"/>
                <w:szCs w:val="22"/>
              </w:rPr>
            </w:pPr>
            <w:r w:rsidRPr="008B6FF0">
              <w:rPr>
                <w:rFonts w:asciiTheme="minorHAnsi" w:eastAsia="Arial" w:hAnsiTheme="minorHAnsi" w:cstheme="minorHAnsi"/>
                <w:i/>
                <w:iCs/>
                <w:color w:val="000000"/>
                <w:sz w:val="22"/>
                <w:szCs w:val="22"/>
              </w:rPr>
              <w:t>DM-NN</w:t>
            </w:r>
          </w:p>
        </w:tc>
        <w:tc>
          <w:tcPr>
            <w:tcW w:w="939" w:type="dxa"/>
            <w:tcBorders>
              <w:top w:val="single" w:sz="4" w:space="0" w:color="auto"/>
              <w:right w:val="single" w:sz="4" w:space="0" w:color="auto"/>
            </w:tcBorders>
          </w:tcPr>
          <w:p w14:paraId="4D9E5842" w14:textId="77777777" w:rsidR="006416A2" w:rsidRPr="008B6FF0" w:rsidRDefault="006416A2" w:rsidP="00FF1D46">
            <w:pPr>
              <w:jc w:val="right"/>
              <w:rPr>
                <w:rFonts w:asciiTheme="minorHAnsi" w:eastAsia="Times New Roman" w:hAnsiTheme="minorHAnsi" w:cstheme="minorHAnsi"/>
                <w:i/>
                <w:iCs/>
                <w:color w:val="000000"/>
                <w:sz w:val="22"/>
                <w:szCs w:val="22"/>
              </w:rPr>
            </w:pPr>
            <w:r w:rsidRPr="008B6FF0">
              <w:rPr>
                <w:rFonts w:asciiTheme="minorHAnsi" w:eastAsia="Times New Roman" w:hAnsiTheme="minorHAnsi" w:cstheme="minorHAnsi"/>
                <w:i/>
                <w:iCs/>
                <w:color w:val="000000"/>
                <w:sz w:val="22"/>
                <w:szCs w:val="22"/>
              </w:rPr>
              <w:t>HV </w:t>
            </w:r>
          </w:p>
        </w:tc>
      </w:tr>
      <w:tr w:rsidR="006416A2" w:rsidRPr="008B6FF0" w14:paraId="06511073" w14:textId="77777777" w:rsidTr="00FF1D46">
        <w:trPr>
          <w:cnfStyle w:val="000000100000" w:firstRow="0" w:lastRow="0" w:firstColumn="0" w:lastColumn="0" w:oddVBand="0" w:evenVBand="0" w:oddHBand="1" w:evenHBand="0" w:firstRowFirstColumn="0" w:firstRowLastColumn="0" w:lastRowFirstColumn="0" w:lastRowLastColumn="0"/>
          <w:trHeight w:val="360"/>
        </w:trPr>
        <w:tc>
          <w:tcPr>
            <w:tcW w:w="1999" w:type="dxa"/>
            <w:vMerge w:val="restart"/>
            <w:tcBorders>
              <w:left w:val="single" w:sz="4" w:space="0" w:color="auto"/>
            </w:tcBorders>
          </w:tcPr>
          <w:p w14:paraId="55688656" w14:textId="77777777" w:rsidR="006416A2" w:rsidRPr="008B6FF0" w:rsidRDefault="006416A2" w:rsidP="00FF1D46">
            <w:pPr>
              <w:rPr>
                <w:rFonts w:asciiTheme="minorHAnsi" w:eastAsia="Times New Roman" w:hAnsiTheme="minorHAnsi" w:cstheme="minorHAnsi"/>
                <w:i/>
                <w:iCs/>
                <w:color w:val="000000"/>
                <w:sz w:val="22"/>
                <w:szCs w:val="22"/>
              </w:rPr>
            </w:pPr>
            <w:r w:rsidRPr="008B6FF0">
              <w:rPr>
                <w:rFonts w:asciiTheme="minorHAnsi" w:eastAsia="Times New Roman" w:hAnsiTheme="minorHAnsi" w:cstheme="minorHAnsi"/>
                <w:i/>
                <w:iCs/>
                <w:color w:val="000000"/>
                <w:sz w:val="22"/>
                <w:szCs w:val="22"/>
              </w:rPr>
              <w:t>Scan thermal temperature (</w:t>
            </w:r>
            <w:r w:rsidRPr="008B6FF0">
              <w:rPr>
                <w:rFonts w:asciiTheme="minorHAnsi" w:eastAsia="Times New Roman" w:hAnsiTheme="minorHAnsi" w:cstheme="minorHAnsi"/>
                <w:i/>
                <w:iCs/>
                <w:color w:val="000000"/>
                <w:sz w:val="22"/>
                <w:szCs w:val="22"/>
              </w:rPr>
              <w:sym w:font="Symbol" w:char="F0B0"/>
            </w:r>
            <w:r w:rsidRPr="008B6FF0">
              <w:rPr>
                <w:rFonts w:asciiTheme="minorHAnsi" w:eastAsia="Times New Roman" w:hAnsiTheme="minorHAnsi" w:cstheme="minorHAnsi"/>
                <w:i/>
                <w:iCs/>
                <w:color w:val="000000"/>
                <w:sz w:val="22"/>
                <w:szCs w:val="22"/>
              </w:rPr>
              <w:t>C)</w:t>
            </w:r>
          </w:p>
        </w:tc>
        <w:tc>
          <w:tcPr>
            <w:tcW w:w="2975" w:type="dxa"/>
            <w:gridSpan w:val="2"/>
            <w:shd w:val="clear" w:color="auto" w:fill="FFFFFF" w:themeFill="background1"/>
          </w:tcPr>
          <w:p w14:paraId="25F66563" w14:textId="77777777" w:rsidR="006416A2" w:rsidRPr="008B6FF0" w:rsidRDefault="006416A2" w:rsidP="00FF1D46">
            <w:pPr>
              <w:rPr>
                <w:rFonts w:asciiTheme="minorHAnsi" w:eastAsia="Times New Roman" w:hAnsiTheme="minorHAnsi" w:cstheme="minorHAnsi"/>
                <w:i/>
                <w:iCs/>
                <w:color w:val="000000"/>
                <w:sz w:val="22"/>
                <w:szCs w:val="22"/>
              </w:rPr>
            </w:pPr>
            <w:r w:rsidRPr="008B6FF0">
              <w:rPr>
                <w:rFonts w:asciiTheme="minorHAnsi" w:eastAsia="Times New Roman" w:hAnsiTheme="minorHAnsi" w:cstheme="minorHAnsi"/>
                <w:i/>
                <w:iCs/>
                <w:color w:val="000000"/>
                <w:sz w:val="22"/>
                <w:szCs w:val="22"/>
              </w:rPr>
              <w:t>N</w:t>
            </w:r>
          </w:p>
        </w:tc>
        <w:tc>
          <w:tcPr>
            <w:tcW w:w="1170" w:type="dxa"/>
            <w:shd w:val="clear" w:color="auto" w:fill="FFFFFF" w:themeFill="background1"/>
          </w:tcPr>
          <w:p w14:paraId="789C6020" w14:textId="77777777" w:rsidR="006416A2" w:rsidRPr="008B6FF0" w:rsidRDefault="006416A2" w:rsidP="00FF1D46">
            <w:pPr>
              <w:jc w:val="right"/>
              <w:rPr>
                <w:rFonts w:asciiTheme="minorHAnsi" w:eastAsia="Times New Roman" w:hAnsiTheme="minorHAnsi" w:cstheme="minorHAnsi"/>
                <w:i/>
                <w:iCs/>
                <w:color w:val="000000"/>
                <w:sz w:val="22"/>
                <w:szCs w:val="22"/>
              </w:rPr>
            </w:pPr>
            <w:r w:rsidRPr="008B6FF0">
              <w:rPr>
                <w:rFonts w:asciiTheme="minorHAnsi" w:eastAsia="Times New Roman" w:hAnsiTheme="minorHAnsi" w:cstheme="minorHAnsi"/>
                <w:i/>
                <w:iCs/>
                <w:color w:val="000000"/>
                <w:sz w:val="22"/>
                <w:szCs w:val="22"/>
              </w:rPr>
              <w:t>19</w:t>
            </w:r>
          </w:p>
        </w:tc>
        <w:tc>
          <w:tcPr>
            <w:tcW w:w="1134" w:type="dxa"/>
            <w:shd w:val="clear" w:color="auto" w:fill="FFFFFF" w:themeFill="background1"/>
          </w:tcPr>
          <w:p w14:paraId="2220B1AD" w14:textId="77777777" w:rsidR="006416A2" w:rsidRPr="008B6FF0" w:rsidRDefault="006416A2" w:rsidP="00FF1D46">
            <w:pPr>
              <w:jc w:val="right"/>
              <w:rPr>
                <w:rFonts w:asciiTheme="minorHAnsi" w:eastAsia="Times New Roman" w:hAnsiTheme="minorHAnsi" w:cstheme="minorHAnsi"/>
                <w:i/>
                <w:iCs/>
                <w:color w:val="000000"/>
                <w:sz w:val="22"/>
                <w:szCs w:val="22"/>
              </w:rPr>
            </w:pPr>
            <w:r w:rsidRPr="008B6FF0">
              <w:rPr>
                <w:rFonts w:asciiTheme="minorHAnsi" w:eastAsia="Times New Roman" w:hAnsiTheme="minorHAnsi" w:cstheme="minorHAnsi"/>
                <w:i/>
                <w:iCs/>
                <w:color w:val="000000"/>
                <w:sz w:val="22"/>
                <w:szCs w:val="22"/>
              </w:rPr>
              <w:t>23</w:t>
            </w:r>
          </w:p>
        </w:tc>
        <w:tc>
          <w:tcPr>
            <w:tcW w:w="1276" w:type="dxa"/>
            <w:shd w:val="clear" w:color="auto" w:fill="FFFFFF" w:themeFill="background1"/>
          </w:tcPr>
          <w:p w14:paraId="5B4CEBAC" w14:textId="77777777" w:rsidR="006416A2" w:rsidRPr="008B6FF0" w:rsidRDefault="006416A2" w:rsidP="00FF1D46">
            <w:pPr>
              <w:jc w:val="center"/>
              <w:rPr>
                <w:rFonts w:asciiTheme="minorHAnsi" w:eastAsia="Times New Roman" w:hAnsiTheme="minorHAnsi" w:cstheme="minorHAnsi"/>
                <w:i/>
                <w:iCs/>
                <w:color w:val="000000"/>
                <w:sz w:val="22"/>
                <w:szCs w:val="22"/>
              </w:rPr>
            </w:pPr>
            <w:r w:rsidRPr="008B6FF0">
              <w:rPr>
                <w:rFonts w:asciiTheme="minorHAnsi" w:eastAsia="Times New Roman" w:hAnsiTheme="minorHAnsi" w:cstheme="minorHAnsi"/>
                <w:i/>
                <w:iCs/>
                <w:color w:val="000000"/>
                <w:sz w:val="22"/>
                <w:szCs w:val="22"/>
              </w:rPr>
              <w:t>13</w:t>
            </w:r>
          </w:p>
        </w:tc>
        <w:tc>
          <w:tcPr>
            <w:tcW w:w="939" w:type="dxa"/>
            <w:tcBorders>
              <w:right w:val="single" w:sz="4" w:space="0" w:color="auto"/>
            </w:tcBorders>
            <w:shd w:val="clear" w:color="auto" w:fill="FFFFFF" w:themeFill="background1"/>
          </w:tcPr>
          <w:p w14:paraId="30FA1DAC" w14:textId="77777777" w:rsidR="006416A2" w:rsidRPr="008B6FF0" w:rsidRDefault="006416A2" w:rsidP="00FF1D46">
            <w:pPr>
              <w:jc w:val="right"/>
              <w:rPr>
                <w:rFonts w:asciiTheme="minorHAnsi" w:eastAsia="Times New Roman" w:hAnsiTheme="minorHAnsi" w:cstheme="minorHAnsi"/>
                <w:i/>
                <w:iCs/>
                <w:color w:val="000000"/>
                <w:sz w:val="22"/>
                <w:szCs w:val="22"/>
              </w:rPr>
            </w:pPr>
            <w:r w:rsidRPr="008B6FF0">
              <w:rPr>
                <w:rFonts w:asciiTheme="minorHAnsi" w:eastAsia="Times New Roman" w:hAnsiTheme="minorHAnsi" w:cstheme="minorHAnsi"/>
                <w:i/>
                <w:iCs/>
                <w:color w:val="000000"/>
                <w:sz w:val="22"/>
                <w:szCs w:val="22"/>
              </w:rPr>
              <w:t>13</w:t>
            </w:r>
          </w:p>
        </w:tc>
      </w:tr>
      <w:tr w:rsidR="006416A2" w:rsidRPr="008B6FF0" w14:paraId="0D28A2FD" w14:textId="77777777" w:rsidTr="00FF1D46">
        <w:trPr>
          <w:trHeight w:val="360"/>
        </w:trPr>
        <w:tc>
          <w:tcPr>
            <w:tcW w:w="1999" w:type="dxa"/>
            <w:vMerge/>
            <w:tcBorders>
              <w:left w:val="single" w:sz="4" w:space="0" w:color="auto"/>
            </w:tcBorders>
          </w:tcPr>
          <w:p w14:paraId="6EF0D1C2" w14:textId="77777777" w:rsidR="006416A2" w:rsidRPr="008B6FF0" w:rsidRDefault="006416A2" w:rsidP="00FF1D46">
            <w:pPr>
              <w:widowControl w:val="0"/>
              <w:pBdr>
                <w:top w:val="nil"/>
                <w:left w:val="nil"/>
                <w:bottom w:val="nil"/>
                <w:right w:val="nil"/>
                <w:between w:val="nil"/>
              </w:pBdr>
              <w:spacing w:line="276" w:lineRule="auto"/>
              <w:rPr>
                <w:rFonts w:asciiTheme="minorHAnsi" w:eastAsia="Times New Roman" w:hAnsiTheme="minorHAnsi" w:cstheme="minorHAnsi"/>
                <w:i/>
                <w:iCs/>
                <w:color w:val="000000"/>
                <w:sz w:val="22"/>
                <w:szCs w:val="22"/>
              </w:rPr>
            </w:pPr>
          </w:p>
        </w:tc>
        <w:tc>
          <w:tcPr>
            <w:tcW w:w="2975" w:type="dxa"/>
            <w:gridSpan w:val="2"/>
            <w:shd w:val="clear" w:color="auto" w:fill="FBE4D5" w:themeFill="accent2" w:themeFillTint="33"/>
          </w:tcPr>
          <w:p w14:paraId="27ABF258" w14:textId="77777777" w:rsidR="006416A2" w:rsidRPr="008B6FF0" w:rsidRDefault="006416A2" w:rsidP="00FF1D46">
            <w:pPr>
              <w:rPr>
                <w:rFonts w:asciiTheme="minorHAnsi" w:eastAsia="Times New Roman" w:hAnsiTheme="minorHAnsi" w:cstheme="minorHAnsi"/>
                <w:i/>
                <w:iCs/>
                <w:color w:val="000000"/>
                <w:sz w:val="22"/>
                <w:szCs w:val="22"/>
              </w:rPr>
            </w:pPr>
            <w:r w:rsidRPr="008B6FF0">
              <w:rPr>
                <w:rFonts w:asciiTheme="minorHAnsi" w:eastAsia="Times New Roman" w:hAnsiTheme="minorHAnsi" w:cstheme="minorHAnsi"/>
                <w:i/>
                <w:iCs/>
                <w:color w:val="000000"/>
                <w:sz w:val="22"/>
                <w:szCs w:val="22"/>
              </w:rPr>
              <w:t>Mean</w:t>
            </w:r>
          </w:p>
        </w:tc>
        <w:tc>
          <w:tcPr>
            <w:tcW w:w="1170" w:type="dxa"/>
            <w:shd w:val="clear" w:color="auto" w:fill="FBE4D5" w:themeFill="accent2" w:themeFillTint="33"/>
          </w:tcPr>
          <w:p w14:paraId="0A7CDEFB" w14:textId="77777777" w:rsidR="006416A2" w:rsidRPr="008B6FF0" w:rsidRDefault="006416A2" w:rsidP="00FF1D46">
            <w:pPr>
              <w:jc w:val="right"/>
              <w:rPr>
                <w:rFonts w:asciiTheme="minorHAnsi" w:eastAsia="Times New Roman" w:hAnsiTheme="minorHAnsi" w:cstheme="minorHAnsi"/>
                <w:i/>
                <w:iCs/>
                <w:color w:val="000000"/>
                <w:sz w:val="22"/>
                <w:szCs w:val="22"/>
              </w:rPr>
            </w:pPr>
            <w:r w:rsidRPr="008B6FF0">
              <w:rPr>
                <w:rFonts w:asciiTheme="minorHAnsi" w:eastAsia="Times New Roman" w:hAnsiTheme="minorHAnsi" w:cstheme="minorHAnsi"/>
                <w:i/>
                <w:iCs/>
                <w:color w:val="000000"/>
                <w:sz w:val="22"/>
                <w:szCs w:val="22"/>
              </w:rPr>
              <w:t>45.76</w:t>
            </w:r>
          </w:p>
        </w:tc>
        <w:tc>
          <w:tcPr>
            <w:tcW w:w="1134" w:type="dxa"/>
            <w:shd w:val="clear" w:color="auto" w:fill="FBE4D5" w:themeFill="accent2" w:themeFillTint="33"/>
          </w:tcPr>
          <w:p w14:paraId="738301D2" w14:textId="77777777" w:rsidR="006416A2" w:rsidRPr="008B6FF0" w:rsidRDefault="006416A2" w:rsidP="00FF1D46">
            <w:pPr>
              <w:jc w:val="right"/>
              <w:rPr>
                <w:rFonts w:asciiTheme="minorHAnsi" w:eastAsia="Times New Roman" w:hAnsiTheme="minorHAnsi" w:cstheme="minorHAnsi"/>
                <w:i/>
                <w:iCs/>
                <w:color w:val="000000"/>
                <w:sz w:val="22"/>
                <w:szCs w:val="22"/>
              </w:rPr>
            </w:pPr>
            <w:r w:rsidRPr="008B6FF0">
              <w:rPr>
                <w:rFonts w:asciiTheme="minorHAnsi" w:eastAsia="Times New Roman" w:hAnsiTheme="minorHAnsi" w:cstheme="minorHAnsi"/>
                <w:i/>
                <w:iCs/>
                <w:color w:val="000000"/>
                <w:sz w:val="22"/>
                <w:szCs w:val="22"/>
              </w:rPr>
              <w:t>45.41</w:t>
            </w:r>
          </w:p>
        </w:tc>
        <w:tc>
          <w:tcPr>
            <w:tcW w:w="1276" w:type="dxa"/>
            <w:shd w:val="clear" w:color="auto" w:fill="FBE4D5" w:themeFill="accent2" w:themeFillTint="33"/>
          </w:tcPr>
          <w:p w14:paraId="03E9CFCD" w14:textId="77777777" w:rsidR="006416A2" w:rsidRPr="008B6FF0" w:rsidRDefault="006416A2" w:rsidP="00FF1D46">
            <w:pPr>
              <w:jc w:val="center"/>
              <w:rPr>
                <w:rFonts w:asciiTheme="minorHAnsi" w:eastAsia="Times New Roman" w:hAnsiTheme="minorHAnsi" w:cstheme="minorHAnsi"/>
                <w:i/>
                <w:iCs/>
                <w:color w:val="000000"/>
                <w:sz w:val="22"/>
                <w:szCs w:val="22"/>
              </w:rPr>
            </w:pPr>
            <w:r w:rsidRPr="008B6FF0">
              <w:rPr>
                <w:rFonts w:asciiTheme="minorHAnsi" w:eastAsia="Times New Roman" w:hAnsiTheme="minorHAnsi" w:cstheme="minorHAnsi"/>
                <w:i/>
                <w:iCs/>
                <w:color w:val="000000"/>
                <w:sz w:val="22"/>
                <w:szCs w:val="22"/>
              </w:rPr>
              <w:t>45.50</w:t>
            </w:r>
          </w:p>
        </w:tc>
        <w:tc>
          <w:tcPr>
            <w:tcW w:w="939" w:type="dxa"/>
            <w:tcBorders>
              <w:right w:val="single" w:sz="4" w:space="0" w:color="auto"/>
            </w:tcBorders>
            <w:shd w:val="clear" w:color="auto" w:fill="FBE4D5" w:themeFill="accent2" w:themeFillTint="33"/>
          </w:tcPr>
          <w:p w14:paraId="3BD59E59" w14:textId="77777777" w:rsidR="006416A2" w:rsidRPr="008B6FF0" w:rsidRDefault="006416A2" w:rsidP="00FF1D46">
            <w:pPr>
              <w:jc w:val="right"/>
              <w:rPr>
                <w:rFonts w:asciiTheme="minorHAnsi" w:eastAsia="Times New Roman" w:hAnsiTheme="minorHAnsi" w:cstheme="minorHAnsi"/>
                <w:i/>
                <w:iCs/>
                <w:color w:val="000000"/>
                <w:sz w:val="22"/>
                <w:szCs w:val="22"/>
              </w:rPr>
            </w:pPr>
            <w:r w:rsidRPr="008B6FF0">
              <w:rPr>
                <w:rFonts w:asciiTheme="minorHAnsi" w:eastAsia="Times New Roman" w:hAnsiTheme="minorHAnsi" w:cstheme="minorHAnsi"/>
                <w:i/>
                <w:iCs/>
                <w:color w:val="000000"/>
                <w:sz w:val="22"/>
                <w:szCs w:val="22"/>
              </w:rPr>
              <w:t>46.03</w:t>
            </w:r>
          </w:p>
        </w:tc>
      </w:tr>
      <w:tr w:rsidR="006416A2" w:rsidRPr="008B6FF0" w14:paraId="429FD586" w14:textId="77777777" w:rsidTr="00FF1D46">
        <w:trPr>
          <w:cnfStyle w:val="000000100000" w:firstRow="0" w:lastRow="0" w:firstColumn="0" w:lastColumn="0" w:oddVBand="0" w:evenVBand="0" w:oddHBand="1" w:evenHBand="0" w:firstRowFirstColumn="0" w:firstRowLastColumn="0" w:lastRowFirstColumn="0" w:lastRowLastColumn="0"/>
          <w:trHeight w:val="360"/>
        </w:trPr>
        <w:tc>
          <w:tcPr>
            <w:tcW w:w="1999" w:type="dxa"/>
            <w:vMerge/>
            <w:tcBorders>
              <w:left w:val="single" w:sz="4" w:space="0" w:color="auto"/>
            </w:tcBorders>
          </w:tcPr>
          <w:p w14:paraId="6B01718A" w14:textId="77777777" w:rsidR="006416A2" w:rsidRPr="008B6FF0" w:rsidRDefault="006416A2" w:rsidP="00FF1D46">
            <w:pPr>
              <w:widowControl w:val="0"/>
              <w:pBdr>
                <w:top w:val="nil"/>
                <w:left w:val="nil"/>
                <w:bottom w:val="nil"/>
                <w:right w:val="nil"/>
                <w:between w:val="nil"/>
              </w:pBdr>
              <w:spacing w:line="276" w:lineRule="auto"/>
              <w:rPr>
                <w:rFonts w:asciiTheme="minorHAnsi" w:eastAsia="Times New Roman" w:hAnsiTheme="minorHAnsi" w:cstheme="minorHAnsi"/>
                <w:i/>
                <w:iCs/>
                <w:color w:val="000000"/>
                <w:sz w:val="22"/>
                <w:szCs w:val="22"/>
              </w:rPr>
            </w:pPr>
          </w:p>
        </w:tc>
        <w:tc>
          <w:tcPr>
            <w:tcW w:w="1983" w:type="dxa"/>
            <w:vMerge w:val="restart"/>
            <w:shd w:val="clear" w:color="auto" w:fill="FFFFFF" w:themeFill="background1"/>
          </w:tcPr>
          <w:p w14:paraId="316DACBA" w14:textId="77777777" w:rsidR="006416A2" w:rsidRPr="008B6FF0" w:rsidRDefault="006416A2" w:rsidP="00FF1D46">
            <w:pPr>
              <w:rPr>
                <w:rFonts w:asciiTheme="minorHAnsi" w:eastAsia="Times New Roman" w:hAnsiTheme="minorHAnsi" w:cstheme="minorHAnsi"/>
                <w:i/>
                <w:iCs/>
                <w:color w:val="000000"/>
                <w:sz w:val="22"/>
                <w:szCs w:val="22"/>
              </w:rPr>
            </w:pPr>
            <w:r w:rsidRPr="008B6FF0">
              <w:rPr>
                <w:rFonts w:asciiTheme="minorHAnsi" w:eastAsia="Times New Roman" w:hAnsiTheme="minorHAnsi" w:cstheme="minorHAnsi"/>
                <w:i/>
                <w:iCs/>
                <w:color w:val="000000"/>
                <w:sz w:val="22"/>
                <w:szCs w:val="22"/>
              </w:rPr>
              <w:t>95% Confidence Interval for Mean</w:t>
            </w:r>
          </w:p>
        </w:tc>
        <w:tc>
          <w:tcPr>
            <w:tcW w:w="992" w:type="dxa"/>
            <w:shd w:val="clear" w:color="auto" w:fill="FFFFFF" w:themeFill="background1"/>
          </w:tcPr>
          <w:p w14:paraId="57881D22" w14:textId="77777777" w:rsidR="006416A2" w:rsidRPr="008B6FF0" w:rsidRDefault="006416A2" w:rsidP="00FF1D46">
            <w:pPr>
              <w:rPr>
                <w:rFonts w:asciiTheme="minorHAnsi" w:eastAsia="Times New Roman" w:hAnsiTheme="minorHAnsi" w:cstheme="minorHAnsi"/>
                <w:i/>
                <w:iCs/>
                <w:color w:val="000000"/>
                <w:sz w:val="22"/>
                <w:szCs w:val="22"/>
              </w:rPr>
            </w:pPr>
            <w:r w:rsidRPr="008B6FF0">
              <w:rPr>
                <w:rFonts w:asciiTheme="minorHAnsi" w:eastAsia="Times New Roman" w:hAnsiTheme="minorHAnsi" w:cstheme="minorHAnsi"/>
                <w:i/>
                <w:iCs/>
                <w:color w:val="000000"/>
                <w:sz w:val="22"/>
                <w:szCs w:val="22"/>
              </w:rPr>
              <w:t>Lower Bound</w:t>
            </w:r>
          </w:p>
        </w:tc>
        <w:tc>
          <w:tcPr>
            <w:tcW w:w="1170" w:type="dxa"/>
            <w:shd w:val="clear" w:color="auto" w:fill="FFFFFF" w:themeFill="background1"/>
          </w:tcPr>
          <w:p w14:paraId="1BD278B8" w14:textId="77777777" w:rsidR="006416A2" w:rsidRPr="008B6FF0" w:rsidRDefault="006416A2" w:rsidP="00FF1D46">
            <w:pPr>
              <w:jc w:val="right"/>
              <w:rPr>
                <w:rFonts w:asciiTheme="minorHAnsi" w:eastAsia="Times New Roman" w:hAnsiTheme="minorHAnsi" w:cstheme="minorHAnsi"/>
                <w:i/>
                <w:iCs/>
                <w:color w:val="000000"/>
                <w:sz w:val="22"/>
                <w:szCs w:val="22"/>
              </w:rPr>
            </w:pPr>
            <w:r w:rsidRPr="008B6FF0">
              <w:rPr>
                <w:rFonts w:asciiTheme="minorHAnsi" w:eastAsia="Times New Roman" w:hAnsiTheme="minorHAnsi" w:cstheme="minorHAnsi"/>
                <w:i/>
                <w:iCs/>
                <w:color w:val="000000"/>
                <w:sz w:val="22"/>
                <w:szCs w:val="22"/>
              </w:rPr>
              <w:t>45.29</w:t>
            </w:r>
          </w:p>
        </w:tc>
        <w:tc>
          <w:tcPr>
            <w:tcW w:w="1134" w:type="dxa"/>
            <w:shd w:val="clear" w:color="auto" w:fill="FFFFFF" w:themeFill="background1"/>
          </w:tcPr>
          <w:p w14:paraId="746DFCBD" w14:textId="77777777" w:rsidR="006416A2" w:rsidRPr="008B6FF0" w:rsidRDefault="006416A2" w:rsidP="00FF1D46">
            <w:pPr>
              <w:jc w:val="right"/>
              <w:rPr>
                <w:rFonts w:asciiTheme="minorHAnsi" w:eastAsia="Times New Roman" w:hAnsiTheme="minorHAnsi" w:cstheme="minorHAnsi"/>
                <w:i/>
                <w:iCs/>
                <w:color w:val="000000"/>
                <w:sz w:val="22"/>
                <w:szCs w:val="22"/>
              </w:rPr>
            </w:pPr>
            <w:r w:rsidRPr="008B6FF0">
              <w:rPr>
                <w:rFonts w:asciiTheme="minorHAnsi" w:eastAsia="Times New Roman" w:hAnsiTheme="minorHAnsi" w:cstheme="minorHAnsi"/>
                <w:i/>
                <w:iCs/>
                <w:color w:val="000000"/>
                <w:sz w:val="22"/>
                <w:szCs w:val="22"/>
              </w:rPr>
              <w:t>44.83</w:t>
            </w:r>
          </w:p>
        </w:tc>
        <w:tc>
          <w:tcPr>
            <w:tcW w:w="1276" w:type="dxa"/>
            <w:shd w:val="clear" w:color="auto" w:fill="FFFFFF" w:themeFill="background1"/>
          </w:tcPr>
          <w:p w14:paraId="3A85CCF5" w14:textId="77777777" w:rsidR="006416A2" w:rsidRPr="008B6FF0" w:rsidRDefault="006416A2" w:rsidP="00FF1D46">
            <w:pPr>
              <w:jc w:val="center"/>
              <w:rPr>
                <w:rFonts w:asciiTheme="minorHAnsi" w:eastAsia="Times New Roman" w:hAnsiTheme="minorHAnsi" w:cstheme="minorHAnsi"/>
                <w:i/>
                <w:iCs/>
                <w:color w:val="000000"/>
                <w:sz w:val="22"/>
                <w:szCs w:val="22"/>
              </w:rPr>
            </w:pPr>
            <w:r w:rsidRPr="008B6FF0">
              <w:rPr>
                <w:rFonts w:asciiTheme="minorHAnsi" w:eastAsia="Times New Roman" w:hAnsiTheme="minorHAnsi" w:cstheme="minorHAnsi"/>
                <w:i/>
                <w:iCs/>
                <w:color w:val="000000"/>
                <w:sz w:val="22"/>
                <w:szCs w:val="22"/>
              </w:rPr>
              <w:t>44.78</w:t>
            </w:r>
          </w:p>
        </w:tc>
        <w:tc>
          <w:tcPr>
            <w:tcW w:w="939" w:type="dxa"/>
            <w:tcBorders>
              <w:right w:val="single" w:sz="4" w:space="0" w:color="auto"/>
            </w:tcBorders>
            <w:shd w:val="clear" w:color="auto" w:fill="FFFFFF" w:themeFill="background1"/>
          </w:tcPr>
          <w:p w14:paraId="3A1494DE" w14:textId="77777777" w:rsidR="006416A2" w:rsidRPr="008B6FF0" w:rsidRDefault="006416A2" w:rsidP="00FF1D46">
            <w:pPr>
              <w:jc w:val="right"/>
              <w:rPr>
                <w:rFonts w:asciiTheme="minorHAnsi" w:eastAsia="Times New Roman" w:hAnsiTheme="minorHAnsi" w:cstheme="minorHAnsi"/>
                <w:i/>
                <w:iCs/>
                <w:color w:val="000000"/>
                <w:sz w:val="22"/>
                <w:szCs w:val="22"/>
              </w:rPr>
            </w:pPr>
            <w:r w:rsidRPr="008B6FF0">
              <w:rPr>
                <w:rFonts w:asciiTheme="minorHAnsi" w:eastAsia="Times New Roman" w:hAnsiTheme="minorHAnsi" w:cstheme="minorHAnsi"/>
                <w:i/>
                <w:iCs/>
                <w:color w:val="000000"/>
                <w:sz w:val="22"/>
                <w:szCs w:val="22"/>
              </w:rPr>
              <w:t>45.66</w:t>
            </w:r>
          </w:p>
        </w:tc>
      </w:tr>
      <w:tr w:rsidR="006416A2" w:rsidRPr="008B6FF0" w14:paraId="255F6204" w14:textId="77777777" w:rsidTr="00FF1D46">
        <w:trPr>
          <w:trHeight w:val="360"/>
        </w:trPr>
        <w:tc>
          <w:tcPr>
            <w:tcW w:w="1999" w:type="dxa"/>
            <w:vMerge/>
            <w:tcBorders>
              <w:left w:val="single" w:sz="4" w:space="0" w:color="auto"/>
            </w:tcBorders>
          </w:tcPr>
          <w:p w14:paraId="08CF5D76" w14:textId="77777777" w:rsidR="006416A2" w:rsidRPr="008B6FF0" w:rsidRDefault="006416A2" w:rsidP="00FF1D46">
            <w:pPr>
              <w:widowControl w:val="0"/>
              <w:pBdr>
                <w:top w:val="nil"/>
                <w:left w:val="nil"/>
                <w:bottom w:val="nil"/>
                <w:right w:val="nil"/>
                <w:between w:val="nil"/>
              </w:pBdr>
              <w:spacing w:line="276" w:lineRule="auto"/>
              <w:rPr>
                <w:rFonts w:asciiTheme="minorHAnsi" w:eastAsia="Times New Roman" w:hAnsiTheme="minorHAnsi" w:cstheme="minorHAnsi"/>
                <w:i/>
                <w:iCs/>
                <w:color w:val="000000"/>
                <w:sz w:val="22"/>
                <w:szCs w:val="22"/>
              </w:rPr>
            </w:pPr>
          </w:p>
        </w:tc>
        <w:tc>
          <w:tcPr>
            <w:tcW w:w="1983" w:type="dxa"/>
            <w:vMerge/>
          </w:tcPr>
          <w:p w14:paraId="16411AF0" w14:textId="77777777" w:rsidR="006416A2" w:rsidRPr="008B6FF0" w:rsidRDefault="006416A2" w:rsidP="00FF1D46">
            <w:pPr>
              <w:widowControl w:val="0"/>
              <w:pBdr>
                <w:top w:val="nil"/>
                <w:left w:val="nil"/>
                <w:bottom w:val="nil"/>
                <w:right w:val="nil"/>
                <w:between w:val="nil"/>
              </w:pBdr>
              <w:spacing w:line="276" w:lineRule="auto"/>
              <w:rPr>
                <w:rFonts w:asciiTheme="minorHAnsi" w:eastAsia="Times New Roman" w:hAnsiTheme="minorHAnsi" w:cstheme="minorHAnsi"/>
                <w:i/>
                <w:iCs/>
                <w:color w:val="000000"/>
                <w:sz w:val="22"/>
                <w:szCs w:val="22"/>
              </w:rPr>
            </w:pPr>
          </w:p>
        </w:tc>
        <w:tc>
          <w:tcPr>
            <w:tcW w:w="992" w:type="dxa"/>
          </w:tcPr>
          <w:p w14:paraId="5AB31CF6" w14:textId="77777777" w:rsidR="006416A2" w:rsidRPr="008B6FF0" w:rsidRDefault="006416A2" w:rsidP="00FF1D46">
            <w:pPr>
              <w:rPr>
                <w:rFonts w:asciiTheme="minorHAnsi" w:eastAsia="Times New Roman" w:hAnsiTheme="minorHAnsi" w:cstheme="minorHAnsi"/>
                <w:i/>
                <w:iCs/>
                <w:color w:val="000000"/>
                <w:sz w:val="22"/>
                <w:szCs w:val="22"/>
              </w:rPr>
            </w:pPr>
            <w:r w:rsidRPr="008B6FF0">
              <w:rPr>
                <w:rFonts w:asciiTheme="minorHAnsi" w:eastAsia="Times New Roman" w:hAnsiTheme="minorHAnsi" w:cstheme="minorHAnsi"/>
                <w:i/>
                <w:iCs/>
                <w:color w:val="000000"/>
                <w:sz w:val="22"/>
                <w:szCs w:val="22"/>
              </w:rPr>
              <w:t>Upper Bound</w:t>
            </w:r>
          </w:p>
        </w:tc>
        <w:tc>
          <w:tcPr>
            <w:tcW w:w="1170" w:type="dxa"/>
          </w:tcPr>
          <w:p w14:paraId="246AF6EA" w14:textId="77777777" w:rsidR="006416A2" w:rsidRPr="008B6FF0" w:rsidRDefault="006416A2" w:rsidP="00FF1D46">
            <w:pPr>
              <w:jc w:val="right"/>
              <w:rPr>
                <w:rFonts w:asciiTheme="minorHAnsi" w:eastAsia="Times New Roman" w:hAnsiTheme="minorHAnsi" w:cstheme="minorHAnsi"/>
                <w:i/>
                <w:iCs/>
                <w:color w:val="000000"/>
                <w:sz w:val="22"/>
                <w:szCs w:val="22"/>
              </w:rPr>
            </w:pPr>
            <w:r w:rsidRPr="008B6FF0">
              <w:rPr>
                <w:rFonts w:asciiTheme="minorHAnsi" w:eastAsia="Times New Roman" w:hAnsiTheme="minorHAnsi" w:cstheme="minorHAnsi"/>
                <w:i/>
                <w:iCs/>
                <w:color w:val="000000"/>
                <w:sz w:val="22"/>
                <w:szCs w:val="22"/>
              </w:rPr>
              <w:t>46.23</w:t>
            </w:r>
          </w:p>
        </w:tc>
        <w:tc>
          <w:tcPr>
            <w:tcW w:w="1134" w:type="dxa"/>
          </w:tcPr>
          <w:p w14:paraId="368F37EA" w14:textId="77777777" w:rsidR="006416A2" w:rsidRPr="008B6FF0" w:rsidRDefault="006416A2" w:rsidP="00FF1D46">
            <w:pPr>
              <w:jc w:val="right"/>
              <w:rPr>
                <w:rFonts w:asciiTheme="minorHAnsi" w:eastAsia="Times New Roman" w:hAnsiTheme="minorHAnsi" w:cstheme="minorHAnsi"/>
                <w:i/>
                <w:iCs/>
                <w:color w:val="000000"/>
                <w:sz w:val="22"/>
                <w:szCs w:val="22"/>
              </w:rPr>
            </w:pPr>
            <w:r w:rsidRPr="008B6FF0">
              <w:rPr>
                <w:rFonts w:asciiTheme="minorHAnsi" w:eastAsia="Times New Roman" w:hAnsiTheme="minorHAnsi" w:cstheme="minorHAnsi"/>
                <w:i/>
                <w:iCs/>
                <w:color w:val="000000"/>
                <w:sz w:val="22"/>
                <w:szCs w:val="22"/>
              </w:rPr>
              <w:t>46.00</w:t>
            </w:r>
          </w:p>
        </w:tc>
        <w:tc>
          <w:tcPr>
            <w:tcW w:w="1276" w:type="dxa"/>
          </w:tcPr>
          <w:p w14:paraId="2F60DBBC" w14:textId="77777777" w:rsidR="006416A2" w:rsidRPr="008B6FF0" w:rsidRDefault="006416A2" w:rsidP="00FF1D46">
            <w:pPr>
              <w:jc w:val="center"/>
              <w:rPr>
                <w:rFonts w:asciiTheme="minorHAnsi" w:eastAsia="Times New Roman" w:hAnsiTheme="minorHAnsi" w:cstheme="minorHAnsi"/>
                <w:i/>
                <w:iCs/>
                <w:color w:val="000000"/>
                <w:sz w:val="22"/>
                <w:szCs w:val="22"/>
              </w:rPr>
            </w:pPr>
            <w:r w:rsidRPr="008B6FF0">
              <w:rPr>
                <w:rFonts w:asciiTheme="minorHAnsi" w:eastAsia="Times New Roman" w:hAnsiTheme="minorHAnsi" w:cstheme="minorHAnsi"/>
                <w:i/>
                <w:iCs/>
                <w:color w:val="000000"/>
                <w:sz w:val="22"/>
                <w:szCs w:val="22"/>
              </w:rPr>
              <w:t>46.22</w:t>
            </w:r>
          </w:p>
        </w:tc>
        <w:tc>
          <w:tcPr>
            <w:tcW w:w="939" w:type="dxa"/>
            <w:tcBorders>
              <w:right w:val="single" w:sz="4" w:space="0" w:color="auto"/>
            </w:tcBorders>
          </w:tcPr>
          <w:p w14:paraId="31DA78F7" w14:textId="77777777" w:rsidR="006416A2" w:rsidRPr="008B6FF0" w:rsidRDefault="006416A2" w:rsidP="00FF1D46">
            <w:pPr>
              <w:jc w:val="right"/>
              <w:rPr>
                <w:rFonts w:asciiTheme="minorHAnsi" w:eastAsia="Times New Roman" w:hAnsiTheme="minorHAnsi" w:cstheme="minorHAnsi"/>
                <w:i/>
                <w:iCs/>
                <w:color w:val="000000"/>
                <w:sz w:val="22"/>
                <w:szCs w:val="22"/>
              </w:rPr>
            </w:pPr>
            <w:r w:rsidRPr="008B6FF0">
              <w:rPr>
                <w:rFonts w:asciiTheme="minorHAnsi" w:eastAsia="Times New Roman" w:hAnsiTheme="minorHAnsi" w:cstheme="minorHAnsi"/>
                <w:i/>
                <w:iCs/>
                <w:color w:val="000000"/>
                <w:sz w:val="22"/>
                <w:szCs w:val="22"/>
              </w:rPr>
              <w:t>46.39</w:t>
            </w:r>
          </w:p>
        </w:tc>
      </w:tr>
      <w:tr w:rsidR="006416A2" w:rsidRPr="008B6FF0" w14:paraId="4BB8B10B" w14:textId="77777777" w:rsidTr="00FF1D46">
        <w:trPr>
          <w:cnfStyle w:val="000000100000" w:firstRow="0" w:lastRow="0" w:firstColumn="0" w:lastColumn="0" w:oddVBand="0" w:evenVBand="0" w:oddHBand="1" w:evenHBand="0" w:firstRowFirstColumn="0" w:firstRowLastColumn="0" w:lastRowFirstColumn="0" w:lastRowLastColumn="0"/>
          <w:trHeight w:val="360"/>
        </w:trPr>
        <w:tc>
          <w:tcPr>
            <w:tcW w:w="9493" w:type="dxa"/>
            <w:gridSpan w:val="7"/>
            <w:tcBorders>
              <w:left w:val="single" w:sz="4" w:space="0" w:color="auto"/>
              <w:right w:val="single" w:sz="4" w:space="0" w:color="auto"/>
            </w:tcBorders>
            <w:shd w:val="clear" w:color="auto" w:fill="FFFFFF" w:themeFill="background1"/>
          </w:tcPr>
          <w:p w14:paraId="573FF577" w14:textId="77777777" w:rsidR="006416A2" w:rsidRPr="008B6FF0" w:rsidRDefault="006416A2" w:rsidP="00FF1D46">
            <w:pPr>
              <w:jc w:val="center"/>
              <w:rPr>
                <w:rFonts w:asciiTheme="minorHAnsi" w:eastAsia="Times New Roman" w:hAnsiTheme="minorHAnsi" w:cstheme="minorHAnsi"/>
                <w:i/>
                <w:iCs/>
                <w:color w:val="000000"/>
                <w:sz w:val="22"/>
                <w:szCs w:val="22"/>
              </w:rPr>
            </w:pPr>
            <w:r w:rsidRPr="008B6FF0">
              <w:rPr>
                <w:rFonts w:asciiTheme="minorHAnsi" w:eastAsia="Times New Roman" w:hAnsiTheme="minorHAnsi" w:cstheme="minorHAnsi"/>
                <w:i/>
                <w:iCs/>
                <w:color w:val="000000"/>
                <w:sz w:val="22"/>
                <w:szCs w:val="22"/>
              </w:rPr>
              <w:t>p=0.305</w:t>
            </w:r>
          </w:p>
        </w:tc>
      </w:tr>
      <w:tr w:rsidR="006416A2" w:rsidRPr="008B6FF0" w14:paraId="4C844516" w14:textId="77777777" w:rsidTr="00FF1D46">
        <w:trPr>
          <w:trHeight w:val="360"/>
        </w:trPr>
        <w:tc>
          <w:tcPr>
            <w:tcW w:w="1999" w:type="dxa"/>
            <w:vMerge w:val="restart"/>
            <w:tcBorders>
              <w:left w:val="single" w:sz="4" w:space="0" w:color="auto"/>
            </w:tcBorders>
            <w:shd w:val="clear" w:color="auto" w:fill="FBE4D5" w:themeFill="accent2" w:themeFillTint="33"/>
          </w:tcPr>
          <w:p w14:paraId="076CD289" w14:textId="77777777" w:rsidR="006416A2" w:rsidRPr="008B6FF0" w:rsidRDefault="006416A2" w:rsidP="00FF1D46">
            <w:pPr>
              <w:rPr>
                <w:rFonts w:asciiTheme="minorHAnsi" w:eastAsia="Times New Roman" w:hAnsiTheme="minorHAnsi" w:cstheme="minorHAnsi"/>
                <w:i/>
                <w:iCs/>
                <w:color w:val="000000"/>
                <w:sz w:val="22"/>
                <w:szCs w:val="22"/>
              </w:rPr>
            </w:pPr>
            <w:r w:rsidRPr="008B6FF0">
              <w:rPr>
                <w:rFonts w:asciiTheme="minorHAnsi" w:hAnsiTheme="minorHAnsi" w:cstheme="minorHAnsi"/>
                <w:i/>
                <w:iCs/>
                <w:sz w:val="22"/>
                <w:szCs w:val="22"/>
              </w:rPr>
              <w:t>Likert scale scores reported at the time of  scan (LIKERT</w:t>
            </w:r>
            <w:r w:rsidRPr="008B6FF0">
              <w:rPr>
                <w:rFonts w:asciiTheme="minorHAnsi" w:eastAsia="Times New Roman" w:hAnsiTheme="minorHAnsi" w:cstheme="minorHAnsi"/>
                <w:i/>
                <w:iCs/>
                <w:color w:val="000000"/>
                <w:sz w:val="22"/>
                <w:szCs w:val="22"/>
              </w:rPr>
              <w:t>)</w:t>
            </w:r>
          </w:p>
        </w:tc>
        <w:tc>
          <w:tcPr>
            <w:tcW w:w="2975" w:type="dxa"/>
            <w:gridSpan w:val="2"/>
          </w:tcPr>
          <w:p w14:paraId="74D57595" w14:textId="77777777" w:rsidR="006416A2" w:rsidRPr="008B6FF0" w:rsidRDefault="006416A2" w:rsidP="00FF1D46">
            <w:pPr>
              <w:rPr>
                <w:rFonts w:asciiTheme="minorHAnsi" w:eastAsia="Times New Roman" w:hAnsiTheme="minorHAnsi" w:cstheme="minorHAnsi"/>
                <w:i/>
                <w:iCs/>
                <w:color w:val="000000"/>
                <w:sz w:val="22"/>
                <w:szCs w:val="22"/>
              </w:rPr>
            </w:pPr>
            <w:r w:rsidRPr="008B6FF0">
              <w:rPr>
                <w:rFonts w:asciiTheme="minorHAnsi" w:eastAsia="Times New Roman" w:hAnsiTheme="minorHAnsi" w:cstheme="minorHAnsi"/>
                <w:i/>
                <w:iCs/>
                <w:color w:val="000000"/>
                <w:sz w:val="22"/>
                <w:szCs w:val="22"/>
              </w:rPr>
              <w:t>N</w:t>
            </w:r>
          </w:p>
        </w:tc>
        <w:tc>
          <w:tcPr>
            <w:tcW w:w="1170" w:type="dxa"/>
          </w:tcPr>
          <w:p w14:paraId="3C0CCE97" w14:textId="77777777" w:rsidR="006416A2" w:rsidRPr="008B6FF0" w:rsidRDefault="006416A2" w:rsidP="00FF1D46">
            <w:pPr>
              <w:jc w:val="right"/>
              <w:rPr>
                <w:rFonts w:asciiTheme="minorHAnsi" w:eastAsia="Times New Roman" w:hAnsiTheme="minorHAnsi" w:cstheme="minorHAnsi"/>
                <w:i/>
                <w:iCs/>
                <w:color w:val="000000"/>
                <w:sz w:val="22"/>
                <w:szCs w:val="22"/>
              </w:rPr>
            </w:pPr>
            <w:r w:rsidRPr="008B6FF0">
              <w:rPr>
                <w:rFonts w:asciiTheme="minorHAnsi" w:eastAsia="Times New Roman" w:hAnsiTheme="minorHAnsi" w:cstheme="minorHAnsi"/>
                <w:i/>
                <w:iCs/>
                <w:color w:val="000000"/>
                <w:sz w:val="22"/>
                <w:szCs w:val="22"/>
              </w:rPr>
              <w:t>19</w:t>
            </w:r>
          </w:p>
        </w:tc>
        <w:tc>
          <w:tcPr>
            <w:tcW w:w="1134" w:type="dxa"/>
          </w:tcPr>
          <w:p w14:paraId="525E3B44" w14:textId="77777777" w:rsidR="006416A2" w:rsidRPr="008B6FF0" w:rsidRDefault="006416A2" w:rsidP="00FF1D46">
            <w:pPr>
              <w:jc w:val="right"/>
              <w:rPr>
                <w:rFonts w:asciiTheme="minorHAnsi" w:eastAsia="Times New Roman" w:hAnsiTheme="minorHAnsi" w:cstheme="minorHAnsi"/>
                <w:i/>
                <w:iCs/>
                <w:color w:val="000000"/>
                <w:sz w:val="22"/>
                <w:szCs w:val="22"/>
              </w:rPr>
            </w:pPr>
            <w:r w:rsidRPr="008B6FF0">
              <w:rPr>
                <w:rFonts w:asciiTheme="minorHAnsi" w:eastAsia="Times New Roman" w:hAnsiTheme="minorHAnsi" w:cstheme="minorHAnsi"/>
                <w:i/>
                <w:iCs/>
                <w:color w:val="000000"/>
                <w:sz w:val="22"/>
                <w:szCs w:val="22"/>
              </w:rPr>
              <w:t>23</w:t>
            </w:r>
          </w:p>
        </w:tc>
        <w:tc>
          <w:tcPr>
            <w:tcW w:w="1276" w:type="dxa"/>
          </w:tcPr>
          <w:p w14:paraId="04147354" w14:textId="77777777" w:rsidR="006416A2" w:rsidRPr="008B6FF0" w:rsidRDefault="006416A2" w:rsidP="00FF1D46">
            <w:pPr>
              <w:jc w:val="center"/>
              <w:rPr>
                <w:rFonts w:asciiTheme="minorHAnsi" w:eastAsia="Times New Roman" w:hAnsiTheme="minorHAnsi" w:cstheme="minorHAnsi"/>
                <w:i/>
                <w:iCs/>
                <w:color w:val="000000"/>
                <w:sz w:val="22"/>
                <w:szCs w:val="22"/>
              </w:rPr>
            </w:pPr>
            <w:r w:rsidRPr="008B6FF0">
              <w:rPr>
                <w:rFonts w:asciiTheme="minorHAnsi" w:eastAsia="Times New Roman" w:hAnsiTheme="minorHAnsi" w:cstheme="minorHAnsi"/>
                <w:i/>
                <w:iCs/>
                <w:color w:val="000000"/>
                <w:sz w:val="22"/>
                <w:szCs w:val="22"/>
              </w:rPr>
              <w:t>13</w:t>
            </w:r>
          </w:p>
        </w:tc>
        <w:tc>
          <w:tcPr>
            <w:tcW w:w="939" w:type="dxa"/>
            <w:tcBorders>
              <w:right w:val="single" w:sz="4" w:space="0" w:color="auto"/>
            </w:tcBorders>
          </w:tcPr>
          <w:p w14:paraId="1F9905E7" w14:textId="77777777" w:rsidR="006416A2" w:rsidRPr="008B6FF0" w:rsidRDefault="006416A2" w:rsidP="00FF1D46">
            <w:pPr>
              <w:jc w:val="right"/>
              <w:rPr>
                <w:rFonts w:asciiTheme="minorHAnsi" w:eastAsia="Times New Roman" w:hAnsiTheme="minorHAnsi" w:cstheme="minorHAnsi"/>
                <w:i/>
                <w:iCs/>
                <w:color w:val="000000"/>
                <w:sz w:val="22"/>
                <w:szCs w:val="22"/>
              </w:rPr>
            </w:pPr>
            <w:r w:rsidRPr="008B6FF0">
              <w:rPr>
                <w:rFonts w:asciiTheme="minorHAnsi" w:eastAsia="Times New Roman" w:hAnsiTheme="minorHAnsi" w:cstheme="minorHAnsi"/>
                <w:i/>
                <w:iCs/>
                <w:color w:val="000000"/>
                <w:sz w:val="22"/>
                <w:szCs w:val="22"/>
              </w:rPr>
              <w:t>19</w:t>
            </w:r>
          </w:p>
        </w:tc>
      </w:tr>
      <w:tr w:rsidR="006416A2" w:rsidRPr="008B6FF0" w14:paraId="083DEA17" w14:textId="77777777" w:rsidTr="00FF1D46">
        <w:trPr>
          <w:cnfStyle w:val="000000100000" w:firstRow="0" w:lastRow="0" w:firstColumn="0" w:lastColumn="0" w:oddVBand="0" w:evenVBand="0" w:oddHBand="1" w:evenHBand="0" w:firstRowFirstColumn="0" w:firstRowLastColumn="0" w:lastRowFirstColumn="0" w:lastRowLastColumn="0"/>
          <w:trHeight w:val="360"/>
        </w:trPr>
        <w:tc>
          <w:tcPr>
            <w:tcW w:w="1999" w:type="dxa"/>
            <w:vMerge/>
            <w:tcBorders>
              <w:left w:val="single" w:sz="4" w:space="0" w:color="auto"/>
            </w:tcBorders>
          </w:tcPr>
          <w:p w14:paraId="095B327D" w14:textId="77777777" w:rsidR="006416A2" w:rsidRPr="008B6FF0" w:rsidRDefault="006416A2" w:rsidP="00FF1D46">
            <w:pPr>
              <w:widowControl w:val="0"/>
              <w:pBdr>
                <w:top w:val="nil"/>
                <w:left w:val="nil"/>
                <w:bottom w:val="nil"/>
                <w:right w:val="nil"/>
                <w:between w:val="nil"/>
              </w:pBdr>
              <w:spacing w:line="276" w:lineRule="auto"/>
              <w:rPr>
                <w:rFonts w:asciiTheme="minorHAnsi" w:eastAsia="Times New Roman" w:hAnsiTheme="minorHAnsi" w:cstheme="minorHAnsi"/>
                <w:i/>
                <w:iCs/>
                <w:color w:val="000000"/>
                <w:sz w:val="22"/>
                <w:szCs w:val="22"/>
              </w:rPr>
            </w:pPr>
          </w:p>
        </w:tc>
        <w:tc>
          <w:tcPr>
            <w:tcW w:w="2975" w:type="dxa"/>
            <w:gridSpan w:val="2"/>
          </w:tcPr>
          <w:p w14:paraId="0AACA28E" w14:textId="77777777" w:rsidR="006416A2" w:rsidRPr="008B6FF0" w:rsidRDefault="006416A2" w:rsidP="00FF1D46">
            <w:pPr>
              <w:rPr>
                <w:rFonts w:asciiTheme="minorHAnsi" w:eastAsia="Times New Roman" w:hAnsiTheme="minorHAnsi" w:cstheme="minorHAnsi"/>
                <w:i/>
                <w:iCs/>
                <w:color w:val="000000"/>
                <w:sz w:val="22"/>
                <w:szCs w:val="22"/>
              </w:rPr>
            </w:pPr>
            <w:r w:rsidRPr="008B6FF0">
              <w:rPr>
                <w:rFonts w:asciiTheme="minorHAnsi" w:eastAsia="Times New Roman" w:hAnsiTheme="minorHAnsi" w:cstheme="minorHAnsi"/>
                <w:i/>
                <w:iCs/>
                <w:color w:val="000000"/>
                <w:sz w:val="22"/>
                <w:szCs w:val="22"/>
              </w:rPr>
              <w:t>Mean</w:t>
            </w:r>
          </w:p>
        </w:tc>
        <w:tc>
          <w:tcPr>
            <w:tcW w:w="1170" w:type="dxa"/>
          </w:tcPr>
          <w:p w14:paraId="1BE4DD75" w14:textId="77777777" w:rsidR="006416A2" w:rsidRPr="008B6FF0" w:rsidRDefault="006416A2" w:rsidP="00FF1D46">
            <w:pPr>
              <w:jc w:val="right"/>
              <w:rPr>
                <w:rFonts w:asciiTheme="minorHAnsi" w:eastAsia="Times New Roman" w:hAnsiTheme="minorHAnsi" w:cstheme="minorHAnsi"/>
                <w:i/>
                <w:iCs/>
                <w:color w:val="000000"/>
                <w:sz w:val="22"/>
                <w:szCs w:val="22"/>
              </w:rPr>
            </w:pPr>
            <w:r w:rsidRPr="008B6FF0">
              <w:rPr>
                <w:rFonts w:asciiTheme="minorHAnsi" w:eastAsia="Times New Roman" w:hAnsiTheme="minorHAnsi" w:cstheme="minorHAnsi"/>
                <w:i/>
                <w:iCs/>
                <w:color w:val="000000"/>
                <w:sz w:val="22"/>
                <w:szCs w:val="22"/>
              </w:rPr>
              <w:t>7.11</w:t>
            </w:r>
          </w:p>
        </w:tc>
        <w:tc>
          <w:tcPr>
            <w:tcW w:w="1134" w:type="dxa"/>
          </w:tcPr>
          <w:p w14:paraId="36108A00" w14:textId="77777777" w:rsidR="006416A2" w:rsidRPr="008B6FF0" w:rsidRDefault="006416A2" w:rsidP="00FF1D46">
            <w:pPr>
              <w:jc w:val="right"/>
              <w:rPr>
                <w:rFonts w:asciiTheme="minorHAnsi" w:eastAsia="Times New Roman" w:hAnsiTheme="minorHAnsi" w:cstheme="minorHAnsi"/>
                <w:i/>
                <w:iCs/>
                <w:color w:val="000000"/>
                <w:sz w:val="22"/>
                <w:szCs w:val="22"/>
              </w:rPr>
            </w:pPr>
            <w:r w:rsidRPr="008B6FF0">
              <w:rPr>
                <w:rFonts w:asciiTheme="minorHAnsi" w:eastAsia="Times New Roman" w:hAnsiTheme="minorHAnsi" w:cstheme="minorHAnsi"/>
                <w:i/>
                <w:iCs/>
                <w:color w:val="000000"/>
                <w:sz w:val="22"/>
                <w:szCs w:val="22"/>
              </w:rPr>
              <w:t>7.11</w:t>
            </w:r>
          </w:p>
        </w:tc>
        <w:tc>
          <w:tcPr>
            <w:tcW w:w="1276" w:type="dxa"/>
          </w:tcPr>
          <w:p w14:paraId="338AFA31" w14:textId="77777777" w:rsidR="006416A2" w:rsidRPr="008B6FF0" w:rsidRDefault="006416A2" w:rsidP="00FF1D46">
            <w:pPr>
              <w:jc w:val="center"/>
              <w:rPr>
                <w:rFonts w:asciiTheme="minorHAnsi" w:eastAsia="Times New Roman" w:hAnsiTheme="minorHAnsi" w:cstheme="minorHAnsi"/>
                <w:i/>
                <w:iCs/>
                <w:color w:val="000000"/>
                <w:sz w:val="22"/>
                <w:szCs w:val="22"/>
              </w:rPr>
            </w:pPr>
            <w:r w:rsidRPr="008B6FF0">
              <w:rPr>
                <w:rFonts w:asciiTheme="minorHAnsi" w:eastAsia="Times New Roman" w:hAnsiTheme="minorHAnsi" w:cstheme="minorHAnsi"/>
                <w:i/>
                <w:iCs/>
                <w:color w:val="000000"/>
                <w:sz w:val="22"/>
                <w:szCs w:val="22"/>
              </w:rPr>
              <w:t>7.50</w:t>
            </w:r>
          </w:p>
        </w:tc>
        <w:tc>
          <w:tcPr>
            <w:tcW w:w="939" w:type="dxa"/>
            <w:tcBorders>
              <w:right w:val="single" w:sz="4" w:space="0" w:color="auto"/>
            </w:tcBorders>
          </w:tcPr>
          <w:p w14:paraId="75ACFB9F" w14:textId="77777777" w:rsidR="006416A2" w:rsidRPr="008B6FF0" w:rsidRDefault="006416A2" w:rsidP="00FF1D46">
            <w:pPr>
              <w:jc w:val="right"/>
              <w:rPr>
                <w:rFonts w:asciiTheme="minorHAnsi" w:eastAsia="Times New Roman" w:hAnsiTheme="minorHAnsi" w:cstheme="minorHAnsi"/>
                <w:i/>
                <w:iCs/>
                <w:color w:val="000000"/>
                <w:sz w:val="22"/>
                <w:szCs w:val="22"/>
              </w:rPr>
            </w:pPr>
            <w:r w:rsidRPr="008B6FF0">
              <w:rPr>
                <w:rFonts w:asciiTheme="minorHAnsi" w:eastAsia="Times New Roman" w:hAnsiTheme="minorHAnsi" w:cstheme="minorHAnsi"/>
                <w:i/>
                <w:iCs/>
                <w:color w:val="000000"/>
                <w:sz w:val="22"/>
                <w:szCs w:val="22"/>
              </w:rPr>
              <w:t>6.84</w:t>
            </w:r>
          </w:p>
        </w:tc>
      </w:tr>
      <w:tr w:rsidR="006416A2" w:rsidRPr="008B6FF0" w14:paraId="12FFB1D0" w14:textId="77777777" w:rsidTr="00FF1D46">
        <w:trPr>
          <w:trHeight w:val="360"/>
        </w:trPr>
        <w:tc>
          <w:tcPr>
            <w:tcW w:w="1999" w:type="dxa"/>
            <w:vMerge/>
            <w:tcBorders>
              <w:left w:val="single" w:sz="4" w:space="0" w:color="auto"/>
            </w:tcBorders>
            <w:shd w:val="clear" w:color="auto" w:fill="FBE4D5" w:themeFill="accent2" w:themeFillTint="33"/>
          </w:tcPr>
          <w:p w14:paraId="4A4A3A6A" w14:textId="77777777" w:rsidR="006416A2" w:rsidRPr="008B6FF0" w:rsidRDefault="006416A2" w:rsidP="00FF1D46">
            <w:pPr>
              <w:widowControl w:val="0"/>
              <w:pBdr>
                <w:top w:val="nil"/>
                <w:left w:val="nil"/>
                <w:bottom w:val="nil"/>
                <w:right w:val="nil"/>
                <w:between w:val="nil"/>
              </w:pBdr>
              <w:spacing w:line="276" w:lineRule="auto"/>
              <w:rPr>
                <w:rFonts w:asciiTheme="minorHAnsi" w:eastAsia="Times New Roman" w:hAnsiTheme="minorHAnsi" w:cstheme="minorHAnsi"/>
                <w:i/>
                <w:iCs/>
                <w:color w:val="000000"/>
                <w:sz w:val="22"/>
                <w:szCs w:val="22"/>
              </w:rPr>
            </w:pPr>
          </w:p>
        </w:tc>
        <w:tc>
          <w:tcPr>
            <w:tcW w:w="1983" w:type="dxa"/>
            <w:vMerge w:val="restart"/>
          </w:tcPr>
          <w:p w14:paraId="1CAFC7FB" w14:textId="77777777" w:rsidR="006416A2" w:rsidRPr="008B6FF0" w:rsidRDefault="006416A2" w:rsidP="00FF1D46">
            <w:pPr>
              <w:rPr>
                <w:rFonts w:asciiTheme="minorHAnsi" w:eastAsia="Times New Roman" w:hAnsiTheme="minorHAnsi" w:cstheme="minorHAnsi"/>
                <w:i/>
                <w:iCs/>
                <w:color w:val="000000"/>
                <w:sz w:val="22"/>
                <w:szCs w:val="22"/>
              </w:rPr>
            </w:pPr>
            <w:r w:rsidRPr="008B6FF0">
              <w:rPr>
                <w:rFonts w:asciiTheme="minorHAnsi" w:eastAsia="Times New Roman" w:hAnsiTheme="minorHAnsi" w:cstheme="minorHAnsi"/>
                <w:i/>
                <w:iCs/>
                <w:color w:val="000000"/>
                <w:sz w:val="22"/>
                <w:szCs w:val="22"/>
              </w:rPr>
              <w:t>95% Confidence Interval for Mean</w:t>
            </w:r>
          </w:p>
        </w:tc>
        <w:tc>
          <w:tcPr>
            <w:tcW w:w="992" w:type="dxa"/>
          </w:tcPr>
          <w:p w14:paraId="1E97A900" w14:textId="77777777" w:rsidR="006416A2" w:rsidRPr="008B6FF0" w:rsidRDefault="006416A2" w:rsidP="00FF1D46">
            <w:pPr>
              <w:rPr>
                <w:rFonts w:asciiTheme="minorHAnsi" w:eastAsia="Times New Roman" w:hAnsiTheme="minorHAnsi" w:cstheme="minorHAnsi"/>
                <w:i/>
                <w:iCs/>
                <w:color w:val="000000"/>
                <w:sz w:val="22"/>
                <w:szCs w:val="22"/>
              </w:rPr>
            </w:pPr>
            <w:r w:rsidRPr="008B6FF0">
              <w:rPr>
                <w:rFonts w:asciiTheme="minorHAnsi" w:eastAsia="Times New Roman" w:hAnsiTheme="minorHAnsi" w:cstheme="minorHAnsi"/>
                <w:i/>
                <w:iCs/>
                <w:color w:val="000000"/>
                <w:sz w:val="22"/>
                <w:szCs w:val="22"/>
              </w:rPr>
              <w:t>Lower Bound</w:t>
            </w:r>
          </w:p>
        </w:tc>
        <w:tc>
          <w:tcPr>
            <w:tcW w:w="1170" w:type="dxa"/>
          </w:tcPr>
          <w:p w14:paraId="3B3B1D0C" w14:textId="77777777" w:rsidR="006416A2" w:rsidRPr="008B6FF0" w:rsidRDefault="006416A2" w:rsidP="00FF1D46">
            <w:pPr>
              <w:jc w:val="right"/>
              <w:rPr>
                <w:rFonts w:asciiTheme="minorHAnsi" w:eastAsia="Times New Roman" w:hAnsiTheme="minorHAnsi" w:cstheme="minorHAnsi"/>
                <w:i/>
                <w:iCs/>
                <w:color w:val="000000"/>
                <w:sz w:val="22"/>
                <w:szCs w:val="22"/>
              </w:rPr>
            </w:pPr>
            <w:r w:rsidRPr="008B6FF0">
              <w:rPr>
                <w:rFonts w:asciiTheme="minorHAnsi" w:eastAsia="Times New Roman" w:hAnsiTheme="minorHAnsi" w:cstheme="minorHAnsi"/>
                <w:i/>
                <w:iCs/>
                <w:color w:val="000000"/>
                <w:sz w:val="22"/>
                <w:szCs w:val="22"/>
              </w:rPr>
              <w:t>6.24</w:t>
            </w:r>
          </w:p>
        </w:tc>
        <w:tc>
          <w:tcPr>
            <w:tcW w:w="1134" w:type="dxa"/>
          </w:tcPr>
          <w:p w14:paraId="65D62A1A" w14:textId="77777777" w:rsidR="006416A2" w:rsidRPr="008B6FF0" w:rsidRDefault="006416A2" w:rsidP="00FF1D46">
            <w:pPr>
              <w:jc w:val="right"/>
              <w:rPr>
                <w:rFonts w:asciiTheme="minorHAnsi" w:eastAsia="Times New Roman" w:hAnsiTheme="minorHAnsi" w:cstheme="minorHAnsi"/>
                <w:i/>
                <w:iCs/>
                <w:color w:val="000000"/>
                <w:sz w:val="22"/>
                <w:szCs w:val="22"/>
              </w:rPr>
            </w:pPr>
            <w:r w:rsidRPr="008B6FF0">
              <w:rPr>
                <w:rFonts w:asciiTheme="minorHAnsi" w:eastAsia="Times New Roman" w:hAnsiTheme="minorHAnsi" w:cstheme="minorHAnsi"/>
                <w:i/>
                <w:iCs/>
                <w:color w:val="000000"/>
                <w:sz w:val="22"/>
                <w:szCs w:val="22"/>
              </w:rPr>
              <w:t>6.44</w:t>
            </w:r>
          </w:p>
        </w:tc>
        <w:tc>
          <w:tcPr>
            <w:tcW w:w="1276" w:type="dxa"/>
          </w:tcPr>
          <w:p w14:paraId="641A11FE" w14:textId="77777777" w:rsidR="006416A2" w:rsidRPr="008B6FF0" w:rsidRDefault="006416A2" w:rsidP="00FF1D46">
            <w:pPr>
              <w:jc w:val="center"/>
              <w:rPr>
                <w:rFonts w:asciiTheme="minorHAnsi" w:eastAsia="Times New Roman" w:hAnsiTheme="minorHAnsi" w:cstheme="minorHAnsi"/>
                <w:i/>
                <w:iCs/>
                <w:color w:val="000000"/>
                <w:sz w:val="22"/>
                <w:szCs w:val="22"/>
              </w:rPr>
            </w:pPr>
            <w:r w:rsidRPr="008B6FF0">
              <w:rPr>
                <w:rFonts w:asciiTheme="minorHAnsi" w:eastAsia="Times New Roman" w:hAnsiTheme="minorHAnsi" w:cstheme="minorHAnsi"/>
                <w:i/>
                <w:iCs/>
                <w:color w:val="000000"/>
                <w:sz w:val="22"/>
                <w:szCs w:val="22"/>
              </w:rPr>
              <w:t>6.95</w:t>
            </w:r>
          </w:p>
        </w:tc>
        <w:tc>
          <w:tcPr>
            <w:tcW w:w="939" w:type="dxa"/>
            <w:tcBorders>
              <w:right w:val="single" w:sz="4" w:space="0" w:color="auto"/>
            </w:tcBorders>
          </w:tcPr>
          <w:p w14:paraId="5731225A" w14:textId="77777777" w:rsidR="006416A2" w:rsidRPr="008B6FF0" w:rsidRDefault="006416A2" w:rsidP="00FF1D46">
            <w:pPr>
              <w:jc w:val="right"/>
              <w:rPr>
                <w:rFonts w:asciiTheme="minorHAnsi" w:eastAsia="Times New Roman" w:hAnsiTheme="minorHAnsi" w:cstheme="minorHAnsi"/>
                <w:i/>
                <w:iCs/>
                <w:color w:val="000000"/>
                <w:sz w:val="22"/>
                <w:szCs w:val="22"/>
              </w:rPr>
            </w:pPr>
            <w:r w:rsidRPr="008B6FF0">
              <w:rPr>
                <w:rFonts w:asciiTheme="minorHAnsi" w:eastAsia="Times New Roman" w:hAnsiTheme="minorHAnsi" w:cstheme="minorHAnsi"/>
                <w:i/>
                <w:iCs/>
                <w:color w:val="000000"/>
                <w:sz w:val="22"/>
                <w:szCs w:val="22"/>
              </w:rPr>
              <w:t>6.25</w:t>
            </w:r>
          </w:p>
        </w:tc>
      </w:tr>
      <w:tr w:rsidR="006416A2" w:rsidRPr="008B6FF0" w14:paraId="43652AF6" w14:textId="77777777" w:rsidTr="00FF1D46">
        <w:trPr>
          <w:cnfStyle w:val="000000100000" w:firstRow="0" w:lastRow="0" w:firstColumn="0" w:lastColumn="0" w:oddVBand="0" w:evenVBand="0" w:oddHBand="1" w:evenHBand="0" w:firstRowFirstColumn="0" w:firstRowLastColumn="0" w:lastRowFirstColumn="0" w:lastRowLastColumn="0"/>
          <w:trHeight w:val="360"/>
        </w:trPr>
        <w:tc>
          <w:tcPr>
            <w:tcW w:w="1999" w:type="dxa"/>
            <w:vMerge/>
            <w:tcBorders>
              <w:left w:val="single" w:sz="4" w:space="0" w:color="auto"/>
            </w:tcBorders>
          </w:tcPr>
          <w:p w14:paraId="7655273D" w14:textId="77777777" w:rsidR="006416A2" w:rsidRPr="008B6FF0" w:rsidRDefault="006416A2" w:rsidP="00FF1D46">
            <w:pPr>
              <w:widowControl w:val="0"/>
              <w:pBdr>
                <w:top w:val="nil"/>
                <w:left w:val="nil"/>
                <w:bottom w:val="nil"/>
                <w:right w:val="nil"/>
                <w:between w:val="nil"/>
              </w:pBdr>
              <w:spacing w:line="276" w:lineRule="auto"/>
              <w:rPr>
                <w:rFonts w:asciiTheme="minorHAnsi" w:eastAsia="Times New Roman" w:hAnsiTheme="minorHAnsi" w:cstheme="minorHAnsi"/>
                <w:i/>
                <w:iCs/>
                <w:color w:val="000000"/>
                <w:sz w:val="22"/>
                <w:szCs w:val="22"/>
              </w:rPr>
            </w:pPr>
          </w:p>
        </w:tc>
        <w:tc>
          <w:tcPr>
            <w:tcW w:w="1983" w:type="dxa"/>
            <w:vMerge/>
          </w:tcPr>
          <w:p w14:paraId="3BCF5595" w14:textId="77777777" w:rsidR="006416A2" w:rsidRPr="008B6FF0" w:rsidRDefault="006416A2" w:rsidP="00FF1D46">
            <w:pPr>
              <w:widowControl w:val="0"/>
              <w:pBdr>
                <w:top w:val="nil"/>
                <w:left w:val="nil"/>
                <w:bottom w:val="nil"/>
                <w:right w:val="nil"/>
                <w:between w:val="nil"/>
              </w:pBdr>
              <w:spacing w:line="276" w:lineRule="auto"/>
              <w:rPr>
                <w:rFonts w:asciiTheme="minorHAnsi" w:eastAsia="Times New Roman" w:hAnsiTheme="minorHAnsi" w:cstheme="minorHAnsi"/>
                <w:i/>
                <w:iCs/>
                <w:color w:val="000000"/>
                <w:sz w:val="22"/>
                <w:szCs w:val="22"/>
              </w:rPr>
            </w:pPr>
          </w:p>
        </w:tc>
        <w:tc>
          <w:tcPr>
            <w:tcW w:w="992" w:type="dxa"/>
          </w:tcPr>
          <w:p w14:paraId="1C1309E0" w14:textId="77777777" w:rsidR="006416A2" w:rsidRPr="008B6FF0" w:rsidRDefault="006416A2" w:rsidP="00FF1D46">
            <w:pPr>
              <w:rPr>
                <w:rFonts w:asciiTheme="minorHAnsi" w:eastAsia="Times New Roman" w:hAnsiTheme="minorHAnsi" w:cstheme="minorHAnsi"/>
                <w:i/>
                <w:iCs/>
                <w:color w:val="000000"/>
                <w:sz w:val="22"/>
                <w:szCs w:val="22"/>
              </w:rPr>
            </w:pPr>
            <w:r w:rsidRPr="008B6FF0">
              <w:rPr>
                <w:rFonts w:asciiTheme="minorHAnsi" w:eastAsia="Times New Roman" w:hAnsiTheme="minorHAnsi" w:cstheme="minorHAnsi"/>
                <w:i/>
                <w:iCs/>
                <w:color w:val="000000"/>
                <w:sz w:val="22"/>
                <w:szCs w:val="22"/>
              </w:rPr>
              <w:t>Upper Bound</w:t>
            </w:r>
          </w:p>
        </w:tc>
        <w:tc>
          <w:tcPr>
            <w:tcW w:w="1170" w:type="dxa"/>
          </w:tcPr>
          <w:p w14:paraId="216E9A90" w14:textId="77777777" w:rsidR="006416A2" w:rsidRPr="008B6FF0" w:rsidRDefault="006416A2" w:rsidP="00FF1D46">
            <w:pPr>
              <w:jc w:val="right"/>
              <w:rPr>
                <w:rFonts w:asciiTheme="minorHAnsi" w:eastAsia="Times New Roman" w:hAnsiTheme="minorHAnsi" w:cstheme="minorHAnsi"/>
                <w:i/>
                <w:iCs/>
                <w:color w:val="000000"/>
                <w:sz w:val="22"/>
                <w:szCs w:val="22"/>
              </w:rPr>
            </w:pPr>
            <w:r w:rsidRPr="008B6FF0">
              <w:rPr>
                <w:rFonts w:asciiTheme="minorHAnsi" w:eastAsia="Times New Roman" w:hAnsiTheme="minorHAnsi" w:cstheme="minorHAnsi"/>
                <w:i/>
                <w:iCs/>
                <w:color w:val="000000"/>
                <w:sz w:val="22"/>
                <w:szCs w:val="22"/>
              </w:rPr>
              <w:t>7.97</w:t>
            </w:r>
          </w:p>
        </w:tc>
        <w:tc>
          <w:tcPr>
            <w:tcW w:w="1134" w:type="dxa"/>
          </w:tcPr>
          <w:p w14:paraId="2B2C4507" w14:textId="77777777" w:rsidR="006416A2" w:rsidRPr="008B6FF0" w:rsidRDefault="006416A2" w:rsidP="00FF1D46">
            <w:pPr>
              <w:jc w:val="right"/>
              <w:rPr>
                <w:rFonts w:asciiTheme="minorHAnsi" w:eastAsia="Times New Roman" w:hAnsiTheme="minorHAnsi" w:cstheme="minorHAnsi"/>
                <w:i/>
                <w:iCs/>
                <w:color w:val="000000"/>
                <w:sz w:val="22"/>
                <w:szCs w:val="22"/>
              </w:rPr>
            </w:pPr>
            <w:r w:rsidRPr="008B6FF0">
              <w:rPr>
                <w:rFonts w:asciiTheme="minorHAnsi" w:eastAsia="Times New Roman" w:hAnsiTheme="minorHAnsi" w:cstheme="minorHAnsi"/>
                <w:i/>
                <w:iCs/>
                <w:color w:val="000000"/>
                <w:sz w:val="22"/>
                <w:szCs w:val="22"/>
              </w:rPr>
              <w:t>7.78</w:t>
            </w:r>
          </w:p>
        </w:tc>
        <w:tc>
          <w:tcPr>
            <w:tcW w:w="1276" w:type="dxa"/>
          </w:tcPr>
          <w:p w14:paraId="5C60F8A8" w14:textId="77777777" w:rsidR="006416A2" w:rsidRPr="008B6FF0" w:rsidRDefault="006416A2" w:rsidP="00FF1D46">
            <w:pPr>
              <w:jc w:val="center"/>
              <w:rPr>
                <w:rFonts w:asciiTheme="minorHAnsi" w:eastAsia="Times New Roman" w:hAnsiTheme="minorHAnsi" w:cstheme="minorHAnsi"/>
                <w:i/>
                <w:iCs/>
                <w:color w:val="000000"/>
                <w:sz w:val="22"/>
                <w:szCs w:val="22"/>
              </w:rPr>
            </w:pPr>
            <w:r w:rsidRPr="008B6FF0">
              <w:rPr>
                <w:rFonts w:asciiTheme="minorHAnsi" w:eastAsia="Times New Roman" w:hAnsiTheme="minorHAnsi" w:cstheme="minorHAnsi"/>
                <w:i/>
                <w:iCs/>
                <w:color w:val="000000"/>
                <w:sz w:val="22"/>
                <w:szCs w:val="22"/>
              </w:rPr>
              <w:t>8.05</w:t>
            </w:r>
          </w:p>
        </w:tc>
        <w:tc>
          <w:tcPr>
            <w:tcW w:w="939" w:type="dxa"/>
            <w:tcBorders>
              <w:right w:val="single" w:sz="4" w:space="0" w:color="auto"/>
            </w:tcBorders>
          </w:tcPr>
          <w:p w14:paraId="0F301A14" w14:textId="77777777" w:rsidR="006416A2" w:rsidRPr="008B6FF0" w:rsidRDefault="006416A2" w:rsidP="00FF1D46">
            <w:pPr>
              <w:jc w:val="right"/>
              <w:rPr>
                <w:rFonts w:asciiTheme="minorHAnsi" w:eastAsia="Times New Roman" w:hAnsiTheme="minorHAnsi" w:cstheme="minorHAnsi"/>
                <w:i/>
                <w:iCs/>
                <w:color w:val="000000"/>
                <w:sz w:val="22"/>
                <w:szCs w:val="22"/>
              </w:rPr>
            </w:pPr>
            <w:r w:rsidRPr="008B6FF0">
              <w:rPr>
                <w:rFonts w:asciiTheme="minorHAnsi" w:eastAsia="Times New Roman" w:hAnsiTheme="minorHAnsi" w:cstheme="minorHAnsi"/>
                <w:i/>
                <w:iCs/>
                <w:color w:val="000000"/>
                <w:sz w:val="22"/>
                <w:szCs w:val="22"/>
              </w:rPr>
              <w:t>7.43</w:t>
            </w:r>
          </w:p>
        </w:tc>
      </w:tr>
      <w:tr w:rsidR="006416A2" w:rsidRPr="008B6FF0" w14:paraId="4CF500FA" w14:textId="77777777" w:rsidTr="00FF1D46">
        <w:trPr>
          <w:trHeight w:val="360"/>
        </w:trPr>
        <w:tc>
          <w:tcPr>
            <w:tcW w:w="9493" w:type="dxa"/>
            <w:gridSpan w:val="7"/>
            <w:tcBorders>
              <w:left w:val="single" w:sz="4" w:space="0" w:color="auto"/>
              <w:bottom w:val="single" w:sz="4" w:space="0" w:color="auto"/>
              <w:right w:val="single" w:sz="4" w:space="0" w:color="auto"/>
            </w:tcBorders>
          </w:tcPr>
          <w:p w14:paraId="1B2DF3F7" w14:textId="77777777" w:rsidR="006416A2" w:rsidRPr="008B6FF0" w:rsidRDefault="006416A2" w:rsidP="00FF1D46">
            <w:pPr>
              <w:jc w:val="center"/>
              <w:rPr>
                <w:rFonts w:asciiTheme="minorHAnsi" w:eastAsia="Times New Roman" w:hAnsiTheme="minorHAnsi" w:cstheme="minorHAnsi"/>
                <w:i/>
                <w:iCs/>
                <w:color w:val="000000"/>
                <w:sz w:val="22"/>
                <w:szCs w:val="22"/>
              </w:rPr>
            </w:pPr>
            <w:r w:rsidRPr="008B6FF0">
              <w:rPr>
                <w:rFonts w:asciiTheme="minorHAnsi" w:eastAsia="Times New Roman" w:hAnsiTheme="minorHAnsi" w:cstheme="minorHAnsi"/>
                <w:i/>
                <w:iCs/>
                <w:color w:val="000000"/>
                <w:sz w:val="22"/>
                <w:szCs w:val="22"/>
              </w:rPr>
              <w:t>p=0.665</w:t>
            </w:r>
          </w:p>
        </w:tc>
      </w:tr>
    </w:tbl>
    <w:p w14:paraId="6E336423" w14:textId="7E99338A" w:rsidR="006416A2" w:rsidRDefault="006416A2" w:rsidP="00BA7EAB">
      <w:pPr>
        <w:pStyle w:val="Heading3"/>
      </w:pPr>
      <w:bookmarkStart w:id="406" w:name="_Toc431375322"/>
      <w:bookmarkStart w:id="407" w:name="_Toc46213558"/>
      <w:bookmarkStart w:id="408" w:name="_Toc48469273"/>
      <w:bookmarkStart w:id="409" w:name="_Toc64723955"/>
      <w:r w:rsidRPr="00BB75E6">
        <w:t>R</w:t>
      </w:r>
      <w:bookmarkEnd w:id="406"/>
      <w:bookmarkEnd w:id="407"/>
      <w:r>
        <w:t>egional Blood Volume</w:t>
      </w:r>
      <w:bookmarkEnd w:id="408"/>
      <w:bookmarkEnd w:id="409"/>
    </w:p>
    <w:p w14:paraId="44959371" w14:textId="77777777" w:rsidR="006416A2" w:rsidRPr="006057F9" w:rsidRDefault="006416A2" w:rsidP="006416A2">
      <w:pPr>
        <w:spacing w:line="360" w:lineRule="auto"/>
      </w:pPr>
      <w:r>
        <w:t xml:space="preserve">One subject from the P-DPN group had extravasation of contrast during the scan and was not included in the analysis. Therefore, there were 18 subjects in the P-DPN group, 23 in the DPN group, 13 in the DM-NN and 19 in the HV for the analyses involving visit 3.   </w:t>
      </w:r>
    </w:p>
    <w:p w14:paraId="3946324A" w14:textId="652C197F" w:rsidR="006416A2" w:rsidRPr="0046197E" w:rsidRDefault="006416A2" w:rsidP="006416A2">
      <w:pPr>
        <w:spacing w:line="360" w:lineRule="auto"/>
      </w:pPr>
      <w:r w:rsidRPr="0046197E">
        <w:t>Using multivariate analysis there was an overall effect of group</w:t>
      </w:r>
      <w:r w:rsidR="007931F5">
        <w:t>s</w:t>
      </w:r>
      <w:r>
        <w:t xml:space="preserve">: </w:t>
      </w:r>
      <w:r w:rsidRPr="0046197E">
        <w:t xml:space="preserve">Wilks’ </w:t>
      </w:r>
      <w:r w:rsidRPr="0046197E">
        <w:rPr>
          <w:rFonts w:hint="eastAsia"/>
        </w:rPr>
        <w:t>λ</w:t>
      </w:r>
      <w:r w:rsidRPr="0046197E">
        <w:t>= .</w:t>
      </w:r>
      <w:r>
        <w:t>48</w:t>
      </w:r>
      <w:r w:rsidRPr="0046197E">
        <w:rPr>
          <w:rFonts w:hint="eastAsia"/>
        </w:rPr>
        <w:t xml:space="preserve"> </w:t>
      </w:r>
      <w:r w:rsidRPr="0046197E">
        <w:t>F(</w:t>
      </w:r>
      <w:r>
        <w:t>24</w:t>
      </w:r>
      <w:r w:rsidRPr="0046197E">
        <w:t>,</w:t>
      </w:r>
      <w:r>
        <w:t>169</w:t>
      </w:r>
      <w:r w:rsidRPr="0046197E">
        <w:t xml:space="preserve">)= </w:t>
      </w:r>
      <w:r>
        <w:t>2.01</w:t>
      </w:r>
      <w:r w:rsidRPr="0046197E">
        <w:t>,</w:t>
      </w:r>
      <w:r>
        <w:t xml:space="preserve"> (p=.01); and interaction of group and LIKERT </w:t>
      </w:r>
      <w:r w:rsidRPr="0046197E">
        <w:t>on RBV</w:t>
      </w:r>
      <w:r>
        <w:t xml:space="preserve"> </w:t>
      </w:r>
      <w:r w:rsidRPr="0046197E">
        <w:t xml:space="preserve">Wilks’ </w:t>
      </w:r>
      <w:r w:rsidRPr="0046197E">
        <w:rPr>
          <w:rFonts w:hint="eastAsia"/>
        </w:rPr>
        <w:t>λ</w:t>
      </w:r>
      <w:r w:rsidRPr="0046197E">
        <w:t>= .</w:t>
      </w:r>
      <w:r>
        <w:t>53</w:t>
      </w:r>
      <w:r w:rsidRPr="0046197E">
        <w:rPr>
          <w:rFonts w:hint="eastAsia"/>
        </w:rPr>
        <w:t xml:space="preserve"> </w:t>
      </w:r>
      <w:r w:rsidRPr="0046197E">
        <w:t>F(</w:t>
      </w:r>
      <w:r>
        <w:t>24</w:t>
      </w:r>
      <w:r w:rsidRPr="0046197E">
        <w:t>,</w:t>
      </w:r>
      <w:r>
        <w:t>169</w:t>
      </w:r>
      <w:r w:rsidRPr="0046197E">
        <w:t xml:space="preserve">)= </w:t>
      </w:r>
      <w:r>
        <w:t>1.74</w:t>
      </w:r>
      <w:r w:rsidRPr="0046197E">
        <w:t>,</w:t>
      </w:r>
      <w:r>
        <w:t xml:space="preserve"> (p=.02); </w:t>
      </w:r>
      <w:r w:rsidRPr="0046197E">
        <w:t xml:space="preserve"> when the regions of interest were considered together</w:t>
      </w:r>
      <w:r w:rsidR="008B6FF0">
        <w:t xml:space="preserve">. </w:t>
      </w:r>
      <w:r w:rsidRPr="0046197E">
        <w:t xml:space="preserve"> </w:t>
      </w:r>
      <w:r>
        <w:lastRenderedPageBreak/>
        <w:t xml:space="preserve">This indicates that there is a significant effect across the areas of the pain matrix which is driven by the groups having different patterns of RBV in response to LIKERT.  There was a trend to increased RBV across the ROI for the P-DPN group (see Figure 5.2). </w:t>
      </w:r>
      <w:r w:rsidRPr="0046197E">
        <w:t>This multivariate effect was explored using a discriminant analysis, which did not significantly differentiate between the groups</w:t>
      </w:r>
      <w:r w:rsidR="003F600B">
        <w:t>:</w:t>
      </w:r>
      <w:r w:rsidRPr="0046197E">
        <w:t xml:space="preserve"> Wilks </w:t>
      </w:r>
      <w:r w:rsidRPr="0046197E">
        <w:rPr>
          <w:rFonts w:hint="eastAsia"/>
        </w:rPr>
        <w:t>λ</w:t>
      </w:r>
      <w:r w:rsidRPr="0046197E">
        <w:t>= 0.584, p=.132</w:t>
      </w:r>
      <w:r>
        <w:t>. (see appendix Figure D.1)</w:t>
      </w:r>
      <w:r w:rsidRPr="0046197E">
        <w:t xml:space="preserve">. </w:t>
      </w:r>
    </w:p>
    <w:p w14:paraId="55040B5C" w14:textId="77777777" w:rsidR="006416A2" w:rsidRPr="0046197E" w:rsidRDefault="006416A2" w:rsidP="006416A2">
      <w:pPr>
        <w:spacing w:line="360" w:lineRule="auto"/>
      </w:pPr>
      <w:r w:rsidRPr="0046197E">
        <w:t xml:space="preserve">The </w:t>
      </w:r>
      <w:r>
        <w:t>univariate</w:t>
      </w:r>
      <w:r w:rsidRPr="0046197E">
        <w:t xml:space="preserve"> ANCOVA</w:t>
      </w:r>
      <w:r>
        <w:t xml:space="preserve"> </w:t>
      </w:r>
      <w:r w:rsidRPr="0046197E">
        <w:t xml:space="preserve">revealed that there </w:t>
      </w:r>
      <w:r>
        <w:t>were</w:t>
      </w:r>
      <w:r w:rsidRPr="0046197E">
        <w:t xml:space="preserve"> group difference</w:t>
      </w:r>
      <w:r>
        <w:t>s</w:t>
      </w:r>
      <w:r w:rsidRPr="0046197E">
        <w:t xml:space="preserve"> </w:t>
      </w:r>
      <w:r>
        <w:t>for</w:t>
      </w:r>
      <w:r w:rsidRPr="0046197E">
        <w:t xml:space="preserve"> mean RBV </w:t>
      </w:r>
      <w:r>
        <w:t>in</w:t>
      </w:r>
      <w:r w:rsidRPr="0046197E">
        <w:t xml:space="preserve"> the </w:t>
      </w:r>
      <w:r>
        <w:t>LINS (p=0.04)</w:t>
      </w:r>
      <w:r w:rsidRPr="0046197E">
        <w:t xml:space="preserve"> and the </w:t>
      </w:r>
      <w:r>
        <w:t>RPSC (p=.014)</w:t>
      </w:r>
      <w:r w:rsidRPr="0046197E">
        <w:t xml:space="preserve"> </w:t>
      </w:r>
      <w:r>
        <w:t>after accounting for</w:t>
      </w:r>
      <w:r w:rsidRPr="0046197E">
        <w:t xml:space="preserve"> </w:t>
      </w:r>
      <w:r>
        <w:t>LIKERT</w:t>
      </w:r>
      <w:r w:rsidRPr="0046197E">
        <w:t xml:space="preserve"> and the interaction</w:t>
      </w:r>
      <w:r>
        <w:t xml:space="preserve"> effect</w:t>
      </w:r>
      <w:r w:rsidRPr="0046197E">
        <w:t xml:space="preserve"> between group and </w:t>
      </w:r>
      <w:r>
        <w:t>LIKERT (see figure 5.2 and appendix D: Table D.4)</w:t>
      </w:r>
      <w:r w:rsidRPr="0046197E">
        <w:t xml:space="preserve"> </w:t>
      </w:r>
    </w:p>
    <w:p w14:paraId="1734B765" w14:textId="68F1B46F" w:rsidR="006416A2" w:rsidRPr="00BA7EAB" w:rsidRDefault="006416A2" w:rsidP="00BA7EAB">
      <w:pPr>
        <w:pStyle w:val="Subtitle"/>
      </w:pPr>
      <w:bookmarkStart w:id="410" w:name="_Toc417900855"/>
      <w:bookmarkStart w:id="411" w:name="_Toc45038135"/>
      <w:bookmarkStart w:id="412" w:name="_Toc48469296"/>
      <w:bookmarkStart w:id="413" w:name="_Toc64724207"/>
      <w:r w:rsidRPr="00BA7EAB">
        <w:t xml:space="preserve">Figure 5.2. 95% Confidence </w:t>
      </w:r>
      <w:r w:rsidR="008B6FF0">
        <w:t>I</w:t>
      </w:r>
      <w:r w:rsidRPr="00BA7EAB">
        <w:t xml:space="preserve">ntervals for the Group </w:t>
      </w:r>
      <w:r w:rsidR="00DD217A">
        <w:t>M</w:t>
      </w:r>
      <w:r w:rsidRPr="00BA7EAB">
        <w:t xml:space="preserve">eans and Regions of Interest for RBV at Visit 3 Adjusted for </w:t>
      </w:r>
      <w:bookmarkEnd w:id="410"/>
      <w:bookmarkEnd w:id="411"/>
      <w:r w:rsidRPr="00BA7EAB">
        <w:t>LIKERT</w:t>
      </w:r>
      <w:bookmarkEnd w:id="412"/>
      <w:bookmarkEnd w:id="413"/>
      <w:r w:rsidRPr="00BA7EAB">
        <w:t xml:space="preserve"> </w:t>
      </w:r>
    </w:p>
    <w:p w14:paraId="5C6C518A" w14:textId="77777777" w:rsidR="006416A2" w:rsidRPr="00F443A7" w:rsidRDefault="006416A2" w:rsidP="006416A2">
      <w:pPr>
        <w:rPr>
          <w:lang w:eastAsia="en-GB"/>
        </w:rPr>
      </w:pPr>
      <w:r w:rsidRPr="00F443A7">
        <w:rPr>
          <w:noProof/>
          <w:lang w:eastAsia="en-GB"/>
        </w:rPr>
        <w:drawing>
          <wp:inline distT="0" distB="0" distL="0" distR="0" wp14:anchorId="0A9D7161" wp14:editId="55133B2D">
            <wp:extent cx="5494020" cy="3579031"/>
            <wp:effectExtent l="0" t="0" r="5080" b="2540"/>
            <wp:docPr id="2136" name="Picture 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534193" cy="3605201"/>
                    </a:xfrm>
                    <a:prstGeom prst="rect">
                      <a:avLst/>
                    </a:prstGeom>
                  </pic:spPr>
                </pic:pic>
              </a:graphicData>
            </a:graphic>
          </wp:inline>
        </w:drawing>
      </w:r>
    </w:p>
    <w:p w14:paraId="42810FA5" w14:textId="77777777" w:rsidR="006416A2" w:rsidRPr="00BA7EAB" w:rsidRDefault="006416A2" w:rsidP="00BA7EAB">
      <w:pPr>
        <w:spacing w:line="360" w:lineRule="auto"/>
        <w:rPr>
          <w:rStyle w:val="SubtleEmphasis"/>
        </w:rPr>
      </w:pPr>
      <w:r w:rsidRPr="00BA7EAB">
        <w:rPr>
          <w:rStyle w:val="SubtleEmphasis"/>
        </w:rPr>
        <w:t>*LINS p=.04, no post Hoc significance. *RPSC p=.014  no post hoc significance. Figure 5.1 shows that trend for mean RBV in the P-DPN group is increased.</w:t>
      </w:r>
    </w:p>
    <w:p w14:paraId="6C421816" w14:textId="3D26C44E" w:rsidR="006416A2" w:rsidRPr="0014038D" w:rsidRDefault="006416A2" w:rsidP="00C8005D">
      <w:pPr>
        <w:pStyle w:val="Heading3"/>
      </w:pPr>
      <w:bookmarkStart w:id="414" w:name="_Toc405028905"/>
      <w:bookmarkStart w:id="415" w:name="_Toc431375323"/>
      <w:bookmarkStart w:id="416" w:name="_Toc46213559"/>
      <w:bookmarkStart w:id="417" w:name="_Toc48469274"/>
      <w:bookmarkStart w:id="418" w:name="_Toc64723956"/>
      <w:r w:rsidRPr="00BB75E6">
        <w:t>R</w:t>
      </w:r>
      <w:bookmarkEnd w:id="414"/>
      <w:bookmarkEnd w:id="415"/>
      <w:bookmarkEnd w:id="416"/>
      <w:r>
        <w:t>egional Blood Flow</w:t>
      </w:r>
      <w:bookmarkEnd w:id="417"/>
      <w:bookmarkEnd w:id="418"/>
    </w:p>
    <w:p w14:paraId="3EA2FA74" w14:textId="6558C490" w:rsidR="006416A2" w:rsidRDefault="006416A2" w:rsidP="006416A2">
      <w:pPr>
        <w:spacing w:line="360" w:lineRule="auto"/>
        <w:rPr>
          <w:rFonts w:cs="Arial"/>
        </w:rPr>
      </w:pPr>
      <w:r w:rsidRPr="001E0387">
        <w:rPr>
          <w:rFonts w:cs="Arial"/>
        </w:rPr>
        <w:t xml:space="preserve">Multivariate ANCOVA was not significant for group: Wilks’ </w:t>
      </w:r>
      <w:r w:rsidRPr="001E0387">
        <w:rPr>
          <w:rFonts w:eastAsia="Arial Unicode MS" w:cs="Arial"/>
        </w:rPr>
        <w:t>λ</w:t>
      </w:r>
      <w:r w:rsidRPr="001E0387">
        <w:rPr>
          <w:rFonts w:cs="Arial"/>
        </w:rPr>
        <w:t>= .628, F(24,180)=1.307, p=.165</w:t>
      </w:r>
      <w:r w:rsidR="000416C0">
        <w:rPr>
          <w:rFonts w:cs="Arial"/>
        </w:rPr>
        <w:t>,</w:t>
      </w:r>
      <w:r w:rsidRPr="001E0387">
        <w:rPr>
          <w:rFonts w:cs="Arial"/>
        </w:rPr>
        <w:t xml:space="preserve"> but was significant for LIKERT: Wilks’ </w:t>
      </w:r>
      <w:r w:rsidRPr="001E0387">
        <w:rPr>
          <w:rFonts w:eastAsia="Arial Unicode MS" w:cs="Arial"/>
        </w:rPr>
        <w:t>λ</w:t>
      </w:r>
      <w:r w:rsidRPr="001E0387">
        <w:rPr>
          <w:rFonts w:cs="Arial"/>
        </w:rPr>
        <w:t>= .741</w:t>
      </w:r>
      <w:r w:rsidRPr="001E0387">
        <w:rPr>
          <w:rFonts w:cs="Arial"/>
        </w:rPr>
        <w:tab/>
        <w:t>F(8,61)=2.661, p=.014</w:t>
      </w:r>
      <w:r>
        <w:rPr>
          <w:rFonts w:cs="Arial"/>
        </w:rPr>
        <w:t xml:space="preserve"> as a significant covariant of RBF</w:t>
      </w:r>
      <w:r w:rsidRPr="001E0387">
        <w:rPr>
          <w:rFonts w:cs="Arial"/>
        </w:rPr>
        <w:t xml:space="preserve">. </w:t>
      </w:r>
      <w:r>
        <w:rPr>
          <w:rFonts w:cs="Arial"/>
        </w:rPr>
        <w:t xml:space="preserve">Indicating that RBF was proportional to LIKERT independent of group membership. </w:t>
      </w:r>
      <w:r w:rsidRPr="001E0387">
        <w:rPr>
          <w:rFonts w:cs="Arial"/>
        </w:rPr>
        <w:t xml:space="preserve"> There was no significant difference between the </w:t>
      </w:r>
      <w:r w:rsidRPr="001E0387">
        <w:rPr>
          <w:rFonts w:cs="Arial"/>
        </w:rPr>
        <w:lastRenderedPageBreak/>
        <w:t xml:space="preserve">group means </w:t>
      </w:r>
      <w:r>
        <w:rPr>
          <w:rFonts w:cs="Arial"/>
        </w:rPr>
        <w:t>for</w:t>
      </w:r>
      <w:r w:rsidRPr="001E0387">
        <w:rPr>
          <w:rFonts w:cs="Arial"/>
        </w:rPr>
        <w:t xml:space="preserve"> RBF by ROI</w:t>
      </w:r>
      <w:r>
        <w:rPr>
          <w:rFonts w:cs="Arial"/>
        </w:rPr>
        <w:t xml:space="preserve"> (see Figure 5.3 and Appendix D, Table D.5) however there was a trend toward a higher mean RBF in the P-DPN group.</w:t>
      </w:r>
      <w:r w:rsidRPr="001E0387">
        <w:rPr>
          <w:rFonts w:cs="Arial"/>
        </w:rPr>
        <w:t xml:space="preserve"> </w:t>
      </w:r>
    </w:p>
    <w:p w14:paraId="0D6F14BA" w14:textId="1390BB04" w:rsidR="006416A2" w:rsidRDefault="006416A2" w:rsidP="009F58A0">
      <w:pPr>
        <w:pStyle w:val="Subtitle"/>
      </w:pPr>
      <w:bookmarkStart w:id="419" w:name="_Toc417900859"/>
      <w:bookmarkStart w:id="420" w:name="_Toc45038139"/>
      <w:bookmarkStart w:id="421" w:name="_Toc48469297"/>
      <w:bookmarkStart w:id="422" w:name="_Toc64724208"/>
      <w:r w:rsidRPr="00BB75E6">
        <w:t xml:space="preserve">Figure </w:t>
      </w:r>
      <w:r>
        <w:t>5.3</w:t>
      </w:r>
      <w:r w:rsidRPr="00BB75E6">
        <w:t xml:space="preserve">. 95% Confidence </w:t>
      </w:r>
      <w:r w:rsidR="000416C0">
        <w:t>I</w:t>
      </w:r>
      <w:r w:rsidRPr="00BB75E6">
        <w:t xml:space="preserve">ntervals for the Group </w:t>
      </w:r>
      <w:r w:rsidR="00DD217A">
        <w:t>M</w:t>
      </w:r>
      <w:r w:rsidRPr="00BB75E6">
        <w:t xml:space="preserve">eans and Regions of Interest for RBF at </w:t>
      </w:r>
      <w:r w:rsidR="00DD217A">
        <w:t>V</w:t>
      </w:r>
      <w:r w:rsidRPr="00BB75E6">
        <w:t>isit 3</w:t>
      </w:r>
      <w:bookmarkEnd w:id="419"/>
      <w:bookmarkEnd w:id="420"/>
      <w:r>
        <w:t xml:space="preserve"> </w:t>
      </w:r>
      <w:r w:rsidR="00DD217A">
        <w:t>A</w:t>
      </w:r>
      <w:r>
        <w:t>djusted for LIKERT</w:t>
      </w:r>
      <w:bookmarkEnd w:id="421"/>
      <w:bookmarkEnd w:id="422"/>
    </w:p>
    <w:p w14:paraId="797ADC37" w14:textId="77777777" w:rsidR="006416A2" w:rsidRPr="00330ED1" w:rsidRDefault="006416A2" w:rsidP="006416A2">
      <w:pPr>
        <w:rPr>
          <w:lang w:eastAsia="en-GB"/>
        </w:rPr>
      </w:pPr>
      <w:r w:rsidRPr="00330ED1">
        <w:rPr>
          <w:noProof/>
          <w:lang w:eastAsia="en-GB"/>
        </w:rPr>
        <w:drawing>
          <wp:inline distT="0" distB="0" distL="0" distR="0" wp14:anchorId="5DD21C3D" wp14:editId="204DE5C6">
            <wp:extent cx="3864077" cy="257119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885413" cy="2585393"/>
                    </a:xfrm>
                    <a:prstGeom prst="rect">
                      <a:avLst/>
                    </a:prstGeom>
                  </pic:spPr>
                </pic:pic>
              </a:graphicData>
            </a:graphic>
          </wp:inline>
        </w:drawing>
      </w:r>
    </w:p>
    <w:p w14:paraId="795F101B" w14:textId="77777777" w:rsidR="006416A2" w:rsidRPr="00BA7EAB" w:rsidRDefault="006416A2" w:rsidP="00BA7EAB">
      <w:pPr>
        <w:spacing w:line="360" w:lineRule="auto"/>
        <w:rPr>
          <w:rStyle w:val="SubtleEmphasis"/>
        </w:rPr>
      </w:pPr>
      <w:r w:rsidRPr="00BA7EAB">
        <w:rPr>
          <w:rStyle w:val="SubtleEmphasis"/>
        </w:rPr>
        <w:t>There is no statistical significance but the trend for mean RBF for the P-DPN group is higher in value than the other groups across the ROI.</w:t>
      </w:r>
    </w:p>
    <w:p w14:paraId="4EF9CBD3" w14:textId="5B65CCE2" w:rsidR="006416A2" w:rsidRPr="002571AD" w:rsidRDefault="006416A2" w:rsidP="00C8005D">
      <w:pPr>
        <w:pStyle w:val="Heading3"/>
      </w:pPr>
      <w:bookmarkStart w:id="423" w:name="_Toc405028906"/>
      <w:bookmarkStart w:id="424" w:name="_Toc431375324"/>
      <w:bookmarkStart w:id="425" w:name="_Toc46213560"/>
      <w:bookmarkStart w:id="426" w:name="_Toc48469275"/>
      <w:bookmarkStart w:id="427" w:name="_Toc64723957"/>
      <w:r w:rsidRPr="00BB75E6">
        <w:t>M</w:t>
      </w:r>
      <w:bookmarkEnd w:id="423"/>
      <w:bookmarkEnd w:id="424"/>
      <w:bookmarkEnd w:id="425"/>
      <w:r>
        <w:t>ean Transit Time</w:t>
      </w:r>
      <w:bookmarkEnd w:id="426"/>
      <w:bookmarkEnd w:id="427"/>
    </w:p>
    <w:p w14:paraId="600D4CC5" w14:textId="77777777" w:rsidR="006416A2" w:rsidRPr="001E0387" w:rsidRDefault="006416A2" w:rsidP="006416A2">
      <w:pPr>
        <w:spacing w:line="360" w:lineRule="auto"/>
        <w:rPr>
          <w:rFonts w:cs="Arial"/>
        </w:rPr>
      </w:pPr>
      <w:r w:rsidRPr="001E0387">
        <w:rPr>
          <w:rFonts w:cs="Arial"/>
        </w:rPr>
        <w:t>Multivariate ANCOVA was not significant for group</w:t>
      </w:r>
      <w:r>
        <w:rPr>
          <w:rFonts w:cs="Arial"/>
        </w:rPr>
        <w:t xml:space="preserve"> or </w:t>
      </w:r>
      <w:r w:rsidRPr="001E0387">
        <w:rPr>
          <w:rFonts w:cs="Arial"/>
        </w:rPr>
        <w:t xml:space="preserve">LIKERT: Wilks’ </w:t>
      </w:r>
      <w:r w:rsidRPr="001E0387">
        <w:rPr>
          <w:rFonts w:eastAsia="Arial Unicode MS" w:cs="Arial"/>
        </w:rPr>
        <w:t>λ</w:t>
      </w:r>
      <w:r w:rsidRPr="001E0387">
        <w:rPr>
          <w:rFonts w:cs="Arial"/>
        </w:rPr>
        <w:t>=</w:t>
      </w:r>
      <w:r w:rsidRPr="007700AC">
        <w:rPr>
          <w:rFonts w:cs="Arial"/>
        </w:rPr>
        <w:t>.628</w:t>
      </w:r>
      <w:r>
        <w:rPr>
          <w:rFonts w:cs="Arial"/>
        </w:rPr>
        <w:t>, F(24,180)=</w:t>
      </w:r>
      <w:r w:rsidRPr="007700AC">
        <w:rPr>
          <w:rFonts w:cs="Arial"/>
        </w:rPr>
        <w:t>1.306</w:t>
      </w:r>
      <w:r>
        <w:rPr>
          <w:rFonts w:cs="Arial"/>
        </w:rPr>
        <w:t>, p=</w:t>
      </w:r>
      <w:r w:rsidRPr="007700AC">
        <w:rPr>
          <w:rFonts w:cs="Arial"/>
        </w:rPr>
        <w:t>.165</w:t>
      </w:r>
      <w:r>
        <w:rPr>
          <w:rFonts w:cs="Arial"/>
        </w:rPr>
        <w:t xml:space="preserve"> as a significant covariant of MTT. </w:t>
      </w:r>
      <w:r w:rsidRPr="001E0387">
        <w:rPr>
          <w:rFonts w:cs="Arial"/>
        </w:rPr>
        <w:t xml:space="preserve">There was no significant difference between the group means </w:t>
      </w:r>
      <w:r>
        <w:rPr>
          <w:rFonts w:cs="Arial"/>
        </w:rPr>
        <w:t>for</w:t>
      </w:r>
      <w:r w:rsidRPr="001E0387">
        <w:rPr>
          <w:rFonts w:cs="Arial"/>
        </w:rPr>
        <w:t xml:space="preserve"> </w:t>
      </w:r>
      <w:r>
        <w:rPr>
          <w:rFonts w:cs="Arial"/>
        </w:rPr>
        <w:t>MTT</w:t>
      </w:r>
      <w:r w:rsidRPr="001E0387">
        <w:rPr>
          <w:rFonts w:cs="Arial"/>
        </w:rPr>
        <w:t xml:space="preserve"> by ROI</w:t>
      </w:r>
      <w:r>
        <w:rPr>
          <w:rFonts w:cs="Arial"/>
        </w:rPr>
        <w:t xml:space="preserve"> (see Figure 5.4 and Appendix D, Table D.6).</w:t>
      </w:r>
      <w:r w:rsidRPr="001E0387">
        <w:rPr>
          <w:rFonts w:cs="Arial"/>
        </w:rPr>
        <w:t xml:space="preserve"> </w:t>
      </w:r>
    </w:p>
    <w:p w14:paraId="794709B7" w14:textId="073F121E" w:rsidR="006416A2" w:rsidRPr="00BB75E6" w:rsidRDefault="006416A2" w:rsidP="009F58A0">
      <w:pPr>
        <w:pStyle w:val="Subtitle"/>
      </w:pPr>
      <w:bookmarkStart w:id="428" w:name="_Toc417900861"/>
      <w:bookmarkStart w:id="429" w:name="_Toc45038141"/>
      <w:bookmarkStart w:id="430" w:name="_Toc48469298"/>
      <w:bookmarkStart w:id="431" w:name="_Toc64724209"/>
      <w:r w:rsidRPr="00BB75E6">
        <w:t xml:space="preserve">Figure </w:t>
      </w:r>
      <w:r>
        <w:t>5.4</w:t>
      </w:r>
      <w:r w:rsidRPr="00BB75E6">
        <w:t xml:space="preserve">. 95% Confidence </w:t>
      </w:r>
      <w:r w:rsidR="00982E15">
        <w:t>I</w:t>
      </w:r>
      <w:r w:rsidRPr="00BB75E6">
        <w:t xml:space="preserve">ntervals for the Group </w:t>
      </w:r>
      <w:r w:rsidR="00DD217A">
        <w:t>M</w:t>
      </w:r>
      <w:r w:rsidRPr="00BB75E6">
        <w:t>eans and Regions of Interest for MTT at Visit 3</w:t>
      </w:r>
      <w:bookmarkEnd w:id="428"/>
      <w:bookmarkEnd w:id="429"/>
      <w:r>
        <w:t xml:space="preserve"> </w:t>
      </w:r>
      <w:r w:rsidR="00DD217A">
        <w:t>A</w:t>
      </w:r>
      <w:r>
        <w:t>djusted for LIKERT</w:t>
      </w:r>
      <w:bookmarkEnd w:id="430"/>
      <w:bookmarkEnd w:id="431"/>
      <w:r>
        <w:t xml:space="preserve"> </w:t>
      </w:r>
    </w:p>
    <w:p w14:paraId="354C9DC1" w14:textId="77777777" w:rsidR="006416A2" w:rsidRDefault="006416A2" w:rsidP="006416A2">
      <w:pPr>
        <w:spacing w:line="360" w:lineRule="auto"/>
        <w:rPr>
          <w:rFonts w:cs="Arial"/>
        </w:rPr>
      </w:pPr>
      <w:r w:rsidRPr="00B52D7E">
        <w:rPr>
          <w:rFonts w:cs="Arial"/>
          <w:noProof/>
          <w:lang w:eastAsia="en-GB"/>
        </w:rPr>
        <w:drawing>
          <wp:inline distT="0" distB="0" distL="0" distR="0" wp14:anchorId="6724DCD6" wp14:editId="7D41396E">
            <wp:extent cx="3618271" cy="2517546"/>
            <wp:effectExtent l="0" t="0" r="1270" b="0"/>
            <wp:docPr id="2137" name="Picture 2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664084" cy="2549422"/>
                    </a:xfrm>
                    <a:prstGeom prst="rect">
                      <a:avLst/>
                    </a:prstGeom>
                  </pic:spPr>
                </pic:pic>
              </a:graphicData>
            </a:graphic>
          </wp:inline>
        </w:drawing>
      </w:r>
    </w:p>
    <w:p w14:paraId="574CBAB8" w14:textId="77777777" w:rsidR="006416A2" w:rsidRPr="00AC1FEA" w:rsidRDefault="006416A2" w:rsidP="006416A2">
      <w:pPr>
        <w:spacing w:line="360" w:lineRule="auto"/>
        <w:rPr>
          <w:rStyle w:val="SubtleEmphasis"/>
        </w:rPr>
      </w:pPr>
      <w:r>
        <w:rPr>
          <w:rStyle w:val="SubtleEmphasis"/>
        </w:rPr>
        <w:t>There was no statistical significance between the groups.</w:t>
      </w:r>
    </w:p>
    <w:p w14:paraId="35A41B3B" w14:textId="37349EBF" w:rsidR="006416A2" w:rsidRPr="00BB75E6" w:rsidRDefault="006416A2" w:rsidP="00C8005D">
      <w:pPr>
        <w:pStyle w:val="Heading3"/>
      </w:pPr>
      <w:bookmarkStart w:id="432" w:name="_Toc405028907"/>
      <w:bookmarkStart w:id="433" w:name="_Toc431375325"/>
      <w:bookmarkStart w:id="434" w:name="_Toc46213561"/>
      <w:bookmarkStart w:id="435" w:name="_Toc48469276"/>
      <w:bookmarkStart w:id="436" w:name="_Toc64723958"/>
      <w:r w:rsidRPr="00BB75E6">
        <w:lastRenderedPageBreak/>
        <w:t>T</w:t>
      </w:r>
      <w:bookmarkEnd w:id="432"/>
      <w:bookmarkEnd w:id="433"/>
      <w:bookmarkEnd w:id="434"/>
      <w:r>
        <w:t>ime</w:t>
      </w:r>
      <w:r w:rsidR="00982E15">
        <w:t>-t</w:t>
      </w:r>
      <w:r>
        <w:t>o</w:t>
      </w:r>
      <w:r w:rsidR="00982E15">
        <w:t>-</w:t>
      </w:r>
      <w:r>
        <w:t>Peak Concentration</w:t>
      </w:r>
      <w:bookmarkEnd w:id="435"/>
      <w:bookmarkEnd w:id="436"/>
    </w:p>
    <w:p w14:paraId="73B57FF8" w14:textId="77DEBB69" w:rsidR="006416A2" w:rsidRPr="001E0387" w:rsidRDefault="006416A2" w:rsidP="006416A2">
      <w:pPr>
        <w:spacing w:line="360" w:lineRule="auto"/>
        <w:rPr>
          <w:rFonts w:cs="Arial"/>
        </w:rPr>
      </w:pPr>
      <w:bookmarkStart w:id="437" w:name="_Toc417900863"/>
      <w:bookmarkStart w:id="438" w:name="_Toc45038143"/>
      <w:r w:rsidRPr="001E0387">
        <w:rPr>
          <w:rFonts w:cs="Arial"/>
        </w:rPr>
        <w:t>Multivariate ANCOVA was not significant for group</w:t>
      </w:r>
      <w:r>
        <w:rPr>
          <w:rFonts w:cs="Arial"/>
        </w:rPr>
        <w:t xml:space="preserve"> </w:t>
      </w:r>
      <w:r w:rsidRPr="001E0387">
        <w:rPr>
          <w:rFonts w:cs="Arial"/>
        </w:rPr>
        <w:t xml:space="preserve">Wilks’ </w:t>
      </w:r>
      <w:r w:rsidRPr="001E0387">
        <w:rPr>
          <w:rFonts w:eastAsia="Arial Unicode MS" w:cs="Arial"/>
        </w:rPr>
        <w:t>λ</w:t>
      </w:r>
      <w:r w:rsidRPr="001E0387">
        <w:rPr>
          <w:rFonts w:cs="Arial"/>
        </w:rPr>
        <w:t>=</w:t>
      </w:r>
      <w:r w:rsidRPr="001D6C08">
        <w:t xml:space="preserve"> </w:t>
      </w:r>
      <w:r w:rsidRPr="001D6C08">
        <w:rPr>
          <w:rFonts w:cs="Arial"/>
        </w:rPr>
        <w:t>.775</w:t>
      </w:r>
      <w:r>
        <w:rPr>
          <w:rFonts w:cs="Arial"/>
        </w:rPr>
        <w:t>, F(24,178)=</w:t>
      </w:r>
      <w:r w:rsidRPr="001D6C08">
        <w:rPr>
          <w:rFonts w:cs="Arial"/>
        </w:rPr>
        <w:t>.680</w:t>
      </w:r>
      <w:r>
        <w:rPr>
          <w:rFonts w:cs="Arial"/>
        </w:rPr>
        <w:t>,</w:t>
      </w:r>
      <w:r w:rsidR="00C75E32">
        <w:rPr>
          <w:rFonts w:cs="Arial"/>
        </w:rPr>
        <w:t xml:space="preserve"> </w:t>
      </w:r>
      <w:r>
        <w:rPr>
          <w:rFonts w:cs="Arial"/>
        </w:rPr>
        <w:t>p=</w:t>
      </w:r>
      <w:r w:rsidRPr="001D6C08">
        <w:rPr>
          <w:rFonts w:cs="Arial"/>
        </w:rPr>
        <w:t>.867</w:t>
      </w:r>
      <w:r w:rsidR="00C75E32">
        <w:rPr>
          <w:rFonts w:cs="Arial"/>
        </w:rPr>
        <w:t>;</w:t>
      </w:r>
      <w:r>
        <w:rPr>
          <w:rFonts w:cs="Arial"/>
        </w:rPr>
        <w:t xml:space="preserve"> but was significant for </w:t>
      </w:r>
      <w:r w:rsidRPr="001E0387">
        <w:rPr>
          <w:rFonts w:cs="Arial"/>
        </w:rPr>
        <w:t>LIKERT:</w:t>
      </w:r>
      <w:r w:rsidRPr="00E83892">
        <w:rPr>
          <w:rFonts w:cs="Arial"/>
        </w:rPr>
        <w:t xml:space="preserve"> </w:t>
      </w:r>
      <w:r w:rsidRPr="001E0387">
        <w:rPr>
          <w:rFonts w:cs="Arial"/>
        </w:rPr>
        <w:t xml:space="preserve">Wilks’ </w:t>
      </w:r>
      <w:r w:rsidRPr="001E0387">
        <w:rPr>
          <w:rFonts w:eastAsia="Arial Unicode MS" w:cs="Arial"/>
        </w:rPr>
        <w:t>λ</w:t>
      </w:r>
      <w:r w:rsidRPr="001E0387">
        <w:rPr>
          <w:rFonts w:cs="Arial"/>
        </w:rPr>
        <w:t>=</w:t>
      </w:r>
      <w:r w:rsidRPr="001D6C08">
        <w:t xml:space="preserve"> </w:t>
      </w:r>
      <w:r w:rsidRPr="00E83892">
        <w:t>.683</w:t>
      </w:r>
      <w:r>
        <w:t>, F(8,61)=</w:t>
      </w:r>
      <w:r w:rsidRPr="00E83892">
        <w:t>3.5</w:t>
      </w:r>
      <w:r>
        <w:t>4, p=</w:t>
      </w:r>
      <w:r w:rsidRPr="00E83892">
        <w:t>.002</w:t>
      </w:r>
      <w:r>
        <w:t xml:space="preserve"> as a covariant of TTP. </w:t>
      </w:r>
      <w:r>
        <w:rPr>
          <w:rFonts w:cs="Arial"/>
        </w:rPr>
        <w:t xml:space="preserve"> </w:t>
      </w:r>
      <w:r w:rsidRPr="001E0387">
        <w:rPr>
          <w:rFonts w:cs="Arial"/>
        </w:rPr>
        <w:t xml:space="preserve">There was no significant difference between the group means </w:t>
      </w:r>
      <w:r>
        <w:rPr>
          <w:rFonts w:cs="Arial"/>
        </w:rPr>
        <w:t>for</w:t>
      </w:r>
      <w:r w:rsidRPr="001E0387">
        <w:rPr>
          <w:rFonts w:cs="Arial"/>
        </w:rPr>
        <w:t xml:space="preserve"> </w:t>
      </w:r>
      <w:r>
        <w:rPr>
          <w:rFonts w:cs="Arial"/>
        </w:rPr>
        <w:t>TTP</w:t>
      </w:r>
      <w:r w:rsidRPr="001E0387">
        <w:rPr>
          <w:rFonts w:cs="Arial"/>
        </w:rPr>
        <w:t xml:space="preserve"> by ROI</w:t>
      </w:r>
      <w:r>
        <w:rPr>
          <w:rFonts w:cs="Arial"/>
        </w:rPr>
        <w:t xml:space="preserve"> (see Figure 5.5 and Appendix D, Table D.7).</w:t>
      </w:r>
      <w:r w:rsidRPr="001E0387">
        <w:rPr>
          <w:rFonts w:cs="Arial"/>
        </w:rPr>
        <w:t xml:space="preserve"> </w:t>
      </w:r>
    </w:p>
    <w:p w14:paraId="14FB4F9F" w14:textId="2C5FF8FB" w:rsidR="006416A2" w:rsidRDefault="006416A2" w:rsidP="009F58A0">
      <w:pPr>
        <w:pStyle w:val="Subtitle"/>
      </w:pPr>
      <w:bookmarkStart w:id="439" w:name="_Toc48469299"/>
      <w:bookmarkStart w:id="440" w:name="_Toc64724210"/>
      <w:r w:rsidRPr="00BB75E6">
        <w:t xml:space="preserve">Figure </w:t>
      </w:r>
      <w:r>
        <w:t>5.5</w:t>
      </w:r>
      <w:r w:rsidRPr="00BB75E6">
        <w:t>. 95% Confidence intervals for Group</w:t>
      </w:r>
      <w:r w:rsidR="00DD217A">
        <w:t xml:space="preserve"> Means</w:t>
      </w:r>
      <w:r w:rsidRPr="00BB75E6">
        <w:t xml:space="preserve"> and </w:t>
      </w:r>
      <w:r w:rsidR="00DD217A">
        <w:t>Regions of Interest</w:t>
      </w:r>
      <w:r w:rsidRPr="00BB75E6">
        <w:t xml:space="preserve"> for TTP at </w:t>
      </w:r>
      <w:r>
        <w:t>V</w:t>
      </w:r>
      <w:r w:rsidRPr="00BB75E6">
        <w:t>3</w:t>
      </w:r>
      <w:r>
        <w:t>, Adjusted</w:t>
      </w:r>
      <w:r w:rsidRPr="00BB75E6">
        <w:t xml:space="preserve"> for </w:t>
      </w:r>
      <w:bookmarkEnd w:id="437"/>
      <w:bookmarkEnd w:id="438"/>
      <w:r>
        <w:t>Likert</w:t>
      </w:r>
      <w:bookmarkEnd w:id="439"/>
      <w:bookmarkEnd w:id="440"/>
    </w:p>
    <w:p w14:paraId="082A4A6D" w14:textId="77777777" w:rsidR="006416A2" w:rsidRPr="00005C88" w:rsidRDefault="006416A2" w:rsidP="006416A2">
      <w:pPr>
        <w:rPr>
          <w:lang w:eastAsia="en-GB"/>
        </w:rPr>
      </w:pPr>
      <w:r w:rsidRPr="00005C88">
        <w:rPr>
          <w:noProof/>
          <w:lang w:eastAsia="en-GB"/>
        </w:rPr>
        <w:drawing>
          <wp:inline distT="0" distB="0" distL="0" distR="0" wp14:anchorId="7E3CE392" wp14:editId="09F336F0">
            <wp:extent cx="4284931" cy="2988527"/>
            <wp:effectExtent l="0" t="0" r="0" b="0"/>
            <wp:docPr id="2138" name="Picture 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320541" cy="3013363"/>
                    </a:xfrm>
                    <a:prstGeom prst="rect">
                      <a:avLst/>
                    </a:prstGeom>
                  </pic:spPr>
                </pic:pic>
              </a:graphicData>
            </a:graphic>
          </wp:inline>
        </w:drawing>
      </w:r>
    </w:p>
    <w:p w14:paraId="5975EBE5" w14:textId="77777777" w:rsidR="006416A2" w:rsidRPr="00BB75E6" w:rsidRDefault="006416A2" w:rsidP="006416A2">
      <w:pPr>
        <w:rPr>
          <w:rFonts w:cs="Arial"/>
        </w:rPr>
      </w:pPr>
    </w:p>
    <w:p w14:paraId="1BE7A827" w14:textId="77777777" w:rsidR="006416A2" w:rsidRPr="00AC1FEA" w:rsidRDefault="006416A2" w:rsidP="006416A2">
      <w:pPr>
        <w:spacing w:line="360" w:lineRule="auto"/>
        <w:rPr>
          <w:rStyle w:val="SubtleEmphasis"/>
        </w:rPr>
      </w:pPr>
      <w:r>
        <w:rPr>
          <w:rStyle w:val="SubtleEmphasis"/>
        </w:rPr>
        <w:t>There was no statistical significance between the groups.</w:t>
      </w:r>
    </w:p>
    <w:p w14:paraId="212AB297" w14:textId="456550F2" w:rsidR="006416A2" w:rsidRPr="00BB75E6" w:rsidRDefault="006416A2" w:rsidP="00C8005D">
      <w:pPr>
        <w:pStyle w:val="Heading3"/>
      </w:pPr>
      <w:bookmarkStart w:id="441" w:name="_Toc48469277"/>
      <w:bookmarkStart w:id="442" w:name="_Toc64723959"/>
      <w:r>
        <w:t>Change in Regional Blood Volume</w:t>
      </w:r>
      <w:bookmarkEnd w:id="441"/>
      <w:r>
        <w:t xml:space="preserve"> </w:t>
      </w:r>
      <w:r w:rsidR="00617AB7">
        <w:t xml:space="preserve">in </w:t>
      </w:r>
      <w:r w:rsidR="006C36ED">
        <w:t>R</w:t>
      </w:r>
      <w:r w:rsidR="00617AB7">
        <w:t xml:space="preserve">esponse to </w:t>
      </w:r>
      <w:r w:rsidR="006C36ED">
        <w:t>P</w:t>
      </w:r>
      <w:r w:rsidR="00617AB7">
        <w:t>ain</w:t>
      </w:r>
      <w:bookmarkEnd w:id="442"/>
    </w:p>
    <w:p w14:paraId="7E121D33" w14:textId="1F26F654" w:rsidR="006416A2" w:rsidRDefault="006416A2" w:rsidP="006416A2">
      <w:pPr>
        <w:spacing w:line="360" w:lineRule="auto"/>
        <w:rPr>
          <w:rFonts w:cs="Arial"/>
        </w:rPr>
      </w:pPr>
      <w:r>
        <w:rPr>
          <w:rFonts w:cs="Arial"/>
        </w:rPr>
        <w:t xml:space="preserve">The change in </w:t>
      </w:r>
      <w:r w:rsidR="00C75E32">
        <w:rPr>
          <w:rFonts w:cs="Arial"/>
        </w:rPr>
        <w:t>RBV</w:t>
      </w:r>
      <w:r>
        <w:rPr>
          <w:rFonts w:cs="Arial"/>
        </w:rPr>
        <w:t xml:space="preserve"> was measured between the baseline and the experimental pain</w:t>
      </w:r>
      <w:r w:rsidRPr="00560399">
        <w:rPr>
          <w:rFonts w:cs="Arial"/>
        </w:rPr>
        <w:t xml:space="preserve"> </w:t>
      </w:r>
      <w:r>
        <w:rPr>
          <w:rFonts w:cs="Arial"/>
        </w:rPr>
        <w:t xml:space="preserve">condition.  </w:t>
      </w:r>
      <w:r w:rsidRPr="001E0387">
        <w:rPr>
          <w:rFonts w:cs="Arial"/>
        </w:rPr>
        <w:t>Multivariate ANCOVA was significant for group</w:t>
      </w:r>
      <w:r>
        <w:rPr>
          <w:rFonts w:cs="Arial"/>
        </w:rPr>
        <w:t xml:space="preserve">: </w:t>
      </w:r>
      <w:r w:rsidRPr="001E0387">
        <w:rPr>
          <w:rFonts w:cs="Arial"/>
        </w:rPr>
        <w:t xml:space="preserve">Wilks’ </w:t>
      </w:r>
      <w:r w:rsidRPr="001E0387">
        <w:rPr>
          <w:rFonts w:eastAsia="Arial Unicode MS" w:cs="Arial"/>
        </w:rPr>
        <w:t>λ</w:t>
      </w:r>
      <w:r w:rsidRPr="001E0387">
        <w:rPr>
          <w:rFonts w:cs="Arial"/>
        </w:rPr>
        <w:t>=</w:t>
      </w:r>
      <w:r w:rsidRPr="001D6C08">
        <w:t xml:space="preserve"> </w:t>
      </w:r>
      <w:r w:rsidRPr="002F18E7">
        <w:rPr>
          <w:rFonts w:cs="Arial"/>
        </w:rPr>
        <w:t>.508</w:t>
      </w:r>
      <w:r>
        <w:rPr>
          <w:rFonts w:cs="Arial"/>
        </w:rPr>
        <w:t>, F(24,169)=</w:t>
      </w:r>
      <w:r w:rsidRPr="002F18E7">
        <w:rPr>
          <w:rFonts w:cs="Arial"/>
        </w:rPr>
        <w:t>1.851</w:t>
      </w:r>
      <w:r>
        <w:rPr>
          <w:rFonts w:cs="Arial"/>
        </w:rPr>
        <w:t>, p=</w:t>
      </w:r>
      <w:r w:rsidRPr="002F18E7">
        <w:rPr>
          <w:rFonts w:cs="Arial"/>
        </w:rPr>
        <w:t>.013</w:t>
      </w:r>
      <w:r>
        <w:rPr>
          <w:rFonts w:cs="Arial"/>
        </w:rPr>
        <w:t>, and significant for the interaction term group*</w:t>
      </w:r>
      <w:r w:rsidRPr="001E0387">
        <w:rPr>
          <w:rFonts w:cs="Arial"/>
        </w:rPr>
        <w:t>LIKERT:</w:t>
      </w:r>
      <w:r w:rsidRPr="00E83892">
        <w:rPr>
          <w:rFonts w:cs="Arial"/>
        </w:rPr>
        <w:t xml:space="preserve"> </w:t>
      </w:r>
      <w:r w:rsidRPr="001E0387">
        <w:rPr>
          <w:rFonts w:cs="Arial"/>
        </w:rPr>
        <w:t xml:space="preserve">Wilks’ </w:t>
      </w:r>
      <w:r w:rsidRPr="001E0387">
        <w:rPr>
          <w:rFonts w:eastAsia="Arial Unicode MS" w:cs="Arial"/>
        </w:rPr>
        <w:t>λ</w:t>
      </w:r>
      <w:r w:rsidRPr="001E0387">
        <w:rPr>
          <w:rFonts w:cs="Arial"/>
        </w:rPr>
        <w:t>=</w:t>
      </w:r>
      <w:r w:rsidRPr="001D6C08">
        <w:t xml:space="preserve"> </w:t>
      </w:r>
      <w:r w:rsidRPr="00832D74">
        <w:t>.531</w:t>
      </w:r>
      <w:r>
        <w:t xml:space="preserve"> F(24,169)=</w:t>
      </w:r>
      <w:r w:rsidRPr="00832D74">
        <w:t>1.717</w:t>
      </w:r>
      <w:r>
        <w:t>, p=</w:t>
      </w:r>
      <w:r w:rsidRPr="00832D74">
        <w:t>.026</w:t>
      </w:r>
      <w:r>
        <w:t xml:space="preserve">  but not for LIKERT (see Appendix D, Table D.8) as a covariant of Δ RBV. </w:t>
      </w:r>
      <w:r w:rsidRPr="001E0387">
        <w:rPr>
          <w:rFonts w:cs="Arial"/>
        </w:rPr>
        <w:t xml:space="preserve">There was </w:t>
      </w:r>
      <w:r>
        <w:rPr>
          <w:rFonts w:cs="Arial"/>
        </w:rPr>
        <w:t>a</w:t>
      </w:r>
      <w:r w:rsidRPr="001E0387">
        <w:rPr>
          <w:rFonts w:cs="Arial"/>
        </w:rPr>
        <w:t xml:space="preserve"> significant difference between the group means </w:t>
      </w:r>
      <w:r>
        <w:rPr>
          <w:rFonts w:cs="Arial"/>
        </w:rPr>
        <w:t>for</w:t>
      </w:r>
      <w:r w:rsidRPr="001E0387">
        <w:rPr>
          <w:rFonts w:cs="Arial"/>
        </w:rPr>
        <w:t xml:space="preserve"> </w:t>
      </w:r>
      <w:r>
        <w:rPr>
          <w:rFonts w:cs="Arial"/>
        </w:rPr>
        <w:t>Δ RBV</w:t>
      </w:r>
      <w:r w:rsidRPr="001E0387">
        <w:rPr>
          <w:rFonts w:cs="Arial"/>
        </w:rPr>
        <w:t xml:space="preserve"> by ROI</w:t>
      </w:r>
      <w:r>
        <w:rPr>
          <w:rFonts w:cs="Arial"/>
        </w:rPr>
        <w:t xml:space="preserve"> at POWM and </w:t>
      </w:r>
      <w:r w:rsidR="00C75E32">
        <w:rPr>
          <w:rFonts w:cs="Arial"/>
        </w:rPr>
        <w:t>R</w:t>
      </w:r>
      <w:r>
        <w:rPr>
          <w:rFonts w:cs="Arial"/>
        </w:rPr>
        <w:t>PSC after adjusting for LIKERT and Group*LIKERT interaction (see Figure 5.5 and 5.6 and Appendix D, Table D.9), but no significant differences between the groups using post Hoc comparisons.</w:t>
      </w:r>
      <w:r w:rsidRPr="001E0387">
        <w:rPr>
          <w:rFonts w:cs="Arial"/>
        </w:rPr>
        <w:t xml:space="preserve"> </w:t>
      </w:r>
    </w:p>
    <w:p w14:paraId="18F516F8" w14:textId="77777777" w:rsidR="00017A21" w:rsidRDefault="00017A21">
      <w:pPr>
        <w:rPr>
          <w:rFonts w:cs="Arial"/>
        </w:rPr>
      </w:pPr>
      <w:bookmarkStart w:id="443" w:name="_Toc48469300"/>
      <w:r>
        <w:rPr>
          <w:i/>
          <w:iCs/>
        </w:rPr>
        <w:br w:type="page"/>
      </w:r>
    </w:p>
    <w:p w14:paraId="7E7769B6" w14:textId="34C4C750" w:rsidR="006416A2" w:rsidRPr="00BB75E6" w:rsidRDefault="006416A2" w:rsidP="009F58A0">
      <w:pPr>
        <w:pStyle w:val="Subtitle"/>
      </w:pPr>
      <w:bookmarkStart w:id="444" w:name="_Toc64724211"/>
      <w:r w:rsidRPr="00BB75E6">
        <w:lastRenderedPageBreak/>
        <w:t xml:space="preserve">Figure </w:t>
      </w:r>
      <w:r>
        <w:t>5.6</w:t>
      </w:r>
      <w:r w:rsidRPr="00BB75E6">
        <w:t>.</w:t>
      </w:r>
      <w:r w:rsidR="00C75E32">
        <w:t xml:space="preserve"> </w:t>
      </w:r>
      <w:r w:rsidRPr="00BB75E6">
        <w:t xml:space="preserve"> 95% Confidence </w:t>
      </w:r>
      <w:r w:rsidR="00C75E32">
        <w:t>I</w:t>
      </w:r>
      <w:r w:rsidRPr="00BB75E6">
        <w:t xml:space="preserve">ntervals for the Group </w:t>
      </w:r>
      <w:r w:rsidR="00C75E32">
        <w:t>M</w:t>
      </w:r>
      <w:r w:rsidRPr="00BB75E6">
        <w:t xml:space="preserve">eans and Regions of Interest for </w:t>
      </w:r>
      <w:r>
        <w:t>Δ</w:t>
      </w:r>
      <w:r w:rsidRPr="00BB75E6">
        <w:t xml:space="preserve"> RBV:  Unadjusted for Likert </w:t>
      </w:r>
      <w:r w:rsidR="00C75E32">
        <w:t>S</w:t>
      </w:r>
      <w:r w:rsidRPr="00BB75E6">
        <w:t>cale</w:t>
      </w:r>
      <w:bookmarkEnd w:id="443"/>
      <w:bookmarkEnd w:id="444"/>
    </w:p>
    <w:p w14:paraId="3EE0950D" w14:textId="77777777" w:rsidR="006416A2" w:rsidRPr="001E0387" w:rsidRDefault="006416A2" w:rsidP="006416A2">
      <w:pPr>
        <w:spacing w:line="360" w:lineRule="auto"/>
        <w:rPr>
          <w:rFonts w:cs="Arial"/>
        </w:rPr>
      </w:pPr>
      <w:commentRangeStart w:id="445"/>
      <w:r w:rsidRPr="002D3E50">
        <w:rPr>
          <w:rFonts w:cs="Arial"/>
          <w:noProof/>
          <w:lang w:eastAsia="en-GB"/>
        </w:rPr>
        <w:drawing>
          <wp:inline distT="0" distB="0" distL="0" distR="0" wp14:anchorId="10E3A76A" wp14:editId="089A439C">
            <wp:extent cx="5727700" cy="402780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27700" cy="4027805"/>
                    </a:xfrm>
                    <a:prstGeom prst="rect">
                      <a:avLst/>
                    </a:prstGeom>
                  </pic:spPr>
                </pic:pic>
              </a:graphicData>
            </a:graphic>
          </wp:inline>
        </w:drawing>
      </w:r>
      <w:commentRangeEnd w:id="445"/>
      <w:r>
        <w:rPr>
          <w:rStyle w:val="CommentReference"/>
        </w:rPr>
        <w:commentReference w:id="445"/>
      </w:r>
    </w:p>
    <w:p w14:paraId="48C2E34C" w14:textId="77777777" w:rsidR="006416A2" w:rsidRPr="00F01141" w:rsidRDefault="006416A2" w:rsidP="006416A2">
      <w:pPr>
        <w:spacing w:line="360" w:lineRule="auto"/>
        <w:ind w:left="360"/>
        <w:rPr>
          <w:rStyle w:val="SubtleEmphasis"/>
          <w:i w:val="0"/>
          <w:iCs w:val="0"/>
        </w:rPr>
      </w:pPr>
      <w:r>
        <w:rPr>
          <w:rStyle w:val="SubtleEmphasis"/>
        </w:rPr>
        <w:t>*</w:t>
      </w:r>
      <w:r w:rsidRPr="00F01141">
        <w:rPr>
          <w:rStyle w:val="SubtleEmphasis"/>
        </w:rPr>
        <w:t xml:space="preserve">p&lt;0.05, Figure shows a significant difference for </w:t>
      </w:r>
      <w:r>
        <w:rPr>
          <w:rStyle w:val="SubtleEmphasis"/>
        </w:rPr>
        <w:t xml:space="preserve">Δ </w:t>
      </w:r>
      <w:r w:rsidRPr="00F01141">
        <w:rPr>
          <w:rStyle w:val="SubtleEmphasis"/>
        </w:rPr>
        <w:t>RBV at the POWM and the RPSC but no difference in post Hoc comparisons</w:t>
      </w:r>
      <w:r>
        <w:rPr>
          <w:rStyle w:val="SubtleEmphasis"/>
        </w:rPr>
        <w:t xml:space="preserve">. The interaction effect of Group*LIKERT is significant p=.013, and group p=.026. </w:t>
      </w:r>
    </w:p>
    <w:p w14:paraId="7796B0B3" w14:textId="77777777" w:rsidR="006416A2" w:rsidRDefault="006416A2" w:rsidP="006416A2">
      <w:pPr>
        <w:spacing w:line="360" w:lineRule="auto"/>
        <w:rPr>
          <w:rFonts w:cs="Arial"/>
        </w:rPr>
      </w:pPr>
    </w:p>
    <w:p w14:paraId="6B05B7EA" w14:textId="52AB7D00" w:rsidR="006416A2" w:rsidRDefault="006416A2" w:rsidP="006416A2">
      <w:pPr>
        <w:spacing w:line="360" w:lineRule="auto"/>
        <w:rPr>
          <w:rFonts w:cs="Arial"/>
        </w:rPr>
      </w:pPr>
      <w:r w:rsidRPr="00BB75E6">
        <w:rPr>
          <w:rFonts w:cs="Arial"/>
        </w:rPr>
        <w:t xml:space="preserve">To further examine the </w:t>
      </w:r>
      <w:r>
        <w:rPr>
          <w:rFonts w:cs="Arial"/>
        </w:rPr>
        <w:t xml:space="preserve">group*Likert </w:t>
      </w:r>
      <w:r w:rsidRPr="00BB75E6">
        <w:rPr>
          <w:rFonts w:cs="Arial"/>
        </w:rPr>
        <w:t xml:space="preserve">interaction effect, regression of the </w:t>
      </w:r>
      <w:r>
        <w:rPr>
          <w:rFonts w:cs="Arial"/>
        </w:rPr>
        <w:t>analysis of Δ</w:t>
      </w:r>
      <w:r w:rsidRPr="00BB75E6">
        <w:rPr>
          <w:rFonts w:cs="Arial"/>
        </w:rPr>
        <w:t xml:space="preserve"> RBV</w:t>
      </w:r>
      <w:r>
        <w:rPr>
          <w:rFonts w:cs="Arial"/>
        </w:rPr>
        <w:t xml:space="preserve"> </w:t>
      </w:r>
      <w:r w:rsidRPr="00BB75E6">
        <w:rPr>
          <w:rFonts w:cs="Arial"/>
        </w:rPr>
        <w:t>RPS</w:t>
      </w:r>
      <w:r>
        <w:rPr>
          <w:rFonts w:cs="Arial"/>
        </w:rPr>
        <w:t xml:space="preserve">C, </w:t>
      </w:r>
      <w:r w:rsidRPr="00BB75E6">
        <w:rPr>
          <w:rFonts w:cs="Arial"/>
        </w:rPr>
        <w:t xml:space="preserve">and </w:t>
      </w:r>
      <w:r>
        <w:rPr>
          <w:rFonts w:cs="Arial"/>
        </w:rPr>
        <w:t xml:space="preserve">Δ </w:t>
      </w:r>
      <w:r w:rsidRPr="00BB75E6">
        <w:rPr>
          <w:rFonts w:cs="Arial"/>
        </w:rPr>
        <w:t>RBV PO</w:t>
      </w:r>
      <w:r>
        <w:rPr>
          <w:rFonts w:cs="Arial"/>
        </w:rPr>
        <w:t>WM</w:t>
      </w:r>
      <w:r w:rsidRPr="00BB75E6">
        <w:rPr>
          <w:rFonts w:cs="Arial"/>
        </w:rPr>
        <w:t xml:space="preserve"> </w:t>
      </w:r>
      <w:r>
        <w:rPr>
          <w:rFonts w:cs="Arial"/>
        </w:rPr>
        <w:t>and LIKERT by group was performed</w:t>
      </w:r>
      <w:r w:rsidRPr="00BB75E6">
        <w:rPr>
          <w:rFonts w:cs="Arial"/>
        </w:rPr>
        <w:t xml:space="preserve">. </w:t>
      </w:r>
      <w:r>
        <w:rPr>
          <w:rFonts w:cs="Arial"/>
        </w:rPr>
        <w:t>There was a significant difference in regression slopes for Δ RBV POWM (p=.015). Post Hoc testing revealed that P-DPN and DPN slopes were significantly different (p=</w:t>
      </w:r>
      <w:r w:rsidRPr="00EF029A">
        <w:rPr>
          <w:rFonts w:cs="Arial"/>
        </w:rPr>
        <w:t>.002</w:t>
      </w:r>
      <w:r>
        <w:rPr>
          <w:rFonts w:cs="Arial"/>
        </w:rPr>
        <w:t>)</w:t>
      </w:r>
      <w:r w:rsidR="00C75E32">
        <w:rPr>
          <w:rFonts w:cs="Arial"/>
        </w:rPr>
        <w:t>,</w:t>
      </w:r>
      <w:r>
        <w:rPr>
          <w:rFonts w:cs="Arial"/>
        </w:rPr>
        <w:t xml:space="preserve"> and P-DPN and HV slopes were significantly different (p=</w:t>
      </w:r>
      <w:r w:rsidRPr="00EF029A">
        <w:rPr>
          <w:rFonts w:cs="Arial"/>
        </w:rPr>
        <w:t>.030</w:t>
      </w:r>
      <w:r>
        <w:rPr>
          <w:rFonts w:cs="Arial"/>
        </w:rPr>
        <w:t>) (see Figure 5.7 and Appendix Tables D.10-12). There was a significant difference in the regression slopes for Δ RBV RPSC (p=</w:t>
      </w:r>
      <w:r w:rsidRPr="00EF029A">
        <w:rPr>
          <w:rFonts w:cs="Arial"/>
        </w:rPr>
        <w:t>.001</w:t>
      </w:r>
      <w:r>
        <w:rPr>
          <w:rFonts w:cs="Arial"/>
        </w:rPr>
        <w:t>), and the P-DPN and DPN slopes (p&lt;</w:t>
      </w:r>
      <w:r w:rsidRPr="00DF0FC8">
        <w:rPr>
          <w:rFonts w:cs="Arial"/>
        </w:rPr>
        <w:t>.000</w:t>
      </w:r>
      <w:r>
        <w:rPr>
          <w:rFonts w:cs="Arial"/>
        </w:rPr>
        <w:t>1) and P-DPN and HV(p=</w:t>
      </w:r>
      <w:r w:rsidRPr="00DF0FC8">
        <w:rPr>
          <w:rFonts w:cs="Arial"/>
        </w:rPr>
        <w:t>.002</w:t>
      </w:r>
      <w:r>
        <w:rPr>
          <w:rFonts w:cs="Arial"/>
        </w:rPr>
        <w:t xml:space="preserve">) (see Figure 5.8 and Appendix Tables D.13-15). The result at these ROI indicates that the relationship between pain perception and RBV is negative for P-DPN but positive for HV and DPN.  </w:t>
      </w:r>
    </w:p>
    <w:p w14:paraId="30F92970" w14:textId="77777777" w:rsidR="00982E15" w:rsidRDefault="00982E15">
      <w:pPr>
        <w:rPr>
          <w:rFonts w:eastAsia="Arial" w:cs="Arial"/>
          <w:i/>
          <w:iCs/>
          <w:color w:val="4F81BD"/>
          <w:u w:color="4F81BD"/>
          <w:bdr w:val="nil"/>
          <w:lang w:val="en-US" w:eastAsia="en-GB"/>
        </w:rPr>
      </w:pPr>
      <w:bookmarkStart w:id="446" w:name="_Toc48469301"/>
      <w:r>
        <w:br w:type="page"/>
      </w:r>
    </w:p>
    <w:p w14:paraId="62F9EFC8" w14:textId="78BACA8B" w:rsidR="006416A2" w:rsidRDefault="006416A2" w:rsidP="009F58A0">
      <w:pPr>
        <w:pStyle w:val="Subtitle"/>
      </w:pPr>
      <w:bookmarkStart w:id="447" w:name="_Toc64724212"/>
      <w:r w:rsidRPr="00BB75E6">
        <w:lastRenderedPageBreak/>
        <w:t xml:space="preserve">Figure </w:t>
      </w:r>
      <w:r>
        <w:t>5.7</w:t>
      </w:r>
      <w:r w:rsidRPr="00BB75E6">
        <w:t>. Scatter</w:t>
      </w:r>
      <w:r w:rsidR="00CB2F95">
        <w:t xml:space="preserve"> P</w:t>
      </w:r>
      <w:r w:rsidRPr="00BB75E6">
        <w:t>lot of</w:t>
      </w:r>
      <w:r>
        <w:t xml:space="preserve"> Group*</w:t>
      </w:r>
      <w:r w:rsidRPr="00BB75E6">
        <w:t xml:space="preserve"> </w:t>
      </w:r>
      <w:r>
        <w:t>LIKERT</w:t>
      </w:r>
      <w:r w:rsidRPr="00BB75E6">
        <w:t xml:space="preserve"> </w:t>
      </w:r>
      <w:r>
        <w:t>interaction for</w:t>
      </w:r>
      <w:r w:rsidRPr="00BB75E6">
        <w:t xml:space="preserve"> </w:t>
      </w:r>
      <w:r>
        <w:t>Δ-</w:t>
      </w:r>
      <w:r w:rsidRPr="00BB75E6">
        <w:t xml:space="preserve">RBV </w:t>
      </w:r>
      <w:r>
        <w:t xml:space="preserve">at the </w:t>
      </w:r>
      <w:r w:rsidRPr="00BB75E6">
        <w:t>PO</w:t>
      </w:r>
      <w:r>
        <w:t>WM</w:t>
      </w:r>
      <w:bookmarkEnd w:id="446"/>
      <w:bookmarkEnd w:id="447"/>
      <w:r w:rsidRPr="00BB75E6">
        <w:t xml:space="preserve"> </w:t>
      </w:r>
    </w:p>
    <w:p w14:paraId="2970B502" w14:textId="77777777" w:rsidR="006416A2" w:rsidRDefault="006416A2" w:rsidP="006416A2">
      <w:pPr>
        <w:rPr>
          <w:lang w:eastAsia="en-GB"/>
        </w:rPr>
      </w:pPr>
    </w:p>
    <w:p w14:paraId="63DCD009" w14:textId="77777777" w:rsidR="006416A2" w:rsidRPr="00762A5A" w:rsidRDefault="006416A2" w:rsidP="006416A2">
      <w:r w:rsidRPr="00D76F77">
        <w:rPr>
          <w:noProof/>
          <w:lang w:eastAsia="en-GB"/>
        </w:rPr>
        <w:drawing>
          <wp:inline distT="0" distB="0" distL="0" distR="0" wp14:anchorId="21207C32" wp14:editId="13394D57">
            <wp:extent cx="4910029" cy="2897722"/>
            <wp:effectExtent l="12700" t="12700" r="17780" b="10795"/>
            <wp:docPr id="2139" name="Picture 2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924555" cy="2906295"/>
                    </a:xfrm>
                    <a:prstGeom prst="rect">
                      <a:avLst/>
                    </a:prstGeom>
                    <a:ln>
                      <a:solidFill>
                        <a:schemeClr val="accent1"/>
                      </a:solidFill>
                    </a:ln>
                  </pic:spPr>
                </pic:pic>
              </a:graphicData>
            </a:graphic>
          </wp:inline>
        </w:drawing>
      </w:r>
    </w:p>
    <w:p w14:paraId="2D0D890E" w14:textId="4FBDDF9A" w:rsidR="006416A2" w:rsidRDefault="006416A2" w:rsidP="006416A2">
      <w:pPr>
        <w:spacing w:line="360" w:lineRule="auto"/>
        <w:rPr>
          <w:rStyle w:val="SubtleEmphasis"/>
          <w:i w:val="0"/>
          <w:iCs w:val="0"/>
        </w:rPr>
      </w:pPr>
      <w:r>
        <w:rPr>
          <w:rStyle w:val="SubtleEmphasis"/>
        </w:rPr>
        <w:t>Figure shows the interaction effect of reported pain scores during scan (LIKERT) and Δ RBV at the POWM.  The P-DPN group has an inverse relationship to LIKERT whilst the DPN and HV groups have</w:t>
      </w:r>
      <w:r w:rsidR="00C75E32">
        <w:rPr>
          <w:rStyle w:val="SubtleEmphasis"/>
        </w:rPr>
        <w:t xml:space="preserve"> a</w:t>
      </w:r>
      <w:r>
        <w:rPr>
          <w:rStyle w:val="SubtleEmphasis"/>
        </w:rPr>
        <w:t xml:space="preserve"> positive relationship.  These are significantly different P-DPN vs DPN p=.002, P-DPN vs HV p=.03. </w:t>
      </w:r>
    </w:p>
    <w:p w14:paraId="7B4FA9C3" w14:textId="77777777" w:rsidR="006416A2" w:rsidRDefault="006416A2" w:rsidP="009F58A0">
      <w:pPr>
        <w:pStyle w:val="Subtitle"/>
      </w:pPr>
    </w:p>
    <w:p w14:paraId="3A308936" w14:textId="2FA8D675" w:rsidR="006416A2" w:rsidRDefault="006416A2" w:rsidP="009F58A0">
      <w:pPr>
        <w:pStyle w:val="Subtitle"/>
      </w:pPr>
      <w:bookmarkStart w:id="448" w:name="_Toc48469302"/>
      <w:bookmarkStart w:id="449" w:name="_Toc64724213"/>
      <w:r w:rsidRPr="00BB75E6">
        <w:t xml:space="preserve">Figure </w:t>
      </w:r>
      <w:r>
        <w:t>5.8</w:t>
      </w:r>
      <w:r w:rsidRPr="00BB75E6">
        <w:t>. Scatter</w:t>
      </w:r>
      <w:r w:rsidR="00CB2F95">
        <w:t xml:space="preserve"> P</w:t>
      </w:r>
      <w:r w:rsidRPr="00BB75E6">
        <w:t xml:space="preserve">lot of </w:t>
      </w:r>
      <w:r>
        <w:t>LIKERT</w:t>
      </w:r>
      <w:r w:rsidRPr="00BB75E6">
        <w:t xml:space="preserve"> vs </w:t>
      </w:r>
      <w:r>
        <w:t xml:space="preserve">Δ </w:t>
      </w:r>
      <w:r w:rsidRPr="00BB75E6">
        <w:t xml:space="preserve">RBV </w:t>
      </w:r>
      <w:r>
        <w:t>RPSC</w:t>
      </w:r>
      <w:bookmarkEnd w:id="448"/>
      <w:bookmarkEnd w:id="449"/>
    </w:p>
    <w:p w14:paraId="7B3825F6" w14:textId="5183E8C3" w:rsidR="00CB2F95" w:rsidRPr="00CB2F95" w:rsidRDefault="00CB2F95" w:rsidP="00CB2F95">
      <w:pPr>
        <w:pStyle w:val="Body"/>
        <w:rPr>
          <w:lang w:val="en-US"/>
        </w:rPr>
      </w:pPr>
      <w:r w:rsidRPr="00CB2F95">
        <w:rPr>
          <w:noProof/>
          <w:lang w:val="en-US"/>
        </w:rPr>
        <w:drawing>
          <wp:inline distT="0" distB="0" distL="0" distR="0" wp14:anchorId="4C856EC2" wp14:editId="28336C87">
            <wp:extent cx="4894557" cy="3144033"/>
            <wp:effectExtent l="12700" t="12700" r="8255" b="184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902824" cy="3149343"/>
                    </a:xfrm>
                    <a:prstGeom prst="rect">
                      <a:avLst/>
                    </a:prstGeom>
                    <a:ln>
                      <a:solidFill>
                        <a:schemeClr val="accent1"/>
                      </a:solidFill>
                    </a:ln>
                  </pic:spPr>
                </pic:pic>
              </a:graphicData>
            </a:graphic>
          </wp:inline>
        </w:drawing>
      </w:r>
    </w:p>
    <w:p w14:paraId="730CC1B1" w14:textId="1CA56CA2" w:rsidR="006416A2" w:rsidRPr="00BB75E6" w:rsidRDefault="006416A2" w:rsidP="006416A2">
      <w:pPr>
        <w:spacing w:line="360" w:lineRule="auto"/>
        <w:rPr>
          <w:rFonts w:cs="Arial"/>
        </w:rPr>
      </w:pPr>
      <w:r w:rsidRPr="00BB75E6">
        <w:rPr>
          <w:rFonts w:cs="Arial"/>
        </w:rPr>
        <w:t xml:space="preserve"> </w:t>
      </w:r>
    </w:p>
    <w:p w14:paraId="4B6FA4C7" w14:textId="04405AD0" w:rsidR="006416A2" w:rsidRDefault="006416A2" w:rsidP="006416A2">
      <w:pPr>
        <w:spacing w:line="360" w:lineRule="auto"/>
        <w:rPr>
          <w:rStyle w:val="SubtleEmphasis"/>
          <w:i w:val="0"/>
          <w:iCs w:val="0"/>
        </w:rPr>
      </w:pPr>
      <w:r>
        <w:rPr>
          <w:rStyle w:val="SubtleEmphasis"/>
        </w:rPr>
        <w:t xml:space="preserve">Figure shows the interaction effect of reported pain scores during the scan (LIKERT) and Δ RBV at the RPSC.  The P-DPN group has an inverse relationship to LIKERT whilst the DPN and HV groups have </w:t>
      </w:r>
      <w:r w:rsidR="00C75E32">
        <w:rPr>
          <w:rStyle w:val="SubtleEmphasis"/>
        </w:rPr>
        <w:t xml:space="preserve">a </w:t>
      </w:r>
      <w:r>
        <w:rPr>
          <w:rStyle w:val="SubtleEmphasis"/>
        </w:rPr>
        <w:t>positive relationship.</w:t>
      </w:r>
      <w:r w:rsidR="00C75E32">
        <w:rPr>
          <w:rStyle w:val="SubtleEmphasis"/>
        </w:rPr>
        <w:t xml:space="preserve">  </w:t>
      </w:r>
      <w:r>
        <w:rPr>
          <w:rStyle w:val="SubtleEmphasis"/>
        </w:rPr>
        <w:t>These are significantly different</w:t>
      </w:r>
      <w:r w:rsidR="00C75E32">
        <w:rPr>
          <w:rStyle w:val="SubtleEmphasis"/>
        </w:rPr>
        <w:t>.</w:t>
      </w:r>
      <w:r>
        <w:rPr>
          <w:rStyle w:val="SubtleEmphasis"/>
        </w:rPr>
        <w:t xml:space="preserve"> P-DPN vs DPN p&lt;.001, P-DPN vs HV p=.002. </w:t>
      </w:r>
    </w:p>
    <w:p w14:paraId="15113B57" w14:textId="17CCACAC" w:rsidR="006416A2" w:rsidRPr="00BB75E6" w:rsidRDefault="006416A2" w:rsidP="00C8005D">
      <w:pPr>
        <w:pStyle w:val="Heading3"/>
      </w:pPr>
      <w:bookmarkStart w:id="450" w:name="_Toc48469278"/>
      <w:bookmarkStart w:id="451" w:name="_Toc64723960"/>
      <w:r>
        <w:lastRenderedPageBreak/>
        <w:t>Change in Regional Blood Flow</w:t>
      </w:r>
      <w:bookmarkEnd w:id="450"/>
      <w:r>
        <w:t xml:space="preserve"> </w:t>
      </w:r>
      <w:r w:rsidR="00617AB7">
        <w:t xml:space="preserve">in </w:t>
      </w:r>
      <w:r w:rsidR="006C36ED">
        <w:t>R</w:t>
      </w:r>
      <w:r w:rsidR="00617AB7">
        <w:t xml:space="preserve">esponse to </w:t>
      </w:r>
      <w:r w:rsidR="006C36ED">
        <w:t>P</w:t>
      </w:r>
      <w:r w:rsidR="00617AB7">
        <w:t>ain</w:t>
      </w:r>
      <w:bookmarkEnd w:id="451"/>
    </w:p>
    <w:p w14:paraId="511E324D" w14:textId="77777777" w:rsidR="006416A2" w:rsidRPr="008F032C" w:rsidRDefault="006416A2" w:rsidP="006416A2">
      <w:pPr>
        <w:spacing w:line="360" w:lineRule="auto"/>
        <w:rPr>
          <w:rFonts w:cs="Arial"/>
        </w:rPr>
      </w:pPr>
      <w:r w:rsidRPr="008F032C">
        <w:rPr>
          <w:rFonts w:cs="Arial"/>
        </w:rPr>
        <w:t xml:space="preserve">Multivariate ANCOVA was significant for </w:t>
      </w:r>
      <w:r>
        <w:rPr>
          <w:rFonts w:cs="Arial"/>
        </w:rPr>
        <w:t>LIKERT</w:t>
      </w:r>
      <w:r w:rsidRPr="008F032C">
        <w:rPr>
          <w:rFonts w:cs="Arial"/>
        </w:rPr>
        <w:t xml:space="preserve">, Wilks’ </w:t>
      </w:r>
      <w:r w:rsidRPr="008F032C">
        <w:rPr>
          <w:rFonts w:eastAsia="Arial Unicode MS" w:cs="Arial"/>
        </w:rPr>
        <w:t>λ</w:t>
      </w:r>
      <w:r w:rsidRPr="008F032C">
        <w:rPr>
          <w:rFonts w:cs="Arial"/>
        </w:rPr>
        <w:t>=.020, F(8,64)=2.5, p=.02</w:t>
      </w:r>
      <w:r w:rsidRPr="008F032C">
        <w:t xml:space="preserve">, but not </w:t>
      </w:r>
      <w:r w:rsidRPr="008F032C">
        <w:rPr>
          <w:rFonts w:cs="Arial"/>
        </w:rPr>
        <w:t>significant for group or the interaction term group*LIKERT</w:t>
      </w:r>
      <w:r>
        <w:rPr>
          <w:rFonts w:cs="Arial"/>
        </w:rPr>
        <w:t xml:space="preserve"> for RBF (Appendix D, Table D.16)</w:t>
      </w:r>
    </w:p>
    <w:p w14:paraId="0E7C8892" w14:textId="77777777" w:rsidR="006416A2" w:rsidRPr="008F032C" w:rsidRDefault="006416A2" w:rsidP="006416A2">
      <w:pPr>
        <w:spacing w:line="360" w:lineRule="auto"/>
        <w:rPr>
          <w:rFonts w:cs="Arial"/>
        </w:rPr>
      </w:pPr>
      <w:r>
        <w:rPr>
          <w:rFonts w:cs="Arial"/>
        </w:rPr>
        <w:t>For the univariate analysis t</w:t>
      </w:r>
      <w:r w:rsidRPr="008F032C">
        <w:rPr>
          <w:rFonts w:cs="Arial"/>
        </w:rPr>
        <w:t xml:space="preserve">here was a significant difference in the group means for </w:t>
      </w:r>
      <w:r>
        <w:rPr>
          <w:rFonts w:cs="Arial"/>
        </w:rPr>
        <w:t>Δ</w:t>
      </w:r>
      <w:r w:rsidRPr="008F032C">
        <w:rPr>
          <w:rFonts w:cs="Arial"/>
        </w:rPr>
        <w:t xml:space="preserve"> RBF </w:t>
      </w:r>
      <w:r>
        <w:rPr>
          <w:rFonts w:cs="Arial"/>
        </w:rPr>
        <w:t>in</w:t>
      </w:r>
      <w:r w:rsidRPr="008F032C">
        <w:rPr>
          <w:rFonts w:cs="Arial"/>
        </w:rPr>
        <w:t xml:space="preserve"> the </w:t>
      </w:r>
      <w:r>
        <w:rPr>
          <w:rFonts w:cs="Arial"/>
        </w:rPr>
        <w:t>LINS,</w:t>
      </w:r>
      <w:r w:rsidRPr="008F032C">
        <w:rPr>
          <w:rFonts w:cs="Arial"/>
        </w:rPr>
        <w:t xml:space="preserve"> but there was no post </w:t>
      </w:r>
      <w:r>
        <w:rPr>
          <w:rFonts w:cs="Arial"/>
        </w:rPr>
        <w:t>H</w:t>
      </w:r>
      <w:r w:rsidRPr="008F032C">
        <w:rPr>
          <w:rFonts w:cs="Arial"/>
        </w:rPr>
        <w:t>oc significance</w:t>
      </w:r>
      <w:r>
        <w:rPr>
          <w:rFonts w:cs="Arial"/>
        </w:rPr>
        <w:t xml:space="preserve"> after adjusting for LIKERT and Group*LIKERT interaction (see Appendix D- Table D.17 and Figure D.2)</w:t>
      </w:r>
      <w:r w:rsidRPr="008F032C">
        <w:rPr>
          <w:rFonts w:cs="Arial"/>
        </w:rPr>
        <w:t xml:space="preserve"> </w:t>
      </w:r>
      <w:r>
        <w:rPr>
          <w:rFonts w:cs="Arial"/>
        </w:rPr>
        <w:t xml:space="preserve"> </w:t>
      </w:r>
    </w:p>
    <w:p w14:paraId="5A8FFF49" w14:textId="146DEABB" w:rsidR="006416A2" w:rsidRPr="00BB75E6" w:rsidRDefault="006416A2" w:rsidP="00C8005D">
      <w:pPr>
        <w:pStyle w:val="Heading3"/>
      </w:pPr>
      <w:bookmarkStart w:id="452" w:name="_Toc48469279"/>
      <w:bookmarkStart w:id="453" w:name="_Toc64723961"/>
      <w:r>
        <w:t>Change in Mean Transit Time</w:t>
      </w:r>
      <w:bookmarkEnd w:id="452"/>
      <w:r>
        <w:t xml:space="preserve"> </w:t>
      </w:r>
      <w:r w:rsidR="00617AB7">
        <w:t xml:space="preserve">in </w:t>
      </w:r>
      <w:r w:rsidR="006C36ED">
        <w:t>R</w:t>
      </w:r>
      <w:r w:rsidR="00617AB7">
        <w:t xml:space="preserve">esponse to </w:t>
      </w:r>
      <w:r w:rsidR="006C36ED">
        <w:t>P</w:t>
      </w:r>
      <w:r w:rsidR="00617AB7">
        <w:t>ain</w:t>
      </w:r>
      <w:bookmarkEnd w:id="453"/>
    </w:p>
    <w:p w14:paraId="614180D7" w14:textId="77777777" w:rsidR="006416A2" w:rsidRDefault="006416A2" w:rsidP="006416A2">
      <w:pPr>
        <w:spacing w:line="360" w:lineRule="auto"/>
        <w:rPr>
          <w:rFonts w:cs="Arial"/>
        </w:rPr>
      </w:pPr>
      <w:r>
        <w:rPr>
          <w:rFonts w:cs="Arial"/>
        </w:rPr>
        <w:t xml:space="preserve">The multivariate analysis did not reveal any group, LIKERT, or group*LIKERT significance for MTT overall (see Appendix D, Table D.18). The univariate analysis showed </w:t>
      </w:r>
      <w:r w:rsidRPr="00BB75E6">
        <w:rPr>
          <w:rFonts w:cs="Arial"/>
        </w:rPr>
        <w:t xml:space="preserve">a significant difference </w:t>
      </w:r>
      <w:r>
        <w:rPr>
          <w:rFonts w:cs="Arial"/>
        </w:rPr>
        <w:t>for mean MTT</w:t>
      </w:r>
      <w:r w:rsidRPr="00BB75E6">
        <w:rPr>
          <w:rFonts w:cs="Arial"/>
        </w:rPr>
        <w:t xml:space="preserve"> in the parieto-occipital white matter</w:t>
      </w:r>
      <w:r>
        <w:rPr>
          <w:rFonts w:cs="Arial"/>
        </w:rPr>
        <w:t xml:space="preserve"> (p=0.042)</w:t>
      </w:r>
      <w:r w:rsidRPr="000E4CFE">
        <w:rPr>
          <w:rFonts w:cs="Arial"/>
        </w:rPr>
        <w:t xml:space="preserve"> </w:t>
      </w:r>
      <w:r>
        <w:rPr>
          <w:rFonts w:cs="Arial"/>
        </w:rPr>
        <w:t>after adjusting for LIKERT and Group*LIKERT interaction</w:t>
      </w:r>
      <w:r w:rsidRPr="00BB75E6">
        <w:rPr>
          <w:rFonts w:cs="Arial"/>
        </w:rPr>
        <w:t xml:space="preserve">, but there was no significant difference in multiple comparisons </w:t>
      </w:r>
      <w:r>
        <w:rPr>
          <w:rFonts w:cs="Arial"/>
        </w:rPr>
        <w:t>after</w:t>
      </w:r>
      <w:r w:rsidRPr="00BB75E6">
        <w:rPr>
          <w:rFonts w:cs="Arial"/>
        </w:rPr>
        <w:t xml:space="preserve"> post- hoc testing</w:t>
      </w:r>
      <w:r>
        <w:rPr>
          <w:rFonts w:cs="Arial"/>
        </w:rPr>
        <w:t xml:space="preserve"> (Appendix D, Table D.19 and Figure D.3).</w:t>
      </w:r>
    </w:p>
    <w:p w14:paraId="28F89279" w14:textId="12DFCA35" w:rsidR="006416A2" w:rsidRPr="00BB75E6" w:rsidRDefault="006416A2" w:rsidP="00C8005D">
      <w:pPr>
        <w:pStyle w:val="Heading3"/>
      </w:pPr>
      <w:bookmarkStart w:id="454" w:name="_Toc48469280"/>
      <w:bookmarkStart w:id="455" w:name="_Toc64723962"/>
      <w:r>
        <w:t>Change in Time</w:t>
      </w:r>
      <w:r w:rsidR="00982E15">
        <w:t>-</w:t>
      </w:r>
      <w:r>
        <w:t>to</w:t>
      </w:r>
      <w:r w:rsidR="00982E15">
        <w:t>-</w:t>
      </w:r>
      <w:r>
        <w:t>Peak Measurement</w:t>
      </w:r>
      <w:bookmarkEnd w:id="454"/>
      <w:r w:rsidR="00617AB7">
        <w:t xml:space="preserve"> </w:t>
      </w:r>
      <w:r w:rsidR="006C36ED">
        <w:t>i</w:t>
      </w:r>
      <w:r w:rsidR="00617AB7">
        <w:t xml:space="preserve">n </w:t>
      </w:r>
      <w:r w:rsidR="006C36ED">
        <w:t>R</w:t>
      </w:r>
      <w:r w:rsidR="00617AB7">
        <w:t xml:space="preserve">esponse to </w:t>
      </w:r>
      <w:r w:rsidR="006C36ED">
        <w:t>P</w:t>
      </w:r>
      <w:r w:rsidR="00617AB7">
        <w:t>ain</w:t>
      </w:r>
      <w:bookmarkEnd w:id="455"/>
    </w:p>
    <w:p w14:paraId="2639B31E" w14:textId="77777777" w:rsidR="006416A2" w:rsidRDefault="006416A2" w:rsidP="006416A2">
      <w:pPr>
        <w:spacing w:line="360" w:lineRule="auto"/>
      </w:pPr>
      <w:r w:rsidRPr="00B4434C">
        <w:t xml:space="preserve">Multivariate analysis indicated a significant effect of LIKERT </w:t>
      </w:r>
      <w:r>
        <w:t xml:space="preserve">on Δ TTP: </w:t>
      </w:r>
      <w:r w:rsidRPr="00B4434C">
        <w:t>Wilks λ= .731, F(8,64)= 2.948, p=.007 (see Appendix D, Table D.</w:t>
      </w:r>
      <w:r>
        <w:t>20</w:t>
      </w:r>
      <w:r w:rsidRPr="00B4434C">
        <w:t xml:space="preserve">). </w:t>
      </w:r>
    </w:p>
    <w:p w14:paraId="0E9956C0" w14:textId="1823BF10" w:rsidR="006416A2" w:rsidRDefault="006416A2" w:rsidP="006416A2">
      <w:pPr>
        <w:spacing w:line="360" w:lineRule="auto"/>
        <w:rPr>
          <w:rFonts w:cs="Arial"/>
        </w:rPr>
      </w:pPr>
      <w:r>
        <w:rPr>
          <w:rFonts w:cs="Arial"/>
        </w:rPr>
        <w:t xml:space="preserve">Univariate analysis of </w:t>
      </w:r>
      <w:r w:rsidRPr="00BB75E6">
        <w:rPr>
          <w:rFonts w:cs="Arial"/>
        </w:rPr>
        <w:t xml:space="preserve">Regions of interest </w:t>
      </w:r>
      <w:r>
        <w:rPr>
          <w:rFonts w:cs="Arial"/>
        </w:rPr>
        <w:t>showed significant difference</w:t>
      </w:r>
      <w:r w:rsidR="00CE2BC9">
        <w:rPr>
          <w:rFonts w:cs="Arial"/>
        </w:rPr>
        <w:t>s</w:t>
      </w:r>
      <w:r>
        <w:rPr>
          <w:rFonts w:cs="Arial"/>
        </w:rPr>
        <w:t xml:space="preserve"> for Δ TTP at the LThal, </w:t>
      </w:r>
      <w:proofErr w:type="spellStart"/>
      <w:r>
        <w:rPr>
          <w:rFonts w:cs="Arial"/>
        </w:rPr>
        <w:t>RThal</w:t>
      </w:r>
      <w:proofErr w:type="spellEnd"/>
      <w:r>
        <w:rPr>
          <w:rFonts w:cs="Arial"/>
        </w:rPr>
        <w:t>, LINS, LPSC, and RPSC (see Table 5.3) after adjusting for LIKERT and Group*LIKERT interaction.  There was post Hoc significance between the</w:t>
      </w:r>
      <w:r w:rsidR="001756C0">
        <w:rPr>
          <w:rFonts w:cs="Arial"/>
        </w:rPr>
        <w:t xml:space="preserve"> means for the</w:t>
      </w:r>
      <w:r>
        <w:rPr>
          <w:rFonts w:cs="Arial"/>
        </w:rPr>
        <w:t xml:space="preserve"> P-DPN and HV groups (see Table 5.3 and Figure 5.9).</w:t>
      </w:r>
    </w:p>
    <w:p w14:paraId="2DDE35A0" w14:textId="77777777" w:rsidR="009C12AF" w:rsidRDefault="009C12AF">
      <w:pPr>
        <w:rPr>
          <w:rFonts w:eastAsia="Arial" w:cs="Arial"/>
          <w:i/>
          <w:iCs/>
          <w:color w:val="44546A"/>
          <w:u w:color="44546A"/>
          <w:bdr w:val="nil"/>
          <w:lang w:val="en-US" w:eastAsia="en-GB"/>
        </w:rPr>
      </w:pPr>
      <w:bookmarkStart w:id="456" w:name="_Toc48469318"/>
      <w:r>
        <w:br w:type="page"/>
      </w:r>
    </w:p>
    <w:p w14:paraId="75F09E63" w14:textId="21053C98" w:rsidR="006416A2" w:rsidRPr="00B4434C" w:rsidRDefault="006416A2" w:rsidP="00455CF2">
      <w:pPr>
        <w:pStyle w:val="Quote"/>
        <w:rPr>
          <w:vertAlign w:val="superscript"/>
        </w:rPr>
      </w:pPr>
      <w:bookmarkStart w:id="457" w:name="_Toc64724087"/>
      <w:r w:rsidRPr="001C5709">
        <w:lastRenderedPageBreak/>
        <w:t xml:space="preserve">Table </w:t>
      </w:r>
      <w:r>
        <w:t>5.3</w:t>
      </w:r>
      <w:r w:rsidRPr="001C5709">
        <w:t xml:space="preserve">: Univariate ANCOVA </w:t>
      </w:r>
      <w:r w:rsidR="007906E5">
        <w:t>C</w:t>
      </w:r>
      <w:r w:rsidRPr="001C5709">
        <w:t xml:space="preserve">omparing </w:t>
      </w:r>
      <w:r>
        <w:t>Δ</w:t>
      </w:r>
      <w:r w:rsidRPr="001C5709">
        <w:t>-</w:t>
      </w:r>
      <w:r>
        <w:t>TTP</w:t>
      </w:r>
      <w:r w:rsidRPr="001C5709">
        <w:t xml:space="preserve"> - </w:t>
      </w:r>
      <w:r w:rsidR="007906E5">
        <w:t>R</w:t>
      </w:r>
      <w:r w:rsidRPr="001C5709">
        <w:t xml:space="preserve">eported by </w:t>
      </w:r>
      <w:r w:rsidR="007906E5">
        <w:t>R</w:t>
      </w:r>
      <w:r w:rsidRPr="001C5709">
        <w:t xml:space="preserve">egion of </w:t>
      </w:r>
      <w:r w:rsidR="007906E5">
        <w:t>I</w:t>
      </w:r>
      <w:r w:rsidRPr="001C5709">
        <w:t xml:space="preserve">nterest- </w:t>
      </w:r>
      <w:r w:rsidR="007906E5">
        <w:t>A</w:t>
      </w:r>
      <w:r>
        <w:t xml:space="preserve">djusted for </w:t>
      </w:r>
      <w:proofErr w:type="spellStart"/>
      <w:r>
        <w:t>LIKERT</w:t>
      </w:r>
      <w:r>
        <w:rPr>
          <w:vertAlign w:val="superscript"/>
        </w:rPr>
        <w:t>a</w:t>
      </w:r>
      <w:bookmarkEnd w:id="456"/>
      <w:bookmarkEnd w:id="457"/>
      <w:proofErr w:type="spellEnd"/>
    </w:p>
    <w:tbl>
      <w:tblPr>
        <w:tblStyle w:val="GridTable3-Accent2"/>
        <w:tblW w:w="8915" w:type="dxa"/>
        <w:tblBorders>
          <w:top w:val="single" w:sz="2" w:space="0" w:color="F4B083" w:themeColor="accent2" w:themeTint="99"/>
          <w:left w:val="single" w:sz="2" w:space="0" w:color="F4B083" w:themeColor="accent2" w:themeTint="99"/>
          <w:bottom w:val="single" w:sz="2" w:space="0" w:color="F4B083" w:themeColor="accent2" w:themeTint="99"/>
          <w:right w:val="single" w:sz="2" w:space="0" w:color="F4B083" w:themeColor="accent2" w:themeTint="99"/>
          <w:insideH w:val="single" w:sz="2" w:space="0" w:color="F4B083" w:themeColor="accent2" w:themeTint="99"/>
          <w:insideV w:val="single" w:sz="2" w:space="0" w:color="F4B083" w:themeColor="accent2" w:themeTint="99"/>
        </w:tblBorders>
        <w:tblLook w:val="04A0" w:firstRow="1" w:lastRow="0" w:firstColumn="1" w:lastColumn="0" w:noHBand="0" w:noVBand="1"/>
      </w:tblPr>
      <w:tblGrid>
        <w:gridCol w:w="1443"/>
        <w:gridCol w:w="622"/>
        <w:gridCol w:w="1179"/>
        <w:gridCol w:w="689"/>
        <w:gridCol w:w="1179"/>
        <w:gridCol w:w="689"/>
        <w:gridCol w:w="1179"/>
        <w:gridCol w:w="689"/>
        <w:gridCol w:w="1246"/>
      </w:tblGrid>
      <w:tr w:rsidR="006416A2" w:rsidRPr="007159EE" w14:paraId="4570BA8C" w14:textId="77777777" w:rsidTr="007159EE">
        <w:trPr>
          <w:cnfStyle w:val="100000000000" w:firstRow="1" w:lastRow="0" w:firstColumn="0" w:lastColumn="0" w:oddVBand="0" w:evenVBand="0" w:oddHBand="0" w:evenHBand="0" w:firstRowFirstColumn="0" w:firstRowLastColumn="0" w:lastRowFirstColumn="0" w:lastRowLastColumn="0"/>
          <w:trHeight w:val="356"/>
        </w:trPr>
        <w:tc>
          <w:tcPr>
            <w:cnfStyle w:val="001000000100" w:firstRow="0" w:lastRow="0" w:firstColumn="1" w:lastColumn="0" w:oddVBand="0" w:evenVBand="0" w:oddHBand="0" w:evenHBand="0" w:firstRowFirstColumn="1" w:firstRowLastColumn="0" w:lastRowFirstColumn="0" w:lastRowLastColumn="0"/>
            <w:tcW w:w="0" w:type="auto"/>
            <w:tcBorders>
              <w:top w:val="none" w:sz="0" w:space="0" w:color="auto"/>
              <w:left w:val="none" w:sz="0" w:space="0" w:color="auto"/>
              <w:bottom w:val="none" w:sz="0" w:space="0" w:color="auto"/>
              <w:right w:val="none" w:sz="0" w:space="0" w:color="auto"/>
            </w:tcBorders>
            <w:noWrap/>
            <w:hideMark/>
          </w:tcPr>
          <w:p w14:paraId="2AF929F6" w14:textId="77777777" w:rsidR="006416A2" w:rsidRPr="007159EE" w:rsidRDefault="006416A2" w:rsidP="00FF1D46">
            <w:pPr>
              <w:spacing w:line="480" w:lineRule="auto"/>
              <w:rPr>
                <w:rFonts w:asciiTheme="minorHAnsi" w:eastAsia="Times New Roman" w:hAnsiTheme="minorHAnsi" w:cstheme="minorHAnsi"/>
                <w:sz w:val="20"/>
                <w:szCs w:val="20"/>
                <w:lang w:eastAsia="en-GB"/>
              </w:rPr>
            </w:pPr>
          </w:p>
        </w:tc>
        <w:tc>
          <w:tcPr>
            <w:tcW w:w="0" w:type="auto"/>
            <w:gridSpan w:val="2"/>
            <w:tcBorders>
              <w:top w:val="none" w:sz="0" w:space="0" w:color="auto"/>
              <w:left w:val="none" w:sz="0" w:space="0" w:color="auto"/>
              <w:right w:val="none" w:sz="0" w:space="0" w:color="auto"/>
            </w:tcBorders>
            <w:noWrap/>
            <w:hideMark/>
          </w:tcPr>
          <w:p w14:paraId="33CB8EB8" w14:textId="77777777" w:rsidR="006416A2" w:rsidRPr="007159EE" w:rsidRDefault="006416A2" w:rsidP="00FF1D46">
            <w:pPr>
              <w:spacing w:line="48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P-DPN</w:t>
            </w:r>
          </w:p>
        </w:tc>
        <w:tc>
          <w:tcPr>
            <w:tcW w:w="0" w:type="auto"/>
            <w:gridSpan w:val="2"/>
            <w:tcBorders>
              <w:top w:val="none" w:sz="0" w:space="0" w:color="auto"/>
              <w:left w:val="none" w:sz="0" w:space="0" w:color="auto"/>
              <w:right w:val="none" w:sz="0" w:space="0" w:color="auto"/>
            </w:tcBorders>
            <w:noWrap/>
            <w:hideMark/>
          </w:tcPr>
          <w:p w14:paraId="232F0635" w14:textId="77777777" w:rsidR="006416A2" w:rsidRPr="007159EE" w:rsidRDefault="006416A2" w:rsidP="00FF1D46">
            <w:pPr>
              <w:spacing w:line="48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DPN</w:t>
            </w:r>
          </w:p>
        </w:tc>
        <w:tc>
          <w:tcPr>
            <w:tcW w:w="0" w:type="auto"/>
            <w:gridSpan w:val="2"/>
            <w:tcBorders>
              <w:top w:val="none" w:sz="0" w:space="0" w:color="auto"/>
              <w:left w:val="none" w:sz="0" w:space="0" w:color="auto"/>
              <w:right w:val="none" w:sz="0" w:space="0" w:color="auto"/>
            </w:tcBorders>
            <w:noWrap/>
            <w:hideMark/>
          </w:tcPr>
          <w:p w14:paraId="5E0DDF2B" w14:textId="77777777" w:rsidR="006416A2" w:rsidRPr="007159EE" w:rsidRDefault="006416A2" w:rsidP="00FF1D46">
            <w:pPr>
              <w:spacing w:line="48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DM-NN</w:t>
            </w:r>
          </w:p>
        </w:tc>
        <w:tc>
          <w:tcPr>
            <w:tcW w:w="0" w:type="auto"/>
            <w:gridSpan w:val="2"/>
            <w:tcBorders>
              <w:top w:val="none" w:sz="0" w:space="0" w:color="auto"/>
              <w:left w:val="none" w:sz="0" w:space="0" w:color="auto"/>
              <w:right w:val="none" w:sz="0" w:space="0" w:color="auto"/>
            </w:tcBorders>
            <w:noWrap/>
            <w:hideMark/>
          </w:tcPr>
          <w:p w14:paraId="55374C23" w14:textId="77777777" w:rsidR="006416A2" w:rsidRPr="007159EE" w:rsidRDefault="006416A2" w:rsidP="00FF1D46">
            <w:pPr>
              <w:spacing w:line="48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HV</w:t>
            </w:r>
          </w:p>
        </w:tc>
      </w:tr>
      <w:tr w:rsidR="006416A2" w:rsidRPr="007159EE" w14:paraId="0A8499BE" w14:textId="77777777" w:rsidTr="007159EE">
        <w:trPr>
          <w:cnfStyle w:val="000000100000" w:firstRow="0" w:lastRow="0" w:firstColumn="0" w:lastColumn="0" w:oddVBand="0" w:evenVBand="0" w:oddHBand="1" w:evenHBand="0" w:firstRowFirstColumn="0" w:firstRowLastColumn="0" w:lastRowFirstColumn="0" w:lastRowLastColumn="0"/>
          <w:trHeight w:val="356"/>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tcBorders>
            <w:noWrap/>
            <w:hideMark/>
          </w:tcPr>
          <w:p w14:paraId="10B172EA" w14:textId="77777777" w:rsidR="006416A2" w:rsidRPr="007159EE" w:rsidRDefault="006416A2" w:rsidP="00FF1D46">
            <w:pPr>
              <w:spacing w:line="480" w:lineRule="auto"/>
              <w:jc w:val="center"/>
              <w:rPr>
                <w:rFonts w:asciiTheme="minorHAnsi" w:eastAsia="Times New Roman" w:hAnsiTheme="minorHAnsi" w:cstheme="minorHAnsi"/>
                <w:color w:val="000000"/>
                <w:sz w:val="20"/>
                <w:szCs w:val="20"/>
                <w:lang w:eastAsia="en-GB"/>
              </w:rPr>
            </w:pPr>
          </w:p>
        </w:tc>
        <w:tc>
          <w:tcPr>
            <w:tcW w:w="0" w:type="auto"/>
            <w:noWrap/>
            <w:hideMark/>
          </w:tcPr>
          <w:p w14:paraId="02923DA0" w14:textId="77777777" w:rsidR="006416A2" w:rsidRPr="007159EE" w:rsidRDefault="006416A2" w:rsidP="00FF1D46">
            <w:pPr>
              <w:spacing w:line="48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M</w:t>
            </w:r>
          </w:p>
        </w:tc>
        <w:tc>
          <w:tcPr>
            <w:tcW w:w="0" w:type="auto"/>
            <w:noWrap/>
            <w:hideMark/>
          </w:tcPr>
          <w:p w14:paraId="3F52C298" w14:textId="77777777" w:rsidR="006416A2" w:rsidRPr="007159EE" w:rsidRDefault="006416A2" w:rsidP="00FF1D46">
            <w:pPr>
              <w:spacing w:line="48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95% CI</w:t>
            </w:r>
          </w:p>
        </w:tc>
        <w:tc>
          <w:tcPr>
            <w:tcW w:w="0" w:type="auto"/>
            <w:noWrap/>
            <w:hideMark/>
          </w:tcPr>
          <w:p w14:paraId="65002626" w14:textId="77777777" w:rsidR="006416A2" w:rsidRPr="007159EE" w:rsidRDefault="006416A2" w:rsidP="00FF1D46">
            <w:pPr>
              <w:spacing w:line="48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M</w:t>
            </w:r>
          </w:p>
        </w:tc>
        <w:tc>
          <w:tcPr>
            <w:tcW w:w="0" w:type="auto"/>
            <w:noWrap/>
            <w:hideMark/>
          </w:tcPr>
          <w:p w14:paraId="51C463FC" w14:textId="77777777" w:rsidR="006416A2" w:rsidRPr="007159EE" w:rsidRDefault="006416A2" w:rsidP="00FF1D46">
            <w:pPr>
              <w:spacing w:line="48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95% CI</w:t>
            </w:r>
          </w:p>
        </w:tc>
        <w:tc>
          <w:tcPr>
            <w:tcW w:w="0" w:type="auto"/>
            <w:noWrap/>
            <w:hideMark/>
          </w:tcPr>
          <w:p w14:paraId="763C8EC3" w14:textId="77777777" w:rsidR="006416A2" w:rsidRPr="007159EE" w:rsidRDefault="006416A2" w:rsidP="00FF1D46">
            <w:pPr>
              <w:spacing w:line="48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M</w:t>
            </w:r>
          </w:p>
        </w:tc>
        <w:tc>
          <w:tcPr>
            <w:tcW w:w="0" w:type="auto"/>
            <w:noWrap/>
            <w:hideMark/>
          </w:tcPr>
          <w:p w14:paraId="0C3DD557" w14:textId="77777777" w:rsidR="006416A2" w:rsidRPr="007159EE" w:rsidRDefault="006416A2" w:rsidP="00FF1D46">
            <w:pPr>
              <w:spacing w:line="48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95% CI</w:t>
            </w:r>
          </w:p>
        </w:tc>
        <w:tc>
          <w:tcPr>
            <w:tcW w:w="0" w:type="auto"/>
            <w:noWrap/>
            <w:hideMark/>
          </w:tcPr>
          <w:p w14:paraId="3B2E1FE1" w14:textId="77777777" w:rsidR="006416A2" w:rsidRPr="007159EE" w:rsidRDefault="006416A2" w:rsidP="00FF1D46">
            <w:pPr>
              <w:spacing w:line="48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M</w:t>
            </w:r>
          </w:p>
        </w:tc>
        <w:tc>
          <w:tcPr>
            <w:tcW w:w="0" w:type="auto"/>
            <w:noWrap/>
            <w:hideMark/>
          </w:tcPr>
          <w:p w14:paraId="7389DA32" w14:textId="77777777" w:rsidR="006416A2" w:rsidRPr="007159EE" w:rsidRDefault="006416A2" w:rsidP="00FF1D46">
            <w:pPr>
              <w:spacing w:line="48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95% CI</w:t>
            </w:r>
          </w:p>
        </w:tc>
      </w:tr>
      <w:tr w:rsidR="006416A2" w:rsidRPr="007159EE" w14:paraId="634C6191" w14:textId="77777777" w:rsidTr="007159EE">
        <w:trPr>
          <w:trHeight w:val="356"/>
        </w:trPr>
        <w:tc>
          <w:tcPr>
            <w:cnfStyle w:val="001000000000" w:firstRow="0" w:lastRow="0" w:firstColumn="1" w:lastColumn="0" w:oddVBand="0" w:evenVBand="0" w:oddHBand="0" w:evenHBand="0" w:firstRowFirstColumn="0" w:firstRowLastColumn="0" w:lastRowFirstColumn="0" w:lastRowLastColumn="0"/>
            <w:tcW w:w="0" w:type="auto"/>
            <w:gridSpan w:val="9"/>
            <w:tcBorders>
              <w:top w:val="none" w:sz="0" w:space="0" w:color="auto"/>
              <w:left w:val="none" w:sz="0" w:space="0" w:color="auto"/>
              <w:bottom w:val="none" w:sz="0" w:space="0" w:color="auto"/>
            </w:tcBorders>
            <w:noWrap/>
          </w:tcPr>
          <w:p w14:paraId="1C0ABEF4" w14:textId="77777777" w:rsidR="006416A2" w:rsidRPr="007159EE" w:rsidRDefault="006416A2" w:rsidP="00FF1D46">
            <w:pPr>
              <w:spacing w:line="480" w:lineRule="auto"/>
              <w:rPr>
                <w:rFonts w:asciiTheme="minorHAnsi" w:eastAsia="Times New Roman" w:hAnsiTheme="minorHAnsi" w:cstheme="minorHAnsi"/>
                <w:color w:val="000000"/>
                <w:sz w:val="20"/>
                <w:szCs w:val="20"/>
                <w:lang w:eastAsia="en-GB"/>
              </w:rPr>
            </w:pPr>
          </w:p>
        </w:tc>
      </w:tr>
      <w:tr w:rsidR="006416A2" w:rsidRPr="007159EE" w14:paraId="62DFFE23" w14:textId="77777777" w:rsidTr="007159EE">
        <w:trPr>
          <w:cnfStyle w:val="000000100000" w:firstRow="0" w:lastRow="0" w:firstColumn="0" w:lastColumn="0" w:oddVBand="0" w:evenVBand="0" w:oddHBand="1" w:evenHBand="0" w:firstRowFirstColumn="0" w:firstRowLastColumn="0" w:lastRowFirstColumn="0" w:lastRowLastColumn="0"/>
          <w:trHeight w:val="356"/>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tcBorders>
            <w:noWrap/>
            <w:hideMark/>
          </w:tcPr>
          <w:p w14:paraId="0447EA18" w14:textId="77777777" w:rsidR="006416A2" w:rsidRPr="007159EE" w:rsidRDefault="006416A2" w:rsidP="00FF1D46">
            <w:pPr>
              <w:spacing w:line="480" w:lineRule="auto"/>
              <w:jc w:val="left"/>
              <w:rPr>
                <w:rFonts w:asciiTheme="minorHAnsi" w:eastAsia="Times New Roman" w:hAnsiTheme="minorHAnsi" w:cstheme="minorHAnsi"/>
                <w:b/>
                <w:bCs/>
                <w:color w:val="000000"/>
                <w:sz w:val="20"/>
                <w:szCs w:val="20"/>
                <w:lang w:eastAsia="en-GB"/>
              </w:rPr>
            </w:pPr>
            <w:r w:rsidRPr="007159EE">
              <w:rPr>
                <w:rFonts w:asciiTheme="minorHAnsi" w:eastAsia="Times New Roman" w:hAnsiTheme="minorHAnsi" w:cstheme="minorHAnsi"/>
                <w:b/>
                <w:bCs/>
                <w:color w:val="000000"/>
                <w:sz w:val="20"/>
                <w:szCs w:val="20"/>
                <w:lang w:eastAsia="en-GB"/>
              </w:rPr>
              <w:t>Δ TTP LThal</w:t>
            </w:r>
          </w:p>
        </w:tc>
        <w:tc>
          <w:tcPr>
            <w:tcW w:w="0" w:type="auto"/>
            <w:noWrap/>
            <w:hideMark/>
          </w:tcPr>
          <w:p w14:paraId="55EC5C34" w14:textId="77777777" w:rsidR="006416A2" w:rsidRPr="007159EE" w:rsidRDefault="006416A2" w:rsidP="00FF1D46">
            <w:pPr>
              <w:spacing w:line="48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0.50</w:t>
            </w:r>
          </w:p>
        </w:tc>
        <w:tc>
          <w:tcPr>
            <w:tcW w:w="0" w:type="auto"/>
            <w:noWrap/>
            <w:hideMark/>
          </w:tcPr>
          <w:p w14:paraId="679A2DA6" w14:textId="77777777" w:rsidR="006416A2" w:rsidRPr="007159EE" w:rsidRDefault="006416A2" w:rsidP="00FF1D46">
            <w:pPr>
              <w:spacing w:line="48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0.02, 0.97</w:t>
            </w:r>
          </w:p>
        </w:tc>
        <w:tc>
          <w:tcPr>
            <w:tcW w:w="0" w:type="auto"/>
            <w:noWrap/>
            <w:hideMark/>
          </w:tcPr>
          <w:p w14:paraId="20D635B0" w14:textId="77777777" w:rsidR="006416A2" w:rsidRPr="007159EE" w:rsidRDefault="006416A2" w:rsidP="00FF1D46">
            <w:pPr>
              <w:spacing w:line="48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-0.17</w:t>
            </w:r>
          </w:p>
        </w:tc>
        <w:tc>
          <w:tcPr>
            <w:tcW w:w="0" w:type="auto"/>
            <w:noWrap/>
            <w:hideMark/>
          </w:tcPr>
          <w:p w14:paraId="54D6687E" w14:textId="77777777" w:rsidR="006416A2" w:rsidRPr="007159EE" w:rsidRDefault="006416A2" w:rsidP="00FF1D46">
            <w:pPr>
              <w:spacing w:line="48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-0.59,0.24</w:t>
            </w:r>
          </w:p>
        </w:tc>
        <w:tc>
          <w:tcPr>
            <w:tcW w:w="0" w:type="auto"/>
            <w:noWrap/>
            <w:hideMark/>
          </w:tcPr>
          <w:p w14:paraId="40739585" w14:textId="77777777" w:rsidR="006416A2" w:rsidRPr="007159EE" w:rsidRDefault="006416A2" w:rsidP="00FF1D46">
            <w:pPr>
              <w:spacing w:line="48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-0.03</w:t>
            </w:r>
          </w:p>
        </w:tc>
        <w:tc>
          <w:tcPr>
            <w:tcW w:w="0" w:type="auto"/>
            <w:noWrap/>
            <w:hideMark/>
          </w:tcPr>
          <w:p w14:paraId="2D3BF0CD" w14:textId="77777777" w:rsidR="006416A2" w:rsidRPr="007159EE" w:rsidRDefault="006416A2" w:rsidP="00FF1D46">
            <w:pPr>
              <w:spacing w:line="48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-0.62, 0.56</w:t>
            </w:r>
          </w:p>
        </w:tc>
        <w:tc>
          <w:tcPr>
            <w:tcW w:w="0" w:type="auto"/>
            <w:noWrap/>
            <w:hideMark/>
          </w:tcPr>
          <w:p w14:paraId="6F91A802" w14:textId="77777777" w:rsidR="006416A2" w:rsidRPr="007159EE" w:rsidRDefault="006416A2" w:rsidP="00FF1D46">
            <w:pPr>
              <w:spacing w:line="48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-0.43</w:t>
            </w:r>
          </w:p>
        </w:tc>
        <w:tc>
          <w:tcPr>
            <w:tcW w:w="0" w:type="auto"/>
            <w:noWrap/>
            <w:hideMark/>
          </w:tcPr>
          <w:p w14:paraId="41E75621" w14:textId="77777777" w:rsidR="006416A2" w:rsidRPr="007159EE" w:rsidRDefault="006416A2" w:rsidP="00FF1D46">
            <w:pPr>
              <w:spacing w:line="48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-0.90, 0.05</w:t>
            </w:r>
          </w:p>
        </w:tc>
      </w:tr>
      <w:tr w:rsidR="006416A2" w:rsidRPr="007159EE" w14:paraId="25414163" w14:textId="77777777" w:rsidTr="007159EE">
        <w:trPr>
          <w:trHeight w:val="356"/>
        </w:trPr>
        <w:tc>
          <w:tcPr>
            <w:cnfStyle w:val="001000000000" w:firstRow="0" w:lastRow="0" w:firstColumn="1" w:lastColumn="0" w:oddVBand="0" w:evenVBand="0" w:oddHBand="0" w:evenHBand="0" w:firstRowFirstColumn="0" w:firstRowLastColumn="0" w:lastRowFirstColumn="0" w:lastRowLastColumn="0"/>
            <w:tcW w:w="0" w:type="auto"/>
            <w:gridSpan w:val="9"/>
            <w:tcBorders>
              <w:top w:val="none" w:sz="0" w:space="0" w:color="auto"/>
              <w:left w:val="none" w:sz="0" w:space="0" w:color="auto"/>
              <w:bottom w:val="none" w:sz="0" w:space="0" w:color="auto"/>
            </w:tcBorders>
            <w:noWrap/>
          </w:tcPr>
          <w:p w14:paraId="46256FDD" w14:textId="77777777" w:rsidR="006416A2" w:rsidRPr="007159EE" w:rsidRDefault="006416A2" w:rsidP="00FF1D46">
            <w:pPr>
              <w:spacing w:line="480" w:lineRule="auto"/>
              <w:jc w:val="center"/>
              <w:rPr>
                <w:rFonts w:asciiTheme="minorHAnsi" w:eastAsia="Times New Roman" w:hAnsiTheme="minorHAnsi" w:cstheme="minorHAnsi"/>
                <w:b/>
                <w:bCs/>
                <w:color w:val="000000"/>
                <w:sz w:val="20"/>
                <w:szCs w:val="20"/>
                <w:lang w:eastAsia="en-GB"/>
              </w:rPr>
            </w:pPr>
            <w:r w:rsidRPr="007159EE">
              <w:rPr>
                <w:rFonts w:asciiTheme="minorHAnsi" w:hAnsiTheme="minorHAnsi" w:cstheme="minorHAnsi"/>
                <w:b/>
                <w:bCs/>
                <w:sz w:val="20"/>
                <w:szCs w:val="20"/>
              </w:rPr>
              <w:t>p=.021*</w:t>
            </w:r>
          </w:p>
        </w:tc>
      </w:tr>
      <w:tr w:rsidR="006416A2" w:rsidRPr="007159EE" w14:paraId="27D0C879" w14:textId="77777777" w:rsidTr="007159EE">
        <w:trPr>
          <w:cnfStyle w:val="000000100000" w:firstRow="0" w:lastRow="0" w:firstColumn="0" w:lastColumn="0" w:oddVBand="0" w:evenVBand="0" w:oddHBand="1" w:evenHBand="0" w:firstRowFirstColumn="0" w:firstRowLastColumn="0" w:lastRowFirstColumn="0" w:lastRowLastColumn="0"/>
          <w:trHeight w:val="356"/>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tcBorders>
            <w:noWrap/>
            <w:hideMark/>
          </w:tcPr>
          <w:p w14:paraId="53762D1C" w14:textId="77777777" w:rsidR="006416A2" w:rsidRPr="007159EE" w:rsidRDefault="006416A2" w:rsidP="00FF1D46">
            <w:pPr>
              <w:spacing w:line="480" w:lineRule="auto"/>
              <w:jc w:val="left"/>
              <w:rPr>
                <w:rFonts w:asciiTheme="minorHAnsi" w:eastAsia="Times New Roman" w:hAnsiTheme="minorHAnsi" w:cstheme="minorHAnsi"/>
                <w:b/>
                <w:bCs/>
                <w:color w:val="000000"/>
                <w:sz w:val="20"/>
                <w:szCs w:val="20"/>
                <w:lang w:eastAsia="en-GB"/>
              </w:rPr>
            </w:pPr>
            <w:r w:rsidRPr="007159EE">
              <w:rPr>
                <w:rFonts w:asciiTheme="minorHAnsi" w:eastAsia="Times New Roman" w:hAnsiTheme="minorHAnsi" w:cstheme="minorHAnsi"/>
                <w:b/>
                <w:bCs/>
                <w:color w:val="000000"/>
                <w:sz w:val="20"/>
                <w:szCs w:val="20"/>
                <w:lang w:eastAsia="en-GB"/>
              </w:rPr>
              <w:t xml:space="preserve">Δ TTP </w:t>
            </w:r>
            <w:proofErr w:type="spellStart"/>
            <w:r w:rsidRPr="007159EE">
              <w:rPr>
                <w:rFonts w:asciiTheme="minorHAnsi" w:eastAsia="Times New Roman" w:hAnsiTheme="minorHAnsi" w:cstheme="minorHAnsi"/>
                <w:b/>
                <w:bCs/>
                <w:color w:val="000000"/>
                <w:sz w:val="20"/>
                <w:szCs w:val="20"/>
                <w:lang w:eastAsia="en-GB"/>
              </w:rPr>
              <w:t>RThal</w:t>
            </w:r>
            <w:proofErr w:type="spellEnd"/>
          </w:p>
        </w:tc>
        <w:tc>
          <w:tcPr>
            <w:tcW w:w="0" w:type="auto"/>
            <w:noWrap/>
            <w:hideMark/>
          </w:tcPr>
          <w:p w14:paraId="77AD6336" w14:textId="77777777" w:rsidR="006416A2" w:rsidRPr="007159EE" w:rsidRDefault="006416A2" w:rsidP="00FF1D46">
            <w:pPr>
              <w:spacing w:line="48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0.57</w:t>
            </w:r>
          </w:p>
        </w:tc>
        <w:tc>
          <w:tcPr>
            <w:tcW w:w="0" w:type="auto"/>
            <w:noWrap/>
            <w:hideMark/>
          </w:tcPr>
          <w:p w14:paraId="51C3F8DD" w14:textId="77777777" w:rsidR="006416A2" w:rsidRPr="007159EE" w:rsidRDefault="006416A2" w:rsidP="00FF1D46">
            <w:pPr>
              <w:spacing w:line="48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0.10, 1.05</w:t>
            </w:r>
          </w:p>
        </w:tc>
        <w:tc>
          <w:tcPr>
            <w:tcW w:w="0" w:type="auto"/>
            <w:noWrap/>
            <w:hideMark/>
          </w:tcPr>
          <w:p w14:paraId="662F2600" w14:textId="77777777" w:rsidR="006416A2" w:rsidRPr="007159EE" w:rsidRDefault="006416A2" w:rsidP="00FF1D46">
            <w:pPr>
              <w:spacing w:line="48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-0.16</w:t>
            </w:r>
          </w:p>
        </w:tc>
        <w:tc>
          <w:tcPr>
            <w:tcW w:w="0" w:type="auto"/>
            <w:noWrap/>
            <w:hideMark/>
          </w:tcPr>
          <w:p w14:paraId="39D1C789" w14:textId="77777777" w:rsidR="006416A2" w:rsidRPr="007159EE" w:rsidRDefault="006416A2" w:rsidP="00FF1D46">
            <w:pPr>
              <w:spacing w:line="48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-0.58, 0.26</w:t>
            </w:r>
          </w:p>
        </w:tc>
        <w:tc>
          <w:tcPr>
            <w:tcW w:w="0" w:type="auto"/>
            <w:noWrap/>
            <w:hideMark/>
          </w:tcPr>
          <w:p w14:paraId="3FE09E13" w14:textId="77777777" w:rsidR="006416A2" w:rsidRPr="007159EE" w:rsidRDefault="006416A2" w:rsidP="00FF1D46">
            <w:pPr>
              <w:spacing w:line="48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0.04</w:t>
            </w:r>
          </w:p>
        </w:tc>
        <w:tc>
          <w:tcPr>
            <w:tcW w:w="0" w:type="auto"/>
            <w:noWrap/>
            <w:hideMark/>
          </w:tcPr>
          <w:p w14:paraId="271D076F" w14:textId="77777777" w:rsidR="006416A2" w:rsidRPr="007159EE" w:rsidRDefault="006416A2" w:rsidP="00FF1D46">
            <w:pPr>
              <w:spacing w:line="48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-0.56, 0.63</w:t>
            </w:r>
          </w:p>
        </w:tc>
        <w:tc>
          <w:tcPr>
            <w:tcW w:w="0" w:type="auto"/>
            <w:noWrap/>
            <w:hideMark/>
          </w:tcPr>
          <w:p w14:paraId="1FB30092" w14:textId="77777777" w:rsidR="006416A2" w:rsidRPr="007159EE" w:rsidRDefault="006416A2" w:rsidP="00FF1D46">
            <w:pPr>
              <w:spacing w:line="48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-0.51</w:t>
            </w:r>
          </w:p>
        </w:tc>
        <w:tc>
          <w:tcPr>
            <w:tcW w:w="0" w:type="auto"/>
            <w:noWrap/>
            <w:hideMark/>
          </w:tcPr>
          <w:p w14:paraId="3129B350" w14:textId="77777777" w:rsidR="006416A2" w:rsidRPr="007159EE" w:rsidRDefault="006416A2" w:rsidP="00FF1D46">
            <w:pPr>
              <w:spacing w:line="48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-0.99, -0.04</w:t>
            </w:r>
          </w:p>
        </w:tc>
      </w:tr>
      <w:tr w:rsidR="006416A2" w:rsidRPr="007159EE" w14:paraId="2C550584" w14:textId="77777777" w:rsidTr="007159EE">
        <w:trPr>
          <w:trHeight w:val="356"/>
        </w:trPr>
        <w:tc>
          <w:tcPr>
            <w:cnfStyle w:val="001000000000" w:firstRow="0" w:lastRow="0" w:firstColumn="1" w:lastColumn="0" w:oddVBand="0" w:evenVBand="0" w:oddHBand="0" w:evenHBand="0" w:firstRowFirstColumn="0" w:firstRowLastColumn="0" w:lastRowFirstColumn="0" w:lastRowLastColumn="0"/>
            <w:tcW w:w="0" w:type="auto"/>
            <w:gridSpan w:val="9"/>
            <w:tcBorders>
              <w:top w:val="none" w:sz="0" w:space="0" w:color="auto"/>
              <w:left w:val="none" w:sz="0" w:space="0" w:color="auto"/>
              <w:bottom w:val="none" w:sz="0" w:space="0" w:color="auto"/>
            </w:tcBorders>
            <w:noWrap/>
          </w:tcPr>
          <w:p w14:paraId="0FA79D95" w14:textId="77777777" w:rsidR="006416A2" w:rsidRPr="007159EE" w:rsidRDefault="006416A2" w:rsidP="00FF1D46">
            <w:pPr>
              <w:spacing w:line="480" w:lineRule="auto"/>
              <w:jc w:val="center"/>
              <w:rPr>
                <w:rFonts w:asciiTheme="minorHAnsi" w:eastAsia="Times New Roman" w:hAnsiTheme="minorHAnsi" w:cstheme="minorHAnsi"/>
                <w:b/>
                <w:bCs/>
                <w:color w:val="000000"/>
                <w:sz w:val="20"/>
                <w:szCs w:val="20"/>
                <w:lang w:eastAsia="en-GB"/>
              </w:rPr>
            </w:pPr>
            <w:r w:rsidRPr="007159EE">
              <w:rPr>
                <w:rFonts w:asciiTheme="minorHAnsi" w:hAnsiTheme="minorHAnsi" w:cstheme="minorHAnsi"/>
                <w:b/>
                <w:bCs/>
                <w:sz w:val="20"/>
                <w:szCs w:val="20"/>
              </w:rPr>
              <w:t>p=.003*</w:t>
            </w:r>
          </w:p>
        </w:tc>
      </w:tr>
      <w:tr w:rsidR="006416A2" w:rsidRPr="007159EE" w14:paraId="49A5A65F" w14:textId="77777777" w:rsidTr="007159EE">
        <w:trPr>
          <w:cnfStyle w:val="000000100000" w:firstRow="0" w:lastRow="0" w:firstColumn="0" w:lastColumn="0" w:oddVBand="0" w:evenVBand="0" w:oddHBand="1" w:evenHBand="0" w:firstRowFirstColumn="0" w:firstRowLastColumn="0" w:lastRowFirstColumn="0" w:lastRowLastColumn="0"/>
          <w:trHeight w:val="356"/>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tcBorders>
            <w:noWrap/>
            <w:hideMark/>
          </w:tcPr>
          <w:p w14:paraId="54C16F1F" w14:textId="77777777" w:rsidR="006416A2" w:rsidRPr="007159EE" w:rsidRDefault="006416A2" w:rsidP="00FF1D46">
            <w:pPr>
              <w:spacing w:line="480" w:lineRule="auto"/>
              <w:jc w:val="left"/>
              <w:rPr>
                <w:rFonts w:asciiTheme="minorHAnsi" w:eastAsia="Times New Roman" w:hAnsiTheme="minorHAnsi" w:cstheme="minorHAnsi"/>
                <w:b/>
                <w:bCs/>
                <w:color w:val="000000"/>
                <w:sz w:val="20"/>
                <w:szCs w:val="20"/>
                <w:lang w:eastAsia="en-GB"/>
              </w:rPr>
            </w:pPr>
            <w:r w:rsidRPr="007159EE">
              <w:rPr>
                <w:rFonts w:asciiTheme="minorHAnsi" w:eastAsia="Times New Roman" w:hAnsiTheme="minorHAnsi" w:cstheme="minorHAnsi"/>
                <w:b/>
                <w:bCs/>
                <w:color w:val="000000"/>
                <w:sz w:val="20"/>
                <w:szCs w:val="20"/>
                <w:lang w:eastAsia="en-GB"/>
              </w:rPr>
              <w:t>Δ TTP LINS</w:t>
            </w:r>
          </w:p>
        </w:tc>
        <w:tc>
          <w:tcPr>
            <w:tcW w:w="0" w:type="auto"/>
            <w:noWrap/>
            <w:hideMark/>
          </w:tcPr>
          <w:p w14:paraId="1BD0CDC2" w14:textId="77777777" w:rsidR="006416A2" w:rsidRPr="007159EE" w:rsidRDefault="006416A2" w:rsidP="00FF1D46">
            <w:pPr>
              <w:spacing w:line="48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0.43</w:t>
            </w:r>
          </w:p>
        </w:tc>
        <w:tc>
          <w:tcPr>
            <w:tcW w:w="0" w:type="auto"/>
            <w:noWrap/>
            <w:hideMark/>
          </w:tcPr>
          <w:p w14:paraId="3472489E" w14:textId="77777777" w:rsidR="006416A2" w:rsidRPr="007159EE" w:rsidRDefault="006416A2" w:rsidP="00FF1D46">
            <w:pPr>
              <w:spacing w:line="48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-0.03, 0.89</w:t>
            </w:r>
          </w:p>
        </w:tc>
        <w:tc>
          <w:tcPr>
            <w:tcW w:w="0" w:type="auto"/>
            <w:noWrap/>
            <w:hideMark/>
          </w:tcPr>
          <w:p w14:paraId="1F58B7A2" w14:textId="77777777" w:rsidR="006416A2" w:rsidRPr="007159EE" w:rsidRDefault="006416A2" w:rsidP="00FF1D46">
            <w:pPr>
              <w:spacing w:line="48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-0.08</w:t>
            </w:r>
          </w:p>
        </w:tc>
        <w:tc>
          <w:tcPr>
            <w:tcW w:w="0" w:type="auto"/>
            <w:noWrap/>
            <w:hideMark/>
          </w:tcPr>
          <w:p w14:paraId="29897A59" w14:textId="77777777" w:rsidR="006416A2" w:rsidRPr="007159EE" w:rsidRDefault="006416A2" w:rsidP="00FF1D46">
            <w:pPr>
              <w:spacing w:line="48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-0.48, 0.33</w:t>
            </w:r>
          </w:p>
        </w:tc>
        <w:tc>
          <w:tcPr>
            <w:tcW w:w="0" w:type="auto"/>
            <w:noWrap/>
            <w:hideMark/>
          </w:tcPr>
          <w:p w14:paraId="1A278086" w14:textId="77777777" w:rsidR="006416A2" w:rsidRPr="007159EE" w:rsidRDefault="006416A2" w:rsidP="00FF1D46">
            <w:pPr>
              <w:spacing w:line="48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0.16</w:t>
            </w:r>
          </w:p>
        </w:tc>
        <w:tc>
          <w:tcPr>
            <w:tcW w:w="0" w:type="auto"/>
            <w:noWrap/>
            <w:hideMark/>
          </w:tcPr>
          <w:p w14:paraId="787A6680" w14:textId="77777777" w:rsidR="006416A2" w:rsidRPr="007159EE" w:rsidRDefault="006416A2" w:rsidP="00FF1D46">
            <w:pPr>
              <w:spacing w:line="48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-0.41, 0.73</w:t>
            </w:r>
          </w:p>
        </w:tc>
        <w:tc>
          <w:tcPr>
            <w:tcW w:w="0" w:type="auto"/>
            <w:noWrap/>
            <w:hideMark/>
          </w:tcPr>
          <w:p w14:paraId="0ABB23D4" w14:textId="77777777" w:rsidR="006416A2" w:rsidRPr="007159EE" w:rsidRDefault="006416A2" w:rsidP="00FF1D46">
            <w:pPr>
              <w:spacing w:line="48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-0.45</w:t>
            </w:r>
          </w:p>
        </w:tc>
        <w:tc>
          <w:tcPr>
            <w:tcW w:w="0" w:type="auto"/>
            <w:noWrap/>
            <w:hideMark/>
          </w:tcPr>
          <w:p w14:paraId="485A4213" w14:textId="77777777" w:rsidR="006416A2" w:rsidRPr="007159EE" w:rsidRDefault="006416A2" w:rsidP="00FF1D46">
            <w:pPr>
              <w:spacing w:line="48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-0.90, 0.01</w:t>
            </w:r>
          </w:p>
        </w:tc>
      </w:tr>
      <w:tr w:rsidR="006416A2" w:rsidRPr="007159EE" w14:paraId="73D24B58" w14:textId="77777777" w:rsidTr="007159EE">
        <w:trPr>
          <w:trHeight w:val="356"/>
        </w:trPr>
        <w:tc>
          <w:tcPr>
            <w:cnfStyle w:val="001000000000" w:firstRow="0" w:lastRow="0" w:firstColumn="1" w:lastColumn="0" w:oddVBand="0" w:evenVBand="0" w:oddHBand="0" w:evenHBand="0" w:firstRowFirstColumn="0" w:firstRowLastColumn="0" w:lastRowFirstColumn="0" w:lastRowLastColumn="0"/>
            <w:tcW w:w="0" w:type="auto"/>
            <w:gridSpan w:val="9"/>
            <w:tcBorders>
              <w:top w:val="none" w:sz="0" w:space="0" w:color="auto"/>
              <w:left w:val="none" w:sz="0" w:space="0" w:color="auto"/>
              <w:bottom w:val="none" w:sz="0" w:space="0" w:color="auto"/>
            </w:tcBorders>
            <w:noWrap/>
          </w:tcPr>
          <w:p w14:paraId="72EC71AF" w14:textId="77777777" w:rsidR="006416A2" w:rsidRPr="007159EE" w:rsidRDefault="006416A2" w:rsidP="00FF1D46">
            <w:pPr>
              <w:spacing w:line="480" w:lineRule="auto"/>
              <w:jc w:val="center"/>
              <w:rPr>
                <w:rFonts w:asciiTheme="minorHAnsi" w:eastAsia="Times New Roman" w:hAnsiTheme="minorHAnsi" w:cstheme="minorHAnsi"/>
                <w:b/>
                <w:bCs/>
                <w:color w:val="000000"/>
                <w:sz w:val="20"/>
                <w:szCs w:val="20"/>
                <w:lang w:eastAsia="en-GB"/>
              </w:rPr>
            </w:pPr>
            <w:r w:rsidRPr="007159EE">
              <w:rPr>
                <w:rFonts w:asciiTheme="minorHAnsi" w:hAnsiTheme="minorHAnsi" w:cstheme="minorHAnsi"/>
                <w:b/>
                <w:bCs/>
                <w:sz w:val="20"/>
                <w:szCs w:val="20"/>
              </w:rPr>
              <w:t>p=.017*</w:t>
            </w:r>
          </w:p>
        </w:tc>
      </w:tr>
      <w:tr w:rsidR="006416A2" w:rsidRPr="007159EE" w14:paraId="23FBD2F1" w14:textId="77777777" w:rsidTr="007159EE">
        <w:trPr>
          <w:cnfStyle w:val="000000100000" w:firstRow="0" w:lastRow="0" w:firstColumn="0" w:lastColumn="0" w:oddVBand="0" w:evenVBand="0" w:oddHBand="1" w:evenHBand="0" w:firstRowFirstColumn="0" w:firstRowLastColumn="0" w:lastRowFirstColumn="0" w:lastRowLastColumn="0"/>
          <w:trHeight w:val="356"/>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tcBorders>
            <w:noWrap/>
            <w:hideMark/>
          </w:tcPr>
          <w:p w14:paraId="65A16A13" w14:textId="77777777" w:rsidR="006416A2" w:rsidRPr="007159EE" w:rsidRDefault="006416A2" w:rsidP="00FF1D46">
            <w:pPr>
              <w:spacing w:line="480" w:lineRule="auto"/>
              <w:jc w:val="left"/>
              <w:rPr>
                <w:rFonts w:asciiTheme="minorHAnsi" w:eastAsia="Times New Roman" w:hAnsiTheme="minorHAnsi" w:cstheme="minorHAnsi"/>
                <w:b/>
                <w:bCs/>
                <w:color w:val="000000"/>
                <w:sz w:val="20"/>
                <w:szCs w:val="20"/>
                <w:lang w:eastAsia="en-GB"/>
              </w:rPr>
            </w:pPr>
            <w:r w:rsidRPr="007159EE">
              <w:rPr>
                <w:rFonts w:asciiTheme="minorHAnsi" w:eastAsia="Times New Roman" w:hAnsiTheme="minorHAnsi" w:cstheme="minorHAnsi"/>
                <w:b/>
                <w:bCs/>
                <w:color w:val="000000"/>
                <w:sz w:val="20"/>
                <w:szCs w:val="20"/>
                <w:lang w:eastAsia="en-GB"/>
              </w:rPr>
              <w:t>Δ TTP RINS</w:t>
            </w:r>
          </w:p>
        </w:tc>
        <w:tc>
          <w:tcPr>
            <w:tcW w:w="0" w:type="auto"/>
            <w:noWrap/>
            <w:hideMark/>
          </w:tcPr>
          <w:p w14:paraId="7C6F4586" w14:textId="77777777" w:rsidR="006416A2" w:rsidRPr="007159EE" w:rsidRDefault="006416A2" w:rsidP="00FF1D46">
            <w:pPr>
              <w:spacing w:line="48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0.49</w:t>
            </w:r>
          </w:p>
        </w:tc>
        <w:tc>
          <w:tcPr>
            <w:tcW w:w="0" w:type="auto"/>
            <w:noWrap/>
            <w:hideMark/>
          </w:tcPr>
          <w:p w14:paraId="53CB11BA" w14:textId="77777777" w:rsidR="006416A2" w:rsidRPr="007159EE" w:rsidRDefault="006416A2" w:rsidP="00FF1D46">
            <w:pPr>
              <w:spacing w:line="48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0.03, 0.95</w:t>
            </w:r>
          </w:p>
        </w:tc>
        <w:tc>
          <w:tcPr>
            <w:tcW w:w="0" w:type="auto"/>
            <w:noWrap/>
            <w:hideMark/>
          </w:tcPr>
          <w:p w14:paraId="3073E3B7" w14:textId="77777777" w:rsidR="006416A2" w:rsidRPr="007159EE" w:rsidRDefault="006416A2" w:rsidP="00FF1D46">
            <w:pPr>
              <w:spacing w:line="48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-0.08</w:t>
            </w:r>
          </w:p>
        </w:tc>
        <w:tc>
          <w:tcPr>
            <w:tcW w:w="0" w:type="auto"/>
            <w:noWrap/>
            <w:hideMark/>
          </w:tcPr>
          <w:p w14:paraId="68F3A078" w14:textId="77777777" w:rsidR="006416A2" w:rsidRPr="007159EE" w:rsidRDefault="006416A2" w:rsidP="00FF1D46">
            <w:pPr>
              <w:spacing w:line="48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-0.49, 0.32</w:t>
            </w:r>
          </w:p>
        </w:tc>
        <w:tc>
          <w:tcPr>
            <w:tcW w:w="0" w:type="auto"/>
            <w:noWrap/>
            <w:hideMark/>
          </w:tcPr>
          <w:p w14:paraId="65601640" w14:textId="77777777" w:rsidR="006416A2" w:rsidRPr="007159EE" w:rsidRDefault="006416A2" w:rsidP="00FF1D46">
            <w:pPr>
              <w:spacing w:line="48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0.18</w:t>
            </w:r>
          </w:p>
        </w:tc>
        <w:tc>
          <w:tcPr>
            <w:tcW w:w="0" w:type="auto"/>
            <w:noWrap/>
            <w:hideMark/>
          </w:tcPr>
          <w:p w14:paraId="32427C5A" w14:textId="77777777" w:rsidR="006416A2" w:rsidRPr="007159EE" w:rsidRDefault="006416A2" w:rsidP="00FF1D46">
            <w:pPr>
              <w:spacing w:line="48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-0.39, 0.76</w:t>
            </w:r>
          </w:p>
        </w:tc>
        <w:tc>
          <w:tcPr>
            <w:tcW w:w="0" w:type="auto"/>
            <w:noWrap/>
            <w:hideMark/>
          </w:tcPr>
          <w:p w14:paraId="3BA96023" w14:textId="77777777" w:rsidR="006416A2" w:rsidRPr="007159EE" w:rsidRDefault="006416A2" w:rsidP="00FF1D46">
            <w:pPr>
              <w:spacing w:line="48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-0.35</w:t>
            </w:r>
          </w:p>
        </w:tc>
        <w:tc>
          <w:tcPr>
            <w:tcW w:w="0" w:type="auto"/>
            <w:noWrap/>
            <w:hideMark/>
          </w:tcPr>
          <w:p w14:paraId="6BD9F794" w14:textId="77777777" w:rsidR="006416A2" w:rsidRPr="007159EE" w:rsidRDefault="006416A2" w:rsidP="00FF1D46">
            <w:pPr>
              <w:spacing w:line="48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-0.81, 0.12</w:t>
            </w:r>
          </w:p>
        </w:tc>
      </w:tr>
      <w:tr w:rsidR="006416A2" w:rsidRPr="007159EE" w14:paraId="15CAD39C" w14:textId="77777777" w:rsidTr="007159EE">
        <w:trPr>
          <w:trHeight w:val="356"/>
        </w:trPr>
        <w:tc>
          <w:tcPr>
            <w:cnfStyle w:val="001000000000" w:firstRow="0" w:lastRow="0" w:firstColumn="1" w:lastColumn="0" w:oddVBand="0" w:evenVBand="0" w:oddHBand="0" w:evenHBand="0" w:firstRowFirstColumn="0" w:firstRowLastColumn="0" w:lastRowFirstColumn="0" w:lastRowLastColumn="0"/>
            <w:tcW w:w="0" w:type="auto"/>
            <w:gridSpan w:val="9"/>
            <w:tcBorders>
              <w:top w:val="none" w:sz="0" w:space="0" w:color="auto"/>
              <w:left w:val="none" w:sz="0" w:space="0" w:color="auto"/>
              <w:bottom w:val="none" w:sz="0" w:space="0" w:color="auto"/>
            </w:tcBorders>
            <w:noWrap/>
          </w:tcPr>
          <w:p w14:paraId="0ED829DE" w14:textId="77777777" w:rsidR="006416A2" w:rsidRPr="007159EE" w:rsidRDefault="006416A2" w:rsidP="00FF1D46">
            <w:pPr>
              <w:spacing w:line="480" w:lineRule="auto"/>
              <w:jc w:val="center"/>
              <w:rPr>
                <w:rFonts w:asciiTheme="minorHAnsi" w:eastAsia="Times New Roman" w:hAnsiTheme="minorHAnsi" w:cstheme="minorHAnsi"/>
                <w:b/>
                <w:bCs/>
                <w:color w:val="000000"/>
                <w:sz w:val="20"/>
                <w:szCs w:val="20"/>
                <w:lang w:eastAsia="en-GB"/>
              </w:rPr>
            </w:pPr>
            <w:r w:rsidRPr="007159EE">
              <w:rPr>
                <w:rFonts w:asciiTheme="minorHAnsi" w:hAnsiTheme="minorHAnsi" w:cstheme="minorHAnsi"/>
                <w:b/>
                <w:bCs/>
                <w:sz w:val="20"/>
                <w:szCs w:val="20"/>
              </w:rPr>
              <w:t>p=.053</w:t>
            </w:r>
          </w:p>
        </w:tc>
      </w:tr>
      <w:tr w:rsidR="006416A2" w:rsidRPr="007159EE" w14:paraId="7871E054" w14:textId="77777777" w:rsidTr="007159EE">
        <w:trPr>
          <w:cnfStyle w:val="000000100000" w:firstRow="0" w:lastRow="0" w:firstColumn="0" w:lastColumn="0" w:oddVBand="0" w:evenVBand="0" w:oddHBand="1" w:evenHBand="0" w:firstRowFirstColumn="0" w:firstRowLastColumn="0" w:lastRowFirstColumn="0" w:lastRowLastColumn="0"/>
          <w:trHeight w:val="356"/>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tcBorders>
            <w:noWrap/>
            <w:hideMark/>
          </w:tcPr>
          <w:p w14:paraId="2124D6B9" w14:textId="77777777" w:rsidR="006416A2" w:rsidRPr="007159EE" w:rsidRDefault="006416A2" w:rsidP="00FF1D46">
            <w:pPr>
              <w:spacing w:line="480" w:lineRule="auto"/>
              <w:jc w:val="left"/>
              <w:rPr>
                <w:rFonts w:asciiTheme="minorHAnsi" w:eastAsia="Times New Roman" w:hAnsiTheme="minorHAnsi" w:cstheme="minorHAnsi"/>
                <w:b/>
                <w:bCs/>
                <w:color w:val="000000"/>
                <w:sz w:val="20"/>
                <w:szCs w:val="20"/>
                <w:lang w:eastAsia="en-GB"/>
              </w:rPr>
            </w:pPr>
            <w:r w:rsidRPr="007159EE">
              <w:rPr>
                <w:rFonts w:asciiTheme="minorHAnsi" w:eastAsia="Times New Roman" w:hAnsiTheme="minorHAnsi" w:cstheme="minorHAnsi"/>
                <w:b/>
                <w:bCs/>
                <w:color w:val="000000"/>
                <w:sz w:val="20"/>
                <w:szCs w:val="20"/>
                <w:lang w:eastAsia="en-GB"/>
              </w:rPr>
              <w:t>Δ TTP ACC</w:t>
            </w:r>
          </w:p>
        </w:tc>
        <w:tc>
          <w:tcPr>
            <w:tcW w:w="0" w:type="auto"/>
            <w:noWrap/>
            <w:hideMark/>
          </w:tcPr>
          <w:p w14:paraId="1D4E42E3" w14:textId="77777777" w:rsidR="006416A2" w:rsidRPr="007159EE" w:rsidRDefault="006416A2" w:rsidP="00FF1D46">
            <w:pPr>
              <w:spacing w:line="48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0.51</w:t>
            </w:r>
          </w:p>
        </w:tc>
        <w:tc>
          <w:tcPr>
            <w:tcW w:w="0" w:type="auto"/>
            <w:noWrap/>
            <w:hideMark/>
          </w:tcPr>
          <w:p w14:paraId="5E68C379" w14:textId="77777777" w:rsidR="006416A2" w:rsidRPr="007159EE" w:rsidRDefault="006416A2" w:rsidP="00FF1D46">
            <w:pPr>
              <w:spacing w:line="48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-0.17, 1.19</w:t>
            </w:r>
          </w:p>
        </w:tc>
        <w:tc>
          <w:tcPr>
            <w:tcW w:w="0" w:type="auto"/>
            <w:noWrap/>
            <w:hideMark/>
          </w:tcPr>
          <w:p w14:paraId="741FDDF5" w14:textId="77777777" w:rsidR="006416A2" w:rsidRPr="007159EE" w:rsidRDefault="006416A2" w:rsidP="00FF1D46">
            <w:pPr>
              <w:spacing w:line="48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-0.29</w:t>
            </w:r>
          </w:p>
        </w:tc>
        <w:tc>
          <w:tcPr>
            <w:tcW w:w="0" w:type="auto"/>
            <w:noWrap/>
            <w:hideMark/>
          </w:tcPr>
          <w:p w14:paraId="0592FA84" w14:textId="77777777" w:rsidR="006416A2" w:rsidRPr="007159EE" w:rsidRDefault="006416A2" w:rsidP="00FF1D46">
            <w:pPr>
              <w:spacing w:line="48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-0.89, 0.31</w:t>
            </w:r>
          </w:p>
        </w:tc>
        <w:tc>
          <w:tcPr>
            <w:tcW w:w="0" w:type="auto"/>
            <w:noWrap/>
            <w:hideMark/>
          </w:tcPr>
          <w:p w14:paraId="72A14CD4" w14:textId="77777777" w:rsidR="006416A2" w:rsidRPr="007159EE" w:rsidRDefault="006416A2" w:rsidP="00FF1D46">
            <w:pPr>
              <w:spacing w:line="48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0.03</w:t>
            </w:r>
          </w:p>
        </w:tc>
        <w:tc>
          <w:tcPr>
            <w:tcW w:w="0" w:type="auto"/>
            <w:noWrap/>
            <w:hideMark/>
          </w:tcPr>
          <w:p w14:paraId="310D47AB" w14:textId="77777777" w:rsidR="006416A2" w:rsidRPr="007159EE" w:rsidRDefault="006416A2" w:rsidP="00FF1D46">
            <w:pPr>
              <w:spacing w:line="48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-0.82, 0.88</w:t>
            </w:r>
          </w:p>
        </w:tc>
        <w:tc>
          <w:tcPr>
            <w:tcW w:w="0" w:type="auto"/>
            <w:noWrap/>
            <w:hideMark/>
          </w:tcPr>
          <w:p w14:paraId="65833F43" w14:textId="77777777" w:rsidR="006416A2" w:rsidRPr="007159EE" w:rsidRDefault="006416A2" w:rsidP="00FF1D46">
            <w:pPr>
              <w:spacing w:line="48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-0.53</w:t>
            </w:r>
          </w:p>
        </w:tc>
        <w:tc>
          <w:tcPr>
            <w:tcW w:w="0" w:type="auto"/>
            <w:noWrap/>
            <w:hideMark/>
          </w:tcPr>
          <w:p w14:paraId="771EECDD" w14:textId="77777777" w:rsidR="006416A2" w:rsidRPr="007159EE" w:rsidRDefault="006416A2" w:rsidP="00FF1D46">
            <w:pPr>
              <w:spacing w:line="48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-1.22, 0.15</w:t>
            </w:r>
          </w:p>
        </w:tc>
      </w:tr>
      <w:tr w:rsidR="006416A2" w:rsidRPr="007159EE" w14:paraId="03418571" w14:textId="77777777" w:rsidTr="007159EE">
        <w:trPr>
          <w:trHeight w:val="356"/>
        </w:trPr>
        <w:tc>
          <w:tcPr>
            <w:cnfStyle w:val="001000000000" w:firstRow="0" w:lastRow="0" w:firstColumn="1" w:lastColumn="0" w:oddVBand="0" w:evenVBand="0" w:oddHBand="0" w:evenHBand="0" w:firstRowFirstColumn="0" w:firstRowLastColumn="0" w:lastRowFirstColumn="0" w:lastRowLastColumn="0"/>
            <w:tcW w:w="0" w:type="auto"/>
            <w:gridSpan w:val="9"/>
            <w:tcBorders>
              <w:top w:val="none" w:sz="0" w:space="0" w:color="auto"/>
              <w:left w:val="none" w:sz="0" w:space="0" w:color="auto"/>
              <w:bottom w:val="none" w:sz="0" w:space="0" w:color="auto"/>
            </w:tcBorders>
            <w:noWrap/>
          </w:tcPr>
          <w:p w14:paraId="43B7F512" w14:textId="77777777" w:rsidR="006416A2" w:rsidRPr="007159EE" w:rsidRDefault="006416A2" w:rsidP="00FF1D46">
            <w:pPr>
              <w:spacing w:line="480" w:lineRule="auto"/>
              <w:jc w:val="center"/>
              <w:rPr>
                <w:rFonts w:asciiTheme="minorHAnsi" w:eastAsia="Times New Roman" w:hAnsiTheme="minorHAnsi" w:cstheme="minorHAnsi"/>
                <w:b/>
                <w:bCs/>
                <w:color w:val="000000"/>
                <w:sz w:val="20"/>
                <w:szCs w:val="20"/>
                <w:lang w:eastAsia="en-GB"/>
              </w:rPr>
            </w:pPr>
            <w:r w:rsidRPr="007159EE">
              <w:rPr>
                <w:rFonts w:asciiTheme="minorHAnsi" w:hAnsiTheme="minorHAnsi" w:cstheme="minorHAnsi"/>
                <w:b/>
                <w:bCs/>
                <w:sz w:val="20"/>
                <w:szCs w:val="20"/>
              </w:rPr>
              <w:t>p=.107</w:t>
            </w:r>
          </w:p>
        </w:tc>
      </w:tr>
      <w:tr w:rsidR="006416A2" w:rsidRPr="007159EE" w14:paraId="783C4F33" w14:textId="77777777" w:rsidTr="007159EE">
        <w:trPr>
          <w:cnfStyle w:val="000000100000" w:firstRow="0" w:lastRow="0" w:firstColumn="0" w:lastColumn="0" w:oddVBand="0" w:evenVBand="0" w:oddHBand="1" w:evenHBand="0" w:firstRowFirstColumn="0" w:firstRowLastColumn="0" w:lastRowFirstColumn="0" w:lastRowLastColumn="0"/>
          <w:trHeight w:val="356"/>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tcBorders>
            <w:noWrap/>
            <w:hideMark/>
          </w:tcPr>
          <w:p w14:paraId="03A8E19F" w14:textId="77777777" w:rsidR="006416A2" w:rsidRPr="007159EE" w:rsidRDefault="006416A2" w:rsidP="00FF1D46">
            <w:pPr>
              <w:spacing w:line="480" w:lineRule="auto"/>
              <w:jc w:val="left"/>
              <w:rPr>
                <w:rFonts w:asciiTheme="minorHAnsi" w:eastAsia="Times New Roman" w:hAnsiTheme="minorHAnsi" w:cstheme="minorHAnsi"/>
                <w:b/>
                <w:bCs/>
                <w:color w:val="000000"/>
                <w:sz w:val="20"/>
                <w:szCs w:val="20"/>
                <w:lang w:eastAsia="en-GB"/>
              </w:rPr>
            </w:pPr>
            <w:r w:rsidRPr="007159EE">
              <w:rPr>
                <w:rFonts w:asciiTheme="minorHAnsi" w:eastAsia="Times New Roman" w:hAnsiTheme="minorHAnsi" w:cstheme="minorHAnsi"/>
                <w:b/>
                <w:bCs/>
                <w:color w:val="000000"/>
                <w:sz w:val="20"/>
                <w:szCs w:val="20"/>
                <w:lang w:eastAsia="en-GB"/>
              </w:rPr>
              <w:t>Δ TTP POWM</w:t>
            </w:r>
          </w:p>
        </w:tc>
        <w:tc>
          <w:tcPr>
            <w:tcW w:w="0" w:type="auto"/>
            <w:noWrap/>
            <w:hideMark/>
          </w:tcPr>
          <w:p w14:paraId="00E452A1" w14:textId="77777777" w:rsidR="006416A2" w:rsidRPr="007159EE" w:rsidRDefault="006416A2" w:rsidP="00FF1D46">
            <w:pPr>
              <w:spacing w:line="48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0.66</w:t>
            </w:r>
          </w:p>
        </w:tc>
        <w:tc>
          <w:tcPr>
            <w:tcW w:w="0" w:type="auto"/>
            <w:noWrap/>
            <w:hideMark/>
          </w:tcPr>
          <w:p w14:paraId="5242A7FF" w14:textId="77777777" w:rsidR="006416A2" w:rsidRPr="007159EE" w:rsidRDefault="006416A2" w:rsidP="00FF1D46">
            <w:pPr>
              <w:spacing w:line="48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0.06, 1.27</w:t>
            </w:r>
          </w:p>
        </w:tc>
        <w:tc>
          <w:tcPr>
            <w:tcW w:w="0" w:type="auto"/>
            <w:noWrap/>
            <w:hideMark/>
          </w:tcPr>
          <w:p w14:paraId="6233B117" w14:textId="77777777" w:rsidR="006416A2" w:rsidRPr="007159EE" w:rsidRDefault="006416A2" w:rsidP="00FF1D46">
            <w:pPr>
              <w:spacing w:line="48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-0.07</w:t>
            </w:r>
          </w:p>
        </w:tc>
        <w:tc>
          <w:tcPr>
            <w:tcW w:w="0" w:type="auto"/>
            <w:noWrap/>
            <w:hideMark/>
          </w:tcPr>
          <w:p w14:paraId="741D9A64" w14:textId="77777777" w:rsidR="006416A2" w:rsidRPr="007159EE" w:rsidRDefault="006416A2" w:rsidP="00FF1D46">
            <w:pPr>
              <w:spacing w:line="48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-0.60, 0.47</w:t>
            </w:r>
          </w:p>
        </w:tc>
        <w:tc>
          <w:tcPr>
            <w:tcW w:w="0" w:type="auto"/>
            <w:noWrap/>
            <w:hideMark/>
          </w:tcPr>
          <w:p w14:paraId="2EB8E2C5" w14:textId="77777777" w:rsidR="006416A2" w:rsidRPr="007159EE" w:rsidRDefault="006416A2" w:rsidP="00FF1D46">
            <w:pPr>
              <w:spacing w:line="48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0.33</w:t>
            </w:r>
          </w:p>
        </w:tc>
        <w:tc>
          <w:tcPr>
            <w:tcW w:w="0" w:type="auto"/>
            <w:noWrap/>
            <w:hideMark/>
          </w:tcPr>
          <w:p w14:paraId="05E05D89" w14:textId="77777777" w:rsidR="006416A2" w:rsidRPr="007159EE" w:rsidRDefault="006416A2" w:rsidP="00FF1D46">
            <w:pPr>
              <w:spacing w:line="48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-0.43, 1.09</w:t>
            </w:r>
          </w:p>
        </w:tc>
        <w:tc>
          <w:tcPr>
            <w:tcW w:w="0" w:type="auto"/>
            <w:noWrap/>
            <w:hideMark/>
          </w:tcPr>
          <w:p w14:paraId="0B710C91" w14:textId="77777777" w:rsidR="006416A2" w:rsidRPr="007159EE" w:rsidRDefault="006416A2" w:rsidP="00FF1D46">
            <w:pPr>
              <w:spacing w:line="48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-0.54</w:t>
            </w:r>
          </w:p>
        </w:tc>
        <w:tc>
          <w:tcPr>
            <w:tcW w:w="0" w:type="auto"/>
            <w:noWrap/>
            <w:hideMark/>
          </w:tcPr>
          <w:p w14:paraId="0AFBC835" w14:textId="77777777" w:rsidR="006416A2" w:rsidRPr="007159EE" w:rsidRDefault="006416A2" w:rsidP="00FF1D46">
            <w:pPr>
              <w:spacing w:line="48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-1.15, 0.07</w:t>
            </w:r>
          </w:p>
        </w:tc>
      </w:tr>
      <w:tr w:rsidR="006416A2" w:rsidRPr="007159EE" w14:paraId="5F6B812A" w14:textId="77777777" w:rsidTr="007159EE">
        <w:trPr>
          <w:trHeight w:val="356"/>
        </w:trPr>
        <w:tc>
          <w:tcPr>
            <w:cnfStyle w:val="001000000000" w:firstRow="0" w:lastRow="0" w:firstColumn="1" w:lastColumn="0" w:oddVBand="0" w:evenVBand="0" w:oddHBand="0" w:evenHBand="0" w:firstRowFirstColumn="0" w:firstRowLastColumn="0" w:lastRowFirstColumn="0" w:lastRowLastColumn="0"/>
            <w:tcW w:w="0" w:type="auto"/>
            <w:gridSpan w:val="9"/>
            <w:tcBorders>
              <w:top w:val="none" w:sz="0" w:space="0" w:color="auto"/>
              <w:left w:val="none" w:sz="0" w:space="0" w:color="auto"/>
              <w:bottom w:val="none" w:sz="0" w:space="0" w:color="auto"/>
            </w:tcBorders>
            <w:noWrap/>
          </w:tcPr>
          <w:p w14:paraId="3CB74F57" w14:textId="77777777" w:rsidR="006416A2" w:rsidRPr="007159EE" w:rsidRDefault="006416A2" w:rsidP="00FF1D46">
            <w:pPr>
              <w:spacing w:line="480" w:lineRule="auto"/>
              <w:jc w:val="center"/>
              <w:rPr>
                <w:rFonts w:asciiTheme="minorHAnsi" w:eastAsia="Times New Roman" w:hAnsiTheme="minorHAnsi" w:cstheme="minorHAnsi"/>
                <w:b/>
                <w:bCs/>
                <w:color w:val="000000"/>
                <w:sz w:val="20"/>
                <w:szCs w:val="20"/>
                <w:lang w:eastAsia="en-GB"/>
              </w:rPr>
            </w:pPr>
            <w:r w:rsidRPr="007159EE">
              <w:rPr>
                <w:rFonts w:asciiTheme="minorHAnsi" w:hAnsiTheme="minorHAnsi" w:cstheme="minorHAnsi"/>
                <w:b/>
                <w:bCs/>
                <w:sz w:val="20"/>
                <w:szCs w:val="20"/>
              </w:rPr>
              <w:t>p=.065</w:t>
            </w:r>
          </w:p>
        </w:tc>
      </w:tr>
      <w:tr w:rsidR="006416A2" w:rsidRPr="007159EE" w14:paraId="3CB1BAC2" w14:textId="77777777" w:rsidTr="007159EE">
        <w:trPr>
          <w:cnfStyle w:val="000000100000" w:firstRow="0" w:lastRow="0" w:firstColumn="0" w:lastColumn="0" w:oddVBand="0" w:evenVBand="0" w:oddHBand="1" w:evenHBand="0" w:firstRowFirstColumn="0" w:firstRowLastColumn="0" w:lastRowFirstColumn="0" w:lastRowLastColumn="0"/>
          <w:trHeight w:val="356"/>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tcBorders>
            <w:noWrap/>
            <w:hideMark/>
          </w:tcPr>
          <w:p w14:paraId="3A4709D1" w14:textId="77777777" w:rsidR="006416A2" w:rsidRPr="007159EE" w:rsidRDefault="006416A2" w:rsidP="00FF1D46">
            <w:pPr>
              <w:spacing w:line="480" w:lineRule="auto"/>
              <w:jc w:val="left"/>
              <w:rPr>
                <w:rFonts w:asciiTheme="minorHAnsi" w:eastAsia="Times New Roman" w:hAnsiTheme="minorHAnsi" w:cstheme="minorHAnsi"/>
                <w:b/>
                <w:bCs/>
                <w:color w:val="000000"/>
                <w:sz w:val="20"/>
                <w:szCs w:val="20"/>
                <w:lang w:eastAsia="en-GB"/>
              </w:rPr>
            </w:pPr>
            <w:r w:rsidRPr="007159EE">
              <w:rPr>
                <w:rFonts w:asciiTheme="minorHAnsi" w:eastAsia="Times New Roman" w:hAnsiTheme="minorHAnsi" w:cstheme="minorHAnsi"/>
                <w:b/>
                <w:bCs/>
                <w:color w:val="000000"/>
                <w:sz w:val="20"/>
                <w:szCs w:val="20"/>
                <w:lang w:eastAsia="en-GB"/>
              </w:rPr>
              <w:t>Δ TTP LPSC</w:t>
            </w:r>
          </w:p>
        </w:tc>
        <w:tc>
          <w:tcPr>
            <w:tcW w:w="0" w:type="auto"/>
            <w:noWrap/>
            <w:hideMark/>
          </w:tcPr>
          <w:p w14:paraId="52505D6F" w14:textId="77777777" w:rsidR="006416A2" w:rsidRPr="007159EE" w:rsidRDefault="006416A2" w:rsidP="00FF1D46">
            <w:pPr>
              <w:spacing w:line="48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0.55</w:t>
            </w:r>
          </w:p>
        </w:tc>
        <w:tc>
          <w:tcPr>
            <w:tcW w:w="0" w:type="auto"/>
            <w:noWrap/>
            <w:hideMark/>
          </w:tcPr>
          <w:p w14:paraId="701D423D" w14:textId="77777777" w:rsidR="006416A2" w:rsidRPr="007159EE" w:rsidRDefault="006416A2" w:rsidP="00FF1D46">
            <w:pPr>
              <w:spacing w:line="48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0.04, 1.06</w:t>
            </w:r>
          </w:p>
        </w:tc>
        <w:tc>
          <w:tcPr>
            <w:tcW w:w="0" w:type="auto"/>
            <w:noWrap/>
            <w:hideMark/>
          </w:tcPr>
          <w:p w14:paraId="2D8312FA" w14:textId="77777777" w:rsidR="006416A2" w:rsidRPr="007159EE" w:rsidRDefault="006416A2" w:rsidP="00FF1D46">
            <w:pPr>
              <w:spacing w:line="48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0.06</w:t>
            </w:r>
          </w:p>
        </w:tc>
        <w:tc>
          <w:tcPr>
            <w:tcW w:w="0" w:type="auto"/>
            <w:noWrap/>
            <w:hideMark/>
          </w:tcPr>
          <w:p w14:paraId="187BBB31" w14:textId="77777777" w:rsidR="006416A2" w:rsidRPr="007159EE" w:rsidRDefault="006416A2" w:rsidP="00FF1D46">
            <w:pPr>
              <w:spacing w:line="48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-0.39, 0.50</w:t>
            </w:r>
          </w:p>
        </w:tc>
        <w:tc>
          <w:tcPr>
            <w:tcW w:w="0" w:type="auto"/>
            <w:noWrap/>
            <w:hideMark/>
          </w:tcPr>
          <w:p w14:paraId="5DC90D62" w14:textId="77777777" w:rsidR="006416A2" w:rsidRPr="007159EE" w:rsidRDefault="006416A2" w:rsidP="00FF1D46">
            <w:pPr>
              <w:spacing w:line="48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0.18</w:t>
            </w:r>
          </w:p>
        </w:tc>
        <w:tc>
          <w:tcPr>
            <w:tcW w:w="0" w:type="auto"/>
            <w:noWrap/>
            <w:hideMark/>
          </w:tcPr>
          <w:p w14:paraId="0513467E" w14:textId="77777777" w:rsidR="006416A2" w:rsidRPr="007159EE" w:rsidRDefault="006416A2" w:rsidP="00FF1D46">
            <w:pPr>
              <w:spacing w:line="48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-0.46, 0.82</w:t>
            </w:r>
          </w:p>
        </w:tc>
        <w:tc>
          <w:tcPr>
            <w:tcW w:w="0" w:type="auto"/>
            <w:noWrap/>
            <w:hideMark/>
          </w:tcPr>
          <w:p w14:paraId="4F83F3BD" w14:textId="77777777" w:rsidR="006416A2" w:rsidRPr="007159EE" w:rsidRDefault="006416A2" w:rsidP="00FF1D46">
            <w:pPr>
              <w:spacing w:line="48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-0.54</w:t>
            </w:r>
          </w:p>
        </w:tc>
        <w:tc>
          <w:tcPr>
            <w:tcW w:w="0" w:type="auto"/>
            <w:noWrap/>
            <w:hideMark/>
          </w:tcPr>
          <w:p w14:paraId="142A7AB2" w14:textId="77777777" w:rsidR="006416A2" w:rsidRPr="007159EE" w:rsidRDefault="006416A2" w:rsidP="00FF1D46">
            <w:pPr>
              <w:spacing w:line="48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-1.05, -0.03</w:t>
            </w:r>
          </w:p>
        </w:tc>
      </w:tr>
      <w:tr w:rsidR="006416A2" w:rsidRPr="007159EE" w14:paraId="545B9091" w14:textId="77777777" w:rsidTr="007159EE">
        <w:trPr>
          <w:trHeight w:val="356"/>
        </w:trPr>
        <w:tc>
          <w:tcPr>
            <w:cnfStyle w:val="001000000000" w:firstRow="0" w:lastRow="0" w:firstColumn="1" w:lastColumn="0" w:oddVBand="0" w:evenVBand="0" w:oddHBand="0" w:evenHBand="0" w:firstRowFirstColumn="0" w:firstRowLastColumn="0" w:lastRowFirstColumn="0" w:lastRowLastColumn="0"/>
            <w:tcW w:w="0" w:type="auto"/>
            <w:gridSpan w:val="9"/>
            <w:tcBorders>
              <w:top w:val="none" w:sz="0" w:space="0" w:color="auto"/>
              <w:left w:val="none" w:sz="0" w:space="0" w:color="auto"/>
              <w:bottom w:val="none" w:sz="0" w:space="0" w:color="auto"/>
            </w:tcBorders>
            <w:noWrap/>
          </w:tcPr>
          <w:p w14:paraId="095671E2" w14:textId="77777777" w:rsidR="006416A2" w:rsidRPr="007159EE" w:rsidRDefault="006416A2" w:rsidP="00FF1D46">
            <w:pPr>
              <w:spacing w:line="480" w:lineRule="auto"/>
              <w:jc w:val="center"/>
              <w:rPr>
                <w:rFonts w:asciiTheme="minorHAnsi" w:eastAsia="Times New Roman" w:hAnsiTheme="minorHAnsi" w:cstheme="minorHAnsi"/>
                <w:b/>
                <w:bCs/>
                <w:color w:val="000000"/>
                <w:sz w:val="20"/>
                <w:szCs w:val="20"/>
                <w:lang w:eastAsia="en-GB"/>
              </w:rPr>
            </w:pPr>
            <w:r w:rsidRPr="007159EE">
              <w:rPr>
                <w:rFonts w:asciiTheme="minorHAnsi" w:hAnsiTheme="minorHAnsi" w:cstheme="minorHAnsi"/>
                <w:b/>
                <w:bCs/>
                <w:sz w:val="20"/>
                <w:szCs w:val="20"/>
              </w:rPr>
              <w:t>p=.009*</w:t>
            </w:r>
          </w:p>
        </w:tc>
      </w:tr>
      <w:tr w:rsidR="006416A2" w:rsidRPr="007159EE" w14:paraId="37B7BC6A" w14:textId="77777777" w:rsidTr="007159EE">
        <w:trPr>
          <w:cnfStyle w:val="000000100000" w:firstRow="0" w:lastRow="0" w:firstColumn="0" w:lastColumn="0" w:oddVBand="0" w:evenVBand="0" w:oddHBand="1" w:evenHBand="0" w:firstRowFirstColumn="0" w:firstRowLastColumn="0" w:lastRowFirstColumn="0" w:lastRowLastColumn="0"/>
          <w:trHeight w:val="356"/>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tcBorders>
            <w:noWrap/>
            <w:hideMark/>
          </w:tcPr>
          <w:p w14:paraId="57C5DD9F" w14:textId="77777777" w:rsidR="006416A2" w:rsidRPr="007159EE" w:rsidRDefault="006416A2" w:rsidP="00FF1D46">
            <w:pPr>
              <w:spacing w:line="480" w:lineRule="auto"/>
              <w:jc w:val="left"/>
              <w:rPr>
                <w:rFonts w:asciiTheme="minorHAnsi" w:eastAsia="Times New Roman" w:hAnsiTheme="minorHAnsi" w:cstheme="minorHAnsi"/>
                <w:b/>
                <w:bCs/>
                <w:color w:val="000000"/>
                <w:sz w:val="20"/>
                <w:szCs w:val="20"/>
                <w:lang w:eastAsia="en-GB"/>
              </w:rPr>
            </w:pPr>
            <w:r w:rsidRPr="007159EE">
              <w:rPr>
                <w:rFonts w:asciiTheme="minorHAnsi" w:eastAsia="Times New Roman" w:hAnsiTheme="minorHAnsi" w:cstheme="minorHAnsi"/>
                <w:b/>
                <w:bCs/>
                <w:color w:val="000000"/>
                <w:sz w:val="20"/>
                <w:szCs w:val="20"/>
                <w:lang w:eastAsia="en-GB"/>
              </w:rPr>
              <w:t>Δ TTP RPSC</w:t>
            </w:r>
          </w:p>
        </w:tc>
        <w:tc>
          <w:tcPr>
            <w:tcW w:w="0" w:type="auto"/>
            <w:noWrap/>
            <w:hideMark/>
          </w:tcPr>
          <w:p w14:paraId="5CD3F986" w14:textId="77777777" w:rsidR="006416A2" w:rsidRPr="007159EE" w:rsidRDefault="006416A2" w:rsidP="00FF1D46">
            <w:pPr>
              <w:spacing w:line="48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0.65</w:t>
            </w:r>
          </w:p>
        </w:tc>
        <w:tc>
          <w:tcPr>
            <w:tcW w:w="0" w:type="auto"/>
            <w:noWrap/>
            <w:hideMark/>
          </w:tcPr>
          <w:p w14:paraId="4B185E93" w14:textId="77777777" w:rsidR="006416A2" w:rsidRPr="007159EE" w:rsidRDefault="006416A2" w:rsidP="00FF1D46">
            <w:pPr>
              <w:spacing w:line="48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0.15, 1.15</w:t>
            </w:r>
          </w:p>
        </w:tc>
        <w:tc>
          <w:tcPr>
            <w:tcW w:w="0" w:type="auto"/>
            <w:noWrap/>
            <w:hideMark/>
          </w:tcPr>
          <w:p w14:paraId="00F0FF87" w14:textId="77777777" w:rsidR="006416A2" w:rsidRPr="007159EE" w:rsidRDefault="006416A2" w:rsidP="00FF1D46">
            <w:pPr>
              <w:spacing w:line="48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0.09</w:t>
            </w:r>
          </w:p>
        </w:tc>
        <w:tc>
          <w:tcPr>
            <w:tcW w:w="0" w:type="auto"/>
            <w:noWrap/>
            <w:hideMark/>
          </w:tcPr>
          <w:p w14:paraId="38879484" w14:textId="77777777" w:rsidR="006416A2" w:rsidRPr="007159EE" w:rsidRDefault="006416A2" w:rsidP="00FF1D46">
            <w:pPr>
              <w:spacing w:line="48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-0.35, 0.53</w:t>
            </w:r>
          </w:p>
        </w:tc>
        <w:tc>
          <w:tcPr>
            <w:tcW w:w="0" w:type="auto"/>
            <w:noWrap/>
            <w:hideMark/>
          </w:tcPr>
          <w:p w14:paraId="445967D1" w14:textId="77777777" w:rsidR="006416A2" w:rsidRPr="007159EE" w:rsidRDefault="006416A2" w:rsidP="00FF1D46">
            <w:pPr>
              <w:spacing w:line="48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0.23</w:t>
            </w:r>
          </w:p>
        </w:tc>
        <w:tc>
          <w:tcPr>
            <w:tcW w:w="0" w:type="auto"/>
            <w:noWrap/>
            <w:hideMark/>
          </w:tcPr>
          <w:p w14:paraId="34F09664" w14:textId="77777777" w:rsidR="006416A2" w:rsidRPr="007159EE" w:rsidRDefault="006416A2" w:rsidP="00FF1D46">
            <w:pPr>
              <w:spacing w:line="48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-0.40, 0.86</w:t>
            </w:r>
          </w:p>
        </w:tc>
        <w:tc>
          <w:tcPr>
            <w:tcW w:w="0" w:type="auto"/>
            <w:noWrap/>
            <w:hideMark/>
          </w:tcPr>
          <w:p w14:paraId="0CC64F86" w14:textId="77777777" w:rsidR="006416A2" w:rsidRPr="007159EE" w:rsidRDefault="006416A2" w:rsidP="00FF1D46">
            <w:pPr>
              <w:spacing w:line="48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-0.52</w:t>
            </w:r>
          </w:p>
        </w:tc>
        <w:tc>
          <w:tcPr>
            <w:tcW w:w="0" w:type="auto"/>
            <w:noWrap/>
            <w:hideMark/>
          </w:tcPr>
          <w:p w14:paraId="2EE58F50" w14:textId="77777777" w:rsidR="006416A2" w:rsidRPr="007159EE" w:rsidRDefault="006416A2" w:rsidP="00FF1D46">
            <w:pPr>
              <w:spacing w:line="48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0"/>
                <w:szCs w:val="20"/>
                <w:lang w:eastAsia="en-GB"/>
              </w:rPr>
            </w:pPr>
            <w:r w:rsidRPr="007159EE">
              <w:rPr>
                <w:rFonts w:asciiTheme="minorHAnsi" w:eastAsia="Times New Roman" w:hAnsiTheme="minorHAnsi" w:cstheme="minorHAnsi"/>
                <w:i/>
                <w:iCs/>
                <w:color w:val="000000"/>
                <w:sz w:val="20"/>
                <w:szCs w:val="20"/>
                <w:lang w:eastAsia="en-GB"/>
              </w:rPr>
              <w:t>-1.02, -0.01</w:t>
            </w:r>
          </w:p>
        </w:tc>
      </w:tr>
      <w:tr w:rsidR="006416A2" w:rsidRPr="007159EE" w14:paraId="620829EC" w14:textId="77777777" w:rsidTr="007159EE">
        <w:trPr>
          <w:trHeight w:val="356"/>
        </w:trPr>
        <w:tc>
          <w:tcPr>
            <w:cnfStyle w:val="001000000000" w:firstRow="0" w:lastRow="0" w:firstColumn="1" w:lastColumn="0" w:oddVBand="0" w:evenVBand="0" w:oddHBand="0" w:evenHBand="0" w:firstRowFirstColumn="0" w:firstRowLastColumn="0" w:lastRowFirstColumn="0" w:lastRowLastColumn="0"/>
            <w:tcW w:w="0" w:type="auto"/>
            <w:gridSpan w:val="9"/>
            <w:tcBorders>
              <w:top w:val="none" w:sz="0" w:space="0" w:color="auto"/>
              <w:left w:val="none" w:sz="0" w:space="0" w:color="auto"/>
              <w:bottom w:val="none" w:sz="0" w:space="0" w:color="auto"/>
            </w:tcBorders>
            <w:noWrap/>
          </w:tcPr>
          <w:p w14:paraId="1EC40BDF" w14:textId="77777777" w:rsidR="006416A2" w:rsidRPr="007159EE" w:rsidRDefault="006416A2" w:rsidP="00FF1D46">
            <w:pPr>
              <w:spacing w:line="480" w:lineRule="auto"/>
              <w:jc w:val="center"/>
              <w:rPr>
                <w:rFonts w:asciiTheme="minorHAnsi" w:eastAsia="Times New Roman" w:hAnsiTheme="minorHAnsi" w:cstheme="minorHAnsi"/>
                <w:b/>
                <w:bCs/>
                <w:color w:val="000000"/>
                <w:sz w:val="20"/>
                <w:szCs w:val="20"/>
                <w:lang w:eastAsia="en-GB"/>
              </w:rPr>
            </w:pPr>
            <w:r w:rsidRPr="007159EE">
              <w:rPr>
                <w:rFonts w:asciiTheme="minorHAnsi" w:hAnsiTheme="minorHAnsi" w:cstheme="minorHAnsi"/>
                <w:b/>
                <w:bCs/>
                <w:sz w:val="20"/>
                <w:szCs w:val="20"/>
              </w:rPr>
              <w:t>p=.008*</w:t>
            </w:r>
          </w:p>
        </w:tc>
      </w:tr>
    </w:tbl>
    <w:p w14:paraId="6E3D409D" w14:textId="23A8B2A5" w:rsidR="006416A2" w:rsidRPr="009C12AF" w:rsidRDefault="006416A2" w:rsidP="009C12AF">
      <w:pPr>
        <w:spacing w:line="360" w:lineRule="auto"/>
        <w:rPr>
          <w:rStyle w:val="SubtleEmphasis"/>
        </w:rPr>
      </w:pPr>
      <w:r w:rsidRPr="009C12AF">
        <w:rPr>
          <w:rStyle w:val="SubtleEmphasis"/>
        </w:rPr>
        <w:t>a</w:t>
      </w:r>
      <w:r w:rsidR="002979EE">
        <w:rPr>
          <w:rStyle w:val="SubtleEmphasis"/>
        </w:rPr>
        <w:t xml:space="preserve">. </w:t>
      </w:r>
      <w:r w:rsidRPr="009C12AF">
        <w:rPr>
          <w:rStyle w:val="SubtleEmphasis"/>
        </w:rPr>
        <w:t xml:space="preserve">Model contains the following factors group, LIKERT and group vs LIKERT, Covariates appearing in the model are evaluated at the following values: </w:t>
      </w:r>
      <w:proofErr w:type="spellStart"/>
      <w:r w:rsidRPr="009C12AF">
        <w:rPr>
          <w:rStyle w:val="SubtleEmphasis"/>
        </w:rPr>
        <w:t>likertscale_gad</w:t>
      </w:r>
      <w:proofErr w:type="spellEnd"/>
      <w:r w:rsidRPr="009C12AF">
        <w:rPr>
          <w:rStyle w:val="SubtleEmphasis"/>
        </w:rPr>
        <w:t xml:space="preserve"> = 7.16.</w:t>
      </w:r>
    </w:p>
    <w:p w14:paraId="64E278C6" w14:textId="77777777" w:rsidR="006416A2" w:rsidRPr="009C12AF" w:rsidRDefault="006416A2" w:rsidP="009C12AF">
      <w:pPr>
        <w:spacing w:line="360" w:lineRule="auto"/>
        <w:rPr>
          <w:rStyle w:val="SubtleEmphasis"/>
        </w:rPr>
      </w:pPr>
      <w:r w:rsidRPr="009C12AF">
        <w:rPr>
          <w:rStyle w:val="SubtleEmphasis"/>
        </w:rPr>
        <w:t xml:space="preserve">* Δ TTP LThal: P-DPN vs HV p=.046,  Δ TTP </w:t>
      </w:r>
      <w:proofErr w:type="spellStart"/>
      <w:r w:rsidRPr="009C12AF">
        <w:rPr>
          <w:rStyle w:val="SubtleEmphasis"/>
        </w:rPr>
        <w:t>RThal</w:t>
      </w:r>
      <w:proofErr w:type="spellEnd"/>
      <w:r w:rsidRPr="009C12AF">
        <w:rPr>
          <w:rStyle w:val="SubtleEmphasis"/>
        </w:rPr>
        <w:t>: P-DPN vs HV p=.012,  Δ TTP LINS: P-DPN vs HV p=.051, Δ TTP LPSC: P-DPN vs HV p=.022, Δ TTP RPSC P-DPN vs HV p=.010</w:t>
      </w:r>
    </w:p>
    <w:p w14:paraId="21BC0AE3" w14:textId="77777777" w:rsidR="00AE338D" w:rsidRDefault="00AE338D">
      <w:pPr>
        <w:rPr>
          <w:rFonts w:cs="Arial"/>
          <w:color w:val="808080"/>
        </w:rPr>
      </w:pPr>
      <w:bookmarkStart w:id="458" w:name="_Toc417657754"/>
      <w:bookmarkStart w:id="459" w:name="_Toc417900870"/>
      <w:bookmarkStart w:id="460" w:name="_Toc45038149"/>
      <w:bookmarkStart w:id="461" w:name="_Toc48469303"/>
      <w:r>
        <w:rPr>
          <w:i/>
          <w:iCs/>
          <w:color w:val="808080"/>
        </w:rPr>
        <w:br w:type="page"/>
      </w:r>
    </w:p>
    <w:p w14:paraId="3D12DA16" w14:textId="451C92E0" w:rsidR="006416A2" w:rsidRDefault="006416A2" w:rsidP="009F58A0">
      <w:pPr>
        <w:pStyle w:val="Subtitle"/>
      </w:pPr>
      <w:bookmarkStart w:id="462" w:name="_Toc64724214"/>
      <w:r w:rsidRPr="00BB75E6">
        <w:lastRenderedPageBreak/>
        <w:t xml:space="preserve">Figure </w:t>
      </w:r>
      <w:r>
        <w:t>5.9</w:t>
      </w:r>
      <w:r w:rsidRPr="00BB75E6">
        <w:t xml:space="preserve">. 95% Confidence </w:t>
      </w:r>
      <w:r w:rsidR="00CB2F95">
        <w:t>I</w:t>
      </w:r>
      <w:r w:rsidRPr="00BB75E6">
        <w:t xml:space="preserve">ntervals for the Group </w:t>
      </w:r>
      <w:r w:rsidR="00CB2F95">
        <w:t>M</w:t>
      </w:r>
      <w:r w:rsidRPr="00BB75E6">
        <w:t xml:space="preserve">eans and Regions of Interest for </w:t>
      </w:r>
      <w:r>
        <w:t>Δ</w:t>
      </w:r>
      <w:r w:rsidRPr="00BB75E6">
        <w:t xml:space="preserve"> TTP(s) </w:t>
      </w:r>
      <w:r>
        <w:t>Adjusted</w:t>
      </w:r>
      <w:r w:rsidRPr="00BB75E6">
        <w:t xml:space="preserve"> for </w:t>
      </w:r>
      <w:bookmarkEnd w:id="458"/>
      <w:bookmarkEnd w:id="459"/>
      <w:bookmarkEnd w:id="460"/>
      <w:r>
        <w:t>LIKERT</w:t>
      </w:r>
      <w:bookmarkEnd w:id="461"/>
      <w:bookmarkEnd w:id="462"/>
    </w:p>
    <w:p w14:paraId="1745634C" w14:textId="77777777" w:rsidR="006416A2" w:rsidRPr="00085EB7" w:rsidRDefault="006416A2" w:rsidP="006416A2">
      <w:pPr>
        <w:rPr>
          <w:lang w:eastAsia="en-GB"/>
        </w:rPr>
      </w:pPr>
      <w:r w:rsidRPr="00085EB7">
        <w:rPr>
          <w:noProof/>
          <w:lang w:eastAsia="en-GB"/>
        </w:rPr>
        <w:drawing>
          <wp:inline distT="0" distB="0" distL="0" distR="0" wp14:anchorId="45F4044A" wp14:editId="494D8C29">
            <wp:extent cx="5686207" cy="4304371"/>
            <wp:effectExtent l="0" t="0" r="3810" b="1270"/>
            <wp:docPr id="2143" name="Picture 2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23892" cy="4332898"/>
                    </a:xfrm>
                    <a:prstGeom prst="rect">
                      <a:avLst/>
                    </a:prstGeom>
                  </pic:spPr>
                </pic:pic>
              </a:graphicData>
            </a:graphic>
          </wp:inline>
        </w:drawing>
      </w:r>
    </w:p>
    <w:p w14:paraId="661F0D62" w14:textId="19DA2761" w:rsidR="006416A2" w:rsidRDefault="006416A2" w:rsidP="00644D23">
      <w:pPr>
        <w:spacing w:line="360" w:lineRule="auto"/>
        <w:rPr>
          <w:rFonts w:asciiTheme="minorHAnsi" w:hAnsiTheme="minorHAnsi" w:cstheme="minorHAnsi"/>
          <w:i/>
          <w:color w:val="808080"/>
          <w:sz w:val="21"/>
          <w:szCs w:val="21"/>
        </w:rPr>
      </w:pPr>
      <w:r w:rsidRPr="008A4658">
        <w:rPr>
          <w:rFonts w:asciiTheme="minorHAnsi" w:hAnsiTheme="minorHAnsi" w:cstheme="minorHAnsi"/>
          <w:i/>
          <w:color w:val="808080"/>
          <w:sz w:val="21"/>
          <w:szCs w:val="21"/>
        </w:rPr>
        <w:t>*</w:t>
      </w:r>
      <w:r>
        <w:rPr>
          <w:rFonts w:asciiTheme="minorHAnsi" w:hAnsiTheme="minorHAnsi" w:cstheme="minorHAnsi"/>
          <w:i/>
          <w:color w:val="808080"/>
          <w:sz w:val="21"/>
          <w:szCs w:val="21"/>
        </w:rPr>
        <w:t xml:space="preserve"> Δ</w:t>
      </w:r>
      <w:r w:rsidRPr="008A4658">
        <w:rPr>
          <w:rFonts w:asciiTheme="minorHAnsi" w:hAnsiTheme="minorHAnsi" w:cstheme="minorHAnsi"/>
          <w:i/>
          <w:color w:val="808080"/>
          <w:sz w:val="21"/>
          <w:szCs w:val="21"/>
        </w:rPr>
        <w:t xml:space="preserve"> TTP </w:t>
      </w:r>
      <w:r>
        <w:rPr>
          <w:rFonts w:asciiTheme="minorHAnsi" w:hAnsiTheme="minorHAnsi" w:cstheme="minorHAnsi"/>
          <w:i/>
          <w:color w:val="808080"/>
          <w:sz w:val="21"/>
          <w:szCs w:val="21"/>
        </w:rPr>
        <w:t>LThal</w:t>
      </w:r>
      <w:r w:rsidRPr="008A4658">
        <w:rPr>
          <w:rFonts w:asciiTheme="minorHAnsi" w:hAnsiTheme="minorHAnsi" w:cstheme="minorHAnsi"/>
          <w:i/>
          <w:color w:val="808080"/>
          <w:sz w:val="21"/>
          <w:szCs w:val="21"/>
        </w:rPr>
        <w:t xml:space="preserve">: P-DPN vs HV p=.046,  </w:t>
      </w:r>
      <w:r>
        <w:rPr>
          <w:rFonts w:asciiTheme="minorHAnsi" w:hAnsiTheme="minorHAnsi" w:cstheme="minorHAnsi"/>
          <w:i/>
          <w:color w:val="808080"/>
          <w:sz w:val="21"/>
          <w:szCs w:val="21"/>
        </w:rPr>
        <w:t>Δ</w:t>
      </w:r>
      <w:r w:rsidRPr="008A4658">
        <w:rPr>
          <w:rFonts w:asciiTheme="minorHAnsi" w:hAnsiTheme="minorHAnsi" w:cstheme="minorHAnsi"/>
          <w:i/>
          <w:color w:val="808080"/>
          <w:sz w:val="21"/>
          <w:szCs w:val="21"/>
        </w:rPr>
        <w:t xml:space="preserve"> TTP </w:t>
      </w:r>
      <w:proofErr w:type="spellStart"/>
      <w:r>
        <w:rPr>
          <w:rFonts w:asciiTheme="minorHAnsi" w:hAnsiTheme="minorHAnsi" w:cstheme="minorHAnsi"/>
          <w:i/>
          <w:color w:val="808080"/>
          <w:sz w:val="21"/>
          <w:szCs w:val="21"/>
        </w:rPr>
        <w:t>RThal</w:t>
      </w:r>
      <w:proofErr w:type="spellEnd"/>
      <w:r w:rsidRPr="008A4658">
        <w:rPr>
          <w:rFonts w:asciiTheme="minorHAnsi" w:hAnsiTheme="minorHAnsi" w:cstheme="minorHAnsi"/>
          <w:i/>
          <w:color w:val="808080"/>
          <w:sz w:val="21"/>
          <w:szCs w:val="21"/>
        </w:rPr>
        <w:t xml:space="preserve">: P-DPN vs HV p=.012,  </w:t>
      </w:r>
      <w:r>
        <w:rPr>
          <w:rFonts w:asciiTheme="minorHAnsi" w:hAnsiTheme="minorHAnsi" w:cstheme="minorHAnsi"/>
          <w:i/>
          <w:color w:val="808080"/>
          <w:sz w:val="21"/>
          <w:szCs w:val="21"/>
        </w:rPr>
        <w:t>Δ</w:t>
      </w:r>
      <w:r w:rsidRPr="008A4658">
        <w:rPr>
          <w:rFonts w:asciiTheme="minorHAnsi" w:hAnsiTheme="minorHAnsi" w:cstheme="minorHAnsi"/>
          <w:i/>
          <w:color w:val="808080"/>
          <w:sz w:val="21"/>
          <w:szCs w:val="21"/>
        </w:rPr>
        <w:t xml:space="preserve"> TTP LINS: P-DPN vs HV p=.051, </w:t>
      </w:r>
      <w:r>
        <w:rPr>
          <w:rFonts w:asciiTheme="minorHAnsi" w:hAnsiTheme="minorHAnsi" w:cstheme="minorHAnsi"/>
          <w:i/>
          <w:color w:val="808080"/>
          <w:sz w:val="21"/>
          <w:szCs w:val="21"/>
        </w:rPr>
        <w:t>Δ</w:t>
      </w:r>
      <w:r w:rsidRPr="008A4658">
        <w:rPr>
          <w:rFonts w:asciiTheme="minorHAnsi" w:hAnsiTheme="minorHAnsi" w:cstheme="minorHAnsi"/>
          <w:i/>
          <w:color w:val="808080"/>
          <w:sz w:val="21"/>
          <w:szCs w:val="21"/>
        </w:rPr>
        <w:t xml:space="preserve"> TTP LPSC: P-DPN vs HV p=.022, </w:t>
      </w:r>
      <w:r>
        <w:rPr>
          <w:rFonts w:asciiTheme="minorHAnsi" w:hAnsiTheme="minorHAnsi" w:cstheme="minorHAnsi"/>
          <w:i/>
          <w:color w:val="808080"/>
          <w:sz w:val="21"/>
          <w:szCs w:val="21"/>
        </w:rPr>
        <w:t>Δ</w:t>
      </w:r>
      <w:r w:rsidRPr="008A4658">
        <w:rPr>
          <w:rFonts w:asciiTheme="minorHAnsi" w:hAnsiTheme="minorHAnsi" w:cstheme="minorHAnsi"/>
          <w:i/>
          <w:color w:val="808080"/>
          <w:sz w:val="21"/>
          <w:szCs w:val="21"/>
        </w:rPr>
        <w:t xml:space="preserve"> TTP RPSC P-DPN vs HV p=.010</w:t>
      </w:r>
      <w:r>
        <w:rPr>
          <w:rFonts w:asciiTheme="minorHAnsi" w:hAnsiTheme="minorHAnsi" w:cstheme="minorHAnsi"/>
          <w:i/>
          <w:color w:val="808080"/>
          <w:sz w:val="21"/>
          <w:szCs w:val="21"/>
        </w:rPr>
        <w:t>. Figure 5.9 shows that Δ TTP is positive for P-DPN after the painful stimulus indicating a lengthening of TTP .  HV have a negative TTP indicating a shorter TTP in response to the painful experimental stimulus.</w:t>
      </w:r>
    </w:p>
    <w:p w14:paraId="612579FF" w14:textId="75C60998" w:rsidR="002979EE" w:rsidRDefault="002979EE" w:rsidP="00644D23">
      <w:pPr>
        <w:spacing w:line="360" w:lineRule="auto"/>
        <w:rPr>
          <w:rFonts w:asciiTheme="minorHAnsi" w:hAnsiTheme="minorHAnsi" w:cstheme="minorHAnsi"/>
          <w:i/>
          <w:color w:val="808080"/>
          <w:sz w:val="21"/>
          <w:szCs w:val="21"/>
        </w:rPr>
      </w:pPr>
    </w:p>
    <w:p w14:paraId="224312BA" w14:textId="1F4B5119" w:rsidR="00BA6CDD" w:rsidRDefault="00BA6CDD" w:rsidP="00BA6CDD">
      <w:pPr>
        <w:spacing w:line="360" w:lineRule="auto"/>
        <w:rPr>
          <w:lang w:eastAsia="en-GB"/>
        </w:rPr>
      </w:pPr>
      <w:r>
        <w:rPr>
          <w:lang w:eastAsia="en-GB"/>
        </w:rPr>
        <w:t>Thirteen of 18 (72%) subjects in the P-DPN group had an absolute increase in TTP as a result of the experimental pain, and 13 of 19 (68%) HV subjects had an absolute decrease in TTP</w:t>
      </w:r>
      <w:r w:rsidR="002979EE">
        <w:rPr>
          <w:lang w:eastAsia="en-GB"/>
        </w:rPr>
        <w:t xml:space="preserve"> due to pain</w:t>
      </w:r>
      <w:r>
        <w:rPr>
          <w:lang w:eastAsia="en-GB"/>
        </w:rPr>
        <w:t xml:space="preserve">.  DPN </w:t>
      </w:r>
      <w:r w:rsidR="002979EE">
        <w:rPr>
          <w:lang w:eastAsia="en-GB"/>
        </w:rPr>
        <w:t xml:space="preserve">(58% increase) </w:t>
      </w:r>
      <w:r>
        <w:rPr>
          <w:lang w:eastAsia="en-GB"/>
        </w:rPr>
        <w:t xml:space="preserve">and DM-NN </w:t>
      </w:r>
      <w:r w:rsidR="002979EE">
        <w:rPr>
          <w:lang w:eastAsia="en-GB"/>
        </w:rPr>
        <w:t xml:space="preserve"> (48% increase) </w:t>
      </w:r>
      <w:r>
        <w:rPr>
          <w:lang w:eastAsia="en-GB"/>
        </w:rPr>
        <w:t xml:space="preserve">had </w:t>
      </w:r>
      <w:r w:rsidR="002979EE">
        <w:rPr>
          <w:lang w:eastAsia="en-GB"/>
        </w:rPr>
        <w:t xml:space="preserve">more equivocal responses </w:t>
      </w:r>
      <w:r>
        <w:rPr>
          <w:lang w:eastAsia="en-GB"/>
        </w:rPr>
        <w:t>as a result of the experimental pain (see Figure 5.10).</w:t>
      </w:r>
      <w:r w:rsidR="002979EE">
        <w:rPr>
          <w:lang w:eastAsia="en-GB"/>
        </w:rPr>
        <w:t xml:space="preserve"> This indicates that lengthening of TTP </w:t>
      </w:r>
      <w:r w:rsidR="00F471C2">
        <w:rPr>
          <w:lang w:eastAsia="en-GB"/>
        </w:rPr>
        <w:t>may be able to</w:t>
      </w:r>
      <w:r w:rsidR="002979EE">
        <w:rPr>
          <w:lang w:eastAsia="en-GB"/>
        </w:rPr>
        <w:t xml:space="preserve"> differentiate the P-DPN group from the HV.  </w:t>
      </w:r>
    </w:p>
    <w:p w14:paraId="79A17B15" w14:textId="77777777" w:rsidR="00216D82" w:rsidRDefault="00216D82">
      <w:pPr>
        <w:rPr>
          <w:rStyle w:val="SubtleEmphasis"/>
          <w:i w:val="0"/>
          <w:iCs w:val="0"/>
        </w:rPr>
      </w:pPr>
      <w:bookmarkStart w:id="463" w:name="_Toc48469304"/>
      <w:r>
        <w:rPr>
          <w:rStyle w:val="SubtleEmphasis"/>
        </w:rPr>
        <w:br w:type="page"/>
      </w:r>
    </w:p>
    <w:p w14:paraId="0C99761E" w14:textId="2796B5F5" w:rsidR="006416A2" w:rsidRDefault="006416A2" w:rsidP="009F58A0">
      <w:pPr>
        <w:pStyle w:val="Subtitle"/>
      </w:pPr>
      <w:bookmarkStart w:id="464" w:name="_Toc64724215"/>
      <w:r w:rsidRPr="00BB75E6">
        <w:lastRenderedPageBreak/>
        <w:t xml:space="preserve">Figure </w:t>
      </w:r>
      <w:r>
        <w:t>5.10</w:t>
      </w:r>
      <w:r w:rsidRPr="00BB75E6">
        <w:t xml:space="preserve">. </w:t>
      </w:r>
      <w:r>
        <w:t xml:space="preserve">Absolute </w:t>
      </w:r>
      <w:r w:rsidR="00CB2F95">
        <w:t>V</w:t>
      </w:r>
      <w:r>
        <w:t>alues for TTP Visit 2 vs Visit 3 at RSPC</w:t>
      </w:r>
      <w:bookmarkEnd w:id="463"/>
      <w:bookmarkEnd w:id="464"/>
    </w:p>
    <w:p w14:paraId="76551072" w14:textId="77777777" w:rsidR="006416A2" w:rsidRPr="008367E0" w:rsidRDefault="006416A2" w:rsidP="006416A2">
      <w:pPr>
        <w:rPr>
          <w:lang w:eastAsia="en-GB"/>
        </w:rPr>
      </w:pPr>
      <w:r w:rsidRPr="008367E0">
        <w:rPr>
          <w:noProof/>
          <w:lang w:eastAsia="en-GB"/>
        </w:rPr>
        <w:drawing>
          <wp:inline distT="0" distB="0" distL="0" distR="0" wp14:anchorId="11D4AA10" wp14:editId="24E505E3">
            <wp:extent cx="5668755" cy="3032125"/>
            <wp:effectExtent l="0" t="0" r="0" b="3175"/>
            <wp:docPr id="2146" name="Picture 214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screenshot of a cell phone&#10;&#10;Description automatically generated"/>
                    <pic:cNvPicPr/>
                  </pic:nvPicPr>
                  <pic:blipFill>
                    <a:blip r:embed="rId65"/>
                    <a:stretch>
                      <a:fillRect/>
                    </a:stretch>
                  </pic:blipFill>
                  <pic:spPr>
                    <a:xfrm>
                      <a:off x="0" y="0"/>
                      <a:ext cx="5704708" cy="3051356"/>
                    </a:xfrm>
                    <a:prstGeom prst="rect">
                      <a:avLst/>
                    </a:prstGeom>
                  </pic:spPr>
                </pic:pic>
              </a:graphicData>
            </a:graphic>
          </wp:inline>
        </w:drawing>
      </w:r>
    </w:p>
    <w:p w14:paraId="3864E46B" w14:textId="77777777" w:rsidR="006416A2" w:rsidRPr="00644D23" w:rsidRDefault="006416A2" w:rsidP="00BA6CDD">
      <w:pPr>
        <w:spacing w:line="360" w:lineRule="auto"/>
        <w:rPr>
          <w:rStyle w:val="SubtleEmphasis"/>
        </w:rPr>
      </w:pPr>
      <w:r w:rsidRPr="00644D23">
        <w:rPr>
          <w:rStyle w:val="SubtleEmphasis"/>
        </w:rPr>
        <w:t xml:space="preserve">Figure 5.10.  Left y axis for each panel represents V2, Right y axis represents V3.  Note that raw data shows that the majority of the subjects in the P-DPN group have a longer TTP at the experimental pain visit than the baseline visit, whereas the majority of the participants in the HV group have a reduction in TTP at the experimental visit. There is no difference between TTP between the groups at V3 for DPN or DM-NN. </w:t>
      </w:r>
    </w:p>
    <w:p w14:paraId="119BB238" w14:textId="77777777" w:rsidR="006416A2" w:rsidRPr="00BB75E6" w:rsidRDefault="006416A2" w:rsidP="006416A2">
      <w:pPr>
        <w:pBdr>
          <w:top w:val="nil"/>
          <w:left w:val="nil"/>
          <w:bottom w:val="nil"/>
          <w:right w:val="nil"/>
          <w:between w:val="nil"/>
        </w:pBdr>
        <w:rPr>
          <w:rFonts w:cs="Arial"/>
          <w:i/>
          <w:color w:val="000000"/>
        </w:rPr>
      </w:pPr>
    </w:p>
    <w:p w14:paraId="44B9F5A0" w14:textId="3059CD6E" w:rsidR="00216D82" w:rsidRDefault="00216D82" w:rsidP="00216D82">
      <w:pPr>
        <w:spacing w:line="360" w:lineRule="auto"/>
        <w:rPr>
          <w:rFonts w:cs="Arial"/>
        </w:rPr>
      </w:pPr>
      <w:r w:rsidRPr="00BB75E6">
        <w:rPr>
          <w:rFonts w:cs="Arial"/>
        </w:rPr>
        <w:t xml:space="preserve">Given the significance of the interaction effect for </w:t>
      </w:r>
      <w:r>
        <w:rPr>
          <w:rFonts w:cs="Arial"/>
        </w:rPr>
        <w:t>LIKERT</w:t>
      </w:r>
      <w:r w:rsidRPr="00BB75E6">
        <w:rPr>
          <w:rFonts w:cs="Arial"/>
        </w:rPr>
        <w:t xml:space="preserve"> by group on </w:t>
      </w:r>
      <w:r>
        <w:rPr>
          <w:rFonts w:cs="Arial"/>
        </w:rPr>
        <w:t>Δ</w:t>
      </w:r>
      <w:r w:rsidRPr="00BB75E6">
        <w:rPr>
          <w:rFonts w:cs="Arial"/>
        </w:rPr>
        <w:t xml:space="preserve"> TTP </w:t>
      </w:r>
      <w:r>
        <w:rPr>
          <w:rFonts w:cs="Arial"/>
        </w:rPr>
        <w:t>at</w:t>
      </w:r>
      <w:r w:rsidRPr="00BB75E6">
        <w:rPr>
          <w:rFonts w:cs="Arial"/>
        </w:rPr>
        <w:t xml:space="preserve"> the </w:t>
      </w:r>
      <w:r>
        <w:rPr>
          <w:rFonts w:cs="Arial"/>
        </w:rPr>
        <w:t xml:space="preserve">LThal </w:t>
      </w:r>
      <w:r w:rsidRPr="00BB75E6">
        <w:rPr>
          <w:rFonts w:cs="Arial"/>
        </w:rPr>
        <w:t xml:space="preserve">and </w:t>
      </w:r>
      <w:proofErr w:type="spellStart"/>
      <w:r>
        <w:rPr>
          <w:rFonts w:cs="Arial"/>
        </w:rPr>
        <w:t>RThal</w:t>
      </w:r>
      <w:proofErr w:type="spellEnd"/>
      <w:r w:rsidRPr="00BB75E6">
        <w:rPr>
          <w:rFonts w:cs="Arial"/>
        </w:rPr>
        <w:t xml:space="preserve">, </w:t>
      </w:r>
      <w:r>
        <w:rPr>
          <w:rFonts w:cs="Arial"/>
        </w:rPr>
        <w:t>LINS</w:t>
      </w:r>
      <w:r w:rsidRPr="00BB75E6">
        <w:rPr>
          <w:rFonts w:cs="Arial"/>
        </w:rPr>
        <w:t xml:space="preserve"> and </w:t>
      </w:r>
      <w:r>
        <w:rPr>
          <w:rFonts w:cs="Arial"/>
        </w:rPr>
        <w:t>LPSC</w:t>
      </w:r>
      <w:r w:rsidRPr="00BB75E6">
        <w:rPr>
          <w:rFonts w:cs="Arial"/>
        </w:rPr>
        <w:t xml:space="preserve"> and </w:t>
      </w:r>
      <w:r>
        <w:rPr>
          <w:rFonts w:cs="Arial"/>
        </w:rPr>
        <w:t>RPSC</w:t>
      </w:r>
      <w:r w:rsidRPr="00BB75E6">
        <w:rPr>
          <w:rFonts w:cs="Arial"/>
        </w:rPr>
        <w:t>, a moderation analysis examining the regression slopes was performed</w:t>
      </w:r>
      <w:r>
        <w:rPr>
          <w:rFonts w:cs="Arial"/>
        </w:rPr>
        <w:t xml:space="preserve"> (see Appendix D, Tables D.21-35).</w:t>
      </w:r>
      <w:r w:rsidRPr="00BB75E6">
        <w:rPr>
          <w:rFonts w:cs="Arial"/>
        </w:rPr>
        <w:t xml:space="preserve">  The slopes were significantly different at the left thalamus for </w:t>
      </w:r>
      <w:r>
        <w:rPr>
          <w:rFonts w:cs="Arial"/>
        </w:rPr>
        <w:t xml:space="preserve">Δ </w:t>
      </w:r>
      <w:r w:rsidRPr="00BB75E6">
        <w:rPr>
          <w:rFonts w:cs="Arial"/>
        </w:rPr>
        <w:t xml:space="preserve">TTP (p=.028) and post </w:t>
      </w:r>
      <w:r>
        <w:rPr>
          <w:rFonts w:cs="Arial"/>
        </w:rPr>
        <w:t>H</w:t>
      </w:r>
      <w:r w:rsidRPr="00BB75E6">
        <w:rPr>
          <w:rFonts w:cs="Arial"/>
        </w:rPr>
        <w:t xml:space="preserve">oc testing indicated that the slope for the P-DPN group was different from the HV group </w:t>
      </w:r>
      <w:r>
        <w:rPr>
          <w:rFonts w:cs="Arial"/>
        </w:rPr>
        <w:t xml:space="preserve">(p=.003). At the </w:t>
      </w:r>
      <w:proofErr w:type="spellStart"/>
      <w:r>
        <w:rPr>
          <w:rFonts w:cs="Arial"/>
        </w:rPr>
        <w:t>RThal</w:t>
      </w:r>
      <w:proofErr w:type="spellEnd"/>
      <w:r>
        <w:rPr>
          <w:rFonts w:cs="Arial"/>
        </w:rPr>
        <w:t xml:space="preserve"> the slopes were significantly different (p=.009), post Hoc P-DPN vs HV (p=</w:t>
      </w:r>
      <w:r w:rsidRPr="006F6027">
        <w:rPr>
          <w:rFonts w:cs="Arial"/>
        </w:rPr>
        <w:t>.001</w:t>
      </w:r>
      <w:r>
        <w:rPr>
          <w:rFonts w:cs="Arial"/>
        </w:rPr>
        <w:t>), P-DPN vs DPN (p=</w:t>
      </w:r>
      <w:r w:rsidRPr="006F6027">
        <w:rPr>
          <w:rFonts w:cs="Arial"/>
        </w:rPr>
        <w:t>.067</w:t>
      </w:r>
      <w:r>
        <w:rPr>
          <w:rFonts w:cs="Arial"/>
        </w:rPr>
        <w:t>) P-DPN vs DM-NN (p=</w:t>
      </w:r>
      <w:r w:rsidRPr="006F6027">
        <w:rPr>
          <w:rFonts w:cs="Arial"/>
        </w:rPr>
        <w:t>.531</w:t>
      </w:r>
      <w:r>
        <w:rPr>
          <w:rFonts w:cs="Arial"/>
        </w:rPr>
        <w:t>) (see Figure 5.11). The LINS regression slopes were significantly different (p=</w:t>
      </w:r>
      <w:r w:rsidRPr="006F6027">
        <w:rPr>
          <w:rFonts w:cs="Arial"/>
        </w:rPr>
        <w:t>.010</w:t>
      </w:r>
      <w:r>
        <w:rPr>
          <w:rFonts w:cs="Arial"/>
        </w:rPr>
        <w:t>), P-</w:t>
      </w:r>
      <w:r w:rsidRPr="00644D23">
        <w:rPr>
          <w:rFonts w:cs="Arial"/>
        </w:rPr>
        <w:t xml:space="preserve"> </w:t>
      </w:r>
      <w:r>
        <w:rPr>
          <w:rFonts w:cs="Arial"/>
        </w:rPr>
        <w:t>DPN vs HV (p=.001) (see Figure 5.12).</w:t>
      </w:r>
    </w:p>
    <w:p w14:paraId="1D10BD8D" w14:textId="02913E97" w:rsidR="006416A2" w:rsidRDefault="006416A2" w:rsidP="006416A2">
      <w:pPr>
        <w:spacing w:line="360" w:lineRule="auto"/>
        <w:rPr>
          <w:rFonts w:cs="Arial"/>
        </w:rPr>
      </w:pPr>
      <w:r>
        <w:rPr>
          <w:rFonts w:cs="Arial"/>
        </w:rPr>
        <w:t>The LPSC regression slopes were significantly different (p=</w:t>
      </w:r>
      <w:r w:rsidRPr="00B517B4">
        <w:rPr>
          <w:rFonts w:cs="Arial"/>
        </w:rPr>
        <w:t>.034</w:t>
      </w:r>
      <w:r>
        <w:rPr>
          <w:rFonts w:cs="Arial"/>
        </w:rPr>
        <w:t>), P-DPN vs HV (p=</w:t>
      </w:r>
      <w:r w:rsidRPr="00B517B4">
        <w:rPr>
          <w:rFonts w:cs="Arial"/>
        </w:rPr>
        <w:t>.004</w:t>
      </w:r>
      <w:r>
        <w:rPr>
          <w:rFonts w:cs="Arial"/>
        </w:rPr>
        <w:t>). The RPSC regression slopes were significantly different (p=.048) P-DPN vs HV (p=.005) (see Figure 5.13).</w:t>
      </w:r>
    </w:p>
    <w:p w14:paraId="191ADCA8" w14:textId="368FDC8B" w:rsidR="00216D82" w:rsidRDefault="00216D82">
      <w:pPr>
        <w:rPr>
          <w:rFonts w:cs="Arial"/>
        </w:rPr>
      </w:pPr>
      <w:r>
        <w:rPr>
          <w:rFonts w:cs="Arial"/>
        </w:rPr>
        <w:br w:type="page"/>
      </w:r>
    </w:p>
    <w:p w14:paraId="2F1530FD" w14:textId="3808853B" w:rsidR="006416A2" w:rsidRPr="00990A3F" w:rsidRDefault="006416A2" w:rsidP="009F58A0">
      <w:pPr>
        <w:pStyle w:val="Subtitle"/>
      </w:pPr>
      <w:bookmarkStart w:id="465" w:name="_Toc48469305"/>
      <w:bookmarkStart w:id="466" w:name="_Toc64724216"/>
      <w:r w:rsidRPr="00990A3F">
        <w:lastRenderedPageBreak/>
        <w:t xml:space="preserve">Figure 5.11. </w:t>
      </w:r>
      <w:r w:rsidR="00CB2F95">
        <w:t>Scatter Plot</w:t>
      </w:r>
      <w:r w:rsidRPr="00990A3F">
        <w:t xml:space="preserve"> of LIKERT vs </w:t>
      </w:r>
      <w:r>
        <w:t xml:space="preserve">Δ </w:t>
      </w:r>
      <w:r w:rsidRPr="00990A3F">
        <w:t xml:space="preserve">TTP </w:t>
      </w:r>
      <w:proofErr w:type="spellStart"/>
      <w:r>
        <w:t>RThal</w:t>
      </w:r>
      <w:bookmarkEnd w:id="465"/>
      <w:bookmarkEnd w:id="466"/>
      <w:proofErr w:type="spellEnd"/>
      <w:r w:rsidRPr="00990A3F">
        <w:t xml:space="preserve"> </w:t>
      </w:r>
    </w:p>
    <w:p w14:paraId="5B053925" w14:textId="004AC05C" w:rsidR="006416A2" w:rsidRPr="00990A3F" w:rsidRDefault="00332A23" w:rsidP="006416A2">
      <w:r w:rsidRPr="00332A23">
        <w:rPr>
          <w:noProof/>
        </w:rPr>
        <w:drawing>
          <wp:inline distT="0" distB="0" distL="0" distR="0" wp14:anchorId="28890C7E" wp14:editId="5AB03A5B">
            <wp:extent cx="5422900" cy="3200400"/>
            <wp:effectExtent l="12700" t="12700" r="12700" b="1270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422900" cy="3200400"/>
                    </a:xfrm>
                    <a:prstGeom prst="rect">
                      <a:avLst/>
                    </a:prstGeom>
                    <a:ln>
                      <a:solidFill>
                        <a:schemeClr val="accent1"/>
                      </a:solidFill>
                    </a:ln>
                  </pic:spPr>
                </pic:pic>
              </a:graphicData>
            </a:graphic>
          </wp:inline>
        </w:drawing>
      </w:r>
    </w:p>
    <w:p w14:paraId="426BCD06" w14:textId="0F6D9AE1" w:rsidR="006416A2" w:rsidRPr="00990A3F" w:rsidRDefault="00104C5A" w:rsidP="002E426D">
      <w:pPr>
        <w:spacing w:line="360" w:lineRule="auto"/>
        <w:rPr>
          <w:rStyle w:val="SubtleEmphasis"/>
        </w:rPr>
      </w:pPr>
      <w:r>
        <w:rPr>
          <w:rStyle w:val="SubtleEmphasis"/>
        </w:rPr>
        <w:t>P</w:t>
      </w:r>
      <w:r w:rsidR="006416A2" w:rsidRPr="00304700">
        <w:rPr>
          <w:rStyle w:val="SubtleEmphasis"/>
        </w:rPr>
        <w:t xml:space="preserve">ost Hoc P-DPN vs HV (p=.001) P-DPN vs DPN (p=.067) </w:t>
      </w:r>
      <w:r w:rsidR="006416A2" w:rsidRPr="00990A3F">
        <w:rPr>
          <w:rStyle w:val="SubtleEmphasis"/>
        </w:rPr>
        <w:t xml:space="preserve">*Post Hoc T-Test Comparisons of Regression slopes for </w:t>
      </w:r>
      <w:r w:rsidR="006416A2">
        <w:rPr>
          <w:rStyle w:val="SubtleEmphasis"/>
        </w:rPr>
        <w:t>Δ</w:t>
      </w:r>
      <w:r w:rsidR="006416A2" w:rsidRPr="00990A3F">
        <w:rPr>
          <w:rStyle w:val="SubtleEmphasis"/>
        </w:rPr>
        <w:t xml:space="preserve"> TTP L-</w:t>
      </w:r>
      <w:proofErr w:type="spellStart"/>
      <w:r w:rsidR="006416A2" w:rsidRPr="00990A3F">
        <w:rPr>
          <w:rStyle w:val="SubtleEmphasis"/>
        </w:rPr>
        <w:t>thal</w:t>
      </w:r>
      <w:proofErr w:type="spellEnd"/>
      <w:r w:rsidR="006416A2">
        <w:rPr>
          <w:rStyle w:val="SubtleEmphasis"/>
        </w:rPr>
        <w:t xml:space="preserve"> vs LIKERT.</w:t>
      </w:r>
      <w:r w:rsidR="006416A2" w:rsidRPr="00990A3F">
        <w:rPr>
          <w:rStyle w:val="SubtleEmphasis"/>
        </w:rPr>
        <w:t xml:space="preserve"> Figure shows that the regression slope </w:t>
      </w:r>
      <w:r w:rsidR="006416A2">
        <w:rPr>
          <w:rStyle w:val="SubtleEmphasis"/>
        </w:rPr>
        <w:t>is</w:t>
      </w:r>
      <w:r w:rsidR="006416A2" w:rsidRPr="00990A3F">
        <w:rPr>
          <w:rStyle w:val="SubtleEmphasis"/>
        </w:rPr>
        <w:t xml:space="preserve"> significantly different for P-DPN which is positive</w:t>
      </w:r>
      <w:r w:rsidR="006416A2">
        <w:rPr>
          <w:rStyle w:val="SubtleEmphasis"/>
        </w:rPr>
        <w:t xml:space="preserve"> for LIKERT vs Δ TTP</w:t>
      </w:r>
      <w:r w:rsidR="006416A2" w:rsidRPr="00990A3F">
        <w:rPr>
          <w:rStyle w:val="SubtleEmphasis"/>
        </w:rPr>
        <w:t xml:space="preserve"> and HV which is negative</w:t>
      </w:r>
      <w:r w:rsidR="006416A2">
        <w:rPr>
          <w:rStyle w:val="SubtleEmphasis"/>
        </w:rPr>
        <w:t xml:space="preserve"> for LIKERT vs Δ TTP</w:t>
      </w:r>
    </w:p>
    <w:p w14:paraId="2AB718E9" w14:textId="1D087227" w:rsidR="006416A2" w:rsidRDefault="006416A2" w:rsidP="009F58A0">
      <w:pPr>
        <w:pStyle w:val="Subtitle"/>
      </w:pPr>
      <w:bookmarkStart w:id="467" w:name="_Toc48469306"/>
      <w:bookmarkStart w:id="468" w:name="_Toc64724217"/>
      <w:bookmarkStart w:id="469" w:name="_Toc417657757"/>
      <w:bookmarkStart w:id="470" w:name="_Toc417900873"/>
      <w:bookmarkStart w:id="471" w:name="_Toc45038152"/>
      <w:r w:rsidRPr="00EC5771">
        <w:t xml:space="preserve">Figure 5.12. </w:t>
      </w:r>
      <w:r w:rsidR="00CB2F95">
        <w:t>Scatter Plot</w:t>
      </w:r>
      <w:r w:rsidRPr="00EC5771">
        <w:t xml:space="preserve"> of LIKERT vs TTP LINS</w:t>
      </w:r>
      <w:bookmarkEnd w:id="467"/>
      <w:bookmarkEnd w:id="468"/>
      <w:r w:rsidRPr="00EC5771">
        <w:t xml:space="preserve"> </w:t>
      </w:r>
      <w:bookmarkEnd w:id="469"/>
      <w:bookmarkEnd w:id="470"/>
      <w:bookmarkEnd w:id="471"/>
    </w:p>
    <w:p w14:paraId="680FF232" w14:textId="104BEDA6" w:rsidR="00623A05" w:rsidRPr="00623A05" w:rsidRDefault="00D91A4E" w:rsidP="00623A05">
      <w:pPr>
        <w:pStyle w:val="Body"/>
        <w:rPr>
          <w:lang w:val="en-US"/>
        </w:rPr>
      </w:pPr>
      <w:r w:rsidRPr="00D91A4E">
        <w:rPr>
          <w:noProof/>
          <w:lang w:val="en-US"/>
        </w:rPr>
        <w:drawing>
          <wp:inline distT="0" distB="0" distL="0" distR="0" wp14:anchorId="431EC51C" wp14:editId="3BEDDBA7">
            <wp:extent cx="5422900" cy="3200400"/>
            <wp:effectExtent l="12700" t="12700" r="12700" b="1270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422900" cy="3200400"/>
                    </a:xfrm>
                    <a:prstGeom prst="rect">
                      <a:avLst/>
                    </a:prstGeom>
                    <a:ln>
                      <a:solidFill>
                        <a:schemeClr val="accent1"/>
                      </a:solidFill>
                    </a:ln>
                  </pic:spPr>
                </pic:pic>
              </a:graphicData>
            </a:graphic>
          </wp:inline>
        </w:drawing>
      </w:r>
    </w:p>
    <w:p w14:paraId="4D437152" w14:textId="55FCC00E" w:rsidR="006416A2" w:rsidRDefault="006416A2" w:rsidP="006416A2">
      <w:pPr>
        <w:spacing w:line="360" w:lineRule="auto"/>
        <w:rPr>
          <w:rFonts w:cs="Arial"/>
        </w:rPr>
      </w:pPr>
    </w:p>
    <w:p w14:paraId="2F5F25FD" w14:textId="24F4ADCC" w:rsidR="006416A2" w:rsidRDefault="006416A2" w:rsidP="002E426D">
      <w:pPr>
        <w:spacing w:line="360" w:lineRule="auto"/>
        <w:rPr>
          <w:rStyle w:val="SubtleEmphasis"/>
        </w:rPr>
      </w:pPr>
      <w:r>
        <w:rPr>
          <w:rStyle w:val="SubtleEmphasis"/>
        </w:rPr>
        <w:t>P-DPN</w:t>
      </w:r>
      <w:r w:rsidRPr="000E36A0">
        <w:rPr>
          <w:rStyle w:val="SubtleEmphasis"/>
        </w:rPr>
        <w:t xml:space="preserve"> vs HV (p=.001).</w:t>
      </w:r>
      <w:r>
        <w:rPr>
          <w:rStyle w:val="SubtleEmphasis"/>
        </w:rPr>
        <w:t xml:space="preserve"> </w:t>
      </w:r>
      <w:r w:rsidRPr="00990A3F">
        <w:rPr>
          <w:rStyle w:val="SubtleEmphasis"/>
        </w:rPr>
        <w:t xml:space="preserve">Figure shows that the regression slope </w:t>
      </w:r>
      <w:r>
        <w:rPr>
          <w:rStyle w:val="SubtleEmphasis"/>
        </w:rPr>
        <w:t>is</w:t>
      </w:r>
      <w:r w:rsidRPr="00990A3F">
        <w:rPr>
          <w:rStyle w:val="SubtleEmphasis"/>
        </w:rPr>
        <w:t xml:space="preserve"> significantly different for P-DPN which is positive</w:t>
      </w:r>
      <w:r>
        <w:rPr>
          <w:rStyle w:val="SubtleEmphasis"/>
        </w:rPr>
        <w:t xml:space="preserve"> for LIKERT vs Δ TTP</w:t>
      </w:r>
      <w:r w:rsidRPr="00990A3F">
        <w:rPr>
          <w:rStyle w:val="SubtleEmphasis"/>
        </w:rPr>
        <w:t xml:space="preserve"> and HV which is negative</w:t>
      </w:r>
      <w:r>
        <w:rPr>
          <w:rStyle w:val="SubtleEmphasis"/>
        </w:rPr>
        <w:t xml:space="preserve"> for LIKERT vs Δ TTP</w:t>
      </w:r>
    </w:p>
    <w:p w14:paraId="59BC3789" w14:textId="77777777" w:rsidR="00ED36E0" w:rsidRPr="00990A3F" w:rsidRDefault="00ED36E0" w:rsidP="002E426D">
      <w:pPr>
        <w:spacing w:line="360" w:lineRule="auto"/>
        <w:rPr>
          <w:rStyle w:val="SubtleEmphasis"/>
        </w:rPr>
      </w:pPr>
    </w:p>
    <w:p w14:paraId="6907329C" w14:textId="43F21164" w:rsidR="006416A2" w:rsidRDefault="006416A2" w:rsidP="009F58A0">
      <w:pPr>
        <w:pStyle w:val="Subtitle"/>
      </w:pPr>
      <w:bookmarkStart w:id="472" w:name="_Toc417657759"/>
      <w:bookmarkStart w:id="473" w:name="_Toc417900875"/>
      <w:bookmarkStart w:id="474" w:name="_Toc45038154"/>
      <w:bookmarkStart w:id="475" w:name="_Toc48469307"/>
      <w:bookmarkStart w:id="476" w:name="_Toc64724218"/>
      <w:r w:rsidRPr="00EC5771">
        <w:lastRenderedPageBreak/>
        <w:t xml:space="preserve">Figure 5.13. </w:t>
      </w:r>
      <w:r w:rsidR="00CB2F95">
        <w:t>Scatter Plot</w:t>
      </w:r>
      <w:r w:rsidRPr="00EC5771">
        <w:t xml:space="preserve"> of Likert </w:t>
      </w:r>
      <w:r w:rsidR="00104C5A">
        <w:t>S</w:t>
      </w:r>
      <w:r w:rsidRPr="00EC5771">
        <w:t>cale vs TTP RPSC</w:t>
      </w:r>
      <w:bookmarkEnd w:id="472"/>
      <w:bookmarkEnd w:id="473"/>
      <w:bookmarkEnd w:id="474"/>
      <w:bookmarkEnd w:id="475"/>
      <w:bookmarkEnd w:id="476"/>
    </w:p>
    <w:p w14:paraId="5CAE476C" w14:textId="17ACFA9D" w:rsidR="00ED36E0" w:rsidRPr="00ED36E0" w:rsidRDefault="00ED36E0" w:rsidP="00ED36E0">
      <w:pPr>
        <w:pStyle w:val="Body"/>
        <w:rPr>
          <w:lang w:val="en-US"/>
        </w:rPr>
      </w:pPr>
      <w:r w:rsidRPr="00ED36E0">
        <w:rPr>
          <w:noProof/>
          <w:lang w:val="en-US"/>
        </w:rPr>
        <w:drawing>
          <wp:inline distT="0" distB="0" distL="0" distR="0" wp14:anchorId="621726BC" wp14:editId="38B57921">
            <wp:extent cx="5422900" cy="3200400"/>
            <wp:effectExtent l="12700" t="12700" r="12700" b="1270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422900" cy="3200400"/>
                    </a:xfrm>
                    <a:prstGeom prst="rect">
                      <a:avLst/>
                    </a:prstGeom>
                    <a:ln>
                      <a:solidFill>
                        <a:schemeClr val="accent1"/>
                      </a:solidFill>
                    </a:ln>
                  </pic:spPr>
                </pic:pic>
              </a:graphicData>
            </a:graphic>
          </wp:inline>
        </w:drawing>
      </w:r>
    </w:p>
    <w:p w14:paraId="711611FA" w14:textId="54D75FC0" w:rsidR="006416A2" w:rsidRPr="00BB75E6" w:rsidRDefault="006416A2" w:rsidP="006416A2">
      <w:pPr>
        <w:spacing w:line="360" w:lineRule="auto"/>
        <w:rPr>
          <w:rFonts w:cs="Arial"/>
        </w:rPr>
      </w:pPr>
    </w:p>
    <w:p w14:paraId="76BC99AE" w14:textId="77777777" w:rsidR="006416A2" w:rsidRPr="00990A3F" w:rsidRDefault="006416A2" w:rsidP="006C0CFD">
      <w:pPr>
        <w:spacing w:line="360" w:lineRule="auto"/>
        <w:rPr>
          <w:rStyle w:val="SubtleEmphasis"/>
        </w:rPr>
      </w:pPr>
      <w:r>
        <w:rPr>
          <w:rStyle w:val="SubtleEmphasis"/>
        </w:rPr>
        <w:t>P-DPN</w:t>
      </w:r>
      <w:r w:rsidRPr="009A6355">
        <w:rPr>
          <w:rStyle w:val="SubtleEmphasis"/>
        </w:rPr>
        <w:t xml:space="preserve"> vs HV (p=.005)</w:t>
      </w:r>
      <w:r>
        <w:rPr>
          <w:rStyle w:val="SubtleEmphasis"/>
        </w:rPr>
        <w:t xml:space="preserve">. </w:t>
      </w:r>
      <w:r w:rsidRPr="00990A3F">
        <w:rPr>
          <w:rStyle w:val="SubtleEmphasis"/>
        </w:rPr>
        <w:t xml:space="preserve">Figure shows that the regression slope </w:t>
      </w:r>
      <w:r>
        <w:rPr>
          <w:rStyle w:val="SubtleEmphasis"/>
        </w:rPr>
        <w:t>is</w:t>
      </w:r>
      <w:r w:rsidRPr="00990A3F">
        <w:rPr>
          <w:rStyle w:val="SubtleEmphasis"/>
        </w:rPr>
        <w:t xml:space="preserve"> significantly different for P-DPN which is positive</w:t>
      </w:r>
      <w:r>
        <w:rPr>
          <w:rStyle w:val="SubtleEmphasis"/>
        </w:rPr>
        <w:t xml:space="preserve"> for LIKERT vs Δ TTP</w:t>
      </w:r>
      <w:r w:rsidRPr="00990A3F">
        <w:rPr>
          <w:rStyle w:val="SubtleEmphasis"/>
        </w:rPr>
        <w:t xml:space="preserve"> and HV which is negative</w:t>
      </w:r>
      <w:r>
        <w:rPr>
          <w:rStyle w:val="SubtleEmphasis"/>
        </w:rPr>
        <w:t xml:space="preserve"> for LIKERT vs Δ TTP</w:t>
      </w:r>
    </w:p>
    <w:p w14:paraId="61918E9E" w14:textId="77777777" w:rsidR="006416A2" w:rsidRPr="006C0CFD" w:rsidRDefault="006416A2" w:rsidP="006C0CFD">
      <w:pPr>
        <w:pStyle w:val="Heading3"/>
      </w:pPr>
      <w:bookmarkStart w:id="477" w:name="_Toc64723963"/>
      <w:r w:rsidRPr="006C0CFD">
        <w:t>Contribution to Δ TTP</w:t>
      </w:r>
      <w:bookmarkEnd w:id="477"/>
    </w:p>
    <w:p w14:paraId="68F342C4" w14:textId="77777777" w:rsidR="006416A2" w:rsidRDefault="006416A2" w:rsidP="006416A2">
      <w:pPr>
        <w:spacing w:line="360" w:lineRule="auto"/>
      </w:pPr>
      <w:r>
        <w:t xml:space="preserve">As TTP is not deconvolved with the AIF to account for bolus dispersion, correlation to AIF dependent measures was performed for the P-DPN group (see Table 5.4 and Appendix D Table D.36-40, Figure D.6-D.9).  This was to assess the degree of contribution by AIF dependent perfusion parameters. </w:t>
      </w:r>
    </w:p>
    <w:p w14:paraId="57554D0B" w14:textId="2377B004" w:rsidR="006416A2" w:rsidRDefault="006416A2" w:rsidP="006416A2">
      <w:pPr>
        <w:spacing w:line="360" w:lineRule="auto"/>
      </w:pPr>
      <w:r>
        <w:t xml:space="preserve">At the LThal (p=.012) (see Figure 5.14 and Table 5.4), </w:t>
      </w:r>
      <w:proofErr w:type="spellStart"/>
      <w:r>
        <w:t>RThal</w:t>
      </w:r>
      <w:proofErr w:type="spellEnd"/>
      <w:r>
        <w:t xml:space="preserve"> (p=.023), LPSC (p=.025) and RPSC (p=.008), Δ RBF was significantly correlated with Δ TTP.  At the LINS (p=.007)(see Table 5.15) and the LThal (p=.048) the Δ MTT was significantly correlated with Δ TTP. </w:t>
      </w:r>
      <w:r w:rsidR="000E107F">
        <w:t xml:space="preserve"> </w:t>
      </w:r>
      <w:r>
        <w:t xml:space="preserve">This suggests that the Δ TTP was significantly influenced by perfusion factors that were within the region of interest.  </w:t>
      </w:r>
    </w:p>
    <w:p w14:paraId="7E7971CA" w14:textId="77777777" w:rsidR="006416A2" w:rsidRDefault="006416A2" w:rsidP="006416A2">
      <w:pPr>
        <w:spacing w:line="360" w:lineRule="auto"/>
      </w:pPr>
    </w:p>
    <w:p w14:paraId="140F4793" w14:textId="71E69D2A" w:rsidR="006416A2" w:rsidRDefault="006416A2" w:rsidP="00455CF2">
      <w:pPr>
        <w:pStyle w:val="Quote"/>
      </w:pPr>
      <w:bookmarkStart w:id="478" w:name="_Toc48469319"/>
      <w:bookmarkStart w:id="479" w:name="_Toc64724088"/>
      <w:r>
        <w:t>Table 5.4: Correlation between Δ TTP and RBV, RBF, MTT at the LThal</w:t>
      </w:r>
      <w:bookmarkEnd w:id="478"/>
      <w:bookmarkEnd w:id="479"/>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1478"/>
        <w:gridCol w:w="1076"/>
        <w:gridCol w:w="1137"/>
        <w:gridCol w:w="1015"/>
        <w:gridCol w:w="1137"/>
        <w:gridCol w:w="1015"/>
        <w:gridCol w:w="1076"/>
        <w:gridCol w:w="1076"/>
      </w:tblGrid>
      <w:tr w:rsidR="006416A2" w:rsidRPr="00193C05" w14:paraId="576FA230" w14:textId="77777777" w:rsidTr="00FF1D46">
        <w:trPr>
          <w:trHeight w:val="320"/>
        </w:trPr>
        <w:tc>
          <w:tcPr>
            <w:tcW w:w="1478" w:type="dxa"/>
            <w:noWrap/>
            <w:hideMark/>
          </w:tcPr>
          <w:p w14:paraId="2939892D" w14:textId="77777777" w:rsidR="006416A2" w:rsidRPr="00193C05" w:rsidRDefault="006416A2" w:rsidP="00FF1D46">
            <w:pPr>
              <w:spacing w:line="360" w:lineRule="auto"/>
              <w:rPr>
                <w:rFonts w:asciiTheme="minorHAnsi" w:hAnsiTheme="minorHAnsi" w:cstheme="minorHAnsi"/>
                <w:i/>
                <w:iCs/>
                <w:sz w:val="22"/>
                <w:szCs w:val="22"/>
              </w:rPr>
            </w:pPr>
          </w:p>
        </w:tc>
        <w:tc>
          <w:tcPr>
            <w:tcW w:w="1076" w:type="dxa"/>
            <w:noWrap/>
            <w:hideMark/>
          </w:tcPr>
          <w:p w14:paraId="1F5054B9" w14:textId="77777777" w:rsidR="006416A2" w:rsidRPr="00193C05" w:rsidRDefault="006416A2" w:rsidP="00FF1D46">
            <w:pPr>
              <w:spacing w:line="360" w:lineRule="auto"/>
              <w:rPr>
                <w:rFonts w:asciiTheme="minorHAnsi" w:hAnsiTheme="minorHAnsi" w:cstheme="minorHAnsi"/>
                <w:i/>
                <w:iCs/>
                <w:sz w:val="22"/>
                <w:szCs w:val="22"/>
              </w:rPr>
            </w:pPr>
            <w:r w:rsidRPr="00193C05">
              <w:rPr>
                <w:rFonts w:asciiTheme="minorHAnsi" w:hAnsiTheme="minorHAnsi" w:cstheme="minorHAnsi"/>
                <w:i/>
                <w:iCs/>
                <w:sz w:val="22"/>
                <w:szCs w:val="22"/>
              </w:rPr>
              <w:t>GROUP</w:t>
            </w:r>
          </w:p>
        </w:tc>
        <w:tc>
          <w:tcPr>
            <w:tcW w:w="2152" w:type="dxa"/>
            <w:gridSpan w:val="2"/>
            <w:noWrap/>
            <w:hideMark/>
          </w:tcPr>
          <w:p w14:paraId="67CEFAB9" w14:textId="68ADAC8A" w:rsidR="006416A2" w:rsidRPr="00193C05" w:rsidRDefault="006416A2" w:rsidP="00FF1D46">
            <w:pPr>
              <w:spacing w:line="360" w:lineRule="auto"/>
              <w:rPr>
                <w:rFonts w:asciiTheme="minorHAnsi" w:hAnsiTheme="minorHAnsi" w:cstheme="minorHAnsi"/>
                <w:i/>
                <w:iCs/>
                <w:sz w:val="22"/>
                <w:szCs w:val="22"/>
              </w:rPr>
            </w:pPr>
            <w:r>
              <w:rPr>
                <w:rFonts w:asciiTheme="minorHAnsi" w:hAnsiTheme="minorHAnsi" w:cstheme="minorHAnsi"/>
                <w:i/>
                <w:iCs/>
                <w:sz w:val="22"/>
                <w:szCs w:val="22"/>
              </w:rPr>
              <w:t>Δ</w:t>
            </w:r>
            <w:r w:rsidRPr="00193C05">
              <w:rPr>
                <w:rFonts w:asciiTheme="minorHAnsi" w:hAnsiTheme="minorHAnsi" w:cstheme="minorHAnsi"/>
                <w:i/>
                <w:iCs/>
                <w:sz w:val="22"/>
                <w:szCs w:val="22"/>
              </w:rPr>
              <w:t xml:space="preserve"> RBV </w:t>
            </w:r>
            <w:r w:rsidR="00264184">
              <w:rPr>
                <w:rFonts w:asciiTheme="minorHAnsi" w:hAnsiTheme="minorHAnsi" w:cstheme="minorHAnsi"/>
                <w:i/>
                <w:iCs/>
                <w:sz w:val="22"/>
                <w:szCs w:val="22"/>
              </w:rPr>
              <w:t>LThal</w:t>
            </w:r>
          </w:p>
        </w:tc>
        <w:tc>
          <w:tcPr>
            <w:tcW w:w="2152" w:type="dxa"/>
            <w:gridSpan w:val="2"/>
            <w:noWrap/>
            <w:hideMark/>
          </w:tcPr>
          <w:p w14:paraId="0A7569EC" w14:textId="77777777" w:rsidR="006416A2" w:rsidRPr="00193C05" w:rsidRDefault="006416A2" w:rsidP="00FF1D46">
            <w:pPr>
              <w:spacing w:line="360" w:lineRule="auto"/>
              <w:rPr>
                <w:rFonts w:asciiTheme="minorHAnsi" w:hAnsiTheme="minorHAnsi" w:cstheme="minorHAnsi"/>
                <w:i/>
                <w:iCs/>
                <w:sz w:val="22"/>
                <w:szCs w:val="22"/>
              </w:rPr>
            </w:pPr>
            <w:r>
              <w:rPr>
                <w:rFonts w:asciiTheme="minorHAnsi" w:hAnsiTheme="minorHAnsi" w:cstheme="minorHAnsi"/>
                <w:i/>
                <w:iCs/>
                <w:sz w:val="22"/>
                <w:szCs w:val="22"/>
              </w:rPr>
              <w:t>Δ</w:t>
            </w:r>
            <w:r w:rsidRPr="00193C05">
              <w:rPr>
                <w:rFonts w:asciiTheme="minorHAnsi" w:hAnsiTheme="minorHAnsi" w:cstheme="minorHAnsi"/>
                <w:i/>
                <w:iCs/>
                <w:sz w:val="22"/>
                <w:szCs w:val="22"/>
              </w:rPr>
              <w:t xml:space="preserve"> RBF LThal</w:t>
            </w:r>
          </w:p>
        </w:tc>
        <w:tc>
          <w:tcPr>
            <w:tcW w:w="2152" w:type="dxa"/>
            <w:gridSpan w:val="2"/>
            <w:noWrap/>
            <w:hideMark/>
          </w:tcPr>
          <w:p w14:paraId="556D26A0" w14:textId="3185024C" w:rsidR="006416A2" w:rsidRPr="00193C05" w:rsidRDefault="006416A2" w:rsidP="00FF1D46">
            <w:pPr>
              <w:spacing w:line="360" w:lineRule="auto"/>
              <w:rPr>
                <w:rFonts w:asciiTheme="minorHAnsi" w:hAnsiTheme="minorHAnsi" w:cstheme="minorHAnsi"/>
                <w:i/>
                <w:iCs/>
                <w:sz w:val="22"/>
                <w:szCs w:val="22"/>
              </w:rPr>
            </w:pPr>
            <w:r>
              <w:rPr>
                <w:rFonts w:asciiTheme="minorHAnsi" w:hAnsiTheme="minorHAnsi" w:cstheme="minorHAnsi"/>
                <w:i/>
                <w:iCs/>
                <w:sz w:val="22"/>
                <w:szCs w:val="22"/>
              </w:rPr>
              <w:t>Δ</w:t>
            </w:r>
            <w:r w:rsidRPr="00193C05">
              <w:rPr>
                <w:rFonts w:asciiTheme="minorHAnsi" w:hAnsiTheme="minorHAnsi" w:cstheme="minorHAnsi"/>
                <w:i/>
                <w:iCs/>
                <w:sz w:val="22"/>
                <w:szCs w:val="22"/>
              </w:rPr>
              <w:t xml:space="preserve"> MTT </w:t>
            </w:r>
            <w:r w:rsidR="00264184">
              <w:rPr>
                <w:rFonts w:asciiTheme="minorHAnsi" w:hAnsiTheme="minorHAnsi" w:cstheme="minorHAnsi"/>
                <w:i/>
                <w:iCs/>
                <w:sz w:val="22"/>
                <w:szCs w:val="22"/>
              </w:rPr>
              <w:t>LThal</w:t>
            </w:r>
          </w:p>
        </w:tc>
      </w:tr>
      <w:tr w:rsidR="006416A2" w:rsidRPr="00193C05" w14:paraId="013B77B6" w14:textId="77777777" w:rsidTr="00FF1D46">
        <w:trPr>
          <w:trHeight w:val="320"/>
        </w:trPr>
        <w:tc>
          <w:tcPr>
            <w:tcW w:w="1478" w:type="dxa"/>
            <w:vMerge w:val="restart"/>
            <w:shd w:val="clear" w:color="auto" w:fill="FBE4D5" w:themeFill="accent2" w:themeFillTint="33"/>
            <w:noWrap/>
            <w:hideMark/>
          </w:tcPr>
          <w:p w14:paraId="70ADF203" w14:textId="1AACAD70" w:rsidR="006416A2" w:rsidRPr="00193C05" w:rsidRDefault="006416A2" w:rsidP="00FF1D46">
            <w:pPr>
              <w:spacing w:line="360" w:lineRule="auto"/>
              <w:rPr>
                <w:rFonts w:asciiTheme="minorHAnsi" w:hAnsiTheme="minorHAnsi" w:cstheme="minorHAnsi"/>
                <w:i/>
                <w:iCs/>
                <w:sz w:val="22"/>
                <w:szCs w:val="22"/>
              </w:rPr>
            </w:pPr>
            <w:r>
              <w:rPr>
                <w:rFonts w:asciiTheme="minorHAnsi" w:hAnsiTheme="minorHAnsi" w:cstheme="minorHAnsi"/>
                <w:i/>
                <w:iCs/>
                <w:sz w:val="22"/>
                <w:szCs w:val="22"/>
              </w:rPr>
              <w:t xml:space="preserve">Δ </w:t>
            </w:r>
            <w:r w:rsidRPr="00193C05">
              <w:rPr>
                <w:rFonts w:asciiTheme="minorHAnsi" w:hAnsiTheme="minorHAnsi" w:cstheme="minorHAnsi"/>
                <w:i/>
                <w:iCs/>
                <w:sz w:val="22"/>
                <w:szCs w:val="22"/>
              </w:rPr>
              <w:t>TTP</w:t>
            </w:r>
            <w:r>
              <w:rPr>
                <w:rFonts w:asciiTheme="minorHAnsi" w:hAnsiTheme="minorHAnsi" w:cstheme="minorHAnsi"/>
                <w:i/>
                <w:iCs/>
                <w:sz w:val="22"/>
                <w:szCs w:val="22"/>
              </w:rPr>
              <w:t xml:space="preserve"> </w:t>
            </w:r>
            <w:r w:rsidR="00264184">
              <w:rPr>
                <w:rFonts w:asciiTheme="minorHAnsi" w:hAnsiTheme="minorHAnsi" w:cstheme="minorHAnsi"/>
                <w:i/>
                <w:iCs/>
                <w:sz w:val="22"/>
                <w:szCs w:val="22"/>
              </w:rPr>
              <w:t>LThal</w:t>
            </w:r>
          </w:p>
        </w:tc>
        <w:tc>
          <w:tcPr>
            <w:tcW w:w="1076" w:type="dxa"/>
            <w:vMerge w:val="restart"/>
            <w:shd w:val="clear" w:color="auto" w:fill="FBE4D5" w:themeFill="accent2" w:themeFillTint="33"/>
            <w:noWrap/>
            <w:hideMark/>
          </w:tcPr>
          <w:p w14:paraId="5C2A507A" w14:textId="77777777" w:rsidR="006416A2" w:rsidRPr="00193C05" w:rsidRDefault="006416A2" w:rsidP="00FF1D46">
            <w:pPr>
              <w:spacing w:line="360" w:lineRule="auto"/>
              <w:rPr>
                <w:rFonts w:asciiTheme="minorHAnsi" w:hAnsiTheme="minorHAnsi" w:cstheme="minorHAnsi"/>
                <w:i/>
                <w:iCs/>
                <w:sz w:val="22"/>
                <w:szCs w:val="22"/>
              </w:rPr>
            </w:pPr>
            <w:r w:rsidRPr="00193C05">
              <w:rPr>
                <w:rFonts w:asciiTheme="minorHAnsi" w:hAnsiTheme="minorHAnsi" w:cstheme="minorHAnsi"/>
                <w:i/>
                <w:iCs/>
                <w:sz w:val="22"/>
                <w:szCs w:val="22"/>
              </w:rPr>
              <w:t>P-DPN</w:t>
            </w:r>
          </w:p>
        </w:tc>
        <w:tc>
          <w:tcPr>
            <w:tcW w:w="1137" w:type="dxa"/>
            <w:shd w:val="clear" w:color="auto" w:fill="FBE4D5" w:themeFill="accent2" w:themeFillTint="33"/>
            <w:noWrap/>
            <w:hideMark/>
          </w:tcPr>
          <w:p w14:paraId="5E5E4E08" w14:textId="77777777" w:rsidR="006416A2" w:rsidRPr="00193C05" w:rsidRDefault="006416A2" w:rsidP="00FF1D46">
            <w:pPr>
              <w:spacing w:line="360" w:lineRule="auto"/>
              <w:rPr>
                <w:rFonts w:asciiTheme="minorHAnsi" w:hAnsiTheme="minorHAnsi" w:cstheme="minorHAnsi"/>
                <w:i/>
                <w:iCs/>
                <w:sz w:val="22"/>
                <w:szCs w:val="22"/>
              </w:rPr>
            </w:pPr>
            <w:r w:rsidRPr="00193C05">
              <w:rPr>
                <w:rFonts w:asciiTheme="minorHAnsi" w:hAnsiTheme="minorHAnsi" w:cstheme="minorHAnsi"/>
                <w:i/>
                <w:iCs/>
                <w:sz w:val="22"/>
                <w:szCs w:val="22"/>
              </w:rPr>
              <w:t>R</w:t>
            </w:r>
          </w:p>
        </w:tc>
        <w:tc>
          <w:tcPr>
            <w:tcW w:w="1015" w:type="dxa"/>
            <w:shd w:val="clear" w:color="auto" w:fill="FBE4D5" w:themeFill="accent2" w:themeFillTint="33"/>
            <w:noWrap/>
            <w:hideMark/>
          </w:tcPr>
          <w:p w14:paraId="62E47075" w14:textId="77777777" w:rsidR="006416A2" w:rsidRPr="00193C05" w:rsidRDefault="006416A2" w:rsidP="00FF1D46">
            <w:pPr>
              <w:spacing w:line="360" w:lineRule="auto"/>
              <w:rPr>
                <w:rFonts w:asciiTheme="minorHAnsi" w:hAnsiTheme="minorHAnsi" w:cstheme="minorHAnsi"/>
                <w:i/>
                <w:iCs/>
                <w:sz w:val="22"/>
                <w:szCs w:val="22"/>
              </w:rPr>
            </w:pPr>
            <w:r w:rsidRPr="00193C05">
              <w:rPr>
                <w:rFonts w:asciiTheme="minorHAnsi" w:hAnsiTheme="minorHAnsi" w:cstheme="minorHAnsi"/>
                <w:i/>
                <w:iCs/>
                <w:sz w:val="22"/>
                <w:szCs w:val="22"/>
              </w:rPr>
              <w:t>Sig</w:t>
            </w:r>
          </w:p>
        </w:tc>
        <w:tc>
          <w:tcPr>
            <w:tcW w:w="1137" w:type="dxa"/>
            <w:shd w:val="clear" w:color="auto" w:fill="FBE4D5" w:themeFill="accent2" w:themeFillTint="33"/>
            <w:noWrap/>
            <w:hideMark/>
          </w:tcPr>
          <w:p w14:paraId="70BB1364" w14:textId="77777777" w:rsidR="006416A2" w:rsidRPr="00193C05" w:rsidRDefault="006416A2" w:rsidP="00FF1D46">
            <w:pPr>
              <w:spacing w:line="360" w:lineRule="auto"/>
              <w:rPr>
                <w:rFonts w:asciiTheme="minorHAnsi" w:hAnsiTheme="minorHAnsi" w:cstheme="minorHAnsi"/>
                <w:i/>
                <w:iCs/>
                <w:sz w:val="22"/>
                <w:szCs w:val="22"/>
              </w:rPr>
            </w:pPr>
            <w:r w:rsidRPr="00193C05">
              <w:rPr>
                <w:rFonts w:asciiTheme="minorHAnsi" w:hAnsiTheme="minorHAnsi" w:cstheme="minorHAnsi"/>
                <w:i/>
                <w:iCs/>
                <w:sz w:val="22"/>
                <w:szCs w:val="22"/>
              </w:rPr>
              <w:t>R</w:t>
            </w:r>
          </w:p>
        </w:tc>
        <w:tc>
          <w:tcPr>
            <w:tcW w:w="1015" w:type="dxa"/>
            <w:shd w:val="clear" w:color="auto" w:fill="FBE4D5" w:themeFill="accent2" w:themeFillTint="33"/>
            <w:noWrap/>
            <w:hideMark/>
          </w:tcPr>
          <w:p w14:paraId="53E3C9D4" w14:textId="77777777" w:rsidR="006416A2" w:rsidRPr="00193C05" w:rsidRDefault="006416A2" w:rsidP="00FF1D46">
            <w:pPr>
              <w:spacing w:line="360" w:lineRule="auto"/>
              <w:rPr>
                <w:rFonts w:asciiTheme="minorHAnsi" w:hAnsiTheme="minorHAnsi" w:cstheme="minorHAnsi"/>
                <w:i/>
                <w:iCs/>
                <w:sz w:val="22"/>
                <w:szCs w:val="22"/>
              </w:rPr>
            </w:pPr>
            <w:r w:rsidRPr="00193C05">
              <w:rPr>
                <w:rFonts w:asciiTheme="minorHAnsi" w:hAnsiTheme="minorHAnsi" w:cstheme="minorHAnsi"/>
                <w:i/>
                <w:iCs/>
                <w:sz w:val="22"/>
                <w:szCs w:val="22"/>
              </w:rPr>
              <w:t>Sig</w:t>
            </w:r>
          </w:p>
        </w:tc>
        <w:tc>
          <w:tcPr>
            <w:tcW w:w="1076" w:type="dxa"/>
            <w:shd w:val="clear" w:color="auto" w:fill="FBE4D5" w:themeFill="accent2" w:themeFillTint="33"/>
            <w:noWrap/>
            <w:hideMark/>
          </w:tcPr>
          <w:p w14:paraId="64C2B66F" w14:textId="77777777" w:rsidR="006416A2" w:rsidRPr="00193C05" w:rsidRDefault="006416A2" w:rsidP="00FF1D46">
            <w:pPr>
              <w:spacing w:line="360" w:lineRule="auto"/>
              <w:rPr>
                <w:rFonts w:asciiTheme="minorHAnsi" w:hAnsiTheme="minorHAnsi" w:cstheme="minorHAnsi"/>
                <w:i/>
                <w:iCs/>
                <w:sz w:val="22"/>
                <w:szCs w:val="22"/>
              </w:rPr>
            </w:pPr>
            <w:r w:rsidRPr="00193C05">
              <w:rPr>
                <w:rFonts w:asciiTheme="minorHAnsi" w:hAnsiTheme="minorHAnsi" w:cstheme="minorHAnsi"/>
                <w:i/>
                <w:iCs/>
                <w:sz w:val="22"/>
                <w:szCs w:val="22"/>
              </w:rPr>
              <w:t>R</w:t>
            </w:r>
          </w:p>
        </w:tc>
        <w:tc>
          <w:tcPr>
            <w:tcW w:w="1076" w:type="dxa"/>
            <w:shd w:val="clear" w:color="auto" w:fill="FBE4D5" w:themeFill="accent2" w:themeFillTint="33"/>
            <w:noWrap/>
            <w:hideMark/>
          </w:tcPr>
          <w:p w14:paraId="1CDDBA29" w14:textId="77777777" w:rsidR="006416A2" w:rsidRPr="00193C05" w:rsidRDefault="006416A2" w:rsidP="00FF1D46">
            <w:pPr>
              <w:spacing w:line="360" w:lineRule="auto"/>
              <w:rPr>
                <w:rFonts w:asciiTheme="minorHAnsi" w:hAnsiTheme="minorHAnsi" w:cstheme="minorHAnsi"/>
                <w:i/>
                <w:iCs/>
                <w:sz w:val="22"/>
                <w:szCs w:val="22"/>
              </w:rPr>
            </w:pPr>
            <w:r w:rsidRPr="00193C05">
              <w:rPr>
                <w:rFonts w:asciiTheme="minorHAnsi" w:hAnsiTheme="minorHAnsi" w:cstheme="minorHAnsi"/>
                <w:i/>
                <w:iCs/>
                <w:sz w:val="22"/>
                <w:szCs w:val="22"/>
              </w:rPr>
              <w:t>Sig</w:t>
            </w:r>
          </w:p>
        </w:tc>
      </w:tr>
      <w:tr w:rsidR="006416A2" w:rsidRPr="00193C05" w14:paraId="0DD9B152" w14:textId="77777777" w:rsidTr="00FF1D46">
        <w:trPr>
          <w:trHeight w:val="320"/>
        </w:trPr>
        <w:tc>
          <w:tcPr>
            <w:tcW w:w="1478" w:type="dxa"/>
            <w:vMerge/>
            <w:shd w:val="clear" w:color="auto" w:fill="FBE4D5" w:themeFill="accent2" w:themeFillTint="33"/>
            <w:noWrap/>
            <w:hideMark/>
          </w:tcPr>
          <w:p w14:paraId="616C3929" w14:textId="77777777" w:rsidR="006416A2" w:rsidRPr="00193C05" w:rsidRDefault="006416A2" w:rsidP="00FF1D46">
            <w:pPr>
              <w:spacing w:line="360" w:lineRule="auto"/>
              <w:rPr>
                <w:rFonts w:asciiTheme="minorHAnsi" w:hAnsiTheme="minorHAnsi" w:cstheme="minorHAnsi"/>
                <w:i/>
                <w:iCs/>
                <w:sz w:val="22"/>
                <w:szCs w:val="22"/>
              </w:rPr>
            </w:pPr>
          </w:p>
        </w:tc>
        <w:tc>
          <w:tcPr>
            <w:tcW w:w="1076" w:type="dxa"/>
            <w:vMerge/>
            <w:shd w:val="clear" w:color="auto" w:fill="FBE4D5" w:themeFill="accent2" w:themeFillTint="33"/>
            <w:noWrap/>
            <w:hideMark/>
          </w:tcPr>
          <w:p w14:paraId="0FD9D502" w14:textId="77777777" w:rsidR="006416A2" w:rsidRPr="00193C05" w:rsidRDefault="006416A2" w:rsidP="00FF1D46">
            <w:pPr>
              <w:spacing w:line="360" w:lineRule="auto"/>
              <w:rPr>
                <w:rFonts w:asciiTheme="minorHAnsi" w:hAnsiTheme="minorHAnsi" w:cstheme="minorHAnsi"/>
                <w:i/>
                <w:iCs/>
                <w:sz w:val="22"/>
                <w:szCs w:val="22"/>
              </w:rPr>
            </w:pPr>
          </w:p>
        </w:tc>
        <w:tc>
          <w:tcPr>
            <w:tcW w:w="1137" w:type="dxa"/>
            <w:noWrap/>
            <w:hideMark/>
          </w:tcPr>
          <w:p w14:paraId="32CD5703" w14:textId="77777777" w:rsidR="006416A2" w:rsidRPr="00193C05" w:rsidRDefault="006416A2" w:rsidP="00FF1D46">
            <w:pPr>
              <w:spacing w:line="360" w:lineRule="auto"/>
              <w:rPr>
                <w:rFonts w:asciiTheme="minorHAnsi" w:hAnsiTheme="minorHAnsi" w:cstheme="minorHAnsi"/>
                <w:i/>
                <w:iCs/>
                <w:sz w:val="22"/>
                <w:szCs w:val="22"/>
              </w:rPr>
            </w:pPr>
            <w:r w:rsidRPr="00193C05">
              <w:rPr>
                <w:rFonts w:asciiTheme="minorHAnsi" w:hAnsiTheme="minorHAnsi" w:cstheme="minorHAnsi"/>
                <w:i/>
                <w:iCs/>
                <w:sz w:val="22"/>
                <w:szCs w:val="22"/>
              </w:rPr>
              <w:t>-0.299</w:t>
            </w:r>
          </w:p>
        </w:tc>
        <w:tc>
          <w:tcPr>
            <w:tcW w:w="1015" w:type="dxa"/>
            <w:noWrap/>
            <w:hideMark/>
          </w:tcPr>
          <w:p w14:paraId="0A8FEB28" w14:textId="77777777" w:rsidR="006416A2" w:rsidRPr="00193C05" w:rsidRDefault="006416A2" w:rsidP="00FF1D46">
            <w:pPr>
              <w:spacing w:line="360" w:lineRule="auto"/>
              <w:rPr>
                <w:rFonts w:asciiTheme="minorHAnsi" w:hAnsiTheme="minorHAnsi" w:cstheme="minorHAnsi"/>
                <w:i/>
                <w:iCs/>
                <w:sz w:val="22"/>
                <w:szCs w:val="22"/>
              </w:rPr>
            </w:pPr>
            <w:r w:rsidRPr="00193C05">
              <w:rPr>
                <w:rFonts w:asciiTheme="minorHAnsi" w:hAnsiTheme="minorHAnsi" w:cstheme="minorHAnsi"/>
                <w:i/>
                <w:iCs/>
                <w:sz w:val="22"/>
                <w:szCs w:val="22"/>
              </w:rPr>
              <w:t>0.229</w:t>
            </w:r>
          </w:p>
        </w:tc>
        <w:tc>
          <w:tcPr>
            <w:tcW w:w="1137" w:type="dxa"/>
            <w:noWrap/>
            <w:hideMark/>
          </w:tcPr>
          <w:p w14:paraId="4E3D0192" w14:textId="77777777" w:rsidR="006416A2" w:rsidRPr="00193C05" w:rsidRDefault="006416A2" w:rsidP="00FF1D46">
            <w:pPr>
              <w:spacing w:line="360" w:lineRule="auto"/>
              <w:rPr>
                <w:rFonts w:asciiTheme="minorHAnsi" w:hAnsiTheme="minorHAnsi" w:cstheme="minorHAnsi"/>
                <w:i/>
                <w:iCs/>
                <w:sz w:val="22"/>
                <w:szCs w:val="22"/>
              </w:rPr>
            </w:pPr>
            <w:r w:rsidRPr="00193C05">
              <w:rPr>
                <w:rFonts w:asciiTheme="minorHAnsi" w:hAnsiTheme="minorHAnsi" w:cstheme="minorHAnsi"/>
                <w:i/>
                <w:iCs/>
                <w:sz w:val="22"/>
                <w:szCs w:val="22"/>
              </w:rPr>
              <w:t>-0.579</w:t>
            </w:r>
          </w:p>
        </w:tc>
        <w:tc>
          <w:tcPr>
            <w:tcW w:w="1015" w:type="dxa"/>
            <w:noWrap/>
            <w:hideMark/>
          </w:tcPr>
          <w:p w14:paraId="1572260B" w14:textId="77777777" w:rsidR="006416A2" w:rsidRPr="00193C05" w:rsidRDefault="006416A2" w:rsidP="00FF1D46">
            <w:pPr>
              <w:spacing w:line="360" w:lineRule="auto"/>
              <w:rPr>
                <w:rFonts w:asciiTheme="minorHAnsi" w:hAnsiTheme="minorHAnsi" w:cstheme="minorHAnsi"/>
                <w:i/>
                <w:iCs/>
                <w:sz w:val="22"/>
                <w:szCs w:val="22"/>
              </w:rPr>
            </w:pPr>
            <w:r w:rsidRPr="00193C05">
              <w:rPr>
                <w:rFonts w:asciiTheme="minorHAnsi" w:hAnsiTheme="minorHAnsi" w:cstheme="minorHAnsi"/>
                <w:i/>
                <w:iCs/>
                <w:sz w:val="22"/>
                <w:szCs w:val="22"/>
              </w:rPr>
              <w:t>0.012</w:t>
            </w:r>
            <w:r>
              <w:rPr>
                <w:rFonts w:asciiTheme="minorHAnsi" w:hAnsiTheme="minorHAnsi" w:cstheme="minorHAnsi"/>
                <w:i/>
                <w:iCs/>
                <w:sz w:val="22"/>
                <w:szCs w:val="22"/>
              </w:rPr>
              <w:t>*</w:t>
            </w:r>
          </w:p>
        </w:tc>
        <w:tc>
          <w:tcPr>
            <w:tcW w:w="1076" w:type="dxa"/>
            <w:noWrap/>
            <w:hideMark/>
          </w:tcPr>
          <w:p w14:paraId="572A2BF7" w14:textId="77777777" w:rsidR="006416A2" w:rsidRPr="00193C05" w:rsidRDefault="006416A2" w:rsidP="00FF1D46">
            <w:pPr>
              <w:spacing w:line="360" w:lineRule="auto"/>
              <w:rPr>
                <w:rFonts w:asciiTheme="minorHAnsi" w:hAnsiTheme="minorHAnsi" w:cstheme="minorHAnsi"/>
                <w:i/>
                <w:iCs/>
                <w:sz w:val="22"/>
                <w:szCs w:val="22"/>
              </w:rPr>
            </w:pPr>
            <w:r w:rsidRPr="00193C05">
              <w:rPr>
                <w:rFonts w:asciiTheme="minorHAnsi" w:hAnsiTheme="minorHAnsi" w:cstheme="minorHAnsi"/>
                <w:i/>
                <w:iCs/>
                <w:sz w:val="22"/>
                <w:szCs w:val="22"/>
              </w:rPr>
              <w:t>0.471</w:t>
            </w:r>
          </w:p>
        </w:tc>
        <w:tc>
          <w:tcPr>
            <w:tcW w:w="1076" w:type="dxa"/>
            <w:noWrap/>
            <w:hideMark/>
          </w:tcPr>
          <w:p w14:paraId="07E596E0" w14:textId="77777777" w:rsidR="006416A2" w:rsidRPr="00193C05" w:rsidRDefault="006416A2" w:rsidP="00FF1D46">
            <w:pPr>
              <w:spacing w:line="360" w:lineRule="auto"/>
              <w:rPr>
                <w:rFonts w:asciiTheme="minorHAnsi" w:hAnsiTheme="minorHAnsi" w:cstheme="minorHAnsi"/>
                <w:i/>
                <w:iCs/>
                <w:sz w:val="22"/>
                <w:szCs w:val="22"/>
              </w:rPr>
            </w:pPr>
            <w:r w:rsidRPr="00193C05">
              <w:rPr>
                <w:rFonts w:asciiTheme="minorHAnsi" w:hAnsiTheme="minorHAnsi" w:cstheme="minorHAnsi"/>
                <w:i/>
                <w:iCs/>
                <w:sz w:val="22"/>
                <w:szCs w:val="22"/>
              </w:rPr>
              <w:t>0.048</w:t>
            </w:r>
            <w:r>
              <w:rPr>
                <w:rFonts w:asciiTheme="minorHAnsi" w:hAnsiTheme="minorHAnsi" w:cstheme="minorHAnsi"/>
                <w:i/>
                <w:iCs/>
                <w:sz w:val="22"/>
                <w:szCs w:val="22"/>
              </w:rPr>
              <w:t>*</w:t>
            </w:r>
          </w:p>
        </w:tc>
      </w:tr>
    </w:tbl>
    <w:p w14:paraId="73745520" w14:textId="0406988F" w:rsidR="006416A2" w:rsidRDefault="006416A2" w:rsidP="006416A2">
      <w:pPr>
        <w:spacing w:line="360" w:lineRule="auto"/>
        <w:rPr>
          <w:rStyle w:val="SubtleEmphasis"/>
        </w:rPr>
      </w:pPr>
      <w:r>
        <w:rPr>
          <w:rStyle w:val="SubtleEmphasis"/>
        </w:rPr>
        <w:t>R= Pearson’s R, Sig=significance</w:t>
      </w:r>
    </w:p>
    <w:p w14:paraId="0C174CEA" w14:textId="77777777" w:rsidR="006C0CFD" w:rsidRDefault="006C0CFD" w:rsidP="006416A2">
      <w:pPr>
        <w:spacing w:line="360" w:lineRule="auto"/>
        <w:rPr>
          <w:rStyle w:val="SubtleEmphasis"/>
          <w:i w:val="0"/>
          <w:iCs w:val="0"/>
        </w:rPr>
      </w:pPr>
    </w:p>
    <w:p w14:paraId="50F2B19F" w14:textId="59944EDB" w:rsidR="006416A2" w:rsidRPr="006C0CFD" w:rsidRDefault="006416A2" w:rsidP="006C0CFD">
      <w:pPr>
        <w:pStyle w:val="Subtitle"/>
        <w:rPr>
          <w:rStyle w:val="SubtleEmphasis"/>
          <w:rFonts w:ascii="Arial" w:hAnsi="Arial" w:cs="Arial"/>
          <w:i/>
          <w:color w:val="4F81BD"/>
          <w:sz w:val="24"/>
          <w:szCs w:val="24"/>
        </w:rPr>
      </w:pPr>
      <w:bookmarkStart w:id="480" w:name="_Toc48469308"/>
      <w:bookmarkStart w:id="481" w:name="_Toc64724219"/>
      <w:r w:rsidRPr="006C0CFD">
        <w:rPr>
          <w:rStyle w:val="SubtleEmphasis"/>
          <w:rFonts w:ascii="Arial" w:hAnsi="Arial" w:cs="Arial"/>
          <w:i/>
          <w:color w:val="4F81BD"/>
          <w:sz w:val="24"/>
          <w:szCs w:val="24"/>
        </w:rPr>
        <w:lastRenderedPageBreak/>
        <w:t xml:space="preserve">Figure 5.14 </w:t>
      </w:r>
      <w:r w:rsidR="00CB2F95">
        <w:rPr>
          <w:rStyle w:val="SubtleEmphasis"/>
          <w:rFonts w:ascii="Arial" w:hAnsi="Arial" w:cs="Arial"/>
          <w:i/>
          <w:color w:val="4F81BD"/>
          <w:sz w:val="24"/>
          <w:szCs w:val="24"/>
        </w:rPr>
        <w:t>Scatter plot</w:t>
      </w:r>
      <w:r w:rsidRPr="006C0CFD">
        <w:rPr>
          <w:rStyle w:val="SubtleEmphasis"/>
          <w:rFonts w:ascii="Arial" w:hAnsi="Arial" w:cs="Arial"/>
          <w:i/>
          <w:color w:val="4F81BD"/>
          <w:sz w:val="24"/>
          <w:szCs w:val="24"/>
        </w:rPr>
        <w:t xml:space="preserve"> Δ RBF vs Δ TTP at the </w:t>
      </w:r>
      <w:r w:rsidR="00264184">
        <w:rPr>
          <w:rStyle w:val="SubtleEmphasis"/>
          <w:rFonts w:ascii="Arial" w:hAnsi="Arial" w:cs="Arial"/>
          <w:i/>
          <w:color w:val="4F81BD"/>
          <w:sz w:val="24"/>
          <w:szCs w:val="24"/>
        </w:rPr>
        <w:t>LThal</w:t>
      </w:r>
      <w:bookmarkEnd w:id="480"/>
      <w:bookmarkEnd w:id="481"/>
    </w:p>
    <w:p w14:paraId="09950A7D" w14:textId="77777777" w:rsidR="006416A2" w:rsidRDefault="006416A2" w:rsidP="006416A2">
      <w:pPr>
        <w:spacing w:line="360" w:lineRule="auto"/>
      </w:pPr>
      <w:r w:rsidRPr="001D66C9">
        <w:rPr>
          <w:noProof/>
          <w:lang w:eastAsia="en-GB"/>
        </w:rPr>
        <w:drawing>
          <wp:inline distT="0" distB="0" distL="0" distR="0" wp14:anchorId="6C4D3023" wp14:editId="67960824">
            <wp:extent cx="4956645" cy="2925233"/>
            <wp:effectExtent l="12700" t="12700" r="9525" b="8890"/>
            <wp:docPr id="2148" name="Picture 214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8" name="Picture 2148" descr="A close up of a map&#10;&#10;Description automatically generated"/>
                    <pic:cNvPicPr/>
                  </pic:nvPicPr>
                  <pic:blipFill>
                    <a:blip r:embed="rId69"/>
                    <a:stretch>
                      <a:fillRect/>
                    </a:stretch>
                  </pic:blipFill>
                  <pic:spPr>
                    <a:xfrm>
                      <a:off x="0" y="0"/>
                      <a:ext cx="4963898" cy="2929514"/>
                    </a:xfrm>
                    <a:prstGeom prst="rect">
                      <a:avLst/>
                    </a:prstGeom>
                    <a:ln>
                      <a:solidFill>
                        <a:schemeClr val="tx1"/>
                      </a:solidFill>
                    </a:ln>
                  </pic:spPr>
                </pic:pic>
              </a:graphicData>
            </a:graphic>
          </wp:inline>
        </w:drawing>
      </w:r>
    </w:p>
    <w:p w14:paraId="35C01C33" w14:textId="645385BF" w:rsidR="006416A2" w:rsidRPr="006C0CFD" w:rsidRDefault="006416A2" w:rsidP="006C0CFD">
      <w:pPr>
        <w:pStyle w:val="Subtitle"/>
        <w:rPr>
          <w:rStyle w:val="SubtleEmphasis"/>
          <w:rFonts w:ascii="Arial" w:hAnsi="Arial" w:cs="Arial"/>
          <w:i/>
          <w:color w:val="4F81BD"/>
          <w:sz w:val="24"/>
          <w:szCs w:val="24"/>
        </w:rPr>
      </w:pPr>
      <w:bookmarkStart w:id="482" w:name="_Toc48469309"/>
      <w:bookmarkStart w:id="483" w:name="_Toc64724220"/>
      <w:r w:rsidRPr="006C0CFD">
        <w:rPr>
          <w:rStyle w:val="SubtleEmphasis"/>
          <w:rFonts w:ascii="Arial" w:hAnsi="Arial" w:cs="Arial"/>
          <w:i/>
          <w:color w:val="4F81BD"/>
          <w:sz w:val="24"/>
          <w:szCs w:val="24"/>
        </w:rPr>
        <w:t xml:space="preserve">Figure 5.15 </w:t>
      </w:r>
      <w:r w:rsidR="00CB2F95">
        <w:rPr>
          <w:rStyle w:val="SubtleEmphasis"/>
          <w:rFonts w:ascii="Arial" w:hAnsi="Arial" w:cs="Arial"/>
          <w:i/>
          <w:color w:val="4F81BD"/>
          <w:sz w:val="24"/>
          <w:szCs w:val="24"/>
        </w:rPr>
        <w:t>Scatter plot</w:t>
      </w:r>
      <w:r w:rsidRPr="006C0CFD">
        <w:rPr>
          <w:rStyle w:val="SubtleEmphasis"/>
          <w:rFonts w:ascii="Arial" w:hAnsi="Arial" w:cs="Arial"/>
          <w:i/>
          <w:color w:val="4F81BD"/>
          <w:sz w:val="24"/>
          <w:szCs w:val="24"/>
        </w:rPr>
        <w:t xml:space="preserve"> Δ MTT vs Δ TTP at the </w:t>
      </w:r>
      <w:r w:rsidR="00264184">
        <w:rPr>
          <w:rStyle w:val="SubtleEmphasis"/>
          <w:rFonts w:ascii="Arial" w:hAnsi="Arial" w:cs="Arial"/>
          <w:i/>
          <w:color w:val="4F81BD"/>
          <w:sz w:val="24"/>
          <w:szCs w:val="24"/>
        </w:rPr>
        <w:t>LThal</w:t>
      </w:r>
      <w:bookmarkEnd w:id="482"/>
      <w:bookmarkEnd w:id="483"/>
    </w:p>
    <w:p w14:paraId="69FEDB98" w14:textId="77777777" w:rsidR="006416A2" w:rsidRDefault="006416A2" w:rsidP="006416A2">
      <w:pPr>
        <w:spacing w:line="360" w:lineRule="auto"/>
      </w:pPr>
      <w:r w:rsidRPr="00245AE9">
        <w:rPr>
          <w:noProof/>
          <w:lang w:eastAsia="en-GB"/>
        </w:rPr>
        <w:drawing>
          <wp:inline distT="0" distB="0" distL="0" distR="0" wp14:anchorId="785D5E27" wp14:editId="7E32C0C0">
            <wp:extent cx="4970992" cy="2933700"/>
            <wp:effectExtent l="12700" t="12700" r="7620" b="12700"/>
            <wp:docPr id="2149" name="Picture 2149"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9" name="Picture 2149" descr="A close up of a map&#10;&#10;Description automatically generated"/>
                    <pic:cNvPicPr/>
                  </pic:nvPicPr>
                  <pic:blipFill>
                    <a:blip r:embed="rId70"/>
                    <a:stretch>
                      <a:fillRect/>
                    </a:stretch>
                  </pic:blipFill>
                  <pic:spPr>
                    <a:xfrm>
                      <a:off x="0" y="0"/>
                      <a:ext cx="4979122" cy="2938498"/>
                    </a:xfrm>
                    <a:prstGeom prst="rect">
                      <a:avLst/>
                    </a:prstGeom>
                    <a:ln>
                      <a:solidFill>
                        <a:schemeClr val="tx1"/>
                      </a:solidFill>
                    </a:ln>
                  </pic:spPr>
                </pic:pic>
              </a:graphicData>
            </a:graphic>
          </wp:inline>
        </w:drawing>
      </w:r>
    </w:p>
    <w:p w14:paraId="07AC75BF" w14:textId="77A5B848" w:rsidR="006416A2" w:rsidRDefault="006416A2" w:rsidP="00C8005D">
      <w:pPr>
        <w:pStyle w:val="Heading3"/>
      </w:pPr>
      <w:bookmarkStart w:id="484" w:name="_Toc48469281"/>
      <w:bookmarkStart w:id="485" w:name="_Toc64723964"/>
      <w:r>
        <w:t>Comparison of perfusion measures between baseline and Visit 3,</w:t>
      </w:r>
      <w:r w:rsidRPr="00BB75E6">
        <w:t xml:space="preserve"> for </w:t>
      </w:r>
      <w:r w:rsidRPr="003A3CA0">
        <w:t>P-DPN</w:t>
      </w:r>
      <w:r w:rsidRPr="00BB75E6">
        <w:t xml:space="preserve"> stratified by the presence of neuropathic pain at the time of scanning</w:t>
      </w:r>
      <w:bookmarkEnd w:id="484"/>
      <w:r w:rsidR="00272EB4">
        <w:t>.</w:t>
      </w:r>
      <w:bookmarkEnd w:id="485"/>
    </w:p>
    <w:p w14:paraId="3C7F357A" w14:textId="2FCB4FA9" w:rsidR="006416A2" w:rsidRDefault="006416A2" w:rsidP="006416A2">
      <w:pPr>
        <w:spacing w:line="360" w:lineRule="auto"/>
        <w:rPr>
          <w:rFonts w:cs="Arial"/>
        </w:rPr>
      </w:pPr>
      <w:r>
        <w:t>There was no difference between baseline cardiovascular measures</w:t>
      </w:r>
      <w:r w:rsidR="00F747E7">
        <w:t xml:space="preserve">, </w:t>
      </w:r>
      <w:r>
        <w:t>blood glucose or psychophysical characteristics at baseline</w:t>
      </w:r>
      <w:r w:rsidR="00272EB4">
        <w:t xml:space="preserve"> between the P+, P- and the DPN, DM-NN or HV</w:t>
      </w:r>
      <w:r>
        <w:t xml:space="preserve"> (see Appendix D Table D.40). </w:t>
      </w:r>
      <w:r w:rsidR="00F747E7">
        <w:t xml:space="preserve"> </w:t>
      </w:r>
      <w:r>
        <w:rPr>
          <w:rFonts w:cs="Arial"/>
        </w:rPr>
        <w:t xml:space="preserve">Clinically significant spontaneous neuropathic pain was set at a level of </w:t>
      </w:r>
      <m:oMath>
        <m:r>
          <w:rPr>
            <w:rFonts w:ascii="Cambria Math" w:hAnsi="Cambria Math" w:cs="Arial"/>
          </w:rPr>
          <m:t>≥</m:t>
        </m:r>
      </m:oMath>
      <w:r>
        <w:rPr>
          <w:rFonts w:cs="Arial"/>
        </w:rPr>
        <w:t xml:space="preserve"> 4 at V2.  At V3 one participant from the P+ group had a score &lt;4 (see Figure 5.16), and three subjects in the P- group scored </w:t>
      </w:r>
      <m:oMath>
        <m:r>
          <w:rPr>
            <w:rFonts w:ascii="Cambria Math" w:hAnsi="Cambria Math" w:cs="Arial"/>
          </w:rPr>
          <m:t>≥</m:t>
        </m:r>
      </m:oMath>
      <w:r>
        <w:rPr>
          <w:rFonts w:cs="Arial"/>
        </w:rPr>
        <w:t xml:space="preserve"> 4 for spontaneous neuropathic pain (see Figure 5.16 and 5.17).  However, the </w:t>
      </w:r>
      <w:r>
        <w:rPr>
          <w:rFonts w:cs="Arial"/>
        </w:rPr>
        <w:lastRenderedPageBreak/>
        <w:t xml:space="preserve">groups remained highly statistically different with regards to spontaneous neuropathic pain (see table 5.5).    </w:t>
      </w:r>
    </w:p>
    <w:p w14:paraId="0B69D6CF" w14:textId="3F9A735E" w:rsidR="006416A2" w:rsidRPr="006C0CFD" w:rsidRDefault="006416A2" w:rsidP="006C0CFD">
      <w:pPr>
        <w:pStyle w:val="Subtitle"/>
        <w:rPr>
          <w:rStyle w:val="SubtleEmphasis"/>
          <w:rFonts w:ascii="Arial" w:hAnsi="Arial" w:cs="Arial"/>
          <w:i/>
          <w:color w:val="4F81BD"/>
          <w:sz w:val="24"/>
          <w:szCs w:val="24"/>
        </w:rPr>
      </w:pPr>
      <w:bookmarkStart w:id="486" w:name="_Toc48469310"/>
      <w:bookmarkStart w:id="487" w:name="_Toc64724221"/>
      <w:r w:rsidRPr="006C0CFD">
        <w:rPr>
          <w:rStyle w:val="SubtleEmphasis"/>
          <w:rFonts w:ascii="Arial" w:hAnsi="Arial" w:cs="Arial"/>
          <w:i/>
          <w:color w:val="4F81BD"/>
          <w:sz w:val="24"/>
          <w:szCs w:val="24"/>
        </w:rPr>
        <w:t xml:space="preserve">Figure 5.16 </w:t>
      </w:r>
      <w:r w:rsidR="00104C5A">
        <w:rPr>
          <w:rStyle w:val="SubtleEmphasis"/>
          <w:rFonts w:ascii="Arial" w:hAnsi="Arial" w:cs="Arial"/>
          <w:i/>
          <w:color w:val="4F81BD"/>
          <w:sz w:val="24"/>
          <w:szCs w:val="24"/>
        </w:rPr>
        <w:t xml:space="preserve"> </w:t>
      </w:r>
      <w:r w:rsidRPr="006C0CFD">
        <w:rPr>
          <w:rStyle w:val="SubtleEmphasis"/>
          <w:rFonts w:ascii="Arial" w:hAnsi="Arial" w:cs="Arial"/>
          <w:i/>
          <w:color w:val="4F81BD"/>
          <w:sz w:val="24"/>
          <w:szCs w:val="24"/>
        </w:rPr>
        <w:t xml:space="preserve">Comparison of </w:t>
      </w:r>
      <w:r w:rsidR="00104C5A">
        <w:rPr>
          <w:rStyle w:val="SubtleEmphasis"/>
          <w:rFonts w:ascii="Arial" w:hAnsi="Arial" w:cs="Arial"/>
          <w:i/>
          <w:color w:val="4F81BD"/>
          <w:sz w:val="24"/>
          <w:szCs w:val="24"/>
        </w:rPr>
        <w:t>C</w:t>
      </w:r>
      <w:r w:rsidRPr="006C0CFD">
        <w:rPr>
          <w:rStyle w:val="SubtleEmphasis"/>
          <w:rFonts w:ascii="Arial" w:hAnsi="Arial" w:cs="Arial"/>
          <w:i/>
          <w:color w:val="4F81BD"/>
          <w:sz w:val="24"/>
          <w:szCs w:val="24"/>
        </w:rPr>
        <w:t xml:space="preserve">hange in </w:t>
      </w:r>
      <w:r w:rsidR="00104C5A">
        <w:rPr>
          <w:rStyle w:val="SubtleEmphasis"/>
          <w:rFonts w:ascii="Arial" w:hAnsi="Arial" w:cs="Arial"/>
          <w:i/>
          <w:color w:val="4F81BD"/>
          <w:sz w:val="24"/>
          <w:szCs w:val="24"/>
        </w:rPr>
        <w:t>R</w:t>
      </w:r>
      <w:r w:rsidRPr="006C0CFD">
        <w:rPr>
          <w:rStyle w:val="SubtleEmphasis"/>
          <w:rFonts w:ascii="Arial" w:hAnsi="Arial" w:cs="Arial"/>
          <w:i/>
          <w:color w:val="4F81BD"/>
          <w:sz w:val="24"/>
          <w:szCs w:val="24"/>
        </w:rPr>
        <w:t xml:space="preserve">eport of </w:t>
      </w:r>
      <w:r w:rsidR="00104C5A">
        <w:rPr>
          <w:rStyle w:val="SubtleEmphasis"/>
          <w:rFonts w:ascii="Arial" w:hAnsi="Arial" w:cs="Arial"/>
          <w:i/>
          <w:color w:val="4F81BD"/>
          <w:sz w:val="24"/>
          <w:szCs w:val="24"/>
        </w:rPr>
        <w:t>S</w:t>
      </w:r>
      <w:r w:rsidRPr="006C0CFD">
        <w:rPr>
          <w:rStyle w:val="SubtleEmphasis"/>
          <w:rFonts w:ascii="Arial" w:hAnsi="Arial" w:cs="Arial"/>
          <w:i/>
          <w:color w:val="4F81BD"/>
          <w:sz w:val="24"/>
          <w:szCs w:val="24"/>
        </w:rPr>
        <w:t xml:space="preserve">pontaneous </w:t>
      </w:r>
      <w:r w:rsidR="00104C5A">
        <w:rPr>
          <w:rStyle w:val="SubtleEmphasis"/>
          <w:rFonts w:ascii="Arial" w:hAnsi="Arial" w:cs="Arial"/>
          <w:i/>
          <w:color w:val="4F81BD"/>
          <w:sz w:val="24"/>
          <w:szCs w:val="24"/>
        </w:rPr>
        <w:t>N</w:t>
      </w:r>
      <w:r w:rsidRPr="006C0CFD">
        <w:rPr>
          <w:rStyle w:val="SubtleEmphasis"/>
          <w:rFonts w:ascii="Arial" w:hAnsi="Arial" w:cs="Arial"/>
          <w:i/>
          <w:color w:val="4F81BD"/>
          <w:sz w:val="24"/>
          <w:szCs w:val="24"/>
        </w:rPr>
        <w:t xml:space="preserve">europathic </w:t>
      </w:r>
      <w:r w:rsidR="00104C5A">
        <w:rPr>
          <w:rStyle w:val="SubtleEmphasis"/>
          <w:rFonts w:ascii="Arial" w:hAnsi="Arial" w:cs="Arial"/>
          <w:i/>
          <w:color w:val="4F81BD"/>
          <w:sz w:val="24"/>
          <w:szCs w:val="24"/>
        </w:rPr>
        <w:t>P</w:t>
      </w:r>
      <w:r w:rsidRPr="006C0CFD">
        <w:rPr>
          <w:rStyle w:val="SubtleEmphasis"/>
          <w:rFonts w:ascii="Arial" w:hAnsi="Arial" w:cs="Arial"/>
          <w:i/>
          <w:color w:val="4F81BD"/>
          <w:sz w:val="24"/>
          <w:szCs w:val="24"/>
        </w:rPr>
        <w:t>ain</w:t>
      </w:r>
      <w:r w:rsidR="00F747E7">
        <w:rPr>
          <w:rStyle w:val="SubtleEmphasis"/>
          <w:rFonts w:ascii="Arial" w:hAnsi="Arial" w:cs="Arial"/>
          <w:i/>
          <w:color w:val="4F81BD"/>
          <w:sz w:val="24"/>
          <w:szCs w:val="24"/>
        </w:rPr>
        <w:t xml:space="preserve"> between V2 and V3</w:t>
      </w:r>
      <w:r w:rsidRPr="006C0CFD">
        <w:rPr>
          <w:rStyle w:val="SubtleEmphasis"/>
          <w:rFonts w:ascii="Arial" w:hAnsi="Arial" w:cs="Arial"/>
          <w:i/>
          <w:color w:val="4F81BD"/>
          <w:sz w:val="24"/>
          <w:szCs w:val="24"/>
        </w:rPr>
        <w:t xml:space="preserve"> by </w:t>
      </w:r>
      <w:r w:rsidR="00104C5A">
        <w:rPr>
          <w:rStyle w:val="SubtleEmphasis"/>
          <w:rFonts w:ascii="Arial" w:hAnsi="Arial" w:cs="Arial"/>
          <w:i/>
          <w:color w:val="4F81BD"/>
          <w:sz w:val="24"/>
          <w:szCs w:val="24"/>
        </w:rPr>
        <w:t>L</w:t>
      </w:r>
      <w:r w:rsidRPr="006C0CFD">
        <w:rPr>
          <w:rStyle w:val="SubtleEmphasis"/>
          <w:rFonts w:ascii="Arial" w:hAnsi="Arial" w:cs="Arial"/>
          <w:i/>
          <w:color w:val="4F81BD"/>
          <w:sz w:val="24"/>
          <w:szCs w:val="24"/>
        </w:rPr>
        <w:t>ikert scale: P+ group</w:t>
      </w:r>
      <w:bookmarkEnd w:id="486"/>
      <w:bookmarkEnd w:id="487"/>
    </w:p>
    <w:p w14:paraId="3AEE16D4" w14:textId="77777777" w:rsidR="006416A2" w:rsidRDefault="006416A2" w:rsidP="006416A2">
      <w:pPr>
        <w:spacing w:line="360" w:lineRule="auto"/>
      </w:pPr>
      <w:r w:rsidRPr="003E338C">
        <w:rPr>
          <w:rFonts w:cs="Arial"/>
          <w:noProof/>
        </w:rPr>
        <w:drawing>
          <wp:inline distT="0" distB="0" distL="0" distR="0" wp14:anchorId="4E707791" wp14:editId="4DE315F3">
            <wp:extent cx="4296253" cy="2535493"/>
            <wp:effectExtent l="12700" t="12700" r="9525" b="17780"/>
            <wp:docPr id="2150" name="Picture 2150"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screenshot of a social media post&#10;&#10;Description automatically generated"/>
                    <pic:cNvPicPr/>
                  </pic:nvPicPr>
                  <pic:blipFill>
                    <a:blip r:embed="rId71"/>
                    <a:stretch>
                      <a:fillRect/>
                    </a:stretch>
                  </pic:blipFill>
                  <pic:spPr>
                    <a:xfrm>
                      <a:off x="0" y="0"/>
                      <a:ext cx="4304302" cy="2540243"/>
                    </a:xfrm>
                    <a:prstGeom prst="rect">
                      <a:avLst/>
                    </a:prstGeom>
                    <a:ln>
                      <a:solidFill>
                        <a:schemeClr val="accent1"/>
                      </a:solidFill>
                    </a:ln>
                  </pic:spPr>
                </pic:pic>
              </a:graphicData>
            </a:graphic>
          </wp:inline>
        </w:drawing>
      </w:r>
    </w:p>
    <w:p w14:paraId="5AEEA70B" w14:textId="40028954" w:rsidR="006416A2" w:rsidRDefault="006416A2" w:rsidP="006416A2">
      <w:pPr>
        <w:spacing w:line="360" w:lineRule="auto"/>
        <w:rPr>
          <w:rStyle w:val="SubtleEmphasis"/>
        </w:rPr>
      </w:pPr>
      <w:r>
        <w:rPr>
          <w:rStyle w:val="SubtleEmphasis"/>
        </w:rPr>
        <w:t>Figure 5.16 shows the individual reports for spontaneous neuropathic pain at the time of visit 2 and visit 3 for the P+ group. The horizontal line at 4, indicates the cut off set for clinically significant neuropathic pain.  One subject has non-significant spontaneous pain at V3.</w:t>
      </w:r>
    </w:p>
    <w:p w14:paraId="108B3DA5" w14:textId="31608AF5" w:rsidR="006416A2" w:rsidRPr="006C0CFD" w:rsidRDefault="006416A2" w:rsidP="006C0CFD">
      <w:pPr>
        <w:pStyle w:val="Subtitle"/>
        <w:rPr>
          <w:rStyle w:val="SubtleEmphasis"/>
          <w:rFonts w:ascii="Arial" w:hAnsi="Arial" w:cs="Arial"/>
          <w:i/>
          <w:color w:val="4F81BD"/>
          <w:sz w:val="24"/>
          <w:szCs w:val="24"/>
        </w:rPr>
      </w:pPr>
      <w:bookmarkStart w:id="488" w:name="_Toc48469311"/>
      <w:bookmarkStart w:id="489" w:name="_Toc64724222"/>
      <w:r w:rsidRPr="006C0CFD">
        <w:rPr>
          <w:rStyle w:val="SubtleEmphasis"/>
          <w:rFonts w:ascii="Arial" w:hAnsi="Arial" w:cs="Arial"/>
          <w:i/>
          <w:color w:val="4F81BD"/>
          <w:sz w:val="24"/>
          <w:szCs w:val="24"/>
        </w:rPr>
        <w:t xml:space="preserve">Figure 5.17 </w:t>
      </w:r>
      <w:r w:rsidR="00104C5A">
        <w:rPr>
          <w:rStyle w:val="SubtleEmphasis"/>
          <w:rFonts w:ascii="Arial" w:hAnsi="Arial" w:cs="Arial"/>
          <w:i/>
          <w:color w:val="4F81BD"/>
          <w:sz w:val="24"/>
          <w:szCs w:val="24"/>
        </w:rPr>
        <w:t xml:space="preserve"> </w:t>
      </w:r>
      <w:r w:rsidRPr="006C0CFD">
        <w:rPr>
          <w:rStyle w:val="SubtleEmphasis"/>
          <w:rFonts w:ascii="Arial" w:hAnsi="Arial" w:cs="Arial"/>
          <w:i/>
          <w:color w:val="4F81BD"/>
          <w:sz w:val="24"/>
          <w:szCs w:val="24"/>
        </w:rPr>
        <w:t xml:space="preserve">Comparison of </w:t>
      </w:r>
      <w:r w:rsidR="00104C5A">
        <w:rPr>
          <w:rStyle w:val="SubtleEmphasis"/>
          <w:rFonts w:ascii="Arial" w:hAnsi="Arial" w:cs="Arial"/>
          <w:i/>
          <w:color w:val="4F81BD"/>
          <w:sz w:val="24"/>
          <w:szCs w:val="24"/>
        </w:rPr>
        <w:t>C</w:t>
      </w:r>
      <w:r w:rsidRPr="006C0CFD">
        <w:rPr>
          <w:rStyle w:val="SubtleEmphasis"/>
          <w:rFonts w:ascii="Arial" w:hAnsi="Arial" w:cs="Arial"/>
          <w:i/>
          <w:color w:val="4F81BD"/>
          <w:sz w:val="24"/>
          <w:szCs w:val="24"/>
        </w:rPr>
        <w:t xml:space="preserve">hange in </w:t>
      </w:r>
      <w:r w:rsidR="00104C5A">
        <w:rPr>
          <w:rStyle w:val="SubtleEmphasis"/>
          <w:rFonts w:ascii="Arial" w:hAnsi="Arial" w:cs="Arial"/>
          <w:i/>
          <w:color w:val="4F81BD"/>
          <w:sz w:val="24"/>
          <w:szCs w:val="24"/>
        </w:rPr>
        <w:t>R</w:t>
      </w:r>
      <w:r w:rsidRPr="006C0CFD">
        <w:rPr>
          <w:rStyle w:val="SubtleEmphasis"/>
          <w:rFonts w:ascii="Arial" w:hAnsi="Arial" w:cs="Arial"/>
          <w:i/>
          <w:color w:val="4F81BD"/>
          <w:sz w:val="24"/>
          <w:szCs w:val="24"/>
        </w:rPr>
        <w:t xml:space="preserve">eport of </w:t>
      </w:r>
      <w:r w:rsidR="00104C5A">
        <w:rPr>
          <w:rStyle w:val="SubtleEmphasis"/>
          <w:rFonts w:ascii="Arial" w:hAnsi="Arial" w:cs="Arial"/>
          <w:i/>
          <w:color w:val="4F81BD"/>
          <w:sz w:val="24"/>
          <w:szCs w:val="24"/>
        </w:rPr>
        <w:t>S</w:t>
      </w:r>
      <w:r w:rsidRPr="006C0CFD">
        <w:rPr>
          <w:rStyle w:val="SubtleEmphasis"/>
          <w:rFonts w:ascii="Arial" w:hAnsi="Arial" w:cs="Arial"/>
          <w:i/>
          <w:color w:val="4F81BD"/>
          <w:sz w:val="24"/>
          <w:szCs w:val="24"/>
        </w:rPr>
        <w:t xml:space="preserve">pontaneous </w:t>
      </w:r>
      <w:r w:rsidR="00104C5A">
        <w:rPr>
          <w:rStyle w:val="SubtleEmphasis"/>
          <w:rFonts w:ascii="Arial" w:hAnsi="Arial" w:cs="Arial"/>
          <w:i/>
          <w:color w:val="4F81BD"/>
          <w:sz w:val="24"/>
          <w:szCs w:val="24"/>
        </w:rPr>
        <w:t>N</w:t>
      </w:r>
      <w:r w:rsidRPr="006C0CFD">
        <w:rPr>
          <w:rStyle w:val="SubtleEmphasis"/>
          <w:rFonts w:ascii="Arial" w:hAnsi="Arial" w:cs="Arial"/>
          <w:i/>
          <w:color w:val="4F81BD"/>
          <w:sz w:val="24"/>
          <w:szCs w:val="24"/>
        </w:rPr>
        <w:t xml:space="preserve">europathic </w:t>
      </w:r>
      <w:r w:rsidR="00104C5A">
        <w:rPr>
          <w:rStyle w:val="SubtleEmphasis"/>
          <w:rFonts w:ascii="Arial" w:hAnsi="Arial" w:cs="Arial"/>
          <w:i/>
          <w:color w:val="4F81BD"/>
          <w:sz w:val="24"/>
          <w:szCs w:val="24"/>
        </w:rPr>
        <w:t>P</w:t>
      </w:r>
      <w:r w:rsidRPr="006C0CFD">
        <w:rPr>
          <w:rStyle w:val="SubtleEmphasis"/>
          <w:rFonts w:ascii="Arial" w:hAnsi="Arial" w:cs="Arial"/>
          <w:i/>
          <w:color w:val="4F81BD"/>
          <w:sz w:val="24"/>
          <w:szCs w:val="24"/>
        </w:rPr>
        <w:t xml:space="preserve">ain </w:t>
      </w:r>
      <w:r w:rsidR="00F747E7">
        <w:rPr>
          <w:rStyle w:val="SubtleEmphasis"/>
          <w:rFonts w:ascii="Arial" w:hAnsi="Arial" w:cs="Arial"/>
          <w:i/>
          <w:color w:val="4F81BD"/>
          <w:sz w:val="24"/>
          <w:szCs w:val="24"/>
        </w:rPr>
        <w:t>between V2 and V3</w:t>
      </w:r>
      <w:r w:rsidR="00F747E7" w:rsidRPr="006C0CFD">
        <w:rPr>
          <w:rStyle w:val="SubtleEmphasis"/>
          <w:rFonts w:ascii="Arial" w:hAnsi="Arial" w:cs="Arial"/>
          <w:i/>
          <w:color w:val="4F81BD"/>
          <w:sz w:val="24"/>
          <w:szCs w:val="24"/>
        </w:rPr>
        <w:t xml:space="preserve"> by </w:t>
      </w:r>
      <w:r w:rsidR="00F747E7">
        <w:rPr>
          <w:rStyle w:val="SubtleEmphasis"/>
          <w:rFonts w:ascii="Arial" w:hAnsi="Arial" w:cs="Arial"/>
          <w:i/>
          <w:color w:val="4F81BD"/>
          <w:sz w:val="24"/>
          <w:szCs w:val="24"/>
        </w:rPr>
        <w:t>L</w:t>
      </w:r>
      <w:r w:rsidR="00F747E7" w:rsidRPr="006C0CFD">
        <w:rPr>
          <w:rStyle w:val="SubtleEmphasis"/>
          <w:rFonts w:ascii="Arial" w:hAnsi="Arial" w:cs="Arial"/>
          <w:i/>
          <w:color w:val="4F81BD"/>
          <w:sz w:val="24"/>
          <w:szCs w:val="24"/>
        </w:rPr>
        <w:t>ikert scale</w:t>
      </w:r>
      <w:r w:rsidRPr="006C0CFD">
        <w:rPr>
          <w:rStyle w:val="SubtleEmphasis"/>
          <w:rFonts w:ascii="Arial" w:hAnsi="Arial" w:cs="Arial"/>
          <w:i/>
          <w:color w:val="4F81BD"/>
          <w:sz w:val="24"/>
          <w:szCs w:val="24"/>
        </w:rPr>
        <w:t>: P- group</w:t>
      </w:r>
      <w:bookmarkEnd w:id="488"/>
      <w:bookmarkEnd w:id="489"/>
    </w:p>
    <w:p w14:paraId="48C8A4F4" w14:textId="77777777" w:rsidR="006416A2" w:rsidRDefault="006416A2" w:rsidP="006416A2">
      <w:r w:rsidRPr="003E338C">
        <w:rPr>
          <w:noProof/>
        </w:rPr>
        <w:drawing>
          <wp:inline distT="0" distB="0" distL="0" distR="0" wp14:anchorId="00076A2C" wp14:editId="602BDF56">
            <wp:extent cx="4329537" cy="2555136"/>
            <wp:effectExtent l="12700" t="12700" r="13970" b="10795"/>
            <wp:docPr id="2151" name="Picture 215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screenshot of a cell phone&#10;&#10;Description automatically generated"/>
                    <pic:cNvPicPr/>
                  </pic:nvPicPr>
                  <pic:blipFill>
                    <a:blip r:embed="rId72"/>
                    <a:stretch>
                      <a:fillRect/>
                    </a:stretch>
                  </pic:blipFill>
                  <pic:spPr>
                    <a:xfrm>
                      <a:off x="0" y="0"/>
                      <a:ext cx="4343767" cy="2563534"/>
                    </a:xfrm>
                    <a:prstGeom prst="rect">
                      <a:avLst/>
                    </a:prstGeom>
                    <a:ln>
                      <a:solidFill>
                        <a:schemeClr val="accent1"/>
                      </a:solidFill>
                    </a:ln>
                  </pic:spPr>
                </pic:pic>
              </a:graphicData>
            </a:graphic>
          </wp:inline>
        </w:drawing>
      </w:r>
    </w:p>
    <w:p w14:paraId="546CFF74" w14:textId="77777777" w:rsidR="006416A2" w:rsidRPr="0055058C" w:rsidRDefault="006416A2" w:rsidP="006416A2">
      <w:pPr>
        <w:spacing w:line="360" w:lineRule="auto"/>
        <w:rPr>
          <w:rStyle w:val="SubtleEmphasis"/>
        </w:rPr>
      </w:pPr>
      <w:r>
        <w:rPr>
          <w:rStyle w:val="SubtleEmphasis"/>
        </w:rPr>
        <w:t>Figure 5.17 shows the individual reports for spontaneous neuropathic pain at the time of visit 2 and visit 3 for the P- group. The horizontal line at 4, indicates the cut off set for clinically significant neuropathic pain.  Three subjects have significant spontaneous pain at V3.</w:t>
      </w:r>
    </w:p>
    <w:p w14:paraId="7490E4AC" w14:textId="77777777" w:rsidR="006416A2" w:rsidRDefault="006416A2" w:rsidP="006416A2"/>
    <w:p w14:paraId="515F5ECA" w14:textId="1B4CC06B" w:rsidR="006416A2" w:rsidRDefault="006416A2" w:rsidP="00455CF2">
      <w:pPr>
        <w:pStyle w:val="Quote"/>
      </w:pPr>
      <w:bookmarkStart w:id="490" w:name="_Toc48469320"/>
      <w:bookmarkStart w:id="491" w:name="_Toc64724089"/>
      <w:r>
        <w:lastRenderedPageBreak/>
        <w:t xml:space="preserve">Table 5.5: Descriptive Statistics for </w:t>
      </w:r>
      <w:r w:rsidR="00104C5A">
        <w:t>S</w:t>
      </w:r>
      <w:r>
        <w:t xml:space="preserve">pontaneous </w:t>
      </w:r>
      <w:r w:rsidR="00104C5A">
        <w:t>N</w:t>
      </w:r>
      <w:r>
        <w:t xml:space="preserve">europathic </w:t>
      </w:r>
      <w:r w:rsidR="00104C5A">
        <w:t>P</w:t>
      </w:r>
      <w:r>
        <w:t xml:space="preserve">ain </w:t>
      </w:r>
      <w:r w:rsidR="00104C5A">
        <w:t>B</w:t>
      </w:r>
      <w:r>
        <w:t xml:space="preserve">etween </w:t>
      </w:r>
      <w:r w:rsidR="00104C5A">
        <w:t>S</w:t>
      </w:r>
      <w:r>
        <w:t>ubgroups P+ and P-</w:t>
      </w:r>
      <w:bookmarkEnd w:id="490"/>
      <w:bookmarkEnd w:id="491"/>
      <w:r>
        <w:t xml:space="preserve"> </w:t>
      </w:r>
    </w:p>
    <w:tbl>
      <w:tblPr>
        <w:tblStyle w:val="GridTable2-Accent21"/>
        <w:tblW w:w="0" w:type="auto"/>
        <w:tblLayout w:type="fixed"/>
        <w:tblLook w:val="04A0" w:firstRow="1" w:lastRow="0" w:firstColumn="1" w:lastColumn="0" w:noHBand="0" w:noVBand="1"/>
      </w:tblPr>
      <w:tblGrid>
        <w:gridCol w:w="4395"/>
        <w:gridCol w:w="593"/>
        <w:gridCol w:w="716"/>
        <w:gridCol w:w="722"/>
        <w:gridCol w:w="352"/>
        <w:gridCol w:w="716"/>
        <w:gridCol w:w="586"/>
        <w:gridCol w:w="940"/>
      </w:tblGrid>
      <w:tr w:rsidR="006416A2" w:rsidRPr="00E52290" w14:paraId="2F36A056" w14:textId="77777777" w:rsidTr="00FF1D46">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395" w:type="dxa"/>
            <w:tcBorders>
              <w:top w:val="single" w:sz="4" w:space="0" w:color="auto"/>
              <w:left w:val="single" w:sz="4" w:space="0" w:color="auto"/>
            </w:tcBorders>
            <w:noWrap/>
          </w:tcPr>
          <w:p w14:paraId="52C43DBA" w14:textId="77777777" w:rsidR="006416A2" w:rsidRPr="006C10CD" w:rsidRDefault="006416A2" w:rsidP="00FF1D46">
            <w:pPr>
              <w:spacing w:line="360" w:lineRule="auto"/>
              <w:jc w:val="right"/>
              <w:rPr>
                <w:rFonts w:ascii="Calibri" w:eastAsia="Times New Roman" w:hAnsi="Calibri" w:cs="Calibri"/>
                <w:i/>
                <w:iCs/>
                <w:color w:val="000000"/>
                <w:sz w:val="22"/>
                <w:szCs w:val="22"/>
                <w:lang w:eastAsia="en-GB"/>
              </w:rPr>
            </w:pPr>
          </w:p>
        </w:tc>
        <w:tc>
          <w:tcPr>
            <w:tcW w:w="2031" w:type="dxa"/>
            <w:gridSpan w:val="3"/>
            <w:tcBorders>
              <w:top w:val="single" w:sz="4" w:space="0" w:color="auto"/>
            </w:tcBorders>
            <w:noWrap/>
          </w:tcPr>
          <w:p w14:paraId="4D80FA50" w14:textId="77777777" w:rsidR="006416A2" w:rsidRPr="006C10CD" w:rsidRDefault="006416A2" w:rsidP="00FF1D46">
            <w:pPr>
              <w:spacing w:line="360" w:lineRule="auto"/>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Pr>
                <w:rFonts w:ascii="Calibri" w:eastAsia="Times New Roman" w:hAnsi="Calibri" w:cs="Calibri"/>
                <w:i/>
                <w:iCs/>
                <w:color w:val="000000"/>
                <w:sz w:val="22"/>
                <w:szCs w:val="22"/>
                <w:lang w:eastAsia="en-GB"/>
              </w:rPr>
              <w:t>P+</w:t>
            </w:r>
          </w:p>
        </w:tc>
        <w:tc>
          <w:tcPr>
            <w:tcW w:w="1654" w:type="dxa"/>
            <w:gridSpan w:val="3"/>
            <w:tcBorders>
              <w:top w:val="single" w:sz="4" w:space="0" w:color="auto"/>
            </w:tcBorders>
            <w:noWrap/>
          </w:tcPr>
          <w:p w14:paraId="680F9E8F" w14:textId="77777777" w:rsidR="006416A2" w:rsidRPr="006C10CD" w:rsidRDefault="006416A2" w:rsidP="00FF1D46">
            <w:pPr>
              <w:spacing w:line="360" w:lineRule="auto"/>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Pr>
                <w:rFonts w:ascii="Calibri" w:eastAsia="Times New Roman" w:hAnsi="Calibri" w:cs="Calibri"/>
                <w:i/>
                <w:iCs/>
                <w:color w:val="000000"/>
                <w:sz w:val="22"/>
                <w:szCs w:val="22"/>
                <w:lang w:eastAsia="en-GB"/>
              </w:rPr>
              <w:t>P-</w:t>
            </w:r>
          </w:p>
        </w:tc>
        <w:tc>
          <w:tcPr>
            <w:tcW w:w="940" w:type="dxa"/>
            <w:tcBorders>
              <w:top w:val="single" w:sz="4" w:space="0" w:color="auto"/>
              <w:right w:val="single" w:sz="4" w:space="0" w:color="auto"/>
            </w:tcBorders>
          </w:tcPr>
          <w:p w14:paraId="3A42C970" w14:textId="77777777" w:rsidR="006416A2" w:rsidRDefault="006416A2" w:rsidP="00FF1D46">
            <w:pPr>
              <w:spacing w:line="360" w:lineRule="auto"/>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i/>
                <w:iCs/>
                <w:color w:val="000000"/>
                <w:sz w:val="22"/>
                <w:szCs w:val="22"/>
                <w:lang w:eastAsia="en-GB"/>
              </w:rPr>
            </w:pPr>
          </w:p>
        </w:tc>
      </w:tr>
      <w:tr w:rsidR="006416A2" w:rsidRPr="00E52290" w14:paraId="23E69BF5" w14:textId="77777777" w:rsidTr="00FF1D4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395" w:type="dxa"/>
            <w:tcBorders>
              <w:left w:val="single" w:sz="4" w:space="0" w:color="auto"/>
            </w:tcBorders>
            <w:noWrap/>
          </w:tcPr>
          <w:p w14:paraId="5DB1C421" w14:textId="77777777" w:rsidR="006416A2" w:rsidRPr="006C10CD" w:rsidRDefault="006416A2" w:rsidP="00FF1D46">
            <w:pPr>
              <w:spacing w:line="360" w:lineRule="auto"/>
              <w:jc w:val="right"/>
              <w:rPr>
                <w:rFonts w:ascii="Calibri" w:eastAsia="Times New Roman" w:hAnsi="Calibri" w:cs="Calibri"/>
                <w:i/>
                <w:iCs/>
                <w:color w:val="000000"/>
                <w:sz w:val="22"/>
                <w:szCs w:val="22"/>
                <w:lang w:eastAsia="en-GB"/>
              </w:rPr>
            </w:pPr>
          </w:p>
        </w:tc>
        <w:tc>
          <w:tcPr>
            <w:tcW w:w="593" w:type="dxa"/>
            <w:noWrap/>
          </w:tcPr>
          <w:p w14:paraId="07BE0B5F" w14:textId="77777777" w:rsidR="006416A2" w:rsidRPr="006C10CD" w:rsidRDefault="006416A2" w:rsidP="00FF1D46">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Pr>
                <w:rFonts w:ascii="Calibri" w:eastAsia="Times New Roman" w:hAnsi="Calibri" w:cs="Calibri"/>
                <w:i/>
                <w:iCs/>
                <w:color w:val="000000"/>
                <w:sz w:val="22"/>
                <w:szCs w:val="22"/>
                <w:lang w:eastAsia="en-GB"/>
              </w:rPr>
              <w:t>N</w:t>
            </w:r>
          </w:p>
        </w:tc>
        <w:tc>
          <w:tcPr>
            <w:tcW w:w="716" w:type="dxa"/>
            <w:noWrap/>
          </w:tcPr>
          <w:p w14:paraId="20C6E5C6" w14:textId="77777777" w:rsidR="006416A2" w:rsidRPr="006C10CD" w:rsidRDefault="006416A2" w:rsidP="00FF1D46">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Pr>
                <w:rFonts w:ascii="Calibri" w:eastAsia="Times New Roman" w:hAnsi="Calibri" w:cs="Calibri"/>
                <w:i/>
                <w:iCs/>
                <w:color w:val="000000"/>
                <w:sz w:val="22"/>
                <w:szCs w:val="22"/>
                <w:lang w:eastAsia="en-GB"/>
              </w:rPr>
              <w:t>M</w:t>
            </w:r>
          </w:p>
        </w:tc>
        <w:tc>
          <w:tcPr>
            <w:tcW w:w="722" w:type="dxa"/>
            <w:noWrap/>
          </w:tcPr>
          <w:p w14:paraId="0969A17E" w14:textId="77777777" w:rsidR="006416A2" w:rsidRPr="006C10CD" w:rsidRDefault="006416A2" w:rsidP="00FF1D46">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Pr>
                <w:rFonts w:ascii="Calibri" w:eastAsia="Times New Roman" w:hAnsi="Calibri" w:cs="Calibri"/>
                <w:i/>
                <w:iCs/>
                <w:color w:val="000000"/>
                <w:sz w:val="22"/>
                <w:szCs w:val="22"/>
                <w:lang w:eastAsia="en-GB"/>
              </w:rPr>
              <w:t>SD</w:t>
            </w:r>
          </w:p>
        </w:tc>
        <w:tc>
          <w:tcPr>
            <w:tcW w:w="352" w:type="dxa"/>
            <w:noWrap/>
          </w:tcPr>
          <w:p w14:paraId="346519F8" w14:textId="77777777" w:rsidR="006416A2" w:rsidRPr="006C10CD" w:rsidRDefault="006416A2" w:rsidP="00FF1D46">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Pr>
                <w:rFonts w:ascii="Calibri" w:eastAsia="Times New Roman" w:hAnsi="Calibri" w:cs="Calibri"/>
                <w:i/>
                <w:iCs/>
                <w:color w:val="000000"/>
                <w:sz w:val="22"/>
                <w:szCs w:val="22"/>
                <w:lang w:eastAsia="en-GB"/>
              </w:rPr>
              <w:t>N</w:t>
            </w:r>
          </w:p>
        </w:tc>
        <w:tc>
          <w:tcPr>
            <w:tcW w:w="716" w:type="dxa"/>
            <w:noWrap/>
          </w:tcPr>
          <w:p w14:paraId="25A2059A" w14:textId="77777777" w:rsidR="006416A2" w:rsidRPr="006C10CD" w:rsidRDefault="006416A2" w:rsidP="00FF1D46">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Pr>
                <w:rFonts w:ascii="Calibri" w:eastAsia="Times New Roman" w:hAnsi="Calibri" w:cs="Calibri"/>
                <w:i/>
                <w:iCs/>
                <w:color w:val="000000"/>
                <w:sz w:val="22"/>
                <w:szCs w:val="22"/>
                <w:lang w:eastAsia="en-GB"/>
              </w:rPr>
              <w:t>M</w:t>
            </w:r>
          </w:p>
        </w:tc>
        <w:tc>
          <w:tcPr>
            <w:tcW w:w="586" w:type="dxa"/>
            <w:noWrap/>
          </w:tcPr>
          <w:p w14:paraId="53BDBBDC" w14:textId="77777777" w:rsidR="006416A2" w:rsidRPr="006C10CD" w:rsidRDefault="006416A2" w:rsidP="00FF1D46">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Pr>
                <w:rFonts w:ascii="Calibri" w:eastAsia="Times New Roman" w:hAnsi="Calibri" w:cs="Calibri"/>
                <w:i/>
                <w:iCs/>
                <w:color w:val="000000"/>
                <w:sz w:val="22"/>
                <w:szCs w:val="22"/>
                <w:lang w:eastAsia="en-GB"/>
              </w:rPr>
              <w:t>SD</w:t>
            </w:r>
          </w:p>
        </w:tc>
        <w:tc>
          <w:tcPr>
            <w:tcW w:w="940" w:type="dxa"/>
            <w:tcBorders>
              <w:right w:val="single" w:sz="4" w:space="0" w:color="auto"/>
            </w:tcBorders>
          </w:tcPr>
          <w:p w14:paraId="30DCDBBD" w14:textId="77777777" w:rsidR="006416A2" w:rsidRDefault="006416A2" w:rsidP="00FF1D46">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i/>
                <w:iCs/>
                <w:color w:val="000000"/>
                <w:sz w:val="22"/>
                <w:szCs w:val="22"/>
                <w:lang w:eastAsia="en-GB"/>
              </w:rPr>
            </w:pPr>
            <w:r>
              <w:rPr>
                <w:rFonts w:ascii="Calibri" w:eastAsia="Times New Roman" w:hAnsi="Calibri" w:cs="Calibri"/>
                <w:b/>
                <w:bCs/>
                <w:i/>
                <w:iCs/>
                <w:color w:val="000000"/>
                <w:sz w:val="22"/>
                <w:szCs w:val="22"/>
                <w:lang w:eastAsia="en-GB"/>
              </w:rPr>
              <w:t>Sig.</w:t>
            </w:r>
          </w:p>
        </w:tc>
      </w:tr>
      <w:tr w:rsidR="006416A2" w:rsidRPr="00E52290" w14:paraId="6B249E07" w14:textId="77777777" w:rsidTr="00FF1D46">
        <w:trPr>
          <w:trHeight w:val="320"/>
        </w:trPr>
        <w:tc>
          <w:tcPr>
            <w:cnfStyle w:val="001000000000" w:firstRow="0" w:lastRow="0" w:firstColumn="1" w:lastColumn="0" w:oddVBand="0" w:evenVBand="0" w:oddHBand="0" w:evenHBand="0" w:firstRowFirstColumn="0" w:firstRowLastColumn="0" w:lastRowFirstColumn="0" w:lastRowLastColumn="0"/>
            <w:tcW w:w="4395" w:type="dxa"/>
            <w:tcBorders>
              <w:left w:val="single" w:sz="4" w:space="0" w:color="auto"/>
              <w:bottom w:val="single" w:sz="4" w:space="0" w:color="auto"/>
            </w:tcBorders>
            <w:noWrap/>
          </w:tcPr>
          <w:p w14:paraId="60F9C59E" w14:textId="77777777" w:rsidR="006416A2" w:rsidRPr="00E52290" w:rsidRDefault="006416A2" w:rsidP="00FF1D46">
            <w:pPr>
              <w:spacing w:line="360" w:lineRule="auto"/>
              <w:jc w:val="right"/>
              <w:rPr>
                <w:rFonts w:ascii="Calibri" w:eastAsia="Times New Roman" w:hAnsi="Calibri" w:cs="Calibri"/>
                <w:i/>
                <w:iCs/>
                <w:color w:val="000000"/>
                <w:sz w:val="22"/>
                <w:szCs w:val="22"/>
                <w:lang w:eastAsia="en-GB"/>
              </w:rPr>
            </w:pPr>
            <w:r w:rsidRPr="006C10CD">
              <w:rPr>
                <w:rFonts w:ascii="Calibri" w:eastAsia="Times New Roman" w:hAnsi="Calibri" w:cs="Calibri"/>
                <w:i/>
                <w:iCs/>
                <w:color w:val="000000"/>
                <w:sz w:val="22"/>
                <w:szCs w:val="22"/>
                <w:lang w:eastAsia="en-GB"/>
              </w:rPr>
              <w:t>V3 spontaneous pain score/10</w:t>
            </w:r>
          </w:p>
        </w:tc>
        <w:tc>
          <w:tcPr>
            <w:tcW w:w="593" w:type="dxa"/>
            <w:tcBorders>
              <w:bottom w:val="single" w:sz="4" w:space="0" w:color="auto"/>
            </w:tcBorders>
            <w:noWrap/>
          </w:tcPr>
          <w:p w14:paraId="691F2067" w14:textId="77777777" w:rsidR="006416A2" w:rsidRPr="00E52290" w:rsidRDefault="006416A2" w:rsidP="00FF1D46">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6C10CD">
              <w:rPr>
                <w:rFonts w:ascii="Calibri" w:eastAsia="Times New Roman" w:hAnsi="Calibri" w:cs="Calibri"/>
                <w:i/>
                <w:iCs/>
                <w:color w:val="000000"/>
                <w:sz w:val="22"/>
                <w:szCs w:val="22"/>
                <w:lang w:eastAsia="en-GB"/>
              </w:rPr>
              <w:t>10</w:t>
            </w:r>
          </w:p>
        </w:tc>
        <w:tc>
          <w:tcPr>
            <w:tcW w:w="716" w:type="dxa"/>
            <w:tcBorders>
              <w:bottom w:val="single" w:sz="4" w:space="0" w:color="auto"/>
            </w:tcBorders>
            <w:noWrap/>
          </w:tcPr>
          <w:p w14:paraId="6A2AFFBC" w14:textId="77777777" w:rsidR="006416A2" w:rsidRPr="00E52290" w:rsidRDefault="006416A2" w:rsidP="00FF1D46">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6C10CD">
              <w:rPr>
                <w:rFonts w:ascii="Calibri" w:eastAsia="Times New Roman" w:hAnsi="Calibri" w:cs="Calibri"/>
                <w:i/>
                <w:iCs/>
                <w:color w:val="000000"/>
                <w:sz w:val="22"/>
                <w:szCs w:val="22"/>
                <w:lang w:eastAsia="en-GB"/>
              </w:rPr>
              <w:t>6.5</w:t>
            </w:r>
          </w:p>
        </w:tc>
        <w:tc>
          <w:tcPr>
            <w:tcW w:w="722" w:type="dxa"/>
            <w:tcBorders>
              <w:bottom w:val="single" w:sz="4" w:space="0" w:color="auto"/>
            </w:tcBorders>
            <w:noWrap/>
          </w:tcPr>
          <w:p w14:paraId="0EA1B3DB" w14:textId="77777777" w:rsidR="006416A2" w:rsidRPr="00E52290" w:rsidRDefault="006416A2" w:rsidP="00FF1D46">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6C10CD">
              <w:rPr>
                <w:rFonts w:ascii="Calibri" w:eastAsia="Times New Roman" w:hAnsi="Calibri" w:cs="Calibri"/>
                <w:i/>
                <w:iCs/>
                <w:color w:val="000000"/>
                <w:sz w:val="22"/>
                <w:szCs w:val="22"/>
                <w:lang w:eastAsia="en-GB"/>
              </w:rPr>
              <w:t>2.3</w:t>
            </w:r>
          </w:p>
        </w:tc>
        <w:tc>
          <w:tcPr>
            <w:tcW w:w="352" w:type="dxa"/>
            <w:tcBorders>
              <w:bottom w:val="single" w:sz="4" w:space="0" w:color="auto"/>
            </w:tcBorders>
            <w:noWrap/>
          </w:tcPr>
          <w:p w14:paraId="6C7D82E4" w14:textId="77777777" w:rsidR="006416A2" w:rsidRPr="00E52290" w:rsidRDefault="006416A2" w:rsidP="00FF1D46">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6C10CD">
              <w:rPr>
                <w:rFonts w:ascii="Calibri" w:eastAsia="Times New Roman" w:hAnsi="Calibri" w:cs="Calibri"/>
                <w:i/>
                <w:iCs/>
                <w:color w:val="000000"/>
                <w:sz w:val="22"/>
                <w:szCs w:val="22"/>
                <w:lang w:eastAsia="en-GB"/>
              </w:rPr>
              <w:t>9</w:t>
            </w:r>
          </w:p>
        </w:tc>
        <w:tc>
          <w:tcPr>
            <w:tcW w:w="716" w:type="dxa"/>
            <w:tcBorders>
              <w:bottom w:val="single" w:sz="4" w:space="0" w:color="auto"/>
            </w:tcBorders>
            <w:noWrap/>
          </w:tcPr>
          <w:p w14:paraId="261356B9" w14:textId="77777777" w:rsidR="006416A2" w:rsidRPr="00E52290" w:rsidRDefault="006416A2" w:rsidP="00FF1D46">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6C10CD">
              <w:rPr>
                <w:rFonts w:ascii="Calibri" w:eastAsia="Times New Roman" w:hAnsi="Calibri" w:cs="Calibri"/>
                <w:i/>
                <w:iCs/>
                <w:color w:val="000000"/>
                <w:sz w:val="22"/>
                <w:szCs w:val="22"/>
                <w:lang w:eastAsia="en-GB"/>
              </w:rPr>
              <w:t>2.0</w:t>
            </w:r>
          </w:p>
        </w:tc>
        <w:tc>
          <w:tcPr>
            <w:tcW w:w="586" w:type="dxa"/>
            <w:tcBorders>
              <w:bottom w:val="single" w:sz="4" w:space="0" w:color="auto"/>
            </w:tcBorders>
            <w:noWrap/>
          </w:tcPr>
          <w:p w14:paraId="4EF2AE47" w14:textId="77777777" w:rsidR="006416A2" w:rsidRPr="00E52290" w:rsidRDefault="006416A2" w:rsidP="00FF1D46">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6C10CD">
              <w:rPr>
                <w:rFonts w:ascii="Calibri" w:eastAsia="Times New Roman" w:hAnsi="Calibri" w:cs="Calibri"/>
                <w:i/>
                <w:iCs/>
                <w:color w:val="000000"/>
                <w:sz w:val="22"/>
                <w:szCs w:val="22"/>
                <w:lang w:eastAsia="en-GB"/>
              </w:rPr>
              <w:t>2.5</w:t>
            </w:r>
          </w:p>
        </w:tc>
        <w:tc>
          <w:tcPr>
            <w:tcW w:w="940" w:type="dxa"/>
            <w:tcBorders>
              <w:bottom w:val="single" w:sz="4" w:space="0" w:color="auto"/>
              <w:right w:val="single" w:sz="4" w:space="0" w:color="auto"/>
            </w:tcBorders>
          </w:tcPr>
          <w:p w14:paraId="4F14C70A" w14:textId="77777777" w:rsidR="006416A2" w:rsidRPr="00E52290" w:rsidRDefault="006416A2" w:rsidP="00FF1D46">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m:oMathPara>
              <m:oMath>
                <m:r>
                  <m:rPr>
                    <m:sty m:val="bi"/>
                  </m:rPr>
                  <w:rPr>
                    <w:rFonts w:ascii="Cambria Math" w:eastAsia="Times New Roman" w:hAnsi="Cambria Math" w:cs="Calibri"/>
                    <w:color w:val="000000"/>
                    <w:sz w:val="22"/>
                    <w:szCs w:val="22"/>
                    <w:lang w:eastAsia="en-GB"/>
                  </w:rPr>
                  <m:t>≤.0001</m:t>
                </m:r>
              </m:oMath>
            </m:oMathPara>
          </w:p>
        </w:tc>
      </w:tr>
    </w:tbl>
    <w:p w14:paraId="76CF52BF" w14:textId="77777777" w:rsidR="006416A2" w:rsidRPr="006C0CFD" w:rsidRDefault="006416A2" w:rsidP="006C0CFD">
      <w:pPr>
        <w:spacing w:line="360" w:lineRule="auto"/>
        <w:rPr>
          <w:rStyle w:val="SubtleEmphasis"/>
        </w:rPr>
      </w:pPr>
      <w:r w:rsidRPr="006C0CFD">
        <w:rPr>
          <w:rStyle w:val="SubtleEmphasis"/>
        </w:rPr>
        <w:t>N=Number, M=Mean, SD = standard deviation, Sig.=significance</w:t>
      </w:r>
    </w:p>
    <w:p w14:paraId="0AA67249" w14:textId="77777777" w:rsidR="006416A2" w:rsidRPr="0044240D" w:rsidRDefault="006416A2" w:rsidP="006416A2"/>
    <w:p w14:paraId="2E7B089A" w14:textId="77777777" w:rsidR="006416A2" w:rsidRPr="003C4DB5" w:rsidRDefault="006416A2" w:rsidP="006416A2">
      <w:pPr>
        <w:spacing w:line="360" w:lineRule="auto"/>
        <w:rPr>
          <w:rFonts w:cs="Arial"/>
        </w:rPr>
      </w:pPr>
      <w:r>
        <w:rPr>
          <w:rFonts w:cs="Arial"/>
        </w:rPr>
        <w:t>Multivariate analysis was performed for Δ RBV, RBF and MTT using the 5 groups described P+, P-, DPN, DM-NN and HV and adjusted for LIKERT and LIKERT*group interaction.  There was near significance for RBV overall by group (p=.064).  Univariate ANCOVA of the five groups found that RBV was significant at the RPSC adjusting for LIKERT and LIKERT*GROUP interaction (p=.013).</w:t>
      </w:r>
    </w:p>
    <w:p w14:paraId="4105CA9F" w14:textId="023A54F8" w:rsidR="006416A2" w:rsidRPr="006C0CFD" w:rsidRDefault="006416A2" w:rsidP="006C0CFD">
      <w:pPr>
        <w:pStyle w:val="Heading3"/>
      </w:pPr>
      <w:bookmarkStart w:id="492" w:name="_Toc64723965"/>
      <w:r w:rsidRPr="006C0CFD">
        <w:t>Change in Time</w:t>
      </w:r>
      <w:r w:rsidR="00104C5A">
        <w:t>-</w:t>
      </w:r>
      <w:r w:rsidRPr="006C0CFD">
        <w:t>to</w:t>
      </w:r>
      <w:r w:rsidR="00104C5A">
        <w:t>-</w:t>
      </w:r>
      <w:r w:rsidRPr="006C0CFD">
        <w:t xml:space="preserve">Peak Perfusion measurements </w:t>
      </w:r>
      <w:r w:rsidR="00F747E7" w:rsidRPr="00BB75E6">
        <w:t>stratified by the presence of neuropathic pain at the time of scanning</w:t>
      </w:r>
      <w:r w:rsidRPr="006C0CFD">
        <w:t>.</w:t>
      </w:r>
      <w:bookmarkEnd w:id="492"/>
      <w:r w:rsidRPr="006C0CFD">
        <w:t xml:space="preserve">  </w:t>
      </w:r>
    </w:p>
    <w:p w14:paraId="163B04F7" w14:textId="013DFF32" w:rsidR="006416A2" w:rsidRDefault="006416A2" w:rsidP="006416A2">
      <w:pPr>
        <w:spacing w:line="360" w:lineRule="auto"/>
        <w:rPr>
          <w:rFonts w:cs="Arial"/>
        </w:rPr>
      </w:pPr>
      <w:r w:rsidRPr="00442F1D">
        <w:rPr>
          <w:rFonts w:cs="Arial"/>
        </w:rPr>
        <w:t xml:space="preserve">Multivariate analysis </w:t>
      </w:r>
      <w:r>
        <w:rPr>
          <w:rFonts w:cs="Arial"/>
        </w:rPr>
        <w:t xml:space="preserve">of variance </w:t>
      </w:r>
      <w:r w:rsidRPr="00442F1D">
        <w:rPr>
          <w:rFonts w:cs="Arial"/>
        </w:rPr>
        <w:t xml:space="preserve">was not significant for group: Wilks’ </w:t>
      </w:r>
      <w:r w:rsidRPr="00B4434C">
        <w:t>λ</w:t>
      </w:r>
      <w:r w:rsidRPr="00442F1D">
        <w:rPr>
          <w:rFonts w:cs="Arial"/>
        </w:rPr>
        <w:t xml:space="preserve"> = .61</w:t>
      </w:r>
      <w:r>
        <w:rPr>
          <w:rFonts w:cs="Arial"/>
        </w:rPr>
        <w:t xml:space="preserve">, </w:t>
      </w:r>
      <w:r w:rsidRPr="00442F1D">
        <w:rPr>
          <w:rFonts w:cs="Arial"/>
        </w:rPr>
        <w:t>F(32,208)=.907, p=.615</w:t>
      </w:r>
      <w:r>
        <w:rPr>
          <w:rFonts w:cs="Arial"/>
        </w:rPr>
        <w:t>;</w:t>
      </w:r>
      <w:r w:rsidRPr="00442F1D">
        <w:rPr>
          <w:rFonts w:cs="Arial"/>
        </w:rPr>
        <w:t xml:space="preserve"> </w:t>
      </w:r>
      <w:r>
        <w:rPr>
          <w:rFonts w:cs="Arial"/>
        </w:rPr>
        <w:t xml:space="preserve">LIKERT: </w:t>
      </w:r>
      <w:r w:rsidRPr="00442F1D">
        <w:rPr>
          <w:rFonts w:cs="Arial"/>
        </w:rPr>
        <w:t>Wilks'</w:t>
      </w:r>
      <w:r>
        <w:rPr>
          <w:rFonts w:cs="Arial"/>
        </w:rPr>
        <w:t xml:space="preserve"> </w:t>
      </w:r>
      <w:r w:rsidRPr="00B4434C">
        <w:t>λ</w:t>
      </w:r>
      <w:r>
        <w:rPr>
          <w:rFonts w:cs="Arial"/>
        </w:rPr>
        <w:t xml:space="preserve"> =</w:t>
      </w:r>
      <w:r w:rsidRPr="00442F1D">
        <w:rPr>
          <w:rFonts w:cs="Arial"/>
        </w:rPr>
        <w:t>.827</w:t>
      </w:r>
      <w:r>
        <w:rPr>
          <w:rFonts w:cs="Arial"/>
        </w:rPr>
        <w:t>,</w:t>
      </w:r>
      <w:r w:rsidR="00F747E7">
        <w:rPr>
          <w:rFonts w:cs="Arial"/>
        </w:rPr>
        <w:t xml:space="preserve"> </w:t>
      </w:r>
      <w:r>
        <w:rPr>
          <w:rFonts w:cs="Arial"/>
        </w:rPr>
        <w:t>F(8,56)=</w:t>
      </w:r>
      <w:r w:rsidRPr="00442F1D">
        <w:rPr>
          <w:rFonts w:cs="Arial"/>
        </w:rPr>
        <w:t>1.466</w:t>
      </w:r>
      <w:r w:rsidR="00075E38">
        <w:rPr>
          <w:rFonts w:cs="Arial"/>
        </w:rPr>
        <w:t>,</w:t>
      </w:r>
      <w:r>
        <w:rPr>
          <w:rFonts w:cs="Arial"/>
        </w:rPr>
        <w:t xml:space="preserve"> p=</w:t>
      </w:r>
      <w:r w:rsidRPr="00442F1D">
        <w:rPr>
          <w:rFonts w:cs="Arial"/>
        </w:rPr>
        <w:t>.190</w:t>
      </w:r>
      <w:r>
        <w:rPr>
          <w:rFonts w:cs="Arial"/>
        </w:rPr>
        <w:t>, or group*LIKERT</w:t>
      </w:r>
      <w:r w:rsidRPr="00377099">
        <w:rPr>
          <w:rFonts w:cs="Arial"/>
        </w:rPr>
        <w:t xml:space="preserve"> </w:t>
      </w:r>
      <w:r w:rsidRPr="00442F1D">
        <w:rPr>
          <w:rFonts w:cs="Arial"/>
        </w:rPr>
        <w:t>Wilks'</w:t>
      </w:r>
      <w:r>
        <w:rPr>
          <w:rFonts w:cs="Arial"/>
        </w:rPr>
        <w:t xml:space="preserve"> </w:t>
      </w:r>
      <w:r w:rsidRPr="00B4434C">
        <w:t>λ</w:t>
      </w:r>
      <w:r>
        <w:rPr>
          <w:rFonts w:cs="Arial"/>
        </w:rPr>
        <w:t xml:space="preserve"> =</w:t>
      </w:r>
      <w:r w:rsidRPr="00377099">
        <w:rPr>
          <w:rFonts w:cs="Arial"/>
        </w:rPr>
        <w:t>.580</w:t>
      </w:r>
      <w:r>
        <w:rPr>
          <w:rFonts w:cs="Arial"/>
        </w:rPr>
        <w:t>, F(32,208)=</w:t>
      </w:r>
      <w:r w:rsidRPr="00377099">
        <w:rPr>
          <w:rFonts w:cs="Arial"/>
        </w:rPr>
        <w:t>1.034</w:t>
      </w:r>
      <w:r>
        <w:rPr>
          <w:rFonts w:cs="Arial"/>
        </w:rPr>
        <w:t>, p=</w:t>
      </w:r>
      <w:r w:rsidRPr="00377099">
        <w:rPr>
          <w:rFonts w:cs="Arial"/>
        </w:rPr>
        <w:t>.424</w:t>
      </w:r>
      <w:r>
        <w:rPr>
          <w:rFonts w:cs="Arial"/>
        </w:rPr>
        <w:t xml:space="preserve">. Univariate analysis of variance adjusted for group, LIKERT and group*LIKERT interaction was significant for the LThal (p=.035), </w:t>
      </w:r>
      <w:proofErr w:type="spellStart"/>
      <w:r>
        <w:rPr>
          <w:rFonts w:cs="Arial"/>
        </w:rPr>
        <w:t>RThal</w:t>
      </w:r>
      <w:proofErr w:type="spellEnd"/>
      <w:r>
        <w:rPr>
          <w:rFonts w:cs="Arial"/>
        </w:rPr>
        <w:t xml:space="preserve"> (p=.004), LINS (p=.037), LPSC (p=.019) and RPSC (p=.013) (see Table 5.6 and Figure 5.18). </w:t>
      </w:r>
      <w:r w:rsidR="00075E38">
        <w:rPr>
          <w:rFonts w:cs="Arial"/>
        </w:rPr>
        <w:t xml:space="preserve"> </w:t>
      </w:r>
      <w:r>
        <w:rPr>
          <w:rFonts w:cs="Arial"/>
        </w:rPr>
        <w:t xml:space="preserve">There was post-hoc significance at the </w:t>
      </w:r>
      <w:proofErr w:type="spellStart"/>
      <w:r>
        <w:rPr>
          <w:rFonts w:cs="Arial"/>
        </w:rPr>
        <w:t>RThal</w:t>
      </w:r>
      <w:proofErr w:type="spellEnd"/>
      <w:r>
        <w:rPr>
          <w:rFonts w:cs="Arial"/>
        </w:rPr>
        <w:t xml:space="preserve"> (p=.022) and the RPSC (p=.013) (See Figure 5.19)  between the P- group and the HV.  </w:t>
      </w:r>
    </w:p>
    <w:p w14:paraId="4BB96991" w14:textId="38398FDE" w:rsidR="003556DE" w:rsidRDefault="003556DE">
      <w:pPr>
        <w:rPr>
          <w:rFonts w:cs="Arial"/>
        </w:rPr>
      </w:pPr>
      <w:r>
        <w:rPr>
          <w:rFonts w:cs="Arial"/>
        </w:rPr>
        <w:br w:type="page"/>
      </w:r>
    </w:p>
    <w:p w14:paraId="13510354" w14:textId="77777777" w:rsidR="003556DE" w:rsidRPr="00442F1D" w:rsidRDefault="003556DE" w:rsidP="006416A2">
      <w:pPr>
        <w:spacing w:line="360" w:lineRule="auto"/>
        <w:rPr>
          <w:rFonts w:cs="Arial"/>
        </w:rPr>
      </w:pPr>
    </w:p>
    <w:p w14:paraId="5F8FC250" w14:textId="7B075BEA" w:rsidR="006416A2" w:rsidRPr="005009AA" w:rsidRDefault="006416A2" w:rsidP="00455CF2">
      <w:pPr>
        <w:pStyle w:val="Quote"/>
      </w:pPr>
      <w:bookmarkStart w:id="493" w:name="_Toc48469321"/>
      <w:bookmarkStart w:id="494" w:name="_Toc64724090"/>
      <w:r w:rsidRPr="0065493C">
        <w:t xml:space="preserve">Table 5.6: Univariate ANCOVA </w:t>
      </w:r>
      <w:r w:rsidR="00104C5A">
        <w:t>C</w:t>
      </w:r>
      <w:r w:rsidRPr="0065493C">
        <w:t xml:space="preserve">omparing </w:t>
      </w:r>
      <w:r>
        <w:t>Δ</w:t>
      </w:r>
      <w:r w:rsidRPr="0065493C">
        <w:t xml:space="preserve">-TTP - </w:t>
      </w:r>
      <w:r w:rsidR="00104C5A">
        <w:t>R</w:t>
      </w:r>
      <w:r w:rsidRPr="0065493C">
        <w:t xml:space="preserve">eported by </w:t>
      </w:r>
      <w:r w:rsidR="00104C5A">
        <w:t>R</w:t>
      </w:r>
      <w:r w:rsidRPr="0065493C">
        <w:t xml:space="preserve">egion of </w:t>
      </w:r>
      <w:r w:rsidR="00104C5A">
        <w:t>I</w:t>
      </w:r>
      <w:r w:rsidRPr="0065493C">
        <w:t xml:space="preserve">nterest- </w:t>
      </w:r>
      <w:r w:rsidR="00104C5A">
        <w:t>A</w:t>
      </w:r>
      <w:r w:rsidRPr="0065493C">
        <w:t xml:space="preserve">djusted for LIKERT, </w:t>
      </w:r>
      <w:r w:rsidR="00104C5A">
        <w:t>I</w:t>
      </w:r>
      <w:r w:rsidRPr="0065493C">
        <w:t xml:space="preserve">ncluding the </w:t>
      </w:r>
      <w:r w:rsidR="00104C5A">
        <w:t>S</w:t>
      </w:r>
      <w:r w:rsidRPr="0065493C">
        <w:t>ubgroups of P-DPN: P+ and P-</w:t>
      </w:r>
      <w:bookmarkEnd w:id="493"/>
      <w:bookmarkEnd w:id="494"/>
    </w:p>
    <w:tbl>
      <w:tblPr>
        <w:tblStyle w:val="GridTable2-Accent21"/>
        <w:tblW w:w="5000" w:type="pct"/>
        <w:tblLook w:val="04A0" w:firstRow="1" w:lastRow="0" w:firstColumn="1" w:lastColumn="0" w:noHBand="0" w:noVBand="1"/>
      </w:tblPr>
      <w:tblGrid>
        <w:gridCol w:w="1364"/>
        <w:gridCol w:w="607"/>
        <w:gridCol w:w="817"/>
        <w:gridCol w:w="607"/>
        <w:gridCol w:w="817"/>
        <w:gridCol w:w="674"/>
        <w:gridCol w:w="817"/>
        <w:gridCol w:w="674"/>
        <w:gridCol w:w="933"/>
        <w:gridCol w:w="674"/>
        <w:gridCol w:w="1026"/>
      </w:tblGrid>
      <w:tr w:rsidR="006416A2" w:rsidRPr="005009AA" w14:paraId="5A7FB784" w14:textId="77777777" w:rsidTr="00FF1D46">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758" w:type="pct"/>
            <w:tcBorders>
              <w:top w:val="single" w:sz="4" w:space="0" w:color="auto"/>
              <w:left w:val="single" w:sz="4" w:space="0" w:color="auto"/>
            </w:tcBorders>
            <w:noWrap/>
            <w:hideMark/>
          </w:tcPr>
          <w:p w14:paraId="291E5CE4" w14:textId="77777777" w:rsidR="006416A2" w:rsidRPr="008566F3" w:rsidRDefault="006416A2" w:rsidP="00FF1D46">
            <w:pPr>
              <w:spacing w:line="360" w:lineRule="auto"/>
              <w:rPr>
                <w:rFonts w:asciiTheme="minorHAnsi" w:eastAsia="Times New Roman" w:hAnsiTheme="minorHAnsi" w:cstheme="minorHAnsi"/>
                <w:i/>
                <w:iCs/>
                <w:sz w:val="22"/>
                <w:szCs w:val="22"/>
                <w:lang w:eastAsia="en-GB"/>
              </w:rPr>
            </w:pPr>
          </w:p>
        </w:tc>
        <w:tc>
          <w:tcPr>
            <w:tcW w:w="789" w:type="pct"/>
            <w:gridSpan w:val="2"/>
            <w:tcBorders>
              <w:top w:val="single" w:sz="4" w:space="0" w:color="auto"/>
            </w:tcBorders>
            <w:noWrap/>
            <w:hideMark/>
          </w:tcPr>
          <w:p w14:paraId="0CDE6AE7" w14:textId="77777777" w:rsidR="006416A2" w:rsidRPr="008566F3" w:rsidRDefault="006416A2" w:rsidP="00FF1D46">
            <w:pPr>
              <w:spacing w:line="360" w:lineRule="auto"/>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i/>
                <w:iCs/>
                <w:sz w:val="22"/>
                <w:szCs w:val="22"/>
                <w:lang w:eastAsia="en-GB"/>
              </w:rPr>
            </w:pPr>
            <w:r w:rsidRPr="008566F3">
              <w:rPr>
                <w:rFonts w:asciiTheme="minorHAnsi" w:eastAsia="Times New Roman" w:hAnsiTheme="minorHAnsi" w:cstheme="minorHAnsi"/>
                <w:i/>
                <w:iCs/>
                <w:color w:val="000000"/>
                <w:sz w:val="22"/>
                <w:szCs w:val="22"/>
                <w:lang w:eastAsia="en-GB"/>
              </w:rPr>
              <w:t>P+</w:t>
            </w:r>
          </w:p>
        </w:tc>
        <w:tc>
          <w:tcPr>
            <w:tcW w:w="789" w:type="pct"/>
            <w:gridSpan w:val="2"/>
            <w:tcBorders>
              <w:top w:val="single" w:sz="4" w:space="0" w:color="auto"/>
            </w:tcBorders>
            <w:noWrap/>
            <w:hideMark/>
          </w:tcPr>
          <w:p w14:paraId="4BB7CBC0" w14:textId="77777777" w:rsidR="006416A2" w:rsidRPr="008566F3" w:rsidRDefault="006416A2" w:rsidP="00FF1D46">
            <w:pPr>
              <w:spacing w:line="360" w:lineRule="auto"/>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i/>
                <w:iCs/>
                <w:sz w:val="22"/>
                <w:szCs w:val="22"/>
                <w:lang w:eastAsia="en-GB"/>
              </w:rPr>
            </w:pPr>
            <w:r w:rsidRPr="008566F3">
              <w:rPr>
                <w:rFonts w:asciiTheme="minorHAnsi" w:eastAsia="Times New Roman" w:hAnsiTheme="minorHAnsi" w:cstheme="minorHAnsi"/>
                <w:i/>
                <w:iCs/>
                <w:color w:val="000000"/>
                <w:sz w:val="22"/>
                <w:szCs w:val="22"/>
                <w:lang w:eastAsia="en-GB"/>
              </w:rPr>
              <w:t>P-</w:t>
            </w:r>
          </w:p>
        </w:tc>
        <w:tc>
          <w:tcPr>
            <w:tcW w:w="826" w:type="pct"/>
            <w:gridSpan w:val="2"/>
            <w:tcBorders>
              <w:top w:val="single" w:sz="4" w:space="0" w:color="auto"/>
            </w:tcBorders>
            <w:noWrap/>
            <w:hideMark/>
          </w:tcPr>
          <w:p w14:paraId="6510688D" w14:textId="77777777" w:rsidR="006416A2" w:rsidRPr="008566F3" w:rsidRDefault="006416A2" w:rsidP="00FF1D46">
            <w:pPr>
              <w:spacing w:line="360" w:lineRule="auto"/>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i/>
                <w:iCs/>
                <w:sz w:val="22"/>
                <w:szCs w:val="22"/>
                <w:lang w:eastAsia="en-GB"/>
              </w:rPr>
            </w:pPr>
            <w:r w:rsidRPr="008566F3">
              <w:rPr>
                <w:rFonts w:asciiTheme="minorHAnsi" w:eastAsia="Times New Roman" w:hAnsiTheme="minorHAnsi" w:cstheme="minorHAnsi"/>
                <w:i/>
                <w:iCs/>
                <w:color w:val="000000"/>
                <w:sz w:val="22"/>
                <w:szCs w:val="22"/>
                <w:lang w:eastAsia="en-GB"/>
              </w:rPr>
              <w:t>DPN</w:t>
            </w:r>
          </w:p>
        </w:tc>
        <w:tc>
          <w:tcPr>
            <w:tcW w:w="893" w:type="pct"/>
            <w:gridSpan w:val="2"/>
            <w:tcBorders>
              <w:top w:val="single" w:sz="4" w:space="0" w:color="auto"/>
            </w:tcBorders>
            <w:noWrap/>
            <w:hideMark/>
          </w:tcPr>
          <w:p w14:paraId="4187E754" w14:textId="77777777" w:rsidR="006416A2" w:rsidRPr="008566F3" w:rsidRDefault="006416A2" w:rsidP="00FF1D46">
            <w:pPr>
              <w:spacing w:line="360" w:lineRule="auto"/>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i/>
                <w:iCs/>
                <w:sz w:val="22"/>
                <w:szCs w:val="22"/>
                <w:lang w:eastAsia="en-GB"/>
              </w:rPr>
            </w:pPr>
            <w:r w:rsidRPr="008566F3">
              <w:rPr>
                <w:rFonts w:asciiTheme="minorHAnsi" w:eastAsia="Times New Roman" w:hAnsiTheme="minorHAnsi" w:cstheme="minorHAnsi"/>
                <w:i/>
                <w:iCs/>
                <w:color w:val="000000"/>
                <w:sz w:val="22"/>
                <w:szCs w:val="22"/>
                <w:lang w:eastAsia="en-GB"/>
              </w:rPr>
              <w:t>DM-NN</w:t>
            </w:r>
          </w:p>
        </w:tc>
        <w:tc>
          <w:tcPr>
            <w:tcW w:w="943" w:type="pct"/>
            <w:gridSpan w:val="2"/>
            <w:tcBorders>
              <w:top w:val="single" w:sz="4" w:space="0" w:color="auto"/>
              <w:right w:val="single" w:sz="4" w:space="0" w:color="auto"/>
            </w:tcBorders>
            <w:noWrap/>
            <w:hideMark/>
          </w:tcPr>
          <w:p w14:paraId="15C24FE5" w14:textId="77777777" w:rsidR="006416A2" w:rsidRPr="008566F3" w:rsidRDefault="006416A2" w:rsidP="00FF1D46">
            <w:pPr>
              <w:spacing w:line="360" w:lineRule="auto"/>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i/>
                <w:iCs/>
                <w:sz w:val="22"/>
                <w:szCs w:val="22"/>
                <w:lang w:eastAsia="en-GB"/>
              </w:rPr>
            </w:pPr>
            <w:r w:rsidRPr="008566F3">
              <w:rPr>
                <w:rFonts w:asciiTheme="minorHAnsi" w:eastAsia="Times New Roman" w:hAnsiTheme="minorHAnsi" w:cstheme="minorHAnsi"/>
                <w:i/>
                <w:iCs/>
                <w:color w:val="000000"/>
                <w:sz w:val="22"/>
                <w:szCs w:val="22"/>
                <w:lang w:eastAsia="en-GB"/>
              </w:rPr>
              <w:t>HV</w:t>
            </w:r>
          </w:p>
        </w:tc>
      </w:tr>
      <w:tr w:rsidR="006416A2" w:rsidRPr="005009AA" w14:paraId="1C175817" w14:textId="77777777" w:rsidTr="00FF1D4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758" w:type="pct"/>
            <w:tcBorders>
              <w:left w:val="single" w:sz="4" w:space="0" w:color="auto"/>
            </w:tcBorders>
            <w:noWrap/>
            <w:hideMark/>
          </w:tcPr>
          <w:p w14:paraId="70B02D0D" w14:textId="77777777" w:rsidR="006416A2" w:rsidRPr="008566F3" w:rsidRDefault="006416A2" w:rsidP="00FF1D46">
            <w:pPr>
              <w:spacing w:line="360" w:lineRule="auto"/>
              <w:rPr>
                <w:rFonts w:asciiTheme="minorHAnsi" w:eastAsia="Times New Roman" w:hAnsiTheme="minorHAnsi" w:cstheme="minorHAnsi"/>
                <w:i/>
                <w:iCs/>
                <w:sz w:val="22"/>
                <w:szCs w:val="22"/>
                <w:lang w:eastAsia="en-GB"/>
              </w:rPr>
            </w:pPr>
          </w:p>
        </w:tc>
        <w:tc>
          <w:tcPr>
            <w:tcW w:w="336" w:type="pct"/>
            <w:noWrap/>
            <w:hideMark/>
          </w:tcPr>
          <w:p w14:paraId="31BD2D5B" w14:textId="77777777" w:rsidR="006416A2" w:rsidRPr="008566F3" w:rsidRDefault="006416A2" w:rsidP="00FF1D4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M</w:t>
            </w:r>
          </w:p>
        </w:tc>
        <w:tc>
          <w:tcPr>
            <w:tcW w:w="453" w:type="pct"/>
            <w:noWrap/>
            <w:hideMark/>
          </w:tcPr>
          <w:p w14:paraId="4181C99C" w14:textId="77777777" w:rsidR="006416A2" w:rsidRPr="008566F3" w:rsidRDefault="006416A2" w:rsidP="00FF1D4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95% CI</w:t>
            </w:r>
          </w:p>
        </w:tc>
        <w:tc>
          <w:tcPr>
            <w:tcW w:w="336" w:type="pct"/>
            <w:noWrap/>
            <w:hideMark/>
          </w:tcPr>
          <w:p w14:paraId="2B203F70" w14:textId="77777777" w:rsidR="006416A2" w:rsidRPr="008566F3" w:rsidRDefault="006416A2" w:rsidP="00FF1D4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M</w:t>
            </w:r>
          </w:p>
        </w:tc>
        <w:tc>
          <w:tcPr>
            <w:tcW w:w="453" w:type="pct"/>
            <w:noWrap/>
            <w:hideMark/>
          </w:tcPr>
          <w:p w14:paraId="0F2E7665" w14:textId="77777777" w:rsidR="006416A2" w:rsidRPr="008566F3" w:rsidRDefault="006416A2" w:rsidP="00FF1D4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95% CI</w:t>
            </w:r>
          </w:p>
        </w:tc>
        <w:tc>
          <w:tcPr>
            <w:tcW w:w="374" w:type="pct"/>
            <w:noWrap/>
            <w:hideMark/>
          </w:tcPr>
          <w:p w14:paraId="0480B7D8" w14:textId="77777777" w:rsidR="006416A2" w:rsidRPr="008566F3" w:rsidRDefault="006416A2" w:rsidP="00FF1D4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M</w:t>
            </w:r>
          </w:p>
        </w:tc>
        <w:tc>
          <w:tcPr>
            <w:tcW w:w="453" w:type="pct"/>
            <w:noWrap/>
            <w:hideMark/>
          </w:tcPr>
          <w:p w14:paraId="591980F4" w14:textId="77777777" w:rsidR="006416A2" w:rsidRPr="008566F3" w:rsidRDefault="006416A2" w:rsidP="00FF1D4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95% CI</w:t>
            </w:r>
          </w:p>
        </w:tc>
        <w:tc>
          <w:tcPr>
            <w:tcW w:w="374" w:type="pct"/>
            <w:noWrap/>
            <w:hideMark/>
          </w:tcPr>
          <w:p w14:paraId="42750647" w14:textId="77777777" w:rsidR="006416A2" w:rsidRPr="008566F3" w:rsidRDefault="006416A2" w:rsidP="00FF1D4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M</w:t>
            </w:r>
          </w:p>
        </w:tc>
        <w:tc>
          <w:tcPr>
            <w:tcW w:w="519" w:type="pct"/>
            <w:noWrap/>
            <w:hideMark/>
          </w:tcPr>
          <w:p w14:paraId="1E7EB261" w14:textId="77777777" w:rsidR="006416A2" w:rsidRPr="008566F3" w:rsidRDefault="006416A2" w:rsidP="00FF1D4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95% CI</w:t>
            </w:r>
          </w:p>
        </w:tc>
        <w:tc>
          <w:tcPr>
            <w:tcW w:w="374" w:type="pct"/>
            <w:noWrap/>
            <w:hideMark/>
          </w:tcPr>
          <w:p w14:paraId="7D8DEBE1" w14:textId="77777777" w:rsidR="006416A2" w:rsidRPr="008566F3" w:rsidRDefault="006416A2" w:rsidP="00FF1D4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M</w:t>
            </w:r>
          </w:p>
        </w:tc>
        <w:tc>
          <w:tcPr>
            <w:tcW w:w="570" w:type="pct"/>
            <w:tcBorders>
              <w:right w:val="single" w:sz="4" w:space="0" w:color="auto"/>
            </w:tcBorders>
            <w:noWrap/>
            <w:hideMark/>
          </w:tcPr>
          <w:p w14:paraId="489F233B"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95% CI</w:t>
            </w:r>
          </w:p>
        </w:tc>
      </w:tr>
      <w:tr w:rsidR="006416A2" w:rsidRPr="005009AA" w14:paraId="4A4946EC" w14:textId="77777777" w:rsidTr="00FF1D46">
        <w:trPr>
          <w:trHeight w:val="320"/>
        </w:trPr>
        <w:tc>
          <w:tcPr>
            <w:cnfStyle w:val="001000000000" w:firstRow="0" w:lastRow="0" w:firstColumn="1" w:lastColumn="0" w:oddVBand="0" w:evenVBand="0" w:oddHBand="0" w:evenHBand="0" w:firstRowFirstColumn="0" w:firstRowLastColumn="0" w:lastRowFirstColumn="0" w:lastRowLastColumn="0"/>
            <w:tcW w:w="758" w:type="pct"/>
            <w:tcBorders>
              <w:left w:val="single" w:sz="4" w:space="0" w:color="auto"/>
            </w:tcBorders>
            <w:noWrap/>
            <w:hideMark/>
          </w:tcPr>
          <w:p w14:paraId="469B3309" w14:textId="77777777" w:rsidR="006416A2" w:rsidRPr="005009AA" w:rsidRDefault="006416A2" w:rsidP="00FF1D46">
            <w:pPr>
              <w:spacing w:line="360" w:lineRule="auto"/>
              <w:rPr>
                <w:rFonts w:asciiTheme="minorHAnsi" w:eastAsia="Times New Roman" w:hAnsiTheme="minorHAnsi" w:cstheme="minorHAnsi"/>
                <w:i/>
                <w:iCs/>
                <w:color w:val="000000"/>
                <w:sz w:val="22"/>
                <w:szCs w:val="22"/>
                <w:lang w:eastAsia="en-GB"/>
              </w:rPr>
            </w:pPr>
            <w:r>
              <w:rPr>
                <w:rFonts w:asciiTheme="minorHAnsi" w:eastAsia="Times New Roman" w:hAnsiTheme="minorHAnsi" w:cstheme="minorHAnsi"/>
                <w:i/>
                <w:iCs/>
                <w:color w:val="000000"/>
                <w:sz w:val="22"/>
                <w:szCs w:val="22"/>
                <w:lang w:eastAsia="en-GB"/>
              </w:rPr>
              <w:t>Δ</w:t>
            </w:r>
            <w:r w:rsidRPr="008566F3">
              <w:rPr>
                <w:rFonts w:asciiTheme="minorHAnsi" w:eastAsia="Times New Roman" w:hAnsiTheme="minorHAnsi" w:cstheme="minorHAnsi"/>
                <w:i/>
                <w:iCs/>
                <w:color w:val="000000"/>
                <w:sz w:val="22"/>
                <w:szCs w:val="22"/>
                <w:lang w:eastAsia="en-GB"/>
              </w:rPr>
              <w:t xml:space="preserve"> TTP (s)</w:t>
            </w:r>
          </w:p>
        </w:tc>
        <w:tc>
          <w:tcPr>
            <w:tcW w:w="336" w:type="pct"/>
          </w:tcPr>
          <w:p w14:paraId="4B01C174" w14:textId="77777777" w:rsidR="006416A2" w:rsidRPr="008566F3" w:rsidRDefault="006416A2" w:rsidP="00FF1D4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p>
        </w:tc>
        <w:tc>
          <w:tcPr>
            <w:tcW w:w="453" w:type="pct"/>
            <w:noWrap/>
            <w:hideMark/>
          </w:tcPr>
          <w:p w14:paraId="1D67492C" w14:textId="77777777" w:rsidR="006416A2" w:rsidRPr="008566F3" w:rsidRDefault="006416A2" w:rsidP="00FF1D4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sz w:val="22"/>
                <w:szCs w:val="22"/>
                <w:lang w:eastAsia="en-GB"/>
              </w:rPr>
            </w:pPr>
          </w:p>
        </w:tc>
        <w:tc>
          <w:tcPr>
            <w:tcW w:w="336" w:type="pct"/>
            <w:noWrap/>
            <w:hideMark/>
          </w:tcPr>
          <w:p w14:paraId="1E6EE225" w14:textId="77777777" w:rsidR="006416A2" w:rsidRPr="008566F3" w:rsidRDefault="006416A2" w:rsidP="00FF1D4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sz w:val="22"/>
                <w:szCs w:val="22"/>
                <w:lang w:eastAsia="en-GB"/>
              </w:rPr>
            </w:pPr>
          </w:p>
        </w:tc>
        <w:tc>
          <w:tcPr>
            <w:tcW w:w="453" w:type="pct"/>
            <w:noWrap/>
            <w:hideMark/>
          </w:tcPr>
          <w:p w14:paraId="1EE67205" w14:textId="77777777" w:rsidR="006416A2" w:rsidRPr="008566F3" w:rsidRDefault="006416A2" w:rsidP="00FF1D4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sz w:val="22"/>
                <w:szCs w:val="22"/>
                <w:lang w:eastAsia="en-GB"/>
              </w:rPr>
            </w:pPr>
          </w:p>
        </w:tc>
        <w:tc>
          <w:tcPr>
            <w:tcW w:w="374" w:type="pct"/>
            <w:noWrap/>
            <w:hideMark/>
          </w:tcPr>
          <w:p w14:paraId="09B0F5B9" w14:textId="77777777" w:rsidR="006416A2" w:rsidRPr="008566F3" w:rsidRDefault="006416A2" w:rsidP="00FF1D4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sz w:val="22"/>
                <w:szCs w:val="22"/>
                <w:lang w:eastAsia="en-GB"/>
              </w:rPr>
            </w:pPr>
          </w:p>
        </w:tc>
        <w:tc>
          <w:tcPr>
            <w:tcW w:w="453" w:type="pct"/>
            <w:noWrap/>
            <w:hideMark/>
          </w:tcPr>
          <w:p w14:paraId="64CF6DC1" w14:textId="77777777" w:rsidR="006416A2" w:rsidRPr="008566F3" w:rsidRDefault="006416A2" w:rsidP="00FF1D4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sz w:val="22"/>
                <w:szCs w:val="22"/>
                <w:lang w:eastAsia="en-GB"/>
              </w:rPr>
            </w:pPr>
          </w:p>
        </w:tc>
        <w:tc>
          <w:tcPr>
            <w:tcW w:w="374" w:type="pct"/>
            <w:noWrap/>
            <w:hideMark/>
          </w:tcPr>
          <w:p w14:paraId="04B2841F" w14:textId="77777777" w:rsidR="006416A2" w:rsidRPr="008566F3" w:rsidRDefault="006416A2" w:rsidP="00FF1D4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sz w:val="22"/>
                <w:szCs w:val="22"/>
                <w:lang w:eastAsia="en-GB"/>
              </w:rPr>
            </w:pPr>
          </w:p>
        </w:tc>
        <w:tc>
          <w:tcPr>
            <w:tcW w:w="519" w:type="pct"/>
            <w:noWrap/>
            <w:hideMark/>
          </w:tcPr>
          <w:p w14:paraId="4F83482B" w14:textId="77777777" w:rsidR="006416A2" w:rsidRPr="008566F3" w:rsidRDefault="006416A2" w:rsidP="00FF1D4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sz w:val="22"/>
                <w:szCs w:val="22"/>
                <w:lang w:eastAsia="en-GB"/>
              </w:rPr>
            </w:pPr>
          </w:p>
        </w:tc>
        <w:tc>
          <w:tcPr>
            <w:tcW w:w="374" w:type="pct"/>
            <w:noWrap/>
            <w:hideMark/>
          </w:tcPr>
          <w:p w14:paraId="7A746838" w14:textId="77777777" w:rsidR="006416A2" w:rsidRPr="008566F3" w:rsidRDefault="006416A2" w:rsidP="00FF1D4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sz w:val="22"/>
                <w:szCs w:val="22"/>
                <w:lang w:eastAsia="en-GB"/>
              </w:rPr>
            </w:pPr>
          </w:p>
        </w:tc>
        <w:tc>
          <w:tcPr>
            <w:tcW w:w="570" w:type="pct"/>
            <w:tcBorders>
              <w:right w:val="single" w:sz="4" w:space="0" w:color="auto"/>
            </w:tcBorders>
            <w:noWrap/>
            <w:hideMark/>
          </w:tcPr>
          <w:p w14:paraId="5ECF1AF0" w14:textId="77777777" w:rsidR="006416A2" w:rsidRPr="008566F3" w:rsidRDefault="006416A2" w:rsidP="00FF1D46">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sz w:val="22"/>
                <w:szCs w:val="22"/>
                <w:lang w:eastAsia="en-GB"/>
              </w:rPr>
            </w:pPr>
          </w:p>
        </w:tc>
      </w:tr>
      <w:tr w:rsidR="006416A2" w:rsidRPr="005009AA" w14:paraId="6CA0114F" w14:textId="77777777" w:rsidTr="00FF1D4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758" w:type="pct"/>
            <w:tcBorders>
              <w:left w:val="single" w:sz="4" w:space="0" w:color="auto"/>
            </w:tcBorders>
            <w:noWrap/>
            <w:hideMark/>
          </w:tcPr>
          <w:p w14:paraId="7832AE7D" w14:textId="77777777" w:rsidR="006416A2" w:rsidRPr="008566F3" w:rsidRDefault="006416A2" w:rsidP="00FF1D46">
            <w:pPr>
              <w:spacing w:line="360" w:lineRule="auto"/>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L</w:t>
            </w:r>
            <w:r>
              <w:rPr>
                <w:rFonts w:asciiTheme="minorHAnsi" w:eastAsia="Times New Roman" w:hAnsiTheme="minorHAnsi" w:cstheme="minorHAnsi"/>
                <w:i/>
                <w:iCs/>
                <w:color w:val="000000"/>
                <w:sz w:val="22"/>
                <w:szCs w:val="22"/>
                <w:lang w:eastAsia="en-GB"/>
              </w:rPr>
              <w:t>T</w:t>
            </w:r>
            <w:r w:rsidRPr="008566F3">
              <w:rPr>
                <w:rFonts w:asciiTheme="minorHAnsi" w:eastAsia="Times New Roman" w:hAnsiTheme="minorHAnsi" w:cstheme="minorHAnsi"/>
                <w:i/>
                <w:iCs/>
                <w:color w:val="000000"/>
                <w:sz w:val="22"/>
                <w:szCs w:val="22"/>
                <w:lang w:eastAsia="en-GB"/>
              </w:rPr>
              <w:t>hal</w:t>
            </w:r>
          </w:p>
        </w:tc>
        <w:tc>
          <w:tcPr>
            <w:tcW w:w="336" w:type="pct"/>
            <w:noWrap/>
            <w:hideMark/>
          </w:tcPr>
          <w:p w14:paraId="4B5CDAAF"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0.28</w:t>
            </w:r>
          </w:p>
        </w:tc>
        <w:tc>
          <w:tcPr>
            <w:tcW w:w="453" w:type="pct"/>
            <w:noWrap/>
            <w:hideMark/>
          </w:tcPr>
          <w:p w14:paraId="443E4D5B" w14:textId="77777777" w:rsidR="006416A2" w:rsidRPr="005009AA"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-0.35</w:t>
            </w:r>
          </w:p>
          <w:p w14:paraId="252A7779"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0.92</w:t>
            </w:r>
          </w:p>
        </w:tc>
        <w:tc>
          <w:tcPr>
            <w:tcW w:w="336" w:type="pct"/>
            <w:noWrap/>
            <w:hideMark/>
          </w:tcPr>
          <w:p w14:paraId="69362782"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0.74</w:t>
            </w:r>
          </w:p>
        </w:tc>
        <w:tc>
          <w:tcPr>
            <w:tcW w:w="453" w:type="pct"/>
            <w:noWrap/>
            <w:hideMark/>
          </w:tcPr>
          <w:p w14:paraId="5D969C2A" w14:textId="77777777" w:rsidR="006416A2" w:rsidRPr="005009AA"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0.03</w:t>
            </w:r>
          </w:p>
          <w:p w14:paraId="75F1CD59"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1.46</w:t>
            </w:r>
          </w:p>
        </w:tc>
        <w:tc>
          <w:tcPr>
            <w:tcW w:w="374" w:type="pct"/>
            <w:noWrap/>
            <w:hideMark/>
          </w:tcPr>
          <w:p w14:paraId="585FC438"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-0.17</w:t>
            </w:r>
          </w:p>
        </w:tc>
        <w:tc>
          <w:tcPr>
            <w:tcW w:w="453" w:type="pct"/>
            <w:noWrap/>
            <w:hideMark/>
          </w:tcPr>
          <w:p w14:paraId="6CF77FF8" w14:textId="77777777" w:rsidR="006416A2" w:rsidRPr="005009AA"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-0.59</w:t>
            </w:r>
          </w:p>
          <w:p w14:paraId="6DF52EF3"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0.24</w:t>
            </w:r>
          </w:p>
        </w:tc>
        <w:tc>
          <w:tcPr>
            <w:tcW w:w="374" w:type="pct"/>
            <w:noWrap/>
            <w:hideMark/>
          </w:tcPr>
          <w:p w14:paraId="721702CE"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-0.03</w:t>
            </w:r>
          </w:p>
        </w:tc>
        <w:tc>
          <w:tcPr>
            <w:tcW w:w="519" w:type="pct"/>
            <w:noWrap/>
            <w:hideMark/>
          </w:tcPr>
          <w:p w14:paraId="77D393A4" w14:textId="77777777" w:rsidR="006416A2" w:rsidRPr="005009AA"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-0.63</w:t>
            </w:r>
          </w:p>
          <w:p w14:paraId="0AD3EFB2"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0.56</w:t>
            </w:r>
          </w:p>
        </w:tc>
        <w:tc>
          <w:tcPr>
            <w:tcW w:w="374" w:type="pct"/>
            <w:noWrap/>
            <w:hideMark/>
          </w:tcPr>
          <w:p w14:paraId="7F9F2F8A"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-0.43</w:t>
            </w:r>
          </w:p>
        </w:tc>
        <w:tc>
          <w:tcPr>
            <w:tcW w:w="570" w:type="pct"/>
            <w:tcBorders>
              <w:right w:val="single" w:sz="4" w:space="0" w:color="auto"/>
            </w:tcBorders>
            <w:noWrap/>
            <w:hideMark/>
          </w:tcPr>
          <w:p w14:paraId="18EFC3F6" w14:textId="77777777" w:rsidR="006416A2" w:rsidRPr="005009AA"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-0.90</w:t>
            </w:r>
          </w:p>
          <w:p w14:paraId="413D6D8A"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0.05</w:t>
            </w:r>
          </w:p>
        </w:tc>
      </w:tr>
      <w:tr w:rsidR="006416A2" w:rsidRPr="005009AA" w14:paraId="4730D24E" w14:textId="77777777" w:rsidTr="00FF1D46">
        <w:trPr>
          <w:trHeight w:val="320"/>
        </w:trPr>
        <w:tc>
          <w:tcPr>
            <w:cnfStyle w:val="001000000000" w:firstRow="0" w:lastRow="0" w:firstColumn="1" w:lastColumn="0" w:oddVBand="0" w:evenVBand="0" w:oddHBand="0" w:evenHBand="0" w:firstRowFirstColumn="0" w:firstRowLastColumn="0" w:lastRowFirstColumn="0" w:lastRowLastColumn="0"/>
            <w:tcW w:w="5000" w:type="pct"/>
            <w:gridSpan w:val="11"/>
            <w:tcBorders>
              <w:left w:val="single" w:sz="4" w:space="0" w:color="auto"/>
              <w:right w:val="single" w:sz="4" w:space="0" w:color="auto"/>
            </w:tcBorders>
            <w:noWrap/>
          </w:tcPr>
          <w:p w14:paraId="53C4FD28" w14:textId="77777777" w:rsidR="006416A2" w:rsidRPr="008566F3" w:rsidRDefault="006416A2" w:rsidP="00FF1D46">
            <w:pPr>
              <w:spacing w:line="360" w:lineRule="auto"/>
              <w:jc w:val="center"/>
              <w:rPr>
                <w:rFonts w:asciiTheme="minorHAnsi" w:eastAsia="Times New Roman" w:hAnsiTheme="minorHAnsi" w:cstheme="minorHAnsi"/>
                <w:i/>
                <w:iCs/>
                <w:color w:val="000000"/>
                <w:sz w:val="22"/>
                <w:szCs w:val="22"/>
                <w:lang w:eastAsia="en-GB"/>
              </w:rPr>
            </w:pPr>
            <w:r>
              <w:rPr>
                <w:rFonts w:asciiTheme="minorHAnsi" w:eastAsia="Times New Roman" w:hAnsiTheme="minorHAnsi" w:cstheme="minorHAnsi"/>
                <w:i/>
                <w:iCs/>
                <w:color w:val="000000"/>
                <w:sz w:val="22"/>
                <w:szCs w:val="22"/>
                <w:lang w:eastAsia="en-GB"/>
              </w:rPr>
              <w:t>p=.035</w:t>
            </w:r>
          </w:p>
        </w:tc>
      </w:tr>
      <w:tr w:rsidR="006416A2" w:rsidRPr="005009AA" w14:paraId="5552AF67" w14:textId="77777777" w:rsidTr="00FF1D4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758" w:type="pct"/>
            <w:tcBorders>
              <w:left w:val="single" w:sz="4" w:space="0" w:color="auto"/>
            </w:tcBorders>
            <w:noWrap/>
            <w:hideMark/>
          </w:tcPr>
          <w:p w14:paraId="3700CDF5" w14:textId="77777777" w:rsidR="006416A2" w:rsidRPr="008566F3" w:rsidRDefault="006416A2" w:rsidP="00FF1D46">
            <w:pPr>
              <w:spacing w:line="360" w:lineRule="auto"/>
              <w:rPr>
                <w:rFonts w:asciiTheme="minorHAnsi" w:eastAsia="Times New Roman" w:hAnsiTheme="minorHAnsi" w:cstheme="minorHAnsi"/>
                <w:i/>
                <w:iCs/>
                <w:color w:val="000000"/>
                <w:sz w:val="22"/>
                <w:szCs w:val="22"/>
                <w:lang w:eastAsia="en-GB"/>
              </w:rPr>
            </w:pPr>
            <w:proofErr w:type="spellStart"/>
            <w:r>
              <w:rPr>
                <w:rFonts w:asciiTheme="minorHAnsi" w:eastAsia="Times New Roman" w:hAnsiTheme="minorHAnsi" w:cstheme="minorHAnsi"/>
                <w:i/>
                <w:iCs/>
                <w:color w:val="000000"/>
                <w:sz w:val="22"/>
                <w:szCs w:val="22"/>
                <w:lang w:eastAsia="en-GB"/>
              </w:rPr>
              <w:t>RThal</w:t>
            </w:r>
            <w:proofErr w:type="spellEnd"/>
          </w:p>
        </w:tc>
        <w:tc>
          <w:tcPr>
            <w:tcW w:w="336" w:type="pct"/>
            <w:noWrap/>
            <w:hideMark/>
          </w:tcPr>
          <w:p w14:paraId="34E9FEC1"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0.33</w:t>
            </w:r>
          </w:p>
        </w:tc>
        <w:tc>
          <w:tcPr>
            <w:tcW w:w="453" w:type="pct"/>
            <w:noWrap/>
            <w:hideMark/>
          </w:tcPr>
          <w:p w14:paraId="0FDF0849" w14:textId="77777777" w:rsidR="006416A2" w:rsidRPr="005009AA"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-0.30</w:t>
            </w:r>
          </w:p>
          <w:p w14:paraId="7A4D87A5"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0.97</w:t>
            </w:r>
          </w:p>
        </w:tc>
        <w:tc>
          <w:tcPr>
            <w:tcW w:w="336" w:type="pct"/>
            <w:noWrap/>
            <w:hideMark/>
          </w:tcPr>
          <w:p w14:paraId="0B59CED0"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0.86</w:t>
            </w:r>
          </w:p>
        </w:tc>
        <w:tc>
          <w:tcPr>
            <w:tcW w:w="453" w:type="pct"/>
            <w:noWrap/>
            <w:hideMark/>
          </w:tcPr>
          <w:p w14:paraId="0F5FBD6F" w14:textId="77777777" w:rsidR="006416A2" w:rsidRPr="005009AA"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0.14</w:t>
            </w:r>
          </w:p>
          <w:p w14:paraId="66F303D1"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1.57</w:t>
            </w:r>
          </w:p>
        </w:tc>
        <w:tc>
          <w:tcPr>
            <w:tcW w:w="374" w:type="pct"/>
            <w:noWrap/>
            <w:hideMark/>
          </w:tcPr>
          <w:p w14:paraId="13E6677C"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-0.16</w:t>
            </w:r>
          </w:p>
        </w:tc>
        <w:tc>
          <w:tcPr>
            <w:tcW w:w="453" w:type="pct"/>
            <w:noWrap/>
            <w:hideMark/>
          </w:tcPr>
          <w:p w14:paraId="091CAB82" w14:textId="77777777" w:rsidR="006416A2" w:rsidRPr="005009AA"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-0.58</w:t>
            </w:r>
          </w:p>
          <w:p w14:paraId="2BEC5B31"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0.25</w:t>
            </w:r>
          </w:p>
        </w:tc>
        <w:tc>
          <w:tcPr>
            <w:tcW w:w="374" w:type="pct"/>
            <w:noWrap/>
            <w:hideMark/>
          </w:tcPr>
          <w:p w14:paraId="25732CC9"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0.04</w:t>
            </w:r>
          </w:p>
        </w:tc>
        <w:tc>
          <w:tcPr>
            <w:tcW w:w="519" w:type="pct"/>
            <w:noWrap/>
            <w:hideMark/>
          </w:tcPr>
          <w:p w14:paraId="4E89E785" w14:textId="77777777" w:rsidR="006416A2" w:rsidRPr="005009AA"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-0.56</w:t>
            </w:r>
          </w:p>
          <w:p w14:paraId="1B83C49E"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0.63</w:t>
            </w:r>
          </w:p>
        </w:tc>
        <w:tc>
          <w:tcPr>
            <w:tcW w:w="374" w:type="pct"/>
            <w:noWrap/>
            <w:hideMark/>
          </w:tcPr>
          <w:p w14:paraId="291A9912"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-0.51</w:t>
            </w:r>
          </w:p>
        </w:tc>
        <w:tc>
          <w:tcPr>
            <w:tcW w:w="570" w:type="pct"/>
            <w:tcBorders>
              <w:right w:val="single" w:sz="4" w:space="0" w:color="auto"/>
            </w:tcBorders>
            <w:noWrap/>
            <w:hideMark/>
          </w:tcPr>
          <w:p w14:paraId="7C6F1FCD" w14:textId="77777777" w:rsidR="006416A2" w:rsidRPr="005009AA"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-0.99</w:t>
            </w:r>
          </w:p>
          <w:p w14:paraId="4E23FAA0"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-0.04</w:t>
            </w:r>
          </w:p>
        </w:tc>
      </w:tr>
      <w:tr w:rsidR="006416A2" w:rsidRPr="005009AA" w14:paraId="45315508" w14:textId="77777777" w:rsidTr="00FF1D46">
        <w:trPr>
          <w:trHeight w:val="320"/>
        </w:trPr>
        <w:tc>
          <w:tcPr>
            <w:cnfStyle w:val="001000000000" w:firstRow="0" w:lastRow="0" w:firstColumn="1" w:lastColumn="0" w:oddVBand="0" w:evenVBand="0" w:oddHBand="0" w:evenHBand="0" w:firstRowFirstColumn="0" w:firstRowLastColumn="0" w:lastRowFirstColumn="0" w:lastRowLastColumn="0"/>
            <w:tcW w:w="5000" w:type="pct"/>
            <w:gridSpan w:val="11"/>
            <w:tcBorders>
              <w:left w:val="single" w:sz="4" w:space="0" w:color="auto"/>
              <w:right w:val="single" w:sz="4" w:space="0" w:color="auto"/>
            </w:tcBorders>
            <w:noWrap/>
          </w:tcPr>
          <w:p w14:paraId="601FF61B" w14:textId="77777777" w:rsidR="006416A2" w:rsidRPr="008566F3" w:rsidRDefault="006416A2" w:rsidP="00FF1D46">
            <w:pPr>
              <w:spacing w:line="360" w:lineRule="auto"/>
              <w:jc w:val="center"/>
              <w:rPr>
                <w:rFonts w:asciiTheme="minorHAnsi" w:eastAsia="Times New Roman" w:hAnsiTheme="minorHAnsi" w:cstheme="minorHAnsi"/>
                <w:i/>
                <w:iCs/>
                <w:color w:val="000000"/>
                <w:sz w:val="22"/>
                <w:szCs w:val="22"/>
                <w:lang w:eastAsia="en-GB"/>
              </w:rPr>
            </w:pPr>
            <w:r>
              <w:rPr>
                <w:rFonts w:asciiTheme="minorHAnsi" w:eastAsia="Times New Roman" w:hAnsiTheme="minorHAnsi" w:cstheme="minorHAnsi"/>
                <w:i/>
                <w:iCs/>
                <w:color w:val="000000"/>
                <w:sz w:val="22"/>
                <w:szCs w:val="22"/>
                <w:lang w:eastAsia="en-GB"/>
              </w:rPr>
              <w:t>p=.004</w:t>
            </w:r>
          </w:p>
        </w:tc>
      </w:tr>
      <w:tr w:rsidR="006416A2" w:rsidRPr="005009AA" w14:paraId="3068DEFA" w14:textId="77777777" w:rsidTr="00FF1D4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758" w:type="pct"/>
            <w:tcBorders>
              <w:left w:val="single" w:sz="4" w:space="0" w:color="auto"/>
            </w:tcBorders>
            <w:noWrap/>
            <w:hideMark/>
          </w:tcPr>
          <w:p w14:paraId="1097EAFA" w14:textId="77777777" w:rsidR="006416A2" w:rsidRPr="008566F3" w:rsidRDefault="006416A2" w:rsidP="00FF1D46">
            <w:pPr>
              <w:spacing w:line="360" w:lineRule="auto"/>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LINS</w:t>
            </w:r>
          </w:p>
        </w:tc>
        <w:tc>
          <w:tcPr>
            <w:tcW w:w="336" w:type="pct"/>
            <w:noWrap/>
            <w:hideMark/>
          </w:tcPr>
          <w:p w14:paraId="2F1E2ED8"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0.24</w:t>
            </w:r>
          </w:p>
        </w:tc>
        <w:tc>
          <w:tcPr>
            <w:tcW w:w="453" w:type="pct"/>
            <w:noWrap/>
            <w:hideMark/>
          </w:tcPr>
          <w:p w14:paraId="33F7ECE3" w14:textId="77777777" w:rsidR="006416A2" w:rsidRPr="005009AA"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-0.37</w:t>
            </w:r>
          </w:p>
          <w:p w14:paraId="494780D4"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0.86</w:t>
            </w:r>
          </w:p>
        </w:tc>
        <w:tc>
          <w:tcPr>
            <w:tcW w:w="336" w:type="pct"/>
            <w:noWrap/>
            <w:hideMark/>
          </w:tcPr>
          <w:p w14:paraId="57261FFA"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0.66</w:t>
            </w:r>
          </w:p>
        </w:tc>
        <w:tc>
          <w:tcPr>
            <w:tcW w:w="453" w:type="pct"/>
            <w:noWrap/>
            <w:hideMark/>
          </w:tcPr>
          <w:p w14:paraId="6CA5A74A" w14:textId="77777777" w:rsidR="006416A2" w:rsidRPr="005009AA"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-0.03</w:t>
            </w:r>
          </w:p>
          <w:p w14:paraId="2A0FAA2F"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1.35</w:t>
            </w:r>
          </w:p>
        </w:tc>
        <w:tc>
          <w:tcPr>
            <w:tcW w:w="374" w:type="pct"/>
            <w:noWrap/>
            <w:hideMark/>
          </w:tcPr>
          <w:p w14:paraId="3600A0EB"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-0.08</w:t>
            </w:r>
          </w:p>
        </w:tc>
        <w:tc>
          <w:tcPr>
            <w:tcW w:w="453" w:type="pct"/>
            <w:noWrap/>
            <w:hideMark/>
          </w:tcPr>
          <w:p w14:paraId="512A3B06" w14:textId="77777777" w:rsidR="006416A2" w:rsidRPr="005009AA"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-0.48</w:t>
            </w:r>
          </w:p>
          <w:p w14:paraId="5C274559"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0.33</w:t>
            </w:r>
          </w:p>
        </w:tc>
        <w:tc>
          <w:tcPr>
            <w:tcW w:w="374" w:type="pct"/>
            <w:noWrap/>
            <w:hideMark/>
          </w:tcPr>
          <w:p w14:paraId="699C3DF2"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0.16</w:t>
            </w:r>
          </w:p>
        </w:tc>
        <w:tc>
          <w:tcPr>
            <w:tcW w:w="519" w:type="pct"/>
            <w:noWrap/>
            <w:hideMark/>
          </w:tcPr>
          <w:p w14:paraId="2A016C38" w14:textId="77777777" w:rsidR="006416A2" w:rsidRPr="005009AA"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-0.42</w:t>
            </w:r>
          </w:p>
          <w:p w14:paraId="13A16B20"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0.74</w:t>
            </w:r>
          </w:p>
        </w:tc>
        <w:tc>
          <w:tcPr>
            <w:tcW w:w="374" w:type="pct"/>
            <w:noWrap/>
            <w:hideMark/>
          </w:tcPr>
          <w:p w14:paraId="329768BE"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-0.45</w:t>
            </w:r>
          </w:p>
        </w:tc>
        <w:tc>
          <w:tcPr>
            <w:tcW w:w="570" w:type="pct"/>
            <w:tcBorders>
              <w:right w:val="single" w:sz="4" w:space="0" w:color="auto"/>
            </w:tcBorders>
            <w:noWrap/>
            <w:hideMark/>
          </w:tcPr>
          <w:p w14:paraId="759A0AC0" w14:textId="77777777" w:rsidR="006416A2" w:rsidRPr="005009AA"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-0.91</w:t>
            </w:r>
          </w:p>
          <w:p w14:paraId="319B5DC3"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0.02</w:t>
            </w:r>
          </w:p>
        </w:tc>
      </w:tr>
      <w:tr w:rsidR="006416A2" w:rsidRPr="005009AA" w14:paraId="0344B1AF" w14:textId="77777777" w:rsidTr="00FF1D46">
        <w:trPr>
          <w:trHeight w:val="320"/>
        </w:trPr>
        <w:tc>
          <w:tcPr>
            <w:cnfStyle w:val="001000000000" w:firstRow="0" w:lastRow="0" w:firstColumn="1" w:lastColumn="0" w:oddVBand="0" w:evenVBand="0" w:oddHBand="0" w:evenHBand="0" w:firstRowFirstColumn="0" w:firstRowLastColumn="0" w:lastRowFirstColumn="0" w:lastRowLastColumn="0"/>
            <w:tcW w:w="5000" w:type="pct"/>
            <w:gridSpan w:val="11"/>
            <w:tcBorders>
              <w:left w:val="single" w:sz="4" w:space="0" w:color="auto"/>
              <w:right w:val="single" w:sz="4" w:space="0" w:color="auto"/>
            </w:tcBorders>
            <w:noWrap/>
          </w:tcPr>
          <w:p w14:paraId="423EEE31" w14:textId="77777777" w:rsidR="006416A2" w:rsidRPr="008566F3" w:rsidRDefault="006416A2" w:rsidP="00FF1D46">
            <w:pPr>
              <w:spacing w:line="360" w:lineRule="auto"/>
              <w:jc w:val="center"/>
              <w:rPr>
                <w:rFonts w:asciiTheme="minorHAnsi" w:eastAsia="Times New Roman" w:hAnsiTheme="minorHAnsi" w:cstheme="minorHAnsi"/>
                <w:i/>
                <w:iCs/>
                <w:color w:val="000000"/>
                <w:sz w:val="22"/>
                <w:szCs w:val="22"/>
                <w:lang w:eastAsia="en-GB"/>
              </w:rPr>
            </w:pPr>
            <w:r>
              <w:rPr>
                <w:rFonts w:asciiTheme="minorHAnsi" w:eastAsia="Times New Roman" w:hAnsiTheme="minorHAnsi" w:cstheme="minorHAnsi"/>
                <w:i/>
                <w:iCs/>
                <w:color w:val="000000"/>
                <w:sz w:val="22"/>
                <w:szCs w:val="22"/>
                <w:lang w:eastAsia="en-GB"/>
              </w:rPr>
              <w:t>p=.037</w:t>
            </w:r>
          </w:p>
        </w:tc>
      </w:tr>
      <w:tr w:rsidR="006416A2" w:rsidRPr="005009AA" w14:paraId="1E1DC8B6" w14:textId="77777777" w:rsidTr="00FF1D4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758" w:type="pct"/>
            <w:tcBorders>
              <w:left w:val="single" w:sz="4" w:space="0" w:color="auto"/>
            </w:tcBorders>
            <w:noWrap/>
            <w:hideMark/>
          </w:tcPr>
          <w:p w14:paraId="7D613EEB" w14:textId="77777777" w:rsidR="006416A2" w:rsidRPr="008566F3" w:rsidRDefault="006416A2" w:rsidP="00FF1D46">
            <w:pPr>
              <w:spacing w:line="360" w:lineRule="auto"/>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RINS</w:t>
            </w:r>
          </w:p>
        </w:tc>
        <w:tc>
          <w:tcPr>
            <w:tcW w:w="336" w:type="pct"/>
            <w:noWrap/>
            <w:hideMark/>
          </w:tcPr>
          <w:p w14:paraId="16B7ADFE"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0.32</w:t>
            </w:r>
          </w:p>
        </w:tc>
        <w:tc>
          <w:tcPr>
            <w:tcW w:w="453" w:type="pct"/>
            <w:noWrap/>
            <w:hideMark/>
          </w:tcPr>
          <w:p w14:paraId="1F9AB3FB" w14:textId="77777777" w:rsidR="006416A2" w:rsidRPr="005009AA"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-0.30</w:t>
            </w:r>
          </w:p>
          <w:p w14:paraId="0CF75B56"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0.94</w:t>
            </w:r>
          </w:p>
        </w:tc>
        <w:tc>
          <w:tcPr>
            <w:tcW w:w="336" w:type="pct"/>
            <w:noWrap/>
            <w:hideMark/>
          </w:tcPr>
          <w:p w14:paraId="087799BC"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0.70</w:t>
            </w:r>
          </w:p>
        </w:tc>
        <w:tc>
          <w:tcPr>
            <w:tcW w:w="453" w:type="pct"/>
            <w:noWrap/>
            <w:hideMark/>
          </w:tcPr>
          <w:p w14:paraId="6F516A35" w14:textId="77777777" w:rsidR="006416A2" w:rsidRPr="005009AA"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0.01</w:t>
            </w:r>
          </w:p>
          <w:p w14:paraId="216453D7"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1.40</w:t>
            </w:r>
          </w:p>
        </w:tc>
        <w:tc>
          <w:tcPr>
            <w:tcW w:w="374" w:type="pct"/>
            <w:noWrap/>
            <w:hideMark/>
          </w:tcPr>
          <w:p w14:paraId="20F117D4"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-0.08</w:t>
            </w:r>
          </w:p>
        </w:tc>
        <w:tc>
          <w:tcPr>
            <w:tcW w:w="453" w:type="pct"/>
            <w:noWrap/>
            <w:hideMark/>
          </w:tcPr>
          <w:p w14:paraId="5C2BE6BF" w14:textId="77777777" w:rsidR="006416A2" w:rsidRPr="005009AA"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-0.49</w:t>
            </w:r>
          </w:p>
          <w:p w14:paraId="1B401936"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0.32</w:t>
            </w:r>
          </w:p>
        </w:tc>
        <w:tc>
          <w:tcPr>
            <w:tcW w:w="374" w:type="pct"/>
            <w:noWrap/>
            <w:hideMark/>
          </w:tcPr>
          <w:p w14:paraId="0513EEB5"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0.18</w:t>
            </w:r>
          </w:p>
        </w:tc>
        <w:tc>
          <w:tcPr>
            <w:tcW w:w="519" w:type="pct"/>
            <w:noWrap/>
            <w:hideMark/>
          </w:tcPr>
          <w:p w14:paraId="68B9512B" w14:textId="77777777" w:rsidR="006416A2" w:rsidRPr="005009AA"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-0.40</w:t>
            </w:r>
          </w:p>
          <w:p w14:paraId="286BE066"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0.76</w:t>
            </w:r>
          </w:p>
        </w:tc>
        <w:tc>
          <w:tcPr>
            <w:tcW w:w="374" w:type="pct"/>
            <w:noWrap/>
            <w:hideMark/>
          </w:tcPr>
          <w:p w14:paraId="4D8C739C"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-0.35</w:t>
            </w:r>
          </w:p>
        </w:tc>
        <w:tc>
          <w:tcPr>
            <w:tcW w:w="570" w:type="pct"/>
            <w:tcBorders>
              <w:right w:val="single" w:sz="4" w:space="0" w:color="auto"/>
            </w:tcBorders>
            <w:noWrap/>
            <w:hideMark/>
          </w:tcPr>
          <w:p w14:paraId="203BF73F" w14:textId="77777777" w:rsidR="006416A2" w:rsidRPr="005009AA"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-0.81</w:t>
            </w:r>
          </w:p>
          <w:p w14:paraId="378901FB"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0.12</w:t>
            </w:r>
          </w:p>
        </w:tc>
      </w:tr>
      <w:tr w:rsidR="006416A2" w:rsidRPr="005009AA" w14:paraId="43B9FE18" w14:textId="77777777" w:rsidTr="00FF1D46">
        <w:trPr>
          <w:trHeight w:val="320"/>
        </w:trPr>
        <w:tc>
          <w:tcPr>
            <w:cnfStyle w:val="001000000000" w:firstRow="0" w:lastRow="0" w:firstColumn="1" w:lastColumn="0" w:oddVBand="0" w:evenVBand="0" w:oddHBand="0" w:evenHBand="0" w:firstRowFirstColumn="0" w:firstRowLastColumn="0" w:lastRowFirstColumn="0" w:lastRowLastColumn="0"/>
            <w:tcW w:w="5000" w:type="pct"/>
            <w:gridSpan w:val="11"/>
            <w:tcBorders>
              <w:left w:val="single" w:sz="4" w:space="0" w:color="auto"/>
              <w:right w:val="single" w:sz="4" w:space="0" w:color="auto"/>
            </w:tcBorders>
            <w:noWrap/>
          </w:tcPr>
          <w:p w14:paraId="77A9AF60" w14:textId="77777777" w:rsidR="006416A2" w:rsidRPr="008566F3" w:rsidRDefault="006416A2" w:rsidP="00FF1D46">
            <w:pPr>
              <w:spacing w:line="360" w:lineRule="auto"/>
              <w:jc w:val="center"/>
              <w:rPr>
                <w:rFonts w:asciiTheme="minorHAnsi" w:eastAsia="Times New Roman" w:hAnsiTheme="minorHAnsi" w:cstheme="minorHAnsi"/>
                <w:i/>
                <w:iCs/>
                <w:color w:val="000000"/>
                <w:sz w:val="22"/>
                <w:szCs w:val="22"/>
                <w:lang w:eastAsia="en-GB"/>
              </w:rPr>
            </w:pPr>
            <w:r>
              <w:rPr>
                <w:rFonts w:asciiTheme="minorHAnsi" w:eastAsia="Times New Roman" w:hAnsiTheme="minorHAnsi" w:cstheme="minorHAnsi"/>
                <w:i/>
                <w:iCs/>
                <w:color w:val="000000"/>
                <w:sz w:val="22"/>
                <w:szCs w:val="22"/>
                <w:lang w:eastAsia="en-GB"/>
              </w:rPr>
              <w:t>p=.091</w:t>
            </w:r>
          </w:p>
        </w:tc>
      </w:tr>
      <w:tr w:rsidR="006416A2" w:rsidRPr="005009AA" w14:paraId="2C564ACC" w14:textId="77777777" w:rsidTr="00FF1D4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758" w:type="pct"/>
            <w:tcBorders>
              <w:left w:val="single" w:sz="4" w:space="0" w:color="auto"/>
            </w:tcBorders>
            <w:noWrap/>
            <w:hideMark/>
          </w:tcPr>
          <w:p w14:paraId="5155C140" w14:textId="77777777" w:rsidR="006416A2" w:rsidRPr="008566F3" w:rsidRDefault="006416A2" w:rsidP="00FF1D46">
            <w:pPr>
              <w:spacing w:line="360" w:lineRule="auto"/>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ACC</w:t>
            </w:r>
          </w:p>
        </w:tc>
        <w:tc>
          <w:tcPr>
            <w:tcW w:w="336" w:type="pct"/>
            <w:noWrap/>
            <w:hideMark/>
          </w:tcPr>
          <w:p w14:paraId="61E3889E"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0.34</w:t>
            </w:r>
          </w:p>
        </w:tc>
        <w:tc>
          <w:tcPr>
            <w:tcW w:w="453" w:type="pct"/>
            <w:noWrap/>
            <w:hideMark/>
          </w:tcPr>
          <w:p w14:paraId="70FD0377" w14:textId="77777777" w:rsidR="006416A2" w:rsidRPr="005009AA"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-0.57</w:t>
            </w:r>
          </w:p>
          <w:p w14:paraId="357AE5EA"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1.26</w:t>
            </w:r>
          </w:p>
        </w:tc>
        <w:tc>
          <w:tcPr>
            <w:tcW w:w="336" w:type="pct"/>
            <w:noWrap/>
            <w:hideMark/>
          </w:tcPr>
          <w:p w14:paraId="46D31B3F"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0.70</w:t>
            </w:r>
          </w:p>
        </w:tc>
        <w:tc>
          <w:tcPr>
            <w:tcW w:w="453" w:type="pct"/>
            <w:noWrap/>
            <w:hideMark/>
          </w:tcPr>
          <w:p w14:paraId="2BC9268A" w14:textId="77777777" w:rsidR="006416A2" w:rsidRPr="005009AA"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-0.33</w:t>
            </w:r>
          </w:p>
          <w:p w14:paraId="5ED85020"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1.72</w:t>
            </w:r>
          </w:p>
        </w:tc>
        <w:tc>
          <w:tcPr>
            <w:tcW w:w="374" w:type="pct"/>
            <w:noWrap/>
            <w:hideMark/>
          </w:tcPr>
          <w:p w14:paraId="2B86CD38"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-0.29</w:t>
            </w:r>
          </w:p>
        </w:tc>
        <w:tc>
          <w:tcPr>
            <w:tcW w:w="453" w:type="pct"/>
            <w:noWrap/>
            <w:hideMark/>
          </w:tcPr>
          <w:p w14:paraId="6D7B9EE7" w14:textId="77777777" w:rsidR="006416A2" w:rsidRPr="005009AA"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-0.89</w:t>
            </w:r>
          </w:p>
          <w:p w14:paraId="3A8C01A6"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0.31</w:t>
            </w:r>
          </w:p>
        </w:tc>
        <w:tc>
          <w:tcPr>
            <w:tcW w:w="374" w:type="pct"/>
            <w:noWrap/>
            <w:hideMark/>
          </w:tcPr>
          <w:p w14:paraId="28280F5A"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0.03</w:t>
            </w:r>
          </w:p>
        </w:tc>
        <w:tc>
          <w:tcPr>
            <w:tcW w:w="519" w:type="pct"/>
            <w:noWrap/>
            <w:hideMark/>
          </w:tcPr>
          <w:p w14:paraId="23E1C591" w14:textId="77777777" w:rsidR="006416A2" w:rsidRPr="005009AA"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-0.82</w:t>
            </w:r>
          </w:p>
          <w:p w14:paraId="2765054C"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0.88</w:t>
            </w:r>
          </w:p>
        </w:tc>
        <w:tc>
          <w:tcPr>
            <w:tcW w:w="374" w:type="pct"/>
            <w:noWrap/>
            <w:hideMark/>
          </w:tcPr>
          <w:p w14:paraId="6989023C"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-0.53</w:t>
            </w:r>
          </w:p>
        </w:tc>
        <w:tc>
          <w:tcPr>
            <w:tcW w:w="570" w:type="pct"/>
            <w:tcBorders>
              <w:right w:val="single" w:sz="4" w:space="0" w:color="auto"/>
            </w:tcBorders>
            <w:noWrap/>
            <w:hideMark/>
          </w:tcPr>
          <w:p w14:paraId="48279887" w14:textId="77777777" w:rsidR="006416A2" w:rsidRPr="005009AA"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-1.22</w:t>
            </w:r>
          </w:p>
          <w:p w14:paraId="32135FFD"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0.15</w:t>
            </w:r>
          </w:p>
        </w:tc>
      </w:tr>
      <w:tr w:rsidR="006416A2" w:rsidRPr="005009AA" w14:paraId="23E82FB9" w14:textId="77777777" w:rsidTr="00FF1D46">
        <w:trPr>
          <w:trHeight w:val="320"/>
        </w:trPr>
        <w:tc>
          <w:tcPr>
            <w:cnfStyle w:val="001000000000" w:firstRow="0" w:lastRow="0" w:firstColumn="1" w:lastColumn="0" w:oddVBand="0" w:evenVBand="0" w:oddHBand="0" w:evenHBand="0" w:firstRowFirstColumn="0" w:firstRowLastColumn="0" w:lastRowFirstColumn="0" w:lastRowLastColumn="0"/>
            <w:tcW w:w="5000" w:type="pct"/>
            <w:gridSpan w:val="11"/>
            <w:tcBorders>
              <w:left w:val="single" w:sz="4" w:space="0" w:color="auto"/>
              <w:right w:val="single" w:sz="4" w:space="0" w:color="auto"/>
            </w:tcBorders>
            <w:noWrap/>
          </w:tcPr>
          <w:p w14:paraId="05803E71" w14:textId="77777777" w:rsidR="006416A2" w:rsidRPr="008566F3" w:rsidRDefault="006416A2" w:rsidP="00FF1D46">
            <w:pPr>
              <w:spacing w:line="360" w:lineRule="auto"/>
              <w:jc w:val="center"/>
              <w:rPr>
                <w:rFonts w:asciiTheme="minorHAnsi" w:eastAsia="Times New Roman" w:hAnsiTheme="minorHAnsi" w:cstheme="minorHAnsi"/>
                <w:i/>
                <w:iCs/>
                <w:color w:val="000000"/>
                <w:sz w:val="22"/>
                <w:szCs w:val="22"/>
                <w:lang w:eastAsia="en-GB"/>
              </w:rPr>
            </w:pPr>
            <w:r>
              <w:rPr>
                <w:rFonts w:asciiTheme="minorHAnsi" w:eastAsia="Times New Roman" w:hAnsiTheme="minorHAnsi" w:cstheme="minorHAnsi"/>
                <w:i/>
                <w:iCs/>
                <w:color w:val="000000"/>
                <w:sz w:val="22"/>
                <w:szCs w:val="22"/>
                <w:lang w:eastAsia="en-GB"/>
              </w:rPr>
              <w:t>p=.139</w:t>
            </w:r>
          </w:p>
        </w:tc>
      </w:tr>
      <w:tr w:rsidR="006416A2" w:rsidRPr="005009AA" w14:paraId="0BE277BA" w14:textId="77777777" w:rsidTr="00FF1D4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758" w:type="pct"/>
            <w:tcBorders>
              <w:left w:val="single" w:sz="4" w:space="0" w:color="auto"/>
            </w:tcBorders>
            <w:noWrap/>
            <w:hideMark/>
          </w:tcPr>
          <w:p w14:paraId="1D7B884D" w14:textId="77777777" w:rsidR="006416A2" w:rsidRPr="008566F3" w:rsidRDefault="006416A2" w:rsidP="00FF1D46">
            <w:pPr>
              <w:spacing w:line="360" w:lineRule="auto"/>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POWM</w:t>
            </w:r>
          </w:p>
        </w:tc>
        <w:tc>
          <w:tcPr>
            <w:tcW w:w="336" w:type="pct"/>
            <w:noWrap/>
            <w:hideMark/>
          </w:tcPr>
          <w:p w14:paraId="2728BF60"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0.58</w:t>
            </w:r>
          </w:p>
        </w:tc>
        <w:tc>
          <w:tcPr>
            <w:tcW w:w="453" w:type="pct"/>
            <w:noWrap/>
            <w:hideMark/>
          </w:tcPr>
          <w:p w14:paraId="614291B3" w14:textId="77777777" w:rsidR="006416A2" w:rsidRPr="005009AA"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-0.25</w:t>
            </w:r>
          </w:p>
          <w:p w14:paraId="51DC7956"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1.40</w:t>
            </w:r>
          </w:p>
        </w:tc>
        <w:tc>
          <w:tcPr>
            <w:tcW w:w="336" w:type="pct"/>
            <w:noWrap/>
            <w:hideMark/>
          </w:tcPr>
          <w:p w14:paraId="1227B502"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0.76</w:t>
            </w:r>
          </w:p>
        </w:tc>
        <w:tc>
          <w:tcPr>
            <w:tcW w:w="453" w:type="pct"/>
            <w:noWrap/>
            <w:hideMark/>
          </w:tcPr>
          <w:p w14:paraId="1857BC43" w14:textId="77777777" w:rsidR="006416A2" w:rsidRPr="005009AA"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-0.16</w:t>
            </w:r>
          </w:p>
          <w:p w14:paraId="78DE0218"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1.68</w:t>
            </w:r>
          </w:p>
        </w:tc>
        <w:tc>
          <w:tcPr>
            <w:tcW w:w="374" w:type="pct"/>
            <w:noWrap/>
            <w:hideMark/>
          </w:tcPr>
          <w:p w14:paraId="780355EA"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-0.07</w:t>
            </w:r>
          </w:p>
        </w:tc>
        <w:tc>
          <w:tcPr>
            <w:tcW w:w="453" w:type="pct"/>
            <w:noWrap/>
            <w:hideMark/>
          </w:tcPr>
          <w:p w14:paraId="3303F44F" w14:textId="77777777" w:rsidR="006416A2" w:rsidRPr="005009AA"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-0.61</w:t>
            </w:r>
          </w:p>
          <w:p w14:paraId="39C04FBE"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0.47</w:t>
            </w:r>
          </w:p>
        </w:tc>
        <w:tc>
          <w:tcPr>
            <w:tcW w:w="374" w:type="pct"/>
            <w:noWrap/>
            <w:hideMark/>
          </w:tcPr>
          <w:p w14:paraId="21C00C15"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0.33</w:t>
            </w:r>
          </w:p>
        </w:tc>
        <w:tc>
          <w:tcPr>
            <w:tcW w:w="519" w:type="pct"/>
            <w:noWrap/>
            <w:hideMark/>
          </w:tcPr>
          <w:p w14:paraId="5F9C5639" w14:textId="77777777" w:rsidR="006416A2" w:rsidRPr="005009AA"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-0.44</w:t>
            </w:r>
          </w:p>
          <w:p w14:paraId="0BA4A552"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1.10</w:t>
            </w:r>
          </w:p>
        </w:tc>
        <w:tc>
          <w:tcPr>
            <w:tcW w:w="374" w:type="pct"/>
            <w:noWrap/>
            <w:hideMark/>
          </w:tcPr>
          <w:p w14:paraId="466701BF"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-0.54</w:t>
            </w:r>
          </w:p>
        </w:tc>
        <w:tc>
          <w:tcPr>
            <w:tcW w:w="570" w:type="pct"/>
            <w:tcBorders>
              <w:right w:val="single" w:sz="4" w:space="0" w:color="auto"/>
            </w:tcBorders>
            <w:noWrap/>
            <w:hideMark/>
          </w:tcPr>
          <w:p w14:paraId="78BAD6BF" w14:textId="77777777" w:rsidR="006416A2" w:rsidRPr="005009AA"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-1.16</w:t>
            </w:r>
          </w:p>
          <w:p w14:paraId="32CD5FD7"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0.07</w:t>
            </w:r>
          </w:p>
        </w:tc>
      </w:tr>
      <w:tr w:rsidR="006416A2" w:rsidRPr="005009AA" w14:paraId="4DFAD786" w14:textId="77777777" w:rsidTr="00FF1D46">
        <w:trPr>
          <w:trHeight w:val="320"/>
        </w:trPr>
        <w:tc>
          <w:tcPr>
            <w:cnfStyle w:val="001000000000" w:firstRow="0" w:lastRow="0" w:firstColumn="1" w:lastColumn="0" w:oddVBand="0" w:evenVBand="0" w:oddHBand="0" w:evenHBand="0" w:firstRowFirstColumn="0" w:firstRowLastColumn="0" w:lastRowFirstColumn="0" w:lastRowLastColumn="0"/>
            <w:tcW w:w="5000" w:type="pct"/>
            <w:gridSpan w:val="11"/>
            <w:tcBorders>
              <w:left w:val="single" w:sz="4" w:space="0" w:color="auto"/>
              <w:right w:val="single" w:sz="4" w:space="0" w:color="auto"/>
            </w:tcBorders>
            <w:noWrap/>
          </w:tcPr>
          <w:p w14:paraId="0A17CC07" w14:textId="77777777" w:rsidR="006416A2" w:rsidRPr="008566F3" w:rsidRDefault="006416A2" w:rsidP="00FF1D46">
            <w:pPr>
              <w:spacing w:line="360" w:lineRule="auto"/>
              <w:jc w:val="center"/>
              <w:rPr>
                <w:rFonts w:asciiTheme="minorHAnsi" w:eastAsia="Times New Roman" w:hAnsiTheme="minorHAnsi" w:cstheme="minorHAnsi"/>
                <w:i/>
                <w:iCs/>
                <w:color w:val="000000"/>
                <w:sz w:val="22"/>
                <w:szCs w:val="22"/>
                <w:lang w:eastAsia="en-GB"/>
              </w:rPr>
            </w:pPr>
            <w:r>
              <w:rPr>
                <w:rFonts w:asciiTheme="minorHAnsi" w:eastAsia="Times New Roman" w:hAnsiTheme="minorHAnsi" w:cstheme="minorHAnsi"/>
                <w:i/>
                <w:iCs/>
                <w:color w:val="000000"/>
                <w:sz w:val="22"/>
                <w:szCs w:val="22"/>
                <w:lang w:eastAsia="en-GB"/>
              </w:rPr>
              <w:t>p=.151</w:t>
            </w:r>
          </w:p>
        </w:tc>
      </w:tr>
      <w:tr w:rsidR="006416A2" w:rsidRPr="005009AA" w14:paraId="74E563D8" w14:textId="77777777" w:rsidTr="00FF1D4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758" w:type="pct"/>
            <w:tcBorders>
              <w:left w:val="single" w:sz="4" w:space="0" w:color="auto"/>
            </w:tcBorders>
            <w:noWrap/>
            <w:hideMark/>
          </w:tcPr>
          <w:p w14:paraId="2B2B0540" w14:textId="77777777" w:rsidR="006416A2" w:rsidRPr="008566F3" w:rsidRDefault="006416A2" w:rsidP="00FF1D46">
            <w:pPr>
              <w:spacing w:line="360" w:lineRule="auto"/>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LPSC</w:t>
            </w:r>
          </w:p>
        </w:tc>
        <w:tc>
          <w:tcPr>
            <w:tcW w:w="336" w:type="pct"/>
            <w:noWrap/>
            <w:hideMark/>
          </w:tcPr>
          <w:p w14:paraId="2C752C5D"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0.36</w:t>
            </w:r>
          </w:p>
        </w:tc>
        <w:tc>
          <w:tcPr>
            <w:tcW w:w="453" w:type="pct"/>
            <w:noWrap/>
            <w:hideMark/>
          </w:tcPr>
          <w:p w14:paraId="2633A389" w14:textId="77777777" w:rsidR="006416A2" w:rsidRPr="005009AA"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-0.32</w:t>
            </w:r>
          </w:p>
          <w:p w14:paraId="261577A4"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1.05</w:t>
            </w:r>
          </w:p>
        </w:tc>
        <w:tc>
          <w:tcPr>
            <w:tcW w:w="336" w:type="pct"/>
            <w:noWrap/>
            <w:hideMark/>
          </w:tcPr>
          <w:p w14:paraId="209BA340"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0.76</w:t>
            </w:r>
          </w:p>
        </w:tc>
        <w:tc>
          <w:tcPr>
            <w:tcW w:w="453" w:type="pct"/>
            <w:noWrap/>
            <w:hideMark/>
          </w:tcPr>
          <w:p w14:paraId="0DD28B78" w14:textId="77777777" w:rsidR="006416A2" w:rsidRPr="005009AA"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-0.01</w:t>
            </w:r>
          </w:p>
          <w:p w14:paraId="613D3D6E"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1.53</w:t>
            </w:r>
          </w:p>
        </w:tc>
        <w:tc>
          <w:tcPr>
            <w:tcW w:w="374" w:type="pct"/>
            <w:noWrap/>
            <w:hideMark/>
          </w:tcPr>
          <w:p w14:paraId="056A7FB4"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0.06</w:t>
            </w:r>
          </w:p>
        </w:tc>
        <w:tc>
          <w:tcPr>
            <w:tcW w:w="453" w:type="pct"/>
            <w:noWrap/>
            <w:hideMark/>
          </w:tcPr>
          <w:p w14:paraId="61B1CE97" w14:textId="77777777" w:rsidR="006416A2" w:rsidRPr="005009AA"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-0.39</w:t>
            </w:r>
          </w:p>
          <w:p w14:paraId="7D4F6B84"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0.51</w:t>
            </w:r>
          </w:p>
        </w:tc>
        <w:tc>
          <w:tcPr>
            <w:tcW w:w="374" w:type="pct"/>
            <w:noWrap/>
            <w:hideMark/>
          </w:tcPr>
          <w:p w14:paraId="6ADCA009"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0.18</w:t>
            </w:r>
          </w:p>
        </w:tc>
        <w:tc>
          <w:tcPr>
            <w:tcW w:w="519" w:type="pct"/>
            <w:noWrap/>
            <w:hideMark/>
          </w:tcPr>
          <w:p w14:paraId="2CF4677E" w14:textId="77777777" w:rsidR="006416A2" w:rsidRPr="005009AA"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-0.46</w:t>
            </w:r>
          </w:p>
          <w:p w14:paraId="373307BE"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0.82</w:t>
            </w:r>
          </w:p>
        </w:tc>
        <w:tc>
          <w:tcPr>
            <w:tcW w:w="374" w:type="pct"/>
            <w:noWrap/>
            <w:hideMark/>
          </w:tcPr>
          <w:p w14:paraId="3BBCDBFD"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-0.54</w:t>
            </w:r>
          </w:p>
        </w:tc>
        <w:tc>
          <w:tcPr>
            <w:tcW w:w="570" w:type="pct"/>
            <w:tcBorders>
              <w:right w:val="single" w:sz="4" w:space="0" w:color="auto"/>
            </w:tcBorders>
            <w:noWrap/>
            <w:hideMark/>
          </w:tcPr>
          <w:p w14:paraId="57505C30" w14:textId="77777777" w:rsidR="006416A2" w:rsidRPr="005009AA"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-1.05</w:t>
            </w:r>
          </w:p>
          <w:p w14:paraId="40ED9121"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-0.03</w:t>
            </w:r>
          </w:p>
        </w:tc>
      </w:tr>
      <w:tr w:rsidR="006416A2" w:rsidRPr="005009AA" w14:paraId="355D1E18" w14:textId="77777777" w:rsidTr="00FF1D46">
        <w:trPr>
          <w:trHeight w:val="320"/>
        </w:trPr>
        <w:tc>
          <w:tcPr>
            <w:cnfStyle w:val="001000000000" w:firstRow="0" w:lastRow="0" w:firstColumn="1" w:lastColumn="0" w:oddVBand="0" w:evenVBand="0" w:oddHBand="0" w:evenHBand="0" w:firstRowFirstColumn="0" w:firstRowLastColumn="0" w:lastRowFirstColumn="0" w:lastRowLastColumn="0"/>
            <w:tcW w:w="5000" w:type="pct"/>
            <w:gridSpan w:val="11"/>
            <w:tcBorders>
              <w:left w:val="single" w:sz="4" w:space="0" w:color="auto"/>
              <w:right w:val="single" w:sz="4" w:space="0" w:color="auto"/>
            </w:tcBorders>
            <w:noWrap/>
          </w:tcPr>
          <w:p w14:paraId="1F3452E7" w14:textId="77777777" w:rsidR="006416A2" w:rsidRPr="008566F3" w:rsidRDefault="006416A2" w:rsidP="00FF1D46">
            <w:pPr>
              <w:spacing w:line="360" w:lineRule="auto"/>
              <w:jc w:val="center"/>
              <w:rPr>
                <w:rFonts w:asciiTheme="minorHAnsi" w:eastAsia="Times New Roman" w:hAnsiTheme="minorHAnsi" w:cstheme="minorHAnsi"/>
                <w:i/>
                <w:iCs/>
                <w:color w:val="000000"/>
                <w:sz w:val="22"/>
                <w:szCs w:val="22"/>
                <w:lang w:eastAsia="en-GB"/>
              </w:rPr>
            </w:pPr>
            <w:r>
              <w:rPr>
                <w:rFonts w:asciiTheme="minorHAnsi" w:eastAsia="Times New Roman" w:hAnsiTheme="minorHAnsi" w:cstheme="minorHAnsi"/>
                <w:i/>
                <w:iCs/>
                <w:color w:val="000000"/>
                <w:sz w:val="22"/>
                <w:szCs w:val="22"/>
                <w:lang w:eastAsia="en-GB"/>
              </w:rPr>
              <w:t>p=.019</w:t>
            </w:r>
          </w:p>
        </w:tc>
      </w:tr>
      <w:tr w:rsidR="006416A2" w:rsidRPr="005009AA" w14:paraId="083E2ACD" w14:textId="77777777" w:rsidTr="00FF1D4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758" w:type="pct"/>
            <w:tcBorders>
              <w:left w:val="single" w:sz="4" w:space="0" w:color="auto"/>
            </w:tcBorders>
            <w:noWrap/>
            <w:hideMark/>
          </w:tcPr>
          <w:p w14:paraId="50583EB5" w14:textId="77777777" w:rsidR="006416A2" w:rsidRPr="008566F3" w:rsidRDefault="006416A2" w:rsidP="00FF1D46">
            <w:pPr>
              <w:spacing w:line="360" w:lineRule="auto"/>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RPSC</w:t>
            </w:r>
          </w:p>
        </w:tc>
        <w:tc>
          <w:tcPr>
            <w:tcW w:w="336" w:type="pct"/>
            <w:noWrap/>
            <w:hideMark/>
          </w:tcPr>
          <w:p w14:paraId="646A843D"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0.40</w:t>
            </w:r>
          </w:p>
        </w:tc>
        <w:tc>
          <w:tcPr>
            <w:tcW w:w="453" w:type="pct"/>
            <w:noWrap/>
            <w:hideMark/>
          </w:tcPr>
          <w:p w14:paraId="655FF3DF" w14:textId="77777777" w:rsidR="006416A2" w:rsidRPr="005009AA"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-0.27</w:t>
            </w:r>
          </w:p>
          <w:p w14:paraId="2D1B9871"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1.07</w:t>
            </w:r>
          </w:p>
        </w:tc>
        <w:tc>
          <w:tcPr>
            <w:tcW w:w="336" w:type="pct"/>
            <w:noWrap/>
            <w:hideMark/>
          </w:tcPr>
          <w:p w14:paraId="16B3E625"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0.95</w:t>
            </w:r>
          </w:p>
        </w:tc>
        <w:tc>
          <w:tcPr>
            <w:tcW w:w="453" w:type="pct"/>
            <w:noWrap/>
            <w:hideMark/>
          </w:tcPr>
          <w:p w14:paraId="0E90CAAC" w14:textId="77777777" w:rsidR="006416A2" w:rsidRPr="005009AA"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0.20</w:t>
            </w:r>
          </w:p>
          <w:p w14:paraId="63BBE8EC"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1.70</w:t>
            </w:r>
          </w:p>
        </w:tc>
        <w:tc>
          <w:tcPr>
            <w:tcW w:w="374" w:type="pct"/>
            <w:noWrap/>
            <w:hideMark/>
          </w:tcPr>
          <w:p w14:paraId="3AE387AB"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0.09</w:t>
            </w:r>
          </w:p>
        </w:tc>
        <w:tc>
          <w:tcPr>
            <w:tcW w:w="453" w:type="pct"/>
            <w:noWrap/>
            <w:hideMark/>
          </w:tcPr>
          <w:p w14:paraId="45D86E1B" w14:textId="77777777" w:rsidR="006416A2" w:rsidRPr="005009AA"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-0.35</w:t>
            </w:r>
          </w:p>
          <w:p w14:paraId="1B04EA7C"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0.53</w:t>
            </w:r>
          </w:p>
        </w:tc>
        <w:tc>
          <w:tcPr>
            <w:tcW w:w="374" w:type="pct"/>
            <w:noWrap/>
            <w:hideMark/>
          </w:tcPr>
          <w:p w14:paraId="26A4675F"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0.23</w:t>
            </w:r>
          </w:p>
        </w:tc>
        <w:tc>
          <w:tcPr>
            <w:tcW w:w="519" w:type="pct"/>
            <w:noWrap/>
            <w:hideMark/>
          </w:tcPr>
          <w:p w14:paraId="0C1E7691" w14:textId="77777777" w:rsidR="006416A2" w:rsidRPr="005009AA"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-0.40</w:t>
            </w:r>
          </w:p>
          <w:p w14:paraId="07B73DFE"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0.86</w:t>
            </w:r>
          </w:p>
        </w:tc>
        <w:tc>
          <w:tcPr>
            <w:tcW w:w="374" w:type="pct"/>
            <w:noWrap/>
            <w:hideMark/>
          </w:tcPr>
          <w:p w14:paraId="1BD1FE49"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-0.52</w:t>
            </w:r>
          </w:p>
        </w:tc>
        <w:tc>
          <w:tcPr>
            <w:tcW w:w="570" w:type="pct"/>
            <w:tcBorders>
              <w:right w:val="single" w:sz="4" w:space="0" w:color="auto"/>
            </w:tcBorders>
            <w:noWrap/>
            <w:hideMark/>
          </w:tcPr>
          <w:p w14:paraId="6214F528" w14:textId="77777777" w:rsidR="006416A2" w:rsidRPr="005009AA"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-1.02</w:t>
            </w:r>
          </w:p>
          <w:p w14:paraId="590DFA0A" w14:textId="77777777" w:rsidR="006416A2" w:rsidRPr="008566F3" w:rsidRDefault="006416A2" w:rsidP="00FF1D4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8566F3">
              <w:rPr>
                <w:rFonts w:asciiTheme="minorHAnsi" w:eastAsia="Times New Roman" w:hAnsiTheme="minorHAnsi" w:cstheme="minorHAnsi"/>
                <w:i/>
                <w:iCs/>
                <w:color w:val="000000"/>
                <w:sz w:val="22"/>
                <w:szCs w:val="22"/>
                <w:lang w:eastAsia="en-GB"/>
              </w:rPr>
              <w:t>-0.01</w:t>
            </w:r>
          </w:p>
        </w:tc>
      </w:tr>
      <w:tr w:rsidR="006416A2" w:rsidRPr="005009AA" w14:paraId="208A4ADD" w14:textId="77777777" w:rsidTr="00FF1D46">
        <w:trPr>
          <w:trHeight w:val="320"/>
        </w:trPr>
        <w:tc>
          <w:tcPr>
            <w:cnfStyle w:val="001000000000" w:firstRow="0" w:lastRow="0" w:firstColumn="1" w:lastColumn="0" w:oddVBand="0" w:evenVBand="0" w:oddHBand="0" w:evenHBand="0" w:firstRowFirstColumn="0" w:firstRowLastColumn="0" w:lastRowFirstColumn="0" w:lastRowLastColumn="0"/>
            <w:tcW w:w="5000" w:type="pct"/>
            <w:gridSpan w:val="11"/>
            <w:tcBorders>
              <w:left w:val="single" w:sz="4" w:space="0" w:color="auto"/>
              <w:bottom w:val="single" w:sz="4" w:space="0" w:color="auto"/>
              <w:right w:val="single" w:sz="4" w:space="0" w:color="auto"/>
            </w:tcBorders>
            <w:noWrap/>
          </w:tcPr>
          <w:p w14:paraId="53FCB3CB" w14:textId="77777777" w:rsidR="006416A2" w:rsidRPr="008566F3" w:rsidRDefault="006416A2" w:rsidP="00FF1D46">
            <w:pPr>
              <w:spacing w:line="360" w:lineRule="auto"/>
              <w:jc w:val="center"/>
              <w:rPr>
                <w:rFonts w:asciiTheme="minorHAnsi" w:eastAsia="Times New Roman" w:hAnsiTheme="minorHAnsi" w:cstheme="minorHAnsi"/>
                <w:i/>
                <w:iCs/>
                <w:color w:val="000000"/>
                <w:sz w:val="22"/>
                <w:szCs w:val="22"/>
                <w:lang w:eastAsia="en-GB"/>
              </w:rPr>
            </w:pPr>
            <w:r>
              <w:rPr>
                <w:rFonts w:asciiTheme="minorHAnsi" w:eastAsia="Times New Roman" w:hAnsiTheme="minorHAnsi" w:cstheme="minorHAnsi"/>
                <w:i/>
                <w:iCs/>
                <w:color w:val="000000"/>
                <w:sz w:val="22"/>
                <w:szCs w:val="22"/>
                <w:lang w:eastAsia="en-GB"/>
              </w:rPr>
              <w:t>p=.013</w:t>
            </w:r>
          </w:p>
        </w:tc>
      </w:tr>
    </w:tbl>
    <w:p w14:paraId="7466CB23" w14:textId="77777777" w:rsidR="006416A2" w:rsidRDefault="006416A2" w:rsidP="006416A2">
      <w:pPr>
        <w:rPr>
          <w:rFonts w:asciiTheme="minorHAnsi" w:hAnsiTheme="minorHAnsi" w:cstheme="minorHAnsi"/>
          <w:i/>
          <w:color w:val="808080"/>
          <w:sz w:val="21"/>
          <w:szCs w:val="21"/>
        </w:rPr>
      </w:pPr>
      <w:proofErr w:type="spellStart"/>
      <w:r>
        <w:rPr>
          <w:rFonts w:asciiTheme="minorHAnsi" w:hAnsiTheme="minorHAnsi" w:cstheme="minorHAnsi"/>
          <w:i/>
          <w:color w:val="808080"/>
          <w:sz w:val="21"/>
          <w:szCs w:val="21"/>
          <w:vertAlign w:val="superscript"/>
        </w:rPr>
        <w:t>a</w:t>
      </w:r>
      <w:r>
        <w:rPr>
          <w:rFonts w:asciiTheme="minorHAnsi" w:hAnsiTheme="minorHAnsi" w:cstheme="minorHAnsi"/>
          <w:i/>
          <w:color w:val="808080"/>
          <w:sz w:val="21"/>
          <w:szCs w:val="21"/>
        </w:rPr>
        <w:t>Model</w:t>
      </w:r>
      <w:proofErr w:type="spellEnd"/>
      <w:r>
        <w:rPr>
          <w:rFonts w:asciiTheme="minorHAnsi" w:hAnsiTheme="minorHAnsi" w:cstheme="minorHAnsi"/>
          <w:i/>
          <w:color w:val="808080"/>
          <w:sz w:val="21"/>
          <w:szCs w:val="21"/>
        </w:rPr>
        <w:t xml:space="preserve"> contains the following factors group, LIKERT and group vs LIKERT,</w:t>
      </w:r>
    </w:p>
    <w:p w14:paraId="268BE92A" w14:textId="77777777" w:rsidR="006416A2" w:rsidRPr="008A4658" w:rsidRDefault="006416A2" w:rsidP="006416A2">
      <w:pPr>
        <w:rPr>
          <w:rFonts w:asciiTheme="minorHAnsi" w:hAnsiTheme="minorHAnsi" w:cstheme="minorHAnsi"/>
          <w:i/>
          <w:color w:val="808080"/>
          <w:sz w:val="21"/>
          <w:szCs w:val="21"/>
        </w:rPr>
      </w:pPr>
      <w:r w:rsidRPr="008A4658">
        <w:rPr>
          <w:rFonts w:asciiTheme="minorHAnsi" w:hAnsiTheme="minorHAnsi" w:cstheme="minorHAnsi"/>
          <w:i/>
          <w:color w:val="808080"/>
          <w:sz w:val="21"/>
          <w:szCs w:val="21"/>
        </w:rPr>
        <w:t>*</w:t>
      </w:r>
      <w:r>
        <w:rPr>
          <w:rFonts w:asciiTheme="minorHAnsi" w:hAnsiTheme="minorHAnsi" w:cstheme="minorHAnsi"/>
          <w:i/>
          <w:color w:val="808080"/>
          <w:sz w:val="21"/>
          <w:szCs w:val="21"/>
        </w:rPr>
        <w:t xml:space="preserve"> Δ</w:t>
      </w:r>
      <w:r w:rsidRPr="008A4658">
        <w:rPr>
          <w:rFonts w:asciiTheme="minorHAnsi" w:hAnsiTheme="minorHAnsi" w:cstheme="minorHAnsi"/>
          <w:i/>
          <w:color w:val="808080"/>
          <w:sz w:val="21"/>
          <w:szCs w:val="21"/>
        </w:rPr>
        <w:t xml:space="preserve"> TTP </w:t>
      </w:r>
      <w:r>
        <w:rPr>
          <w:rFonts w:asciiTheme="minorHAnsi" w:hAnsiTheme="minorHAnsi" w:cstheme="minorHAnsi"/>
          <w:i/>
          <w:color w:val="808080"/>
          <w:sz w:val="21"/>
          <w:szCs w:val="21"/>
        </w:rPr>
        <w:t>LThal</w:t>
      </w:r>
      <w:r w:rsidRPr="008A4658">
        <w:rPr>
          <w:rFonts w:asciiTheme="minorHAnsi" w:hAnsiTheme="minorHAnsi" w:cstheme="minorHAnsi"/>
          <w:i/>
          <w:color w:val="808080"/>
          <w:sz w:val="21"/>
          <w:szCs w:val="21"/>
        </w:rPr>
        <w:t xml:space="preserve">: </w:t>
      </w:r>
      <w:r>
        <w:rPr>
          <w:rFonts w:asciiTheme="minorHAnsi" w:hAnsiTheme="minorHAnsi" w:cstheme="minorHAnsi"/>
          <w:i/>
          <w:color w:val="808080"/>
          <w:sz w:val="21"/>
          <w:szCs w:val="21"/>
        </w:rPr>
        <w:t>no post Hoc significance</w:t>
      </w:r>
      <w:r w:rsidRPr="008A4658">
        <w:rPr>
          <w:rFonts w:asciiTheme="minorHAnsi" w:hAnsiTheme="minorHAnsi" w:cstheme="minorHAnsi"/>
          <w:i/>
          <w:color w:val="808080"/>
          <w:sz w:val="21"/>
          <w:szCs w:val="21"/>
        </w:rPr>
        <w:t xml:space="preserve">,  </w:t>
      </w:r>
      <w:r>
        <w:rPr>
          <w:rFonts w:asciiTheme="minorHAnsi" w:hAnsiTheme="minorHAnsi" w:cstheme="minorHAnsi"/>
          <w:i/>
          <w:color w:val="808080"/>
          <w:sz w:val="21"/>
          <w:szCs w:val="21"/>
        </w:rPr>
        <w:t>Δ</w:t>
      </w:r>
      <w:r w:rsidRPr="008A4658">
        <w:rPr>
          <w:rFonts w:asciiTheme="minorHAnsi" w:hAnsiTheme="minorHAnsi" w:cstheme="minorHAnsi"/>
          <w:i/>
          <w:color w:val="808080"/>
          <w:sz w:val="21"/>
          <w:szCs w:val="21"/>
        </w:rPr>
        <w:t xml:space="preserve"> TTP </w:t>
      </w:r>
      <w:proofErr w:type="spellStart"/>
      <w:r>
        <w:rPr>
          <w:rFonts w:asciiTheme="minorHAnsi" w:hAnsiTheme="minorHAnsi" w:cstheme="minorHAnsi"/>
          <w:i/>
          <w:color w:val="808080"/>
          <w:sz w:val="21"/>
          <w:szCs w:val="21"/>
        </w:rPr>
        <w:t>RThal</w:t>
      </w:r>
      <w:proofErr w:type="spellEnd"/>
      <w:r w:rsidRPr="008A4658">
        <w:rPr>
          <w:rFonts w:asciiTheme="minorHAnsi" w:hAnsiTheme="minorHAnsi" w:cstheme="minorHAnsi"/>
          <w:i/>
          <w:color w:val="808080"/>
          <w:sz w:val="21"/>
          <w:szCs w:val="21"/>
        </w:rPr>
        <w:t>: P- vs HV p=.0</w:t>
      </w:r>
      <w:r>
        <w:rPr>
          <w:rFonts w:asciiTheme="minorHAnsi" w:hAnsiTheme="minorHAnsi" w:cstheme="minorHAnsi"/>
          <w:i/>
          <w:color w:val="808080"/>
          <w:sz w:val="21"/>
          <w:szCs w:val="21"/>
        </w:rPr>
        <w:t>22</w:t>
      </w:r>
      <w:r w:rsidRPr="008A4658">
        <w:rPr>
          <w:rFonts w:asciiTheme="minorHAnsi" w:hAnsiTheme="minorHAnsi" w:cstheme="minorHAnsi"/>
          <w:i/>
          <w:color w:val="808080"/>
          <w:sz w:val="21"/>
          <w:szCs w:val="21"/>
        </w:rPr>
        <w:t xml:space="preserve">,  </w:t>
      </w:r>
      <w:r>
        <w:rPr>
          <w:rFonts w:asciiTheme="minorHAnsi" w:hAnsiTheme="minorHAnsi" w:cstheme="minorHAnsi"/>
          <w:i/>
          <w:color w:val="808080"/>
          <w:sz w:val="21"/>
          <w:szCs w:val="21"/>
        </w:rPr>
        <w:t>Δ</w:t>
      </w:r>
      <w:r w:rsidRPr="008A4658">
        <w:rPr>
          <w:rFonts w:asciiTheme="minorHAnsi" w:hAnsiTheme="minorHAnsi" w:cstheme="minorHAnsi"/>
          <w:i/>
          <w:color w:val="808080"/>
          <w:sz w:val="21"/>
          <w:szCs w:val="21"/>
        </w:rPr>
        <w:t xml:space="preserve"> TTP LINS: </w:t>
      </w:r>
      <w:r>
        <w:rPr>
          <w:rFonts w:asciiTheme="minorHAnsi" w:hAnsiTheme="minorHAnsi" w:cstheme="minorHAnsi"/>
          <w:i/>
          <w:color w:val="808080"/>
          <w:sz w:val="21"/>
          <w:szCs w:val="21"/>
        </w:rPr>
        <w:t>no post Hoc significance</w:t>
      </w:r>
      <w:r w:rsidRPr="008A4658">
        <w:rPr>
          <w:rFonts w:asciiTheme="minorHAnsi" w:hAnsiTheme="minorHAnsi" w:cstheme="minorHAnsi"/>
          <w:i/>
          <w:color w:val="808080"/>
          <w:sz w:val="21"/>
          <w:szCs w:val="21"/>
        </w:rPr>
        <w:t xml:space="preserve">, </w:t>
      </w:r>
      <w:r>
        <w:rPr>
          <w:rFonts w:asciiTheme="minorHAnsi" w:hAnsiTheme="minorHAnsi" w:cstheme="minorHAnsi"/>
          <w:i/>
          <w:color w:val="808080"/>
          <w:sz w:val="21"/>
          <w:szCs w:val="21"/>
        </w:rPr>
        <w:t>Δ</w:t>
      </w:r>
      <w:r w:rsidRPr="008A4658">
        <w:rPr>
          <w:rFonts w:asciiTheme="minorHAnsi" w:hAnsiTheme="minorHAnsi" w:cstheme="minorHAnsi"/>
          <w:i/>
          <w:color w:val="808080"/>
          <w:sz w:val="21"/>
          <w:szCs w:val="21"/>
        </w:rPr>
        <w:t xml:space="preserve"> TTP LPSC: </w:t>
      </w:r>
      <w:r>
        <w:rPr>
          <w:rFonts w:asciiTheme="minorHAnsi" w:hAnsiTheme="minorHAnsi" w:cstheme="minorHAnsi"/>
          <w:i/>
          <w:color w:val="808080"/>
          <w:sz w:val="21"/>
          <w:szCs w:val="21"/>
        </w:rPr>
        <w:t>no post Hoc significance</w:t>
      </w:r>
      <w:r w:rsidRPr="008A4658">
        <w:rPr>
          <w:rFonts w:asciiTheme="minorHAnsi" w:hAnsiTheme="minorHAnsi" w:cstheme="minorHAnsi"/>
          <w:i/>
          <w:color w:val="808080"/>
          <w:sz w:val="21"/>
          <w:szCs w:val="21"/>
        </w:rPr>
        <w:t xml:space="preserve">, </w:t>
      </w:r>
      <w:r>
        <w:rPr>
          <w:rFonts w:asciiTheme="minorHAnsi" w:hAnsiTheme="minorHAnsi" w:cstheme="minorHAnsi"/>
          <w:i/>
          <w:color w:val="808080"/>
          <w:sz w:val="21"/>
          <w:szCs w:val="21"/>
        </w:rPr>
        <w:t>Δ</w:t>
      </w:r>
      <w:r w:rsidRPr="008A4658">
        <w:rPr>
          <w:rFonts w:asciiTheme="minorHAnsi" w:hAnsiTheme="minorHAnsi" w:cstheme="minorHAnsi"/>
          <w:i/>
          <w:color w:val="808080"/>
          <w:sz w:val="21"/>
          <w:szCs w:val="21"/>
        </w:rPr>
        <w:t xml:space="preserve"> TTP RPSC P-DPN vs HV p=.01</w:t>
      </w:r>
      <w:r>
        <w:rPr>
          <w:rFonts w:asciiTheme="minorHAnsi" w:hAnsiTheme="minorHAnsi" w:cstheme="minorHAnsi"/>
          <w:i/>
          <w:color w:val="808080"/>
          <w:sz w:val="21"/>
          <w:szCs w:val="21"/>
        </w:rPr>
        <w:t>9</w:t>
      </w:r>
    </w:p>
    <w:p w14:paraId="607CB604" w14:textId="77777777" w:rsidR="006416A2" w:rsidRDefault="006416A2" w:rsidP="006416A2">
      <w:pPr>
        <w:spacing w:line="360" w:lineRule="auto"/>
      </w:pPr>
    </w:p>
    <w:p w14:paraId="2B5F956A" w14:textId="06E1AD94" w:rsidR="006416A2" w:rsidRDefault="006416A2" w:rsidP="009F58A0">
      <w:pPr>
        <w:pStyle w:val="Subtitle"/>
      </w:pPr>
      <w:bookmarkStart w:id="495" w:name="_Toc48469312"/>
      <w:bookmarkStart w:id="496" w:name="_Toc64724223"/>
      <w:r w:rsidRPr="00BB75E6">
        <w:lastRenderedPageBreak/>
        <w:t xml:space="preserve">Figure </w:t>
      </w:r>
      <w:r>
        <w:t>5.18</w:t>
      </w:r>
      <w:r w:rsidRPr="00BB75E6">
        <w:t xml:space="preserve">. 95% Confidence </w:t>
      </w:r>
      <w:r w:rsidR="00104C5A">
        <w:t>I</w:t>
      </w:r>
      <w:r w:rsidRPr="00BB75E6">
        <w:t xml:space="preserve">ntervals for the Group means and Regions of Interest for </w:t>
      </w:r>
      <w:r>
        <w:t>Δ</w:t>
      </w:r>
      <w:r w:rsidRPr="00BB75E6">
        <w:t xml:space="preserve"> TTP(s) </w:t>
      </w:r>
      <w:r>
        <w:t>Adjusted</w:t>
      </w:r>
      <w:r w:rsidRPr="00BB75E6">
        <w:t xml:space="preserve"> for </w:t>
      </w:r>
      <w:r>
        <w:t>LIKERT by group, with P+ and P-.</w:t>
      </w:r>
      <w:bookmarkEnd w:id="495"/>
      <w:bookmarkEnd w:id="496"/>
    </w:p>
    <w:p w14:paraId="0137BFC0" w14:textId="68497611" w:rsidR="006416A2" w:rsidRDefault="006416A2" w:rsidP="006416A2">
      <w:pPr>
        <w:spacing w:line="360" w:lineRule="auto"/>
      </w:pPr>
      <w:r w:rsidRPr="00D66365">
        <w:rPr>
          <w:noProof/>
        </w:rPr>
        <w:drawing>
          <wp:inline distT="0" distB="0" distL="0" distR="0" wp14:anchorId="63095D08" wp14:editId="5827D8AA">
            <wp:extent cx="4910667" cy="3280130"/>
            <wp:effectExtent l="0" t="0" r="4445" b="0"/>
            <wp:docPr id="2153" name="Picture 2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917572" cy="3284742"/>
                    </a:xfrm>
                    <a:prstGeom prst="rect">
                      <a:avLst/>
                    </a:prstGeom>
                  </pic:spPr>
                </pic:pic>
              </a:graphicData>
            </a:graphic>
          </wp:inline>
        </w:drawing>
      </w:r>
    </w:p>
    <w:p w14:paraId="6543638F" w14:textId="34B581D8" w:rsidR="004C1E3A" w:rsidRPr="004C1E3A" w:rsidRDefault="004C1E3A" w:rsidP="006416A2">
      <w:pPr>
        <w:spacing w:line="360" w:lineRule="auto"/>
        <w:rPr>
          <w:rStyle w:val="SubtleEmphasis"/>
        </w:rPr>
      </w:pPr>
      <w:r>
        <w:rPr>
          <w:rStyle w:val="SubtleEmphasis"/>
        </w:rPr>
        <w:t xml:space="preserve">Figure depicts regions of interest on the X axis and </w:t>
      </w:r>
      <w:r w:rsidRPr="004C1E3A">
        <w:rPr>
          <w:rFonts w:asciiTheme="minorHAnsi" w:hAnsiTheme="minorHAnsi" w:cstheme="minorHAnsi"/>
          <w:i/>
          <w:iCs/>
          <w:color w:val="808080" w:themeColor="text1" w:themeTint="7F"/>
          <w:sz w:val="21"/>
          <w:szCs w:val="21"/>
        </w:rPr>
        <w:t>Δ TTP</w:t>
      </w:r>
      <w:r>
        <w:rPr>
          <w:rFonts w:asciiTheme="minorHAnsi" w:hAnsiTheme="minorHAnsi" w:cstheme="minorHAnsi"/>
          <w:i/>
          <w:iCs/>
          <w:color w:val="808080" w:themeColor="text1" w:themeTint="7F"/>
          <w:sz w:val="21"/>
          <w:szCs w:val="21"/>
        </w:rPr>
        <w:t xml:space="preserve"> in seconds (s)</w:t>
      </w:r>
      <w:r w:rsidRPr="004C1E3A">
        <w:rPr>
          <w:rFonts w:asciiTheme="minorHAnsi" w:hAnsiTheme="minorHAnsi" w:cstheme="minorHAnsi"/>
          <w:i/>
          <w:iCs/>
          <w:color w:val="808080" w:themeColor="text1" w:themeTint="7F"/>
          <w:sz w:val="21"/>
          <w:szCs w:val="21"/>
        </w:rPr>
        <w:t xml:space="preserve"> </w:t>
      </w:r>
      <w:r>
        <w:rPr>
          <w:rFonts w:asciiTheme="minorHAnsi" w:hAnsiTheme="minorHAnsi" w:cstheme="minorHAnsi"/>
          <w:i/>
          <w:iCs/>
          <w:color w:val="808080" w:themeColor="text1" w:themeTint="7F"/>
          <w:sz w:val="21"/>
          <w:szCs w:val="21"/>
        </w:rPr>
        <w:t xml:space="preserve">on the y axis.  Groups are represented in colours. </w:t>
      </w:r>
      <w:r w:rsidR="007934A4">
        <w:rPr>
          <w:rFonts w:asciiTheme="minorHAnsi" w:hAnsiTheme="minorHAnsi" w:cstheme="minorHAnsi"/>
          <w:i/>
          <w:iCs/>
          <w:color w:val="808080" w:themeColor="text1" w:themeTint="7F"/>
          <w:sz w:val="21"/>
          <w:szCs w:val="21"/>
        </w:rPr>
        <w:t xml:space="preserve">*p&lt;.05. </w:t>
      </w:r>
      <w:r>
        <w:rPr>
          <w:rStyle w:val="SubtleEmphasis"/>
        </w:rPr>
        <w:t>There was post Hoc significance</w:t>
      </w:r>
      <w:r w:rsidR="007934A4">
        <w:rPr>
          <w:rStyle w:val="SubtleEmphasis"/>
        </w:rPr>
        <w:t xml:space="preserve"> at the </w:t>
      </w:r>
      <w:proofErr w:type="spellStart"/>
      <w:r w:rsidR="007934A4">
        <w:rPr>
          <w:rStyle w:val="SubtleEmphasis"/>
        </w:rPr>
        <w:t>RThal</w:t>
      </w:r>
      <w:proofErr w:type="spellEnd"/>
      <w:r w:rsidR="007934A4">
        <w:rPr>
          <w:rStyle w:val="SubtleEmphasis"/>
        </w:rPr>
        <w:t xml:space="preserve"> p=.022 and the RPSC p=.013</w:t>
      </w:r>
    </w:p>
    <w:p w14:paraId="52C3E537" w14:textId="3DAAEF40" w:rsidR="006416A2" w:rsidRPr="00104C5A" w:rsidRDefault="006416A2" w:rsidP="00104C5A">
      <w:pPr>
        <w:pStyle w:val="Subtitle"/>
        <w:rPr>
          <w:rStyle w:val="SubtleEmphasis"/>
          <w:rFonts w:ascii="Arial" w:hAnsi="Arial" w:cs="Arial"/>
          <w:i/>
          <w:iCs/>
          <w:color w:val="4F81BD"/>
          <w:sz w:val="24"/>
          <w:szCs w:val="24"/>
        </w:rPr>
      </w:pPr>
      <w:bookmarkStart w:id="497" w:name="_Toc48469313"/>
      <w:bookmarkStart w:id="498" w:name="_Toc64724224"/>
      <w:r w:rsidRPr="00104C5A">
        <w:rPr>
          <w:rStyle w:val="SubtleEmphasis"/>
          <w:rFonts w:ascii="Arial" w:hAnsi="Arial" w:cs="Arial"/>
          <w:i/>
          <w:iCs/>
          <w:color w:val="4F81BD"/>
          <w:sz w:val="24"/>
          <w:szCs w:val="24"/>
        </w:rPr>
        <w:t>Figure 5.19 Box Plot showing raw data values, median and 95% CI for Δ TTP at the RPSC by group, with P+ and P-</w:t>
      </w:r>
      <w:bookmarkEnd w:id="497"/>
      <w:bookmarkEnd w:id="498"/>
    </w:p>
    <w:p w14:paraId="403D5F39" w14:textId="77777777" w:rsidR="006416A2" w:rsidRPr="00304700" w:rsidRDefault="006416A2" w:rsidP="006416A2">
      <w:pPr>
        <w:rPr>
          <w:lang w:eastAsia="en-GB"/>
        </w:rPr>
      </w:pPr>
      <w:r w:rsidRPr="004A1664">
        <w:rPr>
          <w:noProof/>
          <w:lang w:eastAsia="en-GB"/>
        </w:rPr>
        <w:drawing>
          <wp:inline distT="0" distB="0" distL="0" distR="0" wp14:anchorId="157621E5" wp14:editId="27AE6445">
            <wp:extent cx="2743200" cy="2649226"/>
            <wp:effectExtent l="0" t="0" r="0" b="5080"/>
            <wp:docPr id="2154" name="Picture 2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762543" cy="2667906"/>
                    </a:xfrm>
                    <a:prstGeom prst="rect">
                      <a:avLst/>
                    </a:prstGeom>
                  </pic:spPr>
                </pic:pic>
              </a:graphicData>
            </a:graphic>
          </wp:inline>
        </w:drawing>
      </w:r>
    </w:p>
    <w:p w14:paraId="0D7AF6C3" w14:textId="77777777" w:rsidR="006416A2" w:rsidRPr="008D3C32" w:rsidRDefault="006416A2" w:rsidP="008D3C32">
      <w:pPr>
        <w:spacing w:line="360" w:lineRule="auto"/>
        <w:rPr>
          <w:rStyle w:val="SubtleEmphasis"/>
        </w:rPr>
      </w:pPr>
      <w:r w:rsidRPr="008D3C32">
        <w:rPr>
          <w:rStyle w:val="SubtleEmphasis"/>
        </w:rPr>
        <w:t>Figure shows the P-DPN group subdivided by those who reported spontaneous pain on the day of the scan- P+ and those that didn’t P-.  The groups are very small but the P- group is significantly different from the HV.  This is the raw data and is not adjusted for LIKERT.</w:t>
      </w:r>
    </w:p>
    <w:p w14:paraId="41593D47" w14:textId="5F4BF44F" w:rsidR="006416A2" w:rsidRPr="00650427" w:rsidRDefault="00650427" w:rsidP="00650427">
      <w:pPr>
        <w:pStyle w:val="Heading3"/>
        <w:rPr>
          <w:rStyle w:val="SubtleEmphasis"/>
          <w:rFonts w:ascii="Arial" w:hAnsi="Arial" w:cs="Arial Unicode MS"/>
          <w:i w:val="0"/>
          <w:iCs w:val="0"/>
          <w:color w:val="4472C4"/>
          <w:sz w:val="24"/>
          <w:szCs w:val="24"/>
        </w:rPr>
      </w:pPr>
      <w:bookmarkStart w:id="499" w:name="_Toc64723966"/>
      <w:r>
        <w:rPr>
          <w:rStyle w:val="SubtleEmphasis"/>
          <w:rFonts w:ascii="Arial" w:hAnsi="Arial" w:cs="Arial Unicode MS"/>
          <w:i w:val="0"/>
          <w:iCs w:val="0"/>
          <w:color w:val="4472C4"/>
          <w:sz w:val="24"/>
          <w:szCs w:val="24"/>
        </w:rPr>
        <w:lastRenderedPageBreak/>
        <w:t>Explanatory Factors for TTP- Depression</w:t>
      </w:r>
      <w:bookmarkEnd w:id="499"/>
    </w:p>
    <w:p w14:paraId="1790AD9A" w14:textId="09EB0FCE" w:rsidR="006416A2" w:rsidRPr="008D3C32" w:rsidRDefault="006416A2" w:rsidP="006416A2">
      <w:pPr>
        <w:spacing w:line="360" w:lineRule="auto"/>
        <w:rPr>
          <w:rStyle w:val="SubtleEmphasis"/>
          <w:rFonts w:ascii="Arial" w:hAnsi="Arial" w:cs="Arial"/>
          <w:i w:val="0"/>
          <w:color w:val="000000" w:themeColor="text1"/>
          <w:sz w:val="24"/>
          <w:szCs w:val="24"/>
        </w:rPr>
      </w:pPr>
      <w:r w:rsidRPr="008D3C32">
        <w:rPr>
          <w:rStyle w:val="SubtleEmphasis"/>
          <w:rFonts w:ascii="Arial" w:hAnsi="Arial" w:cs="Arial"/>
          <w:i w:val="0"/>
          <w:color w:val="000000" w:themeColor="text1"/>
          <w:sz w:val="24"/>
          <w:szCs w:val="24"/>
        </w:rPr>
        <w:t xml:space="preserve">As the </w:t>
      </w:r>
      <w:r w:rsidR="004E59F7">
        <w:rPr>
          <w:rStyle w:val="SubtleEmphasis"/>
          <w:rFonts w:ascii="Arial" w:hAnsi="Arial" w:cs="Arial"/>
          <w:i w:val="0"/>
          <w:color w:val="000000" w:themeColor="text1"/>
          <w:sz w:val="24"/>
          <w:szCs w:val="24"/>
        </w:rPr>
        <w:t>P-DPN</w:t>
      </w:r>
      <w:r w:rsidRPr="008D3C32">
        <w:rPr>
          <w:rStyle w:val="SubtleEmphasis"/>
          <w:rFonts w:ascii="Arial" w:hAnsi="Arial" w:cs="Arial"/>
          <w:i w:val="0"/>
          <w:color w:val="000000" w:themeColor="text1"/>
          <w:sz w:val="24"/>
          <w:szCs w:val="24"/>
        </w:rPr>
        <w:t xml:space="preserve"> group and its subgroups </w:t>
      </w:r>
      <w:r w:rsidR="00DF79A1">
        <w:rPr>
          <w:rStyle w:val="SubtleEmphasis"/>
          <w:rFonts w:ascii="Arial" w:hAnsi="Arial" w:cs="Arial"/>
          <w:i w:val="0"/>
          <w:color w:val="000000" w:themeColor="text1"/>
          <w:sz w:val="24"/>
          <w:szCs w:val="24"/>
        </w:rPr>
        <w:t>(</w:t>
      </w:r>
      <w:r w:rsidRPr="008D3C32">
        <w:rPr>
          <w:rStyle w:val="SubtleEmphasis"/>
          <w:rFonts w:ascii="Arial" w:hAnsi="Arial" w:cs="Arial"/>
          <w:i w:val="0"/>
          <w:color w:val="000000" w:themeColor="text1"/>
          <w:sz w:val="24"/>
          <w:szCs w:val="24"/>
        </w:rPr>
        <w:t>P+ and P-</w:t>
      </w:r>
      <w:r w:rsidR="00DF79A1">
        <w:rPr>
          <w:rStyle w:val="SubtleEmphasis"/>
          <w:rFonts w:ascii="Arial" w:hAnsi="Arial" w:cs="Arial"/>
          <w:i w:val="0"/>
          <w:color w:val="000000" w:themeColor="text1"/>
          <w:sz w:val="24"/>
          <w:szCs w:val="24"/>
        </w:rPr>
        <w:t>)</w:t>
      </w:r>
      <w:r w:rsidRPr="008D3C32">
        <w:rPr>
          <w:rStyle w:val="SubtleEmphasis"/>
          <w:rFonts w:ascii="Arial" w:hAnsi="Arial" w:cs="Arial"/>
          <w:i w:val="0"/>
          <w:color w:val="000000" w:themeColor="text1"/>
          <w:sz w:val="24"/>
          <w:szCs w:val="24"/>
        </w:rPr>
        <w:t xml:space="preserve"> had a high prevalence of mood disorders, perfusion measures were adjusted for depression (see Appendix D: Table D.41). Two groups were created stratified by severity of depression:  Depression- None to mild (N=55) was compared with Depression- Moderate to severe (N=10) for the Δ TTP- all regions of interest and Δ RBV POWM and RPSC.  There </w:t>
      </w:r>
      <w:r w:rsidR="00104C5A" w:rsidRPr="008D3C32">
        <w:rPr>
          <w:rStyle w:val="SubtleEmphasis"/>
          <w:rFonts w:ascii="Arial" w:hAnsi="Arial" w:cs="Arial"/>
          <w:i w:val="0"/>
          <w:color w:val="000000" w:themeColor="text1"/>
          <w:sz w:val="24"/>
          <w:szCs w:val="24"/>
        </w:rPr>
        <w:t>were</w:t>
      </w:r>
      <w:r w:rsidRPr="008D3C32">
        <w:rPr>
          <w:rStyle w:val="SubtleEmphasis"/>
          <w:rFonts w:ascii="Arial" w:hAnsi="Arial" w:cs="Arial"/>
          <w:i w:val="0"/>
          <w:color w:val="000000" w:themeColor="text1"/>
          <w:sz w:val="24"/>
          <w:szCs w:val="24"/>
        </w:rPr>
        <w:t xml:space="preserve"> no significant differences between the group</w:t>
      </w:r>
      <w:r w:rsidR="00CB7721">
        <w:rPr>
          <w:rStyle w:val="SubtleEmphasis"/>
          <w:rFonts w:ascii="Arial" w:hAnsi="Arial" w:cs="Arial"/>
          <w:i w:val="0"/>
          <w:color w:val="000000" w:themeColor="text1"/>
          <w:sz w:val="24"/>
          <w:szCs w:val="24"/>
        </w:rPr>
        <w:t>s</w:t>
      </w:r>
      <w:r w:rsidRPr="008D3C32">
        <w:rPr>
          <w:rStyle w:val="SubtleEmphasis"/>
          <w:rFonts w:ascii="Arial" w:hAnsi="Arial" w:cs="Arial"/>
          <w:i w:val="0"/>
          <w:color w:val="000000" w:themeColor="text1"/>
          <w:sz w:val="24"/>
          <w:szCs w:val="24"/>
        </w:rPr>
        <w:t xml:space="preserve"> with severe or mild depression for perfusion measures.  We can conclude that depression is not associated with the perfusion changes we have described in response to experimental pain.</w:t>
      </w:r>
      <w:r w:rsidR="00650427">
        <w:rPr>
          <w:rStyle w:val="SubtleEmphasis"/>
          <w:rFonts w:ascii="Arial" w:hAnsi="Arial" w:cs="Arial"/>
          <w:i w:val="0"/>
          <w:color w:val="000000" w:themeColor="text1"/>
          <w:sz w:val="24"/>
          <w:szCs w:val="24"/>
        </w:rPr>
        <w:t xml:space="preserve"> </w:t>
      </w:r>
    </w:p>
    <w:p w14:paraId="2460BA80" w14:textId="543E72BB" w:rsidR="006416A2" w:rsidRPr="008D3C32" w:rsidRDefault="006416A2" w:rsidP="008D3C32">
      <w:pPr>
        <w:pStyle w:val="Heading3"/>
      </w:pPr>
      <w:bookmarkStart w:id="500" w:name="_Toc48469282"/>
      <w:bookmarkStart w:id="501" w:name="_Toc64723967"/>
      <w:r w:rsidRPr="008D3C32">
        <w:t>Summary</w:t>
      </w:r>
      <w:bookmarkEnd w:id="500"/>
      <w:bookmarkEnd w:id="501"/>
      <w:r w:rsidRPr="008D3C32">
        <w:t xml:space="preserve"> </w:t>
      </w:r>
    </w:p>
    <w:p w14:paraId="2DDF73E7" w14:textId="27C8233F" w:rsidR="006416A2" w:rsidRPr="00BB75E6" w:rsidRDefault="006416A2" w:rsidP="006416A2">
      <w:pPr>
        <w:spacing w:line="360" w:lineRule="auto"/>
        <w:rPr>
          <w:rFonts w:cs="Arial"/>
        </w:rPr>
      </w:pPr>
      <w:r>
        <w:t>In response to exogenous pain, there was an increase in RBF across all regions of interest. However, whereas the HV decrease their TTP in response to the noxious thermal stimulus, P-DPN patients paradoxically increase their</w:t>
      </w:r>
      <w:r w:rsidR="00DF79A1">
        <w:t xml:space="preserve"> TTP in response</w:t>
      </w:r>
      <w:r>
        <w:t xml:space="preserve">.  RBV showed a similar pattern of response as the expected increase in relation to pain only occurred in the HV, in contrast the P-DPN group decreased RBV in response to pain.  Subgroup analysis was performed to understand the effect of spontaneous pain on changes in TTP between groups.  The P- group (P-DPN group without spontaneous pain at the time of the scan) were significantly different to the HV indicating that this subgroup </w:t>
      </w:r>
      <w:r w:rsidR="00075E38">
        <w:t>was</w:t>
      </w:r>
      <w:r>
        <w:t xml:space="preserve"> contributing to the paradoxical effect of lengthening TTP. Depression was not a contributor to the effect.  </w:t>
      </w:r>
    </w:p>
    <w:p w14:paraId="706E2F9E" w14:textId="248DD1C2" w:rsidR="006416A2" w:rsidRPr="008D3C32" w:rsidRDefault="006416A2" w:rsidP="008D3C32">
      <w:pPr>
        <w:pStyle w:val="Heading2"/>
      </w:pPr>
      <w:bookmarkStart w:id="502" w:name="_Toc431375330"/>
      <w:bookmarkStart w:id="503" w:name="_Toc46213566"/>
      <w:bookmarkStart w:id="504" w:name="_Toc48469283"/>
      <w:bookmarkStart w:id="505" w:name="_Toc64723968"/>
      <w:r w:rsidRPr="008D3C32">
        <w:t>Discussion</w:t>
      </w:r>
      <w:bookmarkEnd w:id="502"/>
      <w:bookmarkEnd w:id="503"/>
      <w:bookmarkEnd w:id="504"/>
      <w:bookmarkEnd w:id="505"/>
      <w:r w:rsidRPr="008D3C32">
        <w:t xml:space="preserve"> </w:t>
      </w:r>
    </w:p>
    <w:p w14:paraId="4E25C446" w14:textId="77777777" w:rsidR="006416A2" w:rsidRPr="00BB75E6" w:rsidRDefault="006416A2" w:rsidP="006416A2">
      <w:pPr>
        <w:spacing w:line="360" w:lineRule="auto"/>
        <w:rPr>
          <w:rFonts w:cs="Arial"/>
        </w:rPr>
      </w:pPr>
      <w:r w:rsidRPr="00BB75E6">
        <w:rPr>
          <w:rFonts w:cs="Arial"/>
        </w:rPr>
        <w:t>The first part of the experiment on the third visit</w:t>
      </w:r>
      <w:r>
        <w:rPr>
          <w:rFonts w:cs="Arial"/>
        </w:rPr>
        <w:t>,</w:t>
      </w:r>
      <w:r w:rsidRPr="00BB75E6">
        <w:rPr>
          <w:rFonts w:cs="Arial"/>
        </w:rPr>
        <w:t xml:space="preserve"> was designed to assess the baseline psychophysical </w:t>
      </w:r>
      <w:r>
        <w:rPr>
          <w:rFonts w:cs="Arial"/>
        </w:rPr>
        <w:t xml:space="preserve">pain </w:t>
      </w:r>
      <w:r w:rsidRPr="00BB75E6">
        <w:rPr>
          <w:rFonts w:cs="Arial"/>
        </w:rPr>
        <w:t xml:space="preserve">characteristics of the groups.  </w:t>
      </w:r>
      <w:r>
        <w:rPr>
          <w:rFonts w:cs="Arial"/>
        </w:rPr>
        <w:t>T</w:t>
      </w:r>
      <w:r w:rsidRPr="00BB75E6">
        <w:rPr>
          <w:rFonts w:cs="Arial"/>
        </w:rPr>
        <w:t xml:space="preserve">here was no difference between the groups when measuring </w:t>
      </w:r>
      <w:r>
        <w:rPr>
          <w:rFonts w:cs="Arial"/>
        </w:rPr>
        <w:t xml:space="preserve">heat </w:t>
      </w:r>
      <w:r w:rsidRPr="00BB75E6">
        <w:rPr>
          <w:rFonts w:cs="Arial"/>
        </w:rPr>
        <w:t>pain threshold</w:t>
      </w:r>
      <w:r>
        <w:rPr>
          <w:rFonts w:cs="Arial"/>
        </w:rPr>
        <w:t xml:space="preserve"> (HPT)</w:t>
      </w:r>
      <w:r w:rsidRPr="00BB75E6">
        <w:rPr>
          <w:rFonts w:cs="Arial"/>
        </w:rPr>
        <w:t xml:space="preserve"> in the thigh</w:t>
      </w:r>
      <w:r>
        <w:rPr>
          <w:rFonts w:cs="Arial"/>
        </w:rPr>
        <w:t xml:space="preserve">. This was the area at which the noxious thermal stimulus was subsequently applied during the experiment.  This means that any differences of perfusion parameters between groups are unlikely to be attributable to altered pain perception in this area. </w:t>
      </w:r>
    </w:p>
    <w:p w14:paraId="19E77F48" w14:textId="77777777" w:rsidR="006416A2" w:rsidRDefault="006416A2" w:rsidP="006416A2">
      <w:pPr>
        <w:spacing w:line="360" w:lineRule="auto"/>
        <w:rPr>
          <w:rFonts w:cs="Arial"/>
        </w:rPr>
      </w:pPr>
      <w:r>
        <w:rPr>
          <w:rFonts w:cs="Arial"/>
        </w:rPr>
        <w:t xml:space="preserve">When experimental pain was applied there were some interesting effects. </w:t>
      </w:r>
    </w:p>
    <w:p w14:paraId="610ABC6E" w14:textId="77777777" w:rsidR="006416A2" w:rsidRPr="00BB75E6" w:rsidRDefault="006416A2" w:rsidP="006416A2">
      <w:pPr>
        <w:spacing w:line="360" w:lineRule="auto"/>
        <w:rPr>
          <w:rFonts w:cs="Arial"/>
        </w:rPr>
      </w:pPr>
      <w:r>
        <w:rPr>
          <w:rFonts w:cs="Arial"/>
        </w:rPr>
        <w:t xml:space="preserve">Firstly, RBF was found to be strongly predicted by LIKERT. This means that if participants were experiencing more severe pain, they were more likely to have a higher regional blood flow across all measured regions.  As we were using the arterial input function (AIF) to obtain quantification of RBF, we can be confident that this effect is measured independently of cardiovascular effects that pain may induce, </w:t>
      </w:r>
      <w:r>
        <w:rPr>
          <w:rFonts w:cs="Arial"/>
        </w:rPr>
        <w:lastRenderedPageBreak/>
        <w:t xml:space="preserve">such as raised blood pressure and tachycardia.  Therefore, this is likely to reflect the neurovascular coupling response due to pain.  </w:t>
      </w:r>
      <w:r w:rsidRPr="00BB75E6">
        <w:rPr>
          <w:rFonts w:cs="Arial"/>
        </w:rPr>
        <w:t xml:space="preserve">These findings support the experimental design.  </w:t>
      </w:r>
    </w:p>
    <w:p w14:paraId="32ADBB82" w14:textId="19A4F958" w:rsidR="006416A2" w:rsidRDefault="006416A2" w:rsidP="006416A2">
      <w:pPr>
        <w:spacing w:line="360" w:lineRule="auto"/>
        <w:rPr>
          <w:rFonts w:cs="Arial"/>
        </w:rPr>
      </w:pPr>
      <w:r>
        <w:rPr>
          <w:rFonts w:cs="Arial"/>
        </w:rPr>
        <w:t>The novel findings of this study were that the Δ</w:t>
      </w:r>
      <w:r w:rsidRPr="00BB75E6">
        <w:rPr>
          <w:rFonts w:cs="Arial"/>
        </w:rPr>
        <w:t xml:space="preserve"> </w:t>
      </w:r>
      <w:r>
        <w:rPr>
          <w:rFonts w:cs="Arial"/>
        </w:rPr>
        <w:t>TTP increased</w:t>
      </w:r>
      <w:r w:rsidR="00934729">
        <w:rPr>
          <w:rFonts w:cs="Arial"/>
        </w:rPr>
        <w:t xml:space="preserve"> in the </w:t>
      </w:r>
      <w:proofErr w:type="spellStart"/>
      <w:r>
        <w:rPr>
          <w:rFonts w:cs="Arial"/>
        </w:rPr>
        <w:t>RThal</w:t>
      </w:r>
      <w:proofErr w:type="spellEnd"/>
      <w:r>
        <w:rPr>
          <w:rFonts w:cs="Arial"/>
        </w:rPr>
        <w:t xml:space="preserve">, </w:t>
      </w:r>
      <w:r w:rsidR="00264184">
        <w:rPr>
          <w:rFonts w:cs="Arial"/>
        </w:rPr>
        <w:t>LThal</w:t>
      </w:r>
      <w:r>
        <w:rPr>
          <w:rFonts w:cs="Arial"/>
        </w:rPr>
        <w:t>, LINS, LPSC</w:t>
      </w:r>
      <w:r w:rsidR="00934729">
        <w:rPr>
          <w:rFonts w:cs="Arial"/>
        </w:rPr>
        <w:t xml:space="preserve"> and </w:t>
      </w:r>
      <w:r>
        <w:rPr>
          <w:rFonts w:cs="Arial"/>
        </w:rPr>
        <w:t>RPSC vs HV</w:t>
      </w:r>
      <w:r w:rsidR="00934729">
        <w:rPr>
          <w:rFonts w:cs="Arial"/>
        </w:rPr>
        <w:t>;</w:t>
      </w:r>
      <w:r w:rsidRPr="00DF380E">
        <w:rPr>
          <w:rFonts w:cs="Arial"/>
        </w:rPr>
        <w:t xml:space="preserve"> </w:t>
      </w:r>
      <w:r>
        <w:rPr>
          <w:rFonts w:cs="Arial"/>
        </w:rPr>
        <w:t xml:space="preserve">and </w:t>
      </w:r>
      <w:r w:rsidR="00934729">
        <w:rPr>
          <w:rFonts w:cs="Arial"/>
        </w:rPr>
        <w:t>Δ</w:t>
      </w:r>
      <w:r w:rsidR="00934729" w:rsidRPr="00BB75E6">
        <w:rPr>
          <w:rFonts w:cs="Arial"/>
        </w:rPr>
        <w:t xml:space="preserve"> </w:t>
      </w:r>
      <w:r w:rsidRPr="00BB75E6">
        <w:rPr>
          <w:rFonts w:cs="Arial"/>
        </w:rPr>
        <w:t>RBV</w:t>
      </w:r>
      <w:r>
        <w:rPr>
          <w:rFonts w:cs="Arial"/>
        </w:rPr>
        <w:t xml:space="preserve"> decreased</w:t>
      </w:r>
      <w:r w:rsidR="00934729">
        <w:rPr>
          <w:rFonts w:cs="Arial"/>
        </w:rPr>
        <w:t xml:space="preserve"> in the </w:t>
      </w:r>
      <w:r>
        <w:rPr>
          <w:rFonts w:cs="Arial"/>
        </w:rPr>
        <w:t>POWM</w:t>
      </w:r>
      <w:r w:rsidR="00934729">
        <w:rPr>
          <w:rFonts w:cs="Arial"/>
        </w:rPr>
        <w:t xml:space="preserve"> and </w:t>
      </w:r>
      <w:r>
        <w:rPr>
          <w:rFonts w:cs="Arial"/>
        </w:rPr>
        <w:t>RPSC vs DPN and HV</w:t>
      </w:r>
      <w:r w:rsidR="00934729">
        <w:rPr>
          <w:rFonts w:cs="Arial"/>
        </w:rPr>
        <w:t xml:space="preserve">; </w:t>
      </w:r>
      <w:r>
        <w:rPr>
          <w:rFonts w:cs="Arial"/>
        </w:rPr>
        <w:t>in P-DPN patients in response to exogenous pain</w:t>
      </w:r>
      <w:r w:rsidRPr="00BB75E6">
        <w:rPr>
          <w:rFonts w:cs="Arial"/>
        </w:rPr>
        <w:t xml:space="preserve">. </w:t>
      </w:r>
      <w:r>
        <w:rPr>
          <w:rFonts w:cs="Arial"/>
        </w:rPr>
        <w:t xml:space="preserve">Clearly the chronic pain state has altered this response. In addition, we report that subjects with P-DPN but without spontaneous pain at the time of the noxious thermal stimulus- increase TTP adjusted for LIKERT following exogenous pain.  </w:t>
      </w:r>
    </w:p>
    <w:p w14:paraId="50FABEDA" w14:textId="4CD1C032" w:rsidR="006416A2" w:rsidRPr="00BB75E6" w:rsidRDefault="006416A2" w:rsidP="006416A2">
      <w:pPr>
        <w:spacing w:line="360" w:lineRule="auto"/>
        <w:rPr>
          <w:rFonts w:cs="Arial"/>
        </w:rPr>
      </w:pPr>
      <w:r>
        <w:rPr>
          <w:rFonts w:cs="Arial"/>
        </w:rPr>
        <w:t>RBV</w:t>
      </w:r>
      <w:r w:rsidRPr="00BB75E6">
        <w:rPr>
          <w:rFonts w:cs="Arial"/>
        </w:rPr>
        <w:t xml:space="preserve"> represents capillary perfusion </w:t>
      </w:r>
      <w:r w:rsidRPr="00BB75E6">
        <w:rPr>
          <w:rFonts w:cs="Arial"/>
        </w:rPr>
        <w:fldChar w:fldCharType="begin">
          <w:fldData xml:space="preserve">PEVuZE5vdGU+PENpdGU+PEF1dGhvcj5KZXNwZXJzZW48L0F1dGhvcj48WWVhcj4yMDEyPC9ZZWFy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</w:fldData>
        </w:fldChar>
      </w:r>
      <w:r w:rsidR="00237255">
        <w:rPr>
          <w:rFonts w:cs="Arial"/>
        </w:rPr>
        <w:instrText xml:space="preserve"> ADDIN EN.CITE </w:instrText>
      </w:r>
      <w:r w:rsidR="00237255">
        <w:rPr>
          <w:rFonts w:cs="Arial"/>
        </w:rPr>
        <w:fldChar w:fldCharType="begin">
          <w:fldData xml:space="preserve">PEVuZE5vdGU+PENpdGU+PEF1dGhvcj5KZXNwZXJzZW48L0F1dGhvcj48WWVhcj4yMDEyPC9ZZWFy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</w:fldData>
        </w:fldChar>
      </w:r>
      <w:r w:rsidR="00237255">
        <w:rPr>
          <w:rFonts w:cs="Arial"/>
        </w:rPr>
        <w:instrText xml:space="preserve"> ADDIN EN.CITE.DATA </w:instrText>
      </w:r>
      <w:r w:rsidR="00237255">
        <w:rPr>
          <w:rFonts w:cs="Arial"/>
        </w:rPr>
      </w:r>
      <w:r w:rsidR="00237255">
        <w:rPr>
          <w:rFonts w:cs="Arial"/>
        </w:rPr>
        <w:fldChar w:fldCharType="end"/>
      </w:r>
      <w:r w:rsidRPr="00BB75E6">
        <w:rPr>
          <w:rFonts w:cs="Arial"/>
        </w:rPr>
      </w:r>
      <w:r w:rsidRPr="00BB75E6">
        <w:rPr>
          <w:rFonts w:cs="Arial"/>
        </w:rPr>
        <w:fldChar w:fldCharType="separate"/>
      </w:r>
      <w:r w:rsidR="00237255">
        <w:rPr>
          <w:rFonts w:cs="Arial"/>
          <w:noProof/>
        </w:rPr>
        <w:t>(Jespersen and Ostergaard, 2012, Østergaard et al., 2013a)</w:t>
      </w:r>
      <w:r w:rsidRPr="00BB75E6">
        <w:rPr>
          <w:rFonts w:cs="Arial"/>
        </w:rPr>
        <w:fldChar w:fldCharType="end"/>
      </w:r>
      <w:r>
        <w:rPr>
          <w:rFonts w:cs="Arial"/>
        </w:rPr>
        <w:t xml:space="preserve">.  </w:t>
      </w:r>
      <w:r w:rsidR="00C5638D">
        <w:rPr>
          <w:rFonts w:cs="Arial"/>
        </w:rPr>
        <w:t xml:space="preserve">A decrease in RBV </w:t>
      </w:r>
      <w:r>
        <w:rPr>
          <w:rFonts w:cs="Arial"/>
        </w:rPr>
        <w:t xml:space="preserve">suggests that the </w:t>
      </w:r>
      <w:r w:rsidRPr="00BB75E6">
        <w:rPr>
          <w:rFonts w:cs="Arial"/>
        </w:rPr>
        <w:t>P-DPN group are constricting rather than dilating capillaries</w:t>
      </w:r>
      <w:r w:rsidR="005A6A0C">
        <w:rPr>
          <w:rFonts w:cs="Arial"/>
        </w:rPr>
        <w:t xml:space="preserve"> in the</w:t>
      </w:r>
      <w:r w:rsidR="005A6A0C" w:rsidRPr="005A6A0C">
        <w:rPr>
          <w:rFonts w:cs="Arial"/>
        </w:rPr>
        <w:t xml:space="preserve"> </w:t>
      </w:r>
      <w:r w:rsidR="005A6A0C">
        <w:rPr>
          <w:rFonts w:cs="Arial"/>
        </w:rPr>
        <w:t>POWM</w:t>
      </w:r>
      <w:r w:rsidR="005A6A0C" w:rsidRPr="00BB75E6">
        <w:rPr>
          <w:rFonts w:cs="Arial"/>
        </w:rPr>
        <w:t xml:space="preserve"> and the </w:t>
      </w:r>
      <w:r w:rsidR="005A6A0C">
        <w:rPr>
          <w:rFonts w:cs="Arial"/>
        </w:rPr>
        <w:t>RPSC</w:t>
      </w:r>
      <w:r>
        <w:rPr>
          <w:rFonts w:cs="Arial"/>
        </w:rPr>
        <w:t>,</w:t>
      </w:r>
      <w:r w:rsidRPr="00BB75E6">
        <w:rPr>
          <w:rFonts w:cs="Arial"/>
        </w:rPr>
        <w:t xml:space="preserve"> in response to greater levels of pain.  The </w:t>
      </w:r>
      <w:r>
        <w:rPr>
          <w:rFonts w:cs="Arial"/>
        </w:rPr>
        <w:t>reasons for this capillary response</w:t>
      </w:r>
      <w:r w:rsidRPr="00BB75E6">
        <w:rPr>
          <w:rFonts w:cs="Arial"/>
        </w:rPr>
        <w:t xml:space="preserve"> could be failure of the neurovascular coupling process, descending or ascending </w:t>
      </w:r>
      <w:r>
        <w:rPr>
          <w:rFonts w:cs="Arial"/>
        </w:rPr>
        <w:t>inhibition of neural pathways of pain, or perhaps amplification of neurovascular response</w:t>
      </w:r>
      <w:r w:rsidR="006C2F77">
        <w:rPr>
          <w:rFonts w:cs="Arial"/>
        </w:rPr>
        <w:t>s</w:t>
      </w:r>
      <w:r>
        <w:rPr>
          <w:rFonts w:cs="Arial"/>
        </w:rPr>
        <w:t>.</w:t>
      </w:r>
    </w:p>
    <w:p w14:paraId="2218F32B" w14:textId="642D39A1" w:rsidR="006416A2" w:rsidRPr="00BB75E6" w:rsidRDefault="006416A2" w:rsidP="006416A2">
      <w:pPr>
        <w:spacing w:line="360" w:lineRule="auto"/>
        <w:rPr>
          <w:rFonts w:cs="Arial"/>
        </w:rPr>
      </w:pPr>
      <w:r>
        <w:rPr>
          <w:rFonts w:cs="Arial"/>
        </w:rPr>
        <w:t xml:space="preserve">Neurovascular coupling is the microvascular response to increased neuronal demand.  Neurovascular coupling allows the brain microvasculature to adapt to metabolic demands in local neurons to ensure adequate glucose and oxygen delivery. </w:t>
      </w:r>
      <w:r w:rsidRPr="00BB75E6">
        <w:rPr>
          <w:rFonts w:cs="Arial"/>
        </w:rPr>
        <w:t xml:space="preserve">The neurovascular coupling process is described as a feedforward and feedback response.  The current evidence </w:t>
      </w:r>
      <w:r>
        <w:rPr>
          <w:rFonts w:cs="Arial"/>
        </w:rPr>
        <w:t xml:space="preserve">for the mechanisms of </w:t>
      </w:r>
      <w:r w:rsidRPr="00BB75E6">
        <w:rPr>
          <w:rFonts w:cs="Arial"/>
        </w:rPr>
        <w:t xml:space="preserve">neurovascular coupling is reviewed in “The Neurovascular Unit coming of age: a journey of neurovascular coupling in health and disease” </w:t>
      </w:r>
      <w:r w:rsidRPr="00BB75E6">
        <w:rPr>
          <w:rFonts w:cs="Arial"/>
        </w:rPr>
        <w:fldChar w:fldCharType="begin"/>
      </w:r>
      <w:r w:rsidRPr="00BB75E6">
        <w:rPr>
          <w:rFonts w:cs="Arial"/>
        </w:rPr>
        <w:instrText xml:space="preserve"> ADDIN EN.CITE &lt;EndNote&gt;&lt;Cite&gt;&lt;Author&gt;Iadecola&lt;/Author&gt;&lt;Year&gt;2017&lt;/Year&gt;&lt;IDText&gt;The Neurovascular Unit Coming of Age: A Journey through Neurovascular Coupling in Health and Disease&lt;/IDText&gt;&lt;DisplayText&gt;(Iadecola, 2017)&lt;/DisplayText&gt;&lt;record&gt;&lt;dates&gt;&lt;pub-dates&gt;&lt;date&gt;Sep&lt;/date&gt;&lt;/pub-dates&gt;&lt;year&gt;2017&lt;/year&gt;&lt;/dates&gt;&lt;urls&gt;&lt;related-urls&gt;&lt;url&gt;&amp;lt;Go to ISI&amp;gt;://WOS:000411845100007&lt;/url&gt;&lt;/related-urls&gt;&lt;/urls&gt;&lt;isbn&gt;0896-6273&lt;/isbn&gt;&lt;titles&gt;&lt;title&gt;The Neurovascular Unit Coming of Age: A Journey through Neurovascular Coupling in Health and Disease&lt;/title&gt;&lt;secondary-title&gt;Neuron&lt;/secondary-title&gt;&lt;/titles&gt;&lt;pages&gt;17-42&lt;/pages&gt;&lt;number&gt;1&lt;/number&gt;&lt;contributors&gt;&lt;authors&gt;&lt;author&gt;Iadecola, C.&lt;/author&gt;&lt;/authors&gt;&lt;/contributors&gt;&lt;added-date format="utc"&gt;1550231488&lt;/added-date&gt;&lt;ref-type name="Journal Article"&gt;17&lt;/ref-type&gt;&lt;rec-number&gt;986&lt;/rec-number&gt;&lt;last-updated-date format="utc"&gt;1550231488&lt;/last-updated-date&gt;&lt;accession-num&gt;WOS:000411845100007&lt;/accession-num&gt;&lt;electronic-resource-num&gt;10.1016/j.neuron.2017.07.030&lt;/electronic-resource-num&gt;&lt;volume&gt;96&lt;/volume&gt;&lt;/record&gt;&lt;/Cite&gt;&lt;/EndNote&gt;</w:instrText>
      </w:r>
      <w:r w:rsidRPr="00BB75E6">
        <w:rPr>
          <w:rFonts w:cs="Arial"/>
        </w:rPr>
        <w:fldChar w:fldCharType="separate"/>
      </w:r>
      <w:r w:rsidRPr="00BB75E6">
        <w:rPr>
          <w:rFonts w:cs="Arial"/>
          <w:noProof/>
        </w:rPr>
        <w:t>(Iadecola, 2017)</w:t>
      </w:r>
      <w:r w:rsidRPr="00BB75E6">
        <w:rPr>
          <w:rFonts w:cs="Arial"/>
        </w:rPr>
        <w:fldChar w:fldCharType="end"/>
      </w:r>
      <w:r>
        <w:rPr>
          <w:rFonts w:cs="Arial"/>
        </w:rPr>
        <w:t>.</w:t>
      </w:r>
      <w:r w:rsidR="007F2475">
        <w:rPr>
          <w:rFonts w:cs="Arial"/>
        </w:rPr>
        <w:t xml:space="preserve">  </w:t>
      </w:r>
      <w:r w:rsidRPr="00BB75E6">
        <w:rPr>
          <w:rFonts w:cs="Arial"/>
        </w:rPr>
        <w:t>To briefly summarise: reflex dilation</w:t>
      </w:r>
      <w:r>
        <w:rPr>
          <w:rFonts w:cs="Arial"/>
        </w:rPr>
        <w:t xml:space="preserve"> of capillaries can be caused by the shear on capillary walls of </w:t>
      </w:r>
      <w:r w:rsidRPr="00BB75E6">
        <w:rPr>
          <w:rFonts w:cs="Arial"/>
        </w:rPr>
        <w:t>red blood cells deform</w:t>
      </w:r>
      <w:r>
        <w:rPr>
          <w:rFonts w:cs="Arial"/>
        </w:rPr>
        <w:t>ed by</w:t>
      </w:r>
      <w:r w:rsidRPr="00BB75E6">
        <w:rPr>
          <w:rFonts w:cs="Arial"/>
        </w:rPr>
        <w:t xml:space="preserve"> hypoxia</w:t>
      </w:r>
      <w:r>
        <w:rPr>
          <w:rFonts w:cs="Arial"/>
        </w:rPr>
        <w:t xml:space="preserve">. </w:t>
      </w:r>
      <w:r w:rsidR="00237255">
        <w:rPr>
          <w:rFonts w:cs="Arial"/>
        </w:rPr>
        <w:t xml:space="preserve"> </w:t>
      </w:r>
      <w:r>
        <w:rPr>
          <w:rFonts w:cs="Arial"/>
        </w:rPr>
        <w:t>N</w:t>
      </w:r>
      <w:r w:rsidRPr="00BB75E6">
        <w:rPr>
          <w:rFonts w:cs="Arial"/>
        </w:rPr>
        <w:t>eural activity in glial and pyramidal cells act</w:t>
      </w:r>
      <w:r>
        <w:rPr>
          <w:rFonts w:cs="Arial"/>
        </w:rPr>
        <w:t>s</w:t>
      </w:r>
      <w:r w:rsidRPr="00BB75E6">
        <w:rPr>
          <w:rFonts w:cs="Arial"/>
        </w:rPr>
        <w:t xml:space="preserve"> via </w:t>
      </w:r>
      <w:r>
        <w:rPr>
          <w:rFonts w:cs="Arial"/>
        </w:rPr>
        <w:t>multiple local chemical messengers</w:t>
      </w:r>
      <w:r w:rsidRPr="00BB75E6">
        <w:rPr>
          <w:rFonts w:cs="Arial"/>
        </w:rPr>
        <w:t xml:space="preserve"> on the pial arterioles </w:t>
      </w:r>
      <w:r>
        <w:rPr>
          <w:rFonts w:cs="Arial"/>
        </w:rPr>
        <w:t xml:space="preserve">which </w:t>
      </w:r>
      <w:r w:rsidRPr="00BB75E6">
        <w:rPr>
          <w:rFonts w:cs="Arial"/>
        </w:rPr>
        <w:t>cause</w:t>
      </w:r>
      <w:r>
        <w:rPr>
          <w:rFonts w:cs="Arial"/>
        </w:rPr>
        <w:t>s</w:t>
      </w:r>
      <w:r w:rsidRPr="00BB75E6">
        <w:rPr>
          <w:rFonts w:cs="Arial"/>
        </w:rPr>
        <w:t xml:space="preserve"> passive downstream dilation of the capillaries</w:t>
      </w:r>
      <w:r>
        <w:rPr>
          <w:rFonts w:cs="Arial"/>
        </w:rPr>
        <w:t xml:space="preserve"> </w:t>
      </w:r>
      <w:r w:rsidRPr="00BB75E6">
        <w:rPr>
          <w:rFonts w:cs="Arial"/>
        </w:rPr>
        <w:fldChar w:fldCharType="begin"/>
      </w:r>
      <w:r w:rsidRPr="00BB75E6">
        <w:rPr>
          <w:rFonts w:cs="Arial"/>
        </w:rPr>
        <w:instrText xml:space="preserve"> ADDIN EN.CITE &lt;EndNote&gt;&lt;Cite&gt;&lt;Author&gt;Lecrux&lt;/Author&gt;&lt;Year&gt;2019&lt;/Year&gt;&lt;IDText&gt;How reliable is cerebral blood flow to map changes in neuronal activity?&lt;/IDText&gt;&lt;DisplayText&gt;(Lecrux et al., 2019)&lt;/DisplayText&gt;&lt;record&gt;&lt;dates&gt;&lt;pub-dates&gt;&lt;date&gt;Mar&lt;/date&gt;&lt;/pub-dates&gt;&lt;year&gt;2019&lt;/year&gt;&lt;/dates&gt;&lt;urls&gt;&lt;related-urls&gt;&lt;url&gt;&amp;lt;Go to ISI&amp;gt;://WOS:000459951200010&lt;/url&gt;&lt;/related-urls&gt;&lt;/urls&gt;&lt;isbn&gt;1566-0702&lt;/isbn&gt;&lt;titles&gt;&lt;title&gt;How reliable is cerebral blood flow to map changes in neuronal activity?&lt;/title&gt;&lt;secondary-title&gt;Autonomic Neuroscience-Basic &amp;amp; Clinical&lt;/secondary-title&gt;&lt;/titles&gt;&lt;pages&gt;71-79&lt;/pages&gt;&lt;contributors&gt;&lt;authors&gt;&lt;author&gt;Lecrux, C.&lt;/author&gt;&lt;author&gt;Bourourou, M.&lt;/author&gt;&lt;author&gt;Hamel, E.&lt;/author&gt;&lt;/authors&gt;&lt;/contributors&gt;&lt;added-date format="utc"&gt;1554217928&lt;/added-date&gt;&lt;ref-type name="Journal Article"&gt;17&lt;/ref-type&gt;&lt;rec-number&gt;1004&lt;/rec-number&gt;&lt;last-updated-date format="utc"&gt;1554217928&lt;/last-updated-date&gt;&lt;accession-num&gt;WOS:000459951200010&lt;/accession-num&gt;&lt;electronic-resource-num&gt;10.1016/j.autneu.2019.01.005&lt;/electronic-resource-num&gt;&lt;volume&gt;217&lt;/volume&gt;&lt;/record&gt;&lt;/Cite&gt;&lt;/EndNote&gt;</w:instrText>
      </w:r>
      <w:r w:rsidRPr="00BB75E6">
        <w:rPr>
          <w:rFonts w:cs="Arial"/>
        </w:rPr>
        <w:fldChar w:fldCharType="separate"/>
      </w:r>
      <w:r w:rsidRPr="00BB75E6">
        <w:rPr>
          <w:rFonts w:cs="Arial"/>
          <w:noProof/>
        </w:rPr>
        <w:t>(Lecrux et al., 2019)</w:t>
      </w:r>
      <w:r w:rsidRPr="00BB75E6">
        <w:rPr>
          <w:rFonts w:cs="Arial"/>
        </w:rPr>
        <w:fldChar w:fldCharType="end"/>
      </w:r>
      <w:r w:rsidRPr="00BB75E6">
        <w:rPr>
          <w:rFonts w:cs="Arial"/>
        </w:rPr>
        <w:t>.  Additionally</w:t>
      </w:r>
      <w:r>
        <w:rPr>
          <w:rFonts w:cs="Arial"/>
        </w:rPr>
        <w:t>,</w:t>
      </w:r>
      <w:r w:rsidRPr="00BB75E6">
        <w:rPr>
          <w:rFonts w:cs="Arial"/>
        </w:rPr>
        <w:t xml:space="preserve"> there is evidence for </w:t>
      </w:r>
      <w:r>
        <w:rPr>
          <w:rFonts w:cs="Arial"/>
        </w:rPr>
        <w:t xml:space="preserve">a </w:t>
      </w:r>
      <w:r w:rsidRPr="00BB75E6">
        <w:rPr>
          <w:rFonts w:cs="Arial"/>
        </w:rPr>
        <w:t>capillary centred neural feedforward mechanism</w:t>
      </w:r>
      <w:r>
        <w:rPr>
          <w:rFonts w:cs="Arial"/>
        </w:rPr>
        <w:t xml:space="preserve"> modulated by</w:t>
      </w:r>
      <w:r w:rsidRPr="00BB75E6">
        <w:rPr>
          <w:rFonts w:cs="Arial"/>
        </w:rPr>
        <w:t xml:space="preserve"> pericytes</w:t>
      </w:r>
      <w:r>
        <w:rPr>
          <w:rFonts w:cs="Arial"/>
        </w:rPr>
        <w:t xml:space="preserve"> causing </w:t>
      </w:r>
      <w:proofErr w:type="spellStart"/>
      <w:r>
        <w:rPr>
          <w:rFonts w:cs="Arial"/>
        </w:rPr>
        <w:t>vascoconstriction</w:t>
      </w:r>
      <w:proofErr w:type="spellEnd"/>
      <w:r w:rsidRPr="00BB75E6">
        <w:rPr>
          <w:rFonts w:cs="Arial"/>
        </w:rPr>
        <w:t xml:space="preserve"> </w:t>
      </w:r>
      <w:r w:rsidRPr="00BB75E6">
        <w:rPr>
          <w:rFonts w:cs="Arial"/>
        </w:rPr>
        <w:fldChar w:fldCharType="begin"/>
      </w:r>
      <w:r w:rsidRPr="00BB75E6">
        <w:rPr>
          <w:rFonts w:cs="Arial"/>
        </w:rPr>
        <w:instrText xml:space="preserve"> ADDIN EN.CITE &lt;EndNote&gt;&lt;Cite&gt;&lt;Author&gt;Peppiatt&lt;/Author&gt;&lt;Year&gt;2006&lt;/Year&gt;&lt;IDText&gt;Bidirectional control of CNS capillary diameter by pericytes&lt;/IDText&gt;&lt;DisplayText&gt;(Peppiatt et al., 2006)&lt;/DisplayText&gt;&lt;record&gt;&lt;dates&gt;&lt;pub-dates&gt;&lt;date&gt;Oct 12&lt;/date&gt;&lt;/pub-dates&gt;&lt;year&gt;2006&lt;/year&gt;&lt;/dates&gt;&lt;urls&gt;&lt;related-urls&gt;&lt;url&gt;&amp;lt;Go to ISI&amp;gt;://WOS:000241160500048&lt;/url&gt;&lt;/related-urls&gt;&lt;/urls&gt;&lt;isbn&gt;0028-0836&lt;/isbn&gt;&lt;titles&gt;&lt;title&gt;Bidirectional control of CNS capillary diameter by pericytes&lt;/title&gt;&lt;secondary-title&gt;Nature&lt;/secondary-title&gt;&lt;/titles&gt;&lt;pages&gt;700-704&lt;/pages&gt;&lt;number&gt;7112&lt;/number&gt;&lt;contributors&gt;&lt;authors&gt;&lt;author&gt;Peppiatt, Claire M.&lt;/author&gt;&lt;author&gt;Howarth, Clare&lt;/author&gt;&lt;author&gt;Mobbs, Peter&lt;/author&gt;&lt;author&gt;Attwell, David&lt;/author&gt;&lt;/authors&gt;&lt;/contributors&gt;&lt;added-date format="utc"&gt;1554476889&lt;/added-date&gt;&lt;ref-type name="Journal Article"&gt;17&lt;/ref-type&gt;&lt;rec-number&gt;1030&lt;/rec-number&gt;&lt;last-updated-date format="utc"&gt;1554476889&lt;/last-updated-date&gt;&lt;accession-num&gt;WOS:000241160500048&lt;/accession-num&gt;&lt;electronic-resource-num&gt;10.1038/nature05193&lt;/electronic-resource-num&gt;&lt;volume&gt;443&lt;/volume&gt;&lt;/record&gt;&lt;/Cite&gt;&lt;/EndNote&gt;</w:instrText>
      </w:r>
      <w:r w:rsidRPr="00BB75E6">
        <w:rPr>
          <w:rFonts w:cs="Arial"/>
        </w:rPr>
        <w:fldChar w:fldCharType="separate"/>
      </w:r>
      <w:r w:rsidRPr="00BB75E6">
        <w:rPr>
          <w:rFonts w:cs="Arial"/>
          <w:noProof/>
        </w:rPr>
        <w:t>(Peppiatt et al., 2006)</w:t>
      </w:r>
      <w:r w:rsidRPr="00BB75E6">
        <w:rPr>
          <w:rFonts w:cs="Arial"/>
        </w:rPr>
        <w:fldChar w:fldCharType="end"/>
      </w:r>
      <w:r w:rsidRPr="00BB75E6">
        <w:rPr>
          <w:rFonts w:cs="Arial"/>
        </w:rPr>
        <w:t xml:space="preserve">. </w:t>
      </w:r>
    </w:p>
    <w:p w14:paraId="49AE4828" w14:textId="6EC0B7AD" w:rsidR="006416A2" w:rsidRDefault="006416A2" w:rsidP="006416A2">
      <w:pPr>
        <w:spacing w:line="360" w:lineRule="auto"/>
        <w:rPr>
          <w:rFonts w:cs="Arial"/>
        </w:rPr>
      </w:pPr>
      <w:r>
        <w:rPr>
          <w:rFonts w:cs="Arial"/>
        </w:rPr>
        <w:t xml:space="preserve">Pericytes could play an important role in microvascular dysfunction in subjects with diabetes as </w:t>
      </w:r>
      <w:r w:rsidRPr="00BB75E6">
        <w:rPr>
          <w:rFonts w:cs="Arial"/>
        </w:rPr>
        <w:t xml:space="preserve">it has been well documented that </w:t>
      </w:r>
      <w:proofErr w:type="spellStart"/>
      <w:r w:rsidRPr="00BB75E6">
        <w:rPr>
          <w:rFonts w:cs="Arial"/>
        </w:rPr>
        <w:t>endoneurial</w:t>
      </w:r>
      <w:proofErr w:type="spellEnd"/>
      <w:r w:rsidRPr="00BB75E6">
        <w:rPr>
          <w:rFonts w:cs="Arial"/>
        </w:rPr>
        <w:t xml:space="preserve"> abnormalities and pericyte abnormalities are associated with diabetes and diabetic peripheral neuropathy</w:t>
      </w:r>
      <w:r>
        <w:rPr>
          <w:rFonts w:cs="Arial"/>
        </w:rPr>
        <w:t xml:space="preserve"> </w:t>
      </w:r>
      <w:r w:rsidRPr="00BB75E6">
        <w:rPr>
          <w:rFonts w:cs="Arial"/>
        </w:rPr>
        <w:fldChar w:fldCharType="begin">
          <w:fldData xml:space="preserve">PEVuZE5vdGU+PENpdGU+PEF1dGhvcj5XaWxsaWFtczwvQXV0aG9yPjxZZWFyPjE5ODA8L1llYXI+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</w:fldData>
        </w:fldChar>
      </w:r>
      <w:r w:rsidRPr="00BB75E6">
        <w:rPr>
          <w:rFonts w:cs="Arial"/>
        </w:rPr>
        <w:instrText xml:space="preserve"> ADDIN EN.CITE </w:instrText>
      </w:r>
      <w:r w:rsidRPr="00BB75E6">
        <w:rPr>
          <w:rFonts w:cs="Arial"/>
        </w:rPr>
        <w:fldChar w:fldCharType="begin">
          <w:fldData xml:space="preserve">PEVuZE5vdGU+PENpdGU+PEF1dGhvcj5XaWxsaWFtczwvQXV0aG9yPjxZZWFyPjE5ODA8L1llYXI+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</w:fldData>
        </w:fldChar>
      </w:r>
      <w:r w:rsidRPr="00BB75E6">
        <w:rPr>
          <w:rFonts w:cs="Arial"/>
        </w:rPr>
        <w:instrText xml:space="preserve"> ADDIN EN.CITE.DATA </w:instrText>
      </w:r>
      <w:r w:rsidRPr="00BB75E6">
        <w:rPr>
          <w:rFonts w:cs="Arial"/>
        </w:rPr>
      </w:r>
      <w:r w:rsidRPr="00BB75E6">
        <w:rPr>
          <w:rFonts w:cs="Arial"/>
        </w:rPr>
        <w:fldChar w:fldCharType="end"/>
      </w:r>
      <w:r w:rsidRPr="00BB75E6">
        <w:rPr>
          <w:rFonts w:cs="Arial"/>
        </w:rPr>
      </w:r>
      <w:r w:rsidRPr="00BB75E6">
        <w:rPr>
          <w:rFonts w:cs="Arial"/>
        </w:rPr>
        <w:fldChar w:fldCharType="separate"/>
      </w:r>
      <w:r w:rsidRPr="00BB75E6">
        <w:rPr>
          <w:rFonts w:cs="Arial"/>
          <w:noProof/>
        </w:rPr>
        <w:t>(Williams et al., 1980, Britland et al., 1990, Tesfaye et al., 1993, Thrainsdottir et al., 2003)</w:t>
      </w:r>
      <w:r w:rsidRPr="00BB75E6">
        <w:rPr>
          <w:rFonts w:cs="Arial"/>
        </w:rPr>
        <w:fldChar w:fldCharType="end"/>
      </w:r>
      <w:r>
        <w:rPr>
          <w:rFonts w:cs="Arial"/>
        </w:rPr>
        <w:t xml:space="preserve">. </w:t>
      </w:r>
      <w:r w:rsidRPr="00BB75E6">
        <w:rPr>
          <w:rFonts w:cs="Arial"/>
        </w:rPr>
        <w:t xml:space="preserve"> The role for pericytes in endothelial dy</w:t>
      </w:r>
      <w:r w:rsidR="006C2F77">
        <w:rPr>
          <w:rFonts w:cs="Arial"/>
        </w:rPr>
        <w:t>s</w:t>
      </w:r>
      <w:r w:rsidRPr="00BB75E6">
        <w:rPr>
          <w:rFonts w:cs="Arial"/>
        </w:rPr>
        <w:t xml:space="preserve">function in diabetes </w:t>
      </w:r>
      <w:r>
        <w:rPr>
          <w:rFonts w:cs="Arial"/>
        </w:rPr>
        <w:t xml:space="preserve">outside the brain, </w:t>
      </w:r>
      <w:r w:rsidRPr="00BB75E6">
        <w:rPr>
          <w:rFonts w:cs="Arial"/>
        </w:rPr>
        <w:t>has been firmly e</w:t>
      </w:r>
      <w:r>
        <w:rPr>
          <w:rFonts w:cs="Arial"/>
        </w:rPr>
        <w:t>stablished</w:t>
      </w:r>
      <w:r w:rsidR="006C2F77">
        <w:rPr>
          <w:rFonts w:cs="Arial"/>
        </w:rPr>
        <w:t>, e.g.</w:t>
      </w:r>
      <w:r>
        <w:rPr>
          <w:rFonts w:cs="Arial"/>
        </w:rPr>
        <w:t xml:space="preserve"> retinal pericyte</w:t>
      </w:r>
      <w:r w:rsidRPr="00BB75E6">
        <w:rPr>
          <w:rFonts w:cs="Arial"/>
        </w:rPr>
        <w:t xml:space="preserve"> </w:t>
      </w:r>
      <w:r>
        <w:rPr>
          <w:rFonts w:cs="Arial"/>
        </w:rPr>
        <w:t>dysfunction is</w:t>
      </w:r>
      <w:r w:rsidRPr="00BB75E6">
        <w:rPr>
          <w:rFonts w:cs="Arial"/>
        </w:rPr>
        <w:t xml:space="preserve"> central to the process </w:t>
      </w:r>
      <w:r w:rsidRPr="00BB75E6">
        <w:rPr>
          <w:rFonts w:cs="Arial"/>
        </w:rPr>
        <w:lastRenderedPageBreak/>
        <w:t xml:space="preserve">of angiogenesis and development of diabetic retinopathy </w:t>
      </w:r>
      <w:r w:rsidRPr="00BB75E6">
        <w:rPr>
          <w:rFonts w:cs="Arial"/>
        </w:rPr>
        <w:fldChar w:fldCharType="begin"/>
      </w:r>
      <w:r w:rsidRPr="00BB75E6">
        <w:rPr>
          <w:rFonts w:cs="Arial"/>
        </w:rPr>
        <w:instrText xml:space="preserve"> ADDIN EN.CITE &lt;EndNote&gt;&lt;Cite&gt;&lt;Author&gt;Armulik&lt;/Author&gt;&lt;Year&gt;2005&lt;/Year&gt;&lt;IDText&gt;Endothelial/pericyte interactions&lt;/IDText&gt;&lt;DisplayText&gt;(Armulik et al., 2005)&lt;/DisplayText&gt;&lt;record&gt;&lt;dates&gt;&lt;pub-dates&gt;&lt;date&gt;Sep 16&lt;/date&gt;&lt;/pub-dates&gt;&lt;year&gt;2005&lt;/year&gt;&lt;/dates&gt;&lt;urls&gt;&lt;related-urls&gt;&lt;url&gt;&amp;lt;Go to ISI&amp;gt;://WOS:000231896500003&lt;/url&gt;&lt;/related-urls&gt;&lt;/urls&gt;&lt;isbn&gt;0009-7330&lt;/isbn&gt;&lt;titles&gt;&lt;title&gt;Endothelial/pericyte interactions&lt;/title&gt;&lt;secondary-title&gt;Circulation Research&lt;/secondary-title&gt;&lt;/titles&gt;&lt;pages&gt;512-523&lt;/pages&gt;&lt;number&gt;6&lt;/number&gt;&lt;contributors&gt;&lt;authors&gt;&lt;author&gt;Armulik, A.&lt;/author&gt;&lt;author&gt;Abramsson, A.&lt;/author&gt;&lt;author&gt;Betsholtz, C.&lt;/author&gt;&lt;/authors&gt;&lt;/contributors&gt;&lt;added-date format="utc"&gt;1554464813&lt;/added-date&gt;&lt;ref-type name="Journal Article"&gt;17&lt;/ref-type&gt;&lt;rec-number&gt;1025&lt;/rec-number&gt;&lt;last-updated-date format="utc"&gt;1554464813&lt;/last-updated-date&gt;&lt;accession-num&gt;WOS:000231896500003&lt;/accession-num&gt;&lt;electronic-resource-num&gt;10.1161/01.RES.0000182903.16652.d7&lt;/electronic-resource-num&gt;&lt;volume&gt;97&lt;/volume&gt;&lt;/record&gt;&lt;/Cite&gt;&lt;/EndNote&gt;</w:instrText>
      </w:r>
      <w:r w:rsidRPr="00BB75E6">
        <w:rPr>
          <w:rFonts w:cs="Arial"/>
        </w:rPr>
        <w:fldChar w:fldCharType="separate"/>
      </w:r>
      <w:r w:rsidRPr="00BB75E6">
        <w:rPr>
          <w:rFonts w:cs="Arial"/>
          <w:noProof/>
        </w:rPr>
        <w:t>(Armulik et al., 2005)</w:t>
      </w:r>
      <w:r w:rsidRPr="00BB75E6">
        <w:rPr>
          <w:rFonts w:cs="Arial"/>
        </w:rPr>
        <w:fldChar w:fldCharType="end"/>
      </w:r>
      <w:r w:rsidRPr="00BB75E6">
        <w:rPr>
          <w:rFonts w:cs="Arial"/>
        </w:rPr>
        <w:t xml:space="preserve">. </w:t>
      </w:r>
      <w:r w:rsidR="00B35F7A">
        <w:rPr>
          <w:rFonts w:cs="Arial"/>
        </w:rPr>
        <w:t xml:space="preserve"> </w:t>
      </w:r>
      <w:r w:rsidRPr="00BB75E6">
        <w:rPr>
          <w:rFonts w:cs="Arial"/>
        </w:rPr>
        <w:t xml:space="preserve">The role of endothelial dysfunction and pericytes in </w:t>
      </w:r>
      <w:r w:rsidR="006C2F77">
        <w:rPr>
          <w:rFonts w:cs="Arial"/>
        </w:rPr>
        <w:t xml:space="preserve">the </w:t>
      </w:r>
      <w:r w:rsidRPr="003A3CA0">
        <w:rPr>
          <w:rFonts w:cs="Arial"/>
        </w:rPr>
        <w:t>CNS</w:t>
      </w:r>
      <w:r w:rsidR="006C2F77">
        <w:rPr>
          <w:rFonts w:cs="Arial"/>
        </w:rPr>
        <w:t xml:space="preserve"> of subjects with diabetes</w:t>
      </w:r>
      <w:r w:rsidRPr="00BB75E6">
        <w:rPr>
          <w:rFonts w:cs="Arial"/>
        </w:rPr>
        <w:t xml:space="preserve"> </w:t>
      </w:r>
      <w:r>
        <w:rPr>
          <w:rFonts w:cs="Arial"/>
        </w:rPr>
        <w:t>has</w:t>
      </w:r>
      <w:r w:rsidRPr="00BB75E6">
        <w:rPr>
          <w:rFonts w:cs="Arial"/>
        </w:rPr>
        <w:t xml:space="preserve"> only recently been investigated. </w:t>
      </w:r>
      <w:r w:rsidR="00B35F7A">
        <w:rPr>
          <w:rFonts w:cs="Arial"/>
        </w:rPr>
        <w:t xml:space="preserve"> I</w:t>
      </w:r>
      <w:r>
        <w:rPr>
          <w:rFonts w:cs="Arial"/>
        </w:rPr>
        <w:t xml:space="preserve">n autopsy studies </w:t>
      </w:r>
      <w:r w:rsidR="00B35F7A">
        <w:rPr>
          <w:rFonts w:cs="Arial"/>
        </w:rPr>
        <w:t>of</w:t>
      </w:r>
      <w:r w:rsidR="00B35F7A" w:rsidRPr="00BB75E6">
        <w:rPr>
          <w:rFonts w:cs="Arial"/>
        </w:rPr>
        <w:t xml:space="preserve"> the brain</w:t>
      </w:r>
      <w:r w:rsidR="00B35F7A">
        <w:rPr>
          <w:rFonts w:cs="Arial"/>
        </w:rPr>
        <w:t xml:space="preserve"> of subjects with diabetes</w:t>
      </w:r>
      <w:r w:rsidR="00B35F7A" w:rsidRPr="00BB75E6">
        <w:rPr>
          <w:rFonts w:cs="Arial"/>
        </w:rPr>
        <w:t xml:space="preserve"> it has been </w:t>
      </w:r>
      <w:r w:rsidR="00B35F7A">
        <w:rPr>
          <w:rFonts w:cs="Arial"/>
        </w:rPr>
        <w:t xml:space="preserve">reported </w:t>
      </w:r>
      <w:r w:rsidRPr="00BB75E6">
        <w:rPr>
          <w:rFonts w:cs="Arial"/>
        </w:rPr>
        <w:t xml:space="preserve">that there is thickening of the cortical capillary basement membrane demonstrating endothelial change </w:t>
      </w:r>
      <w:r w:rsidRPr="00BB75E6">
        <w:rPr>
          <w:rFonts w:cs="Arial"/>
        </w:rPr>
        <w:fldChar w:fldCharType="begin">
          <w:fldData xml:space="preserve">PEVuZE5vdGU+PENpdGU+PEF1dGhvcj5OZWxzb248L0F1dGhvcj48WWVhcj4yMDA5PC9ZZWFyPjxJ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</w:fldData>
        </w:fldChar>
      </w:r>
      <w:r w:rsidRPr="00BB75E6">
        <w:rPr>
          <w:rFonts w:cs="Arial"/>
        </w:rPr>
        <w:instrText xml:space="preserve"> ADDIN EN.CITE </w:instrText>
      </w:r>
      <w:r w:rsidRPr="00BB75E6">
        <w:rPr>
          <w:rFonts w:cs="Arial"/>
        </w:rPr>
        <w:fldChar w:fldCharType="begin">
          <w:fldData xml:space="preserve">PEVuZE5vdGU+PENpdGU+PEF1dGhvcj5OZWxzb248L0F1dGhvcj48WWVhcj4yMDA5PC9ZZWFyPjxJ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</w:fldData>
        </w:fldChar>
      </w:r>
      <w:r w:rsidRPr="00BB75E6">
        <w:rPr>
          <w:rFonts w:cs="Arial"/>
        </w:rPr>
        <w:instrText xml:space="preserve"> ADDIN EN.CITE.DATA </w:instrText>
      </w:r>
      <w:r w:rsidRPr="00BB75E6">
        <w:rPr>
          <w:rFonts w:cs="Arial"/>
        </w:rPr>
      </w:r>
      <w:r w:rsidRPr="00BB75E6">
        <w:rPr>
          <w:rFonts w:cs="Arial"/>
        </w:rPr>
        <w:fldChar w:fldCharType="end"/>
      </w:r>
      <w:r w:rsidRPr="00BB75E6">
        <w:rPr>
          <w:rFonts w:cs="Arial"/>
        </w:rPr>
      </w:r>
      <w:r w:rsidRPr="00BB75E6">
        <w:rPr>
          <w:rFonts w:cs="Arial"/>
        </w:rPr>
        <w:fldChar w:fldCharType="separate"/>
      </w:r>
      <w:r w:rsidRPr="00BB75E6">
        <w:rPr>
          <w:rFonts w:cs="Arial"/>
          <w:noProof/>
        </w:rPr>
        <w:t>(Nelson et al., 2009)</w:t>
      </w:r>
      <w:r w:rsidRPr="00BB75E6">
        <w:rPr>
          <w:rFonts w:cs="Arial"/>
        </w:rPr>
        <w:fldChar w:fldCharType="end"/>
      </w:r>
      <w:r w:rsidRPr="00BB75E6">
        <w:rPr>
          <w:rFonts w:cs="Arial"/>
        </w:rPr>
        <w:t xml:space="preserve">. </w:t>
      </w:r>
      <w:r>
        <w:rPr>
          <w:rFonts w:cs="Arial"/>
        </w:rPr>
        <w:t>P</w:t>
      </w:r>
      <w:r w:rsidRPr="00BB75E6">
        <w:rPr>
          <w:rFonts w:cs="Arial"/>
        </w:rPr>
        <w:t xml:space="preserve">ericyte deficient </w:t>
      </w:r>
      <w:r>
        <w:rPr>
          <w:rFonts w:cs="Arial"/>
        </w:rPr>
        <w:t xml:space="preserve">(but not absent) </w:t>
      </w:r>
      <w:r w:rsidRPr="00BB75E6">
        <w:rPr>
          <w:rFonts w:cs="Arial"/>
        </w:rPr>
        <w:t xml:space="preserve">mice show </w:t>
      </w:r>
      <w:r>
        <w:rPr>
          <w:rFonts w:cs="Arial"/>
        </w:rPr>
        <w:t xml:space="preserve">significantly delayed and </w:t>
      </w:r>
      <w:r w:rsidRPr="00BB75E6">
        <w:rPr>
          <w:rFonts w:cs="Arial"/>
        </w:rPr>
        <w:t xml:space="preserve">decreased </w:t>
      </w:r>
      <w:r>
        <w:rPr>
          <w:rFonts w:cs="Arial"/>
        </w:rPr>
        <w:t>capillary dilation</w:t>
      </w:r>
      <w:r w:rsidRPr="00BB75E6">
        <w:rPr>
          <w:rFonts w:cs="Arial"/>
        </w:rPr>
        <w:t xml:space="preserve"> to neuronal stimulation</w:t>
      </w:r>
      <w:r>
        <w:rPr>
          <w:rFonts w:cs="Arial"/>
        </w:rPr>
        <w:t xml:space="preserve"> </w:t>
      </w:r>
      <w:r>
        <w:rPr>
          <w:rFonts w:cs="Arial"/>
        </w:rPr>
        <w:fldChar w:fldCharType="begin"/>
      </w:r>
      <w:r>
        <w:rPr>
          <w:rFonts w:cs="Arial"/>
        </w:rPr>
        <w:instrText xml:space="preserve"> ADDIN EN.CITE &lt;EndNote&gt;&lt;Cite&gt;&lt;Author&gt;Kisler&lt;/Author&gt;&lt;Year&gt;2017&lt;/Year&gt;&lt;IDText&gt;Pericyte degeneration leads to neurovascular uncoupling and limits oxygen supply to brain&lt;/IDText&gt;&lt;DisplayText&gt;(Kisler et al., 2017)&lt;/DisplayText&gt;&lt;record&gt;&lt;dates&gt;&lt;pub-dates&gt;&lt;date&gt;Mar&lt;/date&gt;&lt;/pub-dates&gt;&lt;year&gt;2017&lt;/year&gt;&lt;/dates&gt;&lt;urls&gt;&lt;related-urls&gt;&lt;url&gt;&amp;lt;Go to ISI&amp;gt;://WOS:000394920400018&lt;/url&gt;&lt;/related-urls&gt;&lt;/urls&gt;&lt;isbn&gt;1097-6256&lt;/isbn&gt;&lt;titles&gt;&lt;title&gt;Pericyte degeneration leads to neurovascular uncoupling and limits oxygen supply to brain&lt;/title&gt;&lt;secondary-title&gt;Nature Neuroscience&lt;/secondary-title&gt;&lt;/titles&gt;&lt;pages&gt;406-416&lt;/pages&gt;&lt;number&gt;3&lt;/number&gt;&lt;contributors&gt;&lt;authors&gt;&lt;author&gt;Kisler, K.&lt;/author&gt;&lt;author&gt;Nelson, A. R.&lt;/author&gt;&lt;author&gt;Rege, S. V.&lt;/author&gt;&lt;author&gt;Ramanathan, A.&lt;/author&gt;&lt;author&gt;Wang, Y. M.&lt;/author&gt;&lt;author&gt;Ahuja, A.&lt;/author&gt;&lt;author&gt;Lazic, D.&lt;/author&gt;&lt;author&gt;Tsai, P. S.&lt;/author&gt;&lt;author&gt;Zhao, Z.&lt;/author&gt;&lt;author&gt;Zhou, Y.&lt;/author&gt;&lt;author&gt;Boas, D. A.&lt;/author&gt;&lt;author&gt;Sakadzic, S.&lt;/author&gt;&lt;author&gt;Zlokovic, B. V.&lt;/author&gt;&lt;/authors&gt;&lt;/contributors&gt;&lt;added-date format="utc"&gt;1554374235&lt;/added-date&gt;&lt;ref-type name="Journal Article"&gt;17&lt;/ref-type&gt;&lt;rec-number&gt;1006&lt;/rec-number&gt;&lt;last-updated-date format="utc"&gt;1567360605&lt;/last-updated-date&gt;&lt;accession-num&gt;WOS:000394920400018&lt;/accession-num&gt;&lt;electronic-resource-num&gt;10.1038/nn.4489&lt;/electronic-resource-num&gt;&lt;volume&gt;20&lt;/volume&gt;&lt;/record&gt;&lt;/Cite&gt;&lt;/EndNote&gt;</w:instrText>
      </w:r>
      <w:r>
        <w:rPr>
          <w:rFonts w:cs="Arial"/>
        </w:rPr>
        <w:fldChar w:fldCharType="separate"/>
      </w:r>
      <w:r>
        <w:rPr>
          <w:rFonts w:cs="Arial"/>
          <w:noProof/>
        </w:rPr>
        <w:t>(Kisler et al., 2017)</w:t>
      </w:r>
      <w:r>
        <w:rPr>
          <w:rFonts w:cs="Arial"/>
        </w:rPr>
        <w:fldChar w:fldCharType="end"/>
      </w:r>
      <w:r w:rsidRPr="00BB75E6">
        <w:rPr>
          <w:rFonts w:cs="Arial"/>
        </w:rPr>
        <w:t xml:space="preserve">. </w:t>
      </w:r>
      <w:r w:rsidR="0094098F">
        <w:rPr>
          <w:rFonts w:cs="Arial"/>
        </w:rPr>
        <w:t xml:space="preserve"> </w:t>
      </w:r>
      <w:r w:rsidRPr="00BB75E6">
        <w:rPr>
          <w:rFonts w:cs="Arial"/>
        </w:rPr>
        <w:t xml:space="preserve">There is evidence </w:t>
      </w:r>
      <w:r>
        <w:rPr>
          <w:rFonts w:cs="Arial"/>
        </w:rPr>
        <w:t>for possible vasoconstriction</w:t>
      </w:r>
      <w:r w:rsidRPr="00BB75E6">
        <w:rPr>
          <w:rFonts w:cs="Arial"/>
        </w:rPr>
        <w:t xml:space="preserve"> of blood vessels in the dorsal horn of the spinal cord in </w:t>
      </w:r>
      <w:r w:rsidR="00B7211C">
        <w:rPr>
          <w:rFonts w:cs="Arial"/>
        </w:rPr>
        <w:t>streptozocin</w:t>
      </w:r>
      <w:r w:rsidRPr="00BB75E6">
        <w:rPr>
          <w:rFonts w:cs="Arial"/>
        </w:rPr>
        <w:t xml:space="preserve"> rats w</w:t>
      </w:r>
      <w:r>
        <w:rPr>
          <w:rFonts w:cs="Arial"/>
        </w:rPr>
        <w:t>ith</w:t>
      </w:r>
      <w:r w:rsidRPr="00BB75E6">
        <w:rPr>
          <w:rFonts w:cs="Arial"/>
        </w:rPr>
        <w:t xml:space="preserve"> allodynia </w:t>
      </w:r>
      <w:r w:rsidRPr="00BB75E6">
        <w:rPr>
          <w:rFonts w:cs="Arial"/>
        </w:rPr>
        <w:fldChar w:fldCharType="begin"/>
      </w:r>
      <w:r w:rsidRPr="00BB75E6">
        <w:rPr>
          <w:rFonts w:cs="Arial"/>
        </w:rPr>
        <w:instrText xml:space="preserve"> ADDIN EN.CITE &lt;EndNote&gt;&lt;Cite&gt;&lt;Author&gt;Ved&lt;/Author&gt;&lt;Year&gt;2018&lt;/Year&gt;&lt;IDText&gt;Diabetes-induced microvascular complications at the level of the spinal cord: a contributing factor in diabetic neuropathic pain&lt;/IDText&gt;&lt;DisplayText&gt;(Ved et al., 2018)&lt;/DisplayText&gt;&lt;record&gt;&lt;dates&gt;&lt;pub-dates&gt;&lt;date&gt;Aug 15&lt;/date&gt;&lt;/pub-dates&gt;&lt;year&gt;2018&lt;/year&gt;&lt;/dates&gt;&lt;urls&gt;&lt;related-urls&gt;&lt;url&gt;&amp;lt;Go to ISI&amp;gt;://WOS:000441707200028&lt;/url&gt;&lt;/related-urls&gt;&lt;/urls&gt;&lt;isbn&gt;0022-3751&lt;/isbn&gt;&lt;titles&gt;&lt;title&gt;Diabetes-induced microvascular complications at the level of the spinal cord: a contributing factor in diabetic neuropathic pain&lt;/title&gt;&lt;secondary-title&gt;Journal of Physiology-London&lt;/secondary-title&gt;&lt;/titles&gt;&lt;pages&gt;3675-3693&lt;/pages&gt;&lt;number&gt;16&lt;/number&gt;&lt;contributors&gt;&lt;authors&gt;&lt;author&gt;Ved, N.&lt;/author&gt;&lt;author&gt;Lobo, M. E. Da Vitoria&lt;/author&gt;&lt;author&gt;Bestall, S. M.&lt;/author&gt;&lt;author&gt;Vidueira, C. L.&lt;/author&gt;&lt;author&gt;Beazley-Long, N.&lt;/author&gt;&lt;author&gt;Ballmer-Hofer, K.&lt;/author&gt;&lt;author&gt;Hirashima, M.&lt;/author&gt;&lt;author&gt;Bates, D. O.&lt;/author&gt;&lt;author&gt;Donaldson, L. F.&lt;/author&gt;&lt;author&gt;Hulse, R. P.&lt;/author&gt;&lt;/authors&gt;&lt;/contributors&gt;&lt;added-date format="utc"&gt;1554470390&lt;/added-date&gt;&lt;ref-type name="Journal Article"&gt;17&lt;/ref-type&gt;&lt;rec-number&gt;1027&lt;/rec-number&gt;&lt;last-updated-date format="utc"&gt;1554470390&lt;/last-updated-date&gt;&lt;accession-num&gt;WOS:000441707200028&lt;/accession-num&gt;&lt;electronic-resource-num&gt;10.1113/jp275067&lt;/electronic-resource-num&gt;&lt;volume&gt;596&lt;/volume&gt;&lt;/record&gt;&lt;/Cite&gt;&lt;/EndNote&gt;</w:instrText>
      </w:r>
      <w:r w:rsidRPr="00BB75E6">
        <w:rPr>
          <w:rFonts w:cs="Arial"/>
        </w:rPr>
        <w:fldChar w:fldCharType="separate"/>
      </w:r>
      <w:r w:rsidRPr="00BB75E6">
        <w:rPr>
          <w:rFonts w:cs="Arial"/>
          <w:noProof/>
        </w:rPr>
        <w:t>(Ved et al., 2018)</w:t>
      </w:r>
      <w:r w:rsidRPr="00BB75E6">
        <w:rPr>
          <w:rFonts w:cs="Arial"/>
        </w:rPr>
        <w:fldChar w:fldCharType="end"/>
      </w:r>
      <w:r>
        <w:rPr>
          <w:rFonts w:cs="Arial"/>
        </w:rPr>
        <w:t xml:space="preserve"> and vasoconstriction of capillaries in the spinal cord in an animal model of P-DPN was found to be more pronounced when associated with Angiotensin receptor 1 expression on </w:t>
      </w:r>
      <w:r w:rsidRPr="00BB75E6">
        <w:rPr>
          <w:rFonts w:cs="Arial"/>
        </w:rPr>
        <w:t>pericytes</w:t>
      </w:r>
      <w:r>
        <w:rPr>
          <w:rFonts w:cs="Arial"/>
        </w:rPr>
        <w:t xml:space="preserve"> </w:t>
      </w:r>
      <w:r w:rsidRPr="00BB75E6">
        <w:rPr>
          <w:rFonts w:cs="Arial"/>
        </w:rPr>
        <w:fldChar w:fldCharType="begin"/>
      </w:r>
      <w:r w:rsidRPr="00BB75E6">
        <w:rPr>
          <w:rFonts w:cs="Arial"/>
        </w:rPr>
        <w:instrText xml:space="preserve"> ADDIN EN.CITE &lt;EndNote&gt;&lt;Cite&gt;&lt;Author&gt;Hulse&lt;/Author&gt;&lt;Year&gt;2018&lt;/Year&gt;&lt;IDText&gt;Pericyte mediated reduction in spinal cord blood flow in diabetic neuropathic pain&lt;/IDText&gt;&lt;DisplayText&gt;(Hulse et al., 2018)&lt;/DisplayText&gt;&lt;record&gt;&lt;dates&gt;&lt;pub-dates&gt;&lt;date&gt;Oct&lt;/date&gt;&lt;/pub-dates&gt;&lt;year&gt;2018&lt;/year&gt;&lt;/dates&gt;&lt;urls&gt;&lt;related-urls&gt;&lt;url&gt;&amp;lt;Go to ISI&amp;gt;://WOS:000443556001063&lt;/url&gt;&lt;/related-urls&gt;&lt;/urls&gt;&lt;isbn&gt;0012-186X&lt;/isbn&gt;&lt;titles&gt;&lt;title&gt;Pericyte mediated reduction in spinal cord blood flow in diabetic neuropathic pain&lt;/title&gt;&lt;secondary-title&gt;Diabetologia&lt;/secondary-title&gt;&lt;/titles&gt;&lt;pages&gt;S33-S33&lt;/pages&gt;&lt;contributors&gt;&lt;authors&gt;&lt;author&gt;Hulse, R. P.&lt;/author&gt;&lt;author&gt;Lobo, M. E. Da Vitoria&lt;/author&gt;&lt;author&gt;Bates, D. O.&lt;/author&gt;&lt;/authors&gt;&lt;/contributors&gt;&lt;added-date format="utc"&gt;1554380752&lt;/added-date&gt;&lt;ref-type name="Journal Article"&gt;17&lt;/ref-type&gt;&lt;rec-number&gt;1011&lt;/rec-number&gt;&lt;last-updated-date format="utc"&gt;1554380752&lt;/last-updated-date&gt;&lt;accession-num&gt;WOS:000443556001063&lt;/accession-num&gt;&lt;volume&gt;61&lt;/volume&gt;&lt;/record&gt;&lt;/Cite&gt;&lt;/EndNote&gt;</w:instrText>
      </w:r>
      <w:r w:rsidRPr="00BB75E6">
        <w:rPr>
          <w:rFonts w:cs="Arial"/>
        </w:rPr>
        <w:fldChar w:fldCharType="separate"/>
      </w:r>
      <w:r w:rsidRPr="00BB75E6">
        <w:rPr>
          <w:rFonts w:cs="Arial"/>
          <w:noProof/>
        </w:rPr>
        <w:t>(Hulse et al., 2018)</w:t>
      </w:r>
      <w:r w:rsidRPr="00BB75E6">
        <w:rPr>
          <w:rFonts w:cs="Arial"/>
        </w:rPr>
        <w:fldChar w:fldCharType="end"/>
      </w:r>
      <w:r w:rsidRPr="00BB75E6">
        <w:rPr>
          <w:rFonts w:cs="Arial"/>
        </w:rPr>
        <w:t>.</w:t>
      </w:r>
    </w:p>
    <w:p w14:paraId="3E12F090" w14:textId="202815A8" w:rsidR="006416A2" w:rsidRDefault="006416A2" w:rsidP="006416A2">
      <w:pPr>
        <w:spacing w:line="360" w:lineRule="auto"/>
        <w:rPr>
          <w:rFonts w:cs="Arial"/>
        </w:rPr>
      </w:pPr>
      <w:r w:rsidRPr="00BB75E6">
        <w:rPr>
          <w:rFonts w:cs="Arial"/>
        </w:rPr>
        <w:t>Endothelial pericytes have contractile elements that can dilate or constrict in response to local factors.  Constriction appears to be mediated by local factors released from nearby neurons: endothelial factor 1, insulin like growth factor 1, and platelet derived growth factor</w:t>
      </w:r>
      <w:r>
        <w:rPr>
          <w:rFonts w:cs="Arial"/>
        </w:rPr>
        <w:t xml:space="preserve"> </w:t>
      </w:r>
      <w:r w:rsidRPr="00BB75E6">
        <w:rPr>
          <w:rFonts w:cs="Arial"/>
        </w:rPr>
        <w:t>B, via calcium mediated cascades.  Relaxation is thought to be mediated by prostaglandin inhibitor 2, adenosine and B- adrenoceptor agonists</w:t>
      </w:r>
      <w:r>
        <w:rPr>
          <w:rFonts w:cs="Arial"/>
        </w:rPr>
        <w:t xml:space="preserve"> </w:t>
      </w:r>
      <w:r w:rsidRPr="00BB75E6">
        <w:rPr>
          <w:rFonts w:cs="Arial"/>
        </w:rPr>
        <w:fldChar w:fldCharType="begin"/>
      </w:r>
      <w:r w:rsidRPr="00BB75E6">
        <w:rPr>
          <w:rFonts w:cs="Arial"/>
        </w:rPr>
        <w:instrText xml:space="preserve"> ADDIN EN.CITE &lt;EndNote&gt;&lt;Cite&gt;&lt;Author&gt;Hall&lt;/Author&gt;&lt;Year&gt;2014&lt;/Year&gt;&lt;IDText&gt;Capillary pericytes regulate cerebral blood flow in health and disease&lt;/IDText&gt;&lt;DisplayText&gt;(Hall et al., 2014)&lt;/DisplayText&gt;&lt;record&gt;&lt;dates&gt;&lt;pub-dates&gt;&lt;date&gt;Apr&lt;/date&gt;&lt;/pub-dates&gt;&lt;year&gt;2014&lt;/year&gt;&lt;/dates&gt;&lt;urls&gt;&lt;related-urls&gt;&lt;url&gt;&amp;lt;Go to ISI&amp;gt;://WOS:000333609900041&lt;/url&gt;&lt;/related-urls&gt;&lt;/urls&gt;&lt;isbn&gt;0028-0836&lt;/isbn&gt;&lt;titles&gt;&lt;title&gt;Capillary pericytes regulate cerebral blood flow in health and disease&lt;/title&gt;&lt;secondary-title&gt;Nature&lt;/secondary-title&gt;&lt;/titles&gt;&lt;pages&gt;55-+&lt;/pages&gt;&lt;number&gt;7494&lt;/number&gt;&lt;contributors&gt;&lt;authors&gt;&lt;author&gt;Hall, C. N.&lt;/author&gt;&lt;author&gt;Reynell, C.&lt;/author&gt;&lt;author&gt;Gesslein, B.&lt;/author&gt;&lt;author&gt;Hamilton, N. B.&lt;/author&gt;&lt;author&gt;Mishra, A.&lt;/author&gt;&lt;author&gt;Sutherland, B. A.&lt;/author&gt;&lt;author&gt;O&amp;apos;Farrell, F. M.&lt;/author&gt;&lt;author&gt;Buchan, A. M.&lt;/author&gt;&lt;author&gt;Lauritzen, M.&lt;/author&gt;&lt;author&gt;Attwell, D.&lt;/author&gt;&lt;/authors&gt;&lt;/contributors&gt;&lt;added-date format="utc"&gt;1549984388&lt;/added-date&gt;&lt;ref-type name="Journal Article"&gt;17&lt;/ref-type&gt;&lt;rec-number&gt;985&lt;/rec-number&gt;&lt;last-updated-date format="utc"&gt;1549984388&lt;/last-updated-date&gt;&lt;accession-num&gt;WOS:000333609900041&lt;/accession-num&gt;&lt;electronic-resource-num&gt;10.1038/nature13165&lt;/electronic-resource-num&gt;&lt;volume&gt;508&lt;/volume&gt;&lt;/record&gt;&lt;/Cite&gt;&lt;/EndNote&gt;</w:instrText>
      </w:r>
      <w:r w:rsidRPr="00BB75E6">
        <w:rPr>
          <w:rFonts w:cs="Arial"/>
        </w:rPr>
        <w:fldChar w:fldCharType="separate"/>
      </w:r>
      <w:r w:rsidRPr="00BB75E6">
        <w:rPr>
          <w:rFonts w:cs="Arial"/>
          <w:noProof/>
        </w:rPr>
        <w:t>(Hall et al., 2014)</w:t>
      </w:r>
      <w:r w:rsidRPr="00BB75E6">
        <w:rPr>
          <w:rFonts w:cs="Arial"/>
        </w:rPr>
        <w:fldChar w:fldCharType="end"/>
      </w:r>
      <w:r w:rsidRPr="00BB75E6">
        <w:rPr>
          <w:rFonts w:cs="Arial"/>
        </w:rPr>
        <w:t xml:space="preserve">.  </w:t>
      </w:r>
      <w:r>
        <w:rPr>
          <w:rFonts w:cs="Arial"/>
        </w:rPr>
        <w:t xml:space="preserve">Hyperglycaemia has been shown to inhibit pericyte contractility </w:t>
      </w:r>
      <w:r w:rsidRPr="00BB75E6">
        <w:rPr>
          <w:rFonts w:cs="Arial"/>
        </w:rPr>
        <w:fldChar w:fldCharType="begin">
          <w:fldData xml:space="preserve">PEVuZE5vdGU+PENpdGU+PEF1dGhvcj5HaWxsaWVzPC9BdXRob3I+PFllYXI+MTk5MzwvWWVhcj48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</w:fldData>
        </w:fldChar>
      </w:r>
      <w:r>
        <w:rPr>
          <w:rFonts w:cs="Arial"/>
        </w:rPr>
        <w:instrText xml:space="preserve"> ADDIN EN.CITE </w:instrText>
      </w:r>
      <w:r>
        <w:rPr>
          <w:rFonts w:cs="Arial"/>
        </w:rPr>
        <w:fldChar w:fldCharType="begin">
          <w:fldData xml:space="preserve">PEVuZE5vdGU+PENpdGU+PEF1dGhvcj5HaWxsaWVzPC9BdXRob3I+PFllYXI+MTk5MzwvWWVhcj48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</w:fldData>
        </w:fldChar>
      </w:r>
      <w:r>
        <w:rPr>
          <w:rFonts w:cs="Arial"/>
        </w:rPr>
        <w:instrText xml:space="preserve"> ADDIN EN.CITE.DATA </w:instrText>
      </w:r>
      <w:r>
        <w:rPr>
          <w:rFonts w:cs="Arial"/>
        </w:rPr>
      </w:r>
      <w:r>
        <w:rPr>
          <w:rFonts w:cs="Arial"/>
        </w:rPr>
        <w:fldChar w:fldCharType="end"/>
      </w:r>
      <w:r w:rsidRPr="00BB75E6">
        <w:rPr>
          <w:rFonts w:cs="Arial"/>
        </w:rPr>
      </w:r>
      <w:r w:rsidRPr="00BB75E6">
        <w:rPr>
          <w:rFonts w:cs="Arial"/>
        </w:rPr>
        <w:fldChar w:fldCharType="separate"/>
      </w:r>
      <w:r>
        <w:rPr>
          <w:rFonts w:cs="Arial"/>
          <w:noProof/>
        </w:rPr>
        <w:t>(Gillies and Su, 1993, Hamilton et al., 2010)</w:t>
      </w:r>
      <w:r w:rsidRPr="00BB75E6">
        <w:rPr>
          <w:rFonts w:cs="Arial"/>
        </w:rPr>
        <w:fldChar w:fldCharType="end"/>
      </w:r>
      <w:r>
        <w:rPr>
          <w:rFonts w:cs="Arial"/>
        </w:rPr>
        <w:t xml:space="preserve"> which is a possible explanatory scenario as the P-DPN group have a trend to higher HbA1c than the DPN group.  Pericytes are thought to constrict in conditions of glycogen depletion, nitrous oxide depletion and ischaemia </w:t>
      </w:r>
      <w:r>
        <w:rPr>
          <w:rFonts w:cs="Arial"/>
        </w:rPr>
        <w:fldChar w:fldCharType="begin">
          <w:fldData xml:space="preserve">PEVuZE5vdGU+PENpdGU+PEF1dGhvcj5ZZW1pc2NpPC9BdXRob3I+PFllYXI+MjAwOTwvWWVhcj48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</w:fldData>
        </w:fldChar>
      </w:r>
      <w:r>
        <w:rPr>
          <w:rFonts w:cs="Arial"/>
        </w:rPr>
        <w:instrText xml:space="preserve"> ADDIN EN.CITE </w:instrText>
      </w:r>
      <w:r>
        <w:rPr>
          <w:rFonts w:cs="Arial"/>
        </w:rPr>
        <w:fldChar w:fldCharType="begin">
          <w:fldData xml:space="preserve">PEVuZE5vdGU+PENpdGU+PEF1dGhvcj5ZZW1pc2NpPC9BdXRob3I+PFllYXI+MjAwOTwvWWVhcj48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</w:fldData>
        </w:fldChar>
      </w:r>
      <w:r>
        <w:rPr>
          <w:rFonts w:cs="Arial"/>
        </w:rPr>
        <w:instrText xml:space="preserve"> ADDIN EN.CITE.DATA </w:instrText>
      </w:r>
      <w:r>
        <w:rPr>
          <w:rFonts w:cs="Arial"/>
        </w:rPr>
      </w:r>
      <w:r>
        <w:rPr>
          <w:rFonts w:cs="Arial"/>
        </w:rPr>
        <w:fldChar w:fldCharType="end"/>
      </w:r>
      <w:r>
        <w:rPr>
          <w:rFonts w:cs="Arial"/>
        </w:rPr>
      </w:r>
      <w:r>
        <w:rPr>
          <w:rFonts w:cs="Arial"/>
        </w:rPr>
        <w:fldChar w:fldCharType="separate"/>
      </w:r>
      <w:r>
        <w:rPr>
          <w:rFonts w:cs="Arial"/>
          <w:noProof/>
        </w:rPr>
        <w:t>(Yemisci et al., 2009, Alarcon-Martinez et al., 2019)</w:t>
      </w:r>
      <w:r>
        <w:rPr>
          <w:rFonts w:cs="Arial"/>
        </w:rPr>
        <w:fldChar w:fldCharType="end"/>
      </w:r>
      <w:r>
        <w:rPr>
          <w:rFonts w:cs="Arial"/>
        </w:rPr>
        <w:t>.  This raises the possibility that glucose flux, mild ischaemia or metabolic stress could cause both capillary dilation and capillary constriction in our P-DPN cohort.</w:t>
      </w:r>
      <w:r w:rsidRPr="00BB75E6">
        <w:rPr>
          <w:rFonts w:cs="Arial"/>
        </w:rPr>
        <w:t xml:space="preserve">  </w:t>
      </w:r>
      <w:r>
        <w:rPr>
          <w:rFonts w:cs="Arial"/>
        </w:rPr>
        <w:t xml:space="preserve">There was no significant difference between blood glucose </w:t>
      </w:r>
      <w:r w:rsidR="00DC17F9">
        <w:rPr>
          <w:rFonts w:cs="Arial"/>
        </w:rPr>
        <w:t>measurements or</w:t>
      </w:r>
      <w:r>
        <w:rPr>
          <w:rFonts w:cs="Arial"/>
        </w:rPr>
        <w:t xml:space="preserve"> blood glucose flux between the two visits for any of the groups with T1D.  BP and </w:t>
      </w:r>
      <w:r w:rsidR="005F5A86">
        <w:rPr>
          <w:rFonts w:cs="Arial"/>
        </w:rPr>
        <w:t>p</w:t>
      </w:r>
      <w:r>
        <w:rPr>
          <w:rFonts w:cs="Arial"/>
        </w:rPr>
        <w:t>ulse were not significant contributors to RBV at the POWM or RPSC for any group.  Therefore, if there was a metabolic effect on capillary diameter it was unlikely to be due to serum glucose levels or flux, or cardiovascular parameters.</w:t>
      </w:r>
    </w:p>
    <w:p w14:paraId="77A38978" w14:textId="77777777" w:rsidR="006416A2" w:rsidRDefault="006416A2" w:rsidP="006416A2">
      <w:pPr>
        <w:spacing w:line="360" w:lineRule="auto"/>
        <w:rPr>
          <w:rFonts w:cs="Arial"/>
        </w:rPr>
      </w:pPr>
      <w:r>
        <w:rPr>
          <w:rFonts w:cs="Arial"/>
        </w:rPr>
        <w:t>I</w:t>
      </w:r>
      <w:r w:rsidRPr="00BB75E6">
        <w:rPr>
          <w:rFonts w:cs="Arial"/>
        </w:rPr>
        <w:t>f there was central loss of pericytes or pericyte dysfunction</w:t>
      </w:r>
      <w:r>
        <w:rPr>
          <w:rFonts w:cs="Arial"/>
        </w:rPr>
        <w:t xml:space="preserve"> secondary to microvascular disease associated with T1D,</w:t>
      </w:r>
      <w:r w:rsidRPr="00BB75E6">
        <w:rPr>
          <w:rFonts w:cs="Arial"/>
        </w:rPr>
        <w:t xml:space="preserve"> </w:t>
      </w:r>
      <w:r>
        <w:rPr>
          <w:rFonts w:cs="Arial"/>
        </w:rPr>
        <w:t>this</w:t>
      </w:r>
      <w:r w:rsidRPr="00BB75E6">
        <w:rPr>
          <w:rFonts w:cs="Arial"/>
        </w:rPr>
        <w:t xml:space="preserve"> may manifest in a failure of capillary dilation</w:t>
      </w:r>
      <w:r>
        <w:rPr>
          <w:rFonts w:cs="Arial"/>
        </w:rPr>
        <w:t>, despite perception of the nociceptive stimulus</w:t>
      </w:r>
      <w:r w:rsidRPr="00BB75E6">
        <w:rPr>
          <w:rFonts w:cs="Arial"/>
        </w:rPr>
        <w:t xml:space="preserve">.  </w:t>
      </w:r>
      <w:proofErr w:type="gramStart"/>
      <w:r>
        <w:rPr>
          <w:rFonts w:cs="Arial"/>
        </w:rPr>
        <w:t>Overall</w:t>
      </w:r>
      <w:proofErr w:type="gramEnd"/>
      <w:r>
        <w:rPr>
          <w:rFonts w:cs="Arial"/>
        </w:rPr>
        <w:t xml:space="preserve"> the DPN group had findings that were more consistent with failure of dilation.  The DPN group overall have a lower RBV in response to pain, indicating a delay or a decrease in the </w:t>
      </w:r>
      <w:r>
        <w:rPr>
          <w:rFonts w:cs="Arial"/>
        </w:rPr>
        <w:lastRenderedPageBreak/>
        <w:t xml:space="preserve">coupling response.  The positive correlation with pain intensity indicates although damaged the neurovascular coupling response was still present.  Consequently, the paradoxical effect of LIKERT on RBV for the P-DPN group is not explained by failure of dilation. However, it remains possible that abnormal pericyte activity in those with chronic neuropathic pain may induce paradoxical constriction, by a pathway yet unknown. </w:t>
      </w:r>
    </w:p>
    <w:p w14:paraId="590EBFA0" w14:textId="48325683" w:rsidR="006416A2" w:rsidRDefault="006416A2" w:rsidP="006416A2">
      <w:pPr>
        <w:spacing w:line="360" w:lineRule="auto"/>
        <w:rPr>
          <w:rFonts w:cs="Arial"/>
        </w:rPr>
      </w:pPr>
      <w:r w:rsidRPr="00BB75E6">
        <w:rPr>
          <w:rFonts w:cs="Arial"/>
        </w:rPr>
        <w:t xml:space="preserve">Other possibilities for the explanation of this novel finding are that </w:t>
      </w:r>
      <w:r w:rsidR="00EF2078">
        <w:rPr>
          <w:rFonts w:cs="Arial"/>
        </w:rPr>
        <w:t>we may be measuring</w:t>
      </w:r>
      <w:r w:rsidRPr="00BB75E6">
        <w:rPr>
          <w:rFonts w:cs="Arial"/>
        </w:rPr>
        <w:t xml:space="preserve"> a </w:t>
      </w:r>
      <w:proofErr w:type="spellStart"/>
      <w:r w:rsidRPr="00BB75E6">
        <w:rPr>
          <w:rFonts w:cs="Arial"/>
        </w:rPr>
        <w:t>counterstimulatory</w:t>
      </w:r>
      <w:proofErr w:type="spellEnd"/>
      <w:r w:rsidRPr="00BB75E6">
        <w:rPr>
          <w:rFonts w:cs="Arial"/>
        </w:rPr>
        <w:t xml:space="preserve"> effect.  An fMRI study </w:t>
      </w:r>
      <w:r>
        <w:rPr>
          <w:rFonts w:cs="Arial"/>
        </w:rPr>
        <w:t>comparing BOLD fMRI responses to a vibration stimulus versus a noxious thermal stimulus,</w:t>
      </w:r>
      <w:r w:rsidRPr="00BB75E6">
        <w:rPr>
          <w:rFonts w:cs="Arial"/>
        </w:rPr>
        <w:t xml:space="preserve"> </w:t>
      </w:r>
      <w:r>
        <w:rPr>
          <w:rFonts w:cs="Arial"/>
        </w:rPr>
        <w:t>reported</w:t>
      </w:r>
      <w:r w:rsidRPr="00BB75E6">
        <w:rPr>
          <w:rFonts w:cs="Arial"/>
        </w:rPr>
        <w:t xml:space="preserve"> that pain processing was significantly affected by </w:t>
      </w:r>
      <w:r>
        <w:rPr>
          <w:rFonts w:cs="Arial"/>
        </w:rPr>
        <w:t xml:space="preserve">whether the </w:t>
      </w:r>
      <w:r w:rsidRPr="00BB75E6">
        <w:rPr>
          <w:rFonts w:cs="Arial"/>
        </w:rPr>
        <w:t>attention</w:t>
      </w:r>
      <w:r>
        <w:rPr>
          <w:rFonts w:cs="Arial"/>
        </w:rPr>
        <w:t xml:space="preserve"> of the participant was directed</w:t>
      </w:r>
      <w:r w:rsidRPr="00BB75E6">
        <w:rPr>
          <w:rFonts w:cs="Arial"/>
        </w:rPr>
        <w:t xml:space="preserve"> to the noxious stimulus or the </w:t>
      </w:r>
      <w:proofErr w:type="spellStart"/>
      <w:r w:rsidRPr="00BB75E6">
        <w:rPr>
          <w:rFonts w:cs="Arial"/>
        </w:rPr>
        <w:t>counterstimulus</w:t>
      </w:r>
      <w:proofErr w:type="spellEnd"/>
      <w:r w:rsidRPr="00BB75E6">
        <w:rPr>
          <w:rFonts w:cs="Arial"/>
        </w:rPr>
        <w:t xml:space="preserve">.  Relief of the painful sensation by attention to the vibration </w:t>
      </w:r>
      <w:proofErr w:type="spellStart"/>
      <w:r w:rsidRPr="00BB75E6">
        <w:rPr>
          <w:rFonts w:cs="Arial"/>
        </w:rPr>
        <w:t>counterstimulus</w:t>
      </w:r>
      <w:proofErr w:type="spellEnd"/>
      <w:r w:rsidRPr="00BB75E6">
        <w:rPr>
          <w:rFonts w:cs="Arial"/>
        </w:rPr>
        <w:t xml:space="preserve"> resulted in deactivations of pain processing areas (ACC, insula, thalamus) back to baseline measurements </w:t>
      </w:r>
      <w:r w:rsidRPr="00BB75E6">
        <w:rPr>
          <w:rFonts w:cs="Arial"/>
        </w:rPr>
        <w:fldChar w:fldCharType="begin"/>
      </w:r>
      <w:r w:rsidRPr="00BB75E6">
        <w:rPr>
          <w:rFonts w:cs="Arial"/>
        </w:rPr>
        <w:instrText xml:space="preserve"> ADDIN EN.CITE &lt;EndNote&gt;&lt;Cite&gt;&lt;Author&gt;Longe&lt;/Author&gt;&lt;Year&gt;2001&lt;/Year&gt;&lt;IDText&gt;Counter-stimulatory effects on pain perception and processing are significantly altered by attention: an fMRI study&lt;/IDText&gt;&lt;DisplayText&gt;(Longe et al., 2001)&lt;/DisplayText&gt;&lt;record&gt;&lt;dates&gt;&lt;pub-dates&gt;&lt;date&gt;Jul&lt;/date&gt;&lt;/pub-dates&gt;&lt;year&gt;2001&lt;/year&gt;&lt;/dates&gt;&lt;urls&gt;&lt;related-urls&gt;&lt;url&gt;&amp;lt;Go to ISI&amp;gt;://WOS:000169509000042&lt;/url&gt;&lt;/related-urls&gt;&lt;/urls&gt;&lt;isbn&gt;0959-4965&lt;/isbn&gt;&lt;titles&gt;&lt;title&gt;Counter-stimulatory effects on pain perception and processing are significantly altered by attention: an fMRI study&lt;/title&gt;&lt;secondary-title&gt;Neuroreport&lt;/secondary-title&gt;&lt;/titles&gt;&lt;pages&gt;2021-2025&lt;/pages&gt;&lt;number&gt;9&lt;/number&gt;&lt;contributors&gt;&lt;authors&gt;&lt;author&gt;Longe, S. E.&lt;/author&gt;&lt;author&gt;Wise, R.&lt;/author&gt;&lt;author&gt;Bantick, S.&lt;/author&gt;&lt;author&gt;Lloyd, D.&lt;/author&gt;&lt;author&gt;Johansen-Berg, H.&lt;/author&gt;&lt;author&gt;McGlone, F.&lt;/author&gt;&lt;author&gt;Tracey, I.&lt;/author&gt;&lt;/authors&gt;&lt;/contributors&gt;&lt;added-date format="utc"&gt;1551364604&lt;/added-date&gt;&lt;ref-type name="Journal Article"&gt;17&lt;/ref-type&gt;&lt;rec-number&gt;998&lt;/rec-number&gt;&lt;last-updated-date format="utc"&gt;1551364604&lt;/last-updated-date&gt;&lt;accession-num&gt;WOS:000169509000042&lt;/accession-num&gt;&lt;electronic-resource-num&gt;10.1097/00001756-200107030-00047&lt;/electronic-resource-num&gt;&lt;volume&gt;12&lt;/volume&gt;&lt;/record&gt;&lt;/Cite&gt;&lt;/EndNote&gt;</w:instrText>
      </w:r>
      <w:r w:rsidRPr="00BB75E6">
        <w:rPr>
          <w:rFonts w:cs="Arial"/>
        </w:rPr>
        <w:fldChar w:fldCharType="separate"/>
      </w:r>
      <w:r w:rsidRPr="00BB75E6">
        <w:rPr>
          <w:rFonts w:cs="Arial"/>
          <w:noProof/>
        </w:rPr>
        <w:t>(Longe et al., 2001)</w:t>
      </w:r>
      <w:r w:rsidRPr="00BB75E6">
        <w:rPr>
          <w:rFonts w:cs="Arial"/>
        </w:rPr>
        <w:fldChar w:fldCharType="end"/>
      </w:r>
      <w:r w:rsidRPr="00BB75E6">
        <w:rPr>
          <w:rFonts w:cs="Arial"/>
        </w:rPr>
        <w:t>. In an experiment with subjects with erythromelalgia</w:t>
      </w:r>
      <w:r>
        <w:rPr>
          <w:rFonts w:cs="Arial"/>
        </w:rPr>
        <w:t>,</w:t>
      </w:r>
      <w:r w:rsidRPr="00BB75E6">
        <w:rPr>
          <w:rFonts w:cs="Arial"/>
        </w:rPr>
        <w:t xml:space="preserve"> pain relief resulted in decreased activations as measured by ASL </w:t>
      </w:r>
      <w:r w:rsidRPr="00BB75E6">
        <w:rPr>
          <w:rFonts w:cs="Arial"/>
        </w:rPr>
        <w:fldChar w:fldCharType="begin"/>
      </w:r>
      <w:r w:rsidRPr="00BB75E6">
        <w:rPr>
          <w:rFonts w:cs="Arial"/>
        </w:rPr>
        <w:instrText xml:space="preserve"> ADDIN EN.CITE &lt;EndNote&gt;&lt;Cite&gt;&lt;Author&gt;Segerdahl&lt;/Author&gt;&lt;Year&gt;2012&lt;/Year&gt;&lt;IDText&gt;Imaging the neural correlates of neuropathic pain and pleasurable relief associated with inherited erythromelalgia in a single subject with quantitative arterial spin labelling&lt;/IDText&gt;&lt;DisplayText&gt;(Segerdahl et al., 2012)&lt;/DisplayText&gt;&lt;record&gt;&lt;dates&gt;&lt;pub-dates&gt;&lt;date&gt;May&lt;/date&gt;&lt;/pub-dates&gt;&lt;year&gt;2012&lt;/year&gt;&lt;/dates&gt;&lt;urls&gt;&lt;related-urls&gt;&lt;url&gt;&amp;lt;Go to ISI&amp;gt;://WOS:000302996200026&lt;/url&gt;&lt;/related-urls&gt;&lt;/urls&gt;&lt;isbn&gt;0304-3959&lt;/isbn&gt;&lt;titles&gt;&lt;title&gt;Imaging the neural correlates of neuropathic pain and pleasurable relief associated with inherited erythromelalgia in a single subject with quantitative arterial spin labelling&lt;/title&gt;&lt;secondary-title&gt;Pain&lt;/secondary-title&gt;&lt;/titles&gt;&lt;pages&gt;1122-1127&lt;/pages&gt;&lt;number&gt;5&lt;/number&gt;&lt;contributors&gt;&lt;authors&gt;&lt;author&gt;Segerdahl, Andrew R.&lt;/author&gt;&lt;author&gt;Xie, Jingyi&lt;/author&gt;&lt;author&gt;Paterson, Kathryn&lt;/author&gt;&lt;author&gt;Ramirez, Juan D.&lt;/author&gt;&lt;author&gt;Tracey, Irene&lt;/author&gt;&lt;author&gt;Bennett, David L. H.&lt;/author&gt;&lt;/authors&gt;&lt;/contributors&gt;&lt;section&gt;1122&lt;/section&gt;&lt;added-date format="utc"&gt;1353529350&lt;/added-date&gt;&lt;ref-type name="Journal Article"&gt;17&lt;/ref-type&gt;&lt;rec-number&gt;315&lt;/rec-number&gt;&lt;last-updated-date format="utc"&gt;1357143104&lt;/last-updated-date&gt;&lt;accession-num&gt;WOS:000302996200026&lt;/accession-num&gt;&lt;electronic-resource-num&gt;10.1016/j.pain.2011.12.012&lt;/electronic-resource-num&gt;&lt;volume&gt;153&lt;/volume&gt;&lt;/record&gt;&lt;/Cite&gt;&lt;/EndNote&gt;</w:instrText>
      </w:r>
      <w:r w:rsidRPr="00BB75E6">
        <w:rPr>
          <w:rFonts w:cs="Arial"/>
        </w:rPr>
        <w:fldChar w:fldCharType="separate"/>
      </w:r>
      <w:r w:rsidRPr="00BB75E6">
        <w:rPr>
          <w:rFonts w:cs="Arial"/>
          <w:noProof/>
        </w:rPr>
        <w:t>(Segerdahl et al., 2012)</w:t>
      </w:r>
      <w:r w:rsidRPr="00BB75E6">
        <w:rPr>
          <w:rFonts w:cs="Arial"/>
        </w:rPr>
        <w:fldChar w:fldCharType="end"/>
      </w:r>
      <w:r w:rsidRPr="00BB75E6">
        <w:rPr>
          <w:rFonts w:cs="Arial"/>
        </w:rPr>
        <w:t>.  In an fMRI experiment investigating painful counter-stimulation, TENS (transcutaneous electrical stimulation) was applied in addition to thermal pain.  Greater TENS amplitude was associated with greater activation in the primary sensory cortex and the ventrolateral prefrontal cortex</w:t>
      </w:r>
      <w:r>
        <w:rPr>
          <w:rFonts w:cs="Arial"/>
        </w:rPr>
        <w:t>,</w:t>
      </w:r>
      <w:r w:rsidRPr="00BB75E6">
        <w:rPr>
          <w:rFonts w:cs="Arial"/>
        </w:rPr>
        <w:t xml:space="preserve"> but </w:t>
      </w:r>
      <w:r>
        <w:rPr>
          <w:rFonts w:cs="Arial"/>
        </w:rPr>
        <w:t>this</w:t>
      </w:r>
      <w:r w:rsidRPr="00BB75E6">
        <w:rPr>
          <w:rFonts w:cs="Arial"/>
        </w:rPr>
        <w:t xml:space="preserve"> </w:t>
      </w:r>
      <w:r>
        <w:rPr>
          <w:rFonts w:cs="Arial"/>
        </w:rPr>
        <w:t>did</w:t>
      </w:r>
      <w:r w:rsidRPr="00BB75E6">
        <w:rPr>
          <w:rFonts w:cs="Arial"/>
        </w:rPr>
        <w:t xml:space="preserve"> no</w:t>
      </w:r>
      <w:r>
        <w:rPr>
          <w:rFonts w:cs="Arial"/>
        </w:rPr>
        <w:t>t</w:t>
      </w:r>
      <w:r w:rsidRPr="00BB75E6">
        <w:rPr>
          <w:rFonts w:cs="Arial"/>
        </w:rPr>
        <w:t xml:space="preserve"> correlat</w:t>
      </w:r>
      <w:r>
        <w:rPr>
          <w:rFonts w:cs="Arial"/>
        </w:rPr>
        <w:t>e</w:t>
      </w:r>
      <w:r w:rsidRPr="00BB75E6">
        <w:rPr>
          <w:rFonts w:cs="Arial"/>
        </w:rPr>
        <w:t xml:space="preserve"> with </w:t>
      </w:r>
      <w:r>
        <w:rPr>
          <w:rFonts w:cs="Arial"/>
        </w:rPr>
        <w:t xml:space="preserve">lower perceived </w:t>
      </w:r>
      <w:r w:rsidRPr="00BB75E6">
        <w:rPr>
          <w:rFonts w:cs="Arial"/>
        </w:rPr>
        <w:t xml:space="preserve">pain </w:t>
      </w:r>
      <w:r>
        <w:rPr>
          <w:rFonts w:cs="Arial"/>
        </w:rPr>
        <w:t xml:space="preserve">intensity </w:t>
      </w:r>
      <w:r w:rsidRPr="00BB75E6">
        <w:rPr>
          <w:rFonts w:cs="Arial"/>
        </w:rPr>
        <w:t xml:space="preserve">scores </w:t>
      </w:r>
      <w:r w:rsidRPr="00BB75E6">
        <w:rPr>
          <w:rFonts w:cs="Arial"/>
        </w:rPr>
        <w:fldChar w:fldCharType="begin"/>
      </w:r>
      <w:r w:rsidRPr="00BB75E6">
        <w:rPr>
          <w:rFonts w:cs="Arial"/>
        </w:rPr>
        <w:instrText xml:space="preserve"> ADDIN EN.CITE &lt;EndNote&gt;&lt;Cite&gt;&lt;Author&gt;Choi&lt;/Author&gt;&lt;Year&gt;2016&lt;/Year&gt;&lt;IDText&gt;Brain mechanisms of pain relief by transcutaneous electrical nerve stimulation: A functional magnetic resonance imaging study&lt;/IDText&gt;&lt;DisplayText&gt;(Choi et al., 2016)&lt;/DisplayText&gt;&lt;record&gt;&lt;dates&gt;&lt;pub-dates&gt;&lt;date&gt;Jan&lt;/date&gt;&lt;/pub-dates&gt;&lt;year&gt;2016&lt;/year&gt;&lt;/dates&gt;&lt;urls&gt;&lt;related-urls&gt;&lt;url&gt;&amp;lt;Go to ISI&amp;gt;://WOS:000367473500015&lt;/url&gt;&lt;/related-urls&gt;&lt;/urls&gt;&lt;isbn&gt;1090-3801&lt;/isbn&gt;&lt;titles&gt;&lt;title&gt;Brain mechanisms of pain relief by transcutaneous electrical nerve stimulation: A functional magnetic resonance imaging study&lt;/title&gt;&lt;secondary-title&gt;European Journal of Pain&lt;/secondary-title&gt;&lt;/titles&gt;&lt;pages&gt;92-105&lt;/pages&gt;&lt;number&gt;1&lt;/number&gt;&lt;contributors&gt;&lt;authors&gt;&lt;author&gt;Choi, J. C.&lt;/author&gt;&lt;author&gt;Kim, J.&lt;/author&gt;&lt;author&gt;Kang, E.&lt;/author&gt;&lt;author&gt;Lee, J. M.&lt;/author&gt;&lt;author&gt;Cha, J.&lt;/author&gt;&lt;author&gt;Kim, Y. J.&lt;/author&gt;&lt;author&gt;Lee, H. G.&lt;/author&gt;&lt;author&gt;Choi, J. H.&lt;/author&gt;&lt;author&gt;Yi, D. J.&lt;/author&gt;&lt;/authors&gt;&lt;/contributors&gt;&lt;added-date format="utc"&gt;1551362411&lt;/added-date&gt;&lt;ref-type name="Journal Article"&gt;17&lt;/ref-type&gt;&lt;rec-number&gt;997&lt;/rec-number&gt;&lt;last-updated-date format="utc"&gt;1551362411&lt;/last-updated-date&gt;&lt;accession-num&gt;WOS:000367473500015&lt;/accession-num&gt;&lt;electronic-resource-num&gt;10.1002/ejp.696&lt;/electronic-resource-num&gt;&lt;volume&gt;20&lt;/volume&gt;&lt;/record&gt;&lt;/Cite&gt;&lt;/EndNote&gt;</w:instrText>
      </w:r>
      <w:r w:rsidRPr="00BB75E6">
        <w:rPr>
          <w:rFonts w:cs="Arial"/>
        </w:rPr>
        <w:fldChar w:fldCharType="separate"/>
      </w:r>
      <w:r w:rsidRPr="00BB75E6">
        <w:rPr>
          <w:rFonts w:cs="Arial"/>
          <w:noProof/>
        </w:rPr>
        <w:t>(Choi et al., 2016)</w:t>
      </w:r>
      <w:r w:rsidRPr="00BB75E6">
        <w:rPr>
          <w:rFonts w:cs="Arial"/>
        </w:rPr>
        <w:fldChar w:fldCharType="end"/>
      </w:r>
      <w:r w:rsidRPr="00BB75E6">
        <w:rPr>
          <w:rFonts w:cs="Arial"/>
        </w:rPr>
        <w:t xml:space="preserve">. </w:t>
      </w:r>
      <w:r w:rsidR="005F5A86">
        <w:rPr>
          <w:rFonts w:cs="Arial"/>
        </w:rPr>
        <w:t xml:space="preserve"> </w:t>
      </w:r>
      <w:r w:rsidRPr="00BB75E6">
        <w:rPr>
          <w:rFonts w:cs="Arial"/>
        </w:rPr>
        <w:t>Conversely</w:t>
      </w:r>
      <w:r>
        <w:rPr>
          <w:rFonts w:cs="Arial"/>
        </w:rPr>
        <w:t>,</w:t>
      </w:r>
      <w:r w:rsidRPr="00BB75E6">
        <w:rPr>
          <w:rFonts w:cs="Arial"/>
        </w:rPr>
        <w:t xml:space="preserve"> deactivations were observed 20 minutes after TENS in a study of carpal tunnel syndrome in the somatosensory cortex</w:t>
      </w:r>
      <w:r>
        <w:rPr>
          <w:rFonts w:cs="Arial"/>
        </w:rPr>
        <w:t>,</w:t>
      </w:r>
      <w:r w:rsidRPr="00BB75E6">
        <w:rPr>
          <w:rFonts w:cs="Arial"/>
        </w:rPr>
        <w:t xml:space="preserve"> but perceptual measurements of pain were not reported in this study </w:t>
      </w:r>
      <w:r w:rsidRPr="00BB75E6">
        <w:rPr>
          <w:rFonts w:cs="Arial"/>
        </w:rPr>
        <w:fldChar w:fldCharType="begin"/>
      </w:r>
      <w:r w:rsidRPr="00BB75E6">
        <w:rPr>
          <w:rFonts w:cs="Arial"/>
        </w:rPr>
        <w:instrText xml:space="preserve"> ADDIN EN.CITE &lt;EndNote&gt;&lt;Cite&gt;&lt;Author&gt;Kara&lt;/Author&gt;&lt;Year&gt;2010&lt;/Year&gt;&lt;IDText&gt;Quantification of the Effects of Transcutaneous Electrical Nerve Stimulation With Functional Magnetic Resonance Imaging: A Double-Blind Randomized Placebo-Controlled Study&lt;/IDText&gt;&lt;DisplayText&gt;(Kara et al., 2010)&lt;/DisplayText&gt;&lt;record&gt;&lt;dates&gt;&lt;pub-dates&gt;&lt;date&gt;Aug&lt;/date&gt;&lt;/pub-dates&gt;&lt;year&gt;2010&lt;/year&gt;&lt;/dates&gt;&lt;urls&gt;&lt;related-urls&gt;&lt;url&gt;&amp;lt;Go to ISI&amp;gt;://WOS:000281178900002&lt;/url&gt;&lt;/related-urls&gt;&lt;/urls&gt;&lt;isbn&gt;0003-9993&lt;/isbn&gt;&lt;titles&gt;&lt;title&gt;Quantification of the Effects of Transcutaneous Electrical Nerve Stimulation With Functional Magnetic Resonance Imaging: A Double-Blind Randomized Placebo-Controlled Study&lt;/title&gt;&lt;secondary-title&gt;Archives of Physical Medicine and Rehabilitation&lt;/secondary-title&gt;&lt;/titles&gt;&lt;pages&gt;1160-1165&lt;/pages&gt;&lt;number&gt;8&lt;/number&gt;&lt;contributors&gt;&lt;authors&gt;&lt;author&gt;Kara, Murat&lt;/author&gt;&lt;author&gt;Ozcakar, Levent&lt;/author&gt;&lt;author&gt;Gokcay, Didem&lt;/author&gt;&lt;author&gt;Ozcelik, Erol&lt;/author&gt;&lt;author&gt;Yorubulut, Mehmet&lt;/author&gt;&lt;author&gt;Guneri, Sinem&lt;/author&gt;&lt;author&gt;Kaymak, Bayram&lt;/author&gt;&lt;author&gt;Akinci, Aysen&lt;/author&gt;&lt;author&gt;Cetin, Alp&lt;/author&gt;&lt;/authors&gt;&lt;/contributors&gt;&lt;added-date format="utc"&gt;1554474467&lt;/added-date&gt;&lt;ref-type name="Journal Article"&gt;17&lt;/ref-type&gt;&lt;rec-number&gt;1029&lt;/rec-number&gt;&lt;last-updated-date format="utc"&gt;1554474467&lt;/last-updated-date&gt;&lt;accession-num&gt;WOS:000281178900002&lt;/accession-num&gt;&lt;electronic-resource-num&gt;10.1016/j.apmr.2010.04.023&lt;/electronic-resource-num&gt;&lt;volume&gt;91&lt;/volume&gt;&lt;/record&gt;&lt;/Cite&gt;&lt;/EndNote&gt;</w:instrText>
      </w:r>
      <w:r w:rsidRPr="00BB75E6">
        <w:rPr>
          <w:rFonts w:cs="Arial"/>
        </w:rPr>
        <w:fldChar w:fldCharType="separate"/>
      </w:r>
      <w:r w:rsidRPr="00BB75E6">
        <w:rPr>
          <w:rFonts w:cs="Arial"/>
          <w:noProof/>
        </w:rPr>
        <w:t>(Kara et al., 2010)</w:t>
      </w:r>
      <w:r w:rsidRPr="00BB75E6">
        <w:rPr>
          <w:rFonts w:cs="Arial"/>
        </w:rPr>
        <w:fldChar w:fldCharType="end"/>
      </w:r>
      <w:r w:rsidRPr="00BB75E6">
        <w:rPr>
          <w:rFonts w:cs="Arial"/>
        </w:rPr>
        <w:t>. Therefore</w:t>
      </w:r>
      <w:r>
        <w:rPr>
          <w:rFonts w:cs="Arial"/>
        </w:rPr>
        <w:t>,</w:t>
      </w:r>
      <w:r w:rsidRPr="00BB75E6">
        <w:rPr>
          <w:rFonts w:cs="Arial"/>
        </w:rPr>
        <w:t xml:space="preserve"> </w:t>
      </w:r>
      <w:r>
        <w:rPr>
          <w:rFonts w:cs="Arial"/>
        </w:rPr>
        <w:t xml:space="preserve">non-noxious </w:t>
      </w:r>
      <w:proofErr w:type="spellStart"/>
      <w:r>
        <w:rPr>
          <w:rFonts w:cs="Arial"/>
        </w:rPr>
        <w:t>counterstimulation</w:t>
      </w:r>
      <w:proofErr w:type="spellEnd"/>
      <w:r w:rsidRPr="00BB75E6">
        <w:rPr>
          <w:rFonts w:cs="Arial"/>
        </w:rPr>
        <w:t xml:space="preserve"> causes deactivation of cortical areas</w:t>
      </w:r>
      <w:r>
        <w:rPr>
          <w:rFonts w:cs="Arial"/>
        </w:rPr>
        <w:t xml:space="preserve">, but in studies with a noxious </w:t>
      </w:r>
      <w:proofErr w:type="spellStart"/>
      <w:r>
        <w:rPr>
          <w:rFonts w:cs="Arial"/>
        </w:rPr>
        <w:t>counterstimulus</w:t>
      </w:r>
      <w:proofErr w:type="spellEnd"/>
      <w:r>
        <w:rPr>
          <w:rFonts w:cs="Arial"/>
        </w:rPr>
        <w:t xml:space="preserve"> which would be analogous to our study the evidence </w:t>
      </w:r>
      <w:r w:rsidRPr="00BB75E6">
        <w:rPr>
          <w:rFonts w:cs="Arial"/>
        </w:rPr>
        <w:t xml:space="preserve">is not clear, with </w:t>
      </w:r>
      <w:proofErr w:type="spellStart"/>
      <w:r>
        <w:rPr>
          <w:rFonts w:cs="Arial"/>
        </w:rPr>
        <w:t>counterstimulation</w:t>
      </w:r>
      <w:proofErr w:type="spellEnd"/>
      <w:r w:rsidRPr="00BB75E6">
        <w:rPr>
          <w:rFonts w:cs="Arial"/>
        </w:rPr>
        <w:t xml:space="preserve"> causing activation in one study and deactivation in </w:t>
      </w:r>
      <w:r>
        <w:rPr>
          <w:rFonts w:cs="Arial"/>
        </w:rPr>
        <w:t>others</w:t>
      </w:r>
      <w:r w:rsidRPr="00BB75E6">
        <w:rPr>
          <w:rFonts w:cs="Arial"/>
        </w:rPr>
        <w:t xml:space="preserve">. Our data suggests that the greater pain reported in the painful neuropathy group the more likely the subject was to report a decrease in RBV.  This argues against deactivation associated with pain relief.  </w:t>
      </w:r>
      <w:r>
        <w:rPr>
          <w:rFonts w:cs="Arial"/>
        </w:rPr>
        <w:t>Our study also recorded the level of spontaneous pain of the P-DPN group at V2 and V3.  There was no difference between the P+(clinically significant neuropathic pain at V2) or P- group to indicate that the P+ group had a larger drop in RBV in response to pain.</w:t>
      </w:r>
    </w:p>
    <w:p w14:paraId="25DA4115" w14:textId="77777777" w:rsidR="006416A2" w:rsidRPr="00BB75E6" w:rsidRDefault="006416A2" w:rsidP="006416A2">
      <w:pPr>
        <w:spacing w:line="360" w:lineRule="auto"/>
        <w:rPr>
          <w:rFonts w:cs="Arial"/>
        </w:rPr>
      </w:pPr>
      <w:r w:rsidRPr="00BB75E6">
        <w:rPr>
          <w:rFonts w:cs="Arial"/>
        </w:rPr>
        <w:t>There</w:t>
      </w:r>
      <w:r>
        <w:rPr>
          <w:rFonts w:cs="Arial"/>
        </w:rPr>
        <w:t xml:space="preserve">fore, although there </w:t>
      </w:r>
      <w:r w:rsidRPr="00BB75E6">
        <w:rPr>
          <w:rFonts w:cs="Arial"/>
        </w:rPr>
        <w:t xml:space="preserve">is evidence from </w:t>
      </w:r>
      <w:r>
        <w:rPr>
          <w:rFonts w:cs="Arial"/>
        </w:rPr>
        <w:t>one study to support</w:t>
      </w:r>
      <w:r w:rsidRPr="00BB75E6">
        <w:rPr>
          <w:rFonts w:cs="Arial"/>
        </w:rPr>
        <w:t xml:space="preserve"> deactivation associated with </w:t>
      </w:r>
      <w:r>
        <w:rPr>
          <w:rFonts w:cs="Arial"/>
        </w:rPr>
        <w:t xml:space="preserve">a noxious </w:t>
      </w:r>
      <w:proofErr w:type="spellStart"/>
      <w:r>
        <w:rPr>
          <w:rFonts w:cs="Arial"/>
        </w:rPr>
        <w:t>counterstimulus</w:t>
      </w:r>
      <w:proofErr w:type="spellEnd"/>
      <w:r>
        <w:rPr>
          <w:rFonts w:cs="Arial"/>
        </w:rPr>
        <w:t xml:space="preserve">, it seems unlikely that this was the cause </w:t>
      </w:r>
      <w:r>
        <w:rPr>
          <w:rFonts w:cs="Arial"/>
        </w:rPr>
        <w:lastRenderedPageBreak/>
        <w:t xml:space="preserve">of the effect of LIKERT on RBV in the P-DPN group, as it was seen in those with and without spontaneous pain. </w:t>
      </w:r>
    </w:p>
    <w:p w14:paraId="2D3491CD" w14:textId="6A9E62DA" w:rsidR="006416A2" w:rsidRDefault="006416A2" w:rsidP="006416A2">
      <w:pPr>
        <w:spacing w:line="360" w:lineRule="auto"/>
        <w:rPr>
          <w:rFonts w:cs="Arial"/>
        </w:rPr>
      </w:pPr>
      <w:r>
        <w:rPr>
          <w:rFonts w:cs="Arial"/>
        </w:rPr>
        <w:t xml:space="preserve">Hyperexcitability of thalamic neurons has been reported in association with spontaneous pain and provoked pain in </w:t>
      </w:r>
      <w:r w:rsidR="00B7211C">
        <w:rPr>
          <w:rFonts w:cs="Arial"/>
        </w:rPr>
        <w:t>streptozocin</w:t>
      </w:r>
      <w:r>
        <w:rPr>
          <w:rFonts w:cs="Arial"/>
        </w:rPr>
        <w:t xml:space="preserve"> induced neuropathy in rats </w:t>
      </w:r>
      <w:r>
        <w:rPr>
          <w:rFonts w:cs="Arial"/>
        </w:rPr>
        <w:fldChar w:fldCharType="begin"/>
      </w:r>
      <w:r w:rsidR="00D06F2D">
        <w:rPr>
          <w:rFonts w:cs="Arial"/>
        </w:rPr>
        <w:instrText xml:space="preserve"> ADDIN EN.CITE &lt;EndNote&gt;&lt;Cite&gt;&lt;Author&gt;Fischer&lt;/Author&gt;&lt;Year&gt;2009&lt;/Year&gt;&lt;IDText&gt;Thalamic neuron hyperexcitability and enlarged receptive fields in the STZ model of diabetic pain&lt;/IDText&gt;&lt;DisplayText&gt;(Fischer et al., 2009a)&lt;/DisplayText&gt;&lt;record&gt;&lt;dates&gt;&lt;pub-dates&gt;&lt;date&gt;May 1&lt;/date&gt;&lt;/pub-dates&gt;&lt;year&gt;2009&lt;/year&gt;&lt;/dates&gt;&lt;urls&gt;&lt;related-urls&gt;&lt;url&gt;&amp;lt;Go to ISI&amp;gt;://WOS:000265956000016&lt;/url&gt;&lt;/related-urls&gt;&lt;/urls&gt;&lt;isbn&gt;0006-8993&lt;/isbn&gt;&lt;titles&gt;&lt;title&gt;Thalamic neuron hyperexcitability and enlarged receptive fields in the STZ model of diabetic pain&lt;/title&gt;&lt;secondary-title&gt;Brain Research&lt;/secondary-title&gt;&lt;/titles&gt;&lt;contributors&gt;&lt;authors&gt;&lt;author&gt;Fischer, Tanya Z.&lt;/author&gt;&lt;author&gt;Tan, Andrew M.&lt;/author&gt;&lt;author&gt;Waxman, Stephen G.&lt;/author&gt;&lt;/authors&gt;&lt;/contributors&gt;&lt;added-date format="utc"&gt;1356989182&lt;/added-date&gt;&lt;ref-type name="Journal Article"&gt;17&lt;/ref-type&gt;&lt;rec-number&gt;528&lt;/rec-number&gt;&lt;last-updated-date format="utc"&gt;1479836739&lt;/last-updated-date&gt;&lt;accession-num&gt;WOS:000265956000016&lt;/accession-num&gt;&lt;electronic-resource-num&gt;10.1016/j.brainres.2009.02.063&lt;/electronic-resource-num&gt;&lt;volume&gt;1268&lt;/volume&gt;&lt;/record&gt;&lt;/Cite&gt;&lt;/EndNote&gt;</w:instrText>
      </w:r>
      <w:r>
        <w:rPr>
          <w:rFonts w:cs="Arial"/>
        </w:rPr>
        <w:fldChar w:fldCharType="separate"/>
      </w:r>
      <w:r w:rsidR="00D06F2D">
        <w:rPr>
          <w:rFonts w:cs="Arial"/>
          <w:noProof/>
        </w:rPr>
        <w:t>(Fischer et al., 2009a)</w:t>
      </w:r>
      <w:r>
        <w:rPr>
          <w:rFonts w:cs="Arial"/>
        </w:rPr>
        <w:fldChar w:fldCharType="end"/>
      </w:r>
      <w:r>
        <w:rPr>
          <w:rFonts w:cs="Arial"/>
        </w:rPr>
        <w:t xml:space="preserve">. </w:t>
      </w:r>
      <w:r w:rsidR="001E7EDB">
        <w:rPr>
          <w:rFonts w:cs="Arial"/>
        </w:rPr>
        <w:t xml:space="preserve"> </w:t>
      </w:r>
      <w:r>
        <w:rPr>
          <w:rFonts w:cs="Arial"/>
        </w:rPr>
        <w:t xml:space="preserve">Hyperexcitability of neurons could provoke a neurovascular coupling response facilitating capillary dilation in the thalamus and therefore an increased RBV in the P-DPN group. The trend in signal for Δ RBV to be slightly greater suggested that this may be true of our cohort. </w:t>
      </w:r>
      <w:r w:rsidR="009E0130">
        <w:rPr>
          <w:rFonts w:cs="Arial"/>
        </w:rPr>
        <w:t xml:space="preserve"> </w:t>
      </w:r>
      <w:r>
        <w:rPr>
          <w:rFonts w:cs="Arial"/>
        </w:rPr>
        <w:t xml:space="preserve">Other areas of the pain matrix have been interrogated to see if they have a similar response. </w:t>
      </w:r>
      <w:r w:rsidR="009E0130">
        <w:rPr>
          <w:rFonts w:cs="Arial"/>
        </w:rPr>
        <w:t xml:space="preserve"> </w:t>
      </w:r>
      <w:r w:rsidRPr="00BB75E6">
        <w:rPr>
          <w:rFonts w:cs="Arial"/>
        </w:rPr>
        <w:t xml:space="preserve">Zhao and colleagues were able to define pyramidal neuronal hyperactivity in layer 5 of the </w:t>
      </w:r>
      <w:r w:rsidRPr="003A3CA0">
        <w:rPr>
          <w:rFonts w:cs="Arial"/>
        </w:rPr>
        <w:t>ACC</w:t>
      </w:r>
      <w:r>
        <w:rPr>
          <w:rFonts w:cs="Arial"/>
        </w:rPr>
        <w:t xml:space="preserve"> of mice with experimental neuropathy</w:t>
      </w:r>
      <w:r w:rsidRPr="00BB75E6">
        <w:rPr>
          <w:rFonts w:cs="Arial"/>
        </w:rPr>
        <w:t xml:space="preserve">.  </w:t>
      </w:r>
      <w:r>
        <w:rPr>
          <w:rFonts w:cs="Arial"/>
        </w:rPr>
        <w:t xml:space="preserve">Using </w:t>
      </w:r>
      <w:r w:rsidRPr="00BB75E6">
        <w:rPr>
          <w:rFonts w:cs="Arial"/>
        </w:rPr>
        <w:t>two photon imaging of the brains of experimental animals</w:t>
      </w:r>
      <w:r>
        <w:rPr>
          <w:rFonts w:cs="Arial"/>
        </w:rPr>
        <w:t>,</w:t>
      </w:r>
      <w:r w:rsidRPr="00BB75E6">
        <w:rPr>
          <w:rFonts w:cs="Arial"/>
        </w:rPr>
        <w:t xml:space="preserve"> experiments to measure neurotransmitter activit</w:t>
      </w:r>
      <w:r>
        <w:rPr>
          <w:rFonts w:cs="Arial"/>
        </w:rPr>
        <w:t>y using</w:t>
      </w:r>
      <w:r w:rsidRPr="00BB75E6">
        <w:rPr>
          <w:rFonts w:cs="Arial"/>
        </w:rPr>
        <w:t xml:space="preserve"> direct measurements in vivo of calcium </w:t>
      </w:r>
      <w:r>
        <w:rPr>
          <w:rFonts w:cs="Arial"/>
        </w:rPr>
        <w:t>were</w:t>
      </w:r>
      <w:r w:rsidRPr="00BB75E6">
        <w:rPr>
          <w:rFonts w:cs="Arial"/>
        </w:rPr>
        <w:t xml:space="preserve"> undertaken</w:t>
      </w:r>
      <w:r>
        <w:rPr>
          <w:rFonts w:cs="Arial"/>
        </w:rPr>
        <w:t xml:space="preserve"> </w:t>
      </w:r>
      <w:r w:rsidRPr="00BB75E6">
        <w:rPr>
          <w:rFonts w:cs="Arial"/>
        </w:rPr>
        <w:fldChar w:fldCharType="begin"/>
      </w:r>
      <w:r w:rsidR="009968E0">
        <w:rPr>
          <w:rFonts w:cs="Arial"/>
        </w:rPr>
        <w:instrText xml:space="preserve"> ADDIN EN.CITE &lt;EndNote&gt;&lt;Cite&gt;&lt;Author&gt;Zhao&lt;/Author&gt;&lt;Year&gt;2018&lt;/Year&gt;&lt;IDText&gt;Neuropathic Pain Causes Pyramidal Neuronal Hyperactivity in the Anterior Cingulate Cortex&lt;/IDText&gt;&lt;DisplayText&gt;(Zhao et al., 2018a)&lt;/DisplayText&gt;&lt;record&gt;&lt;dates&gt;&lt;pub-dates&gt;&lt;date&gt;Apr 20&lt;/date&gt;&lt;/pub-dates&gt;&lt;year&gt;2018&lt;/year&gt;&lt;/dates&gt;&lt;urls&gt;&lt;related-urls&gt;&lt;url&gt;&amp;lt;Go to ISI&amp;gt;://WOS:000430549600001&lt;/url&gt;&lt;/related-urls&gt;&lt;/urls&gt;&lt;isbn&gt;1662-5102&lt;/isbn&gt;&lt;titles&gt;&lt;title&gt;Neuropathic Pain Causes Pyramidal Neuronal Hyperactivity in the Anterior Cingulate Cortex&lt;/title&gt;&lt;secondary-title&gt;Frontiers in Cellular Neuroscience&lt;/secondary-title&gt;&lt;/titles&gt;&lt;contributors&gt;&lt;authors&gt;&lt;author&gt;Zhao, Ruohe&lt;/author&gt;&lt;author&gt;Zhou, Hang&lt;/author&gt;&lt;author&gt;Huang, Lianyan&lt;/author&gt;&lt;author&gt;Xie, Zhongcong&lt;/author&gt;&lt;author&gt;Wang, Jing&lt;/author&gt;&lt;author&gt;Gan, Wen-Biao&lt;/author&gt;&lt;author&gt;Yang, Guang&lt;/author&gt;&lt;/authors&gt;&lt;/contributors&gt;&lt;custom7&gt;107&lt;/custom7&gt;&lt;added-date format="utc"&gt;1554478630&lt;/added-date&gt;&lt;ref-type name="Journal Article"&gt;17&lt;/ref-type&gt;&lt;rec-number&gt;1032&lt;/rec-number&gt;&lt;last-updated-date format="utc"&gt;1554478630&lt;/last-updated-date&gt;&lt;accession-num&gt;WOS:000430549600001&lt;/accession-num&gt;&lt;electronic-resource-num&gt;10.3389/fncel.2018.00107&lt;/electronic-resource-num&gt;&lt;volume&gt;12&lt;/volume&gt;&lt;/record&gt;&lt;/Cite&gt;&lt;/EndNote&gt;</w:instrText>
      </w:r>
      <w:r w:rsidRPr="00BB75E6">
        <w:rPr>
          <w:rFonts w:cs="Arial"/>
        </w:rPr>
        <w:fldChar w:fldCharType="separate"/>
      </w:r>
      <w:r w:rsidR="009968E0">
        <w:rPr>
          <w:rFonts w:cs="Arial"/>
          <w:noProof/>
        </w:rPr>
        <w:t>(Zhao et al., 2018a)</w:t>
      </w:r>
      <w:r w:rsidRPr="00BB75E6">
        <w:rPr>
          <w:rFonts w:cs="Arial"/>
        </w:rPr>
        <w:fldChar w:fldCharType="end"/>
      </w:r>
      <w:r w:rsidRPr="00BB75E6">
        <w:rPr>
          <w:rFonts w:cs="Arial"/>
        </w:rPr>
        <w:t xml:space="preserve">.  </w:t>
      </w:r>
      <w:r>
        <w:rPr>
          <w:rFonts w:cs="Arial"/>
        </w:rPr>
        <w:t xml:space="preserve">The mice had a more exuberant neuronal response to a noxious stimulus applied to the neuropathic area, and to the contralateral unaffected limb.  </w:t>
      </w:r>
      <w:r w:rsidRPr="00BB75E6">
        <w:rPr>
          <w:rFonts w:cs="Arial"/>
        </w:rPr>
        <w:t>However, it seems unlikely that this phenomenon could explain our results as hyperexcitability should translate to increased RBV</w:t>
      </w:r>
      <w:r>
        <w:rPr>
          <w:rFonts w:cs="Arial"/>
        </w:rPr>
        <w:t xml:space="preserve"> in response to all stimuli</w:t>
      </w:r>
      <w:r w:rsidRPr="00BB75E6">
        <w:rPr>
          <w:rFonts w:cs="Arial"/>
        </w:rPr>
        <w:t>,</w:t>
      </w:r>
      <w:r>
        <w:rPr>
          <w:rFonts w:cs="Arial"/>
        </w:rPr>
        <w:t xml:space="preserve"> which was not the case in our study.  </w:t>
      </w:r>
    </w:p>
    <w:p w14:paraId="698D840A" w14:textId="4D261CA3" w:rsidR="006416A2" w:rsidRDefault="006416A2" w:rsidP="006416A2">
      <w:pPr>
        <w:spacing w:line="360" w:lineRule="auto"/>
        <w:rPr>
          <w:rFonts w:cs="Arial"/>
        </w:rPr>
      </w:pPr>
      <w:r>
        <w:rPr>
          <w:rFonts w:cs="Arial"/>
        </w:rPr>
        <w:t xml:space="preserve">The most likely explanation for the finding is that we have measured by DSC-MRI a phenomenon that is labelled the “negative bold response” or NBR in BOLD fMRI studies. </w:t>
      </w:r>
      <w:r w:rsidR="009E0130">
        <w:rPr>
          <w:rFonts w:cs="Arial"/>
        </w:rPr>
        <w:t xml:space="preserve"> </w:t>
      </w:r>
      <w:r>
        <w:rPr>
          <w:rFonts w:cs="Arial"/>
        </w:rPr>
        <w:t xml:space="preserve">NBR is a noted decrease in BOLD activity below its baseline level as a result of a stimulus </w:t>
      </w:r>
      <w:r>
        <w:rPr>
          <w:rFonts w:cs="Arial"/>
        </w:rPr>
        <w:fldChar w:fldCharType="begin"/>
      </w:r>
      <w:r>
        <w:rPr>
          <w:rFonts w:cs="Arial"/>
        </w:rPr>
        <w:instrText xml:space="preserve"> ADDIN EN.CITE &lt;EndNote&gt;&lt;Cite&gt;&lt;Author&gt;Moraschi&lt;/Author&gt;&lt;Year&gt;2012&lt;/Year&gt;&lt;IDText&gt;On the origin of sustained negative BOLD response&lt;/IDText&gt;&lt;DisplayText&gt;(Moraschi et al., 2012)&lt;/DisplayText&gt;&lt;record&gt;&lt;keywords&gt;&lt;keyword&gt;fMRI&lt;/keyword&gt;&lt;keyword&gt;Vascular steal&lt;/keyword&gt;&lt;keyword&gt;Negative BOLD response&lt;/keyword&gt;&lt;keyword&gt;Neurovascular coupling&lt;/keyword&gt;&lt;keyword&gt;Brain - blood supply&lt;/keyword&gt;&lt;keyword&gt;Magnetic Resonance Imaging&lt;/keyword&gt;&lt;keyword&gt;Animals&lt;/keyword&gt;&lt;keyword&gt;Cerebrovascular Circulation - physiology&lt;/keyword&gt;&lt;keyword&gt;Humans&lt;/keyword&gt;&lt;keyword&gt;Neurons - physiology&lt;/keyword&gt;&lt;keyword&gt;Primates&lt;/keyword&gt;&lt;keyword&gt;Brain - physiology&lt;/keyword&gt;&lt;keyword&gt;Oxygen Consumption - physiology&lt;/keyword&gt;&lt;keyword&gt;Oxygen - blood&lt;/keyword&gt;&lt;/keywords&gt;&lt;isbn&gt;0022-3077&lt;/isbn&gt;&lt;titles&gt;&lt;title&gt;On the origin of sustained negative BOLD response&lt;/title&gt;&lt;secondary-title&gt;J Neurophysiol&lt;/secondary-title&gt;&lt;/titles&gt;&lt;pages&gt;2339-2342&lt;/pages&gt;&lt;number&gt;9&lt;/number&gt;&lt;contributors&gt;&lt;authors&gt;&lt;author&gt;Moraschi,  M.&lt;/author&gt;&lt;author&gt;DiNuzzo, M&lt;/author&gt;&lt;author&gt;Giove, F&lt;/author&gt;&lt;/authors&gt;&lt;/contributors&gt;&lt;added-date format="utc"&gt;1596975530&lt;/added-date&gt;&lt;pub-location&gt;United States&lt;/pub-location&gt;&lt;ref-type name="Journal Article"&gt;17&lt;/ref-type&gt;&lt;dates&gt;&lt;year&gt;2012&lt;/year&gt;&lt;/dates&gt;&lt;rec-number&gt;1287&lt;/rec-number&gt;&lt;publisher&gt;United States: American Physiological Society&lt;/publisher&gt;&lt;last-updated-date format="utc"&gt;1596975590&lt;/last-updated-date&gt;&lt;electronic-resource-num&gt;10.1152/jn.01199.2011&lt;/electronic-resource-num&gt;&lt;volume&gt;108&lt;/volume&gt;&lt;/record&gt;&lt;/Cite&gt;&lt;/EndNote&gt;</w:instrText>
      </w:r>
      <w:r>
        <w:rPr>
          <w:rFonts w:cs="Arial"/>
        </w:rPr>
        <w:fldChar w:fldCharType="separate"/>
      </w:r>
      <w:r>
        <w:rPr>
          <w:rFonts w:cs="Arial"/>
          <w:noProof/>
        </w:rPr>
        <w:t>(Moraschi et al., 2012)</w:t>
      </w:r>
      <w:r>
        <w:rPr>
          <w:rFonts w:cs="Arial"/>
        </w:rPr>
        <w:fldChar w:fldCharType="end"/>
      </w:r>
      <w:r>
        <w:rPr>
          <w:rFonts w:cs="Arial"/>
        </w:rPr>
        <w:t xml:space="preserve">. </w:t>
      </w:r>
      <w:r w:rsidR="00254CBD">
        <w:rPr>
          <w:rFonts w:cs="Arial"/>
        </w:rPr>
        <w:t xml:space="preserve"> </w:t>
      </w:r>
      <w:r>
        <w:rPr>
          <w:rFonts w:cs="Arial"/>
        </w:rPr>
        <w:t>It is thought that it is unlikely to represent vascular “steal” or active vasoconstriction</w:t>
      </w:r>
      <w:r w:rsidR="00857B58">
        <w:rPr>
          <w:rFonts w:cs="Arial"/>
        </w:rPr>
        <w:t>,</w:t>
      </w:r>
      <w:r>
        <w:rPr>
          <w:rFonts w:cs="Arial"/>
        </w:rPr>
        <w:t xml:space="preserve"> but </w:t>
      </w:r>
      <w:r w:rsidR="00857B58">
        <w:rPr>
          <w:rFonts w:cs="Arial"/>
        </w:rPr>
        <w:t xml:space="preserve">probably </w:t>
      </w:r>
      <w:r>
        <w:rPr>
          <w:rFonts w:cs="Arial"/>
        </w:rPr>
        <w:t xml:space="preserve">represents a neural inhibition of activity in the region </w:t>
      </w:r>
      <w:r>
        <w:rPr>
          <w:rFonts w:cs="Arial"/>
        </w:rPr>
        <w:fldChar w:fldCharType="begin"/>
      </w:r>
      <w:r>
        <w:rPr>
          <w:rFonts w:cs="Arial"/>
        </w:rPr>
        <w:instrText xml:space="preserve"> ADDIN EN.CITE &lt;EndNote&gt;&lt;Cite&gt;&lt;Author&gt;Moraschi&lt;/Author&gt;&lt;Year&gt;2012&lt;/Year&gt;&lt;IDText&gt;On the origin of sustained negative BOLD response&lt;/IDText&gt;&lt;DisplayText&gt;(Moraschi et al., 2012)&lt;/DisplayText&gt;&lt;record&gt;&lt;keywords&gt;&lt;keyword&gt;fMRI&lt;/keyword&gt;&lt;keyword&gt;Vascular steal&lt;/keyword&gt;&lt;keyword&gt;Negative BOLD response&lt;/keyword&gt;&lt;keyword&gt;Neurovascular coupling&lt;/keyword&gt;&lt;keyword&gt;Brain - blood supply&lt;/keyword&gt;&lt;keyword&gt;Magnetic Resonance Imaging&lt;/keyword&gt;&lt;keyword&gt;Animals&lt;/keyword&gt;&lt;keyword&gt;Cerebrovascular Circulation - physiology&lt;/keyword&gt;&lt;keyword&gt;Humans&lt;/keyword&gt;&lt;keyword&gt;Neurons - physiology&lt;/keyword&gt;&lt;keyword&gt;Primates&lt;/keyword&gt;&lt;keyword&gt;Brain - physiology&lt;/keyword&gt;&lt;keyword&gt;Oxygen Consumption - physiology&lt;/keyword&gt;&lt;keyword&gt;Oxygen - blood&lt;/keyword&gt;&lt;/keywords&gt;&lt;isbn&gt;0022-3077&lt;/isbn&gt;&lt;titles&gt;&lt;title&gt;On the origin of sustained negative BOLD response&lt;/title&gt;&lt;secondary-title&gt;J Neurophysiol&lt;/secondary-title&gt;&lt;/titles&gt;&lt;pages&gt;2339-2342&lt;/pages&gt;&lt;number&gt;9&lt;/number&gt;&lt;contributors&gt;&lt;authors&gt;&lt;author&gt;Moraschi,  M.&lt;/author&gt;&lt;author&gt;DiNuzzo, M&lt;/author&gt;&lt;author&gt;Giove, F&lt;/author&gt;&lt;/authors&gt;&lt;/contributors&gt;&lt;added-date format="utc"&gt;1596975530&lt;/added-date&gt;&lt;pub-location&gt;United States&lt;/pub-location&gt;&lt;ref-type name="Journal Article"&gt;17&lt;/ref-type&gt;&lt;dates&gt;&lt;year&gt;2012&lt;/year&gt;&lt;/dates&gt;&lt;rec-number&gt;1287&lt;/rec-number&gt;&lt;publisher&gt;United States: American Physiological Society&lt;/publisher&gt;&lt;last-updated-date format="utc"&gt;1596975590&lt;/last-updated-date&gt;&lt;electronic-resource-num&gt;10.1152/jn.01199.2011&lt;/electronic-resource-num&gt;&lt;volume&gt;108&lt;/volume&gt;&lt;/record&gt;&lt;/Cite&gt;&lt;/EndNote&gt;</w:instrText>
      </w:r>
      <w:r>
        <w:rPr>
          <w:rFonts w:cs="Arial"/>
        </w:rPr>
        <w:fldChar w:fldCharType="separate"/>
      </w:r>
      <w:r>
        <w:rPr>
          <w:rFonts w:cs="Arial"/>
          <w:noProof/>
        </w:rPr>
        <w:t>(Moraschi et al., 2012)</w:t>
      </w:r>
      <w:r>
        <w:rPr>
          <w:rFonts w:cs="Arial"/>
        </w:rPr>
        <w:fldChar w:fldCharType="end"/>
      </w:r>
      <w:r>
        <w:rPr>
          <w:rFonts w:cs="Arial"/>
        </w:rPr>
        <w:t xml:space="preserve">. Studies using somatosensory stimuli report that NBR is predominantly seen in the ipsilateral primary sensory cortex </w:t>
      </w:r>
      <w:r w:rsidR="009E0130">
        <w:rPr>
          <w:rFonts w:cs="Arial"/>
        </w:rPr>
        <w:t xml:space="preserve">and </w:t>
      </w:r>
      <w:r>
        <w:rPr>
          <w:rFonts w:cs="Arial"/>
        </w:rPr>
        <w:t>areas that are not related to a positive BOLD response</w:t>
      </w:r>
      <w:r w:rsidR="009E0130">
        <w:rPr>
          <w:rFonts w:cs="Arial"/>
        </w:rPr>
        <w:t>,</w:t>
      </w:r>
      <w:r>
        <w:rPr>
          <w:rFonts w:cs="Arial"/>
        </w:rPr>
        <w:t xml:space="preserve"> and is proportional to the intensity of the stimulus, </w:t>
      </w:r>
      <w:proofErr w:type="gramStart"/>
      <w:r>
        <w:rPr>
          <w:rFonts w:cs="Arial"/>
        </w:rPr>
        <w:t>i.e.</w:t>
      </w:r>
      <w:proofErr w:type="gramEnd"/>
      <w:r>
        <w:rPr>
          <w:rFonts w:cs="Arial"/>
        </w:rPr>
        <w:t xml:space="preserve"> the stronger the noxious stimulus the greater the deactivation </w:t>
      </w:r>
      <w:r>
        <w:rPr>
          <w:rFonts w:cs="Arial"/>
        </w:rPr>
        <w:fldChar w:fldCharType="begin">
          <w:fldData xml:space="preserve">PEVuZE5vdGU+PENpdGU+PEF1dGhvcj5LYXN0cnVwPC9BdXRob3I+PFllYXI+MjAwODwvWWVhcj48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</w:fldData>
        </w:fldChar>
      </w:r>
      <w:r>
        <w:rPr>
          <w:rFonts w:cs="Arial"/>
        </w:rPr>
        <w:instrText xml:space="preserve"> ADDIN EN.CITE </w:instrText>
      </w:r>
      <w:r>
        <w:rPr>
          <w:rFonts w:cs="Arial"/>
        </w:rPr>
        <w:fldChar w:fldCharType="begin">
          <w:fldData xml:space="preserve">PEVuZE5vdGU+PENpdGU+PEF1dGhvcj5LYXN0cnVwPC9BdXRob3I+PFllYXI+MjAwODwvWWVhcj48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</w:fldData>
        </w:fldChar>
      </w:r>
      <w:r>
        <w:rPr>
          <w:rFonts w:cs="Arial"/>
        </w:rPr>
        <w:instrText xml:space="preserve"> ADDIN EN.CITE.DATA </w:instrText>
      </w:r>
      <w:r>
        <w:rPr>
          <w:rFonts w:cs="Arial"/>
        </w:rPr>
      </w:r>
      <w:r>
        <w:rPr>
          <w:rFonts w:cs="Arial"/>
        </w:rPr>
        <w:fldChar w:fldCharType="end"/>
      </w:r>
      <w:r>
        <w:rPr>
          <w:rFonts w:cs="Arial"/>
        </w:rPr>
      </w:r>
      <w:r>
        <w:rPr>
          <w:rFonts w:cs="Arial"/>
        </w:rPr>
        <w:fldChar w:fldCharType="separate"/>
      </w:r>
      <w:r>
        <w:rPr>
          <w:rFonts w:cs="Arial"/>
          <w:noProof/>
        </w:rPr>
        <w:t>(Kastrup et al., 2008, Klingner et al., 2010, Mayhew et al., 2016)</w:t>
      </w:r>
      <w:r>
        <w:rPr>
          <w:rFonts w:cs="Arial"/>
        </w:rPr>
        <w:fldChar w:fldCharType="end"/>
      </w:r>
      <w:r>
        <w:rPr>
          <w:rFonts w:cs="Arial"/>
        </w:rPr>
        <w:t>.  This would support our findings in the P-DPN group for RBV at the RPSC, who have a smaller RBV at higher levels of reported pain intensity.  Human subjects with nerve injury of the hand, vibration injury and immobilisation injury had increased positive bold response in the contralateral somatosensory cortex</w:t>
      </w:r>
      <w:r w:rsidR="00857B58">
        <w:rPr>
          <w:rFonts w:cs="Arial"/>
        </w:rPr>
        <w:t>,</w:t>
      </w:r>
      <w:r>
        <w:rPr>
          <w:rFonts w:cs="Arial"/>
        </w:rPr>
        <w:t xml:space="preserve"> and abnormal NBR in the ipsilateral somatosensory cortex</w:t>
      </w:r>
      <w:r w:rsidR="00857B58">
        <w:rPr>
          <w:rFonts w:cs="Arial"/>
        </w:rPr>
        <w:t>,</w:t>
      </w:r>
      <w:r>
        <w:rPr>
          <w:rFonts w:cs="Arial"/>
        </w:rPr>
        <w:t xml:space="preserve"> compared with healthy volunteers </w:t>
      </w:r>
      <w:r>
        <w:rPr>
          <w:rFonts w:cs="Arial"/>
        </w:rPr>
        <w:fldChar w:fldCharType="begin">
          <w:fldData xml:space="preserve">PEVuZE5vdGU+PENpdGU+PEF1dGhvcj5CasO2cmttYW48L0F1dGhvcj48WWVhcj4yMDE4PC9ZZWFy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</w:fldData>
        </w:fldChar>
      </w:r>
      <w:r>
        <w:rPr>
          <w:rFonts w:cs="Arial"/>
        </w:rPr>
        <w:instrText xml:space="preserve"> ADDIN EN.CITE </w:instrText>
      </w:r>
      <w:r>
        <w:rPr>
          <w:rFonts w:cs="Arial"/>
        </w:rPr>
        <w:fldChar w:fldCharType="begin">
          <w:fldData xml:space="preserve">PEVuZE5vdGU+PENpdGU+PEF1dGhvcj5CasO2cmttYW48L0F1dGhvcj48WWVhcj4yMDE4PC9ZZWFy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</w:fldData>
        </w:fldChar>
      </w:r>
      <w:r>
        <w:rPr>
          <w:rFonts w:cs="Arial"/>
        </w:rPr>
        <w:instrText xml:space="preserve"> ADDIN EN.CITE.DATA </w:instrText>
      </w:r>
      <w:r>
        <w:rPr>
          <w:rFonts w:cs="Arial"/>
        </w:rPr>
      </w:r>
      <w:r>
        <w:rPr>
          <w:rFonts w:cs="Arial"/>
        </w:rPr>
        <w:fldChar w:fldCharType="end"/>
      </w:r>
      <w:r>
        <w:rPr>
          <w:rFonts w:cs="Arial"/>
        </w:rPr>
      </w:r>
      <w:r>
        <w:rPr>
          <w:rFonts w:cs="Arial"/>
        </w:rPr>
        <w:fldChar w:fldCharType="separate"/>
      </w:r>
      <w:r>
        <w:rPr>
          <w:rFonts w:cs="Arial"/>
          <w:noProof/>
        </w:rPr>
        <w:t>(Björkman and Weibull, 2018)</w:t>
      </w:r>
      <w:r>
        <w:rPr>
          <w:rFonts w:cs="Arial"/>
        </w:rPr>
        <w:fldChar w:fldCharType="end"/>
      </w:r>
      <w:r>
        <w:rPr>
          <w:rFonts w:cs="Arial"/>
        </w:rPr>
        <w:t xml:space="preserve">.  The authors hypothesised that the abnormal NBR may be </w:t>
      </w:r>
      <w:r>
        <w:rPr>
          <w:rFonts w:cs="Arial"/>
        </w:rPr>
        <w:lastRenderedPageBreak/>
        <w:t>associated with neural recovery</w:t>
      </w:r>
      <w:r w:rsidR="00857B58">
        <w:rPr>
          <w:rFonts w:cs="Arial"/>
        </w:rPr>
        <w:t>.</w:t>
      </w:r>
      <w:r w:rsidR="009E0130">
        <w:rPr>
          <w:rFonts w:cs="Arial"/>
        </w:rPr>
        <w:t xml:space="preserve"> </w:t>
      </w:r>
      <w:r>
        <w:rPr>
          <w:rFonts w:cs="Arial"/>
        </w:rPr>
        <w:t xml:space="preserve"> </w:t>
      </w:r>
      <w:r w:rsidR="00857B58">
        <w:rPr>
          <w:rFonts w:cs="Arial"/>
        </w:rPr>
        <w:t>I</w:t>
      </w:r>
      <w:r>
        <w:rPr>
          <w:rFonts w:cs="Arial"/>
        </w:rPr>
        <w:t xml:space="preserve">t seems equally possible that the groups with neural injury had </w:t>
      </w:r>
      <w:r w:rsidR="009E0130">
        <w:rPr>
          <w:rFonts w:cs="Arial"/>
        </w:rPr>
        <w:t>adaptive</w:t>
      </w:r>
      <w:r>
        <w:rPr>
          <w:rFonts w:cs="Arial"/>
        </w:rPr>
        <w:t xml:space="preserve"> NBR responses </w:t>
      </w:r>
      <w:r w:rsidR="009E0130">
        <w:rPr>
          <w:rFonts w:cs="Arial"/>
        </w:rPr>
        <w:t>to compensate for pain</w:t>
      </w:r>
      <w:r>
        <w:rPr>
          <w:rFonts w:cs="Arial"/>
        </w:rPr>
        <w:t xml:space="preserve">. </w:t>
      </w:r>
      <w:r w:rsidR="00857B58">
        <w:rPr>
          <w:rFonts w:cs="Arial"/>
        </w:rPr>
        <w:t xml:space="preserve"> </w:t>
      </w:r>
      <w:r>
        <w:rPr>
          <w:rFonts w:cs="Arial"/>
        </w:rPr>
        <w:t xml:space="preserve">Negative BOLD response has also been studied in rats at the time of sciatic nerve injury </w:t>
      </w:r>
      <w:r>
        <w:rPr>
          <w:rFonts w:cs="Arial"/>
        </w:rPr>
        <w:fldChar w:fldCharType="begin">
          <w:fldData xml:space="preserve">PEVuZE5vdGU+PENpdGU+PEF1dGhvcj5DaGFvPC9BdXRob3I+PFllYXI+MjAxODwvWWVhcj48SURU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</w:fldData>
        </w:fldChar>
      </w:r>
      <w:r>
        <w:rPr>
          <w:rFonts w:cs="Arial"/>
        </w:rPr>
        <w:instrText xml:space="preserve"> ADDIN EN.CITE </w:instrText>
      </w:r>
      <w:r>
        <w:rPr>
          <w:rFonts w:cs="Arial"/>
        </w:rPr>
        <w:fldChar w:fldCharType="begin">
          <w:fldData xml:space="preserve">PEVuZE5vdGU+PENpdGU+PEF1dGhvcj5DaGFvPC9BdXRob3I+PFllYXI+MjAxODwvWWVhcj48SURU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</w:fldData>
        </w:fldChar>
      </w:r>
      <w:r>
        <w:rPr>
          <w:rFonts w:cs="Arial"/>
        </w:rPr>
        <w:instrText xml:space="preserve"> ADDIN EN.CITE.DATA </w:instrText>
      </w:r>
      <w:r>
        <w:rPr>
          <w:rFonts w:cs="Arial"/>
        </w:rPr>
      </w:r>
      <w:r>
        <w:rPr>
          <w:rFonts w:cs="Arial"/>
        </w:rPr>
        <w:fldChar w:fldCharType="end"/>
      </w:r>
      <w:r>
        <w:rPr>
          <w:rFonts w:cs="Arial"/>
        </w:rPr>
      </w:r>
      <w:r>
        <w:rPr>
          <w:rFonts w:cs="Arial"/>
        </w:rPr>
        <w:fldChar w:fldCharType="separate"/>
      </w:r>
      <w:r>
        <w:rPr>
          <w:rFonts w:cs="Arial"/>
          <w:noProof/>
        </w:rPr>
        <w:t>(Chao et al., 2018)</w:t>
      </w:r>
      <w:r>
        <w:rPr>
          <w:rFonts w:cs="Arial"/>
        </w:rPr>
        <w:fldChar w:fldCharType="end"/>
      </w:r>
      <w:r>
        <w:rPr>
          <w:rFonts w:cs="Arial"/>
        </w:rPr>
        <w:t xml:space="preserve">. </w:t>
      </w:r>
      <w:r w:rsidR="003D70AA">
        <w:rPr>
          <w:rFonts w:cs="Arial"/>
        </w:rPr>
        <w:t xml:space="preserve"> </w:t>
      </w:r>
      <w:r>
        <w:rPr>
          <w:rFonts w:cs="Arial"/>
        </w:rPr>
        <w:t xml:space="preserve">NBR was observed in the caudate nucleus and positive BOLD response was seen in the thalamus, contralateral PSC and hypothalamus, but there was no comment regarding NBR in the ipsilateral thalamus or PSC, and stimulus response experiments in the affected area were not undertaken.  Caudate NBR has not previously been described in experiments in humans with nerve injury or neuropathy, but this opens up the possibility that location of NBR might be dependent on </w:t>
      </w:r>
      <w:r w:rsidR="003D70AA">
        <w:rPr>
          <w:rFonts w:cs="Arial"/>
        </w:rPr>
        <w:t xml:space="preserve">the </w:t>
      </w:r>
      <w:r>
        <w:rPr>
          <w:rFonts w:cs="Arial"/>
        </w:rPr>
        <w:t xml:space="preserve">applied stimulus or underlying pathology or both.  NBR has been correlated with DSC measures in a cohort of patients with Moya </w:t>
      </w:r>
      <w:proofErr w:type="spellStart"/>
      <w:r>
        <w:rPr>
          <w:rFonts w:cs="Arial"/>
        </w:rPr>
        <w:t>Moya</w:t>
      </w:r>
      <w:proofErr w:type="spellEnd"/>
      <w:r>
        <w:rPr>
          <w:rFonts w:cs="Arial"/>
        </w:rPr>
        <w:t xml:space="preserve"> disease, who were given a painful electrical stimulation </w:t>
      </w:r>
      <w:r>
        <w:rPr>
          <w:rFonts w:cs="Arial"/>
        </w:rPr>
        <w:fldChar w:fldCharType="begin"/>
      </w:r>
      <w:r>
        <w:rPr>
          <w:rFonts w:cs="Arial"/>
        </w:rPr>
        <w:instrText xml:space="preserve"> ADDIN EN.CITE &lt;EndNote&gt;&lt;Cite&gt;&lt;Author&gt;Qiao&lt;/Author&gt;&lt;Year&gt;2019&lt;/Year&gt;&lt;IDText&gt;Blood Oxygen Level–Dependent Response Changes in the Ipsilateral Primary Somatosensory Cortex and Thalamus of Patients With Moyamoya Disease During Median Nerve Electrical Stimulation&lt;/IDText&gt;&lt;DisplayText&gt;(Qiao et al., 2019)&lt;/DisplayText&gt;&lt;record&gt;&lt;titles&gt;&lt;title&gt;Blood Oxygen Level–Dependent Response Changes in the Ipsilateral Primary Somatosensory Cortex and Thalamus of Patients With Moyamoya Disease During Median Nerve Electrical Stimulation&lt;/title&gt;&lt;secondary-title&gt;Journal of Computer Assisted Tomography&lt;/secondary-title&gt;&lt;/titles&gt;&lt;pages&gt;539-546&lt;/pages&gt;&lt;number&gt;4&lt;/number&gt;&lt;contributors&gt;&lt;authors&gt;&lt;author&gt;Qiao, P.&lt;/author&gt;&lt;author&gt;Cheng, X.&lt;/author&gt;&lt;author&gt;Zuo, Z.&lt;/author&gt;&lt;author&gt;Han, C.&lt;/author&gt;&lt;author&gt;Yang, Z.&lt;/author&gt;&lt;author&gt;Li, G.&lt;/author&gt;&lt;/authors&gt;&lt;/contributors&gt;&lt;added-date format="utc"&gt;1597003851&lt;/added-date&gt;&lt;ref-type name="Journal Article"&gt;17&lt;/ref-type&gt;&lt;dates&gt;&lt;year&gt;2019&lt;/year&gt;&lt;/dates&gt;&lt;rec-number&gt;1289&lt;/rec-number&gt;&lt;last-updated-date format="utc"&gt;1597004172&lt;/last-updated-date&gt;&lt;electronic-resource-num&gt;10.1097/RCT.0000000000000891&lt;/electronic-resource-num&gt;&lt;volume&gt;43&lt;/volume&gt;&lt;/record&gt;&lt;/Cite&gt;&lt;/EndNote&gt;</w:instrText>
      </w:r>
      <w:r>
        <w:rPr>
          <w:rFonts w:cs="Arial"/>
        </w:rPr>
        <w:fldChar w:fldCharType="separate"/>
      </w:r>
      <w:r>
        <w:rPr>
          <w:rFonts w:cs="Arial"/>
          <w:noProof/>
        </w:rPr>
        <w:t>(Qiao et al., 2019)</w:t>
      </w:r>
      <w:r>
        <w:rPr>
          <w:rFonts w:cs="Arial"/>
        </w:rPr>
        <w:fldChar w:fldCharType="end"/>
      </w:r>
      <w:r>
        <w:rPr>
          <w:rFonts w:cs="Arial"/>
        </w:rPr>
        <w:t xml:space="preserve">.  They found that the TTP response was delayed in those with NBR in the thalamus and the primary sensory cortex.  This finding links decreases in perfusion to pain and DSC-MRI measurements in areas of the pain matrix.  </w:t>
      </w:r>
    </w:p>
    <w:p w14:paraId="750F6B37" w14:textId="215B7D7B" w:rsidR="006416A2" w:rsidRDefault="006416A2" w:rsidP="006416A2">
      <w:pPr>
        <w:spacing w:line="360" w:lineRule="auto"/>
        <w:rPr>
          <w:rFonts w:cs="Arial"/>
        </w:rPr>
      </w:pPr>
      <w:r>
        <w:rPr>
          <w:rFonts w:cs="Arial"/>
        </w:rPr>
        <w:t xml:space="preserve">It is plausible that the insula, thalamus and sensorimotor cortex areas may have below baseline activations, as they have been described as areas that may have decreased resting state connectivity in subjects with P-DPN </w:t>
      </w:r>
      <w:r>
        <w:rPr>
          <w:rFonts w:cs="Arial"/>
        </w:rPr>
        <w:fldChar w:fldCharType="begin">
          <w:fldData xml:space="preserve">PEVuZE5vdGU+PENpdGU+PEF1dGhvcj5DYXVkYTwvQXV0aG9yPjxZZWFyPjIwMDk8L1llYXI+PElE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</w:fldData>
        </w:fldChar>
      </w:r>
      <w:r>
        <w:rPr>
          <w:rFonts w:cs="Arial"/>
        </w:rPr>
        <w:instrText xml:space="preserve"> ADDIN EN.CITE </w:instrText>
      </w:r>
      <w:r>
        <w:rPr>
          <w:rFonts w:cs="Arial"/>
        </w:rPr>
        <w:fldChar w:fldCharType="begin">
          <w:fldData xml:space="preserve">PEVuZE5vdGU+PENpdGU+PEF1dGhvcj5DYXVkYTwvQXV0aG9yPjxZZWFyPjIwMDk8L1llYXI+PElE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</w:fldData>
        </w:fldChar>
      </w:r>
      <w:r>
        <w:rPr>
          <w:rFonts w:cs="Arial"/>
        </w:rPr>
        <w:instrText xml:space="preserve"> ADDIN EN.CITE.DATA </w:instrText>
      </w:r>
      <w:r>
        <w:rPr>
          <w:rFonts w:cs="Arial"/>
        </w:rPr>
      </w:r>
      <w:r>
        <w:rPr>
          <w:rFonts w:cs="Arial"/>
        </w:rPr>
        <w:fldChar w:fldCharType="end"/>
      </w:r>
      <w:r>
        <w:rPr>
          <w:rFonts w:cs="Arial"/>
        </w:rPr>
      </w:r>
      <w:r>
        <w:rPr>
          <w:rFonts w:cs="Arial"/>
        </w:rPr>
        <w:fldChar w:fldCharType="separate"/>
      </w:r>
      <w:r>
        <w:rPr>
          <w:rFonts w:cs="Arial"/>
          <w:noProof/>
        </w:rPr>
        <w:t>(Cauda et al., 2009a, Cauda et al., 2009b, Selvarajah et al., 2018)</w:t>
      </w:r>
      <w:r>
        <w:rPr>
          <w:rFonts w:cs="Arial"/>
        </w:rPr>
        <w:fldChar w:fldCharType="end"/>
      </w:r>
      <w:r>
        <w:rPr>
          <w:rFonts w:cs="Arial"/>
        </w:rPr>
        <w:t xml:space="preserve">.  It is feasible that abnormal responses (either temporally or </w:t>
      </w:r>
      <w:proofErr w:type="spellStart"/>
      <w:r>
        <w:rPr>
          <w:rFonts w:cs="Arial"/>
        </w:rPr>
        <w:t>magnitudinally</w:t>
      </w:r>
      <w:proofErr w:type="spellEnd"/>
      <w:r>
        <w:rPr>
          <w:rFonts w:cs="Arial"/>
        </w:rPr>
        <w:t xml:space="preserve">) may arise as a result.  NBR and resting state connectivity have been postulated to be linked and this may be through higher </w:t>
      </w:r>
      <w:r w:rsidR="00AB50AC">
        <w:rPr>
          <w:rFonts w:cs="Arial"/>
        </w:rPr>
        <w:t>local concentrations</w:t>
      </w:r>
      <w:r>
        <w:rPr>
          <w:rFonts w:cs="Arial"/>
        </w:rPr>
        <w:t xml:space="preserve"> of GABA </w:t>
      </w:r>
      <w:r>
        <w:rPr>
          <w:rFonts w:cs="Arial"/>
        </w:rPr>
        <w:fldChar w:fldCharType="begin">
          <w:fldData xml:space="preserve">PEVuZE5vdGU+PENpdGU+PEF1dGhvcj5XYWx0ZXI8L0F1dGhvcj48WWVhcj4yMDE2PC9ZZWFyPjxJ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</w:fldData>
        </w:fldChar>
      </w:r>
      <w:r>
        <w:rPr>
          <w:rFonts w:cs="Arial"/>
        </w:rPr>
        <w:instrText xml:space="preserve"> ADDIN EN.CITE </w:instrText>
      </w:r>
      <w:r>
        <w:rPr>
          <w:rFonts w:cs="Arial"/>
        </w:rPr>
        <w:fldChar w:fldCharType="begin">
          <w:fldData xml:space="preserve">PEVuZE5vdGU+PENpdGU+PEF1dGhvcj5XYWx0ZXI8L0F1dGhvcj48WWVhcj4yMDE2PC9ZZWFyPjxJ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</w:fldData>
        </w:fldChar>
      </w:r>
      <w:r>
        <w:rPr>
          <w:rFonts w:cs="Arial"/>
        </w:rPr>
        <w:instrText xml:space="preserve"> ADDIN EN.CITE.DATA </w:instrText>
      </w:r>
      <w:r>
        <w:rPr>
          <w:rFonts w:cs="Arial"/>
        </w:rPr>
      </w:r>
      <w:r>
        <w:rPr>
          <w:rFonts w:cs="Arial"/>
        </w:rPr>
        <w:fldChar w:fldCharType="end"/>
      </w:r>
      <w:r>
        <w:rPr>
          <w:rFonts w:cs="Arial"/>
        </w:rPr>
      </w:r>
      <w:r>
        <w:rPr>
          <w:rFonts w:cs="Arial"/>
        </w:rPr>
        <w:fldChar w:fldCharType="separate"/>
      </w:r>
      <w:r>
        <w:rPr>
          <w:rFonts w:cs="Arial"/>
          <w:noProof/>
        </w:rPr>
        <w:t>(Walter et al., 2016, Hu et al., 2013)</w:t>
      </w:r>
      <w:r>
        <w:rPr>
          <w:rFonts w:cs="Arial"/>
        </w:rPr>
        <w:fldChar w:fldCharType="end"/>
      </w:r>
      <w:r>
        <w:rPr>
          <w:rFonts w:cs="Arial"/>
        </w:rPr>
        <w:t xml:space="preserve">.  Moreover, previous studies have revealed higher levels of GABA in the brains of subjects experiencing a noxious thermal stimulus </w:t>
      </w:r>
      <w:r>
        <w:rPr>
          <w:rFonts w:cs="Arial"/>
        </w:rPr>
        <w:fldChar w:fldCharType="begin">
          <w:fldData xml:space="preserve">PEVuZE5vdGU+PENpdGU+PEF1dGhvcj5LdXBlcnM8L0F1dGhvcj48WWVhcj4yMDA5PC9ZZWFyPjxJ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</w:fldData>
        </w:fldChar>
      </w:r>
      <w:r w:rsidR="009968E0">
        <w:rPr>
          <w:rFonts w:cs="Arial"/>
        </w:rPr>
        <w:instrText xml:space="preserve"> ADDIN EN.CITE </w:instrText>
      </w:r>
      <w:r w:rsidR="009968E0">
        <w:rPr>
          <w:rFonts w:cs="Arial"/>
        </w:rPr>
        <w:fldChar w:fldCharType="begin">
          <w:fldData xml:space="preserve">PEVuZE5vdGU+PENpdGU+PEF1dGhvcj5LdXBlcnM8L0F1dGhvcj48WWVhcj4yMDA5PC9ZZWFyPjxJ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</w:fldData>
        </w:fldChar>
      </w:r>
      <w:r w:rsidR="009968E0">
        <w:rPr>
          <w:rFonts w:cs="Arial"/>
        </w:rPr>
        <w:instrText xml:space="preserve"> ADDIN EN.CITE.DATA </w:instrText>
      </w:r>
      <w:r w:rsidR="009968E0">
        <w:rPr>
          <w:rFonts w:cs="Arial"/>
        </w:rPr>
      </w:r>
      <w:r w:rsidR="009968E0">
        <w:rPr>
          <w:rFonts w:cs="Arial"/>
        </w:rPr>
        <w:fldChar w:fldCharType="end"/>
      </w:r>
      <w:r>
        <w:rPr>
          <w:rFonts w:cs="Arial"/>
        </w:rPr>
      </w:r>
      <w:r>
        <w:rPr>
          <w:rFonts w:cs="Arial"/>
        </w:rPr>
        <w:fldChar w:fldCharType="separate"/>
      </w:r>
      <w:r w:rsidR="009968E0">
        <w:rPr>
          <w:rFonts w:cs="Arial"/>
          <w:noProof/>
        </w:rPr>
        <w:t>(Kupers et al., 2009a)</w:t>
      </w:r>
      <w:r>
        <w:rPr>
          <w:rFonts w:cs="Arial"/>
        </w:rPr>
        <w:fldChar w:fldCharType="end"/>
      </w:r>
      <w:r>
        <w:rPr>
          <w:rFonts w:cs="Arial"/>
        </w:rPr>
        <w:t xml:space="preserve">, and intermediate levels of GABA in the thalamus of subjects with P-DPN </w:t>
      </w:r>
      <w:r>
        <w:rPr>
          <w:rFonts w:cs="Arial"/>
        </w:rPr>
        <w:fldChar w:fldCharType="begin"/>
      </w:r>
      <w:r>
        <w:rPr>
          <w:rFonts w:cs="Arial"/>
        </w:rPr>
        <w:instrText xml:space="preserve"> ADDIN EN.CITE &lt;EndNote&gt;&lt;Cite&gt;&lt;Author&gt;Shillo&lt;/Author&gt;&lt;Year&gt;2019&lt;/Year&gt;&lt;IDText&gt;Peripheral and central biomarkers in painful diabetic peripheral neuropathy&lt;/IDText&gt;&lt;DisplayText&gt;(Shillo, 2019)&lt;/DisplayText&gt;&lt;record&gt;&lt;titles&gt;&lt;title&gt;Peripheral and central biomarkers in painful diabetic peripheral neuropathy&lt;/title&gt;&lt;secondary-title&gt;Faculty of Medicine, Dentistry and Health (Sheffield) &amp;gt; Medicine (Sheffield)&lt;/secondary-title&gt;&lt;/titles&gt;&lt;contributors&gt;&lt;authors&gt;&lt;author&gt;Shillo, P&lt;/author&gt;&lt;/authors&gt;&lt;/contributors&gt;&lt;added-date format="utc"&gt;1597534566&lt;/added-date&gt;&lt;pub-location&gt;Sheffield&lt;/pub-location&gt;&lt;ref-type name="Thesis"&gt;32&lt;/ref-type&gt;&lt;dates&gt;&lt;year&gt;2019&lt;/year&gt;&lt;/dates&gt;&lt;rec-number&gt;1295&lt;/rec-number&gt;&lt;publisher&gt;University of Sheffield&lt;/publisher&gt;&lt;last-updated-date format="utc"&gt;1597534739&lt;/last-updated-date&gt;&lt;volume&gt;Doctoral (M.D.)&lt;/volume&gt;&lt;/record&gt;&lt;/Cite&gt;&lt;/EndNote&gt;</w:instrText>
      </w:r>
      <w:r>
        <w:rPr>
          <w:rFonts w:cs="Arial"/>
        </w:rPr>
        <w:fldChar w:fldCharType="separate"/>
      </w:r>
      <w:r>
        <w:rPr>
          <w:rFonts w:cs="Arial"/>
          <w:noProof/>
        </w:rPr>
        <w:t>(Shillo, 2019)</w:t>
      </w:r>
      <w:r>
        <w:rPr>
          <w:rFonts w:cs="Arial"/>
        </w:rPr>
        <w:fldChar w:fldCharType="end"/>
      </w:r>
      <w:r>
        <w:rPr>
          <w:rFonts w:cs="Arial"/>
        </w:rPr>
        <w:t xml:space="preserve">, suggesting that this inhibitory neurotransmitter may be involved in </w:t>
      </w:r>
      <w:r w:rsidR="00AB50AC">
        <w:rPr>
          <w:rFonts w:cs="Arial"/>
        </w:rPr>
        <w:t xml:space="preserve">facilitating </w:t>
      </w:r>
      <w:r>
        <w:rPr>
          <w:rFonts w:cs="Arial"/>
        </w:rPr>
        <w:t>descending inhibition</w:t>
      </w:r>
      <w:r w:rsidR="00AB50AC">
        <w:rPr>
          <w:rFonts w:cs="Arial"/>
        </w:rPr>
        <w:t xml:space="preserve"> and perhaps contributing to the paradoxical neurovascular response</w:t>
      </w:r>
      <w:r>
        <w:rPr>
          <w:rFonts w:cs="Arial"/>
        </w:rPr>
        <w:t xml:space="preserve">.  </w:t>
      </w:r>
    </w:p>
    <w:p w14:paraId="6B911949" w14:textId="5895193C" w:rsidR="006416A2" w:rsidRDefault="006416A2" w:rsidP="006416A2">
      <w:pPr>
        <w:spacing w:line="360" w:lineRule="auto"/>
        <w:rPr>
          <w:rFonts w:cs="Arial"/>
        </w:rPr>
      </w:pPr>
      <w:r>
        <w:rPr>
          <w:rFonts w:cs="Arial"/>
        </w:rPr>
        <w:t>The evidence reviewed suggests that there is the possibility that our findings in this study are analogous to NBR in the P-DPN group at the RPSC. This region has been implicated in somatosensory NBR and in resting state connectivity abnormalities</w:t>
      </w:r>
      <w:r w:rsidR="00AB50AC">
        <w:rPr>
          <w:rFonts w:cs="Arial"/>
        </w:rPr>
        <w:t>.</w:t>
      </w:r>
      <w:r>
        <w:rPr>
          <w:rFonts w:cs="Arial"/>
        </w:rPr>
        <w:t xml:space="preserve"> </w:t>
      </w:r>
      <w:r w:rsidR="00AB50AC">
        <w:rPr>
          <w:rFonts w:cs="Arial"/>
        </w:rPr>
        <w:t>Furthermore, it</w:t>
      </w:r>
      <w:r>
        <w:rPr>
          <w:rFonts w:cs="Arial"/>
        </w:rPr>
        <w:t xml:space="preserve"> is ipsilateral to the painful stimulus, and has a negative relationship to stimulus intensity </w:t>
      </w:r>
      <w:proofErr w:type="gramStart"/>
      <w:r>
        <w:rPr>
          <w:rFonts w:cs="Arial"/>
        </w:rPr>
        <w:t>i.e</w:t>
      </w:r>
      <w:r w:rsidR="00AB50AC">
        <w:rPr>
          <w:rFonts w:cs="Arial"/>
        </w:rPr>
        <w:t>.</w:t>
      </w:r>
      <w:proofErr w:type="gramEnd"/>
      <w:r>
        <w:rPr>
          <w:rFonts w:cs="Arial"/>
        </w:rPr>
        <w:t xml:space="preserve"> a higher pain intensity will cause a larger NBR.   </w:t>
      </w:r>
    </w:p>
    <w:p w14:paraId="3883EC8C" w14:textId="135808A0" w:rsidR="006416A2" w:rsidRDefault="006416A2" w:rsidP="006416A2">
      <w:pPr>
        <w:spacing w:line="360" w:lineRule="auto"/>
        <w:rPr>
          <w:rFonts w:cs="Arial"/>
        </w:rPr>
      </w:pPr>
      <w:r>
        <w:rPr>
          <w:rFonts w:cs="Arial"/>
        </w:rPr>
        <w:t>The POWM is also ipsilateral to the side of experimental pain, and in an area not expected to be activated in response to pain</w:t>
      </w:r>
      <w:r w:rsidR="00AB50AC">
        <w:rPr>
          <w:rFonts w:cs="Arial"/>
        </w:rPr>
        <w:t xml:space="preserve"> </w:t>
      </w:r>
      <w:r>
        <w:rPr>
          <w:rFonts w:cs="Arial"/>
        </w:rPr>
        <w:fldChar w:fldCharType="begin">
          <w:fldData xml:space="preserve">PEVuZE5vdGU+PENpdGU+PEF1dGhvcj5NYXloZXc8L0F1dGhvcj48WWVhcj4yMDE2PC9ZZWFyPjxJ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</w:fldData>
        </w:fldChar>
      </w:r>
      <w:r>
        <w:rPr>
          <w:rFonts w:cs="Arial"/>
        </w:rPr>
        <w:instrText xml:space="preserve"> ADDIN EN.CITE </w:instrText>
      </w:r>
      <w:r>
        <w:rPr>
          <w:rFonts w:cs="Arial"/>
        </w:rPr>
        <w:fldChar w:fldCharType="begin">
          <w:fldData xml:space="preserve">PEVuZE5vdGU+PENpdGU+PEF1dGhvcj5NYXloZXc8L0F1dGhvcj48WWVhcj4yMDE2PC9ZZWFyPjxJ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</w:fldData>
        </w:fldChar>
      </w:r>
      <w:r>
        <w:rPr>
          <w:rFonts w:cs="Arial"/>
        </w:rPr>
        <w:instrText xml:space="preserve"> ADDIN EN.CITE.DATA </w:instrText>
      </w:r>
      <w:r>
        <w:rPr>
          <w:rFonts w:cs="Arial"/>
        </w:rPr>
      </w:r>
      <w:r>
        <w:rPr>
          <w:rFonts w:cs="Arial"/>
        </w:rPr>
        <w:fldChar w:fldCharType="end"/>
      </w:r>
      <w:r>
        <w:rPr>
          <w:rFonts w:cs="Arial"/>
        </w:rPr>
      </w:r>
      <w:r>
        <w:rPr>
          <w:rFonts w:cs="Arial"/>
        </w:rPr>
        <w:fldChar w:fldCharType="separate"/>
      </w:r>
      <w:r>
        <w:rPr>
          <w:rFonts w:cs="Arial"/>
          <w:noProof/>
        </w:rPr>
        <w:t>(Mayhew et al., 2016)</w:t>
      </w:r>
      <w:r>
        <w:rPr>
          <w:rFonts w:cs="Arial"/>
        </w:rPr>
        <w:fldChar w:fldCharType="end"/>
      </w:r>
      <w:r>
        <w:rPr>
          <w:rFonts w:cs="Arial"/>
        </w:rPr>
        <w:t xml:space="preserve">.  Although NBR </w:t>
      </w:r>
      <w:r>
        <w:rPr>
          <w:rFonts w:cs="Arial"/>
        </w:rPr>
        <w:lastRenderedPageBreak/>
        <w:t>has not been reported previously in the white matter, it is feasible that we have observed deactivations in this area.  As our study is the first study to observe this effect in P-DPN, it may be that there are contralateral and ipsilateral deactivations in other pain matrix areas that have yet to be described.  We did not identify the caudate as a region of interest in this study</w:t>
      </w:r>
      <w:r w:rsidR="001A2AE5">
        <w:rPr>
          <w:rFonts w:cs="Arial"/>
        </w:rPr>
        <w:t>,</w:t>
      </w:r>
      <w:r>
        <w:rPr>
          <w:rFonts w:cs="Arial"/>
        </w:rPr>
        <w:t xml:space="preserve"> so we cannot comment as to the likelihood of lower Δ RBV with higher LIKERT at this area being associated with NBR.</w:t>
      </w:r>
    </w:p>
    <w:p w14:paraId="00F02415" w14:textId="2A3A6597" w:rsidR="006416A2" w:rsidRPr="00BB75E6" w:rsidRDefault="006416A2" w:rsidP="006416A2">
      <w:pPr>
        <w:spacing w:line="360" w:lineRule="auto"/>
        <w:rPr>
          <w:rFonts w:cs="Arial"/>
        </w:rPr>
      </w:pPr>
      <w:r w:rsidRPr="00BB75E6">
        <w:rPr>
          <w:rFonts w:cs="Arial"/>
        </w:rPr>
        <w:t>In summary</w:t>
      </w:r>
      <w:r>
        <w:rPr>
          <w:rFonts w:cs="Arial"/>
        </w:rPr>
        <w:t>,</w:t>
      </w:r>
      <w:r w:rsidRPr="00BB75E6">
        <w:rPr>
          <w:rFonts w:cs="Arial"/>
        </w:rPr>
        <w:t xml:space="preserve"> the capillary changes in the P-DPN group represented by </w:t>
      </w:r>
      <w:r>
        <w:rPr>
          <w:rFonts w:cs="Arial"/>
        </w:rPr>
        <w:t xml:space="preserve">Δ </w:t>
      </w:r>
      <w:r w:rsidRPr="00BB75E6">
        <w:rPr>
          <w:rFonts w:cs="Arial"/>
        </w:rPr>
        <w:t>RBV appear to depend on the degree of pain perception.  This suggests an intriguing relationship with neurovascular coupling</w:t>
      </w:r>
      <w:r>
        <w:rPr>
          <w:rFonts w:cs="Arial"/>
        </w:rPr>
        <w:t xml:space="preserve"> that</w:t>
      </w:r>
      <w:r w:rsidRPr="00BB75E6">
        <w:rPr>
          <w:rFonts w:cs="Arial"/>
        </w:rPr>
        <w:t xml:space="preserve"> </w:t>
      </w:r>
      <w:r>
        <w:rPr>
          <w:rFonts w:cs="Arial"/>
        </w:rPr>
        <w:t>is most apparent</w:t>
      </w:r>
      <w:r w:rsidRPr="00BB75E6">
        <w:rPr>
          <w:rFonts w:cs="Arial"/>
        </w:rPr>
        <w:t xml:space="preserve"> </w:t>
      </w:r>
      <w:r>
        <w:rPr>
          <w:rFonts w:cs="Arial"/>
        </w:rPr>
        <w:t>in</w:t>
      </w:r>
      <w:r w:rsidRPr="00BB75E6">
        <w:rPr>
          <w:rFonts w:cs="Arial"/>
        </w:rPr>
        <w:t xml:space="preserve"> the P-DPN group.  This </w:t>
      </w:r>
      <w:proofErr w:type="spellStart"/>
      <w:r w:rsidRPr="00BB75E6">
        <w:rPr>
          <w:rFonts w:cs="Arial"/>
        </w:rPr>
        <w:t>neuromodulatory</w:t>
      </w:r>
      <w:proofErr w:type="spellEnd"/>
      <w:r w:rsidRPr="00BB75E6">
        <w:rPr>
          <w:rFonts w:cs="Arial"/>
        </w:rPr>
        <w:t xml:space="preserve"> effect may be adaptive and mediated directly by neuronal </w:t>
      </w:r>
      <w:r>
        <w:rPr>
          <w:rFonts w:cs="Arial"/>
        </w:rPr>
        <w:t>activity</w:t>
      </w:r>
      <w:r w:rsidRPr="00BB75E6">
        <w:rPr>
          <w:rFonts w:cs="Arial"/>
        </w:rPr>
        <w:t xml:space="preserve"> in response to pain, or maladaptive caused by neural, neurotransmitter, or pericyte dysfunction.  </w:t>
      </w:r>
    </w:p>
    <w:p w14:paraId="17A4F653" w14:textId="5A124B52" w:rsidR="006416A2" w:rsidRPr="00BB75E6" w:rsidRDefault="006416A2" w:rsidP="006416A2">
      <w:pPr>
        <w:spacing w:line="360" w:lineRule="auto"/>
        <w:rPr>
          <w:rFonts w:cs="Arial"/>
        </w:rPr>
      </w:pPr>
      <w:r w:rsidRPr="00BB75E6">
        <w:rPr>
          <w:rFonts w:cs="Arial"/>
        </w:rPr>
        <w:t xml:space="preserve">TTP </w:t>
      </w:r>
      <w:r>
        <w:rPr>
          <w:rFonts w:cs="Arial"/>
        </w:rPr>
        <w:t xml:space="preserve">has been described </w:t>
      </w:r>
      <w:r w:rsidRPr="00BB75E6">
        <w:rPr>
          <w:rFonts w:cs="Arial"/>
        </w:rPr>
        <w:t xml:space="preserve">as a useful </w:t>
      </w:r>
      <w:r>
        <w:rPr>
          <w:rFonts w:cs="Arial"/>
        </w:rPr>
        <w:t xml:space="preserve">perfusion </w:t>
      </w:r>
      <w:r w:rsidRPr="00BB75E6">
        <w:rPr>
          <w:rFonts w:cs="Arial"/>
        </w:rPr>
        <w:t>measurement with good repeatability</w:t>
      </w:r>
      <w:r w:rsidR="001B3953">
        <w:rPr>
          <w:rFonts w:cs="Arial"/>
        </w:rPr>
        <w:t xml:space="preserve"> </w:t>
      </w:r>
      <w:r w:rsidRPr="00BB75E6">
        <w:rPr>
          <w:rFonts w:cs="Arial"/>
        </w:rPr>
        <w:fldChar w:fldCharType="begin"/>
      </w:r>
      <w:r w:rsidRPr="00BB75E6">
        <w:rPr>
          <w:rFonts w:cs="Arial"/>
        </w:rPr>
        <w:instrText xml:space="preserve"> ADDIN EN.CITE &lt;EndNote&gt;&lt;Cite&gt;&lt;Author&gt;Copen&lt;/Author&gt;&lt;Year&gt;2011&lt;/Year&gt;&lt;IDText&gt;MR perfusion imaging in acute ischemic stroke&lt;/IDText&gt;&lt;DisplayText&gt;(Copen et al., 2011)&lt;/DisplayText&gt;&lt;record&gt;&lt;dates&gt;&lt;pub-dates&gt;&lt;date&gt;May&lt;/date&gt;&lt;/pub-dates&gt;&lt;year&gt;2011&lt;/year&gt;&lt;/dates&gt;&lt;keywords&gt;&lt;keyword&gt;Brain Ischemia&lt;/keyword&gt;&lt;keyword&gt;Cerebral Angiography&lt;/keyword&gt;&lt;keyword&gt;Humans&lt;/keyword&gt;&lt;keyword&gt;Magnetic Resonance Angiography&lt;/keyword&gt;&lt;keyword&gt;Stroke&lt;/keyword&gt;&lt;/keywords&gt;&lt;urls&gt;&lt;related-urls&gt;&lt;url&gt;https://www.ncbi.nlm.nih.gov/pubmed/21640299&lt;/url&gt;&lt;/related-urls&gt;&lt;/urls&gt;&lt;isbn&gt;1557-9867&lt;/isbn&gt;&lt;custom2&gt;PMC3135980&lt;/custom2&gt;&lt;titles&gt;&lt;title&gt;MR perfusion imaging in acute ischemic stroke&lt;/title&gt;&lt;secondary-title&gt;Neuroimaging Clin N Am&lt;/secondary-title&gt;&lt;/titles&gt;&lt;pages&gt;259-83, x&lt;/pages&gt;&lt;number&gt;2&lt;/number&gt;&lt;contributors&gt;&lt;authors&gt;&lt;author&gt;Copen, W. A.&lt;/author&gt;&lt;author&gt;Schaefer, P. W.&lt;/author&gt;&lt;author&gt;Wu, O.&lt;/author&gt;&lt;/authors&gt;&lt;/contributors&gt;&lt;language&gt;eng&lt;/language&gt;&lt;added-date format="utc"&gt;1501260264&lt;/added-date&gt;&lt;ref-type name="Journal Article"&gt;17&lt;/ref-type&gt;&lt;rec-number&gt;883&lt;/rec-number&gt;&lt;last-updated-date format="utc"&gt;1501260264&lt;/last-updated-date&gt;&lt;accession-num&gt;21640299&lt;/accession-num&gt;&lt;electronic-resource-num&gt;10.1016/j.nic.2011.02.007&lt;/electronic-resource-num&gt;&lt;volume&gt;21&lt;/volume&gt;&lt;/record&gt;&lt;/Cite&gt;&lt;/EndNote&gt;</w:instrText>
      </w:r>
      <w:r w:rsidRPr="00BB75E6">
        <w:rPr>
          <w:rFonts w:cs="Arial"/>
        </w:rPr>
        <w:fldChar w:fldCharType="separate"/>
      </w:r>
      <w:r w:rsidRPr="00BB75E6">
        <w:rPr>
          <w:rFonts w:cs="Arial"/>
          <w:noProof/>
        </w:rPr>
        <w:t>(Copen et al., 2011)</w:t>
      </w:r>
      <w:r w:rsidRPr="00BB75E6">
        <w:rPr>
          <w:rFonts w:cs="Arial"/>
        </w:rPr>
        <w:fldChar w:fldCharType="end"/>
      </w:r>
      <w:r w:rsidRPr="00BB75E6">
        <w:rPr>
          <w:rFonts w:cs="Arial"/>
        </w:rPr>
        <w:t>.  However</w:t>
      </w:r>
      <w:r>
        <w:rPr>
          <w:rFonts w:cs="Arial"/>
        </w:rPr>
        <w:t xml:space="preserve">, </w:t>
      </w:r>
      <w:r w:rsidRPr="00BB75E6">
        <w:rPr>
          <w:rFonts w:cs="Arial"/>
        </w:rPr>
        <w:t xml:space="preserve">there are several circumstances when it can be delayed in pathologies associated with perfusion abnormalities.  </w:t>
      </w:r>
      <w:r>
        <w:rPr>
          <w:rFonts w:cs="Arial"/>
        </w:rPr>
        <w:t>The</w:t>
      </w:r>
      <w:r w:rsidRPr="00BB75E6">
        <w:rPr>
          <w:rFonts w:cs="Arial"/>
        </w:rPr>
        <w:t xml:space="preserve"> following relationships of perfusion parameters </w:t>
      </w:r>
      <w:r>
        <w:rPr>
          <w:rFonts w:cs="Arial"/>
        </w:rPr>
        <w:t>are described below</w:t>
      </w:r>
      <w:r w:rsidRPr="00BB75E6">
        <w:rPr>
          <w:rFonts w:cs="Arial"/>
        </w:rPr>
        <w:t xml:space="preserve">.  See Table </w:t>
      </w:r>
      <w:r>
        <w:rPr>
          <w:rFonts w:cs="Arial"/>
        </w:rPr>
        <w:t>5.4 and Figure 5.20</w:t>
      </w:r>
      <w:r w:rsidRPr="00BB75E6">
        <w:rPr>
          <w:rFonts w:cs="Arial"/>
        </w:rPr>
        <w:t xml:space="preserve">. </w:t>
      </w:r>
    </w:p>
    <w:p w14:paraId="44EDE015" w14:textId="77777777" w:rsidR="003556DE" w:rsidRDefault="003556DE">
      <w:pPr>
        <w:rPr>
          <w:rFonts w:cs="Arial"/>
        </w:rPr>
      </w:pPr>
      <w:r>
        <w:rPr>
          <w:rFonts w:cs="Arial"/>
        </w:rPr>
        <w:br w:type="page"/>
      </w:r>
    </w:p>
    <w:p w14:paraId="13599221" w14:textId="631C04B8" w:rsidR="006416A2" w:rsidRPr="00BB75E6" w:rsidRDefault="006416A2" w:rsidP="00764063">
      <w:pPr>
        <w:pStyle w:val="Quote"/>
      </w:pPr>
      <w:bookmarkStart w:id="506" w:name="_Toc64724091"/>
      <w:r w:rsidRPr="00BB75E6">
        <w:lastRenderedPageBreak/>
        <w:t xml:space="preserve">Table </w:t>
      </w:r>
      <w:r>
        <w:t>5.4</w:t>
      </w:r>
      <w:r w:rsidRPr="00BB75E6">
        <w:t>: Distinguishing abnormal perfusion states using perfusion imaging</w:t>
      </w:r>
      <w:bookmarkEnd w:id="506"/>
    </w:p>
    <w:tbl>
      <w:tblPr>
        <w:tblW w:w="87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15" w:type="dxa"/>
          <w:bottom w:w="15" w:type="dxa"/>
          <w:right w:w="15" w:type="dxa"/>
        </w:tblCellMar>
        <w:tblLook w:val="0400" w:firstRow="0" w:lastRow="0" w:firstColumn="0" w:lastColumn="0" w:noHBand="0" w:noVBand="1"/>
      </w:tblPr>
      <w:tblGrid>
        <w:gridCol w:w="3363"/>
        <w:gridCol w:w="743"/>
        <w:gridCol w:w="709"/>
        <w:gridCol w:w="850"/>
        <w:gridCol w:w="3098"/>
      </w:tblGrid>
      <w:tr w:rsidR="006416A2" w:rsidRPr="00764063" w14:paraId="6B6F7359" w14:textId="77777777" w:rsidTr="00764063">
        <w:tc>
          <w:tcPr>
            <w:tcW w:w="3363" w:type="dxa"/>
            <w:tcMar>
              <w:top w:w="48" w:type="dxa"/>
              <w:left w:w="96" w:type="dxa"/>
              <w:bottom w:w="48" w:type="dxa"/>
              <w:right w:w="96" w:type="dxa"/>
            </w:tcMar>
            <w:vAlign w:val="bottom"/>
          </w:tcPr>
          <w:p w14:paraId="6E47BA37" w14:textId="77777777" w:rsidR="006416A2" w:rsidRPr="00764063" w:rsidRDefault="006416A2" w:rsidP="00FF1D46">
            <w:pPr>
              <w:spacing w:line="360" w:lineRule="auto"/>
              <w:rPr>
                <w:rFonts w:cs="Arial"/>
                <w:b/>
                <w:i/>
                <w:iCs/>
                <w:sz w:val="22"/>
                <w:szCs w:val="22"/>
              </w:rPr>
            </w:pPr>
          </w:p>
        </w:tc>
        <w:tc>
          <w:tcPr>
            <w:tcW w:w="743" w:type="dxa"/>
            <w:tcMar>
              <w:top w:w="48" w:type="dxa"/>
              <w:left w:w="96" w:type="dxa"/>
              <w:bottom w:w="48" w:type="dxa"/>
              <w:right w:w="96" w:type="dxa"/>
            </w:tcMar>
            <w:vAlign w:val="bottom"/>
          </w:tcPr>
          <w:p w14:paraId="50BFB758" w14:textId="77777777" w:rsidR="006416A2" w:rsidRPr="00764063" w:rsidRDefault="006416A2" w:rsidP="00FF1D46">
            <w:pPr>
              <w:spacing w:line="360" w:lineRule="auto"/>
              <w:rPr>
                <w:rFonts w:cs="Arial"/>
                <w:b/>
                <w:i/>
                <w:iCs/>
                <w:sz w:val="22"/>
                <w:szCs w:val="22"/>
              </w:rPr>
            </w:pPr>
            <w:r w:rsidRPr="00764063">
              <w:rPr>
                <w:rFonts w:cs="Arial"/>
                <w:b/>
                <w:i/>
                <w:iCs/>
                <w:sz w:val="22"/>
                <w:szCs w:val="22"/>
              </w:rPr>
              <w:t>CBV</w:t>
            </w:r>
          </w:p>
        </w:tc>
        <w:tc>
          <w:tcPr>
            <w:tcW w:w="709" w:type="dxa"/>
            <w:tcMar>
              <w:top w:w="48" w:type="dxa"/>
              <w:left w:w="96" w:type="dxa"/>
              <w:bottom w:w="48" w:type="dxa"/>
              <w:right w:w="96" w:type="dxa"/>
            </w:tcMar>
            <w:vAlign w:val="bottom"/>
          </w:tcPr>
          <w:p w14:paraId="65E987A7" w14:textId="77777777" w:rsidR="006416A2" w:rsidRPr="00764063" w:rsidRDefault="006416A2" w:rsidP="00FF1D46">
            <w:pPr>
              <w:spacing w:line="360" w:lineRule="auto"/>
              <w:rPr>
                <w:rFonts w:cs="Arial"/>
                <w:b/>
                <w:i/>
                <w:iCs/>
                <w:sz w:val="22"/>
                <w:szCs w:val="22"/>
              </w:rPr>
            </w:pPr>
            <w:r w:rsidRPr="00764063">
              <w:rPr>
                <w:rFonts w:cs="Arial"/>
                <w:b/>
                <w:i/>
                <w:iCs/>
                <w:sz w:val="22"/>
                <w:szCs w:val="22"/>
              </w:rPr>
              <w:t>CBF</w:t>
            </w:r>
          </w:p>
        </w:tc>
        <w:tc>
          <w:tcPr>
            <w:tcW w:w="850" w:type="dxa"/>
            <w:tcMar>
              <w:top w:w="48" w:type="dxa"/>
              <w:left w:w="96" w:type="dxa"/>
              <w:bottom w:w="48" w:type="dxa"/>
              <w:right w:w="96" w:type="dxa"/>
            </w:tcMar>
            <w:vAlign w:val="bottom"/>
          </w:tcPr>
          <w:p w14:paraId="4B0605F5" w14:textId="77777777" w:rsidR="006416A2" w:rsidRPr="00764063" w:rsidRDefault="006416A2" w:rsidP="00FF1D46">
            <w:pPr>
              <w:spacing w:line="360" w:lineRule="auto"/>
              <w:rPr>
                <w:rFonts w:cs="Arial"/>
                <w:b/>
                <w:i/>
                <w:iCs/>
                <w:sz w:val="22"/>
                <w:szCs w:val="22"/>
              </w:rPr>
            </w:pPr>
            <w:r w:rsidRPr="00764063">
              <w:rPr>
                <w:rFonts w:cs="Arial"/>
                <w:b/>
                <w:i/>
                <w:iCs/>
                <w:sz w:val="22"/>
                <w:szCs w:val="22"/>
              </w:rPr>
              <w:t>MTT</w:t>
            </w:r>
          </w:p>
        </w:tc>
        <w:tc>
          <w:tcPr>
            <w:tcW w:w="3098" w:type="dxa"/>
            <w:tcMar>
              <w:top w:w="48" w:type="dxa"/>
              <w:left w:w="96" w:type="dxa"/>
              <w:bottom w:w="48" w:type="dxa"/>
              <w:right w:w="96" w:type="dxa"/>
            </w:tcMar>
            <w:vAlign w:val="bottom"/>
          </w:tcPr>
          <w:p w14:paraId="411F5E3F" w14:textId="77777777" w:rsidR="006416A2" w:rsidRPr="00764063" w:rsidRDefault="006416A2" w:rsidP="00FF1D46">
            <w:pPr>
              <w:spacing w:line="360" w:lineRule="auto"/>
              <w:rPr>
                <w:rFonts w:cs="Arial"/>
                <w:b/>
                <w:i/>
                <w:iCs/>
                <w:sz w:val="22"/>
                <w:szCs w:val="22"/>
              </w:rPr>
            </w:pPr>
            <w:r w:rsidRPr="00764063">
              <w:rPr>
                <w:rFonts w:cs="Arial"/>
                <w:b/>
                <w:i/>
                <w:iCs/>
                <w:sz w:val="22"/>
                <w:szCs w:val="22"/>
              </w:rPr>
              <w:t>Timing parameters (</w:t>
            </w:r>
            <w:proofErr w:type="gramStart"/>
            <w:r w:rsidRPr="00764063">
              <w:rPr>
                <w:rFonts w:cs="Arial"/>
                <w:b/>
                <w:i/>
                <w:iCs/>
                <w:sz w:val="22"/>
                <w:szCs w:val="22"/>
              </w:rPr>
              <w:t>e.g.</w:t>
            </w:r>
            <w:proofErr w:type="gramEnd"/>
            <w:r w:rsidRPr="00764063">
              <w:rPr>
                <w:rFonts w:cs="Arial"/>
                <w:b/>
                <w:i/>
                <w:iCs/>
                <w:sz w:val="22"/>
                <w:szCs w:val="22"/>
              </w:rPr>
              <w:t xml:space="preserve"> TTP)</w:t>
            </w:r>
          </w:p>
        </w:tc>
      </w:tr>
      <w:tr w:rsidR="006416A2" w:rsidRPr="00764063" w14:paraId="5865472F" w14:textId="77777777" w:rsidTr="00764063">
        <w:tc>
          <w:tcPr>
            <w:tcW w:w="3363" w:type="dxa"/>
            <w:tcMar>
              <w:top w:w="48" w:type="dxa"/>
              <w:left w:w="96" w:type="dxa"/>
              <w:bottom w:w="48" w:type="dxa"/>
              <w:right w:w="96" w:type="dxa"/>
            </w:tcMar>
          </w:tcPr>
          <w:p w14:paraId="2DA8FCB8" w14:textId="77777777" w:rsidR="006416A2" w:rsidRPr="00764063" w:rsidRDefault="006416A2" w:rsidP="00FF1D46">
            <w:pPr>
              <w:spacing w:line="360" w:lineRule="auto"/>
              <w:rPr>
                <w:rFonts w:cs="Arial"/>
                <w:i/>
                <w:iCs/>
                <w:sz w:val="22"/>
                <w:szCs w:val="22"/>
              </w:rPr>
            </w:pPr>
            <w:r w:rsidRPr="00764063">
              <w:rPr>
                <w:rFonts w:cs="Arial"/>
                <w:i/>
                <w:iCs/>
                <w:sz w:val="22"/>
                <w:szCs w:val="22"/>
              </w:rPr>
              <w:t>Delayed arrival, preserved CPP</w:t>
            </w:r>
          </w:p>
        </w:tc>
        <w:tc>
          <w:tcPr>
            <w:tcW w:w="743" w:type="dxa"/>
            <w:tcMar>
              <w:top w:w="48" w:type="dxa"/>
              <w:left w:w="96" w:type="dxa"/>
              <w:bottom w:w="48" w:type="dxa"/>
              <w:right w:w="96" w:type="dxa"/>
            </w:tcMar>
          </w:tcPr>
          <w:p w14:paraId="46F3DB29" w14:textId="77777777" w:rsidR="006416A2" w:rsidRPr="00764063" w:rsidRDefault="006416A2" w:rsidP="00FF1D46">
            <w:pPr>
              <w:spacing w:line="360" w:lineRule="auto"/>
              <w:rPr>
                <w:rFonts w:cs="Arial"/>
                <w:i/>
                <w:iCs/>
                <w:sz w:val="22"/>
                <w:szCs w:val="22"/>
              </w:rPr>
            </w:pPr>
            <w:r w:rsidRPr="00764063">
              <w:rPr>
                <w:rFonts w:cs="Arial"/>
                <w:i/>
                <w:iCs/>
                <w:sz w:val="22"/>
                <w:szCs w:val="22"/>
              </w:rPr>
              <w:t>—</w:t>
            </w:r>
          </w:p>
        </w:tc>
        <w:tc>
          <w:tcPr>
            <w:tcW w:w="709" w:type="dxa"/>
            <w:tcMar>
              <w:top w:w="48" w:type="dxa"/>
              <w:left w:w="96" w:type="dxa"/>
              <w:bottom w:w="48" w:type="dxa"/>
              <w:right w:w="96" w:type="dxa"/>
            </w:tcMar>
          </w:tcPr>
          <w:p w14:paraId="142B9634" w14:textId="77777777" w:rsidR="006416A2" w:rsidRPr="00764063" w:rsidRDefault="006416A2" w:rsidP="00FF1D46">
            <w:pPr>
              <w:spacing w:line="360" w:lineRule="auto"/>
              <w:rPr>
                <w:rFonts w:cs="Arial"/>
                <w:i/>
                <w:iCs/>
                <w:sz w:val="22"/>
                <w:szCs w:val="22"/>
              </w:rPr>
            </w:pPr>
            <w:r w:rsidRPr="00764063">
              <w:rPr>
                <w:rFonts w:cs="Arial"/>
                <w:i/>
                <w:iCs/>
                <w:sz w:val="22"/>
                <w:szCs w:val="22"/>
              </w:rPr>
              <w:t>—</w:t>
            </w:r>
          </w:p>
        </w:tc>
        <w:tc>
          <w:tcPr>
            <w:tcW w:w="850" w:type="dxa"/>
            <w:tcMar>
              <w:top w:w="48" w:type="dxa"/>
              <w:left w:w="96" w:type="dxa"/>
              <w:bottom w:w="48" w:type="dxa"/>
              <w:right w:w="96" w:type="dxa"/>
            </w:tcMar>
          </w:tcPr>
          <w:p w14:paraId="672E085A" w14:textId="77777777" w:rsidR="006416A2" w:rsidRPr="00764063" w:rsidRDefault="006416A2" w:rsidP="00FF1D46">
            <w:pPr>
              <w:spacing w:line="360" w:lineRule="auto"/>
              <w:rPr>
                <w:rFonts w:cs="Arial"/>
                <w:i/>
                <w:iCs/>
                <w:sz w:val="22"/>
                <w:szCs w:val="22"/>
              </w:rPr>
            </w:pPr>
            <w:r w:rsidRPr="00764063">
              <w:rPr>
                <w:rFonts w:cs="Arial"/>
                <w:i/>
                <w:iCs/>
                <w:sz w:val="22"/>
                <w:szCs w:val="22"/>
              </w:rPr>
              <w:t>—</w:t>
            </w:r>
          </w:p>
        </w:tc>
        <w:tc>
          <w:tcPr>
            <w:tcW w:w="3098" w:type="dxa"/>
            <w:tcMar>
              <w:top w:w="48" w:type="dxa"/>
              <w:left w:w="96" w:type="dxa"/>
              <w:bottom w:w="48" w:type="dxa"/>
              <w:right w:w="96" w:type="dxa"/>
            </w:tcMar>
          </w:tcPr>
          <w:p w14:paraId="6C035F20" w14:textId="77777777" w:rsidR="006416A2" w:rsidRPr="00764063" w:rsidRDefault="006D3518" w:rsidP="00FF1D46">
            <w:pPr>
              <w:spacing w:line="360" w:lineRule="auto"/>
              <w:rPr>
                <w:rFonts w:cs="Arial"/>
                <w:i/>
                <w:iCs/>
                <w:sz w:val="22"/>
                <w:szCs w:val="22"/>
              </w:rPr>
            </w:pPr>
            <w:sdt>
              <w:sdtPr>
                <w:rPr>
                  <w:rFonts w:cs="Arial"/>
                  <w:i/>
                  <w:iCs/>
                  <w:sz w:val="22"/>
                  <w:szCs w:val="22"/>
                </w:rPr>
                <w:tag w:val="goog_rdk_8"/>
                <w:id w:val="-490635037"/>
              </w:sdtPr>
              <w:sdtEndPr/>
              <w:sdtContent>
                <w:r w:rsidR="006416A2" w:rsidRPr="00764063">
                  <w:rPr>
                    <w:rFonts w:eastAsia="Cardo" w:cs="Arial"/>
                    <w:i/>
                    <w:iCs/>
                    <w:sz w:val="22"/>
                    <w:szCs w:val="22"/>
                  </w:rPr>
                  <w:t>↑</w:t>
                </w:r>
              </w:sdtContent>
            </w:sdt>
          </w:p>
        </w:tc>
      </w:tr>
      <w:tr w:rsidR="006416A2" w:rsidRPr="00764063" w14:paraId="4009AE1A" w14:textId="77777777" w:rsidTr="00764063">
        <w:tc>
          <w:tcPr>
            <w:tcW w:w="3363" w:type="dxa"/>
            <w:tcMar>
              <w:top w:w="48" w:type="dxa"/>
              <w:left w:w="96" w:type="dxa"/>
              <w:bottom w:w="48" w:type="dxa"/>
              <w:right w:w="96" w:type="dxa"/>
            </w:tcMar>
          </w:tcPr>
          <w:p w14:paraId="4068B9F4" w14:textId="77777777" w:rsidR="006416A2" w:rsidRPr="00764063" w:rsidRDefault="006416A2" w:rsidP="00FF1D46">
            <w:pPr>
              <w:spacing w:line="360" w:lineRule="auto"/>
              <w:rPr>
                <w:rFonts w:cs="Arial"/>
                <w:i/>
                <w:iCs/>
                <w:sz w:val="22"/>
                <w:szCs w:val="22"/>
              </w:rPr>
            </w:pPr>
            <w:r w:rsidRPr="00764063">
              <w:rPr>
                <w:rFonts w:cs="Arial"/>
                <w:i/>
                <w:iCs/>
                <w:sz w:val="22"/>
                <w:szCs w:val="22"/>
              </w:rPr>
              <w:t>Compensated low CPP</w:t>
            </w:r>
          </w:p>
        </w:tc>
        <w:tc>
          <w:tcPr>
            <w:tcW w:w="743" w:type="dxa"/>
            <w:tcMar>
              <w:top w:w="48" w:type="dxa"/>
              <w:left w:w="96" w:type="dxa"/>
              <w:bottom w:w="48" w:type="dxa"/>
              <w:right w:w="96" w:type="dxa"/>
            </w:tcMar>
          </w:tcPr>
          <w:p w14:paraId="0CB2A45A" w14:textId="77777777" w:rsidR="006416A2" w:rsidRPr="00764063" w:rsidRDefault="006D3518" w:rsidP="00FF1D46">
            <w:pPr>
              <w:spacing w:line="360" w:lineRule="auto"/>
              <w:rPr>
                <w:rFonts w:cs="Arial"/>
                <w:i/>
                <w:iCs/>
                <w:sz w:val="22"/>
                <w:szCs w:val="22"/>
              </w:rPr>
            </w:pPr>
            <w:sdt>
              <w:sdtPr>
                <w:rPr>
                  <w:rFonts w:cs="Arial"/>
                  <w:i/>
                  <w:iCs/>
                  <w:sz w:val="22"/>
                  <w:szCs w:val="22"/>
                </w:rPr>
                <w:tag w:val="goog_rdk_9"/>
                <w:id w:val="-288812236"/>
              </w:sdtPr>
              <w:sdtEndPr/>
              <w:sdtContent>
                <w:r w:rsidR="006416A2" w:rsidRPr="00764063">
                  <w:rPr>
                    <w:rFonts w:eastAsia="Cardo" w:cs="Arial"/>
                    <w:i/>
                    <w:iCs/>
                    <w:sz w:val="22"/>
                    <w:szCs w:val="22"/>
                  </w:rPr>
                  <w:t>↑</w:t>
                </w:r>
              </w:sdtContent>
            </w:sdt>
          </w:p>
        </w:tc>
        <w:tc>
          <w:tcPr>
            <w:tcW w:w="709" w:type="dxa"/>
            <w:tcMar>
              <w:top w:w="48" w:type="dxa"/>
              <w:left w:w="96" w:type="dxa"/>
              <w:bottom w:w="48" w:type="dxa"/>
              <w:right w:w="96" w:type="dxa"/>
            </w:tcMar>
          </w:tcPr>
          <w:p w14:paraId="3C57DAF3" w14:textId="77777777" w:rsidR="006416A2" w:rsidRPr="00764063" w:rsidRDefault="006416A2" w:rsidP="00FF1D46">
            <w:pPr>
              <w:spacing w:line="360" w:lineRule="auto"/>
              <w:rPr>
                <w:rFonts w:cs="Arial"/>
                <w:i/>
                <w:iCs/>
                <w:sz w:val="22"/>
                <w:szCs w:val="22"/>
              </w:rPr>
            </w:pPr>
            <w:r w:rsidRPr="00764063">
              <w:rPr>
                <w:rFonts w:cs="Arial"/>
                <w:i/>
                <w:iCs/>
                <w:sz w:val="22"/>
                <w:szCs w:val="22"/>
              </w:rPr>
              <w:t>—</w:t>
            </w:r>
          </w:p>
        </w:tc>
        <w:tc>
          <w:tcPr>
            <w:tcW w:w="850" w:type="dxa"/>
            <w:tcMar>
              <w:top w:w="48" w:type="dxa"/>
              <w:left w:w="96" w:type="dxa"/>
              <w:bottom w:w="48" w:type="dxa"/>
              <w:right w:w="96" w:type="dxa"/>
            </w:tcMar>
          </w:tcPr>
          <w:p w14:paraId="11777658" w14:textId="77777777" w:rsidR="006416A2" w:rsidRPr="00764063" w:rsidRDefault="006D3518" w:rsidP="00FF1D46">
            <w:pPr>
              <w:spacing w:line="360" w:lineRule="auto"/>
              <w:rPr>
                <w:rFonts w:cs="Arial"/>
                <w:i/>
                <w:iCs/>
                <w:sz w:val="22"/>
                <w:szCs w:val="22"/>
              </w:rPr>
            </w:pPr>
            <w:sdt>
              <w:sdtPr>
                <w:rPr>
                  <w:rFonts w:cs="Arial"/>
                  <w:i/>
                  <w:iCs/>
                  <w:sz w:val="22"/>
                  <w:szCs w:val="22"/>
                </w:rPr>
                <w:tag w:val="goog_rdk_10"/>
                <w:id w:val="161823645"/>
              </w:sdtPr>
              <w:sdtEndPr/>
              <w:sdtContent>
                <w:r w:rsidR="006416A2" w:rsidRPr="00764063">
                  <w:rPr>
                    <w:rFonts w:eastAsia="Cardo" w:cs="Arial"/>
                    <w:i/>
                    <w:iCs/>
                    <w:sz w:val="22"/>
                    <w:szCs w:val="22"/>
                  </w:rPr>
                  <w:t>↑</w:t>
                </w:r>
              </w:sdtContent>
            </w:sdt>
          </w:p>
        </w:tc>
        <w:tc>
          <w:tcPr>
            <w:tcW w:w="3098" w:type="dxa"/>
            <w:tcMar>
              <w:top w:w="48" w:type="dxa"/>
              <w:left w:w="96" w:type="dxa"/>
              <w:bottom w:w="48" w:type="dxa"/>
              <w:right w:w="96" w:type="dxa"/>
            </w:tcMar>
          </w:tcPr>
          <w:p w14:paraId="2F03CE2F" w14:textId="77777777" w:rsidR="006416A2" w:rsidRPr="00764063" w:rsidRDefault="006D3518" w:rsidP="00FF1D46">
            <w:pPr>
              <w:spacing w:line="360" w:lineRule="auto"/>
              <w:rPr>
                <w:rFonts w:cs="Arial"/>
                <w:i/>
                <w:iCs/>
                <w:sz w:val="22"/>
                <w:szCs w:val="22"/>
              </w:rPr>
            </w:pPr>
            <w:sdt>
              <w:sdtPr>
                <w:rPr>
                  <w:rFonts w:cs="Arial"/>
                  <w:i/>
                  <w:iCs/>
                  <w:sz w:val="22"/>
                  <w:szCs w:val="22"/>
                </w:rPr>
                <w:tag w:val="goog_rdk_11"/>
                <w:id w:val="1049725649"/>
              </w:sdtPr>
              <w:sdtEndPr/>
              <w:sdtContent>
                <w:r w:rsidR="006416A2" w:rsidRPr="00764063">
                  <w:rPr>
                    <w:rFonts w:eastAsia="Cardo" w:cs="Arial"/>
                    <w:i/>
                    <w:iCs/>
                    <w:sz w:val="22"/>
                    <w:szCs w:val="22"/>
                  </w:rPr>
                  <w:t>↑</w:t>
                </w:r>
              </w:sdtContent>
            </w:sdt>
          </w:p>
        </w:tc>
      </w:tr>
      <w:tr w:rsidR="006416A2" w:rsidRPr="00764063" w14:paraId="315A25B0" w14:textId="77777777" w:rsidTr="00764063">
        <w:tc>
          <w:tcPr>
            <w:tcW w:w="3363" w:type="dxa"/>
            <w:tcMar>
              <w:top w:w="48" w:type="dxa"/>
              <w:left w:w="96" w:type="dxa"/>
              <w:bottom w:w="48" w:type="dxa"/>
              <w:right w:w="96" w:type="dxa"/>
            </w:tcMar>
          </w:tcPr>
          <w:p w14:paraId="4E68EACB" w14:textId="77777777" w:rsidR="006416A2" w:rsidRPr="00764063" w:rsidRDefault="006416A2" w:rsidP="00FF1D46">
            <w:pPr>
              <w:spacing w:line="360" w:lineRule="auto"/>
              <w:rPr>
                <w:rFonts w:cs="Arial"/>
                <w:i/>
                <w:iCs/>
                <w:sz w:val="22"/>
                <w:szCs w:val="22"/>
              </w:rPr>
            </w:pPr>
            <w:proofErr w:type="spellStart"/>
            <w:r w:rsidRPr="00764063">
              <w:rPr>
                <w:rFonts w:cs="Arial"/>
                <w:i/>
                <w:iCs/>
                <w:sz w:val="22"/>
                <w:szCs w:val="22"/>
              </w:rPr>
              <w:t>Underperfused</w:t>
            </w:r>
            <w:proofErr w:type="spellEnd"/>
          </w:p>
        </w:tc>
        <w:tc>
          <w:tcPr>
            <w:tcW w:w="743" w:type="dxa"/>
            <w:tcMar>
              <w:top w:w="48" w:type="dxa"/>
              <w:left w:w="96" w:type="dxa"/>
              <w:bottom w:w="48" w:type="dxa"/>
              <w:right w:w="96" w:type="dxa"/>
            </w:tcMar>
          </w:tcPr>
          <w:p w14:paraId="2A04554C" w14:textId="77777777" w:rsidR="006416A2" w:rsidRPr="00764063" w:rsidRDefault="006D3518" w:rsidP="00FF1D46">
            <w:pPr>
              <w:spacing w:line="360" w:lineRule="auto"/>
              <w:rPr>
                <w:rFonts w:cs="Arial"/>
                <w:i/>
                <w:iCs/>
                <w:sz w:val="22"/>
                <w:szCs w:val="22"/>
              </w:rPr>
            </w:pPr>
            <w:sdt>
              <w:sdtPr>
                <w:rPr>
                  <w:rFonts w:cs="Arial"/>
                  <w:i/>
                  <w:iCs/>
                  <w:sz w:val="22"/>
                  <w:szCs w:val="22"/>
                </w:rPr>
                <w:tag w:val="goog_rdk_12"/>
                <w:id w:val="-1070268620"/>
              </w:sdtPr>
              <w:sdtEndPr/>
              <w:sdtContent>
                <w:r w:rsidR="006416A2" w:rsidRPr="00764063">
                  <w:rPr>
                    <w:rFonts w:eastAsia="Cardo" w:cs="Arial"/>
                    <w:i/>
                    <w:iCs/>
                    <w:sz w:val="22"/>
                    <w:szCs w:val="22"/>
                  </w:rPr>
                  <w:t>↑↓</w:t>
                </w:r>
              </w:sdtContent>
            </w:sdt>
          </w:p>
        </w:tc>
        <w:tc>
          <w:tcPr>
            <w:tcW w:w="709" w:type="dxa"/>
            <w:tcMar>
              <w:top w:w="48" w:type="dxa"/>
              <w:left w:w="96" w:type="dxa"/>
              <w:bottom w:w="48" w:type="dxa"/>
              <w:right w:w="96" w:type="dxa"/>
            </w:tcMar>
          </w:tcPr>
          <w:p w14:paraId="03491F80" w14:textId="77777777" w:rsidR="006416A2" w:rsidRPr="00764063" w:rsidRDefault="006D3518" w:rsidP="00FF1D46">
            <w:pPr>
              <w:spacing w:line="360" w:lineRule="auto"/>
              <w:rPr>
                <w:rFonts w:cs="Arial"/>
                <w:i/>
                <w:iCs/>
                <w:sz w:val="22"/>
                <w:szCs w:val="22"/>
              </w:rPr>
            </w:pPr>
            <w:sdt>
              <w:sdtPr>
                <w:rPr>
                  <w:rFonts w:cs="Arial"/>
                  <w:i/>
                  <w:iCs/>
                  <w:sz w:val="22"/>
                  <w:szCs w:val="22"/>
                </w:rPr>
                <w:tag w:val="goog_rdk_13"/>
                <w:id w:val="-287963394"/>
              </w:sdtPr>
              <w:sdtEndPr/>
              <w:sdtContent>
                <w:r w:rsidR="006416A2" w:rsidRPr="00764063">
                  <w:rPr>
                    <w:rFonts w:eastAsia="Cardo" w:cs="Arial"/>
                    <w:i/>
                    <w:iCs/>
                    <w:sz w:val="22"/>
                    <w:szCs w:val="22"/>
                  </w:rPr>
                  <w:t>↓</w:t>
                </w:r>
              </w:sdtContent>
            </w:sdt>
          </w:p>
        </w:tc>
        <w:tc>
          <w:tcPr>
            <w:tcW w:w="850" w:type="dxa"/>
            <w:tcMar>
              <w:top w:w="48" w:type="dxa"/>
              <w:left w:w="96" w:type="dxa"/>
              <w:bottom w:w="48" w:type="dxa"/>
              <w:right w:w="96" w:type="dxa"/>
            </w:tcMar>
          </w:tcPr>
          <w:p w14:paraId="274A31A4" w14:textId="77777777" w:rsidR="006416A2" w:rsidRPr="00764063" w:rsidRDefault="006D3518" w:rsidP="00FF1D46">
            <w:pPr>
              <w:spacing w:line="360" w:lineRule="auto"/>
              <w:rPr>
                <w:rFonts w:cs="Arial"/>
                <w:i/>
                <w:iCs/>
                <w:sz w:val="22"/>
                <w:szCs w:val="22"/>
              </w:rPr>
            </w:pPr>
            <w:sdt>
              <w:sdtPr>
                <w:rPr>
                  <w:rFonts w:cs="Arial"/>
                  <w:i/>
                  <w:iCs/>
                  <w:sz w:val="22"/>
                  <w:szCs w:val="22"/>
                </w:rPr>
                <w:tag w:val="goog_rdk_14"/>
                <w:id w:val="-2107572870"/>
              </w:sdtPr>
              <w:sdtEndPr/>
              <w:sdtContent>
                <w:r w:rsidR="006416A2" w:rsidRPr="00764063">
                  <w:rPr>
                    <w:rFonts w:eastAsia="Cardo" w:cs="Arial"/>
                    <w:i/>
                    <w:iCs/>
                    <w:sz w:val="22"/>
                    <w:szCs w:val="22"/>
                  </w:rPr>
                  <w:t>↑↓</w:t>
                </w:r>
              </w:sdtContent>
            </w:sdt>
          </w:p>
        </w:tc>
        <w:tc>
          <w:tcPr>
            <w:tcW w:w="3098" w:type="dxa"/>
            <w:tcMar>
              <w:top w:w="48" w:type="dxa"/>
              <w:left w:w="96" w:type="dxa"/>
              <w:bottom w:w="48" w:type="dxa"/>
              <w:right w:w="96" w:type="dxa"/>
            </w:tcMar>
          </w:tcPr>
          <w:p w14:paraId="645F26A3" w14:textId="77777777" w:rsidR="006416A2" w:rsidRPr="00764063" w:rsidRDefault="006D3518" w:rsidP="00FF1D46">
            <w:pPr>
              <w:spacing w:line="360" w:lineRule="auto"/>
              <w:rPr>
                <w:rFonts w:cs="Arial"/>
                <w:i/>
                <w:iCs/>
                <w:sz w:val="22"/>
                <w:szCs w:val="22"/>
              </w:rPr>
            </w:pPr>
            <w:sdt>
              <w:sdtPr>
                <w:rPr>
                  <w:rFonts w:cs="Arial"/>
                  <w:i/>
                  <w:iCs/>
                  <w:sz w:val="22"/>
                  <w:szCs w:val="22"/>
                </w:rPr>
                <w:tag w:val="goog_rdk_15"/>
                <w:id w:val="-1371612298"/>
              </w:sdtPr>
              <w:sdtEndPr/>
              <w:sdtContent>
                <w:r w:rsidR="006416A2" w:rsidRPr="00764063">
                  <w:rPr>
                    <w:rFonts w:eastAsia="Cardo" w:cs="Arial"/>
                    <w:i/>
                    <w:iCs/>
                    <w:sz w:val="22"/>
                    <w:szCs w:val="22"/>
                  </w:rPr>
                  <w:t>↑</w:t>
                </w:r>
              </w:sdtContent>
            </w:sdt>
          </w:p>
        </w:tc>
      </w:tr>
      <w:tr w:rsidR="006416A2" w:rsidRPr="00764063" w14:paraId="02FF18E8" w14:textId="77777777" w:rsidTr="00764063">
        <w:tc>
          <w:tcPr>
            <w:tcW w:w="3363" w:type="dxa"/>
            <w:tcMar>
              <w:top w:w="48" w:type="dxa"/>
              <w:left w:w="96" w:type="dxa"/>
              <w:bottom w:w="48" w:type="dxa"/>
              <w:right w:w="96" w:type="dxa"/>
            </w:tcMar>
          </w:tcPr>
          <w:p w14:paraId="6A64AF0C" w14:textId="77777777" w:rsidR="006416A2" w:rsidRPr="00764063" w:rsidRDefault="006416A2" w:rsidP="00FF1D46">
            <w:pPr>
              <w:spacing w:line="360" w:lineRule="auto"/>
              <w:rPr>
                <w:rFonts w:cs="Arial"/>
                <w:i/>
                <w:iCs/>
                <w:sz w:val="22"/>
                <w:szCs w:val="22"/>
              </w:rPr>
            </w:pPr>
            <w:r w:rsidRPr="00764063">
              <w:rPr>
                <w:rFonts w:cs="Arial"/>
                <w:i/>
                <w:iCs/>
                <w:sz w:val="22"/>
                <w:szCs w:val="22"/>
              </w:rPr>
              <w:t>Hyperperfusion</w:t>
            </w:r>
          </w:p>
        </w:tc>
        <w:tc>
          <w:tcPr>
            <w:tcW w:w="743" w:type="dxa"/>
            <w:tcMar>
              <w:top w:w="48" w:type="dxa"/>
              <w:left w:w="96" w:type="dxa"/>
              <w:bottom w:w="48" w:type="dxa"/>
              <w:right w:w="96" w:type="dxa"/>
            </w:tcMar>
          </w:tcPr>
          <w:p w14:paraId="339C3E98" w14:textId="77777777" w:rsidR="006416A2" w:rsidRPr="00764063" w:rsidRDefault="006D3518" w:rsidP="00FF1D46">
            <w:pPr>
              <w:spacing w:line="360" w:lineRule="auto"/>
              <w:rPr>
                <w:rFonts w:cs="Arial"/>
                <w:i/>
                <w:iCs/>
                <w:sz w:val="22"/>
                <w:szCs w:val="22"/>
              </w:rPr>
            </w:pPr>
            <w:sdt>
              <w:sdtPr>
                <w:rPr>
                  <w:rFonts w:cs="Arial"/>
                  <w:i/>
                  <w:iCs/>
                  <w:sz w:val="22"/>
                  <w:szCs w:val="22"/>
                </w:rPr>
                <w:tag w:val="goog_rdk_16"/>
                <w:id w:val="-1529489492"/>
              </w:sdtPr>
              <w:sdtEndPr/>
              <w:sdtContent>
                <w:r w:rsidR="006416A2" w:rsidRPr="00764063">
                  <w:rPr>
                    <w:rFonts w:eastAsia="Cardo" w:cs="Arial"/>
                    <w:i/>
                    <w:iCs/>
                    <w:sz w:val="22"/>
                    <w:szCs w:val="22"/>
                  </w:rPr>
                  <w:t>↑</w:t>
                </w:r>
              </w:sdtContent>
            </w:sdt>
          </w:p>
        </w:tc>
        <w:tc>
          <w:tcPr>
            <w:tcW w:w="709" w:type="dxa"/>
            <w:tcMar>
              <w:top w:w="48" w:type="dxa"/>
              <w:left w:w="96" w:type="dxa"/>
              <w:bottom w:w="48" w:type="dxa"/>
              <w:right w:w="96" w:type="dxa"/>
            </w:tcMar>
          </w:tcPr>
          <w:p w14:paraId="0C1A21E4" w14:textId="77777777" w:rsidR="006416A2" w:rsidRPr="00764063" w:rsidRDefault="006D3518" w:rsidP="00FF1D46">
            <w:pPr>
              <w:spacing w:line="360" w:lineRule="auto"/>
              <w:rPr>
                <w:rFonts w:cs="Arial"/>
                <w:i/>
                <w:iCs/>
                <w:sz w:val="22"/>
                <w:szCs w:val="22"/>
              </w:rPr>
            </w:pPr>
            <w:sdt>
              <w:sdtPr>
                <w:rPr>
                  <w:rFonts w:cs="Arial"/>
                  <w:i/>
                  <w:iCs/>
                  <w:sz w:val="22"/>
                  <w:szCs w:val="22"/>
                </w:rPr>
                <w:tag w:val="goog_rdk_17"/>
                <w:id w:val="1337274793"/>
              </w:sdtPr>
              <w:sdtEndPr/>
              <w:sdtContent>
                <w:r w:rsidR="006416A2" w:rsidRPr="00764063">
                  <w:rPr>
                    <w:rFonts w:eastAsia="Cardo" w:cs="Arial"/>
                    <w:i/>
                    <w:iCs/>
                    <w:sz w:val="22"/>
                    <w:szCs w:val="22"/>
                  </w:rPr>
                  <w:t>↑</w:t>
                </w:r>
              </w:sdtContent>
            </w:sdt>
          </w:p>
        </w:tc>
        <w:tc>
          <w:tcPr>
            <w:tcW w:w="850" w:type="dxa"/>
            <w:tcMar>
              <w:top w:w="48" w:type="dxa"/>
              <w:left w:w="96" w:type="dxa"/>
              <w:bottom w:w="48" w:type="dxa"/>
              <w:right w:w="96" w:type="dxa"/>
            </w:tcMar>
          </w:tcPr>
          <w:p w14:paraId="6192E50B" w14:textId="77777777" w:rsidR="006416A2" w:rsidRPr="00764063" w:rsidRDefault="006D3518" w:rsidP="00FF1D46">
            <w:pPr>
              <w:spacing w:line="360" w:lineRule="auto"/>
              <w:rPr>
                <w:rFonts w:cs="Arial"/>
                <w:i/>
                <w:iCs/>
                <w:sz w:val="22"/>
                <w:szCs w:val="22"/>
              </w:rPr>
            </w:pPr>
            <w:sdt>
              <w:sdtPr>
                <w:rPr>
                  <w:rFonts w:cs="Arial"/>
                  <w:i/>
                  <w:iCs/>
                  <w:sz w:val="22"/>
                  <w:szCs w:val="22"/>
                </w:rPr>
                <w:tag w:val="goog_rdk_18"/>
                <w:id w:val="1622573902"/>
              </w:sdtPr>
              <w:sdtEndPr/>
              <w:sdtContent>
                <w:r w:rsidR="006416A2" w:rsidRPr="00764063">
                  <w:rPr>
                    <w:rFonts w:eastAsia="Cardo" w:cs="Arial"/>
                    <w:i/>
                    <w:iCs/>
                    <w:sz w:val="22"/>
                    <w:szCs w:val="22"/>
                  </w:rPr>
                  <w:t>↑↓</w:t>
                </w:r>
              </w:sdtContent>
            </w:sdt>
          </w:p>
        </w:tc>
        <w:tc>
          <w:tcPr>
            <w:tcW w:w="3098" w:type="dxa"/>
            <w:tcMar>
              <w:top w:w="48" w:type="dxa"/>
              <w:left w:w="96" w:type="dxa"/>
              <w:bottom w:w="48" w:type="dxa"/>
              <w:right w:w="96" w:type="dxa"/>
            </w:tcMar>
          </w:tcPr>
          <w:p w14:paraId="5B69C032" w14:textId="77777777" w:rsidR="006416A2" w:rsidRPr="00764063" w:rsidRDefault="006D3518" w:rsidP="00FF1D46">
            <w:pPr>
              <w:spacing w:line="360" w:lineRule="auto"/>
              <w:rPr>
                <w:rFonts w:cs="Arial"/>
                <w:i/>
                <w:iCs/>
                <w:sz w:val="22"/>
                <w:szCs w:val="22"/>
              </w:rPr>
            </w:pPr>
            <w:sdt>
              <w:sdtPr>
                <w:rPr>
                  <w:rFonts w:cs="Arial"/>
                  <w:i/>
                  <w:iCs/>
                  <w:sz w:val="22"/>
                  <w:szCs w:val="22"/>
                </w:rPr>
                <w:tag w:val="goog_rdk_19"/>
                <w:id w:val="-1392879121"/>
              </w:sdtPr>
              <w:sdtEndPr/>
              <w:sdtContent>
                <w:r w:rsidR="006416A2" w:rsidRPr="00764063">
                  <w:rPr>
                    <w:rFonts w:eastAsia="Cardo" w:cs="Arial"/>
                    <w:i/>
                    <w:iCs/>
                    <w:sz w:val="22"/>
                    <w:szCs w:val="22"/>
                  </w:rPr>
                  <w:t>↑↓</w:t>
                </w:r>
              </w:sdtContent>
            </w:sdt>
            <w:r w:rsidR="006416A2" w:rsidRPr="00764063">
              <w:rPr>
                <w:rFonts w:cs="Arial"/>
                <w:i/>
                <w:iCs/>
                <w:sz w:val="22"/>
                <w:szCs w:val="22"/>
              </w:rPr>
              <w:t xml:space="preserve"> (usually </w:t>
            </w:r>
            <w:sdt>
              <w:sdtPr>
                <w:rPr>
                  <w:rFonts w:cs="Arial"/>
                  <w:i/>
                  <w:iCs/>
                  <w:sz w:val="22"/>
                  <w:szCs w:val="22"/>
                </w:rPr>
                <w:tag w:val="goog_rdk_20"/>
                <w:id w:val="1804647172"/>
              </w:sdtPr>
              <w:sdtEndPr/>
              <w:sdtContent>
                <w:r w:rsidR="006416A2" w:rsidRPr="00764063">
                  <w:rPr>
                    <w:rFonts w:eastAsia="Cardo" w:cs="Arial"/>
                    <w:i/>
                    <w:iCs/>
                    <w:sz w:val="22"/>
                    <w:szCs w:val="22"/>
                  </w:rPr>
                  <w:t>↓</w:t>
                </w:r>
              </w:sdtContent>
            </w:sdt>
            <w:r w:rsidR="006416A2" w:rsidRPr="00764063">
              <w:rPr>
                <w:rFonts w:cs="Arial"/>
                <w:i/>
                <w:iCs/>
                <w:sz w:val="22"/>
                <w:szCs w:val="22"/>
              </w:rPr>
              <w:t>)</w:t>
            </w:r>
          </w:p>
        </w:tc>
      </w:tr>
    </w:tbl>
    <w:p w14:paraId="0F6B2E7D" w14:textId="77777777" w:rsidR="006416A2" w:rsidRPr="003213EF" w:rsidRDefault="006416A2" w:rsidP="003213EF">
      <w:pPr>
        <w:keepNext/>
        <w:keepLines/>
        <w:pBdr>
          <w:top w:val="nil"/>
          <w:left w:val="nil"/>
          <w:bottom w:val="nil"/>
          <w:right w:val="nil"/>
          <w:between w:val="nil"/>
        </w:pBdr>
        <w:spacing w:before="200" w:line="360" w:lineRule="auto"/>
        <w:rPr>
          <w:rStyle w:val="SubtleEmphasis"/>
        </w:rPr>
      </w:pPr>
      <w:r w:rsidRPr="003213EF">
        <w:rPr>
          <w:rStyle w:val="SubtleEmphasis"/>
        </w:rPr>
        <w:t>CPP: Cerebral Perfusion Pressure, CBV Cerebral Blood Volume, CBF Cerebral Blood Flow, MTT Mean Transit Time, TTP –Time to peak.</w:t>
      </w:r>
    </w:p>
    <w:p w14:paraId="2ED8DA27" w14:textId="77777777" w:rsidR="003556DE" w:rsidRDefault="003556DE" w:rsidP="009F58A0">
      <w:pPr>
        <w:pStyle w:val="Subtitle"/>
      </w:pPr>
      <w:bookmarkStart w:id="507" w:name="_Toc48469314"/>
    </w:p>
    <w:p w14:paraId="20DBDF3E" w14:textId="74BA6C47" w:rsidR="006416A2" w:rsidRPr="00BB75E6" w:rsidRDefault="006416A2" w:rsidP="009F58A0">
      <w:pPr>
        <w:pStyle w:val="Subtitle"/>
      </w:pPr>
      <w:bookmarkStart w:id="508" w:name="_Toc64724225"/>
      <w:r>
        <w:t xml:space="preserve">Figure 5.20 </w:t>
      </w:r>
      <w:r w:rsidRPr="00BB75E6">
        <w:t xml:space="preserve">TTP can be delayed under the following </w:t>
      </w:r>
      <w:r>
        <w:t>microvascular perfusion characteristics</w:t>
      </w:r>
      <w:bookmarkEnd w:id="507"/>
      <w:bookmarkEnd w:id="508"/>
      <w:r w:rsidRPr="00BB75E6">
        <w:t xml:space="preserve"> </w:t>
      </w:r>
    </w:p>
    <w:p w14:paraId="2E10093E" w14:textId="77777777" w:rsidR="006416A2" w:rsidRDefault="006416A2" w:rsidP="006416A2">
      <w:pPr>
        <w:spacing w:line="360" w:lineRule="auto"/>
        <w:rPr>
          <w:rFonts w:cs="Arial"/>
        </w:rPr>
      </w:pPr>
      <w:r w:rsidRPr="00BB75E6">
        <w:rPr>
          <w:rFonts w:cs="Arial"/>
          <w:noProof/>
          <w:lang w:eastAsia="en-GB"/>
        </w:rPr>
        <w:drawing>
          <wp:inline distT="0" distB="0" distL="0" distR="0" wp14:anchorId="282BA98D" wp14:editId="2E143BCC">
            <wp:extent cx="4718304" cy="3425952"/>
            <wp:effectExtent l="0" t="0" r="0" b="0"/>
            <wp:docPr id="2145" name="image60.jpg" descr="A picture containing racquetball, game, drawing&#10;&#10;Description automatically generated"/>
            <wp:cNvGraphicFramePr/>
            <a:graphic xmlns:a="http://schemas.openxmlformats.org/drawingml/2006/main">
              <a:graphicData uri="http://schemas.openxmlformats.org/drawingml/2006/picture">
                <pic:pic xmlns:pic="http://schemas.openxmlformats.org/drawingml/2006/picture">
                  <pic:nvPicPr>
                    <pic:cNvPr id="2145" name="image60.jpg" descr="A picture containing racquetball, game, drawing&#10;&#10;Description automatically generated"/>
                    <pic:cNvPicPr preferRelativeResize="0"/>
                  </pic:nvPicPr>
                  <pic:blipFill>
                    <a:blip r:embed="rId75"/>
                    <a:srcRect/>
                    <a:stretch>
                      <a:fillRect/>
                    </a:stretch>
                  </pic:blipFill>
                  <pic:spPr>
                    <a:xfrm>
                      <a:off x="0" y="0"/>
                      <a:ext cx="4718304" cy="3425952"/>
                    </a:xfrm>
                    <a:prstGeom prst="rect">
                      <a:avLst/>
                    </a:prstGeom>
                    <a:ln/>
                  </pic:spPr>
                </pic:pic>
              </a:graphicData>
            </a:graphic>
          </wp:inline>
        </w:drawing>
      </w:r>
    </w:p>
    <w:p w14:paraId="383F6072" w14:textId="50DA1432" w:rsidR="006416A2" w:rsidRPr="006653B6" w:rsidRDefault="006416A2" w:rsidP="006416A2">
      <w:pPr>
        <w:spacing w:line="360" w:lineRule="auto"/>
        <w:rPr>
          <w:rStyle w:val="SubtleEmphasis"/>
          <w:i w:val="0"/>
          <w:iCs w:val="0"/>
        </w:rPr>
      </w:pPr>
      <w:r w:rsidRPr="006653B6">
        <w:rPr>
          <w:rStyle w:val="SubtleEmphasis"/>
        </w:rPr>
        <w:t>Theoretical concentration-versus-time curves (solid lines) reflect the four different abnormal hemodynamic conditions (A) delayed bolus arrival with preserved CPP, (B) compensated low CPP, (C) hypoperfusion, and (D) hyperperfusion. In each case, a concentration-versus-time curve for normal tissue is presented for comparison (dotted lines). TTP (vertical lines) can be delayed (</w:t>
      </w:r>
      <w:proofErr w:type="spellStart"/>
      <w:r w:rsidRPr="006653B6">
        <w:rPr>
          <w:rStyle w:val="SubtleEmphasis"/>
        </w:rPr>
        <w:t>i.e</w:t>
      </w:r>
      <w:proofErr w:type="spellEnd"/>
      <w:r w:rsidRPr="006653B6">
        <w:rPr>
          <w:rStyle w:val="SubtleEmphasis"/>
        </w:rPr>
        <w:t xml:space="preserve"> farther to the right) in all four conditions. From Copen et al., 2011.</w:t>
      </w:r>
      <w:r w:rsidR="00D30824">
        <w:rPr>
          <w:rStyle w:val="SubtleEmphasis"/>
        </w:rPr>
        <w:t xml:space="preserve"> </w:t>
      </w:r>
      <w:r w:rsidR="00D30824" w:rsidRPr="00D30824">
        <w:rPr>
          <w:rFonts w:asciiTheme="minorHAnsi" w:hAnsiTheme="minorHAnsi" w:cstheme="minorHAnsi"/>
          <w:i/>
          <w:iCs/>
          <w:color w:val="808080" w:themeColor="text1" w:themeTint="7F"/>
          <w:sz w:val="21"/>
          <w:lang w:eastAsia="en-GB"/>
        </w:rPr>
        <w:t>Reproduced with permission © 201</w:t>
      </w:r>
      <w:r w:rsidR="00D30824" w:rsidRPr="00D30824">
        <w:rPr>
          <w:rFonts w:asciiTheme="minorHAnsi" w:hAnsiTheme="minorHAnsi" w:cstheme="minorHAnsi"/>
          <w:i/>
          <w:iCs/>
          <w:color w:val="808080" w:themeColor="text1" w:themeTint="7F"/>
          <w:sz w:val="21"/>
          <w:lang w:eastAsia="en-GB"/>
        </w:rPr>
        <w:t>1</w:t>
      </w:r>
      <w:r w:rsidR="00D30824" w:rsidRPr="00D30824">
        <w:rPr>
          <w:rFonts w:asciiTheme="minorHAnsi" w:hAnsiTheme="minorHAnsi" w:cstheme="minorHAnsi"/>
          <w:i/>
          <w:iCs/>
          <w:color w:val="808080" w:themeColor="text1" w:themeTint="7F"/>
          <w:sz w:val="21"/>
          <w:lang w:eastAsia="en-GB"/>
        </w:rPr>
        <w:t xml:space="preserve"> </w:t>
      </w:r>
      <w:r w:rsidR="00D30824" w:rsidRPr="00D30824">
        <w:rPr>
          <w:rFonts w:asciiTheme="minorHAnsi" w:hAnsiTheme="minorHAnsi" w:cstheme="minorHAnsi"/>
          <w:i/>
          <w:iCs/>
          <w:color w:val="808080" w:themeColor="text1" w:themeTint="7F"/>
          <w:sz w:val="21"/>
          <w:lang w:eastAsia="en-GB"/>
        </w:rPr>
        <w:t>Elsevier</w:t>
      </w:r>
      <w:r w:rsidR="00D30824">
        <w:rPr>
          <w:rFonts w:cs="Arial"/>
          <w:i/>
          <w:iCs/>
          <w:color w:val="808080" w:themeColor="text1" w:themeTint="7F"/>
          <w:sz w:val="21"/>
          <w:lang w:eastAsia="en-GB"/>
        </w:rPr>
        <w:t xml:space="preserve">. </w:t>
      </w:r>
    </w:p>
    <w:p w14:paraId="7263D5D8" w14:textId="77777777" w:rsidR="006416A2" w:rsidRPr="00BB75E6" w:rsidRDefault="006416A2" w:rsidP="006416A2">
      <w:pPr>
        <w:pBdr>
          <w:top w:val="nil"/>
          <w:left w:val="nil"/>
          <w:bottom w:val="nil"/>
          <w:right w:val="nil"/>
          <w:between w:val="nil"/>
        </w:pBdr>
        <w:spacing w:before="166" w:after="166"/>
        <w:rPr>
          <w:rFonts w:cs="Arial"/>
          <w:i/>
        </w:rPr>
      </w:pPr>
    </w:p>
    <w:p w14:paraId="7B0FB6E7" w14:textId="6CAA38DC" w:rsidR="006416A2" w:rsidRDefault="006416A2" w:rsidP="006416A2">
      <w:pPr>
        <w:spacing w:line="360" w:lineRule="auto"/>
        <w:rPr>
          <w:rFonts w:cs="Arial"/>
        </w:rPr>
      </w:pPr>
      <w:r>
        <w:rPr>
          <w:rFonts w:cs="Arial"/>
        </w:rPr>
        <w:lastRenderedPageBreak/>
        <w:t>T</w:t>
      </w:r>
      <w:r w:rsidRPr="00BB75E6">
        <w:rPr>
          <w:rFonts w:cs="Arial"/>
        </w:rPr>
        <w:t xml:space="preserve">he values of the other perfusion parameters </w:t>
      </w:r>
      <w:r>
        <w:rPr>
          <w:rFonts w:cs="Arial"/>
        </w:rPr>
        <w:t>could</w:t>
      </w:r>
      <w:r w:rsidRPr="00BB75E6">
        <w:rPr>
          <w:rFonts w:cs="Arial"/>
        </w:rPr>
        <w:t xml:space="preserve"> give insight into </w:t>
      </w:r>
      <w:r>
        <w:rPr>
          <w:rFonts w:cs="Arial"/>
        </w:rPr>
        <w:t>why</w:t>
      </w:r>
      <w:r w:rsidRPr="00BB75E6">
        <w:rPr>
          <w:rFonts w:cs="Arial"/>
        </w:rPr>
        <w:t xml:space="preserve"> </w:t>
      </w:r>
      <w:r>
        <w:rPr>
          <w:rFonts w:cs="Arial"/>
        </w:rPr>
        <w:t>TTP</w:t>
      </w:r>
      <w:r w:rsidRPr="00BB75E6">
        <w:rPr>
          <w:rFonts w:cs="Arial"/>
        </w:rPr>
        <w:t xml:space="preserve"> may </w:t>
      </w:r>
      <w:r>
        <w:rPr>
          <w:rFonts w:cs="Arial"/>
        </w:rPr>
        <w:t xml:space="preserve">be delayed in the experimental condition, but due to wide confidence intervals for the means of Δ RBV and Δ RBF, it is uncertain as to whether these measures are truly increased or decreased in the P-DPN group as a result of experimental pain.  As Δ TTP was negatively correlated with Δ RBV and Δ RBF in our study, this argues against compensated hypoperfusion or hyperperfusion (Panels B and D in Figure 5.20), as this would cause a positive correlation for both.  This leaves the possibilities that delayed bolus arrival or tissue hypoperfusion are the cause of delayed TTP. </w:t>
      </w:r>
      <w:r w:rsidR="00F63BD4">
        <w:rPr>
          <w:rFonts w:cs="Arial"/>
        </w:rPr>
        <w:t xml:space="preserve"> </w:t>
      </w:r>
      <w:r>
        <w:rPr>
          <w:rFonts w:cs="Arial"/>
        </w:rPr>
        <w:t>The negative correlation between Δ RBF and Δ TTP supports a relationship between decreasing levels of perfusion in the tissue of interest (RBF) causing TTP to be longer in the experimental pain condition than at baseline. Therefore, the most likely cause for the delayed TTP in the P-DPN group is tissue hypoperfusion (see Figure 5.20, Panel C).</w:t>
      </w:r>
    </w:p>
    <w:p w14:paraId="24E8AA70" w14:textId="77777777" w:rsidR="006416A2" w:rsidRDefault="006416A2" w:rsidP="006416A2">
      <w:pPr>
        <w:spacing w:line="360" w:lineRule="auto"/>
        <w:rPr>
          <w:rFonts w:cs="Arial"/>
        </w:rPr>
      </w:pPr>
    </w:p>
    <w:p w14:paraId="0CDF6188" w14:textId="05A1EA9E" w:rsidR="006416A2" w:rsidRDefault="006416A2" w:rsidP="006416A2">
      <w:pPr>
        <w:spacing w:line="360" w:lineRule="auto"/>
        <w:rPr>
          <w:rFonts w:cs="Arial"/>
        </w:rPr>
      </w:pPr>
      <w:r>
        <w:rPr>
          <w:rFonts w:cs="Arial"/>
        </w:rPr>
        <w:t>Neurovascular coupling response</w:t>
      </w:r>
      <w:r w:rsidR="001B3953">
        <w:rPr>
          <w:rFonts w:cs="Arial"/>
        </w:rPr>
        <w:t>s</w:t>
      </w:r>
      <w:r>
        <w:rPr>
          <w:rFonts w:cs="Arial"/>
        </w:rPr>
        <w:t xml:space="preserve"> to a painful stimulus could be paradoxically impaired in the P-DPN group</w:t>
      </w:r>
      <w:r w:rsidR="001B3953">
        <w:rPr>
          <w:rFonts w:cs="Arial"/>
        </w:rPr>
        <w:t>.  T</w:t>
      </w:r>
      <w:r>
        <w:rPr>
          <w:rFonts w:cs="Arial"/>
        </w:rPr>
        <w:t xml:space="preserve">he painful stimulus </w:t>
      </w:r>
      <w:r w:rsidR="001B3953">
        <w:rPr>
          <w:rFonts w:cs="Arial"/>
        </w:rPr>
        <w:t xml:space="preserve">may </w:t>
      </w:r>
      <w:r>
        <w:rPr>
          <w:rFonts w:cs="Arial"/>
        </w:rPr>
        <w:t xml:space="preserve">cause a decompensation in </w:t>
      </w:r>
      <w:r w:rsidR="00F63BD4">
        <w:rPr>
          <w:rFonts w:cs="Arial"/>
        </w:rPr>
        <w:t xml:space="preserve">perfusion in </w:t>
      </w:r>
      <w:r>
        <w:rPr>
          <w:rFonts w:cs="Arial"/>
        </w:rPr>
        <w:t xml:space="preserve">tissue that was already compensating for resting hypoxaemia (see Figure 5.21, Stage 2) </w:t>
      </w:r>
      <w:r>
        <w:rPr>
          <w:rFonts w:cs="Arial"/>
        </w:rPr>
        <w:fldChar w:fldCharType="begin">
          <w:fldData xml:space="preserve">PEVuZE5vdGU+PENpdGU+PEF1dGhvcj7DmHN0ZXJnYWFyZDwvQXV0aG9yPjxZZWFyPjIwMTM8L1ll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</w:fldData>
        </w:fldChar>
      </w:r>
      <w:r w:rsidR="009968E0">
        <w:rPr>
          <w:rFonts w:cs="Arial"/>
        </w:rPr>
        <w:instrText xml:space="preserve"> ADDIN EN.CITE </w:instrText>
      </w:r>
      <w:r w:rsidR="009968E0">
        <w:rPr>
          <w:rFonts w:cs="Arial"/>
        </w:rPr>
        <w:fldChar w:fldCharType="begin">
          <w:fldData xml:space="preserve">PEVuZE5vdGU+PENpdGU+PEF1dGhvcj7DmHN0ZXJnYWFyZDwvQXV0aG9yPjxZZWFyPjIwMTM8L1ll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</w:fldData>
        </w:fldChar>
      </w:r>
      <w:r w:rsidR="009968E0">
        <w:rPr>
          <w:rFonts w:cs="Arial"/>
        </w:rPr>
        <w:instrText xml:space="preserve"> ADDIN EN.CITE.DATA </w:instrText>
      </w:r>
      <w:r w:rsidR="009968E0">
        <w:rPr>
          <w:rFonts w:cs="Arial"/>
        </w:rPr>
      </w:r>
      <w:r w:rsidR="009968E0">
        <w:rPr>
          <w:rFonts w:cs="Arial"/>
        </w:rPr>
        <w:fldChar w:fldCharType="end"/>
      </w:r>
      <w:r>
        <w:rPr>
          <w:rFonts w:cs="Arial"/>
        </w:rPr>
      </w:r>
      <w:r>
        <w:rPr>
          <w:rFonts w:cs="Arial"/>
        </w:rPr>
        <w:fldChar w:fldCharType="separate"/>
      </w:r>
      <w:r w:rsidR="009968E0">
        <w:rPr>
          <w:rFonts w:cs="Arial"/>
          <w:noProof/>
        </w:rPr>
        <w:t>(Østergaard et al., 2013a)</w:t>
      </w:r>
      <w:r>
        <w:rPr>
          <w:rFonts w:cs="Arial"/>
        </w:rPr>
        <w:fldChar w:fldCharType="end"/>
      </w:r>
      <w:r>
        <w:rPr>
          <w:rFonts w:cs="Arial"/>
        </w:rPr>
        <w:t xml:space="preserve">.  In Figure 5.21 the Δ CBF panel shows that there may not be significant measurable resting hyper- or hypo-perfusion before there is a drop in Δ CBF in response to activation.  </w:t>
      </w:r>
    </w:p>
    <w:p w14:paraId="6AD4E56C" w14:textId="3DEABEE8" w:rsidR="003556DE" w:rsidRDefault="003556DE" w:rsidP="003556DE">
      <w:pPr>
        <w:spacing w:line="360" w:lineRule="auto"/>
        <w:rPr>
          <w:rFonts w:cs="Arial"/>
        </w:rPr>
      </w:pPr>
      <w:r>
        <w:rPr>
          <w:rFonts w:cs="Arial"/>
        </w:rPr>
        <w:t xml:space="preserve">Therefore, if the P-DPN group had microvascular disease of the arterioles and capillaries, neurovascular uncoupling could </w:t>
      </w:r>
      <w:r w:rsidR="001B3953">
        <w:rPr>
          <w:rFonts w:cs="Arial"/>
        </w:rPr>
        <w:t xml:space="preserve">have </w:t>
      </w:r>
      <w:r>
        <w:rPr>
          <w:rFonts w:cs="Arial"/>
        </w:rPr>
        <w:t>be</w:t>
      </w:r>
      <w:r w:rsidR="001B3953">
        <w:rPr>
          <w:rFonts w:cs="Arial"/>
        </w:rPr>
        <w:t>en</w:t>
      </w:r>
      <w:r>
        <w:rPr>
          <w:rFonts w:cs="Arial"/>
        </w:rPr>
        <w:t xml:space="preserve"> taking place which was inversely proportional to the intensity of the stimulus.  RBF and TTP could therefore drop further due to higher pain intensities. </w:t>
      </w:r>
      <w:r w:rsidR="001B3953">
        <w:rPr>
          <w:rFonts w:cs="Arial"/>
        </w:rPr>
        <w:t xml:space="preserve"> </w:t>
      </w:r>
      <w:r>
        <w:rPr>
          <w:rFonts w:cs="Arial"/>
        </w:rPr>
        <w:t xml:space="preserve">There is no literature to support isolated  cerebral microvascular disease only in P-DPN, but in theory, decreases in RBF and by extension TTP,  could cause a positive Δ TTP in the P-DPN group which is positively correlated with LIKERT.  This theory would need to be tested by identifying unique fixed perfusion deficits in animal or human studies.   </w:t>
      </w:r>
    </w:p>
    <w:p w14:paraId="0274C9D2" w14:textId="77777777" w:rsidR="003556DE" w:rsidRDefault="003556DE">
      <w:pPr>
        <w:rPr>
          <w:rFonts w:cs="Arial"/>
        </w:rPr>
      </w:pPr>
      <w:bookmarkStart w:id="509" w:name="_Toc48469315"/>
      <w:r>
        <w:rPr>
          <w:i/>
          <w:iCs/>
        </w:rPr>
        <w:br w:type="page"/>
      </w:r>
    </w:p>
    <w:p w14:paraId="472A9A3E" w14:textId="30247A4E" w:rsidR="006416A2" w:rsidRPr="00304700" w:rsidRDefault="006416A2" w:rsidP="009F58A0">
      <w:pPr>
        <w:pStyle w:val="Subtitle"/>
      </w:pPr>
      <w:bookmarkStart w:id="510" w:name="_Toc64724226"/>
      <w:r w:rsidRPr="00304700">
        <w:lastRenderedPageBreak/>
        <w:t>Figure 5.21 Changes in cerebral blood flow (CBF) and tissue oxygen tension that must accompany increasing levels of capillary dysfunction to maintain tissue oxygen availability before stroke</w:t>
      </w:r>
      <w:bookmarkEnd w:id="509"/>
      <w:bookmarkEnd w:id="510"/>
    </w:p>
    <w:p w14:paraId="486C2233" w14:textId="77777777" w:rsidR="006416A2" w:rsidRDefault="006416A2" w:rsidP="009F58A0">
      <w:pPr>
        <w:pStyle w:val="Subtitle"/>
      </w:pPr>
    </w:p>
    <w:p w14:paraId="7768EB05" w14:textId="77777777" w:rsidR="006416A2" w:rsidRDefault="006416A2" w:rsidP="006416A2">
      <w:r w:rsidRPr="00E97DA3">
        <w:rPr>
          <w:noProof/>
          <w:lang w:eastAsia="en-GB"/>
        </w:rPr>
        <w:drawing>
          <wp:inline distT="0" distB="0" distL="0" distR="0" wp14:anchorId="5946D614" wp14:editId="0D8F965C">
            <wp:extent cx="4064923" cy="4751979"/>
            <wp:effectExtent l="0" t="0" r="0" b="0"/>
            <wp:docPr id="2156" name="Picture 4" descr="A screenshot of a social media post&#10;&#10;Description automatically generated">
              <a:extLst xmlns:a="http://schemas.openxmlformats.org/drawingml/2006/main">
                <a:ext uri="{FF2B5EF4-FFF2-40B4-BE49-F238E27FC236}">
                  <a16:creationId xmlns:a16="http://schemas.microsoft.com/office/drawing/2014/main" id="{634FF19E-5F28-E74B-9F63-E1951E006F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a:extLst>
                        <a:ext uri="{FF2B5EF4-FFF2-40B4-BE49-F238E27FC236}">
                          <a16:creationId xmlns:a16="http://schemas.microsoft.com/office/drawing/2014/main" id="{634FF19E-5F28-E74B-9F63-E1951E006FF6}"/>
                        </a:ext>
                      </a:extLst>
                    </pic:cNvP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069190" cy="4756968"/>
                    </a:xfrm>
                    <a:prstGeom prst="rect">
                      <a:avLst/>
                    </a:prstGeom>
                    <a:noFill/>
                    <a:ln>
                      <a:noFill/>
                    </a:ln>
                    <a:effectLst/>
                  </pic:spPr>
                </pic:pic>
              </a:graphicData>
            </a:graphic>
          </wp:inline>
        </w:drawing>
      </w:r>
    </w:p>
    <w:p w14:paraId="0F0D1F9F" w14:textId="77777777" w:rsidR="006416A2" w:rsidRDefault="006416A2" w:rsidP="00F35AC2">
      <w:pPr>
        <w:spacing w:line="360" w:lineRule="auto"/>
        <w:rPr>
          <w:rStyle w:val="SubtleEmphasis"/>
          <w:i w:val="0"/>
          <w:iCs w:val="0"/>
          <w:lang w:val="en-US"/>
        </w:rPr>
      </w:pPr>
      <w:r w:rsidRPr="006A775B">
        <w:rPr>
          <w:rStyle w:val="SubtleEmphasis"/>
          <w:lang w:val="en-US"/>
        </w:rPr>
        <w:t>The figure displays the adaptations of CBF (second panel from the top) and PtO2 (third panel from the top) that are necessary to maintain tissue oxygen availability as capillary transit time heterogeneity (CTTH) levels (top panel) gradually increase, both during rest (upper graph in each panel) and during functional activation (lower graph in each panel). These changes are hypothesized to occur in relation to conditions that predispose to stroke</w:t>
      </w:r>
      <w:r>
        <w:rPr>
          <w:rStyle w:val="SubtleEmphasis"/>
          <w:lang w:val="en-US"/>
        </w:rPr>
        <w:t xml:space="preserve">, </w:t>
      </w:r>
      <w:proofErr w:type="spellStart"/>
      <w:proofErr w:type="gramStart"/>
      <w:r>
        <w:rPr>
          <w:rStyle w:val="SubtleEmphasis"/>
          <w:lang w:val="en-US"/>
        </w:rPr>
        <w:t>eg</w:t>
      </w:r>
      <w:proofErr w:type="spellEnd"/>
      <w:proofErr w:type="gramEnd"/>
      <w:r>
        <w:rPr>
          <w:rStyle w:val="SubtleEmphasis"/>
          <w:lang w:val="en-US"/>
        </w:rPr>
        <w:t xml:space="preserve"> diabetes, </w:t>
      </w:r>
      <w:r w:rsidRPr="006A775B">
        <w:rPr>
          <w:rStyle w:val="SubtleEmphasis"/>
          <w:lang w:val="en-US"/>
        </w:rPr>
        <w:t>years before symptoms develop.</w:t>
      </w:r>
      <w:r w:rsidRPr="006A775B">
        <w:rPr>
          <w:rFonts w:cs="Arial"/>
          <w:lang w:val="en-US"/>
        </w:rPr>
        <w:t xml:space="preserve"> </w:t>
      </w:r>
      <w:r w:rsidRPr="006A775B">
        <w:rPr>
          <w:rStyle w:val="SubtleEmphasis"/>
          <w:lang w:val="en-US"/>
        </w:rPr>
        <w:t>PtO2</w:t>
      </w:r>
      <w:r>
        <w:rPr>
          <w:rStyle w:val="SubtleEmphasis"/>
          <w:lang w:val="en-US"/>
        </w:rPr>
        <w:t xml:space="preserve">= Partial pressure of oxygen in tissue, </w:t>
      </w:r>
      <w:r>
        <w:rPr>
          <w:rStyle w:val="SubtleEmphasis"/>
          <w:lang w:val="en-US"/>
        </w:rPr>
        <w:sym w:font="Symbol" w:char="F044"/>
      </w:r>
      <w:r>
        <w:rPr>
          <w:rStyle w:val="SubtleEmphasis"/>
          <w:lang w:val="en-US"/>
        </w:rPr>
        <w:t xml:space="preserve">CMRO2 – </w:t>
      </w:r>
      <w:r w:rsidRPr="00C91A6D">
        <w:rPr>
          <w:i/>
          <w:color w:val="808080" w:themeColor="text1" w:themeTint="7F"/>
          <w:sz w:val="21"/>
        </w:rPr>
        <w:t>maximum cerebral metabolic rate of oxygen</w:t>
      </w:r>
      <w:r>
        <w:rPr>
          <w:rStyle w:val="SubtleEmphasis"/>
          <w:lang w:val="en-US"/>
        </w:rPr>
        <w:t>,</w:t>
      </w:r>
    </w:p>
    <w:p w14:paraId="0582D388" w14:textId="55E8D350" w:rsidR="006416A2" w:rsidRPr="006A775B" w:rsidRDefault="006416A2" w:rsidP="00F35AC2">
      <w:pPr>
        <w:spacing w:line="360" w:lineRule="auto"/>
        <w:rPr>
          <w:rStyle w:val="SubtleEmphasis"/>
          <w:i w:val="0"/>
          <w:iCs w:val="0"/>
        </w:rPr>
      </w:pPr>
      <w:r>
        <w:rPr>
          <w:rStyle w:val="SubtleEmphasis"/>
          <w:lang w:val="en-US"/>
        </w:rPr>
        <w:t xml:space="preserve">from:  </w:t>
      </w:r>
      <w:proofErr w:type="spellStart"/>
      <w:r w:rsidRPr="006A775B">
        <w:rPr>
          <w:rStyle w:val="SubtleEmphasis"/>
          <w:lang w:eastAsia="en-GB"/>
        </w:rPr>
        <w:t>Østergaard</w:t>
      </w:r>
      <w:proofErr w:type="spellEnd"/>
      <w:r w:rsidRPr="006A775B">
        <w:rPr>
          <w:rStyle w:val="SubtleEmphasis"/>
          <w:lang w:eastAsia="en-GB"/>
        </w:rPr>
        <w:t xml:space="preserve">, L., Jespersen, S. N., </w:t>
      </w:r>
      <w:proofErr w:type="spellStart"/>
      <w:r w:rsidRPr="006A775B">
        <w:rPr>
          <w:rStyle w:val="SubtleEmphasis"/>
          <w:lang w:eastAsia="en-GB"/>
        </w:rPr>
        <w:t>Mouridsen</w:t>
      </w:r>
      <w:proofErr w:type="spellEnd"/>
      <w:r w:rsidRPr="006A775B">
        <w:rPr>
          <w:rStyle w:val="SubtleEmphasis"/>
          <w:lang w:eastAsia="en-GB"/>
        </w:rPr>
        <w:t xml:space="preserve">, </w:t>
      </w:r>
      <w:r>
        <w:rPr>
          <w:rStyle w:val="SubtleEmphasis"/>
          <w:lang w:eastAsia="en-GB"/>
        </w:rPr>
        <w:t>et al.,</w:t>
      </w:r>
      <w:r w:rsidRPr="006A775B">
        <w:rPr>
          <w:rStyle w:val="SubtleEmphasis"/>
          <w:lang w:eastAsia="en-GB"/>
        </w:rPr>
        <w:t xml:space="preserve"> (2013). The Role of the Cerebral Capillaries in Acute Ischemic Stroke: The Extended Penumbra Model. Journal of Cerebral Blood Flow &amp; Metabolism, 33(5), 635–648.</w:t>
      </w:r>
      <w:r w:rsidR="005868A5">
        <w:rPr>
          <w:rStyle w:val="SubtleEmphasis"/>
          <w:lang w:eastAsia="en-GB"/>
        </w:rPr>
        <w:t xml:space="preserve"> </w:t>
      </w:r>
      <w:r w:rsidR="005868A5" w:rsidRPr="005868A5">
        <w:rPr>
          <w:rFonts w:asciiTheme="minorHAnsi" w:hAnsiTheme="minorHAnsi" w:cstheme="minorHAnsi"/>
          <w:i/>
          <w:iCs/>
          <w:color w:val="808080" w:themeColor="text1" w:themeTint="7F"/>
          <w:sz w:val="21"/>
          <w:lang w:eastAsia="en-GB"/>
        </w:rPr>
        <w:t>Reproduced with permission © 2013 SAGE publications</w:t>
      </w:r>
    </w:p>
    <w:p w14:paraId="06F9C7CD" w14:textId="77777777" w:rsidR="006416A2" w:rsidRDefault="006416A2" w:rsidP="006416A2">
      <w:pPr>
        <w:spacing w:line="360" w:lineRule="auto"/>
        <w:rPr>
          <w:rFonts w:cs="Arial"/>
        </w:rPr>
      </w:pPr>
    </w:p>
    <w:p w14:paraId="44F8AFEF" w14:textId="77777777" w:rsidR="006416A2" w:rsidRDefault="006416A2" w:rsidP="006416A2">
      <w:pPr>
        <w:spacing w:line="360" w:lineRule="auto"/>
        <w:rPr>
          <w:rFonts w:cs="Arial"/>
        </w:rPr>
      </w:pPr>
    </w:p>
    <w:p w14:paraId="13824742" w14:textId="4D63695B" w:rsidR="006416A2" w:rsidRDefault="006416A2" w:rsidP="006416A2">
      <w:pPr>
        <w:spacing w:line="360" w:lineRule="auto"/>
        <w:rPr>
          <w:lang w:eastAsia="en-GB"/>
        </w:rPr>
      </w:pPr>
      <w:r>
        <w:rPr>
          <w:rFonts w:cs="Arial"/>
        </w:rPr>
        <w:lastRenderedPageBreak/>
        <w:t xml:space="preserve">The interaction effect observed in the Δ RBV measurement between the P-DPN and the DPN group, is also present in the Δ TTP measurements.  The P-DPN group have positively correlated Δ TTP to LIKERT whereas the HV have a negatively correlated Δ TTP to LIKERT.  This seemingly paradoxical response may be analogous to the NBR as discussed in the previous section with regards to Δ RBV. Thalamus and PSC are described as areas that could display an NBR in response to a somatosensory stimulus </w:t>
      </w:r>
      <w:r>
        <w:rPr>
          <w:rFonts w:cs="Arial"/>
        </w:rPr>
        <w:fldChar w:fldCharType="begin"/>
      </w:r>
      <w:r>
        <w:rPr>
          <w:rFonts w:cs="Arial"/>
        </w:rPr>
        <w:instrText xml:space="preserve"> ADDIN EN.CITE &lt;EndNote&gt;&lt;Cite&gt;&lt;Author&gt;Qiao&lt;/Author&gt;&lt;Year&gt;2019&lt;/Year&gt;&lt;IDText&gt;Blood Oxygen Level–Dependent Response Changes in the Ipsilateral Primary Somatosensory Cortex and Thalamus of Patients With Moyamoya Disease During Median Nerve Electrical Stimulation&lt;/IDText&gt;&lt;DisplayText&gt;(Qiao et al., 2019)&lt;/DisplayText&gt;&lt;record&gt;&lt;titles&gt;&lt;title&gt;Blood Oxygen Level–Dependent Response Changes in the Ipsilateral Primary Somatosensory Cortex and Thalamus of Patients With Moyamoya Disease During Median Nerve Electrical Stimulation&lt;/title&gt;&lt;secondary-title&gt;Journal of Computer Assisted Tomography&lt;/secondary-title&gt;&lt;/titles&gt;&lt;pages&gt;539-546&lt;/pages&gt;&lt;number&gt;4&lt;/number&gt;&lt;contributors&gt;&lt;authors&gt;&lt;author&gt;Qiao, P.&lt;/author&gt;&lt;author&gt;Cheng, X.&lt;/author&gt;&lt;author&gt;Zuo, Z.&lt;/author&gt;&lt;author&gt;Han, C.&lt;/author&gt;&lt;author&gt;Yang, Z.&lt;/author&gt;&lt;author&gt;Li, G.&lt;/author&gt;&lt;/authors&gt;&lt;/contributors&gt;&lt;added-date format="utc"&gt;1597003851&lt;/added-date&gt;&lt;ref-type name="Journal Article"&gt;17&lt;/ref-type&gt;&lt;dates&gt;&lt;year&gt;2019&lt;/year&gt;&lt;/dates&gt;&lt;rec-number&gt;1289&lt;/rec-number&gt;&lt;last-updated-date format="utc"&gt;1597004172&lt;/last-updated-date&gt;&lt;electronic-resource-num&gt;10.1097/RCT.0000000000000891&lt;/electronic-resource-num&gt;&lt;volume&gt;43&lt;/volume&gt;&lt;/record&gt;&lt;/Cite&gt;&lt;/EndNote&gt;</w:instrText>
      </w:r>
      <w:r>
        <w:rPr>
          <w:rFonts w:cs="Arial"/>
        </w:rPr>
        <w:fldChar w:fldCharType="separate"/>
      </w:r>
      <w:r>
        <w:rPr>
          <w:rFonts w:cs="Arial"/>
          <w:noProof/>
        </w:rPr>
        <w:t>(Qiao et al., 2019)</w:t>
      </w:r>
      <w:r>
        <w:rPr>
          <w:rFonts w:cs="Arial"/>
        </w:rPr>
        <w:fldChar w:fldCharType="end"/>
      </w:r>
      <w:r>
        <w:rPr>
          <w:rFonts w:cs="Arial"/>
        </w:rPr>
        <w:t>.</w:t>
      </w:r>
      <w:r w:rsidR="00C46505">
        <w:rPr>
          <w:rFonts w:cs="Arial"/>
        </w:rPr>
        <w:t xml:space="preserve"> </w:t>
      </w:r>
      <w:r>
        <w:rPr>
          <w:rFonts w:cs="Arial"/>
        </w:rPr>
        <w:t xml:space="preserve"> As Δ TTP is a much more robust measurement than Δ RBF and Δ RBV (See Chapter 3, Discussion</w:t>
      </w:r>
      <w:r w:rsidR="008705D2">
        <w:rPr>
          <w:rFonts w:cs="Arial"/>
        </w:rPr>
        <w:t xml:space="preserve"> p</w:t>
      </w:r>
      <w:r w:rsidR="00915BFE">
        <w:rPr>
          <w:rFonts w:cs="Arial"/>
        </w:rPr>
        <w:t>p 90-94</w:t>
      </w:r>
      <w:r>
        <w:rPr>
          <w:rFonts w:cs="Arial"/>
        </w:rPr>
        <w:t xml:space="preserve">), this may explain why there are more regions with a significant interaction effect between LIKERT and group for Δ TTP, than there are for the effect between LIKERT and Δ RBV.  To further strengthen the argument for Δ TTP representing a measurement of negative perfusion in response to the painful stimulus, at the RPSC </w:t>
      </w:r>
      <w:r>
        <w:rPr>
          <w:lang w:eastAsia="en-GB"/>
        </w:rPr>
        <w:t xml:space="preserve">72% </w:t>
      </w:r>
      <w:r w:rsidR="00915BFE">
        <w:rPr>
          <w:lang w:eastAsia="en-GB"/>
        </w:rPr>
        <w:t xml:space="preserve">of </w:t>
      </w:r>
      <w:r>
        <w:rPr>
          <w:lang w:eastAsia="en-GB"/>
        </w:rPr>
        <w:t xml:space="preserve">subjects in the P-DPN group had an absolute increase in TTP as a result of the experimental pain, and in the HV group 68% of subjects had an absolute decrease in the TTP.  </w:t>
      </w:r>
    </w:p>
    <w:p w14:paraId="07F463E1" w14:textId="75FB120F" w:rsidR="006416A2" w:rsidRDefault="006416A2" w:rsidP="006416A2">
      <w:pPr>
        <w:spacing w:line="360" w:lineRule="auto"/>
        <w:rPr>
          <w:lang w:eastAsia="en-GB"/>
        </w:rPr>
      </w:pPr>
      <w:r>
        <w:rPr>
          <w:lang w:eastAsia="en-GB"/>
        </w:rPr>
        <w:t>Ongoing spontaneous neuropathic pain during the experimental pain may be contributing to the observed effect of TTP and LIKERT. However</w:t>
      </w:r>
      <w:r w:rsidR="00F35AC2">
        <w:rPr>
          <w:lang w:eastAsia="en-GB"/>
        </w:rPr>
        <w:t xml:space="preserve">, </w:t>
      </w:r>
      <w:r>
        <w:rPr>
          <w:lang w:eastAsia="en-GB"/>
        </w:rPr>
        <w:t xml:space="preserve">the P- (no clinically significant pain at the time of the second scan) still has a significantly longer TTP compared to HV despite the absence of clinically significant spontaneous pain.  This suggests that the mechanism for the lengthening of TTP in response to the severity of pain is related to pain perception but not caused by it.  This suggests that those with P-DPN have an abnormal response that is not driven by spontaneous pain, which may be an adaptation or mal-adaptation to the chronic pain state.  </w:t>
      </w:r>
    </w:p>
    <w:p w14:paraId="45A86B5B" w14:textId="3DE91CC4" w:rsidR="006416A2" w:rsidRDefault="006416A2" w:rsidP="006416A2">
      <w:pPr>
        <w:spacing w:line="360" w:lineRule="auto"/>
        <w:rPr>
          <w:lang w:eastAsia="en-GB"/>
        </w:rPr>
      </w:pPr>
      <w:r>
        <w:rPr>
          <w:lang w:eastAsia="en-GB"/>
        </w:rPr>
        <w:t>There are limitations to this study. DSC-MRI studies can only report associations as perfusion is a marker of neuronal activity, but do</w:t>
      </w:r>
      <w:r w:rsidR="00091F01">
        <w:rPr>
          <w:lang w:eastAsia="en-GB"/>
        </w:rPr>
        <w:t>es</w:t>
      </w:r>
      <w:r>
        <w:rPr>
          <w:lang w:eastAsia="en-GB"/>
        </w:rPr>
        <w:t xml:space="preserve"> not directly measure neuronal function.  However, we believe DSC-MRI to be a worthwhile technique to quantify perfusion as a biomarker of neuronal function during a brief time course which is something that is not possible with BOLD, PET or ASL. There are only small numbers in the P+ and the P- group although the main groups have good numbers for an MRI study</w:t>
      </w:r>
      <w:r w:rsidR="00091F01">
        <w:rPr>
          <w:lang w:eastAsia="en-GB"/>
        </w:rPr>
        <w:t>.</w:t>
      </w:r>
      <w:r>
        <w:rPr>
          <w:lang w:eastAsia="en-GB"/>
        </w:rPr>
        <w:t xml:space="preserve"> </w:t>
      </w:r>
      <w:r w:rsidR="00091F01">
        <w:rPr>
          <w:lang w:eastAsia="en-GB"/>
        </w:rPr>
        <w:t>T</w:t>
      </w:r>
      <w:r>
        <w:rPr>
          <w:lang w:eastAsia="en-GB"/>
        </w:rPr>
        <w:t>herefore</w:t>
      </w:r>
      <w:r w:rsidR="00091F01">
        <w:rPr>
          <w:lang w:eastAsia="en-GB"/>
        </w:rPr>
        <w:t>,</w:t>
      </w:r>
      <w:r>
        <w:rPr>
          <w:lang w:eastAsia="en-GB"/>
        </w:rPr>
        <w:t xml:space="preserve"> the interpretation of this data should be treated with some caution.  We believe it is important to make some comment regarding the presence of spontaneous neuropathic pain and </w:t>
      </w:r>
      <w:r w:rsidR="00091F01">
        <w:rPr>
          <w:lang w:eastAsia="en-GB"/>
        </w:rPr>
        <w:t>the</w:t>
      </w:r>
      <w:r>
        <w:rPr>
          <w:lang w:eastAsia="en-GB"/>
        </w:rPr>
        <w:t xml:space="preserve"> effect this pain may have on perfusion measurements, to answer the question of whether any observed effects are due to the </w:t>
      </w:r>
      <w:r w:rsidR="00091F01">
        <w:rPr>
          <w:lang w:eastAsia="en-GB"/>
        </w:rPr>
        <w:t>confound</w:t>
      </w:r>
      <w:r>
        <w:rPr>
          <w:lang w:eastAsia="en-GB"/>
        </w:rPr>
        <w:t xml:space="preserve"> of </w:t>
      </w:r>
      <w:r w:rsidR="00091F01">
        <w:rPr>
          <w:lang w:eastAsia="en-GB"/>
        </w:rPr>
        <w:t>spontaneous</w:t>
      </w:r>
      <w:r>
        <w:rPr>
          <w:lang w:eastAsia="en-GB"/>
        </w:rPr>
        <w:t xml:space="preserve"> pain</w:t>
      </w:r>
      <w:r w:rsidR="00091F01">
        <w:rPr>
          <w:lang w:eastAsia="en-GB"/>
        </w:rPr>
        <w:t xml:space="preserve"> in some participants</w:t>
      </w:r>
      <w:r>
        <w:rPr>
          <w:lang w:eastAsia="en-GB"/>
        </w:rPr>
        <w:t>.</w:t>
      </w:r>
    </w:p>
    <w:p w14:paraId="692B59DF" w14:textId="77777777" w:rsidR="006416A2" w:rsidRDefault="006416A2" w:rsidP="006416A2">
      <w:pPr>
        <w:spacing w:line="360" w:lineRule="auto"/>
        <w:rPr>
          <w:lang w:eastAsia="en-GB"/>
        </w:rPr>
      </w:pPr>
      <w:r>
        <w:rPr>
          <w:lang w:eastAsia="en-GB"/>
        </w:rPr>
        <w:lastRenderedPageBreak/>
        <w:t xml:space="preserve">Finally, the finding of the paradoxical relationship between the intensity of perceived pain and the decrease in perfusion response between Visit 2 and 3 would ideally have been tested at different temperatures for each subject.  However, repeated doses of gadolinium based contrast within a short interval would not have time to completely wash out, which would make scan interpretation difficult </w:t>
      </w:r>
      <w:r>
        <w:rPr>
          <w:lang w:eastAsia="en-GB"/>
        </w:rPr>
        <w:fldChar w:fldCharType="begin"/>
      </w:r>
      <w:r>
        <w:rPr>
          <w:lang w:eastAsia="en-GB"/>
        </w:rPr>
        <w:instrText xml:space="preserve"> ADDIN EN.CITE &lt;EndNote&gt;&lt;Cite&gt;&lt;Author&gt;Griffiths&lt;/Author&gt;&lt;Year&gt;2006&lt;/Year&gt;&lt;IDText&gt;Sequential dynamic gadolinium magnetic resonance perfusion-weighted imaging: Effects on transit time and cerebral blood volume measurements&lt;/IDText&gt;&lt;DisplayText&gt;(Griffiths et al., 2006)&lt;/DisplayText&gt;&lt;record&gt;&lt;dates&gt;&lt;pub-dates&gt;&lt;date&gt;Dec&lt;/date&gt;&lt;/pub-dates&gt;&lt;year&gt;2006&lt;/year&gt;&lt;/dates&gt;&lt;urls&gt;&lt;related-urls&gt;&lt;url&gt;&amp;lt;Go to ISI&amp;gt;://WOS:000242452300014&lt;/url&gt;&lt;/related-urls&gt;&lt;/urls&gt;&lt;isbn&gt;0284-1851&lt;/isbn&gt;&lt;titles&gt;&lt;title&gt;Sequential dynamic gadolinium magnetic resonance perfusion-weighted imaging: Effects on transit time and cerebral blood volume measurements&lt;/title&gt;&lt;secondary-title&gt;Acta Radiologica&lt;/secondary-title&gt;&lt;/titles&gt;&lt;pages&gt;1079-1084&lt;/pages&gt;&lt;number&gt;10&lt;/number&gt;&lt;contributors&gt;&lt;authors&gt;&lt;author&gt;Griffiths, P. D.&lt;/author&gt;&lt;author&gt;Pandya, H.&lt;/author&gt;&lt;author&gt;Wilkinson, I. D.&lt;/author&gt;&lt;author&gt;Hoggard, N.&lt;/author&gt;&lt;/authors&gt;&lt;/contributors&gt;&lt;added-date format="utc"&gt;1356642221&lt;/added-date&gt;&lt;ref-type name="Journal Article"&gt;17&lt;/ref-type&gt;&lt;rec-number&gt;500&lt;/rec-number&gt;&lt;last-updated-date format="utc"&gt;1479837447&lt;/last-updated-date&gt;&lt;accession-num&gt;WOS:000242452300014&lt;/accession-num&gt;&lt;electronic-resource-num&gt;10.1080/02841850600990292&lt;/electronic-resource-num&gt;&lt;volume&gt;47&lt;/volume&gt;&lt;/record&gt;&lt;/Cite&gt;&lt;/EndNote&gt;</w:instrText>
      </w:r>
      <w:r>
        <w:rPr>
          <w:lang w:eastAsia="en-GB"/>
        </w:rPr>
        <w:fldChar w:fldCharType="separate"/>
      </w:r>
      <w:r>
        <w:rPr>
          <w:noProof/>
          <w:lang w:eastAsia="en-GB"/>
        </w:rPr>
        <w:t>(Griffiths et al., 2006)</w:t>
      </w:r>
      <w:r>
        <w:rPr>
          <w:lang w:eastAsia="en-GB"/>
        </w:rPr>
        <w:fldChar w:fldCharType="end"/>
      </w:r>
      <w:r>
        <w:rPr>
          <w:lang w:eastAsia="en-GB"/>
        </w:rPr>
        <w:t xml:space="preserve">.  Repeated doses of gadolinium chelate contrast increase the risk of toxicity to the subjects due to accumulation in skin (nephrogenic systemic fibrosis) and potentially other organs </w:t>
      </w:r>
      <w:r>
        <w:rPr>
          <w:lang w:eastAsia="en-GB"/>
        </w:rPr>
        <w:fldChar w:fldCharType="begin"/>
      </w:r>
      <w:r>
        <w:rPr>
          <w:lang w:eastAsia="en-GB"/>
        </w:rPr>
        <w:instrText xml:space="preserve"> ADDIN EN.CITE &lt;EndNote&gt;&lt;Cite&gt;&lt;Author&gt;Rogosnitzky&lt;/Author&gt;&lt;Year&gt;2016&lt;/Year&gt;&lt;IDText&gt;Gadolinium-based contrast agent toxicity: a review of known and proposed mechanisms&lt;/IDText&gt;&lt;DisplayText&gt;(Rogosnitzky and Branch, 2016)&lt;/DisplayText&gt;&lt;record&gt;&lt;dates&gt;&lt;pub-dates&gt;&lt;date&gt;06&lt;/date&gt;&lt;/pub-dates&gt;&lt;year&gt;2016&lt;/year&gt;&lt;/dates&gt;&lt;keywords&gt;&lt;keyword&gt;Contrast Media&lt;/keyword&gt;&lt;keyword&gt;Gadolinium&lt;/keyword&gt;&lt;keyword&gt;Humans&lt;/keyword&gt;&lt;keyword&gt;Gadolinium&lt;/keyword&gt;&lt;keyword&gt;Gadolinium chelation&lt;/keyword&gt;&lt;keyword&gt;Gadolinium toxicity&lt;/keyword&gt;&lt;keyword&gt;Gadolinium toxicity mechanisms&lt;/keyword&gt;&lt;keyword&gt;Gadolinium-based contrast agent (GBCA)&lt;/keyword&gt;&lt;keyword&gt;Magnetic resonance imaging&lt;/keyword&gt;&lt;/keywords&gt;&lt;urls&gt;&lt;related-urls&gt;&lt;url&gt;https://www.ncbi.nlm.nih.gov/pubmed/27053146&lt;/url&gt;&lt;/related-urls&gt;&lt;/urls&gt;&lt;isbn&gt;1572-8773&lt;/isbn&gt;&lt;custom2&gt;PMC4879157&lt;/custom2&gt;&lt;titles&gt;&lt;title&gt;Gadolinium-based contrast agent toxicity: a review of known and proposed mechanisms&lt;/title&gt;&lt;secondary-title&gt;Biometals&lt;/secondary-title&gt;&lt;/titles&gt;&lt;pages&gt;365-76&lt;/pages&gt;&lt;number&gt;3&lt;/number&gt;&lt;contributors&gt;&lt;authors&gt;&lt;author&gt;Rogosnitzky, M.&lt;/author&gt;&lt;author&gt;Branch, S.&lt;/author&gt;&lt;/authors&gt;&lt;/contributors&gt;&lt;edition&gt;2016/04/06&lt;/edition&gt;&lt;language&gt;eng&lt;/language&gt;&lt;added-date format="utc"&gt;1597567955&lt;/added-date&gt;&lt;ref-type name="Journal Article"&gt;17&lt;/ref-type&gt;&lt;rec-number&gt;1296&lt;/rec-number&gt;&lt;last-updated-date format="utc"&gt;1597567955&lt;/last-updated-date&gt;&lt;accession-num&gt;27053146&lt;/accession-num&gt;&lt;electronic-resource-num&gt;10.1007/s10534-016-9931-7&lt;/electronic-resource-num&gt;&lt;volume&gt;29&lt;/volume&gt;&lt;/record&gt;&lt;/Cite&gt;&lt;/EndNote&gt;</w:instrText>
      </w:r>
      <w:r>
        <w:rPr>
          <w:lang w:eastAsia="en-GB"/>
        </w:rPr>
        <w:fldChar w:fldCharType="separate"/>
      </w:r>
      <w:r>
        <w:rPr>
          <w:noProof/>
          <w:lang w:eastAsia="en-GB"/>
        </w:rPr>
        <w:t>(Rogosnitzky and Branch, 2016)</w:t>
      </w:r>
      <w:r>
        <w:rPr>
          <w:lang w:eastAsia="en-GB"/>
        </w:rPr>
        <w:fldChar w:fldCharType="end"/>
      </w:r>
      <w:r>
        <w:rPr>
          <w:lang w:eastAsia="en-GB"/>
        </w:rPr>
        <w:t>.</w:t>
      </w:r>
    </w:p>
    <w:p w14:paraId="016EB115" w14:textId="2AE638D4" w:rsidR="00FF1D46" w:rsidRPr="00FF1D46" w:rsidRDefault="00FF1D46" w:rsidP="00FF1D46">
      <w:pPr>
        <w:spacing w:line="360" w:lineRule="auto"/>
        <w:rPr>
          <w:lang w:eastAsia="en-GB"/>
        </w:rPr>
      </w:pPr>
      <w:r w:rsidRPr="00FF1D46">
        <w:rPr>
          <w:lang w:eastAsia="en-GB"/>
        </w:rPr>
        <w:t>In summary, Δ TTP shows a paradoxical response to the painful experimental stimulus, similar to that seen in RBV but in more regions of interest.  These regions have previously been reported to be associated with contralateral and ipsilateral NBR.  It is possible that deactivations occur in pain sensing areas of the brain in subjects with P-DPN</w:t>
      </w:r>
      <w:r w:rsidR="00091F01">
        <w:rPr>
          <w:lang w:eastAsia="en-GB"/>
        </w:rPr>
        <w:t>. Deactivations</w:t>
      </w:r>
      <w:r w:rsidRPr="00FF1D46">
        <w:rPr>
          <w:lang w:eastAsia="en-GB"/>
        </w:rPr>
        <w:t xml:space="preserve"> may represent pain modulatory attempts as a result of chronic neuropathic pain.  These appear to be independent of the perception of spontaneous pain. </w:t>
      </w:r>
    </w:p>
    <w:p w14:paraId="58E55769" w14:textId="2FC64F5C" w:rsidR="006416A2" w:rsidRDefault="006416A2" w:rsidP="00E745CE">
      <w:pPr>
        <w:pStyle w:val="Heading2"/>
      </w:pPr>
      <w:bookmarkStart w:id="511" w:name="_Toc48469284"/>
      <w:bookmarkStart w:id="512" w:name="_Toc64723969"/>
      <w:r w:rsidRPr="00290088">
        <w:t>Conclusion:</w:t>
      </w:r>
      <w:bookmarkEnd w:id="511"/>
      <w:bookmarkEnd w:id="512"/>
      <w:r w:rsidRPr="00BB75E6">
        <w:t xml:space="preserve"> </w:t>
      </w:r>
    </w:p>
    <w:p w14:paraId="7157419D" w14:textId="4AF6541F" w:rsidR="006416A2" w:rsidRDefault="006416A2" w:rsidP="006416A2">
      <w:pPr>
        <w:spacing w:line="360" w:lineRule="auto"/>
        <w:rPr>
          <w:rFonts w:cs="Arial"/>
        </w:rPr>
      </w:pPr>
      <w:r>
        <w:rPr>
          <w:rFonts w:cs="Arial"/>
        </w:rPr>
        <w:t xml:space="preserve">This study is the first study to show a paradoxical perfusion response in the capillaries </w:t>
      </w:r>
      <w:r w:rsidR="005628BA">
        <w:rPr>
          <w:rFonts w:cs="Arial"/>
        </w:rPr>
        <w:t>measured by regional blood volume</w:t>
      </w:r>
      <w:r>
        <w:rPr>
          <w:rFonts w:cs="Arial"/>
        </w:rPr>
        <w:t xml:space="preserve"> and time</w:t>
      </w:r>
      <w:r w:rsidR="00D87BE1">
        <w:rPr>
          <w:rFonts w:cs="Arial"/>
        </w:rPr>
        <w:t>-</w:t>
      </w:r>
      <w:r>
        <w:rPr>
          <w:rFonts w:cs="Arial"/>
        </w:rPr>
        <w:t>to</w:t>
      </w:r>
      <w:r w:rsidR="00D87BE1">
        <w:rPr>
          <w:rFonts w:cs="Arial"/>
        </w:rPr>
        <w:t>-</w:t>
      </w:r>
      <w:r>
        <w:rPr>
          <w:rFonts w:cs="Arial"/>
        </w:rPr>
        <w:t xml:space="preserve">peak response to pain in the P-DPN group. We have postulated that the decrease in </w:t>
      </w:r>
      <w:r w:rsidR="005628BA">
        <w:rPr>
          <w:rFonts w:cs="Arial"/>
        </w:rPr>
        <w:t>regional blood volume in response to experimental pain</w:t>
      </w:r>
      <w:r>
        <w:rPr>
          <w:rFonts w:cs="Arial"/>
        </w:rPr>
        <w:t xml:space="preserve"> and </w:t>
      </w:r>
      <w:r w:rsidR="005628BA">
        <w:rPr>
          <w:rFonts w:cs="Arial"/>
        </w:rPr>
        <w:t xml:space="preserve">a concomitant </w:t>
      </w:r>
      <w:r>
        <w:rPr>
          <w:rFonts w:cs="Arial"/>
        </w:rPr>
        <w:t xml:space="preserve">increase in </w:t>
      </w:r>
      <w:r w:rsidR="005628BA">
        <w:rPr>
          <w:rFonts w:cs="Arial"/>
        </w:rPr>
        <w:t>time-to-peak concentration of contrast</w:t>
      </w:r>
      <w:r>
        <w:rPr>
          <w:rFonts w:cs="Arial"/>
        </w:rPr>
        <w:t xml:space="preserve"> could be as a result of neuronal deactivations analogous to the negative bold response seen in fMRI.  This effect could explain the inverse relationship between pain intensity and </w:t>
      </w:r>
      <w:r w:rsidR="005628BA">
        <w:rPr>
          <w:rFonts w:cs="Arial"/>
        </w:rPr>
        <w:t>change in regional blood volume</w:t>
      </w:r>
      <w:r>
        <w:rPr>
          <w:rFonts w:cs="Arial"/>
        </w:rPr>
        <w:t xml:space="preserve">, and the positive association between pain intensity and </w:t>
      </w:r>
      <w:r w:rsidR="005628BA">
        <w:rPr>
          <w:rFonts w:cs="Arial"/>
        </w:rPr>
        <w:t xml:space="preserve">change in time-to-peak concentration of contrast </w:t>
      </w:r>
      <w:r>
        <w:rPr>
          <w:rFonts w:cs="Arial"/>
        </w:rPr>
        <w:t xml:space="preserve">for the </w:t>
      </w:r>
      <w:r w:rsidR="005628BA">
        <w:rPr>
          <w:rFonts w:cs="Arial"/>
        </w:rPr>
        <w:t xml:space="preserve">painful diabetic peripheral neuropathy </w:t>
      </w:r>
      <w:r>
        <w:rPr>
          <w:rFonts w:cs="Arial"/>
        </w:rPr>
        <w:t xml:space="preserve">group. Neurovascular uncoupling due to capillary pericyte dysfunction or subtle regional hypoperfusion during an intense noxious stimulus could also be an explanatory factor.  </w:t>
      </w:r>
      <w:r w:rsidR="00091F01">
        <w:rPr>
          <w:rFonts w:cs="Arial"/>
        </w:rPr>
        <w:t>We have</w:t>
      </w:r>
      <w:r>
        <w:rPr>
          <w:rFonts w:cs="Arial"/>
        </w:rPr>
        <w:t xml:space="preserve"> </w:t>
      </w:r>
      <w:r w:rsidR="00091F01">
        <w:rPr>
          <w:rFonts w:cs="Arial"/>
        </w:rPr>
        <w:t>reported</w:t>
      </w:r>
      <w:r>
        <w:rPr>
          <w:rFonts w:cs="Arial"/>
        </w:rPr>
        <w:t xml:space="preserve"> the effect of spontaneous neuropathic pain on the perfusion response and </w:t>
      </w:r>
      <w:r w:rsidR="00091F01">
        <w:rPr>
          <w:rFonts w:cs="Arial"/>
        </w:rPr>
        <w:t>have</w:t>
      </w:r>
      <w:r>
        <w:rPr>
          <w:rFonts w:cs="Arial"/>
        </w:rPr>
        <w:t xml:space="preserve"> found that the paradoxical response exists independently of the presence of significant </w:t>
      </w:r>
      <w:r w:rsidR="00F35AC2">
        <w:rPr>
          <w:rFonts w:cs="Arial"/>
        </w:rPr>
        <w:t xml:space="preserve">spontaneous </w:t>
      </w:r>
      <w:r>
        <w:rPr>
          <w:rFonts w:cs="Arial"/>
        </w:rPr>
        <w:t xml:space="preserve">pain.  </w:t>
      </w:r>
    </w:p>
    <w:p w14:paraId="6BAA9B77" w14:textId="4C9513D5" w:rsidR="00E635C0" w:rsidRDefault="00E635C0">
      <w:r>
        <w:br w:type="page"/>
      </w:r>
    </w:p>
    <w:p w14:paraId="4789541A" w14:textId="1F718C1E" w:rsidR="00C603B7" w:rsidRPr="00CA5198" w:rsidRDefault="00C603B7" w:rsidP="00CA5198">
      <w:pPr>
        <w:pStyle w:val="Heading1"/>
      </w:pPr>
      <w:bookmarkStart w:id="513" w:name="_Toc64723970"/>
      <w:r w:rsidRPr="00CA5198">
        <w:lastRenderedPageBreak/>
        <w:t xml:space="preserve">Chapter 6: Thalamic </w:t>
      </w:r>
      <w:r w:rsidR="0054354E">
        <w:t>Proton Magnetic Resonance Spectroscopy</w:t>
      </w:r>
      <w:r w:rsidRPr="00CA5198">
        <w:t xml:space="preserve"> Metabolite Parameters are Related to Mood Disorders</w:t>
      </w:r>
      <w:bookmarkEnd w:id="513"/>
    </w:p>
    <w:p w14:paraId="7A6C4DB2" w14:textId="0899BF51" w:rsidR="00C603B7" w:rsidRPr="00CA5198" w:rsidRDefault="00C603B7" w:rsidP="00CA5198">
      <w:pPr>
        <w:pStyle w:val="Heading2"/>
      </w:pPr>
      <w:bookmarkStart w:id="514" w:name="_Toc50070043"/>
      <w:bookmarkStart w:id="515" w:name="_Toc64723971"/>
      <w:r w:rsidRPr="00CA5198">
        <w:t>Abstract:</w:t>
      </w:r>
      <w:bookmarkEnd w:id="514"/>
      <w:bookmarkEnd w:id="515"/>
      <w:r w:rsidRPr="00CA5198">
        <w:t xml:space="preserve"> </w:t>
      </w:r>
    </w:p>
    <w:p w14:paraId="27EDA738" w14:textId="5206F962" w:rsidR="00C603B7" w:rsidRPr="00A401A6" w:rsidRDefault="00CA5198" w:rsidP="00A401A6">
      <w:pPr>
        <w:spacing w:line="360" w:lineRule="auto"/>
      </w:pPr>
      <w:r w:rsidRPr="00A401A6">
        <w:rPr>
          <w:b/>
          <w:bCs/>
          <w:color w:val="4472C4" w:themeColor="accent1"/>
        </w:rPr>
        <w:t>Background</w:t>
      </w:r>
      <w:r w:rsidR="00C603B7" w:rsidRPr="00A401A6">
        <w:t xml:space="preserve">: Our group has previously demonstrated increased relative blood volume and preserved </w:t>
      </w:r>
      <w:r w:rsidR="0054354E">
        <w:t>proton magnetic resonance spectroscopy</w:t>
      </w:r>
      <w:r w:rsidR="00A33050">
        <w:t xml:space="preserve"> (</w:t>
      </w:r>
      <w:r w:rsidR="00A33050">
        <w:rPr>
          <w:vertAlign w:val="superscript"/>
        </w:rPr>
        <w:t>1</w:t>
      </w:r>
      <w:r w:rsidR="00A33050">
        <w:t>H-MRS)</w:t>
      </w:r>
      <w:r w:rsidR="0054354E">
        <w:t xml:space="preserve"> </w:t>
      </w:r>
      <w:r w:rsidR="00C603B7" w:rsidRPr="00A401A6">
        <w:t xml:space="preserve">neuronal metabolite ratios in the thalamus of subjects with </w:t>
      </w:r>
      <w:r w:rsidR="007B1B49">
        <w:t>painful diabetic peripheral neuropathy</w:t>
      </w:r>
      <w:r w:rsidR="00C603B7" w:rsidRPr="00A401A6">
        <w:t xml:space="preserve">.  We hypothesised that perfusion measures and metabolite ratios may be related.  If this was the case, evidence for neuronal dysfunction as a mechanism for abnormal perfusion may be observed.  As </w:t>
      </w:r>
      <w:r w:rsidR="0054354E">
        <w:t>central nervous system</w:t>
      </w:r>
      <w:r w:rsidR="00C603B7" w:rsidRPr="00A401A6">
        <w:t xml:space="preserve"> metabolite ratios can also be affected by mood disorders, </w:t>
      </w:r>
      <w:r w:rsidR="0054354E">
        <w:t xml:space="preserve">which are </w:t>
      </w:r>
      <w:r w:rsidR="00C603B7" w:rsidRPr="00A401A6">
        <w:t xml:space="preserve">common in </w:t>
      </w:r>
      <w:r w:rsidR="0054354E">
        <w:t>painful diabetic peripheral neuropathy</w:t>
      </w:r>
      <w:r w:rsidR="00C603B7" w:rsidRPr="00A401A6">
        <w:t xml:space="preserve">, correlations were performed to understand whether mood disorders are a significant confound. </w:t>
      </w:r>
    </w:p>
    <w:p w14:paraId="6334C511" w14:textId="22D56C89" w:rsidR="00C603B7" w:rsidRPr="00427FEA" w:rsidRDefault="00427FEA" w:rsidP="00427FEA">
      <w:pPr>
        <w:spacing w:line="360" w:lineRule="auto"/>
      </w:pPr>
      <w:r w:rsidRPr="00427FEA">
        <w:rPr>
          <w:b/>
          <w:bCs/>
          <w:color w:val="4472C4" w:themeColor="accent1"/>
        </w:rPr>
        <w:t>M</w:t>
      </w:r>
      <w:r w:rsidR="00C603B7" w:rsidRPr="00427FEA">
        <w:rPr>
          <w:b/>
          <w:bCs/>
          <w:color w:val="4472C4" w:themeColor="accent1"/>
        </w:rPr>
        <w:t>ethods</w:t>
      </w:r>
      <w:r w:rsidR="00C603B7" w:rsidRPr="00427FEA">
        <w:t xml:space="preserve">: 52 subjects </w:t>
      </w:r>
      <w:r w:rsidR="0030513D">
        <w:t xml:space="preserve">with type 1 diabetes mellitus: 18 with painful diabetic peripheral neuropathy (P-DPN), 23 with painless diabetic peripheral neuropathy (DPN), 13 with type 1 diabetes mellitus and no neuropathy (DM-NN) and </w:t>
      </w:r>
      <w:r w:rsidR="00C603B7" w:rsidRPr="00427FEA">
        <w:t xml:space="preserve">18 healthy non-diabetic volunteers (HV) took part in the study. </w:t>
      </w:r>
      <w:r w:rsidR="00A33050">
        <w:rPr>
          <w:vertAlign w:val="superscript"/>
        </w:rPr>
        <w:t>1</w:t>
      </w:r>
      <w:r w:rsidR="00C603B7" w:rsidRPr="00427FEA">
        <w:t>H</w:t>
      </w:r>
      <w:r w:rsidR="00A33050">
        <w:t>-</w:t>
      </w:r>
      <w:r w:rsidR="00C603B7" w:rsidRPr="00427FEA">
        <w:t>MRS examination was performed at 3</w:t>
      </w:r>
      <w:r w:rsidR="00A33050">
        <w:t xml:space="preserve"> </w:t>
      </w:r>
      <w:r w:rsidR="00C603B7" w:rsidRPr="00427FEA">
        <w:t>T</w:t>
      </w:r>
      <w:r w:rsidR="00A33050">
        <w:t>esla</w:t>
      </w:r>
      <w:r w:rsidR="00C603B7" w:rsidRPr="00427FEA">
        <w:t xml:space="preserve"> (</w:t>
      </w:r>
      <w:proofErr w:type="spellStart"/>
      <w:r w:rsidR="00C603B7" w:rsidRPr="00427FEA">
        <w:t>Ingenia</w:t>
      </w:r>
      <w:proofErr w:type="spellEnd"/>
      <w:r w:rsidR="00C603B7" w:rsidRPr="00427FEA">
        <w:t xml:space="preserve">, </w:t>
      </w:r>
      <w:r w:rsidR="009B3B4F">
        <w:t>Philips</w:t>
      </w:r>
      <w:r w:rsidR="00C603B7" w:rsidRPr="00427FEA">
        <w:t xml:space="preserve">, Netherlands). Single voxel spectra were obtained from a 2.25cm3 (15x10x15mm) cubic volume of interest within the left thalamus, </w:t>
      </w:r>
      <w:r w:rsidR="00A33050">
        <w:t>Time to echo (</w:t>
      </w:r>
      <w:r w:rsidR="00C603B7" w:rsidRPr="00427FEA">
        <w:t>TE</w:t>
      </w:r>
      <w:r w:rsidR="00A33050">
        <w:t>)</w:t>
      </w:r>
      <w:r w:rsidR="00C603B7" w:rsidRPr="00427FEA">
        <w:t xml:space="preserve">=135ms, </w:t>
      </w:r>
      <w:r w:rsidR="00A33050">
        <w:t>Time to repetition (</w:t>
      </w:r>
      <w:r w:rsidR="00C603B7" w:rsidRPr="00427FEA">
        <w:t>TR</w:t>
      </w:r>
      <w:r w:rsidR="00A33050">
        <w:t>)</w:t>
      </w:r>
      <w:r w:rsidR="00C603B7" w:rsidRPr="00427FEA">
        <w:t xml:space="preserve">=1600ms, </w:t>
      </w:r>
      <w:r w:rsidR="00A33050">
        <w:t xml:space="preserve">number of signals averaged </w:t>
      </w:r>
      <w:r w:rsidR="00C603B7" w:rsidRPr="00427FEA">
        <w:t xml:space="preserve">NSA=256 using point resolved (PRESS) technique. Fitted metabolite area ratios were calculated for choline (Cho) at 3.2ppm, </w:t>
      </w:r>
      <w:r w:rsidR="00A33050">
        <w:t>c</w:t>
      </w:r>
      <w:r w:rsidR="00C603B7" w:rsidRPr="00427FEA">
        <w:t>reatine (Cr) at 3.0ppm, and N</w:t>
      </w:r>
      <w:r w:rsidR="00D4372F" w:rsidRPr="00427FEA">
        <w:t>-</w:t>
      </w:r>
      <w:r w:rsidR="00A33050">
        <w:t>a</w:t>
      </w:r>
      <w:r w:rsidR="00C603B7" w:rsidRPr="00427FEA">
        <w:t xml:space="preserve">cetyl </w:t>
      </w:r>
      <w:r w:rsidR="00A33050">
        <w:t>a</w:t>
      </w:r>
      <w:r w:rsidR="00C603B7" w:rsidRPr="00427FEA">
        <w:t xml:space="preserve">spartate (NAA) at 2.02ppm. </w:t>
      </w:r>
      <w:r w:rsidR="00A33050">
        <w:t>Perfusion images were obtained using dynamic susceptibility contrast magnetic resonance imaging</w:t>
      </w:r>
      <w:r w:rsidR="00C603B7" w:rsidRPr="00427FEA">
        <w:t xml:space="preserve"> at 3</w:t>
      </w:r>
      <w:r w:rsidR="00A33050">
        <w:t xml:space="preserve"> </w:t>
      </w:r>
      <w:r w:rsidR="00C603B7" w:rsidRPr="00427FEA">
        <w:t>T</w:t>
      </w:r>
      <w:r w:rsidR="00A33050">
        <w:t>esla</w:t>
      </w:r>
      <w:r w:rsidR="00C603B7" w:rsidRPr="00427FEA">
        <w:t xml:space="preserve"> using a T2*-weighted technique (TR/TE=1250/35ms; 72 dynamics) to assess the passage of a bolus of intravenous gadolinium-chelate through the left thalamic vascular bed. ANOVA was performed to compare the group means for </w:t>
      </w:r>
      <w:r w:rsidR="00A33050">
        <w:rPr>
          <w:vertAlign w:val="superscript"/>
        </w:rPr>
        <w:t>1</w:t>
      </w:r>
      <w:r w:rsidR="00A33050" w:rsidRPr="00427FEA">
        <w:t>H</w:t>
      </w:r>
      <w:r w:rsidR="00A33050">
        <w:t>-</w:t>
      </w:r>
      <w:r w:rsidR="00A33050" w:rsidRPr="00427FEA">
        <w:t>MRS</w:t>
      </w:r>
      <w:r w:rsidR="00C603B7" w:rsidRPr="00427FEA">
        <w:t xml:space="preserve"> metabolite ratios. Pearson’s r correlations were performed between perfusion parameters: regional blood volume (RBV), regional blood flow (RBF), mean transit time (MTT), time to peak (TTP) concentration; and 1HMRS metabolite ratios. </w:t>
      </w:r>
      <w:r w:rsidR="00A33050">
        <w:rPr>
          <w:vertAlign w:val="superscript"/>
        </w:rPr>
        <w:t>1</w:t>
      </w:r>
      <w:r w:rsidR="00A33050" w:rsidRPr="00427FEA">
        <w:t>H</w:t>
      </w:r>
      <w:r w:rsidR="00A33050">
        <w:t>-</w:t>
      </w:r>
      <w:r w:rsidR="00A33050" w:rsidRPr="00427FEA">
        <w:t>MRS</w:t>
      </w:r>
      <w:r w:rsidR="00C603B7" w:rsidRPr="00427FEA">
        <w:t xml:space="preserve"> metabolite ratios were correlated using Pearson’s R(R) with baseline characteristics and scores on validated questionnaires measuring symptoms of mood disorders.  </w:t>
      </w:r>
    </w:p>
    <w:p w14:paraId="7A790014" w14:textId="60B44DAC" w:rsidR="00C603B7" w:rsidRPr="00427FEA" w:rsidRDefault="00C603B7" w:rsidP="00427FEA">
      <w:pPr>
        <w:spacing w:line="360" w:lineRule="auto"/>
      </w:pPr>
      <w:r w:rsidRPr="00427FEA">
        <w:rPr>
          <w:rFonts w:eastAsia="Calibri"/>
          <w:b/>
          <w:bCs/>
          <w:color w:val="4472C4" w:themeColor="accent1"/>
          <w:u w:color="1F3763"/>
          <w:bdr w:val="nil"/>
          <w:lang w:val="en-US" w:eastAsia="en-GB"/>
        </w:rPr>
        <w:lastRenderedPageBreak/>
        <w:t>Results</w:t>
      </w:r>
      <w:r w:rsidRPr="00C603B7">
        <w:rPr>
          <w:rFonts w:eastAsia="Calibri"/>
          <w:u w:color="000000"/>
          <w:bdr w:val="nil"/>
          <w:lang w:val="en-US" w:eastAsia="en-GB"/>
        </w:rPr>
        <w:t xml:space="preserve">: </w:t>
      </w:r>
      <w:r w:rsidRPr="00427FEA">
        <w:t>There was significant negative correlation between NAA</w:t>
      </w:r>
      <w:r w:rsidR="00D4372F" w:rsidRPr="00427FEA">
        <w:t>/</w:t>
      </w:r>
      <w:r w:rsidRPr="00427FEA">
        <w:t xml:space="preserve">Cr and measures of depression: Hospital anxiety and depression scale (HADS): R= -0.33 (p=.01), Becks depression inventory (BDI) R= -0.25 (p=.048); and anxiety: State-Trait Anxiety inventory- State (STAI-S) R= -.37 (p=.002), STAI- Trait (T) R= -.32 (p=.01) and Behavioural Inhibition (BIS) R= -0.25 (p=.04). </w:t>
      </w:r>
    </w:p>
    <w:p w14:paraId="0F04F67B" w14:textId="77777777" w:rsidR="00C603B7" w:rsidRPr="00427FEA" w:rsidRDefault="00C603B7" w:rsidP="00427FEA">
      <w:pPr>
        <w:spacing w:line="360" w:lineRule="auto"/>
      </w:pPr>
      <w:r w:rsidRPr="00427FEA">
        <w:t xml:space="preserve">There were no significant correlations between perfusion measures and metabolite ratios.  There was no difference in metabolite ratios between the groups. </w:t>
      </w:r>
    </w:p>
    <w:p w14:paraId="4C707FDC" w14:textId="78CCDC70" w:rsidR="00C603B7" w:rsidRPr="00427FEA" w:rsidRDefault="00C603B7" w:rsidP="00A401A6">
      <w:pPr>
        <w:spacing w:line="360" w:lineRule="auto"/>
      </w:pPr>
      <w:r w:rsidRPr="00427FEA">
        <w:rPr>
          <w:b/>
          <w:bCs/>
          <w:color w:val="4472C4" w:themeColor="accent1"/>
        </w:rPr>
        <w:t>Conclusion</w:t>
      </w:r>
      <w:r w:rsidRPr="00427FEA">
        <w:t xml:space="preserve">: This is the first study to find thalamic </w:t>
      </w:r>
      <w:r w:rsidR="00A33050">
        <w:rPr>
          <w:vertAlign w:val="superscript"/>
        </w:rPr>
        <w:t>1</w:t>
      </w:r>
      <w:r w:rsidR="00A33050" w:rsidRPr="00427FEA">
        <w:t>H</w:t>
      </w:r>
      <w:r w:rsidR="00A33050">
        <w:t>-</w:t>
      </w:r>
      <w:r w:rsidR="00A33050" w:rsidRPr="00427FEA">
        <w:t>MRS</w:t>
      </w:r>
      <w:r w:rsidRPr="00427FEA">
        <w:t xml:space="preserve"> metabolite ratios are correlated with symptoms of mood disorders and measures of neuropathy in subjects with type 1 diabetes.  It is likely that the high prevalence of mood disorders in </w:t>
      </w:r>
      <w:r w:rsidR="00A33050">
        <w:t>painful diabetic peripheral neuropathy</w:t>
      </w:r>
      <w:r w:rsidRPr="00427FEA">
        <w:t xml:space="preserve"> and </w:t>
      </w:r>
      <w:r w:rsidR="00A33050">
        <w:t>painless diabetic peripheral neuropathy,</w:t>
      </w:r>
      <w:r w:rsidRPr="00427FEA">
        <w:t xml:space="preserve"> have significantly confounded previous</w:t>
      </w:r>
      <w:r w:rsidR="00D4372F" w:rsidRPr="00427FEA">
        <w:t xml:space="preserve"> </w:t>
      </w:r>
      <w:r w:rsidR="00A401A6">
        <w:rPr>
          <w:vertAlign w:val="superscript"/>
        </w:rPr>
        <w:t>1</w:t>
      </w:r>
      <w:r w:rsidRPr="00427FEA">
        <w:t xml:space="preserve">HMRS studies and may explain conflicting reports in the literature. The link between neuropathy and mood disorders needs further exploration to understand whether depression and neuropathy may arise from a common neurobiological pathway. </w:t>
      </w:r>
    </w:p>
    <w:p w14:paraId="12E5F716" w14:textId="2E3B890D" w:rsidR="00C603B7" w:rsidRPr="00771C2B" w:rsidRDefault="00C603B7" w:rsidP="00771C2B">
      <w:pPr>
        <w:pStyle w:val="Heading2"/>
      </w:pPr>
      <w:bookmarkStart w:id="516" w:name="_Toc50070044"/>
      <w:bookmarkStart w:id="517" w:name="_Toc64723972"/>
      <w:r w:rsidRPr="00771C2B">
        <w:t>Introduction:</w:t>
      </w:r>
      <w:bookmarkEnd w:id="516"/>
      <w:bookmarkEnd w:id="517"/>
    </w:p>
    <w:p w14:paraId="1B44CA81" w14:textId="4246D97D" w:rsidR="00C603B7" w:rsidRPr="00427FEA" w:rsidRDefault="00A33050" w:rsidP="00427FEA">
      <w:pPr>
        <w:spacing w:line="360" w:lineRule="auto"/>
      </w:pPr>
      <w:r>
        <w:t>Painful diabetic peripheral neuropathy (P-DPN)</w:t>
      </w:r>
      <w:r w:rsidR="00C603B7" w:rsidRPr="00427FEA">
        <w:t xml:space="preserve"> is a common complication of diabetes occurring in about 10-26% of all individuals with diabetes </w:t>
      </w:r>
      <w:r w:rsidR="00C603B7" w:rsidRPr="00427FEA">
        <w:fldChar w:fldCharType="begin"/>
      </w:r>
      <w:r w:rsidR="00C603B7" w:rsidRPr="00427FEA">
        <w:instrText xml:space="preserve"> ADDIN EN.CITE &lt;EndNote&gt;&lt;Cite  &gt;&lt;Author&gt;Davies&lt;/Author&gt;&lt;Year&gt;2006&lt;/Year&gt;&lt;RecNum&gt;1298&lt;/RecNum&gt;&lt;DisplayText&gt;(Davies et al., 2006, Hartsfield et al., 2008, Abbott et al., 2011, Barbosa et al., 2019)&lt;/DisplayText&gt;&lt;record&gt;&lt;keywords&gt;&lt;keyword&gt;POLYNEUROPATHY&lt;/keyword&gt;&lt;keyword&gt;RISK-FACTORS&lt;/keyword&gt;&lt;keyword&gt;COMMUNITY&lt;/keyword&gt;&lt;keyword&gt;FOOT ULCERATION&lt;/keyword&gt;&lt;keyword&gt;ENDOCRINOLOGY &amp;amp; METABOLISM&lt;/keyword&gt;&lt;keyword&gt;VALIDATION&lt;/keyword&gt;&lt;keyword&gt;QUALITY-OF-LIFE&lt;/keyword&gt;&lt;keyword&gt;EPIDEMIOLOGY&lt;/keyword&gt;&lt;keyword&gt;Prevalence&lt;/keyword&gt;&lt;keyword&gt;Cross-Sectional Studies&lt;/keyword&gt;&lt;keyword&gt;Pain - epidemiology&lt;/keyword&gt;&lt;keyword&gt;Wales - epidemiology&lt;/keyword&gt;&lt;keyword&gt;Humans&lt;/keyword&gt;&lt;keyword&gt;Middle Aged&lt;/keyword&gt;&lt;keyword&gt;Male&lt;/keyword&gt;&lt;keyword&gt;Pain - etiology&lt;/keyword&gt;&lt;keyword&gt;Quality of Life&lt;/keyword&gt;&lt;keyword&gt;Female&lt;/keyword&gt;&lt;keyword&gt;Aged&lt;/keyword&gt;&lt;keyword&gt;Diabetic Nephropathies - epidemiology&lt;/keyword&gt;&lt;keyword&gt;Diabetes Mellitus, Type 2 - complications&lt;/keyword&gt;&lt;keyword&gt;Type 2 diabetes&lt;/keyword&gt;&lt;keyword&gt;Causes of&lt;/keyword&gt;&lt;keyword&gt;Care and treatment&lt;/keyword&gt;&lt;keyword&gt;Peripheral nerve diseases&lt;/keyword&gt;&lt;keyword&gt;Risk factors&lt;/keyword&gt;&lt;keyword&gt;Measurement errors&lt;/keyword&gt;&lt;keyword&gt;Diabetic neuropathy&lt;/keyword&gt;&lt;keyword&gt;Diabetes&lt;/keyword&gt;&lt;keyword&gt;Health services&lt;/keyword&gt;&lt;keyword&gt;Primary care&lt;/keyword&gt;&lt;/keywords&gt;&lt;isbn&gt;1935-5548&amp;#13;0149-5992&lt;/isbn&gt;&lt;titles&gt;&lt;title&gt;The Prevalence, Severity, and Impact of Painful Diabetic Peripheral Neuropathy in Type 2 Diabetes&lt;/title&gt;&lt;secondary-title&gt;Diabetes Care&lt;/secondary-title&gt;&lt;/titles&gt;&lt;pages&gt;1518-1522&lt;/pages&gt;&lt;number&gt;7&lt;/number&gt;&lt;contributors&gt;&lt;authors&gt;&lt;author&gt;Davies, M.&lt;/author&gt;&lt;author&gt;Brophy, S.&lt;/author&gt;&lt;author&gt;Williams, R.&lt;/author&gt;&lt;author&gt;Taylor, A.&lt;/author&gt;&lt;/authors&gt;&lt;/contributors&gt;&lt;added-date format="utc"&gt;1597576484&lt;/added-date&gt;&lt;pub-location&gt;ALEXANDRIA&lt;/pub-location&gt;&lt;ref-type name="Journal Article"&gt;17&lt;/ref-type&gt;&lt;dates&gt;&lt;year&gt;2006&lt;/year&gt;&lt;/dates&gt;&lt;rec-number&gt;1298&lt;/rec-number&gt;&lt;publisher&gt;ALEXANDRIA: American Diabetes Association&lt;/publisher&gt;&lt;last-updated-date format="utc"&gt;1597576484&lt;/last-updated-date&gt;&lt;electronic-resource-num&gt;10.2337/dc05-2228&lt;/electronic-resource-num&gt;&lt;volume&gt;29&lt;/volume&gt;&lt;/record&gt;&lt;/Cite&gt;&lt;Cite  &gt;&lt;Author&gt;Hartsfield&lt;/Author&gt;&lt;Year&gt;2008&lt;/Year&gt;&lt;RecNum&gt;212&lt;/RecNum&gt;&lt;record&gt;&lt;dates&gt;&lt;pub-dates&gt;&lt;date&gt;Dec&lt;/date&gt;&lt;/pub-dates&gt;&lt;year&gt;2008&lt;/year&gt;&lt;/dates&gt;&lt;urls&gt;&lt;related-urls&gt;&lt;url&gt;&amp;lt;Go to ISI&amp;gt;://WOS:000261986600004&lt;/url&gt;&lt;/related-urls&gt;&lt;/urls&gt;&lt;isbn&gt;1942-7891&lt;/isbn&gt;&lt;titles&gt;&lt;title&gt;Painful Diabetic Peripheral Neuropathy in a Managed Care Setting: Patient Identification, Prevalence Estimates, and Pharmacy Utilization Patterns&lt;/title&gt;&lt;secondary-title&gt;Population Health Management&lt;/secondary-title&gt;&lt;/titles&gt;&lt;pages&gt;317-28&lt;/pages&gt;&lt;number&gt;6&lt;/number&gt;&lt;contributors&gt;&lt;authors&gt;&lt;author&gt;Hartsfield, Cynthia L.&lt;/author&gt;&lt;author&gt;Korner, Eli J.&lt;/author&gt;&lt;author&gt;Ellis, Jennifer L.&lt;/author&gt;&lt;author&gt;Raebel, Marsha A.&lt;/author&gt;&lt;author&gt;Merenich, John&lt;/author&gt;&lt;author&gt;Brandenburg, Nancy&lt;/author&gt;&lt;/authors&gt;&lt;/contributors&gt;&lt;added-date format="utc"&gt;1352740724&lt;/added-date&gt;&lt;ref-type name="Journal Article"&gt;17&lt;/ref-type&gt;&lt;rec-number&gt;212&lt;/rec-number&gt;&lt;last-updated-date format="utc"&gt;1352740836&lt;/last-updated-date&gt;&lt;accession-num&gt;WOS:000261986600004&lt;/accession-num&gt;&lt;electronic-resource-num&gt;10.1089/pop.2008.0015&lt;/electronic-resource-num&gt;&lt;volume&gt;11&lt;/volume&gt;&lt;/record&gt;&lt;/Cite&gt;&lt;Cite  &gt;&lt;Author&gt;Abbott&lt;/Author&gt;&lt;Year&gt;2011&lt;/Year&gt;&lt;RecNum&gt;83&lt;/RecNum&gt;&lt;record&gt;&lt;keywords&gt;&lt;keyword&gt;Administration, Oral&lt;/keyword&gt;&lt;keyword&gt;Adult&lt;/keyword&gt;&lt;keyword&gt;Age Distribution&lt;/keyword&gt;&lt;keyword&gt;Aged&lt;/keyword&gt;&lt;keyword&gt;Diabetes Mellitus, Type 1/complications/drug therapy/epidemiology&lt;/keyword&gt;&lt;keyword&gt;Diabetes Mellitus, Type 2/complications/drug therapy/epidemiology&lt;/keyword&gt;&lt;keyword&gt;Diabetic Neuropathies/ epidemiology/ethnology/ pathology&lt;/keyword&gt;&lt;keyword&gt;Female&lt;/keyword&gt;&lt;keyword&gt;Great Britain/epidemiology&lt;/keyword&gt;&lt;keyword&gt;Humans&lt;/keyword&gt;&lt;keyword&gt;Hypoglycemic Agents/administration &amp;amp; dosage/therapeutic use&lt;/keyword&gt;&lt;keyword&gt;Male&lt;/keyword&gt;&lt;keyword&gt;Middle Aged&lt;/keyword&gt;&lt;keyword&gt;Sex Factors&lt;/keyword&gt;&lt;/keywords&gt;&lt;urls&gt;&lt;related-urls/&gt;&lt;/urls&gt;&lt;isbn&gt;1935-5548 (Electronic)&amp;#13;0149-5992 (Linking)&lt;/isbn&gt;&lt;titles&gt;&lt;title&gt;Prevalence and characteristics of painful diabetic neuropathy in a large community-based diabetic population in the U.K&lt;/title&gt;&lt;secondary-title&gt;Diabetes Care&lt;/secondary-title&gt;&lt;/titles&gt;&lt;pages&gt;2220-4&lt;/pages&gt;&lt;number&gt;10&lt;/number&gt;&lt;contributors&gt;&lt;authors&gt;&lt;author&gt;Abbott, C. A.&lt;/author&gt;&lt;author&gt;Malik, R. A.&lt;/author&gt;&lt;author&gt;van Ross, E. R.&lt;/author&gt;&lt;author&gt;Kulkarni, J.&lt;/author&gt;&lt;author&gt;Boulton, A. J.&lt;/author&gt;&lt;/authors&gt;&lt;/contributors&gt;&lt;language&gt;eng&lt;/language&gt;&lt;added-date format="utc"&gt;1350067116&lt;/added-date&gt;&lt;pub-location&gt;United States&lt;/pub-location&gt;&lt;ref-type name="Journal Article"&gt;17&lt;/ref-type&gt;&lt;auth-address&gt;Division of Cardiovascular Medicine, Core Technology Facility, University of Manchester, Manchester, UK. caroline.abbott@manchester.ac.uk&lt;/auth-address&gt;&lt;dates&gt;&lt;year&gt;2011&lt;/year&gt;&lt;/dates&gt;&lt;remote-database-provider&gt;NLM&lt;/remote-database-provider&gt;&lt;rec-number&gt;83&lt;/rec-number&gt;&lt;last-updated-date format="utc"&gt;1597575954&lt;/last-updated-date&gt;&lt;accession-num&gt;21852677&lt;/accession-num&gt;&lt;electronic-resource-num&gt;10.2337/dc11-1108&lt;/electronic-resource-num&gt;&lt;volume&gt;34&lt;/volume&gt;&lt;/record&gt;&lt;/Cite&gt;&lt;Cite  &gt;&lt;Author&gt;Barbosa&lt;/Author&gt;&lt;Year&gt;2019&lt;/Year&gt;&lt;RecNum&gt;1181&lt;/RecNum&gt;&lt;record&gt;&lt;dates&gt;&lt;pub-dates&gt;&lt;date&gt;Jun&lt;/date&gt;&lt;/pub-dates&gt;&lt;year&gt;2019&lt;/year&gt;&lt;/dates&gt;&lt;urls&gt;&lt;related-urls&gt;&lt;url&gt;&amp;lt;Go to ISI&amp;gt;://WOS:000473273400001&lt;/url&gt;&lt;/related-urls&gt;&lt;/urls&gt;&lt;isbn&gt;1664-2392&lt;/isbn&gt;&lt;titles&gt;&lt;title&gt;Prevalence and Determinants of Painful and Painless Neuropathy in Type 1 Diabetes Mellitus&lt;/title&gt;&lt;secondary-title&gt;Frontiers in Endocrinology&lt;/secondary-title&gt;&lt;/titles&gt;&lt;contributors&gt;&lt;authors&gt;&lt;author&gt;Barbosa, M.&lt;/author&gt;&lt;author&gt;Saavedra, A.&lt;/author&gt;&lt;author&gt;Oliveira, S.&lt;/author&gt;&lt;author&gt;Reis, L.&lt;/author&gt;&lt;author&gt;Rodrigues, F.&lt;/author&gt;&lt;author&gt;Severo, M.&lt;/author&gt;&lt;author&gt;Sittl, R.&lt;/author&gt;&lt;author&gt;Maier, C.&lt;/author&gt;&lt;author&gt;Carvalho, D. M.&lt;/author&gt;&lt;/authors&gt;&lt;/contributors&gt;&lt;custom7&gt;402&lt;/custom7&gt;&lt;added-date format="utc"&gt;1573039360&lt;/added-date&gt;&lt;ref-type name="Journal Article"&gt;17&lt;/ref-type&gt;&lt;rec-number&gt;1181&lt;/rec-number&gt;&lt;last-updated-date format="utc"&gt;1573039360&lt;/last-updated-date&gt;&lt;accession-num&gt;WOS:000473273400001&lt;/accession-num&gt;&lt;electronic-resource-num&gt;10.3389/fendo.2019.00402&lt;/electronic-resource-num&gt;&lt;volume&gt;10&lt;/volume&gt;&lt;/record&gt;&lt;/Cite&gt;&lt;/EndNote&gt;</w:instrText>
      </w:r>
      <w:r w:rsidR="00C603B7" w:rsidRPr="00427FEA">
        <w:fldChar w:fldCharType="separate"/>
      </w:r>
      <w:r w:rsidR="00C603B7" w:rsidRPr="00427FEA">
        <w:t>(Davies et al., 2006, Hartsfield et al., 2008, Abbott et al., 2011, Barbosa et al., 2019)</w:t>
      </w:r>
      <w:r w:rsidR="00C603B7" w:rsidRPr="00427FEA">
        <w:fldChar w:fldCharType="end"/>
      </w:r>
      <w:r w:rsidR="00C603B7" w:rsidRPr="00427FEA">
        <w:t xml:space="preserve">. It is estimated that there will be 693 million people affected by diabetes in 2045 </w:t>
      </w:r>
      <w:r w:rsidR="00C603B7" w:rsidRPr="00427FEA">
        <w:fldChar w:fldCharType="begin"/>
      </w:r>
      <w:r w:rsidR="00C603B7" w:rsidRPr="00427FEA">
        <w:instrText xml:space="preserve"> ADDIN EN.CITE &lt;EndNote&gt;&lt;Cite  &gt;&lt;Author&gt;Cho&lt;/Author&gt;&lt;Year&gt;2018&lt;/Year&gt;&lt;RecNum&gt;1141&lt;/RecNum&gt;&lt;DisplayText&gt;(Cho et al., 2018)&lt;/DisplayText&gt;&lt;record&gt;&lt;keywords&gt;&lt;keyword&gt;Diabetes Prevalence&lt;/keyword&gt;&lt;keyword&gt;Health Economics&lt;/keyword&gt;&lt;keyword&gt;Mortality&lt;/keyword&gt;&lt;keyword&gt;Epidemiology&lt;/keyword&gt;&lt;keyword&gt;Impaired Glucose Tolerance&lt;/keyword&gt;&lt;keyword&gt;Gestational Diabetes&lt;/keyword&gt;&lt;/keywords&gt;&lt;isbn&gt;0168-8227&lt;/isbn&gt;&lt;titles&gt;&lt;title&gt;IDF Diabetes Atlas: Global estimates of diabetes prevalence for 2017 and projections for 2045&lt;/title&gt;&lt;secondary-title&gt;Diabetes Research and Clinical Practice&lt;/secondary-title&gt;&lt;/titles&gt;&lt;pages&gt;271-281&lt;/pages&gt;&lt;contributors&gt;&lt;authors&gt;&lt;author&gt;Cho, N. H.&lt;/author&gt;&lt;author&gt;Shaw, J. E.&lt;/author&gt;&lt;author&gt;Karuranga, S.&lt;/author&gt;&lt;author&gt;Huang, Y.&lt;/author&gt;&lt;author&gt;Da Rocha Fernandes, J. D.&lt;/author&gt;&lt;author&gt;Ohlrogge, A. W.&lt;/author&gt;&lt;author&gt;Malanda, B.&lt;/author&gt;&lt;/authors&gt;&lt;/contributors&gt;&lt;added-date format="utc"&gt;1569750484&lt;/added-date&gt;&lt;ref-type name="Journal Article"&gt;17&lt;/ref-type&gt;&lt;dates&gt;&lt;year&gt;2018&lt;/year&gt;&lt;/dates&gt;&lt;rec-number&gt;1141&lt;/rec-number&gt;&lt;last-updated-date format="utc"&gt;1569750484&lt;/last-updated-date&gt;&lt;electronic-resource-num&gt;10.1016/j.diabres.2018.02.023&lt;/electronic-resource-num&gt;&lt;volume&gt;138&lt;/volume&gt;&lt;/record&gt;&lt;/Cite&gt;&lt;/EndNote&gt;</w:instrText>
      </w:r>
      <w:r w:rsidR="00C603B7" w:rsidRPr="00427FEA">
        <w:fldChar w:fldCharType="separate"/>
      </w:r>
      <w:r w:rsidR="00C603B7" w:rsidRPr="00427FEA">
        <w:t>(Cho et al., 2018)</w:t>
      </w:r>
      <w:r w:rsidR="00C603B7" w:rsidRPr="00427FEA">
        <w:fldChar w:fldCharType="end"/>
      </w:r>
      <w:r w:rsidR="00C603B7" w:rsidRPr="00427FEA">
        <w:t xml:space="preserve">, therefore P-DPN will become a significant problem.  P-DPN is well documented to adversely affect quality of life </w:t>
      </w:r>
      <w:r w:rsidR="00C603B7" w:rsidRPr="00427FEA">
        <w:fldChar w:fldCharType="begin">
          <w:fldData xml:space="preserve">PEVuZE5vdGU+PENpdGU+PEF1dGhvcj5CZW5ib3c8L0F1dGhvcj48WWVhcj4xOTk4PC9ZZWFyPjxS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==
</w:fldData>
        </w:fldChar>
      </w:r>
      <w:r w:rsidR="009968E0" w:rsidRPr="00427FEA">
        <w:instrText xml:space="preserve"> ADDIN EN.CITE </w:instrText>
      </w:r>
      <w:r w:rsidR="009968E0" w:rsidRPr="00427FEA">
        <w:fldChar w:fldCharType="begin">
          <w:fldData xml:space="preserve">PEVuZE5vdGU+PENpdGU+PEF1dGhvcj5CZW5ib3c8L0F1dGhvcj48WWVhcj4xOTk4PC9ZZWFyPjxS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==
</w:fldData>
        </w:fldChar>
      </w:r>
      <w:r w:rsidR="009968E0" w:rsidRPr="00427FEA">
        <w:instrText xml:space="preserve"> ADDIN EN.CITE.DATA </w:instrText>
      </w:r>
      <w:r w:rsidR="009968E0" w:rsidRPr="00427FEA">
        <w:fldChar w:fldCharType="end"/>
      </w:r>
      <w:r w:rsidR="00C603B7" w:rsidRPr="00427FEA">
        <w:fldChar w:fldCharType="separate"/>
      </w:r>
      <w:r w:rsidR="009968E0" w:rsidRPr="00427FEA">
        <w:t>(Benbow et al., 1998, Galer et al., 2000, Gore et al., 2005, Vileikyte et al., 2005b, Argoff et al., 2006, Davies et al., 2006, Jensen et al., 2007, Van Acker et al., 2009, Jain et al., 2011, Smith et al., 2012, Selvarajah et al., 2014)</w:t>
      </w:r>
      <w:r w:rsidR="00C603B7" w:rsidRPr="00427FEA">
        <w:fldChar w:fldCharType="end"/>
      </w:r>
      <w:r w:rsidR="00C603B7" w:rsidRPr="00427FEA">
        <w:t xml:space="preserve">, and treatments may not be effective in most patients </w:t>
      </w:r>
      <w:r w:rsidR="00C603B7" w:rsidRPr="00427FEA">
        <w:fldChar w:fldCharType="begin"/>
      </w:r>
      <w:r w:rsidR="00C603B7" w:rsidRPr="00427FEA">
        <w:instrText xml:space="preserve"> ADDIN EN.CITE &lt;EndNote&gt;&lt;Cite  &gt;&lt;Author&gt;Finnerup&lt;/Author&gt;&lt;Year&gt;2015&lt;/Year&gt;&lt;DisplayText&gt;(Finnerup et al., 2015)&lt;/DisplayText&gt;&lt;record&gt;&lt;keywords&gt;&lt;keyword&gt;Adults – Analysis&lt;/keyword&gt;&lt;keyword&gt;Neurosciences – Analysis&lt;/keyword&gt;&lt;keyword&gt;Pain Management – Analysis&lt;/keyword&gt;&lt;keyword&gt;Medical Schools – Analysis&lt;/keyword&gt;&lt;keyword&gt;Analgesics – Analysis&lt;/keyword&gt;&lt;/keywords&gt;&lt;isbn&gt;1474-4422&lt;/isbn&gt;&lt;titles&gt;&lt;title&gt;Pharmacotherapy for neuropathic pain in adults: a systematic review and meta-analysis&lt;/title&gt;&lt;secondary-title&gt;Lancet Neurology&lt;/secondary-title&gt;&lt;/titles&gt;&lt;pages&gt;162-173&lt;/pages&gt;&lt;number&gt;2&lt;/number&gt;&lt;contributors&gt;&lt;authors&gt;&lt;author&gt;Finnerup, Nanna B.&lt;/author&gt;&lt;author&gt;Attal, Nadine&lt;/author&gt;&lt;author&gt;Haroutounian, Simon&lt;/author&gt;&lt;author&gt;McNicol, Ewan&lt;/author&gt;&lt;author&gt;Baron, Ralf&lt;/author&gt;&lt;author&gt;Dworkin, Robert H.&lt;/author&gt;&lt;author&gt;Gilron, Ian&lt;/author&gt;&lt;author&gt;Haanpää, Maija&lt;/author&gt;&lt;author&gt;Hansson, Per&lt;/author&gt;&lt;author&gt;Jensen, Troels S.&lt;/author&gt;&lt;author&gt;Kamerman, Peter R.&lt;/author&gt;&lt;author&gt;Lund, Karen&lt;/author&gt;&lt;author&gt;Moore, Andrew&lt;/author&gt;&lt;author&gt;Raja, Srinivasa N.&lt;/author&gt;&lt;author&gt;Rice, Andrew S. C.&lt;/author&gt;&lt;author&gt;Rowbotham, Michael&lt;/author&gt;&lt;author&gt;Sena, Emily&lt;/author&gt;&lt;author&gt;Siddall, Philip&lt;/author&gt;&lt;author&gt;Smith, Blair H.&lt;/author&gt;&lt;author&gt;Wallace, Mark&lt;/author&gt;&lt;/authors&gt;&lt;/contributors&gt;&lt;added-date format="utc"&gt;1569751177&lt;/added-date&gt;&lt;ref-type name="Journal Article"&gt;17&lt;/ref-type&gt;&lt;dates&gt;&lt;year&gt;2015&lt;/year&gt;&lt;/dates&gt;&lt;rec-number&gt;1143&lt;/rec-number&gt;&lt;last-updated-date format="utc"&gt;1569751177&lt;/last-updated-date&gt;&lt;electronic-resource-num&gt;10.1016/S1474-4422(14)70251-0&lt;/electronic-resource-num&gt;&lt;volume&gt;14&lt;/volume&gt;&lt;/record&gt;&lt;/Cite&gt;&lt;/EndNote&gt;</w:instrText>
      </w:r>
      <w:r w:rsidR="00C603B7" w:rsidRPr="00427FEA">
        <w:fldChar w:fldCharType="separate"/>
      </w:r>
      <w:r w:rsidR="00C603B7" w:rsidRPr="00427FEA">
        <w:t>(Finnerup et al., 2015)</w:t>
      </w:r>
      <w:r w:rsidR="00C603B7" w:rsidRPr="00427FEA">
        <w:fldChar w:fldCharType="end"/>
      </w:r>
      <w:r w:rsidR="00C603B7" w:rsidRPr="00427FEA">
        <w:t xml:space="preserve">. Therefore, a thorough understanding of peripheral and central pathways of pain generation is essential to identify future therapeutic targets for this distressing condition. </w:t>
      </w:r>
    </w:p>
    <w:p w14:paraId="22DA11B2" w14:textId="52988D1C" w:rsidR="00C603B7" w:rsidRPr="00C603B7" w:rsidRDefault="00C603B7" w:rsidP="00C603B7">
      <w:pPr>
        <w:pBdr>
          <w:top w:val="nil"/>
          <w:left w:val="nil"/>
          <w:bottom w:val="nil"/>
          <w:right w:val="nil"/>
          <w:between w:val="nil"/>
          <w:bar w:val="nil"/>
        </w:pBdr>
        <w:spacing w:line="360" w:lineRule="auto"/>
        <w:rPr>
          <w:rFonts w:eastAsia="Arial" w:cs="Arial"/>
          <w:color w:val="000000"/>
          <w:u w:color="000000"/>
          <w:bdr w:val="nil"/>
          <w:lang w:val="en-US" w:eastAsia="en-GB"/>
        </w:rPr>
      </w:pPr>
      <w:r w:rsidRPr="00C603B7">
        <w:rPr>
          <w:rFonts w:eastAsia="Calibri" w:cs="Calibri"/>
          <w:color w:val="000000"/>
          <w:u w:color="000000"/>
          <w:bdr w:val="nil"/>
          <w:lang w:val="en-US" w:eastAsia="en-GB"/>
        </w:rPr>
        <w:t xml:space="preserve">We have shown in previous work that the thalamus appears to have abnormal resting state perfusion in P-DPN which may represent an adaptive neurovascular coupling response </w:t>
      </w:r>
      <w:r w:rsidRPr="00C603B7">
        <w:rPr>
          <w:rFonts w:eastAsia="Arial" w:cs="Arial"/>
          <w:color w:val="000000"/>
          <w:u w:color="000000"/>
          <w:bdr w:val="nil"/>
          <w:lang w:val="en-US" w:eastAsia="en-GB"/>
        </w:rPr>
        <w:fldChar w:fldCharType="begin"/>
      </w:r>
      <w:r w:rsidR="009968E0">
        <w:rPr>
          <w:rFonts w:eastAsia="Arial" w:cs="Arial"/>
          <w:color w:val="000000"/>
          <w:u w:color="000000"/>
          <w:bdr w:val="nil"/>
          <w:lang w:val="en-US" w:eastAsia="en-GB"/>
        </w:rPr>
        <w:instrText xml:space="preserve"> ADDIN EN.CITE &lt;EndNote&gt;&lt;Cite&gt;&lt;Author&gt;Selvarajah&lt;/Author&gt;&lt;Year&gt;2011&lt;/Year&gt;&lt;RecNum&gt;290&lt;/RecNum&gt;&lt;DisplayText&gt;(Selvarajah et al., 2011a)&lt;/DisplayText&gt;&lt;record&gt;&lt;dates&gt;&lt;pub-dates&gt;&lt;date&gt;Mar&lt;/date&gt;&lt;/pub-dates&gt;&lt;year&gt;2011&lt;/year&gt;&lt;/dates&gt;&lt;urls&gt;&lt;related-urls&gt;&lt;url&gt;&amp;lt;Go to ISI&amp;gt;://WOS:000288145400038&lt;/url&gt;&lt;/related-urls&gt;&lt;/urls&gt;&lt;isbn&gt;0149-5992&lt;/isbn&gt;&lt;titles&gt;&lt;title&gt;Microvascular Perfusion Abnormalities of the Thalamus in Painful but Not Painless Diabetic Polyneuropathy A clue to the pathogenesis of pain in type 1 diabetes&lt;/title&gt;&lt;secondary-title&gt;Diabetes Care&lt;/secondary-title&gt;&lt;/titles&gt;&lt;number&gt;3&lt;/number&gt;&lt;contributors&gt;&lt;authors&gt;&lt;author&gt;Selvarajah, Dinesh&lt;/author&gt;&lt;author&gt;Wilkinson, Iain D.&lt;/author&gt;&lt;author&gt;Gandhi, Rajiv&lt;/author&gt;&lt;author&gt;Griffiths, Paul D.&lt;/author&gt;&lt;author&gt;Tesfaye, Solomon&lt;/author&gt;&lt;/authors&gt;&lt;/contributors&gt;&lt;added-date format="utc"&gt;1353513588&lt;/added-date&gt;&lt;ref-type name="Journal Article"&gt;17&lt;/ref-type&gt;&lt;rec-number&gt;290&lt;/rec-number&gt;&lt;last-updated-date format="utc"&gt;1353523152&lt;/last-updated-date&gt;&lt;accession-num&gt;WOS:000288145400038&lt;/accession-num&gt;&lt;electronic-resource-num&gt;10.2337/dc10-1550&lt;/electronic-resource-num&gt;&lt;volume&gt;34&lt;/volume&gt;&lt;/record&gt;&lt;/Cite&gt;&lt;/EndNote&gt;</w:instrText>
      </w:r>
      <w:r w:rsidRPr="00C603B7">
        <w:rPr>
          <w:rFonts w:eastAsia="Arial" w:cs="Arial"/>
          <w:color w:val="000000"/>
          <w:u w:color="000000"/>
          <w:bdr w:val="nil"/>
          <w:lang w:val="en-US" w:eastAsia="en-GB"/>
        </w:rPr>
        <w:fldChar w:fldCharType="separate"/>
      </w:r>
      <w:r w:rsidR="009968E0">
        <w:rPr>
          <w:rFonts w:eastAsia="Arial" w:cs="Arial"/>
          <w:noProof/>
          <w:color w:val="000000"/>
          <w:u w:color="000000"/>
          <w:bdr w:val="nil"/>
          <w:lang w:val="en-US" w:eastAsia="en-GB"/>
        </w:rPr>
        <w:t>(Selvarajah et al., 2011a)</w:t>
      </w:r>
      <w:r w:rsidRPr="00C603B7">
        <w:rPr>
          <w:rFonts w:eastAsia="Arial" w:cs="Arial"/>
          <w:color w:val="000000"/>
          <w:u w:color="000000"/>
          <w:bdr w:val="nil"/>
          <w:lang w:val="en-US" w:eastAsia="en-GB"/>
        </w:rPr>
        <w:fldChar w:fldCharType="end"/>
      </w:r>
      <w:r w:rsidRPr="00C603B7">
        <w:rPr>
          <w:rFonts w:eastAsia="Calibri" w:cs="Calibri"/>
          <w:color w:val="000000"/>
          <w:u w:color="000000"/>
          <w:bdr w:val="nil"/>
          <w:lang w:val="en-US" w:eastAsia="en-GB"/>
        </w:rPr>
        <w:t xml:space="preserve">. Our group and others have also previously shown that there are abnormal findings for measurable neuro-metabolites in the thalamus of subjects with DPN (painless diabetic peripheral neuropathy) but </w:t>
      </w:r>
      <w:r w:rsidRPr="00C603B7">
        <w:rPr>
          <w:rFonts w:eastAsia="Calibri" w:cs="Calibri"/>
          <w:color w:val="000000"/>
          <w:u w:color="000000"/>
          <w:bdr w:val="nil"/>
          <w:lang w:val="en-US" w:eastAsia="en-GB"/>
        </w:rPr>
        <w:lastRenderedPageBreak/>
        <w:t xml:space="preserve">not P-DPN measurable by </w:t>
      </w:r>
      <w:r w:rsidRPr="00C603B7">
        <w:rPr>
          <w:rFonts w:eastAsia="Calibri" w:cs="Calibri"/>
          <w:color w:val="000000"/>
          <w:u w:color="000000"/>
          <w:bdr w:val="nil"/>
          <w:vertAlign w:val="superscript"/>
          <w:lang w:val="en-US" w:eastAsia="en-GB"/>
        </w:rPr>
        <w:t>1</w:t>
      </w:r>
      <w:r w:rsidRPr="00C603B7">
        <w:rPr>
          <w:rFonts w:eastAsia="Calibri" w:cs="Calibri"/>
          <w:color w:val="000000"/>
          <w:u w:color="000000"/>
          <w:bdr w:val="nil"/>
          <w:lang w:val="en-US" w:eastAsia="en-GB"/>
        </w:rPr>
        <w:t xml:space="preserve">HMRS and </w:t>
      </w:r>
      <w:proofErr w:type="spellStart"/>
      <w:r w:rsidRPr="00C603B7">
        <w:rPr>
          <w:rFonts w:eastAsia="Calibri" w:cs="Calibri"/>
          <w:color w:val="000000"/>
          <w:u w:color="000000"/>
          <w:bdr w:val="nil"/>
          <w:lang w:val="en-US" w:eastAsia="en-GB"/>
        </w:rPr>
        <w:t>hypothesised</w:t>
      </w:r>
      <w:proofErr w:type="spellEnd"/>
      <w:r w:rsidRPr="00C603B7">
        <w:rPr>
          <w:rFonts w:eastAsia="Calibri" w:cs="Calibri"/>
          <w:color w:val="000000"/>
          <w:u w:color="000000"/>
          <w:bdr w:val="nil"/>
          <w:lang w:val="en-US" w:eastAsia="en-GB"/>
        </w:rPr>
        <w:t xml:space="preserve"> that this represents an intact response to painful stimulation </w:t>
      </w:r>
      <w:r w:rsidRPr="00C603B7">
        <w:rPr>
          <w:rFonts w:eastAsia="Arial" w:cs="Arial"/>
          <w:color w:val="000000"/>
          <w:u w:color="000000"/>
          <w:bdr w:val="nil"/>
          <w:lang w:val="en-US" w:eastAsia="en-GB"/>
        </w:rPr>
        <w:fldChar w:fldCharType="begin">
          <w:fldData xml:space="preserve">PEVuZE5vdGU+PENpdGU+PEF1dGhvcj5Tb3JlbnNlbjwvQXV0aG9yPjxZZWFyPjIwMDQ8L1llYXI+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</w:fldData>
        </w:fldChar>
      </w:r>
      <w:r w:rsidR="009968E0">
        <w:rPr>
          <w:rFonts w:eastAsia="Arial" w:cs="Arial"/>
          <w:color w:val="000000"/>
          <w:u w:color="000000"/>
          <w:bdr w:val="nil"/>
          <w:lang w:val="en-US" w:eastAsia="en-GB"/>
        </w:rPr>
        <w:instrText xml:space="preserve"> ADDIN EN.CITE </w:instrText>
      </w:r>
      <w:r w:rsidR="009968E0">
        <w:rPr>
          <w:rFonts w:eastAsia="Arial" w:cs="Arial"/>
          <w:color w:val="000000"/>
          <w:u w:color="000000"/>
          <w:bdr w:val="nil"/>
          <w:lang w:val="en-US" w:eastAsia="en-GB"/>
        </w:rPr>
        <w:fldChar w:fldCharType="begin">
          <w:fldData xml:space="preserve">PEVuZE5vdGU+PENpdGU+PEF1dGhvcj5Tb3JlbnNlbjwvQXV0aG9yPjxZZWFyPjIwMDQ8L1llYXI+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</w:fldData>
        </w:fldChar>
      </w:r>
      <w:r w:rsidR="009968E0">
        <w:rPr>
          <w:rFonts w:eastAsia="Arial" w:cs="Arial"/>
          <w:color w:val="000000"/>
          <w:u w:color="000000"/>
          <w:bdr w:val="nil"/>
          <w:lang w:val="en-US" w:eastAsia="en-GB"/>
        </w:rPr>
        <w:instrText xml:space="preserve"> ADDIN EN.CITE.DATA </w:instrText>
      </w:r>
      <w:r w:rsidR="009968E0">
        <w:rPr>
          <w:rFonts w:eastAsia="Arial" w:cs="Arial"/>
          <w:color w:val="000000"/>
          <w:u w:color="000000"/>
          <w:bdr w:val="nil"/>
          <w:lang w:val="en-US" w:eastAsia="en-GB"/>
        </w:rPr>
      </w:r>
      <w:r w:rsidR="009968E0">
        <w:rPr>
          <w:rFonts w:eastAsia="Arial" w:cs="Arial"/>
          <w:color w:val="000000"/>
          <w:u w:color="000000"/>
          <w:bdr w:val="nil"/>
          <w:lang w:val="en-US" w:eastAsia="en-GB"/>
        </w:rPr>
        <w:fldChar w:fldCharType="end"/>
      </w:r>
      <w:r w:rsidRPr="00C603B7">
        <w:rPr>
          <w:rFonts w:eastAsia="Arial" w:cs="Arial"/>
          <w:color w:val="000000"/>
          <w:u w:color="000000"/>
          <w:bdr w:val="nil"/>
          <w:lang w:val="en-US" w:eastAsia="en-GB"/>
        </w:rPr>
      </w:r>
      <w:r w:rsidRPr="00C603B7">
        <w:rPr>
          <w:rFonts w:eastAsia="Arial" w:cs="Arial"/>
          <w:color w:val="000000"/>
          <w:u w:color="000000"/>
          <w:bdr w:val="nil"/>
          <w:lang w:val="en-US" w:eastAsia="en-GB"/>
        </w:rPr>
        <w:fldChar w:fldCharType="separate"/>
      </w:r>
      <w:r w:rsidR="009968E0">
        <w:rPr>
          <w:rFonts w:eastAsia="Arial" w:cs="Arial"/>
          <w:noProof/>
          <w:color w:val="000000"/>
          <w:u w:color="000000"/>
          <w:bdr w:val="nil"/>
          <w:lang w:val="en-US" w:eastAsia="en-GB"/>
        </w:rPr>
        <w:t>(Sorensen et al., 2004, Sorensen et al., 2008, Selvarajah et al., 2008b, Gandhi, 2013, Greig et al., 2015, Zhao et al., 2018b)</w:t>
      </w:r>
      <w:r w:rsidRPr="00C603B7">
        <w:rPr>
          <w:rFonts w:eastAsia="Arial" w:cs="Arial"/>
          <w:color w:val="000000"/>
          <w:u w:color="000000"/>
          <w:bdr w:val="nil"/>
          <w:lang w:val="en-US" w:eastAsia="en-GB"/>
        </w:rPr>
        <w:fldChar w:fldCharType="end"/>
      </w:r>
      <w:r w:rsidRPr="00C603B7">
        <w:rPr>
          <w:rFonts w:eastAsia="Calibri" w:cs="Calibri"/>
          <w:color w:val="000000"/>
          <w:u w:color="000000"/>
          <w:bdr w:val="nil"/>
          <w:lang w:val="en-US" w:eastAsia="en-GB"/>
        </w:rPr>
        <w:t xml:space="preserve">. </w:t>
      </w:r>
    </w:p>
    <w:p w14:paraId="5FEADBA1" w14:textId="3351C7C0" w:rsidR="00C603B7" w:rsidRPr="00C603B7" w:rsidRDefault="00C603B7" w:rsidP="00C603B7">
      <w:pPr>
        <w:pBdr>
          <w:top w:val="nil"/>
          <w:left w:val="nil"/>
          <w:bottom w:val="nil"/>
          <w:right w:val="nil"/>
          <w:between w:val="nil"/>
          <w:bar w:val="nil"/>
        </w:pBdr>
        <w:spacing w:line="360" w:lineRule="auto"/>
        <w:rPr>
          <w:rFonts w:eastAsia="Arial" w:cs="Arial"/>
          <w:color w:val="000000"/>
          <w:u w:color="000000"/>
          <w:bdr w:val="nil"/>
          <w:lang w:val="en-US" w:eastAsia="en-GB"/>
        </w:rPr>
      </w:pPr>
      <w:r w:rsidRPr="00C603B7">
        <w:rPr>
          <w:rFonts w:eastAsia="Calibri" w:cs="Calibri"/>
          <w:color w:val="000000"/>
          <w:u w:color="000000"/>
          <w:bdr w:val="nil"/>
          <w:lang w:val="en-US" w:eastAsia="en-GB"/>
        </w:rPr>
        <w:t xml:space="preserve">In this chapter our aim was to correlate perfusion findings described in Chapters 4 and 5 with </w:t>
      </w:r>
      <w:r w:rsidRPr="00C603B7">
        <w:rPr>
          <w:rFonts w:eastAsia="Calibri" w:cs="Calibri"/>
          <w:color w:val="000000"/>
          <w:u w:color="000000"/>
          <w:bdr w:val="nil"/>
          <w:vertAlign w:val="superscript"/>
          <w:lang w:val="en-US" w:eastAsia="en-GB"/>
        </w:rPr>
        <w:t>1</w:t>
      </w:r>
      <w:r w:rsidRPr="00C603B7">
        <w:rPr>
          <w:rFonts w:eastAsia="Calibri" w:cs="Calibri"/>
          <w:color w:val="000000"/>
          <w:u w:color="000000"/>
          <w:bdr w:val="nil"/>
          <w:lang w:val="en-US" w:eastAsia="en-GB"/>
        </w:rPr>
        <w:t>H</w:t>
      </w:r>
      <w:r w:rsidR="00A33050">
        <w:rPr>
          <w:rFonts w:eastAsia="Calibri" w:cs="Calibri"/>
          <w:color w:val="000000"/>
          <w:u w:color="000000"/>
          <w:bdr w:val="nil"/>
          <w:lang w:val="en-US" w:eastAsia="en-GB"/>
        </w:rPr>
        <w:t>-</w:t>
      </w:r>
      <w:r w:rsidRPr="00C603B7">
        <w:rPr>
          <w:rFonts w:eastAsia="Calibri" w:cs="Calibri"/>
          <w:color w:val="000000"/>
          <w:u w:color="000000"/>
          <w:bdr w:val="nil"/>
          <w:lang w:val="en-US" w:eastAsia="en-GB"/>
        </w:rPr>
        <w:t>MRS.  In order to fulfil this aim, the subjects underwent an H</w:t>
      </w:r>
      <w:r w:rsidRPr="00C603B7">
        <w:rPr>
          <w:rFonts w:eastAsia="Calibri" w:cs="Calibri"/>
          <w:color w:val="000000"/>
          <w:u w:color="000000"/>
          <w:bdr w:val="nil"/>
          <w:vertAlign w:val="superscript"/>
          <w:lang w:val="en-US" w:eastAsia="en-GB"/>
        </w:rPr>
        <w:t>1</w:t>
      </w:r>
      <w:r w:rsidRPr="00C603B7">
        <w:rPr>
          <w:rFonts w:eastAsia="Calibri" w:cs="Calibri"/>
          <w:color w:val="000000"/>
          <w:u w:color="000000"/>
          <w:bdr w:val="nil"/>
          <w:lang w:val="en-US" w:eastAsia="en-GB"/>
        </w:rPr>
        <w:t xml:space="preserve">-MRS scan of the left thalamus to measure the metabolites N- acetyl aspartate (NAA), Choline (Cho) and Creatine (Cr). </w:t>
      </w:r>
      <w:r w:rsidR="00A33050">
        <w:rPr>
          <w:vertAlign w:val="superscript"/>
        </w:rPr>
        <w:t>1</w:t>
      </w:r>
      <w:r w:rsidR="00A33050" w:rsidRPr="00427FEA">
        <w:t>H</w:t>
      </w:r>
      <w:r w:rsidR="00A33050">
        <w:t>-</w:t>
      </w:r>
      <w:r w:rsidR="00A33050" w:rsidRPr="00427FEA">
        <w:t xml:space="preserve">MRS </w:t>
      </w:r>
      <w:r w:rsidRPr="00C603B7">
        <w:rPr>
          <w:rFonts w:eastAsia="Calibri" w:cs="Calibri"/>
          <w:color w:val="000000"/>
          <w:u w:color="000000"/>
          <w:bdr w:val="nil"/>
          <w:lang w:val="en-US" w:eastAsia="en-GB"/>
        </w:rPr>
        <w:t>spectra have been used to infer neurochemical activity in the brain in-vivo.  The method involves using frequency information to identify compounds that have an MR active nucleus (containing protons H</w:t>
      </w:r>
      <w:r w:rsidRPr="00C603B7">
        <w:rPr>
          <w:rFonts w:eastAsia="Calibri" w:cs="Calibri"/>
          <w:color w:val="000000"/>
          <w:u w:color="000000"/>
          <w:bdr w:val="nil"/>
          <w:vertAlign w:val="superscript"/>
          <w:lang w:val="en-US" w:eastAsia="en-GB"/>
        </w:rPr>
        <w:t>1</w:t>
      </w:r>
      <w:r w:rsidRPr="00C603B7">
        <w:rPr>
          <w:rFonts w:eastAsia="Calibri" w:cs="Calibri"/>
          <w:color w:val="000000"/>
          <w:u w:color="000000"/>
          <w:bdr w:val="nil"/>
          <w:lang w:val="en-US" w:eastAsia="en-GB"/>
        </w:rPr>
        <w:t>, carbon</w:t>
      </w:r>
      <w:r w:rsidRPr="00C603B7">
        <w:rPr>
          <w:rFonts w:eastAsia="Calibri" w:cs="Calibri"/>
          <w:color w:val="000000"/>
          <w:u w:color="000000"/>
          <w:bdr w:val="nil"/>
          <w:vertAlign w:val="superscript"/>
          <w:lang w:val="en-US" w:eastAsia="en-GB"/>
        </w:rPr>
        <w:t>14</w:t>
      </w:r>
      <w:r w:rsidRPr="00C603B7">
        <w:rPr>
          <w:rFonts w:eastAsia="Calibri" w:cs="Calibri"/>
          <w:color w:val="000000"/>
          <w:u w:color="000000"/>
          <w:bdr w:val="nil"/>
          <w:lang w:val="en-US" w:eastAsia="en-GB"/>
        </w:rPr>
        <w:t xml:space="preserve"> or phosphorous</w:t>
      </w:r>
      <w:r w:rsidRPr="00C603B7">
        <w:rPr>
          <w:rFonts w:eastAsia="Calibri" w:cs="Calibri"/>
          <w:color w:val="000000"/>
          <w:u w:color="000000"/>
          <w:bdr w:val="nil"/>
          <w:vertAlign w:val="superscript"/>
          <w:lang w:val="en-US" w:eastAsia="en-GB"/>
        </w:rPr>
        <w:t>31</w:t>
      </w:r>
      <w:r w:rsidRPr="00C603B7">
        <w:rPr>
          <w:rFonts w:eastAsia="Calibri" w:cs="Calibri"/>
          <w:color w:val="000000"/>
          <w:u w:color="000000"/>
          <w:bdr w:val="nil"/>
          <w:lang w:val="en-US" w:eastAsia="en-GB"/>
        </w:rPr>
        <w:t xml:space="preserve">) that are present in the area of interest.  The electrical cloud surrounding different compounds shield resonant atoms specific to their composition, which generates differing frequencies, measurable by MR. The MR output measures relative proton signal at designated frequencies of known CNS metabolites.  Due to the abundance of water and fat, these spectra need to be suppressed in order to read the frequencies of other less abundant molecules </w:t>
      </w:r>
      <w:r w:rsidRPr="00C603B7">
        <w:rPr>
          <w:rFonts w:eastAsia="Arial" w:cs="Arial"/>
          <w:color w:val="000000"/>
          <w:u w:color="000000"/>
          <w:bdr w:val="nil"/>
          <w:lang w:val="it-IT" w:eastAsia="en-GB"/>
        </w:rPr>
        <w:fldChar w:fldCharType="begin"/>
      </w:r>
      <w:r w:rsidRPr="00C603B7">
        <w:rPr>
          <w:rFonts w:eastAsia="Arial" w:cs="Arial"/>
          <w:color w:val="000000"/>
          <w:u w:color="000000"/>
          <w:bdr w:val="nil"/>
          <w:lang w:val="it-IT" w:eastAsia="en-GB"/>
        </w:rPr>
        <w:instrText xml:space="preserve"> ADDIN EN.CITE &lt;EndNote&gt;&lt;Cite  &gt;&lt;Author&gt;Graaf&lt;/Author&gt;&lt;Year&gt;2010&lt;/Year&gt;&lt;RecNum&gt;1199&lt;/RecNum&gt;&lt;DisplayText&gt;(Graaf, 2010, Tognarelli et al., 2015)&lt;/DisplayText&gt;&lt;record&gt;&lt;keywords&gt;&lt;keyword&gt;Magnetic resonance spectroscopy&lt;/keyword&gt;&lt;keyword&gt;Human&lt;/keyword&gt;&lt;keyword&gt;Methodology&lt;/keyword&gt;&lt;keyword&gt;Inborn error&lt;/keyword&gt;&lt;keyword&gt;Metabolism&lt;/keyword&gt;&lt;keyword&gt;Brain tumor&lt;/keyword&gt;&lt;/keywords&gt;&lt;isbn&gt;0175-7571&lt;/isbn&gt;&lt;titles&gt;&lt;title&gt;In vivo magnetic resonance spectroscopy: basic methodology and clinical applications&lt;/title&gt;&lt;secondary-title&gt;with Biophysics Letters&lt;/secondary-title&gt;&lt;/titles&gt;&lt;pages&gt;527-540&lt;/pages&gt;&lt;number&gt;4&lt;/number&gt;&lt;contributors&gt;&lt;authors&gt;&lt;author&gt;Graaf, Marinette&lt;/author&gt;&lt;/authors&gt;&lt;/contributors&gt;&lt;added-date format="utc"&gt;1573819770&lt;/added-date&gt;&lt;pub-location&gt;Berlin/Heidelberg&lt;/pub-location&gt;&lt;ref-type name="Journal Article"&gt;17&lt;/ref-type&gt;&lt;dates&gt;&lt;year&gt;2010&lt;/year&gt;&lt;/dates&gt;&lt;rec-number&gt;1199&lt;/rec-number&gt;&lt;last-updated-date format="utc"&gt;1573819770&lt;/last-updated-date&gt;&lt;electronic-resource-num&gt;10.1007/s00249-009-0517-y&lt;/electronic-resource-num&gt;&lt;volume&gt;39&lt;/volume&gt;&lt;/record&gt;&lt;/Cite&gt;&lt;Cite  &gt;&lt;Author&gt;Tognarelli&lt;/Author&gt;&lt;Year&gt;2015&lt;/Year&gt;&lt;RecNum&gt;1200&lt;/RecNum&gt;&lt;record&gt;&lt;keywords&gt;&lt;keyword&gt;Nuclear Magnetic Resonance&lt;/keyword&gt;&lt;keyword&gt;Magnetic Resonance Imaging&lt;/keyword&gt;&lt;keyword&gt;Magnetic Resonance Spectroscopy&lt;/keyword&gt;&lt;keyword&gt;Metabolomics&lt;/keyword&gt;&lt;keyword&gt;Medicine&lt;/keyword&gt;&lt;/keywords&gt;&lt;isbn&gt;0973-6883&lt;/isbn&gt;&lt;titles&gt;&lt;title&gt;Magnetic Resonance Spectroscopy: Principles and Techniques: Lessons for Clinicians&lt;/title&gt;&lt;secondary-title&gt;Journal of Clinical and Experimental Hepatology&lt;/secondary-title&gt;&lt;/titles&gt;&lt;pages&gt;320-328&lt;/pages&gt;&lt;number&gt;4&lt;/number&gt;&lt;contributors&gt;&lt;authors&gt;&lt;author&gt;Tognarelli, Joshua M.&lt;/author&gt;&lt;author&gt;Dawood, Mahvish&lt;/author&gt;&lt;author&gt;Shariff, Mohamed I. F.&lt;/author&gt;&lt;author&gt;Grover, Vijay P. B.&lt;/author&gt;&lt;author&gt;Crossey, Mary M. E.&lt;/author&gt;&lt;author&gt;Cox, I. Jane&lt;/author&gt;&lt;author&gt;Taylor-Robinson, Simon D.&lt;/author&gt;&lt;author&gt;McPhail, Mark J. W.&lt;/author&gt;&lt;/authors&gt;&lt;/contributors&gt;&lt;added-date format="utc"&gt;1573819866&lt;/added-date&gt;&lt;ref-type name="Journal Article"&gt;17&lt;/ref-type&gt;&lt;dates&gt;&lt;year&gt;2015&lt;/year&gt;&lt;/dates&gt;&lt;rec-number&gt;1200&lt;/rec-number&gt;&lt;last-updated-date format="utc"&gt;1573819866&lt;/last-updated-date&gt;&lt;electronic-resource-num&gt;10.1016/j.jceh.2015.10.006&lt;/electronic-resource-num&gt;&lt;volume&gt;5&lt;/volume&gt;&lt;/record&gt;&lt;/Cite&gt;&lt;/EndNote&gt;</w:instrText>
      </w:r>
      <w:r w:rsidRPr="00C603B7">
        <w:rPr>
          <w:rFonts w:eastAsia="Arial" w:cs="Arial"/>
          <w:color w:val="000000"/>
          <w:u w:color="000000"/>
          <w:bdr w:val="nil"/>
          <w:lang w:val="it-IT" w:eastAsia="en-GB"/>
        </w:rPr>
        <w:fldChar w:fldCharType="separate"/>
      </w:r>
      <w:r w:rsidRPr="00C603B7">
        <w:rPr>
          <w:rFonts w:eastAsia="Calibri" w:cs="Calibri"/>
          <w:color w:val="000000"/>
          <w:u w:color="000000"/>
          <w:bdr w:val="nil"/>
          <w:lang w:val="it-IT" w:eastAsia="en-GB"/>
        </w:rPr>
        <w:t>(Graaf, 2010, Tognarelli et al., 2015)</w:t>
      </w:r>
      <w:r w:rsidRPr="00C603B7">
        <w:rPr>
          <w:rFonts w:eastAsia="Arial" w:cs="Arial"/>
          <w:color w:val="000000"/>
          <w:u w:color="000000"/>
          <w:bdr w:val="nil"/>
          <w:lang w:val="it-IT" w:eastAsia="en-GB"/>
        </w:rPr>
        <w:fldChar w:fldCharType="end"/>
      </w:r>
      <w:r w:rsidRPr="00C603B7">
        <w:rPr>
          <w:rFonts w:eastAsia="Calibri" w:cs="Calibri"/>
          <w:color w:val="000000"/>
          <w:u w:color="000000"/>
          <w:bdr w:val="nil"/>
          <w:lang w:val="en-US" w:eastAsia="en-GB"/>
        </w:rPr>
        <w:t>.</w:t>
      </w:r>
    </w:p>
    <w:p w14:paraId="10BB5F05" w14:textId="621C5955" w:rsidR="00C603B7" w:rsidRPr="00C603B7" w:rsidRDefault="00C603B7" w:rsidP="00C603B7">
      <w:pPr>
        <w:pBdr>
          <w:top w:val="nil"/>
          <w:left w:val="nil"/>
          <w:bottom w:val="nil"/>
          <w:right w:val="nil"/>
          <w:between w:val="nil"/>
          <w:bar w:val="nil"/>
        </w:pBdr>
        <w:spacing w:line="360" w:lineRule="auto"/>
        <w:rPr>
          <w:rFonts w:eastAsia="Arial" w:cs="Arial"/>
          <w:color w:val="000000"/>
          <w:u w:color="000000"/>
          <w:bdr w:val="nil"/>
          <w:lang w:val="en-US" w:eastAsia="en-GB"/>
        </w:rPr>
      </w:pPr>
      <w:r w:rsidRPr="00C603B7">
        <w:rPr>
          <w:rFonts w:eastAsia="Calibri" w:cs="Calibri"/>
          <w:color w:val="000000"/>
          <w:u w:color="000000"/>
          <w:bdr w:val="nil"/>
          <w:lang w:val="en-US" w:eastAsia="en-GB"/>
        </w:rPr>
        <w:t xml:space="preserve">Various metabolites can be measured. N-acetyl aspartate (NAA) is the most abundant metabolite which can be measured in the brain spectra.  This metabolite is only generated by neurons and therefore levels are used to infer neuronal function.  NAA is generated from mitochondrial acetyl co-A and aspartate </w:t>
      </w:r>
      <w:r w:rsidRPr="00C603B7">
        <w:rPr>
          <w:rFonts w:eastAsia="Arial" w:cs="Arial"/>
          <w:color w:val="000000"/>
          <w:u w:color="000000"/>
          <w:bdr w:val="nil"/>
          <w:lang w:val="en-US" w:eastAsia="en-GB"/>
        </w:rPr>
        <w:fldChar w:fldCharType="begin"/>
      </w:r>
      <w:r w:rsidRPr="00C603B7">
        <w:rPr>
          <w:rFonts w:eastAsia="Arial" w:cs="Arial"/>
          <w:color w:val="000000"/>
          <w:u w:color="000000"/>
          <w:bdr w:val="nil"/>
          <w:lang w:val="en-US" w:eastAsia="en-GB"/>
        </w:rPr>
        <w:instrText xml:space="preserve"> ADDIN EN.CITE &lt;EndNote&gt;&lt;Cite  &gt;&lt;Author&gt;Baslow&lt;/Author&gt;&lt;Year&gt;2003&lt;/Year&gt;&lt;RecNum&gt;1204&lt;/RecNum&gt;&lt;DisplayText&gt;(Baslow, 2003)&lt;/DisplayText&gt;&lt;record&gt;&lt;keywords&gt;&lt;keyword&gt;-Acetyl-l-aspartate&lt;/keyword&gt;&lt;keyword&gt;-acetylaspartylglutamate&lt;/keyword&gt;&lt;keyword&gt;astrocytes&lt;/keyword&gt;&lt;keyword&gt;cerebral metabolism&lt;/keyword&gt;&lt;keyword&gt;Canavan disease&lt;/keyword&gt;&lt;keyword&gt;hypoacetylaspartia&lt;/keyword&gt;&lt;keyword&gt;molecular water pumps&lt;/keyword&gt;&lt;keyword&gt;neurons, oligodendrocytes&lt;/keyword&gt;&lt;/keywords&gt;&lt;isbn&gt;0364-3190&lt;/isbn&gt;&lt;titles&gt;&lt;title&gt;N -Acetylaspartate in the Vertebrate Brain: Metabolism and Function&lt;/title&gt;&lt;secondary-title&gt;Neurochemical Research&lt;/secondary-title&gt;&lt;/titles&gt;&lt;pages&gt;941-953&lt;/pages&gt;&lt;number&gt;6&lt;/number&gt;&lt;contributors&gt;&lt;authors&gt;&lt;author&gt;Baslow, Morris&lt;/author&gt;&lt;/authors&gt;&lt;/contributors&gt;&lt;added-date format="utc"&gt;1573823053&lt;/added-date&gt;&lt;pub-location&gt;New York&lt;/pub-location&gt;&lt;ref-type name="Journal Article"&gt;17&lt;/ref-type&gt;&lt;dates&gt;&lt;year&gt;2003&lt;/year&gt;&lt;/dates&gt;&lt;rec-number&gt;1204&lt;/rec-number&gt;&lt;last-updated-date format="utc"&gt;1573823053&lt;/last-updated-date&gt;&lt;electronic-resource-num&gt;10.1023/A:1023250721185&lt;/electronic-resource-num&gt;&lt;volume&gt;28&lt;/volume&gt;&lt;/record&gt;&lt;/Cite&gt;&lt;/EndNote&gt;</w:instrText>
      </w:r>
      <w:r w:rsidRPr="00C603B7">
        <w:rPr>
          <w:rFonts w:eastAsia="Arial" w:cs="Arial"/>
          <w:color w:val="000000"/>
          <w:u w:color="000000"/>
          <w:bdr w:val="nil"/>
          <w:lang w:val="en-US" w:eastAsia="en-GB"/>
        </w:rPr>
        <w:fldChar w:fldCharType="separate"/>
      </w:r>
      <w:r w:rsidRPr="00C603B7">
        <w:rPr>
          <w:rFonts w:eastAsia="Calibri" w:cs="Calibri"/>
          <w:color w:val="000000"/>
          <w:u w:color="000000"/>
          <w:bdr w:val="nil"/>
          <w:lang w:val="en-US" w:eastAsia="en-GB"/>
        </w:rPr>
        <w:t>(Baslow, 2003)</w:t>
      </w:r>
      <w:r w:rsidRPr="00C603B7">
        <w:rPr>
          <w:rFonts w:eastAsia="Arial" w:cs="Arial"/>
          <w:color w:val="000000"/>
          <w:u w:color="000000"/>
          <w:bdr w:val="nil"/>
          <w:lang w:val="en-US" w:eastAsia="en-GB"/>
        </w:rPr>
        <w:fldChar w:fldCharType="end"/>
      </w:r>
      <w:r w:rsidRPr="00C603B7">
        <w:rPr>
          <w:rFonts w:eastAsia="Calibri" w:cs="Calibri"/>
          <w:color w:val="000000"/>
          <w:u w:color="000000"/>
          <w:bdr w:val="nil"/>
          <w:lang w:val="en-US" w:eastAsia="en-GB"/>
        </w:rPr>
        <w:t xml:space="preserve">.  Decreased levels of NAA have been reported in many diseases including schizophrenia, stroke, traumatic brain injury, depression and brain </w:t>
      </w:r>
      <w:proofErr w:type="spellStart"/>
      <w:r w:rsidRPr="00C603B7">
        <w:rPr>
          <w:rFonts w:eastAsia="Calibri" w:cs="Calibri"/>
          <w:color w:val="000000"/>
          <w:u w:color="000000"/>
          <w:bdr w:val="nil"/>
          <w:lang w:val="en-US" w:eastAsia="en-GB"/>
        </w:rPr>
        <w:t>tumours</w:t>
      </w:r>
      <w:proofErr w:type="spellEnd"/>
      <w:r w:rsidRPr="00C603B7">
        <w:rPr>
          <w:rFonts w:eastAsia="Calibri" w:cs="Calibri"/>
          <w:color w:val="000000"/>
          <w:u w:color="000000"/>
          <w:bdr w:val="nil"/>
          <w:lang w:val="en-US" w:eastAsia="en-GB"/>
        </w:rPr>
        <w:t xml:space="preserve"> </w:t>
      </w:r>
      <w:r w:rsidRPr="00C603B7">
        <w:rPr>
          <w:rFonts w:eastAsia="Arial" w:cs="Arial"/>
          <w:color w:val="000000"/>
          <w:u w:color="000000"/>
          <w:bdr w:val="nil"/>
          <w:lang w:val="pt-PT" w:eastAsia="en-GB"/>
        </w:rPr>
        <w:fldChar w:fldCharType="begin">
          <w:fldData xml:space="preserve">PEVuZE5vdGU+PENpdGU+PEF1dGhvcj5HcmFhZjwvQXV0aG9yPjxZZWFyPjIwMTA8L1llYXI+PFJl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</w:fldData>
        </w:fldChar>
      </w:r>
      <w:r w:rsidR="00BB7724">
        <w:rPr>
          <w:rFonts w:eastAsia="Arial" w:cs="Arial"/>
          <w:color w:val="000000"/>
          <w:u w:color="000000"/>
          <w:bdr w:val="nil"/>
          <w:lang w:val="pt-PT" w:eastAsia="en-GB"/>
        </w:rPr>
        <w:instrText xml:space="preserve"> ADDIN EN.CITE </w:instrText>
      </w:r>
      <w:r w:rsidR="00BB7724">
        <w:rPr>
          <w:rFonts w:eastAsia="Arial" w:cs="Arial"/>
          <w:color w:val="000000"/>
          <w:u w:color="000000"/>
          <w:bdr w:val="nil"/>
          <w:lang w:val="pt-PT" w:eastAsia="en-GB"/>
        </w:rPr>
        <w:fldChar w:fldCharType="begin">
          <w:fldData xml:space="preserve">PEVuZE5vdGU+PENpdGU+PEF1dGhvcj5HcmFhZjwvQXV0aG9yPjxZZWFyPjIwMTA8L1llYXI+PFJl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</w:fldData>
        </w:fldChar>
      </w:r>
      <w:r w:rsidR="00BB7724">
        <w:rPr>
          <w:rFonts w:eastAsia="Arial" w:cs="Arial"/>
          <w:color w:val="000000"/>
          <w:u w:color="000000"/>
          <w:bdr w:val="nil"/>
          <w:lang w:val="pt-PT" w:eastAsia="en-GB"/>
        </w:rPr>
        <w:instrText xml:space="preserve"> ADDIN EN.CITE.DATA </w:instrText>
      </w:r>
      <w:r w:rsidR="00BB7724">
        <w:rPr>
          <w:rFonts w:eastAsia="Arial" w:cs="Arial"/>
          <w:color w:val="000000"/>
          <w:u w:color="000000"/>
          <w:bdr w:val="nil"/>
          <w:lang w:val="pt-PT" w:eastAsia="en-GB"/>
        </w:rPr>
      </w:r>
      <w:r w:rsidR="00BB7724">
        <w:rPr>
          <w:rFonts w:eastAsia="Arial" w:cs="Arial"/>
          <w:color w:val="000000"/>
          <w:u w:color="000000"/>
          <w:bdr w:val="nil"/>
          <w:lang w:val="pt-PT" w:eastAsia="en-GB"/>
        </w:rPr>
        <w:fldChar w:fldCharType="end"/>
      </w:r>
      <w:r w:rsidRPr="00C603B7">
        <w:rPr>
          <w:rFonts w:eastAsia="Arial" w:cs="Arial"/>
          <w:color w:val="000000"/>
          <w:u w:color="000000"/>
          <w:bdr w:val="nil"/>
          <w:lang w:val="pt-PT" w:eastAsia="en-GB"/>
        </w:rPr>
      </w:r>
      <w:r w:rsidRPr="00C603B7">
        <w:rPr>
          <w:rFonts w:eastAsia="Arial" w:cs="Arial"/>
          <w:color w:val="000000"/>
          <w:u w:color="000000"/>
          <w:bdr w:val="nil"/>
          <w:lang w:val="pt-PT" w:eastAsia="en-GB"/>
        </w:rPr>
        <w:fldChar w:fldCharType="separate"/>
      </w:r>
      <w:r w:rsidR="00BB7724">
        <w:rPr>
          <w:rFonts w:eastAsia="Arial" w:cs="Arial"/>
          <w:noProof/>
          <w:color w:val="000000"/>
          <w:u w:color="000000"/>
          <w:bdr w:val="nil"/>
          <w:lang w:val="pt-PT" w:eastAsia="en-GB"/>
        </w:rPr>
        <w:t>(Graaf, 2010, Duarte et al., 2012)</w:t>
      </w:r>
      <w:r w:rsidRPr="00C603B7">
        <w:rPr>
          <w:rFonts w:eastAsia="Arial" w:cs="Arial"/>
          <w:color w:val="000000"/>
          <w:u w:color="000000"/>
          <w:bdr w:val="nil"/>
          <w:lang w:val="pt-PT" w:eastAsia="en-GB"/>
        </w:rPr>
        <w:fldChar w:fldCharType="end"/>
      </w:r>
      <w:r w:rsidRPr="00C603B7">
        <w:rPr>
          <w:rFonts w:eastAsia="Calibri" w:cs="Calibri"/>
          <w:color w:val="000000"/>
          <w:u w:color="000000"/>
          <w:bdr w:val="nil"/>
          <w:lang w:val="en-US" w:eastAsia="en-GB"/>
        </w:rPr>
        <w:t xml:space="preserve">, but as these levels may recover </w:t>
      </w:r>
      <w:r w:rsidRPr="00C603B7">
        <w:rPr>
          <w:rFonts w:eastAsia="Arial" w:cs="Arial"/>
          <w:color w:val="000000"/>
          <w:u w:color="000000"/>
          <w:bdr w:val="nil"/>
          <w:lang w:val="it-IT" w:eastAsia="en-GB"/>
        </w:rPr>
        <w:fldChar w:fldCharType="begin"/>
      </w:r>
      <w:r w:rsidRPr="00C603B7">
        <w:rPr>
          <w:rFonts w:eastAsia="Arial" w:cs="Arial"/>
          <w:color w:val="000000"/>
          <w:u w:color="000000"/>
          <w:bdr w:val="nil"/>
          <w:lang w:val="it-IT" w:eastAsia="en-GB"/>
        </w:rPr>
        <w:instrText xml:space="preserve"> ADDIN EN.CITE &lt;EndNote&gt;&lt;Cite  &gt;&lt;Author&gt;Stefano&lt;/Author&gt;&lt;Year&gt;1995&lt;/Year&gt;&lt;DisplayText&gt;(Stefano et al., 1995)&lt;/DisplayText&gt;&lt;record&gt;&lt;keywords&gt;&lt;keyword&gt;</w:instrText>
      </w:r>
      <w:r w:rsidRPr="00C603B7">
        <w:rPr>
          <w:rFonts w:ascii="Cambria Math" w:eastAsia="Arial" w:hAnsi="Cambria Math" w:cs="Cambria Math"/>
          <w:color w:val="000000"/>
          <w:u w:color="000000"/>
          <w:bdr w:val="nil"/>
          <w:lang w:val="it-IT" w:eastAsia="en-GB"/>
        </w:rPr>
        <w:instrText>‐</w:instrText>
      </w:r>
      <w:r w:rsidRPr="00C603B7">
        <w:rPr>
          <w:rFonts w:eastAsia="Arial" w:cs="Arial"/>
          <w:color w:val="000000"/>
          <w:u w:color="000000"/>
          <w:bdr w:val="nil"/>
          <w:lang w:val="it-IT" w:eastAsia="en-GB"/>
        </w:rPr>
        <w:instrText xml:space="preserve">Acetylaspartate&lt;/keyword&gt;&lt;keyword&gt;Magnetic Resonance Spectroscopy&lt;/keyword&gt;&lt;keyword&gt;Brain&lt;/keyword&gt;&lt;keyword&gt;Neurons&lt;/keyword&gt;&lt;/keywords&gt;&lt;isbn&gt;0740-3194&lt;/isbn&gt;&lt;titles&gt;&lt;title&gt;Reversible decreases in N </w:instrText>
      </w:r>
      <w:r w:rsidRPr="00C603B7">
        <w:rPr>
          <w:rFonts w:ascii="Cambria Math" w:eastAsia="Arial" w:hAnsi="Cambria Math" w:cs="Cambria Math"/>
          <w:color w:val="000000"/>
          <w:u w:color="000000"/>
          <w:bdr w:val="nil"/>
          <w:lang w:val="it-IT" w:eastAsia="en-GB"/>
        </w:rPr>
        <w:instrText>‐</w:instrText>
      </w:r>
      <w:r w:rsidRPr="00C603B7">
        <w:rPr>
          <w:rFonts w:eastAsia="Arial" w:cs="Arial"/>
          <w:color w:val="000000"/>
          <w:u w:color="000000"/>
          <w:bdr w:val="nil"/>
          <w:lang w:val="it-IT" w:eastAsia="en-GB"/>
        </w:rPr>
        <w:instrText>acetylaspartate after acute brain injury&lt;/title&gt;&lt;secondary-title&gt;Magnetic Resonance in Medicine&lt;/secondary-title&gt;&lt;/titles&gt;&lt;pages&gt;721-727&lt;/pages&gt;&lt;number&gt;5&lt;/number&gt;&lt;contributors&gt;&lt;authors&gt;&lt;author&gt;Stefano, Nicola De&lt;/author&gt;&lt;author&gt;Matthews, Paul M.&lt;/author&gt;&lt;author&gt;Arnold, Douglas L.&lt;/author&gt;&lt;/authors&gt;&lt;/contributors&gt;&lt;added-date format="utc"&gt;1573822897&lt;/added-date&gt;&lt;pub-location&gt;Baltimore&lt;/pub-location&gt;&lt;ref-type name="Journal Article"&gt;17&lt;/ref-type&gt;&lt;dates&gt;&lt;year&gt;1995&lt;/year&gt;&lt;/dates&gt;&lt;rec-number&gt;1203&lt;/rec-number&gt;&lt;last-updated-date format="utc"&gt;1573822897&lt;/last-updated-date&gt;&lt;electronic-resource-num&gt;10.1002/mrm.1910340511&lt;/electronic-resource-num&gt;&lt;volume&gt;34&lt;/volume&gt;&lt;/record&gt;&lt;/Cite&gt;&lt;/EndNote&gt;</w:instrText>
      </w:r>
      <w:r w:rsidRPr="00C603B7">
        <w:rPr>
          <w:rFonts w:eastAsia="Arial" w:cs="Arial"/>
          <w:color w:val="000000"/>
          <w:u w:color="000000"/>
          <w:bdr w:val="nil"/>
          <w:lang w:val="it-IT" w:eastAsia="en-GB"/>
        </w:rPr>
        <w:fldChar w:fldCharType="separate"/>
      </w:r>
      <w:r w:rsidRPr="00C603B7">
        <w:rPr>
          <w:rFonts w:eastAsia="Calibri" w:cs="Calibri"/>
          <w:color w:val="000000"/>
          <w:u w:color="000000"/>
          <w:bdr w:val="nil"/>
          <w:lang w:val="it-IT" w:eastAsia="en-GB"/>
        </w:rPr>
        <w:t>(Stefano et al., 1995)</w:t>
      </w:r>
      <w:r w:rsidRPr="00C603B7">
        <w:rPr>
          <w:rFonts w:eastAsia="Arial" w:cs="Arial"/>
          <w:color w:val="000000"/>
          <w:u w:color="000000"/>
          <w:bdr w:val="nil"/>
          <w:lang w:val="it-IT" w:eastAsia="en-GB"/>
        </w:rPr>
        <w:fldChar w:fldCharType="end"/>
      </w:r>
      <w:r w:rsidRPr="00C603B7">
        <w:rPr>
          <w:rFonts w:eastAsia="Calibri" w:cs="Calibri"/>
          <w:color w:val="000000"/>
          <w:u w:color="000000"/>
          <w:bdr w:val="nil"/>
          <w:lang w:val="en-US" w:eastAsia="en-GB"/>
        </w:rPr>
        <w:t xml:space="preserve">, it is thought that NAA may be a marker of neuronal function as opposed to neuronal number </w:t>
      </w:r>
      <w:r w:rsidRPr="00C603B7">
        <w:rPr>
          <w:rFonts w:eastAsia="Arial" w:cs="Arial"/>
          <w:color w:val="000000"/>
          <w:u w:color="000000"/>
          <w:bdr w:val="nil"/>
          <w:lang w:val="en-US" w:eastAsia="en-GB"/>
        </w:rPr>
        <w:fldChar w:fldCharType="begin"/>
      </w:r>
      <w:r w:rsidRPr="00C603B7">
        <w:rPr>
          <w:rFonts w:eastAsia="Arial" w:cs="Arial"/>
          <w:color w:val="000000"/>
          <w:u w:color="000000"/>
          <w:bdr w:val="nil"/>
          <w:lang w:val="en-US" w:eastAsia="en-GB"/>
        </w:rPr>
        <w:instrText xml:space="preserve"> ADDIN EN.CITE &lt;EndNote&gt;&lt;Cite  &gt;&lt;Author&gt;Barker&lt;/Author&gt;&lt;Year&gt;2001&lt;/Year&gt;&lt;RecNum&gt;1205&lt;/RecNum&gt;&lt;DisplayText&gt;(Barker, 2001, Barker and Lin, 2006)&lt;/DisplayText&gt;&lt;record&gt;&lt;keywords&gt;&lt;keyword&gt;Biomarkers&lt;/keyword&gt;&lt;keyword&gt;Magnetic Resonance Spectroscopy&lt;/keyword&gt;&lt;keyword&gt;Aspartic Acid -- Analogs &amp;amp; Derivatives&lt;/keyword&gt;&lt;keyword&gt;Brain -- Metabolism&lt;/keyword&gt;&lt;keyword&gt;Nervous System Diseases -- Metabolism&lt;/keyword&gt;&lt;/keywords&gt;&lt;isbn&gt;0364-5134&lt;/isbn&gt;&lt;titles&gt;&lt;title&gt;N-acetyl aspartate - A neuronal marker?&lt;/title&gt;&lt;secondary-title&gt;Ann. Neurol.&lt;/secondary-title&gt;&lt;/titles&gt;&lt;pages&gt;423-424&lt;/pages&gt;&lt;number&gt;4&lt;/number&gt;&lt;contributors&gt;&lt;authors&gt;&lt;author&gt;Barker, Pb&lt;/author&gt;&lt;/authors&gt;&lt;/contributors&gt;&lt;added-date format="utc"&gt;1573823612&lt;/added-date&gt;&lt;ref-type name="Journal Article"&gt;17&lt;/ref-type&gt;&lt;dates&gt;&lt;year&gt;2001&lt;/year&gt;&lt;/dates&gt;&lt;rec-number&gt;1205&lt;/rec-number&gt;&lt;last-updated-date format="utc"&gt;1573823612&lt;/last-updated-date&gt;&lt;electronic-resource-num&gt;10.1002/ana.90&lt;/electronic-resource-num&gt;&lt;volume&gt;49&lt;/volume&gt;&lt;/record&gt;&lt;/Cite&gt;&lt;Cite  &gt;&lt;Author&gt;Barker&lt;/Author&gt;&lt;Year&gt;2006&lt;/Year&gt;&lt;RecNum&gt;515&lt;/RecNum&gt;&lt;record&gt;&lt;dates&gt;&lt;pub-dates&gt;&lt;date&gt;Sep&lt;/date&gt;&lt;/pub-dates&gt;&lt;year&gt;2006&lt;/year&gt;&lt;/dates&gt;&lt;urls&gt;&lt;related-urls&gt;&lt;url&gt;&amp;lt;Go to ISI&amp;gt;://WOS:000241421700001&lt;/url&gt;&lt;/related-urls&gt;&lt;/urls&gt;&lt;isbn&gt;0079-6565&lt;/isbn&gt;&lt;titles&gt;&lt;title&gt;In vivo proton MR spectroscopy of the human brain&lt;/title&gt;&lt;secondary-title&gt;Progress in Nuclear Magnetic Resonance Spectroscopy&lt;/secondary-title&gt;&lt;/titles&gt;&lt;pages&gt;99-128&lt;/pages&gt;&lt;number&gt;2&lt;/number&gt;&lt;contributors&gt;&lt;authors&gt;&lt;author&gt;Barker, P. B.&lt;/author&gt;&lt;author&gt;Lin, D. D. M.&lt;/author&gt;&lt;/authors&gt;&lt;/contributors&gt;&lt;added-date format="utc"&gt;1356978349&lt;/added-date&gt;&lt;ref-type name="Journal Article"&gt;17&lt;/ref-type&gt;&lt;rec-number&gt;515&lt;/rec-number&gt;&lt;last-updated-date format="utc"&gt;1479834139&lt;/last-updated-date&gt;&lt;accession-num&gt;WOS:000241421700001&lt;/accession-num&gt;&lt;electronic-resource-num&gt;10.1016/j.pnmrs.2006.06.002&lt;/electronic-resource-num&gt;&lt;volume&gt;49&lt;/volume&gt;&lt;/record&gt;&lt;/Cite&gt;&lt;/EndNote&gt;</w:instrText>
      </w:r>
      <w:r w:rsidRPr="00C603B7">
        <w:rPr>
          <w:rFonts w:eastAsia="Arial" w:cs="Arial"/>
          <w:color w:val="000000"/>
          <w:u w:color="000000"/>
          <w:bdr w:val="nil"/>
          <w:lang w:val="en-US" w:eastAsia="en-GB"/>
        </w:rPr>
        <w:fldChar w:fldCharType="separate"/>
      </w:r>
      <w:r w:rsidRPr="00C603B7">
        <w:rPr>
          <w:rFonts w:eastAsia="Calibri" w:cs="Calibri"/>
          <w:color w:val="000000"/>
          <w:u w:color="000000"/>
          <w:bdr w:val="nil"/>
          <w:lang w:val="en-US" w:eastAsia="en-GB"/>
        </w:rPr>
        <w:t>(Barker, 2001, Barker and Lin, 2006)</w:t>
      </w:r>
      <w:r w:rsidRPr="00C603B7">
        <w:rPr>
          <w:rFonts w:eastAsia="Arial" w:cs="Arial"/>
          <w:color w:val="000000"/>
          <w:u w:color="000000"/>
          <w:bdr w:val="nil"/>
          <w:lang w:val="en-US" w:eastAsia="en-GB"/>
        </w:rPr>
        <w:fldChar w:fldCharType="end"/>
      </w:r>
      <w:r w:rsidRPr="00C603B7">
        <w:rPr>
          <w:rFonts w:eastAsia="Calibri" w:cs="Calibri"/>
          <w:color w:val="000000"/>
          <w:u w:color="000000"/>
          <w:bdr w:val="nil"/>
          <w:lang w:val="en-US" w:eastAsia="en-GB"/>
        </w:rPr>
        <w:t xml:space="preserve">. Furthermore, there is good evidence that NAA levels are linked to the excitatory neurotransmitters, glutamate and dopamine </w:t>
      </w:r>
      <w:r w:rsidRPr="00C603B7">
        <w:rPr>
          <w:rFonts w:eastAsia="Arial" w:cs="Arial"/>
          <w:color w:val="000000"/>
          <w:u w:color="000000"/>
          <w:bdr w:val="nil"/>
          <w:lang w:val="en-US" w:eastAsia="en-GB"/>
        </w:rPr>
        <w:fldChar w:fldCharType="begin"/>
      </w:r>
      <w:r w:rsidRPr="00C603B7">
        <w:rPr>
          <w:rFonts w:eastAsia="Arial" w:cs="Arial"/>
          <w:color w:val="000000"/>
          <w:u w:color="000000"/>
          <w:bdr w:val="nil"/>
          <w:lang w:val="en-US" w:eastAsia="en-GB"/>
        </w:rPr>
        <w:instrText xml:space="preserve"> ADDIN EN.CITE &lt;EndNote&gt;&lt;Cite  &gt;&lt;Author&gt;Moffett&lt;/Author&gt;&lt;Year&gt;2013&lt;/Year&gt;&lt;RecNum&gt;1207&lt;/RecNum&gt;&lt;DisplayText&gt;(Moffett et al., 2013)&lt;/DisplayText&gt;&lt;record&gt;&lt;keywords&gt;&lt;keyword&gt;Naa&lt;/keyword&gt;&lt;keyword&gt;Acetyl Coenzyme A&lt;/keyword&gt;&lt;keyword&gt;Acetyl Coenzyme A Synthase&lt;/keyword&gt;&lt;keyword&gt;Aspartoacylase&lt;/keyword&gt;&lt;keyword&gt;Mitochondria&lt;/keyword&gt;&lt;/keywords&gt;&lt;isbn&gt;1662-6427&lt;/isbn&gt;&lt;titles&gt;&lt;title&gt;N-Acetylaspartate reductions in brain injury: impact on post-injury neuroenergetics, lipid synthesis, and protein acetylation&lt;/title&gt;&lt;secondary-title&gt;Frontiers in neuroenergetics&lt;/secondary-title&gt;&lt;/titles&gt;&lt;pages&gt;11-11&lt;/pages&gt;&lt;contributors&gt;&lt;authors&gt;&lt;author&gt;Moffett, John R.&lt;/author&gt;&lt;author&gt;Arun, Peethambaran&lt;/author&gt;&lt;author&gt;Ariyannur, Prasanth S.&lt;/author&gt;&lt;author&gt;Namboodiri, Aryan M. A.&lt;/author&gt;&lt;/authors&gt;&lt;/contributors&gt;&lt;added-date format="utc"&gt;1573826712&lt;/added-date&gt;&lt;ref-type name="Journal Article"&gt;17&lt;/ref-type&gt;&lt;dates&gt;&lt;year&gt;2013&lt;/year&gt;&lt;/dates&gt;&lt;rec-number&gt;1207&lt;/rec-number&gt;&lt;last-updated-date format="utc"&gt;1573826712&lt;/last-updated-date&gt;&lt;contributors&gt;&lt;secondary-authors&gt;&lt;author&gt;Moffett, John R.&lt;/author&gt;&lt;/secondary-authors&gt;&lt;/contributors&gt;&lt;electronic-resource-num&gt;10.3389/fnene.2013.00011&lt;/electronic-resource-num&gt;&lt;volume&gt;5&lt;/volume&gt;&lt;/record&gt;&lt;/Cite&gt;&lt;/EndNote&gt;</w:instrText>
      </w:r>
      <w:r w:rsidRPr="00C603B7">
        <w:rPr>
          <w:rFonts w:eastAsia="Arial" w:cs="Arial"/>
          <w:color w:val="000000"/>
          <w:u w:color="000000"/>
          <w:bdr w:val="nil"/>
          <w:lang w:val="en-US" w:eastAsia="en-GB"/>
        </w:rPr>
        <w:fldChar w:fldCharType="separate"/>
      </w:r>
      <w:r w:rsidRPr="00C603B7">
        <w:rPr>
          <w:rFonts w:eastAsia="Calibri" w:cs="Calibri"/>
          <w:color w:val="000000"/>
          <w:u w:color="000000"/>
          <w:bdr w:val="nil"/>
          <w:lang w:val="en-US" w:eastAsia="en-GB"/>
        </w:rPr>
        <w:t>(Moffett et al., 2013)</w:t>
      </w:r>
      <w:r w:rsidRPr="00C603B7">
        <w:rPr>
          <w:rFonts w:eastAsia="Arial" w:cs="Arial"/>
          <w:color w:val="000000"/>
          <w:u w:color="000000"/>
          <w:bdr w:val="nil"/>
          <w:lang w:val="en-US" w:eastAsia="en-GB"/>
        </w:rPr>
        <w:fldChar w:fldCharType="end"/>
      </w:r>
      <w:r w:rsidRPr="00C603B7">
        <w:rPr>
          <w:rFonts w:eastAsia="Calibri" w:cs="Calibri"/>
          <w:color w:val="000000"/>
          <w:u w:color="000000"/>
          <w:bdr w:val="nil"/>
          <w:lang w:val="en-US" w:eastAsia="en-GB"/>
        </w:rPr>
        <w:t xml:space="preserve">. This is of interest in this study as poorly functioning neurons may have lower excitatory capacity and consequently, an impaired neurovascular coupling reflex.  Choline is another marker of importance, which is thought to be involved in membrane lipid synthesis and is reported to be increased with cerebral inflammatory responses and increased cellular turnover, and increases with age </w:t>
      </w:r>
      <w:r w:rsidRPr="00C603B7">
        <w:rPr>
          <w:rFonts w:eastAsia="Arial" w:cs="Arial"/>
          <w:color w:val="000000"/>
          <w:u w:color="000000"/>
          <w:bdr w:val="nil"/>
          <w:lang w:val="en-US" w:eastAsia="en-GB"/>
        </w:rPr>
        <w:fldChar w:fldCharType="begin">
          <w:fldData xml:space="preserve">PEVuZE5vdGU+PENpdGU+PEF1dGhvcj5EdWFydGU8L0F1dGhvcj48WWVhcj4yMDEyPC9ZZWFyPjxJ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</w:fldData>
        </w:fldChar>
      </w:r>
      <w:r w:rsidR="00BB7724">
        <w:rPr>
          <w:rFonts w:eastAsia="Arial" w:cs="Arial"/>
          <w:color w:val="000000"/>
          <w:u w:color="000000"/>
          <w:bdr w:val="nil"/>
          <w:lang w:val="en-US" w:eastAsia="en-GB"/>
        </w:rPr>
        <w:instrText xml:space="preserve"> ADDIN EN.CITE </w:instrText>
      </w:r>
      <w:r w:rsidR="00BB7724">
        <w:rPr>
          <w:rFonts w:eastAsia="Arial" w:cs="Arial"/>
          <w:color w:val="000000"/>
          <w:u w:color="000000"/>
          <w:bdr w:val="nil"/>
          <w:lang w:val="en-US" w:eastAsia="en-GB"/>
        </w:rPr>
        <w:fldChar w:fldCharType="begin">
          <w:fldData xml:space="preserve">PEVuZE5vdGU+PENpdGU+PEF1dGhvcj5EdWFydGU8L0F1dGhvcj48WWVhcj4yMDEyPC9ZZWFyPjxJ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</w:fldData>
        </w:fldChar>
      </w:r>
      <w:r w:rsidR="00BB7724">
        <w:rPr>
          <w:rFonts w:eastAsia="Arial" w:cs="Arial"/>
          <w:color w:val="000000"/>
          <w:u w:color="000000"/>
          <w:bdr w:val="nil"/>
          <w:lang w:val="en-US" w:eastAsia="en-GB"/>
        </w:rPr>
        <w:instrText xml:space="preserve"> ADDIN EN.CITE.DATA </w:instrText>
      </w:r>
      <w:r w:rsidR="00BB7724">
        <w:rPr>
          <w:rFonts w:eastAsia="Arial" w:cs="Arial"/>
          <w:color w:val="000000"/>
          <w:u w:color="000000"/>
          <w:bdr w:val="nil"/>
          <w:lang w:val="en-US" w:eastAsia="en-GB"/>
        </w:rPr>
      </w:r>
      <w:r w:rsidR="00BB7724">
        <w:rPr>
          <w:rFonts w:eastAsia="Arial" w:cs="Arial"/>
          <w:color w:val="000000"/>
          <w:u w:color="000000"/>
          <w:bdr w:val="nil"/>
          <w:lang w:val="en-US" w:eastAsia="en-GB"/>
        </w:rPr>
        <w:fldChar w:fldCharType="end"/>
      </w:r>
      <w:r w:rsidRPr="00C603B7">
        <w:rPr>
          <w:rFonts w:eastAsia="Arial" w:cs="Arial"/>
          <w:color w:val="000000"/>
          <w:u w:color="000000"/>
          <w:bdr w:val="nil"/>
          <w:lang w:val="en-US" w:eastAsia="en-GB"/>
        </w:rPr>
      </w:r>
      <w:r w:rsidRPr="00C603B7">
        <w:rPr>
          <w:rFonts w:eastAsia="Arial" w:cs="Arial"/>
          <w:color w:val="000000"/>
          <w:u w:color="000000"/>
          <w:bdr w:val="nil"/>
          <w:lang w:val="en-US" w:eastAsia="en-GB"/>
        </w:rPr>
        <w:fldChar w:fldCharType="separate"/>
      </w:r>
      <w:r w:rsidR="00BB7724">
        <w:rPr>
          <w:rFonts w:eastAsia="Arial" w:cs="Arial"/>
          <w:noProof/>
          <w:color w:val="000000"/>
          <w:u w:color="000000"/>
          <w:bdr w:val="nil"/>
          <w:lang w:val="en-US" w:eastAsia="en-GB"/>
        </w:rPr>
        <w:t>(Duarte et al., 2012)</w:t>
      </w:r>
      <w:r w:rsidRPr="00C603B7">
        <w:rPr>
          <w:rFonts w:eastAsia="Arial" w:cs="Arial"/>
          <w:color w:val="000000"/>
          <w:u w:color="000000"/>
          <w:bdr w:val="nil"/>
          <w:lang w:val="en-US" w:eastAsia="en-GB"/>
        </w:rPr>
        <w:fldChar w:fldCharType="end"/>
      </w:r>
      <w:r w:rsidRPr="00C603B7">
        <w:rPr>
          <w:rFonts w:eastAsia="Calibri" w:cs="Calibri"/>
          <w:color w:val="000000"/>
          <w:u w:color="000000"/>
          <w:bdr w:val="nil"/>
          <w:lang w:val="en-US" w:eastAsia="en-GB"/>
        </w:rPr>
        <w:t xml:space="preserve">. Creatine is measured as a reference marker as it has relative stability, although it is reported to be reduced in some metabolic disorders and cancers </w:t>
      </w:r>
      <w:r w:rsidRPr="00C603B7">
        <w:rPr>
          <w:rFonts w:eastAsia="Arial" w:cs="Arial"/>
          <w:color w:val="000000"/>
          <w:u w:color="000000"/>
          <w:bdr w:val="nil"/>
          <w:lang w:val="en-US" w:eastAsia="en-GB"/>
        </w:rPr>
        <w:fldChar w:fldCharType="begin"/>
      </w:r>
      <w:r w:rsidRPr="00C603B7">
        <w:rPr>
          <w:rFonts w:eastAsia="Arial" w:cs="Arial"/>
          <w:color w:val="000000"/>
          <w:u w:color="000000"/>
          <w:bdr w:val="nil"/>
          <w:lang w:val="en-US" w:eastAsia="en-GB"/>
        </w:rPr>
        <w:instrText xml:space="preserve"> ADDIN EN.CITE &lt;EndNote&gt;&lt;Cite  &gt;&lt;Author&gt;Faghihi&lt;/Author&gt;&lt;Year&gt;2017&lt;/Year&gt;&lt;RecNum&gt;1206&lt;/RecNum&gt;&lt;DisplayText&gt;(Faghihi et al., 2017)&lt;/DisplayText&gt;&lt;record&gt;&lt;keywords&gt;&lt;keyword&gt;Magnetic Resonance Spectroscopy&lt;/keyword&gt;&lt;keyword&gt;Medical Applications&lt;/keyword&gt;&lt;keyword&gt;Review&lt;/keyword&gt;&lt;keyword&gt;Medicine&lt;/keyword&gt;&lt;/keywords&gt;&lt;isbn&gt;1939-8654&lt;/isbn&gt;&lt;titles&gt;&lt;title&gt;Magnetic Resonance Spectroscopy and its Clinical Applications: A Review&lt;/title&gt;&lt;secondary-title&gt;Journal of Medical Imaging and Radiation Sciences&lt;/secondary-title&gt;&lt;/titles&gt;&lt;pages&gt;233-253&lt;/pages&gt;&lt;number&gt;3&lt;/number&gt;&lt;contributors&gt;&lt;authors&gt;&lt;author&gt;Faghihi, Reza&lt;/author&gt;&lt;author&gt;Zeinali-Rafsanjani, Banafsheh&lt;/author&gt;&lt;author&gt;Mosleh-Shirazi, Mohammad-Amin&lt;/author&gt;&lt;author&gt;Saeedi-Moghadam, Mahdi&lt;/author&gt;&lt;author&gt;Lotfi, Mehrzad&lt;/author&gt;&lt;author&gt;Jalli, Reza&lt;/author&gt;&lt;author&gt;Iravani, Vida&lt;/author&gt;&lt;/authors&gt;&lt;/contributors&gt;&lt;added-date format="utc"&gt;1573824723&lt;/added-date&gt;&lt;ref-type name="Journal Article"&gt;17&lt;/ref-type&gt;&lt;dates&gt;&lt;year&gt;2017&lt;/year&gt;&lt;/dates&gt;&lt;rec-number&gt;1206&lt;/rec-number&gt;&lt;last-updated-date format="utc"&gt;1573824723&lt;/last-updated-date&gt;&lt;electronic-resource-num&gt;10.1016/j.jmir.2017.06.004&lt;/electronic-resource-num&gt;&lt;volume&gt;48&lt;/volume&gt;&lt;/record&gt;&lt;/Cite&gt;&lt;/EndNote&gt;</w:instrText>
      </w:r>
      <w:r w:rsidRPr="00C603B7">
        <w:rPr>
          <w:rFonts w:eastAsia="Arial" w:cs="Arial"/>
          <w:color w:val="000000"/>
          <w:u w:color="000000"/>
          <w:bdr w:val="nil"/>
          <w:lang w:val="en-US" w:eastAsia="en-GB"/>
        </w:rPr>
        <w:fldChar w:fldCharType="separate"/>
      </w:r>
      <w:r w:rsidRPr="00C603B7">
        <w:rPr>
          <w:rFonts w:eastAsia="Calibri" w:cs="Calibri"/>
          <w:color w:val="000000"/>
          <w:u w:color="000000"/>
          <w:bdr w:val="nil"/>
          <w:lang w:val="en-US" w:eastAsia="en-GB"/>
        </w:rPr>
        <w:t>(Faghihi et al., 2017)</w:t>
      </w:r>
      <w:r w:rsidRPr="00C603B7">
        <w:rPr>
          <w:rFonts w:eastAsia="Arial" w:cs="Arial"/>
          <w:color w:val="000000"/>
          <w:u w:color="000000"/>
          <w:bdr w:val="nil"/>
          <w:lang w:val="en-US" w:eastAsia="en-GB"/>
        </w:rPr>
        <w:fldChar w:fldCharType="end"/>
      </w:r>
      <w:r w:rsidRPr="00C603B7">
        <w:rPr>
          <w:rFonts w:eastAsia="Calibri" w:cs="Calibri"/>
          <w:color w:val="000000"/>
          <w:u w:color="000000"/>
          <w:bdr w:val="nil"/>
          <w:lang w:val="en-US" w:eastAsia="en-GB"/>
        </w:rPr>
        <w:t xml:space="preserve">. </w:t>
      </w:r>
    </w:p>
    <w:p w14:paraId="4AF962A1" w14:textId="36FB9D4A" w:rsidR="00C603B7" w:rsidRPr="00C603B7" w:rsidRDefault="00C603B7" w:rsidP="00C603B7">
      <w:pPr>
        <w:pBdr>
          <w:top w:val="nil"/>
          <w:left w:val="nil"/>
          <w:bottom w:val="nil"/>
          <w:right w:val="nil"/>
          <w:between w:val="nil"/>
          <w:bar w:val="nil"/>
        </w:pBdr>
        <w:spacing w:line="360" w:lineRule="auto"/>
        <w:rPr>
          <w:rFonts w:eastAsia="Arial" w:cs="Arial"/>
          <w:color w:val="000000"/>
          <w:u w:color="000000"/>
          <w:bdr w:val="nil"/>
          <w:lang w:val="en-US" w:eastAsia="en-GB"/>
        </w:rPr>
      </w:pPr>
      <w:r w:rsidRPr="00C603B7">
        <w:rPr>
          <w:rFonts w:eastAsia="Calibri" w:cs="Calibri"/>
          <w:color w:val="000000"/>
          <w:u w:color="000000"/>
          <w:bdr w:val="nil"/>
          <w:lang w:val="en-US" w:eastAsia="en-GB"/>
        </w:rPr>
        <w:lastRenderedPageBreak/>
        <w:t xml:space="preserve">There have been published reports of thalamic </w:t>
      </w:r>
      <w:r w:rsidR="00A33050">
        <w:rPr>
          <w:vertAlign w:val="superscript"/>
        </w:rPr>
        <w:t>1</w:t>
      </w:r>
      <w:r w:rsidR="00A33050" w:rsidRPr="00427FEA">
        <w:t>H</w:t>
      </w:r>
      <w:r w:rsidR="00A33050">
        <w:t>-</w:t>
      </w:r>
      <w:r w:rsidR="00A33050" w:rsidRPr="00427FEA">
        <w:t xml:space="preserve">MRS </w:t>
      </w:r>
      <w:r w:rsidRPr="00C603B7">
        <w:rPr>
          <w:rFonts w:eastAsia="Calibri" w:cs="Calibri"/>
          <w:color w:val="000000"/>
          <w:u w:color="000000"/>
          <w:bdr w:val="nil"/>
          <w:lang w:val="en-US" w:eastAsia="en-GB"/>
        </w:rPr>
        <w:t>spectra in diabetic neuropathy.  Three studies have shown decreased NAA in the thalamus.  The first showed an absolute decrease in NAA in subjects with P-DPN in the thalamus, and an overall decrease for NAA for the painless group in the</w:t>
      </w:r>
      <w:r w:rsidR="00C90FD4">
        <w:rPr>
          <w:rFonts w:eastAsia="Calibri" w:cs="Calibri"/>
          <w:color w:val="000000"/>
          <w:u w:color="000000"/>
          <w:bdr w:val="nil"/>
          <w:lang w:val="en-US" w:eastAsia="en-GB"/>
        </w:rPr>
        <w:t xml:space="preserve"> dorsolateral prefrontal cortex</w:t>
      </w:r>
      <w:r w:rsidRPr="00C603B7">
        <w:rPr>
          <w:rFonts w:eastAsia="Calibri" w:cs="Calibri"/>
          <w:color w:val="000000"/>
          <w:u w:color="000000"/>
          <w:bdr w:val="nil"/>
          <w:lang w:val="en-US" w:eastAsia="en-GB"/>
        </w:rPr>
        <w:t xml:space="preserve"> </w:t>
      </w:r>
      <w:r w:rsidR="00C90FD4">
        <w:rPr>
          <w:rFonts w:eastAsia="Calibri" w:cs="Calibri"/>
          <w:color w:val="000000"/>
          <w:u w:color="000000"/>
          <w:bdr w:val="nil"/>
          <w:lang w:val="en-US" w:eastAsia="en-GB"/>
        </w:rPr>
        <w:t>(</w:t>
      </w:r>
      <w:r w:rsidRPr="00C603B7">
        <w:rPr>
          <w:rFonts w:eastAsia="Calibri" w:cs="Calibri"/>
          <w:color w:val="000000"/>
          <w:u w:color="000000"/>
          <w:bdr w:val="nil"/>
          <w:lang w:val="en-US" w:eastAsia="en-GB"/>
        </w:rPr>
        <w:t>DLPFC</w:t>
      </w:r>
      <w:r w:rsidR="00C90FD4">
        <w:rPr>
          <w:rFonts w:eastAsia="Calibri" w:cs="Calibri"/>
          <w:color w:val="000000"/>
          <w:u w:color="000000"/>
          <w:bdr w:val="nil"/>
          <w:lang w:val="en-US" w:eastAsia="en-GB"/>
        </w:rPr>
        <w:t>)</w:t>
      </w:r>
      <w:r w:rsidRPr="00C603B7">
        <w:rPr>
          <w:rFonts w:eastAsia="Calibri" w:cs="Calibri"/>
          <w:color w:val="000000"/>
          <w:u w:color="000000"/>
          <w:bdr w:val="nil"/>
          <w:lang w:val="en-US" w:eastAsia="en-GB"/>
        </w:rPr>
        <w:t xml:space="preserve"> </w:t>
      </w:r>
      <w:r w:rsidRPr="00C603B7">
        <w:rPr>
          <w:rFonts w:eastAsia="Arial" w:cs="Arial"/>
          <w:color w:val="000000"/>
          <w:u w:color="000000"/>
          <w:bdr w:val="nil"/>
          <w:lang w:val="en-US" w:eastAsia="en-GB"/>
        </w:rPr>
        <w:fldChar w:fldCharType="begin"/>
      </w:r>
      <w:r w:rsidRPr="00C603B7">
        <w:rPr>
          <w:rFonts w:eastAsia="Arial" w:cs="Arial"/>
          <w:color w:val="000000"/>
          <w:u w:color="000000"/>
          <w:bdr w:val="nil"/>
          <w:lang w:val="en-US" w:eastAsia="en-GB"/>
        </w:rPr>
        <w:instrText xml:space="preserve"> ADDIN EN.CITE &lt;EndNote&gt;&lt;Cite  &gt;&lt;Author&gt;Sorensen&lt;/Author&gt;&lt;Year&gt;2008&lt;/Year&gt;&lt;RecNum&gt;8&lt;/RecNum&gt;&lt;DisplayText&gt;(Sorensen et al., 2008)&lt;/DisplayText&gt;&lt;record&gt;&lt;dates&gt;&lt;pub-dates&gt;&lt;date&gt;May&lt;/date&gt;&lt;/pub-dates&gt;&lt;year&gt;2008&lt;/year&gt;&lt;/dates&gt;&lt;keywords&gt;&lt;keyword&gt;Adult&lt;/keyword&gt;&lt;keyword&gt;Aged&lt;/keyword&gt;&lt;keyword&gt;Aspartic Acid&lt;/keyword&gt;&lt;keyword&gt;Brain&lt;/keyword&gt;&lt;keyword&gt;Brain Mapping&lt;/keyword&gt;&lt;keyword&gt;Choline&lt;/keyword&gt;&lt;keyword&gt;Creatine&lt;/keyword&gt;&lt;keyword&gt;Diabetic Neuropathies&lt;/keyword&gt;&lt;keyword&gt;Female&lt;/keyword&gt;&lt;keyword&gt;Frontal Lobe&lt;/keyword&gt;&lt;keyword&gt;Gyrus Cinguli&lt;/keyword&gt;&lt;keyword&gt;Humans&lt;/keyword&gt;&lt;keyword&gt;Magnetic Resonance Spectroscopy&lt;/keyword&gt;&lt;keyword&gt;Male&lt;/keyword&gt;&lt;keyword&gt;Middle Aged&lt;/keyword&gt;&lt;keyword&gt;Pain&lt;/keyword&gt;&lt;keyword&gt;Reference Values&lt;/keyword&gt;&lt;keyword&gt;Sensory Thresholds&lt;/keyword&gt;&lt;keyword&gt;Thalamus&lt;/keyword&gt;&lt;/keywords&gt;&lt;urls&gt;&lt;related-urls&gt;&lt;url&gt;http://www.ncbi.nlm.nih.gov/pubmed/18299445&lt;/url&gt;&lt;/related-urls&gt;&lt;/urls&gt;&lt;isbn&gt;1935-5548&lt;/isbn&gt;&lt;titles&gt;&lt;title&gt;Differences in metabolites in pain-processing brain regions in patients with diabetes and painful neuropathy&lt;/title&gt;&lt;secondary-title&gt;Diabetes Care&lt;/secondary-title&gt;&lt;/titles&gt;&lt;pages&gt;980-981&lt;/pages&gt;&lt;number&gt;5&lt;/number&gt;&lt;contributors&gt;&lt;authors&gt;&lt;author&gt;Sorensen, L.&lt;/author&gt;&lt;author&gt;Siddall, P. J.&lt;/author&gt;&lt;author&gt;Trenell, M. I.&lt;/author&gt;&lt;author&gt;Yue, D. K.&lt;/author&gt;&lt;/authors&gt;&lt;/contributors&gt;&lt;section&gt;980&lt;/section&gt;&lt;language&gt;eng&lt;/language&gt;&lt;added-date format="utc"&gt;1349968030&lt;/added-date&gt;&lt;ref-type name="Journal Article"&gt;17&lt;/ref-type&gt;&lt;auth-address&gt;Diabetes Centre, Royal Prince Alfred Hospital, Camperdown, Australia. lea@email.cs.nsw.gov.au&lt;/auth-address&gt;&lt;rec-number&gt;8&lt;/rec-number&gt;&lt;last-updated-date format="utc"&gt;1356363957&lt;/last-updated-date&gt;&lt;accession-num&gt;18299445&lt;/accession-num&gt;&lt;electronic-resource-num&gt;dc07-2088 [pii]&amp;#13; 10.2337/dc07-2088&lt;/electronic-resource-num&gt;&lt;volume&gt;31&lt;/volume&gt;&lt;/record&gt;&lt;/Cite&gt;&lt;/EndNote&gt;</w:instrText>
      </w:r>
      <w:r w:rsidRPr="00C603B7">
        <w:rPr>
          <w:rFonts w:eastAsia="Arial" w:cs="Arial"/>
          <w:color w:val="000000"/>
          <w:u w:color="000000"/>
          <w:bdr w:val="nil"/>
          <w:lang w:val="en-US" w:eastAsia="en-GB"/>
        </w:rPr>
        <w:fldChar w:fldCharType="separate"/>
      </w:r>
      <w:r w:rsidRPr="00C603B7">
        <w:rPr>
          <w:rFonts w:eastAsia="Calibri" w:cs="Calibri"/>
          <w:color w:val="000000"/>
          <w:u w:color="000000"/>
          <w:bdr w:val="nil"/>
          <w:lang w:val="en-US" w:eastAsia="en-GB"/>
        </w:rPr>
        <w:t>(Sorensen et al., 2008)</w:t>
      </w:r>
      <w:r w:rsidRPr="00C603B7">
        <w:rPr>
          <w:rFonts w:eastAsia="Arial" w:cs="Arial"/>
          <w:color w:val="000000"/>
          <w:u w:color="000000"/>
          <w:bdr w:val="nil"/>
          <w:lang w:val="en-US" w:eastAsia="en-GB"/>
        </w:rPr>
        <w:fldChar w:fldCharType="end"/>
      </w:r>
      <w:r w:rsidRPr="00C603B7">
        <w:rPr>
          <w:rFonts w:eastAsia="Calibri" w:cs="Calibri"/>
          <w:color w:val="000000"/>
          <w:u w:color="000000"/>
          <w:bdr w:val="nil"/>
          <w:lang w:val="en-US" w:eastAsia="en-GB"/>
        </w:rPr>
        <w:t xml:space="preserve">. A limitation to the interpretation of the results of this study was that there was no differentiation between DM-NN and DPN in the painless group.  Conversely, the second study reported a reduced NAA/Cr ratio in the thalamus in patients with painless DPN </w:t>
      </w:r>
      <w:r w:rsidRPr="00C603B7">
        <w:rPr>
          <w:rFonts w:eastAsia="Arial" w:cs="Arial"/>
          <w:color w:val="000000"/>
          <w:u w:color="000000"/>
          <w:bdr w:val="nil"/>
          <w:lang w:val="en-US" w:eastAsia="en-GB"/>
        </w:rPr>
        <w:fldChar w:fldCharType="begin"/>
      </w:r>
      <w:r w:rsidR="009968E0">
        <w:rPr>
          <w:rFonts w:eastAsia="Arial" w:cs="Arial"/>
          <w:color w:val="000000"/>
          <w:u w:color="000000"/>
          <w:bdr w:val="nil"/>
          <w:lang w:val="en-US" w:eastAsia="en-GB"/>
        </w:rPr>
        <w:instrText xml:space="preserve"> ADDIN EN.CITE &lt;EndNote&gt;&lt;Cite&gt;&lt;Author&gt;Selvarajah&lt;/Author&gt;&lt;Year&gt;2008&lt;/Year&gt;&lt;RecNum&gt;7&lt;/RecNum&gt;&lt;DisplayText&gt;(Selvarajah et al., 2008b)&lt;/DisplayText&gt;&lt;record&gt;&lt;dates&gt;&lt;pub-dates&gt;&lt;date&gt;Nov&lt;/date&gt;&lt;/pub-dates&gt;&lt;year&gt;2008&lt;/year&gt;&lt;/dates&gt;&lt;keywords&gt;&lt;keyword&gt;Adult&lt;/keyword&gt;&lt;keyword&gt;Choline&lt;/keyword&gt;&lt;keyword&gt;Creatinine&lt;/keyword&gt;&lt;keyword&gt;Diabetes Mellitus, Type 1&lt;/keyword&gt;&lt;keyword&gt;Diabetic Neuropathies&lt;/keyword&gt;&lt;keyword&gt;Functional Laterality&lt;/keyword&gt;&lt;keyword&gt;Humans&lt;/keyword&gt;&lt;keyword&gt;Magnetic Resonance Spectroscopy&lt;/keyword&gt;&lt;keyword&gt;Male&lt;/keyword&gt;&lt;keyword&gt;Middle Aged&lt;/keyword&gt;&lt;keyword&gt;Peripheral Nerves&lt;/keyword&gt;&lt;keyword&gt;Peripheral Nervous System Diseases&lt;/keyword&gt;&lt;keyword&gt;Peroneal Nerve&lt;/keyword&gt;&lt;keyword&gt;Reference Values&lt;/keyword&gt;&lt;keyword&gt;Sural Nerve&lt;/keyword&gt;&lt;keyword&gt;Thalamus&lt;/keyword&gt;&lt;/keywords&gt;&lt;urls&gt;&lt;related-urls&gt;&lt;url&gt;http://www.ncbi.nlm.nih.gov/pubmed/18773192&lt;/url&gt;&lt;/related-urls&gt;&lt;/urls&gt;&lt;isbn&gt;0012-186X&lt;/isbn&gt;&lt;titles&gt;&lt;title&gt;Thalamic neuronal dysfunction and chronic sensorimotor distal symmetrical polyneuropathy in patients with type 1 diabetes mellitus&lt;/title&gt;&lt;secondary-title&gt;Diabetologia&lt;/secondary-title&gt;&lt;/titles&gt;&lt;pages&gt;2088-92&lt;/pages&gt;&lt;number&gt;11&lt;/number&gt;&lt;contributors&gt;&lt;authors&gt;&lt;author&gt;Selvarajah, D.&lt;/author&gt;&lt;author&gt;Wilkinson, I. D.&lt;/author&gt;&lt;author&gt;Emery, C. J.&lt;/author&gt;&lt;author&gt;Shaw, P. J.&lt;/author&gt;&lt;author&gt;Griffiths, P. D.&lt;/author&gt;&lt;author&gt;Gandhi, R.&lt;/author&gt;&lt;author&gt;Tesfaye, S.&lt;/author&gt;&lt;/authors&gt;&lt;/contributors&gt;&lt;language&gt;eng&lt;/language&gt;&lt;added-date format="utc"&gt;1349968030&lt;/added-date&gt;&lt;ref-type name="Journal Article"&gt;17&lt;/ref-type&gt;&lt;auth-address&gt;Diabetes Research Unit, Royal Hallamshire Hospital, Sheffield, S10 2JF, UK. dinesh.selvarajah@gmail.com&lt;/auth-address&gt;&lt;rec-number&gt;7&lt;/rec-number&gt;&lt;last-updated-date format="utc"&gt;1349968030&lt;/last-updated-date&gt;&lt;accession-num&gt;18773192&lt;/accession-num&gt;&lt;electronic-resource-num&gt;10.1007/s00125-008-1139-0&lt;/electronic-resource-num&gt;&lt;volume&gt;51&lt;/volume&gt;&lt;/record&gt;&lt;/Cite&gt;&lt;/EndNote&gt;</w:instrText>
      </w:r>
      <w:r w:rsidRPr="00C603B7">
        <w:rPr>
          <w:rFonts w:eastAsia="Arial" w:cs="Arial"/>
          <w:color w:val="000000"/>
          <w:u w:color="000000"/>
          <w:bdr w:val="nil"/>
          <w:lang w:val="en-US" w:eastAsia="en-GB"/>
        </w:rPr>
        <w:fldChar w:fldCharType="separate"/>
      </w:r>
      <w:r w:rsidR="009968E0">
        <w:rPr>
          <w:rFonts w:eastAsia="Arial" w:cs="Arial"/>
          <w:noProof/>
          <w:color w:val="000000"/>
          <w:u w:color="000000"/>
          <w:bdr w:val="nil"/>
          <w:lang w:val="en-US" w:eastAsia="en-GB"/>
        </w:rPr>
        <w:t>(Selvarajah et al., 2008b)</w:t>
      </w:r>
      <w:r w:rsidRPr="00C603B7">
        <w:rPr>
          <w:rFonts w:eastAsia="Arial" w:cs="Arial"/>
          <w:color w:val="000000"/>
          <w:u w:color="000000"/>
          <w:bdr w:val="nil"/>
          <w:lang w:val="en-US" w:eastAsia="en-GB"/>
        </w:rPr>
        <w:fldChar w:fldCharType="end"/>
      </w:r>
      <w:r w:rsidRPr="00C603B7">
        <w:rPr>
          <w:rFonts w:eastAsia="Calibri" w:cs="Calibri"/>
          <w:color w:val="000000"/>
          <w:u w:color="000000"/>
          <w:bdr w:val="nil"/>
          <w:lang w:val="en-US" w:eastAsia="en-GB"/>
        </w:rPr>
        <w:t xml:space="preserve">. This was comparatively a small study (n=24) compared with the first study (n=44). Finally, using a long echo time technique (PRESS), in a study with a large number of participants (n=110), a lower ratio of NAA/Cr was found in the left thalamus between established DPN and early DPN, P-DPN, DM-NN and HV </w:t>
      </w:r>
      <w:r w:rsidRPr="00C603B7">
        <w:rPr>
          <w:rFonts w:eastAsia="Arial" w:cs="Arial"/>
          <w:color w:val="000000"/>
          <w:u w:color="000000"/>
          <w:bdr w:val="nil"/>
          <w:lang w:val="en-US" w:eastAsia="en-GB"/>
        </w:rPr>
        <w:fldChar w:fldCharType="begin"/>
      </w:r>
      <w:r w:rsidRPr="00C603B7">
        <w:rPr>
          <w:rFonts w:eastAsia="Arial" w:cs="Arial"/>
          <w:color w:val="000000"/>
          <w:u w:color="000000"/>
          <w:bdr w:val="nil"/>
          <w:lang w:val="en-US" w:eastAsia="en-GB"/>
        </w:rPr>
        <w:instrText xml:space="preserve"> ADDIN EN.CITE &lt;EndNote&gt;&lt;Cite  &gt;&lt;Author&gt;Gandhi&lt;/Author&gt;&lt;Year&gt;2013&lt;/Year&gt;&lt;RecNum&gt;1209&lt;/RecNum&gt;&lt;DisplayText&gt;(Gandhi, 2013)&lt;/DisplayText&gt;&lt;record&gt;&lt;titles&gt;&lt;title&gt;Insights into the Pathogenesis of Painful and Painless Diabetic Neuropathy&lt;/title&gt;&lt;/titles&gt;&lt;contributors&gt;&lt;authors&gt;&lt;author&gt;Gandhi, Rajiv&lt;/author&gt;&lt;/authors&gt;&lt;/contributors&gt;&lt;added-date format="utc"&gt;1573829160&lt;/added-date&gt;&lt;ref-type name="Generic"&gt;13&lt;/ref-type&gt;&lt;dates&gt;&lt;year&gt;2013&lt;/year&gt;&lt;/dates&gt;&lt;rec-number&gt;1209&lt;/rec-number&gt;&lt;publisher&gt;University of Sheffield;Biomedical Science (Sheffield); 2013&lt;/publisher&gt;&lt;last-updated-date format="utc"&gt;1573829160&lt;/last-updated-date&gt;&lt;/record&gt;&lt;/Cite&gt;&lt;/EndNote&gt;</w:instrText>
      </w:r>
      <w:r w:rsidRPr="00C603B7">
        <w:rPr>
          <w:rFonts w:eastAsia="Arial" w:cs="Arial"/>
          <w:color w:val="000000"/>
          <w:u w:color="000000"/>
          <w:bdr w:val="nil"/>
          <w:lang w:val="en-US" w:eastAsia="en-GB"/>
        </w:rPr>
        <w:fldChar w:fldCharType="separate"/>
      </w:r>
      <w:r w:rsidRPr="00C603B7">
        <w:rPr>
          <w:rFonts w:eastAsia="Calibri" w:cs="Calibri"/>
          <w:color w:val="000000"/>
          <w:u w:color="000000"/>
          <w:bdr w:val="nil"/>
          <w:lang w:val="en-US" w:eastAsia="en-GB"/>
        </w:rPr>
        <w:t>(Gandhi, 2013)</w:t>
      </w:r>
      <w:r w:rsidRPr="00C603B7">
        <w:rPr>
          <w:rFonts w:eastAsia="Arial" w:cs="Arial"/>
          <w:color w:val="000000"/>
          <w:u w:color="000000"/>
          <w:bdr w:val="nil"/>
          <w:lang w:val="en-US" w:eastAsia="en-GB"/>
        </w:rPr>
        <w:fldChar w:fldCharType="end"/>
      </w:r>
      <w:r w:rsidRPr="00C603B7">
        <w:rPr>
          <w:rFonts w:eastAsia="Calibri" w:cs="Calibri"/>
          <w:color w:val="000000"/>
          <w:u w:color="000000"/>
          <w:bdr w:val="nil"/>
          <w:lang w:val="en-US" w:eastAsia="en-GB"/>
        </w:rPr>
        <w:t xml:space="preserve">.  </w:t>
      </w:r>
    </w:p>
    <w:p w14:paraId="0D02F53E" w14:textId="77777777" w:rsidR="00C603B7" w:rsidRPr="00C603B7" w:rsidRDefault="00C603B7" w:rsidP="00C603B7">
      <w:pPr>
        <w:pBdr>
          <w:top w:val="nil"/>
          <w:left w:val="nil"/>
          <w:bottom w:val="nil"/>
          <w:right w:val="nil"/>
          <w:between w:val="nil"/>
          <w:bar w:val="nil"/>
        </w:pBdr>
        <w:spacing w:line="360" w:lineRule="auto"/>
        <w:rPr>
          <w:rFonts w:eastAsia="Arial" w:cs="Arial"/>
          <w:color w:val="000000"/>
          <w:u w:color="000000"/>
          <w:bdr w:val="nil"/>
          <w:lang w:val="en-US" w:eastAsia="en-GB"/>
        </w:rPr>
      </w:pPr>
      <w:r w:rsidRPr="00C603B7">
        <w:rPr>
          <w:rFonts w:eastAsia="Calibri" w:cs="Calibri"/>
          <w:color w:val="000000"/>
          <w:u w:color="000000"/>
          <w:bdr w:val="nil"/>
          <w:lang w:val="en-US" w:eastAsia="en-GB"/>
        </w:rPr>
        <w:t xml:space="preserve">In summary, though not conclusive, the evidence suggests relative preservation of metabolite ratios and hence thalamic neuronal function in P-DPN, in contrast to painless DPN with lower metabolic ratios indicating thalamic neuronal dysfunction. This relative preservation of thalamic neuronal function may be necessary for the perception of spontaneous neuropathic pain in P-DPN.  We therefore </w:t>
      </w:r>
      <w:proofErr w:type="spellStart"/>
      <w:r w:rsidRPr="00C603B7">
        <w:rPr>
          <w:rFonts w:eastAsia="Calibri" w:cs="Calibri"/>
          <w:color w:val="000000"/>
          <w:u w:color="000000"/>
          <w:bdr w:val="nil"/>
          <w:lang w:val="en-US" w:eastAsia="en-GB"/>
        </w:rPr>
        <w:t>hypothesised</w:t>
      </w:r>
      <w:proofErr w:type="spellEnd"/>
      <w:r w:rsidRPr="00C603B7">
        <w:rPr>
          <w:rFonts w:eastAsia="Calibri" w:cs="Calibri"/>
          <w:color w:val="000000"/>
          <w:u w:color="000000"/>
          <w:bdr w:val="nil"/>
          <w:lang w:val="en-US" w:eastAsia="en-GB"/>
        </w:rPr>
        <w:t xml:space="preserve"> the observed thalamic perfusion alterations in P-DPN may be related to thalamic metabolite ratios.  Adjustment of metabolite ratios for potential confounds such as depression </w:t>
      </w:r>
      <w:r w:rsidRPr="00C603B7">
        <w:rPr>
          <w:rFonts w:eastAsia="Arial" w:cs="Arial"/>
          <w:color w:val="000000"/>
          <w:u w:color="000000"/>
          <w:bdr w:val="nil"/>
          <w:lang w:val="en-US" w:eastAsia="en-GB"/>
        </w:rPr>
        <w:fldChar w:fldCharType="begin"/>
      </w:r>
      <w:r w:rsidRPr="00C603B7">
        <w:rPr>
          <w:rFonts w:eastAsia="Arial" w:cs="Arial"/>
          <w:color w:val="000000"/>
          <w:u w:color="000000"/>
          <w:bdr w:val="nil"/>
          <w:lang w:val="en-US" w:eastAsia="en-GB"/>
        </w:rPr>
        <w:instrText xml:space="preserve"> ADDIN EN.CITE &lt;EndNote&gt;&lt;Cite  &gt;&lt;Author&gt;Mu&lt;/Author&gt;&lt;Year&gt;2007&lt;/Year&gt;&lt;RecNum&gt;1190&lt;/RecNum&gt;&lt;DisplayText&gt;(Mu et al., 2007)&lt;/DisplayText&gt;&lt;record&gt;&lt;keywords&gt;&lt;keyword&gt;Magnetic Resonance Spectroscopy&lt;/keyword&gt;&lt;keyword&gt;Treatment Resistant Depression&lt;/keyword&gt;&lt;keyword&gt;Thalamus&lt;/keyword&gt;&lt;keyword&gt;Neuroimaging&lt;/keyword&gt;&lt;keyword&gt;Medicine&lt;/keyword&gt;&lt;keyword&gt;Anatomy &amp;amp; Physiology&lt;/keyword&gt;&lt;/keywords&gt;&lt;isbn&gt;0304-3940&lt;/isbn&gt;&lt;titles&gt;&lt;title&gt;1H magnetic resonance spectroscopy study of thalamus in treatment resistant depressive patients&lt;/title&gt;&lt;secondary-title&gt;Neuroscience Letters&lt;/secondary-title&gt;&lt;/titles&gt;&lt;pages&gt;49-52&lt;/pages&gt;&lt;number&gt;1&lt;/number&gt;&lt;contributors&gt;&lt;authors&gt;&lt;author&gt;Mu, Jun&lt;/author&gt;&lt;author&gt;Xie, Peng&lt;/author&gt;&lt;author&gt;Yang, Ze-Song&lt;/author&gt;&lt;author&gt;Yang, De-Lan&lt;/author&gt;&lt;author&gt;Lv, Fa-Jin&lt;/author&gt;&lt;author&gt;Luo, Tian-You&lt;/author&gt;&lt;author&gt;Li, Yong&lt;/author&gt;&lt;/authors&gt;&lt;/contributors&gt;&lt;added-date format="utc"&gt;1573571226&lt;/added-date&gt;&lt;ref-type name="Journal Article"&gt;17&lt;/ref-type&gt;&lt;dates&gt;&lt;year&gt;2007&lt;/year&gt;&lt;/dates&gt;&lt;rec-number&gt;1190&lt;/rec-number&gt;&lt;last-updated-date format="utc"&gt;1573571226&lt;/last-updated-date&gt;&lt;electronic-resource-num&gt;10.1016/j.neulet.2007.08.004&lt;/electronic-resource-num&gt;&lt;volume&gt;425&lt;/volume&gt;&lt;/record&gt;&lt;/Cite&gt;&lt;/EndNote&gt;</w:instrText>
      </w:r>
      <w:r w:rsidRPr="00C603B7">
        <w:rPr>
          <w:rFonts w:eastAsia="Arial" w:cs="Arial"/>
          <w:color w:val="000000"/>
          <w:u w:color="000000"/>
          <w:bdr w:val="nil"/>
          <w:lang w:val="en-US" w:eastAsia="en-GB"/>
        </w:rPr>
        <w:fldChar w:fldCharType="separate"/>
      </w:r>
      <w:r w:rsidRPr="00C603B7">
        <w:rPr>
          <w:rFonts w:eastAsia="Calibri" w:cs="Calibri"/>
          <w:color w:val="000000"/>
          <w:u w:color="000000"/>
          <w:bdr w:val="nil"/>
          <w:lang w:val="en-US" w:eastAsia="en-GB"/>
        </w:rPr>
        <w:t>(Mu et al., 2007)</w:t>
      </w:r>
      <w:r w:rsidRPr="00C603B7">
        <w:rPr>
          <w:rFonts w:eastAsia="Arial" w:cs="Arial"/>
          <w:color w:val="000000"/>
          <w:u w:color="000000"/>
          <w:bdr w:val="nil"/>
          <w:lang w:val="en-US" w:eastAsia="en-GB"/>
        </w:rPr>
        <w:fldChar w:fldCharType="end"/>
      </w:r>
      <w:r w:rsidRPr="00C603B7">
        <w:rPr>
          <w:rFonts w:eastAsia="Calibri" w:cs="Calibri"/>
          <w:color w:val="000000"/>
          <w:u w:color="000000"/>
          <w:bdr w:val="nil"/>
          <w:lang w:val="en-US" w:eastAsia="en-GB"/>
        </w:rPr>
        <w:t xml:space="preserve"> and glycaemia </w:t>
      </w:r>
      <w:r w:rsidRPr="00C603B7">
        <w:rPr>
          <w:rFonts w:eastAsia="Arial" w:cs="Arial"/>
          <w:color w:val="000000"/>
          <w:u w:color="000000"/>
          <w:bdr w:val="nil"/>
          <w:lang w:val="en-US" w:eastAsia="en-GB"/>
        </w:rPr>
        <w:fldChar w:fldCharType="begin"/>
      </w:r>
      <w:r w:rsidRPr="00C603B7">
        <w:rPr>
          <w:rFonts w:eastAsia="Arial" w:cs="Arial"/>
          <w:color w:val="000000"/>
          <w:u w:color="000000"/>
          <w:bdr w:val="nil"/>
          <w:lang w:val="en-US" w:eastAsia="en-GB"/>
        </w:rPr>
        <w:instrText xml:space="preserve"> ADDIN EN.CITE &lt;EndNote&gt;&lt;Cite  &gt;&lt;Author&gt;Sarac&lt;/Author&gt;&lt;Year&gt;2005&lt;/Year&gt;&lt;RecNum&gt;556&lt;/RecNum&gt;&lt;DisplayText&gt;(Sarac et al., 2005, Mangia et al., 2013)&lt;/DisplayText&gt;&lt;record&gt;&lt;dates&gt;&lt;pub-dates&gt;&lt;date&gt;Jul&lt;/date&gt;&lt;/pub-dates&gt;&lt;year&gt;2005&lt;/year&gt;&lt;/dates&gt;&lt;urls&gt;&lt;related-urls&gt;&lt;url&gt;&amp;lt;Go to ISI&amp;gt;://WOS:000230653400012&lt;/url&gt;&lt;/related-urls&gt;&lt;/urls&gt;&lt;isbn&gt;0028-3940&lt;/isbn&gt;&lt;titles&gt;&lt;title&gt;Brain metabolite changes on proton magnetic resonance spectroscopy in children with poorly controlled type 1 diabetes mellitus&lt;/title&gt;&lt;secondary-title&gt;Neuroradiology&lt;/secondary-title&gt;&lt;/titles&gt;&lt;number&gt;7&lt;/number&gt;&lt;contributors&gt;&lt;authors&gt;&lt;author&gt;Sarac, K.&lt;/author&gt;&lt;author&gt;Akinci, A.&lt;/author&gt;&lt;author&gt;Alkan, A.&lt;/author&gt;&lt;author&gt;Aslan, M.&lt;/author&gt;&lt;author&gt;Baysal, T.&lt;/author&gt;&lt;author&gt;Ozcan, C.&lt;/author&gt;&lt;/authors&gt;&lt;/contributors&gt;&lt;added-date format="utc"&gt;1356989621&lt;/added-date&gt;&lt;ref-type name="Journal Article"&gt;17&lt;/ref-type&gt;&lt;rec-number&gt;556&lt;/rec-number&gt;&lt;last-updated-date format="utc"&gt;1356989621&lt;/last-updated-date&gt;&lt;accession-num&gt;WOS:000230653400012&lt;/accession-num&gt;&lt;electronic-resource-num&gt;10.1007/s00234-005-1387-3&lt;/electronic-resource-num&gt;&lt;volume&gt;47&lt;/volume&gt;&lt;/record&gt;&lt;/Cite&gt;&lt;Cite  &gt;&lt;Author&gt;Mangia&lt;/Author&gt;&lt;Year&gt;2013&lt;/Year&gt;&lt;RecNum&gt;1245&lt;/RecNum&gt;&lt;record&gt;&lt;dates&gt;&lt;pub-dates&gt;&lt;date&gt;May&lt;/date&gt;&lt;/pub-dates&gt;&lt;year&gt;2013&lt;/year&gt;&lt;/dates&gt;&lt;urls&gt;&lt;related-urls&gt;&lt;url&gt;&amp;lt;Go to ISI&amp;gt;://WOS:000318394400015&lt;/url&gt;&lt;/related-urls&gt;&lt;/urls&gt;&lt;isbn&gt;0271-678X&lt;/isbn&gt;&lt;titles&gt;&lt;title&gt;Neurochemical profile of patients with type 1 diabetes measured by H-1-MRS at 4 T&lt;/title&gt;&lt;secondary-title&gt;Journal of Cerebral Blood Flow and Metabolism&lt;/secondary-title&gt;&lt;/titles&gt;&lt;pages&gt;754-759&lt;/pages&gt;&lt;number&gt;5&lt;/number&gt;&lt;contributors&gt;&lt;authors&gt;&lt;author&gt;Mangia, Silvia&lt;/author&gt;&lt;author&gt;Kumar, Anjali F.&lt;/author&gt;&lt;author&gt;Moheet, Amir A.&lt;/author&gt;&lt;author&gt;Roberts, Rachel J.&lt;/author&gt;&lt;author&gt;Eberly, Lynn E.&lt;/author&gt;&lt;author&gt;Seaquist, Elizabeth R.&lt;/author&gt;&lt;author&gt;Tkac, Ivan&lt;/author&gt;&lt;/authors&gt;&lt;/contributors&gt;&lt;added-date format="utc"&gt;1574858917&lt;/added-date&gt;&lt;ref-type name="Journal Article"&gt;17&lt;/ref-type&gt;&lt;rec-number&gt;1245&lt;/rec-number&gt;&lt;last-updated-date format="utc"&gt;1574858917&lt;/last-updated-date&gt;&lt;accession-num&gt;WOS:000318394400015&lt;/accession-num&gt;&lt;electronic-resource-num&gt;10.1038/jcbfm.2013.13&lt;/electronic-resource-num&gt;&lt;volume&gt;33&lt;/volume&gt;&lt;/record&gt;&lt;/Cite&gt;&lt;/EndNote&gt;</w:instrText>
      </w:r>
      <w:r w:rsidRPr="00C603B7">
        <w:rPr>
          <w:rFonts w:eastAsia="Arial" w:cs="Arial"/>
          <w:color w:val="000000"/>
          <w:u w:color="000000"/>
          <w:bdr w:val="nil"/>
          <w:lang w:val="en-US" w:eastAsia="en-GB"/>
        </w:rPr>
        <w:fldChar w:fldCharType="separate"/>
      </w:r>
      <w:r w:rsidRPr="00C603B7">
        <w:rPr>
          <w:rFonts w:eastAsia="Calibri" w:cs="Calibri"/>
          <w:color w:val="000000"/>
          <w:u w:color="000000"/>
          <w:bdr w:val="nil"/>
          <w:lang w:val="en-US" w:eastAsia="en-GB"/>
        </w:rPr>
        <w:t>(Sarac et al., 2005, Mangia et al., 2013)</w:t>
      </w:r>
      <w:r w:rsidRPr="00C603B7">
        <w:rPr>
          <w:rFonts w:eastAsia="Arial" w:cs="Arial"/>
          <w:color w:val="000000"/>
          <w:u w:color="000000"/>
          <w:bdr w:val="nil"/>
          <w:lang w:val="en-US" w:eastAsia="en-GB"/>
        </w:rPr>
        <w:fldChar w:fldCharType="end"/>
      </w:r>
      <w:r w:rsidRPr="00C603B7">
        <w:rPr>
          <w:rFonts w:eastAsia="Calibri" w:cs="Calibri"/>
          <w:color w:val="000000"/>
          <w:u w:color="000000"/>
          <w:bdr w:val="nil"/>
          <w:lang w:val="en-US" w:eastAsia="en-GB"/>
        </w:rPr>
        <w:t xml:space="preserve"> may provide further information about the relationship between CNS metabolites and CNS perfusion.  </w:t>
      </w:r>
    </w:p>
    <w:p w14:paraId="4587127B" w14:textId="5774695C" w:rsidR="00C603B7" w:rsidRPr="00C603B7" w:rsidRDefault="00C603B7" w:rsidP="00CA5198">
      <w:pPr>
        <w:pStyle w:val="Heading2"/>
      </w:pPr>
      <w:bookmarkStart w:id="518" w:name="_Toc50070045"/>
      <w:bookmarkStart w:id="519" w:name="_Toc64723973"/>
      <w:r w:rsidRPr="00C603B7">
        <w:t>Method:</w:t>
      </w:r>
      <w:bookmarkEnd w:id="518"/>
      <w:bookmarkEnd w:id="519"/>
      <w:r w:rsidRPr="00C603B7">
        <w:t xml:space="preserve"> </w:t>
      </w:r>
    </w:p>
    <w:p w14:paraId="69DCD30B" w14:textId="3EBFA5EE" w:rsidR="00C603B7" w:rsidRPr="00C603B7" w:rsidRDefault="00C603B7" w:rsidP="00C603B7">
      <w:pPr>
        <w:pBdr>
          <w:top w:val="nil"/>
          <w:left w:val="nil"/>
          <w:bottom w:val="nil"/>
          <w:right w:val="nil"/>
          <w:between w:val="nil"/>
          <w:bar w:val="nil"/>
        </w:pBdr>
        <w:spacing w:line="360" w:lineRule="auto"/>
        <w:rPr>
          <w:rFonts w:eastAsia="Arial" w:cs="Arial"/>
          <w:color w:val="000000"/>
          <w:u w:color="000000"/>
          <w:bdr w:val="nil"/>
          <w:lang w:val="en-US" w:eastAsia="en-GB"/>
        </w:rPr>
      </w:pPr>
      <w:r w:rsidRPr="00C603B7">
        <w:rPr>
          <w:rFonts w:eastAsia="Calibri" w:cs="Calibri"/>
          <w:color w:val="000000"/>
          <w:u w:color="000000"/>
          <w:bdr w:val="nil"/>
          <w:lang w:val="en-US" w:eastAsia="en-GB"/>
        </w:rPr>
        <w:t>The spectroscopy sequence was performed at the 3</w:t>
      </w:r>
      <w:r w:rsidRPr="00C603B7">
        <w:rPr>
          <w:rFonts w:eastAsia="Calibri" w:cs="Calibri"/>
          <w:color w:val="000000"/>
          <w:u w:color="000000"/>
          <w:bdr w:val="nil"/>
          <w:vertAlign w:val="superscript"/>
          <w:lang w:val="en-US" w:eastAsia="en-GB"/>
        </w:rPr>
        <w:t>rd</w:t>
      </w:r>
      <w:r w:rsidRPr="00C603B7">
        <w:rPr>
          <w:rFonts w:eastAsia="Calibri" w:cs="Calibri"/>
          <w:color w:val="000000"/>
          <w:u w:color="000000"/>
          <w:bdr w:val="nil"/>
          <w:lang w:val="en-US" w:eastAsia="en-GB"/>
        </w:rPr>
        <w:t xml:space="preserve"> visit of the </w:t>
      </w:r>
      <w:proofErr w:type="gramStart"/>
      <w:r w:rsidRPr="00C603B7">
        <w:rPr>
          <w:rFonts w:eastAsia="Calibri" w:cs="Calibri"/>
          <w:color w:val="000000"/>
          <w:u w:color="000000"/>
          <w:bdr w:val="nil"/>
          <w:lang w:val="en-US" w:eastAsia="en-GB"/>
        </w:rPr>
        <w:t>study,</w:t>
      </w:r>
      <w:proofErr w:type="gramEnd"/>
      <w:r w:rsidRPr="00C603B7">
        <w:rPr>
          <w:rFonts w:eastAsia="Calibri" w:cs="Calibri"/>
          <w:color w:val="000000"/>
          <w:u w:color="000000"/>
          <w:bdr w:val="nil"/>
          <w:lang w:val="en-US" w:eastAsia="en-GB"/>
        </w:rPr>
        <w:t xml:space="preserve"> this was in order to correlate any dynamic perfusion changes due to pain with baseline spectroscopy results on the day.  The spectroscopy sequence was performed before the dynamic susceptibility contrast sequence, to prevent the contrast making the interpretation of the spectra difficult.  There were two subjects (1 P-DPN and 1</w:t>
      </w:r>
      <w:r w:rsidR="00B134E7">
        <w:rPr>
          <w:rFonts w:eastAsia="Calibri" w:cs="Calibri"/>
          <w:color w:val="000000"/>
          <w:u w:color="000000"/>
          <w:bdr w:val="nil"/>
          <w:lang w:val="en-US" w:eastAsia="en-GB"/>
        </w:rPr>
        <w:t xml:space="preserve"> </w:t>
      </w:r>
      <w:r w:rsidRPr="00C603B7">
        <w:rPr>
          <w:rFonts w:eastAsia="Calibri" w:cs="Calibri"/>
          <w:color w:val="000000"/>
          <w:u w:color="000000"/>
          <w:bdr w:val="nil"/>
          <w:lang w:val="en-US" w:eastAsia="en-GB"/>
        </w:rPr>
        <w:t>HV) that were unable to tolerate the full sequence of MR scanning due to claustrophobia on the second visit, and so a decision was made to only perform the primary outcome measure sequence (DSC-MRI).  The sequence was performed at 3T (</w:t>
      </w:r>
      <w:proofErr w:type="spellStart"/>
      <w:r w:rsidRPr="00C603B7">
        <w:rPr>
          <w:rFonts w:eastAsia="Calibri" w:cs="Calibri"/>
          <w:color w:val="000000"/>
          <w:u w:color="000000"/>
          <w:bdr w:val="nil"/>
          <w:lang w:val="en-US" w:eastAsia="en-GB"/>
        </w:rPr>
        <w:t>Ingenia</w:t>
      </w:r>
      <w:proofErr w:type="spellEnd"/>
      <w:r w:rsidRPr="00C603B7">
        <w:rPr>
          <w:rFonts w:eastAsia="Calibri" w:cs="Calibri"/>
          <w:color w:val="000000"/>
          <w:u w:color="000000"/>
          <w:bdr w:val="nil"/>
          <w:lang w:val="en-US" w:eastAsia="en-GB"/>
        </w:rPr>
        <w:t xml:space="preserve">, Philips Netherlands).  A T2 image was acquired prior to the spectroscopy </w:t>
      </w:r>
      <w:r w:rsidRPr="00C603B7">
        <w:rPr>
          <w:rFonts w:eastAsia="Calibri" w:cs="Calibri"/>
          <w:color w:val="000000"/>
          <w:u w:color="000000"/>
          <w:bdr w:val="nil"/>
          <w:lang w:val="en-US" w:eastAsia="en-GB"/>
        </w:rPr>
        <w:lastRenderedPageBreak/>
        <w:t>sequence to allow planning of placement of the single voxel spectra 2.25cm3 (figure 6.1).</w:t>
      </w:r>
    </w:p>
    <w:p w14:paraId="57994F72" w14:textId="2CD99E11" w:rsidR="00C603B7" w:rsidRPr="00CA5198" w:rsidRDefault="00C603B7" w:rsidP="00CA5198">
      <w:pPr>
        <w:pStyle w:val="Subtitle"/>
      </w:pPr>
      <w:bookmarkStart w:id="520" w:name="_Toc50070092"/>
      <w:bookmarkStart w:id="521" w:name="_Toc64724227"/>
      <w:r w:rsidRPr="00CA5198">
        <w:rPr>
          <w:noProof/>
        </w:rPr>
        <w:drawing>
          <wp:anchor distT="0" distB="0" distL="0" distR="0" simplePos="0" relativeHeight="251762688" behindDoc="0" locked="0" layoutInCell="1" allowOverlap="1" wp14:anchorId="4DD659AC" wp14:editId="333AEEA8">
            <wp:simplePos x="0" y="0"/>
            <wp:positionH relativeFrom="column">
              <wp:posOffset>360680</wp:posOffset>
            </wp:positionH>
            <wp:positionV relativeFrom="line">
              <wp:posOffset>688340</wp:posOffset>
            </wp:positionV>
            <wp:extent cx="3361690" cy="3775075"/>
            <wp:effectExtent l="0" t="0" r="0" b="0"/>
            <wp:wrapTopAndBottom distT="0" distB="0"/>
            <wp:docPr id="35" name="officeArt object" descr="A picture containing person, sitting, holding, table&#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25" name="A picture containing person, sitting, holding, table&#10;&#10;Description automatically generated" descr="A picture containing person, sitting, holding, tableDescription automatically generated"/>
                    <pic:cNvPicPr>
                      <a:picLocks noChangeAspect="1"/>
                    </pic:cNvPicPr>
                  </pic:nvPicPr>
                  <pic:blipFill>
                    <a:blip r:embed="rId76"/>
                    <a:srcRect l="11667" t="1429" r="19668"/>
                    <a:stretch>
                      <a:fillRect/>
                    </a:stretch>
                  </pic:blipFill>
                  <pic:spPr>
                    <a:xfrm>
                      <a:off x="0" y="0"/>
                      <a:ext cx="3361690" cy="3775075"/>
                    </a:xfrm>
                    <a:prstGeom prst="rect">
                      <a:avLst/>
                    </a:prstGeom>
                    <a:ln w="76200" cap="flat">
                      <a:solidFill>
                        <a:srgbClr val="5B9BD5"/>
                      </a:solidFill>
                      <a:prstDash val="solid"/>
                      <a:round/>
                    </a:ln>
                    <a:effectLst/>
                  </pic:spPr>
                </pic:pic>
              </a:graphicData>
            </a:graphic>
          </wp:anchor>
        </w:drawing>
      </w:r>
      <w:r w:rsidRPr="00CA5198">
        <w:t xml:space="preserve">Figure 6.1. Axial </w:t>
      </w:r>
      <w:r w:rsidR="00D56549">
        <w:t>S</w:t>
      </w:r>
      <w:r w:rsidRPr="00CA5198">
        <w:t xml:space="preserve">ection of </w:t>
      </w:r>
      <w:r w:rsidR="00D56549">
        <w:t>MR</w:t>
      </w:r>
      <w:r w:rsidRPr="00CA5198">
        <w:t xml:space="preserve"> </w:t>
      </w:r>
      <w:r w:rsidR="00D56549">
        <w:t>I</w:t>
      </w:r>
      <w:r w:rsidRPr="00CA5198">
        <w:t>mage</w:t>
      </w:r>
      <w:r w:rsidR="00D56549">
        <w:t xml:space="preserve"> of the Brain</w:t>
      </w:r>
      <w:r w:rsidRPr="00CA5198">
        <w:t xml:space="preserve"> to </w:t>
      </w:r>
      <w:r w:rsidR="00D56549">
        <w:t>D</w:t>
      </w:r>
      <w:r w:rsidRPr="00CA5198">
        <w:t xml:space="preserve">emonstrate </w:t>
      </w:r>
      <w:r w:rsidR="00D56549">
        <w:t>P</w:t>
      </w:r>
      <w:r w:rsidRPr="00CA5198">
        <w:t xml:space="preserve">lacement of </w:t>
      </w:r>
      <w:r w:rsidR="00D56549">
        <w:t>S</w:t>
      </w:r>
      <w:r w:rsidRPr="00CA5198">
        <w:t xml:space="preserve">ingle </w:t>
      </w:r>
      <w:r w:rsidR="00D56549">
        <w:t>V</w:t>
      </w:r>
      <w:r w:rsidRPr="00CA5198">
        <w:t xml:space="preserve">oxel </w:t>
      </w:r>
      <w:r w:rsidR="00D56549">
        <w:t>S</w:t>
      </w:r>
      <w:r w:rsidRPr="00CA5198">
        <w:t>pectra</w:t>
      </w:r>
      <w:bookmarkEnd w:id="520"/>
      <w:bookmarkEnd w:id="521"/>
      <w:r w:rsidRPr="00CA5198">
        <w:t xml:space="preserve"> </w:t>
      </w:r>
    </w:p>
    <w:p w14:paraId="2F89AB52" w14:textId="77777777" w:rsidR="00C603B7" w:rsidRPr="00C603B7" w:rsidRDefault="00C603B7" w:rsidP="00C603B7">
      <w:pPr>
        <w:pBdr>
          <w:top w:val="nil"/>
          <w:left w:val="nil"/>
          <w:bottom w:val="nil"/>
          <w:right w:val="nil"/>
          <w:between w:val="nil"/>
          <w:bar w:val="nil"/>
        </w:pBdr>
        <w:spacing w:line="360" w:lineRule="auto"/>
        <w:rPr>
          <w:rFonts w:eastAsia="Arial" w:cs="Arial"/>
          <w:color w:val="000000"/>
          <w:u w:color="000000"/>
          <w:bdr w:val="nil"/>
          <w:lang w:val="en-US" w:eastAsia="en-GB"/>
        </w:rPr>
      </w:pPr>
    </w:p>
    <w:p w14:paraId="4F7E39A3" w14:textId="1FB34400" w:rsidR="00C603B7" w:rsidRPr="00C603B7" w:rsidRDefault="00C603B7" w:rsidP="00C603B7">
      <w:pPr>
        <w:pBdr>
          <w:top w:val="nil"/>
          <w:left w:val="nil"/>
          <w:bottom w:val="nil"/>
          <w:right w:val="nil"/>
          <w:between w:val="nil"/>
          <w:bar w:val="nil"/>
        </w:pBdr>
        <w:spacing w:line="360" w:lineRule="auto"/>
        <w:rPr>
          <w:rFonts w:eastAsia="Arial" w:cs="Arial"/>
          <w:color w:val="000000"/>
          <w:u w:color="000000"/>
          <w:bdr w:val="nil"/>
          <w:lang w:val="en-US" w:eastAsia="en-GB"/>
        </w:rPr>
      </w:pPr>
      <w:r w:rsidRPr="00C603B7">
        <w:rPr>
          <w:rFonts w:eastAsia="Calibri" w:cs="Calibri"/>
          <w:color w:val="000000"/>
          <w:u w:color="000000"/>
          <w:bdr w:val="nil"/>
          <w:lang w:val="en-US" w:eastAsia="en-GB"/>
        </w:rPr>
        <w:t xml:space="preserve">The sequence was designed to replicate the previous work of our group. Therefore we chose a long echo sequence </w:t>
      </w:r>
      <w:r w:rsidRPr="00C603B7">
        <w:rPr>
          <w:rFonts w:eastAsia="Arial" w:cs="Arial"/>
          <w:color w:val="000000"/>
          <w:u w:color="000000"/>
          <w:bdr w:val="nil"/>
          <w:lang w:val="en-US" w:eastAsia="en-GB"/>
        </w:rPr>
        <w:fldChar w:fldCharType="begin"/>
      </w:r>
      <w:r w:rsidRPr="00C603B7">
        <w:rPr>
          <w:rFonts w:eastAsia="Arial" w:cs="Arial"/>
          <w:color w:val="000000"/>
          <w:u w:color="000000"/>
          <w:bdr w:val="nil"/>
          <w:lang w:val="en-US" w:eastAsia="en-GB"/>
        </w:rPr>
        <w:instrText xml:space="preserve"> ADDIN EN.CITE &lt;EndNote&gt;&lt;Cite  &gt;&lt;Author&gt;Gandhi&lt;/Author&gt;&lt;Year&gt;2013&lt;/Year&gt;&lt;RecNum&gt;1209&lt;/RecNum&gt;&lt;DisplayText&gt;(Gandhi, 2013)&lt;/DisplayText&gt;&lt;record&gt;&lt;titles&gt;&lt;title&gt;Insights into the Pathogenesis of Painful and Painless Diabetic Neuropathy&lt;/title&gt;&lt;/titles&gt;&lt;contributors&gt;&lt;authors&gt;&lt;author&gt;Gandhi, Rajiv&lt;/author&gt;&lt;/authors&gt;&lt;/contributors&gt;&lt;added-date format="utc"&gt;1573829160&lt;/added-date&gt;&lt;ref-type name="Generic"&gt;13&lt;/ref-type&gt;&lt;dates&gt;&lt;year&gt;2013&lt;/year&gt;&lt;/dates&gt;&lt;rec-number&gt;1209&lt;/rec-number&gt;&lt;publisher&gt;University of Sheffield;Biomedical Science (Sheffield); 2013&lt;/publisher&gt;&lt;last-updated-date format="utc"&gt;1573829160&lt;/last-updated-date&gt;&lt;/record&gt;&lt;/Cite&gt;&lt;/EndNote&gt;</w:instrText>
      </w:r>
      <w:r w:rsidRPr="00C603B7">
        <w:rPr>
          <w:rFonts w:eastAsia="Arial" w:cs="Arial"/>
          <w:color w:val="000000"/>
          <w:u w:color="000000"/>
          <w:bdr w:val="nil"/>
          <w:lang w:val="en-US" w:eastAsia="en-GB"/>
        </w:rPr>
        <w:fldChar w:fldCharType="separate"/>
      </w:r>
      <w:r w:rsidRPr="00C603B7">
        <w:rPr>
          <w:rFonts w:eastAsia="Calibri" w:cs="Calibri"/>
          <w:color w:val="000000"/>
          <w:u w:color="000000"/>
          <w:bdr w:val="nil"/>
          <w:lang w:val="en-US" w:eastAsia="en-GB"/>
        </w:rPr>
        <w:t>(Gandhi, 2013)</w:t>
      </w:r>
      <w:r w:rsidRPr="00C603B7">
        <w:rPr>
          <w:rFonts w:eastAsia="Arial" w:cs="Arial"/>
          <w:color w:val="000000"/>
          <w:u w:color="000000"/>
          <w:bdr w:val="nil"/>
          <w:lang w:val="en-US" w:eastAsia="en-GB"/>
        </w:rPr>
        <w:fldChar w:fldCharType="end"/>
      </w:r>
      <w:r w:rsidRPr="00C603B7">
        <w:rPr>
          <w:rFonts w:eastAsia="Calibri" w:cs="Calibri"/>
          <w:color w:val="000000"/>
          <w:u w:color="000000"/>
          <w:bdr w:val="nil"/>
          <w:lang w:val="en-US" w:eastAsia="en-GB"/>
        </w:rPr>
        <w:t xml:space="preserve">: TE=135ms, TR=1600ms, NSA=256 (PRESS) technique.  The participants were advised to rest in the scanner.  The following fitted metabolite area ratios were used: Choline (Cho) 3.2ppm, Creatine (Cr) 3.0ppm, N-acetyl Aspartate (NAA) 2.02ppm.  Post-processing of the spectra was using the </w:t>
      </w:r>
      <w:r w:rsidR="009B3B4F">
        <w:rPr>
          <w:rFonts w:eastAsia="Calibri" w:cs="Calibri"/>
          <w:color w:val="000000"/>
          <w:u w:color="000000"/>
          <w:bdr w:val="nil"/>
          <w:lang w:val="en-US" w:eastAsia="en-GB"/>
        </w:rPr>
        <w:t>Philips</w:t>
      </w:r>
      <w:r w:rsidRPr="00C603B7">
        <w:rPr>
          <w:rFonts w:eastAsia="Calibri" w:cs="Calibri"/>
          <w:color w:val="000000"/>
          <w:u w:color="000000"/>
          <w:bdr w:val="nil"/>
          <w:lang w:val="en-US" w:eastAsia="en-GB"/>
        </w:rPr>
        <w:t xml:space="preserve"> 3T scanner proprietary software, which automatically generates ratios from the raw data.  </w:t>
      </w:r>
    </w:p>
    <w:p w14:paraId="21451768" w14:textId="07150007" w:rsidR="00C603B7" w:rsidRPr="00C603B7" w:rsidRDefault="00C603B7" w:rsidP="00C603B7">
      <w:pPr>
        <w:pBdr>
          <w:top w:val="nil"/>
          <w:left w:val="nil"/>
          <w:bottom w:val="nil"/>
          <w:right w:val="nil"/>
          <w:between w:val="nil"/>
          <w:bar w:val="nil"/>
        </w:pBdr>
        <w:spacing w:line="360" w:lineRule="auto"/>
        <w:rPr>
          <w:rFonts w:eastAsia="Arial" w:cs="Arial"/>
          <w:color w:val="000000"/>
          <w:u w:color="000000"/>
          <w:bdr w:val="nil"/>
          <w:lang w:val="en-US" w:eastAsia="en-GB"/>
        </w:rPr>
      </w:pPr>
      <w:r w:rsidRPr="00C603B7">
        <w:rPr>
          <w:rFonts w:eastAsia="Calibri" w:cs="Calibri"/>
          <w:color w:val="000000"/>
          <w:u w:color="000000"/>
          <w:bdr w:val="nil"/>
          <w:lang w:val="en-US" w:eastAsia="en-GB"/>
        </w:rPr>
        <w:t>The ratios were entered into SPSS v2</w:t>
      </w:r>
      <w:r w:rsidR="00810941">
        <w:rPr>
          <w:rFonts w:eastAsia="Calibri" w:cs="Calibri"/>
          <w:color w:val="000000"/>
          <w:u w:color="000000"/>
          <w:bdr w:val="nil"/>
          <w:lang w:val="en-US" w:eastAsia="en-GB"/>
        </w:rPr>
        <w:t>6</w:t>
      </w:r>
      <w:r w:rsidRPr="00C603B7">
        <w:rPr>
          <w:rFonts w:eastAsia="Calibri" w:cs="Calibri"/>
          <w:color w:val="000000"/>
          <w:u w:color="000000"/>
          <w:bdr w:val="nil"/>
          <w:lang w:val="en-US" w:eastAsia="en-GB"/>
        </w:rPr>
        <w:t xml:space="preserve">.0 (IBM) and compared using ANOVA and pre-planned linear contrasts to account for the nested nature of the disease process:  HV vs  ALL-DM (ALL-DM= P-DPN, DPN, DM-NN), DM-NN vs neuropathy (neuropathy = P-DPN and DPN) and P-DPN vs DPN.  Ratios were correlated with measures of neuropathy, measures of mood and personality, and baseline characteristics. They were also correlated with measures of MR-DSC perfusion, RBV, RBF, MTT and TTP at the left thalamus.  </w:t>
      </w:r>
    </w:p>
    <w:p w14:paraId="747286DB" w14:textId="047578E4" w:rsidR="00C603B7" w:rsidRPr="00C603B7" w:rsidRDefault="00C603B7" w:rsidP="00CA5198">
      <w:pPr>
        <w:pStyle w:val="Heading2"/>
      </w:pPr>
      <w:bookmarkStart w:id="522" w:name="_Toc50070046"/>
      <w:bookmarkStart w:id="523" w:name="_Toc64723974"/>
      <w:r w:rsidRPr="00C603B7">
        <w:lastRenderedPageBreak/>
        <w:t>Results:</w:t>
      </w:r>
      <w:bookmarkEnd w:id="522"/>
      <w:bookmarkEnd w:id="523"/>
      <w:r w:rsidRPr="00C603B7">
        <w:t xml:space="preserve"> </w:t>
      </w:r>
    </w:p>
    <w:p w14:paraId="3D382761" w14:textId="16887F4E" w:rsidR="00C603B7" w:rsidRDefault="00C603B7" w:rsidP="00C603B7">
      <w:pPr>
        <w:pBdr>
          <w:top w:val="nil"/>
          <w:left w:val="nil"/>
          <w:bottom w:val="nil"/>
          <w:right w:val="nil"/>
          <w:between w:val="nil"/>
          <w:bar w:val="nil"/>
        </w:pBdr>
        <w:spacing w:line="360" w:lineRule="auto"/>
        <w:rPr>
          <w:rFonts w:eastAsia="Calibri" w:cs="Calibri"/>
          <w:color w:val="000000"/>
          <w:u w:color="000000"/>
          <w:bdr w:val="nil"/>
          <w:lang w:val="en-US" w:eastAsia="en-GB"/>
        </w:rPr>
      </w:pPr>
      <w:r w:rsidRPr="00C603B7">
        <w:rPr>
          <w:rFonts w:eastAsia="Calibri" w:cs="Calibri"/>
          <w:color w:val="000000"/>
          <w:u w:color="000000"/>
          <w:bdr w:val="nil"/>
          <w:lang w:val="en-US" w:eastAsia="en-GB"/>
        </w:rPr>
        <w:t xml:space="preserve">There was no overall group difference between the means for NAA/Cr (p=.212), Cho/Cr (p=.842), and NAA/Choline (p=.497) at the left thalamus (Table 6.1). </w:t>
      </w:r>
    </w:p>
    <w:p w14:paraId="2E4B8E9A" w14:textId="3BA53F59" w:rsidR="00C603B7" w:rsidRPr="00CA5198" w:rsidRDefault="00C603B7" w:rsidP="00CA5198">
      <w:pPr>
        <w:pStyle w:val="Quote"/>
      </w:pPr>
      <w:bookmarkStart w:id="524" w:name="_Toc64724092"/>
      <w:bookmarkStart w:id="525" w:name="_Toc50070671"/>
      <w:r w:rsidRPr="00CA5198">
        <w:t xml:space="preserve">Table 6.1  </w:t>
      </w:r>
      <w:r w:rsidR="00D56549">
        <w:t>C</w:t>
      </w:r>
      <w:r w:rsidRPr="00CA5198">
        <w:t>ompari</w:t>
      </w:r>
      <w:r w:rsidR="00D56549">
        <w:t>son of</w:t>
      </w:r>
      <w:r w:rsidRPr="00CA5198">
        <w:t xml:space="preserve"> </w:t>
      </w:r>
      <w:r w:rsidR="00D56549">
        <w:t>Mean S</w:t>
      </w:r>
      <w:r w:rsidRPr="00CA5198">
        <w:t xml:space="preserve">pectroscopy </w:t>
      </w:r>
      <w:r w:rsidR="00D56549">
        <w:t>V</w:t>
      </w:r>
      <w:r w:rsidRPr="00CA5198">
        <w:t xml:space="preserve">alues within the </w:t>
      </w:r>
      <w:r w:rsidR="00D56549">
        <w:t>L</w:t>
      </w:r>
      <w:r w:rsidRPr="00CA5198">
        <w:t xml:space="preserve">eft </w:t>
      </w:r>
      <w:r w:rsidR="00D56549">
        <w:t>T</w:t>
      </w:r>
      <w:r w:rsidRPr="00CA5198">
        <w:t>halamus</w:t>
      </w:r>
      <w:bookmarkEnd w:id="524"/>
      <w:r w:rsidRPr="00CA5198">
        <w:t xml:space="preserve"> </w:t>
      </w:r>
      <w:bookmarkEnd w:id="525"/>
    </w:p>
    <w:tbl>
      <w:tblPr>
        <w:tblW w:w="9064" w:type="dxa"/>
        <w:tblInd w:w="21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1564"/>
        <w:gridCol w:w="1874"/>
        <w:gridCol w:w="1486"/>
        <w:gridCol w:w="1036"/>
        <w:gridCol w:w="1036"/>
        <w:gridCol w:w="1035"/>
        <w:gridCol w:w="1033"/>
      </w:tblGrid>
      <w:tr w:rsidR="00C603B7" w:rsidRPr="00C603B7" w14:paraId="32996948" w14:textId="77777777" w:rsidTr="009968E0">
        <w:trPr>
          <w:trHeight w:val="298"/>
        </w:trPr>
        <w:tc>
          <w:tcPr>
            <w:tcW w:w="4924" w:type="dxa"/>
            <w:gridSpan w:val="3"/>
            <w:tcBorders>
              <w:top w:val="single" w:sz="4" w:space="0" w:color="000000"/>
              <w:left w:val="single" w:sz="4" w:space="0" w:color="000000"/>
              <w:bottom w:val="single" w:sz="2" w:space="0" w:color="F4B083"/>
              <w:right w:val="single" w:sz="2" w:space="0" w:color="F4B083"/>
            </w:tcBorders>
            <w:shd w:val="clear" w:color="auto" w:fill="FBE4D5"/>
            <w:tcMar>
              <w:top w:w="80" w:type="dxa"/>
              <w:left w:w="80" w:type="dxa"/>
              <w:bottom w:w="80" w:type="dxa"/>
              <w:right w:w="80" w:type="dxa"/>
            </w:tcMar>
          </w:tcPr>
          <w:p w14:paraId="23AA8609" w14:textId="77777777" w:rsidR="00C603B7" w:rsidRPr="00C603B7" w:rsidRDefault="00C603B7" w:rsidP="00C603B7">
            <w:pPr>
              <w:pBdr>
                <w:top w:val="nil"/>
                <w:left w:val="nil"/>
                <w:bottom w:val="nil"/>
                <w:right w:val="nil"/>
                <w:between w:val="nil"/>
                <w:bar w:val="nil"/>
              </w:pBdr>
              <w:spacing w:line="360" w:lineRule="auto"/>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 </w:t>
            </w:r>
          </w:p>
        </w:tc>
        <w:tc>
          <w:tcPr>
            <w:tcW w:w="1036" w:type="dxa"/>
            <w:tcBorders>
              <w:top w:val="single" w:sz="4" w:space="0" w:color="000000"/>
              <w:left w:val="single" w:sz="2" w:space="0" w:color="F4B083"/>
              <w:bottom w:val="single" w:sz="2" w:space="0" w:color="F4B083"/>
              <w:right w:val="single" w:sz="2" w:space="0" w:color="F4B083"/>
            </w:tcBorders>
            <w:shd w:val="clear" w:color="auto" w:fill="FBE4D5"/>
            <w:tcMar>
              <w:top w:w="80" w:type="dxa"/>
              <w:left w:w="80" w:type="dxa"/>
              <w:bottom w:w="80" w:type="dxa"/>
              <w:right w:w="80" w:type="dxa"/>
            </w:tcMar>
          </w:tcPr>
          <w:p w14:paraId="5FE4C3CF" w14:textId="77777777" w:rsidR="00C603B7" w:rsidRPr="00C603B7" w:rsidRDefault="00C603B7" w:rsidP="00C603B7">
            <w:pPr>
              <w:pBdr>
                <w:top w:val="nil"/>
                <w:left w:val="nil"/>
                <w:bottom w:val="nil"/>
                <w:right w:val="nil"/>
                <w:between w:val="nil"/>
                <w:bar w:val="nil"/>
              </w:pBdr>
              <w:spacing w:line="360" w:lineRule="auto"/>
              <w:jc w:val="center"/>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P-DPN</w:t>
            </w:r>
          </w:p>
        </w:tc>
        <w:tc>
          <w:tcPr>
            <w:tcW w:w="1036" w:type="dxa"/>
            <w:tcBorders>
              <w:top w:val="single" w:sz="4" w:space="0" w:color="000000"/>
              <w:left w:val="single" w:sz="2" w:space="0" w:color="F4B083"/>
              <w:bottom w:val="single" w:sz="2" w:space="0" w:color="F4B083"/>
              <w:right w:val="single" w:sz="2" w:space="0" w:color="F4B083"/>
            </w:tcBorders>
            <w:shd w:val="clear" w:color="auto" w:fill="FBE4D5"/>
            <w:tcMar>
              <w:top w:w="80" w:type="dxa"/>
              <w:left w:w="80" w:type="dxa"/>
              <w:bottom w:w="80" w:type="dxa"/>
              <w:right w:w="80" w:type="dxa"/>
            </w:tcMar>
          </w:tcPr>
          <w:p w14:paraId="6638D368" w14:textId="77777777" w:rsidR="00C603B7" w:rsidRPr="00C603B7" w:rsidRDefault="00C603B7" w:rsidP="00C603B7">
            <w:pPr>
              <w:pBdr>
                <w:top w:val="nil"/>
                <w:left w:val="nil"/>
                <w:bottom w:val="nil"/>
                <w:right w:val="nil"/>
                <w:between w:val="nil"/>
                <w:bar w:val="nil"/>
              </w:pBdr>
              <w:spacing w:line="360" w:lineRule="auto"/>
              <w:jc w:val="center"/>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DPN</w:t>
            </w:r>
          </w:p>
        </w:tc>
        <w:tc>
          <w:tcPr>
            <w:tcW w:w="1035" w:type="dxa"/>
            <w:tcBorders>
              <w:top w:val="single" w:sz="4" w:space="0" w:color="000000"/>
              <w:left w:val="single" w:sz="2" w:space="0" w:color="F4B083"/>
              <w:bottom w:val="single" w:sz="2" w:space="0" w:color="F4B083"/>
              <w:right w:val="single" w:sz="2" w:space="0" w:color="F4B083"/>
            </w:tcBorders>
            <w:shd w:val="clear" w:color="auto" w:fill="FBE4D5"/>
            <w:tcMar>
              <w:top w:w="80" w:type="dxa"/>
              <w:left w:w="80" w:type="dxa"/>
              <w:bottom w:w="80" w:type="dxa"/>
              <w:right w:w="80" w:type="dxa"/>
            </w:tcMar>
          </w:tcPr>
          <w:p w14:paraId="2D133C9C" w14:textId="77777777" w:rsidR="00C603B7" w:rsidRPr="00C603B7" w:rsidRDefault="00C603B7" w:rsidP="00C603B7">
            <w:pPr>
              <w:pBdr>
                <w:top w:val="nil"/>
                <w:left w:val="nil"/>
                <w:bottom w:val="nil"/>
                <w:right w:val="nil"/>
                <w:between w:val="nil"/>
                <w:bar w:val="nil"/>
              </w:pBdr>
              <w:spacing w:line="360" w:lineRule="auto"/>
              <w:jc w:val="center"/>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DM-NN</w:t>
            </w:r>
          </w:p>
        </w:tc>
        <w:tc>
          <w:tcPr>
            <w:tcW w:w="1033" w:type="dxa"/>
            <w:tcBorders>
              <w:top w:val="single" w:sz="4" w:space="0" w:color="000000"/>
              <w:left w:val="single" w:sz="2" w:space="0" w:color="F4B083"/>
              <w:bottom w:val="single" w:sz="2" w:space="0" w:color="F4B083"/>
              <w:right w:val="single" w:sz="4" w:space="0" w:color="000000"/>
            </w:tcBorders>
            <w:shd w:val="clear" w:color="auto" w:fill="FBE4D5"/>
            <w:tcMar>
              <w:top w:w="80" w:type="dxa"/>
              <w:left w:w="80" w:type="dxa"/>
              <w:bottom w:w="80" w:type="dxa"/>
              <w:right w:w="80" w:type="dxa"/>
            </w:tcMar>
          </w:tcPr>
          <w:p w14:paraId="560901DD" w14:textId="77777777" w:rsidR="00C603B7" w:rsidRPr="00C603B7" w:rsidRDefault="00C603B7" w:rsidP="00C603B7">
            <w:pPr>
              <w:pBdr>
                <w:top w:val="nil"/>
                <w:left w:val="nil"/>
                <w:bottom w:val="nil"/>
                <w:right w:val="nil"/>
                <w:between w:val="nil"/>
                <w:bar w:val="nil"/>
              </w:pBdr>
              <w:spacing w:line="360" w:lineRule="auto"/>
              <w:jc w:val="center"/>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HV</w:t>
            </w:r>
          </w:p>
        </w:tc>
      </w:tr>
      <w:tr w:rsidR="00C603B7" w:rsidRPr="00C603B7" w14:paraId="6141BD58" w14:textId="77777777" w:rsidTr="009968E0">
        <w:trPr>
          <w:trHeight w:val="290"/>
        </w:trPr>
        <w:tc>
          <w:tcPr>
            <w:tcW w:w="1564" w:type="dxa"/>
            <w:vMerge w:val="restart"/>
            <w:tcBorders>
              <w:top w:val="single" w:sz="2" w:space="0" w:color="F4B083"/>
              <w:left w:val="single" w:sz="4" w:space="0" w:color="000000"/>
              <w:bottom w:val="single" w:sz="2" w:space="0" w:color="F4B083"/>
              <w:right w:val="single" w:sz="2" w:space="0" w:color="F4B083"/>
            </w:tcBorders>
            <w:shd w:val="clear" w:color="auto" w:fill="auto"/>
            <w:tcMar>
              <w:top w:w="80" w:type="dxa"/>
              <w:left w:w="80" w:type="dxa"/>
              <w:bottom w:w="80" w:type="dxa"/>
              <w:right w:w="80" w:type="dxa"/>
            </w:tcMar>
          </w:tcPr>
          <w:p w14:paraId="4268BB82" w14:textId="77777777" w:rsidR="00C603B7" w:rsidRPr="00C603B7" w:rsidRDefault="00C603B7" w:rsidP="00C603B7">
            <w:pPr>
              <w:pBdr>
                <w:top w:val="nil"/>
                <w:left w:val="nil"/>
                <w:bottom w:val="nil"/>
                <w:right w:val="nil"/>
                <w:between w:val="nil"/>
                <w:bar w:val="nil"/>
              </w:pBdr>
              <w:spacing w:line="360" w:lineRule="auto"/>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NAA/Creatine</w:t>
            </w:r>
          </w:p>
        </w:tc>
        <w:tc>
          <w:tcPr>
            <w:tcW w:w="3360" w:type="dxa"/>
            <w:gridSpan w:val="2"/>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tcPr>
          <w:p w14:paraId="46EE4796" w14:textId="77777777" w:rsidR="00C603B7" w:rsidRPr="00C603B7" w:rsidRDefault="00C603B7" w:rsidP="00C603B7">
            <w:pPr>
              <w:pBdr>
                <w:top w:val="nil"/>
                <w:left w:val="nil"/>
                <w:bottom w:val="nil"/>
                <w:right w:val="nil"/>
                <w:between w:val="nil"/>
                <w:bar w:val="nil"/>
              </w:pBdr>
              <w:spacing w:line="360" w:lineRule="auto"/>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N</w:t>
            </w:r>
          </w:p>
        </w:tc>
        <w:tc>
          <w:tcPr>
            <w:tcW w:w="1036"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tcPr>
          <w:p w14:paraId="3E3D2BC5"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18</w:t>
            </w:r>
          </w:p>
        </w:tc>
        <w:tc>
          <w:tcPr>
            <w:tcW w:w="1036"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tcPr>
          <w:p w14:paraId="4BC4FC15"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23</w:t>
            </w:r>
          </w:p>
        </w:tc>
        <w:tc>
          <w:tcPr>
            <w:tcW w:w="1035"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tcPr>
          <w:p w14:paraId="5F079176"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13</w:t>
            </w:r>
          </w:p>
        </w:tc>
        <w:tc>
          <w:tcPr>
            <w:tcW w:w="1033" w:type="dxa"/>
            <w:tcBorders>
              <w:top w:val="single" w:sz="2" w:space="0" w:color="F4B083"/>
              <w:left w:val="single" w:sz="2" w:space="0" w:color="F4B083"/>
              <w:bottom w:val="single" w:sz="2" w:space="0" w:color="F4B083"/>
              <w:right w:val="single" w:sz="4" w:space="0" w:color="000000"/>
            </w:tcBorders>
            <w:shd w:val="clear" w:color="auto" w:fill="auto"/>
            <w:tcMar>
              <w:top w:w="80" w:type="dxa"/>
              <w:left w:w="80" w:type="dxa"/>
              <w:bottom w:w="80" w:type="dxa"/>
              <w:right w:w="80" w:type="dxa"/>
            </w:tcMar>
          </w:tcPr>
          <w:p w14:paraId="406441EB"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18</w:t>
            </w:r>
          </w:p>
        </w:tc>
      </w:tr>
      <w:tr w:rsidR="00C603B7" w:rsidRPr="00C603B7" w14:paraId="1474944E" w14:textId="77777777" w:rsidTr="009968E0">
        <w:trPr>
          <w:trHeight w:val="290"/>
        </w:trPr>
        <w:tc>
          <w:tcPr>
            <w:tcW w:w="1564" w:type="dxa"/>
            <w:vMerge/>
            <w:tcBorders>
              <w:top w:val="single" w:sz="2" w:space="0" w:color="F4B083"/>
              <w:left w:val="single" w:sz="4" w:space="0" w:color="000000"/>
              <w:bottom w:val="single" w:sz="2" w:space="0" w:color="F4B083"/>
              <w:right w:val="single" w:sz="2" w:space="0" w:color="F4B083"/>
            </w:tcBorders>
            <w:shd w:val="clear" w:color="auto" w:fill="auto"/>
          </w:tcPr>
          <w:p w14:paraId="3209C52B" w14:textId="77777777" w:rsidR="00C603B7" w:rsidRPr="00C603B7" w:rsidRDefault="00C603B7" w:rsidP="00C603B7">
            <w:pPr>
              <w:pBdr>
                <w:top w:val="nil"/>
                <w:left w:val="nil"/>
                <w:bottom w:val="nil"/>
                <w:right w:val="nil"/>
                <w:between w:val="nil"/>
                <w:bar w:val="nil"/>
              </w:pBdr>
              <w:rPr>
                <w:rFonts w:ascii="Times New Roman" w:eastAsia="Arial Unicode MS" w:hAnsi="Times New Roman" w:cs="Times New Roman"/>
                <w:bdr w:val="nil"/>
                <w:lang w:val="en-US"/>
              </w:rPr>
            </w:pPr>
          </w:p>
        </w:tc>
        <w:tc>
          <w:tcPr>
            <w:tcW w:w="3360" w:type="dxa"/>
            <w:gridSpan w:val="2"/>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tcPr>
          <w:p w14:paraId="3BDDC130" w14:textId="77777777" w:rsidR="00C603B7" w:rsidRPr="00C603B7" w:rsidRDefault="00C603B7" w:rsidP="00C603B7">
            <w:pPr>
              <w:pBdr>
                <w:top w:val="nil"/>
                <w:left w:val="nil"/>
                <w:bottom w:val="nil"/>
                <w:right w:val="nil"/>
                <w:between w:val="nil"/>
                <w:bar w:val="nil"/>
              </w:pBdr>
              <w:spacing w:line="360" w:lineRule="auto"/>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Mean</w:t>
            </w:r>
          </w:p>
        </w:tc>
        <w:tc>
          <w:tcPr>
            <w:tcW w:w="1036"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tcPr>
          <w:p w14:paraId="45491B9D"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1.80</w:t>
            </w:r>
          </w:p>
        </w:tc>
        <w:tc>
          <w:tcPr>
            <w:tcW w:w="1036"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tcPr>
          <w:p w14:paraId="20B53353"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1.77</w:t>
            </w:r>
          </w:p>
        </w:tc>
        <w:tc>
          <w:tcPr>
            <w:tcW w:w="1035"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tcPr>
          <w:p w14:paraId="627EB019"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1.86</w:t>
            </w:r>
          </w:p>
        </w:tc>
        <w:tc>
          <w:tcPr>
            <w:tcW w:w="1033" w:type="dxa"/>
            <w:tcBorders>
              <w:top w:val="single" w:sz="2" w:space="0" w:color="F4B083"/>
              <w:left w:val="single" w:sz="2" w:space="0" w:color="F4B083"/>
              <w:bottom w:val="single" w:sz="2" w:space="0" w:color="F4B083"/>
              <w:right w:val="single" w:sz="4" w:space="0" w:color="000000"/>
            </w:tcBorders>
            <w:shd w:val="clear" w:color="auto" w:fill="FBE4D5"/>
            <w:tcMar>
              <w:top w:w="80" w:type="dxa"/>
              <w:left w:w="80" w:type="dxa"/>
              <w:bottom w:w="80" w:type="dxa"/>
              <w:right w:w="80" w:type="dxa"/>
            </w:tcMar>
          </w:tcPr>
          <w:p w14:paraId="31368AB8"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1.93</w:t>
            </w:r>
          </w:p>
        </w:tc>
      </w:tr>
      <w:tr w:rsidR="00C603B7" w:rsidRPr="00C603B7" w14:paraId="12CA7B53" w14:textId="77777777" w:rsidTr="009968E0">
        <w:trPr>
          <w:trHeight w:val="710"/>
        </w:trPr>
        <w:tc>
          <w:tcPr>
            <w:tcW w:w="1564" w:type="dxa"/>
            <w:vMerge/>
            <w:tcBorders>
              <w:top w:val="single" w:sz="2" w:space="0" w:color="F4B083"/>
              <w:left w:val="single" w:sz="4" w:space="0" w:color="000000"/>
              <w:bottom w:val="single" w:sz="2" w:space="0" w:color="F4B083"/>
              <w:right w:val="single" w:sz="2" w:space="0" w:color="F4B083"/>
            </w:tcBorders>
            <w:shd w:val="clear" w:color="auto" w:fill="auto"/>
          </w:tcPr>
          <w:p w14:paraId="576A378C" w14:textId="77777777" w:rsidR="00C603B7" w:rsidRPr="00C603B7" w:rsidRDefault="00C603B7" w:rsidP="00C603B7">
            <w:pPr>
              <w:pBdr>
                <w:top w:val="nil"/>
                <w:left w:val="nil"/>
                <w:bottom w:val="nil"/>
                <w:right w:val="nil"/>
                <w:between w:val="nil"/>
                <w:bar w:val="nil"/>
              </w:pBdr>
              <w:rPr>
                <w:rFonts w:ascii="Times New Roman" w:eastAsia="Arial Unicode MS" w:hAnsi="Times New Roman" w:cs="Times New Roman"/>
                <w:bdr w:val="nil"/>
                <w:lang w:val="en-US"/>
              </w:rPr>
            </w:pPr>
          </w:p>
        </w:tc>
        <w:tc>
          <w:tcPr>
            <w:tcW w:w="1874" w:type="dxa"/>
            <w:vMerge w:val="restart"/>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tcPr>
          <w:p w14:paraId="20E1CD14" w14:textId="77777777" w:rsidR="00C603B7" w:rsidRPr="00C603B7" w:rsidRDefault="00C603B7" w:rsidP="00C603B7">
            <w:pPr>
              <w:pBdr>
                <w:top w:val="nil"/>
                <w:left w:val="nil"/>
                <w:bottom w:val="nil"/>
                <w:right w:val="nil"/>
                <w:between w:val="nil"/>
                <w:bar w:val="nil"/>
              </w:pBdr>
              <w:spacing w:line="360" w:lineRule="auto"/>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95% Confidence Interval for Mean</w:t>
            </w:r>
          </w:p>
        </w:tc>
        <w:tc>
          <w:tcPr>
            <w:tcW w:w="1486"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tcPr>
          <w:p w14:paraId="11853C3B" w14:textId="77777777" w:rsidR="00C603B7" w:rsidRPr="00C603B7" w:rsidRDefault="00C603B7" w:rsidP="00C603B7">
            <w:pPr>
              <w:pBdr>
                <w:top w:val="nil"/>
                <w:left w:val="nil"/>
                <w:bottom w:val="nil"/>
                <w:right w:val="nil"/>
                <w:between w:val="nil"/>
                <w:bar w:val="nil"/>
              </w:pBdr>
              <w:spacing w:line="360" w:lineRule="auto"/>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Lower Bound</w:t>
            </w:r>
          </w:p>
        </w:tc>
        <w:tc>
          <w:tcPr>
            <w:tcW w:w="1036"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tcPr>
          <w:p w14:paraId="3F644D3E"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1.66</w:t>
            </w:r>
          </w:p>
        </w:tc>
        <w:tc>
          <w:tcPr>
            <w:tcW w:w="1036"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tcPr>
          <w:p w14:paraId="05F42B01"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1.68</w:t>
            </w:r>
          </w:p>
        </w:tc>
        <w:tc>
          <w:tcPr>
            <w:tcW w:w="1035"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tcPr>
          <w:p w14:paraId="032272EC"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1.70</w:t>
            </w:r>
          </w:p>
        </w:tc>
        <w:tc>
          <w:tcPr>
            <w:tcW w:w="1033" w:type="dxa"/>
            <w:tcBorders>
              <w:top w:val="single" w:sz="2" w:space="0" w:color="F4B083"/>
              <w:left w:val="single" w:sz="2" w:space="0" w:color="F4B083"/>
              <w:bottom w:val="single" w:sz="2" w:space="0" w:color="F4B083"/>
              <w:right w:val="single" w:sz="4" w:space="0" w:color="000000"/>
            </w:tcBorders>
            <w:shd w:val="clear" w:color="auto" w:fill="auto"/>
            <w:tcMar>
              <w:top w:w="80" w:type="dxa"/>
              <w:left w:w="80" w:type="dxa"/>
              <w:bottom w:w="80" w:type="dxa"/>
              <w:right w:w="80" w:type="dxa"/>
            </w:tcMar>
          </w:tcPr>
          <w:p w14:paraId="5B9F8BFE"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1.79</w:t>
            </w:r>
          </w:p>
        </w:tc>
      </w:tr>
      <w:tr w:rsidR="00C603B7" w:rsidRPr="00C603B7" w14:paraId="027D1AD7" w14:textId="77777777" w:rsidTr="009968E0">
        <w:trPr>
          <w:trHeight w:val="710"/>
        </w:trPr>
        <w:tc>
          <w:tcPr>
            <w:tcW w:w="1564" w:type="dxa"/>
            <w:vMerge/>
            <w:tcBorders>
              <w:top w:val="single" w:sz="2" w:space="0" w:color="F4B083"/>
              <w:left w:val="single" w:sz="4" w:space="0" w:color="000000"/>
              <w:bottom w:val="single" w:sz="2" w:space="0" w:color="F4B083"/>
              <w:right w:val="single" w:sz="2" w:space="0" w:color="F4B083"/>
            </w:tcBorders>
            <w:shd w:val="clear" w:color="auto" w:fill="auto"/>
          </w:tcPr>
          <w:p w14:paraId="7CE9E6C8" w14:textId="77777777" w:rsidR="00C603B7" w:rsidRPr="00C603B7" w:rsidRDefault="00C603B7" w:rsidP="00C603B7">
            <w:pPr>
              <w:pBdr>
                <w:top w:val="nil"/>
                <w:left w:val="nil"/>
                <w:bottom w:val="nil"/>
                <w:right w:val="nil"/>
                <w:between w:val="nil"/>
                <w:bar w:val="nil"/>
              </w:pBdr>
              <w:rPr>
                <w:rFonts w:ascii="Times New Roman" w:eastAsia="Arial Unicode MS" w:hAnsi="Times New Roman" w:cs="Times New Roman"/>
                <w:bdr w:val="nil"/>
                <w:lang w:val="en-US"/>
              </w:rPr>
            </w:pPr>
          </w:p>
        </w:tc>
        <w:tc>
          <w:tcPr>
            <w:tcW w:w="1874" w:type="dxa"/>
            <w:vMerge/>
            <w:tcBorders>
              <w:top w:val="single" w:sz="2" w:space="0" w:color="F4B083"/>
              <w:left w:val="single" w:sz="2" w:space="0" w:color="F4B083"/>
              <w:bottom w:val="single" w:sz="2" w:space="0" w:color="F4B083"/>
              <w:right w:val="single" w:sz="2" w:space="0" w:color="F4B083"/>
            </w:tcBorders>
            <w:shd w:val="clear" w:color="auto" w:fill="auto"/>
          </w:tcPr>
          <w:p w14:paraId="3447795F" w14:textId="77777777" w:rsidR="00C603B7" w:rsidRPr="00C603B7" w:rsidRDefault="00C603B7" w:rsidP="00C603B7">
            <w:pPr>
              <w:pBdr>
                <w:top w:val="nil"/>
                <w:left w:val="nil"/>
                <w:bottom w:val="nil"/>
                <w:right w:val="nil"/>
                <w:between w:val="nil"/>
                <w:bar w:val="nil"/>
              </w:pBdr>
              <w:rPr>
                <w:rFonts w:ascii="Times New Roman" w:eastAsia="Arial Unicode MS" w:hAnsi="Times New Roman" w:cs="Times New Roman"/>
                <w:bdr w:val="nil"/>
                <w:lang w:val="en-US"/>
              </w:rPr>
            </w:pPr>
          </w:p>
        </w:tc>
        <w:tc>
          <w:tcPr>
            <w:tcW w:w="1486"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tcPr>
          <w:p w14:paraId="35080EF3" w14:textId="77777777" w:rsidR="00C603B7" w:rsidRPr="00C603B7" w:rsidRDefault="00C603B7" w:rsidP="00C603B7">
            <w:pPr>
              <w:pBdr>
                <w:top w:val="nil"/>
                <w:left w:val="nil"/>
                <w:bottom w:val="nil"/>
                <w:right w:val="nil"/>
                <w:between w:val="nil"/>
                <w:bar w:val="nil"/>
              </w:pBdr>
              <w:spacing w:line="360" w:lineRule="auto"/>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Upper Bound</w:t>
            </w:r>
          </w:p>
        </w:tc>
        <w:tc>
          <w:tcPr>
            <w:tcW w:w="1036"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tcPr>
          <w:p w14:paraId="1132472A"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1.94</w:t>
            </w:r>
          </w:p>
        </w:tc>
        <w:tc>
          <w:tcPr>
            <w:tcW w:w="1036"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tcPr>
          <w:p w14:paraId="50E0C34A"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1.86</w:t>
            </w:r>
          </w:p>
        </w:tc>
        <w:tc>
          <w:tcPr>
            <w:tcW w:w="1035"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tcPr>
          <w:p w14:paraId="59B0CE17"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2.02</w:t>
            </w:r>
          </w:p>
        </w:tc>
        <w:tc>
          <w:tcPr>
            <w:tcW w:w="1033" w:type="dxa"/>
            <w:tcBorders>
              <w:top w:val="single" w:sz="2" w:space="0" w:color="F4B083"/>
              <w:left w:val="single" w:sz="2" w:space="0" w:color="F4B083"/>
              <w:bottom w:val="single" w:sz="2" w:space="0" w:color="F4B083"/>
              <w:right w:val="single" w:sz="4" w:space="0" w:color="000000"/>
            </w:tcBorders>
            <w:shd w:val="clear" w:color="auto" w:fill="auto"/>
            <w:tcMar>
              <w:top w:w="80" w:type="dxa"/>
              <w:left w:w="80" w:type="dxa"/>
              <w:bottom w:w="80" w:type="dxa"/>
              <w:right w:w="80" w:type="dxa"/>
            </w:tcMar>
          </w:tcPr>
          <w:p w14:paraId="6EDF2AE2"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2.08</w:t>
            </w:r>
          </w:p>
        </w:tc>
      </w:tr>
      <w:tr w:rsidR="00C603B7" w:rsidRPr="00C603B7" w14:paraId="59100DD7" w14:textId="77777777" w:rsidTr="009968E0">
        <w:trPr>
          <w:trHeight w:val="290"/>
        </w:trPr>
        <w:tc>
          <w:tcPr>
            <w:tcW w:w="9064" w:type="dxa"/>
            <w:gridSpan w:val="7"/>
            <w:tcBorders>
              <w:top w:val="single" w:sz="2" w:space="0" w:color="F4B083"/>
              <w:left w:val="single" w:sz="4" w:space="0" w:color="000000"/>
              <w:bottom w:val="single" w:sz="2" w:space="0" w:color="F4B083"/>
              <w:right w:val="single" w:sz="4" w:space="0" w:color="000000"/>
            </w:tcBorders>
            <w:shd w:val="clear" w:color="auto" w:fill="FBE4D5"/>
            <w:tcMar>
              <w:top w:w="80" w:type="dxa"/>
              <w:left w:w="80" w:type="dxa"/>
              <w:bottom w:w="80" w:type="dxa"/>
              <w:right w:w="80" w:type="dxa"/>
            </w:tcMar>
          </w:tcPr>
          <w:p w14:paraId="147B4B9A" w14:textId="77777777" w:rsidR="00C603B7" w:rsidRPr="00C603B7" w:rsidRDefault="00C603B7" w:rsidP="00C603B7">
            <w:pPr>
              <w:pBdr>
                <w:top w:val="nil"/>
                <w:left w:val="nil"/>
                <w:bottom w:val="nil"/>
                <w:right w:val="nil"/>
                <w:between w:val="nil"/>
                <w:bar w:val="nil"/>
              </w:pBdr>
              <w:spacing w:line="360" w:lineRule="auto"/>
              <w:jc w:val="center"/>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p=.212</w:t>
            </w:r>
          </w:p>
        </w:tc>
      </w:tr>
      <w:tr w:rsidR="00C603B7" w:rsidRPr="00C603B7" w14:paraId="2B77A0D5" w14:textId="77777777" w:rsidTr="009968E0">
        <w:trPr>
          <w:trHeight w:val="290"/>
        </w:trPr>
        <w:tc>
          <w:tcPr>
            <w:tcW w:w="1564" w:type="dxa"/>
            <w:vMerge w:val="restart"/>
            <w:tcBorders>
              <w:top w:val="single" w:sz="2" w:space="0" w:color="F4B083"/>
              <w:left w:val="single" w:sz="4" w:space="0" w:color="000000"/>
              <w:bottom w:val="single" w:sz="2" w:space="0" w:color="F4B083"/>
              <w:right w:val="single" w:sz="2" w:space="0" w:color="F4B083"/>
            </w:tcBorders>
            <w:shd w:val="clear" w:color="auto" w:fill="auto"/>
            <w:tcMar>
              <w:top w:w="80" w:type="dxa"/>
              <w:left w:w="80" w:type="dxa"/>
              <w:bottom w:w="80" w:type="dxa"/>
              <w:right w:w="80" w:type="dxa"/>
            </w:tcMar>
          </w:tcPr>
          <w:p w14:paraId="57EFD91B" w14:textId="77777777" w:rsidR="00C603B7" w:rsidRPr="00C603B7" w:rsidRDefault="00C603B7" w:rsidP="00C603B7">
            <w:pPr>
              <w:pBdr>
                <w:top w:val="nil"/>
                <w:left w:val="nil"/>
                <w:bottom w:val="nil"/>
                <w:right w:val="nil"/>
                <w:between w:val="nil"/>
                <w:bar w:val="nil"/>
              </w:pBdr>
              <w:spacing w:line="360" w:lineRule="auto"/>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Cho/Creatine</w:t>
            </w:r>
          </w:p>
        </w:tc>
        <w:tc>
          <w:tcPr>
            <w:tcW w:w="3360" w:type="dxa"/>
            <w:gridSpan w:val="2"/>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tcPr>
          <w:p w14:paraId="2768BF25" w14:textId="77777777" w:rsidR="00C603B7" w:rsidRPr="00C603B7" w:rsidRDefault="00C603B7" w:rsidP="00C603B7">
            <w:pPr>
              <w:pBdr>
                <w:top w:val="nil"/>
                <w:left w:val="nil"/>
                <w:bottom w:val="nil"/>
                <w:right w:val="nil"/>
                <w:between w:val="nil"/>
                <w:bar w:val="nil"/>
              </w:pBdr>
              <w:spacing w:line="360" w:lineRule="auto"/>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N</w:t>
            </w:r>
          </w:p>
        </w:tc>
        <w:tc>
          <w:tcPr>
            <w:tcW w:w="1036"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tcPr>
          <w:p w14:paraId="7879BC37"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18</w:t>
            </w:r>
          </w:p>
        </w:tc>
        <w:tc>
          <w:tcPr>
            <w:tcW w:w="1036"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tcPr>
          <w:p w14:paraId="713678A6"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23</w:t>
            </w:r>
          </w:p>
        </w:tc>
        <w:tc>
          <w:tcPr>
            <w:tcW w:w="1035"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tcPr>
          <w:p w14:paraId="51BF5D15"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13</w:t>
            </w:r>
          </w:p>
        </w:tc>
        <w:tc>
          <w:tcPr>
            <w:tcW w:w="1033" w:type="dxa"/>
            <w:tcBorders>
              <w:top w:val="single" w:sz="2" w:space="0" w:color="F4B083"/>
              <w:left w:val="single" w:sz="2" w:space="0" w:color="F4B083"/>
              <w:bottom w:val="single" w:sz="2" w:space="0" w:color="F4B083"/>
              <w:right w:val="single" w:sz="4" w:space="0" w:color="000000"/>
            </w:tcBorders>
            <w:shd w:val="clear" w:color="auto" w:fill="auto"/>
            <w:tcMar>
              <w:top w:w="80" w:type="dxa"/>
              <w:left w:w="80" w:type="dxa"/>
              <w:bottom w:w="80" w:type="dxa"/>
              <w:right w:w="80" w:type="dxa"/>
            </w:tcMar>
          </w:tcPr>
          <w:p w14:paraId="3562D44F"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18</w:t>
            </w:r>
          </w:p>
        </w:tc>
      </w:tr>
      <w:tr w:rsidR="00C603B7" w:rsidRPr="00C603B7" w14:paraId="20AA3C28" w14:textId="77777777" w:rsidTr="009968E0">
        <w:trPr>
          <w:trHeight w:val="290"/>
        </w:trPr>
        <w:tc>
          <w:tcPr>
            <w:tcW w:w="1564" w:type="dxa"/>
            <w:vMerge/>
            <w:tcBorders>
              <w:top w:val="single" w:sz="2" w:space="0" w:color="F4B083"/>
              <w:left w:val="single" w:sz="4" w:space="0" w:color="000000"/>
              <w:bottom w:val="single" w:sz="2" w:space="0" w:color="F4B083"/>
              <w:right w:val="single" w:sz="2" w:space="0" w:color="F4B083"/>
            </w:tcBorders>
            <w:shd w:val="clear" w:color="auto" w:fill="auto"/>
          </w:tcPr>
          <w:p w14:paraId="2761E5D2" w14:textId="77777777" w:rsidR="00C603B7" w:rsidRPr="00C603B7" w:rsidRDefault="00C603B7" w:rsidP="00C603B7">
            <w:pPr>
              <w:pBdr>
                <w:top w:val="nil"/>
                <w:left w:val="nil"/>
                <w:bottom w:val="nil"/>
                <w:right w:val="nil"/>
                <w:between w:val="nil"/>
                <w:bar w:val="nil"/>
              </w:pBdr>
              <w:rPr>
                <w:rFonts w:ascii="Times New Roman" w:eastAsia="Arial Unicode MS" w:hAnsi="Times New Roman" w:cs="Times New Roman"/>
                <w:bdr w:val="nil"/>
                <w:lang w:val="en-US"/>
              </w:rPr>
            </w:pPr>
          </w:p>
        </w:tc>
        <w:tc>
          <w:tcPr>
            <w:tcW w:w="3360" w:type="dxa"/>
            <w:gridSpan w:val="2"/>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tcPr>
          <w:p w14:paraId="71BA65FA" w14:textId="77777777" w:rsidR="00C603B7" w:rsidRPr="00C603B7" w:rsidRDefault="00C603B7" w:rsidP="00C603B7">
            <w:pPr>
              <w:pBdr>
                <w:top w:val="nil"/>
                <w:left w:val="nil"/>
                <w:bottom w:val="nil"/>
                <w:right w:val="nil"/>
                <w:between w:val="nil"/>
                <w:bar w:val="nil"/>
              </w:pBdr>
              <w:spacing w:line="360" w:lineRule="auto"/>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Mean</w:t>
            </w:r>
          </w:p>
        </w:tc>
        <w:tc>
          <w:tcPr>
            <w:tcW w:w="1036"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tcPr>
          <w:p w14:paraId="16E72CF9"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1.00</w:t>
            </w:r>
          </w:p>
        </w:tc>
        <w:tc>
          <w:tcPr>
            <w:tcW w:w="1036"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tcPr>
          <w:p w14:paraId="3DB4F764"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.99</w:t>
            </w:r>
          </w:p>
        </w:tc>
        <w:tc>
          <w:tcPr>
            <w:tcW w:w="1035"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tcPr>
          <w:p w14:paraId="6283943D"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.97</w:t>
            </w:r>
          </w:p>
        </w:tc>
        <w:tc>
          <w:tcPr>
            <w:tcW w:w="1033" w:type="dxa"/>
            <w:tcBorders>
              <w:top w:val="single" w:sz="2" w:space="0" w:color="F4B083"/>
              <w:left w:val="single" w:sz="2" w:space="0" w:color="F4B083"/>
              <w:bottom w:val="single" w:sz="2" w:space="0" w:color="F4B083"/>
              <w:right w:val="single" w:sz="4" w:space="0" w:color="000000"/>
            </w:tcBorders>
            <w:shd w:val="clear" w:color="auto" w:fill="FBE4D5"/>
            <w:tcMar>
              <w:top w:w="80" w:type="dxa"/>
              <w:left w:w="80" w:type="dxa"/>
              <w:bottom w:w="80" w:type="dxa"/>
              <w:right w:w="80" w:type="dxa"/>
            </w:tcMar>
          </w:tcPr>
          <w:p w14:paraId="6CDACAFD"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1.03</w:t>
            </w:r>
          </w:p>
        </w:tc>
      </w:tr>
      <w:tr w:rsidR="00C603B7" w:rsidRPr="00C603B7" w14:paraId="73464192" w14:textId="77777777" w:rsidTr="009968E0">
        <w:trPr>
          <w:trHeight w:val="710"/>
        </w:trPr>
        <w:tc>
          <w:tcPr>
            <w:tcW w:w="1564" w:type="dxa"/>
            <w:vMerge/>
            <w:tcBorders>
              <w:top w:val="single" w:sz="2" w:space="0" w:color="F4B083"/>
              <w:left w:val="single" w:sz="4" w:space="0" w:color="000000"/>
              <w:bottom w:val="single" w:sz="2" w:space="0" w:color="F4B083"/>
              <w:right w:val="single" w:sz="2" w:space="0" w:color="F4B083"/>
            </w:tcBorders>
            <w:shd w:val="clear" w:color="auto" w:fill="auto"/>
          </w:tcPr>
          <w:p w14:paraId="3DD281E7" w14:textId="77777777" w:rsidR="00C603B7" w:rsidRPr="00C603B7" w:rsidRDefault="00C603B7" w:rsidP="00C603B7">
            <w:pPr>
              <w:pBdr>
                <w:top w:val="nil"/>
                <w:left w:val="nil"/>
                <w:bottom w:val="nil"/>
                <w:right w:val="nil"/>
                <w:between w:val="nil"/>
                <w:bar w:val="nil"/>
              </w:pBdr>
              <w:rPr>
                <w:rFonts w:ascii="Times New Roman" w:eastAsia="Arial Unicode MS" w:hAnsi="Times New Roman" w:cs="Times New Roman"/>
                <w:bdr w:val="nil"/>
                <w:lang w:val="en-US"/>
              </w:rPr>
            </w:pPr>
          </w:p>
        </w:tc>
        <w:tc>
          <w:tcPr>
            <w:tcW w:w="1874" w:type="dxa"/>
            <w:vMerge w:val="restart"/>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tcPr>
          <w:p w14:paraId="4FCE5DAC" w14:textId="77777777" w:rsidR="00C603B7" w:rsidRPr="00C603B7" w:rsidRDefault="00C603B7" w:rsidP="00C603B7">
            <w:pPr>
              <w:pBdr>
                <w:top w:val="nil"/>
                <w:left w:val="nil"/>
                <w:bottom w:val="nil"/>
                <w:right w:val="nil"/>
                <w:between w:val="nil"/>
                <w:bar w:val="nil"/>
              </w:pBdr>
              <w:spacing w:line="360" w:lineRule="auto"/>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95% Confidence Interval for Mean</w:t>
            </w:r>
          </w:p>
        </w:tc>
        <w:tc>
          <w:tcPr>
            <w:tcW w:w="1486"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tcPr>
          <w:p w14:paraId="3AEC78C2" w14:textId="77777777" w:rsidR="00C603B7" w:rsidRPr="00C603B7" w:rsidRDefault="00C603B7" w:rsidP="00C603B7">
            <w:pPr>
              <w:pBdr>
                <w:top w:val="nil"/>
                <w:left w:val="nil"/>
                <w:bottom w:val="nil"/>
                <w:right w:val="nil"/>
                <w:between w:val="nil"/>
                <w:bar w:val="nil"/>
              </w:pBdr>
              <w:spacing w:line="360" w:lineRule="auto"/>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Lower Bound</w:t>
            </w:r>
          </w:p>
        </w:tc>
        <w:tc>
          <w:tcPr>
            <w:tcW w:w="1036"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tcPr>
          <w:p w14:paraId="1CE18C2F"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.90</w:t>
            </w:r>
          </w:p>
        </w:tc>
        <w:tc>
          <w:tcPr>
            <w:tcW w:w="1036"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tcPr>
          <w:p w14:paraId="13CBBB85"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.90</w:t>
            </w:r>
          </w:p>
        </w:tc>
        <w:tc>
          <w:tcPr>
            <w:tcW w:w="1035"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tcPr>
          <w:p w14:paraId="09E5ABFF"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.84</w:t>
            </w:r>
          </w:p>
        </w:tc>
        <w:tc>
          <w:tcPr>
            <w:tcW w:w="1033" w:type="dxa"/>
            <w:tcBorders>
              <w:top w:val="single" w:sz="2" w:space="0" w:color="F4B083"/>
              <w:left w:val="single" w:sz="2" w:space="0" w:color="F4B083"/>
              <w:bottom w:val="single" w:sz="2" w:space="0" w:color="F4B083"/>
              <w:right w:val="single" w:sz="4" w:space="0" w:color="000000"/>
            </w:tcBorders>
            <w:shd w:val="clear" w:color="auto" w:fill="auto"/>
            <w:tcMar>
              <w:top w:w="80" w:type="dxa"/>
              <w:left w:w="80" w:type="dxa"/>
              <w:bottom w:w="80" w:type="dxa"/>
              <w:right w:w="80" w:type="dxa"/>
            </w:tcMar>
          </w:tcPr>
          <w:p w14:paraId="4B03FE79"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.96</w:t>
            </w:r>
          </w:p>
        </w:tc>
      </w:tr>
      <w:tr w:rsidR="00C603B7" w:rsidRPr="00C603B7" w14:paraId="07EA0339" w14:textId="77777777" w:rsidTr="009968E0">
        <w:trPr>
          <w:trHeight w:val="710"/>
        </w:trPr>
        <w:tc>
          <w:tcPr>
            <w:tcW w:w="1564" w:type="dxa"/>
            <w:vMerge/>
            <w:tcBorders>
              <w:top w:val="single" w:sz="2" w:space="0" w:color="F4B083"/>
              <w:left w:val="single" w:sz="4" w:space="0" w:color="000000"/>
              <w:bottom w:val="single" w:sz="2" w:space="0" w:color="F4B083"/>
              <w:right w:val="single" w:sz="2" w:space="0" w:color="F4B083"/>
            </w:tcBorders>
            <w:shd w:val="clear" w:color="auto" w:fill="auto"/>
          </w:tcPr>
          <w:p w14:paraId="694E612B" w14:textId="77777777" w:rsidR="00C603B7" w:rsidRPr="00C603B7" w:rsidRDefault="00C603B7" w:rsidP="00C603B7">
            <w:pPr>
              <w:pBdr>
                <w:top w:val="nil"/>
                <w:left w:val="nil"/>
                <w:bottom w:val="nil"/>
                <w:right w:val="nil"/>
                <w:between w:val="nil"/>
                <w:bar w:val="nil"/>
              </w:pBdr>
              <w:rPr>
                <w:rFonts w:ascii="Times New Roman" w:eastAsia="Arial Unicode MS" w:hAnsi="Times New Roman" w:cs="Times New Roman"/>
                <w:bdr w:val="nil"/>
                <w:lang w:val="en-US"/>
              </w:rPr>
            </w:pPr>
          </w:p>
        </w:tc>
        <w:tc>
          <w:tcPr>
            <w:tcW w:w="1874" w:type="dxa"/>
            <w:vMerge/>
            <w:tcBorders>
              <w:top w:val="single" w:sz="2" w:space="0" w:color="F4B083"/>
              <w:left w:val="single" w:sz="2" w:space="0" w:color="F4B083"/>
              <w:bottom w:val="single" w:sz="2" w:space="0" w:color="F4B083"/>
              <w:right w:val="single" w:sz="2" w:space="0" w:color="F4B083"/>
            </w:tcBorders>
            <w:shd w:val="clear" w:color="auto" w:fill="auto"/>
          </w:tcPr>
          <w:p w14:paraId="7EF29472" w14:textId="77777777" w:rsidR="00C603B7" w:rsidRPr="00C603B7" w:rsidRDefault="00C603B7" w:rsidP="00C603B7">
            <w:pPr>
              <w:pBdr>
                <w:top w:val="nil"/>
                <w:left w:val="nil"/>
                <w:bottom w:val="nil"/>
                <w:right w:val="nil"/>
                <w:between w:val="nil"/>
                <w:bar w:val="nil"/>
              </w:pBdr>
              <w:rPr>
                <w:rFonts w:ascii="Times New Roman" w:eastAsia="Arial Unicode MS" w:hAnsi="Times New Roman" w:cs="Times New Roman"/>
                <w:bdr w:val="nil"/>
                <w:lang w:val="en-US"/>
              </w:rPr>
            </w:pPr>
          </w:p>
        </w:tc>
        <w:tc>
          <w:tcPr>
            <w:tcW w:w="1486"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tcPr>
          <w:p w14:paraId="3B35D3D9" w14:textId="77777777" w:rsidR="00C603B7" w:rsidRPr="00C603B7" w:rsidRDefault="00C603B7" w:rsidP="00C603B7">
            <w:pPr>
              <w:pBdr>
                <w:top w:val="nil"/>
                <w:left w:val="nil"/>
                <w:bottom w:val="nil"/>
                <w:right w:val="nil"/>
                <w:between w:val="nil"/>
                <w:bar w:val="nil"/>
              </w:pBdr>
              <w:spacing w:line="360" w:lineRule="auto"/>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Upper Bound</w:t>
            </w:r>
          </w:p>
        </w:tc>
        <w:tc>
          <w:tcPr>
            <w:tcW w:w="1036"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tcPr>
          <w:p w14:paraId="1B0CFE2E"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1.09</w:t>
            </w:r>
          </w:p>
        </w:tc>
        <w:tc>
          <w:tcPr>
            <w:tcW w:w="1036"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tcPr>
          <w:p w14:paraId="5C7FF616"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1.08</w:t>
            </w:r>
          </w:p>
        </w:tc>
        <w:tc>
          <w:tcPr>
            <w:tcW w:w="1035"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tcPr>
          <w:p w14:paraId="34109FDB"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1.09</w:t>
            </w:r>
          </w:p>
        </w:tc>
        <w:tc>
          <w:tcPr>
            <w:tcW w:w="1033" w:type="dxa"/>
            <w:tcBorders>
              <w:top w:val="single" w:sz="2" w:space="0" w:color="F4B083"/>
              <w:left w:val="single" w:sz="2" w:space="0" w:color="F4B083"/>
              <w:bottom w:val="single" w:sz="2" w:space="0" w:color="F4B083"/>
              <w:right w:val="single" w:sz="4" w:space="0" w:color="000000"/>
            </w:tcBorders>
            <w:shd w:val="clear" w:color="auto" w:fill="auto"/>
            <w:tcMar>
              <w:top w:w="80" w:type="dxa"/>
              <w:left w:w="80" w:type="dxa"/>
              <w:bottom w:w="80" w:type="dxa"/>
              <w:right w:w="80" w:type="dxa"/>
            </w:tcMar>
          </w:tcPr>
          <w:p w14:paraId="7CD163AE"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1.09</w:t>
            </w:r>
          </w:p>
        </w:tc>
      </w:tr>
      <w:tr w:rsidR="00C603B7" w:rsidRPr="00C603B7" w14:paraId="52F82677" w14:textId="77777777" w:rsidTr="009968E0">
        <w:trPr>
          <w:trHeight w:val="290"/>
        </w:trPr>
        <w:tc>
          <w:tcPr>
            <w:tcW w:w="9064" w:type="dxa"/>
            <w:gridSpan w:val="7"/>
            <w:tcBorders>
              <w:top w:val="single" w:sz="2" w:space="0" w:color="F4B083"/>
              <w:left w:val="single" w:sz="4" w:space="0" w:color="000000"/>
              <w:bottom w:val="single" w:sz="2" w:space="0" w:color="F4B083"/>
              <w:right w:val="single" w:sz="4" w:space="0" w:color="000000"/>
            </w:tcBorders>
            <w:shd w:val="clear" w:color="auto" w:fill="FBE4D5"/>
            <w:tcMar>
              <w:top w:w="80" w:type="dxa"/>
              <w:left w:w="80" w:type="dxa"/>
              <w:bottom w:w="80" w:type="dxa"/>
              <w:right w:w="80" w:type="dxa"/>
            </w:tcMar>
          </w:tcPr>
          <w:p w14:paraId="378A62AC" w14:textId="77777777" w:rsidR="00C603B7" w:rsidRPr="00C603B7" w:rsidRDefault="00C603B7" w:rsidP="00C603B7">
            <w:pPr>
              <w:pBdr>
                <w:top w:val="nil"/>
                <w:left w:val="nil"/>
                <w:bottom w:val="nil"/>
                <w:right w:val="nil"/>
                <w:between w:val="nil"/>
                <w:bar w:val="nil"/>
              </w:pBdr>
              <w:spacing w:line="360" w:lineRule="auto"/>
              <w:jc w:val="center"/>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p=.842</w:t>
            </w:r>
          </w:p>
        </w:tc>
      </w:tr>
      <w:tr w:rsidR="00C603B7" w:rsidRPr="00C603B7" w14:paraId="601F665F" w14:textId="77777777" w:rsidTr="009968E0">
        <w:trPr>
          <w:trHeight w:val="290"/>
        </w:trPr>
        <w:tc>
          <w:tcPr>
            <w:tcW w:w="1564" w:type="dxa"/>
            <w:vMerge w:val="restart"/>
            <w:tcBorders>
              <w:top w:val="single" w:sz="2" w:space="0" w:color="F4B083"/>
              <w:left w:val="single" w:sz="4" w:space="0" w:color="000000"/>
              <w:bottom w:val="single" w:sz="2" w:space="0" w:color="F4B083"/>
              <w:right w:val="single" w:sz="2" w:space="0" w:color="F4B083"/>
            </w:tcBorders>
            <w:shd w:val="clear" w:color="auto" w:fill="auto"/>
            <w:tcMar>
              <w:top w:w="80" w:type="dxa"/>
              <w:left w:w="80" w:type="dxa"/>
              <w:bottom w:w="80" w:type="dxa"/>
              <w:right w:w="80" w:type="dxa"/>
            </w:tcMar>
          </w:tcPr>
          <w:p w14:paraId="14E89619" w14:textId="77777777" w:rsidR="00C603B7" w:rsidRPr="00C603B7" w:rsidRDefault="00C603B7" w:rsidP="00C603B7">
            <w:pPr>
              <w:pBdr>
                <w:top w:val="nil"/>
                <w:left w:val="nil"/>
                <w:bottom w:val="nil"/>
                <w:right w:val="nil"/>
                <w:between w:val="nil"/>
                <w:bar w:val="nil"/>
              </w:pBdr>
              <w:spacing w:line="360" w:lineRule="auto"/>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NAA/Choline</w:t>
            </w:r>
          </w:p>
        </w:tc>
        <w:tc>
          <w:tcPr>
            <w:tcW w:w="3360" w:type="dxa"/>
            <w:gridSpan w:val="2"/>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tcPr>
          <w:p w14:paraId="39D30204" w14:textId="77777777" w:rsidR="00C603B7" w:rsidRPr="00C603B7" w:rsidRDefault="00C603B7" w:rsidP="00C603B7">
            <w:pPr>
              <w:pBdr>
                <w:top w:val="nil"/>
                <w:left w:val="nil"/>
                <w:bottom w:val="nil"/>
                <w:right w:val="nil"/>
                <w:between w:val="nil"/>
                <w:bar w:val="nil"/>
              </w:pBdr>
              <w:spacing w:line="360" w:lineRule="auto"/>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N</w:t>
            </w:r>
          </w:p>
        </w:tc>
        <w:tc>
          <w:tcPr>
            <w:tcW w:w="1036"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tcPr>
          <w:p w14:paraId="6F01317C"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18</w:t>
            </w:r>
          </w:p>
        </w:tc>
        <w:tc>
          <w:tcPr>
            <w:tcW w:w="1036"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tcPr>
          <w:p w14:paraId="1BD460AE"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23</w:t>
            </w:r>
          </w:p>
        </w:tc>
        <w:tc>
          <w:tcPr>
            <w:tcW w:w="1035"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tcPr>
          <w:p w14:paraId="3D8DA5CA"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13</w:t>
            </w:r>
          </w:p>
        </w:tc>
        <w:tc>
          <w:tcPr>
            <w:tcW w:w="1033" w:type="dxa"/>
            <w:tcBorders>
              <w:top w:val="single" w:sz="2" w:space="0" w:color="F4B083"/>
              <w:left w:val="single" w:sz="2" w:space="0" w:color="F4B083"/>
              <w:bottom w:val="single" w:sz="2" w:space="0" w:color="F4B083"/>
              <w:right w:val="single" w:sz="4" w:space="0" w:color="000000"/>
            </w:tcBorders>
            <w:shd w:val="clear" w:color="auto" w:fill="auto"/>
            <w:tcMar>
              <w:top w:w="80" w:type="dxa"/>
              <w:left w:w="80" w:type="dxa"/>
              <w:bottom w:w="80" w:type="dxa"/>
              <w:right w:w="80" w:type="dxa"/>
            </w:tcMar>
          </w:tcPr>
          <w:p w14:paraId="7E1E0128"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18</w:t>
            </w:r>
          </w:p>
        </w:tc>
      </w:tr>
      <w:tr w:rsidR="00C603B7" w:rsidRPr="00C603B7" w14:paraId="01986311" w14:textId="77777777" w:rsidTr="009968E0">
        <w:trPr>
          <w:trHeight w:val="290"/>
        </w:trPr>
        <w:tc>
          <w:tcPr>
            <w:tcW w:w="1564" w:type="dxa"/>
            <w:vMerge/>
            <w:tcBorders>
              <w:top w:val="single" w:sz="2" w:space="0" w:color="F4B083"/>
              <w:left w:val="single" w:sz="4" w:space="0" w:color="000000"/>
              <w:bottom w:val="single" w:sz="2" w:space="0" w:color="F4B083"/>
              <w:right w:val="single" w:sz="2" w:space="0" w:color="F4B083"/>
            </w:tcBorders>
            <w:shd w:val="clear" w:color="auto" w:fill="auto"/>
          </w:tcPr>
          <w:p w14:paraId="2FA73AAE" w14:textId="77777777" w:rsidR="00C603B7" w:rsidRPr="00C603B7" w:rsidRDefault="00C603B7" w:rsidP="00C603B7">
            <w:pPr>
              <w:pBdr>
                <w:top w:val="nil"/>
                <w:left w:val="nil"/>
                <w:bottom w:val="nil"/>
                <w:right w:val="nil"/>
                <w:between w:val="nil"/>
                <w:bar w:val="nil"/>
              </w:pBdr>
              <w:rPr>
                <w:rFonts w:ascii="Times New Roman" w:eastAsia="Arial Unicode MS" w:hAnsi="Times New Roman" w:cs="Times New Roman"/>
                <w:bdr w:val="nil"/>
                <w:lang w:val="en-US"/>
              </w:rPr>
            </w:pPr>
          </w:p>
        </w:tc>
        <w:tc>
          <w:tcPr>
            <w:tcW w:w="3360" w:type="dxa"/>
            <w:gridSpan w:val="2"/>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tcPr>
          <w:p w14:paraId="3D82FBD4" w14:textId="77777777" w:rsidR="00C603B7" w:rsidRPr="00C603B7" w:rsidRDefault="00C603B7" w:rsidP="00C603B7">
            <w:pPr>
              <w:pBdr>
                <w:top w:val="nil"/>
                <w:left w:val="nil"/>
                <w:bottom w:val="nil"/>
                <w:right w:val="nil"/>
                <w:between w:val="nil"/>
                <w:bar w:val="nil"/>
              </w:pBdr>
              <w:spacing w:line="360" w:lineRule="auto"/>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Mean</w:t>
            </w:r>
          </w:p>
        </w:tc>
        <w:tc>
          <w:tcPr>
            <w:tcW w:w="1036"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tcPr>
          <w:p w14:paraId="6503CCF4"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1.84</w:t>
            </w:r>
          </w:p>
        </w:tc>
        <w:tc>
          <w:tcPr>
            <w:tcW w:w="1036"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tcPr>
          <w:p w14:paraId="5DDA9DC8"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1.83</w:t>
            </w:r>
          </w:p>
        </w:tc>
        <w:tc>
          <w:tcPr>
            <w:tcW w:w="1035" w:type="dxa"/>
            <w:tcBorders>
              <w:top w:val="single" w:sz="2" w:space="0" w:color="F4B083"/>
              <w:left w:val="single" w:sz="2" w:space="0" w:color="F4B083"/>
              <w:bottom w:val="single" w:sz="2" w:space="0" w:color="F4B083"/>
              <w:right w:val="single" w:sz="2" w:space="0" w:color="F4B083"/>
            </w:tcBorders>
            <w:shd w:val="clear" w:color="auto" w:fill="FBE4D5"/>
            <w:tcMar>
              <w:top w:w="80" w:type="dxa"/>
              <w:left w:w="80" w:type="dxa"/>
              <w:bottom w:w="80" w:type="dxa"/>
              <w:right w:w="80" w:type="dxa"/>
            </w:tcMar>
          </w:tcPr>
          <w:p w14:paraId="26E3E623"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1.96</w:t>
            </w:r>
          </w:p>
        </w:tc>
        <w:tc>
          <w:tcPr>
            <w:tcW w:w="1033" w:type="dxa"/>
            <w:tcBorders>
              <w:top w:val="single" w:sz="2" w:space="0" w:color="F4B083"/>
              <w:left w:val="single" w:sz="2" w:space="0" w:color="F4B083"/>
              <w:bottom w:val="single" w:sz="2" w:space="0" w:color="F4B083"/>
              <w:right w:val="single" w:sz="4" w:space="0" w:color="000000"/>
            </w:tcBorders>
            <w:shd w:val="clear" w:color="auto" w:fill="FBE4D5"/>
            <w:tcMar>
              <w:top w:w="80" w:type="dxa"/>
              <w:left w:w="80" w:type="dxa"/>
              <w:bottom w:w="80" w:type="dxa"/>
              <w:right w:w="80" w:type="dxa"/>
            </w:tcMar>
          </w:tcPr>
          <w:p w14:paraId="10009673"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1.90</w:t>
            </w:r>
          </w:p>
        </w:tc>
      </w:tr>
      <w:tr w:rsidR="00C603B7" w:rsidRPr="00C603B7" w14:paraId="3978FA3A" w14:textId="77777777" w:rsidTr="009968E0">
        <w:trPr>
          <w:trHeight w:val="710"/>
        </w:trPr>
        <w:tc>
          <w:tcPr>
            <w:tcW w:w="1564" w:type="dxa"/>
            <w:vMerge/>
            <w:tcBorders>
              <w:top w:val="single" w:sz="2" w:space="0" w:color="F4B083"/>
              <w:left w:val="single" w:sz="4" w:space="0" w:color="000000"/>
              <w:bottom w:val="single" w:sz="2" w:space="0" w:color="F4B083"/>
              <w:right w:val="single" w:sz="2" w:space="0" w:color="F4B083"/>
            </w:tcBorders>
            <w:shd w:val="clear" w:color="auto" w:fill="auto"/>
          </w:tcPr>
          <w:p w14:paraId="4E1D39DF" w14:textId="77777777" w:rsidR="00C603B7" w:rsidRPr="00C603B7" w:rsidRDefault="00C603B7" w:rsidP="00C603B7">
            <w:pPr>
              <w:pBdr>
                <w:top w:val="nil"/>
                <w:left w:val="nil"/>
                <w:bottom w:val="nil"/>
                <w:right w:val="nil"/>
                <w:between w:val="nil"/>
                <w:bar w:val="nil"/>
              </w:pBdr>
              <w:rPr>
                <w:rFonts w:ascii="Times New Roman" w:eastAsia="Arial Unicode MS" w:hAnsi="Times New Roman" w:cs="Times New Roman"/>
                <w:bdr w:val="nil"/>
                <w:lang w:val="en-US"/>
              </w:rPr>
            </w:pPr>
          </w:p>
        </w:tc>
        <w:tc>
          <w:tcPr>
            <w:tcW w:w="1874" w:type="dxa"/>
            <w:vMerge w:val="restart"/>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tcPr>
          <w:p w14:paraId="524210C7" w14:textId="77777777" w:rsidR="00C603B7" w:rsidRPr="00C603B7" w:rsidRDefault="00C603B7" w:rsidP="00C603B7">
            <w:pPr>
              <w:pBdr>
                <w:top w:val="nil"/>
                <w:left w:val="nil"/>
                <w:bottom w:val="nil"/>
                <w:right w:val="nil"/>
                <w:between w:val="nil"/>
                <w:bar w:val="nil"/>
              </w:pBdr>
              <w:spacing w:line="360" w:lineRule="auto"/>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95% Confidence Interval for Mean</w:t>
            </w:r>
          </w:p>
        </w:tc>
        <w:tc>
          <w:tcPr>
            <w:tcW w:w="1486"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tcPr>
          <w:p w14:paraId="4B8A95C2" w14:textId="77777777" w:rsidR="00C603B7" w:rsidRPr="00C603B7" w:rsidRDefault="00C603B7" w:rsidP="00C603B7">
            <w:pPr>
              <w:pBdr>
                <w:top w:val="nil"/>
                <w:left w:val="nil"/>
                <w:bottom w:val="nil"/>
                <w:right w:val="nil"/>
                <w:between w:val="nil"/>
                <w:bar w:val="nil"/>
              </w:pBdr>
              <w:spacing w:line="360" w:lineRule="auto"/>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Lower Bound</w:t>
            </w:r>
          </w:p>
        </w:tc>
        <w:tc>
          <w:tcPr>
            <w:tcW w:w="1036"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tcPr>
          <w:p w14:paraId="1EA009CC"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1.71</w:t>
            </w:r>
          </w:p>
        </w:tc>
        <w:tc>
          <w:tcPr>
            <w:tcW w:w="1036"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tcPr>
          <w:p w14:paraId="7CA4942C"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1.70</w:t>
            </w:r>
          </w:p>
        </w:tc>
        <w:tc>
          <w:tcPr>
            <w:tcW w:w="1035"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tcPr>
          <w:p w14:paraId="50D55D9C"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1.80</w:t>
            </w:r>
          </w:p>
        </w:tc>
        <w:tc>
          <w:tcPr>
            <w:tcW w:w="1033" w:type="dxa"/>
            <w:tcBorders>
              <w:top w:val="single" w:sz="2" w:space="0" w:color="F4B083"/>
              <w:left w:val="single" w:sz="2" w:space="0" w:color="F4B083"/>
              <w:bottom w:val="single" w:sz="2" w:space="0" w:color="F4B083"/>
              <w:right w:val="single" w:sz="4" w:space="0" w:color="000000"/>
            </w:tcBorders>
            <w:shd w:val="clear" w:color="auto" w:fill="auto"/>
            <w:tcMar>
              <w:top w:w="80" w:type="dxa"/>
              <w:left w:w="80" w:type="dxa"/>
              <w:bottom w:w="80" w:type="dxa"/>
              <w:right w:w="80" w:type="dxa"/>
            </w:tcMar>
          </w:tcPr>
          <w:p w14:paraId="24750CCE"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1.76</w:t>
            </w:r>
          </w:p>
        </w:tc>
      </w:tr>
      <w:tr w:rsidR="00C603B7" w:rsidRPr="00C603B7" w14:paraId="47AEDE97" w14:textId="77777777" w:rsidTr="009968E0">
        <w:trPr>
          <w:trHeight w:val="710"/>
        </w:trPr>
        <w:tc>
          <w:tcPr>
            <w:tcW w:w="1564" w:type="dxa"/>
            <w:vMerge/>
            <w:tcBorders>
              <w:top w:val="single" w:sz="2" w:space="0" w:color="F4B083"/>
              <w:left w:val="single" w:sz="4" w:space="0" w:color="000000"/>
              <w:bottom w:val="single" w:sz="2" w:space="0" w:color="F4B083"/>
              <w:right w:val="single" w:sz="2" w:space="0" w:color="F4B083"/>
            </w:tcBorders>
            <w:shd w:val="clear" w:color="auto" w:fill="auto"/>
          </w:tcPr>
          <w:p w14:paraId="7124502B" w14:textId="77777777" w:rsidR="00C603B7" w:rsidRPr="00C603B7" w:rsidRDefault="00C603B7" w:rsidP="00C603B7">
            <w:pPr>
              <w:pBdr>
                <w:top w:val="nil"/>
                <w:left w:val="nil"/>
                <w:bottom w:val="nil"/>
                <w:right w:val="nil"/>
                <w:between w:val="nil"/>
                <w:bar w:val="nil"/>
              </w:pBdr>
              <w:rPr>
                <w:rFonts w:ascii="Times New Roman" w:eastAsia="Arial Unicode MS" w:hAnsi="Times New Roman" w:cs="Times New Roman"/>
                <w:bdr w:val="nil"/>
                <w:lang w:val="en-US"/>
              </w:rPr>
            </w:pPr>
          </w:p>
        </w:tc>
        <w:tc>
          <w:tcPr>
            <w:tcW w:w="1874" w:type="dxa"/>
            <w:vMerge/>
            <w:tcBorders>
              <w:top w:val="single" w:sz="2" w:space="0" w:color="F4B083"/>
              <w:left w:val="single" w:sz="2" w:space="0" w:color="F4B083"/>
              <w:bottom w:val="single" w:sz="2" w:space="0" w:color="F4B083"/>
              <w:right w:val="single" w:sz="2" w:space="0" w:color="F4B083"/>
            </w:tcBorders>
            <w:shd w:val="clear" w:color="auto" w:fill="auto"/>
          </w:tcPr>
          <w:p w14:paraId="19247E4E" w14:textId="77777777" w:rsidR="00C603B7" w:rsidRPr="00C603B7" w:rsidRDefault="00C603B7" w:rsidP="00C603B7">
            <w:pPr>
              <w:pBdr>
                <w:top w:val="nil"/>
                <w:left w:val="nil"/>
                <w:bottom w:val="nil"/>
                <w:right w:val="nil"/>
                <w:between w:val="nil"/>
                <w:bar w:val="nil"/>
              </w:pBdr>
              <w:rPr>
                <w:rFonts w:ascii="Times New Roman" w:eastAsia="Arial Unicode MS" w:hAnsi="Times New Roman" w:cs="Times New Roman"/>
                <w:bdr w:val="nil"/>
                <w:lang w:val="en-US"/>
              </w:rPr>
            </w:pPr>
          </w:p>
        </w:tc>
        <w:tc>
          <w:tcPr>
            <w:tcW w:w="1486"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tcPr>
          <w:p w14:paraId="280E3367" w14:textId="77777777" w:rsidR="00C603B7" w:rsidRPr="00C603B7" w:rsidRDefault="00C603B7" w:rsidP="00C603B7">
            <w:pPr>
              <w:pBdr>
                <w:top w:val="nil"/>
                <w:left w:val="nil"/>
                <w:bottom w:val="nil"/>
                <w:right w:val="nil"/>
                <w:between w:val="nil"/>
                <w:bar w:val="nil"/>
              </w:pBdr>
              <w:spacing w:line="360" w:lineRule="auto"/>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Upper Bound</w:t>
            </w:r>
          </w:p>
        </w:tc>
        <w:tc>
          <w:tcPr>
            <w:tcW w:w="1036"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tcPr>
          <w:p w14:paraId="43D6D1AE"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1.96</w:t>
            </w:r>
          </w:p>
        </w:tc>
        <w:tc>
          <w:tcPr>
            <w:tcW w:w="1036"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tcPr>
          <w:p w14:paraId="2336E331"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1.95</w:t>
            </w:r>
          </w:p>
        </w:tc>
        <w:tc>
          <w:tcPr>
            <w:tcW w:w="1035" w:type="dxa"/>
            <w:tcBorders>
              <w:top w:val="single" w:sz="2" w:space="0" w:color="F4B083"/>
              <w:left w:val="single" w:sz="2" w:space="0" w:color="F4B083"/>
              <w:bottom w:val="single" w:sz="2" w:space="0" w:color="F4B083"/>
              <w:right w:val="single" w:sz="2" w:space="0" w:color="F4B083"/>
            </w:tcBorders>
            <w:shd w:val="clear" w:color="auto" w:fill="auto"/>
            <w:tcMar>
              <w:top w:w="80" w:type="dxa"/>
              <w:left w:w="80" w:type="dxa"/>
              <w:bottom w:w="80" w:type="dxa"/>
              <w:right w:w="80" w:type="dxa"/>
            </w:tcMar>
          </w:tcPr>
          <w:p w14:paraId="0BB6A69F"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2.11</w:t>
            </w:r>
          </w:p>
        </w:tc>
        <w:tc>
          <w:tcPr>
            <w:tcW w:w="1033" w:type="dxa"/>
            <w:tcBorders>
              <w:top w:val="single" w:sz="2" w:space="0" w:color="F4B083"/>
              <w:left w:val="single" w:sz="2" w:space="0" w:color="F4B083"/>
              <w:bottom w:val="single" w:sz="2" w:space="0" w:color="F4B083"/>
              <w:right w:val="single" w:sz="4" w:space="0" w:color="000000"/>
            </w:tcBorders>
            <w:shd w:val="clear" w:color="auto" w:fill="auto"/>
            <w:tcMar>
              <w:top w:w="80" w:type="dxa"/>
              <w:left w:w="80" w:type="dxa"/>
              <w:bottom w:w="80" w:type="dxa"/>
              <w:right w:w="80" w:type="dxa"/>
            </w:tcMar>
          </w:tcPr>
          <w:p w14:paraId="7922D0BD"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2.04</w:t>
            </w:r>
          </w:p>
        </w:tc>
      </w:tr>
      <w:tr w:rsidR="00C603B7" w:rsidRPr="00C603B7" w14:paraId="41DD015E" w14:textId="77777777" w:rsidTr="009968E0">
        <w:trPr>
          <w:trHeight w:val="293"/>
        </w:trPr>
        <w:tc>
          <w:tcPr>
            <w:tcW w:w="9064" w:type="dxa"/>
            <w:gridSpan w:val="7"/>
            <w:tcBorders>
              <w:top w:val="single" w:sz="2" w:space="0" w:color="F4B083"/>
              <w:left w:val="single" w:sz="4" w:space="0" w:color="000000"/>
              <w:bottom w:val="single" w:sz="4" w:space="0" w:color="000000"/>
              <w:right w:val="single" w:sz="4" w:space="0" w:color="000000"/>
            </w:tcBorders>
            <w:shd w:val="clear" w:color="auto" w:fill="FBE4D5"/>
            <w:tcMar>
              <w:top w:w="80" w:type="dxa"/>
              <w:left w:w="80" w:type="dxa"/>
              <w:bottom w:w="80" w:type="dxa"/>
              <w:right w:w="80" w:type="dxa"/>
            </w:tcMar>
          </w:tcPr>
          <w:p w14:paraId="1A9E317B" w14:textId="77777777" w:rsidR="00C603B7" w:rsidRPr="00C603B7" w:rsidRDefault="00C603B7" w:rsidP="00C603B7">
            <w:pPr>
              <w:pBdr>
                <w:top w:val="nil"/>
                <w:left w:val="nil"/>
                <w:bottom w:val="nil"/>
                <w:right w:val="nil"/>
                <w:between w:val="nil"/>
                <w:bar w:val="nil"/>
              </w:pBdr>
              <w:spacing w:line="360" w:lineRule="auto"/>
              <w:jc w:val="center"/>
              <w:rPr>
                <w:rFonts w:ascii="Calibri" w:eastAsia="Calibri" w:hAnsi="Calibri" w:cs="Calibri"/>
                <w:color w:val="000000"/>
                <w:u w:color="000000"/>
                <w:bdr w:val="nil"/>
                <w:lang w:val="en-US" w:eastAsia="en-GB"/>
              </w:rPr>
            </w:pPr>
            <w:r w:rsidRPr="00C603B7">
              <w:rPr>
                <w:rFonts w:ascii="Calibri" w:eastAsia="Calibri" w:hAnsi="Calibri" w:cs="Calibri"/>
                <w:i/>
                <w:iCs/>
                <w:color w:val="000000"/>
                <w:u w:color="000000"/>
                <w:bdr w:val="nil"/>
                <w:lang w:val="en-US" w:eastAsia="en-GB"/>
              </w:rPr>
              <w:t>p=.497</w:t>
            </w:r>
          </w:p>
        </w:tc>
      </w:tr>
    </w:tbl>
    <w:p w14:paraId="4FCD894D" w14:textId="77777777" w:rsidR="00EE3E91" w:rsidRDefault="00EE3E91" w:rsidP="0001430B">
      <w:pPr>
        <w:pStyle w:val="Subtitle"/>
        <w:rPr>
          <w:rFonts w:eastAsia="Arial Unicode MS" w:cs="Arial Unicode MS"/>
        </w:rPr>
      </w:pPr>
      <w:bookmarkStart w:id="526" w:name="_Toc50070093"/>
      <w:bookmarkStart w:id="527" w:name="_Toc64724228"/>
    </w:p>
    <w:p w14:paraId="2E007397" w14:textId="77777777" w:rsidR="00EE3E91" w:rsidRDefault="00EE3E91">
      <w:pPr>
        <w:rPr>
          <w:rFonts w:eastAsia="Arial Unicode MS" w:cs="Arial Unicode MS"/>
          <w:i/>
          <w:iCs/>
          <w:color w:val="4F81BD"/>
          <w:u w:color="4F81BD"/>
          <w:bdr w:val="nil"/>
          <w:lang w:val="en-US" w:eastAsia="en-GB"/>
        </w:rPr>
      </w:pPr>
      <w:r>
        <w:rPr>
          <w:rFonts w:eastAsia="Arial Unicode MS" w:cs="Arial Unicode MS"/>
        </w:rPr>
        <w:br w:type="page"/>
      </w:r>
    </w:p>
    <w:p w14:paraId="568A4A24" w14:textId="1B19207F" w:rsidR="00C603B7" w:rsidRPr="00C603B7" w:rsidRDefault="00C603B7" w:rsidP="0001430B">
      <w:pPr>
        <w:pStyle w:val="Subtitle"/>
      </w:pPr>
      <w:r w:rsidRPr="00C603B7">
        <w:lastRenderedPageBreak/>
        <w:t>Figure 6.2. Means and 95%CI for N-</w:t>
      </w:r>
      <w:r w:rsidR="00D56549">
        <w:t>A</w:t>
      </w:r>
      <w:r w:rsidRPr="00C603B7">
        <w:t xml:space="preserve">cetyl </w:t>
      </w:r>
      <w:r w:rsidR="00D56549">
        <w:t>A</w:t>
      </w:r>
      <w:r w:rsidRPr="00C603B7">
        <w:t xml:space="preserve">spartate to Creatine </w:t>
      </w:r>
      <w:r w:rsidR="00D56549">
        <w:t>R</w:t>
      </w:r>
      <w:r w:rsidRPr="00C603B7">
        <w:t>atios</w:t>
      </w:r>
      <w:bookmarkEnd w:id="526"/>
      <w:bookmarkEnd w:id="527"/>
    </w:p>
    <w:p w14:paraId="124B1C80" w14:textId="77777777" w:rsidR="00C603B7" w:rsidRPr="00C603B7" w:rsidRDefault="00C603B7" w:rsidP="00C603B7">
      <w:pPr>
        <w:pBdr>
          <w:top w:val="nil"/>
          <w:left w:val="nil"/>
          <w:bottom w:val="nil"/>
          <w:right w:val="nil"/>
          <w:between w:val="nil"/>
          <w:bar w:val="nil"/>
        </w:pBdr>
        <w:rPr>
          <w:rFonts w:ascii="Calibri" w:eastAsia="Calibri" w:hAnsi="Calibri" w:cs="Calibri"/>
          <w:color w:val="000000"/>
          <w:u w:color="000000"/>
          <w:bdr w:val="nil"/>
          <w:lang w:val="en-US" w:eastAsia="en-GB"/>
        </w:rPr>
      </w:pPr>
    </w:p>
    <w:p w14:paraId="669110AC" w14:textId="77777777" w:rsidR="00C603B7" w:rsidRPr="00C603B7" w:rsidRDefault="00C603B7" w:rsidP="00C603B7">
      <w:pPr>
        <w:pBdr>
          <w:top w:val="nil"/>
          <w:left w:val="nil"/>
          <w:bottom w:val="nil"/>
          <w:right w:val="nil"/>
          <w:between w:val="nil"/>
          <w:bar w:val="nil"/>
        </w:pBdr>
        <w:rPr>
          <w:rFonts w:ascii="Calibri" w:eastAsia="Calibri" w:hAnsi="Calibri" w:cs="Calibri"/>
          <w:color w:val="000000"/>
          <w:u w:color="000000"/>
          <w:bdr w:val="nil"/>
          <w:lang w:val="en-US" w:eastAsia="en-GB"/>
        </w:rPr>
      </w:pPr>
      <w:r w:rsidRPr="00C603B7">
        <w:rPr>
          <w:rFonts w:ascii="Calibri" w:eastAsia="Calibri" w:hAnsi="Calibri" w:cs="Calibri"/>
          <w:noProof/>
          <w:color w:val="000000"/>
          <w:u w:color="000000"/>
          <w:bdr w:val="nil"/>
          <w:lang w:val="en-US" w:eastAsia="en-GB"/>
        </w:rPr>
        <w:drawing>
          <wp:inline distT="0" distB="0" distL="0" distR="0" wp14:anchorId="76E26E55" wp14:editId="67AFA1C5">
            <wp:extent cx="4267487" cy="3017520"/>
            <wp:effectExtent l="0" t="0" r="0" b="0"/>
            <wp:docPr id="47" name="officeArt object" descr="image2.pdf"/>
            <wp:cNvGraphicFramePr/>
            <a:graphic xmlns:a="http://schemas.openxmlformats.org/drawingml/2006/main">
              <a:graphicData uri="http://schemas.openxmlformats.org/drawingml/2006/picture">
                <pic:pic xmlns:pic="http://schemas.openxmlformats.org/drawingml/2006/picture">
                  <pic:nvPicPr>
                    <pic:cNvPr id="1073741826" name="image2.pdf" descr="image2.pdf"/>
                    <pic:cNvPicPr>
                      <a:picLocks noChangeAspect="1"/>
                    </pic:cNvPicPr>
                  </pic:nvPicPr>
                  <pic:blipFill>
                    <a:blip r:embed="rId77"/>
                    <a:stretch>
                      <a:fillRect/>
                    </a:stretch>
                  </pic:blipFill>
                  <pic:spPr>
                    <a:xfrm>
                      <a:off x="0" y="0"/>
                      <a:ext cx="4267487" cy="3017520"/>
                    </a:xfrm>
                    <a:prstGeom prst="rect">
                      <a:avLst/>
                    </a:prstGeom>
                    <a:ln w="12700" cap="flat">
                      <a:noFill/>
                      <a:miter lim="400000"/>
                    </a:ln>
                    <a:effectLst/>
                  </pic:spPr>
                </pic:pic>
              </a:graphicData>
            </a:graphic>
          </wp:inline>
        </w:drawing>
      </w:r>
    </w:p>
    <w:p w14:paraId="66397CD6" w14:textId="25FACD11" w:rsidR="00C603B7" w:rsidRPr="00C603B7" w:rsidRDefault="00C603B7" w:rsidP="00CA5198">
      <w:pPr>
        <w:pBdr>
          <w:top w:val="nil"/>
          <w:left w:val="nil"/>
          <w:bottom w:val="nil"/>
          <w:right w:val="nil"/>
          <w:between w:val="nil"/>
          <w:bar w:val="nil"/>
        </w:pBdr>
        <w:spacing w:line="360" w:lineRule="auto"/>
        <w:rPr>
          <w:rFonts w:ascii="Calibri" w:eastAsia="Calibri" w:hAnsi="Calibri" w:cs="Calibri"/>
          <w:i/>
          <w:iCs/>
          <w:color w:val="808080"/>
          <w:sz w:val="21"/>
          <w:szCs w:val="21"/>
          <w:u w:color="808080"/>
          <w:bdr w:val="nil"/>
          <w:lang w:val="en-US" w:eastAsia="en-GB"/>
        </w:rPr>
      </w:pPr>
      <w:r w:rsidRPr="00C603B7">
        <w:rPr>
          <w:rFonts w:ascii="Calibri" w:eastAsia="Calibri" w:hAnsi="Calibri" w:cs="Calibri"/>
          <w:i/>
          <w:iCs/>
          <w:color w:val="808080"/>
          <w:sz w:val="21"/>
          <w:szCs w:val="21"/>
          <w:u w:color="808080"/>
          <w:bdr w:val="nil"/>
          <w:lang w:val="en-US" w:eastAsia="en-GB"/>
        </w:rPr>
        <w:t>Figure 6.2 showing that NAA/Cr ratios</w:t>
      </w:r>
      <w:r w:rsidR="00D56549">
        <w:rPr>
          <w:rFonts w:ascii="Calibri" w:eastAsia="Calibri" w:hAnsi="Calibri" w:cs="Calibri"/>
          <w:i/>
          <w:iCs/>
          <w:color w:val="808080"/>
          <w:sz w:val="21"/>
          <w:szCs w:val="21"/>
          <w:u w:color="808080"/>
          <w:bdr w:val="nil"/>
          <w:lang w:val="en-US" w:eastAsia="en-GB"/>
        </w:rPr>
        <w:t xml:space="preserve"> by group</w:t>
      </w:r>
    </w:p>
    <w:p w14:paraId="4676FC3A" w14:textId="19CDD5E5" w:rsidR="00C603B7" w:rsidRDefault="00C603B7" w:rsidP="00C603B7">
      <w:pPr>
        <w:pBdr>
          <w:top w:val="nil"/>
          <w:left w:val="nil"/>
          <w:bottom w:val="nil"/>
          <w:right w:val="nil"/>
          <w:between w:val="nil"/>
          <w:bar w:val="nil"/>
        </w:pBdr>
        <w:spacing w:line="360" w:lineRule="auto"/>
        <w:rPr>
          <w:rFonts w:eastAsia="Calibri" w:cs="Calibri"/>
          <w:color w:val="000000"/>
          <w:u w:color="000000"/>
          <w:bdr w:val="nil"/>
          <w:lang w:val="en-US" w:eastAsia="en-GB"/>
        </w:rPr>
      </w:pPr>
      <w:r w:rsidRPr="00C603B7">
        <w:rPr>
          <w:rFonts w:eastAsia="Calibri" w:cs="Calibri"/>
          <w:color w:val="000000"/>
          <w:u w:color="000000"/>
          <w:bdr w:val="nil"/>
          <w:lang w:val="en-US" w:eastAsia="en-GB"/>
        </w:rPr>
        <w:t>Planned contrasts analysis was performed (see Appendix E. table E.2 and E.3). There was no significance for any of the contrasts; but HV vs All</w:t>
      </w:r>
      <w:r w:rsidR="009B3B4F">
        <w:rPr>
          <w:rFonts w:eastAsia="Calibri" w:cs="Calibri"/>
          <w:color w:val="000000"/>
          <w:u w:color="000000"/>
          <w:bdr w:val="nil"/>
          <w:lang w:val="en-US" w:eastAsia="en-GB"/>
        </w:rPr>
        <w:t xml:space="preserve">-DM </w:t>
      </w:r>
      <w:r w:rsidRPr="00C603B7">
        <w:rPr>
          <w:rFonts w:eastAsia="Calibri" w:cs="Calibri"/>
          <w:color w:val="000000"/>
          <w:u w:color="000000"/>
          <w:bdr w:val="nil"/>
          <w:lang w:val="en-US" w:eastAsia="en-GB"/>
        </w:rPr>
        <w:t xml:space="preserve">(ALL diabetes= DM-NN+DPN+P-DPN) was near significance (p=.088) as was </w:t>
      </w:r>
      <w:r w:rsidR="009B3B4F">
        <w:rPr>
          <w:rFonts w:eastAsia="Calibri" w:cs="Calibri"/>
          <w:color w:val="000000"/>
          <w:u w:color="000000"/>
          <w:bdr w:val="nil"/>
          <w:lang w:val="en-US" w:eastAsia="en-GB"/>
        </w:rPr>
        <w:t xml:space="preserve">DM-NEUR </w:t>
      </w:r>
      <w:r w:rsidRPr="00C603B7">
        <w:rPr>
          <w:rFonts w:eastAsia="Calibri" w:cs="Calibri"/>
          <w:color w:val="000000"/>
          <w:u w:color="000000"/>
          <w:bdr w:val="nil"/>
          <w:lang w:val="en-US" w:eastAsia="en-GB"/>
        </w:rPr>
        <w:t xml:space="preserve">(P-DPN +DPN) vs No-neuropathy (HV +DM-NN) (p=.074). </w:t>
      </w:r>
    </w:p>
    <w:p w14:paraId="3B034BE7" w14:textId="41F150DA" w:rsidR="00244F2F" w:rsidRPr="007D16C6" w:rsidRDefault="00244F2F" w:rsidP="00244F2F">
      <w:pPr>
        <w:pStyle w:val="Subtitle"/>
      </w:pPr>
      <w:bookmarkStart w:id="528" w:name="_Toc49273258"/>
      <w:bookmarkStart w:id="529" w:name="_Toc64724229"/>
      <w:r w:rsidRPr="007D16C6">
        <w:t xml:space="preserve">Figure </w:t>
      </w:r>
      <w:r>
        <w:t>6.3</w:t>
      </w:r>
      <w:r w:rsidRPr="007D16C6">
        <w:t xml:space="preserve"> Comparison of NAA/Creatine ratios by Group: Panel A- Healthy Volunteers vs All Diabetes, Panel B –Neuropathy vs No Neuropathy.</w:t>
      </w:r>
      <w:bookmarkEnd w:id="528"/>
      <w:bookmarkEnd w:id="529"/>
      <w:r w:rsidRPr="007D16C6">
        <w:t xml:space="preserve"> </w:t>
      </w:r>
    </w:p>
    <w:p w14:paraId="0883BF27" w14:textId="77777777" w:rsidR="00244F2F" w:rsidRPr="009968E0" w:rsidRDefault="00244F2F" w:rsidP="00244F2F">
      <w:pPr>
        <w:rPr>
          <w:rFonts w:ascii="Calibri" w:eastAsia="Times New Roman" w:hAnsi="Calibri" w:cs="Calibri"/>
          <w:i/>
          <w:color w:val="808080"/>
          <w:sz w:val="21"/>
          <w:lang w:eastAsia="en-GB"/>
        </w:rPr>
      </w:pPr>
    </w:p>
    <w:p w14:paraId="4148F3AA" w14:textId="77777777" w:rsidR="00244F2F" w:rsidRPr="009968E0" w:rsidRDefault="00244F2F" w:rsidP="00244F2F">
      <w:pPr>
        <w:rPr>
          <w:rFonts w:ascii="Calibri" w:eastAsia="Times New Roman" w:hAnsi="Calibri" w:cs="Calibri"/>
          <w:i/>
          <w:color w:val="808080"/>
          <w:sz w:val="21"/>
          <w:lang w:eastAsia="en-GB"/>
        </w:rPr>
      </w:pPr>
      <w:r w:rsidRPr="009968E0">
        <w:rPr>
          <w:rFonts w:ascii="Calibri" w:eastAsia="Times New Roman" w:hAnsi="Calibri" w:cs="Calibri"/>
          <w:i/>
          <w:noProof/>
          <w:color w:val="808080"/>
          <w:sz w:val="21"/>
          <w:lang w:eastAsia="en-GB"/>
        </w:rPr>
        <w:drawing>
          <wp:inline distT="0" distB="0" distL="0" distR="0" wp14:anchorId="6202CA68" wp14:editId="201BE421">
            <wp:extent cx="2868334" cy="2262642"/>
            <wp:effectExtent l="0" t="0" r="1905" b="0"/>
            <wp:docPr id="2135" name="Picture 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882183" cy="2273567"/>
                    </a:xfrm>
                    <a:prstGeom prst="rect">
                      <a:avLst/>
                    </a:prstGeom>
                  </pic:spPr>
                </pic:pic>
              </a:graphicData>
            </a:graphic>
          </wp:inline>
        </w:drawing>
      </w:r>
      <w:r w:rsidRPr="009968E0">
        <w:rPr>
          <w:rFonts w:ascii="Calibri" w:eastAsia="Times New Roman" w:hAnsi="Calibri" w:cs="Calibri"/>
          <w:i/>
          <w:noProof/>
          <w:color w:val="808080"/>
          <w:sz w:val="21"/>
          <w:lang w:eastAsia="en-GB"/>
        </w:rPr>
        <w:drawing>
          <wp:inline distT="0" distB="0" distL="0" distR="0" wp14:anchorId="690B927D" wp14:editId="7BFFB0B4">
            <wp:extent cx="2788362" cy="2261870"/>
            <wp:effectExtent l="0" t="0" r="5715" b="0"/>
            <wp:docPr id="2134" name="Picture 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830026" cy="2295667"/>
                    </a:xfrm>
                    <a:prstGeom prst="rect">
                      <a:avLst/>
                    </a:prstGeom>
                  </pic:spPr>
                </pic:pic>
              </a:graphicData>
            </a:graphic>
          </wp:inline>
        </w:drawing>
      </w:r>
    </w:p>
    <w:p w14:paraId="26B898F3" w14:textId="77777777" w:rsidR="00244F2F" w:rsidRPr="009968E0" w:rsidRDefault="00244F2F" w:rsidP="00244F2F">
      <w:pPr>
        <w:rPr>
          <w:rFonts w:ascii="Calibri" w:eastAsia="Times New Roman" w:hAnsi="Calibri" w:cs="Calibri"/>
          <w:i/>
          <w:color w:val="808080"/>
          <w:sz w:val="21"/>
          <w:lang w:eastAsia="en-GB"/>
        </w:rPr>
      </w:pPr>
      <w:r w:rsidRPr="009968E0">
        <w:rPr>
          <w:rFonts w:ascii="Calibri" w:eastAsia="Times New Roman" w:hAnsi="Calibri" w:cs="Calibri"/>
          <w:i/>
          <w:color w:val="808080"/>
          <w:sz w:val="21"/>
          <w:lang w:eastAsia="en-GB"/>
        </w:rPr>
        <w:t xml:space="preserve">Panel A: ALL DM vs HV p=.088, Panel B Neuropathy vs No Neuropathy p=.074.  All-DM=P-DPN + DPN+ DM-NN, HV= Healthy volunteers, </w:t>
      </w:r>
      <w:proofErr w:type="spellStart"/>
      <w:r w:rsidRPr="009968E0">
        <w:rPr>
          <w:rFonts w:ascii="Calibri" w:eastAsia="Times New Roman" w:hAnsi="Calibri" w:cs="Calibri"/>
          <w:i/>
          <w:color w:val="808080"/>
          <w:sz w:val="21"/>
          <w:lang w:eastAsia="en-GB"/>
        </w:rPr>
        <w:t>Neurop</w:t>
      </w:r>
      <w:proofErr w:type="spellEnd"/>
      <w:r w:rsidRPr="009968E0">
        <w:rPr>
          <w:rFonts w:ascii="Calibri" w:eastAsia="Times New Roman" w:hAnsi="Calibri" w:cs="Calibri"/>
          <w:i/>
          <w:color w:val="808080"/>
          <w:sz w:val="21"/>
          <w:lang w:eastAsia="en-GB"/>
        </w:rPr>
        <w:t xml:space="preserve">= P-DPN +DPN, No- </w:t>
      </w:r>
      <w:proofErr w:type="spellStart"/>
      <w:r w:rsidRPr="009968E0">
        <w:rPr>
          <w:rFonts w:ascii="Calibri" w:eastAsia="Times New Roman" w:hAnsi="Calibri" w:cs="Calibri"/>
          <w:i/>
          <w:color w:val="808080"/>
          <w:sz w:val="21"/>
          <w:lang w:eastAsia="en-GB"/>
        </w:rPr>
        <w:t>Neurop</w:t>
      </w:r>
      <w:proofErr w:type="spellEnd"/>
      <w:r w:rsidRPr="009968E0">
        <w:rPr>
          <w:rFonts w:ascii="Calibri" w:eastAsia="Times New Roman" w:hAnsi="Calibri" w:cs="Calibri"/>
          <w:i/>
          <w:color w:val="808080"/>
          <w:sz w:val="21"/>
          <w:lang w:eastAsia="en-GB"/>
        </w:rPr>
        <w:t>= HV + DM-NN.</w:t>
      </w:r>
    </w:p>
    <w:p w14:paraId="12D0741A" w14:textId="77777777" w:rsidR="00244F2F" w:rsidRPr="009968E0" w:rsidRDefault="00244F2F" w:rsidP="00244F2F">
      <w:pPr>
        <w:rPr>
          <w:rFonts w:ascii="Calibri" w:eastAsia="Times New Roman" w:hAnsi="Calibri" w:cs="Calibri"/>
          <w:i/>
          <w:color w:val="808080"/>
          <w:sz w:val="21"/>
          <w:lang w:eastAsia="en-GB"/>
        </w:rPr>
      </w:pPr>
    </w:p>
    <w:p w14:paraId="08936A17" w14:textId="77777777" w:rsidR="00244F2F" w:rsidRPr="00C603B7" w:rsidRDefault="00244F2F" w:rsidP="00C603B7">
      <w:pPr>
        <w:pBdr>
          <w:top w:val="nil"/>
          <w:left w:val="nil"/>
          <w:bottom w:val="nil"/>
          <w:right w:val="nil"/>
          <w:between w:val="nil"/>
          <w:bar w:val="nil"/>
        </w:pBdr>
        <w:spacing w:line="360" w:lineRule="auto"/>
        <w:rPr>
          <w:rFonts w:eastAsia="Arial" w:cs="Arial"/>
          <w:color w:val="000000"/>
          <w:u w:color="000000"/>
          <w:bdr w:val="nil"/>
          <w:lang w:val="en-US" w:eastAsia="en-GB"/>
        </w:rPr>
      </w:pPr>
    </w:p>
    <w:p w14:paraId="543E9715" w14:textId="27839BEA" w:rsidR="00C603B7" w:rsidRPr="00C603B7" w:rsidRDefault="00C603B7" w:rsidP="00CA5198">
      <w:pPr>
        <w:pStyle w:val="Heading3"/>
      </w:pPr>
      <w:bookmarkStart w:id="530" w:name="_Toc50070048"/>
      <w:bookmarkStart w:id="531" w:name="_Toc64723975"/>
      <w:r w:rsidRPr="00C603B7">
        <w:lastRenderedPageBreak/>
        <w:t>Spectroscopy correlate</w:t>
      </w:r>
      <w:r w:rsidR="00D56549">
        <w:t xml:space="preserve">d with </w:t>
      </w:r>
      <w:r w:rsidRPr="00C603B7">
        <w:t xml:space="preserve">baseline </w:t>
      </w:r>
      <w:r w:rsidR="00D56549">
        <w:t>characteristics</w:t>
      </w:r>
      <w:r w:rsidRPr="00C603B7">
        <w:t>, perfusion measures and psychological factors</w:t>
      </w:r>
      <w:bookmarkEnd w:id="530"/>
      <w:r w:rsidR="00D56549">
        <w:t>.</w:t>
      </w:r>
      <w:bookmarkEnd w:id="531"/>
    </w:p>
    <w:p w14:paraId="0036E616" w14:textId="795DFB29" w:rsidR="00C603B7" w:rsidRPr="00C603B7" w:rsidRDefault="00C603B7" w:rsidP="00C603B7">
      <w:pPr>
        <w:pBdr>
          <w:top w:val="nil"/>
          <w:left w:val="nil"/>
          <w:bottom w:val="nil"/>
          <w:right w:val="nil"/>
          <w:between w:val="nil"/>
          <w:bar w:val="nil"/>
        </w:pBdr>
        <w:spacing w:line="360" w:lineRule="auto"/>
        <w:rPr>
          <w:rFonts w:eastAsia="Arial" w:cs="Arial"/>
          <w:color w:val="000000"/>
          <w:u w:color="000000"/>
          <w:bdr w:val="nil"/>
          <w:lang w:val="en-US" w:eastAsia="en-GB"/>
        </w:rPr>
      </w:pPr>
      <w:r w:rsidRPr="00C603B7">
        <w:rPr>
          <w:rFonts w:eastAsia="Calibri" w:cs="Calibri"/>
          <w:color w:val="000000"/>
          <w:u w:color="000000"/>
          <w:bdr w:val="nil"/>
          <w:lang w:val="en-US" w:eastAsia="en-GB"/>
        </w:rPr>
        <w:t>Spectroscopy measures were not statistically significantly correlated with age, Hba1c, DN4, NCS or NISLL+7 (see Appendix E, Table E.4).</w:t>
      </w:r>
      <w:r w:rsidR="009B3B4F">
        <w:rPr>
          <w:rFonts w:eastAsia="Calibri" w:cs="Calibri"/>
          <w:color w:val="000000"/>
          <w:u w:color="000000"/>
          <w:bdr w:val="nil"/>
          <w:lang w:val="en-US" w:eastAsia="en-GB"/>
        </w:rPr>
        <w:t xml:space="preserve">  </w:t>
      </w:r>
      <w:r w:rsidRPr="00C603B7">
        <w:rPr>
          <w:rFonts w:eastAsia="Calibri" w:cs="Calibri"/>
          <w:color w:val="000000"/>
          <w:u w:color="000000"/>
          <w:bdr w:val="nil"/>
          <w:lang w:val="en-US" w:eastAsia="en-GB"/>
        </w:rPr>
        <w:t xml:space="preserve">However, there was a negative correlation between number of abnormal measures of DFNS QST (measured by Z score) and spectroscopy NAA/Cr, R=-0.258, p=0.029* (Appendix E, Table E.5). Spectroscopy measures were not associated with baseline cardiovascular or </w:t>
      </w:r>
      <w:proofErr w:type="spellStart"/>
      <w:r w:rsidRPr="00C603B7">
        <w:rPr>
          <w:rFonts w:eastAsia="Calibri" w:cs="Calibri"/>
          <w:color w:val="000000"/>
          <w:u w:color="000000"/>
          <w:bdr w:val="nil"/>
          <w:lang w:val="en-US" w:eastAsia="en-GB"/>
        </w:rPr>
        <w:t>glycaemic</w:t>
      </w:r>
      <w:proofErr w:type="spellEnd"/>
      <w:r w:rsidRPr="00C603B7">
        <w:rPr>
          <w:rFonts w:eastAsia="Calibri" w:cs="Calibri"/>
          <w:color w:val="000000"/>
          <w:u w:color="000000"/>
          <w:bdr w:val="nil"/>
          <w:lang w:val="en-US" w:eastAsia="en-GB"/>
        </w:rPr>
        <w:t xml:space="preserve"> measures (Appendix E, Table E.6). There was no significant correlation between measures of nerve conduction performed in the study (sural amplitude, sural velocity, tibial latency, common peroneal nerve latency, amplitude and velocity) and measures of metabolite ratios (Appendix E, Table E.7).   There was also no correlation with metabolite ratios and measures of perfusion by DSC at visit 2 (see Appendix E, table E.8 and Figure E.2). Spectroscopy was not associated with measures of perfusion at visit 3 (Table 6.2), or with the difference between perfusion measures at V2 and V3 (table 6.3) or with pain perception measures at visit 3 (Appendix E, table E.9). </w:t>
      </w:r>
    </w:p>
    <w:p w14:paraId="1C5ACA26" w14:textId="71CFCA4F" w:rsidR="00C603B7" w:rsidRPr="00C603B7" w:rsidRDefault="00C603B7" w:rsidP="00CA5198">
      <w:pPr>
        <w:pStyle w:val="Quote"/>
        <w:rPr>
          <w:rFonts w:eastAsia="Arial Unicode MS" w:cs="Arial Unicode MS"/>
        </w:rPr>
      </w:pPr>
      <w:bookmarkStart w:id="532" w:name="_Toc50070672"/>
      <w:bookmarkStart w:id="533" w:name="_Toc64724093"/>
      <w:r w:rsidRPr="00C603B7">
        <w:rPr>
          <w:rFonts w:eastAsia="Arial Unicode MS" w:cs="Arial Unicode MS"/>
        </w:rPr>
        <w:t xml:space="preserve">Table 6.2  Correlations for Spectroscopy </w:t>
      </w:r>
      <w:r w:rsidR="00C166B1">
        <w:rPr>
          <w:rFonts w:eastAsia="Arial Unicode MS" w:cs="Arial Unicode MS"/>
        </w:rPr>
        <w:t>R</w:t>
      </w:r>
      <w:r w:rsidRPr="00C603B7">
        <w:rPr>
          <w:rFonts w:eastAsia="Arial Unicode MS" w:cs="Arial Unicode MS"/>
        </w:rPr>
        <w:t xml:space="preserve">atios of the </w:t>
      </w:r>
      <w:r w:rsidR="00C166B1">
        <w:rPr>
          <w:rFonts w:eastAsia="Arial Unicode MS" w:cs="Arial Unicode MS"/>
        </w:rPr>
        <w:t>L</w:t>
      </w:r>
      <w:r w:rsidRPr="00C603B7">
        <w:rPr>
          <w:rFonts w:eastAsia="Arial Unicode MS" w:cs="Arial Unicode MS"/>
        </w:rPr>
        <w:t xml:space="preserve">eft </w:t>
      </w:r>
      <w:r w:rsidR="00C166B1">
        <w:rPr>
          <w:rFonts w:eastAsia="Arial Unicode MS" w:cs="Arial Unicode MS"/>
        </w:rPr>
        <w:t>T</w:t>
      </w:r>
      <w:r w:rsidRPr="00C603B7">
        <w:rPr>
          <w:rFonts w:eastAsia="Arial Unicode MS" w:cs="Arial Unicode MS"/>
        </w:rPr>
        <w:t xml:space="preserve">halamus and </w:t>
      </w:r>
      <w:r w:rsidR="00C166B1">
        <w:rPr>
          <w:rFonts w:eastAsia="Arial Unicode MS" w:cs="Arial Unicode MS"/>
        </w:rPr>
        <w:t>P</w:t>
      </w:r>
      <w:r w:rsidRPr="00C603B7">
        <w:rPr>
          <w:rFonts w:eastAsia="Arial Unicode MS" w:cs="Arial Unicode MS"/>
        </w:rPr>
        <w:t xml:space="preserve">erfusion </w:t>
      </w:r>
      <w:r w:rsidR="00C166B1">
        <w:rPr>
          <w:rFonts w:eastAsia="Arial Unicode MS" w:cs="Arial Unicode MS"/>
        </w:rPr>
        <w:t>P</w:t>
      </w:r>
      <w:r w:rsidRPr="00C603B7">
        <w:rPr>
          <w:rFonts w:eastAsia="Arial Unicode MS" w:cs="Arial Unicode MS"/>
        </w:rPr>
        <w:t xml:space="preserve">arameters </w:t>
      </w:r>
      <w:r w:rsidR="00C166B1">
        <w:rPr>
          <w:rFonts w:eastAsia="Arial Unicode MS" w:cs="Arial Unicode MS"/>
        </w:rPr>
        <w:t>M</w:t>
      </w:r>
      <w:r w:rsidRPr="00C603B7">
        <w:rPr>
          <w:rFonts w:eastAsia="Arial Unicode MS" w:cs="Arial Unicode MS"/>
        </w:rPr>
        <w:t xml:space="preserve">easured at the </w:t>
      </w:r>
      <w:r w:rsidR="00C166B1">
        <w:rPr>
          <w:rFonts w:eastAsia="Arial Unicode MS" w:cs="Arial Unicode MS"/>
        </w:rPr>
        <w:t>L</w:t>
      </w:r>
      <w:r w:rsidRPr="00C603B7">
        <w:rPr>
          <w:rFonts w:eastAsia="Arial Unicode MS" w:cs="Arial Unicode MS"/>
        </w:rPr>
        <w:t xml:space="preserve">eft </w:t>
      </w:r>
      <w:r w:rsidR="00C166B1">
        <w:rPr>
          <w:rFonts w:eastAsia="Arial Unicode MS" w:cs="Arial Unicode MS"/>
        </w:rPr>
        <w:t>T</w:t>
      </w:r>
      <w:r w:rsidRPr="00C603B7">
        <w:rPr>
          <w:rFonts w:eastAsia="Arial Unicode MS" w:cs="Arial Unicode MS"/>
        </w:rPr>
        <w:t xml:space="preserve">halamus during an </w:t>
      </w:r>
      <w:r w:rsidR="00C166B1">
        <w:rPr>
          <w:rFonts w:eastAsia="Arial Unicode MS" w:cs="Arial Unicode MS"/>
        </w:rPr>
        <w:t>E</w:t>
      </w:r>
      <w:r w:rsidRPr="00C603B7">
        <w:rPr>
          <w:rFonts w:eastAsia="Arial Unicode MS" w:cs="Arial Unicode MS"/>
        </w:rPr>
        <w:t xml:space="preserve">xperimental </w:t>
      </w:r>
      <w:r w:rsidR="00C166B1">
        <w:rPr>
          <w:rFonts w:eastAsia="Arial Unicode MS" w:cs="Arial Unicode MS"/>
        </w:rPr>
        <w:t>P</w:t>
      </w:r>
      <w:r w:rsidRPr="00C603B7">
        <w:rPr>
          <w:rFonts w:eastAsia="Arial Unicode MS" w:cs="Arial Unicode MS"/>
        </w:rPr>
        <w:t xml:space="preserve">ain </w:t>
      </w:r>
      <w:r w:rsidR="00C166B1">
        <w:rPr>
          <w:rFonts w:eastAsia="Arial Unicode MS" w:cs="Arial Unicode MS"/>
        </w:rPr>
        <w:t>C</w:t>
      </w:r>
      <w:r w:rsidRPr="00C603B7">
        <w:rPr>
          <w:rFonts w:eastAsia="Arial Unicode MS" w:cs="Arial Unicode MS"/>
        </w:rPr>
        <w:t>ondition</w:t>
      </w:r>
      <w:bookmarkEnd w:id="532"/>
      <w:bookmarkEnd w:id="533"/>
    </w:p>
    <w:tbl>
      <w:tblPr>
        <w:tblW w:w="9064" w:type="dxa"/>
        <w:tblInd w:w="216" w:type="dxa"/>
        <w:tblBorders>
          <w:top w:val="single" w:sz="4" w:space="0" w:color="auto"/>
          <w:left w:val="single" w:sz="4" w:space="0" w:color="auto"/>
          <w:bottom w:val="single" w:sz="4" w:space="0" w:color="auto"/>
          <w:right w:val="single" w:sz="4" w:space="0" w:color="auto"/>
          <w:insideH w:val="single" w:sz="2" w:space="0" w:color="F4B083"/>
          <w:insideV w:val="single" w:sz="2" w:space="0" w:color="F4B083"/>
        </w:tblBorders>
        <w:shd w:val="clear" w:color="auto" w:fill="CDD4E9"/>
        <w:tblLayout w:type="fixed"/>
        <w:tblLook w:val="04A0" w:firstRow="1" w:lastRow="0" w:firstColumn="1" w:lastColumn="0" w:noHBand="0" w:noVBand="1"/>
      </w:tblPr>
      <w:tblGrid>
        <w:gridCol w:w="1552"/>
        <w:gridCol w:w="829"/>
        <w:gridCol w:w="1671"/>
        <w:gridCol w:w="1671"/>
        <w:gridCol w:w="1671"/>
        <w:gridCol w:w="1670"/>
      </w:tblGrid>
      <w:tr w:rsidR="00C603B7" w:rsidRPr="00C603B7" w14:paraId="6188BA97" w14:textId="77777777" w:rsidTr="009968E0">
        <w:trPr>
          <w:trHeight w:val="525"/>
        </w:trPr>
        <w:tc>
          <w:tcPr>
            <w:tcW w:w="2380" w:type="dxa"/>
            <w:gridSpan w:val="2"/>
            <w:shd w:val="clear" w:color="auto" w:fill="FBE4D5"/>
            <w:tcMar>
              <w:top w:w="80" w:type="dxa"/>
              <w:left w:w="80" w:type="dxa"/>
              <w:bottom w:w="80" w:type="dxa"/>
              <w:right w:w="80" w:type="dxa"/>
            </w:tcMar>
          </w:tcPr>
          <w:p w14:paraId="6209DDC2" w14:textId="77777777" w:rsidR="00C603B7" w:rsidRPr="00C603B7" w:rsidRDefault="00C603B7" w:rsidP="00C603B7">
            <w:pPr>
              <w:pBdr>
                <w:top w:val="nil"/>
                <w:left w:val="nil"/>
                <w:bottom w:val="nil"/>
                <w:right w:val="nil"/>
                <w:between w:val="nil"/>
                <w:bar w:val="nil"/>
              </w:pBdr>
              <w:rPr>
                <w:rFonts w:ascii="Times New Roman" w:eastAsia="Arial Unicode MS" w:hAnsi="Times New Roman" w:cs="Times New Roman"/>
                <w:bdr w:val="nil"/>
                <w:lang w:val="en-US"/>
              </w:rPr>
            </w:pPr>
          </w:p>
        </w:tc>
        <w:tc>
          <w:tcPr>
            <w:tcW w:w="1671" w:type="dxa"/>
            <w:shd w:val="clear" w:color="auto" w:fill="FBE4D5"/>
            <w:tcMar>
              <w:top w:w="80" w:type="dxa"/>
              <w:left w:w="80" w:type="dxa"/>
              <w:bottom w:w="80" w:type="dxa"/>
              <w:right w:w="80" w:type="dxa"/>
            </w:tcMar>
          </w:tcPr>
          <w:p w14:paraId="2F8D4008" w14:textId="77777777" w:rsidR="00C603B7" w:rsidRPr="00C603B7" w:rsidRDefault="00C603B7" w:rsidP="00C603B7">
            <w:pPr>
              <w:pBdr>
                <w:top w:val="nil"/>
                <w:left w:val="nil"/>
                <w:bottom w:val="nil"/>
                <w:right w:val="nil"/>
                <w:between w:val="nil"/>
                <w:bar w:val="nil"/>
              </w:pBdr>
              <w:spacing w:line="360" w:lineRule="auto"/>
              <w:jc w:val="center"/>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RBV LThal V3</w:t>
            </w:r>
          </w:p>
        </w:tc>
        <w:tc>
          <w:tcPr>
            <w:tcW w:w="1671" w:type="dxa"/>
            <w:shd w:val="clear" w:color="auto" w:fill="FBE4D5"/>
            <w:tcMar>
              <w:top w:w="80" w:type="dxa"/>
              <w:left w:w="80" w:type="dxa"/>
              <w:bottom w:w="80" w:type="dxa"/>
              <w:right w:w="80" w:type="dxa"/>
            </w:tcMar>
          </w:tcPr>
          <w:p w14:paraId="58DE439A" w14:textId="77777777" w:rsidR="00C603B7" w:rsidRPr="00C603B7" w:rsidRDefault="00C603B7" w:rsidP="00C603B7">
            <w:pPr>
              <w:pBdr>
                <w:top w:val="nil"/>
                <w:left w:val="nil"/>
                <w:bottom w:val="nil"/>
                <w:right w:val="nil"/>
                <w:between w:val="nil"/>
                <w:bar w:val="nil"/>
              </w:pBdr>
              <w:spacing w:line="360" w:lineRule="auto"/>
              <w:jc w:val="center"/>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RBF LThal V3</w:t>
            </w:r>
          </w:p>
        </w:tc>
        <w:tc>
          <w:tcPr>
            <w:tcW w:w="1671" w:type="dxa"/>
            <w:shd w:val="clear" w:color="auto" w:fill="FBE4D5"/>
            <w:tcMar>
              <w:top w:w="80" w:type="dxa"/>
              <w:left w:w="80" w:type="dxa"/>
              <w:bottom w:w="80" w:type="dxa"/>
              <w:right w:w="80" w:type="dxa"/>
            </w:tcMar>
          </w:tcPr>
          <w:p w14:paraId="61D45CD6" w14:textId="77777777" w:rsidR="00C603B7" w:rsidRPr="00C603B7" w:rsidRDefault="00C603B7" w:rsidP="00C603B7">
            <w:pPr>
              <w:pBdr>
                <w:top w:val="nil"/>
                <w:left w:val="nil"/>
                <w:bottom w:val="nil"/>
                <w:right w:val="nil"/>
                <w:between w:val="nil"/>
                <w:bar w:val="nil"/>
              </w:pBdr>
              <w:spacing w:line="360" w:lineRule="auto"/>
              <w:jc w:val="center"/>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MTT LThal V3</w:t>
            </w:r>
          </w:p>
        </w:tc>
        <w:tc>
          <w:tcPr>
            <w:tcW w:w="1670" w:type="dxa"/>
            <w:shd w:val="clear" w:color="auto" w:fill="FBE4D5"/>
            <w:tcMar>
              <w:top w:w="80" w:type="dxa"/>
              <w:left w:w="80" w:type="dxa"/>
              <w:bottom w:w="80" w:type="dxa"/>
              <w:right w:w="80" w:type="dxa"/>
            </w:tcMar>
          </w:tcPr>
          <w:p w14:paraId="2AFA5B2E" w14:textId="77777777" w:rsidR="00C603B7" w:rsidRPr="00C603B7" w:rsidRDefault="00C603B7" w:rsidP="00C603B7">
            <w:pPr>
              <w:pBdr>
                <w:top w:val="nil"/>
                <w:left w:val="nil"/>
                <w:bottom w:val="nil"/>
                <w:right w:val="nil"/>
                <w:between w:val="nil"/>
                <w:bar w:val="nil"/>
              </w:pBdr>
              <w:spacing w:line="360" w:lineRule="auto"/>
              <w:jc w:val="center"/>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TTP LThal V3</w:t>
            </w:r>
          </w:p>
        </w:tc>
      </w:tr>
      <w:tr w:rsidR="00C603B7" w:rsidRPr="00C603B7" w14:paraId="3E9C874C" w14:textId="77777777" w:rsidTr="009968E0">
        <w:trPr>
          <w:trHeight w:val="295"/>
        </w:trPr>
        <w:tc>
          <w:tcPr>
            <w:tcW w:w="1551" w:type="dxa"/>
            <w:shd w:val="clear" w:color="auto" w:fill="auto"/>
            <w:tcMar>
              <w:top w:w="80" w:type="dxa"/>
              <w:left w:w="80" w:type="dxa"/>
              <w:bottom w:w="80" w:type="dxa"/>
              <w:right w:w="80" w:type="dxa"/>
            </w:tcMar>
          </w:tcPr>
          <w:p w14:paraId="556B2C9D" w14:textId="77777777" w:rsidR="00C603B7" w:rsidRPr="00C603B7" w:rsidRDefault="00C603B7" w:rsidP="00C603B7">
            <w:pPr>
              <w:pBdr>
                <w:top w:val="nil"/>
                <w:left w:val="nil"/>
                <w:bottom w:val="nil"/>
                <w:right w:val="nil"/>
                <w:between w:val="nil"/>
                <w:bar w:val="nil"/>
              </w:pBdr>
              <w:rPr>
                <w:rFonts w:ascii="Times New Roman" w:eastAsia="Arial Unicode MS" w:hAnsi="Times New Roman" w:cs="Times New Roman"/>
                <w:bdr w:val="nil"/>
                <w:lang w:val="en-US"/>
              </w:rPr>
            </w:pPr>
          </w:p>
        </w:tc>
        <w:tc>
          <w:tcPr>
            <w:tcW w:w="829" w:type="dxa"/>
            <w:shd w:val="clear" w:color="auto" w:fill="auto"/>
            <w:tcMar>
              <w:top w:w="80" w:type="dxa"/>
              <w:left w:w="80" w:type="dxa"/>
              <w:bottom w:w="80" w:type="dxa"/>
              <w:right w:w="80" w:type="dxa"/>
            </w:tcMar>
          </w:tcPr>
          <w:p w14:paraId="0B9B633F" w14:textId="77777777" w:rsidR="00C603B7" w:rsidRPr="00C603B7" w:rsidRDefault="00C603B7" w:rsidP="00C603B7">
            <w:pPr>
              <w:pBdr>
                <w:top w:val="nil"/>
                <w:left w:val="nil"/>
                <w:bottom w:val="nil"/>
                <w:right w:val="nil"/>
                <w:between w:val="nil"/>
                <w:bar w:val="nil"/>
              </w:pBdr>
              <w:spacing w:line="360" w:lineRule="auto"/>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N</w:t>
            </w:r>
          </w:p>
        </w:tc>
        <w:tc>
          <w:tcPr>
            <w:tcW w:w="1671" w:type="dxa"/>
            <w:shd w:val="clear" w:color="auto" w:fill="auto"/>
            <w:tcMar>
              <w:top w:w="80" w:type="dxa"/>
              <w:left w:w="80" w:type="dxa"/>
              <w:bottom w:w="80" w:type="dxa"/>
              <w:right w:w="80" w:type="dxa"/>
            </w:tcMar>
          </w:tcPr>
          <w:p w14:paraId="633B240D"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71</w:t>
            </w:r>
          </w:p>
        </w:tc>
        <w:tc>
          <w:tcPr>
            <w:tcW w:w="1671" w:type="dxa"/>
            <w:shd w:val="clear" w:color="auto" w:fill="auto"/>
            <w:tcMar>
              <w:top w:w="80" w:type="dxa"/>
              <w:left w:w="80" w:type="dxa"/>
              <w:bottom w:w="80" w:type="dxa"/>
              <w:right w:w="80" w:type="dxa"/>
            </w:tcMar>
          </w:tcPr>
          <w:p w14:paraId="6EE30174"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71</w:t>
            </w:r>
          </w:p>
        </w:tc>
        <w:tc>
          <w:tcPr>
            <w:tcW w:w="1671" w:type="dxa"/>
            <w:shd w:val="clear" w:color="auto" w:fill="auto"/>
            <w:tcMar>
              <w:top w:w="80" w:type="dxa"/>
              <w:left w:w="80" w:type="dxa"/>
              <w:bottom w:w="80" w:type="dxa"/>
              <w:right w:w="80" w:type="dxa"/>
            </w:tcMar>
          </w:tcPr>
          <w:p w14:paraId="15BBAD37"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71</w:t>
            </w:r>
          </w:p>
        </w:tc>
        <w:tc>
          <w:tcPr>
            <w:tcW w:w="1670" w:type="dxa"/>
            <w:shd w:val="clear" w:color="auto" w:fill="auto"/>
            <w:tcMar>
              <w:top w:w="80" w:type="dxa"/>
              <w:left w:w="80" w:type="dxa"/>
              <w:bottom w:w="80" w:type="dxa"/>
              <w:right w:w="80" w:type="dxa"/>
            </w:tcMar>
          </w:tcPr>
          <w:p w14:paraId="5BF0C403"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71</w:t>
            </w:r>
          </w:p>
        </w:tc>
      </w:tr>
      <w:tr w:rsidR="00C603B7" w:rsidRPr="00C603B7" w14:paraId="4D10ED98" w14:textId="77777777" w:rsidTr="009968E0">
        <w:trPr>
          <w:trHeight w:val="605"/>
        </w:trPr>
        <w:tc>
          <w:tcPr>
            <w:tcW w:w="1551" w:type="dxa"/>
            <w:shd w:val="clear" w:color="auto" w:fill="FBE4D5"/>
            <w:tcMar>
              <w:top w:w="80" w:type="dxa"/>
              <w:left w:w="80" w:type="dxa"/>
              <w:bottom w:w="80" w:type="dxa"/>
              <w:right w:w="80" w:type="dxa"/>
            </w:tcMar>
          </w:tcPr>
          <w:p w14:paraId="15FF5125" w14:textId="77777777" w:rsidR="00C603B7" w:rsidRPr="00C603B7" w:rsidRDefault="00C603B7" w:rsidP="00C603B7">
            <w:pPr>
              <w:pBdr>
                <w:top w:val="nil"/>
                <w:left w:val="nil"/>
                <w:bottom w:val="nil"/>
                <w:right w:val="nil"/>
                <w:between w:val="nil"/>
                <w:bar w:val="nil"/>
              </w:pBdr>
              <w:spacing w:line="360" w:lineRule="auto"/>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NAA/Creatine</w:t>
            </w:r>
          </w:p>
        </w:tc>
        <w:tc>
          <w:tcPr>
            <w:tcW w:w="829" w:type="dxa"/>
            <w:shd w:val="clear" w:color="auto" w:fill="FBE4D5"/>
            <w:tcMar>
              <w:top w:w="80" w:type="dxa"/>
              <w:left w:w="80" w:type="dxa"/>
              <w:bottom w:w="80" w:type="dxa"/>
              <w:right w:w="80" w:type="dxa"/>
            </w:tcMar>
          </w:tcPr>
          <w:p w14:paraId="7ED8A672" w14:textId="77777777" w:rsidR="00C603B7" w:rsidRPr="00C603B7" w:rsidRDefault="00C603B7" w:rsidP="00C603B7">
            <w:pPr>
              <w:pBdr>
                <w:top w:val="nil"/>
                <w:left w:val="nil"/>
                <w:bottom w:val="nil"/>
                <w:right w:val="nil"/>
                <w:between w:val="nil"/>
                <w:bar w:val="nil"/>
              </w:pBdr>
              <w:spacing w:line="360" w:lineRule="auto"/>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R</w:t>
            </w:r>
          </w:p>
        </w:tc>
        <w:tc>
          <w:tcPr>
            <w:tcW w:w="1671" w:type="dxa"/>
            <w:shd w:val="clear" w:color="auto" w:fill="FBE4D5"/>
            <w:tcMar>
              <w:top w:w="80" w:type="dxa"/>
              <w:left w:w="80" w:type="dxa"/>
              <w:bottom w:w="80" w:type="dxa"/>
              <w:right w:w="80" w:type="dxa"/>
            </w:tcMar>
          </w:tcPr>
          <w:p w14:paraId="5876517C"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-.081</w:t>
            </w:r>
          </w:p>
        </w:tc>
        <w:tc>
          <w:tcPr>
            <w:tcW w:w="1671" w:type="dxa"/>
            <w:shd w:val="clear" w:color="auto" w:fill="FBE4D5"/>
            <w:tcMar>
              <w:top w:w="80" w:type="dxa"/>
              <w:left w:w="80" w:type="dxa"/>
              <w:bottom w:w="80" w:type="dxa"/>
              <w:right w:w="80" w:type="dxa"/>
            </w:tcMar>
          </w:tcPr>
          <w:p w14:paraId="4E20D571"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.012</w:t>
            </w:r>
          </w:p>
        </w:tc>
        <w:tc>
          <w:tcPr>
            <w:tcW w:w="1671" w:type="dxa"/>
            <w:shd w:val="clear" w:color="auto" w:fill="FBE4D5"/>
            <w:tcMar>
              <w:top w:w="80" w:type="dxa"/>
              <w:left w:w="80" w:type="dxa"/>
              <w:bottom w:w="80" w:type="dxa"/>
              <w:right w:w="80" w:type="dxa"/>
            </w:tcMar>
          </w:tcPr>
          <w:p w14:paraId="5CA93042"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-.096</w:t>
            </w:r>
          </w:p>
        </w:tc>
        <w:tc>
          <w:tcPr>
            <w:tcW w:w="1670" w:type="dxa"/>
            <w:shd w:val="clear" w:color="auto" w:fill="FBE4D5"/>
            <w:tcMar>
              <w:top w:w="80" w:type="dxa"/>
              <w:left w:w="80" w:type="dxa"/>
              <w:bottom w:w="80" w:type="dxa"/>
              <w:right w:w="80" w:type="dxa"/>
            </w:tcMar>
          </w:tcPr>
          <w:p w14:paraId="61AD3681"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.131</w:t>
            </w:r>
          </w:p>
        </w:tc>
      </w:tr>
      <w:tr w:rsidR="00C603B7" w:rsidRPr="00C603B7" w14:paraId="4160ED49" w14:textId="77777777" w:rsidTr="009968E0">
        <w:trPr>
          <w:trHeight w:val="295"/>
        </w:trPr>
        <w:tc>
          <w:tcPr>
            <w:tcW w:w="1551" w:type="dxa"/>
            <w:shd w:val="clear" w:color="auto" w:fill="auto"/>
            <w:tcMar>
              <w:top w:w="80" w:type="dxa"/>
              <w:left w:w="80" w:type="dxa"/>
              <w:bottom w:w="80" w:type="dxa"/>
              <w:right w:w="80" w:type="dxa"/>
            </w:tcMar>
          </w:tcPr>
          <w:p w14:paraId="1D77CE4A" w14:textId="77777777" w:rsidR="00C603B7" w:rsidRPr="00C603B7" w:rsidRDefault="00C603B7" w:rsidP="00C603B7">
            <w:pPr>
              <w:pBdr>
                <w:top w:val="nil"/>
                <w:left w:val="nil"/>
                <w:bottom w:val="nil"/>
                <w:right w:val="nil"/>
                <w:between w:val="nil"/>
                <w:bar w:val="nil"/>
              </w:pBdr>
              <w:rPr>
                <w:rFonts w:ascii="Times New Roman" w:eastAsia="Arial Unicode MS" w:hAnsi="Times New Roman" w:cs="Times New Roman"/>
                <w:bdr w:val="nil"/>
                <w:lang w:val="en-US"/>
              </w:rPr>
            </w:pPr>
          </w:p>
        </w:tc>
        <w:tc>
          <w:tcPr>
            <w:tcW w:w="829" w:type="dxa"/>
            <w:shd w:val="clear" w:color="auto" w:fill="auto"/>
            <w:tcMar>
              <w:top w:w="80" w:type="dxa"/>
              <w:left w:w="80" w:type="dxa"/>
              <w:bottom w:w="80" w:type="dxa"/>
              <w:right w:w="80" w:type="dxa"/>
            </w:tcMar>
          </w:tcPr>
          <w:p w14:paraId="1831C035" w14:textId="77777777" w:rsidR="00C603B7" w:rsidRPr="00C603B7" w:rsidRDefault="00C603B7" w:rsidP="00C603B7">
            <w:pPr>
              <w:pBdr>
                <w:top w:val="nil"/>
                <w:left w:val="nil"/>
                <w:bottom w:val="nil"/>
                <w:right w:val="nil"/>
                <w:between w:val="nil"/>
                <w:bar w:val="nil"/>
              </w:pBdr>
              <w:spacing w:line="360" w:lineRule="auto"/>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sig</w:t>
            </w:r>
          </w:p>
        </w:tc>
        <w:tc>
          <w:tcPr>
            <w:tcW w:w="1671" w:type="dxa"/>
            <w:shd w:val="clear" w:color="auto" w:fill="auto"/>
            <w:tcMar>
              <w:top w:w="80" w:type="dxa"/>
              <w:left w:w="80" w:type="dxa"/>
              <w:bottom w:w="80" w:type="dxa"/>
              <w:right w:w="80" w:type="dxa"/>
            </w:tcMar>
          </w:tcPr>
          <w:p w14:paraId="47A76421"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.504</w:t>
            </w:r>
          </w:p>
        </w:tc>
        <w:tc>
          <w:tcPr>
            <w:tcW w:w="1671" w:type="dxa"/>
            <w:shd w:val="clear" w:color="auto" w:fill="auto"/>
            <w:tcMar>
              <w:top w:w="80" w:type="dxa"/>
              <w:left w:w="80" w:type="dxa"/>
              <w:bottom w:w="80" w:type="dxa"/>
              <w:right w:w="80" w:type="dxa"/>
            </w:tcMar>
          </w:tcPr>
          <w:p w14:paraId="7BB92CA3"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.921</w:t>
            </w:r>
          </w:p>
        </w:tc>
        <w:tc>
          <w:tcPr>
            <w:tcW w:w="1671" w:type="dxa"/>
            <w:shd w:val="clear" w:color="auto" w:fill="auto"/>
            <w:tcMar>
              <w:top w:w="80" w:type="dxa"/>
              <w:left w:w="80" w:type="dxa"/>
              <w:bottom w:w="80" w:type="dxa"/>
              <w:right w:w="80" w:type="dxa"/>
            </w:tcMar>
          </w:tcPr>
          <w:p w14:paraId="09F26394"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.425</w:t>
            </w:r>
          </w:p>
        </w:tc>
        <w:tc>
          <w:tcPr>
            <w:tcW w:w="1670" w:type="dxa"/>
            <w:shd w:val="clear" w:color="auto" w:fill="auto"/>
            <w:tcMar>
              <w:top w:w="80" w:type="dxa"/>
              <w:left w:w="80" w:type="dxa"/>
              <w:bottom w:w="80" w:type="dxa"/>
              <w:right w:w="80" w:type="dxa"/>
            </w:tcMar>
          </w:tcPr>
          <w:p w14:paraId="32E2C9B5"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.277</w:t>
            </w:r>
          </w:p>
        </w:tc>
      </w:tr>
      <w:tr w:rsidR="00C603B7" w:rsidRPr="00C603B7" w14:paraId="0E53CE96" w14:textId="77777777" w:rsidTr="009968E0">
        <w:trPr>
          <w:trHeight w:val="250"/>
        </w:trPr>
        <w:tc>
          <w:tcPr>
            <w:tcW w:w="1551" w:type="dxa"/>
            <w:shd w:val="clear" w:color="auto" w:fill="FBE4D5"/>
            <w:tcMar>
              <w:top w:w="80" w:type="dxa"/>
              <w:left w:w="80" w:type="dxa"/>
              <w:bottom w:w="80" w:type="dxa"/>
              <w:right w:w="80" w:type="dxa"/>
            </w:tcMar>
          </w:tcPr>
          <w:p w14:paraId="3E7BDCC4" w14:textId="77777777" w:rsidR="00C603B7" w:rsidRPr="00C603B7" w:rsidRDefault="00C603B7" w:rsidP="00C603B7">
            <w:pPr>
              <w:pBdr>
                <w:top w:val="nil"/>
                <w:left w:val="nil"/>
                <w:bottom w:val="nil"/>
                <w:right w:val="nil"/>
                <w:between w:val="nil"/>
                <w:bar w:val="nil"/>
              </w:pBdr>
              <w:spacing w:line="360" w:lineRule="auto"/>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Cho/Creatine</w:t>
            </w:r>
          </w:p>
        </w:tc>
        <w:tc>
          <w:tcPr>
            <w:tcW w:w="829" w:type="dxa"/>
            <w:shd w:val="clear" w:color="auto" w:fill="FBE4D5"/>
            <w:tcMar>
              <w:top w:w="80" w:type="dxa"/>
              <w:left w:w="80" w:type="dxa"/>
              <w:bottom w:w="80" w:type="dxa"/>
              <w:right w:w="80" w:type="dxa"/>
            </w:tcMar>
          </w:tcPr>
          <w:p w14:paraId="30D11D7A" w14:textId="77777777" w:rsidR="00C603B7" w:rsidRPr="00C603B7" w:rsidRDefault="00C603B7" w:rsidP="00C603B7">
            <w:pPr>
              <w:pBdr>
                <w:top w:val="nil"/>
                <w:left w:val="nil"/>
                <w:bottom w:val="nil"/>
                <w:right w:val="nil"/>
                <w:between w:val="nil"/>
                <w:bar w:val="nil"/>
              </w:pBdr>
              <w:spacing w:line="360" w:lineRule="auto"/>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R</w:t>
            </w:r>
          </w:p>
        </w:tc>
        <w:tc>
          <w:tcPr>
            <w:tcW w:w="1671" w:type="dxa"/>
            <w:shd w:val="clear" w:color="auto" w:fill="FBE4D5"/>
            <w:tcMar>
              <w:top w:w="80" w:type="dxa"/>
              <w:left w:w="80" w:type="dxa"/>
              <w:bottom w:w="80" w:type="dxa"/>
              <w:right w:w="80" w:type="dxa"/>
            </w:tcMar>
          </w:tcPr>
          <w:p w14:paraId="616495BA"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-.069</w:t>
            </w:r>
          </w:p>
        </w:tc>
        <w:tc>
          <w:tcPr>
            <w:tcW w:w="1671" w:type="dxa"/>
            <w:shd w:val="clear" w:color="auto" w:fill="FBE4D5"/>
            <w:tcMar>
              <w:top w:w="80" w:type="dxa"/>
              <w:left w:w="80" w:type="dxa"/>
              <w:bottom w:w="80" w:type="dxa"/>
              <w:right w:w="80" w:type="dxa"/>
            </w:tcMar>
          </w:tcPr>
          <w:p w14:paraId="6AD0FA8D"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-.016</w:t>
            </w:r>
          </w:p>
        </w:tc>
        <w:tc>
          <w:tcPr>
            <w:tcW w:w="1671" w:type="dxa"/>
            <w:shd w:val="clear" w:color="auto" w:fill="FBE4D5"/>
            <w:tcMar>
              <w:top w:w="80" w:type="dxa"/>
              <w:left w:w="80" w:type="dxa"/>
              <w:bottom w:w="80" w:type="dxa"/>
              <w:right w:w="80" w:type="dxa"/>
            </w:tcMar>
          </w:tcPr>
          <w:p w14:paraId="6E28E855"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-.028</w:t>
            </w:r>
          </w:p>
        </w:tc>
        <w:tc>
          <w:tcPr>
            <w:tcW w:w="1670" w:type="dxa"/>
            <w:shd w:val="clear" w:color="auto" w:fill="FBE4D5"/>
            <w:tcMar>
              <w:top w:w="80" w:type="dxa"/>
              <w:left w:w="80" w:type="dxa"/>
              <w:bottom w:w="80" w:type="dxa"/>
              <w:right w:w="80" w:type="dxa"/>
            </w:tcMar>
          </w:tcPr>
          <w:p w14:paraId="3266017C"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.059</w:t>
            </w:r>
          </w:p>
        </w:tc>
      </w:tr>
      <w:tr w:rsidR="00C603B7" w:rsidRPr="00C603B7" w14:paraId="7BE041B0" w14:textId="77777777" w:rsidTr="009968E0">
        <w:trPr>
          <w:trHeight w:val="295"/>
        </w:trPr>
        <w:tc>
          <w:tcPr>
            <w:tcW w:w="1551" w:type="dxa"/>
            <w:shd w:val="clear" w:color="auto" w:fill="auto"/>
            <w:tcMar>
              <w:top w:w="80" w:type="dxa"/>
              <w:left w:w="80" w:type="dxa"/>
              <w:bottom w:w="80" w:type="dxa"/>
              <w:right w:w="80" w:type="dxa"/>
            </w:tcMar>
          </w:tcPr>
          <w:p w14:paraId="4029107B" w14:textId="77777777" w:rsidR="00C603B7" w:rsidRPr="00C603B7" w:rsidRDefault="00C603B7" w:rsidP="00C603B7">
            <w:pPr>
              <w:pBdr>
                <w:top w:val="nil"/>
                <w:left w:val="nil"/>
                <w:bottom w:val="nil"/>
                <w:right w:val="nil"/>
                <w:between w:val="nil"/>
                <w:bar w:val="nil"/>
              </w:pBdr>
              <w:rPr>
                <w:rFonts w:ascii="Times New Roman" w:eastAsia="Arial Unicode MS" w:hAnsi="Times New Roman" w:cs="Times New Roman"/>
                <w:bdr w:val="nil"/>
                <w:lang w:val="en-US"/>
              </w:rPr>
            </w:pPr>
          </w:p>
        </w:tc>
        <w:tc>
          <w:tcPr>
            <w:tcW w:w="829" w:type="dxa"/>
            <w:shd w:val="clear" w:color="auto" w:fill="auto"/>
            <w:tcMar>
              <w:top w:w="80" w:type="dxa"/>
              <w:left w:w="80" w:type="dxa"/>
              <w:bottom w:w="80" w:type="dxa"/>
              <w:right w:w="80" w:type="dxa"/>
            </w:tcMar>
          </w:tcPr>
          <w:p w14:paraId="026A1D2C" w14:textId="77777777" w:rsidR="00C603B7" w:rsidRPr="00C603B7" w:rsidRDefault="00C603B7" w:rsidP="00C603B7">
            <w:pPr>
              <w:pBdr>
                <w:top w:val="nil"/>
                <w:left w:val="nil"/>
                <w:bottom w:val="nil"/>
                <w:right w:val="nil"/>
                <w:between w:val="nil"/>
                <w:bar w:val="nil"/>
              </w:pBdr>
              <w:spacing w:line="360" w:lineRule="auto"/>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sig</w:t>
            </w:r>
          </w:p>
        </w:tc>
        <w:tc>
          <w:tcPr>
            <w:tcW w:w="1671" w:type="dxa"/>
            <w:shd w:val="clear" w:color="auto" w:fill="auto"/>
            <w:tcMar>
              <w:top w:w="80" w:type="dxa"/>
              <w:left w:w="80" w:type="dxa"/>
              <w:bottom w:w="80" w:type="dxa"/>
              <w:right w:w="80" w:type="dxa"/>
            </w:tcMar>
          </w:tcPr>
          <w:p w14:paraId="3BEDD655"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.568</w:t>
            </w:r>
          </w:p>
        </w:tc>
        <w:tc>
          <w:tcPr>
            <w:tcW w:w="1671" w:type="dxa"/>
            <w:shd w:val="clear" w:color="auto" w:fill="auto"/>
            <w:tcMar>
              <w:top w:w="80" w:type="dxa"/>
              <w:left w:w="80" w:type="dxa"/>
              <w:bottom w:w="80" w:type="dxa"/>
              <w:right w:w="80" w:type="dxa"/>
            </w:tcMar>
          </w:tcPr>
          <w:p w14:paraId="2E44614F"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.893</w:t>
            </w:r>
          </w:p>
        </w:tc>
        <w:tc>
          <w:tcPr>
            <w:tcW w:w="1671" w:type="dxa"/>
            <w:shd w:val="clear" w:color="auto" w:fill="auto"/>
            <w:tcMar>
              <w:top w:w="80" w:type="dxa"/>
              <w:left w:w="80" w:type="dxa"/>
              <w:bottom w:w="80" w:type="dxa"/>
              <w:right w:w="80" w:type="dxa"/>
            </w:tcMar>
          </w:tcPr>
          <w:p w14:paraId="1055E9CC"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.820</w:t>
            </w:r>
          </w:p>
        </w:tc>
        <w:tc>
          <w:tcPr>
            <w:tcW w:w="1670" w:type="dxa"/>
            <w:shd w:val="clear" w:color="auto" w:fill="auto"/>
            <w:tcMar>
              <w:top w:w="80" w:type="dxa"/>
              <w:left w:w="80" w:type="dxa"/>
              <w:bottom w:w="80" w:type="dxa"/>
              <w:right w:w="80" w:type="dxa"/>
            </w:tcMar>
          </w:tcPr>
          <w:p w14:paraId="4AF6DF45"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.624</w:t>
            </w:r>
          </w:p>
        </w:tc>
      </w:tr>
      <w:tr w:rsidR="00C603B7" w:rsidRPr="00C603B7" w14:paraId="41B040FE" w14:textId="77777777" w:rsidTr="009968E0">
        <w:trPr>
          <w:trHeight w:val="250"/>
        </w:trPr>
        <w:tc>
          <w:tcPr>
            <w:tcW w:w="1551" w:type="dxa"/>
            <w:shd w:val="clear" w:color="auto" w:fill="FBE4D5"/>
            <w:tcMar>
              <w:top w:w="80" w:type="dxa"/>
              <w:left w:w="80" w:type="dxa"/>
              <w:bottom w:w="80" w:type="dxa"/>
              <w:right w:w="80" w:type="dxa"/>
            </w:tcMar>
          </w:tcPr>
          <w:p w14:paraId="65450528" w14:textId="77777777" w:rsidR="00C603B7" w:rsidRPr="00C603B7" w:rsidRDefault="00C603B7" w:rsidP="00C603B7">
            <w:pPr>
              <w:pBdr>
                <w:top w:val="nil"/>
                <w:left w:val="nil"/>
                <w:bottom w:val="nil"/>
                <w:right w:val="nil"/>
                <w:between w:val="nil"/>
                <w:bar w:val="nil"/>
              </w:pBdr>
              <w:spacing w:line="360" w:lineRule="auto"/>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NAA/Choline</w:t>
            </w:r>
          </w:p>
        </w:tc>
        <w:tc>
          <w:tcPr>
            <w:tcW w:w="829" w:type="dxa"/>
            <w:shd w:val="clear" w:color="auto" w:fill="FBE4D5"/>
            <w:tcMar>
              <w:top w:w="80" w:type="dxa"/>
              <w:left w:w="80" w:type="dxa"/>
              <w:bottom w:w="80" w:type="dxa"/>
              <w:right w:w="80" w:type="dxa"/>
            </w:tcMar>
          </w:tcPr>
          <w:p w14:paraId="23E3B210" w14:textId="77777777" w:rsidR="00C603B7" w:rsidRPr="00C603B7" w:rsidRDefault="00C603B7" w:rsidP="00C603B7">
            <w:pPr>
              <w:pBdr>
                <w:top w:val="nil"/>
                <w:left w:val="nil"/>
                <w:bottom w:val="nil"/>
                <w:right w:val="nil"/>
                <w:between w:val="nil"/>
                <w:bar w:val="nil"/>
              </w:pBdr>
              <w:spacing w:line="360" w:lineRule="auto"/>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R</w:t>
            </w:r>
          </w:p>
        </w:tc>
        <w:tc>
          <w:tcPr>
            <w:tcW w:w="1671" w:type="dxa"/>
            <w:shd w:val="clear" w:color="auto" w:fill="FBE4D5"/>
            <w:tcMar>
              <w:top w:w="80" w:type="dxa"/>
              <w:left w:w="80" w:type="dxa"/>
              <w:bottom w:w="80" w:type="dxa"/>
              <w:right w:w="80" w:type="dxa"/>
            </w:tcMar>
          </w:tcPr>
          <w:p w14:paraId="7132E42E"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-.031</w:t>
            </w:r>
          </w:p>
        </w:tc>
        <w:tc>
          <w:tcPr>
            <w:tcW w:w="1671" w:type="dxa"/>
            <w:shd w:val="clear" w:color="auto" w:fill="FBE4D5"/>
            <w:tcMar>
              <w:top w:w="80" w:type="dxa"/>
              <w:left w:w="80" w:type="dxa"/>
              <w:bottom w:w="80" w:type="dxa"/>
              <w:right w:w="80" w:type="dxa"/>
            </w:tcMar>
          </w:tcPr>
          <w:p w14:paraId="4868A6C8"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-.006</w:t>
            </w:r>
          </w:p>
        </w:tc>
        <w:tc>
          <w:tcPr>
            <w:tcW w:w="1671" w:type="dxa"/>
            <w:shd w:val="clear" w:color="auto" w:fill="FBE4D5"/>
            <w:tcMar>
              <w:top w:w="80" w:type="dxa"/>
              <w:left w:w="80" w:type="dxa"/>
              <w:bottom w:w="80" w:type="dxa"/>
              <w:right w:w="80" w:type="dxa"/>
            </w:tcMar>
          </w:tcPr>
          <w:p w14:paraId="71D31A0C"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-.070</w:t>
            </w:r>
          </w:p>
        </w:tc>
        <w:tc>
          <w:tcPr>
            <w:tcW w:w="1670" w:type="dxa"/>
            <w:shd w:val="clear" w:color="auto" w:fill="FBE4D5"/>
            <w:tcMar>
              <w:top w:w="80" w:type="dxa"/>
              <w:left w:w="80" w:type="dxa"/>
              <w:bottom w:w="80" w:type="dxa"/>
              <w:right w:w="80" w:type="dxa"/>
            </w:tcMar>
          </w:tcPr>
          <w:p w14:paraId="4A9B44EE"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.036</w:t>
            </w:r>
          </w:p>
        </w:tc>
      </w:tr>
      <w:tr w:rsidR="00C603B7" w:rsidRPr="00C603B7" w14:paraId="1D5EE9CE" w14:textId="77777777" w:rsidTr="009968E0">
        <w:trPr>
          <w:trHeight w:val="295"/>
        </w:trPr>
        <w:tc>
          <w:tcPr>
            <w:tcW w:w="1551" w:type="dxa"/>
            <w:shd w:val="clear" w:color="auto" w:fill="auto"/>
            <w:tcMar>
              <w:top w:w="80" w:type="dxa"/>
              <w:left w:w="80" w:type="dxa"/>
              <w:bottom w:w="80" w:type="dxa"/>
              <w:right w:w="80" w:type="dxa"/>
            </w:tcMar>
          </w:tcPr>
          <w:p w14:paraId="21BA24A5" w14:textId="77777777" w:rsidR="00C603B7" w:rsidRPr="00C603B7" w:rsidRDefault="00C603B7" w:rsidP="00C603B7">
            <w:pPr>
              <w:pBdr>
                <w:top w:val="nil"/>
                <w:left w:val="nil"/>
                <w:bottom w:val="nil"/>
                <w:right w:val="nil"/>
                <w:between w:val="nil"/>
                <w:bar w:val="nil"/>
              </w:pBdr>
              <w:rPr>
                <w:rFonts w:ascii="Times New Roman" w:eastAsia="Arial Unicode MS" w:hAnsi="Times New Roman" w:cs="Times New Roman"/>
                <w:bdr w:val="nil"/>
                <w:lang w:val="en-US"/>
              </w:rPr>
            </w:pPr>
          </w:p>
        </w:tc>
        <w:tc>
          <w:tcPr>
            <w:tcW w:w="829" w:type="dxa"/>
            <w:shd w:val="clear" w:color="auto" w:fill="auto"/>
            <w:tcMar>
              <w:top w:w="80" w:type="dxa"/>
              <w:left w:w="80" w:type="dxa"/>
              <w:bottom w:w="80" w:type="dxa"/>
              <w:right w:w="80" w:type="dxa"/>
            </w:tcMar>
          </w:tcPr>
          <w:p w14:paraId="7D1C95A5" w14:textId="77777777" w:rsidR="00C603B7" w:rsidRPr="00C603B7" w:rsidRDefault="00C603B7" w:rsidP="00C603B7">
            <w:pPr>
              <w:pBdr>
                <w:top w:val="nil"/>
                <w:left w:val="nil"/>
                <w:bottom w:val="nil"/>
                <w:right w:val="nil"/>
                <w:between w:val="nil"/>
                <w:bar w:val="nil"/>
              </w:pBdr>
              <w:spacing w:line="360" w:lineRule="auto"/>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sig</w:t>
            </w:r>
          </w:p>
        </w:tc>
        <w:tc>
          <w:tcPr>
            <w:tcW w:w="1671" w:type="dxa"/>
            <w:shd w:val="clear" w:color="auto" w:fill="auto"/>
            <w:tcMar>
              <w:top w:w="80" w:type="dxa"/>
              <w:left w:w="80" w:type="dxa"/>
              <w:bottom w:w="80" w:type="dxa"/>
              <w:right w:w="80" w:type="dxa"/>
            </w:tcMar>
          </w:tcPr>
          <w:p w14:paraId="4CA5D4A0"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.797</w:t>
            </w:r>
          </w:p>
        </w:tc>
        <w:tc>
          <w:tcPr>
            <w:tcW w:w="1671" w:type="dxa"/>
            <w:shd w:val="clear" w:color="auto" w:fill="auto"/>
            <w:tcMar>
              <w:top w:w="80" w:type="dxa"/>
              <w:left w:w="80" w:type="dxa"/>
              <w:bottom w:w="80" w:type="dxa"/>
              <w:right w:w="80" w:type="dxa"/>
            </w:tcMar>
          </w:tcPr>
          <w:p w14:paraId="10DAD75E"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.959</w:t>
            </w:r>
          </w:p>
        </w:tc>
        <w:tc>
          <w:tcPr>
            <w:tcW w:w="1671" w:type="dxa"/>
            <w:shd w:val="clear" w:color="auto" w:fill="auto"/>
            <w:tcMar>
              <w:top w:w="80" w:type="dxa"/>
              <w:left w:w="80" w:type="dxa"/>
              <w:bottom w:w="80" w:type="dxa"/>
              <w:right w:w="80" w:type="dxa"/>
            </w:tcMar>
          </w:tcPr>
          <w:p w14:paraId="3684F170"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.562</w:t>
            </w:r>
          </w:p>
        </w:tc>
        <w:tc>
          <w:tcPr>
            <w:tcW w:w="1670" w:type="dxa"/>
            <w:shd w:val="clear" w:color="auto" w:fill="auto"/>
            <w:tcMar>
              <w:top w:w="80" w:type="dxa"/>
              <w:left w:w="80" w:type="dxa"/>
              <w:bottom w:w="80" w:type="dxa"/>
              <w:right w:w="80" w:type="dxa"/>
            </w:tcMar>
          </w:tcPr>
          <w:p w14:paraId="252F29AF"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.766</w:t>
            </w:r>
          </w:p>
        </w:tc>
      </w:tr>
    </w:tbl>
    <w:p w14:paraId="7AE6C127" w14:textId="77777777" w:rsidR="00EE3E91" w:rsidRDefault="00EE3E91" w:rsidP="00CA5198">
      <w:pPr>
        <w:pStyle w:val="Quote"/>
        <w:rPr>
          <w:rFonts w:eastAsia="Arial Unicode MS" w:cs="Arial Unicode MS"/>
        </w:rPr>
      </w:pPr>
      <w:bookmarkStart w:id="534" w:name="_Toc50070673"/>
      <w:bookmarkStart w:id="535" w:name="_Toc64724094"/>
    </w:p>
    <w:p w14:paraId="16A87AF4" w14:textId="77777777" w:rsidR="00EE3E91" w:rsidRDefault="00EE3E91">
      <w:pPr>
        <w:rPr>
          <w:rFonts w:eastAsia="Arial Unicode MS" w:cs="Arial Unicode MS"/>
          <w:i/>
          <w:iCs/>
          <w:color w:val="44546A"/>
          <w:u w:color="44546A"/>
          <w:bdr w:val="nil"/>
          <w:lang w:val="en-US" w:eastAsia="en-GB"/>
        </w:rPr>
      </w:pPr>
      <w:r>
        <w:rPr>
          <w:rFonts w:eastAsia="Arial Unicode MS" w:cs="Arial Unicode MS"/>
        </w:rPr>
        <w:br w:type="page"/>
      </w:r>
    </w:p>
    <w:p w14:paraId="6C3F316B" w14:textId="018CEE8E" w:rsidR="00C603B7" w:rsidRPr="00C603B7" w:rsidRDefault="00C603B7" w:rsidP="00CA5198">
      <w:pPr>
        <w:pStyle w:val="Quote"/>
      </w:pPr>
      <w:r w:rsidRPr="00C603B7">
        <w:lastRenderedPageBreak/>
        <w:t xml:space="preserve">Table 6.3  Correlations for Spectroscopy ratios of the </w:t>
      </w:r>
      <w:r w:rsidR="00C166B1">
        <w:t>L</w:t>
      </w:r>
      <w:r w:rsidRPr="00C603B7">
        <w:t xml:space="preserve">eft </w:t>
      </w:r>
      <w:r w:rsidR="00C166B1">
        <w:t>T</w:t>
      </w:r>
      <w:r w:rsidRPr="00C603B7">
        <w:t xml:space="preserve">halamus and the </w:t>
      </w:r>
      <w:r w:rsidR="00C166B1">
        <w:t>D</w:t>
      </w:r>
      <w:r w:rsidRPr="00C603B7">
        <w:t xml:space="preserve">ifference between </w:t>
      </w:r>
      <w:r w:rsidR="00C166B1">
        <w:t>P</w:t>
      </w:r>
      <w:r w:rsidRPr="00C603B7">
        <w:t xml:space="preserve">erfusion </w:t>
      </w:r>
      <w:r w:rsidR="00C166B1">
        <w:t>P</w:t>
      </w:r>
      <w:r w:rsidRPr="00C603B7">
        <w:t xml:space="preserve">arameters </w:t>
      </w:r>
      <w:r w:rsidR="00C166B1">
        <w:t>M</w:t>
      </w:r>
      <w:r w:rsidRPr="00C603B7">
        <w:t xml:space="preserve">easured at the </w:t>
      </w:r>
      <w:r w:rsidR="00C166B1">
        <w:t>L</w:t>
      </w:r>
      <w:r w:rsidRPr="00C603B7">
        <w:t xml:space="preserve">eft </w:t>
      </w:r>
      <w:r w:rsidR="00C166B1">
        <w:t>T</w:t>
      </w:r>
      <w:r w:rsidRPr="00C603B7">
        <w:t xml:space="preserve">halamus during an </w:t>
      </w:r>
      <w:r w:rsidR="00C166B1">
        <w:t>E</w:t>
      </w:r>
      <w:r w:rsidRPr="00C603B7">
        <w:t xml:space="preserve">xperimental </w:t>
      </w:r>
      <w:r w:rsidR="00C166B1">
        <w:t>P</w:t>
      </w:r>
      <w:r w:rsidRPr="00C603B7">
        <w:t xml:space="preserve">ain </w:t>
      </w:r>
      <w:r w:rsidR="00C166B1">
        <w:t>C</w:t>
      </w:r>
      <w:r w:rsidRPr="00C603B7">
        <w:t xml:space="preserve">ondition and </w:t>
      </w:r>
      <w:r w:rsidR="00C166B1">
        <w:t>B</w:t>
      </w:r>
      <w:r w:rsidRPr="00C603B7">
        <w:t>aseline.</w:t>
      </w:r>
      <w:bookmarkEnd w:id="534"/>
      <w:bookmarkEnd w:id="535"/>
    </w:p>
    <w:tbl>
      <w:tblPr>
        <w:tblW w:w="9020" w:type="dxa"/>
        <w:tblInd w:w="216" w:type="dxa"/>
        <w:tblBorders>
          <w:top w:val="single" w:sz="4" w:space="0" w:color="000000" w:themeColor="text1"/>
          <w:left w:val="single" w:sz="4" w:space="0" w:color="F4B083" w:themeColor="accent2" w:themeTint="99"/>
          <w:bottom w:val="single" w:sz="4" w:space="0" w:color="F4B083" w:themeColor="accent2" w:themeTint="99"/>
          <w:right w:val="single" w:sz="4" w:space="0" w:color="000000" w:themeColor="text1"/>
          <w:insideH w:val="single" w:sz="4" w:space="0" w:color="F4B083" w:themeColor="accent2" w:themeTint="99"/>
          <w:insideV w:val="single" w:sz="4" w:space="0" w:color="F4B083" w:themeColor="accent2" w:themeTint="99"/>
        </w:tblBorders>
        <w:shd w:val="clear" w:color="auto" w:fill="CDD4E9"/>
        <w:tblLayout w:type="fixed"/>
        <w:tblLook w:val="04A0" w:firstRow="1" w:lastRow="0" w:firstColumn="1" w:lastColumn="0" w:noHBand="0" w:noVBand="1"/>
      </w:tblPr>
      <w:tblGrid>
        <w:gridCol w:w="1450"/>
        <w:gridCol w:w="709"/>
        <w:gridCol w:w="1497"/>
        <w:gridCol w:w="1705"/>
        <w:gridCol w:w="1845"/>
        <w:gridCol w:w="1814"/>
      </w:tblGrid>
      <w:tr w:rsidR="00C603B7" w:rsidRPr="00C603B7" w14:paraId="4E8B3F4D" w14:textId="77777777" w:rsidTr="00215576">
        <w:trPr>
          <w:trHeight w:val="610"/>
        </w:trPr>
        <w:tc>
          <w:tcPr>
            <w:tcW w:w="2158" w:type="dxa"/>
            <w:gridSpan w:val="2"/>
            <w:tcBorders>
              <w:left w:val="single" w:sz="4" w:space="0" w:color="000000" w:themeColor="text1"/>
            </w:tcBorders>
            <w:shd w:val="clear" w:color="auto" w:fill="FBE4D5"/>
            <w:tcMar>
              <w:top w:w="80" w:type="dxa"/>
              <w:left w:w="80" w:type="dxa"/>
              <w:bottom w:w="80" w:type="dxa"/>
              <w:right w:w="80" w:type="dxa"/>
            </w:tcMar>
          </w:tcPr>
          <w:p w14:paraId="4F57CE21" w14:textId="77777777" w:rsidR="00C603B7" w:rsidRPr="00C603B7" w:rsidRDefault="00C603B7" w:rsidP="00C603B7">
            <w:pPr>
              <w:pBdr>
                <w:top w:val="nil"/>
                <w:left w:val="nil"/>
                <w:bottom w:val="nil"/>
                <w:right w:val="nil"/>
                <w:between w:val="nil"/>
                <w:bar w:val="nil"/>
              </w:pBdr>
              <w:spacing w:line="360" w:lineRule="auto"/>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 </w:t>
            </w:r>
          </w:p>
        </w:tc>
        <w:tc>
          <w:tcPr>
            <w:tcW w:w="1497" w:type="dxa"/>
            <w:shd w:val="clear" w:color="auto" w:fill="FBE4D5"/>
            <w:tcMar>
              <w:top w:w="80" w:type="dxa"/>
              <w:left w:w="80" w:type="dxa"/>
              <w:bottom w:w="80" w:type="dxa"/>
              <w:right w:w="80" w:type="dxa"/>
            </w:tcMar>
          </w:tcPr>
          <w:p w14:paraId="768BB65B" w14:textId="77777777" w:rsidR="00C603B7" w:rsidRPr="00C603B7" w:rsidRDefault="00C603B7" w:rsidP="00C603B7">
            <w:pPr>
              <w:pBdr>
                <w:top w:val="nil"/>
                <w:left w:val="nil"/>
                <w:bottom w:val="nil"/>
                <w:right w:val="nil"/>
                <w:between w:val="nil"/>
                <w:bar w:val="nil"/>
              </w:pBdr>
              <w:spacing w:line="360" w:lineRule="auto"/>
              <w:jc w:val="center"/>
              <w:rPr>
                <w:rFonts w:ascii="Calibri" w:eastAsia="Calibri" w:hAnsi="Calibri" w:cs="Calibri"/>
                <w:i/>
                <w:iCs/>
                <w:color w:val="000000"/>
                <w:sz w:val="22"/>
                <w:szCs w:val="22"/>
                <w:u w:color="000000"/>
                <w:bdr w:val="nil"/>
                <w:lang w:val="en-US" w:eastAsia="en-GB"/>
              </w:rPr>
            </w:pPr>
            <w:r w:rsidRPr="00C603B7">
              <w:rPr>
                <w:rFonts w:ascii="Calibri" w:eastAsia="Calibri" w:hAnsi="Calibri" w:cs="Calibri"/>
                <w:i/>
                <w:iCs/>
                <w:color w:val="000000"/>
                <w:sz w:val="22"/>
                <w:szCs w:val="22"/>
                <w:u w:color="000000"/>
                <w:bdr w:val="nil"/>
                <w:lang w:val="en-US" w:eastAsia="en-GB"/>
              </w:rPr>
              <w:t xml:space="preserve">Delta </w:t>
            </w:r>
          </w:p>
          <w:p w14:paraId="68DFB040" w14:textId="77777777" w:rsidR="00C603B7" w:rsidRPr="00C603B7" w:rsidRDefault="00C603B7" w:rsidP="00C603B7">
            <w:pPr>
              <w:pBdr>
                <w:top w:val="nil"/>
                <w:left w:val="nil"/>
                <w:bottom w:val="nil"/>
                <w:right w:val="nil"/>
                <w:between w:val="nil"/>
                <w:bar w:val="nil"/>
              </w:pBdr>
              <w:spacing w:line="360" w:lineRule="auto"/>
              <w:jc w:val="center"/>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RBV LThal</w:t>
            </w:r>
          </w:p>
        </w:tc>
        <w:tc>
          <w:tcPr>
            <w:tcW w:w="1705" w:type="dxa"/>
            <w:shd w:val="clear" w:color="auto" w:fill="FBE4D5"/>
            <w:tcMar>
              <w:top w:w="80" w:type="dxa"/>
              <w:left w:w="80" w:type="dxa"/>
              <w:bottom w:w="80" w:type="dxa"/>
              <w:right w:w="80" w:type="dxa"/>
            </w:tcMar>
          </w:tcPr>
          <w:p w14:paraId="6879765E" w14:textId="77777777" w:rsidR="00C603B7" w:rsidRPr="00C603B7" w:rsidRDefault="00C603B7" w:rsidP="00C603B7">
            <w:pPr>
              <w:pBdr>
                <w:top w:val="nil"/>
                <w:left w:val="nil"/>
                <w:bottom w:val="nil"/>
                <w:right w:val="nil"/>
                <w:between w:val="nil"/>
                <w:bar w:val="nil"/>
              </w:pBdr>
              <w:spacing w:line="360" w:lineRule="auto"/>
              <w:jc w:val="center"/>
              <w:rPr>
                <w:rFonts w:ascii="Calibri" w:eastAsia="Calibri" w:hAnsi="Calibri" w:cs="Calibri"/>
                <w:i/>
                <w:iCs/>
                <w:color w:val="000000"/>
                <w:sz w:val="22"/>
                <w:szCs w:val="22"/>
                <w:u w:color="000000"/>
                <w:bdr w:val="nil"/>
                <w:lang w:val="en-US" w:eastAsia="en-GB"/>
              </w:rPr>
            </w:pPr>
            <w:r w:rsidRPr="00C603B7">
              <w:rPr>
                <w:rFonts w:ascii="Calibri" w:eastAsia="Calibri" w:hAnsi="Calibri" w:cs="Calibri"/>
                <w:i/>
                <w:iCs/>
                <w:color w:val="000000"/>
                <w:sz w:val="22"/>
                <w:szCs w:val="22"/>
                <w:u w:color="000000"/>
                <w:bdr w:val="nil"/>
                <w:lang w:val="en-US" w:eastAsia="en-GB"/>
              </w:rPr>
              <w:t>Delta</w:t>
            </w:r>
          </w:p>
          <w:p w14:paraId="16BEDC4D" w14:textId="77777777" w:rsidR="00C603B7" w:rsidRPr="00C603B7" w:rsidRDefault="00C603B7" w:rsidP="00C603B7">
            <w:pPr>
              <w:pBdr>
                <w:top w:val="nil"/>
                <w:left w:val="nil"/>
                <w:bottom w:val="nil"/>
                <w:right w:val="nil"/>
                <w:between w:val="nil"/>
                <w:bar w:val="nil"/>
              </w:pBdr>
              <w:spacing w:line="360" w:lineRule="auto"/>
              <w:jc w:val="center"/>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 xml:space="preserve"> RBF LThal</w:t>
            </w:r>
          </w:p>
        </w:tc>
        <w:tc>
          <w:tcPr>
            <w:tcW w:w="1845" w:type="dxa"/>
            <w:shd w:val="clear" w:color="auto" w:fill="FBE4D5"/>
            <w:tcMar>
              <w:top w:w="80" w:type="dxa"/>
              <w:left w:w="80" w:type="dxa"/>
              <w:bottom w:w="80" w:type="dxa"/>
              <w:right w:w="80" w:type="dxa"/>
            </w:tcMar>
          </w:tcPr>
          <w:p w14:paraId="33163BE2" w14:textId="77777777" w:rsidR="00C603B7" w:rsidRPr="00C603B7" w:rsidRDefault="00C603B7" w:rsidP="00C603B7">
            <w:pPr>
              <w:pBdr>
                <w:top w:val="nil"/>
                <w:left w:val="nil"/>
                <w:bottom w:val="nil"/>
                <w:right w:val="nil"/>
                <w:between w:val="nil"/>
                <w:bar w:val="nil"/>
              </w:pBdr>
              <w:spacing w:line="360" w:lineRule="auto"/>
              <w:jc w:val="center"/>
              <w:rPr>
                <w:rFonts w:ascii="Calibri" w:eastAsia="Calibri" w:hAnsi="Calibri" w:cs="Calibri"/>
                <w:i/>
                <w:iCs/>
                <w:color w:val="000000"/>
                <w:sz w:val="22"/>
                <w:szCs w:val="22"/>
                <w:u w:color="000000"/>
                <w:bdr w:val="nil"/>
                <w:lang w:val="en-US" w:eastAsia="en-GB"/>
              </w:rPr>
            </w:pPr>
            <w:r w:rsidRPr="00C603B7">
              <w:rPr>
                <w:rFonts w:ascii="Calibri" w:eastAsia="Calibri" w:hAnsi="Calibri" w:cs="Calibri"/>
                <w:i/>
                <w:iCs/>
                <w:color w:val="000000"/>
                <w:sz w:val="22"/>
                <w:szCs w:val="22"/>
                <w:u w:color="000000"/>
                <w:bdr w:val="nil"/>
                <w:lang w:val="en-US" w:eastAsia="en-GB"/>
              </w:rPr>
              <w:t>Delta</w:t>
            </w:r>
          </w:p>
          <w:p w14:paraId="770412A2" w14:textId="77777777" w:rsidR="00C603B7" w:rsidRPr="00C603B7" w:rsidRDefault="00C603B7" w:rsidP="00C603B7">
            <w:pPr>
              <w:pBdr>
                <w:top w:val="nil"/>
                <w:left w:val="nil"/>
                <w:bottom w:val="nil"/>
                <w:right w:val="nil"/>
                <w:between w:val="nil"/>
                <w:bar w:val="nil"/>
              </w:pBdr>
              <w:spacing w:line="360" w:lineRule="auto"/>
              <w:jc w:val="center"/>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MTT LThal</w:t>
            </w:r>
          </w:p>
        </w:tc>
        <w:tc>
          <w:tcPr>
            <w:tcW w:w="1814" w:type="dxa"/>
            <w:shd w:val="clear" w:color="auto" w:fill="FBE4D5"/>
            <w:tcMar>
              <w:top w:w="80" w:type="dxa"/>
              <w:left w:w="80" w:type="dxa"/>
              <w:bottom w:w="80" w:type="dxa"/>
              <w:right w:w="80" w:type="dxa"/>
            </w:tcMar>
          </w:tcPr>
          <w:p w14:paraId="724BC044" w14:textId="77777777" w:rsidR="00C603B7" w:rsidRPr="00C603B7" w:rsidRDefault="00C603B7" w:rsidP="00C603B7">
            <w:pPr>
              <w:pBdr>
                <w:top w:val="nil"/>
                <w:left w:val="nil"/>
                <w:bottom w:val="nil"/>
                <w:right w:val="nil"/>
                <w:between w:val="nil"/>
                <w:bar w:val="nil"/>
              </w:pBdr>
              <w:spacing w:line="360" w:lineRule="auto"/>
              <w:jc w:val="center"/>
              <w:rPr>
                <w:rFonts w:ascii="Calibri" w:eastAsia="Calibri" w:hAnsi="Calibri" w:cs="Calibri"/>
                <w:i/>
                <w:iCs/>
                <w:color w:val="000000"/>
                <w:sz w:val="22"/>
                <w:szCs w:val="22"/>
                <w:u w:color="000000"/>
                <w:bdr w:val="nil"/>
                <w:lang w:val="en-US" w:eastAsia="en-GB"/>
              </w:rPr>
            </w:pPr>
            <w:r w:rsidRPr="00C603B7">
              <w:rPr>
                <w:rFonts w:ascii="Calibri" w:eastAsia="Calibri" w:hAnsi="Calibri" w:cs="Calibri"/>
                <w:i/>
                <w:iCs/>
                <w:color w:val="000000"/>
                <w:sz w:val="22"/>
                <w:szCs w:val="22"/>
                <w:u w:color="000000"/>
                <w:bdr w:val="nil"/>
                <w:lang w:val="en-US" w:eastAsia="en-GB"/>
              </w:rPr>
              <w:t>Delta</w:t>
            </w:r>
          </w:p>
          <w:p w14:paraId="5F1BF4CD" w14:textId="77777777" w:rsidR="00C603B7" w:rsidRPr="00C603B7" w:rsidRDefault="00C603B7" w:rsidP="00C603B7">
            <w:pPr>
              <w:pBdr>
                <w:top w:val="nil"/>
                <w:left w:val="nil"/>
                <w:bottom w:val="nil"/>
                <w:right w:val="nil"/>
                <w:between w:val="nil"/>
                <w:bar w:val="nil"/>
              </w:pBdr>
              <w:spacing w:line="360" w:lineRule="auto"/>
              <w:jc w:val="center"/>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TTP LThal</w:t>
            </w:r>
          </w:p>
        </w:tc>
      </w:tr>
      <w:tr w:rsidR="00C603B7" w:rsidRPr="00C603B7" w14:paraId="687760D0" w14:textId="77777777" w:rsidTr="00215576">
        <w:trPr>
          <w:trHeight w:val="295"/>
        </w:trPr>
        <w:tc>
          <w:tcPr>
            <w:tcW w:w="1449" w:type="dxa"/>
            <w:tcBorders>
              <w:left w:val="single" w:sz="4" w:space="0" w:color="000000" w:themeColor="text1"/>
            </w:tcBorders>
            <w:shd w:val="clear" w:color="auto" w:fill="auto"/>
            <w:tcMar>
              <w:top w:w="80" w:type="dxa"/>
              <w:left w:w="80" w:type="dxa"/>
              <w:bottom w:w="80" w:type="dxa"/>
              <w:right w:w="80" w:type="dxa"/>
            </w:tcMar>
          </w:tcPr>
          <w:p w14:paraId="4F085D37" w14:textId="77777777" w:rsidR="00C603B7" w:rsidRPr="00C603B7" w:rsidRDefault="00C603B7" w:rsidP="00C603B7">
            <w:pPr>
              <w:pBdr>
                <w:top w:val="nil"/>
                <w:left w:val="nil"/>
                <w:bottom w:val="nil"/>
                <w:right w:val="nil"/>
                <w:between w:val="nil"/>
                <w:bar w:val="nil"/>
              </w:pBdr>
              <w:rPr>
                <w:rFonts w:ascii="Times New Roman" w:eastAsia="Arial Unicode MS" w:hAnsi="Times New Roman" w:cs="Times New Roman"/>
                <w:bdr w:val="nil"/>
                <w:lang w:val="en-US"/>
              </w:rPr>
            </w:pPr>
          </w:p>
        </w:tc>
        <w:tc>
          <w:tcPr>
            <w:tcW w:w="709" w:type="dxa"/>
            <w:shd w:val="clear" w:color="auto" w:fill="auto"/>
            <w:tcMar>
              <w:top w:w="80" w:type="dxa"/>
              <w:left w:w="80" w:type="dxa"/>
              <w:bottom w:w="80" w:type="dxa"/>
              <w:right w:w="80" w:type="dxa"/>
            </w:tcMar>
          </w:tcPr>
          <w:p w14:paraId="0EECE492" w14:textId="77777777" w:rsidR="00C603B7" w:rsidRPr="00C603B7" w:rsidRDefault="00C603B7" w:rsidP="00C603B7">
            <w:pPr>
              <w:pBdr>
                <w:top w:val="nil"/>
                <w:left w:val="nil"/>
                <w:bottom w:val="nil"/>
                <w:right w:val="nil"/>
                <w:between w:val="nil"/>
                <w:bar w:val="nil"/>
              </w:pBdr>
              <w:spacing w:line="360" w:lineRule="auto"/>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N</w:t>
            </w:r>
          </w:p>
        </w:tc>
        <w:tc>
          <w:tcPr>
            <w:tcW w:w="1497" w:type="dxa"/>
            <w:shd w:val="clear" w:color="auto" w:fill="auto"/>
            <w:tcMar>
              <w:top w:w="80" w:type="dxa"/>
              <w:left w:w="80" w:type="dxa"/>
              <w:bottom w:w="80" w:type="dxa"/>
              <w:right w:w="80" w:type="dxa"/>
            </w:tcMar>
          </w:tcPr>
          <w:p w14:paraId="3109637F"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71</w:t>
            </w:r>
          </w:p>
        </w:tc>
        <w:tc>
          <w:tcPr>
            <w:tcW w:w="1705" w:type="dxa"/>
            <w:shd w:val="clear" w:color="auto" w:fill="auto"/>
            <w:tcMar>
              <w:top w:w="80" w:type="dxa"/>
              <w:left w:w="80" w:type="dxa"/>
              <w:bottom w:w="80" w:type="dxa"/>
              <w:right w:w="80" w:type="dxa"/>
            </w:tcMar>
          </w:tcPr>
          <w:p w14:paraId="503ACA4A"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71</w:t>
            </w:r>
          </w:p>
        </w:tc>
        <w:tc>
          <w:tcPr>
            <w:tcW w:w="1845" w:type="dxa"/>
            <w:shd w:val="clear" w:color="auto" w:fill="auto"/>
            <w:tcMar>
              <w:top w:w="80" w:type="dxa"/>
              <w:left w:w="80" w:type="dxa"/>
              <w:bottom w:w="80" w:type="dxa"/>
              <w:right w:w="80" w:type="dxa"/>
            </w:tcMar>
          </w:tcPr>
          <w:p w14:paraId="7A6F59D6"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71</w:t>
            </w:r>
          </w:p>
        </w:tc>
        <w:tc>
          <w:tcPr>
            <w:tcW w:w="1814" w:type="dxa"/>
            <w:shd w:val="clear" w:color="auto" w:fill="auto"/>
            <w:tcMar>
              <w:top w:w="80" w:type="dxa"/>
              <w:left w:w="80" w:type="dxa"/>
              <w:bottom w:w="80" w:type="dxa"/>
              <w:right w:w="80" w:type="dxa"/>
            </w:tcMar>
          </w:tcPr>
          <w:p w14:paraId="1CD66898"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71</w:t>
            </w:r>
          </w:p>
        </w:tc>
      </w:tr>
      <w:tr w:rsidR="00C603B7" w:rsidRPr="00C603B7" w14:paraId="72EB1F18" w14:textId="77777777" w:rsidTr="00215576">
        <w:trPr>
          <w:trHeight w:val="610"/>
        </w:trPr>
        <w:tc>
          <w:tcPr>
            <w:tcW w:w="1449" w:type="dxa"/>
            <w:tcBorders>
              <w:left w:val="single" w:sz="4" w:space="0" w:color="000000" w:themeColor="text1"/>
            </w:tcBorders>
            <w:shd w:val="clear" w:color="auto" w:fill="FBE4D5"/>
            <w:tcMar>
              <w:top w:w="80" w:type="dxa"/>
              <w:left w:w="80" w:type="dxa"/>
              <w:bottom w:w="80" w:type="dxa"/>
              <w:right w:w="80" w:type="dxa"/>
            </w:tcMar>
          </w:tcPr>
          <w:p w14:paraId="46CA0459" w14:textId="77777777" w:rsidR="00C603B7" w:rsidRPr="00C603B7" w:rsidRDefault="00C603B7" w:rsidP="00C603B7">
            <w:pPr>
              <w:pBdr>
                <w:top w:val="nil"/>
                <w:left w:val="nil"/>
                <w:bottom w:val="nil"/>
                <w:right w:val="nil"/>
                <w:between w:val="nil"/>
                <w:bar w:val="nil"/>
              </w:pBdr>
              <w:spacing w:line="360" w:lineRule="auto"/>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NAA/Creatine</w:t>
            </w:r>
          </w:p>
        </w:tc>
        <w:tc>
          <w:tcPr>
            <w:tcW w:w="709" w:type="dxa"/>
            <w:shd w:val="clear" w:color="auto" w:fill="FBE4D5"/>
            <w:tcMar>
              <w:top w:w="80" w:type="dxa"/>
              <w:left w:w="80" w:type="dxa"/>
              <w:bottom w:w="80" w:type="dxa"/>
              <w:right w:w="80" w:type="dxa"/>
            </w:tcMar>
          </w:tcPr>
          <w:p w14:paraId="4F159CAD" w14:textId="77777777" w:rsidR="00C603B7" w:rsidRPr="00C603B7" w:rsidRDefault="00C603B7" w:rsidP="00C603B7">
            <w:pPr>
              <w:pBdr>
                <w:top w:val="nil"/>
                <w:left w:val="nil"/>
                <w:bottom w:val="nil"/>
                <w:right w:val="nil"/>
                <w:between w:val="nil"/>
                <w:bar w:val="nil"/>
              </w:pBdr>
              <w:spacing w:line="360" w:lineRule="auto"/>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R</w:t>
            </w:r>
          </w:p>
        </w:tc>
        <w:tc>
          <w:tcPr>
            <w:tcW w:w="1497" w:type="dxa"/>
            <w:shd w:val="clear" w:color="auto" w:fill="FBE4D5"/>
            <w:tcMar>
              <w:top w:w="80" w:type="dxa"/>
              <w:left w:w="80" w:type="dxa"/>
              <w:bottom w:w="80" w:type="dxa"/>
              <w:right w:w="80" w:type="dxa"/>
            </w:tcMar>
          </w:tcPr>
          <w:p w14:paraId="0B288A98"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-.142</w:t>
            </w:r>
          </w:p>
        </w:tc>
        <w:tc>
          <w:tcPr>
            <w:tcW w:w="1705" w:type="dxa"/>
            <w:shd w:val="clear" w:color="auto" w:fill="FBE4D5"/>
            <w:tcMar>
              <w:top w:w="80" w:type="dxa"/>
              <w:left w:w="80" w:type="dxa"/>
              <w:bottom w:w="80" w:type="dxa"/>
              <w:right w:w="80" w:type="dxa"/>
            </w:tcMar>
          </w:tcPr>
          <w:p w14:paraId="2D59925B"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-.134</w:t>
            </w:r>
          </w:p>
        </w:tc>
        <w:tc>
          <w:tcPr>
            <w:tcW w:w="1845" w:type="dxa"/>
            <w:shd w:val="clear" w:color="auto" w:fill="FBE4D5"/>
            <w:tcMar>
              <w:top w:w="80" w:type="dxa"/>
              <w:left w:w="80" w:type="dxa"/>
              <w:bottom w:w="80" w:type="dxa"/>
              <w:right w:w="80" w:type="dxa"/>
            </w:tcMar>
          </w:tcPr>
          <w:p w14:paraId="60507C2E"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-.056</w:t>
            </w:r>
          </w:p>
        </w:tc>
        <w:tc>
          <w:tcPr>
            <w:tcW w:w="1814" w:type="dxa"/>
            <w:shd w:val="clear" w:color="auto" w:fill="FBE4D5"/>
            <w:tcMar>
              <w:top w:w="80" w:type="dxa"/>
              <w:left w:w="80" w:type="dxa"/>
              <w:bottom w:w="80" w:type="dxa"/>
              <w:right w:w="80" w:type="dxa"/>
            </w:tcMar>
          </w:tcPr>
          <w:p w14:paraId="0AB8E9B9"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.051</w:t>
            </w:r>
          </w:p>
        </w:tc>
      </w:tr>
      <w:tr w:rsidR="00C603B7" w:rsidRPr="00C603B7" w14:paraId="7489CDFA" w14:textId="77777777" w:rsidTr="00215576">
        <w:trPr>
          <w:trHeight w:val="295"/>
        </w:trPr>
        <w:tc>
          <w:tcPr>
            <w:tcW w:w="1449" w:type="dxa"/>
            <w:tcBorders>
              <w:left w:val="single" w:sz="4" w:space="0" w:color="000000" w:themeColor="text1"/>
            </w:tcBorders>
            <w:shd w:val="clear" w:color="auto" w:fill="auto"/>
            <w:tcMar>
              <w:top w:w="80" w:type="dxa"/>
              <w:left w:w="80" w:type="dxa"/>
              <w:bottom w:w="80" w:type="dxa"/>
              <w:right w:w="80" w:type="dxa"/>
            </w:tcMar>
          </w:tcPr>
          <w:p w14:paraId="4114C119" w14:textId="77777777" w:rsidR="00C603B7" w:rsidRPr="00C603B7" w:rsidRDefault="00C603B7" w:rsidP="00C603B7">
            <w:pPr>
              <w:pBdr>
                <w:top w:val="nil"/>
                <w:left w:val="nil"/>
                <w:bottom w:val="nil"/>
                <w:right w:val="nil"/>
                <w:between w:val="nil"/>
                <w:bar w:val="nil"/>
              </w:pBdr>
              <w:rPr>
                <w:rFonts w:ascii="Times New Roman" w:eastAsia="Arial Unicode MS" w:hAnsi="Times New Roman" w:cs="Times New Roman"/>
                <w:bdr w:val="nil"/>
                <w:lang w:val="en-US"/>
              </w:rPr>
            </w:pPr>
          </w:p>
        </w:tc>
        <w:tc>
          <w:tcPr>
            <w:tcW w:w="709" w:type="dxa"/>
            <w:shd w:val="clear" w:color="auto" w:fill="auto"/>
            <w:tcMar>
              <w:top w:w="80" w:type="dxa"/>
              <w:left w:w="80" w:type="dxa"/>
              <w:bottom w:w="80" w:type="dxa"/>
              <w:right w:w="80" w:type="dxa"/>
            </w:tcMar>
          </w:tcPr>
          <w:p w14:paraId="5440ACC7" w14:textId="77777777" w:rsidR="00C603B7" w:rsidRPr="00C603B7" w:rsidRDefault="00C603B7" w:rsidP="00C603B7">
            <w:pPr>
              <w:pBdr>
                <w:top w:val="nil"/>
                <w:left w:val="nil"/>
                <w:bottom w:val="nil"/>
                <w:right w:val="nil"/>
                <w:between w:val="nil"/>
                <w:bar w:val="nil"/>
              </w:pBdr>
              <w:spacing w:line="360" w:lineRule="auto"/>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sig</w:t>
            </w:r>
          </w:p>
        </w:tc>
        <w:tc>
          <w:tcPr>
            <w:tcW w:w="1497" w:type="dxa"/>
            <w:shd w:val="clear" w:color="auto" w:fill="auto"/>
            <w:tcMar>
              <w:top w:w="80" w:type="dxa"/>
              <w:left w:w="80" w:type="dxa"/>
              <w:bottom w:w="80" w:type="dxa"/>
              <w:right w:w="80" w:type="dxa"/>
            </w:tcMar>
          </w:tcPr>
          <w:p w14:paraId="5031402F"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.236</w:t>
            </w:r>
          </w:p>
        </w:tc>
        <w:tc>
          <w:tcPr>
            <w:tcW w:w="1705" w:type="dxa"/>
            <w:shd w:val="clear" w:color="auto" w:fill="auto"/>
            <w:tcMar>
              <w:top w:w="80" w:type="dxa"/>
              <w:left w:w="80" w:type="dxa"/>
              <w:bottom w:w="80" w:type="dxa"/>
              <w:right w:w="80" w:type="dxa"/>
            </w:tcMar>
          </w:tcPr>
          <w:p w14:paraId="0C782883"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.264</w:t>
            </w:r>
          </w:p>
        </w:tc>
        <w:tc>
          <w:tcPr>
            <w:tcW w:w="1845" w:type="dxa"/>
            <w:shd w:val="clear" w:color="auto" w:fill="auto"/>
            <w:tcMar>
              <w:top w:w="80" w:type="dxa"/>
              <w:left w:w="80" w:type="dxa"/>
              <w:bottom w:w="80" w:type="dxa"/>
              <w:right w:w="80" w:type="dxa"/>
            </w:tcMar>
          </w:tcPr>
          <w:p w14:paraId="78B6F078"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.640</w:t>
            </w:r>
          </w:p>
        </w:tc>
        <w:tc>
          <w:tcPr>
            <w:tcW w:w="1814" w:type="dxa"/>
            <w:shd w:val="clear" w:color="auto" w:fill="auto"/>
            <w:tcMar>
              <w:top w:w="80" w:type="dxa"/>
              <w:left w:w="80" w:type="dxa"/>
              <w:bottom w:w="80" w:type="dxa"/>
              <w:right w:w="80" w:type="dxa"/>
            </w:tcMar>
          </w:tcPr>
          <w:p w14:paraId="1D34255B"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.670</w:t>
            </w:r>
          </w:p>
        </w:tc>
      </w:tr>
      <w:tr w:rsidR="00C603B7" w:rsidRPr="00C603B7" w14:paraId="5A94EA08" w14:textId="77777777" w:rsidTr="00215576">
        <w:trPr>
          <w:trHeight w:val="610"/>
        </w:trPr>
        <w:tc>
          <w:tcPr>
            <w:tcW w:w="1449" w:type="dxa"/>
            <w:tcBorders>
              <w:left w:val="single" w:sz="4" w:space="0" w:color="000000" w:themeColor="text1"/>
            </w:tcBorders>
            <w:shd w:val="clear" w:color="auto" w:fill="FBE4D5"/>
            <w:tcMar>
              <w:top w:w="80" w:type="dxa"/>
              <w:left w:w="80" w:type="dxa"/>
              <w:bottom w:w="80" w:type="dxa"/>
              <w:right w:w="80" w:type="dxa"/>
            </w:tcMar>
          </w:tcPr>
          <w:p w14:paraId="65AFD951" w14:textId="77777777" w:rsidR="00C603B7" w:rsidRPr="00C603B7" w:rsidRDefault="00C603B7" w:rsidP="00C603B7">
            <w:pPr>
              <w:pBdr>
                <w:top w:val="nil"/>
                <w:left w:val="nil"/>
                <w:bottom w:val="nil"/>
                <w:right w:val="nil"/>
                <w:between w:val="nil"/>
                <w:bar w:val="nil"/>
              </w:pBdr>
              <w:spacing w:line="360" w:lineRule="auto"/>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Cho/Creatine</w:t>
            </w:r>
          </w:p>
        </w:tc>
        <w:tc>
          <w:tcPr>
            <w:tcW w:w="709" w:type="dxa"/>
            <w:shd w:val="clear" w:color="auto" w:fill="FBE4D5"/>
            <w:tcMar>
              <w:top w:w="80" w:type="dxa"/>
              <w:left w:w="80" w:type="dxa"/>
              <w:bottom w:w="80" w:type="dxa"/>
              <w:right w:w="80" w:type="dxa"/>
            </w:tcMar>
          </w:tcPr>
          <w:p w14:paraId="2630EF0A" w14:textId="77777777" w:rsidR="00C603B7" w:rsidRPr="00C603B7" w:rsidRDefault="00C603B7" w:rsidP="00C603B7">
            <w:pPr>
              <w:pBdr>
                <w:top w:val="nil"/>
                <w:left w:val="nil"/>
                <w:bottom w:val="nil"/>
                <w:right w:val="nil"/>
                <w:between w:val="nil"/>
                <w:bar w:val="nil"/>
              </w:pBdr>
              <w:spacing w:line="360" w:lineRule="auto"/>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R</w:t>
            </w:r>
          </w:p>
        </w:tc>
        <w:tc>
          <w:tcPr>
            <w:tcW w:w="1497" w:type="dxa"/>
            <w:shd w:val="clear" w:color="auto" w:fill="FBE4D5"/>
            <w:tcMar>
              <w:top w:w="80" w:type="dxa"/>
              <w:left w:w="80" w:type="dxa"/>
              <w:bottom w:w="80" w:type="dxa"/>
              <w:right w:w="80" w:type="dxa"/>
            </w:tcMar>
          </w:tcPr>
          <w:p w14:paraId="3E4F1AB7"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-.098</w:t>
            </w:r>
          </w:p>
        </w:tc>
        <w:tc>
          <w:tcPr>
            <w:tcW w:w="1705" w:type="dxa"/>
            <w:shd w:val="clear" w:color="auto" w:fill="FBE4D5"/>
            <w:tcMar>
              <w:top w:w="80" w:type="dxa"/>
              <w:left w:w="80" w:type="dxa"/>
              <w:bottom w:w="80" w:type="dxa"/>
              <w:right w:w="80" w:type="dxa"/>
            </w:tcMar>
          </w:tcPr>
          <w:p w14:paraId="7BC0AE47"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-.059</w:t>
            </w:r>
          </w:p>
        </w:tc>
        <w:tc>
          <w:tcPr>
            <w:tcW w:w="1845" w:type="dxa"/>
            <w:shd w:val="clear" w:color="auto" w:fill="FBE4D5"/>
            <w:tcMar>
              <w:top w:w="80" w:type="dxa"/>
              <w:left w:w="80" w:type="dxa"/>
              <w:bottom w:w="80" w:type="dxa"/>
              <w:right w:w="80" w:type="dxa"/>
            </w:tcMar>
          </w:tcPr>
          <w:p w14:paraId="29EAC4CB"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-.085</w:t>
            </w:r>
          </w:p>
        </w:tc>
        <w:tc>
          <w:tcPr>
            <w:tcW w:w="1814" w:type="dxa"/>
            <w:shd w:val="clear" w:color="auto" w:fill="FBE4D5"/>
            <w:tcMar>
              <w:top w:w="80" w:type="dxa"/>
              <w:left w:w="80" w:type="dxa"/>
              <w:bottom w:w="80" w:type="dxa"/>
              <w:right w:w="80" w:type="dxa"/>
            </w:tcMar>
          </w:tcPr>
          <w:p w14:paraId="2E8C61E9"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.067</w:t>
            </w:r>
          </w:p>
        </w:tc>
      </w:tr>
      <w:tr w:rsidR="00C603B7" w:rsidRPr="00C603B7" w14:paraId="17770385" w14:textId="77777777" w:rsidTr="00215576">
        <w:trPr>
          <w:trHeight w:val="295"/>
        </w:trPr>
        <w:tc>
          <w:tcPr>
            <w:tcW w:w="1449" w:type="dxa"/>
            <w:tcBorders>
              <w:left w:val="single" w:sz="4" w:space="0" w:color="000000" w:themeColor="text1"/>
            </w:tcBorders>
            <w:shd w:val="clear" w:color="auto" w:fill="auto"/>
            <w:tcMar>
              <w:top w:w="80" w:type="dxa"/>
              <w:left w:w="80" w:type="dxa"/>
              <w:bottom w:w="80" w:type="dxa"/>
              <w:right w:w="80" w:type="dxa"/>
            </w:tcMar>
          </w:tcPr>
          <w:p w14:paraId="1DE30C33" w14:textId="77777777" w:rsidR="00C603B7" w:rsidRPr="00C603B7" w:rsidRDefault="00C603B7" w:rsidP="00C603B7">
            <w:pPr>
              <w:pBdr>
                <w:top w:val="nil"/>
                <w:left w:val="nil"/>
                <w:bottom w:val="nil"/>
                <w:right w:val="nil"/>
                <w:between w:val="nil"/>
                <w:bar w:val="nil"/>
              </w:pBdr>
              <w:rPr>
                <w:rFonts w:ascii="Times New Roman" w:eastAsia="Arial Unicode MS" w:hAnsi="Times New Roman" w:cs="Times New Roman"/>
                <w:bdr w:val="nil"/>
                <w:lang w:val="en-US"/>
              </w:rPr>
            </w:pPr>
          </w:p>
        </w:tc>
        <w:tc>
          <w:tcPr>
            <w:tcW w:w="709" w:type="dxa"/>
            <w:shd w:val="clear" w:color="auto" w:fill="auto"/>
            <w:tcMar>
              <w:top w:w="80" w:type="dxa"/>
              <w:left w:w="80" w:type="dxa"/>
              <w:bottom w:w="80" w:type="dxa"/>
              <w:right w:w="80" w:type="dxa"/>
            </w:tcMar>
          </w:tcPr>
          <w:p w14:paraId="2A57CB75" w14:textId="77777777" w:rsidR="00C603B7" w:rsidRPr="00C603B7" w:rsidRDefault="00C603B7" w:rsidP="00C603B7">
            <w:pPr>
              <w:pBdr>
                <w:top w:val="nil"/>
                <w:left w:val="nil"/>
                <w:bottom w:val="nil"/>
                <w:right w:val="nil"/>
                <w:between w:val="nil"/>
                <w:bar w:val="nil"/>
              </w:pBdr>
              <w:spacing w:line="360" w:lineRule="auto"/>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sig</w:t>
            </w:r>
          </w:p>
        </w:tc>
        <w:tc>
          <w:tcPr>
            <w:tcW w:w="1497" w:type="dxa"/>
            <w:shd w:val="clear" w:color="auto" w:fill="auto"/>
            <w:tcMar>
              <w:top w:w="80" w:type="dxa"/>
              <w:left w:w="80" w:type="dxa"/>
              <w:bottom w:w="80" w:type="dxa"/>
              <w:right w:w="80" w:type="dxa"/>
            </w:tcMar>
          </w:tcPr>
          <w:p w14:paraId="0525138F"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.417</w:t>
            </w:r>
          </w:p>
        </w:tc>
        <w:tc>
          <w:tcPr>
            <w:tcW w:w="1705" w:type="dxa"/>
            <w:shd w:val="clear" w:color="auto" w:fill="auto"/>
            <w:tcMar>
              <w:top w:w="80" w:type="dxa"/>
              <w:left w:w="80" w:type="dxa"/>
              <w:bottom w:w="80" w:type="dxa"/>
              <w:right w:w="80" w:type="dxa"/>
            </w:tcMar>
          </w:tcPr>
          <w:p w14:paraId="7A6C166F"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.627</w:t>
            </w:r>
          </w:p>
        </w:tc>
        <w:tc>
          <w:tcPr>
            <w:tcW w:w="1845" w:type="dxa"/>
            <w:shd w:val="clear" w:color="auto" w:fill="auto"/>
            <w:tcMar>
              <w:top w:w="80" w:type="dxa"/>
              <w:left w:w="80" w:type="dxa"/>
              <w:bottom w:w="80" w:type="dxa"/>
              <w:right w:w="80" w:type="dxa"/>
            </w:tcMar>
          </w:tcPr>
          <w:p w14:paraId="1FA59716"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.479</w:t>
            </w:r>
          </w:p>
        </w:tc>
        <w:tc>
          <w:tcPr>
            <w:tcW w:w="1814" w:type="dxa"/>
            <w:shd w:val="clear" w:color="auto" w:fill="auto"/>
            <w:tcMar>
              <w:top w:w="80" w:type="dxa"/>
              <w:left w:w="80" w:type="dxa"/>
              <w:bottom w:w="80" w:type="dxa"/>
              <w:right w:w="80" w:type="dxa"/>
            </w:tcMar>
          </w:tcPr>
          <w:p w14:paraId="2EA1FD16"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.581</w:t>
            </w:r>
          </w:p>
        </w:tc>
      </w:tr>
      <w:tr w:rsidR="00C603B7" w:rsidRPr="00C603B7" w14:paraId="458920A4" w14:textId="77777777" w:rsidTr="00215576">
        <w:trPr>
          <w:trHeight w:val="605"/>
        </w:trPr>
        <w:tc>
          <w:tcPr>
            <w:tcW w:w="1449" w:type="dxa"/>
            <w:tcBorders>
              <w:left w:val="single" w:sz="4" w:space="0" w:color="000000" w:themeColor="text1"/>
            </w:tcBorders>
            <w:shd w:val="clear" w:color="auto" w:fill="FBE4D5"/>
            <w:tcMar>
              <w:top w:w="80" w:type="dxa"/>
              <w:left w:w="80" w:type="dxa"/>
              <w:bottom w:w="80" w:type="dxa"/>
              <w:right w:w="80" w:type="dxa"/>
            </w:tcMar>
          </w:tcPr>
          <w:p w14:paraId="4BCEC694" w14:textId="77777777" w:rsidR="00C603B7" w:rsidRPr="00C603B7" w:rsidRDefault="00C603B7" w:rsidP="00C603B7">
            <w:pPr>
              <w:pBdr>
                <w:top w:val="nil"/>
                <w:left w:val="nil"/>
                <w:bottom w:val="nil"/>
                <w:right w:val="nil"/>
                <w:between w:val="nil"/>
                <w:bar w:val="nil"/>
              </w:pBdr>
              <w:spacing w:line="360" w:lineRule="auto"/>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NAA/Choline</w:t>
            </w:r>
          </w:p>
        </w:tc>
        <w:tc>
          <w:tcPr>
            <w:tcW w:w="709" w:type="dxa"/>
            <w:shd w:val="clear" w:color="auto" w:fill="FBE4D5"/>
            <w:tcMar>
              <w:top w:w="80" w:type="dxa"/>
              <w:left w:w="80" w:type="dxa"/>
              <w:bottom w:w="80" w:type="dxa"/>
              <w:right w:w="80" w:type="dxa"/>
            </w:tcMar>
          </w:tcPr>
          <w:p w14:paraId="56A4FD9F" w14:textId="77777777" w:rsidR="00C603B7" w:rsidRPr="00C603B7" w:rsidRDefault="00C603B7" w:rsidP="00C603B7">
            <w:pPr>
              <w:pBdr>
                <w:top w:val="nil"/>
                <w:left w:val="nil"/>
                <w:bottom w:val="nil"/>
                <w:right w:val="nil"/>
                <w:between w:val="nil"/>
                <w:bar w:val="nil"/>
              </w:pBdr>
              <w:spacing w:line="360" w:lineRule="auto"/>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R</w:t>
            </w:r>
          </w:p>
        </w:tc>
        <w:tc>
          <w:tcPr>
            <w:tcW w:w="1497" w:type="dxa"/>
            <w:shd w:val="clear" w:color="auto" w:fill="FBE4D5"/>
            <w:tcMar>
              <w:top w:w="80" w:type="dxa"/>
              <w:left w:w="80" w:type="dxa"/>
              <w:bottom w:w="80" w:type="dxa"/>
              <w:right w:w="80" w:type="dxa"/>
            </w:tcMar>
          </w:tcPr>
          <w:p w14:paraId="12A29F25"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-.086</w:t>
            </w:r>
          </w:p>
        </w:tc>
        <w:tc>
          <w:tcPr>
            <w:tcW w:w="1705" w:type="dxa"/>
            <w:shd w:val="clear" w:color="auto" w:fill="FBE4D5"/>
            <w:tcMar>
              <w:top w:w="80" w:type="dxa"/>
              <w:left w:w="80" w:type="dxa"/>
              <w:bottom w:w="80" w:type="dxa"/>
              <w:right w:w="80" w:type="dxa"/>
            </w:tcMar>
          </w:tcPr>
          <w:p w14:paraId="03C014E1"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-.119</w:t>
            </w:r>
          </w:p>
        </w:tc>
        <w:tc>
          <w:tcPr>
            <w:tcW w:w="1845" w:type="dxa"/>
            <w:shd w:val="clear" w:color="auto" w:fill="FBE4D5"/>
            <w:tcMar>
              <w:top w:w="80" w:type="dxa"/>
              <w:left w:w="80" w:type="dxa"/>
              <w:bottom w:w="80" w:type="dxa"/>
              <w:right w:w="80" w:type="dxa"/>
            </w:tcMar>
          </w:tcPr>
          <w:p w14:paraId="7AEDA552"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.029</w:t>
            </w:r>
          </w:p>
        </w:tc>
        <w:tc>
          <w:tcPr>
            <w:tcW w:w="1814" w:type="dxa"/>
            <w:shd w:val="clear" w:color="auto" w:fill="FBE4D5"/>
            <w:tcMar>
              <w:top w:w="80" w:type="dxa"/>
              <w:left w:w="80" w:type="dxa"/>
              <w:bottom w:w="80" w:type="dxa"/>
              <w:right w:w="80" w:type="dxa"/>
            </w:tcMar>
          </w:tcPr>
          <w:p w14:paraId="09EC33BA"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-.061</w:t>
            </w:r>
          </w:p>
        </w:tc>
      </w:tr>
      <w:tr w:rsidR="00C603B7" w:rsidRPr="00C603B7" w14:paraId="0AE2DF84" w14:textId="77777777" w:rsidTr="00215576">
        <w:trPr>
          <w:trHeight w:val="295"/>
        </w:trPr>
        <w:tc>
          <w:tcPr>
            <w:tcW w:w="1449" w:type="dxa"/>
            <w:tcBorders>
              <w:left w:val="single" w:sz="4" w:space="0" w:color="000000" w:themeColor="text1"/>
              <w:bottom w:val="single" w:sz="4" w:space="0" w:color="000000" w:themeColor="text1"/>
            </w:tcBorders>
            <w:shd w:val="clear" w:color="auto" w:fill="auto"/>
            <w:tcMar>
              <w:top w:w="80" w:type="dxa"/>
              <w:left w:w="80" w:type="dxa"/>
              <w:bottom w:w="80" w:type="dxa"/>
              <w:right w:w="80" w:type="dxa"/>
            </w:tcMar>
          </w:tcPr>
          <w:p w14:paraId="38B604A7" w14:textId="77777777" w:rsidR="00C603B7" w:rsidRPr="00C603B7" w:rsidRDefault="00C603B7" w:rsidP="00C603B7">
            <w:pPr>
              <w:pBdr>
                <w:top w:val="nil"/>
                <w:left w:val="nil"/>
                <w:bottom w:val="nil"/>
                <w:right w:val="nil"/>
                <w:between w:val="nil"/>
                <w:bar w:val="nil"/>
              </w:pBdr>
              <w:rPr>
                <w:rFonts w:ascii="Times New Roman" w:eastAsia="Arial Unicode MS" w:hAnsi="Times New Roman" w:cs="Times New Roman"/>
                <w:bdr w:val="nil"/>
                <w:lang w:val="en-US"/>
              </w:rPr>
            </w:pPr>
          </w:p>
        </w:tc>
        <w:tc>
          <w:tcPr>
            <w:tcW w:w="709" w:type="dxa"/>
            <w:tcBorders>
              <w:bottom w:val="single" w:sz="4" w:space="0" w:color="000000" w:themeColor="text1"/>
            </w:tcBorders>
            <w:shd w:val="clear" w:color="auto" w:fill="auto"/>
            <w:tcMar>
              <w:top w:w="80" w:type="dxa"/>
              <w:left w:w="80" w:type="dxa"/>
              <w:bottom w:w="80" w:type="dxa"/>
              <w:right w:w="80" w:type="dxa"/>
            </w:tcMar>
          </w:tcPr>
          <w:p w14:paraId="39DD42AD" w14:textId="77777777" w:rsidR="00C603B7" w:rsidRPr="00C603B7" w:rsidRDefault="00C603B7" w:rsidP="00C603B7">
            <w:pPr>
              <w:pBdr>
                <w:top w:val="nil"/>
                <w:left w:val="nil"/>
                <w:bottom w:val="nil"/>
                <w:right w:val="nil"/>
                <w:between w:val="nil"/>
                <w:bar w:val="nil"/>
              </w:pBdr>
              <w:spacing w:line="360" w:lineRule="auto"/>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sig</w:t>
            </w:r>
          </w:p>
        </w:tc>
        <w:tc>
          <w:tcPr>
            <w:tcW w:w="1497" w:type="dxa"/>
            <w:tcBorders>
              <w:bottom w:val="single" w:sz="4" w:space="0" w:color="000000" w:themeColor="text1"/>
            </w:tcBorders>
            <w:shd w:val="clear" w:color="auto" w:fill="auto"/>
            <w:tcMar>
              <w:top w:w="80" w:type="dxa"/>
              <w:left w:w="80" w:type="dxa"/>
              <w:bottom w:w="80" w:type="dxa"/>
              <w:right w:w="80" w:type="dxa"/>
            </w:tcMar>
          </w:tcPr>
          <w:p w14:paraId="7853AFAD"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.476</w:t>
            </w:r>
          </w:p>
        </w:tc>
        <w:tc>
          <w:tcPr>
            <w:tcW w:w="1705" w:type="dxa"/>
            <w:tcBorders>
              <w:bottom w:val="single" w:sz="4" w:space="0" w:color="000000" w:themeColor="text1"/>
            </w:tcBorders>
            <w:shd w:val="clear" w:color="auto" w:fill="auto"/>
            <w:tcMar>
              <w:top w:w="80" w:type="dxa"/>
              <w:left w:w="80" w:type="dxa"/>
              <w:bottom w:w="80" w:type="dxa"/>
              <w:right w:w="80" w:type="dxa"/>
            </w:tcMar>
          </w:tcPr>
          <w:p w14:paraId="3D876EF7"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.322</w:t>
            </w:r>
          </w:p>
        </w:tc>
        <w:tc>
          <w:tcPr>
            <w:tcW w:w="1845" w:type="dxa"/>
            <w:tcBorders>
              <w:bottom w:val="single" w:sz="4" w:space="0" w:color="000000" w:themeColor="text1"/>
            </w:tcBorders>
            <w:shd w:val="clear" w:color="auto" w:fill="auto"/>
            <w:tcMar>
              <w:top w:w="80" w:type="dxa"/>
              <w:left w:w="80" w:type="dxa"/>
              <w:bottom w:w="80" w:type="dxa"/>
              <w:right w:w="80" w:type="dxa"/>
            </w:tcMar>
          </w:tcPr>
          <w:p w14:paraId="0FB8E1F6"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.810</w:t>
            </w:r>
          </w:p>
        </w:tc>
        <w:tc>
          <w:tcPr>
            <w:tcW w:w="1814" w:type="dxa"/>
            <w:tcBorders>
              <w:bottom w:val="single" w:sz="4" w:space="0" w:color="000000" w:themeColor="text1"/>
            </w:tcBorders>
            <w:shd w:val="clear" w:color="auto" w:fill="auto"/>
            <w:tcMar>
              <w:top w:w="80" w:type="dxa"/>
              <w:left w:w="80" w:type="dxa"/>
              <w:bottom w:w="80" w:type="dxa"/>
              <w:right w:w="80" w:type="dxa"/>
            </w:tcMar>
          </w:tcPr>
          <w:p w14:paraId="42C140E1" w14:textId="77777777" w:rsidR="00C603B7" w:rsidRPr="00C603B7" w:rsidRDefault="00C603B7" w:rsidP="00C603B7">
            <w:pPr>
              <w:pBdr>
                <w:top w:val="nil"/>
                <w:left w:val="nil"/>
                <w:bottom w:val="nil"/>
                <w:right w:val="nil"/>
                <w:between w:val="nil"/>
                <w:bar w:val="nil"/>
              </w:pBdr>
              <w:spacing w:line="360" w:lineRule="auto"/>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2"/>
                <w:szCs w:val="22"/>
                <w:u w:color="000000"/>
                <w:bdr w:val="nil"/>
                <w:lang w:val="en-US" w:eastAsia="en-GB"/>
              </w:rPr>
              <w:t>.611</w:t>
            </w:r>
          </w:p>
        </w:tc>
      </w:tr>
    </w:tbl>
    <w:p w14:paraId="3CA59462" w14:textId="77777777" w:rsidR="00C603B7" w:rsidRPr="00C603B7" w:rsidRDefault="00C603B7" w:rsidP="00C603B7">
      <w:pPr>
        <w:widowControl w:val="0"/>
        <w:pBdr>
          <w:top w:val="nil"/>
          <w:left w:val="nil"/>
          <w:bottom w:val="nil"/>
          <w:right w:val="nil"/>
          <w:between w:val="nil"/>
          <w:bar w:val="nil"/>
        </w:pBdr>
        <w:ind w:left="108" w:hanging="108"/>
        <w:rPr>
          <w:rFonts w:eastAsia="Arial Unicode MS" w:cs="Arial Unicode MS"/>
          <w:i/>
          <w:iCs/>
          <w:color w:val="44546A"/>
          <w:u w:color="44546A"/>
          <w:bdr w:val="nil"/>
          <w:lang w:val="en-US" w:eastAsia="en-GB"/>
        </w:rPr>
      </w:pPr>
    </w:p>
    <w:p w14:paraId="373A4DBE" w14:textId="77777777" w:rsidR="00C603B7" w:rsidRPr="00C603B7" w:rsidRDefault="00C603B7" w:rsidP="00C603B7">
      <w:pPr>
        <w:pBdr>
          <w:top w:val="nil"/>
          <w:left w:val="nil"/>
          <w:bottom w:val="nil"/>
          <w:right w:val="nil"/>
          <w:between w:val="nil"/>
          <w:bar w:val="nil"/>
        </w:pBdr>
        <w:spacing w:line="360" w:lineRule="auto"/>
        <w:rPr>
          <w:rFonts w:eastAsia="Arial" w:cs="Arial"/>
          <w:color w:val="000000"/>
          <w:u w:color="000000"/>
          <w:bdr w:val="nil"/>
          <w:lang w:val="en-US" w:eastAsia="en-GB"/>
        </w:rPr>
      </w:pPr>
      <w:r w:rsidRPr="00C603B7">
        <w:rPr>
          <w:rFonts w:eastAsia="Calibri" w:cs="Calibri"/>
          <w:color w:val="000000"/>
          <w:u w:color="000000"/>
          <w:bdr w:val="nil"/>
          <w:lang w:val="en-US" w:eastAsia="en-GB"/>
        </w:rPr>
        <w:t xml:space="preserve">However, thalamic spectroscopy (NAA/Cr) was significantly correlated with measures of mood (Table 6.5). There was a correlation between NAA/Cr and measures of depression: HADS (R= -.332, p=.005) and BDI (R= -.248, p= .048).  The correlation was negative, indicating that a lower ratio of NAA/Cr was associated with higher scores on measures of depression for Beck’s Depression Inventory, and for HADS depression and anxiety scale. There was a significant negative correlation with STAI-Y1- State anxiety (R= -.372 p=0.002) (see Figure 6.3), STAI- Y2- Trait anxiety (r= -.316, p=0.011), and BIS- </w:t>
      </w:r>
      <w:proofErr w:type="spellStart"/>
      <w:r w:rsidRPr="00C603B7">
        <w:rPr>
          <w:rFonts w:eastAsia="Calibri" w:cs="Calibri"/>
          <w:color w:val="000000"/>
          <w:u w:color="000000"/>
          <w:bdr w:val="nil"/>
          <w:lang w:val="en-US" w:eastAsia="en-GB"/>
        </w:rPr>
        <w:t>Behavioural</w:t>
      </w:r>
      <w:proofErr w:type="spellEnd"/>
      <w:r w:rsidRPr="00C603B7">
        <w:rPr>
          <w:rFonts w:eastAsia="Calibri" w:cs="Calibri"/>
          <w:color w:val="000000"/>
          <w:u w:color="000000"/>
          <w:bdr w:val="nil"/>
          <w:lang w:val="en-US" w:eastAsia="en-GB"/>
        </w:rPr>
        <w:t xml:space="preserve"> Inhibition (R= -.254, p=0.043).  Choline/creatine ratio was weakly but significantly correlated with STAI-Y1- State anxiety (R= -.270, p=.028) and BIS (R= -.271, p=.030).  Linear regression was performed and it was found that significant predictors of NAA/Cr ratio were STAI-S-Y1 (B= -.332, p=.005) and QST (B= -.250, p=.033), R</w:t>
      </w:r>
      <w:r w:rsidRPr="00C603B7">
        <w:rPr>
          <w:rFonts w:eastAsia="Calibri" w:cs="Calibri"/>
          <w:color w:val="000000"/>
          <w:u w:color="000000"/>
          <w:bdr w:val="nil"/>
          <w:vertAlign w:val="superscript"/>
          <w:lang w:val="en-US" w:eastAsia="en-GB"/>
        </w:rPr>
        <w:t>2</w:t>
      </w:r>
      <w:r w:rsidRPr="00C603B7">
        <w:rPr>
          <w:rFonts w:eastAsia="Calibri" w:cs="Calibri"/>
          <w:color w:val="000000"/>
          <w:u w:color="000000"/>
          <w:bdr w:val="nil"/>
          <w:lang w:val="en-US" w:eastAsia="en-GB"/>
        </w:rPr>
        <w:t xml:space="preserve">=.174.  </w:t>
      </w:r>
    </w:p>
    <w:p w14:paraId="02CCC782" w14:textId="77777777" w:rsidR="00EE3E91" w:rsidRDefault="00EE3E91">
      <w:pPr>
        <w:rPr>
          <w:rFonts w:eastAsia="Arial" w:cs="Arial"/>
          <w:color w:val="000000"/>
          <w:u w:color="000000"/>
          <w:bdr w:val="nil"/>
          <w:lang w:val="en-US" w:eastAsia="en-GB"/>
        </w:rPr>
      </w:pPr>
      <w:bookmarkStart w:id="536" w:name="_Toc50070674"/>
      <w:bookmarkStart w:id="537" w:name="_Toc64724095"/>
      <w:r>
        <w:rPr>
          <w:i/>
          <w:iCs/>
          <w:color w:val="000000"/>
          <w:u w:color="000000"/>
        </w:rPr>
        <w:br w:type="page"/>
      </w:r>
    </w:p>
    <w:p w14:paraId="73306F28" w14:textId="5881B36A" w:rsidR="00C603B7" w:rsidRPr="00C603B7" w:rsidRDefault="00C603B7" w:rsidP="00CA5198">
      <w:pPr>
        <w:pStyle w:val="Quote"/>
      </w:pPr>
      <w:r w:rsidRPr="00C603B7">
        <w:lastRenderedPageBreak/>
        <w:t xml:space="preserve">Table 6.4  Pearson’s R correlations for Spectroscopy ratios of the </w:t>
      </w:r>
      <w:r w:rsidR="00C166B1">
        <w:t>L</w:t>
      </w:r>
      <w:r w:rsidRPr="00C603B7">
        <w:t xml:space="preserve">eft </w:t>
      </w:r>
      <w:r w:rsidR="00C166B1">
        <w:t>T</w:t>
      </w:r>
      <w:r w:rsidRPr="00C603B7">
        <w:t xml:space="preserve">halamus and </w:t>
      </w:r>
      <w:r w:rsidR="00C166B1">
        <w:t>S</w:t>
      </w:r>
      <w:r w:rsidRPr="00C603B7">
        <w:t xml:space="preserve">cores from </w:t>
      </w:r>
      <w:r w:rsidR="00C166B1">
        <w:t>Q</w:t>
      </w:r>
      <w:r w:rsidRPr="00C603B7">
        <w:t xml:space="preserve">uestionnaires </w:t>
      </w:r>
      <w:r w:rsidR="00C166B1">
        <w:t>M</w:t>
      </w:r>
      <w:r w:rsidRPr="00C603B7">
        <w:t xml:space="preserve">easuring </w:t>
      </w:r>
      <w:r w:rsidR="00C166B1">
        <w:t>S</w:t>
      </w:r>
      <w:r w:rsidRPr="00C603B7">
        <w:t xml:space="preserve">ymptoms of </w:t>
      </w:r>
      <w:r w:rsidR="00C166B1">
        <w:t>M</w:t>
      </w:r>
      <w:r w:rsidRPr="00C603B7">
        <w:t>ood</w:t>
      </w:r>
      <w:bookmarkEnd w:id="536"/>
      <w:bookmarkEnd w:id="537"/>
    </w:p>
    <w:tbl>
      <w:tblPr>
        <w:tblW w:w="9019" w:type="dxa"/>
        <w:tblInd w:w="216" w:type="dxa"/>
        <w:tblBorders>
          <w:top w:val="single" w:sz="4" w:space="0" w:color="auto"/>
          <w:left w:val="single" w:sz="4" w:space="0" w:color="auto"/>
          <w:bottom w:val="single" w:sz="4" w:space="0" w:color="auto"/>
          <w:right w:val="single" w:sz="4" w:space="0" w:color="auto"/>
          <w:insideH w:val="single" w:sz="2" w:space="0" w:color="F4B083"/>
          <w:insideV w:val="single" w:sz="2" w:space="0" w:color="F4B083"/>
        </w:tblBorders>
        <w:shd w:val="clear" w:color="auto" w:fill="CDD4E9"/>
        <w:tblLayout w:type="fixed"/>
        <w:tblLook w:val="04A0" w:firstRow="1" w:lastRow="0" w:firstColumn="1" w:lastColumn="0" w:noHBand="0" w:noVBand="1"/>
      </w:tblPr>
      <w:tblGrid>
        <w:gridCol w:w="916"/>
        <w:gridCol w:w="728"/>
        <w:gridCol w:w="728"/>
        <w:gridCol w:w="772"/>
        <w:gridCol w:w="771"/>
        <w:gridCol w:w="728"/>
        <w:gridCol w:w="729"/>
        <w:gridCol w:w="729"/>
        <w:gridCol w:w="730"/>
        <w:gridCol w:w="730"/>
        <w:gridCol w:w="729"/>
        <w:gridCol w:w="729"/>
      </w:tblGrid>
      <w:tr w:rsidR="00C603B7" w:rsidRPr="00C603B7" w14:paraId="01346574" w14:textId="77777777" w:rsidTr="005B4979">
        <w:trPr>
          <w:trHeight w:val="890"/>
        </w:trPr>
        <w:tc>
          <w:tcPr>
            <w:tcW w:w="1644" w:type="dxa"/>
            <w:gridSpan w:val="2"/>
            <w:shd w:val="clear" w:color="auto" w:fill="FBE4D5"/>
            <w:tcMar>
              <w:top w:w="80" w:type="dxa"/>
              <w:left w:w="80" w:type="dxa"/>
              <w:bottom w:w="80" w:type="dxa"/>
              <w:right w:w="80" w:type="dxa"/>
            </w:tcMar>
          </w:tcPr>
          <w:p w14:paraId="449BAE3E" w14:textId="77777777" w:rsidR="00C603B7" w:rsidRPr="00C603B7" w:rsidRDefault="00C603B7" w:rsidP="00C603B7">
            <w:pPr>
              <w:pBdr>
                <w:top w:val="nil"/>
                <w:left w:val="nil"/>
                <w:bottom w:val="nil"/>
                <w:right w:val="nil"/>
                <w:between w:val="nil"/>
                <w:bar w:val="nil"/>
              </w:pBdr>
              <w:rPr>
                <w:rFonts w:ascii="Calibri" w:eastAsia="Calibri" w:hAnsi="Calibri" w:cs="Calibri"/>
                <w:color w:val="000000"/>
                <w:u w:color="000000"/>
                <w:bdr w:val="nil"/>
                <w:lang w:val="en-US" w:eastAsia="en-GB"/>
              </w:rPr>
            </w:pPr>
            <w:r w:rsidRPr="00C603B7">
              <w:rPr>
                <w:rFonts w:ascii="Calibri" w:eastAsia="Calibri" w:hAnsi="Calibri" w:cs="Calibri"/>
                <w:b/>
                <w:bCs/>
                <w:i/>
                <w:iCs/>
                <w:color w:val="000000"/>
                <w:sz w:val="20"/>
                <w:szCs w:val="20"/>
                <w:u w:color="000000"/>
                <w:bdr w:val="nil"/>
                <w:lang w:val="en-US" w:eastAsia="en-GB"/>
              </w:rPr>
              <w:t> </w:t>
            </w:r>
          </w:p>
        </w:tc>
        <w:tc>
          <w:tcPr>
            <w:tcW w:w="728" w:type="dxa"/>
            <w:shd w:val="clear" w:color="auto" w:fill="FBE4D5"/>
            <w:tcMar>
              <w:top w:w="80" w:type="dxa"/>
              <w:left w:w="80" w:type="dxa"/>
              <w:bottom w:w="80" w:type="dxa"/>
              <w:right w:w="80" w:type="dxa"/>
            </w:tcMar>
          </w:tcPr>
          <w:p w14:paraId="237868E7" w14:textId="77777777" w:rsidR="00C603B7" w:rsidRPr="00C603B7" w:rsidRDefault="00C603B7" w:rsidP="00C603B7">
            <w:pPr>
              <w:pBdr>
                <w:top w:val="nil"/>
                <w:left w:val="nil"/>
                <w:bottom w:val="nil"/>
                <w:right w:val="nil"/>
                <w:between w:val="nil"/>
                <w:bar w:val="nil"/>
              </w:pBdr>
              <w:jc w:val="center"/>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HADS</w:t>
            </w:r>
          </w:p>
        </w:tc>
        <w:tc>
          <w:tcPr>
            <w:tcW w:w="772" w:type="dxa"/>
            <w:shd w:val="clear" w:color="auto" w:fill="FBE4D5"/>
            <w:tcMar>
              <w:top w:w="80" w:type="dxa"/>
              <w:left w:w="80" w:type="dxa"/>
              <w:bottom w:w="80" w:type="dxa"/>
              <w:right w:w="80" w:type="dxa"/>
            </w:tcMar>
          </w:tcPr>
          <w:p w14:paraId="5D5D1A5E" w14:textId="77777777" w:rsidR="00C603B7" w:rsidRPr="00C603B7" w:rsidRDefault="00C603B7" w:rsidP="00C603B7">
            <w:pPr>
              <w:pBdr>
                <w:top w:val="nil"/>
                <w:left w:val="nil"/>
                <w:bottom w:val="nil"/>
                <w:right w:val="nil"/>
                <w:between w:val="nil"/>
                <w:bar w:val="nil"/>
              </w:pBdr>
              <w:jc w:val="center"/>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BDI</w:t>
            </w:r>
          </w:p>
        </w:tc>
        <w:tc>
          <w:tcPr>
            <w:tcW w:w="771" w:type="dxa"/>
            <w:shd w:val="clear" w:color="auto" w:fill="FBE4D5"/>
            <w:tcMar>
              <w:top w:w="80" w:type="dxa"/>
              <w:left w:w="80" w:type="dxa"/>
              <w:bottom w:w="80" w:type="dxa"/>
              <w:right w:w="80" w:type="dxa"/>
            </w:tcMar>
          </w:tcPr>
          <w:p w14:paraId="57C967AE" w14:textId="77777777" w:rsidR="00C603B7" w:rsidRPr="00C603B7" w:rsidRDefault="00C603B7" w:rsidP="00C603B7">
            <w:pPr>
              <w:pBdr>
                <w:top w:val="nil"/>
                <w:left w:val="nil"/>
                <w:bottom w:val="nil"/>
                <w:right w:val="nil"/>
                <w:between w:val="nil"/>
                <w:bar w:val="nil"/>
              </w:pBdr>
              <w:jc w:val="center"/>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Y1</w:t>
            </w:r>
          </w:p>
        </w:tc>
        <w:tc>
          <w:tcPr>
            <w:tcW w:w="728" w:type="dxa"/>
            <w:shd w:val="clear" w:color="auto" w:fill="FBE4D5"/>
            <w:tcMar>
              <w:top w:w="80" w:type="dxa"/>
              <w:left w:w="80" w:type="dxa"/>
              <w:bottom w:w="80" w:type="dxa"/>
              <w:right w:w="80" w:type="dxa"/>
            </w:tcMar>
          </w:tcPr>
          <w:p w14:paraId="649B6EC0" w14:textId="77777777" w:rsidR="00C603B7" w:rsidRPr="00C603B7" w:rsidRDefault="00C603B7" w:rsidP="00C603B7">
            <w:pPr>
              <w:pBdr>
                <w:top w:val="nil"/>
                <w:left w:val="nil"/>
                <w:bottom w:val="nil"/>
                <w:right w:val="nil"/>
                <w:between w:val="nil"/>
                <w:bar w:val="nil"/>
              </w:pBdr>
              <w:jc w:val="center"/>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Y2</w:t>
            </w:r>
          </w:p>
        </w:tc>
        <w:tc>
          <w:tcPr>
            <w:tcW w:w="729" w:type="dxa"/>
            <w:shd w:val="clear" w:color="auto" w:fill="FBE4D5"/>
            <w:tcMar>
              <w:top w:w="80" w:type="dxa"/>
              <w:left w:w="80" w:type="dxa"/>
              <w:bottom w:w="80" w:type="dxa"/>
              <w:right w:w="80" w:type="dxa"/>
            </w:tcMar>
          </w:tcPr>
          <w:p w14:paraId="39F4B536" w14:textId="77777777" w:rsidR="00C603B7" w:rsidRPr="00C603B7" w:rsidRDefault="00C603B7" w:rsidP="00C603B7">
            <w:pPr>
              <w:pBdr>
                <w:top w:val="nil"/>
                <w:left w:val="nil"/>
                <w:bottom w:val="nil"/>
                <w:right w:val="nil"/>
                <w:between w:val="nil"/>
                <w:bar w:val="nil"/>
              </w:pBdr>
              <w:jc w:val="center"/>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PCS</w:t>
            </w:r>
          </w:p>
        </w:tc>
        <w:tc>
          <w:tcPr>
            <w:tcW w:w="729" w:type="dxa"/>
            <w:shd w:val="clear" w:color="auto" w:fill="FBE4D5"/>
            <w:tcMar>
              <w:top w:w="80" w:type="dxa"/>
              <w:left w:w="80" w:type="dxa"/>
              <w:bottom w:w="80" w:type="dxa"/>
              <w:right w:w="80" w:type="dxa"/>
            </w:tcMar>
          </w:tcPr>
          <w:p w14:paraId="7BD89CF3" w14:textId="77777777" w:rsidR="00C603B7" w:rsidRPr="00C603B7" w:rsidRDefault="00C603B7" w:rsidP="00C603B7">
            <w:pPr>
              <w:pBdr>
                <w:top w:val="nil"/>
                <w:left w:val="nil"/>
                <w:bottom w:val="nil"/>
                <w:right w:val="nil"/>
                <w:between w:val="nil"/>
                <w:bar w:val="nil"/>
              </w:pBdr>
              <w:jc w:val="center"/>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BIS</w:t>
            </w:r>
          </w:p>
        </w:tc>
        <w:tc>
          <w:tcPr>
            <w:tcW w:w="730" w:type="dxa"/>
            <w:shd w:val="clear" w:color="auto" w:fill="FBE4D5"/>
            <w:tcMar>
              <w:top w:w="80" w:type="dxa"/>
              <w:left w:w="80" w:type="dxa"/>
              <w:bottom w:w="80" w:type="dxa"/>
              <w:right w:w="80" w:type="dxa"/>
            </w:tcMar>
          </w:tcPr>
          <w:p w14:paraId="400A094B" w14:textId="77777777" w:rsidR="00C603B7" w:rsidRPr="00C603B7" w:rsidRDefault="00C603B7" w:rsidP="00C603B7">
            <w:pPr>
              <w:pBdr>
                <w:top w:val="nil"/>
                <w:left w:val="nil"/>
                <w:bottom w:val="nil"/>
                <w:right w:val="nil"/>
                <w:between w:val="nil"/>
                <w:bar w:val="nil"/>
              </w:pBdr>
              <w:jc w:val="center"/>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BAS-RR</w:t>
            </w:r>
          </w:p>
        </w:tc>
        <w:tc>
          <w:tcPr>
            <w:tcW w:w="730" w:type="dxa"/>
            <w:shd w:val="clear" w:color="auto" w:fill="FBE4D5"/>
            <w:tcMar>
              <w:top w:w="80" w:type="dxa"/>
              <w:left w:w="80" w:type="dxa"/>
              <w:bottom w:w="80" w:type="dxa"/>
              <w:right w:w="80" w:type="dxa"/>
            </w:tcMar>
          </w:tcPr>
          <w:p w14:paraId="5C135531" w14:textId="77777777" w:rsidR="00C603B7" w:rsidRPr="00C603B7" w:rsidRDefault="00C603B7" w:rsidP="00C603B7">
            <w:pPr>
              <w:pBdr>
                <w:top w:val="nil"/>
                <w:left w:val="nil"/>
                <w:bottom w:val="nil"/>
                <w:right w:val="nil"/>
                <w:between w:val="nil"/>
                <w:bar w:val="nil"/>
              </w:pBdr>
              <w:jc w:val="center"/>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BAS-D</w:t>
            </w:r>
          </w:p>
        </w:tc>
        <w:tc>
          <w:tcPr>
            <w:tcW w:w="729" w:type="dxa"/>
            <w:shd w:val="clear" w:color="auto" w:fill="FBE4D5"/>
            <w:tcMar>
              <w:top w:w="80" w:type="dxa"/>
              <w:left w:w="80" w:type="dxa"/>
              <w:bottom w:w="80" w:type="dxa"/>
              <w:right w:w="80" w:type="dxa"/>
            </w:tcMar>
          </w:tcPr>
          <w:p w14:paraId="6CB8158F" w14:textId="77777777" w:rsidR="00C603B7" w:rsidRPr="00C603B7" w:rsidRDefault="00C603B7" w:rsidP="00C603B7">
            <w:pPr>
              <w:pBdr>
                <w:top w:val="nil"/>
                <w:left w:val="nil"/>
                <w:bottom w:val="nil"/>
                <w:right w:val="nil"/>
                <w:between w:val="nil"/>
                <w:bar w:val="nil"/>
              </w:pBdr>
              <w:jc w:val="center"/>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BAS F</w:t>
            </w:r>
          </w:p>
        </w:tc>
        <w:tc>
          <w:tcPr>
            <w:tcW w:w="729" w:type="dxa"/>
            <w:shd w:val="clear" w:color="auto" w:fill="FBE4D5"/>
            <w:tcMar>
              <w:top w:w="80" w:type="dxa"/>
              <w:left w:w="80" w:type="dxa"/>
              <w:bottom w:w="80" w:type="dxa"/>
              <w:right w:w="80" w:type="dxa"/>
            </w:tcMar>
          </w:tcPr>
          <w:p w14:paraId="6D200A34" w14:textId="77777777" w:rsidR="00C603B7" w:rsidRPr="00C603B7" w:rsidRDefault="00C603B7" w:rsidP="00C603B7">
            <w:pPr>
              <w:pBdr>
                <w:top w:val="nil"/>
                <w:left w:val="nil"/>
                <w:bottom w:val="nil"/>
                <w:right w:val="nil"/>
                <w:between w:val="nil"/>
                <w:bar w:val="nil"/>
              </w:pBdr>
              <w:jc w:val="center"/>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PILL (CDE score 1)</w:t>
            </w:r>
          </w:p>
        </w:tc>
      </w:tr>
      <w:tr w:rsidR="00C603B7" w:rsidRPr="00C603B7" w14:paraId="474B3BF1" w14:textId="77777777" w:rsidTr="005B4979">
        <w:trPr>
          <w:trHeight w:val="230"/>
        </w:trPr>
        <w:tc>
          <w:tcPr>
            <w:tcW w:w="916" w:type="dxa"/>
            <w:shd w:val="clear" w:color="auto" w:fill="auto"/>
            <w:tcMar>
              <w:top w:w="80" w:type="dxa"/>
              <w:left w:w="80" w:type="dxa"/>
              <w:bottom w:w="80" w:type="dxa"/>
              <w:right w:w="80" w:type="dxa"/>
            </w:tcMar>
          </w:tcPr>
          <w:p w14:paraId="5224D0A8" w14:textId="77777777" w:rsidR="00C603B7" w:rsidRPr="00C603B7" w:rsidRDefault="00C603B7" w:rsidP="00C603B7">
            <w:pPr>
              <w:pBdr>
                <w:top w:val="nil"/>
                <w:left w:val="nil"/>
                <w:bottom w:val="nil"/>
                <w:right w:val="nil"/>
                <w:between w:val="nil"/>
                <w:bar w:val="nil"/>
              </w:pBdr>
              <w:rPr>
                <w:rFonts w:ascii="Calibri" w:eastAsia="Calibri" w:hAnsi="Calibri" w:cs="Calibri"/>
                <w:color w:val="000000"/>
                <w:u w:color="000000"/>
                <w:bdr w:val="nil"/>
                <w:lang w:val="en-US" w:eastAsia="en-GB"/>
              </w:rPr>
            </w:pPr>
            <w:r w:rsidRPr="00C603B7">
              <w:rPr>
                <w:rFonts w:ascii="Calibri" w:eastAsia="Calibri" w:hAnsi="Calibri" w:cs="Calibri"/>
                <w:b/>
                <w:bCs/>
                <w:i/>
                <w:iCs/>
                <w:color w:val="000000"/>
                <w:sz w:val="20"/>
                <w:szCs w:val="20"/>
                <w:u w:color="000000"/>
                <w:bdr w:val="nil"/>
                <w:lang w:val="en-US" w:eastAsia="en-GB"/>
              </w:rPr>
              <w:t> </w:t>
            </w:r>
          </w:p>
        </w:tc>
        <w:tc>
          <w:tcPr>
            <w:tcW w:w="728" w:type="dxa"/>
            <w:shd w:val="clear" w:color="auto" w:fill="auto"/>
            <w:tcMar>
              <w:top w:w="80" w:type="dxa"/>
              <w:left w:w="80" w:type="dxa"/>
              <w:bottom w:w="80" w:type="dxa"/>
              <w:right w:w="80" w:type="dxa"/>
            </w:tcMar>
          </w:tcPr>
          <w:p w14:paraId="69659BBD" w14:textId="77777777" w:rsidR="00C603B7" w:rsidRPr="00C603B7" w:rsidRDefault="00C603B7" w:rsidP="00C603B7">
            <w:pPr>
              <w:pBdr>
                <w:top w:val="nil"/>
                <w:left w:val="nil"/>
                <w:bottom w:val="nil"/>
                <w:right w:val="nil"/>
                <w:between w:val="nil"/>
                <w:bar w:val="nil"/>
              </w:pBdr>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N</w:t>
            </w:r>
          </w:p>
        </w:tc>
        <w:tc>
          <w:tcPr>
            <w:tcW w:w="728" w:type="dxa"/>
            <w:shd w:val="clear" w:color="auto" w:fill="auto"/>
            <w:tcMar>
              <w:top w:w="80" w:type="dxa"/>
              <w:left w:w="80" w:type="dxa"/>
              <w:bottom w:w="80" w:type="dxa"/>
              <w:right w:w="80" w:type="dxa"/>
            </w:tcMar>
          </w:tcPr>
          <w:p w14:paraId="7A149DBD"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69</w:t>
            </w:r>
          </w:p>
        </w:tc>
        <w:tc>
          <w:tcPr>
            <w:tcW w:w="772" w:type="dxa"/>
            <w:shd w:val="clear" w:color="auto" w:fill="auto"/>
            <w:tcMar>
              <w:top w:w="80" w:type="dxa"/>
              <w:left w:w="80" w:type="dxa"/>
              <w:bottom w:w="80" w:type="dxa"/>
              <w:right w:w="80" w:type="dxa"/>
            </w:tcMar>
          </w:tcPr>
          <w:p w14:paraId="03F45413"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64</w:t>
            </w:r>
          </w:p>
        </w:tc>
        <w:tc>
          <w:tcPr>
            <w:tcW w:w="771" w:type="dxa"/>
            <w:shd w:val="clear" w:color="auto" w:fill="auto"/>
            <w:tcMar>
              <w:top w:w="80" w:type="dxa"/>
              <w:left w:w="80" w:type="dxa"/>
              <w:bottom w:w="80" w:type="dxa"/>
              <w:right w:w="80" w:type="dxa"/>
            </w:tcMar>
          </w:tcPr>
          <w:p w14:paraId="4F4A0C7B"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66</w:t>
            </w:r>
          </w:p>
        </w:tc>
        <w:tc>
          <w:tcPr>
            <w:tcW w:w="728" w:type="dxa"/>
            <w:shd w:val="clear" w:color="auto" w:fill="auto"/>
            <w:tcMar>
              <w:top w:w="80" w:type="dxa"/>
              <w:left w:w="80" w:type="dxa"/>
              <w:bottom w:w="80" w:type="dxa"/>
              <w:right w:w="80" w:type="dxa"/>
            </w:tcMar>
          </w:tcPr>
          <w:p w14:paraId="66CDB1A2"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64</w:t>
            </w:r>
          </w:p>
        </w:tc>
        <w:tc>
          <w:tcPr>
            <w:tcW w:w="729" w:type="dxa"/>
            <w:shd w:val="clear" w:color="auto" w:fill="auto"/>
            <w:tcMar>
              <w:top w:w="80" w:type="dxa"/>
              <w:left w:w="80" w:type="dxa"/>
              <w:bottom w:w="80" w:type="dxa"/>
              <w:right w:w="80" w:type="dxa"/>
            </w:tcMar>
          </w:tcPr>
          <w:p w14:paraId="7C2483B7"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63</w:t>
            </w:r>
          </w:p>
        </w:tc>
        <w:tc>
          <w:tcPr>
            <w:tcW w:w="729" w:type="dxa"/>
            <w:shd w:val="clear" w:color="auto" w:fill="auto"/>
            <w:tcMar>
              <w:top w:w="80" w:type="dxa"/>
              <w:left w:w="80" w:type="dxa"/>
              <w:bottom w:w="80" w:type="dxa"/>
              <w:right w:w="80" w:type="dxa"/>
            </w:tcMar>
          </w:tcPr>
          <w:p w14:paraId="1FDE0AF4"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64</w:t>
            </w:r>
          </w:p>
        </w:tc>
        <w:tc>
          <w:tcPr>
            <w:tcW w:w="730" w:type="dxa"/>
            <w:shd w:val="clear" w:color="auto" w:fill="auto"/>
            <w:tcMar>
              <w:top w:w="80" w:type="dxa"/>
              <w:left w:w="80" w:type="dxa"/>
              <w:bottom w:w="80" w:type="dxa"/>
              <w:right w:w="80" w:type="dxa"/>
            </w:tcMar>
          </w:tcPr>
          <w:p w14:paraId="2456F5B4"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64</w:t>
            </w:r>
          </w:p>
        </w:tc>
        <w:tc>
          <w:tcPr>
            <w:tcW w:w="730" w:type="dxa"/>
            <w:shd w:val="clear" w:color="auto" w:fill="auto"/>
            <w:tcMar>
              <w:top w:w="80" w:type="dxa"/>
              <w:left w:w="80" w:type="dxa"/>
              <w:bottom w:w="80" w:type="dxa"/>
              <w:right w:w="80" w:type="dxa"/>
            </w:tcMar>
          </w:tcPr>
          <w:p w14:paraId="371CC3AC"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64</w:t>
            </w:r>
          </w:p>
        </w:tc>
        <w:tc>
          <w:tcPr>
            <w:tcW w:w="729" w:type="dxa"/>
            <w:shd w:val="clear" w:color="auto" w:fill="auto"/>
            <w:tcMar>
              <w:top w:w="80" w:type="dxa"/>
              <w:left w:w="80" w:type="dxa"/>
              <w:bottom w:w="80" w:type="dxa"/>
              <w:right w:w="80" w:type="dxa"/>
            </w:tcMar>
          </w:tcPr>
          <w:p w14:paraId="658B69AF"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64</w:t>
            </w:r>
          </w:p>
        </w:tc>
        <w:tc>
          <w:tcPr>
            <w:tcW w:w="729" w:type="dxa"/>
            <w:shd w:val="clear" w:color="auto" w:fill="auto"/>
            <w:tcMar>
              <w:top w:w="80" w:type="dxa"/>
              <w:left w:w="80" w:type="dxa"/>
              <w:bottom w:w="80" w:type="dxa"/>
              <w:right w:w="80" w:type="dxa"/>
            </w:tcMar>
          </w:tcPr>
          <w:p w14:paraId="3062545D"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52</w:t>
            </w:r>
          </w:p>
        </w:tc>
      </w:tr>
      <w:tr w:rsidR="00C603B7" w:rsidRPr="00C603B7" w14:paraId="695C06A8" w14:textId="77777777" w:rsidTr="005B4979">
        <w:trPr>
          <w:trHeight w:val="670"/>
        </w:trPr>
        <w:tc>
          <w:tcPr>
            <w:tcW w:w="916" w:type="dxa"/>
            <w:shd w:val="clear" w:color="auto" w:fill="FBE4D5"/>
            <w:tcMar>
              <w:top w:w="80" w:type="dxa"/>
              <w:left w:w="80" w:type="dxa"/>
              <w:bottom w:w="80" w:type="dxa"/>
              <w:right w:w="80" w:type="dxa"/>
            </w:tcMar>
          </w:tcPr>
          <w:p w14:paraId="2C476352" w14:textId="77777777" w:rsidR="00C603B7" w:rsidRPr="005B4979" w:rsidRDefault="00C603B7" w:rsidP="00C603B7">
            <w:pPr>
              <w:pBdr>
                <w:top w:val="nil"/>
                <w:left w:val="nil"/>
                <w:bottom w:val="nil"/>
                <w:right w:val="nil"/>
                <w:between w:val="nil"/>
                <w:bar w:val="nil"/>
              </w:pBdr>
              <w:rPr>
                <w:rFonts w:ascii="Calibri" w:eastAsia="Calibri" w:hAnsi="Calibri" w:cs="Calibri"/>
                <w:i/>
                <w:iCs/>
                <w:color w:val="000000"/>
                <w:sz w:val="20"/>
                <w:szCs w:val="20"/>
                <w:u w:color="000000"/>
                <w:bdr w:val="nil"/>
                <w:lang w:val="en-US" w:eastAsia="en-GB"/>
              </w:rPr>
            </w:pPr>
            <w:r w:rsidRPr="005B4979">
              <w:rPr>
                <w:rFonts w:ascii="Calibri" w:eastAsia="Calibri" w:hAnsi="Calibri" w:cs="Calibri"/>
                <w:i/>
                <w:iCs/>
                <w:color w:val="000000"/>
                <w:sz w:val="20"/>
                <w:szCs w:val="20"/>
                <w:u w:color="000000"/>
                <w:bdr w:val="nil"/>
                <w:lang w:val="en-US" w:eastAsia="en-GB"/>
              </w:rPr>
              <w:t>NAA/</w:t>
            </w:r>
          </w:p>
          <w:p w14:paraId="49BA014D" w14:textId="77777777" w:rsidR="00C603B7" w:rsidRPr="005B4979" w:rsidRDefault="00C603B7" w:rsidP="00C603B7">
            <w:pPr>
              <w:pBdr>
                <w:top w:val="nil"/>
                <w:left w:val="nil"/>
                <w:bottom w:val="nil"/>
                <w:right w:val="nil"/>
                <w:between w:val="nil"/>
                <w:bar w:val="nil"/>
              </w:pBdr>
              <w:rPr>
                <w:rFonts w:ascii="Calibri" w:eastAsia="Calibri" w:hAnsi="Calibri" w:cs="Calibri"/>
                <w:color w:val="000000"/>
                <w:u w:color="000000"/>
                <w:bdr w:val="nil"/>
                <w:lang w:val="en-US" w:eastAsia="en-GB"/>
              </w:rPr>
            </w:pPr>
            <w:r w:rsidRPr="005B4979">
              <w:rPr>
                <w:rFonts w:ascii="Calibri" w:eastAsia="Calibri" w:hAnsi="Calibri" w:cs="Calibri"/>
                <w:i/>
                <w:iCs/>
                <w:color w:val="000000"/>
                <w:sz w:val="20"/>
                <w:szCs w:val="20"/>
                <w:u w:color="000000"/>
                <w:bdr w:val="nil"/>
                <w:lang w:val="en-US" w:eastAsia="en-GB"/>
              </w:rPr>
              <w:t>Creatine</w:t>
            </w:r>
          </w:p>
        </w:tc>
        <w:tc>
          <w:tcPr>
            <w:tcW w:w="728" w:type="dxa"/>
            <w:shd w:val="clear" w:color="auto" w:fill="FBE4D5"/>
            <w:tcMar>
              <w:top w:w="80" w:type="dxa"/>
              <w:left w:w="80" w:type="dxa"/>
              <w:bottom w:w="80" w:type="dxa"/>
              <w:right w:w="80" w:type="dxa"/>
            </w:tcMar>
          </w:tcPr>
          <w:p w14:paraId="7FD0CFDE" w14:textId="77777777" w:rsidR="00C603B7" w:rsidRPr="00C603B7" w:rsidRDefault="00C603B7" w:rsidP="00C603B7">
            <w:pPr>
              <w:pBdr>
                <w:top w:val="nil"/>
                <w:left w:val="nil"/>
                <w:bottom w:val="nil"/>
                <w:right w:val="nil"/>
                <w:between w:val="nil"/>
                <w:bar w:val="nil"/>
              </w:pBdr>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R</w:t>
            </w:r>
          </w:p>
        </w:tc>
        <w:tc>
          <w:tcPr>
            <w:tcW w:w="728" w:type="dxa"/>
            <w:shd w:val="clear" w:color="auto" w:fill="FBE4D5"/>
            <w:tcMar>
              <w:top w:w="80" w:type="dxa"/>
              <w:left w:w="80" w:type="dxa"/>
              <w:bottom w:w="80" w:type="dxa"/>
              <w:right w:w="80" w:type="dxa"/>
            </w:tcMar>
          </w:tcPr>
          <w:p w14:paraId="08C3833E"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-0.33</w:t>
            </w:r>
          </w:p>
        </w:tc>
        <w:tc>
          <w:tcPr>
            <w:tcW w:w="772" w:type="dxa"/>
            <w:shd w:val="clear" w:color="auto" w:fill="FBE4D5"/>
            <w:tcMar>
              <w:top w:w="80" w:type="dxa"/>
              <w:left w:w="80" w:type="dxa"/>
              <w:bottom w:w="80" w:type="dxa"/>
              <w:right w:w="80" w:type="dxa"/>
            </w:tcMar>
          </w:tcPr>
          <w:p w14:paraId="4F8EA449"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-0.25</w:t>
            </w:r>
          </w:p>
        </w:tc>
        <w:tc>
          <w:tcPr>
            <w:tcW w:w="771" w:type="dxa"/>
            <w:shd w:val="clear" w:color="auto" w:fill="FBE4D5"/>
            <w:tcMar>
              <w:top w:w="80" w:type="dxa"/>
              <w:left w:w="80" w:type="dxa"/>
              <w:bottom w:w="80" w:type="dxa"/>
              <w:right w:w="80" w:type="dxa"/>
            </w:tcMar>
          </w:tcPr>
          <w:p w14:paraId="2E41584A"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-0.37</w:t>
            </w:r>
          </w:p>
        </w:tc>
        <w:tc>
          <w:tcPr>
            <w:tcW w:w="728" w:type="dxa"/>
            <w:shd w:val="clear" w:color="auto" w:fill="FBE4D5"/>
            <w:tcMar>
              <w:top w:w="80" w:type="dxa"/>
              <w:left w:w="80" w:type="dxa"/>
              <w:bottom w:w="80" w:type="dxa"/>
              <w:right w:w="80" w:type="dxa"/>
            </w:tcMar>
          </w:tcPr>
          <w:p w14:paraId="1BE4EB92"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-0.32</w:t>
            </w:r>
          </w:p>
        </w:tc>
        <w:tc>
          <w:tcPr>
            <w:tcW w:w="729" w:type="dxa"/>
            <w:shd w:val="clear" w:color="auto" w:fill="FBE4D5"/>
            <w:tcMar>
              <w:top w:w="80" w:type="dxa"/>
              <w:left w:w="80" w:type="dxa"/>
              <w:bottom w:w="80" w:type="dxa"/>
              <w:right w:w="80" w:type="dxa"/>
            </w:tcMar>
          </w:tcPr>
          <w:p w14:paraId="382E0DF7"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-0.08</w:t>
            </w:r>
          </w:p>
        </w:tc>
        <w:tc>
          <w:tcPr>
            <w:tcW w:w="729" w:type="dxa"/>
            <w:shd w:val="clear" w:color="auto" w:fill="FBE4D5"/>
            <w:tcMar>
              <w:top w:w="80" w:type="dxa"/>
              <w:left w:w="80" w:type="dxa"/>
              <w:bottom w:w="80" w:type="dxa"/>
              <w:right w:w="80" w:type="dxa"/>
            </w:tcMar>
          </w:tcPr>
          <w:p w14:paraId="59DA92F9"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-0.25</w:t>
            </w:r>
          </w:p>
        </w:tc>
        <w:tc>
          <w:tcPr>
            <w:tcW w:w="730" w:type="dxa"/>
            <w:shd w:val="clear" w:color="auto" w:fill="FBE4D5"/>
            <w:tcMar>
              <w:top w:w="80" w:type="dxa"/>
              <w:left w:w="80" w:type="dxa"/>
              <w:bottom w:w="80" w:type="dxa"/>
              <w:right w:w="80" w:type="dxa"/>
            </w:tcMar>
          </w:tcPr>
          <w:p w14:paraId="314536EB"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0.04</w:t>
            </w:r>
          </w:p>
        </w:tc>
        <w:tc>
          <w:tcPr>
            <w:tcW w:w="730" w:type="dxa"/>
            <w:shd w:val="clear" w:color="auto" w:fill="FBE4D5"/>
            <w:tcMar>
              <w:top w:w="80" w:type="dxa"/>
              <w:left w:w="80" w:type="dxa"/>
              <w:bottom w:w="80" w:type="dxa"/>
              <w:right w:w="80" w:type="dxa"/>
            </w:tcMar>
          </w:tcPr>
          <w:p w14:paraId="4758B4C1"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0.13</w:t>
            </w:r>
          </w:p>
        </w:tc>
        <w:tc>
          <w:tcPr>
            <w:tcW w:w="729" w:type="dxa"/>
            <w:shd w:val="clear" w:color="auto" w:fill="FBE4D5"/>
            <w:tcMar>
              <w:top w:w="80" w:type="dxa"/>
              <w:left w:w="80" w:type="dxa"/>
              <w:bottom w:w="80" w:type="dxa"/>
              <w:right w:w="80" w:type="dxa"/>
            </w:tcMar>
          </w:tcPr>
          <w:p w14:paraId="311B32B8"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0.05</w:t>
            </w:r>
          </w:p>
        </w:tc>
        <w:tc>
          <w:tcPr>
            <w:tcW w:w="729" w:type="dxa"/>
            <w:shd w:val="clear" w:color="auto" w:fill="FBE4D5"/>
            <w:tcMar>
              <w:top w:w="80" w:type="dxa"/>
              <w:left w:w="80" w:type="dxa"/>
              <w:bottom w:w="80" w:type="dxa"/>
              <w:right w:w="80" w:type="dxa"/>
            </w:tcMar>
          </w:tcPr>
          <w:p w14:paraId="7B75982E"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-0.25</w:t>
            </w:r>
          </w:p>
        </w:tc>
      </w:tr>
      <w:tr w:rsidR="00C603B7" w:rsidRPr="00C603B7" w14:paraId="38783EB2" w14:textId="77777777" w:rsidTr="005B4979">
        <w:trPr>
          <w:trHeight w:val="230"/>
        </w:trPr>
        <w:tc>
          <w:tcPr>
            <w:tcW w:w="916" w:type="dxa"/>
            <w:shd w:val="clear" w:color="auto" w:fill="auto"/>
            <w:tcMar>
              <w:top w:w="80" w:type="dxa"/>
              <w:left w:w="80" w:type="dxa"/>
              <w:bottom w:w="80" w:type="dxa"/>
              <w:right w:w="80" w:type="dxa"/>
            </w:tcMar>
          </w:tcPr>
          <w:p w14:paraId="0A78553E" w14:textId="77777777" w:rsidR="00C603B7" w:rsidRPr="005B4979" w:rsidRDefault="00C603B7" w:rsidP="00C603B7">
            <w:pPr>
              <w:pBdr>
                <w:top w:val="nil"/>
                <w:left w:val="nil"/>
                <w:bottom w:val="nil"/>
                <w:right w:val="nil"/>
                <w:between w:val="nil"/>
                <w:bar w:val="nil"/>
              </w:pBdr>
              <w:rPr>
                <w:rFonts w:ascii="Calibri" w:eastAsia="Calibri" w:hAnsi="Calibri" w:cs="Calibri"/>
                <w:color w:val="000000"/>
                <w:u w:color="000000"/>
                <w:bdr w:val="nil"/>
                <w:lang w:val="en-US" w:eastAsia="en-GB"/>
              </w:rPr>
            </w:pPr>
            <w:r w:rsidRPr="005B4979">
              <w:rPr>
                <w:rFonts w:ascii="Calibri" w:eastAsia="Calibri" w:hAnsi="Calibri" w:cs="Calibri"/>
                <w:i/>
                <w:iCs/>
                <w:color w:val="000000"/>
                <w:sz w:val="20"/>
                <w:szCs w:val="20"/>
                <w:u w:color="000000"/>
                <w:bdr w:val="nil"/>
                <w:lang w:val="en-US" w:eastAsia="en-GB"/>
              </w:rPr>
              <w:t> </w:t>
            </w:r>
          </w:p>
        </w:tc>
        <w:tc>
          <w:tcPr>
            <w:tcW w:w="728" w:type="dxa"/>
            <w:shd w:val="clear" w:color="auto" w:fill="auto"/>
            <w:tcMar>
              <w:top w:w="80" w:type="dxa"/>
              <w:left w:w="80" w:type="dxa"/>
              <w:bottom w:w="80" w:type="dxa"/>
              <w:right w:w="80" w:type="dxa"/>
            </w:tcMar>
          </w:tcPr>
          <w:p w14:paraId="456AE8D1" w14:textId="77777777" w:rsidR="00C603B7" w:rsidRPr="00C603B7" w:rsidRDefault="00C603B7" w:rsidP="00C603B7">
            <w:pPr>
              <w:pBdr>
                <w:top w:val="nil"/>
                <w:left w:val="nil"/>
                <w:bottom w:val="nil"/>
                <w:right w:val="nil"/>
                <w:between w:val="nil"/>
                <w:bar w:val="nil"/>
              </w:pBdr>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sig</w:t>
            </w:r>
          </w:p>
        </w:tc>
        <w:tc>
          <w:tcPr>
            <w:tcW w:w="728" w:type="dxa"/>
            <w:shd w:val="clear" w:color="auto" w:fill="auto"/>
            <w:tcMar>
              <w:top w:w="80" w:type="dxa"/>
              <w:left w:w="80" w:type="dxa"/>
              <w:bottom w:w="80" w:type="dxa"/>
              <w:right w:w="80" w:type="dxa"/>
            </w:tcMar>
          </w:tcPr>
          <w:p w14:paraId="317263BB"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0.01*</w:t>
            </w:r>
          </w:p>
        </w:tc>
        <w:tc>
          <w:tcPr>
            <w:tcW w:w="772" w:type="dxa"/>
            <w:shd w:val="clear" w:color="auto" w:fill="auto"/>
            <w:tcMar>
              <w:top w:w="80" w:type="dxa"/>
              <w:left w:w="80" w:type="dxa"/>
              <w:bottom w:w="80" w:type="dxa"/>
              <w:right w:w="80" w:type="dxa"/>
            </w:tcMar>
          </w:tcPr>
          <w:p w14:paraId="0C68D38E"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0.048*</w:t>
            </w:r>
          </w:p>
        </w:tc>
        <w:tc>
          <w:tcPr>
            <w:tcW w:w="771" w:type="dxa"/>
            <w:shd w:val="clear" w:color="auto" w:fill="auto"/>
            <w:tcMar>
              <w:top w:w="80" w:type="dxa"/>
              <w:left w:w="80" w:type="dxa"/>
              <w:bottom w:w="80" w:type="dxa"/>
              <w:right w:w="80" w:type="dxa"/>
            </w:tcMar>
          </w:tcPr>
          <w:p w14:paraId="2C88A12A"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0.002*</w:t>
            </w:r>
          </w:p>
        </w:tc>
        <w:tc>
          <w:tcPr>
            <w:tcW w:w="728" w:type="dxa"/>
            <w:shd w:val="clear" w:color="auto" w:fill="auto"/>
            <w:tcMar>
              <w:top w:w="80" w:type="dxa"/>
              <w:left w:w="80" w:type="dxa"/>
              <w:bottom w:w="80" w:type="dxa"/>
              <w:right w:w="80" w:type="dxa"/>
            </w:tcMar>
          </w:tcPr>
          <w:p w14:paraId="109B930A"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0.01*</w:t>
            </w:r>
          </w:p>
        </w:tc>
        <w:tc>
          <w:tcPr>
            <w:tcW w:w="729" w:type="dxa"/>
            <w:shd w:val="clear" w:color="auto" w:fill="auto"/>
            <w:tcMar>
              <w:top w:w="80" w:type="dxa"/>
              <w:left w:w="80" w:type="dxa"/>
              <w:bottom w:w="80" w:type="dxa"/>
              <w:right w:w="80" w:type="dxa"/>
            </w:tcMar>
          </w:tcPr>
          <w:p w14:paraId="3B64A4C0"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0.54</w:t>
            </w:r>
          </w:p>
        </w:tc>
        <w:tc>
          <w:tcPr>
            <w:tcW w:w="729" w:type="dxa"/>
            <w:shd w:val="clear" w:color="auto" w:fill="auto"/>
            <w:tcMar>
              <w:top w:w="80" w:type="dxa"/>
              <w:left w:w="80" w:type="dxa"/>
              <w:bottom w:w="80" w:type="dxa"/>
              <w:right w:w="80" w:type="dxa"/>
            </w:tcMar>
          </w:tcPr>
          <w:p w14:paraId="1F11237B"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0.04*</w:t>
            </w:r>
          </w:p>
        </w:tc>
        <w:tc>
          <w:tcPr>
            <w:tcW w:w="730" w:type="dxa"/>
            <w:shd w:val="clear" w:color="auto" w:fill="auto"/>
            <w:tcMar>
              <w:top w:w="80" w:type="dxa"/>
              <w:left w:w="80" w:type="dxa"/>
              <w:bottom w:w="80" w:type="dxa"/>
              <w:right w:w="80" w:type="dxa"/>
            </w:tcMar>
          </w:tcPr>
          <w:p w14:paraId="6F8AF554"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0.78</w:t>
            </w:r>
          </w:p>
        </w:tc>
        <w:tc>
          <w:tcPr>
            <w:tcW w:w="730" w:type="dxa"/>
            <w:shd w:val="clear" w:color="auto" w:fill="auto"/>
            <w:tcMar>
              <w:top w:w="80" w:type="dxa"/>
              <w:left w:w="80" w:type="dxa"/>
              <w:bottom w:w="80" w:type="dxa"/>
              <w:right w:w="80" w:type="dxa"/>
            </w:tcMar>
          </w:tcPr>
          <w:p w14:paraId="40F29AF1"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0.31</w:t>
            </w:r>
          </w:p>
        </w:tc>
        <w:tc>
          <w:tcPr>
            <w:tcW w:w="729" w:type="dxa"/>
            <w:shd w:val="clear" w:color="auto" w:fill="auto"/>
            <w:tcMar>
              <w:top w:w="80" w:type="dxa"/>
              <w:left w:w="80" w:type="dxa"/>
              <w:bottom w:w="80" w:type="dxa"/>
              <w:right w:w="80" w:type="dxa"/>
            </w:tcMar>
          </w:tcPr>
          <w:p w14:paraId="362EDA1B"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0.72</w:t>
            </w:r>
          </w:p>
        </w:tc>
        <w:tc>
          <w:tcPr>
            <w:tcW w:w="729" w:type="dxa"/>
            <w:shd w:val="clear" w:color="auto" w:fill="auto"/>
            <w:tcMar>
              <w:top w:w="80" w:type="dxa"/>
              <w:left w:w="80" w:type="dxa"/>
              <w:bottom w:w="80" w:type="dxa"/>
              <w:right w:w="80" w:type="dxa"/>
            </w:tcMar>
          </w:tcPr>
          <w:p w14:paraId="3E720D62"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0.08</w:t>
            </w:r>
          </w:p>
        </w:tc>
      </w:tr>
      <w:tr w:rsidR="00C603B7" w:rsidRPr="00C603B7" w14:paraId="4DAA95C1" w14:textId="77777777" w:rsidTr="005B4979">
        <w:trPr>
          <w:trHeight w:val="670"/>
        </w:trPr>
        <w:tc>
          <w:tcPr>
            <w:tcW w:w="916" w:type="dxa"/>
            <w:shd w:val="clear" w:color="auto" w:fill="FBE4D5"/>
            <w:tcMar>
              <w:top w:w="80" w:type="dxa"/>
              <w:left w:w="80" w:type="dxa"/>
              <w:bottom w:w="80" w:type="dxa"/>
              <w:right w:w="80" w:type="dxa"/>
            </w:tcMar>
          </w:tcPr>
          <w:p w14:paraId="780A0130" w14:textId="77777777" w:rsidR="00C603B7" w:rsidRPr="005B4979" w:rsidRDefault="00C603B7" w:rsidP="00C603B7">
            <w:pPr>
              <w:pBdr>
                <w:top w:val="nil"/>
                <w:left w:val="nil"/>
                <w:bottom w:val="nil"/>
                <w:right w:val="nil"/>
                <w:between w:val="nil"/>
                <w:bar w:val="nil"/>
              </w:pBdr>
              <w:rPr>
                <w:rFonts w:ascii="Calibri" w:eastAsia="Calibri" w:hAnsi="Calibri" w:cs="Calibri"/>
                <w:i/>
                <w:iCs/>
                <w:color w:val="000000"/>
                <w:sz w:val="20"/>
                <w:szCs w:val="20"/>
                <w:u w:color="000000"/>
                <w:bdr w:val="nil"/>
                <w:lang w:val="en-US" w:eastAsia="en-GB"/>
              </w:rPr>
            </w:pPr>
            <w:r w:rsidRPr="005B4979">
              <w:rPr>
                <w:rFonts w:ascii="Calibri" w:eastAsia="Calibri" w:hAnsi="Calibri" w:cs="Calibri"/>
                <w:i/>
                <w:iCs/>
                <w:color w:val="000000"/>
                <w:sz w:val="20"/>
                <w:szCs w:val="20"/>
                <w:u w:color="000000"/>
                <w:bdr w:val="nil"/>
                <w:lang w:val="en-US" w:eastAsia="en-GB"/>
              </w:rPr>
              <w:t>Cho/</w:t>
            </w:r>
          </w:p>
          <w:p w14:paraId="32DC7611" w14:textId="77777777" w:rsidR="00C603B7" w:rsidRPr="005B4979" w:rsidRDefault="00C603B7" w:rsidP="00C603B7">
            <w:pPr>
              <w:pBdr>
                <w:top w:val="nil"/>
                <w:left w:val="nil"/>
                <w:bottom w:val="nil"/>
                <w:right w:val="nil"/>
                <w:between w:val="nil"/>
                <w:bar w:val="nil"/>
              </w:pBdr>
              <w:rPr>
                <w:rFonts w:ascii="Calibri" w:eastAsia="Calibri" w:hAnsi="Calibri" w:cs="Calibri"/>
                <w:color w:val="000000"/>
                <w:u w:color="000000"/>
                <w:bdr w:val="nil"/>
                <w:lang w:val="en-US" w:eastAsia="en-GB"/>
              </w:rPr>
            </w:pPr>
            <w:r w:rsidRPr="005B4979">
              <w:rPr>
                <w:rFonts w:ascii="Calibri" w:eastAsia="Calibri" w:hAnsi="Calibri" w:cs="Calibri"/>
                <w:i/>
                <w:iCs/>
                <w:color w:val="000000"/>
                <w:sz w:val="20"/>
                <w:szCs w:val="20"/>
                <w:u w:color="000000"/>
                <w:bdr w:val="nil"/>
                <w:lang w:val="en-US" w:eastAsia="en-GB"/>
              </w:rPr>
              <w:t>Creatine</w:t>
            </w:r>
          </w:p>
        </w:tc>
        <w:tc>
          <w:tcPr>
            <w:tcW w:w="728" w:type="dxa"/>
            <w:shd w:val="clear" w:color="auto" w:fill="FBE4D5"/>
            <w:tcMar>
              <w:top w:w="80" w:type="dxa"/>
              <w:left w:w="80" w:type="dxa"/>
              <w:bottom w:w="80" w:type="dxa"/>
              <w:right w:w="80" w:type="dxa"/>
            </w:tcMar>
          </w:tcPr>
          <w:p w14:paraId="4EAA25BE" w14:textId="77777777" w:rsidR="00C603B7" w:rsidRPr="00C603B7" w:rsidRDefault="00C603B7" w:rsidP="00C603B7">
            <w:pPr>
              <w:pBdr>
                <w:top w:val="nil"/>
                <w:left w:val="nil"/>
                <w:bottom w:val="nil"/>
                <w:right w:val="nil"/>
                <w:between w:val="nil"/>
                <w:bar w:val="nil"/>
              </w:pBdr>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R</w:t>
            </w:r>
          </w:p>
        </w:tc>
        <w:tc>
          <w:tcPr>
            <w:tcW w:w="728" w:type="dxa"/>
            <w:shd w:val="clear" w:color="auto" w:fill="FBE4D5"/>
            <w:tcMar>
              <w:top w:w="80" w:type="dxa"/>
              <w:left w:w="80" w:type="dxa"/>
              <w:bottom w:w="80" w:type="dxa"/>
              <w:right w:w="80" w:type="dxa"/>
            </w:tcMar>
          </w:tcPr>
          <w:p w14:paraId="7076D35F"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-0.20</w:t>
            </w:r>
          </w:p>
        </w:tc>
        <w:tc>
          <w:tcPr>
            <w:tcW w:w="772" w:type="dxa"/>
            <w:shd w:val="clear" w:color="auto" w:fill="FBE4D5"/>
            <w:tcMar>
              <w:top w:w="80" w:type="dxa"/>
              <w:left w:w="80" w:type="dxa"/>
              <w:bottom w:w="80" w:type="dxa"/>
              <w:right w:w="80" w:type="dxa"/>
            </w:tcMar>
          </w:tcPr>
          <w:p w14:paraId="1997CC30"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-0.08</w:t>
            </w:r>
          </w:p>
        </w:tc>
        <w:tc>
          <w:tcPr>
            <w:tcW w:w="771" w:type="dxa"/>
            <w:shd w:val="clear" w:color="auto" w:fill="FBE4D5"/>
            <w:tcMar>
              <w:top w:w="80" w:type="dxa"/>
              <w:left w:w="80" w:type="dxa"/>
              <w:bottom w:w="80" w:type="dxa"/>
              <w:right w:w="80" w:type="dxa"/>
            </w:tcMar>
          </w:tcPr>
          <w:p w14:paraId="6F811DD5"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-0.27</w:t>
            </w:r>
          </w:p>
        </w:tc>
        <w:tc>
          <w:tcPr>
            <w:tcW w:w="728" w:type="dxa"/>
            <w:shd w:val="clear" w:color="auto" w:fill="FBE4D5"/>
            <w:tcMar>
              <w:top w:w="80" w:type="dxa"/>
              <w:left w:w="80" w:type="dxa"/>
              <w:bottom w:w="80" w:type="dxa"/>
              <w:right w:w="80" w:type="dxa"/>
            </w:tcMar>
          </w:tcPr>
          <w:p w14:paraId="476270C2"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-0.17</w:t>
            </w:r>
          </w:p>
        </w:tc>
        <w:tc>
          <w:tcPr>
            <w:tcW w:w="729" w:type="dxa"/>
            <w:shd w:val="clear" w:color="auto" w:fill="FBE4D5"/>
            <w:tcMar>
              <w:top w:w="80" w:type="dxa"/>
              <w:left w:w="80" w:type="dxa"/>
              <w:bottom w:w="80" w:type="dxa"/>
              <w:right w:w="80" w:type="dxa"/>
            </w:tcMar>
          </w:tcPr>
          <w:p w14:paraId="268CB066"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-0.08</w:t>
            </w:r>
          </w:p>
        </w:tc>
        <w:tc>
          <w:tcPr>
            <w:tcW w:w="729" w:type="dxa"/>
            <w:shd w:val="clear" w:color="auto" w:fill="FBE4D5"/>
            <w:tcMar>
              <w:top w:w="80" w:type="dxa"/>
              <w:left w:w="80" w:type="dxa"/>
              <w:bottom w:w="80" w:type="dxa"/>
              <w:right w:w="80" w:type="dxa"/>
            </w:tcMar>
          </w:tcPr>
          <w:p w14:paraId="7E57FE6F"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-0.27</w:t>
            </w:r>
          </w:p>
        </w:tc>
        <w:tc>
          <w:tcPr>
            <w:tcW w:w="730" w:type="dxa"/>
            <w:shd w:val="clear" w:color="auto" w:fill="FBE4D5"/>
            <w:tcMar>
              <w:top w:w="80" w:type="dxa"/>
              <w:left w:w="80" w:type="dxa"/>
              <w:bottom w:w="80" w:type="dxa"/>
              <w:right w:w="80" w:type="dxa"/>
            </w:tcMar>
          </w:tcPr>
          <w:p w14:paraId="10C8F02C"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-0.06</w:t>
            </w:r>
          </w:p>
        </w:tc>
        <w:tc>
          <w:tcPr>
            <w:tcW w:w="730" w:type="dxa"/>
            <w:shd w:val="clear" w:color="auto" w:fill="FBE4D5"/>
            <w:tcMar>
              <w:top w:w="80" w:type="dxa"/>
              <w:left w:w="80" w:type="dxa"/>
              <w:bottom w:w="80" w:type="dxa"/>
              <w:right w:w="80" w:type="dxa"/>
            </w:tcMar>
          </w:tcPr>
          <w:p w14:paraId="07B2879A"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0.08</w:t>
            </w:r>
          </w:p>
        </w:tc>
        <w:tc>
          <w:tcPr>
            <w:tcW w:w="729" w:type="dxa"/>
            <w:shd w:val="clear" w:color="auto" w:fill="FBE4D5"/>
            <w:tcMar>
              <w:top w:w="80" w:type="dxa"/>
              <w:left w:w="80" w:type="dxa"/>
              <w:bottom w:w="80" w:type="dxa"/>
              <w:right w:w="80" w:type="dxa"/>
            </w:tcMar>
          </w:tcPr>
          <w:p w14:paraId="6708DA96"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0.00</w:t>
            </w:r>
          </w:p>
        </w:tc>
        <w:tc>
          <w:tcPr>
            <w:tcW w:w="729" w:type="dxa"/>
            <w:shd w:val="clear" w:color="auto" w:fill="FBE4D5"/>
            <w:tcMar>
              <w:top w:w="80" w:type="dxa"/>
              <w:left w:w="80" w:type="dxa"/>
              <w:bottom w:w="80" w:type="dxa"/>
              <w:right w:w="80" w:type="dxa"/>
            </w:tcMar>
          </w:tcPr>
          <w:p w14:paraId="59B69CCF"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-0.17</w:t>
            </w:r>
          </w:p>
        </w:tc>
      </w:tr>
      <w:tr w:rsidR="00C603B7" w:rsidRPr="00C603B7" w14:paraId="2A881B5D" w14:textId="77777777" w:rsidTr="005B4979">
        <w:trPr>
          <w:trHeight w:val="230"/>
        </w:trPr>
        <w:tc>
          <w:tcPr>
            <w:tcW w:w="916" w:type="dxa"/>
            <w:shd w:val="clear" w:color="auto" w:fill="auto"/>
            <w:tcMar>
              <w:top w:w="80" w:type="dxa"/>
              <w:left w:w="80" w:type="dxa"/>
              <w:bottom w:w="80" w:type="dxa"/>
              <w:right w:w="80" w:type="dxa"/>
            </w:tcMar>
          </w:tcPr>
          <w:p w14:paraId="243FDDD0" w14:textId="77777777" w:rsidR="00C603B7" w:rsidRPr="005B4979" w:rsidRDefault="00C603B7" w:rsidP="00C603B7">
            <w:pPr>
              <w:pBdr>
                <w:top w:val="nil"/>
                <w:left w:val="nil"/>
                <w:bottom w:val="nil"/>
                <w:right w:val="nil"/>
                <w:between w:val="nil"/>
                <w:bar w:val="nil"/>
              </w:pBdr>
              <w:rPr>
                <w:rFonts w:ascii="Calibri" w:eastAsia="Calibri" w:hAnsi="Calibri" w:cs="Calibri"/>
                <w:color w:val="000000"/>
                <w:u w:color="000000"/>
                <w:bdr w:val="nil"/>
                <w:lang w:val="en-US" w:eastAsia="en-GB"/>
              </w:rPr>
            </w:pPr>
            <w:r w:rsidRPr="005B4979">
              <w:rPr>
                <w:rFonts w:ascii="Calibri" w:eastAsia="Calibri" w:hAnsi="Calibri" w:cs="Calibri"/>
                <w:i/>
                <w:iCs/>
                <w:color w:val="000000"/>
                <w:sz w:val="20"/>
                <w:szCs w:val="20"/>
                <w:u w:color="000000"/>
                <w:bdr w:val="nil"/>
                <w:lang w:val="en-US" w:eastAsia="en-GB"/>
              </w:rPr>
              <w:t> </w:t>
            </w:r>
          </w:p>
        </w:tc>
        <w:tc>
          <w:tcPr>
            <w:tcW w:w="728" w:type="dxa"/>
            <w:shd w:val="clear" w:color="auto" w:fill="auto"/>
            <w:tcMar>
              <w:top w:w="80" w:type="dxa"/>
              <w:left w:w="80" w:type="dxa"/>
              <w:bottom w:w="80" w:type="dxa"/>
              <w:right w:w="80" w:type="dxa"/>
            </w:tcMar>
          </w:tcPr>
          <w:p w14:paraId="412D4017" w14:textId="77777777" w:rsidR="00C603B7" w:rsidRPr="00C603B7" w:rsidRDefault="00C603B7" w:rsidP="00C603B7">
            <w:pPr>
              <w:pBdr>
                <w:top w:val="nil"/>
                <w:left w:val="nil"/>
                <w:bottom w:val="nil"/>
                <w:right w:val="nil"/>
                <w:between w:val="nil"/>
                <w:bar w:val="nil"/>
              </w:pBdr>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sig</w:t>
            </w:r>
          </w:p>
        </w:tc>
        <w:tc>
          <w:tcPr>
            <w:tcW w:w="728" w:type="dxa"/>
            <w:shd w:val="clear" w:color="auto" w:fill="auto"/>
            <w:tcMar>
              <w:top w:w="80" w:type="dxa"/>
              <w:left w:w="80" w:type="dxa"/>
              <w:bottom w:w="80" w:type="dxa"/>
              <w:right w:w="80" w:type="dxa"/>
            </w:tcMar>
          </w:tcPr>
          <w:p w14:paraId="00008FCC"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0.09</w:t>
            </w:r>
          </w:p>
        </w:tc>
        <w:tc>
          <w:tcPr>
            <w:tcW w:w="772" w:type="dxa"/>
            <w:shd w:val="clear" w:color="auto" w:fill="auto"/>
            <w:tcMar>
              <w:top w:w="80" w:type="dxa"/>
              <w:left w:w="80" w:type="dxa"/>
              <w:bottom w:w="80" w:type="dxa"/>
              <w:right w:w="80" w:type="dxa"/>
            </w:tcMar>
          </w:tcPr>
          <w:p w14:paraId="309925A1"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0.53</w:t>
            </w:r>
          </w:p>
        </w:tc>
        <w:tc>
          <w:tcPr>
            <w:tcW w:w="771" w:type="dxa"/>
            <w:shd w:val="clear" w:color="auto" w:fill="auto"/>
            <w:tcMar>
              <w:top w:w="80" w:type="dxa"/>
              <w:left w:w="80" w:type="dxa"/>
              <w:bottom w:w="80" w:type="dxa"/>
              <w:right w:w="80" w:type="dxa"/>
            </w:tcMar>
          </w:tcPr>
          <w:p w14:paraId="7E4564E2"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0.03*</w:t>
            </w:r>
          </w:p>
        </w:tc>
        <w:tc>
          <w:tcPr>
            <w:tcW w:w="728" w:type="dxa"/>
            <w:shd w:val="clear" w:color="auto" w:fill="auto"/>
            <w:tcMar>
              <w:top w:w="80" w:type="dxa"/>
              <w:left w:w="80" w:type="dxa"/>
              <w:bottom w:w="80" w:type="dxa"/>
              <w:right w:w="80" w:type="dxa"/>
            </w:tcMar>
          </w:tcPr>
          <w:p w14:paraId="473C2019"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0.17</w:t>
            </w:r>
          </w:p>
        </w:tc>
        <w:tc>
          <w:tcPr>
            <w:tcW w:w="729" w:type="dxa"/>
            <w:shd w:val="clear" w:color="auto" w:fill="auto"/>
            <w:tcMar>
              <w:top w:w="80" w:type="dxa"/>
              <w:left w:w="80" w:type="dxa"/>
              <w:bottom w:w="80" w:type="dxa"/>
              <w:right w:w="80" w:type="dxa"/>
            </w:tcMar>
          </w:tcPr>
          <w:p w14:paraId="68A82B6F"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0.53</w:t>
            </w:r>
          </w:p>
        </w:tc>
        <w:tc>
          <w:tcPr>
            <w:tcW w:w="729" w:type="dxa"/>
            <w:shd w:val="clear" w:color="auto" w:fill="auto"/>
            <w:tcMar>
              <w:top w:w="80" w:type="dxa"/>
              <w:left w:w="80" w:type="dxa"/>
              <w:bottom w:w="80" w:type="dxa"/>
              <w:right w:w="80" w:type="dxa"/>
            </w:tcMar>
          </w:tcPr>
          <w:p w14:paraId="16971EB0"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0.03*</w:t>
            </w:r>
          </w:p>
        </w:tc>
        <w:tc>
          <w:tcPr>
            <w:tcW w:w="730" w:type="dxa"/>
            <w:shd w:val="clear" w:color="auto" w:fill="auto"/>
            <w:tcMar>
              <w:top w:w="80" w:type="dxa"/>
              <w:left w:w="80" w:type="dxa"/>
              <w:bottom w:w="80" w:type="dxa"/>
              <w:right w:w="80" w:type="dxa"/>
            </w:tcMar>
          </w:tcPr>
          <w:p w14:paraId="3E8105DA"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0.62</w:t>
            </w:r>
          </w:p>
        </w:tc>
        <w:tc>
          <w:tcPr>
            <w:tcW w:w="730" w:type="dxa"/>
            <w:shd w:val="clear" w:color="auto" w:fill="auto"/>
            <w:tcMar>
              <w:top w:w="80" w:type="dxa"/>
              <w:left w:w="80" w:type="dxa"/>
              <w:bottom w:w="80" w:type="dxa"/>
              <w:right w:w="80" w:type="dxa"/>
            </w:tcMar>
          </w:tcPr>
          <w:p w14:paraId="76CA53B5"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0.55</w:t>
            </w:r>
          </w:p>
        </w:tc>
        <w:tc>
          <w:tcPr>
            <w:tcW w:w="729" w:type="dxa"/>
            <w:shd w:val="clear" w:color="auto" w:fill="auto"/>
            <w:tcMar>
              <w:top w:w="80" w:type="dxa"/>
              <w:left w:w="80" w:type="dxa"/>
              <w:bottom w:w="80" w:type="dxa"/>
              <w:right w:w="80" w:type="dxa"/>
            </w:tcMar>
          </w:tcPr>
          <w:p w14:paraId="4AFA4CF3"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0.99</w:t>
            </w:r>
          </w:p>
        </w:tc>
        <w:tc>
          <w:tcPr>
            <w:tcW w:w="729" w:type="dxa"/>
            <w:shd w:val="clear" w:color="auto" w:fill="auto"/>
            <w:tcMar>
              <w:top w:w="80" w:type="dxa"/>
              <w:left w:w="80" w:type="dxa"/>
              <w:bottom w:w="80" w:type="dxa"/>
              <w:right w:w="80" w:type="dxa"/>
            </w:tcMar>
          </w:tcPr>
          <w:p w14:paraId="7F66EC67"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0.23</w:t>
            </w:r>
          </w:p>
        </w:tc>
      </w:tr>
      <w:tr w:rsidR="00C603B7" w:rsidRPr="00C603B7" w14:paraId="16CD571A" w14:textId="77777777" w:rsidTr="005B4979">
        <w:trPr>
          <w:trHeight w:val="450"/>
        </w:trPr>
        <w:tc>
          <w:tcPr>
            <w:tcW w:w="916" w:type="dxa"/>
            <w:shd w:val="clear" w:color="auto" w:fill="FBE4D5"/>
            <w:tcMar>
              <w:top w:w="80" w:type="dxa"/>
              <w:left w:w="80" w:type="dxa"/>
              <w:bottom w:w="80" w:type="dxa"/>
              <w:right w:w="80" w:type="dxa"/>
            </w:tcMar>
          </w:tcPr>
          <w:p w14:paraId="428E80A6" w14:textId="77777777" w:rsidR="00C603B7" w:rsidRPr="005B4979" w:rsidRDefault="00C603B7" w:rsidP="00C603B7">
            <w:pPr>
              <w:pBdr>
                <w:top w:val="nil"/>
                <w:left w:val="nil"/>
                <w:bottom w:val="nil"/>
                <w:right w:val="nil"/>
                <w:between w:val="nil"/>
                <w:bar w:val="nil"/>
              </w:pBdr>
              <w:rPr>
                <w:rFonts w:ascii="Calibri" w:eastAsia="Calibri" w:hAnsi="Calibri" w:cs="Calibri"/>
                <w:i/>
                <w:iCs/>
                <w:color w:val="000000"/>
                <w:sz w:val="20"/>
                <w:szCs w:val="20"/>
                <w:u w:color="000000"/>
                <w:bdr w:val="nil"/>
                <w:lang w:val="en-US" w:eastAsia="en-GB"/>
              </w:rPr>
            </w:pPr>
            <w:r w:rsidRPr="005B4979">
              <w:rPr>
                <w:rFonts w:ascii="Calibri" w:eastAsia="Calibri" w:hAnsi="Calibri" w:cs="Calibri"/>
                <w:i/>
                <w:iCs/>
                <w:color w:val="000000"/>
                <w:sz w:val="20"/>
                <w:szCs w:val="20"/>
                <w:u w:color="000000"/>
                <w:bdr w:val="nil"/>
                <w:lang w:val="en-US" w:eastAsia="en-GB"/>
              </w:rPr>
              <w:t>NAA/</w:t>
            </w:r>
          </w:p>
          <w:p w14:paraId="6FEA2D2E" w14:textId="77777777" w:rsidR="00C603B7" w:rsidRPr="005B4979" w:rsidRDefault="00C603B7" w:rsidP="00C603B7">
            <w:pPr>
              <w:pBdr>
                <w:top w:val="nil"/>
                <w:left w:val="nil"/>
                <w:bottom w:val="nil"/>
                <w:right w:val="nil"/>
                <w:between w:val="nil"/>
                <w:bar w:val="nil"/>
              </w:pBdr>
              <w:rPr>
                <w:rFonts w:ascii="Calibri" w:eastAsia="Calibri" w:hAnsi="Calibri" w:cs="Calibri"/>
                <w:color w:val="000000"/>
                <w:u w:color="000000"/>
                <w:bdr w:val="nil"/>
                <w:lang w:val="en-US" w:eastAsia="en-GB"/>
              </w:rPr>
            </w:pPr>
            <w:r w:rsidRPr="005B4979">
              <w:rPr>
                <w:rFonts w:ascii="Calibri" w:eastAsia="Calibri" w:hAnsi="Calibri" w:cs="Calibri"/>
                <w:i/>
                <w:iCs/>
                <w:color w:val="000000"/>
                <w:sz w:val="20"/>
                <w:szCs w:val="20"/>
                <w:u w:color="000000"/>
                <w:bdr w:val="nil"/>
                <w:lang w:val="en-US" w:eastAsia="en-GB"/>
              </w:rPr>
              <w:t>Choline</w:t>
            </w:r>
          </w:p>
        </w:tc>
        <w:tc>
          <w:tcPr>
            <w:tcW w:w="728" w:type="dxa"/>
            <w:shd w:val="clear" w:color="auto" w:fill="FBE4D5"/>
            <w:tcMar>
              <w:top w:w="80" w:type="dxa"/>
              <w:left w:w="80" w:type="dxa"/>
              <w:bottom w:w="80" w:type="dxa"/>
              <w:right w:w="80" w:type="dxa"/>
            </w:tcMar>
          </w:tcPr>
          <w:p w14:paraId="05D4257E" w14:textId="77777777" w:rsidR="00C603B7" w:rsidRPr="00C603B7" w:rsidRDefault="00C603B7" w:rsidP="00C603B7">
            <w:pPr>
              <w:pBdr>
                <w:top w:val="nil"/>
                <w:left w:val="nil"/>
                <w:bottom w:val="nil"/>
                <w:right w:val="nil"/>
                <w:between w:val="nil"/>
                <w:bar w:val="nil"/>
              </w:pBdr>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R</w:t>
            </w:r>
          </w:p>
        </w:tc>
        <w:tc>
          <w:tcPr>
            <w:tcW w:w="728" w:type="dxa"/>
            <w:shd w:val="clear" w:color="auto" w:fill="FBE4D5"/>
            <w:tcMar>
              <w:top w:w="80" w:type="dxa"/>
              <w:left w:w="80" w:type="dxa"/>
              <w:bottom w:w="80" w:type="dxa"/>
              <w:right w:w="80" w:type="dxa"/>
            </w:tcMar>
          </w:tcPr>
          <w:p w14:paraId="36AEF5EA"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-0.13</w:t>
            </w:r>
          </w:p>
        </w:tc>
        <w:tc>
          <w:tcPr>
            <w:tcW w:w="772" w:type="dxa"/>
            <w:shd w:val="clear" w:color="auto" w:fill="FBE4D5"/>
            <w:tcMar>
              <w:top w:w="80" w:type="dxa"/>
              <w:left w:w="80" w:type="dxa"/>
              <w:bottom w:w="80" w:type="dxa"/>
              <w:right w:w="80" w:type="dxa"/>
            </w:tcMar>
          </w:tcPr>
          <w:p w14:paraId="711CF31D"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-0.19</w:t>
            </w:r>
          </w:p>
        </w:tc>
        <w:tc>
          <w:tcPr>
            <w:tcW w:w="771" w:type="dxa"/>
            <w:shd w:val="clear" w:color="auto" w:fill="FBE4D5"/>
            <w:tcMar>
              <w:top w:w="80" w:type="dxa"/>
              <w:left w:w="80" w:type="dxa"/>
              <w:bottom w:w="80" w:type="dxa"/>
              <w:right w:w="80" w:type="dxa"/>
            </w:tcMar>
          </w:tcPr>
          <w:p w14:paraId="7EA788F5"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-0.08</w:t>
            </w:r>
          </w:p>
        </w:tc>
        <w:tc>
          <w:tcPr>
            <w:tcW w:w="728" w:type="dxa"/>
            <w:shd w:val="clear" w:color="auto" w:fill="FBE4D5"/>
            <w:tcMar>
              <w:top w:w="80" w:type="dxa"/>
              <w:left w:w="80" w:type="dxa"/>
              <w:bottom w:w="80" w:type="dxa"/>
              <w:right w:w="80" w:type="dxa"/>
            </w:tcMar>
          </w:tcPr>
          <w:p w14:paraId="7C3E0EB8"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-0.13</w:t>
            </w:r>
          </w:p>
        </w:tc>
        <w:tc>
          <w:tcPr>
            <w:tcW w:w="729" w:type="dxa"/>
            <w:shd w:val="clear" w:color="auto" w:fill="FBE4D5"/>
            <w:tcMar>
              <w:top w:w="80" w:type="dxa"/>
              <w:left w:w="80" w:type="dxa"/>
              <w:bottom w:w="80" w:type="dxa"/>
              <w:right w:w="80" w:type="dxa"/>
            </w:tcMar>
          </w:tcPr>
          <w:p w14:paraId="73C7A273"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-0.01</w:t>
            </w:r>
          </w:p>
        </w:tc>
        <w:tc>
          <w:tcPr>
            <w:tcW w:w="729" w:type="dxa"/>
            <w:shd w:val="clear" w:color="auto" w:fill="FBE4D5"/>
            <w:tcMar>
              <w:top w:w="80" w:type="dxa"/>
              <w:left w:w="80" w:type="dxa"/>
              <w:bottom w:w="80" w:type="dxa"/>
              <w:right w:w="80" w:type="dxa"/>
            </w:tcMar>
          </w:tcPr>
          <w:p w14:paraId="4CB00E7D"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0.06</w:t>
            </w:r>
          </w:p>
        </w:tc>
        <w:tc>
          <w:tcPr>
            <w:tcW w:w="730" w:type="dxa"/>
            <w:shd w:val="clear" w:color="auto" w:fill="FBE4D5"/>
            <w:tcMar>
              <w:top w:w="80" w:type="dxa"/>
              <w:left w:w="80" w:type="dxa"/>
              <w:bottom w:w="80" w:type="dxa"/>
              <w:right w:w="80" w:type="dxa"/>
            </w:tcMar>
          </w:tcPr>
          <w:p w14:paraId="19289CDE"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0.13</w:t>
            </w:r>
          </w:p>
        </w:tc>
        <w:tc>
          <w:tcPr>
            <w:tcW w:w="730" w:type="dxa"/>
            <w:shd w:val="clear" w:color="auto" w:fill="FBE4D5"/>
            <w:tcMar>
              <w:top w:w="80" w:type="dxa"/>
              <w:left w:w="80" w:type="dxa"/>
              <w:bottom w:w="80" w:type="dxa"/>
              <w:right w:w="80" w:type="dxa"/>
            </w:tcMar>
          </w:tcPr>
          <w:p w14:paraId="4616A0C1"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0.04</w:t>
            </w:r>
          </w:p>
        </w:tc>
        <w:tc>
          <w:tcPr>
            <w:tcW w:w="729" w:type="dxa"/>
            <w:shd w:val="clear" w:color="auto" w:fill="FBE4D5"/>
            <w:tcMar>
              <w:top w:w="80" w:type="dxa"/>
              <w:left w:w="80" w:type="dxa"/>
              <w:bottom w:w="80" w:type="dxa"/>
              <w:right w:w="80" w:type="dxa"/>
            </w:tcMar>
          </w:tcPr>
          <w:p w14:paraId="6D21D71D"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0.08</w:t>
            </w:r>
          </w:p>
        </w:tc>
        <w:tc>
          <w:tcPr>
            <w:tcW w:w="729" w:type="dxa"/>
            <w:shd w:val="clear" w:color="auto" w:fill="FBE4D5"/>
            <w:tcMar>
              <w:top w:w="80" w:type="dxa"/>
              <w:left w:w="80" w:type="dxa"/>
              <w:bottom w:w="80" w:type="dxa"/>
              <w:right w:w="80" w:type="dxa"/>
            </w:tcMar>
          </w:tcPr>
          <w:p w14:paraId="46466CEB"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-0.07</w:t>
            </w:r>
          </w:p>
        </w:tc>
      </w:tr>
      <w:tr w:rsidR="00C603B7" w:rsidRPr="00C603B7" w14:paraId="424B8759" w14:textId="77777777" w:rsidTr="005B4979">
        <w:trPr>
          <w:trHeight w:val="230"/>
        </w:trPr>
        <w:tc>
          <w:tcPr>
            <w:tcW w:w="916" w:type="dxa"/>
            <w:shd w:val="clear" w:color="auto" w:fill="auto"/>
            <w:tcMar>
              <w:top w:w="80" w:type="dxa"/>
              <w:left w:w="80" w:type="dxa"/>
              <w:bottom w:w="80" w:type="dxa"/>
              <w:right w:w="80" w:type="dxa"/>
            </w:tcMar>
          </w:tcPr>
          <w:p w14:paraId="5E935137" w14:textId="77777777" w:rsidR="00C603B7" w:rsidRPr="00C603B7" w:rsidRDefault="00C603B7" w:rsidP="00C603B7">
            <w:pPr>
              <w:pBdr>
                <w:top w:val="nil"/>
                <w:left w:val="nil"/>
                <w:bottom w:val="nil"/>
                <w:right w:val="nil"/>
                <w:between w:val="nil"/>
                <w:bar w:val="nil"/>
              </w:pBdr>
              <w:rPr>
                <w:rFonts w:ascii="Calibri" w:eastAsia="Calibri" w:hAnsi="Calibri" w:cs="Calibri"/>
                <w:color w:val="000000"/>
                <w:u w:color="000000"/>
                <w:bdr w:val="nil"/>
                <w:lang w:val="en-US" w:eastAsia="en-GB"/>
              </w:rPr>
            </w:pPr>
            <w:r w:rsidRPr="00C603B7">
              <w:rPr>
                <w:rFonts w:ascii="Calibri" w:eastAsia="Calibri" w:hAnsi="Calibri" w:cs="Calibri"/>
                <w:b/>
                <w:bCs/>
                <w:i/>
                <w:iCs/>
                <w:color w:val="000000"/>
                <w:sz w:val="20"/>
                <w:szCs w:val="20"/>
                <w:u w:color="000000"/>
                <w:bdr w:val="nil"/>
                <w:lang w:val="en-US" w:eastAsia="en-GB"/>
              </w:rPr>
              <w:t> </w:t>
            </w:r>
          </w:p>
        </w:tc>
        <w:tc>
          <w:tcPr>
            <w:tcW w:w="728" w:type="dxa"/>
            <w:shd w:val="clear" w:color="auto" w:fill="auto"/>
            <w:tcMar>
              <w:top w:w="80" w:type="dxa"/>
              <w:left w:w="80" w:type="dxa"/>
              <w:bottom w:w="80" w:type="dxa"/>
              <w:right w:w="80" w:type="dxa"/>
            </w:tcMar>
          </w:tcPr>
          <w:p w14:paraId="549FA3D7" w14:textId="77777777" w:rsidR="00C603B7" w:rsidRPr="00C603B7" w:rsidRDefault="00C603B7" w:rsidP="00C603B7">
            <w:pPr>
              <w:pBdr>
                <w:top w:val="nil"/>
                <w:left w:val="nil"/>
                <w:bottom w:val="nil"/>
                <w:right w:val="nil"/>
                <w:between w:val="nil"/>
                <w:bar w:val="nil"/>
              </w:pBdr>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sig</w:t>
            </w:r>
          </w:p>
        </w:tc>
        <w:tc>
          <w:tcPr>
            <w:tcW w:w="728" w:type="dxa"/>
            <w:shd w:val="clear" w:color="auto" w:fill="auto"/>
            <w:tcMar>
              <w:top w:w="80" w:type="dxa"/>
              <w:left w:w="80" w:type="dxa"/>
              <w:bottom w:w="80" w:type="dxa"/>
              <w:right w:w="80" w:type="dxa"/>
            </w:tcMar>
          </w:tcPr>
          <w:p w14:paraId="0B5D486C"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0.29</w:t>
            </w:r>
          </w:p>
        </w:tc>
        <w:tc>
          <w:tcPr>
            <w:tcW w:w="772" w:type="dxa"/>
            <w:shd w:val="clear" w:color="auto" w:fill="auto"/>
            <w:tcMar>
              <w:top w:w="80" w:type="dxa"/>
              <w:left w:w="80" w:type="dxa"/>
              <w:bottom w:w="80" w:type="dxa"/>
              <w:right w:w="80" w:type="dxa"/>
            </w:tcMar>
          </w:tcPr>
          <w:p w14:paraId="14B01E7F"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0.13</w:t>
            </w:r>
          </w:p>
        </w:tc>
        <w:tc>
          <w:tcPr>
            <w:tcW w:w="771" w:type="dxa"/>
            <w:shd w:val="clear" w:color="auto" w:fill="auto"/>
            <w:tcMar>
              <w:top w:w="80" w:type="dxa"/>
              <w:left w:w="80" w:type="dxa"/>
              <w:bottom w:w="80" w:type="dxa"/>
              <w:right w:w="80" w:type="dxa"/>
            </w:tcMar>
          </w:tcPr>
          <w:p w14:paraId="438E97A6"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0.54</w:t>
            </w:r>
          </w:p>
        </w:tc>
        <w:tc>
          <w:tcPr>
            <w:tcW w:w="728" w:type="dxa"/>
            <w:shd w:val="clear" w:color="auto" w:fill="auto"/>
            <w:tcMar>
              <w:top w:w="80" w:type="dxa"/>
              <w:left w:w="80" w:type="dxa"/>
              <w:bottom w:w="80" w:type="dxa"/>
              <w:right w:w="80" w:type="dxa"/>
            </w:tcMar>
          </w:tcPr>
          <w:p w14:paraId="505C86E8"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0.30</w:t>
            </w:r>
          </w:p>
        </w:tc>
        <w:tc>
          <w:tcPr>
            <w:tcW w:w="729" w:type="dxa"/>
            <w:shd w:val="clear" w:color="auto" w:fill="auto"/>
            <w:tcMar>
              <w:top w:w="80" w:type="dxa"/>
              <w:left w:w="80" w:type="dxa"/>
              <w:bottom w:w="80" w:type="dxa"/>
              <w:right w:w="80" w:type="dxa"/>
            </w:tcMar>
          </w:tcPr>
          <w:p w14:paraId="08B056B0"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0.96</w:t>
            </w:r>
          </w:p>
        </w:tc>
        <w:tc>
          <w:tcPr>
            <w:tcW w:w="729" w:type="dxa"/>
            <w:shd w:val="clear" w:color="auto" w:fill="auto"/>
            <w:tcMar>
              <w:top w:w="80" w:type="dxa"/>
              <w:left w:w="80" w:type="dxa"/>
              <w:bottom w:w="80" w:type="dxa"/>
              <w:right w:w="80" w:type="dxa"/>
            </w:tcMar>
          </w:tcPr>
          <w:p w14:paraId="6FFA60B2"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0.63</w:t>
            </w:r>
          </w:p>
        </w:tc>
        <w:tc>
          <w:tcPr>
            <w:tcW w:w="730" w:type="dxa"/>
            <w:shd w:val="clear" w:color="auto" w:fill="auto"/>
            <w:tcMar>
              <w:top w:w="80" w:type="dxa"/>
              <w:left w:w="80" w:type="dxa"/>
              <w:bottom w:w="80" w:type="dxa"/>
              <w:right w:w="80" w:type="dxa"/>
            </w:tcMar>
          </w:tcPr>
          <w:p w14:paraId="735C86CB"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0.30</w:t>
            </w:r>
          </w:p>
        </w:tc>
        <w:tc>
          <w:tcPr>
            <w:tcW w:w="730" w:type="dxa"/>
            <w:shd w:val="clear" w:color="auto" w:fill="auto"/>
            <w:tcMar>
              <w:top w:w="80" w:type="dxa"/>
              <w:left w:w="80" w:type="dxa"/>
              <w:bottom w:w="80" w:type="dxa"/>
              <w:right w:w="80" w:type="dxa"/>
            </w:tcMar>
          </w:tcPr>
          <w:p w14:paraId="3FAC1CF2"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0.77</w:t>
            </w:r>
          </w:p>
        </w:tc>
        <w:tc>
          <w:tcPr>
            <w:tcW w:w="729" w:type="dxa"/>
            <w:shd w:val="clear" w:color="auto" w:fill="auto"/>
            <w:tcMar>
              <w:top w:w="80" w:type="dxa"/>
              <w:left w:w="80" w:type="dxa"/>
              <w:bottom w:w="80" w:type="dxa"/>
              <w:right w:w="80" w:type="dxa"/>
            </w:tcMar>
          </w:tcPr>
          <w:p w14:paraId="48DF4BDA"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0.53</w:t>
            </w:r>
          </w:p>
        </w:tc>
        <w:tc>
          <w:tcPr>
            <w:tcW w:w="729" w:type="dxa"/>
            <w:shd w:val="clear" w:color="auto" w:fill="auto"/>
            <w:tcMar>
              <w:top w:w="80" w:type="dxa"/>
              <w:left w:w="80" w:type="dxa"/>
              <w:bottom w:w="80" w:type="dxa"/>
              <w:right w:w="80" w:type="dxa"/>
            </w:tcMar>
          </w:tcPr>
          <w:p w14:paraId="396DBF2A" w14:textId="77777777" w:rsidR="00C603B7" w:rsidRPr="00C603B7" w:rsidRDefault="00C603B7" w:rsidP="00C603B7">
            <w:pPr>
              <w:pBdr>
                <w:top w:val="nil"/>
                <w:left w:val="nil"/>
                <w:bottom w:val="nil"/>
                <w:right w:val="nil"/>
                <w:between w:val="nil"/>
                <w:bar w:val="nil"/>
              </w:pBdr>
              <w:jc w:val="right"/>
              <w:rPr>
                <w:rFonts w:ascii="Calibri" w:eastAsia="Calibri" w:hAnsi="Calibri" w:cs="Calibri"/>
                <w:color w:val="000000"/>
                <w:u w:color="000000"/>
                <w:bdr w:val="nil"/>
                <w:lang w:val="en-US" w:eastAsia="en-GB"/>
              </w:rPr>
            </w:pPr>
            <w:r w:rsidRPr="00C603B7">
              <w:rPr>
                <w:rFonts w:ascii="Calibri" w:eastAsia="Calibri" w:hAnsi="Calibri" w:cs="Calibri"/>
                <w:i/>
                <w:iCs/>
                <w:color w:val="000000"/>
                <w:sz w:val="20"/>
                <w:szCs w:val="20"/>
                <w:u w:color="000000"/>
                <w:bdr w:val="nil"/>
                <w:lang w:val="en-US" w:eastAsia="en-GB"/>
              </w:rPr>
              <w:t>0.64</w:t>
            </w:r>
          </w:p>
        </w:tc>
      </w:tr>
    </w:tbl>
    <w:p w14:paraId="66943A0C" w14:textId="77777777" w:rsidR="00C603B7" w:rsidRPr="00C603B7" w:rsidRDefault="00C603B7" w:rsidP="00C603B7">
      <w:pPr>
        <w:pBdr>
          <w:top w:val="nil"/>
          <w:left w:val="nil"/>
          <w:bottom w:val="nil"/>
          <w:right w:val="nil"/>
          <w:between w:val="nil"/>
          <w:bar w:val="nil"/>
        </w:pBdr>
        <w:rPr>
          <w:rFonts w:eastAsia="Arial Unicode MS" w:cs="Arial Unicode MS"/>
          <w:i/>
          <w:iCs/>
          <w:color w:val="44546A"/>
          <w:u w:color="44546A"/>
          <w:bdr w:val="nil"/>
          <w:lang w:val="en-US" w:eastAsia="en-GB"/>
        </w:rPr>
      </w:pPr>
    </w:p>
    <w:p w14:paraId="5B9A4A0F" w14:textId="5D0DD2B9" w:rsidR="00C603B7" w:rsidRPr="00C603B7" w:rsidRDefault="00C603B7" w:rsidP="00CA5198">
      <w:pPr>
        <w:pStyle w:val="Subtitle"/>
      </w:pPr>
      <w:bookmarkStart w:id="538" w:name="_Toc50070094"/>
      <w:bookmarkStart w:id="539" w:name="_Toc64724230"/>
      <w:r w:rsidRPr="00C603B7">
        <w:t>Figure 6.</w:t>
      </w:r>
      <w:r w:rsidR="00244F2F">
        <w:t>4</w:t>
      </w:r>
      <w:r w:rsidRPr="00C603B7">
        <w:t xml:space="preserve">. </w:t>
      </w:r>
      <w:r w:rsidR="00CB2F95">
        <w:t xml:space="preserve">Scatter </w:t>
      </w:r>
      <w:r w:rsidR="00C166B1">
        <w:t>P</w:t>
      </w:r>
      <w:r w:rsidR="00CB2F95">
        <w:t>lot</w:t>
      </w:r>
      <w:r w:rsidRPr="00C603B7">
        <w:t xml:space="preserve"> </w:t>
      </w:r>
      <w:r w:rsidR="00C166B1">
        <w:t>for</w:t>
      </w:r>
      <w:r w:rsidRPr="00C603B7">
        <w:t xml:space="preserve"> the </w:t>
      </w:r>
      <w:r w:rsidR="00C166B1">
        <w:t>R</w:t>
      </w:r>
      <w:r w:rsidRPr="00C603B7">
        <w:t xml:space="preserve">elationship between NAA/Creatine </w:t>
      </w:r>
      <w:r w:rsidR="00C166B1">
        <w:t>R</w:t>
      </w:r>
      <w:r w:rsidRPr="00C603B7">
        <w:t xml:space="preserve">atio and State Trait </w:t>
      </w:r>
      <w:r w:rsidR="000D2A51">
        <w:t>A</w:t>
      </w:r>
      <w:r w:rsidRPr="00C603B7">
        <w:t xml:space="preserve">nxiety </w:t>
      </w:r>
      <w:r w:rsidR="000D2A51">
        <w:t>I</w:t>
      </w:r>
      <w:r w:rsidRPr="00C603B7">
        <w:t>nventory-</w:t>
      </w:r>
      <w:r w:rsidR="00C166B1">
        <w:t xml:space="preserve"> </w:t>
      </w:r>
      <w:r w:rsidRPr="00C603B7">
        <w:t>State score.</w:t>
      </w:r>
      <w:bookmarkEnd w:id="538"/>
      <w:bookmarkEnd w:id="539"/>
      <w:r w:rsidRPr="00C603B7">
        <w:t xml:space="preserve">  </w:t>
      </w:r>
    </w:p>
    <w:p w14:paraId="3B3AB316" w14:textId="1F22CCCE" w:rsidR="00C603B7" w:rsidRPr="00C603B7" w:rsidRDefault="000D2A51" w:rsidP="00C603B7">
      <w:pPr>
        <w:pBdr>
          <w:top w:val="nil"/>
          <w:left w:val="nil"/>
          <w:bottom w:val="nil"/>
          <w:right w:val="nil"/>
          <w:between w:val="nil"/>
          <w:bar w:val="nil"/>
        </w:pBdr>
        <w:rPr>
          <w:rFonts w:ascii="Calibri" w:eastAsia="Calibri" w:hAnsi="Calibri" w:cs="Calibri"/>
          <w:color w:val="000000"/>
          <w:u w:color="000000"/>
          <w:bdr w:val="nil"/>
          <w:lang w:val="en-US" w:eastAsia="en-GB"/>
        </w:rPr>
      </w:pPr>
      <w:r w:rsidRPr="000D2A51">
        <w:rPr>
          <w:rFonts w:ascii="Calibri" w:eastAsia="Calibri" w:hAnsi="Calibri" w:cs="Calibri"/>
          <w:noProof/>
          <w:color w:val="000000"/>
          <w:u w:color="000000"/>
          <w:bdr w:val="nil"/>
          <w:lang w:val="en-US" w:eastAsia="en-GB"/>
        </w:rPr>
        <w:drawing>
          <wp:inline distT="0" distB="0" distL="0" distR="0" wp14:anchorId="11D9FD83" wp14:editId="72DF500C">
            <wp:extent cx="5422900" cy="3200400"/>
            <wp:effectExtent l="0" t="0" r="0" b="0"/>
            <wp:docPr id="1073741885" name="Picture 107374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422900" cy="3200400"/>
                    </a:xfrm>
                    <a:prstGeom prst="rect">
                      <a:avLst/>
                    </a:prstGeom>
                  </pic:spPr>
                </pic:pic>
              </a:graphicData>
            </a:graphic>
          </wp:inline>
        </w:drawing>
      </w:r>
    </w:p>
    <w:p w14:paraId="55F52124" w14:textId="36E371E7" w:rsidR="00C603B7" w:rsidRPr="00C603B7" w:rsidRDefault="00C603B7" w:rsidP="00CA5198">
      <w:pPr>
        <w:pStyle w:val="Heading2"/>
      </w:pPr>
      <w:bookmarkStart w:id="540" w:name="_Toc50070049"/>
      <w:bookmarkStart w:id="541" w:name="_Toc64723976"/>
      <w:r w:rsidRPr="00C603B7">
        <w:t>Discussion:</w:t>
      </w:r>
      <w:bookmarkEnd w:id="540"/>
      <w:bookmarkEnd w:id="541"/>
      <w:r w:rsidRPr="00C603B7">
        <w:t xml:space="preserve"> </w:t>
      </w:r>
    </w:p>
    <w:p w14:paraId="38054D3A" w14:textId="01747E02" w:rsidR="00C603B7" w:rsidRPr="00C603B7" w:rsidRDefault="00C603B7" w:rsidP="00C603B7">
      <w:pPr>
        <w:pBdr>
          <w:top w:val="nil"/>
          <w:left w:val="nil"/>
          <w:bottom w:val="nil"/>
          <w:right w:val="nil"/>
          <w:between w:val="nil"/>
          <w:bar w:val="nil"/>
        </w:pBdr>
        <w:spacing w:line="360" w:lineRule="auto"/>
        <w:rPr>
          <w:rFonts w:eastAsia="Arial" w:cs="Arial"/>
          <w:color w:val="000000"/>
          <w:u w:color="000000"/>
          <w:bdr w:val="nil"/>
          <w:lang w:val="en-US" w:eastAsia="en-GB"/>
        </w:rPr>
      </w:pPr>
      <w:r w:rsidRPr="00C603B7">
        <w:rPr>
          <w:rFonts w:eastAsia="Calibri" w:cs="Calibri"/>
          <w:color w:val="000000"/>
          <w:u w:color="000000"/>
          <w:bdr w:val="nil"/>
          <w:lang w:val="en-US" w:eastAsia="en-GB"/>
        </w:rPr>
        <w:t xml:space="preserve">We had </w:t>
      </w:r>
      <w:proofErr w:type="spellStart"/>
      <w:r w:rsidRPr="00C603B7">
        <w:rPr>
          <w:rFonts w:eastAsia="Calibri" w:cs="Calibri"/>
          <w:color w:val="000000"/>
          <w:u w:color="000000"/>
          <w:bdr w:val="nil"/>
          <w:lang w:val="en-US" w:eastAsia="en-GB"/>
        </w:rPr>
        <w:t>hypothesised</w:t>
      </w:r>
      <w:proofErr w:type="spellEnd"/>
      <w:r w:rsidRPr="00C603B7">
        <w:rPr>
          <w:rFonts w:eastAsia="Calibri" w:cs="Calibri"/>
          <w:color w:val="000000"/>
          <w:u w:color="000000"/>
          <w:bdr w:val="nil"/>
          <w:lang w:val="en-US" w:eastAsia="en-GB"/>
        </w:rPr>
        <w:t xml:space="preserve"> that there may be a correlation between thalamic </w:t>
      </w:r>
      <w:r w:rsidR="00A33050">
        <w:rPr>
          <w:vertAlign w:val="superscript"/>
        </w:rPr>
        <w:t>1</w:t>
      </w:r>
      <w:r w:rsidR="00A33050" w:rsidRPr="00427FEA">
        <w:t>H</w:t>
      </w:r>
      <w:r w:rsidR="00A33050">
        <w:t>-</w:t>
      </w:r>
      <w:r w:rsidR="00A33050" w:rsidRPr="00427FEA">
        <w:t>MRS</w:t>
      </w:r>
      <w:r w:rsidRPr="00C603B7">
        <w:rPr>
          <w:rFonts w:eastAsia="Calibri" w:cs="Calibri"/>
          <w:color w:val="000000"/>
          <w:u w:color="000000"/>
          <w:bdr w:val="nil"/>
          <w:lang w:val="en-US" w:eastAsia="en-GB"/>
        </w:rPr>
        <w:t xml:space="preserve"> metabolite ratios (indirect measures of neuronal function) and a perfusion parameter (DSC-MRI) of the thalamus. However, the measured spectroscopy ratios were not </w:t>
      </w:r>
      <w:r w:rsidRPr="00C603B7">
        <w:rPr>
          <w:rFonts w:eastAsia="Calibri" w:cs="Calibri"/>
          <w:color w:val="000000"/>
          <w:u w:color="000000"/>
          <w:bdr w:val="nil"/>
          <w:lang w:val="en-US" w:eastAsia="en-GB"/>
        </w:rPr>
        <w:lastRenderedPageBreak/>
        <w:t xml:space="preserve">correlated with perfusion parameters in this study.  Previously, Gandhi </w:t>
      </w:r>
      <w:r w:rsidRPr="00C603B7">
        <w:rPr>
          <w:rFonts w:eastAsia="Arial" w:cs="Arial"/>
          <w:color w:val="000000"/>
          <w:u w:color="000000"/>
          <w:bdr w:val="nil"/>
          <w:lang w:val="en-US" w:eastAsia="en-GB"/>
        </w:rPr>
        <w:fldChar w:fldCharType="begin"/>
      </w:r>
      <w:r w:rsidRPr="00C603B7">
        <w:rPr>
          <w:rFonts w:eastAsia="Arial" w:cs="Arial"/>
          <w:color w:val="000000"/>
          <w:u w:color="000000"/>
          <w:bdr w:val="nil"/>
          <w:lang w:val="en-US" w:eastAsia="en-GB"/>
        </w:rPr>
        <w:instrText xml:space="preserve"> ADDIN EN.CITE &lt;EndNote&gt;&lt;Cite ExcludeAuth="1" &gt;&lt;Author&gt;Gandhi&lt;/Author&gt;&lt;Year&gt;2013&lt;/Year&gt;&lt;RecNum&gt;1209&lt;/RecNum&gt;&lt;DisplayText&gt;(2013)&lt;/DisplayText&gt;&lt;record&gt;&lt;titles&gt;&lt;title&gt;Insights into the Pathogenesis of Painful and Painless Diabetic Neuropathy&lt;/title&gt;&lt;/titles&gt;&lt;contributors&gt;&lt;authors&gt;&lt;author&gt;Gandhi, Rajiv&lt;/author&gt;&lt;/authors&gt;&lt;/contributors&gt;&lt;added-date format="utc"&gt;1573829160&lt;/added-date&gt;&lt;ref-type name="Generic"&gt;13&lt;/ref-type&gt;&lt;dates&gt;&lt;year&gt;2013&lt;/year&gt;&lt;/dates&gt;&lt;rec-number&gt;1209&lt;/rec-number&gt;&lt;publisher&gt;University of Sheffield;Biomedical Science (Sheffield); 2013&lt;/publisher&gt;&lt;last-updated-date format="utc"&gt;1573829160&lt;/last-updated-date&gt;&lt;/record&gt;&lt;/Cite&gt;&lt;/EndNote&gt;</w:instrText>
      </w:r>
      <w:r w:rsidRPr="00C603B7">
        <w:rPr>
          <w:rFonts w:eastAsia="Arial" w:cs="Arial"/>
          <w:color w:val="000000"/>
          <w:u w:color="000000"/>
          <w:bdr w:val="nil"/>
          <w:lang w:val="en-US" w:eastAsia="en-GB"/>
        </w:rPr>
        <w:fldChar w:fldCharType="separate"/>
      </w:r>
      <w:r w:rsidRPr="00C603B7">
        <w:rPr>
          <w:rFonts w:eastAsia="Calibri" w:cs="Calibri"/>
          <w:color w:val="000000"/>
          <w:u w:color="000000"/>
          <w:bdr w:val="nil"/>
          <w:lang w:val="en-US" w:eastAsia="en-GB"/>
        </w:rPr>
        <w:t>(2013)</w:t>
      </w:r>
      <w:r w:rsidRPr="00C603B7">
        <w:rPr>
          <w:rFonts w:eastAsia="Arial" w:cs="Arial"/>
          <w:color w:val="000000"/>
          <w:u w:color="000000"/>
          <w:bdr w:val="nil"/>
          <w:lang w:val="en-US" w:eastAsia="en-GB"/>
        </w:rPr>
        <w:fldChar w:fldCharType="end"/>
      </w:r>
      <w:r w:rsidRPr="00C603B7">
        <w:rPr>
          <w:rFonts w:eastAsia="Calibri" w:cs="Calibri"/>
          <w:color w:val="000000"/>
          <w:u w:color="000000"/>
          <w:bdr w:val="nil"/>
          <w:lang w:val="en-US" w:eastAsia="en-GB"/>
        </w:rPr>
        <w:t>, using a 1.5T MR scanner, had reported a significant difference of the mean NAA/Cr ratio between HV and DPN groups, but no difference between the P-DPN and HV groups. It was postulated that a normal NAA/Cr ratio indicating preserved neuronal function in P-DPN may be a requirement for the perception of pain. However, none of the perfusion measures reached or approached significance for correlation with measured metabolites in our study.</w:t>
      </w:r>
    </w:p>
    <w:p w14:paraId="7C0BA420" w14:textId="25DD7AE8" w:rsidR="00C603B7" w:rsidRPr="00C603B7" w:rsidRDefault="00C603B7" w:rsidP="00C603B7">
      <w:pPr>
        <w:pBdr>
          <w:top w:val="nil"/>
          <w:left w:val="nil"/>
          <w:bottom w:val="nil"/>
          <w:right w:val="nil"/>
          <w:between w:val="nil"/>
          <w:bar w:val="nil"/>
        </w:pBdr>
        <w:spacing w:line="360" w:lineRule="auto"/>
        <w:rPr>
          <w:rFonts w:eastAsia="Arial" w:cs="Arial"/>
          <w:color w:val="000000"/>
          <w:u w:color="000000"/>
          <w:bdr w:val="nil"/>
          <w:lang w:val="en-US" w:eastAsia="en-GB"/>
        </w:rPr>
      </w:pPr>
      <w:r w:rsidRPr="00C603B7">
        <w:rPr>
          <w:rFonts w:eastAsia="Calibri" w:cs="Calibri"/>
          <w:color w:val="000000"/>
          <w:u w:color="000000"/>
          <w:bdr w:val="nil"/>
          <w:lang w:val="en-US" w:eastAsia="en-GB"/>
        </w:rPr>
        <w:t xml:space="preserve">Studies in other pathologies show that there is a correlation between NAA levels and hypo-perfusion </w:t>
      </w:r>
      <w:r w:rsidRPr="00C603B7">
        <w:rPr>
          <w:rFonts w:eastAsia="Arial" w:cs="Arial"/>
          <w:color w:val="000000"/>
          <w:u w:color="000000"/>
          <w:bdr w:val="nil"/>
          <w:lang w:val="it-IT" w:eastAsia="en-GB"/>
        </w:rPr>
        <w:fldChar w:fldCharType="begin"/>
      </w:r>
      <w:r w:rsidRPr="00C603B7">
        <w:rPr>
          <w:rFonts w:eastAsia="Arial" w:cs="Arial"/>
          <w:color w:val="000000"/>
          <w:u w:color="000000"/>
          <w:bdr w:val="nil"/>
          <w:lang w:val="it-IT" w:eastAsia="en-GB"/>
        </w:rPr>
        <w:instrText xml:space="preserve"> ADDIN EN.CITE &lt;EndNote&gt;&lt;Cite  &gt;&lt;Author&gt;Cvoro&lt;/Author&gt;&lt;Year&gt;2010&lt;/Year&gt;&lt;RecNum&gt;1196&lt;/RecNum&gt;&lt;DisplayText&gt;(Cvoro et al., 2010, Wagner et al., 2013)&lt;/DisplayText&gt;&lt;record&gt;&lt;keywords&gt;&lt;keyword&gt;Acute Ischaemic Stroke&lt;/keyword&gt;&lt;keyword&gt;Diffusion Imaging&lt;/keyword&gt;&lt;keyword&gt;Magnetic Resonance Imaging&lt;/keyword&gt;&lt;keyword&gt;Penumbra&lt;/keyword&gt;&lt;keyword&gt;Perfusion Imaging&lt;/keyword&gt;&lt;keyword&gt;Mrs&lt;/keyword&gt;&lt;keyword&gt;Stroke&lt;/keyword&gt;&lt;keyword&gt;Mri&lt;/keyword&gt;&lt;/keywords&gt;&lt;isbn&gt;0022-3050&amp;#13;00223050&lt;/isbn&gt;&lt;titles&gt;&lt;title&gt;MR diffusion and perfusion parameters: relationship to metabolites in acute ischaemic stroke&lt;/title&gt;&lt;secondary-title&gt;Journal of Neurology, Neurosurgery &amp;amp; Psychiatry&lt;/secondary-title&gt;&lt;/titles&gt;&lt;pages&gt;185&lt;/pages&gt;&lt;number&gt;2&lt;/number&gt;&lt;contributors&gt;&lt;authors&gt;&lt;author&gt;Cvoro, Vera&lt;/author&gt;&lt;author&gt;Marshall, Ian&lt;/author&gt;&lt;author&gt;Armitage, Paul A.&lt;/author&gt;&lt;author&gt;Bastin, Mark E.&lt;/author&gt;&lt;author&gt;Carpenter, Trevor&lt;/author&gt;&lt;author&gt;Rivers, Carly S.&lt;/author&gt;&lt;author&gt;Dennis, Martin S.&lt;/author&gt;&lt;author&gt;Wardlaw, Joanna M.&lt;/author&gt;&lt;/authors&gt;&lt;/contributors&gt;&lt;added-date format="utc"&gt;1573814658&lt;/added-date&gt;&lt;ref-type name="Journal Article"&gt;17&lt;/ref-type&gt;&lt;dates&gt;&lt;year&gt;2010&lt;/year&gt;&lt;/dates&gt;&lt;rec-number&gt;1196&lt;/rec-number&gt;&lt;publisher&gt;BMJ Publishing Group Ltd&lt;/publisher&gt;&lt;last-updated-date format="utc"&gt;1573814658&lt;/last-updated-date&gt;&lt;electronic-resource-num&gt;10.1136/jnnp.2008.168393&lt;/electronic-resource-num&gt;&lt;volume&gt;81&lt;/volume&gt;&lt;/record&gt;&lt;/Cite&gt;&lt;Cite  &gt;&lt;Author&gt;Wagner&lt;/Author&gt;&lt;Year&gt;2013&lt;/Year&gt;&lt;record&gt;&lt;keywords&gt;&lt;keyword&gt;Adult–Analogs &amp;amp; Derivatives&lt;/keyword&gt;&lt;keyword&gt;Aged–Metabolism&lt;/keyword&gt;&lt;keyword&gt;Aged, 80 and Over–Metabolism&lt;/keyword&gt;&lt;keyword&gt;Aspartic Acid–Metabolism&lt;/keyword&gt;&lt;keyword&gt;Biomarkers–Pathology&lt;/keyword&gt;&lt;keyword&gt;Brain–Metabolism&lt;/keyword&gt;&lt;keyword&gt;Brain Injuries–Pathology&lt;/keyword&gt;&lt;keyword&gt;Cerebrovascular Disorders–Metabolism&lt;/keyword&gt;&lt;keyword&gt;Female–Pathology&lt;/keyword&gt;&lt;keyword&gt;Glutamine–Metabolism&lt;/keyword&gt;&lt;keyword&gt;Humans–Methods&lt;/keyword&gt;&lt;keyword&gt;Magnetic Resonance Imaging–Methods&lt;/keyword&gt;&lt;keyword&gt;Magnetic Resonance Spectroscopy–Metabolism&lt;/keyword&gt;&lt;keyword&gt;Male–Pathology&lt;/keyword&gt;&lt;keyword&gt;Middle Aged–Metabolism&lt;/keyword&gt;&lt;keyword&gt;Mitochondria–Pathology&lt;/keyword&gt;&lt;keyword&gt;Neurons–Metabolism&lt;/keyword&gt;&lt;keyword&gt;Protons–Pathology&lt;/keyword&gt;&lt;keyword&gt;Subarachnoid Hemorrhage–Pathology&lt;/keyword&gt;&lt;keyword&gt;Biomarkers&lt;/keyword&gt;&lt;keyword&gt;Protons&lt;/keyword&gt;&lt;keyword&gt;Glutamine&lt;/keyword&gt;&lt;keyword&gt;Aspartic Acid&lt;/keyword&gt;&lt;keyword&gt;N-Acetylaspartate&lt;/keyword&gt;&lt;/keywords&gt;&lt;isbn&gt;01956108&lt;/isbn&gt;&lt;titles&gt;&lt;title&gt;Metabolic changes in patients with aneurysmal subarachnoid hemorrhage apart from perfusion deficits: neuronal mitochondrial injury?&lt;/title&gt;&lt;secondary-title&gt;AJNR. American journal of neuroradiology&lt;/secondary-title&gt;&lt;/titles&gt;&lt;pages&gt;1535-1541&lt;/pages&gt;&lt;number&gt;8&lt;/number&gt;&lt;contributors&gt;&lt;authors&gt;&lt;author&gt;Wagner, M.&lt;/author&gt;&lt;author&gt;Jurcoane, A.&lt;/author&gt;&lt;author&gt;Hildebrand, C.&lt;/author&gt;&lt;author&gt;Güresir, E.&lt;/author&gt;&lt;author&gt;Vatter, H.&lt;/author&gt;&lt;author&gt;Zanella, F. E.&lt;/author&gt;&lt;author&gt;Berkefeld, J.&lt;/author&gt;&lt;author&gt;Pilatus, U.&lt;/author&gt;&lt;author&gt;Hattingen, E.&lt;/author&gt;&lt;/authors&gt;&lt;/contributors&gt;&lt;added-date format="utc"&gt;1573814305&lt;/added-date&gt;&lt;ref-type name="Journal Article"&gt;17&lt;/ref-type&gt;&lt;dates&gt;&lt;year&gt;2013&lt;/year&gt;&lt;/dates&gt;&lt;rec-number&gt;1195&lt;/rec-number&gt;&lt;last-updated-date format="utc"&gt;1573814305&lt;/last-updated-date&gt;&lt;contributors&gt;&lt;secondary-authors&gt;&lt;author&gt;Wagner, M.&lt;/author&gt;&lt;/secondary-authors&gt;&lt;/contributors&gt;&lt;electronic-resource-num&gt;10.3174/ajnr.A3420&lt;/electronic-resource-num&gt;&lt;/record&gt;&lt;/Cite&gt;&lt;/EndNote&gt;</w:instrText>
      </w:r>
      <w:r w:rsidRPr="00C603B7">
        <w:rPr>
          <w:rFonts w:eastAsia="Arial" w:cs="Arial"/>
          <w:color w:val="000000"/>
          <w:u w:color="000000"/>
          <w:bdr w:val="nil"/>
          <w:lang w:val="it-IT" w:eastAsia="en-GB"/>
        </w:rPr>
        <w:fldChar w:fldCharType="separate"/>
      </w:r>
      <w:r w:rsidRPr="00C603B7">
        <w:rPr>
          <w:rFonts w:eastAsia="Calibri" w:cs="Calibri"/>
          <w:color w:val="000000"/>
          <w:u w:color="000000"/>
          <w:bdr w:val="nil"/>
          <w:lang w:val="it-IT" w:eastAsia="en-GB"/>
        </w:rPr>
        <w:t>(Cvoro et al., 2010, Wagner et al., 2013)</w:t>
      </w:r>
      <w:r w:rsidRPr="00C603B7">
        <w:rPr>
          <w:rFonts w:eastAsia="Arial" w:cs="Arial"/>
          <w:color w:val="000000"/>
          <w:u w:color="000000"/>
          <w:bdr w:val="nil"/>
          <w:lang w:val="it-IT" w:eastAsia="en-GB"/>
        </w:rPr>
        <w:fldChar w:fldCharType="end"/>
      </w:r>
      <w:r w:rsidRPr="00C603B7">
        <w:rPr>
          <w:rFonts w:eastAsia="Calibri" w:cs="Calibri"/>
          <w:color w:val="000000"/>
          <w:u w:color="000000"/>
          <w:bdr w:val="nil"/>
          <w:lang w:val="en-US" w:eastAsia="en-GB"/>
        </w:rPr>
        <w:t xml:space="preserve">.  A study comparing MR diffusion and perfusion parameters and their relationship to metabolites after acute </w:t>
      </w:r>
      <w:proofErr w:type="spellStart"/>
      <w:r w:rsidRPr="00C603B7">
        <w:rPr>
          <w:rFonts w:eastAsia="Calibri" w:cs="Calibri"/>
          <w:color w:val="000000"/>
          <w:u w:color="000000"/>
          <w:bdr w:val="nil"/>
          <w:lang w:val="en-US" w:eastAsia="en-GB"/>
        </w:rPr>
        <w:t>ischaemic</w:t>
      </w:r>
      <w:proofErr w:type="spellEnd"/>
      <w:r w:rsidRPr="00C603B7">
        <w:rPr>
          <w:rFonts w:eastAsia="Calibri" w:cs="Calibri"/>
          <w:color w:val="000000"/>
          <w:u w:color="000000"/>
          <w:bdr w:val="nil"/>
          <w:lang w:val="en-US" w:eastAsia="en-GB"/>
        </w:rPr>
        <w:t xml:space="preserve"> stroke, found that NAA differentiated “definitely” and “possibly” abnormal brain tissue seen on perfusion studies including DSC-MRI </w:t>
      </w:r>
      <w:r w:rsidRPr="00C603B7">
        <w:rPr>
          <w:rFonts w:eastAsia="Arial" w:cs="Arial"/>
          <w:color w:val="000000"/>
          <w:u w:color="000000"/>
          <w:bdr w:val="nil"/>
          <w:lang w:val="it-IT" w:eastAsia="en-GB"/>
        </w:rPr>
        <w:fldChar w:fldCharType="begin"/>
      </w:r>
      <w:r w:rsidRPr="00C603B7">
        <w:rPr>
          <w:rFonts w:eastAsia="Arial" w:cs="Arial"/>
          <w:color w:val="000000"/>
          <w:u w:color="000000"/>
          <w:bdr w:val="nil"/>
          <w:lang w:val="it-IT" w:eastAsia="en-GB"/>
        </w:rPr>
        <w:instrText xml:space="preserve"> ADDIN EN.CITE &lt;EndNote&gt;&lt;Cite  &gt;&lt;Author&gt;Cvoro&lt;/Author&gt;&lt;Year&gt;2010&lt;/Year&gt;&lt;RecNum&gt;1196&lt;/RecNum&gt;&lt;DisplayText&gt;(Cvoro et al., 2010)&lt;/DisplayText&gt;&lt;record&gt;&lt;keywords&gt;&lt;keyword&gt;Acute Ischaemic Stroke&lt;/keyword&gt;&lt;keyword&gt;Diffusion Imaging&lt;/keyword&gt;&lt;keyword&gt;Magnetic Resonance Imaging&lt;/keyword&gt;&lt;keyword&gt;Penumbra&lt;/keyword&gt;&lt;keyword&gt;Perfusion Imaging&lt;/keyword&gt;&lt;keyword&gt;Mrs&lt;/keyword&gt;&lt;keyword&gt;Stroke&lt;/keyword&gt;&lt;keyword&gt;Mri&lt;/keyword&gt;&lt;/keywords&gt;&lt;isbn&gt;0022-3050&amp;#13;00223050&lt;/isbn&gt;&lt;titles&gt;&lt;title&gt;MR diffusion and perfusion parameters: relationship to metabolites in acute ischaemic stroke&lt;/title&gt;&lt;secondary-title&gt;Journal of Neurology, Neurosurgery &amp;amp; Psychiatry&lt;/secondary-title&gt;&lt;/titles&gt;&lt;pages&gt;185&lt;/pages&gt;&lt;number&gt;2&lt;/number&gt;&lt;contributors&gt;&lt;authors&gt;&lt;author&gt;Cvoro, Vera&lt;/author&gt;&lt;author&gt;Marshall, Ian&lt;/author&gt;&lt;author&gt;Armitage, Paul A.&lt;/author&gt;&lt;author&gt;Bastin, Mark E.&lt;/author&gt;&lt;author&gt;Carpenter, Trevor&lt;/author&gt;&lt;author&gt;Rivers, Carly S.&lt;/author&gt;&lt;author&gt;Dennis, Martin S.&lt;/author&gt;&lt;author&gt;Wardlaw, Joanna M.&lt;/author&gt;&lt;/authors&gt;&lt;/contributors&gt;&lt;added-date format="utc"&gt;1573814658&lt;/added-date&gt;&lt;ref-type name="Journal Article"&gt;17&lt;/ref-type&gt;&lt;dates&gt;&lt;year&gt;2010&lt;/year&gt;&lt;/dates&gt;&lt;rec-number&gt;1196&lt;/rec-number&gt;&lt;publisher&gt;BMJ Publishing Group Ltd&lt;/publisher&gt;&lt;last-updated-date format="utc"&gt;1573814658&lt;/last-updated-date&gt;&lt;electronic-resource-num&gt;10.1136/jnnp.2008.168393&lt;/electronic-resource-num&gt;&lt;volume&gt;81&lt;/volume&gt;&lt;/record&gt;&lt;/Cite&gt;&lt;/EndNote&gt;</w:instrText>
      </w:r>
      <w:r w:rsidRPr="00C603B7">
        <w:rPr>
          <w:rFonts w:eastAsia="Arial" w:cs="Arial"/>
          <w:color w:val="000000"/>
          <w:u w:color="000000"/>
          <w:bdr w:val="nil"/>
          <w:lang w:val="it-IT" w:eastAsia="en-GB"/>
        </w:rPr>
        <w:fldChar w:fldCharType="separate"/>
      </w:r>
      <w:r w:rsidRPr="00C603B7">
        <w:rPr>
          <w:rFonts w:eastAsia="Calibri" w:cs="Calibri"/>
          <w:color w:val="000000"/>
          <w:u w:color="000000"/>
          <w:bdr w:val="nil"/>
          <w:lang w:val="it-IT" w:eastAsia="en-GB"/>
        </w:rPr>
        <w:t>(Cvoro et al., 2010)</w:t>
      </w:r>
      <w:r w:rsidRPr="00C603B7">
        <w:rPr>
          <w:rFonts w:eastAsia="Arial" w:cs="Arial"/>
          <w:color w:val="000000"/>
          <w:u w:color="000000"/>
          <w:bdr w:val="nil"/>
          <w:lang w:val="it-IT" w:eastAsia="en-GB"/>
        </w:rPr>
        <w:fldChar w:fldCharType="end"/>
      </w:r>
      <w:r w:rsidRPr="00C603B7">
        <w:rPr>
          <w:rFonts w:eastAsia="Calibri" w:cs="Calibri"/>
          <w:color w:val="000000"/>
          <w:u w:color="000000"/>
          <w:bdr w:val="nil"/>
          <w:lang w:val="en-US" w:eastAsia="en-GB"/>
        </w:rPr>
        <w:t xml:space="preserve">. A study examining the relationship between areas of perfusion and infarction post sub-arachnoid </w:t>
      </w:r>
      <w:proofErr w:type="spellStart"/>
      <w:r w:rsidRPr="00C603B7">
        <w:rPr>
          <w:rFonts w:eastAsia="Calibri" w:cs="Calibri"/>
          <w:color w:val="000000"/>
          <w:u w:color="000000"/>
          <w:bdr w:val="nil"/>
          <w:lang w:val="en-US" w:eastAsia="en-GB"/>
        </w:rPr>
        <w:t>haemorrhage</w:t>
      </w:r>
      <w:proofErr w:type="spellEnd"/>
      <w:r w:rsidRPr="00C603B7">
        <w:rPr>
          <w:rFonts w:eastAsia="Calibri" w:cs="Calibri"/>
          <w:color w:val="000000"/>
          <w:u w:color="000000"/>
          <w:bdr w:val="nil"/>
          <w:lang w:val="en-US" w:eastAsia="en-GB"/>
        </w:rPr>
        <w:t xml:space="preserve"> showed that lower NAA values were reported for those who had a resolved perfusion deficit as measured by MTT, using DSC MRI </w:t>
      </w:r>
      <w:r w:rsidRPr="00C603B7">
        <w:rPr>
          <w:rFonts w:eastAsia="Arial" w:cs="Arial"/>
          <w:color w:val="000000"/>
          <w:u w:color="000000"/>
          <w:bdr w:val="nil"/>
          <w:lang w:val="en-US" w:eastAsia="en-GB"/>
        </w:rPr>
        <w:fldChar w:fldCharType="begin"/>
      </w:r>
      <w:r w:rsidRPr="00C603B7">
        <w:rPr>
          <w:rFonts w:eastAsia="Arial" w:cs="Arial"/>
          <w:color w:val="000000"/>
          <w:u w:color="000000"/>
          <w:bdr w:val="nil"/>
          <w:lang w:val="en-US" w:eastAsia="en-GB"/>
        </w:rPr>
        <w:instrText xml:space="preserve"> ADDIN EN.CITE &lt;EndNote&gt;&lt;Cite  &gt;&lt;Author&gt;Wagner&lt;/Author&gt;&lt;Year&gt;2013&lt;/Year&gt;&lt;DisplayText&gt;(Wagner et al., 2013)&lt;/DisplayText&gt;&lt;record&gt;&lt;keywords&gt;&lt;keyword&gt;Adult–Analogs &amp;amp; Derivatives&lt;/keyword&gt;&lt;keyword&gt;Aged–Metabolism&lt;/keyword&gt;&lt;keyword&gt;Aged, 80 and Over–Metabolism&lt;/keyword&gt;&lt;keyword&gt;Aspartic Acid–Metabolism&lt;/keyword&gt;&lt;keyword&gt;Biomarkers–Pathology&lt;/keyword&gt;&lt;keyword&gt;Brain–Metabolism&lt;/keyword&gt;&lt;keyword&gt;Brain Injuries–Pathology&lt;/keyword&gt;&lt;keyword&gt;Cerebrovascular Disorders–Metabolism&lt;/keyword&gt;&lt;keyword&gt;Female–Pathology&lt;/keyword&gt;&lt;keyword&gt;Glutamine–Metabolism&lt;/keyword&gt;&lt;keyword&gt;Humans–Methods&lt;/keyword&gt;&lt;keyword&gt;Magnetic Resonance Imaging–Methods&lt;/keyword&gt;&lt;keyword&gt;Magnetic Resonance Spectroscopy–Metabolism&lt;/keyword&gt;&lt;keyword&gt;Male–Pathology&lt;/keyword&gt;&lt;keyword&gt;Middle Aged–Metabolism&lt;/keyword&gt;&lt;keyword&gt;Mitochondria–Pathology&lt;/keyword&gt;&lt;keyword&gt;Neurons–Metabolism&lt;/keyword&gt;&lt;keyword&gt;Protons–Pathology&lt;/keyword&gt;&lt;keyword&gt;Subarachnoid Hemorrhage–Pathology&lt;/keyword&gt;&lt;keyword&gt;Biomarkers&lt;/keyword&gt;&lt;keyword&gt;Protons&lt;/keyword&gt;&lt;keyword&gt;Glutamine&lt;/keyword&gt;&lt;keyword&gt;Aspartic Acid&lt;/keyword&gt;&lt;keyword&gt;N-Acetylaspartate&lt;/keyword&gt;&lt;/keywords&gt;&lt;isbn&gt;01956108&lt;/isbn&gt;&lt;titles&gt;&lt;title&gt;Metabolic changes in patients with aneurysmal subarachnoid hemorrhage apart from perfusion deficits: neuronal mitochondrial injury?&lt;/title&gt;&lt;secondary-title&gt;AJNR. American journal of neuroradiology&lt;/secondary-title&gt;&lt;/titles&gt;&lt;pages&gt;1535-1541&lt;/pages&gt;&lt;number&gt;8&lt;/number&gt;&lt;contributors&gt;&lt;authors&gt;&lt;author&gt;Wagner, M.&lt;/author&gt;&lt;author&gt;Jurcoane, A.&lt;/author&gt;&lt;author&gt;Hildebrand, C.&lt;/author&gt;&lt;author&gt;Güresir, E.&lt;/author&gt;&lt;author&gt;Vatter, H.&lt;/author&gt;&lt;author&gt;Zanella, F. E.&lt;/author&gt;&lt;author&gt;Berkefeld, J.&lt;/author&gt;&lt;author&gt;Pilatus, U.&lt;/author&gt;&lt;author&gt;Hattingen, E.&lt;/author&gt;&lt;/authors&gt;&lt;/contributors&gt;&lt;added-date format="utc"&gt;1573646804&lt;/added-date&gt;&lt;ref-type name="Journal Article"&gt;17&lt;/ref-type&gt;&lt;dates&gt;&lt;year&gt;2013&lt;/year&gt;&lt;/dates&gt;&lt;rec-number&gt;1194&lt;/rec-number&gt;&lt;last-updated-date format="utc"&gt;1573646804&lt;/last-updated-date&gt;&lt;contributors&gt;&lt;secondary-authors&gt;&lt;author&gt;Wagner, M.&lt;/author&gt;&lt;/secondary-authors&gt;&lt;/contributors&gt;&lt;electronic-resource-num&gt;10.3174/ajnr.A3420&lt;/electronic-resource-num&gt;&lt;/record&gt;&lt;/Cite&gt;&lt;/EndNote&gt;</w:instrText>
      </w:r>
      <w:r w:rsidRPr="00C603B7">
        <w:rPr>
          <w:rFonts w:eastAsia="Arial" w:cs="Arial"/>
          <w:color w:val="000000"/>
          <w:u w:color="000000"/>
          <w:bdr w:val="nil"/>
          <w:lang w:val="en-US" w:eastAsia="en-GB"/>
        </w:rPr>
        <w:fldChar w:fldCharType="separate"/>
      </w:r>
      <w:r w:rsidRPr="00C603B7">
        <w:rPr>
          <w:rFonts w:eastAsia="Calibri" w:cs="Calibri"/>
          <w:color w:val="000000"/>
          <w:u w:color="000000"/>
          <w:bdr w:val="nil"/>
          <w:lang w:val="en-US" w:eastAsia="en-GB"/>
        </w:rPr>
        <w:t>(Wagner et al., 2013)</w:t>
      </w:r>
      <w:r w:rsidRPr="00C603B7">
        <w:rPr>
          <w:rFonts w:eastAsia="Arial" w:cs="Arial"/>
          <w:color w:val="000000"/>
          <w:u w:color="000000"/>
          <w:bdr w:val="nil"/>
          <w:lang w:val="en-US" w:eastAsia="en-GB"/>
        </w:rPr>
        <w:fldChar w:fldCharType="end"/>
      </w:r>
      <w:r w:rsidRPr="00C603B7">
        <w:rPr>
          <w:rFonts w:eastAsia="Calibri" w:cs="Calibri"/>
          <w:color w:val="000000"/>
          <w:u w:color="000000"/>
          <w:bdr w:val="nil"/>
          <w:lang w:val="en-US" w:eastAsia="en-GB"/>
        </w:rPr>
        <w:t>. These findings suggest that if lower NAA/Cr ratios were found to be associated with lower perfusion measures</w:t>
      </w:r>
      <w:r w:rsidR="009B3B4F">
        <w:rPr>
          <w:rFonts w:eastAsia="Calibri" w:cs="Calibri"/>
          <w:color w:val="000000"/>
          <w:u w:color="000000"/>
          <w:bdr w:val="nil"/>
          <w:lang w:val="en-US" w:eastAsia="en-GB"/>
        </w:rPr>
        <w:t>,</w:t>
      </w:r>
      <w:r w:rsidRPr="00C603B7">
        <w:rPr>
          <w:rFonts w:eastAsia="Calibri" w:cs="Calibri"/>
          <w:color w:val="000000"/>
          <w:u w:color="000000"/>
          <w:bdr w:val="nil"/>
          <w:lang w:val="en-US" w:eastAsia="en-GB"/>
        </w:rPr>
        <w:t xml:space="preserve"> then neuronal loss or dysfunction may be the cause.  We have found in the present study (see Chapter 5- Results and Discussion) that the P-DPN group had longer delta TTP and a decrease in RBV at higher pain intensities</w:t>
      </w:r>
      <w:r w:rsidR="009B3B4F">
        <w:rPr>
          <w:rFonts w:eastAsia="Calibri" w:cs="Calibri"/>
          <w:color w:val="000000"/>
          <w:u w:color="000000"/>
          <w:bdr w:val="nil"/>
          <w:lang w:val="en-US" w:eastAsia="en-GB"/>
        </w:rPr>
        <w:t>.  I</w:t>
      </w:r>
      <w:r w:rsidRPr="00C603B7">
        <w:rPr>
          <w:rFonts w:eastAsia="Calibri" w:cs="Calibri"/>
          <w:color w:val="000000"/>
          <w:u w:color="000000"/>
          <w:bdr w:val="nil"/>
          <w:lang w:val="en-US" w:eastAsia="en-GB"/>
        </w:rPr>
        <w:t xml:space="preserve">f our findings were due to neuronal loss or damage, we may have found a decreased NAA/Cr ratio in support of this, but we did not.  This suggests that thalamic perfusion differences measured in this study unlikely to be due to neuronal loss.  </w:t>
      </w:r>
    </w:p>
    <w:p w14:paraId="6DB81CDD" w14:textId="76B09D5B" w:rsidR="00C603B7" w:rsidRPr="00C603B7" w:rsidRDefault="00C603B7" w:rsidP="00C603B7">
      <w:pPr>
        <w:pBdr>
          <w:top w:val="nil"/>
          <w:left w:val="nil"/>
          <w:bottom w:val="nil"/>
          <w:right w:val="nil"/>
          <w:between w:val="nil"/>
          <w:bar w:val="nil"/>
        </w:pBdr>
        <w:spacing w:line="360" w:lineRule="auto"/>
        <w:rPr>
          <w:rFonts w:eastAsia="Arial" w:cs="Arial"/>
          <w:color w:val="000000"/>
          <w:u w:color="000000"/>
          <w:bdr w:val="nil"/>
          <w:lang w:val="en-US" w:eastAsia="en-GB"/>
        </w:rPr>
      </w:pPr>
      <w:r w:rsidRPr="00C603B7">
        <w:rPr>
          <w:rFonts w:eastAsia="Calibri" w:cs="Calibri"/>
          <w:color w:val="000000"/>
          <w:u w:color="000000"/>
          <w:bdr w:val="nil"/>
          <w:lang w:val="en-US" w:eastAsia="en-GB"/>
        </w:rPr>
        <w:t xml:space="preserve">Failure to find a difference for the groups for metabolite ratios may reflect the disparity of previously reported results in the literature with regard to NAA/Cr ratio in P-DPN and painless DPN </w:t>
      </w:r>
      <w:r w:rsidRPr="00C603B7">
        <w:rPr>
          <w:rFonts w:eastAsia="Calibri" w:cs="Calibri"/>
          <w:color w:val="000000"/>
          <w:u w:color="000000"/>
          <w:bdr w:val="nil"/>
          <w:lang w:val="en-US" w:eastAsia="en-GB"/>
        </w:rPr>
        <w:fldChar w:fldCharType="begin">
          <w:fldData xml:space="preserve">PEVuZE5vdGU+PENpdGU+PEF1dGhvcj5Tb3JlbnNlbjwvQXV0aG9yPjxZZWFyPjIwMDg8L1llYXI+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</w:fldData>
        </w:fldChar>
      </w:r>
      <w:r w:rsidR="009968E0">
        <w:rPr>
          <w:rFonts w:eastAsia="Calibri" w:cs="Calibri"/>
          <w:color w:val="000000"/>
          <w:u w:color="000000"/>
          <w:bdr w:val="nil"/>
          <w:lang w:val="en-US" w:eastAsia="en-GB"/>
        </w:rPr>
        <w:instrText xml:space="preserve"> ADDIN EN.CITE </w:instrText>
      </w:r>
      <w:r w:rsidR="009968E0">
        <w:rPr>
          <w:rFonts w:eastAsia="Calibri" w:cs="Calibri"/>
          <w:color w:val="000000"/>
          <w:u w:color="000000"/>
          <w:bdr w:val="nil"/>
          <w:lang w:val="en-US" w:eastAsia="en-GB"/>
        </w:rPr>
        <w:fldChar w:fldCharType="begin">
          <w:fldData xml:space="preserve">PEVuZE5vdGU+PENpdGU+PEF1dGhvcj5Tb3JlbnNlbjwvQXV0aG9yPjxZZWFyPjIwMDg8L1llYXI+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</w:fldData>
        </w:fldChar>
      </w:r>
      <w:r w:rsidR="009968E0">
        <w:rPr>
          <w:rFonts w:eastAsia="Calibri" w:cs="Calibri"/>
          <w:color w:val="000000"/>
          <w:u w:color="000000"/>
          <w:bdr w:val="nil"/>
          <w:lang w:val="en-US" w:eastAsia="en-GB"/>
        </w:rPr>
        <w:instrText xml:space="preserve"> ADDIN EN.CITE.DATA </w:instrText>
      </w:r>
      <w:r w:rsidR="009968E0">
        <w:rPr>
          <w:rFonts w:eastAsia="Calibri" w:cs="Calibri"/>
          <w:color w:val="000000"/>
          <w:u w:color="000000"/>
          <w:bdr w:val="nil"/>
          <w:lang w:val="en-US" w:eastAsia="en-GB"/>
        </w:rPr>
      </w:r>
      <w:r w:rsidR="009968E0">
        <w:rPr>
          <w:rFonts w:eastAsia="Calibri" w:cs="Calibri"/>
          <w:color w:val="000000"/>
          <w:u w:color="000000"/>
          <w:bdr w:val="nil"/>
          <w:lang w:val="en-US" w:eastAsia="en-GB"/>
        </w:rPr>
        <w:fldChar w:fldCharType="end"/>
      </w:r>
      <w:r w:rsidRPr="00C603B7">
        <w:rPr>
          <w:rFonts w:eastAsia="Calibri" w:cs="Calibri"/>
          <w:color w:val="000000"/>
          <w:u w:color="000000"/>
          <w:bdr w:val="nil"/>
          <w:lang w:val="en-US" w:eastAsia="en-GB"/>
        </w:rPr>
      </w:r>
      <w:r w:rsidRPr="00C603B7">
        <w:rPr>
          <w:rFonts w:eastAsia="Calibri" w:cs="Calibri"/>
          <w:color w:val="000000"/>
          <w:u w:color="000000"/>
          <w:bdr w:val="nil"/>
          <w:lang w:val="en-US" w:eastAsia="en-GB"/>
        </w:rPr>
        <w:fldChar w:fldCharType="separate"/>
      </w:r>
      <w:r w:rsidR="009968E0">
        <w:rPr>
          <w:rFonts w:eastAsia="Calibri" w:cs="Calibri"/>
          <w:noProof/>
          <w:color w:val="000000"/>
          <w:u w:color="000000"/>
          <w:bdr w:val="nil"/>
          <w:lang w:val="en-US" w:eastAsia="en-GB"/>
        </w:rPr>
        <w:t>(Sorensen et al., 2008, Selvarajah et al., 2008b, Gandhi, 2013)</w:t>
      </w:r>
      <w:r w:rsidRPr="00C603B7">
        <w:rPr>
          <w:rFonts w:eastAsia="Calibri" w:cs="Calibri"/>
          <w:color w:val="000000"/>
          <w:u w:color="000000"/>
          <w:bdr w:val="nil"/>
          <w:lang w:val="en-US" w:eastAsia="en-GB"/>
        </w:rPr>
        <w:fldChar w:fldCharType="end"/>
      </w:r>
      <w:r w:rsidRPr="00C603B7">
        <w:rPr>
          <w:rFonts w:eastAsia="Calibri" w:cs="Calibri"/>
          <w:color w:val="000000"/>
          <w:u w:color="000000"/>
          <w:bdr w:val="nil"/>
          <w:lang w:val="en-US" w:eastAsia="en-GB"/>
        </w:rPr>
        <w:t xml:space="preserve">.  Therefore, there is disagreement in the literature as to whether it is painless or painful neuropathy that is associated with a decrease in NAA/Cr metabolite ratios.  Our results do not support either of these findings, as we did not find any difference between P-DPN, DPN, DM-NN or HV for NAA/Cr ratios in the thalamus.  The heterogeneity of previously reported results suggests that there may not be a simple relationship between P-DPN, DPN and CNS metabolites, and neuropathy may not be the sole factor that contributes to NAA/Cr values. </w:t>
      </w:r>
    </w:p>
    <w:p w14:paraId="481B9FEA" w14:textId="77777777" w:rsidR="00C603B7" w:rsidRPr="00C603B7" w:rsidRDefault="00C603B7" w:rsidP="00C603B7">
      <w:pPr>
        <w:pBdr>
          <w:top w:val="nil"/>
          <w:left w:val="nil"/>
          <w:bottom w:val="nil"/>
          <w:right w:val="nil"/>
          <w:between w:val="nil"/>
          <w:bar w:val="nil"/>
        </w:pBdr>
        <w:spacing w:line="360" w:lineRule="auto"/>
        <w:rPr>
          <w:rFonts w:eastAsia="Arial" w:cs="Arial"/>
          <w:color w:val="000000"/>
          <w:u w:color="000000"/>
          <w:bdr w:val="nil"/>
          <w:lang w:val="en-US" w:eastAsia="en-GB"/>
        </w:rPr>
      </w:pPr>
      <w:r w:rsidRPr="00C603B7">
        <w:rPr>
          <w:rFonts w:eastAsia="Calibri" w:cs="Calibri"/>
          <w:color w:val="000000"/>
          <w:u w:color="000000"/>
          <w:bdr w:val="nil"/>
          <w:lang w:val="en-US" w:eastAsia="en-GB"/>
        </w:rPr>
        <w:lastRenderedPageBreak/>
        <w:t xml:space="preserve">If the NAA/Cr ratio in the thalamus is not completely explained by neuropathy in this study, or previously published work for subjects with diabetes, there may be another explanatory factor or condition which contributes to the correlation between neuropathy and metabolite ratios.  Previously, it has been shown that diabetes may be a factor.  It has been shown that NAA was decreased in the grey matter of the occipital lobe in subjects who had well controlled T1D during </w:t>
      </w:r>
      <w:proofErr w:type="spellStart"/>
      <w:r w:rsidRPr="00C603B7">
        <w:rPr>
          <w:rFonts w:eastAsia="Calibri" w:cs="Calibri"/>
          <w:color w:val="000000"/>
          <w:u w:color="000000"/>
          <w:bdr w:val="nil"/>
          <w:lang w:val="en-US" w:eastAsia="en-GB"/>
        </w:rPr>
        <w:t>hyperglycaemic</w:t>
      </w:r>
      <w:proofErr w:type="spellEnd"/>
      <w:r w:rsidRPr="00C603B7">
        <w:rPr>
          <w:rFonts w:eastAsia="Calibri" w:cs="Calibri"/>
          <w:color w:val="000000"/>
          <w:u w:color="000000"/>
          <w:bdr w:val="nil"/>
          <w:lang w:val="en-US" w:eastAsia="en-GB"/>
        </w:rPr>
        <w:t xml:space="preserve"> clamp, compared to those without diabetes </w:t>
      </w:r>
      <w:r w:rsidRPr="00C603B7">
        <w:rPr>
          <w:rFonts w:eastAsia="Arial" w:cs="Arial"/>
          <w:color w:val="000000"/>
          <w:u w:color="000000"/>
          <w:bdr w:val="nil"/>
          <w:lang w:val="it-IT" w:eastAsia="en-GB"/>
        </w:rPr>
        <w:fldChar w:fldCharType="begin"/>
      </w:r>
      <w:r w:rsidRPr="00C603B7">
        <w:rPr>
          <w:rFonts w:eastAsia="Arial" w:cs="Arial"/>
          <w:color w:val="000000"/>
          <w:u w:color="000000"/>
          <w:bdr w:val="nil"/>
          <w:lang w:val="it-IT" w:eastAsia="en-GB"/>
        </w:rPr>
        <w:instrText xml:space="preserve"> ADDIN EN.CITE &lt;EndNote&gt;&lt;Cite  &gt;&lt;Author&gt;Mangia&lt;/Author&gt;&lt;Year&gt;2013&lt;/Year&gt;&lt;RecNum&gt;1245&lt;/RecNum&gt;&lt;DisplayText&gt;(Mangia et al., 2013)&lt;/DisplayText&gt;&lt;record&gt;&lt;dates&gt;&lt;pub-dates&gt;&lt;date&gt;May&lt;/date&gt;&lt;/pub-dates&gt;&lt;year&gt;2013&lt;/year&gt;&lt;/dates&gt;&lt;urls&gt;&lt;related-urls&gt;&lt;url&gt;&amp;lt;Go to ISI&amp;gt;://WOS:000318394400015&lt;/url&gt;&lt;/related-urls&gt;&lt;/urls&gt;&lt;isbn&gt;0271-678X&lt;/isbn&gt;&lt;titles&gt;&lt;title&gt;Neurochemical profile of patients with type 1 diabetes measured by H-1-MRS at 4 T&lt;/title&gt;&lt;secondary-title&gt;Journal of Cerebral Blood Flow and Metabolism&lt;/secondary-title&gt;&lt;/titles&gt;&lt;pages&gt;754-759&lt;/pages&gt;&lt;number&gt;5&lt;/number&gt;&lt;contributors&gt;&lt;authors&gt;&lt;author&gt;Mangia, Silvia&lt;/author&gt;&lt;author&gt;Kumar, Anjali F.&lt;/author&gt;&lt;author&gt;Moheet, Amir A.&lt;/author&gt;&lt;author&gt;Roberts, Rachel J.&lt;/author&gt;&lt;author&gt;Eberly, Lynn E.&lt;/author&gt;&lt;author&gt;Seaquist, Elizabeth R.&lt;/author&gt;&lt;author&gt;Tkac, Ivan&lt;/author&gt;&lt;/authors&gt;&lt;/contributors&gt;&lt;added-date format="utc"&gt;1574858917&lt;/added-date&gt;&lt;ref-type name="Journal Article"&gt;17&lt;/ref-type&gt;&lt;rec-number&gt;1245&lt;/rec-number&gt;&lt;last-updated-date format="utc"&gt;1574858917&lt;/last-updated-date&gt;&lt;accession-num&gt;WOS:000318394400015&lt;/accession-num&gt;&lt;electronic-resource-num&gt;10.1038/jcbfm.2013.13&lt;/electronic-resource-num&gt;&lt;volume&gt;33&lt;/volume&gt;&lt;/record&gt;&lt;/Cite&gt;&lt;/EndNote&gt;</w:instrText>
      </w:r>
      <w:r w:rsidRPr="00C603B7">
        <w:rPr>
          <w:rFonts w:eastAsia="Arial" w:cs="Arial"/>
          <w:color w:val="000000"/>
          <w:u w:color="000000"/>
          <w:bdr w:val="nil"/>
          <w:lang w:val="it-IT" w:eastAsia="en-GB"/>
        </w:rPr>
        <w:fldChar w:fldCharType="separate"/>
      </w:r>
      <w:r w:rsidRPr="00C603B7">
        <w:rPr>
          <w:rFonts w:eastAsia="Calibri" w:cs="Calibri"/>
          <w:color w:val="000000"/>
          <w:u w:color="000000"/>
          <w:bdr w:val="nil"/>
          <w:lang w:val="it-IT" w:eastAsia="en-GB"/>
        </w:rPr>
        <w:t>(Mangia et al., 2013)</w:t>
      </w:r>
      <w:r w:rsidRPr="00C603B7">
        <w:rPr>
          <w:rFonts w:eastAsia="Arial" w:cs="Arial"/>
          <w:color w:val="000000"/>
          <w:u w:color="000000"/>
          <w:bdr w:val="nil"/>
          <w:lang w:val="it-IT" w:eastAsia="en-GB"/>
        </w:rPr>
        <w:fldChar w:fldCharType="end"/>
      </w:r>
      <w:r w:rsidRPr="00C603B7">
        <w:rPr>
          <w:rFonts w:eastAsia="Calibri" w:cs="Calibri"/>
          <w:color w:val="000000"/>
          <w:u w:color="000000"/>
          <w:bdr w:val="nil"/>
          <w:lang w:val="en-US" w:eastAsia="en-GB"/>
        </w:rPr>
        <w:t xml:space="preserve">.  In children with poorly controlled T1D, NAA/Cr was found to be lower in the pons and parieto-occipital white matter </w:t>
      </w:r>
      <w:r w:rsidRPr="00C603B7">
        <w:rPr>
          <w:rFonts w:eastAsia="Arial" w:cs="Arial"/>
          <w:color w:val="000000"/>
          <w:u w:color="000000"/>
          <w:bdr w:val="nil"/>
          <w:lang w:val="en-US" w:eastAsia="en-GB"/>
        </w:rPr>
        <w:fldChar w:fldCharType="begin"/>
      </w:r>
      <w:r w:rsidRPr="00C603B7">
        <w:rPr>
          <w:rFonts w:eastAsia="Arial" w:cs="Arial"/>
          <w:color w:val="000000"/>
          <w:u w:color="000000"/>
          <w:bdr w:val="nil"/>
          <w:lang w:val="en-US" w:eastAsia="en-GB"/>
        </w:rPr>
        <w:instrText xml:space="preserve"> ADDIN EN.CITE &lt;EndNote&gt;&lt;Cite  &gt;&lt;Author&gt;Sarac&lt;/Author&gt;&lt;Year&gt;2005&lt;/Year&gt;&lt;RecNum&gt;556&lt;/RecNum&gt;&lt;DisplayText&gt;(Sarac et al., 2005)&lt;/DisplayText&gt;&lt;record&gt;&lt;dates&gt;&lt;pub-dates&gt;&lt;date&gt;Jul&lt;/date&gt;&lt;/pub-dates&gt;&lt;year&gt;2005&lt;/year&gt;&lt;/dates&gt;&lt;urls&gt;&lt;related-urls&gt;&lt;url&gt;&amp;lt;Go to ISI&amp;gt;://WOS:000230653400012&lt;/url&gt;&lt;/related-urls&gt;&lt;/urls&gt;&lt;isbn&gt;0028-3940&lt;/isbn&gt;&lt;titles&gt;&lt;title&gt;Brain metabolite changes on proton magnetic resonance spectroscopy in children with poorly controlled type 1 diabetes mellitus&lt;/title&gt;&lt;secondary-title&gt;Neuroradiology&lt;/secondary-title&gt;&lt;/titles&gt;&lt;number&gt;7&lt;/number&gt;&lt;contributors&gt;&lt;authors&gt;&lt;author&gt;Sarac, K.&lt;/author&gt;&lt;author&gt;Akinci, A.&lt;/author&gt;&lt;author&gt;Alkan, A.&lt;/author&gt;&lt;author&gt;Aslan, M.&lt;/author&gt;&lt;author&gt;Baysal, T.&lt;/author&gt;&lt;author&gt;Ozcan, C.&lt;/author&gt;&lt;/authors&gt;&lt;/contributors&gt;&lt;added-date format="utc"&gt;1356989621&lt;/added-date&gt;&lt;ref-type name="Journal Article"&gt;17&lt;/ref-type&gt;&lt;rec-number&gt;556&lt;/rec-number&gt;&lt;last-updated-date format="utc"&gt;1356989621&lt;/last-updated-date&gt;&lt;accession-num&gt;WOS:000230653400012&lt;/accession-num&gt;&lt;electronic-resource-num&gt;10.1007/s00234-005-1387-3&lt;/electronic-resource-num&gt;&lt;volume&gt;47&lt;/volume&gt;&lt;/record&gt;&lt;/Cite&gt;&lt;/EndNote&gt;</w:instrText>
      </w:r>
      <w:r w:rsidRPr="00C603B7">
        <w:rPr>
          <w:rFonts w:eastAsia="Arial" w:cs="Arial"/>
          <w:color w:val="000000"/>
          <w:u w:color="000000"/>
          <w:bdr w:val="nil"/>
          <w:lang w:val="en-US" w:eastAsia="en-GB"/>
        </w:rPr>
        <w:fldChar w:fldCharType="separate"/>
      </w:r>
      <w:r w:rsidRPr="00C603B7">
        <w:rPr>
          <w:rFonts w:eastAsia="Calibri" w:cs="Calibri"/>
          <w:color w:val="000000"/>
          <w:u w:color="000000"/>
          <w:bdr w:val="nil"/>
          <w:lang w:val="en-US" w:eastAsia="en-GB"/>
        </w:rPr>
        <w:t>(Sarac et al., 2005)</w:t>
      </w:r>
      <w:r w:rsidRPr="00C603B7">
        <w:rPr>
          <w:rFonts w:eastAsia="Arial" w:cs="Arial"/>
          <w:color w:val="000000"/>
          <w:u w:color="000000"/>
          <w:bdr w:val="nil"/>
          <w:lang w:val="en-US" w:eastAsia="en-GB"/>
        </w:rPr>
        <w:fldChar w:fldCharType="end"/>
      </w:r>
      <w:r w:rsidRPr="00C603B7">
        <w:rPr>
          <w:rFonts w:eastAsia="Calibri" w:cs="Calibri"/>
          <w:color w:val="000000"/>
          <w:u w:color="000000"/>
          <w:bdr w:val="nil"/>
          <w:lang w:val="en-US" w:eastAsia="en-GB"/>
        </w:rPr>
        <w:t xml:space="preserve">.   Our study showed that there was near significance to the contrasts between HV and ALL-DM, however there was no correlation with blood glucose levels at the time that the metabolite ratios were obtained.  Therefore, the ratios are unlikely to be mirroring an acute state of </w:t>
      </w:r>
      <w:proofErr w:type="spellStart"/>
      <w:r w:rsidRPr="00C603B7">
        <w:rPr>
          <w:rFonts w:eastAsia="Calibri" w:cs="Calibri"/>
          <w:color w:val="000000"/>
          <w:u w:color="000000"/>
          <w:bdr w:val="nil"/>
          <w:lang w:val="en-US" w:eastAsia="en-GB"/>
        </w:rPr>
        <w:t>hyperglycaemic</w:t>
      </w:r>
      <w:proofErr w:type="spellEnd"/>
      <w:r w:rsidRPr="00C603B7">
        <w:rPr>
          <w:rFonts w:eastAsia="Calibri" w:cs="Calibri"/>
          <w:color w:val="000000"/>
          <w:u w:color="000000"/>
          <w:bdr w:val="nil"/>
          <w:lang w:val="en-US" w:eastAsia="en-GB"/>
        </w:rPr>
        <w:t xml:space="preserve"> flux. It is more likely that long-term glucose exposure may be causing or is associated with the level of the NAA/Cr ratio, or there is another factor contributing to the level of the ratios.  </w:t>
      </w:r>
    </w:p>
    <w:p w14:paraId="66D2B5DD" w14:textId="77777777" w:rsidR="00C603B7" w:rsidRPr="00C603B7" w:rsidRDefault="00C603B7" w:rsidP="00C603B7">
      <w:pPr>
        <w:pBdr>
          <w:top w:val="nil"/>
          <w:left w:val="nil"/>
          <w:bottom w:val="nil"/>
          <w:right w:val="nil"/>
          <w:between w:val="nil"/>
          <w:bar w:val="nil"/>
        </w:pBdr>
        <w:spacing w:line="360" w:lineRule="auto"/>
        <w:rPr>
          <w:rFonts w:eastAsia="Arial" w:cs="Arial"/>
          <w:color w:val="000000"/>
          <w:u w:color="000000"/>
          <w:bdr w:val="nil"/>
          <w:lang w:val="en-US" w:eastAsia="en-GB"/>
        </w:rPr>
      </w:pPr>
    </w:p>
    <w:p w14:paraId="3C97C1AB" w14:textId="71CC5172" w:rsidR="00C603B7" w:rsidRPr="00C603B7" w:rsidRDefault="00C603B7" w:rsidP="00C603B7">
      <w:pPr>
        <w:pBdr>
          <w:top w:val="nil"/>
          <w:left w:val="nil"/>
          <w:bottom w:val="nil"/>
          <w:right w:val="nil"/>
          <w:between w:val="nil"/>
          <w:bar w:val="nil"/>
        </w:pBdr>
        <w:spacing w:line="360" w:lineRule="auto"/>
        <w:rPr>
          <w:rFonts w:eastAsia="Arial" w:cs="Arial"/>
          <w:color w:val="000000"/>
          <w:u w:color="000000"/>
          <w:bdr w:val="nil"/>
          <w:lang w:val="en-US" w:eastAsia="en-GB"/>
        </w:rPr>
      </w:pPr>
      <w:r w:rsidRPr="00C603B7">
        <w:rPr>
          <w:rFonts w:eastAsia="Calibri" w:cs="Calibri"/>
          <w:color w:val="000000"/>
          <w:u w:color="000000"/>
          <w:bdr w:val="nil"/>
          <w:lang w:val="en-US" w:eastAsia="en-GB"/>
        </w:rPr>
        <w:t xml:space="preserve">NAA has been shown to be decreased in many conditions of neuronal injury including Alzheimer’s disease, multiple sclerosis, stroke; and degenerative brain conditions such as Huntington’s and Parkinson’s disease </w:t>
      </w:r>
      <w:r w:rsidRPr="00C603B7">
        <w:rPr>
          <w:rFonts w:eastAsia="Arial" w:cs="Arial"/>
          <w:color w:val="000000"/>
          <w:u w:color="000000"/>
          <w:bdr w:val="nil"/>
          <w:lang w:val="en-US" w:eastAsia="en-GB"/>
        </w:rPr>
        <w:fldChar w:fldCharType="begin"/>
      </w:r>
      <w:r w:rsidRPr="00C603B7">
        <w:rPr>
          <w:rFonts w:eastAsia="Arial" w:cs="Arial"/>
          <w:color w:val="000000"/>
          <w:u w:color="000000"/>
          <w:bdr w:val="nil"/>
          <w:lang w:val="en-US" w:eastAsia="en-GB"/>
        </w:rPr>
        <w:instrText xml:space="preserve"> ADDIN EN.CITE &lt;EndNote&gt;&lt;Cite  &gt;&lt;Author&gt;Oz&lt;/Author&gt;&lt;Year&gt;2014&lt;/Year&gt;&lt;DisplayText&gt;(Oz et al., 2014)&lt;/DisplayText&gt;&lt;record&gt;&lt;keywords&gt;&lt;keyword&gt;Biomarkers–Metabolism&lt;/keyword&gt;&lt;keyword&gt;Central Nervous System Diseases–Diagnosis&lt;/keyword&gt;&lt;keyword&gt;Humans–Metabolism&lt;/keyword&gt;&lt;keyword&gt;Magnetic Resonance Spectroscopy–Pathology&lt;/keyword&gt;&lt;keyword&gt;Magnetic Resonance Spectroscopy–Methods&lt;/keyword&gt;&lt;keyword&gt;Abridged&lt;/keyword&gt;&lt;keyword&gt;Biomarkers&lt;/keyword&gt;&lt;/keywords&gt;&lt;isbn&gt;00338419&lt;/isbn&gt;&lt;titles&gt;&lt;title&gt;Clinical proton MR spectroscopy in central nervous system disorders&lt;/title&gt;&lt;secondary-title&gt;Radiology&lt;/secondary-title&gt;&lt;/titles&gt;&lt;pages&gt;658-679&lt;/pages&gt;&lt;number&gt;3&lt;/number&gt;&lt;contributors&gt;&lt;authors&gt;&lt;author&gt;Oz, Gülin&lt;/author&gt;&lt;author&gt;Alger, Jeffry R.&lt;/author&gt;&lt;author&gt;Barker, Peter B.&lt;/author&gt;&lt;author&gt;Bartha, Robert&lt;/author&gt;&lt;author&gt;Bizzi, Alberto&lt;/author&gt;&lt;author&gt;Boesch, Chris&lt;/author&gt;&lt;author&gt;Bolan, Patrick J.&lt;/author&gt;&lt;author&gt;Brindle, Kevin M.&lt;/author&gt;&lt;author&gt;Cudalbu, Cristina&lt;/author&gt;&lt;author&gt;Dinçer, Alp&lt;/author&gt;&lt;author&gt;Dydak, Ulrike&lt;/author&gt;&lt;author&gt;Emir, Uzay E.&lt;/author&gt;&lt;author&gt;Frahm, Jens&lt;/author&gt;&lt;author&gt;González, Ramón Gilberto&lt;/author&gt;&lt;author&gt;Gruber, Stephan&lt;/author&gt;&lt;author&gt;Gruetter, Rolf&lt;/author&gt;&lt;author&gt;Gupta, Rakesh K.&lt;/author&gt;&lt;author&gt;Heerschap, Arend&lt;/author&gt;&lt;author&gt;Henning, Anke&lt;/author&gt;&lt;author&gt;Hetherington, Hoby P.&lt;/author&gt;&lt;author&gt;Howe, Franklyn A.&lt;/author&gt;&lt;author&gt;Hüppi, Petra S.&lt;/author&gt;&lt;author&gt;Hurd, Ralph E.&lt;/author&gt;&lt;author&gt;Kantarci, Kantarci&lt;/author&gt;&lt;author&gt;Klomp, Dennis W. J.&lt;/author&gt;&lt;author&gt;Kreis, Roland&lt;/author&gt;&lt;author&gt;Kruiskamp, Marijn J.&lt;/author&gt;&lt;author&gt;Leach, Martin O.&lt;/author&gt;&lt;author&gt;Lin, Alexander P.&lt;/author&gt;&lt;author&gt;Luijten, Peter R.&lt;/author&gt;&lt;author&gt;Marjańska, Malgorzata&lt;/author&gt;&lt;author&gt;Maudsley, Andrew A.&lt;/author&gt;&lt;author&gt;Meyerhoff, Dieter J.&lt;/author&gt;&lt;author&gt;Mountford, Carolyn E.&lt;/author&gt;&lt;author&gt;Nelson, Sarah J.&lt;/author&gt;&lt;author&gt;Pamir, M. Necmettin&lt;/author&gt;&lt;author&gt;Pan, Jullie W.&lt;/author&gt;&lt;author&gt;Peet, Andrew C.&lt;/author&gt;&lt;author&gt;Poptani, Harish&lt;/author&gt;&lt;author&gt;Posse, Stefan&lt;/author&gt;&lt;author&gt;Pouwels, Petra J. W.&lt;/author&gt;&lt;author&gt;Ratai, Eva-Maria&lt;/author&gt;&lt;author&gt;Ross, Brian D.&lt;/author&gt;&lt;author&gt;Scheenen, Tom W.&lt;/author&gt;&lt;author&gt;Schuster, Christian&lt;/author&gt;&lt;author&gt;Smith, Ian C. P.&lt;/author&gt;&lt;author&gt;Soher, Brian J.&lt;/author&gt;&lt;author&gt;Tkáč, Ivan&lt;/author&gt;&lt;author&gt;Vigneron, Daniel B.&lt;/author&gt;&lt;author&gt;Kauppinen, Risto A.&lt;/author&gt;&lt;/authors&gt;&lt;/contributors&gt;&lt;added-date format="utc"&gt;1574690316&lt;/added-date&gt;&lt;ref-type name="Journal Article"&gt;17&lt;/ref-type&gt;&lt;dates&gt;&lt;year&gt;2014&lt;/year&gt;&lt;/dates&gt;&lt;rec-number&gt;1214&lt;/rec-number&gt;&lt;last-updated-date format="utc"&gt;1574690316&lt;/last-updated-date&gt;&lt;electronic-resource-num&gt;10.1148/radiol.13130531&lt;/electronic-resource-num&gt;&lt;volume&gt;270&lt;/volume&gt;&lt;/record&gt;&lt;/Cite&gt;&lt;/EndNote&gt;</w:instrText>
      </w:r>
      <w:r w:rsidRPr="00C603B7">
        <w:rPr>
          <w:rFonts w:eastAsia="Arial" w:cs="Arial"/>
          <w:color w:val="000000"/>
          <w:u w:color="000000"/>
          <w:bdr w:val="nil"/>
          <w:lang w:val="en-US" w:eastAsia="en-GB"/>
        </w:rPr>
        <w:fldChar w:fldCharType="separate"/>
      </w:r>
      <w:r w:rsidRPr="00C603B7">
        <w:rPr>
          <w:rFonts w:eastAsia="Calibri" w:cs="Calibri"/>
          <w:color w:val="000000"/>
          <w:u w:color="000000"/>
          <w:bdr w:val="nil"/>
          <w:lang w:val="en-US" w:eastAsia="en-GB"/>
        </w:rPr>
        <w:t>(Oz et al., 2014)</w:t>
      </w:r>
      <w:r w:rsidRPr="00C603B7">
        <w:rPr>
          <w:rFonts w:eastAsia="Arial" w:cs="Arial"/>
          <w:color w:val="000000"/>
          <w:u w:color="000000"/>
          <w:bdr w:val="nil"/>
          <w:lang w:val="en-US" w:eastAsia="en-GB"/>
        </w:rPr>
        <w:fldChar w:fldCharType="end"/>
      </w:r>
      <w:r w:rsidRPr="00C603B7">
        <w:rPr>
          <w:rFonts w:eastAsia="Calibri" w:cs="Calibri"/>
          <w:color w:val="000000"/>
          <w:u w:color="000000"/>
          <w:bdr w:val="nil"/>
          <w:lang w:val="en-US" w:eastAsia="en-GB"/>
        </w:rPr>
        <w:t xml:space="preserve">. NAA/Cr ratio is also found to be lower in major psychiatric conditions including schizophrenia, bipolar disorder and depression </w:t>
      </w:r>
      <w:r w:rsidRPr="00C603B7">
        <w:rPr>
          <w:rFonts w:eastAsia="Arial" w:cs="Arial"/>
          <w:color w:val="000000"/>
          <w:u w:color="000000"/>
          <w:bdr w:val="nil"/>
          <w:lang w:val="en-US" w:eastAsia="en-GB"/>
        </w:rPr>
        <w:fldChar w:fldCharType="begin"/>
      </w:r>
      <w:r w:rsidRPr="00C603B7">
        <w:rPr>
          <w:rFonts w:eastAsia="Arial" w:cs="Arial"/>
          <w:color w:val="000000"/>
          <w:u w:color="000000"/>
          <w:bdr w:val="nil"/>
          <w:lang w:val="en-US" w:eastAsia="en-GB"/>
        </w:rPr>
        <w:instrText xml:space="preserve"> ADDIN EN.CITE &lt;EndNote&gt;&lt;Cite  &gt;&lt;Author&gt;Mu&lt;/Author&gt;&lt;Year&gt;2007&lt;/Year&gt;&lt;RecNum&gt;1190&lt;/RecNum&gt;&lt;DisplayText&gt;(Mu et al., 2007, Järnum et al., 2011, Bustillo, 2013, Henigsberg et al., 2018)&lt;/DisplayText&gt;&lt;record&gt;&lt;keywords&gt;&lt;keyword&gt;Magnetic Resonance Spectroscopy&lt;/keyword&gt;&lt;keyword&gt;Treatment Resistant Depression&lt;/keyword&gt;&lt;keyword&gt;Thalamus&lt;/keyword&gt;&lt;keyword&gt;Neuroimaging&lt;/keyword&gt;&lt;keyword&gt;Medicine&lt;/keyword&gt;&lt;keyword&gt;Anatomy &amp;amp; Physiology&lt;/keyword&gt;&lt;/keywords&gt;&lt;isbn&gt;0304-3940&lt;/isbn&gt;&lt;titles&gt;&lt;title&gt;1H magnetic resonance spectroscopy study of thalamus in treatment resistant depressive patients&lt;/title&gt;&lt;secondary-title&gt;Neuroscience Letters&lt;/secondary-title&gt;&lt;/titles&gt;&lt;pages&gt;49-52&lt;/pages&gt;&lt;number&gt;1&lt;/number&gt;&lt;contributors&gt;&lt;authors&gt;&lt;author&gt;Mu, Jun&lt;/author&gt;&lt;author&gt;Xie, Peng&lt;/author&gt;&lt;author&gt;Yang, Ze-Song&lt;/author&gt;&lt;author&gt;Yang, De-Lan&lt;/author&gt;&lt;author&gt;Lv, Fa-Jin&lt;/author&gt;&lt;author&gt;Luo, Tian-You&lt;/author&gt;&lt;author&gt;Li, Yong&lt;/author&gt;&lt;/authors&gt;&lt;/contributors&gt;&lt;added-date format="utc"&gt;1573571226&lt;/added-date&gt;&lt;ref-type name="Journal Article"&gt;17&lt;/ref-type&gt;&lt;dates&gt;&lt;year&gt;2007&lt;/year&gt;&lt;/dates&gt;&lt;rec-number&gt;1190&lt;/rec-number&gt;&lt;last-updated-date format="utc"&gt;1573571226&lt;/last-updated-date&gt;&lt;electronic-resource-num&gt;10.1016/j.neulet.2007.08.004&lt;/electronic-resource-num&gt;&lt;volume&gt;425&lt;/volume&gt;&lt;/record&gt;&lt;/Cite&gt;&lt;Cite  &gt;&lt;Author&gt;Järnum&lt;/Author&gt;&lt;Year&gt;2011&lt;/Year&gt;&lt;record&gt;&lt;keywords&gt;&lt;keyword&gt;Major Depressive Disorder&lt;/keyword&gt;&lt;keyword&gt;Longitudinal Study&lt;/keyword&gt;&lt;keyword&gt;Magnetic Resonance Imaging&lt;/keyword&gt;&lt;keyword&gt;Perfusion&lt;/keyword&gt;&lt;keyword&gt;Magnetic Resonance Spectroscopy&lt;/keyword&gt;&lt;/keywords&gt;&lt;isbn&gt;0001-690X&lt;/isbn&gt;&lt;titles&gt;&lt;title&gt;Longitudinal MRI study of cortical thickness, perfusion, and metabolite levels in major depressive disorder&lt;/title&gt;&lt;secondary-title&gt;Acta Psychiatrica Scandinavica&lt;/secondary-title&gt;&lt;/titles&gt;&lt;pages&gt;435-446&lt;/pages&gt;&lt;number&gt;6&lt;/number&gt;&lt;contributors&gt;&lt;authors&gt;&lt;author&gt;Järnum, Hanna&lt;/author&gt;&lt;author&gt;Eskildsen, Simon F.&lt;/author&gt;&lt;author&gt;Steffensen, Elena G.&lt;/author&gt;&lt;author&gt;Lundbye</w:instrText>
      </w:r>
      <w:r w:rsidRPr="00C603B7">
        <w:rPr>
          <w:rFonts w:ascii="Cambria Math" w:eastAsia="Arial" w:hAnsi="Cambria Math" w:cs="Cambria Math"/>
          <w:color w:val="000000"/>
          <w:u w:color="000000"/>
          <w:bdr w:val="nil"/>
          <w:lang w:val="en-US" w:eastAsia="en-GB"/>
        </w:rPr>
        <w:instrText>‐</w:instrText>
      </w:r>
      <w:r w:rsidRPr="00C603B7">
        <w:rPr>
          <w:rFonts w:eastAsia="Arial" w:cs="Arial"/>
          <w:color w:val="000000"/>
          <w:u w:color="000000"/>
          <w:bdr w:val="nil"/>
          <w:lang w:val="en-US" w:eastAsia="en-GB"/>
        </w:rPr>
        <w:instrText>Christensen, Søren&lt;/author&gt;&lt;author&gt;Simonsen, Carsten W.&lt;/author&gt;&lt;author&gt;Thomsen, Ib S.&lt;/author&gt;&lt;author&gt;Fründ, Ernst</w:instrText>
      </w:r>
      <w:r w:rsidRPr="00C603B7">
        <w:rPr>
          <w:rFonts w:ascii="Cambria Math" w:eastAsia="Arial" w:hAnsi="Cambria Math" w:cs="Cambria Math"/>
          <w:color w:val="000000"/>
          <w:u w:color="000000"/>
          <w:bdr w:val="nil"/>
          <w:lang w:val="en-US" w:eastAsia="en-GB"/>
        </w:rPr>
        <w:instrText>‐</w:instrText>
      </w:r>
      <w:r w:rsidRPr="00C603B7">
        <w:rPr>
          <w:rFonts w:eastAsia="Arial" w:cs="Arial"/>
          <w:color w:val="000000"/>
          <w:u w:color="000000"/>
          <w:bdr w:val="nil"/>
          <w:lang w:val="en-US" w:eastAsia="en-GB"/>
        </w:rPr>
        <w:instrText>Torben&lt;/author&gt;&lt;author&gt;Théberge, Jean&lt;/author&gt;&lt;author&gt;Larsson, Elna</w:instrText>
      </w:r>
      <w:r w:rsidRPr="00C603B7">
        <w:rPr>
          <w:rFonts w:ascii="Cambria Math" w:eastAsia="Arial" w:hAnsi="Cambria Math" w:cs="Cambria Math"/>
          <w:color w:val="000000"/>
          <w:u w:color="000000"/>
          <w:bdr w:val="nil"/>
          <w:lang w:val="en-US" w:eastAsia="en-GB"/>
        </w:rPr>
        <w:instrText>‐</w:instrText>
      </w:r>
      <w:r w:rsidRPr="00C603B7">
        <w:rPr>
          <w:rFonts w:eastAsia="Arial" w:cs="Arial"/>
          <w:color w:val="000000"/>
          <w:u w:color="000000"/>
          <w:bdr w:val="nil"/>
          <w:lang w:val="en-US" w:eastAsia="en-GB"/>
        </w:rPr>
        <w:instrText>Marie&lt;/author&gt;&lt;/authors&gt;&lt;/contributors&gt;&lt;added-date format="utc"&gt;1574685582&lt;/added-date&gt;&lt;pub-location&gt;Oxford, UK&lt;/pub-location&gt;&lt;ref-type name="Journal Article"&gt;17&lt;/ref-type&gt;&lt;dates&gt;&lt;year&gt;2011&lt;/year&gt;&lt;/dates&gt;&lt;rec-number&gt;1210&lt;/rec-number&gt;&lt;last-updated-date format="utc"&gt;1574685582&lt;/last-updated-date&gt;&lt;electronic-resource-num&gt;10.1111/j.1600-0447.2011.01766.x&lt;/electronic-resource-num&gt;&lt;volume&gt;124&lt;/volume&gt;&lt;/record&gt;&lt;/Cite&gt;&lt;Cite  &gt;&lt;Author&gt;Bustillo&lt;/Author&gt;&lt;Year&gt;2013&lt;/Year&gt;&lt;record&gt;&lt;keywords&gt;&lt;keyword&gt;Animals–Metabolism&lt;/keyword&gt;&lt;keyword&gt;Brain–Pathology&lt;/keyword&gt;&lt;keyword&gt;Glutamic Acid–Metabolism&lt;/keyword&gt;&lt;keyword&gt;Glutamine–Metabolism&lt;/keyword&gt;&lt;keyword&gt;Humans–Methods&lt;/keyword&gt;&lt;keyword&gt;Magnetic Resonance Spectroscopy–Diagnosis&lt;/keyword&gt;&lt;keyword&gt;Mental Disorders–Metabolism&lt;/keyword&gt;&lt;keyword&gt;Protons–Therapy&lt;/keyword&gt;&lt;keyword&gt;Treatment Outcome–Therapy&lt;/keyword&gt;&lt;keyword&gt;Protons&lt;/keyword&gt;&lt;keyword&gt;Glutamine&lt;/keyword&gt;&lt;keyword&gt;Glutamic Acid&lt;/keyword&gt;&lt;keyword&gt;Naa&lt;/keyword&gt;&lt;keyword&gt;Glutamate&lt;/keyword&gt;&lt;keyword&gt;Glutamine&lt;/keyword&gt;&lt;keyword&gt;Schizophrenia&lt;/keyword&gt;&lt;keyword&gt;Spectroscopy&lt;/keyword&gt;&lt;/keywords&gt;&lt;titles&gt;&lt;title&gt;Use of proton magnetic resonance spectroscopy in the treatment of psychiatric disorders: a critical update&lt;/title&gt;&lt;secondary-title&gt;Dialogues in clinical neuroscience&lt;/secondary-title&gt;&lt;/titles&gt;&lt;pages&gt;329-337&lt;/pages&gt;&lt;number&gt;3&lt;/number&gt;&lt;contributors&gt;&lt;authors&gt;&lt;author&gt;Bustillo, Juan R.&lt;/author&gt;&lt;/authors&gt;&lt;/contributors&gt;&lt;added-date format="utc"&gt;1574695791&lt;/added-date&gt;&lt;ref-type name="Journal Article"&gt;17&lt;/ref-type&gt;&lt;dates&gt;&lt;year&gt;2013&lt;/year&gt;&lt;/dates&gt;&lt;rec-number&gt;1215&lt;/rec-number&gt;&lt;last-updated-date format="utc"&gt;1574695791&lt;/last-updated-date&gt;&lt;contributors&gt;&lt;secondary-authors&gt;&lt;author&gt;Bustillo, Juan R.&lt;/author&gt;&lt;/secondary-authors&gt;&lt;/contributors&gt;&lt;volume&gt;15&lt;/volume&gt;&lt;/record&gt;&lt;/Cite&gt;&lt;Cite  &gt;&lt;Author&gt;Henigsberg&lt;/Author&gt;&lt;Year&gt;2018&lt;/Year&gt;&lt;record&gt;&lt;keywords&gt;&lt;keyword&gt;Clinical Science&lt;/keyword&gt;&lt;/keywords&gt;&lt;isbn&gt;03539504&lt;/isbn&gt;&lt;titles&gt;&lt;title&gt;Choline and N-acetyl aspartate levels in the dorsolateral prefrontal cortex at the beginning of the recovery phase as markers of increased risk for depressive episode recurrence under different duration of maintenance therapy and after it: A retrospective cohort study&lt;/title&gt;&lt;secondary-title&gt;Croatian Medical Journal&lt;/secondary-title&gt;&lt;/titles&gt;&lt;pages&gt;244-252&lt;/pages&gt;&lt;number&gt;5&lt;/number&gt;&lt;contributors&gt;&lt;authors&gt;&lt;author&gt;Henigsberg, N.&lt;/author&gt;&lt;author&gt;Savić, A.&lt;/author&gt;&lt;author&gt;Radoš, M.&lt;/author&gt;&lt;author&gt;Šarac, H.&lt;/author&gt;&lt;author&gt;Ozretić, D.&lt;/author&gt;&lt;author&gt;Janović, M. B.&lt;/author&gt;&lt;author&gt;Turk, V. E.&lt;/author&gt;&lt;author&gt;Šečić, A.&lt;/author&gt;&lt;author&gt;Kalember, P.&lt;/author&gt;&lt;author&gt;Hrabač, P.&lt;/author&gt;&lt;/authors&gt;&lt;/contributors&gt;&lt;added-date format="utc"&gt;1573818642&lt;/added-date&gt;&lt;ref-type name="Journal Article"&gt;17&lt;/ref-type&gt;&lt;dates&gt;&lt;year&gt;2018&lt;/year&gt;&lt;/dates&gt;&lt;rec-number&gt;1198&lt;/rec-number&gt;&lt;last-updated-date format="utc"&gt;1573818642&lt;/last-updated-date&gt;&lt;electronic-resource-num&gt;10.3325/cmj.2018.59.244&lt;/electronic-resource-num&gt;&lt;/record&gt;&lt;/Cite&gt;&lt;/EndNote&gt;</w:instrText>
      </w:r>
      <w:r w:rsidRPr="00C603B7">
        <w:rPr>
          <w:rFonts w:eastAsia="Arial" w:cs="Arial"/>
          <w:color w:val="000000"/>
          <w:u w:color="000000"/>
          <w:bdr w:val="nil"/>
          <w:lang w:val="en-US" w:eastAsia="en-GB"/>
        </w:rPr>
        <w:fldChar w:fldCharType="separate"/>
      </w:r>
      <w:r w:rsidRPr="00C603B7">
        <w:rPr>
          <w:rFonts w:eastAsia="Calibri" w:cs="Calibri"/>
          <w:color w:val="000000"/>
          <w:u w:color="000000"/>
          <w:bdr w:val="nil"/>
          <w:lang w:val="en-US" w:eastAsia="en-GB"/>
        </w:rPr>
        <w:t>(Mu et al., 2007, Järnum et al., 2011, Bustillo, 2013, Henigsberg et al., 2018)</w:t>
      </w:r>
      <w:r w:rsidRPr="00C603B7">
        <w:rPr>
          <w:rFonts w:eastAsia="Arial" w:cs="Arial"/>
          <w:color w:val="000000"/>
          <w:u w:color="000000"/>
          <w:bdr w:val="nil"/>
          <w:lang w:val="en-US" w:eastAsia="en-GB"/>
        </w:rPr>
        <w:fldChar w:fldCharType="end"/>
      </w:r>
      <w:r w:rsidRPr="00C603B7">
        <w:rPr>
          <w:rFonts w:eastAsia="Calibri" w:cs="Calibri"/>
          <w:color w:val="000000"/>
          <w:u w:color="000000"/>
          <w:bdr w:val="nil"/>
          <w:lang w:val="en-US" w:eastAsia="en-GB"/>
        </w:rPr>
        <w:t xml:space="preserve">. Although it is possible that the studies by </w:t>
      </w:r>
      <w:proofErr w:type="spellStart"/>
      <w:r w:rsidRPr="00C603B7">
        <w:rPr>
          <w:rFonts w:eastAsia="Calibri" w:cs="Calibri"/>
          <w:color w:val="000000"/>
          <w:u w:color="000000"/>
          <w:bdr w:val="nil"/>
          <w:lang w:val="en-US" w:eastAsia="en-GB"/>
        </w:rPr>
        <w:t>Selvarajah</w:t>
      </w:r>
      <w:proofErr w:type="spellEnd"/>
      <w:r w:rsidRPr="00C603B7">
        <w:rPr>
          <w:rFonts w:eastAsia="Calibri" w:cs="Calibri"/>
          <w:color w:val="000000"/>
          <w:u w:color="000000"/>
          <w:bdr w:val="nil"/>
          <w:lang w:val="en-US" w:eastAsia="en-GB"/>
        </w:rPr>
        <w:t xml:space="preserve"> et al. </w:t>
      </w:r>
      <w:r w:rsidRPr="00C603B7">
        <w:rPr>
          <w:rFonts w:eastAsia="Arial" w:cs="Arial"/>
          <w:color w:val="000000"/>
          <w:u w:color="000000"/>
          <w:bdr w:val="nil"/>
          <w:lang w:val="en-US" w:eastAsia="en-GB"/>
        </w:rPr>
        <w:fldChar w:fldCharType="begin"/>
      </w:r>
      <w:r w:rsidR="009968E0">
        <w:rPr>
          <w:rFonts w:eastAsia="Arial" w:cs="Arial"/>
          <w:color w:val="000000"/>
          <w:u w:color="000000"/>
          <w:bdr w:val="nil"/>
          <w:lang w:val="en-US" w:eastAsia="en-GB"/>
        </w:rPr>
        <w:instrText xml:space="preserve"> ADDIN EN.CITE &lt;EndNote&gt;&lt;Cite ExcludeAuth="1"&gt;&lt;Author&gt;Selvarajah&lt;/Author&gt;&lt;Year&gt;2008&lt;/Year&gt;&lt;RecNum&gt;7&lt;/RecNum&gt;&lt;DisplayText&gt;(2008b)&lt;/DisplayText&gt;&lt;record&gt;&lt;dates&gt;&lt;pub-dates&gt;&lt;date&gt;Nov&lt;/date&gt;&lt;/pub-dates&gt;&lt;year&gt;2008&lt;/year&gt;&lt;/dates&gt;&lt;keywords&gt;&lt;keyword&gt;Adult&lt;/keyword&gt;&lt;keyword&gt;Choline&lt;/keyword&gt;&lt;keyword&gt;Creatinine&lt;/keyword&gt;&lt;keyword&gt;Diabetes Mellitus, Type 1&lt;/keyword&gt;&lt;keyword&gt;Diabetic Neuropathies&lt;/keyword&gt;&lt;keyword&gt;Functional Laterality&lt;/keyword&gt;&lt;keyword&gt;Humans&lt;/keyword&gt;&lt;keyword&gt;Magnetic Resonance Spectroscopy&lt;/keyword&gt;&lt;keyword&gt;Male&lt;/keyword&gt;&lt;keyword&gt;Middle Aged&lt;/keyword&gt;&lt;keyword&gt;Peripheral Nerves&lt;/keyword&gt;&lt;keyword&gt;Peripheral Nervous System Diseases&lt;/keyword&gt;&lt;keyword&gt;Peroneal Nerve&lt;/keyword&gt;&lt;keyword&gt;Reference Values&lt;/keyword&gt;&lt;keyword&gt;Sural Nerve&lt;/keyword&gt;&lt;keyword&gt;Thalamus&lt;/keyword&gt;&lt;/keywords&gt;&lt;urls&gt;&lt;related-urls&gt;&lt;url&gt;http://www.ncbi.nlm.nih.gov/pubmed/18773192&lt;/url&gt;&lt;/related-urls&gt;&lt;/urls&gt;&lt;isbn&gt;0012-186X&lt;/isbn&gt;&lt;titles&gt;&lt;title&gt;Thalamic neuronal dysfunction and chronic sensorimotor distal symmetrical polyneuropathy in patients with type 1 diabetes mellitus&lt;/title&gt;&lt;secondary-title&gt;Diabetologia&lt;/secondary-title&gt;&lt;/titles&gt;&lt;pages&gt;2088-92&lt;/pages&gt;&lt;number&gt;11&lt;/number&gt;&lt;contributors&gt;&lt;authors&gt;&lt;author&gt;Selvarajah, D.&lt;/author&gt;&lt;author&gt;Wilkinson, I. D.&lt;/author&gt;&lt;author&gt;Emery, C. J.&lt;/author&gt;&lt;author&gt;Shaw, P. J.&lt;/author&gt;&lt;author&gt;Griffiths, P. D.&lt;/author&gt;&lt;author&gt;Gandhi, R.&lt;/author&gt;&lt;author&gt;Tesfaye, S.&lt;/author&gt;&lt;/authors&gt;&lt;/contributors&gt;&lt;language&gt;eng&lt;/language&gt;&lt;added-date format="utc"&gt;1349968030&lt;/added-date&gt;&lt;ref-type name="Journal Article"&gt;17&lt;/ref-type&gt;&lt;auth-address&gt;Diabetes Research Unit, Royal Hallamshire Hospital, Sheffield, S10 2JF, UK. dinesh.selvarajah@gmail.com&lt;/auth-address&gt;&lt;rec-number&gt;7&lt;/rec-number&gt;&lt;last-updated-date format="utc"&gt;1349968030&lt;/last-updated-date&gt;&lt;accession-num&gt;18773192&lt;/accession-num&gt;&lt;electronic-resource-num&gt;10.1007/s00125-008-1139-0&lt;/electronic-resource-num&gt;&lt;volume&gt;51&lt;/volume&gt;&lt;/record&gt;&lt;/Cite&gt;&lt;/EndNote&gt;</w:instrText>
      </w:r>
      <w:r w:rsidRPr="00C603B7">
        <w:rPr>
          <w:rFonts w:eastAsia="Arial" w:cs="Arial"/>
          <w:color w:val="000000"/>
          <w:u w:color="000000"/>
          <w:bdr w:val="nil"/>
          <w:lang w:val="en-US" w:eastAsia="en-GB"/>
        </w:rPr>
        <w:fldChar w:fldCharType="separate"/>
      </w:r>
      <w:r w:rsidR="009968E0">
        <w:rPr>
          <w:rFonts w:eastAsia="Arial" w:cs="Arial"/>
          <w:noProof/>
          <w:color w:val="000000"/>
          <w:u w:color="000000"/>
          <w:bdr w:val="nil"/>
          <w:lang w:val="en-US" w:eastAsia="en-GB"/>
        </w:rPr>
        <w:t>(2008b)</w:t>
      </w:r>
      <w:r w:rsidRPr="00C603B7">
        <w:rPr>
          <w:rFonts w:eastAsia="Arial" w:cs="Arial"/>
          <w:color w:val="000000"/>
          <w:u w:color="000000"/>
          <w:bdr w:val="nil"/>
          <w:lang w:val="en-US" w:eastAsia="en-GB"/>
        </w:rPr>
        <w:fldChar w:fldCharType="end"/>
      </w:r>
      <w:r w:rsidRPr="00C603B7">
        <w:rPr>
          <w:rFonts w:eastAsia="Calibri" w:cs="Calibri"/>
          <w:color w:val="000000"/>
          <w:u w:color="000000"/>
          <w:bdr w:val="nil"/>
          <w:lang w:val="en-US" w:eastAsia="en-GB"/>
        </w:rPr>
        <w:t xml:space="preserve">, Sorensen et al. </w:t>
      </w:r>
      <w:r w:rsidRPr="00C603B7">
        <w:rPr>
          <w:rFonts w:eastAsia="Arial" w:cs="Arial"/>
          <w:color w:val="000000"/>
          <w:u w:color="000000"/>
          <w:bdr w:val="nil"/>
          <w:lang w:val="en-US" w:eastAsia="en-GB"/>
        </w:rPr>
        <w:fldChar w:fldCharType="begin"/>
      </w:r>
      <w:r w:rsidRPr="00C603B7">
        <w:rPr>
          <w:rFonts w:eastAsia="Arial" w:cs="Arial"/>
          <w:color w:val="000000"/>
          <w:u w:color="000000"/>
          <w:bdr w:val="nil"/>
          <w:lang w:val="en-US" w:eastAsia="en-GB"/>
        </w:rPr>
        <w:instrText xml:space="preserve"> ADDIN EN.CITE &lt;EndNote&gt;&lt;Cite  &gt;&lt;Author&gt;Sorensen&lt;/Author&gt;&lt;Year&gt;2008&lt;/Year&gt;&lt;RecNum&gt;8&lt;/RecNum&gt;&lt;DisplayText&gt;(Sorensen et al., 2008)&lt;/DisplayText&gt;&lt;record&gt;&lt;dates&gt;&lt;pub-dates&gt;&lt;date&gt;May&lt;/date&gt;&lt;/pub-dates&gt;&lt;year&gt;2008&lt;/year&gt;&lt;/dates&gt;&lt;keywords&gt;&lt;keyword&gt;Adult&lt;/keyword&gt;&lt;keyword&gt;Aged&lt;/keyword&gt;&lt;keyword&gt;Aspartic Acid&lt;/keyword&gt;&lt;keyword&gt;Brain&lt;/keyword&gt;&lt;keyword&gt;Brain Mapping&lt;/keyword&gt;&lt;keyword&gt;Choline&lt;/keyword&gt;&lt;keyword&gt;Creatine&lt;/keyword&gt;&lt;keyword&gt;Diabetic Neuropathies&lt;/keyword&gt;&lt;keyword&gt;Female&lt;/keyword&gt;&lt;keyword&gt;Frontal Lobe&lt;/keyword&gt;&lt;keyword&gt;Gyrus Cinguli&lt;/keyword&gt;&lt;keyword&gt;Humans&lt;/keyword&gt;&lt;keyword&gt;Magnetic Resonance Spectroscopy&lt;/keyword&gt;&lt;keyword&gt;Male&lt;/keyword&gt;&lt;keyword&gt;Middle Aged&lt;/keyword&gt;&lt;keyword&gt;Pain&lt;/keyword&gt;&lt;keyword&gt;Reference Values&lt;/keyword&gt;&lt;keyword&gt;Sensory Thresholds&lt;/keyword&gt;&lt;keyword&gt;Thalamus&lt;/keyword&gt;&lt;/keywords&gt;&lt;urls&gt;&lt;related-urls&gt;&lt;url&gt;http://www.ncbi.nlm.nih.gov/pubmed/18299445&lt;/url&gt;&lt;/related-urls&gt;&lt;/urls&gt;&lt;isbn&gt;1935-5548&lt;/isbn&gt;&lt;titles&gt;&lt;title&gt;Differences in metabolites in pain-processing brain regions in patients with diabetes and painful neuropathy&lt;/title&gt;&lt;secondary-title&gt;Diabetes Care&lt;/secondary-title&gt;&lt;/titles&gt;&lt;pages&gt;980-981&lt;/pages&gt;&lt;number&gt;5&lt;/number&gt;&lt;contributors&gt;&lt;authors&gt;&lt;author&gt;Sorensen, L.&lt;/author&gt;&lt;author&gt;Siddall, P. J.&lt;/author&gt;&lt;author&gt;Trenell, M. I.&lt;/author&gt;&lt;author&gt;Yue, D. K.&lt;/author&gt;&lt;/authors&gt;&lt;/contributors&gt;&lt;section&gt;980&lt;/section&gt;&lt;language&gt;eng&lt;/language&gt;&lt;added-date format="utc"&gt;1349968030&lt;/added-date&gt;&lt;ref-type name="Journal Article"&gt;17&lt;/ref-type&gt;&lt;auth-address&gt;Diabetes Centre, Royal Prince Alfred Hospital, Camperdown, Australia. lea@email.cs.nsw.gov.au&lt;/auth-address&gt;&lt;rec-number&gt;8&lt;/rec-number&gt;&lt;last-updated-date format="utc"&gt;1356363957&lt;/last-updated-date&gt;&lt;accession-num&gt;18299445&lt;/accession-num&gt;&lt;electronic-resource-num&gt;dc07-2088 [pii]&amp;#13; 10.2337/dc07-2088&lt;/electronic-resource-num&gt;&lt;volume&gt;31&lt;/volume&gt;&lt;/record&gt;&lt;/Cite&gt;&lt;/EndNote&gt;</w:instrText>
      </w:r>
      <w:r w:rsidRPr="00C603B7">
        <w:rPr>
          <w:rFonts w:eastAsia="Arial" w:cs="Arial"/>
          <w:color w:val="000000"/>
          <w:u w:color="000000"/>
          <w:bdr w:val="nil"/>
          <w:lang w:val="en-US" w:eastAsia="en-GB"/>
        </w:rPr>
        <w:fldChar w:fldCharType="separate"/>
      </w:r>
      <w:r w:rsidRPr="00C603B7">
        <w:rPr>
          <w:rFonts w:eastAsia="Calibri" w:cs="Calibri"/>
          <w:color w:val="000000"/>
          <w:u w:color="000000"/>
          <w:bdr w:val="nil"/>
          <w:lang w:val="en-US" w:eastAsia="en-GB"/>
        </w:rPr>
        <w:t>(Sorensen et al., 2008)</w:t>
      </w:r>
      <w:r w:rsidRPr="00C603B7">
        <w:rPr>
          <w:rFonts w:eastAsia="Arial" w:cs="Arial"/>
          <w:color w:val="000000"/>
          <w:u w:color="000000"/>
          <w:bdr w:val="nil"/>
          <w:lang w:val="en-US" w:eastAsia="en-GB"/>
        </w:rPr>
        <w:fldChar w:fldCharType="end"/>
      </w:r>
      <w:r w:rsidRPr="00C603B7">
        <w:rPr>
          <w:rFonts w:eastAsia="Calibri" w:cs="Calibri"/>
          <w:color w:val="000000"/>
          <w:u w:color="000000"/>
          <w:bdr w:val="nil"/>
          <w:lang w:val="de-DE" w:eastAsia="en-GB"/>
        </w:rPr>
        <w:t xml:space="preserve">, Gandhi </w:t>
      </w:r>
      <w:r w:rsidRPr="00C603B7">
        <w:rPr>
          <w:rFonts w:eastAsia="Arial" w:cs="Arial"/>
          <w:color w:val="000000"/>
          <w:u w:color="000000"/>
          <w:bdr w:val="nil"/>
          <w:lang w:val="en-US" w:eastAsia="en-GB"/>
        </w:rPr>
        <w:fldChar w:fldCharType="begin"/>
      </w:r>
      <w:r w:rsidRPr="00C603B7">
        <w:rPr>
          <w:rFonts w:eastAsia="Arial" w:cs="Arial"/>
          <w:color w:val="000000"/>
          <w:u w:color="000000"/>
          <w:bdr w:val="nil"/>
          <w:lang w:val="en-US" w:eastAsia="en-GB"/>
        </w:rPr>
        <w:instrText xml:space="preserve"> ADDIN EN.CITE &lt;EndNote&gt;&lt;Cite ExcludeAuth="1" &gt;&lt;Author&gt;Gandhi&lt;/Author&gt;&lt;Year&gt;2013&lt;/Year&gt;&lt;RecNum&gt;1209&lt;/RecNum&gt;&lt;DisplayText&gt;(2013)&lt;/DisplayText&gt;&lt;record&gt;&lt;titles&gt;&lt;title&gt;Insights into the Pathogenesis of Painful and Painless Diabetic Neuropathy&lt;/title&gt;&lt;/titles&gt;&lt;contributors&gt;&lt;authors&gt;&lt;author&gt;Gandhi, Rajiv&lt;/author&gt;&lt;/authors&gt;&lt;/contributors&gt;&lt;added-date format="utc"&gt;1573829160&lt;/added-date&gt;&lt;ref-type name="Generic"&gt;13&lt;/ref-type&gt;&lt;dates&gt;&lt;year&gt;2013&lt;/year&gt;&lt;/dates&gt;&lt;rec-number&gt;1209&lt;/rec-number&gt;&lt;publisher&gt;University of Sheffield;Biomedical Science (Sheffield); 2013&lt;/publisher&gt;&lt;last-updated-date format="utc"&gt;1573829160&lt;/last-updated-date&gt;&lt;/record&gt;&lt;/Cite&gt;&lt;/EndNote&gt;</w:instrText>
      </w:r>
      <w:r w:rsidRPr="00C603B7">
        <w:rPr>
          <w:rFonts w:eastAsia="Arial" w:cs="Arial"/>
          <w:color w:val="000000"/>
          <w:u w:color="000000"/>
          <w:bdr w:val="nil"/>
          <w:lang w:val="en-US" w:eastAsia="en-GB"/>
        </w:rPr>
        <w:fldChar w:fldCharType="separate"/>
      </w:r>
      <w:r w:rsidRPr="00C603B7">
        <w:rPr>
          <w:rFonts w:eastAsia="Calibri" w:cs="Calibri"/>
          <w:color w:val="000000"/>
          <w:u w:color="000000"/>
          <w:bdr w:val="nil"/>
          <w:lang w:val="en-US" w:eastAsia="en-GB"/>
        </w:rPr>
        <w:t>(2013)</w:t>
      </w:r>
      <w:r w:rsidRPr="00C603B7">
        <w:rPr>
          <w:rFonts w:eastAsia="Arial" w:cs="Arial"/>
          <w:color w:val="000000"/>
          <w:u w:color="000000"/>
          <w:bdr w:val="nil"/>
          <w:lang w:val="en-US" w:eastAsia="en-GB"/>
        </w:rPr>
        <w:fldChar w:fldCharType="end"/>
      </w:r>
      <w:r w:rsidRPr="00C603B7">
        <w:rPr>
          <w:rFonts w:eastAsia="Calibri" w:cs="Calibri"/>
          <w:color w:val="000000"/>
          <w:u w:color="000000"/>
          <w:bdr w:val="nil"/>
          <w:lang w:val="en-US" w:eastAsia="en-GB"/>
        </w:rPr>
        <w:t xml:space="preserve">, and Hansen et al </w:t>
      </w:r>
      <w:r w:rsidRPr="00C603B7">
        <w:rPr>
          <w:rFonts w:eastAsia="Arial" w:cs="Arial"/>
          <w:color w:val="000000"/>
          <w:u w:color="000000"/>
          <w:bdr w:val="nil"/>
          <w:lang w:val="en-US" w:eastAsia="en-GB"/>
        </w:rPr>
        <w:fldChar w:fldCharType="begin"/>
      </w:r>
      <w:r w:rsidRPr="00C603B7">
        <w:rPr>
          <w:rFonts w:eastAsia="Arial" w:cs="Arial"/>
          <w:color w:val="000000"/>
          <w:u w:color="000000"/>
          <w:bdr w:val="nil"/>
          <w:lang w:val="en-US" w:eastAsia="en-GB"/>
        </w:rPr>
        <w:instrText xml:space="preserve"> ADDIN EN.CITE &lt;EndNote&gt;&lt;Cite ExcludeAuth="1" &gt;&lt;Author&gt;Hansen&lt;/Author&gt;&lt;Year&gt;2019&lt;/Year&gt;&lt;DisplayText&gt;(2019)&lt;/DisplayText&gt;&lt;record&gt;&lt;keywords&gt;&lt;keyword&gt;Diabetes Neuropathy&lt;/keyword&gt;&lt;keyword&gt;Magnetic Resonance Spectroscopy&lt;/keyword&gt;&lt;keyword&gt;Metabolites&lt;/keyword&gt;&lt;keyword&gt;Central Nervous System&lt;/keyword&gt;&lt;keyword&gt;Peripheral Neuropathy&lt;/keyword&gt;&lt;keyword&gt;N-Acetylaspartate&lt;/keyword&gt;&lt;keyword&gt;Medicine&lt;/keyword&gt;&lt;/keywords&gt;&lt;isbn&gt;1056-8727&lt;/isbn&gt;&lt;titles&gt;&lt;title&gt;Brain spectroscopy reveals that N-acetylaspartate is associated to peripheral sensorimotor neuropathy in type 1 diabetes&lt;/title&gt;&lt;secondary-title&gt;Journal of Diabetes and Its Complications&lt;/secondary-title&gt;&lt;/titles&gt;&lt;pages&gt;323-328&lt;/pages&gt;&lt;number&gt;4&lt;/number&gt;&lt;contributors&gt;&lt;authors&gt;&lt;author&gt;Hansen, Tine Maria&lt;/author&gt;&lt;author&gt;Brock, Birgitte&lt;/author&gt;&lt;author&gt;Juhl, Anne&lt;/author&gt;&lt;author&gt;Drewes, Asbjørn Mohr&lt;/author&gt;&lt;author&gt;Vorum, Henrik&lt;/author&gt;&lt;author&gt;Andersen, Carl Uggerhøj&lt;/author&gt;&lt;author&gt;Jakobsen, Poul Erik&lt;/author&gt;&lt;author&gt;Karmisholt, Jesper&lt;/author&gt;&lt;author&gt;Frøkjær, Jens Brøndum&lt;/author&gt;&lt;author&gt;Brock, Christina&lt;/author&gt;&lt;/authors&gt;&lt;/contributors&gt;&lt;added-date format="utc"&gt;1573828106&lt;/added-date&gt;&lt;ref-type name="Journal Article"&gt;17&lt;/ref-type&gt;&lt;dates&gt;&lt;year&gt;2019&lt;/year&gt;&lt;/dates&gt;&lt;rec-number&gt;1208&lt;/rec-number&gt;&lt;last-updated-date format="utc"&gt;1573828106&lt;/last-updated-date&gt;&lt;electronic-resource-num&gt;10.1016/j.jdiacomp.2018.12.016&lt;/electronic-resource-num&gt;&lt;volume&gt;33&lt;/volume&gt;&lt;/record&gt;&lt;/Cite&gt;&lt;/EndNote&gt;</w:instrText>
      </w:r>
      <w:r w:rsidRPr="00C603B7">
        <w:rPr>
          <w:rFonts w:eastAsia="Arial" w:cs="Arial"/>
          <w:color w:val="000000"/>
          <w:u w:color="000000"/>
          <w:bdr w:val="nil"/>
          <w:lang w:val="en-US" w:eastAsia="en-GB"/>
        </w:rPr>
        <w:fldChar w:fldCharType="separate"/>
      </w:r>
      <w:r w:rsidRPr="00C603B7">
        <w:rPr>
          <w:rFonts w:eastAsia="Calibri" w:cs="Calibri"/>
          <w:color w:val="000000"/>
          <w:u w:color="000000"/>
          <w:bdr w:val="nil"/>
          <w:lang w:val="en-US" w:eastAsia="en-GB"/>
        </w:rPr>
        <w:t>(2019)</w:t>
      </w:r>
      <w:r w:rsidRPr="00C603B7">
        <w:rPr>
          <w:rFonts w:eastAsia="Arial" w:cs="Arial"/>
          <w:color w:val="000000"/>
          <w:u w:color="000000"/>
          <w:bdr w:val="nil"/>
          <w:lang w:val="en-US" w:eastAsia="en-GB"/>
        </w:rPr>
        <w:fldChar w:fldCharType="end"/>
      </w:r>
      <w:r w:rsidRPr="00C603B7">
        <w:rPr>
          <w:rFonts w:eastAsia="Calibri" w:cs="Calibri"/>
          <w:color w:val="000000"/>
          <w:u w:color="000000"/>
          <w:bdr w:val="nil"/>
          <w:lang w:val="en-US" w:eastAsia="en-GB"/>
        </w:rPr>
        <w:t xml:space="preserve"> included measures of mood and personality, they have not reported correlations with spectroscopy measures.  Thalamic NAA/Cr ratio has been reported to be associated with treatment resistant depression </w:t>
      </w:r>
      <w:r w:rsidRPr="00C603B7">
        <w:rPr>
          <w:rFonts w:eastAsia="Arial" w:cs="Arial"/>
          <w:color w:val="000000"/>
          <w:u w:color="000000"/>
          <w:bdr w:val="nil"/>
          <w:lang w:val="en-US" w:eastAsia="en-GB"/>
        </w:rPr>
        <w:fldChar w:fldCharType="begin"/>
      </w:r>
      <w:r w:rsidRPr="00C603B7">
        <w:rPr>
          <w:rFonts w:eastAsia="Arial" w:cs="Arial"/>
          <w:color w:val="000000"/>
          <w:u w:color="000000"/>
          <w:bdr w:val="nil"/>
          <w:lang w:val="en-US" w:eastAsia="en-GB"/>
        </w:rPr>
        <w:instrText xml:space="preserve"> ADDIN EN.CITE &lt;EndNote&gt;&lt;Cite  &gt;&lt;Author&gt;Mu&lt;/Author&gt;&lt;Year&gt;2007&lt;/Year&gt;&lt;RecNum&gt;1190&lt;/RecNum&gt;&lt;DisplayText&gt;(Mu et al., 2007)&lt;/DisplayText&gt;&lt;record&gt;&lt;keywords&gt;&lt;keyword&gt;Magnetic Resonance Spectroscopy&lt;/keyword&gt;&lt;keyword&gt;Treatment Resistant Depression&lt;/keyword&gt;&lt;keyword&gt;Thalamus&lt;/keyword&gt;&lt;keyword&gt;Neuroimaging&lt;/keyword&gt;&lt;keyword&gt;Medicine&lt;/keyword&gt;&lt;keyword&gt;Anatomy &amp;amp; Physiology&lt;/keyword&gt;&lt;/keywords&gt;&lt;isbn&gt;0304-3940&lt;/isbn&gt;&lt;titles&gt;&lt;title&gt;1H magnetic resonance spectroscopy study of thalamus in treatment resistant depressive patients&lt;/title&gt;&lt;secondary-title&gt;Neuroscience Letters&lt;/secondary-title&gt;&lt;/titles&gt;&lt;pages&gt;49-52&lt;/pages&gt;&lt;number&gt;1&lt;/number&gt;&lt;contributors&gt;&lt;authors&gt;&lt;author&gt;Mu, Jun&lt;/author&gt;&lt;author&gt;Xie, Peng&lt;/author&gt;&lt;author&gt;Yang, Ze-Song&lt;/author&gt;&lt;author&gt;Yang, De-Lan&lt;/author&gt;&lt;author&gt;Lv, Fa-Jin&lt;/author&gt;&lt;author&gt;Luo, Tian-You&lt;/author&gt;&lt;author&gt;Li, Yong&lt;/author&gt;&lt;/authors&gt;&lt;/contributors&gt;&lt;added-date format="utc"&gt;1573571226&lt;/added-date&gt;&lt;ref-type name="Journal Article"&gt;17&lt;/ref-type&gt;&lt;dates&gt;&lt;year&gt;2007&lt;/year&gt;&lt;/dates&gt;&lt;rec-number&gt;1190&lt;/rec-number&gt;&lt;last-updated-date format="utc"&gt;1573571226&lt;/last-updated-date&gt;&lt;electronic-resource-num&gt;10.1016/j.neulet.2007.08.004&lt;/electronic-resource-num&gt;&lt;volume&gt;425&lt;/volume&gt;&lt;/record&gt;&lt;/Cite&gt;&lt;/EndNote&gt;</w:instrText>
      </w:r>
      <w:r w:rsidRPr="00C603B7">
        <w:rPr>
          <w:rFonts w:eastAsia="Arial" w:cs="Arial"/>
          <w:color w:val="000000"/>
          <w:u w:color="000000"/>
          <w:bdr w:val="nil"/>
          <w:lang w:val="en-US" w:eastAsia="en-GB"/>
        </w:rPr>
        <w:fldChar w:fldCharType="separate"/>
      </w:r>
      <w:r w:rsidRPr="00C603B7">
        <w:rPr>
          <w:rFonts w:eastAsia="Calibri" w:cs="Calibri"/>
          <w:color w:val="000000"/>
          <w:u w:color="000000"/>
          <w:bdr w:val="nil"/>
          <w:lang w:val="en-US" w:eastAsia="en-GB"/>
        </w:rPr>
        <w:t>(Mu et al., 2007)</w:t>
      </w:r>
      <w:r w:rsidRPr="00C603B7">
        <w:rPr>
          <w:rFonts w:eastAsia="Arial" w:cs="Arial"/>
          <w:color w:val="000000"/>
          <w:u w:color="000000"/>
          <w:bdr w:val="nil"/>
          <w:lang w:val="en-US" w:eastAsia="en-GB"/>
        </w:rPr>
        <w:fldChar w:fldCharType="end"/>
      </w:r>
      <w:r w:rsidRPr="00C603B7">
        <w:rPr>
          <w:rFonts w:eastAsia="Calibri" w:cs="Calibri"/>
          <w:color w:val="000000"/>
          <w:u w:color="000000"/>
          <w:bdr w:val="nil"/>
          <w:lang w:val="en-US" w:eastAsia="en-GB"/>
        </w:rPr>
        <w:t xml:space="preserve">. In that study, at baseline, 20 subjects with unipolar treatment resistant depression, who had been asked to stop taking their antidepressant medication, had a decreased ratio of NAA/Cr compared to non-depressed control subjects.  NAA/Cr in the thalamus has also been compared in post stroke depression, and again the NAA/Cr ratio was lower in the subjects with depression, but interestingly recovered when treated with paroxetine for 6 months </w:t>
      </w:r>
      <w:r w:rsidRPr="00C603B7">
        <w:rPr>
          <w:rFonts w:eastAsia="Arial" w:cs="Arial"/>
          <w:color w:val="000000"/>
          <w:u w:color="000000"/>
          <w:bdr w:val="nil"/>
          <w:lang w:val="en-US" w:eastAsia="en-GB"/>
        </w:rPr>
        <w:fldChar w:fldCharType="begin"/>
      </w:r>
      <w:r w:rsidRPr="00C603B7">
        <w:rPr>
          <w:rFonts w:eastAsia="Arial" w:cs="Arial"/>
          <w:color w:val="000000"/>
          <w:u w:color="000000"/>
          <w:bdr w:val="nil"/>
          <w:lang w:val="en-US" w:eastAsia="en-GB"/>
        </w:rPr>
        <w:instrText xml:space="preserve"> ADDIN EN.CITE &lt;EndNote&gt;&lt;Cite  &gt;&lt;Author&gt;Huang&lt;/Author&gt;&lt;Year&gt;2010&lt;/Year&gt;&lt;RecNum&gt;1226&lt;/RecNum&gt;&lt;DisplayText&gt;(Huang et al., 2010)&lt;/DisplayText&gt;&lt;record&gt;&lt;keywords&gt;&lt;keyword&gt;Geriatrics&lt;/keyword&gt;&lt;keyword&gt;Paroxetine&lt;/keyword&gt;&lt;keyword&gt;Hamilton Depression Rating Scale&lt;/keyword&gt;&lt;keyword&gt;Creatine&lt;/keyword&gt;&lt;keyword&gt;Medicine&lt;/keyword&gt;&lt;/keywords&gt;&lt;isbn&gt;0925-4927&lt;/isbn&gt;&lt;titles&gt;&lt;title&gt;Effects of antidepressant treatment on N-acetyl aspartate and choline levels in the hippocampus and thalami of post-stroke depression patients: A study using 1H magnetic resonance spectroscopy&lt;/title&gt;&lt;secondary-title&gt;Psychiatry Research: Neuroimaging&lt;/secondary-title&gt;&lt;/titles&gt;&lt;pages&gt;48-52&lt;/pages&gt;&lt;number&gt;1&lt;/number&gt;&lt;contributors&gt;&lt;authors&gt;&lt;author&gt;Huang, Yanyan&lt;/author&gt;&lt;author&gt;Chen, Wenjie&lt;/author&gt;&lt;author&gt;Li, Yuxin&lt;/author&gt;&lt;author&gt;Wu, Xiaoyan&lt;/author&gt;&lt;author&gt;Shi, Xiaomei&lt;/author&gt;&lt;author&gt;Geng, Daoying&lt;/author&gt;&lt;/authors&gt;&lt;/contributors&gt;&lt;added-date format="utc"&gt;1574704822&lt;/added-date&gt;&lt;ref-type name="Journal Article"&gt;17&lt;/ref-type&gt;&lt;dates&gt;&lt;year&gt;2010&lt;/year&gt;&lt;/dates&gt;&lt;rec-number&gt;1226&lt;/rec-number&gt;&lt;last-updated-date format="utc"&gt;1574704822&lt;/last-updated-date&gt;&lt;electronic-resource-num&gt;10.1016/j.pscychresns.2009.11.009&lt;/electronic-resource-num&gt;&lt;volume&gt;182&lt;/volume&gt;&lt;/record&gt;&lt;/Cite&gt;&lt;/EndNote&gt;</w:instrText>
      </w:r>
      <w:r w:rsidRPr="00C603B7">
        <w:rPr>
          <w:rFonts w:eastAsia="Arial" w:cs="Arial"/>
          <w:color w:val="000000"/>
          <w:u w:color="000000"/>
          <w:bdr w:val="nil"/>
          <w:lang w:val="en-US" w:eastAsia="en-GB"/>
        </w:rPr>
        <w:fldChar w:fldCharType="separate"/>
      </w:r>
      <w:r w:rsidRPr="00C603B7">
        <w:rPr>
          <w:rFonts w:eastAsia="Calibri" w:cs="Calibri"/>
          <w:color w:val="000000"/>
          <w:u w:color="000000"/>
          <w:bdr w:val="nil"/>
          <w:lang w:val="en-US" w:eastAsia="en-GB"/>
        </w:rPr>
        <w:t>(Huang et al., 2010)</w:t>
      </w:r>
      <w:r w:rsidRPr="00C603B7">
        <w:rPr>
          <w:rFonts w:eastAsia="Arial" w:cs="Arial"/>
          <w:color w:val="000000"/>
          <w:u w:color="000000"/>
          <w:bdr w:val="nil"/>
          <w:lang w:val="en-US" w:eastAsia="en-GB"/>
        </w:rPr>
        <w:fldChar w:fldCharType="end"/>
      </w:r>
      <w:r w:rsidRPr="00C603B7">
        <w:rPr>
          <w:rFonts w:eastAsia="Calibri" w:cs="Calibri"/>
          <w:color w:val="000000"/>
          <w:u w:color="000000"/>
          <w:bdr w:val="nil"/>
          <w:lang w:val="en-US" w:eastAsia="en-GB"/>
        </w:rPr>
        <w:t xml:space="preserve">.  A review of the literature has noted that despite heterogenous methods of data collection, anatomical regions studied and study design, there is evidence that NAA/Cr is low in psychiatric disorders including depression, and recovers with treatment </w:t>
      </w:r>
      <w:r w:rsidRPr="00C603B7">
        <w:rPr>
          <w:rFonts w:eastAsia="Arial" w:cs="Arial"/>
          <w:color w:val="000000"/>
          <w:u w:color="000000"/>
          <w:bdr w:val="nil"/>
          <w:lang w:val="fr-FR" w:eastAsia="en-GB"/>
        </w:rPr>
        <w:fldChar w:fldCharType="begin"/>
      </w:r>
      <w:r w:rsidRPr="00C603B7">
        <w:rPr>
          <w:rFonts w:eastAsia="Arial" w:cs="Arial"/>
          <w:color w:val="000000"/>
          <w:u w:color="000000"/>
          <w:bdr w:val="nil"/>
          <w:lang w:val="fr-FR" w:eastAsia="en-GB"/>
        </w:rPr>
        <w:instrText xml:space="preserve"> ADDIN EN.CITE &lt;EndNote&gt;&lt;Cite  &gt;&lt;Author&gt;Paslakis&lt;/Author&gt;&lt;Year&gt;2014&lt;/Year&gt;&lt;DisplayText&gt;(Paslakis et al., 2014)&lt;/DisplayText&gt;&lt;record&gt;&lt;keywords&gt;&lt;keyword&gt;N-Acetyl-Aspartate&lt;/keyword&gt;&lt;keyword&gt;Proton-Mr-Spectroscopy&lt;/keyword&gt;&lt;keyword&gt;Affective Disorder&lt;/keyword&gt;&lt;keyword&gt;Obsessive Compulsive Disorder&lt;/keyword&gt;&lt;keyword&gt;Schizophrenia&lt;/keyword&gt;&lt;keyword&gt;Alzheimer Dementia&lt;/keyword&gt;&lt;keyword&gt;Pharmacy, Therapeutics, &amp;amp; Pharmacology&lt;/keyword&gt;&lt;/keywords&gt;&lt;isbn&gt;0924-977X&lt;/isbn&gt;&lt;titles&gt;&lt;title&gt;N-acetyl-aspartate (NAA) as a correlate of pharmacological treatment in psychiatric disorders: A systematic review&lt;/title&gt;&lt;secondary-title&gt;European Neuropsychopharmacology&lt;/secondary-title&gt;&lt;/titles&gt;&lt;pages&gt;1659-1675&lt;/pages&gt;&lt;number&gt;10&lt;/number&gt;&lt;contributors&gt;&lt;authors&gt;&lt;author&gt;Paslakis, Georgios&lt;/author&gt;&lt;author&gt;Träber, Frank&lt;/author&gt;&lt;author&gt;Roberz, Jens&lt;/author&gt;&lt;author&gt;Block, Wolfgang&lt;/author&gt;&lt;author&gt;Jessen, Frank&lt;/author&gt;&lt;/authors&gt;&lt;/contributors&gt;&lt;added-date format="utc"&gt;1574703143&lt;/added-date&gt;&lt;ref-type name="Journal Article"&gt;17&lt;/ref-type&gt;&lt;dates&gt;&lt;year&gt;2014&lt;/year&gt;&lt;/dates&gt;&lt;rec-number&gt;1224&lt;/rec-number&gt;&lt;last-updated-date format="utc"&gt;1574703143&lt;/last-updated-date&gt;&lt;electronic-resource-num&gt;10.1016/j.euroneuro.2014.06.004&lt;/electronic-resource-num&gt;&lt;volume&gt;24&lt;/volume&gt;&lt;/record&gt;&lt;/Cite&gt;&lt;/EndNote&gt;</w:instrText>
      </w:r>
      <w:r w:rsidRPr="00C603B7">
        <w:rPr>
          <w:rFonts w:eastAsia="Arial" w:cs="Arial"/>
          <w:color w:val="000000"/>
          <w:u w:color="000000"/>
          <w:bdr w:val="nil"/>
          <w:lang w:val="fr-FR" w:eastAsia="en-GB"/>
        </w:rPr>
        <w:fldChar w:fldCharType="separate"/>
      </w:r>
      <w:r w:rsidRPr="00C603B7">
        <w:rPr>
          <w:rFonts w:eastAsia="Calibri" w:cs="Calibri"/>
          <w:color w:val="000000"/>
          <w:u w:color="000000"/>
          <w:bdr w:val="nil"/>
          <w:lang w:val="fr-FR" w:eastAsia="en-GB"/>
        </w:rPr>
        <w:t>(Paslakis et al., 2014)</w:t>
      </w:r>
      <w:r w:rsidRPr="00C603B7">
        <w:rPr>
          <w:rFonts w:eastAsia="Arial" w:cs="Arial"/>
          <w:color w:val="000000"/>
          <w:u w:color="000000"/>
          <w:bdr w:val="nil"/>
          <w:lang w:val="fr-FR" w:eastAsia="en-GB"/>
        </w:rPr>
        <w:fldChar w:fldCharType="end"/>
      </w:r>
      <w:r w:rsidRPr="00C603B7">
        <w:rPr>
          <w:rFonts w:eastAsia="Calibri" w:cs="Calibri"/>
          <w:color w:val="000000"/>
          <w:u w:color="000000"/>
          <w:bdr w:val="nil"/>
          <w:lang w:val="en-US" w:eastAsia="en-GB"/>
        </w:rPr>
        <w:t xml:space="preserve">.  This leads </w:t>
      </w:r>
      <w:r w:rsidRPr="00C603B7">
        <w:rPr>
          <w:rFonts w:eastAsia="Calibri" w:cs="Calibri"/>
          <w:color w:val="000000"/>
          <w:u w:color="000000"/>
          <w:bdr w:val="nil"/>
          <w:lang w:val="en-US" w:eastAsia="en-GB"/>
        </w:rPr>
        <w:lastRenderedPageBreak/>
        <w:t xml:space="preserve">to the question what is the relationship between neuropathy and depression? Is it an independent risk factor and therefore a potential confound, or is neuropathy itself a causative factor for depression, or possibly even the same disease process? </w:t>
      </w:r>
    </w:p>
    <w:p w14:paraId="46DCAE89" w14:textId="53E8A47F" w:rsidR="00C603B7" w:rsidRPr="00C603B7" w:rsidRDefault="00C603B7" w:rsidP="00C603B7">
      <w:pPr>
        <w:pBdr>
          <w:top w:val="nil"/>
          <w:left w:val="nil"/>
          <w:bottom w:val="nil"/>
          <w:right w:val="nil"/>
          <w:between w:val="nil"/>
          <w:bar w:val="nil"/>
        </w:pBdr>
        <w:spacing w:line="360" w:lineRule="auto"/>
        <w:rPr>
          <w:rFonts w:ascii="Times New Roman" w:eastAsia="Times New Roman" w:hAnsi="Times New Roman" w:cs="Times New Roman"/>
        </w:rPr>
      </w:pPr>
      <w:r w:rsidRPr="00C603B7">
        <w:rPr>
          <w:rFonts w:eastAsia="Arial Unicode MS" w:cs="Times New Roman"/>
          <w:bdr w:val="nil"/>
          <w:lang w:val="en-US"/>
        </w:rPr>
        <w:t>Many studies have found a relationship between DPN and depression</w:t>
      </w:r>
      <w:r w:rsidRPr="00C603B7">
        <w:rPr>
          <w:rFonts w:eastAsia="Arial" w:cs="Arial"/>
          <w:bdr w:val="nil"/>
          <w:lang w:val="it-IT"/>
        </w:rPr>
        <w:fldChar w:fldCharType="begin">
          <w:fldData xml:space="preserve">PEVuZE5vdGU+PENpdGU+PEF1dGhvcj5Hb3JlPC9BdXRob3I+PFllYXI+MjAwNTwvWWVhcj48UmVj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</w:fldData>
        </w:fldChar>
      </w:r>
      <w:r w:rsidR="00932092">
        <w:rPr>
          <w:rFonts w:eastAsia="Arial" w:cs="Arial"/>
          <w:bdr w:val="nil"/>
          <w:lang w:val="it-IT"/>
        </w:rPr>
        <w:instrText xml:space="preserve"> ADDIN EN.CITE </w:instrText>
      </w:r>
      <w:r w:rsidR="00932092">
        <w:rPr>
          <w:rFonts w:eastAsia="Arial" w:cs="Arial"/>
          <w:bdr w:val="nil"/>
          <w:lang w:val="it-IT"/>
        </w:rPr>
        <w:fldChar w:fldCharType="begin">
          <w:fldData xml:space="preserve">PEVuZE5vdGU+PENpdGU+PEF1dGhvcj5Hb3JlPC9BdXRob3I+PFllYXI+MjAwNTwvWWVhcj48UmVj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</w:fldData>
        </w:fldChar>
      </w:r>
      <w:r w:rsidR="00932092">
        <w:rPr>
          <w:rFonts w:eastAsia="Arial" w:cs="Arial"/>
          <w:bdr w:val="nil"/>
          <w:lang w:val="it-IT"/>
        </w:rPr>
        <w:instrText xml:space="preserve"> ADDIN EN.CITE.DATA </w:instrText>
      </w:r>
      <w:r w:rsidR="00932092">
        <w:rPr>
          <w:rFonts w:eastAsia="Arial" w:cs="Arial"/>
          <w:bdr w:val="nil"/>
          <w:lang w:val="it-IT"/>
        </w:rPr>
      </w:r>
      <w:r w:rsidR="00932092">
        <w:rPr>
          <w:rFonts w:eastAsia="Arial" w:cs="Arial"/>
          <w:bdr w:val="nil"/>
          <w:lang w:val="it-IT"/>
        </w:rPr>
        <w:fldChar w:fldCharType="end"/>
      </w:r>
      <w:r w:rsidRPr="00C603B7">
        <w:rPr>
          <w:rFonts w:eastAsia="Arial" w:cs="Arial"/>
          <w:bdr w:val="nil"/>
          <w:lang w:val="it-IT"/>
        </w:rPr>
      </w:r>
      <w:r w:rsidRPr="00C603B7">
        <w:rPr>
          <w:rFonts w:eastAsia="Arial" w:cs="Arial"/>
          <w:bdr w:val="nil"/>
          <w:lang w:val="it-IT"/>
        </w:rPr>
        <w:fldChar w:fldCharType="separate"/>
      </w:r>
      <w:r w:rsidR="00932092">
        <w:rPr>
          <w:rFonts w:eastAsia="Arial" w:cs="Arial"/>
          <w:noProof/>
          <w:bdr w:val="nil"/>
          <w:lang w:val="it-IT"/>
        </w:rPr>
        <w:t>(Gore et al., 2005, Vileikyte et al., 2005b, Tolle et al., 2006, Tesfaye et al., 2007, Yoshida et al., 2009, McGuire et al., 2010, Navarro et al., 2010, Selvarajah et al., 2010, Selvarajah et al., 2014, Davies et al., 2011, Jain et al., 2011, D’amato et al., 2016a)</w:t>
      </w:r>
      <w:r w:rsidRPr="00C603B7">
        <w:rPr>
          <w:rFonts w:eastAsia="Arial" w:cs="Arial"/>
          <w:bdr w:val="nil"/>
          <w:lang w:val="it-IT"/>
        </w:rPr>
        <w:fldChar w:fldCharType="end"/>
      </w:r>
      <w:r w:rsidRPr="00C603B7">
        <w:rPr>
          <w:rFonts w:eastAsia="Arial Unicode MS" w:cs="Times New Roman"/>
          <w:bdr w:val="nil"/>
          <w:lang w:val="en-US"/>
        </w:rPr>
        <w:t>. D’</w:t>
      </w:r>
      <w:r w:rsidRPr="00C603B7">
        <w:rPr>
          <w:rFonts w:eastAsia="Arial Unicode MS" w:cs="Times New Roman"/>
          <w:bdr w:val="nil"/>
          <w:lang w:val="it-IT"/>
        </w:rPr>
        <w:t xml:space="preserve">Amato </w:t>
      </w:r>
      <w:r w:rsidRPr="00C603B7">
        <w:rPr>
          <w:rFonts w:eastAsia="Arial" w:cs="Arial"/>
          <w:bdr w:val="nil"/>
          <w:lang w:val="en-US"/>
        </w:rPr>
        <w:fldChar w:fldCharType="begin"/>
      </w:r>
      <w:r w:rsidR="00932092">
        <w:rPr>
          <w:rFonts w:eastAsia="Arial" w:cs="Arial"/>
          <w:bdr w:val="nil"/>
          <w:lang w:val="en-US"/>
        </w:rPr>
        <w:instrText xml:space="preserve"> ADDIN EN.CITE &lt;EndNote&gt;&lt;Cite ExcludeAuth="1"&gt;&lt;Author&gt;D’amato&lt;/Author&gt;&lt;Year&gt;2016&lt;/Year&gt;&lt;DisplayText&gt;(2016b)&lt;/DisplayText&gt;&lt;record&gt;&lt;keywords&gt;&lt;keyword&gt;Neuropathic Pain&lt;/keyword&gt;&lt;keyword&gt;Diabetic Neuropathy&lt;/keyword&gt;&lt;keyword&gt;Depression&lt;/keyword&gt;&lt;keyword&gt;Comorbidities&lt;/keyword&gt;&lt;keyword&gt;Charlson Comorbidity Index&lt;/keyword&gt;&lt;keyword&gt;Medicine&lt;/keyword&gt;&lt;/keywords&gt;&lt;isbn&gt;1479-1641&lt;/isbn&gt;&lt;titles&gt;&lt;title&gt;Diabetic peripheral neuropathic pain is a stronger predictor of depression than other diabetic complications and comorbidities&lt;/title&gt;&lt;secondary-title&gt;Diabetes &amp;amp; Vascular Disease Research&lt;/secondary-title&gt;&lt;/titles&gt;&lt;pages&gt;418-428&lt;/pages&gt;&lt;number&gt;6&lt;/number&gt;&lt;contributors&gt;&lt;authors&gt;&lt;author&gt;D’amato, Cinzia&lt;/author&gt;&lt;author&gt;Morganti, Roberto&lt;/author&gt;&lt;author&gt;Greco, Carla&lt;/author&gt;&lt;author&gt;Di Gennaro, Federica&lt;/author&gt;&lt;author&gt;Cacciotti, Laura&lt;/author&gt;&lt;author&gt;Longo, Susanna&lt;/author&gt;&lt;author&gt;Mataluni, Giorgia&lt;/author&gt;&lt;author&gt;Lauro, Davide&lt;/author&gt;&lt;author&gt;Marfia, Girolama A.&lt;/author&gt;&lt;author&gt;Spallone, Vincenza&lt;/author&gt;&lt;/authors&gt;&lt;/contributors&gt;&lt;added-date format="utc"&gt;1574779510&lt;/added-date&gt;&lt;pub-location&gt;London, England&lt;/pub-location&gt;&lt;ref-type name="Journal Article"&gt;17&lt;/ref-type&gt;&lt;dates&gt;&lt;year&gt;2016&lt;/year&gt;&lt;/dates&gt;&lt;rec-number&gt;1236&lt;/rec-number&gt;&lt;last-updated-date format="utc"&gt;1574779510&lt;/last-updated-date&gt;&lt;electronic-resource-num&gt;10.1177/1479164116653240&lt;/electronic-resource-num&gt;&lt;volume&gt;13&lt;/volume&gt;&lt;/record&gt;&lt;/Cite&gt;&lt;/EndNote&gt;</w:instrText>
      </w:r>
      <w:r w:rsidRPr="00C603B7">
        <w:rPr>
          <w:rFonts w:eastAsia="Arial" w:cs="Arial"/>
          <w:bdr w:val="nil"/>
          <w:lang w:val="en-US"/>
        </w:rPr>
        <w:fldChar w:fldCharType="separate"/>
      </w:r>
      <w:r w:rsidR="00932092">
        <w:rPr>
          <w:rFonts w:eastAsia="Arial" w:cs="Arial"/>
          <w:noProof/>
          <w:bdr w:val="nil"/>
          <w:lang w:val="en-US"/>
        </w:rPr>
        <w:t>(2016b)</w:t>
      </w:r>
      <w:r w:rsidRPr="00C603B7">
        <w:rPr>
          <w:rFonts w:eastAsia="Arial" w:cs="Arial"/>
          <w:bdr w:val="nil"/>
          <w:lang w:val="en-US"/>
        </w:rPr>
        <w:fldChar w:fldCharType="end"/>
      </w:r>
      <w:r w:rsidRPr="00C603B7">
        <w:rPr>
          <w:rFonts w:eastAsia="Arial Unicode MS" w:cs="Times New Roman"/>
          <w:bdr w:val="nil"/>
          <w:lang w:val="en-US"/>
        </w:rPr>
        <w:t xml:space="preserve"> found there was no difference between the prevalence of depression co-existent with neuropathy between P-DPN and DPN groups, but found a correlation between depression and the severity of pain.  In another study examining the link between neuropathy and depression; all neuropathy symptoms including unsteadiness, insensitivity and pain (rather than pain on its own), were found to be associated with depression </w:t>
      </w:r>
      <w:r w:rsidRPr="00C603B7">
        <w:rPr>
          <w:rFonts w:eastAsia="Arial" w:cs="Arial"/>
          <w:bdr w:val="nil"/>
          <w:lang w:val="en-US"/>
        </w:rPr>
        <w:fldChar w:fldCharType="begin"/>
      </w:r>
      <w:r w:rsidR="009968E0">
        <w:rPr>
          <w:rFonts w:eastAsia="Arial" w:cs="Arial"/>
          <w:bdr w:val="nil"/>
          <w:lang w:val="en-US"/>
        </w:rPr>
        <w:instrText xml:space="preserve"> ADDIN EN.CITE &lt;EndNote&gt;&lt;Cite&gt;&lt;Author&gt;Vileikyte&lt;/Author&gt;&lt;Year&gt;2005&lt;/Year&gt;&lt;DisplayText&gt;(Vileikyte et al., 2005b)&lt;/DisplayText&gt;&lt;record&gt;&lt;keywords&gt;&lt;keyword&gt;Activities of Daily Living–Diagnosis&lt;/keyword&gt;&lt;keyword&gt;Aged–Etiology&lt;/keyword&gt;&lt;keyword&gt;Depression–Psychology&lt;/keyword&gt;&lt;keyword&gt;Diabetic Neuropathies–Complications&lt;/keyword&gt;&lt;keyword&gt;Disability Evaluation–Psychology&lt;/keyword&gt;&lt;keyword&gt;Female–Psychology&lt;/keyword&gt;&lt;keyword&gt;Humans–Psychology&lt;/keyword&gt;&lt;keyword&gt;Male–Psychology&lt;/keyword&gt;&lt;keyword&gt;Middle Aged–Psychology&lt;/keyword&gt;&lt;keyword&gt;Psychiatric Status Rating Scales–Psychology&lt;/keyword&gt;&lt;keyword&gt;Quality of Life–Psychology&lt;/keyword&gt;&lt;keyword&gt;Self Concept–Psychology&lt;/keyword&gt;&lt;keyword&gt;Sick Role–Psychology&lt;/keyword&gt;&lt;keyword&gt;Social Behavior–Psychology&lt;/keyword&gt;&lt;/keywords&gt;&lt;isbn&gt;0149-5992&lt;/isbn&gt;&lt;titles&gt;&lt;title&gt;Diabetic peripheral neuropathy and depressive symptoms: the association revisited&lt;/title&gt;&lt;secondary-title&gt;Diabetes care&lt;/secondary-title&gt;&lt;/titles&gt;&lt;pages&gt;2378-2383&lt;/pages&gt;&lt;number&gt;10&lt;/number&gt;&lt;contributors&gt;&lt;authors&gt;&lt;author&gt;Vileikyte, Loretta&lt;/author&gt;&lt;author&gt;Leventhal, Howard&lt;/author&gt;&lt;author&gt;Gonzalez, Jeffrey S.&lt;/author&gt;&lt;author&gt;Peyrot, Mark&lt;/author&gt;&lt;author&gt;Rubin, Richard R.&lt;/author&gt;&lt;author&gt;Ulbrecht, Jan S.&lt;/author&gt;&lt;author&gt;Garrow, Adam&lt;/author&gt;&lt;author&gt;Waterman, Christine&lt;/author&gt;&lt;author&gt;Cavanagh, Peter R.&lt;/author&gt;&lt;author&gt;Boulton, Andrew J. M.&lt;/author&gt;&lt;/authors&gt;&lt;/contributors&gt;&lt;added-date format="utc"&gt;1574758633&lt;/added-date&gt;&lt;ref-type name="Journal Article"&gt;17&lt;/ref-type&gt;&lt;dates&gt;&lt;year&gt;2005&lt;/year&gt;&lt;/dates&gt;&lt;rec-number&gt;1228&lt;/rec-number&gt;&lt;last-updated-date format="utc"&gt;1574758633&lt;/last-updated-date&gt;&lt;contributors&gt;&lt;secondary-authors&gt;&lt;author&gt;Vileikyte, Loretta&lt;/author&gt;&lt;/secondary-authors&gt;&lt;/contributors&gt;&lt;electronic-resource-num&gt;10.2337/diacare.28.10.2378&lt;/electronic-resource-num&gt;&lt;volume&gt;28&lt;/volume&gt;&lt;/record&gt;&lt;/Cite&gt;&lt;/EndNote&gt;</w:instrText>
      </w:r>
      <w:r w:rsidRPr="00C603B7">
        <w:rPr>
          <w:rFonts w:eastAsia="Arial" w:cs="Arial"/>
          <w:bdr w:val="nil"/>
          <w:lang w:val="en-US"/>
        </w:rPr>
        <w:fldChar w:fldCharType="separate"/>
      </w:r>
      <w:r w:rsidR="009968E0">
        <w:rPr>
          <w:rFonts w:eastAsia="Arial" w:cs="Arial"/>
          <w:noProof/>
          <w:bdr w:val="nil"/>
          <w:lang w:val="en-US"/>
        </w:rPr>
        <w:t>(Vileikyte et al., 2005b)</w:t>
      </w:r>
      <w:r w:rsidRPr="00C603B7">
        <w:rPr>
          <w:rFonts w:eastAsia="Arial" w:cs="Arial"/>
          <w:bdr w:val="nil"/>
          <w:lang w:val="en-US"/>
        </w:rPr>
        <w:fldChar w:fldCharType="end"/>
      </w:r>
      <w:r w:rsidRPr="00C603B7">
        <w:rPr>
          <w:rFonts w:eastAsia="Arial Unicode MS" w:cs="Times New Roman"/>
          <w:bdr w:val="nil"/>
          <w:lang w:val="en-US"/>
        </w:rPr>
        <w:t xml:space="preserve">. At face value these findings could be understood simply as painful symptoms causing a reactive mood disorder.  It makes sense that more significant pain scores could alter mood negatively and lead to depressive symptoms.  However, neither of these studies were able to differentiate P-DPN and painless DPN symptoms by the presence or absence of depression.  A study </w:t>
      </w:r>
      <w:r w:rsidR="009B3B4F">
        <w:rPr>
          <w:rFonts w:eastAsia="Arial Unicode MS" w:cs="Times New Roman"/>
          <w:bdr w:val="nil"/>
          <w:lang w:val="en-US"/>
        </w:rPr>
        <w:t>reported</w:t>
      </w:r>
      <w:r w:rsidRPr="00C603B7">
        <w:rPr>
          <w:rFonts w:eastAsia="Arial Unicode MS" w:cs="Times New Roman"/>
          <w:bdr w:val="nil"/>
          <w:lang w:val="en-US"/>
        </w:rPr>
        <w:t xml:space="preserve"> the DN4, which is a screening instrument for painful neuropathy, was associated with depression scores as measured by Becks depression inventory </w:t>
      </w:r>
      <w:r w:rsidRPr="00C603B7">
        <w:rPr>
          <w:rFonts w:eastAsia="Arial" w:cs="Arial"/>
          <w:bdr w:val="nil"/>
          <w:lang w:val="en-US"/>
        </w:rPr>
        <w:fldChar w:fldCharType="begin"/>
      </w:r>
      <w:r w:rsidRPr="00C603B7">
        <w:rPr>
          <w:rFonts w:eastAsia="Arial" w:cs="Arial"/>
          <w:bdr w:val="nil"/>
          <w:lang w:val="en-US"/>
        </w:rPr>
        <w:instrText xml:space="preserve"> ADDIN EN.CITE &lt;EndNote&gt;&lt;Cite  &gt;&lt;Author&gt;Yoshida&lt;/Author&gt;&lt;Year&gt;2009&lt;/Year&gt;&lt;DisplayText&gt;(Yoshida et al., 2009)&lt;/DisplayText&gt;&lt;record&gt;&lt;keywords&gt;&lt;keyword&gt;Depression&lt;/keyword&gt;&lt;keyword&gt;Diabetes&lt;/keyword&gt;&lt;keyword&gt;Mental Health&lt;/keyword&gt;&lt;keyword&gt;Neuropathy&lt;/keyword&gt;&lt;keyword&gt;Quality Of Life&lt;/keyword&gt;&lt;/keywords&gt;&lt;isbn&gt;1323-1316&lt;/isbn&gt;&lt;titles&gt;&lt;title&gt;Neuropathy is associated with depression independently of health</w:instrText>
      </w:r>
      <w:r w:rsidRPr="00C603B7">
        <w:rPr>
          <w:rFonts w:ascii="Cambria Math" w:eastAsia="Arial" w:hAnsi="Cambria Math" w:cs="Cambria Math"/>
          <w:bdr w:val="nil"/>
          <w:lang w:val="en-US"/>
        </w:rPr>
        <w:instrText>‐</w:instrText>
      </w:r>
      <w:r w:rsidRPr="00C603B7">
        <w:rPr>
          <w:rFonts w:eastAsia="Arial" w:cs="Arial"/>
          <w:bdr w:val="nil"/>
          <w:lang w:val="en-US"/>
        </w:rPr>
        <w:instrText xml:space="preserve"> related quality of life in Japanese patients with diabetes&lt;/title&gt;&lt;secondary-title&gt;Psychiatry and Clinical Neurosciences&lt;/secondary-title&gt;&lt;/titles&gt;&lt;pages&gt;65-72&lt;/pages&gt;&lt;number&gt;1&lt;/number&gt;&lt;contributors&gt;&lt;authors&gt;&lt;author&gt;Yoshida, Sumiko&lt;/author&gt;&lt;author&gt;Hirai, Masashi&lt;/author&gt;&lt;author&gt;Suzuki, Susumu&lt;/author&gt;&lt;author&gt;Awata, Shuichi&lt;/author&gt;&lt;author&gt;Oka, Yoshitomo&lt;/author&gt;&lt;/authors&gt;&lt;/contributors&gt;&lt;added-date format="utc"&gt;1574780355&lt;/added-date&gt;&lt;pub-location&gt;Melbourne, Australia&lt;/pub-location&gt;&lt;ref-type name="Journal Article"&gt;17&lt;/ref-type&gt;&lt;dates&gt;&lt;year&gt;2009&lt;/year&gt;&lt;/dates&gt;&lt;rec-number&gt;1237&lt;/rec-number&gt;&lt;last-updated-date format="utc"&gt;1574780355&lt;/last-updated-date&gt;&lt;electronic-resource-num&gt;10.1111/j.1440-1819.2008.01889.x&lt;/electronic-resource-num&gt;&lt;volume&gt;63&lt;/volume&gt;&lt;/record&gt;&lt;/Cite&gt;&lt;/EndNote&gt;</w:instrText>
      </w:r>
      <w:r w:rsidRPr="00C603B7">
        <w:rPr>
          <w:rFonts w:eastAsia="Arial" w:cs="Arial"/>
          <w:bdr w:val="nil"/>
          <w:lang w:val="en-US"/>
        </w:rPr>
        <w:fldChar w:fldCharType="separate"/>
      </w:r>
      <w:r w:rsidRPr="00C603B7">
        <w:rPr>
          <w:rFonts w:eastAsia="Arial Unicode MS" w:cs="Times New Roman"/>
          <w:bdr w:val="nil"/>
          <w:lang w:val="en-US"/>
        </w:rPr>
        <w:t>(Yoshida et al., 2009)</w:t>
      </w:r>
      <w:r w:rsidRPr="00C603B7">
        <w:rPr>
          <w:rFonts w:eastAsia="Arial" w:cs="Arial"/>
          <w:bdr w:val="nil"/>
          <w:lang w:val="en-US"/>
        </w:rPr>
        <w:fldChar w:fldCharType="end"/>
      </w:r>
      <w:r w:rsidRPr="00C603B7">
        <w:rPr>
          <w:rFonts w:eastAsia="Arial Unicode MS" w:cs="Times New Roman"/>
          <w:bdr w:val="nil"/>
          <w:lang w:val="en-US"/>
        </w:rPr>
        <w:t>. Indeed, the relationship between neuropathy and depression was stronger than any other complication of diabetes.  Yoshida et al’</w:t>
      </w:r>
      <w:r w:rsidRPr="00C603B7">
        <w:rPr>
          <w:rFonts w:eastAsia="Arial Unicode MS" w:cs="Times New Roman"/>
          <w:bdr w:val="nil"/>
          <w:lang w:val="pt-PT"/>
        </w:rPr>
        <w:t>s.</w:t>
      </w:r>
      <w:r w:rsidRPr="00C603B7">
        <w:rPr>
          <w:rFonts w:eastAsia="Arial" w:cs="Arial"/>
          <w:bdr w:val="nil"/>
          <w:lang w:val="en-US"/>
        </w:rPr>
        <w:fldChar w:fldCharType="begin"/>
      </w:r>
      <w:r w:rsidRPr="00C603B7">
        <w:rPr>
          <w:rFonts w:eastAsia="Arial" w:cs="Arial"/>
          <w:bdr w:val="nil"/>
          <w:lang w:val="en-US"/>
        </w:rPr>
        <w:instrText xml:space="preserve"> ADDIN EN.CITE &lt;EndNote&gt;&lt;Cite ExcludeAuth="1" &gt;&lt;Author&gt;Yoshida&lt;/Author&gt;&lt;Year&gt;2009&lt;/Year&gt;&lt;DisplayText&gt;(2009)&lt;/DisplayText&gt;&lt;record&gt;&lt;keywords&gt;&lt;keyword&gt;Depression&lt;/keyword&gt;&lt;keyword&gt;Diabetes&lt;/keyword&gt;&lt;keyword&gt;Mental Health&lt;/keyword&gt;&lt;keyword&gt;Neuropathy&lt;/keyword&gt;&lt;keyword&gt;Quality Of Life&lt;/keyword&gt;&lt;/keywords&gt;&lt;isbn&gt;1323-1316&lt;/isbn&gt;&lt;titles&gt;&lt;title&gt;Neuropathy is associated with depression independently of health</w:instrText>
      </w:r>
      <w:r w:rsidRPr="00C603B7">
        <w:rPr>
          <w:rFonts w:ascii="Cambria Math" w:eastAsia="Arial" w:hAnsi="Cambria Math" w:cs="Cambria Math"/>
          <w:bdr w:val="nil"/>
          <w:lang w:val="en-US"/>
        </w:rPr>
        <w:instrText>‐</w:instrText>
      </w:r>
      <w:r w:rsidRPr="00C603B7">
        <w:rPr>
          <w:rFonts w:eastAsia="Arial" w:cs="Arial"/>
          <w:bdr w:val="nil"/>
          <w:lang w:val="en-US"/>
        </w:rPr>
        <w:instrText xml:space="preserve"> related quality of life in Japanese patients with diabetes&lt;/title&gt;&lt;secondary-title&gt;Psychiatry and Clinical Neurosciences&lt;/secondary-title&gt;&lt;/titles&gt;&lt;pages&gt;65-72&lt;/pages&gt;&lt;number&gt;1&lt;/number&gt;&lt;contributors&gt;&lt;authors&gt;&lt;author&gt;Yoshida, Sumiko&lt;/author&gt;&lt;author&gt;Hirai, Masashi&lt;/author&gt;&lt;author&gt;Suzuki, Susumu&lt;/author&gt;&lt;author&gt;Awata, Shuichi&lt;/author&gt;&lt;author&gt;Oka, Yoshitomo&lt;/author&gt;&lt;/authors&gt;&lt;/contributors&gt;&lt;added-date format="utc"&gt;1574780355&lt;/added-date&gt;&lt;pub-location&gt;Melbourne, Australia&lt;/pub-location&gt;&lt;ref-type name="Journal Article"&gt;17&lt;/ref-type&gt;&lt;dates&gt;&lt;year&gt;2009&lt;/year&gt;&lt;/dates&gt;&lt;rec-number&gt;1237&lt;/rec-number&gt;&lt;last-updated-date format="utc"&gt;1574780355&lt;/last-updated-date&gt;&lt;electronic-resource-num&gt;10.1111/j.1440-1819.2008.01889.x&lt;/electronic-resource-num&gt;&lt;volume&gt;63&lt;/volume&gt;&lt;/record&gt;&lt;/Cite&gt;&lt;/EndNote&gt;</w:instrText>
      </w:r>
      <w:r w:rsidRPr="00C603B7">
        <w:rPr>
          <w:rFonts w:eastAsia="Arial" w:cs="Arial"/>
          <w:bdr w:val="nil"/>
          <w:lang w:val="en-US"/>
        </w:rPr>
        <w:fldChar w:fldCharType="separate"/>
      </w:r>
      <w:r w:rsidRPr="00C603B7">
        <w:rPr>
          <w:rFonts w:eastAsia="Arial Unicode MS" w:cs="Times New Roman"/>
          <w:bdr w:val="nil"/>
          <w:lang w:val="en-US"/>
        </w:rPr>
        <w:t>(2009)</w:t>
      </w:r>
      <w:r w:rsidRPr="00C603B7">
        <w:rPr>
          <w:rFonts w:eastAsia="Arial" w:cs="Arial"/>
          <w:bdr w:val="nil"/>
          <w:lang w:val="en-US"/>
        </w:rPr>
        <w:fldChar w:fldCharType="end"/>
      </w:r>
      <w:r w:rsidRPr="00C603B7">
        <w:rPr>
          <w:rFonts w:eastAsia="Arial Unicode MS" w:cs="Times New Roman"/>
          <w:bdr w:val="nil"/>
          <w:lang w:val="en-US"/>
        </w:rPr>
        <w:t xml:space="preserve"> study found that depression was associated with neuropathy independently of quality of life</w:t>
      </w:r>
      <w:r w:rsidRPr="00C603B7">
        <w:rPr>
          <w:rFonts w:eastAsia="Arial Unicode MS" w:cs="Arial"/>
          <w:color w:val="1C1D1E"/>
          <w:bdr w:val="nil"/>
          <w:shd w:val="clear" w:color="auto" w:fill="FFFFFF"/>
          <w:lang w:val="en-US"/>
        </w:rPr>
        <w:t>, marital status and social supports.</w:t>
      </w:r>
      <w:r w:rsidRPr="00C603B7">
        <w:rPr>
          <w:rFonts w:eastAsia="Arial Unicode MS" w:cs="Times New Roman"/>
          <w:bdr w:val="nil"/>
          <w:lang w:val="en-US"/>
        </w:rPr>
        <w:t xml:space="preserve"> This suggests that depression may not arise as a consequence of the pain and disability; but that it may arise as a consequence of neuropathy. This is of interest as it may be neuropathy itself that causes depression and could explain discrepant results in </w:t>
      </w:r>
      <w:r w:rsidR="00A33050">
        <w:rPr>
          <w:vertAlign w:val="superscript"/>
        </w:rPr>
        <w:t>1</w:t>
      </w:r>
      <w:r w:rsidR="00A33050" w:rsidRPr="00427FEA">
        <w:t>H</w:t>
      </w:r>
      <w:r w:rsidR="00A33050">
        <w:t>-</w:t>
      </w:r>
      <w:r w:rsidR="00A33050" w:rsidRPr="00427FEA">
        <w:t>MRS</w:t>
      </w:r>
      <w:r w:rsidRPr="00C603B7">
        <w:rPr>
          <w:rFonts w:eastAsia="Arial Unicode MS" w:cs="Times New Roman"/>
          <w:bdr w:val="nil"/>
          <w:lang w:val="en-US"/>
        </w:rPr>
        <w:t xml:space="preserve"> metabolite study findings. </w:t>
      </w:r>
    </w:p>
    <w:p w14:paraId="4B4E39E3" w14:textId="56281152" w:rsidR="00C603B7" w:rsidRPr="00C603B7" w:rsidRDefault="00C603B7" w:rsidP="00C603B7">
      <w:pPr>
        <w:pBdr>
          <w:top w:val="nil"/>
          <w:left w:val="nil"/>
          <w:bottom w:val="nil"/>
          <w:right w:val="nil"/>
          <w:between w:val="nil"/>
          <w:bar w:val="nil"/>
        </w:pBdr>
        <w:spacing w:line="360" w:lineRule="auto"/>
        <w:rPr>
          <w:rFonts w:eastAsia="Arial" w:cs="Arial"/>
          <w:color w:val="000000"/>
          <w:u w:color="000000"/>
          <w:bdr w:val="nil"/>
          <w:lang w:val="en-US" w:eastAsia="en-GB"/>
        </w:rPr>
      </w:pPr>
      <w:r w:rsidRPr="00C603B7">
        <w:rPr>
          <w:rFonts w:eastAsia="Calibri" w:cs="Calibri"/>
          <w:color w:val="000000"/>
          <w:u w:color="000000"/>
          <w:bdr w:val="nil"/>
          <w:lang w:val="en-US" w:eastAsia="en-GB"/>
        </w:rPr>
        <w:t xml:space="preserve">It has been reported by our group previously that depression is a major confounder in P-DPN clinical trials </w:t>
      </w:r>
      <w:r w:rsidRPr="00C603B7">
        <w:rPr>
          <w:rFonts w:eastAsia="Arial" w:cs="Arial"/>
          <w:color w:val="000000"/>
          <w:u w:color="000000"/>
          <w:bdr w:val="nil"/>
          <w:lang w:val="en-US" w:eastAsia="en-GB"/>
        </w:rPr>
        <w:fldChar w:fldCharType="begin"/>
      </w:r>
      <w:r w:rsidRPr="00C603B7">
        <w:rPr>
          <w:rFonts w:eastAsia="Arial" w:cs="Arial"/>
          <w:color w:val="000000"/>
          <w:u w:color="000000"/>
          <w:bdr w:val="nil"/>
          <w:lang w:val="en-US" w:eastAsia="en-GB"/>
        </w:rPr>
        <w:instrText xml:space="preserve"> ADDIN EN.CITE &lt;EndNote&gt;&lt;Cite  &gt;&lt;Author&gt;Selvarajah&lt;/Author&gt;&lt;Year&gt;2010&lt;/Year&gt;&lt;RecNum&gt;525&lt;/RecNum&gt;&lt;DisplayText&gt;(Selvarajah et al., 2010)&lt;/DisplayText&gt;&lt;record&gt;&lt;dates&gt;&lt;pub-dates&gt;&lt;date&gt;Jan&lt;/date&gt;&lt;/pub-dates&gt;&lt;year&gt;2010&lt;/year&gt;&lt;/dates&gt;&lt;urls&gt;&lt;related-urls&gt;&lt;url&gt;&amp;lt;Go to ISI&amp;gt;://WOS:000273622200026&lt;/url&gt;&lt;/related-urls&gt;&lt;/urls&gt;&lt;isbn&gt;0149-5992&lt;/isbn&gt;&lt;titles&gt;&lt;title&gt;Randomized Placebo-Controlled Double-Blind Clinical Trial of Cannabis-Based Medicinal Product (Sativex) in Painful Diabetic Neuropathy Depression is a major confounding factor&lt;/title&gt;&lt;secondary-title&gt;Diabetes Care&lt;/secondary-title&gt;&lt;/titles&gt;&lt;pages&gt;128-130&lt;/pages&gt;&lt;number&gt;1&lt;/number&gt;&lt;contributors&gt;&lt;authors&gt;&lt;author&gt;Selvarajah, D.&lt;/author&gt;&lt;author&gt;Gandhi, R.&lt;/author&gt;&lt;author&gt;Emery, C. J.&lt;/author&gt;&lt;author&gt;Tesfaye, S.&lt;/author&gt;&lt;/authors&gt;&lt;/contributors&gt;&lt;added-date format="utc"&gt;1356989057&lt;/added-date&gt;&lt;ref-type name="Journal Article"&gt;17&lt;/ref-type&gt;&lt;rec-number&gt;525&lt;/rec-number&gt;&lt;last-updated-date format="utc"&gt;1356989057&lt;/last-updated-date&gt;&lt;accession-num&gt;WOS:000273622200026&lt;/accession-num&gt;&lt;electronic-resource-num&gt;10.2337/dc09-1029&lt;/electronic-resource-num&gt;&lt;volume&gt;33&lt;/volume&gt;&lt;/record&gt;&lt;/Cite&gt;&lt;/EndNote&gt;</w:instrText>
      </w:r>
      <w:r w:rsidRPr="00C603B7">
        <w:rPr>
          <w:rFonts w:eastAsia="Arial" w:cs="Arial"/>
          <w:color w:val="000000"/>
          <w:u w:color="000000"/>
          <w:bdr w:val="nil"/>
          <w:lang w:val="en-US" w:eastAsia="en-GB"/>
        </w:rPr>
        <w:fldChar w:fldCharType="separate"/>
      </w:r>
      <w:r w:rsidRPr="00C603B7">
        <w:rPr>
          <w:rFonts w:eastAsia="Calibri" w:cs="Calibri"/>
          <w:color w:val="000000"/>
          <w:u w:color="000000"/>
          <w:bdr w:val="nil"/>
          <w:lang w:val="en-US" w:eastAsia="en-GB"/>
        </w:rPr>
        <w:t>(Selvarajah et al., 2010)</w:t>
      </w:r>
      <w:r w:rsidRPr="00C603B7">
        <w:rPr>
          <w:rFonts w:eastAsia="Arial" w:cs="Arial"/>
          <w:color w:val="000000"/>
          <w:u w:color="000000"/>
          <w:bdr w:val="nil"/>
          <w:lang w:val="en-US" w:eastAsia="en-GB"/>
        </w:rPr>
        <w:fldChar w:fldCharType="end"/>
      </w:r>
      <w:r w:rsidRPr="00C603B7">
        <w:rPr>
          <w:rFonts w:eastAsia="Calibri" w:cs="Calibri"/>
          <w:color w:val="000000"/>
          <w:u w:color="000000"/>
          <w:bdr w:val="nil"/>
          <w:lang w:val="en-US" w:eastAsia="en-GB"/>
        </w:rPr>
        <w:t xml:space="preserve">. In a </w:t>
      </w:r>
      <w:proofErr w:type="spellStart"/>
      <w:r w:rsidRPr="00C603B7">
        <w:rPr>
          <w:rFonts w:eastAsia="Calibri" w:cs="Calibri"/>
          <w:color w:val="000000"/>
          <w:u w:color="000000"/>
          <w:bdr w:val="nil"/>
          <w:lang w:val="en-US" w:eastAsia="en-GB"/>
        </w:rPr>
        <w:t>randomised</w:t>
      </w:r>
      <w:proofErr w:type="spellEnd"/>
      <w:r w:rsidRPr="00C603B7">
        <w:rPr>
          <w:rFonts w:eastAsia="Calibri" w:cs="Calibri"/>
          <w:color w:val="000000"/>
          <w:u w:color="000000"/>
          <w:bdr w:val="nil"/>
          <w:lang w:val="en-US" w:eastAsia="en-GB"/>
        </w:rPr>
        <w:t xml:space="preserve">, controlled, double-blind trial of a cannabinoid pain relief product versus placebo, depressed subjects improved the most regardless of whether they took the intervention drug or placebo. However, there was no difference between the treatment or placebo arms with regard to pain relief </w:t>
      </w:r>
      <w:r w:rsidRPr="00C603B7">
        <w:rPr>
          <w:rFonts w:eastAsia="Arial" w:cs="Arial"/>
          <w:color w:val="000000"/>
          <w:u w:color="000000"/>
          <w:bdr w:val="nil"/>
          <w:lang w:val="en-US" w:eastAsia="en-GB"/>
        </w:rPr>
        <w:fldChar w:fldCharType="begin"/>
      </w:r>
      <w:r w:rsidRPr="00C603B7">
        <w:rPr>
          <w:rFonts w:eastAsia="Arial" w:cs="Arial"/>
          <w:color w:val="000000"/>
          <w:u w:color="000000"/>
          <w:bdr w:val="nil"/>
          <w:lang w:val="en-US" w:eastAsia="en-GB"/>
        </w:rPr>
        <w:instrText xml:space="preserve"> ADDIN EN.CITE &lt;EndNote&gt;&lt;Cite  &gt;&lt;Author&gt;Selvarajah&lt;/Author&gt;&lt;Year&gt;2010&lt;/Year&gt;&lt;RecNum&gt;525&lt;/RecNum&gt;&lt;DisplayText&gt;(Selvarajah et al., 2010)&lt;/DisplayText&gt;&lt;record&gt;&lt;dates&gt;&lt;pub-dates&gt;&lt;date&gt;Jan&lt;/date&gt;&lt;/pub-dates&gt;&lt;year&gt;2010&lt;/year&gt;&lt;/dates&gt;&lt;urls&gt;&lt;related-urls&gt;&lt;url&gt;&amp;lt;Go to ISI&amp;gt;://WOS:000273622200026&lt;/url&gt;&lt;/related-urls&gt;&lt;/urls&gt;&lt;isbn&gt;0149-5992&lt;/isbn&gt;&lt;titles&gt;&lt;title&gt;Randomized Placebo-Controlled Double-Blind Clinical Trial of Cannabis-Based Medicinal Product (Sativex) in Painful Diabetic Neuropathy Depression is a major confounding factor&lt;/title&gt;&lt;secondary-title&gt;Diabetes Care&lt;/secondary-title&gt;&lt;/titles&gt;&lt;pages&gt;128-130&lt;/pages&gt;&lt;number&gt;1&lt;/number&gt;&lt;contributors&gt;&lt;authors&gt;&lt;author&gt;Selvarajah, D.&lt;/author&gt;&lt;author&gt;Gandhi, R.&lt;/author&gt;&lt;author&gt;Emery, C. J.&lt;/author&gt;&lt;author&gt;Tesfaye, S.&lt;/author&gt;&lt;/authors&gt;&lt;/contributors&gt;&lt;added-date format="utc"&gt;1356989057&lt;/added-date&gt;&lt;ref-type name="Journal Article"&gt;17&lt;/ref-type&gt;&lt;rec-number&gt;525&lt;/rec-number&gt;&lt;last-updated-date format="utc"&gt;1356989057&lt;/last-updated-date&gt;&lt;accession-num&gt;WOS:000273622200026&lt;/accession-num&gt;&lt;electronic-resource-num&gt;10.2337/dc09-1029&lt;/electronic-resource-num&gt;&lt;volume&gt;33&lt;/volume&gt;&lt;/record&gt;&lt;/Cite&gt;&lt;/EndNote&gt;</w:instrText>
      </w:r>
      <w:r w:rsidRPr="00C603B7">
        <w:rPr>
          <w:rFonts w:eastAsia="Arial" w:cs="Arial"/>
          <w:color w:val="000000"/>
          <w:u w:color="000000"/>
          <w:bdr w:val="nil"/>
          <w:lang w:val="en-US" w:eastAsia="en-GB"/>
        </w:rPr>
        <w:fldChar w:fldCharType="separate"/>
      </w:r>
      <w:r w:rsidRPr="00C603B7">
        <w:rPr>
          <w:rFonts w:eastAsia="Calibri" w:cs="Calibri"/>
          <w:color w:val="000000"/>
          <w:u w:color="000000"/>
          <w:bdr w:val="nil"/>
          <w:lang w:val="en-US" w:eastAsia="en-GB"/>
        </w:rPr>
        <w:t>(Selvarajah et al., 2010)</w:t>
      </w:r>
      <w:r w:rsidRPr="00C603B7">
        <w:rPr>
          <w:rFonts w:eastAsia="Arial" w:cs="Arial"/>
          <w:color w:val="000000"/>
          <w:u w:color="000000"/>
          <w:bdr w:val="nil"/>
          <w:lang w:val="en-US" w:eastAsia="en-GB"/>
        </w:rPr>
        <w:fldChar w:fldCharType="end"/>
      </w:r>
      <w:r w:rsidRPr="00C603B7">
        <w:rPr>
          <w:rFonts w:eastAsia="Calibri" w:cs="Calibri"/>
          <w:color w:val="000000"/>
          <w:u w:color="000000"/>
          <w:bdr w:val="nil"/>
          <w:lang w:val="en-US" w:eastAsia="en-GB"/>
        </w:rPr>
        <w:t xml:space="preserve">. This suggests that treatment of chronic neuropathic pain and depression appear intertwined.  Indeed, it has been </w:t>
      </w:r>
      <w:proofErr w:type="spellStart"/>
      <w:r w:rsidRPr="00C603B7">
        <w:rPr>
          <w:rFonts w:eastAsia="Calibri" w:cs="Calibri"/>
          <w:color w:val="000000"/>
          <w:u w:color="000000"/>
          <w:bdr w:val="nil"/>
          <w:lang w:val="en-US" w:eastAsia="en-GB"/>
        </w:rPr>
        <w:lastRenderedPageBreak/>
        <w:t>hypothesised</w:t>
      </w:r>
      <w:proofErr w:type="spellEnd"/>
      <w:r w:rsidRPr="00C603B7">
        <w:rPr>
          <w:rFonts w:eastAsia="Calibri" w:cs="Calibri"/>
          <w:color w:val="000000"/>
          <w:u w:color="000000"/>
          <w:bdr w:val="nil"/>
          <w:lang w:val="en-US" w:eastAsia="en-GB"/>
        </w:rPr>
        <w:t xml:space="preserve"> that diabetic neuropathy may be a disease process that includes depression </w:t>
      </w:r>
      <w:r w:rsidRPr="00C603B7">
        <w:rPr>
          <w:rFonts w:eastAsia="Arial" w:cs="Arial"/>
          <w:color w:val="000000"/>
          <w:u w:color="000000"/>
          <w:bdr w:val="nil"/>
          <w:lang w:val="it-IT" w:eastAsia="en-GB"/>
        </w:rPr>
        <w:fldChar w:fldCharType="begin"/>
      </w:r>
      <w:r w:rsidRPr="00C603B7">
        <w:rPr>
          <w:rFonts w:eastAsia="Arial" w:cs="Arial"/>
          <w:color w:val="000000"/>
          <w:u w:color="000000"/>
          <w:bdr w:val="nil"/>
          <w:lang w:val="it-IT" w:eastAsia="en-GB"/>
        </w:rPr>
        <w:instrText xml:space="preserve"> ADDIN EN.CITE &lt;EndNote&gt;&lt;Cite  &gt;&lt;Author&gt;Shabbir&lt;/Author&gt;&lt;Year&gt;2015&lt;/Year&gt;&lt;DisplayText&gt;(Shabbir, 2015)&lt;/DisplayText&gt;&lt;record&gt;&lt;titles&gt;&lt;title&gt;Psychiatric Underpinnings of Chronic Diabetic Neuropathic Pain&lt;/title&gt;&lt;secondary-title&gt;Einstein Journal of Biology and Medicine&lt;/secondary-title&gt;&lt;/titles&gt;&lt;pages&gt;37-40&lt;/pages&gt;&lt;number&gt;1&amp;amp;2&lt;/number&gt;&lt;contributors&gt;&lt;authors&gt;&lt;author&gt;Shabbir, Syed&lt;/author&gt;&lt;/authors&gt;&lt;/contributors&gt;&lt;section&gt;37&lt;/section&gt;&lt;added-date format="utc"&gt;1574699059&lt;/added-date&gt;&lt;ref-type name="Journal Article"&gt;17&lt;/ref-type&gt;&lt;dates&gt;&lt;year&gt;2015&lt;/year&gt;&lt;/dates&gt;&lt;rec-number&gt;1218&lt;/rec-number&gt;&lt;last-updated-date format="utc"&gt;1574699427&lt;/last-updated-date&gt;&lt;electronic-resource-num&gt;  http://dx.doi.org/10.23861/EJBM201530639&lt;/electronic-resource-num&gt;&lt;volume&gt;30&lt;/volume&gt;&lt;/record&gt;&lt;/Cite&gt;&lt;/EndNote&gt;</w:instrText>
      </w:r>
      <w:r w:rsidRPr="00C603B7">
        <w:rPr>
          <w:rFonts w:eastAsia="Arial" w:cs="Arial"/>
          <w:color w:val="000000"/>
          <w:u w:color="000000"/>
          <w:bdr w:val="nil"/>
          <w:lang w:val="it-IT" w:eastAsia="en-GB"/>
        </w:rPr>
        <w:fldChar w:fldCharType="separate"/>
      </w:r>
      <w:r w:rsidRPr="00C603B7">
        <w:rPr>
          <w:rFonts w:eastAsia="Calibri" w:cs="Calibri"/>
          <w:color w:val="000000"/>
          <w:u w:color="000000"/>
          <w:bdr w:val="nil"/>
          <w:lang w:val="it-IT" w:eastAsia="en-GB"/>
        </w:rPr>
        <w:t>(Shabbir, 2015)</w:t>
      </w:r>
      <w:r w:rsidRPr="00C603B7">
        <w:rPr>
          <w:rFonts w:eastAsia="Arial" w:cs="Arial"/>
          <w:color w:val="000000"/>
          <w:u w:color="000000"/>
          <w:bdr w:val="nil"/>
          <w:lang w:val="it-IT" w:eastAsia="en-GB"/>
        </w:rPr>
        <w:fldChar w:fldCharType="end"/>
      </w:r>
      <w:r w:rsidRPr="00C603B7">
        <w:rPr>
          <w:rFonts w:eastAsia="Calibri" w:cs="Calibri"/>
          <w:color w:val="000000"/>
          <w:u w:color="000000"/>
          <w:bdr w:val="nil"/>
          <w:lang w:val="en-US" w:eastAsia="en-GB"/>
        </w:rPr>
        <w:t xml:space="preserve">. The results of the current study support this statement, as NAA/Cr ratio was significantly related to measures of mood, including BDI, HADS, and the State Trait anxiety inventory and </w:t>
      </w:r>
      <w:proofErr w:type="spellStart"/>
      <w:r w:rsidRPr="00C603B7">
        <w:rPr>
          <w:rFonts w:eastAsia="Calibri" w:cs="Calibri"/>
          <w:color w:val="000000"/>
          <w:u w:color="000000"/>
          <w:bdr w:val="nil"/>
          <w:lang w:val="en-US" w:eastAsia="en-GB"/>
        </w:rPr>
        <w:t>behavioural</w:t>
      </w:r>
      <w:proofErr w:type="spellEnd"/>
      <w:r w:rsidRPr="00C603B7">
        <w:rPr>
          <w:rFonts w:eastAsia="Calibri" w:cs="Calibri"/>
          <w:color w:val="000000"/>
          <w:u w:color="000000"/>
          <w:bdr w:val="nil"/>
          <w:lang w:val="en-US" w:eastAsia="en-GB"/>
        </w:rPr>
        <w:t xml:space="preserve"> inhibition on the BIS/BAS scale. The neuropathy groups report significantly higher levels of symptoms of </w:t>
      </w:r>
    </w:p>
    <w:p w14:paraId="130FA2F8" w14:textId="77777777" w:rsidR="00C603B7" w:rsidRPr="00C603B7" w:rsidRDefault="00C603B7" w:rsidP="00C603B7">
      <w:pPr>
        <w:pBdr>
          <w:top w:val="nil"/>
          <w:left w:val="nil"/>
          <w:bottom w:val="nil"/>
          <w:right w:val="nil"/>
          <w:between w:val="nil"/>
          <w:bar w:val="nil"/>
        </w:pBdr>
        <w:spacing w:line="360" w:lineRule="auto"/>
        <w:rPr>
          <w:rFonts w:eastAsia="Arial" w:cs="Arial"/>
          <w:color w:val="000000"/>
          <w:u w:color="000000"/>
          <w:bdr w:val="nil"/>
          <w:lang w:val="en-US" w:eastAsia="en-GB"/>
        </w:rPr>
      </w:pPr>
      <w:r w:rsidRPr="00C603B7">
        <w:rPr>
          <w:rFonts w:eastAsia="Calibri" w:cs="Calibri"/>
          <w:color w:val="000000"/>
          <w:u w:color="000000"/>
          <w:bdr w:val="nil"/>
          <w:lang w:val="en-US" w:eastAsia="en-GB"/>
        </w:rPr>
        <w:t xml:space="preserve">mood disorders than DM-NN and HV, and our study showed that NAA/Cr ratio could be predicted by anxiety state and the number of abnormal QST measures. These results suggest a link between depression, neuropathy and thalamic neuronal function.  The most successful treatments for painful neuropathy are antidepressants and anti-epileptics </w:t>
      </w:r>
      <w:r w:rsidRPr="00C603B7">
        <w:rPr>
          <w:rFonts w:eastAsia="Arial" w:cs="Arial"/>
          <w:color w:val="000000"/>
          <w:u w:color="000000"/>
          <w:bdr w:val="nil"/>
          <w:lang w:val="en-US" w:eastAsia="en-GB"/>
        </w:rPr>
        <w:fldChar w:fldCharType="begin"/>
      </w:r>
      <w:r w:rsidRPr="00C603B7">
        <w:rPr>
          <w:rFonts w:eastAsia="Arial" w:cs="Arial"/>
          <w:color w:val="000000"/>
          <w:u w:color="000000"/>
          <w:bdr w:val="nil"/>
          <w:lang w:val="en-US" w:eastAsia="en-GB"/>
        </w:rPr>
        <w:instrText xml:space="preserve"> ADDIN EN.CITE &lt;EndNote&gt;&lt;Cite  &gt;&lt;Author&gt;Finnerup&lt;/Author&gt;&lt;Year&gt;2015&lt;/Year&gt;&lt;DisplayText&gt;(Finnerup et al., 2015)&lt;/DisplayText&gt;&lt;record&gt;&lt;keywords&gt;&lt;keyword&gt;Adults – Analysis&lt;/keyword&gt;&lt;keyword&gt;Neurosciences – Analysis&lt;/keyword&gt;&lt;keyword&gt;Pain Management – Analysis&lt;/keyword&gt;&lt;keyword&gt;Medical Schools – Analysis&lt;/keyword&gt;&lt;keyword&gt;Analgesics – Analysis&lt;/keyword&gt;&lt;/keywords&gt;&lt;isbn&gt;1474-4422&lt;/isbn&gt;&lt;titles&gt;&lt;title&gt;Pharmacotherapy for neuropathic pain in adults: a systematic review and meta-analysis&lt;/title&gt;&lt;secondary-title&gt;Lancet Neurology&lt;/secondary-title&gt;&lt;/titles&gt;&lt;pages&gt;162-173&lt;/pages&gt;&lt;number&gt;2&lt;/number&gt;&lt;contributors&gt;&lt;authors&gt;&lt;author&gt;Finnerup, Nanna B.&lt;/author&gt;&lt;author&gt;Attal, Nadine&lt;/author&gt;&lt;author&gt;Haroutounian, Simon&lt;/author&gt;&lt;author&gt;McNicol, Ewan&lt;/author&gt;&lt;author&gt;Baron, Ralf&lt;/author&gt;&lt;author&gt;Dworkin, Robert H.&lt;/author&gt;&lt;author&gt;Gilron, Ian&lt;/author&gt;&lt;author&gt;Haanpää, Maija&lt;/author&gt;&lt;author&gt;Hansson, Per&lt;/author&gt;&lt;author&gt;Jensen, Troels S.&lt;/author&gt;&lt;author&gt;Kamerman, Peter R.&lt;/author&gt;&lt;author&gt;Lund, Karen&lt;/author&gt;&lt;author&gt;Moore, Andrew&lt;/author&gt;&lt;author&gt;Raja, Srinivasa N.&lt;/author&gt;&lt;author&gt;Rice, Andrew S. C.&lt;/author&gt;&lt;author&gt;Rowbotham, Michael&lt;/author&gt;&lt;author&gt;Sena, Emily&lt;/author&gt;&lt;author&gt;Siddall, Philip&lt;/author&gt;&lt;author&gt;Smith, Blair H.&lt;/author&gt;&lt;author&gt;Wallace, Mark&lt;/author&gt;&lt;/authors&gt;&lt;/contributors&gt;&lt;added-date format="utc"&gt;1569751177&lt;/added-date&gt;&lt;ref-type name="Journal Article"&gt;17&lt;/ref-type&gt;&lt;dates&gt;&lt;year&gt;2015&lt;/year&gt;&lt;/dates&gt;&lt;rec-number&gt;1143&lt;/rec-number&gt;&lt;last-updated-date format="utc"&gt;1569751177&lt;/last-updated-date&gt;&lt;electronic-resource-num&gt;10.1016/S1474-4422(14)70251-0&lt;/electronic-resource-num&gt;&lt;volume&gt;14&lt;/volume&gt;&lt;/record&gt;&lt;/Cite&gt;&lt;/EndNote&gt;</w:instrText>
      </w:r>
      <w:r w:rsidRPr="00C603B7">
        <w:rPr>
          <w:rFonts w:eastAsia="Arial" w:cs="Arial"/>
          <w:color w:val="000000"/>
          <w:u w:color="000000"/>
          <w:bdr w:val="nil"/>
          <w:lang w:val="en-US" w:eastAsia="en-GB"/>
        </w:rPr>
        <w:fldChar w:fldCharType="separate"/>
      </w:r>
      <w:r w:rsidRPr="00C603B7">
        <w:rPr>
          <w:rFonts w:eastAsia="Calibri" w:cs="Calibri"/>
          <w:color w:val="000000"/>
          <w:u w:color="000000"/>
          <w:bdr w:val="nil"/>
          <w:lang w:val="en-US" w:eastAsia="en-GB"/>
        </w:rPr>
        <w:t>(Finnerup et al., 2015)</w:t>
      </w:r>
      <w:r w:rsidRPr="00C603B7">
        <w:rPr>
          <w:rFonts w:eastAsia="Arial" w:cs="Arial"/>
          <w:color w:val="000000"/>
          <w:u w:color="000000"/>
          <w:bdr w:val="nil"/>
          <w:lang w:val="en-US" w:eastAsia="en-GB"/>
        </w:rPr>
        <w:fldChar w:fldCharType="end"/>
      </w:r>
      <w:r w:rsidRPr="00C603B7">
        <w:rPr>
          <w:rFonts w:eastAsia="Calibri" w:cs="Calibri"/>
          <w:color w:val="000000"/>
          <w:u w:color="000000"/>
          <w:bdr w:val="nil"/>
          <w:lang w:val="en-US" w:eastAsia="en-GB"/>
        </w:rPr>
        <w:t xml:space="preserve">, which may be working centrally, on both pain and depression simultaneously. </w:t>
      </w:r>
    </w:p>
    <w:p w14:paraId="417E3E44" w14:textId="71410A8B" w:rsidR="00C603B7" w:rsidRPr="00C603B7" w:rsidRDefault="00C603B7" w:rsidP="00C603B7">
      <w:pPr>
        <w:pBdr>
          <w:top w:val="nil"/>
          <w:left w:val="nil"/>
          <w:bottom w:val="nil"/>
          <w:right w:val="nil"/>
          <w:between w:val="nil"/>
          <w:bar w:val="nil"/>
        </w:pBdr>
        <w:spacing w:line="360" w:lineRule="auto"/>
        <w:rPr>
          <w:rFonts w:eastAsia="Arial" w:cs="Arial"/>
          <w:color w:val="000000"/>
          <w:u w:color="000000"/>
          <w:bdr w:val="nil"/>
          <w:lang w:val="en-US" w:eastAsia="en-GB"/>
        </w:rPr>
      </w:pPr>
      <w:r w:rsidRPr="00C603B7">
        <w:rPr>
          <w:rFonts w:eastAsia="Calibri" w:cs="Calibri"/>
          <w:color w:val="000000"/>
          <w:u w:color="000000"/>
          <w:bdr w:val="nil"/>
          <w:lang w:val="en-US" w:eastAsia="en-GB"/>
        </w:rPr>
        <w:t xml:space="preserve">A meta-analysis has looked at the effect of treating unexplained pain syndromes with antidepressants. Subjects had conditions such as fibromyalgia and temporo-mandibular joint syndrome but did not have neuropathy.  It was found that immediately after commencement, antidepressants improved painful symptoms, and in the subacute period improved depressive symptoms </w:t>
      </w:r>
      <w:r w:rsidRPr="00C603B7">
        <w:rPr>
          <w:rFonts w:eastAsia="Arial" w:cs="Arial"/>
          <w:color w:val="000000"/>
          <w:u w:color="000000"/>
          <w:bdr w:val="nil"/>
          <w:lang w:val="en-US" w:eastAsia="en-GB"/>
        </w:rPr>
        <w:fldChar w:fldCharType="begin"/>
      </w:r>
      <w:r w:rsidRPr="00C603B7">
        <w:rPr>
          <w:rFonts w:eastAsia="Arial" w:cs="Arial"/>
          <w:color w:val="000000"/>
          <w:u w:color="000000"/>
          <w:bdr w:val="nil"/>
          <w:lang w:val="en-US" w:eastAsia="en-GB"/>
        </w:rPr>
        <w:instrText xml:space="preserve"> ADDIN EN.CITE &lt;EndNote&gt;&lt;Cite  &gt;&lt;Author&gt;Harada&lt;/Author&gt;&lt;Year&gt;2016&lt;/Year&gt;&lt;DisplayText&gt;(Harada et al., 2016)&lt;/DisplayText&gt;&lt;record&gt;&lt;keywords&gt;&lt;keyword&gt;Research Paper&lt;/keyword&gt;&lt;keyword&gt;Duloxetine&lt;/keyword&gt;&lt;keyword&gt;Depression&lt;/keyword&gt;&lt;keyword&gt;Pain&lt;/keyword&gt;&lt;keyword&gt;Path Analysis&lt;/keyword&gt;&lt;/keywords&gt;&lt;isbn&gt;0304-3959&lt;/isbn&gt;&lt;titles&gt;&lt;title&gt;Is duloxetineʼs effect on painful physical symptoms in depression an indirect result of improvement of depressive symptoms? Pooled analyses of three randomized controlled trials&lt;/title&gt;&lt;secondary-title&gt;PAIN&lt;/secondary-title&gt;&lt;/titles&gt;&lt;pages&gt;577-584&lt;/pages&gt;&lt;number&gt;3&lt;/number&gt;&lt;contributors&gt;&lt;authors&gt;&lt;author&gt;Harada, M. Eiji&lt;/author&gt;&lt;author&gt;Tokuoka, H. Hirofumi&lt;/author&gt;&lt;author&gt;Fujikoshi, H. Shinji&lt;/author&gt;&lt;author&gt;Funai, H. Jumpei&lt;/author&gt;&lt;author&gt;Wohlreich, H. Madelaine&lt;/author&gt;&lt;author&gt;Ossipov, H. Michael&lt;/author&gt;&lt;author&gt;Iwata, H. Nakao&lt;/author&gt;&lt;/authors&gt;&lt;/contributors&gt;&lt;added-date format="utc"&gt;1574766239&lt;/added-date&gt;&lt;ref-type name="Journal Article"&gt;17&lt;/ref-type&gt;&lt;dates&gt;&lt;year&gt;2016&lt;/year&gt;&lt;/dates&gt;&lt;rec-number&gt;1232&lt;/rec-number&gt;&lt;last-updated-date format="utc"&gt;1574766239&lt;/last-updated-date&gt;&lt;electronic-resource-num&gt;10.1097/j.pain.0000000000000406&lt;/electronic-resource-num&gt;&lt;volume&gt;157&lt;/volume&gt;&lt;/record&gt;&lt;/Cite&gt;&lt;/EndNote&gt;</w:instrText>
      </w:r>
      <w:r w:rsidRPr="00C603B7">
        <w:rPr>
          <w:rFonts w:eastAsia="Arial" w:cs="Arial"/>
          <w:color w:val="000000"/>
          <w:u w:color="000000"/>
          <w:bdr w:val="nil"/>
          <w:lang w:val="en-US" w:eastAsia="en-GB"/>
        </w:rPr>
        <w:fldChar w:fldCharType="separate"/>
      </w:r>
      <w:r w:rsidRPr="00C603B7">
        <w:rPr>
          <w:rFonts w:eastAsia="Calibri" w:cs="Calibri"/>
          <w:color w:val="000000"/>
          <w:u w:color="000000"/>
          <w:bdr w:val="nil"/>
          <w:lang w:val="en-US" w:eastAsia="en-GB"/>
        </w:rPr>
        <w:t>(Harada et al., 2016)</w:t>
      </w:r>
      <w:r w:rsidRPr="00C603B7">
        <w:rPr>
          <w:rFonts w:eastAsia="Arial" w:cs="Arial"/>
          <w:color w:val="000000"/>
          <w:u w:color="000000"/>
          <w:bdr w:val="nil"/>
          <w:lang w:val="en-US" w:eastAsia="en-GB"/>
        </w:rPr>
        <w:fldChar w:fldCharType="end"/>
      </w:r>
      <w:r w:rsidRPr="00C603B7">
        <w:rPr>
          <w:rFonts w:eastAsia="Calibri" w:cs="Calibri"/>
          <w:color w:val="000000"/>
          <w:u w:color="000000"/>
          <w:bdr w:val="nil"/>
          <w:lang w:val="en-US" w:eastAsia="en-GB"/>
        </w:rPr>
        <w:t xml:space="preserve">.  The </w:t>
      </w:r>
      <w:proofErr w:type="spellStart"/>
      <w:r w:rsidRPr="00C603B7">
        <w:rPr>
          <w:rFonts w:eastAsia="Calibri" w:cs="Calibri"/>
          <w:color w:val="000000"/>
          <w:u w:color="000000"/>
          <w:bdr w:val="nil"/>
          <w:lang w:val="en-US" w:eastAsia="en-GB"/>
        </w:rPr>
        <w:t>generalisa</w:t>
      </w:r>
      <w:r w:rsidR="0059223E">
        <w:rPr>
          <w:rFonts w:eastAsia="Calibri" w:cs="Calibri"/>
          <w:color w:val="000000"/>
          <w:u w:color="000000"/>
          <w:bdr w:val="nil"/>
          <w:lang w:val="en-US" w:eastAsia="en-GB"/>
        </w:rPr>
        <w:t>bility</w:t>
      </w:r>
      <w:proofErr w:type="spellEnd"/>
      <w:r w:rsidRPr="00C603B7">
        <w:rPr>
          <w:rFonts w:eastAsia="Calibri" w:cs="Calibri"/>
          <w:color w:val="000000"/>
          <w:u w:color="000000"/>
          <w:bdr w:val="nil"/>
          <w:lang w:val="en-US" w:eastAsia="en-GB"/>
        </w:rPr>
        <w:t xml:space="preserve"> of findings from central pain syndromes to neuropathic pain is somewhat limited, however this study seems to suggest that pain and depression are both treated by antidepressants.  Preclinical neurobiological studies support the theory of pain and depression being generated by a common mechanism.  It has been reported that neuropathic pain could promote gene expression and gene adaptations in brain networks involved in stress and depression in mice </w:t>
      </w:r>
      <w:r w:rsidRPr="00C603B7">
        <w:rPr>
          <w:rFonts w:eastAsia="Arial" w:cs="Arial"/>
          <w:color w:val="000000"/>
          <w:u w:color="000000"/>
          <w:bdr w:val="nil"/>
          <w:lang w:val="it-IT" w:eastAsia="en-GB"/>
        </w:rPr>
        <w:fldChar w:fldCharType="begin"/>
      </w:r>
      <w:r w:rsidRPr="00C603B7">
        <w:rPr>
          <w:rFonts w:eastAsia="Arial" w:cs="Arial"/>
          <w:color w:val="000000"/>
          <w:u w:color="000000"/>
          <w:bdr w:val="nil"/>
          <w:lang w:val="it-IT" w:eastAsia="en-GB"/>
        </w:rPr>
        <w:instrText xml:space="preserve"> ADDIN EN.CITE &lt;EndNote&gt;&lt;Cite  &gt;&lt;Author&gt;Descalzi&lt;/Author&gt;&lt;Year&gt;2017&lt;/Year&gt;&lt;DisplayText&gt;(Descalzi et al., 2017)&lt;/DisplayText&gt;&lt;record&gt;&lt;keywords&gt;&lt;keyword&gt;Adaptation, Physiological–Genetics&lt;/keyword&gt;&lt;keyword&gt;Animals–Metabolism&lt;/keyword&gt;&lt;keyword&gt;Brain–Physiopathology&lt;/keyword&gt;&lt;keyword&gt;Chronic Pain–Physiopathology&lt;/keyword&gt;&lt;keyword&gt;Cluster Analysis–Genetics&lt;/keyword&gt;&lt;keyword&gt;Depression–Methods&lt;/keyword&gt;&lt;keyword&gt;Gene Expression Profiling–Metabolism&lt;/keyword&gt;&lt;keyword&gt;Gene Expression Regulation–Physiopathology&lt;/keyword&gt;&lt;keyword&gt;Mice, Inbred C57bl–Metabolism&lt;/keyword&gt;&lt;keyword&gt;Mice, Knockout–Physiopathology&lt;/keyword&gt;&lt;keyword&gt;Nerve Net–Metabolism&lt;/keyword&gt;&lt;keyword&gt;Neuralgia–Physiopathology&lt;/keyword&gt;&lt;keyword&gt;Nucleus Accumbens–Metabolism&lt;/keyword&gt;&lt;keyword&gt;Periaqueductal Gray–Physiopathology&lt;/keyword&gt;&lt;keyword&gt;Prefrontal Cortex–Genetics&lt;/keyword&gt;&lt;keyword&gt;Signal Transduction–Physiopathology&lt;/keyword&gt;&lt;keyword&gt;Stress, Psychological–Physiopathology&lt;/keyword&gt;&lt;/keywords&gt;&lt;isbn&gt;19450877&lt;/isbn&gt;&lt;titles&gt;&lt;title&gt;Neuropathic pain promotes adaptive changes in gene expression in brain networks involved in stress and depression&lt;/title&gt;&lt;secondary-title&gt;Science signaling&lt;/secondary-title&gt;&lt;/titles&gt;&lt;number&gt;471&lt;/number&gt;&lt;contributors&gt;&lt;authors&gt;&lt;author&gt;Descalzi, Giannina&lt;/author&gt;&lt;author&gt;Mitsi, Vasiliki&lt;/author&gt;&lt;author&gt;Purushothaman, Immanuel&lt;/author&gt;&lt;author&gt;Gaspari, Sevasti&lt;/author&gt;&lt;author&gt;Avrampou, Kleopatra&lt;/author&gt;&lt;author&gt;Loh, Yong-Hwee Eddie&lt;/author&gt;&lt;author&gt;Shen, Li&lt;/author&gt;&lt;author&gt;Zachariou, Venetia&lt;/author&gt;&lt;/authors&gt;&lt;/contributors&gt;&lt;added-date format="utc"&gt;1574766796&lt;/added-date&gt;&lt;ref-type name="Journal Article"&gt;17&lt;/ref-type&gt;&lt;dates&gt;&lt;year&gt;2017&lt;/year&gt;&lt;/dates&gt;&lt;rec-number&gt;1233&lt;/rec-number&gt;&lt;last-updated-date format="utc"&gt;1574766796&lt;/last-updated-date&gt;&lt;contributors&gt;&lt;secondary-authors&gt;&lt;author&gt;Descalzi, Giannina&lt;/author&gt;&lt;/secondary-authors&gt;&lt;/contributors&gt;&lt;electronic-resource-num&gt;10.1126/scisignal.aaj1549&lt;/electronic-resource-num&gt;&lt;volume&gt;10&lt;/volume&gt;&lt;/record&gt;&lt;/Cite&gt;&lt;/EndNote&gt;</w:instrText>
      </w:r>
      <w:r w:rsidRPr="00C603B7">
        <w:rPr>
          <w:rFonts w:eastAsia="Arial" w:cs="Arial"/>
          <w:color w:val="000000"/>
          <w:u w:color="000000"/>
          <w:bdr w:val="nil"/>
          <w:lang w:val="it-IT" w:eastAsia="en-GB"/>
        </w:rPr>
        <w:fldChar w:fldCharType="separate"/>
      </w:r>
      <w:r w:rsidRPr="00C603B7">
        <w:rPr>
          <w:rFonts w:eastAsia="Calibri" w:cs="Calibri"/>
          <w:color w:val="000000"/>
          <w:u w:color="000000"/>
          <w:bdr w:val="nil"/>
          <w:lang w:val="it-IT" w:eastAsia="en-GB"/>
        </w:rPr>
        <w:t>(Descalzi et al., 2017)</w:t>
      </w:r>
      <w:r w:rsidRPr="00C603B7">
        <w:rPr>
          <w:rFonts w:eastAsia="Arial" w:cs="Arial"/>
          <w:color w:val="000000"/>
          <w:u w:color="000000"/>
          <w:bdr w:val="nil"/>
          <w:lang w:val="it-IT" w:eastAsia="en-GB"/>
        </w:rPr>
        <w:fldChar w:fldCharType="end"/>
      </w:r>
      <w:r w:rsidRPr="00C603B7">
        <w:rPr>
          <w:rFonts w:eastAsia="Calibri" w:cs="Calibri"/>
          <w:color w:val="000000"/>
          <w:u w:color="000000"/>
          <w:bdr w:val="nil"/>
          <w:lang w:val="en-US" w:eastAsia="en-GB"/>
        </w:rPr>
        <w:t xml:space="preserve">.  Therefore, NAA/Cr ratio reductions, seen in major depressive episodes and in diabetic neuropathy, may be implicated in both disease processes.   NAA is made as a by-product of oxidative phosphorylation, therefore oxidative stress and a resultant decrease in oxidative phosphorylation decreases NAA production (hence the numerous conditions that can cause a low NAA/Cr ratio) </w:t>
      </w:r>
      <w:r w:rsidRPr="00C603B7">
        <w:rPr>
          <w:rFonts w:eastAsia="Arial" w:cs="Arial"/>
          <w:color w:val="000000"/>
          <w:u w:color="000000"/>
          <w:bdr w:val="nil"/>
          <w:lang w:val="en-US" w:eastAsia="en-GB"/>
        </w:rPr>
        <w:fldChar w:fldCharType="begin"/>
      </w:r>
      <w:r w:rsidRPr="00C603B7">
        <w:rPr>
          <w:rFonts w:eastAsia="Arial" w:cs="Arial"/>
          <w:color w:val="000000"/>
          <w:u w:color="000000"/>
          <w:bdr w:val="nil"/>
          <w:lang w:val="en-US" w:eastAsia="en-GB"/>
        </w:rPr>
        <w:instrText xml:space="preserve"> ADDIN EN.CITE &lt;EndNote&gt;&lt;Cite  &gt;&lt;Author&gt;Moffett&lt;/Author&gt;&lt;Year&gt;2013&lt;/Year&gt;&lt;RecNum&gt;1207&lt;/RecNum&gt;&lt;DisplayText&gt;(Moffett et al., 2013, Mathias et al., 2017)&lt;/DisplayText&gt;&lt;record&gt;&lt;keywords&gt;&lt;keyword&gt;Naa&lt;/keyword&gt;&lt;keyword&gt;Acetyl Coenzyme A&lt;/keyword&gt;&lt;keyword&gt;Acetyl Coenzyme A Synthase&lt;/keyword&gt;&lt;keyword&gt;Aspartoacylase&lt;/keyword&gt;&lt;keyword&gt;Mitochondria&lt;/keyword&gt;&lt;/keywords&gt;&lt;isbn&gt;1662-6427&lt;/isbn&gt;&lt;titles&gt;&lt;title&gt;N-Acetylaspartate reductions in brain injury: impact on post-injury neuroenergetics, lipid synthesis, and protein acetylation&lt;/title&gt;&lt;secondary-title&gt;Frontiers in neuroenergetics&lt;/secondary-title&gt;&lt;/titles&gt;&lt;pages&gt;11-11&lt;/pages&gt;&lt;contributors&gt;&lt;authors&gt;&lt;author&gt;Moffett, John R.&lt;/author&gt;&lt;author&gt;Arun, Peethambaran&lt;/author&gt;&lt;author&gt;Ariyannur, Prasanth S.&lt;/author&gt;&lt;author&gt;Namboodiri, Aryan M. A.&lt;/author&gt;&lt;/authors&gt;&lt;/contributors&gt;&lt;added-date format="utc"&gt;1573826712&lt;/added-date&gt;&lt;ref-type name="Journal Article"&gt;17&lt;/ref-type&gt;&lt;dates&gt;&lt;year&gt;2013&lt;/year&gt;&lt;/dates&gt;&lt;rec-number&gt;1207&lt;/rec-number&gt;&lt;last-updated-date format="utc"&gt;1573826712&lt;/last-updated-date&gt;&lt;contributors&gt;&lt;secondary-authors&gt;&lt;author&gt;Moffett, John R.&lt;/author&gt;&lt;/secondary-authors&gt;&lt;/contributors&gt;&lt;electronic-resource-num&gt;10.3389/fnene.2013.00011&lt;/electronic-resource-num&gt;&lt;volume&gt;5&lt;/volume&gt;&lt;/record&gt;&lt;/Cite&gt;&lt;Cite  &gt;&lt;Author&gt;Mathias&lt;/Author&gt;&lt;Year&gt;2017&lt;/Year&gt;&lt;RecNum&gt;1223&lt;/RecNum&gt;&lt;record&gt;&lt;keywords&gt;&lt;keyword&gt;Spectroscopy&lt;/keyword&gt;&lt;keyword&gt;Geriatric&lt;/keyword&gt;&lt;keyword&gt;Depression&lt;/keyword&gt;&lt;keyword&gt;Bipolar&lt;/keyword&gt;&lt;keyword&gt;Mood&lt;/keyword&gt;&lt;keyword&gt;Medicine&lt;/keyword&gt;&lt;/keywords&gt;&lt;isbn&gt;0954-0261&lt;/isbn&gt;&lt;titles&gt;&lt;title&gt;Application of magnetic resonance spectroscopy in geriatric mood disorders&lt;/title&gt;&lt;/titles&gt;&lt;pages&gt;597-617&lt;/pages&gt;&lt;contributors&gt;&lt;authors&gt;&lt;author&gt;Mathias, Liana K.&lt;/author&gt;&lt;author&gt;Monette, Patrick J.&lt;/author&gt;&lt;author&gt;Harper, David G.&lt;/author&gt;&lt;author&gt;Forester, Brent P.&lt;/author&gt;&lt;/authors&gt;&lt;/contributors&gt;&lt;added-date format="utc"&gt;1574703109&lt;/added-date&gt;&lt;ref-type name="Generic"&gt;13&lt;/ref-type&gt;&lt;dates&gt;&lt;year&gt;2017&lt;/year&gt;&lt;/dates&gt;&lt;rec-number&gt;1223&lt;/rec-number&gt;&lt;last-updated-date format="utc"&gt;1574703109&lt;/last-updated-date&gt;&lt;electronic-resource-num&gt;10.1080/09540261.2017.1397608&lt;/electronic-resource-num&gt;&lt;volume&gt;29&lt;/volume&gt;&lt;/record&gt;&lt;/Cite&gt;&lt;/EndNote&gt;</w:instrText>
      </w:r>
      <w:r w:rsidRPr="00C603B7">
        <w:rPr>
          <w:rFonts w:eastAsia="Arial" w:cs="Arial"/>
          <w:color w:val="000000"/>
          <w:u w:color="000000"/>
          <w:bdr w:val="nil"/>
          <w:lang w:val="en-US" w:eastAsia="en-GB"/>
        </w:rPr>
        <w:fldChar w:fldCharType="separate"/>
      </w:r>
      <w:r w:rsidRPr="00C603B7">
        <w:rPr>
          <w:rFonts w:eastAsia="Calibri" w:cs="Calibri"/>
          <w:color w:val="000000"/>
          <w:u w:color="000000"/>
          <w:bdr w:val="nil"/>
          <w:lang w:val="en-US" w:eastAsia="en-GB"/>
        </w:rPr>
        <w:t>(Moffett et al., 2013, Mathias et al., 2017)</w:t>
      </w:r>
      <w:r w:rsidRPr="00C603B7">
        <w:rPr>
          <w:rFonts w:eastAsia="Arial" w:cs="Arial"/>
          <w:color w:val="000000"/>
          <w:u w:color="000000"/>
          <w:bdr w:val="nil"/>
          <w:lang w:val="en-US" w:eastAsia="en-GB"/>
        </w:rPr>
        <w:fldChar w:fldCharType="end"/>
      </w:r>
      <w:r w:rsidRPr="00C603B7">
        <w:rPr>
          <w:rFonts w:eastAsia="Calibri" w:cs="Calibri"/>
          <w:color w:val="000000"/>
          <w:u w:color="000000"/>
          <w:bdr w:val="nil"/>
          <w:lang w:val="en-US" w:eastAsia="en-GB"/>
        </w:rPr>
        <w:t xml:space="preserve">. Oxidative stress as a result of chronic neuropathic pain or chronic unpredictable stress in mice upregulates expression in the periaqueductal grey, the medial prefrontal cortex and the nucleus </w:t>
      </w:r>
      <w:proofErr w:type="spellStart"/>
      <w:r w:rsidRPr="00C603B7">
        <w:rPr>
          <w:rFonts w:eastAsia="Calibri" w:cs="Calibri"/>
          <w:color w:val="000000"/>
          <w:u w:color="000000"/>
          <w:bdr w:val="nil"/>
          <w:lang w:val="en-US" w:eastAsia="en-GB"/>
        </w:rPr>
        <w:t>accumbens</w:t>
      </w:r>
      <w:proofErr w:type="spellEnd"/>
      <w:r w:rsidRPr="00C603B7">
        <w:rPr>
          <w:rFonts w:eastAsia="Calibri" w:cs="Calibri"/>
          <w:color w:val="000000"/>
          <w:u w:color="000000"/>
          <w:bdr w:val="nil"/>
          <w:lang w:val="en-US" w:eastAsia="en-GB"/>
        </w:rPr>
        <w:t xml:space="preserve"> of genes associated with depression in mice </w:t>
      </w:r>
      <w:r w:rsidRPr="00C603B7">
        <w:rPr>
          <w:rFonts w:eastAsia="Arial" w:cs="Arial"/>
          <w:color w:val="000000"/>
          <w:u w:color="000000"/>
          <w:bdr w:val="nil"/>
          <w:lang w:val="it-IT" w:eastAsia="en-GB"/>
        </w:rPr>
        <w:fldChar w:fldCharType="begin"/>
      </w:r>
      <w:r w:rsidRPr="00C603B7">
        <w:rPr>
          <w:rFonts w:eastAsia="Arial" w:cs="Arial"/>
          <w:color w:val="000000"/>
          <w:u w:color="000000"/>
          <w:bdr w:val="nil"/>
          <w:lang w:val="it-IT" w:eastAsia="en-GB"/>
        </w:rPr>
        <w:instrText xml:space="preserve"> ADDIN EN.CITE &lt;EndNote&gt;&lt;Cite  &gt;&lt;Author&gt;Descalzi&lt;/Author&gt;&lt;Year&gt;2017&lt;/Year&gt;&lt;DisplayText&gt;(Descalzi et al., 2017)&lt;/DisplayText&gt;&lt;record&gt;&lt;keywords&gt;&lt;keyword&gt;Adaptation, Physiological–Genetics&lt;/keyword&gt;&lt;keyword&gt;Animals–Metabolism&lt;/keyword&gt;&lt;keyword&gt;Brain–Physiopathology&lt;/keyword&gt;&lt;keyword&gt;Chronic Pain–Physiopathology&lt;/keyword&gt;&lt;keyword&gt;Cluster Analysis–Genetics&lt;/keyword&gt;&lt;keyword&gt;Depression–Methods&lt;/keyword&gt;&lt;keyword&gt;Gene Expression Profiling–Metabolism&lt;/keyword&gt;&lt;keyword&gt;Gene Expression Regulation–Physiopathology&lt;/keyword&gt;&lt;keyword&gt;Mice, Inbred C57bl–Metabolism&lt;/keyword&gt;&lt;keyword&gt;Mice, Knockout–Physiopathology&lt;/keyword&gt;&lt;keyword&gt;Nerve Net–Metabolism&lt;/keyword&gt;&lt;keyword&gt;Neuralgia–Physiopathology&lt;/keyword&gt;&lt;keyword&gt;Nucleus Accumbens–Metabolism&lt;/keyword&gt;&lt;keyword&gt;Periaqueductal Gray–Physiopathology&lt;/keyword&gt;&lt;keyword&gt;Prefrontal Cortex–Genetics&lt;/keyword&gt;&lt;keyword&gt;Signal Transduction–Physiopathology&lt;/keyword&gt;&lt;keyword&gt;Stress, Psychological–Physiopathology&lt;/keyword&gt;&lt;/keywords&gt;&lt;isbn&gt;19450877&lt;/isbn&gt;&lt;titles&gt;&lt;title&gt;Neuropathic pain promotes adaptive changes in gene expression in brain networks involved in stress and depression&lt;/title&gt;&lt;secondary-title&gt;Science signaling&lt;/secondary-title&gt;&lt;/titles&gt;&lt;number&gt;471&lt;/number&gt;&lt;contributors&gt;&lt;authors&gt;&lt;author&gt;Descalzi, Giannina&lt;/author&gt;&lt;author&gt;Mitsi, Vasiliki&lt;/author&gt;&lt;author&gt;Purushothaman, Immanuel&lt;/author&gt;&lt;author&gt;Gaspari, Sevasti&lt;/author&gt;&lt;author&gt;Avrampou, Kleopatra&lt;/author&gt;&lt;author&gt;Loh, Yong-Hwee Eddie&lt;/author&gt;&lt;author&gt;Shen, Li&lt;/author&gt;&lt;author&gt;Zachariou, Venetia&lt;/author&gt;&lt;/authors&gt;&lt;/contributors&gt;&lt;added-date format="utc"&gt;1574766796&lt;/added-date&gt;&lt;ref-type name="Journal Article"&gt;17&lt;/ref-type&gt;&lt;dates&gt;&lt;year&gt;2017&lt;/year&gt;&lt;/dates&gt;&lt;rec-number&gt;1233&lt;/rec-number&gt;&lt;last-updated-date format="utc"&gt;1574766796&lt;/last-updated-date&gt;&lt;contributors&gt;&lt;secondary-authors&gt;&lt;author&gt;Descalzi, Giannina&lt;/author&gt;&lt;/secondary-authors&gt;&lt;/contributors&gt;&lt;electronic-resource-num&gt;10.1126/scisignal.aaj1549&lt;/electronic-resource-num&gt;&lt;volume&gt;10&lt;/volume&gt;&lt;/record&gt;&lt;/Cite&gt;&lt;/EndNote&gt;</w:instrText>
      </w:r>
      <w:r w:rsidRPr="00C603B7">
        <w:rPr>
          <w:rFonts w:eastAsia="Arial" w:cs="Arial"/>
          <w:color w:val="000000"/>
          <w:u w:color="000000"/>
          <w:bdr w:val="nil"/>
          <w:lang w:val="it-IT" w:eastAsia="en-GB"/>
        </w:rPr>
        <w:fldChar w:fldCharType="separate"/>
      </w:r>
      <w:r w:rsidRPr="00C603B7">
        <w:rPr>
          <w:rFonts w:eastAsia="Calibri" w:cs="Calibri"/>
          <w:color w:val="000000"/>
          <w:u w:color="000000"/>
          <w:bdr w:val="nil"/>
          <w:lang w:val="it-IT" w:eastAsia="en-GB"/>
        </w:rPr>
        <w:t>(Descalzi et al., 2017)</w:t>
      </w:r>
      <w:r w:rsidRPr="00C603B7">
        <w:rPr>
          <w:rFonts w:eastAsia="Arial" w:cs="Arial"/>
          <w:color w:val="000000"/>
          <w:u w:color="000000"/>
          <w:bdr w:val="nil"/>
          <w:lang w:val="it-IT" w:eastAsia="en-GB"/>
        </w:rPr>
        <w:fldChar w:fldCharType="end"/>
      </w:r>
      <w:r w:rsidRPr="00C603B7">
        <w:rPr>
          <w:rFonts w:eastAsia="Calibri" w:cs="Calibri"/>
          <w:color w:val="000000"/>
          <w:u w:color="000000"/>
          <w:bdr w:val="nil"/>
          <w:lang w:val="en-US" w:eastAsia="en-GB"/>
        </w:rPr>
        <w:t xml:space="preserve">.  In studies in human subjects there has been an attempt to link depression and pain by measuring serum </w:t>
      </w:r>
      <w:r w:rsidR="00C90FD4">
        <w:rPr>
          <w:rFonts w:eastAsia="Calibri" w:cs="Calibri"/>
          <w:color w:val="000000"/>
          <w:u w:color="000000"/>
          <w:bdr w:val="nil"/>
          <w:lang w:val="en-US" w:eastAsia="en-GB"/>
        </w:rPr>
        <w:t>brain derived neurotrophic factor (</w:t>
      </w:r>
      <w:r w:rsidRPr="00C603B7">
        <w:rPr>
          <w:rFonts w:eastAsia="Calibri" w:cs="Calibri"/>
          <w:color w:val="000000"/>
          <w:u w:color="000000"/>
          <w:bdr w:val="nil"/>
          <w:lang w:val="en-US" w:eastAsia="en-GB"/>
        </w:rPr>
        <w:t>BDNF</w:t>
      </w:r>
      <w:r w:rsidR="00C90FD4">
        <w:rPr>
          <w:rFonts w:eastAsia="Calibri" w:cs="Calibri"/>
          <w:color w:val="000000"/>
          <w:u w:color="000000"/>
          <w:bdr w:val="nil"/>
          <w:lang w:val="en-US" w:eastAsia="en-GB"/>
        </w:rPr>
        <w:t>)</w:t>
      </w:r>
      <w:r w:rsidRPr="00C603B7">
        <w:rPr>
          <w:rFonts w:eastAsia="Calibri" w:cs="Calibri"/>
          <w:color w:val="000000"/>
          <w:u w:color="000000"/>
          <w:bdr w:val="nil"/>
          <w:lang w:val="en-US" w:eastAsia="en-GB"/>
        </w:rPr>
        <w:t>.  BDNF concentrations are reduced in mood disorders and are also related to NAA/Cr ratios</w:t>
      </w:r>
      <w:r w:rsidR="001233DE">
        <w:rPr>
          <w:rFonts w:eastAsia="Calibri" w:cs="Calibri"/>
          <w:color w:val="000000"/>
          <w:u w:color="000000"/>
          <w:bdr w:val="nil"/>
          <w:lang w:val="en-US" w:eastAsia="en-GB"/>
        </w:rPr>
        <w:t xml:space="preserve"> </w:t>
      </w:r>
      <w:r w:rsidR="00D06F2D">
        <w:rPr>
          <w:rFonts w:eastAsia="Calibri" w:cs="Calibri"/>
          <w:color w:val="000000"/>
          <w:u w:color="000000"/>
          <w:bdr w:val="nil"/>
          <w:lang w:val="en-US" w:eastAsia="en-GB"/>
        </w:rPr>
        <w:fldChar w:fldCharType="begin"/>
      </w:r>
      <w:r w:rsidR="00D06F2D">
        <w:rPr>
          <w:rFonts w:eastAsia="Calibri" w:cs="Calibri"/>
          <w:color w:val="000000"/>
          <w:u w:color="000000"/>
          <w:bdr w:val="nil"/>
          <w:lang w:val="en-US" w:eastAsia="en-GB"/>
        </w:rPr>
        <w:instrText xml:space="preserve"> ADDIN EN.CITE &lt;EndNote&gt;&lt;Cite&gt;&lt;Author&gt;Nase&lt;/Author&gt;&lt;Year&gt;2018&lt;/Year&gt;&lt;IDText&gt;Role of Serum Brain Derived Neurotrophic Factor and Central N-Acetylaspartate for Clinical Response under Antidepressive Pharmacotherapy&lt;/IDText&gt;&lt;DisplayText&gt;(Nase et al., 2018)&lt;/DisplayText&gt;&lt;record&gt;&lt;keywords&gt;&lt;keyword&gt;Original Paper&lt;/keyword&gt;&lt;keyword&gt;Depression&lt;/keyword&gt;&lt;keyword&gt;N-Acetylaspartate&lt;/keyword&gt;&lt;keyword&gt;Neurotrophins&lt;/keyword&gt;&lt;keyword&gt;Brain Derived Neurotrophic Factor&lt;/keyword&gt;&lt;keyword&gt;Antidepressant Therapy&lt;/keyword&gt;&lt;keyword&gt;Neuroimaging&lt;/keyword&gt;&lt;keyword&gt;Anatomy &amp;amp; Physiology&lt;/keyword&gt;&lt;/keywords&gt;&lt;isbn&gt;1424-862X&lt;/isbn&gt;&lt;titles&gt;&lt;title&gt;Role of Serum Brain Derived Neurotrophic Factor and Central N-Acetylaspartate for Clinical Response under Antidepressive Pharmacotherapy&lt;/title&gt;&lt;secondary-title&gt;Neurosignals&lt;/secondary-title&gt;&lt;/titles&gt;&lt;pages&gt;1-14&lt;/pages&gt;&lt;number&gt;1&lt;/number&gt;&lt;contributors&gt;&lt;authors&gt;&lt;author&gt;Nase, Sarah&lt;/author&gt;&lt;author&gt;Köhler, Stephan&lt;/author&gt;&lt;author&gt;Jennebach, Jacqueline&lt;/author&gt;&lt;author&gt;Eckert, Anne&lt;/author&gt;&lt;author&gt;Schweinfurth, Nina&lt;/author&gt;&lt;author&gt;Gallinat, Jürgen&lt;/author&gt;&lt;author&gt;Lang, Undine E.&lt;/author&gt;&lt;author&gt;Kühn, Simone&lt;/author&gt;&lt;/authors&gt;&lt;/contributors&gt;&lt;added-date format="utc"&gt;1574785507&lt;/added-date&gt;&lt;pub-location&gt;Basel, Switzerland&lt;/pub-location&gt;&lt;ref-type name="Journal Article"&gt;17&lt;/ref-type&gt;&lt;dates&gt;&lt;year&gt;2018&lt;/year&gt;&lt;/dates&gt;&lt;rec-number&gt;1240&lt;/rec-number&gt;&lt;last-updated-date format="utc"&gt;1574785507&lt;/last-updated-date&gt;&lt;electronic-resource-num&gt;10.1159/000442607&lt;/electronic-resource-num&gt;&lt;volume&gt;24&lt;/volume&gt;&lt;/record&gt;&lt;/Cite&gt;&lt;/EndNote&gt;</w:instrText>
      </w:r>
      <w:r w:rsidR="00D06F2D">
        <w:rPr>
          <w:rFonts w:eastAsia="Calibri" w:cs="Calibri"/>
          <w:color w:val="000000"/>
          <w:u w:color="000000"/>
          <w:bdr w:val="nil"/>
          <w:lang w:val="en-US" w:eastAsia="en-GB"/>
        </w:rPr>
        <w:fldChar w:fldCharType="separate"/>
      </w:r>
      <w:r w:rsidR="00D06F2D">
        <w:rPr>
          <w:rFonts w:eastAsia="Calibri" w:cs="Calibri"/>
          <w:noProof/>
          <w:color w:val="000000"/>
          <w:u w:color="000000"/>
          <w:bdr w:val="nil"/>
          <w:lang w:val="en-US" w:eastAsia="en-GB"/>
        </w:rPr>
        <w:t>(Nase et al., 2018)</w:t>
      </w:r>
      <w:r w:rsidR="00D06F2D">
        <w:rPr>
          <w:rFonts w:eastAsia="Calibri" w:cs="Calibri"/>
          <w:color w:val="000000"/>
          <w:u w:color="000000"/>
          <w:bdr w:val="nil"/>
          <w:lang w:val="en-US" w:eastAsia="en-GB"/>
        </w:rPr>
        <w:fldChar w:fldCharType="end"/>
      </w:r>
      <w:r w:rsidRPr="00C603B7">
        <w:rPr>
          <w:rFonts w:eastAsia="Calibri" w:cs="Calibri"/>
          <w:color w:val="000000"/>
          <w:u w:color="000000"/>
          <w:bdr w:val="nil"/>
          <w:lang w:val="en-US" w:eastAsia="en-GB"/>
        </w:rPr>
        <w:t xml:space="preserve">.  BDNF is a nerve growth </w:t>
      </w:r>
      <w:r w:rsidRPr="00C603B7">
        <w:rPr>
          <w:rFonts w:eastAsia="Calibri" w:cs="Calibri"/>
          <w:color w:val="000000"/>
          <w:u w:color="000000"/>
          <w:bdr w:val="nil"/>
          <w:lang w:val="en-US" w:eastAsia="en-GB"/>
        </w:rPr>
        <w:lastRenderedPageBreak/>
        <w:t xml:space="preserve">factor that assists long-term potentiation and neural plasticity in the brain, and also neural regrowth in the periphery </w:t>
      </w:r>
      <w:r w:rsidRPr="00C603B7">
        <w:rPr>
          <w:rFonts w:eastAsia="Arial" w:cs="Arial"/>
          <w:color w:val="000000"/>
          <w:u w:color="000000"/>
          <w:bdr w:val="nil"/>
          <w:lang w:val="en-US" w:eastAsia="en-GB"/>
        </w:rPr>
        <w:fldChar w:fldCharType="begin"/>
      </w:r>
      <w:r w:rsidRPr="00C603B7">
        <w:rPr>
          <w:rFonts w:eastAsia="Arial" w:cs="Arial"/>
          <w:color w:val="000000"/>
          <w:u w:color="000000"/>
          <w:bdr w:val="nil"/>
          <w:lang w:val="en-US" w:eastAsia="en-GB"/>
        </w:rPr>
        <w:instrText xml:space="preserve"> ADDIN EN.CITE &lt;EndNote&gt;&lt;Cite  &gt;&lt;Author&gt;Borodinova&lt;/Author&gt;&lt;Year&gt;2017&lt;/Year&gt;&lt;RecNum&gt;1242&lt;/RecNum&gt;&lt;DisplayText&gt;(Borodinova and Salozhin, 2017, McGregor and English, 2019)&lt;/DisplayText&gt;&lt;record&gt;&lt;keywords&gt;&lt;keyword&gt;brain-derived neurotrophic factor&lt;/keyword&gt;&lt;keyword&gt;proneurotrophins&lt;/keyword&gt;&lt;keyword&gt;synaptic plasticity&lt;/keyword&gt;&lt;keyword&gt;nervous system development&lt;/keyword&gt;&lt;/keywords&gt;&lt;isbn&gt;0097-0549&lt;/isbn&gt;&lt;titles&gt;&lt;title&gt;Differences in the Biological Functions of BDNF and proBDNF in the Central Nervous System&lt;/title&gt;&lt;secondary-title&gt;Neuroscience and Behavioral Physiology&lt;/secondary-title&gt;&lt;/titles&gt;&lt;pages&gt;251-265&lt;/pages&gt;&lt;number&gt;3&lt;/number&gt;&lt;contributors&gt;&lt;authors&gt;&lt;author&gt;Borodinova, A.&lt;/author&gt;&lt;author&gt;Salozhin, S.&lt;/author&gt;&lt;/authors&gt;&lt;/contributors&gt;&lt;added-date format="utc"&gt;1574785969&lt;/added-date&gt;&lt;pub-location&gt;New York&lt;/pub-location&gt;&lt;ref-type name="Journal Article"&gt;17&lt;/ref-type&gt;&lt;dates&gt;&lt;year&gt;2017&lt;/year&gt;&lt;/dates&gt;&lt;rec-number&gt;1242&lt;/rec-number&gt;&lt;last-updated-date format="utc"&gt;1574785969&lt;/last-updated-date&gt;&lt;electronic-resource-num&gt;10.1007/s11055-017-0391-5&lt;/electronic-resource-num&gt;&lt;volume&gt;47&lt;/volume&gt;&lt;/record&gt;&lt;/Cite&gt;&lt;Cite  &gt;&lt;Author&gt;McGregor&lt;/Author&gt;&lt;Year&gt;2019&lt;/Year&gt;&lt;RecNum&gt;1241&lt;/RecNum&gt;&lt;record&gt;&lt;keywords&gt;&lt;keyword&gt;Bdnf&lt;/keyword&gt;&lt;keyword&gt;Val66met&lt;/keyword&gt;&lt;keyword&gt;Electrical Stimulation&lt;/keyword&gt;&lt;keyword&gt;Exercise&lt;/keyword&gt;&lt;keyword&gt;Optogenetics&lt;/keyword&gt;&lt;keyword&gt;Peripheral Nerve Injury&lt;/keyword&gt;&lt;keyword&gt;Trkb&lt;/keyword&gt;&lt;/keywords&gt;&lt;isbn&gt;1662-5102&lt;/isbn&gt;&lt;titles&gt;&lt;title&gt;The Role of BDNF in Peripheral Nerve Regeneration: Activity-Dependent Treatments and Val66Met&lt;/title&gt;&lt;secondary-title&gt;Frontiers in cellular neuroscience&lt;/secondary-title&gt;&lt;/titles&gt;&lt;pages&gt;522-522&lt;/pages&gt;&lt;contributors&gt;&lt;authors&gt;&lt;author&gt;McGregor, Claire Emma&lt;/author&gt;&lt;author&gt;English, Arthur W.&lt;/author&gt;&lt;/authors&gt;&lt;/contributors&gt;&lt;added-date format="utc"&gt;1574785735&lt;/added-date&gt;&lt;ref-type name="Journal Article"&gt;17&lt;/ref-type&gt;&lt;dates&gt;&lt;year&gt;2019&lt;/year&gt;&lt;/dates&gt;&lt;rec-number&gt;1241&lt;/rec-number&gt;&lt;last-updated-date format="utc"&gt;1574785735&lt;/last-updated-date&gt;&lt;contributors&gt;&lt;secondary-authors&gt;&lt;author&gt;McGregor, Claire Emma&lt;/author&gt;&lt;/secondary-authors&gt;&lt;/contributors&gt;&lt;electronic-resource-num&gt;10.3389/fncel.2018.00522&lt;/electronic-resource-num&gt;&lt;volume&gt;12&lt;/volume&gt;&lt;/record&gt;&lt;/Cite&gt;&lt;/EndNote&gt;</w:instrText>
      </w:r>
      <w:r w:rsidRPr="00C603B7">
        <w:rPr>
          <w:rFonts w:eastAsia="Arial" w:cs="Arial"/>
          <w:color w:val="000000"/>
          <w:u w:color="000000"/>
          <w:bdr w:val="nil"/>
          <w:lang w:val="en-US" w:eastAsia="en-GB"/>
        </w:rPr>
        <w:fldChar w:fldCharType="separate"/>
      </w:r>
      <w:r w:rsidRPr="00C603B7">
        <w:rPr>
          <w:rFonts w:eastAsia="Calibri" w:cs="Calibri"/>
          <w:color w:val="000000"/>
          <w:u w:color="000000"/>
          <w:bdr w:val="nil"/>
          <w:lang w:val="en-US" w:eastAsia="en-GB"/>
        </w:rPr>
        <w:t>(Borodinova and Salozhin, 2017, McGregor and English, 2019)</w:t>
      </w:r>
      <w:r w:rsidRPr="00C603B7">
        <w:rPr>
          <w:rFonts w:eastAsia="Arial" w:cs="Arial"/>
          <w:color w:val="000000"/>
          <w:u w:color="000000"/>
          <w:bdr w:val="nil"/>
          <w:lang w:val="en-US" w:eastAsia="en-GB"/>
        </w:rPr>
        <w:fldChar w:fldCharType="end"/>
      </w:r>
      <w:r w:rsidRPr="00C603B7">
        <w:rPr>
          <w:rFonts w:eastAsia="Calibri" w:cs="Calibri"/>
          <w:color w:val="000000"/>
          <w:u w:color="000000"/>
          <w:bdr w:val="nil"/>
          <w:lang w:val="en-US" w:eastAsia="en-GB"/>
        </w:rPr>
        <w:t xml:space="preserve">. It is possible that nerve growth factor may represent a unifying neurobiological agent that can explain peripheral and central DPN changes, and links them to co-existent depression and NAA/Cr ratios.  BDNF administered to </w:t>
      </w:r>
      <w:r w:rsidR="00B7211C">
        <w:rPr>
          <w:rFonts w:eastAsia="Calibri" w:cs="Calibri"/>
          <w:color w:val="000000"/>
          <w:u w:color="000000"/>
          <w:bdr w:val="nil"/>
          <w:lang w:val="en-US" w:eastAsia="en-GB"/>
        </w:rPr>
        <w:t>streptozocin</w:t>
      </w:r>
      <w:r w:rsidRPr="00C603B7">
        <w:rPr>
          <w:rFonts w:eastAsia="Calibri" w:cs="Calibri"/>
          <w:color w:val="000000"/>
          <w:u w:color="000000"/>
          <w:bdr w:val="nil"/>
          <w:lang w:val="en-US" w:eastAsia="en-GB"/>
        </w:rPr>
        <w:t xml:space="preserve"> diabetic rats intrathecally has been shown to decrease pain </w:t>
      </w:r>
      <w:proofErr w:type="spellStart"/>
      <w:r w:rsidRPr="00C603B7">
        <w:rPr>
          <w:rFonts w:eastAsia="Calibri" w:cs="Calibri"/>
          <w:color w:val="000000"/>
          <w:u w:color="000000"/>
          <w:bdr w:val="nil"/>
          <w:lang w:val="en-US" w:eastAsia="en-GB"/>
        </w:rPr>
        <w:t>behaviours</w:t>
      </w:r>
      <w:proofErr w:type="spellEnd"/>
      <w:r w:rsidRPr="00C603B7">
        <w:rPr>
          <w:rFonts w:eastAsia="Calibri" w:cs="Calibri"/>
          <w:color w:val="000000"/>
          <w:u w:color="000000"/>
          <w:bdr w:val="nil"/>
          <w:lang w:val="en-US" w:eastAsia="en-GB"/>
        </w:rPr>
        <w:t xml:space="preserve"> </w:t>
      </w:r>
      <w:r w:rsidRPr="00C603B7">
        <w:rPr>
          <w:rFonts w:eastAsia="Arial" w:cs="Arial"/>
          <w:color w:val="000000"/>
          <w:u w:color="000000"/>
          <w:bdr w:val="nil"/>
          <w:lang w:val="en-US" w:eastAsia="en-GB"/>
        </w:rPr>
        <w:fldChar w:fldCharType="begin"/>
      </w:r>
      <w:r w:rsidRPr="00C603B7">
        <w:rPr>
          <w:rFonts w:eastAsia="Arial" w:cs="Arial"/>
          <w:color w:val="000000"/>
          <w:u w:color="000000"/>
          <w:bdr w:val="nil"/>
          <w:lang w:val="en-US" w:eastAsia="en-GB"/>
        </w:rPr>
        <w:instrText xml:space="preserve"> ADDIN EN.CITE &lt;EndNote&gt;&lt;Cite  &gt;&lt;Author&gt;Ceren&lt;/Author&gt;&lt;Year&gt;2017&lt;/Year&gt;&lt;RecNum&gt;1239&lt;/RecNum&gt;&lt;DisplayText&gt;(Ceren et al., 2017)&lt;/DisplayText&gt;&lt;record&gt;&lt;keywords&gt;&lt;keyword&gt;Medicine&lt;/keyword&gt;&lt;/keywords&gt;&lt;isbn&gt;2314-6745&lt;/isbn&gt;&lt;titles&gt;&lt;title&gt;Antidiabetic Effect of Brain-Derived Neurotrophic Factor and Its Association with Inflammation in Type 2 Diabetes Mellitus&lt;/title&gt;&lt;secondary-title&gt;Journal of Diabetes Research&lt;/secondary-title&gt;&lt;/titles&gt;&lt;contributors&gt;&lt;authors&gt;&lt;author&gt;Ceren, Eyileten&lt;/author&gt;&lt;author&gt;Agnieszka, Kaplon-Cieslicka&lt;/author&gt;&lt;author&gt;Dagmara, Mirowska-Guzel&lt;/author&gt;&lt;author&gt;Lukasz, Malek&lt;/author&gt;&lt;author&gt;Marek, Postula&lt;/author&gt;&lt;/authors&gt;&lt;/contributors&gt;&lt;added-date format="utc"&gt;1574785390&lt;/added-date&gt;&lt;ref-type name="Journal Article"&gt;17&lt;/ref-type&gt;&lt;dates&gt;&lt;year&gt;2017&lt;/year&gt;&lt;/dates&gt;&lt;rec-number&gt;1239&lt;/rec-number&gt;&lt;last-updated-date format="utc"&gt;1574785390&lt;/last-updated-date&gt;&lt;electronic-resource-num&gt;10.1155/2017/2823671&lt;/electronic-resource-num&gt;&lt;volume&gt;2017&lt;/volume&gt;&lt;/record&gt;&lt;/Cite&gt;&lt;/EndNote&gt;</w:instrText>
      </w:r>
      <w:r w:rsidRPr="00C603B7">
        <w:rPr>
          <w:rFonts w:eastAsia="Arial" w:cs="Arial"/>
          <w:color w:val="000000"/>
          <w:u w:color="000000"/>
          <w:bdr w:val="nil"/>
          <w:lang w:val="en-US" w:eastAsia="en-GB"/>
        </w:rPr>
        <w:fldChar w:fldCharType="separate"/>
      </w:r>
      <w:r w:rsidRPr="00C603B7">
        <w:rPr>
          <w:rFonts w:eastAsia="Calibri" w:cs="Calibri"/>
          <w:color w:val="000000"/>
          <w:u w:color="000000"/>
          <w:bdr w:val="nil"/>
          <w:lang w:val="en-US" w:eastAsia="en-GB"/>
        </w:rPr>
        <w:t>(</w:t>
      </w:r>
      <w:proofErr w:type="spellStart"/>
      <w:r w:rsidRPr="00C603B7">
        <w:rPr>
          <w:rFonts w:eastAsia="Calibri" w:cs="Calibri"/>
          <w:color w:val="000000"/>
          <w:u w:color="000000"/>
          <w:bdr w:val="nil"/>
          <w:lang w:val="en-US" w:eastAsia="en-GB"/>
        </w:rPr>
        <w:t>Ceren</w:t>
      </w:r>
      <w:proofErr w:type="spellEnd"/>
      <w:r w:rsidRPr="00C603B7">
        <w:rPr>
          <w:rFonts w:eastAsia="Calibri" w:cs="Calibri"/>
          <w:color w:val="000000"/>
          <w:u w:color="000000"/>
          <w:bdr w:val="nil"/>
          <w:lang w:val="en-US" w:eastAsia="en-GB"/>
        </w:rPr>
        <w:t xml:space="preserve"> et al., 2017)</w:t>
      </w:r>
      <w:r w:rsidRPr="00C603B7">
        <w:rPr>
          <w:rFonts w:eastAsia="Arial" w:cs="Arial"/>
          <w:color w:val="000000"/>
          <w:u w:color="000000"/>
          <w:bdr w:val="nil"/>
          <w:lang w:val="en-US" w:eastAsia="en-GB"/>
        </w:rPr>
        <w:fldChar w:fldCharType="end"/>
      </w:r>
      <w:r w:rsidRPr="00C603B7">
        <w:rPr>
          <w:rFonts w:eastAsia="Calibri" w:cs="Calibri"/>
          <w:color w:val="000000"/>
          <w:u w:color="000000"/>
          <w:bdr w:val="nil"/>
          <w:lang w:val="en-US" w:eastAsia="en-GB"/>
        </w:rPr>
        <w:t xml:space="preserve">. A study of </w:t>
      </w:r>
      <w:proofErr w:type="spellStart"/>
      <w:r w:rsidRPr="00C603B7">
        <w:rPr>
          <w:rFonts w:eastAsia="Calibri" w:cs="Calibri"/>
          <w:color w:val="000000"/>
          <w:u w:color="000000"/>
          <w:bdr w:val="nil"/>
          <w:lang w:val="en-US" w:eastAsia="en-GB"/>
        </w:rPr>
        <w:t>actovegin</w:t>
      </w:r>
      <w:proofErr w:type="spellEnd"/>
      <w:r w:rsidRPr="00C603B7">
        <w:rPr>
          <w:rFonts w:eastAsia="Calibri" w:cs="Calibri"/>
          <w:color w:val="000000"/>
          <w:u w:color="000000"/>
          <w:bdr w:val="nil"/>
          <w:lang w:val="en-US" w:eastAsia="en-GB"/>
        </w:rPr>
        <w:t xml:space="preserve"> stimulated BDNF concentrations reported that higher BDNF levels were associated with decreased measures of depression and pain </w:t>
      </w:r>
      <w:r w:rsidRPr="00C603B7">
        <w:rPr>
          <w:rFonts w:eastAsia="Arial" w:cs="Arial"/>
          <w:color w:val="000000"/>
          <w:u w:color="000000"/>
          <w:bdr w:val="nil"/>
          <w:lang w:val="en-US" w:eastAsia="en-GB"/>
        </w:rPr>
        <w:fldChar w:fldCharType="begin"/>
      </w:r>
      <w:r w:rsidRPr="00C603B7">
        <w:rPr>
          <w:rFonts w:eastAsia="Arial" w:cs="Arial"/>
          <w:color w:val="000000"/>
          <w:u w:color="000000"/>
          <w:bdr w:val="nil"/>
          <w:lang w:val="en-US" w:eastAsia="en-GB"/>
        </w:rPr>
        <w:instrText xml:space="preserve"> ADDIN EN.CITE &lt;EndNote&gt;&lt;Cite  &gt;&lt;Author&gt;Karakulova&lt;/Author&gt;&lt;Year&gt;2013&lt;/Year&gt;&lt;DisplayText&gt;(Karakulova et al., 2013)&lt;/DisplayText&gt;&lt;record&gt;&lt;keywords&gt;&lt;keyword&gt;Actovegin&lt;/keyword&gt;&lt;keyword&gt;Diabetic Peripheral Neuropathy&lt;/keyword&gt;&lt;keyword&gt;Neurotrophic Factors&lt;/keyword&gt;&lt;keyword&gt;Serotonin&lt;/keyword&gt;&lt;keyword&gt;Medicine&lt;/keyword&gt;&lt;/keywords&gt;&lt;urls&gt;&lt;related-urls/&gt;&lt;/urls&gt;&lt;isbn&gt;2074-2711&lt;/isbn&gt;&lt;titles&gt;&lt;title&gt;Diabetic peripheral neuropathy therapy-induced activation of humoral serotonin and endogenous neurotrophins&lt;/title&gt;&lt;secondary-title&gt;Nevrologiâ, Nejropsihiatriâ, Psihosomatika&lt;/secondary-title&gt;&lt;/titles&gt;&lt;pages&gt;13-17&lt;/pages&gt;&lt;number&gt;3&lt;/number&gt;&lt;contributors&gt;&lt;authors&gt;&lt;author&gt;Karakulova, Y.&lt;/author&gt;&lt;author&gt;Kaigorodova, N.&lt;/author&gt;&lt;author&gt;Batueva, E.&lt;/author&gt;&lt;/authors&gt;&lt;/contributors&gt;&lt;added-date format="utc"&gt;1574788175&lt;/added-date&gt;&lt;ref-type name="Journal Article"&gt;17&lt;/ref-type&gt;&lt;dates&gt;&lt;year&gt;2013&lt;/year&gt;&lt;/dates&gt;&lt;rec-number&gt;1243&lt;/rec-number&gt;&lt;last-updated-date format="utc"&gt;1574788865&lt;/last-updated-date&gt;&lt;electronic-resource-num&gt;10.14412/2074-2711-2013-2333&lt;/electronic-resource-num&gt;&lt;volume&gt;5&lt;/volume&gt;&lt;/record&gt;&lt;/Cite&gt;&lt;/EndNote&gt;</w:instrText>
      </w:r>
      <w:r w:rsidRPr="00C603B7">
        <w:rPr>
          <w:rFonts w:eastAsia="Arial" w:cs="Arial"/>
          <w:color w:val="000000"/>
          <w:u w:color="000000"/>
          <w:bdr w:val="nil"/>
          <w:lang w:val="en-US" w:eastAsia="en-GB"/>
        </w:rPr>
        <w:fldChar w:fldCharType="separate"/>
      </w:r>
      <w:r w:rsidRPr="00C603B7">
        <w:rPr>
          <w:rFonts w:eastAsia="Calibri" w:cs="Calibri"/>
          <w:color w:val="000000"/>
          <w:u w:color="000000"/>
          <w:bdr w:val="nil"/>
          <w:lang w:val="en-US" w:eastAsia="en-GB"/>
        </w:rPr>
        <w:t>(Karakulova et al., 2013)</w:t>
      </w:r>
      <w:r w:rsidRPr="00C603B7">
        <w:rPr>
          <w:rFonts w:eastAsia="Arial" w:cs="Arial"/>
          <w:color w:val="000000"/>
          <w:u w:color="000000"/>
          <w:bdr w:val="nil"/>
          <w:lang w:val="en-US" w:eastAsia="en-GB"/>
        </w:rPr>
        <w:fldChar w:fldCharType="end"/>
      </w:r>
      <w:r w:rsidRPr="00C603B7">
        <w:rPr>
          <w:rFonts w:eastAsia="Calibri" w:cs="Calibri"/>
          <w:color w:val="000000"/>
          <w:u w:color="000000"/>
          <w:bdr w:val="nil"/>
          <w:lang w:val="en-US" w:eastAsia="en-GB"/>
        </w:rPr>
        <w:t>.  In the future studies should be designed to examine the relationship between promising factors such as BDNF, with NAA/Cr ratios, painful and painless neuropathy, and depression, to try and elucidate the mechanism behind the link between neuropathy and depression.</w:t>
      </w:r>
    </w:p>
    <w:p w14:paraId="23278681" w14:textId="77777777" w:rsidR="00C603B7" w:rsidRPr="00C603B7" w:rsidRDefault="00C603B7" w:rsidP="00C603B7">
      <w:pPr>
        <w:pBdr>
          <w:top w:val="nil"/>
          <w:left w:val="nil"/>
          <w:bottom w:val="nil"/>
          <w:right w:val="nil"/>
          <w:between w:val="nil"/>
          <w:bar w:val="nil"/>
        </w:pBdr>
        <w:spacing w:line="360" w:lineRule="auto"/>
        <w:rPr>
          <w:rFonts w:eastAsia="Arial" w:cs="Arial"/>
          <w:color w:val="000000"/>
          <w:u w:color="000000"/>
          <w:bdr w:val="nil"/>
          <w:lang w:val="en-US" w:eastAsia="en-GB"/>
        </w:rPr>
      </w:pPr>
    </w:p>
    <w:p w14:paraId="3E5FC77F" w14:textId="77777777" w:rsidR="00C603B7" w:rsidRPr="00C603B7" w:rsidRDefault="00C603B7" w:rsidP="00C603B7">
      <w:pPr>
        <w:pBdr>
          <w:top w:val="nil"/>
          <w:left w:val="nil"/>
          <w:bottom w:val="nil"/>
          <w:right w:val="nil"/>
          <w:between w:val="nil"/>
          <w:bar w:val="nil"/>
        </w:pBdr>
        <w:spacing w:line="360" w:lineRule="auto"/>
        <w:rPr>
          <w:rFonts w:eastAsia="Arial" w:cs="Arial"/>
          <w:color w:val="000000"/>
          <w:u w:color="000000"/>
          <w:bdr w:val="nil"/>
          <w:lang w:val="en-US" w:eastAsia="en-GB"/>
        </w:rPr>
      </w:pPr>
      <w:r w:rsidRPr="00C603B7">
        <w:rPr>
          <w:rFonts w:eastAsia="Calibri" w:cs="Calibri"/>
          <w:color w:val="000000"/>
          <w:u w:color="000000"/>
          <w:bdr w:val="nil"/>
          <w:lang w:val="en-US" w:eastAsia="en-GB"/>
        </w:rPr>
        <w:t xml:space="preserve">There are limitations to the current study.  We may not have detected a difference between groups due to insufficient power. This study was primarily powered to find a difference between groups for measures of DSC-MR cerebral perfusion, and not spectroscopy. In the study by Gandhi </w:t>
      </w:r>
      <w:r w:rsidRPr="00C603B7">
        <w:rPr>
          <w:rFonts w:eastAsia="Arial" w:cs="Arial"/>
          <w:color w:val="000000"/>
          <w:u w:color="000000"/>
          <w:bdr w:val="nil"/>
          <w:lang w:val="en-US" w:eastAsia="en-GB"/>
        </w:rPr>
        <w:fldChar w:fldCharType="begin"/>
      </w:r>
      <w:r w:rsidRPr="00C603B7">
        <w:rPr>
          <w:rFonts w:eastAsia="Arial" w:cs="Arial"/>
          <w:color w:val="000000"/>
          <w:u w:color="000000"/>
          <w:bdr w:val="nil"/>
          <w:lang w:val="en-US" w:eastAsia="en-GB"/>
        </w:rPr>
        <w:instrText xml:space="preserve"> ADDIN EN.CITE &lt;EndNote&gt;&lt;Cite  &gt;&lt;Author&gt;Gandhi&lt;/Author&gt;&lt;Year&gt;2013&lt;/Year&gt;&lt;RecNum&gt;1209&lt;/RecNum&gt;&lt;DisplayText&gt;(Gandhi, 2013)&lt;/DisplayText&gt;&lt;record&gt;&lt;titles&gt;&lt;title&gt;Insights into the Pathogenesis of Painful and Painless Diabetic Neuropathy&lt;/title&gt;&lt;/titles&gt;&lt;contributors&gt;&lt;authors&gt;&lt;author&gt;Gandhi, Rajiv&lt;/author&gt;&lt;/authors&gt;&lt;/contributors&gt;&lt;added-date format="utc"&gt;1573829160&lt;/added-date&gt;&lt;ref-type name="Generic"&gt;13&lt;/ref-type&gt;&lt;dates&gt;&lt;year&gt;2013&lt;/year&gt;&lt;/dates&gt;&lt;rec-number&gt;1209&lt;/rec-number&gt;&lt;publisher&gt;University of Sheffield;Biomedical Science (Sheffield); 2013&lt;/publisher&gt;&lt;last-updated-date format="utc"&gt;1573829160&lt;/last-updated-date&gt;&lt;/record&gt;&lt;/Cite&gt;&lt;/EndNote&gt;</w:instrText>
      </w:r>
      <w:r w:rsidRPr="00C603B7">
        <w:rPr>
          <w:rFonts w:eastAsia="Arial" w:cs="Arial"/>
          <w:color w:val="000000"/>
          <w:u w:color="000000"/>
          <w:bdr w:val="nil"/>
          <w:lang w:val="en-US" w:eastAsia="en-GB"/>
        </w:rPr>
        <w:fldChar w:fldCharType="separate"/>
      </w:r>
      <w:r w:rsidRPr="00C603B7">
        <w:rPr>
          <w:rFonts w:eastAsia="Calibri" w:cs="Calibri"/>
          <w:color w:val="000000"/>
          <w:u w:color="000000"/>
          <w:bdr w:val="nil"/>
          <w:lang w:val="en-US" w:eastAsia="en-GB"/>
        </w:rPr>
        <w:t>(Gandhi, 2013)</w:t>
      </w:r>
      <w:r w:rsidRPr="00C603B7">
        <w:rPr>
          <w:rFonts w:eastAsia="Arial" w:cs="Arial"/>
          <w:color w:val="000000"/>
          <w:u w:color="000000"/>
          <w:bdr w:val="nil"/>
          <w:lang w:val="en-US" w:eastAsia="en-GB"/>
        </w:rPr>
        <w:fldChar w:fldCharType="end"/>
      </w:r>
      <w:r w:rsidRPr="00C603B7">
        <w:rPr>
          <w:rFonts w:eastAsia="Calibri" w:cs="Calibri"/>
          <w:color w:val="000000"/>
          <w:u w:color="000000"/>
          <w:bdr w:val="nil"/>
          <w:lang w:val="en-US" w:eastAsia="en-GB"/>
        </w:rPr>
        <w:t>, there were 20 participants in the HV and DM-NN groups, 30 participants in the P-DPN and DPN  groups, and 30 subjects in the subclinical neuropathy group. Our study has 18 P-DPN, 23 DPN, 13 DM-NN and 18 HV subjects per group to compare metabolite ratios. In the present study, the lowest mean NAA/Cr ratio was in the DPN group, although this result was not statistically significant.  It is possible that greater numbers would have increased the power and be more likely to return a significant result in line with previous reports.</w:t>
      </w:r>
    </w:p>
    <w:p w14:paraId="5B7EAB25" w14:textId="3646DBCA" w:rsidR="00C603B7" w:rsidRPr="00C603B7" w:rsidRDefault="00C603B7" w:rsidP="00C603B7">
      <w:pPr>
        <w:pBdr>
          <w:top w:val="nil"/>
          <w:left w:val="nil"/>
          <w:bottom w:val="nil"/>
          <w:right w:val="nil"/>
          <w:between w:val="nil"/>
          <w:bar w:val="nil"/>
        </w:pBdr>
        <w:spacing w:line="360" w:lineRule="auto"/>
        <w:rPr>
          <w:rFonts w:eastAsia="Arial" w:cs="Arial"/>
          <w:color w:val="000000"/>
          <w:u w:color="000000"/>
          <w:bdr w:val="nil"/>
          <w:lang w:val="en-US" w:eastAsia="en-GB"/>
        </w:rPr>
      </w:pPr>
      <w:r w:rsidRPr="00C603B7">
        <w:rPr>
          <w:rFonts w:eastAsia="Calibri" w:cs="Calibri"/>
          <w:color w:val="000000"/>
          <w:u w:color="000000"/>
          <w:bdr w:val="nil"/>
          <w:lang w:val="en-US" w:eastAsia="en-GB"/>
        </w:rPr>
        <w:t xml:space="preserve">Finally, spectroscopy was not studied during the pain condition and not all in the P-DPN group had spontaneous neuropathic pain at the time of the scan. Therefore, we may have missed subtle differences in NAA/Cr ratio that may have been provoked during the acute neurovascular coupling response to experimental pain.  GABA spectroscopy has been studied during a noxious thermal stimulus in healthy volunteers </w:t>
      </w:r>
      <w:r w:rsidRPr="00C603B7">
        <w:rPr>
          <w:rFonts w:eastAsia="Arial" w:cs="Arial"/>
          <w:color w:val="000000"/>
          <w:u w:color="000000"/>
          <w:bdr w:val="nil"/>
          <w:lang w:val="fr-FR" w:eastAsia="en-GB"/>
        </w:rPr>
        <w:fldChar w:fldCharType="begin"/>
      </w:r>
      <w:r w:rsidR="009968E0">
        <w:rPr>
          <w:rFonts w:eastAsia="Arial" w:cs="Arial"/>
          <w:color w:val="000000"/>
          <w:u w:color="000000"/>
          <w:bdr w:val="nil"/>
          <w:lang w:val="fr-FR" w:eastAsia="en-GB"/>
        </w:rPr>
        <w:instrText xml:space="preserve"> ADDIN EN.CITE &lt;EndNote&gt;&lt;Cite&gt;&lt;Author&gt;Kupers&lt;/Author&gt;&lt;Year&gt;2009&lt;/Year&gt;&lt;RecNum&gt;702&lt;/RecNum&gt;&lt;DisplayText&gt;(Kupers et al., 2009b)&lt;/DisplayText&gt;&lt;record&gt;&lt;dates&gt;&lt;pub-dates&gt;&lt;date&gt;Mar&lt;/date&gt;&lt;/pub-dates&gt;&lt;year&gt;2009&lt;/year&gt;&lt;/dates&gt;&lt;urls&gt;&lt;related-urls&gt;&lt;url&gt;&amp;lt;Go to ISI&amp;gt;://WOS:000264275800016&lt;/url&gt;&lt;/related-urls&gt;&lt;/urls&gt;&lt;isbn&gt;0304-3959&lt;/isbn&gt;&lt;titles&gt;&lt;title&gt;Painful tonic heat stimulation induces GABA accumulation in the prefrontal cortex in man&lt;/title&gt;&lt;secondary-title&gt;Pain&lt;/secondary-title&gt;&lt;/titles&gt;&lt;pages&gt;89-93&lt;/pages&gt;&lt;number&gt;1-2&lt;/number&gt;&lt;contributors&gt;&lt;authors&gt;&lt;author&gt;Kupers, R.&lt;/author&gt;&lt;author&gt;Danielsen, E. R.&lt;/author&gt;&lt;author&gt;Kehlet, H.&lt;/author&gt;&lt;author&gt;Christensen, R.&lt;/author&gt;&lt;author&gt;Thomsen, C.&lt;/author&gt;&lt;/authors&gt;&lt;/contributors&gt;&lt;added-date format="utc"&gt;1359481289&lt;/added-date&gt;&lt;ref-type name="Journal Article"&gt;17&lt;/ref-type&gt;&lt;rec-number&gt;702&lt;/rec-number&gt;&lt;last-updated-date format="utc"&gt;1479838379&lt;/last-updated-date&gt;&lt;accession-num&gt;WOS:000264275800016&lt;/accession-num&gt;&lt;electronic-resource-num&gt;10.1016/j.pain.2008.12.008&lt;/electronic-resource-num&gt;&lt;volume&gt;142&lt;/volume&gt;&lt;/record&gt;&lt;/Cite&gt;&lt;/EndNote&gt;</w:instrText>
      </w:r>
      <w:r w:rsidRPr="00C603B7">
        <w:rPr>
          <w:rFonts w:eastAsia="Arial" w:cs="Arial"/>
          <w:color w:val="000000"/>
          <w:u w:color="000000"/>
          <w:bdr w:val="nil"/>
          <w:lang w:val="fr-FR" w:eastAsia="en-GB"/>
        </w:rPr>
        <w:fldChar w:fldCharType="separate"/>
      </w:r>
      <w:r w:rsidR="009968E0">
        <w:rPr>
          <w:rFonts w:eastAsia="Arial" w:cs="Arial"/>
          <w:noProof/>
          <w:color w:val="000000"/>
          <w:u w:color="000000"/>
          <w:bdr w:val="nil"/>
          <w:lang w:val="fr-FR" w:eastAsia="en-GB"/>
        </w:rPr>
        <w:t>(Kupers et al., 2009b)</w:t>
      </w:r>
      <w:r w:rsidRPr="00C603B7">
        <w:rPr>
          <w:rFonts w:eastAsia="Arial" w:cs="Arial"/>
          <w:color w:val="000000"/>
          <w:u w:color="000000"/>
          <w:bdr w:val="nil"/>
          <w:lang w:val="fr-FR" w:eastAsia="en-GB"/>
        </w:rPr>
        <w:fldChar w:fldCharType="end"/>
      </w:r>
      <w:r w:rsidRPr="00C603B7">
        <w:rPr>
          <w:rFonts w:eastAsia="Calibri" w:cs="Calibri"/>
          <w:color w:val="000000"/>
          <w:u w:color="000000"/>
          <w:bdr w:val="nil"/>
          <w:lang w:val="en-US" w:eastAsia="en-GB"/>
        </w:rPr>
        <w:t>, and future studies may consider comparisons of metabolite ratios and perfusion during a noxious stimulus.</w:t>
      </w:r>
    </w:p>
    <w:p w14:paraId="1B1B93F8" w14:textId="77777777" w:rsidR="00C603B7" w:rsidRPr="00C603B7" w:rsidRDefault="00C603B7" w:rsidP="00C603B7">
      <w:pPr>
        <w:pBdr>
          <w:top w:val="nil"/>
          <w:left w:val="nil"/>
          <w:bottom w:val="nil"/>
          <w:right w:val="nil"/>
          <w:between w:val="nil"/>
          <w:bar w:val="nil"/>
        </w:pBdr>
        <w:spacing w:line="360" w:lineRule="auto"/>
        <w:rPr>
          <w:rFonts w:eastAsia="Arial" w:cs="Arial"/>
          <w:color w:val="000000"/>
          <w:u w:color="000000"/>
          <w:bdr w:val="nil"/>
          <w:lang w:val="en-US" w:eastAsia="en-GB"/>
        </w:rPr>
      </w:pPr>
      <w:r w:rsidRPr="00C603B7">
        <w:rPr>
          <w:rFonts w:eastAsia="Calibri" w:cs="Calibri"/>
          <w:color w:val="000000"/>
          <w:u w:color="000000"/>
          <w:bdr w:val="nil"/>
          <w:lang w:val="en-US" w:eastAsia="en-GB"/>
        </w:rPr>
        <w:t xml:space="preserve">In summary, NAA/Cr and Cho/Cr ratios were found to be negatively correlated with symptom scores on validated questionnaires designed to measure mood disorders.  We have postulated that previous results in studies designed to measure metabolite </w:t>
      </w:r>
      <w:r w:rsidRPr="00C603B7">
        <w:rPr>
          <w:rFonts w:eastAsia="Calibri" w:cs="Calibri"/>
          <w:color w:val="000000"/>
          <w:u w:color="000000"/>
          <w:bdr w:val="nil"/>
          <w:lang w:val="en-US" w:eastAsia="en-GB"/>
        </w:rPr>
        <w:lastRenderedPageBreak/>
        <w:t xml:space="preserve">ratios in P-DPN may have been confounded by co-existent mood disorders.  We have also considered evidence and possible explanatory biological mechanisms that support the assertion that depression may be part of the CNS manifestations of P-DPN and DPN.   </w:t>
      </w:r>
    </w:p>
    <w:p w14:paraId="0C0854E8" w14:textId="208B83B8" w:rsidR="00C603B7" w:rsidRPr="00267AB6" w:rsidRDefault="00C603B7" w:rsidP="00267AB6">
      <w:pPr>
        <w:pStyle w:val="Heading2"/>
      </w:pPr>
      <w:bookmarkStart w:id="542" w:name="_Toc50070050"/>
      <w:bookmarkStart w:id="543" w:name="_Toc64723977"/>
      <w:r w:rsidRPr="00267AB6">
        <w:t>Conclusion</w:t>
      </w:r>
      <w:bookmarkEnd w:id="542"/>
      <w:bookmarkEnd w:id="543"/>
    </w:p>
    <w:p w14:paraId="1C59A4D6" w14:textId="20F1D397" w:rsidR="009F2173" w:rsidRDefault="00C603B7" w:rsidP="009F2173">
      <w:pPr>
        <w:pBdr>
          <w:top w:val="nil"/>
          <w:left w:val="nil"/>
          <w:bottom w:val="nil"/>
          <w:right w:val="nil"/>
          <w:between w:val="nil"/>
          <w:bar w:val="nil"/>
        </w:pBdr>
        <w:spacing w:line="360" w:lineRule="auto"/>
        <w:rPr>
          <w:rFonts w:eastAsia="Calibri" w:cs="Calibri"/>
          <w:color w:val="000000"/>
          <w:u w:color="000000"/>
          <w:bdr w:val="nil"/>
          <w:lang w:val="en-US" w:eastAsia="en-GB"/>
        </w:rPr>
      </w:pPr>
      <w:r w:rsidRPr="00C603B7">
        <w:rPr>
          <w:rFonts w:eastAsia="Calibri" w:cs="Calibri"/>
          <w:color w:val="000000"/>
          <w:u w:color="000000"/>
          <w:bdr w:val="nil"/>
          <w:lang w:val="en-US" w:eastAsia="en-GB"/>
        </w:rPr>
        <w:t>In this study spectroscopy did not correlate with baseline perfusion measures or dynamic perfusion changes associated with experimental pain, suggesting that the perfusion changes that were noted may not be due to neuronal dysfunction or loss.  There is a negative association between scores of depression and anxiety and N</w:t>
      </w:r>
      <w:r w:rsidR="00A33050">
        <w:rPr>
          <w:rFonts w:eastAsia="Calibri" w:cs="Calibri"/>
          <w:color w:val="000000"/>
          <w:u w:color="000000"/>
          <w:bdr w:val="nil"/>
          <w:lang w:val="en-US" w:eastAsia="en-GB"/>
        </w:rPr>
        <w:t>-acetyl aspartate to creatine</w:t>
      </w:r>
      <w:r w:rsidRPr="00C603B7">
        <w:rPr>
          <w:rFonts w:eastAsia="Calibri" w:cs="Calibri"/>
          <w:color w:val="000000"/>
          <w:u w:color="000000"/>
          <w:bdr w:val="nil"/>
          <w:lang w:val="en-US" w:eastAsia="en-GB"/>
        </w:rPr>
        <w:t xml:space="preserve"> ratio in the thalamus.  A larger study looking at this relationship, including a control group comprised of depressed patients without neuropathy group seems warranted, given the high prevalence of depression associated with P-DPN, and the possibility that depression and </w:t>
      </w:r>
      <w:r w:rsidR="00A33050">
        <w:rPr>
          <w:rFonts w:eastAsia="Calibri" w:cs="Calibri"/>
          <w:color w:val="000000"/>
          <w:u w:color="000000"/>
          <w:bdr w:val="nil"/>
          <w:lang w:val="en-US" w:eastAsia="en-GB"/>
        </w:rPr>
        <w:t>painful diabetic peripheral neuropathy</w:t>
      </w:r>
      <w:r w:rsidRPr="00C603B7">
        <w:rPr>
          <w:rFonts w:eastAsia="Calibri" w:cs="Calibri"/>
          <w:color w:val="000000"/>
          <w:u w:color="000000"/>
          <w:bdr w:val="nil"/>
          <w:lang w:val="en-US" w:eastAsia="en-GB"/>
        </w:rPr>
        <w:t xml:space="preserve"> may arise from a common physiological pathway in the CNS.  </w:t>
      </w:r>
      <w:r w:rsidR="009F2173">
        <w:rPr>
          <w:rFonts w:eastAsia="Calibri" w:cs="Calibri"/>
          <w:color w:val="000000"/>
          <w:u w:color="000000"/>
          <w:bdr w:val="nil"/>
          <w:lang w:val="en-US" w:eastAsia="en-GB"/>
        </w:rPr>
        <w:br w:type="page"/>
      </w:r>
    </w:p>
    <w:p w14:paraId="05423D0B" w14:textId="77777777" w:rsidR="00C603B7" w:rsidRPr="00C603B7" w:rsidRDefault="00C603B7" w:rsidP="00C603B7">
      <w:pPr>
        <w:pBdr>
          <w:top w:val="nil"/>
          <w:left w:val="nil"/>
          <w:bottom w:val="nil"/>
          <w:right w:val="nil"/>
          <w:between w:val="nil"/>
          <w:bar w:val="nil"/>
        </w:pBdr>
        <w:spacing w:line="360" w:lineRule="auto"/>
        <w:rPr>
          <w:rFonts w:eastAsia="Arial" w:cs="Arial"/>
          <w:color w:val="000000"/>
          <w:u w:color="000000"/>
          <w:bdr w:val="nil"/>
          <w:lang w:val="en-US" w:eastAsia="en-GB"/>
        </w:rPr>
      </w:pPr>
    </w:p>
    <w:p w14:paraId="6BCEB20E" w14:textId="7D3C9A41" w:rsidR="009968E0" w:rsidRPr="00E86BC2" w:rsidRDefault="00A33050" w:rsidP="0031237D">
      <w:pPr>
        <w:pStyle w:val="Heading1"/>
      </w:pPr>
      <w:bookmarkStart w:id="544" w:name="_Toc64723978"/>
      <w:r>
        <w:t xml:space="preserve">Chapter 7: </w:t>
      </w:r>
      <w:r w:rsidR="009968E0" w:rsidRPr="00E86BC2">
        <w:t>Conclusions and Further Work</w:t>
      </w:r>
      <w:bookmarkEnd w:id="544"/>
    </w:p>
    <w:p w14:paraId="7391A610" w14:textId="686982C4" w:rsidR="009968E0" w:rsidRDefault="009968E0" w:rsidP="009968E0">
      <w:pPr>
        <w:spacing w:line="360" w:lineRule="auto"/>
        <w:rPr>
          <w:rFonts w:cs="Arial"/>
        </w:rPr>
      </w:pPr>
      <w:r w:rsidRPr="00E86BC2">
        <w:rPr>
          <w:rFonts w:cs="Arial"/>
        </w:rPr>
        <w:t xml:space="preserve">The overarching aim of this work was to study the microvascular perfusion of the </w:t>
      </w:r>
      <w:r w:rsidR="000D2A51">
        <w:rPr>
          <w:rFonts w:cs="Arial"/>
        </w:rPr>
        <w:t>“</w:t>
      </w:r>
      <w:r w:rsidRPr="00E86BC2">
        <w:rPr>
          <w:rFonts w:cs="Arial"/>
        </w:rPr>
        <w:t>pain matrix</w:t>
      </w:r>
      <w:r w:rsidR="000D2A51">
        <w:rPr>
          <w:rFonts w:cs="Arial"/>
        </w:rPr>
        <w:t xml:space="preserve">” </w:t>
      </w:r>
      <w:r w:rsidRPr="00E86BC2">
        <w:rPr>
          <w:rFonts w:cs="Arial"/>
        </w:rPr>
        <w:t xml:space="preserve">of the brain in subjects with P-DPN.  </w:t>
      </w:r>
      <w:r>
        <w:rPr>
          <w:rFonts w:cs="Arial"/>
        </w:rPr>
        <w:t>T</w:t>
      </w:r>
      <w:r w:rsidRPr="00E86BC2">
        <w:rPr>
          <w:rFonts w:cs="Arial"/>
        </w:rPr>
        <w:t xml:space="preserve">he perception of pain involves structures within the brain </w:t>
      </w:r>
      <w:r>
        <w:rPr>
          <w:rFonts w:cs="Arial"/>
        </w:rPr>
        <w:t>including the thalamus, insula, anterior cingulate cortex and primary sensory cortex, amongst others, which has been referred to as the pain matrix.  I</w:t>
      </w:r>
      <w:r w:rsidRPr="00E86BC2">
        <w:rPr>
          <w:rFonts w:cs="Arial"/>
        </w:rPr>
        <w:t xml:space="preserve"> endeavoured to interrogate </w:t>
      </w:r>
      <w:r>
        <w:rPr>
          <w:rFonts w:cs="Arial"/>
        </w:rPr>
        <w:t>the pain matrix</w:t>
      </w:r>
      <w:r w:rsidRPr="00E86BC2">
        <w:rPr>
          <w:rFonts w:cs="Arial"/>
        </w:rPr>
        <w:t xml:space="preserve"> and its responses by measuring perfusion</w:t>
      </w:r>
      <w:r>
        <w:rPr>
          <w:rFonts w:cs="Arial"/>
        </w:rPr>
        <w:t xml:space="preserve"> as a correlate of neural activity, by exploiting the phenomenon of neurovascular coupling</w:t>
      </w:r>
      <w:r w:rsidRPr="00E86BC2">
        <w:rPr>
          <w:rFonts w:cs="Arial"/>
        </w:rPr>
        <w:t xml:space="preserve">. </w:t>
      </w:r>
      <w:r>
        <w:rPr>
          <w:rFonts w:cs="Arial"/>
        </w:rPr>
        <w:t xml:space="preserve"> I did this to gain insight into the neural responses to spontaneous and extrinsic pain experienced in P-DPN, </w:t>
      </w:r>
      <w:r w:rsidR="009F2173">
        <w:rPr>
          <w:rFonts w:cs="Arial"/>
        </w:rPr>
        <w:t xml:space="preserve">to try to </w:t>
      </w:r>
      <w:r>
        <w:rPr>
          <w:rFonts w:cs="Arial"/>
        </w:rPr>
        <w:t xml:space="preserve">identify a specific neural pattern as an objective marker of P-DPN to be used in treatment studies to assess response. I also hoped that by clarifying mechanisms of pain processing, that in the future more specific therapeutic targets could be identified for treatments that could alleviate this distressing condition.  </w:t>
      </w:r>
    </w:p>
    <w:p w14:paraId="359CB211" w14:textId="77777777" w:rsidR="009968E0" w:rsidRPr="00E86BC2" w:rsidRDefault="009968E0" w:rsidP="009968E0">
      <w:pPr>
        <w:spacing w:line="360" w:lineRule="auto"/>
        <w:rPr>
          <w:rFonts w:cs="Arial"/>
        </w:rPr>
      </w:pPr>
      <w:r>
        <w:rPr>
          <w:rFonts w:cs="Arial"/>
        </w:rPr>
        <w:t xml:space="preserve">My aim was to use a novel method of interrogating the neurovascular coupling response of the brain.  DSC-MRI is a contrast technique in which quantifiable perfusion measurements can be made over short periods of time, using exogenous contrast.  In Chapter 3 I established the repeatability of the measurements by having 2 raters measure the whole data set.  Bland Altman plots showed good comparability, and </w:t>
      </w:r>
      <w:r w:rsidRPr="00E86BC2">
        <w:rPr>
          <w:rFonts w:cs="Arial"/>
          <w:highlight w:val="white"/>
        </w:rPr>
        <w:t>ICC was considered to be excellent for TTP, good for MTT and RBF</w:t>
      </w:r>
      <w:r>
        <w:rPr>
          <w:rFonts w:cs="Arial"/>
          <w:highlight w:val="white"/>
        </w:rPr>
        <w:t>,</w:t>
      </w:r>
      <w:r w:rsidRPr="00E86BC2">
        <w:rPr>
          <w:rFonts w:cs="Arial"/>
          <w:highlight w:val="white"/>
        </w:rPr>
        <w:t xml:space="preserve"> and fair for RBV</w:t>
      </w:r>
      <w:r w:rsidRPr="00E86BC2">
        <w:rPr>
          <w:rFonts w:cs="Arial"/>
        </w:rPr>
        <w:t>.</w:t>
      </w:r>
      <w:r w:rsidRPr="00E86BC2">
        <w:rPr>
          <w:rFonts w:cs="Arial"/>
          <w:highlight w:val="white"/>
        </w:rPr>
        <w:t xml:space="preserve">  </w:t>
      </w:r>
      <w:r>
        <w:rPr>
          <w:rFonts w:cs="Arial"/>
        </w:rPr>
        <w:t>This is the first study to establish the reproducibility of the technique for the measurement of perfusion in subjects with P-DPN.</w:t>
      </w:r>
    </w:p>
    <w:p w14:paraId="57681290" w14:textId="77777777" w:rsidR="009968E0" w:rsidRDefault="009968E0" w:rsidP="009968E0">
      <w:pPr>
        <w:spacing w:line="360" w:lineRule="auto"/>
        <w:rPr>
          <w:rFonts w:cs="Arial"/>
        </w:rPr>
      </w:pPr>
      <w:r w:rsidRPr="00E86BC2">
        <w:rPr>
          <w:rFonts w:cs="Arial"/>
        </w:rPr>
        <w:t>In chapter 4</w:t>
      </w:r>
      <w:r>
        <w:rPr>
          <w:rFonts w:cs="Arial"/>
        </w:rPr>
        <w:t>,</w:t>
      </w:r>
      <w:r w:rsidRPr="00E86BC2">
        <w:rPr>
          <w:rFonts w:cs="Arial"/>
        </w:rPr>
        <w:t xml:space="preserve"> </w:t>
      </w:r>
      <w:r>
        <w:rPr>
          <w:rFonts w:cs="Arial"/>
        </w:rPr>
        <w:t>I report on the comparison between perfusion in areas of the pain matrix at baseline using DSC-MRI.  I</w:t>
      </w:r>
      <w:r w:rsidRPr="00E86BC2">
        <w:rPr>
          <w:rFonts w:cs="Arial"/>
        </w:rPr>
        <w:t xml:space="preserve"> have described that those with spontaneous pain at the time of the baseline scan </w:t>
      </w:r>
      <w:r>
        <w:rPr>
          <w:rFonts w:cs="Arial"/>
        </w:rPr>
        <w:t xml:space="preserve">(P+) </w:t>
      </w:r>
      <w:r w:rsidRPr="00E86BC2">
        <w:rPr>
          <w:rFonts w:cs="Arial"/>
        </w:rPr>
        <w:t>were more likely to have a shorter TTP and MTT than the HV and DPN</w:t>
      </w:r>
      <w:r>
        <w:rPr>
          <w:rFonts w:cs="Arial"/>
        </w:rPr>
        <w:t xml:space="preserve"> </w:t>
      </w:r>
      <w:r w:rsidRPr="00E86BC2">
        <w:rPr>
          <w:rFonts w:cs="Arial"/>
        </w:rPr>
        <w:t>groups</w:t>
      </w:r>
      <w:r>
        <w:rPr>
          <w:rFonts w:cs="Arial"/>
        </w:rPr>
        <w:t xml:space="preserve"> at the right thalamus, right insula and POWM. This</w:t>
      </w:r>
      <w:r w:rsidRPr="00E86BC2">
        <w:rPr>
          <w:rFonts w:cs="Arial"/>
        </w:rPr>
        <w:t xml:space="preserve"> may indicate a neurovascular coupling response to </w:t>
      </w:r>
      <w:r>
        <w:rPr>
          <w:rFonts w:cs="Arial"/>
        </w:rPr>
        <w:t xml:space="preserve">spontaneous </w:t>
      </w:r>
      <w:r w:rsidRPr="00E86BC2">
        <w:rPr>
          <w:rFonts w:cs="Arial"/>
        </w:rPr>
        <w:t xml:space="preserve">pain perception </w:t>
      </w:r>
      <w:r>
        <w:rPr>
          <w:rFonts w:cs="Arial"/>
        </w:rPr>
        <w:t xml:space="preserve">experienced by participants with P-DPN </w:t>
      </w:r>
      <w:r w:rsidRPr="00E86BC2">
        <w:rPr>
          <w:rFonts w:cs="Arial"/>
        </w:rPr>
        <w:t xml:space="preserve">during the scan.  </w:t>
      </w:r>
      <w:r>
        <w:rPr>
          <w:rFonts w:cs="Arial"/>
        </w:rPr>
        <w:t xml:space="preserve">However, microvascular disease is a common complication of T1D and is part of the pathology associated with peripheral nerve changes in P-DPN. Hence, it was important to understand whether the response to pain is unique to the P-DPN group or whether the control groups would also have the same pattern of response.  Therefore, we </w:t>
      </w:r>
      <w:r>
        <w:rPr>
          <w:rFonts w:cs="Arial"/>
        </w:rPr>
        <w:lastRenderedPageBreak/>
        <w:t>performed an experiment at which all the groups experienced a thermal noxious stimulus on their right thigh and measured the perfusion responses using DSC-MRI.</w:t>
      </w:r>
    </w:p>
    <w:p w14:paraId="4E9CF6BA" w14:textId="1E029DCF" w:rsidR="009968E0" w:rsidRPr="00630C75" w:rsidRDefault="009968E0" w:rsidP="009968E0">
      <w:pPr>
        <w:spacing w:line="360" w:lineRule="auto"/>
        <w:rPr>
          <w:rFonts w:cs="Arial"/>
        </w:rPr>
      </w:pPr>
      <w:r w:rsidRPr="00E86BC2">
        <w:rPr>
          <w:rFonts w:cs="Arial"/>
        </w:rPr>
        <w:t>In Chapter 5</w:t>
      </w:r>
      <w:r w:rsidR="00D87BE1">
        <w:rPr>
          <w:rFonts w:cs="Arial"/>
        </w:rPr>
        <w:t>,</w:t>
      </w:r>
      <w:r w:rsidRPr="00E86BC2">
        <w:rPr>
          <w:rFonts w:cs="Arial"/>
        </w:rPr>
        <w:t xml:space="preserve"> </w:t>
      </w:r>
      <w:r>
        <w:rPr>
          <w:rFonts w:cs="Arial"/>
        </w:rPr>
        <w:t>I</w:t>
      </w:r>
      <w:r w:rsidRPr="00E86BC2">
        <w:rPr>
          <w:rFonts w:cs="Arial"/>
        </w:rPr>
        <w:t xml:space="preserve"> report </w:t>
      </w:r>
      <w:r>
        <w:rPr>
          <w:rFonts w:cs="Arial"/>
        </w:rPr>
        <w:t>the</w:t>
      </w:r>
      <w:r w:rsidRPr="00E86BC2">
        <w:rPr>
          <w:rFonts w:cs="Arial"/>
        </w:rPr>
        <w:t xml:space="preserve"> novel finding that the P-DPN group experience a paradoxical perfusion response </w:t>
      </w:r>
      <w:r>
        <w:rPr>
          <w:rFonts w:cs="Arial"/>
        </w:rPr>
        <w:t xml:space="preserve">to pain. Experimental thermal pain is a validated model for interrogating pain responses.  In this study we used a noxious thermal stimulus to evoke pain in all participants.  We found that in response to the experimental pain, delta </w:t>
      </w:r>
      <w:r w:rsidRPr="00E86BC2">
        <w:rPr>
          <w:rFonts w:cs="Arial"/>
        </w:rPr>
        <w:t>RBV</w:t>
      </w:r>
      <w:r>
        <w:rPr>
          <w:rFonts w:cs="Arial"/>
        </w:rPr>
        <w:t xml:space="preserve"> decreases </w:t>
      </w:r>
      <w:r w:rsidRPr="00E86BC2">
        <w:rPr>
          <w:rFonts w:cs="Arial"/>
        </w:rPr>
        <w:t xml:space="preserve">and </w:t>
      </w:r>
      <w:r>
        <w:rPr>
          <w:rFonts w:cs="Arial"/>
        </w:rPr>
        <w:t xml:space="preserve">delta </w:t>
      </w:r>
      <w:r w:rsidRPr="00E86BC2">
        <w:rPr>
          <w:rFonts w:cs="Arial"/>
        </w:rPr>
        <w:t xml:space="preserve">time to peak </w:t>
      </w:r>
      <w:r>
        <w:rPr>
          <w:rFonts w:cs="Arial"/>
        </w:rPr>
        <w:t>(delta TTP) increases at higher pain intensities</w:t>
      </w:r>
      <w:r w:rsidRPr="005D497E">
        <w:rPr>
          <w:rFonts w:cs="Arial"/>
        </w:rPr>
        <w:t xml:space="preserve"> </w:t>
      </w:r>
      <w:r w:rsidRPr="00E86BC2">
        <w:rPr>
          <w:rFonts w:cs="Arial"/>
        </w:rPr>
        <w:t xml:space="preserve">compared with HV. </w:t>
      </w:r>
      <w:r>
        <w:rPr>
          <w:rFonts w:cs="Arial"/>
        </w:rPr>
        <w:t xml:space="preserve"> I have tested some of the possible explanations. A possible explanation is that the subjects who have spontaneous pain during the experimental condition experience a </w:t>
      </w:r>
      <w:proofErr w:type="spellStart"/>
      <w:r>
        <w:rPr>
          <w:rFonts w:cs="Arial"/>
        </w:rPr>
        <w:t>counterstimulus</w:t>
      </w:r>
      <w:proofErr w:type="spellEnd"/>
      <w:r>
        <w:rPr>
          <w:rFonts w:cs="Arial"/>
        </w:rPr>
        <w:t xml:space="preserve"> which causes a decrease in activation.  In Chapter 5</w:t>
      </w:r>
      <w:r w:rsidR="00D87BE1">
        <w:rPr>
          <w:rFonts w:cs="Arial"/>
        </w:rPr>
        <w:t>,</w:t>
      </w:r>
      <w:r>
        <w:rPr>
          <w:rFonts w:cs="Arial"/>
        </w:rPr>
        <w:t xml:space="preserve"> I report that the group with minimal spontaneous pain (P-), who would not be experiencing any </w:t>
      </w:r>
      <w:proofErr w:type="spellStart"/>
      <w:r>
        <w:rPr>
          <w:rFonts w:cs="Arial"/>
        </w:rPr>
        <w:t>counterstimulatory</w:t>
      </w:r>
      <w:proofErr w:type="spellEnd"/>
      <w:r>
        <w:rPr>
          <w:rFonts w:cs="Arial"/>
        </w:rPr>
        <w:t xml:space="preserve"> effect, have a longer delta TTP as a result of experimental pain compared with HV when adjusted for perception of the pain stimulus. Therefore, I conclude that </w:t>
      </w:r>
      <w:proofErr w:type="spellStart"/>
      <w:r>
        <w:rPr>
          <w:rFonts w:cs="Arial"/>
        </w:rPr>
        <w:t>counterstimulatory</w:t>
      </w:r>
      <w:proofErr w:type="spellEnd"/>
      <w:r>
        <w:rPr>
          <w:rFonts w:cs="Arial"/>
        </w:rPr>
        <w:t xml:space="preserve"> effects are not contributing to lengthening TTP.  </w:t>
      </w:r>
      <w:r w:rsidRPr="00E86BC2">
        <w:rPr>
          <w:rFonts w:cs="Arial"/>
        </w:rPr>
        <w:t>Neurovascular uncoupling due to capillary pericyte dysfunction or subtle regional hypoperfusion during an intense noxious stimulus could also be an explanatory factor</w:t>
      </w:r>
      <w:r>
        <w:rPr>
          <w:rFonts w:cs="Arial"/>
        </w:rPr>
        <w:t>.  Correlations between delta TTP and AIF dependent measures show RBF is significantly negatively correlated with TTP.  This indicates that factors within the region of interest are significantly contributing to the lengthening in TTP. This relationship could be due to a failure of perfusion during activation due to underlying structural capillary abnormalities, or neural mechanisms such as deactivation or dysfunction.  In chapter 6</w:t>
      </w:r>
      <w:r w:rsidR="00D87BE1">
        <w:rPr>
          <w:rFonts w:cs="Arial"/>
        </w:rPr>
        <w:t>,</w:t>
      </w:r>
      <w:r>
        <w:rPr>
          <w:rFonts w:cs="Arial"/>
        </w:rPr>
        <w:t xml:space="preserve"> I test the theory that the perfusion measures may be predicted by neuronal markers of function measured by </w:t>
      </w:r>
      <w:r>
        <w:rPr>
          <w:rFonts w:cs="Arial"/>
          <w:vertAlign w:val="superscript"/>
        </w:rPr>
        <w:t>1</w:t>
      </w:r>
      <w:r>
        <w:rPr>
          <w:rFonts w:cs="Arial"/>
        </w:rPr>
        <w:t xml:space="preserve">H-MRS. As there was no correlation, I conclude that neuronal metabolic dysfunction during a painful stimulus is </w:t>
      </w:r>
      <w:r w:rsidR="00D87BE1">
        <w:rPr>
          <w:rFonts w:cs="Arial"/>
        </w:rPr>
        <w:t>unlikely to be the</w:t>
      </w:r>
      <w:r>
        <w:rPr>
          <w:rFonts w:cs="Arial"/>
        </w:rPr>
        <w:t xml:space="preserve"> cause of the observed longer TTP at higher painful stimulus intensity.  Therefore, the likely possibilities remain that the phenomenon is driven by microvascular failure during the stimulus, or that areas of the “pain matrix” may be deactivating at higher intensities as an adaptive response.  The areas that have the greatest effect are the ipsilateral areas to the application of the experimental stimulus and this pattern has been seen in deactivations measured during BOLD fMRI.   Further work in this area would require an interrogation at different pain intensities to decide if this is a fixed effect and therefore more likely to be a perfusion deficit in some individuals independent of different levels of pain; or whether this is a dynamic </w:t>
      </w:r>
      <w:r>
        <w:rPr>
          <w:rFonts w:cs="Arial"/>
        </w:rPr>
        <w:lastRenderedPageBreak/>
        <w:t xml:space="preserve">effect and there is a threshold or a correlation for individuals at which the drop in perfusion occurs. This would </w:t>
      </w:r>
      <w:r w:rsidR="00D87BE1">
        <w:rPr>
          <w:rFonts w:cs="Arial"/>
        </w:rPr>
        <w:t>require the</w:t>
      </w:r>
      <w:r>
        <w:rPr>
          <w:rFonts w:cs="Arial"/>
        </w:rPr>
        <w:t xml:space="preserve"> us</w:t>
      </w:r>
      <w:r w:rsidR="00D87BE1">
        <w:rPr>
          <w:rFonts w:cs="Arial"/>
        </w:rPr>
        <w:t>e of</w:t>
      </w:r>
      <w:r>
        <w:rPr>
          <w:rFonts w:cs="Arial"/>
        </w:rPr>
        <w:t xml:space="preserve"> techniques with high signal to noise ration and good temporal resolution.  High resolution bold fMRI could overcome the need to measure flow acutely but without the risk of repeated contrast administration.  </w:t>
      </w:r>
    </w:p>
    <w:p w14:paraId="76B2244B" w14:textId="680966B6" w:rsidR="009968E0" w:rsidRDefault="009968E0" w:rsidP="009968E0">
      <w:pPr>
        <w:spacing w:line="360" w:lineRule="auto"/>
        <w:rPr>
          <w:rFonts w:cs="Arial"/>
        </w:rPr>
      </w:pPr>
      <w:r>
        <w:rPr>
          <w:rFonts w:cs="Arial"/>
        </w:rPr>
        <w:t xml:space="preserve">Measuring perfusion as a biomarker for neuronal function is the basis of DSC-MRI.  However, flow may be altered as a result of microvascular changes in diabetes. </w:t>
      </w:r>
      <w:r w:rsidRPr="00CC08E1">
        <w:rPr>
          <w:rFonts w:cs="Arial"/>
        </w:rPr>
        <w:t>In Chapter 4</w:t>
      </w:r>
      <w:r w:rsidR="00A3121C">
        <w:rPr>
          <w:rFonts w:cs="Arial"/>
        </w:rPr>
        <w:t>,</w:t>
      </w:r>
      <w:r w:rsidRPr="00CC08E1">
        <w:rPr>
          <w:rFonts w:cs="Arial"/>
        </w:rPr>
        <w:t xml:space="preserve"> </w:t>
      </w:r>
      <w:r>
        <w:rPr>
          <w:rFonts w:cs="Arial"/>
        </w:rPr>
        <w:t>I</w:t>
      </w:r>
      <w:r w:rsidRPr="00CC08E1">
        <w:rPr>
          <w:rFonts w:cs="Arial"/>
        </w:rPr>
        <w:t xml:space="preserve"> found that the DM-NN group had perfusion levels consistent with hyper</w:t>
      </w:r>
      <w:r>
        <w:rPr>
          <w:rFonts w:cs="Arial"/>
        </w:rPr>
        <w:t>-</w:t>
      </w:r>
      <w:r w:rsidRPr="00CC08E1">
        <w:rPr>
          <w:rFonts w:cs="Arial"/>
        </w:rPr>
        <w:t xml:space="preserve">perfusion.  Baseline MTT was shorter for the DM-NN group and longer for the HV group in the LINS and RINS and the LPSC and RPSC.  </w:t>
      </w:r>
      <w:r>
        <w:rPr>
          <w:rFonts w:cs="Arial"/>
        </w:rPr>
        <w:t>I</w:t>
      </w:r>
      <w:r w:rsidRPr="00CC08E1">
        <w:rPr>
          <w:rFonts w:cs="Arial"/>
        </w:rPr>
        <w:t xml:space="preserve"> hypothesised that this difference could be analogous to hyper</w:t>
      </w:r>
      <w:r>
        <w:rPr>
          <w:rFonts w:cs="Arial"/>
        </w:rPr>
        <w:t>-</w:t>
      </w:r>
      <w:r w:rsidRPr="00CC08E1">
        <w:rPr>
          <w:rFonts w:cs="Arial"/>
        </w:rPr>
        <w:t>perfusion seen in microvascular disease of the kidney or the retina.</w:t>
      </w:r>
      <w:r>
        <w:rPr>
          <w:rFonts w:cs="Arial"/>
        </w:rPr>
        <w:t xml:space="preserve"> Further work to explore this difference would require a selected group of individuals with diabetes and different levels of microvascular complications to correlate peripheral measures of hyperperfusion with central measures, using DSC-MRI. </w:t>
      </w:r>
    </w:p>
    <w:p w14:paraId="2B275293" w14:textId="55CA13DE" w:rsidR="009968E0" w:rsidRDefault="009968E0" w:rsidP="009968E0">
      <w:pPr>
        <w:spacing w:line="360" w:lineRule="auto"/>
        <w:rPr>
          <w:rFonts w:cs="Arial"/>
        </w:rPr>
      </w:pPr>
      <w:r>
        <w:rPr>
          <w:rFonts w:cs="Arial"/>
        </w:rPr>
        <w:t>Mood disorders have been found to be associated with P-DPN, but the nature of the association is unclear.  In chapter 2</w:t>
      </w:r>
      <w:r w:rsidR="00A3121C">
        <w:rPr>
          <w:rFonts w:cs="Arial"/>
        </w:rPr>
        <w:t>,</w:t>
      </w:r>
      <w:r>
        <w:rPr>
          <w:rFonts w:cs="Arial"/>
        </w:rPr>
        <w:t xml:space="preserve"> I used a discriminant function analysis to identify which psychological factors were most predictive of P-DPN in subjects with diabetes.  I found that there was a cluster of </w:t>
      </w:r>
      <w:r w:rsidRPr="00E86BC2">
        <w:rPr>
          <w:rFonts w:cs="Arial"/>
        </w:rPr>
        <w:t xml:space="preserve">negative psychological states </w:t>
      </w:r>
      <w:r>
        <w:rPr>
          <w:rFonts w:cs="Arial"/>
        </w:rPr>
        <w:t xml:space="preserve">that </w:t>
      </w:r>
      <w:r w:rsidRPr="00E86BC2">
        <w:rPr>
          <w:rFonts w:cs="Arial"/>
        </w:rPr>
        <w:t xml:space="preserve">can differentiate </w:t>
      </w:r>
      <w:r w:rsidR="004E59F7">
        <w:rPr>
          <w:rFonts w:cs="Arial"/>
        </w:rPr>
        <w:t>P-DPN</w:t>
      </w:r>
      <w:r w:rsidRPr="00E86BC2">
        <w:rPr>
          <w:rFonts w:cs="Arial"/>
        </w:rPr>
        <w:t xml:space="preserve"> from DPN.  These psychological states include depression, anxiety, and increased somatic focus.</w:t>
      </w:r>
      <w:r>
        <w:rPr>
          <w:rFonts w:cs="Arial"/>
        </w:rPr>
        <w:t xml:space="preserve">  In chapter 6</w:t>
      </w:r>
      <w:r w:rsidR="00A3121C">
        <w:rPr>
          <w:rFonts w:cs="Arial"/>
        </w:rPr>
        <w:t>,</w:t>
      </w:r>
      <w:r>
        <w:rPr>
          <w:rFonts w:cs="Arial"/>
        </w:rPr>
        <w:t xml:space="preserve"> I examine the relationship between P-DPN, DPN, markers of neuronal integrity and function and mood disorders.  I found that changes in the thalamus previously ascribed to neuropathy are more strongly associated with mood disorders including anxiety and depression. There is literature reporting lower NAA/Cr ratios in many psychiatric disorders including depression, but this is a novel finding in research into P-DPN.  Future longitudinal studies would be needed to understand the relationship between T1D</w:t>
      </w:r>
      <w:r w:rsidR="00A3121C">
        <w:rPr>
          <w:rFonts w:cs="Arial"/>
        </w:rPr>
        <w:t xml:space="preserve">, </w:t>
      </w:r>
      <w:proofErr w:type="gramStart"/>
      <w:r w:rsidR="00A3121C">
        <w:rPr>
          <w:rFonts w:cs="Arial"/>
        </w:rPr>
        <w:t>it’s</w:t>
      </w:r>
      <w:proofErr w:type="gramEnd"/>
      <w:r>
        <w:rPr>
          <w:rFonts w:cs="Arial"/>
        </w:rPr>
        <w:t xml:space="preserve"> complications</w:t>
      </w:r>
      <w:r w:rsidR="00A3121C">
        <w:rPr>
          <w:rFonts w:cs="Arial"/>
        </w:rPr>
        <w:t>,</w:t>
      </w:r>
      <w:r>
        <w:rPr>
          <w:rFonts w:cs="Arial"/>
        </w:rPr>
        <w:t xml:space="preserve"> and P-DPN.  This could answer the question of whether psychological factors put patients at risk of complications, and therefore P-DPN; or whether depression arises as a consequence of pain and complications.</w:t>
      </w:r>
    </w:p>
    <w:p w14:paraId="1E9798A9" w14:textId="44B8E028" w:rsidR="009968E0" w:rsidRPr="00E86BC2" w:rsidRDefault="009968E0" w:rsidP="009968E0">
      <w:pPr>
        <w:spacing w:line="360" w:lineRule="auto"/>
        <w:rPr>
          <w:rFonts w:cs="Arial"/>
        </w:rPr>
      </w:pPr>
      <w:r>
        <w:rPr>
          <w:rFonts w:cs="Arial"/>
        </w:rPr>
        <w:t xml:space="preserve">There is still little known about the link between the development of nerve dysfunction in the periphery and how this translates to pain perception in the brain.  Methylglyoxal had been shown to be associated with P-DPN in subjects with type 2 diabetes.  Methylglyoxal can cross the blood brain barrier and therefore, may affect voltage gated sodium channels in </w:t>
      </w:r>
      <w:r w:rsidR="009201F6">
        <w:rPr>
          <w:rFonts w:cs="Arial"/>
        </w:rPr>
        <w:t xml:space="preserve">the </w:t>
      </w:r>
      <w:r>
        <w:rPr>
          <w:rFonts w:cs="Arial"/>
        </w:rPr>
        <w:t>periphery and the brain. In chapter 2</w:t>
      </w:r>
      <w:r w:rsidR="009201F6">
        <w:rPr>
          <w:rFonts w:cs="Arial"/>
        </w:rPr>
        <w:t>,</w:t>
      </w:r>
      <w:r>
        <w:rPr>
          <w:rFonts w:cs="Arial"/>
        </w:rPr>
        <w:t xml:space="preserve"> I report </w:t>
      </w:r>
      <w:r>
        <w:rPr>
          <w:rFonts w:cs="Arial"/>
        </w:rPr>
        <w:lastRenderedPageBreak/>
        <w:t xml:space="preserve">comparisons of methylglyoxal between P-DPN and control groups. </w:t>
      </w:r>
      <w:r w:rsidRPr="00E86BC2">
        <w:rPr>
          <w:rFonts w:cs="Arial"/>
        </w:rPr>
        <w:t>This is the first study to report serum</w:t>
      </w:r>
      <w:r w:rsidR="009F2173">
        <w:rPr>
          <w:rFonts w:cs="Arial"/>
        </w:rPr>
        <w:t xml:space="preserve"> methylglyoxal</w:t>
      </w:r>
      <w:r w:rsidRPr="00E86BC2">
        <w:rPr>
          <w:rFonts w:cs="Arial"/>
        </w:rPr>
        <w:t xml:space="preserve"> results in subjects with longstanding T1 diabetes</w:t>
      </w:r>
      <w:r>
        <w:rPr>
          <w:rFonts w:cs="Arial"/>
        </w:rPr>
        <w:t xml:space="preserve"> and P-DPN</w:t>
      </w:r>
      <w:r w:rsidRPr="00E86BC2">
        <w:rPr>
          <w:rFonts w:cs="Arial"/>
        </w:rPr>
        <w:t xml:space="preserve">. </w:t>
      </w:r>
      <w:r w:rsidR="009F2173">
        <w:rPr>
          <w:rFonts w:cs="Arial"/>
        </w:rPr>
        <w:t>Methylglyoxal</w:t>
      </w:r>
      <w:r w:rsidRPr="00E86BC2">
        <w:rPr>
          <w:rFonts w:cs="Arial"/>
        </w:rPr>
        <w:t xml:space="preserve"> did not differentiate between painful or painless neuropathy.  However, glucose measurements did correlate with some measures of painful neuropathy, which suggest</w:t>
      </w:r>
      <w:r w:rsidR="009F2173">
        <w:rPr>
          <w:rFonts w:cs="Arial"/>
        </w:rPr>
        <w:t>s</w:t>
      </w:r>
      <w:r w:rsidRPr="00E86BC2">
        <w:rPr>
          <w:rFonts w:cs="Arial"/>
        </w:rPr>
        <w:t xml:space="preserve"> that glycolytic metabolites may be implicated in the perception of pain in </w:t>
      </w:r>
      <w:r w:rsidR="004E59F7">
        <w:rPr>
          <w:rFonts w:cs="Arial"/>
        </w:rPr>
        <w:t>P-DPN</w:t>
      </w:r>
      <w:r w:rsidRPr="00E86BC2">
        <w:rPr>
          <w:rFonts w:cs="Arial"/>
        </w:rPr>
        <w:t xml:space="preserve"> despite the negative study result.  Further work to identify if there are alternatives to serum measurement </w:t>
      </w:r>
      <w:r>
        <w:rPr>
          <w:rFonts w:cs="Arial"/>
        </w:rPr>
        <w:t>of</w:t>
      </w:r>
      <w:r w:rsidR="009F2173">
        <w:rPr>
          <w:rFonts w:cs="Arial"/>
        </w:rPr>
        <w:t xml:space="preserve"> methylglyoxal</w:t>
      </w:r>
      <w:r>
        <w:rPr>
          <w:rFonts w:cs="Arial"/>
        </w:rPr>
        <w:t xml:space="preserve"> </w:t>
      </w:r>
      <w:r w:rsidRPr="00E86BC2">
        <w:rPr>
          <w:rFonts w:cs="Arial"/>
        </w:rPr>
        <w:t>such as skin biopsy</w:t>
      </w:r>
      <w:r w:rsidR="009F2173">
        <w:rPr>
          <w:rFonts w:cs="Arial"/>
        </w:rPr>
        <w:t>,</w:t>
      </w:r>
      <w:r w:rsidRPr="00E86BC2">
        <w:rPr>
          <w:rFonts w:cs="Arial"/>
        </w:rPr>
        <w:t xml:space="preserve"> or other metabolites which could be a biomarker could help to identify the role of advanced glycosylation end products in pain perception.</w:t>
      </w:r>
    </w:p>
    <w:p w14:paraId="78EB2D1D" w14:textId="51CA4C51" w:rsidR="009968E0" w:rsidRDefault="009968E0" w:rsidP="009968E0">
      <w:pPr>
        <w:spacing w:line="360" w:lineRule="auto"/>
        <w:rPr>
          <w:rFonts w:cs="Arial"/>
        </w:rPr>
      </w:pPr>
      <w:r>
        <w:rPr>
          <w:rFonts w:cs="Arial"/>
        </w:rPr>
        <w:t xml:space="preserve">In conclusion, this work has examined microvascular perfusion in areas of the brain involved in pain processing for subjects with P-DPN.  Increasingly pain research is recognised as a multimodal construct that within the CNS is described by complex temporal, anatomical, physiological relationships between groups of neurons </w:t>
      </w:r>
      <w:r>
        <w:rPr>
          <w:rFonts w:cs="Arial"/>
        </w:rPr>
        <w:fldChar w:fldCharType="begin">
          <w:fldData xml:space="preserve">PEVuZE5vdGU+PENpdGU+PEF1dGhvcj5Nb3VyYXV4PC9BdXRob3I+PFllYXI+MjAxODwvWWVhcj48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</w:fldData>
        </w:fldChar>
      </w:r>
      <w:r>
        <w:rPr>
          <w:rFonts w:cs="Arial"/>
        </w:rPr>
        <w:instrText xml:space="preserve"> ADDIN EN.CITE </w:instrText>
      </w:r>
      <w:r>
        <w:rPr>
          <w:rFonts w:cs="Arial"/>
        </w:rPr>
        <w:fldChar w:fldCharType="begin">
          <w:fldData xml:space="preserve">PEVuZE5vdGU+PENpdGU+PEF1dGhvcj5Nb3VyYXV4PC9BdXRob3I+PFllYXI+MjAxODwvWWVhcj48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</w:fldData>
        </w:fldChar>
      </w:r>
      <w:r>
        <w:rPr>
          <w:rFonts w:cs="Arial"/>
        </w:rPr>
        <w:instrText xml:space="preserve"> ADDIN EN.CITE.DATA </w:instrText>
      </w:r>
      <w:r>
        <w:rPr>
          <w:rFonts w:cs="Arial"/>
        </w:rPr>
      </w:r>
      <w:r>
        <w:rPr>
          <w:rFonts w:cs="Arial"/>
        </w:rPr>
        <w:fldChar w:fldCharType="end"/>
      </w:r>
      <w:r>
        <w:rPr>
          <w:rFonts w:cs="Arial"/>
        </w:rPr>
      </w:r>
      <w:r>
        <w:rPr>
          <w:rFonts w:cs="Arial"/>
        </w:rPr>
        <w:fldChar w:fldCharType="separate"/>
      </w:r>
      <w:r>
        <w:rPr>
          <w:rFonts w:cs="Arial"/>
          <w:noProof/>
        </w:rPr>
        <w:t>(Mouraux and Iannetti, 2018)</w:t>
      </w:r>
      <w:r>
        <w:rPr>
          <w:rFonts w:cs="Arial"/>
        </w:rPr>
        <w:fldChar w:fldCharType="end"/>
      </w:r>
      <w:r>
        <w:rPr>
          <w:rFonts w:cs="Arial"/>
        </w:rPr>
        <w:t>.  My work has tried to address the multimodal nature of the pain of P-DPN by interrogating perfusion at baseline and during an experimental stimulus, linking it to psychological states, a serum biomarker and psychophysical measures of neural function (QST) across multiple areas of the brain.  Future studies will be designed to further investigate mood disorders as part of the pathophysiology of P-DPN.  Further work will also be designed to interrogate perfusion responses at different levels of stimulus to understand inhibitory mechanisms that may be exploited to enhance symptom relief.  At this time, deeper structures such as the thalamus and insula, will require more traditional methods of interrogation.  However, due to advances in MRI technology, ultra</w:t>
      </w:r>
      <w:r w:rsidR="009201F6">
        <w:rPr>
          <w:rFonts w:cs="Arial"/>
        </w:rPr>
        <w:t>-</w:t>
      </w:r>
      <w:r>
        <w:rPr>
          <w:rFonts w:cs="Arial"/>
        </w:rPr>
        <w:t xml:space="preserve">high field strength scanners can measure RBF in the cortex using laminar fMRI, and utilise a non-contrast algorithm called VASO to measure RBV at very tiny resolutions (between 0.75 and 3mm).  VASO (vascular space occupancy) differentiates the </w:t>
      </w:r>
      <w:r w:rsidRPr="00197161">
        <w:rPr>
          <w:rFonts w:cs="Arial"/>
          <w:i/>
          <w:iCs/>
        </w:rPr>
        <w:t>T</w:t>
      </w:r>
      <w:r w:rsidRPr="00197161">
        <w:rPr>
          <w:rFonts w:cs="Arial"/>
          <w:i/>
          <w:iCs/>
          <w:vertAlign w:val="subscript"/>
        </w:rPr>
        <w:t>1</w:t>
      </w:r>
      <w:r w:rsidRPr="00197161">
        <w:rPr>
          <w:rFonts w:cs="Arial"/>
        </w:rPr>
        <w:t> </w:t>
      </w:r>
      <w:r>
        <w:rPr>
          <w:rFonts w:cs="Arial"/>
        </w:rPr>
        <w:t>signal</w:t>
      </w:r>
      <w:r w:rsidRPr="00197161">
        <w:rPr>
          <w:rFonts w:cs="Arial"/>
        </w:rPr>
        <w:t xml:space="preserve"> between </w:t>
      </w:r>
      <w:r>
        <w:rPr>
          <w:rFonts w:cs="Arial"/>
        </w:rPr>
        <w:t>brain tissue</w:t>
      </w:r>
      <w:r w:rsidRPr="00197161">
        <w:rPr>
          <w:rFonts w:cs="Arial"/>
        </w:rPr>
        <w:t xml:space="preserve"> and </w:t>
      </w:r>
      <w:r>
        <w:rPr>
          <w:rFonts w:cs="Arial"/>
        </w:rPr>
        <w:t>blood</w:t>
      </w:r>
      <w:r w:rsidRPr="00197161">
        <w:rPr>
          <w:rFonts w:cs="Arial"/>
        </w:rPr>
        <w:t xml:space="preserve">, and </w:t>
      </w:r>
      <w:r>
        <w:rPr>
          <w:rFonts w:cs="Arial"/>
        </w:rPr>
        <w:t xml:space="preserve">then uses </w:t>
      </w:r>
      <w:r w:rsidRPr="00197161">
        <w:rPr>
          <w:rFonts w:cs="Arial"/>
        </w:rPr>
        <w:t xml:space="preserve">an inversion recovery pulse sequence to null </w:t>
      </w:r>
      <w:r>
        <w:rPr>
          <w:rFonts w:cs="Arial"/>
        </w:rPr>
        <w:t xml:space="preserve">the </w:t>
      </w:r>
      <w:r w:rsidRPr="00197161">
        <w:rPr>
          <w:rFonts w:cs="Arial"/>
        </w:rPr>
        <w:t xml:space="preserve">blood signal while maintaining the tissue signal. The VASO signal intensity </w:t>
      </w:r>
      <w:r>
        <w:rPr>
          <w:rFonts w:cs="Arial"/>
        </w:rPr>
        <w:t>is</w:t>
      </w:r>
      <w:r w:rsidRPr="00197161">
        <w:rPr>
          <w:rFonts w:cs="Arial"/>
        </w:rPr>
        <w:t xml:space="preserve"> considered proportional to 1-CBV</w:t>
      </w:r>
      <w:r>
        <w:rPr>
          <w:rFonts w:cs="Arial"/>
        </w:rPr>
        <w:t xml:space="preserve"> </w:t>
      </w:r>
      <w:r>
        <w:rPr>
          <w:rFonts w:cs="Arial"/>
        </w:rPr>
        <w:fldChar w:fldCharType="begin">
          <w:fldData xml:space="preserve">PEVuZE5vdGU+PENpdGU+PEF1dGhvcj5IdWJlcjwvQXV0aG9yPjxZZWFyPjIwMTc8L1llYXI+PElE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</w:fldData>
        </w:fldChar>
      </w:r>
      <w:r>
        <w:rPr>
          <w:rFonts w:cs="Arial"/>
        </w:rPr>
        <w:instrText xml:space="preserve"> ADDIN EN.CITE </w:instrText>
      </w:r>
      <w:r>
        <w:rPr>
          <w:rFonts w:cs="Arial"/>
        </w:rPr>
        <w:fldChar w:fldCharType="begin">
          <w:fldData xml:space="preserve">PEVuZE5vdGU+PENpdGU+PEF1dGhvcj5IdWJlcjwvQXV0aG9yPjxZZWFyPjIwMTc8L1llYXI+PElE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</w:fldData>
        </w:fldChar>
      </w:r>
      <w:r>
        <w:rPr>
          <w:rFonts w:cs="Arial"/>
        </w:rPr>
        <w:instrText xml:space="preserve"> ADDIN EN.CITE.DATA </w:instrText>
      </w:r>
      <w:r>
        <w:rPr>
          <w:rFonts w:cs="Arial"/>
        </w:rPr>
      </w:r>
      <w:r>
        <w:rPr>
          <w:rFonts w:cs="Arial"/>
        </w:rPr>
        <w:fldChar w:fldCharType="end"/>
      </w:r>
      <w:r>
        <w:rPr>
          <w:rFonts w:cs="Arial"/>
        </w:rPr>
      </w:r>
      <w:r>
        <w:rPr>
          <w:rFonts w:cs="Arial"/>
        </w:rPr>
        <w:fldChar w:fldCharType="separate"/>
      </w:r>
      <w:r>
        <w:rPr>
          <w:rFonts w:cs="Arial"/>
          <w:noProof/>
        </w:rPr>
        <w:t>(Huber et al., 2017, Huber et al., 2018)</w:t>
      </w:r>
      <w:r>
        <w:rPr>
          <w:rFonts w:cs="Arial"/>
        </w:rPr>
        <w:fldChar w:fldCharType="end"/>
      </w:r>
      <w:r w:rsidRPr="00197161">
        <w:rPr>
          <w:rFonts w:cs="Arial"/>
        </w:rPr>
        <w:t>.</w:t>
      </w:r>
      <w:r>
        <w:rPr>
          <w:rFonts w:cs="Arial"/>
        </w:rPr>
        <w:t xml:space="preserve">  This would be an ideal method to interrogate perfusion in the sensory cortex going forward, as it has superior temporal and spatial characteristics compared with DSC-MRI. It does not involve contrast administration and compared with conventional BOLD fMRI it can measure RBV and RBF.  Neuroimaging  techniques may further advance our understanding of the process of pain generation in P-DPN, which is needed to </w:t>
      </w:r>
      <w:r>
        <w:rPr>
          <w:rFonts w:cs="Arial"/>
        </w:rPr>
        <w:lastRenderedPageBreak/>
        <w:t xml:space="preserve">identify therapeutic targets for this distressing condition, and may assist in measuring disease activity and response to therapeutic targets. </w:t>
      </w:r>
      <w:r>
        <w:rPr>
          <w:rFonts w:cs="Arial"/>
        </w:rPr>
        <w:br w:type="page"/>
      </w:r>
    </w:p>
    <w:p w14:paraId="39B64DC9" w14:textId="78072D0A" w:rsidR="009968E0" w:rsidRPr="009968E0" w:rsidRDefault="009968E0" w:rsidP="00BD69F6">
      <w:pPr>
        <w:pStyle w:val="Heading1"/>
        <w:rPr>
          <w:rFonts w:eastAsia="MS Gothic"/>
        </w:rPr>
      </w:pPr>
      <w:bookmarkStart w:id="545" w:name="_Toc64723979"/>
      <w:r w:rsidRPr="009968E0">
        <w:rPr>
          <w:rFonts w:eastAsia="MS Gothic"/>
        </w:rPr>
        <w:lastRenderedPageBreak/>
        <w:t>Appendix A: Supplementary Results Tables for Chapter 2</w:t>
      </w:r>
      <w:bookmarkEnd w:id="545"/>
      <w:r w:rsidRPr="009968E0">
        <w:rPr>
          <w:rFonts w:eastAsia="MS Gothic"/>
        </w:rPr>
        <w:t xml:space="preserve"> </w:t>
      </w:r>
    </w:p>
    <w:p w14:paraId="21D2EF8A" w14:textId="77777777" w:rsidR="009968E0" w:rsidRPr="009968E0" w:rsidRDefault="009968E0" w:rsidP="009968E0">
      <w:pPr>
        <w:rPr>
          <w:rFonts w:ascii="Times New Roman" w:eastAsia="Times New Roman" w:hAnsi="Times New Roman" w:cs="Times New Roman"/>
          <w:lang w:eastAsia="en-GB"/>
        </w:rPr>
      </w:pPr>
    </w:p>
    <w:p w14:paraId="343C3A9B" w14:textId="71D1C8FD" w:rsidR="009968E0" w:rsidRPr="00BD69F6" w:rsidRDefault="009968E0" w:rsidP="00BD69F6">
      <w:pPr>
        <w:pStyle w:val="Quote"/>
      </w:pPr>
      <w:bookmarkStart w:id="546" w:name="_Toc48406133"/>
      <w:bookmarkStart w:id="547" w:name="_Toc49273343"/>
      <w:bookmarkStart w:id="548" w:name="_Toc64724096"/>
      <w:r w:rsidRPr="00BD69F6">
        <w:t>Table A.1: Number of Respondents per Questionnaire by Group</w:t>
      </w:r>
      <w:bookmarkEnd w:id="546"/>
      <w:bookmarkEnd w:id="547"/>
      <w:bookmarkEnd w:id="548"/>
    </w:p>
    <w:p w14:paraId="05A10C00" w14:textId="77777777" w:rsidR="009968E0" w:rsidRPr="009968E0" w:rsidRDefault="009968E0" w:rsidP="009968E0">
      <w:pPr>
        <w:rPr>
          <w:rFonts w:ascii="Times New Roman" w:eastAsia="Times New Roman" w:hAnsi="Times New Roman" w:cs="Times New Roman"/>
          <w:lang w:eastAsia="en-GB"/>
        </w:rPr>
      </w:pPr>
    </w:p>
    <w:tbl>
      <w:tblPr>
        <w:tblW w:w="8920" w:type="dxa"/>
        <w:tblLook w:val="04A0" w:firstRow="1" w:lastRow="0" w:firstColumn="1" w:lastColumn="0" w:noHBand="0" w:noVBand="1"/>
      </w:tblPr>
      <w:tblGrid>
        <w:gridCol w:w="2420"/>
        <w:gridCol w:w="1300"/>
        <w:gridCol w:w="1300"/>
        <w:gridCol w:w="1300"/>
        <w:gridCol w:w="1300"/>
        <w:gridCol w:w="1300"/>
      </w:tblGrid>
      <w:tr w:rsidR="009968E0" w:rsidRPr="009968E0" w14:paraId="12695394" w14:textId="77777777" w:rsidTr="009968E0">
        <w:trPr>
          <w:trHeight w:val="400"/>
        </w:trPr>
        <w:tc>
          <w:tcPr>
            <w:tcW w:w="2420" w:type="dxa"/>
            <w:vMerge w:val="restart"/>
            <w:tcBorders>
              <w:top w:val="nil"/>
              <w:left w:val="nil"/>
              <w:bottom w:val="single" w:sz="4" w:space="0" w:color="152935"/>
              <w:right w:val="nil"/>
            </w:tcBorders>
            <w:shd w:val="clear" w:color="auto" w:fill="auto"/>
            <w:vAlign w:val="bottom"/>
            <w:hideMark/>
          </w:tcPr>
          <w:p w14:paraId="0E561E9D" w14:textId="77777777" w:rsidR="009968E0" w:rsidRPr="009968E0" w:rsidRDefault="009968E0" w:rsidP="009968E0">
            <w:pPr>
              <w:rPr>
                <w:rFonts w:ascii="Calibri" w:eastAsia="Times New Roman" w:hAnsi="Calibri" w:cs="Calibri"/>
                <w:color w:val="264A60"/>
                <w:sz w:val="22"/>
                <w:szCs w:val="22"/>
                <w:lang w:eastAsia="en-GB"/>
              </w:rPr>
            </w:pPr>
            <w:r w:rsidRPr="009968E0">
              <w:rPr>
                <w:rFonts w:ascii="Calibri" w:eastAsia="Times New Roman" w:hAnsi="Calibri" w:cs="Calibri"/>
                <w:color w:val="264A60"/>
                <w:sz w:val="22"/>
                <w:szCs w:val="22"/>
                <w:lang w:eastAsia="en-GB"/>
              </w:rPr>
              <w:t> </w:t>
            </w:r>
          </w:p>
        </w:tc>
        <w:tc>
          <w:tcPr>
            <w:tcW w:w="6500" w:type="dxa"/>
            <w:gridSpan w:val="5"/>
            <w:tcBorders>
              <w:top w:val="nil"/>
              <w:left w:val="nil"/>
              <w:bottom w:val="single" w:sz="4" w:space="0" w:color="auto"/>
              <w:right w:val="single" w:sz="4" w:space="0" w:color="E0E0E0"/>
            </w:tcBorders>
            <w:shd w:val="clear" w:color="auto" w:fill="auto"/>
            <w:vAlign w:val="bottom"/>
            <w:hideMark/>
          </w:tcPr>
          <w:p w14:paraId="18E132DF" w14:textId="77777777" w:rsidR="009968E0" w:rsidRPr="009968E0" w:rsidRDefault="009968E0" w:rsidP="009968E0">
            <w:pPr>
              <w:jc w:val="center"/>
              <w:rPr>
                <w:rFonts w:ascii="Calibri" w:eastAsia="Times New Roman" w:hAnsi="Calibri" w:cs="Calibri"/>
                <w:color w:val="264A60"/>
                <w:sz w:val="22"/>
                <w:szCs w:val="22"/>
                <w:lang w:eastAsia="en-GB"/>
              </w:rPr>
            </w:pPr>
            <w:r w:rsidRPr="009968E0">
              <w:rPr>
                <w:rFonts w:ascii="Calibri" w:eastAsia="Times New Roman" w:hAnsi="Calibri" w:cs="Calibri"/>
                <w:color w:val="264A60"/>
                <w:sz w:val="22"/>
                <w:szCs w:val="22"/>
                <w:lang w:eastAsia="en-GB"/>
              </w:rPr>
              <w:t>GROUP</w:t>
            </w:r>
          </w:p>
        </w:tc>
      </w:tr>
      <w:tr w:rsidR="009968E0" w:rsidRPr="009968E0" w14:paraId="092282A7" w14:textId="77777777" w:rsidTr="009968E0">
        <w:trPr>
          <w:trHeight w:val="400"/>
        </w:trPr>
        <w:tc>
          <w:tcPr>
            <w:tcW w:w="2420" w:type="dxa"/>
            <w:vMerge/>
            <w:tcBorders>
              <w:top w:val="nil"/>
              <w:left w:val="nil"/>
              <w:bottom w:val="single" w:sz="4" w:space="0" w:color="152935"/>
              <w:right w:val="nil"/>
            </w:tcBorders>
            <w:vAlign w:val="center"/>
            <w:hideMark/>
          </w:tcPr>
          <w:p w14:paraId="6DB821F0" w14:textId="77777777" w:rsidR="009968E0" w:rsidRPr="009968E0" w:rsidRDefault="009968E0" w:rsidP="009968E0">
            <w:pPr>
              <w:rPr>
                <w:rFonts w:ascii="Calibri" w:eastAsia="Times New Roman" w:hAnsi="Calibri" w:cs="Calibri"/>
                <w:color w:val="264A60"/>
                <w:sz w:val="22"/>
                <w:szCs w:val="22"/>
                <w:lang w:eastAsia="en-GB"/>
              </w:rPr>
            </w:pPr>
          </w:p>
        </w:tc>
        <w:tc>
          <w:tcPr>
            <w:tcW w:w="1300" w:type="dxa"/>
            <w:tcBorders>
              <w:top w:val="single" w:sz="4" w:space="0" w:color="auto"/>
              <w:left w:val="nil"/>
              <w:bottom w:val="single" w:sz="4" w:space="0" w:color="152935"/>
              <w:right w:val="single" w:sz="4" w:space="0" w:color="E0E0E0"/>
            </w:tcBorders>
            <w:shd w:val="clear" w:color="auto" w:fill="auto"/>
            <w:vAlign w:val="bottom"/>
            <w:hideMark/>
          </w:tcPr>
          <w:p w14:paraId="4BFAF7D6" w14:textId="77777777" w:rsidR="009968E0" w:rsidRPr="009968E0" w:rsidRDefault="009968E0" w:rsidP="009968E0">
            <w:pPr>
              <w:jc w:val="center"/>
              <w:rPr>
                <w:rFonts w:ascii="Calibri" w:eastAsia="Times New Roman" w:hAnsi="Calibri" w:cs="Calibri"/>
                <w:color w:val="264A60"/>
                <w:sz w:val="22"/>
                <w:szCs w:val="22"/>
                <w:lang w:eastAsia="en-GB"/>
              </w:rPr>
            </w:pPr>
            <w:r w:rsidRPr="009968E0">
              <w:rPr>
                <w:rFonts w:ascii="Calibri" w:eastAsia="Times New Roman" w:hAnsi="Calibri" w:cs="Calibri"/>
                <w:color w:val="264A60"/>
                <w:sz w:val="22"/>
                <w:szCs w:val="22"/>
                <w:lang w:eastAsia="en-GB"/>
              </w:rPr>
              <w:t>P-DPN</w:t>
            </w:r>
          </w:p>
        </w:tc>
        <w:tc>
          <w:tcPr>
            <w:tcW w:w="1300" w:type="dxa"/>
            <w:tcBorders>
              <w:top w:val="single" w:sz="4" w:space="0" w:color="auto"/>
              <w:left w:val="nil"/>
              <w:bottom w:val="single" w:sz="4" w:space="0" w:color="152935"/>
              <w:right w:val="single" w:sz="4" w:space="0" w:color="E0E0E0"/>
            </w:tcBorders>
            <w:shd w:val="clear" w:color="auto" w:fill="auto"/>
            <w:vAlign w:val="bottom"/>
            <w:hideMark/>
          </w:tcPr>
          <w:p w14:paraId="7602AC1F" w14:textId="77777777" w:rsidR="009968E0" w:rsidRPr="009968E0" w:rsidRDefault="009968E0" w:rsidP="009968E0">
            <w:pPr>
              <w:jc w:val="center"/>
              <w:rPr>
                <w:rFonts w:ascii="Calibri" w:eastAsia="Times New Roman" w:hAnsi="Calibri" w:cs="Calibri"/>
                <w:color w:val="264A60"/>
                <w:sz w:val="22"/>
                <w:szCs w:val="22"/>
                <w:lang w:eastAsia="en-GB"/>
              </w:rPr>
            </w:pPr>
            <w:r w:rsidRPr="009968E0">
              <w:rPr>
                <w:rFonts w:ascii="Calibri" w:eastAsia="Times New Roman" w:hAnsi="Calibri" w:cs="Calibri"/>
                <w:color w:val="264A60"/>
                <w:sz w:val="22"/>
                <w:szCs w:val="22"/>
                <w:lang w:eastAsia="en-GB"/>
              </w:rPr>
              <w:t>DPN</w:t>
            </w:r>
          </w:p>
        </w:tc>
        <w:tc>
          <w:tcPr>
            <w:tcW w:w="1300" w:type="dxa"/>
            <w:tcBorders>
              <w:top w:val="single" w:sz="4" w:space="0" w:color="auto"/>
              <w:left w:val="nil"/>
              <w:bottom w:val="single" w:sz="4" w:space="0" w:color="152935"/>
              <w:right w:val="single" w:sz="4" w:space="0" w:color="E0E0E0"/>
            </w:tcBorders>
            <w:shd w:val="clear" w:color="auto" w:fill="auto"/>
            <w:vAlign w:val="bottom"/>
            <w:hideMark/>
          </w:tcPr>
          <w:p w14:paraId="5F922A3B" w14:textId="77777777" w:rsidR="009968E0" w:rsidRPr="009968E0" w:rsidRDefault="009968E0" w:rsidP="009968E0">
            <w:pPr>
              <w:jc w:val="center"/>
              <w:rPr>
                <w:rFonts w:ascii="Calibri" w:eastAsia="Times New Roman" w:hAnsi="Calibri" w:cs="Calibri"/>
                <w:color w:val="264A60"/>
                <w:sz w:val="22"/>
                <w:szCs w:val="22"/>
                <w:lang w:eastAsia="en-GB"/>
              </w:rPr>
            </w:pPr>
            <w:r w:rsidRPr="009968E0">
              <w:rPr>
                <w:rFonts w:ascii="Calibri" w:eastAsia="Times New Roman" w:hAnsi="Calibri" w:cs="Calibri"/>
                <w:color w:val="264A60"/>
                <w:sz w:val="22"/>
                <w:szCs w:val="22"/>
                <w:lang w:eastAsia="en-GB"/>
              </w:rPr>
              <w:t>DM-NN</w:t>
            </w:r>
          </w:p>
        </w:tc>
        <w:tc>
          <w:tcPr>
            <w:tcW w:w="1300" w:type="dxa"/>
            <w:tcBorders>
              <w:top w:val="single" w:sz="4" w:space="0" w:color="auto"/>
              <w:left w:val="nil"/>
              <w:bottom w:val="single" w:sz="4" w:space="0" w:color="152935"/>
              <w:right w:val="single" w:sz="4" w:space="0" w:color="E0E0E0"/>
            </w:tcBorders>
            <w:shd w:val="clear" w:color="auto" w:fill="auto"/>
            <w:vAlign w:val="bottom"/>
            <w:hideMark/>
          </w:tcPr>
          <w:p w14:paraId="056AF4C6" w14:textId="77777777" w:rsidR="009968E0" w:rsidRPr="009968E0" w:rsidRDefault="009968E0" w:rsidP="009968E0">
            <w:pPr>
              <w:jc w:val="center"/>
              <w:rPr>
                <w:rFonts w:ascii="Calibri" w:eastAsia="Times New Roman" w:hAnsi="Calibri" w:cs="Calibri"/>
                <w:color w:val="264A60"/>
                <w:sz w:val="22"/>
                <w:szCs w:val="22"/>
                <w:lang w:eastAsia="en-GB"/>
              </w:rPr>
            </w:pPr>
            <w:r w:rsidRPr="009968E0">
              <w:rPr>
                <w:rFonts w:ascii="Calibri" w:eastAsia="Times New Roman" w:hAnsi="Calibri" w:cs="Calibri"/>
                <w:color w:val="264A60"/>
                <w:sz w:val="22"/>
                <w:szCs w:val="22"/>
                <w:lang w:eastAsia="en-GB"/>
              </w:rPr>
              <w:t>HV</w:t>
            </w:r>
          </w:p>
        </w:tc>
        <w:tc>
          <w:tcPr>
            <w:tcW w:w="1300" w:type="dxa"/>
            <w:tcBorders>
              <w:top w:val="single" w:sz="4" w:space="0" w:color="auto"/>
              <w:left w:val="nil"/>
              <w:bottom w:val="single" w:sz="4" w:space="0" w:color="152935"/>
              <w:right w:val="nil"/>
            </w:tcBorders>
            <w:shd w:val="clear" w:color="auto" w:fill="auto"/>
            <w:vAlign w:val="bottom"/>
            <w:hideMark/>
          </w:tcPr>
          <w:p w14:paraId="733D1383" w14:textId="77777777" w:rsidR="009968E0" w:rsidRPr="009968E0" w:rsidRDefault="009968E0" w:rsidP="009968E0">
            <w:pPr>
              <w:jc w:val="center"/>
              <w:rPr>
                <w:rFonts w:ascii="Calibri" w:eastAsia="Times New Roman" w:hAnsi="Calibri" w:cs="Calibri"/>
                <w:color w:val="264A60"/>
                <w:sz w:val="22"/>
                <w:szCs w:val="22"/>
                <w:lang w:eastAsia="en-GB"/>
              </w:rPr>
            </w:pPr>
            <w:r w:rsidRPr="009968E0">
              <w:rPr>
                <w:rFonts w:ascii="Calibri" w:eastAsia="Times New Roman" w:hAnsi="Calibri" w:cs="Calibri"/>
                <w:color w:val="264A60"/>
                <w:sz w:val="22"/>
                <w:szCs w:val="22"/>
                <w:lang w:eastAsia="en-GB"/>
              </w:rPr>
              <w:t>Total</w:t>
            </w:r>
          </w:p>
        </w:tc>
      </w:tr>
      <w:tr w:rsidR="009968E0" w:rsidRPr="009968E0" w14:paraId="1A8B6785" w14:textId="77777777" w:rsidTr="009968E0">
        <w:trPr>
          <w:trHeight w:val="420"/>
        </w:trPr>
        <w:tc>
          <w:tcPr>
            <w:tcW w:w="2420" w:type="dxa"/>
            <w:tcBorders>
              <w:top w:val="nil"/>
              <w:left w:val="nil"/>
              <w:bottom w:val="single" w:sz="4" w:space="0" w:color="AEAEAE"/>
              <w:right w:val="nil"/>
            </w:tcBorders>
            <w:shd w:val="clear" w:color="auto" w:fill="FDE9D9"/>
            <w:hideMark/>
          </w:tcPr>
          <w:p w14:paraId="0BFAF01A" w14:textId="77777777" w:rsidR="009968E0" w:rsidRPr="009968E0" w:rsidRDefault="009968E0" w:rsidP="009968E0">
            <w:pPr>
              <w:jc w:val="right"/>
              <w:rPr>
                <w:rFonts w:ascii="Calibri" w:eastAsia="Times New Roman" w:hAnsi="Calibri" w:cs="Calibri"/>
                <w:i/>
                <w:iCs/>
                <w:color w:val="264A60"/>
                <w:sz w:val="22"/>
                <w:szCs w:val="22"/>
                <w:lang w:eastAsia="en-GB"/>
              </w:rPr>
            </w:pPr>
            <w:r w:rsidRPr="009968E0">
              <w:rPr>
                <w:rFonts w:ascii="Calibri" w:eastAsia="Times New Roman" w:hAnsi="Calibri" w:cs="Calibri"/>
                <w:i/>
                <w:iCs/>
                <w:color w:val="264A60"/>
                <w:sz w:val="22"/>
                <w:szCs w:val="22"/>
                <w:lang w:eastAsia="en-GB"/>
              </w:rPr>
              <w:t>HADS</w:t>
            </w:r>
          </w:p>
        </w:tc>
        <w:tc>
          <w:tcPr>
            <w:tcW w:w="1300" w:type="dxa"/>
            <w:tcBorders>
              <w:top w:val="nil"/>
              <w:left w:val="nil"/>
              <w:bottom w:val="single" w:sz="4" w:space="0" w:color="AEAEAE"/>
              <w:right w:val="single" w:sz="4" w:space="0" w:color="E0E0E0"/>
            </w:tcBorders>
            <w:shd w:val="clear" w:color="auto" w:fill="auto"/>
            <w:noWrap/>
            <w:hideMark/>
          </w:tcPr>
          <w:p w14:paraId="34D9C819" w14:textId="77777777" w:rsidR="009968E0" w:rsidRPr="009968E0" w:rsidRDefault="009968E0" w:rsidP="009968E0">
            <w:pPr>
              <w:jc w:val="right"/>
              <w:rPr>
                <w:rFonts w:ascii="Calibri" w:eastAsia="Times New Roman" w:hAnsi="Calibri" w:cs="Calibri"/>
                <w:color w:val="010205"/>
                <w:sz w:val="22"/>
                <w:szCs w:val="22"/>
                <w:lang w:eastAsia="en-GB"/>
              </w:rPr>
            </w:pPr>
            <w:r w:rsidRPr="009968E0">
              <w:rPr>
                <w:rFonts w:ascii="Calibri" w:eastAsia="Times New Roman" w:hAnsi="Calibri" w:cs="Calibri"/>
                <w:color w:val="010205"/>
                <w:sz w:val="22"/>
                <w:szCs w:val="22"/>
                <w:lang w:eastAsia="en-GB"/>
              </w:rPr>
              <w:t>17</w:t>
            </w:r>
          </w:p>
        </w:tc>
        <w:tc>
          <w:tcPr>
            <w:tcW w:w="1300" w:type="dxa"/>
            <w:tcBorders>
              <w:top w:val="nil"/>
              <w:left w:val="nil"/>
              <w:bottom w:val="single" w:sz="4" w:space="0" w:color="AEAEAE"/>
              <w:right w:val="single" w:sz="4" w:space="0" w:color="E0E0E0"/>
            </w:tcBorders>
            <w:shd w:val="clear" w:color="auto" w:fill="auto"/>
            <w:noWrap/>
            <w:hideMark/>
          </w:tcPr>
          <w:p w14:paraId="21DE38D5" w14:textId="77777777" w:rsidR="009968E0" w:rsidRPr="009968E0" w:rsidRDefault="009968E0" w:rsidP="009968E0">
            <w:pPr>
              <w:jc w:val="right"/>
              <w:rPr>
                <w:rFonts w:ascii="Calibri" w:eastAsia="Times New Roman" w:hAnsi="Calibri" w:cs="Calibri"/>
                <w:color w:val="010205"/>
                <w:sz w:val="22"/>
                <w:szCs w:val="22"/>
                <w:lang w:eastAsia="en-GB"/>
              </w:rPr>
            </w:pPr>
            <w:r w:rsidRPr="009968E0">
              <w:rPr>
                <w:rFonts w:ascii="Calibri" w:eastAsia="Times New Roman" w:hAnsi="Calibri" w:cs="Calibri"/>
                <w:color w:val="010205"/>
                <w:sz w:val="22"/>
                <w:szCs w:val="22"/>
                <w:lang w:eastAsia="en-GB"/>
              </w:rPr>
              <w:t>22</w:t>
            </w:r>
          </w:p>
        </w:tc>
        <w:tc>
          <w:tcPr>
            <w:tcW w:w="1300" w:type="dxa"/>
            <w:tcBorders>
              <w:top w:val="nil"/>
              <w:left w:val="nil"/>
              <w:bottom w:val="single" w:sz="4" w:space="0" w:color="AEAEAE"/>
              <w:right w:val="single" w:sz="4" w:space="0" w:color="E0E0E0"/>
            </w:tcBorders>
            <w:shd w:val="clear" w:color="auto" w:fill="auto"/>
            <w:noWrap/>
            <w:hideMark/>
          </w:tcPr>
          <w:p w14:paraId="6536FD5F" w14:textId="77777777" w:rsidR="009968E0" w:rsidRPr="009968E0" w:rsidRDefault="009968E0" w:rsidP="009968E0">
            <w:pPr>
              <w:jc w:val="right"/>
              <w:rPr>
                <w:rFonts w:ascii="Calibri" w:eastAsia="Times New Roman" w:hAnsi="Calibri" w:cs="Calibri"/>
                <w:color w:val="010205"/>
                <w:sz w:val="22"/>
                <w:szCs w:val="22"/>
                <w:lang w:eastAsia="en-GB"/>
              </w:rPr>
            </w:pPr>
            <w:r w:rsidRPr="009968E0">
              <w:rPr>
                <w:rFonts w:ascii="Calibri" w:eastAsia="Times New Roman" w:hAnsi="Calibri" w:cs="Calibri"/>
                <w:color w:val="010205"/>
                <w:sz w:val="22"/>
                <w:szCs w:val="22"/>
                <w:lang w:eastAsia="en-GB"/>
              </w:rPr>
              <w:t>12</w:t>
            </w:r>
          </w:p>
        </w:tc>
        <w:tc>
          <w:tcPr>
            <w:tcW w:w="1300" w:type="dxa"/>
            <w:tcBorders>
              <w:top w:val="nil"/>
              <w:left w:val="nil"/>
              <w:bottom w:val="single" w:sz="4" w:space="0" w:color="AEAEAE"/>
              <w:right w:val="single" w:sz="4" w:space="0" w:color="E0E0E0"/>
            </w:tcBorders>
            <w:shd w:val="clear" w:color="auto" w:fill="auto"/>
            <w:noWrap/>
            <w:hideMark/>
          </w:tcPr>
          <w:p w14:paraId="09A315FC" w14:textId="77777777" w:rsidR="009968E0" w:rsidRPr="009968E0" w:rsidRDefault="009968E0" w:rsidP="009968E0">
            <w:pPr>
              <w:jc w:val="right"/>
              <w:rPr>
                <w:rFonts w:ascii="Calibri" w:eastAsia="Times New Roman" w:hAnsi="Calibri" w:cs="Calibri"/>
                <w:color w:val="010205"/>
                <w:sz w:val="22"/>
                <w:szCs w:val="22"/>
                <w:lang w:eastAsia="en-GB"/>
              </w:rPr>
            </w:pPr>
            <w:r w:rsidRPr="009968E0">
              <w:rPr>
                <w:rFonts w:ascii="Calibri" w:eastAsia="Times New Roman" w:hAnsi="Calibri" w:cs="Calibri"/>
                <w:color w:val="010205"/>
                <w:sz w:val="22"/>
                <w:szCs w:val="22"/>
                <w:lang w:eastAsia="en-GB"/>
              </w:rPr>
              <w:t>17</w:t>
            </w:r>
          </w:p>
        </w:tc>
        <w:tc>
          <w:tcPr>
            <w:tcW w:w="1300" w:type="dxa"/>
            <w:tcBorders>
              <w:top w:val="nil"/>
              <w:left w:val="nil"/>
              <w:bottom w:val="single" w:sz="4" w:space="0" w:color="AEAEAE"/>
              <w:right w:val="nil"/>
            </w:tcBorders>
            <w:shd w:val="clear" w:color="auto" w:fill="auto"/>
            <w:noWrap/>
            <w:hideMark/>
          </w:tcPr>
          <w:p w14:paraId="508F0A4F" w14:textId="77777777" w:rsidR="009968E0" w:rsidRPr="009968E0" w:rsidRDefault="009968E0" w:rsidP="009968E0">
            <w:pPr>
              <w:jc w:val="right"/>
              <w:rPr>
                <w:rFonts w:ascii="Calibri" w:eastAsia="Times New Roman" w:hAnsi="Calibri" w:cs="Calibri"/>
                <w:color w:val="010205"/>
                <w:sz w:val="22"/>
                <w:szCs w:val="22"/>
                <w:lang w:eastAsia="en-GB"/>
              </w:rPr>
            </w:pPr>
            <w:r w:rsidRPr="009968E0">
              <w:rPr>
                <w:rFonts w:ascii="Calibri" w:eastAsia="Times New Roman" w:hAnsi="Calibri" w:cs="Calibri"/>
                <w:color w:val="010205"/>
                <w:sz w:val="22"/>
                <w:szCs w:val="22"/>
                <w:lang w:eastAsia="en-GB"/>
              </w:rPr>
              <w:t>68</w:t>
            </w:r>
          </w:p>
        </w:tc>
      </w:tr>
      <w:tr w:rsidR="009968E0" w:rsidRPr="009968E0" w14:paraId="07E8D2C6" w14:textId="77777777" w:rsidTr="009968E0">
        <w:trPr>
          <w:trHeight w:val="420"/>
        </w:trPr>
        <w:tc>
          <w:tcPr>
            <w:tcW w:w="2420" w:type="dxa"/>
            <w:tcBorders>
              <w:top w:val="nil"/>
              <w:left w:val="nil"/>
              <w:bottom w:val="single" w:sz="4" w:space="0" w:color="AEAEAE"/>
              <w:right w:val="nil"/>
            </w:tcBorders>
            <w:shd w:val="clear" w:color="auto" w:fill="FDE9D9"/>
            <w:hideMark/>
          </w:tcPr>
          <w:p w14:paraId="710F2597" w14:textId="77777777" w:rsidR="009968E0" w:rsidRPr="009968E0" w:rsidRDefault="009968E0" w:rsidP="009968E0">
            <w:pPr>
              <w:jc w:val="right"/>
              <w:rPr>
                <w:rFonts w:ascii="Calibri" w:eastAsia="Times New Roman" w:hAnsi="Calibri" w:cs="Calibri"/>
                <w:i/>
                <w:iCs/>
                <w:color w:val="264A60"/>
                <w:sz w:val="22"/>
                <w:szCs w:val="22"/>
                <w:lang w:eastAsia="en-GB"/>
              </w:rPr>
            </w:pPr>
            <w:r w:rsidRPr="009968E0">
              <w:rPr>
                <w:rFonts w:ascii="Calibri" w:eastAsia="Times New Roman" w:hAnsi="Calibri" w:cs="Calibri"/>
                <w:i/>
                <w:iCs/>
                <w:color w:val="264A60"/>
                <w:sz w:val="22"/>
                <w:szCs w:val="22"/>
                <w:lang w:eastAsia="en-GB"/>
              </w:rPr>
              <w:t>HADS A</w:t>
            </w:r>
          </w:p>
        </w:tc>
        <w:tc>
          <w:tcPr>
            <w:tcW w:w="1300" w:type="dxa"/>
            <w:tcBorders>
              <w:top w:val="nil"/>
              <w:left w:val="nil"/>
              <w:bottom w:val="single" w:sz="4" w:space="0" w:color="AEAEAE"/>
              <w:right w:val="single" w:sz="4" w:space="0" w:color="E0E0E0"/>
            </w:tcBorders>
            <w:shd w:val="clear" w:color="auto" w:fill="auto"/>
            <w:noWrap/>
            <w:hideMark/>
          </w:tcPr>
          <w:p w14:paraId="6D220E9C" w14:textId="77777777" w:rsidR="009968E0" w:rsidRPr="009968E0" w:rsidRDefault="009968E0" w:rsidP="009968E0">
            <w:pPr>
              <w:jc w:val="right"/>
              <w:rPr>
                <w:rFonts w:ascii="Calibri" w:eastAsia="Times New Roman" w:hAnsi="Calibri" w:cs="Calibri"/>
                <w:color w:val="010205"/>
                <w:sz w:val="22"/>
                <w:szCs w:val="22"/>
                <w:lang w:eastAsia="en-GB"/>
              </w:rPr>
            </w:pPr>
            <w:r w:rsidRPr="009968E0">
              <w:rPr>
                <w:rFonts w:ascii="Calibri" w:eastAsia="Times New Roman" w:hAnsi="Calibri" w:cs="Calibri"/>
                <w:color w:val="010205"/>
                <w:sz w:val="22"/>
                <w:szCs w:val="22"/>
                <w:lang w:eastAsia="en-GB"/>
              </w:rPr>
              <w:t>17</w:t>
            </w:r>
          </w:p>
        </w:tc>
        <w:tc>
          <w:tcPr>
            <w:tcW w:w="1300" w:type="dxa"/>
            <w:tcBorders>
              <w:top w:val="nil"/>
              <w:left w:val="nil"/>
              <w:bottom w:val="single" w:sz="4" w:space="0" w:color="AEAEAE"/>
              <w:right w:val="single" w:sz="4" w:space="0" w:color="E0E0E0"/>
            </w:tcBorders>
            <w:shd w:val="clear" w:color="auto" w:fill="auto"/>
            <w:noWrap/>
            <w:hideMark/>
          </w:tcPr>
          <w:p w14:paraId="4E976125" w14:textId="77777777" w:rsidR="009968E0" w:rsidRPr="009968E0" w:rsidRDefault="009968E0" w:rsidP="009968E0">
            <w:pPr>
              <w:jc w:val="right"/>
              <w:rPr>
                <w:rFonts w:ascii="Calibri" w:eastAsia="Times New Roman" w:hAnsi="Calibri" w:cs="Calibri"/>
                <w:color w:val="010205"/>
                <w:sz w:val="22"/>
                <w:szCs w:val="22"/>
                <w:lang w:eastAsia="en-GB"/>
              </w:rPr>
            </w:pPr>
            <w:r w:rsidRPr="009968E0">
              <w:rPr>
                <w:rFonts w:ascii="Calibri" w:eastAsia="Times New Roman" w:hAnsi="Calibri" w:cs="Calibri"/>
                <w:color w:val="010205"/>
                <w:sz w:val="22"/>
                <w:szCs w:val="22"/>
                <w:lang w:eastAsia="en-GB"/>
              </w:rPr>
              <w:t>22</w:t>
            </w:r>
          </w:p>
        </w:tc>
        <w:tc>
          <w:tcPr>
            <w:tcW w:w="1300" w:type="dxa"/>
            <w:tcBorders>
              <w:top w:val="nil"/>
              <w:left w:val="nil"/>
              <w:bottom w:val="single" w:sz="4" w:space="0" w:color="AEAEAE"/>
              <w:right w:val="single" w:sz="4" w:space="0" w:color="E0E0E0"/>
            </w:tcBorders>
            <w:shd w:val="clear" w:color="auto" w:fill="auto"/>
            <w:noWrap/>
            <w:hideMark/>
          </w:tcPr>
          <w:p w14:paraId="2076A6A1" w14:textId="77777777" w:rsidR="009968E0" w:rsidRPr="009968E0" w:rsidRDefault="009968E0" w:rsidP="009968E0">
            <w:pPr>
              <w:jc w:val="right"/>
              <w:rPr>
                <w:rFonts w:ascii="Calibri" w:eastAsia="Times New Roman" w:hAnsi="Calibri" w:cs="Calibri"/>
                <w:color w:val="010205"/>
                <w:sz w:val="22"/>
                <w:szCs w:val="22"/>
                <w:lang w:eastAsia="en-GB"/>
              </w:rPr>
            </w:pPr>
            <w:r w:rsidRPr="009968E0">
              <w:rPr>
                <w:rFonts w:ascii="Calibri" w:eastAsia="Times New Roman" w:hAnsi="Calibri" w:cs="Calibri"/>
                <w:color w:val="010205"/>
                <w:sz w:val="22"/>
                <w:szCs w:val="22"/>
                <w:lang w:eastAsia="en-GB"/>
              </w:rPr>
              <w:t>12</w:t>
            </w:r>
          </w:p>
        </w:tc>
        <w:tc>
          <w:tcPr>
            <w:tcW w:w="1300" w:type="dxa"/>
            <w:tcBorders>
              <w:top w:val="nil"/>
              <w:left w:val="nil"/>
              <w:bottom w:val="single" w:sz="4" w:space="0" w:color="AEAEAE"/>
              <w:right w:val="single" w:sz="4" w:space="0" w:color="E0E0E0"/>
            </w:tcBorders>
            <w:shd w:val="clear" w:color="auto" w:fill="auto"/>
            <w:noWrap/>
            <w:hideMark/>
          </w:tcPr>
          <w:p w14:paraId="02E32E55" w14:textId="77777777" w:rsidR="009968E0" w:rsidRPr="009968E0" w:rsidRDefault="009968E0" w:rsidP="009968E0">
            <w:pPr>
              <w:jc w:val="right"/>
              <w:rPr>
                <w:rFonts w:ascii="Calibri" w:eastAsia="Times New Roman" w:hAnsi="Calibri" w:cs="Calibri"/>
                <w:color w:val="010205"/>
                <w:sz w:val="22"/>
                <w:szCs w:val="22"/>
                <w:lang w:eastAsia="en-GB"/>
              </w:rPr>
            </w:pPr>
            <w:r w:rsidRPr="009968E0">
              <w:rPr>
                <w:rFonts w:ascii="Calibri" w:eastAsia="Times New Roman" w:hAnsi="Calibri" w:cs="Calibri"/>
                <w:color w:val="010205"/>
                <w:sz w:val="22"/>
                <w:szCs w:val="22"/>
                <w:lang w:eastAsia="en-GB"/>
              </w:rPr>
              <w:t>17</w:t>
            </w:r>
          </w:p>
        </w:tc>
        <w:tc>
          <w:tcPr>
            <w:tcW w:w="1300" w:type="dxa"/>
            <w:tcBorders>
              <w:top w:val="nil"/>
              <w:left w:val="nil"/>
              <w:bottom w:val="single" w:sz="4" w:space="0" w:color="AEAEAE"/>
              <w:right w:val="nil"/>
            </w:tcBorders>
            <w:shd w:val="clear" w:color="auto" w:fill="auto"/>
            <w:noWrap/>
            <w:hideMark/>
          </w:tcPr>
          <w:p w14:paraId="60751D10" w14:textId="77777777" w:rsidR="009968E0" w:rsidRPr="009968E0" w:rsidRDefault="009968E0" w:rsidP="009968E0">
            <w:pPr>
              <w:jc w:val="right"/>
              <w:rPr>
                <w:rFonts w:ascii="Calibri" w:eastAsia="Times New Roman" w:hAnsi="Calibri" w:cs="Calibri"/>
                <w:color w:val="010205"/>
                <w:sz w:val="22"/>
                <w:szCs w:val="22"/>
                <w:lang w:eastAsia="en-GB"/>
              </w:rPr>
            </w:pPr>
            <w:r w:rsidRPr="009968E0">
              <w:rPr>
                <w:rFonts w:ascii="Calibri" w:eastAsia="Times New Roman" w:hAnsi="Calibri" w:cs="Calibri"/>
                <w:color w:val="010205"/>
                <w:sz w:val="22"/>
                <w:szCs w:val="22"/>
                <w:lang w:eastAsia="en-GB"/>
              </w:rPr>
              <w:t>68</w:t>
            </w:r>
          </w:p>
        </w:tc>
      </w:tr>
      <w:tr w:rsidR="009968E0" w:rsidRPr="009968E0" w14:paraId="179ACC25" w14:textId="77777777" w:rsidTr="009968E0">
        <w:trPr>
          <w:trHeight w:val="420"/>
        </w:trPr>
        <w:tc>
          <w:tcPr>
            <w:tcW w:w="2420" w:type="dxa"/>
            <w:tcBorders>
              <w:top w:val="nil"/>
              <w:left w:val="nil"/>
              <w:bottom w:val="single" w:sz="4" w:space="0" w:color="AEAEAE"/>
              <w:right w:val="nil"/>
            </w:tcBorders>
            <w:shd w:val="clear" w:color="auto" w:fill="FDE9D9"/>
            <w:hideMark/>
          </w:tcPr>
          <w:p w14:paraId="09EAA5E3" w14:textId="77777777" w:rsidR="009968E0" w:rsidRPr="009968E0" w:rsidRDefault="009968E0" w:rsidP="009968E0">
            <w:pPr>
              <w:jc w:val="right"/>
              <w:rPr>
                <w:rFonts w:ascii="Calibri" w:eastAsia="Times New Roman" w:hAnsi="Calibri" w:cs="Calibri"/>
                <w:i/>
                <w:iCs/>
                <w:color w:val="264A60"/>
                <w:sz w:val="22"/>
                <w:szCs w:val="22"/>
                <w:lang w:eastAsia="en-GB"/>
              </w:rPr>
            </w:pPr>
            <w:r w:rsidRPr="009968E0">
              <w:rPr>
                <w:rFonts w:ascii="Calibri" w:eastAsia="Times New Roman" w:hAnsi="Calibri" w:cs="Calibri"/>
                <w:i/>
                <w:iCs/>
                <w:color w:val="264A60"/>
                <w:sz w:val="22"/>
                <w:szCs w:val="22"/>
                <w:lang w:eastAsia="en-GB"/>
              </w:rPr>
              <w:t>HADS D</w:t>
            </w:r>
          </w:p>
        </w:tc>
        <w:tc>
          <w:tcPr>
            <w:tcW w:w="1300" w:type="dxa"/>
            <w:tcBorders>
              <w:top w:val="nil"/>
              <w:left w:val="nil"/>
              <w:bottom w:val="single" w:sz="4" w:space="0" w:color="AEAEAE"/>
              <w:right w:val="single" w:sz="4" w:space="0" w:color="E0E0E0"/>
            </w:tcBorders>
            <w:shd w:val="clear" w:color="auto" w:fill="auto"/>
            <w:noWrap/>
            <w:hideMark/>
          </w:tcPr>
          <w:p w14:paraId="09EAB289" w14:textId="77777777" w:rsidR="009968E0" w:rsidRPr="009968E0" w:rsidRDefault="009968E0" w:rsidP="009968E0">
            <w:pPr>
              <w:jc w:val="right"/>
              <w:rPr>
                <w:rFonts w:ascii="Calibri" w:eastAsia="Times New Roman" w:hAnsi="Calibri" w:cs="Calibri"/>
                <w:color w:val="010205"/>
                <w:sz w:val="22"/>
                <w:szCs w:val="22"/>
                <w:lang w:eastAsia="en-GB"/>
              </w:rPr>
            </w:pPr>
            <w:r w:rsidRPr="009968E0">
              <w:rPr>
                <w:rFonts w:ascii="Calibri" w:eastAsia="Times New Roman" w:hAnsi="Calibri" w:cs="Calibri"/>
                <w:color w:val="010205"/>
                <w:sz w:val="22"/>
                <w:szCs w:val="22"/>
                <w:lang w:eastAsia="en-GB"/>
              </w:rPr>
              <w:t>17</w:t>
            </w:r>
          </w:p>
        </w:tc>
        <w:tc>
          <w:tcPr>
            <w:tcW w:w="1300" w:type="dxa"/>
            <w:tcBorders>
              <w:top w:val="nil"/>
              <w:left w:val="nil"/>
              <w:bottom w:val="single" w:sz="4" w:space="0" w:color="AEAEAE"/>
              <w:right w:val="single" w:sz="4" w:space="0" w:color="E0E0E0"/>
            </w:tcBorders>
            <w:shd w:val="clear" w:color="auto" w:fill="auto"/>
            <w:noWrap/>
            <w:hideMark/>
          </w:tcPr>
          <w:p w14:paraId="0BCFE6AC" w14:textId="77777777" w:rsidR="009968E0" w:rsidRPr="009968E0" w:rsidRDefault="009968E0" w:rsidP="009968E0">
            <w:pPr>
              <w:jc w:val="right"/>
              <w:rPr>
                <w:rFonts w:ascii="Calibri" w:eastAsia="Times New Roman" w:hAnsi="Calibri" w:cs="Calibri"/>
                <w:color w:val="010205"/>
                <w:sz w:val="22"/>
                <w:szCs w:val="22"/>
                <w:lang w:eastAsia="en-GB"/>
              </w:rPr>
            </w:pPr>
            <w:r w:rsidRPr="009968E0">
              <w:rPr>
                <w:rFonts w:ascii="Calibri" w:eastAsia="Times New Roman" w:hAnsi="Calibri" w:cs="Calibri"/>
                <w:color w:val="010205"/>
                <w:sz w:val="22"/>
                <w:szCs w:val="22"/>
                <w:lang w:eastAsia="en-GB"/>
              </w:rPr>
              <w:t>22</w:t>
            </w:r>
          </w:p>
        </w:tc>
        <w:tc>
          <w:tcPr>
            <w:tcW w:w="1300" w:type="dxa"/>
            <w:tcBorders>
              <w:top w:val="nil"/>
              <w:left w:val="nil"/>
              <w:bottom w:val="single" w:sz="4" w:space="0" w:color="AEAEAE"/>
              <w:right w:val="single" w:sz="4" w:space="0" w:color="E0E0E0"/>
            </w:tcBorders>
            <w:shd w:val="clear" w:color="auto" w:fill="auto"/>
            <w:noWrap/>
            <w:hideMark/>
          </w:tcPr>
          <w:p w14:paraId="41D1111A" w14:textId="77777777" w:rsidR="009968E0" w:rsidRPr="009968E0" w:rsidRDefault="009968E0" w:rsidP="009968E0">
            <w:pPr>
              <w:jc w:val="right"/>
              <w:rPr>
                <w:rFonts w:ascii="Calibri" w:eastAsia="Times New Roman" w:hAnsi="Calibri" w:cs="Calibri"/>
                <w:color w:val="010205"/>
                <w:sz w:val="22"/>
                <w:szCs w:val="22"/>
                <w:lang w:eastAsia="en-GB"/>
              </w:rPr>
            </w:pPr>
            <w:r w:rsidRPr="009968E0">
              <w:rPr>
                <w:rFonts w:ascii="Calibri" w:eastAsia="Times New Roman" w:hAnsi="Calibri" w:cs="Calibri"/>
                <w:color w:val="010205"/>
                <w:sz w:val="22"/>
                <w:szCs w:val="22"/>
                <w:lang w:eastAsia="en-GB"/>
              </w:rPr>
              <w:t>12</w:t>
            </w:r>
          </w:p>
        </w:tc>
        <w:tc>
          <w:tcPr>
            <w:tcW w:w="1300" w:type="dxa"/>
            <w:tcBorders>
              <w:top w:val="nil"/>
              <w:left w:val="nil"/>
              <w:bottom w:val="single" w:sz="4" w:space="0" w:color="AEAEAE"/>
              <w:right w:val="single" w:sz="4" w:space="0" w:color="E0E0E0"/>
            </w:tcBorders>
            <w:shd w:val="clear" w:color="auto" w:fill="auto"/>
            <w:noWrap/>
            <w:hideMark/>
          </w:tcPr>
          <w:p w14:paraId="0C89EA44" w14:textId="77777777" w:rsidR="009968E0" w:rsidRPr="009968E0" w:rsidRDefault="009968E0" w:rsidP="009968E0">
            <w:pPr>
              <w:jc w:val="right"/>
              <w:rPr>
                <w:rFonts w:ascii="Calibri" w:eastAsia="Times New Roman" w:hAnsi="Calibri" w:cs="Calibri"/>
                <w:color w:val="010205"/>
                <w:sz w:val="22"/>
                <w:szCs w:val="22"/>
                <w:lang w:eastAsia="en-GB"/>
              </w:rPr>
            </w:pPr>
            <w:r w:rsidRPr="009968E0">
              <w:rPr>
                <w:rFonts w:ascii="Calibri" w:eastAsia="Times New Roman" w:hAnsi="Calibri" w:cs="Calibri"/>
                <w:color w:val="010205"/>
                <w:sz w:val="22"/>
                <w:szCs w:val="22"/>
                <w:lang w:eastAsia="en-GB"/>
              </w:rPr>
              <w:t>17</w:t>
            </w:r>
          </w:p>
        </w:tc>
        <w:tc>
          <w:tcPr>
            <w:tcW w:w="1300" w:type="dxa"/>
            <w:tcBorders>
              <w:top w:val="nil"/>
              <w:left w:val="nil"/>
              <w:bottom w:val="single" w:sz="4" w:space="0" w:color="AEAEAE"/>
              <w:right w:val="nil"/>
            </w:tcBorders>
            <w:shd w:val="clear" w:color="auto" w:fill="auto"/>
            <w:noWrap/>
            <w:hideMark/>
          </w:tcPr>
          <w:p w14:paraId="21ECE1AF" w14:textId="77777777" w:rsidR="009968E0" w:rsidRPr="009968E0" w:rsidRDefault="009968E0" w:rsidP="009968E0">
            <w:pPr>
              <w:jc w:val="right"/>
              <w:rPr>
                <w:rFonts w:ascii="Calibri" w:eastAsia="Times New Roman" w:hAnsi="Calibri" w:cs="Calibri"/>
                <w:color w:val="010205"/>
                <w:sz w:val="22"/>
                <w:szCs w:val="22"/>
                <w:lang w:eastAsia="en-GB"/>
              </w:rPr>
            </w:pPr>
            <w:r w:rsidRPr="009968E0">
              <w:rPr>
                <w:rFonts w:ascii="Calibri" w:eastAsia="Times New Roman" w:hAnsi="Calibri" w:cs="Calibri"/>
                <w:color w:val="010205"/>
                <w:sz w:val="22"/>
                <w:szCs w:val="22"/>
                <w:lang w:eastAsia="en-GB"/>
              </w:rPr>
              <w:t>68</w:t>
            </w:r>
          </w:p>
        </w:tc>
      </w:tr>
      <w:tr w:rsidR="009968E0" w:rsidRPr="009968E0" w14:paraId="08767B7D" w14:textId="77777777" w:rsidTr="009968E0">
        <w:trPr>
          <w:trHeight w:val="420"/>
        </w:trPr>
        <w:tc>
          <w:tcPr>
            <w:tcW w:w="2420" w:type="dxa"/>
            <w:tcBorders>
              <w:top w:val="nil"/>
              <w:left w:val="nil"/>
              <w:bottom w:val="single" w:sz="4" w:space="0" w:color="AEAEAE"/>
              <w:right w:val="nil"/>
            </w:tcBorders>
            <w:shd w:val="clear" w:color="auto" w:fill="FDE9D9"/>
            <w:hideMark/>
          </w:tcPr>
          <w:p w14:paraId="28966B8E" w14:textId="77777777" w:rsidR="009968E0" w:rsidRPr="009968E0" w:rsidRDefault="009968E0" w:rsidP="009968E0">
            <w:pPr>
              <w:jc w:val="right"/>
              <w:rPr>
                <w:rFonts w:ascii="Calibri" w:eastAsia="Times New Roman" w:hAnsi="Calibri" w:cs="Calibri"/>
                <w:i/>
                <w:iCs/>
                <w:color w:val="264A60"/>
                <w:sz w:val="22"/>
                <w:szCs w:val="22"/>
                <w:lang w:eastAsia="en-GB"/>
              </w:rPr>
            </w:pPr>
            <w:r w:rsidRPr="009968E0">
              <w:rPr>
                <w:rFonts w:ascii="Calibri" w:eastAsia="Times New Roman" w:hAnsi="Calibri" w:cs="Calibri"/>
                <w:i/>
                <w:iCs/>
                <w:color w:val="264A60"/>
                <w:sz w:val="22"/>
                <w:szCs w:val="22"/>
                <w:lang w:eastAsia="en-GB"/>
              </w:rPr>
              <w:t>Becks</w:t>
            </w:r>
          </w:p>
        </w:tc>
        <w:tc>
          <w:tcPr>
            <w:tcW w:w="1300" w:type="dxa"/>
            <w:tcBorders>
              <w:top w:val="nil"/>
              <w:left w:val="nil"/>
              <w:bottom w:val="single" w:sz="4" w:space="0" w:color="AEAEAE"/>
              <w:right w:val="single" w:sz="4" w:space="0" w:color="E0E0E0"/>
            </w:tcBorders>
            <w:shd w:val="clear" w:color="auto" w:fill="auto"/>
            <w:noWrap/>
            <w:hideMark/>
          </w:tcPr>
          <w:p w14:paraId="2DA8DE56" w14:textId="77777777" w:rsidR="009968E0" w:rsidRPr="009968E0" w:rsidRDefault="009968E0" w:rsidP="009968E0">
            <w:pPr>
              <w:jc w:val="right"/>
              <w:rPr>
                <w:rFonts w:ascii="Calibri" w:eastAsia="Times New Roman" w:hAnsi="Calibri" w:cs="Calibri"/>
                <w:color w:val="010205"/>
                <w:sz w:val="22"/>
                <w:szCs w:val="22"/>
                <w:lang w:eastAsia="en-GB"/>
              </w:rPr>
            </w:pPr>
            <w:r w:rsidRPr="009968E0">
              <w:rPr>
                <w:rFonts w:ascii="Calibri" w:eastAsia="Times New Roman" w:hAnsi="Calibri" w:cs="Calibri"/>
                <w:color w:val="010205"/>
                <w:sz w:val="22"/>
                <w:szCs w:val="22"/>
                <w:lang w:eastAsia="en-GB"/>
              </w:rPr>
              <w:t>16</w:t>
            </w:r>
          </w:p>
        </w:tc>
        <w:tc>
          <w:tcPr>
            <w:tcW w:w="1300" w:type="dxa"/>
            <w:tcBorders>
              <w:top w:val="nil"/>
              <w:left w:val="nil"/>
              <w:bottom w:val="single" w:sz="4" w:space="0" w:color="AEAEAE"/>
              <w:right w:val="single" w:sz="4" w:space="0" w:color="E0E0E0"/>
            </w:tcBorders>
            <w:shd w:val="clear" w:color="auto" w:fill="auto"/>
            <w:noWrap/>
            <w:hideMark/>
          </w:tcPr>
          <w:p w14:paraId="4266421D" w14:textId="77777777" w:rsidR="009968E0" w:rsidRPr="009968E0" w:rsidRDefault="009968E0" w:rsidP="009968E0">
            <w:pPr>
              <w:jc w:val="right"/>
              <w:rPr>
                <w:rFonts w:ascii="Calibri" w:eastAsia="Times New Roman" w:hAnsi="Calibri" w:cs="Calibri"/>
                <w:color w:val="010205"/>
                <w:sz w:val="22"/>
                <w:szCs w:val="22"/>
                <w:lang w:eastAsia="en-GB"/>
              </w:rPr>
            </w:pPr>
            <w:r w:rsidRPr="009968E0">
              <w:rPr>
                <w:rFonts w:ascii="Calibri" w:eastAsia="Times New Roman" w:hAnsi="Calibri" w:cs="Calibri"/>
                <w:color w:val="010205"/>
                <w:sz w:val="22"/>
                <w:szCs w:val="22"/>
                <w:lang w:eastAsia="en-GB"/>
              </w:rPr>
              <w:t>21</w:t>
            </w:r>
          </w:p>
        </w:tc>
        <w:tc>
          <w:tcPr>
            <w:tcW w:w="1300" w:type="dxa"/>
            <w:tcBorders>
              <w:top w:val="nil"/>
              <w:left w:val="nil"/>
              <w:bottom w:val="single" w:sz="4" w:space="0" w:color="AEAEAE"/>
              <w:right w:val="single" w:sz="4" w:space="0" w:color="E0E0E0"/>
            </w:tcBorders>
            <w:shd w:val="clear" w:color="auto" w:fill="auto"/>
            <w:noWrap/>
            <w:hideMark/>
          </w:tcPr>
          <w:p w14:paraId="68032734" w14:textId="77777777" w:rsidR="009968E0" w:rsidRPr="009968E0" w:rsidRDefault="009968E0" w:rsidP="009968E0">
            <w:pPr>
              <w:jc w:val="right"/>
              <w:rPr>
                <w:rFonts w:ascii="Calibri" w:eastAsia="Times New Roman" w:hAnsi="Calibri" w:cs="Calibri"/>
                <w:color w:val="010205"/>
                <w:sz w:val="22"/>
                <w:szCs w:val="22"/>
                <w:lang w:eastAsia="en-GB"/>
              </w:rPr>
            </w:pPr>
            <w:r w:rsidRPr="009968E0">
              <w:rPr>
                <w:rFonts w:ascii="Calibri" w:eastAsia="Times New Roman" w:hAnsi="Calibri" w:cs="Calibri"/>
                <w:color w:val="010205"/>
                <w:sz w:val="22"/>
                <w:szCs w:val="22"/>
                <w:lang w:eastAsia="en-GB"/>
              </w:rPr>
              <w:t>12</w:t>
            </w:r>
          </w:p>
        </w:tc>
        <w:tc>
          <w:tcPr>
            <w:tcW w:w="1300" w:type="dxa"/>
            <w:tcBorders>
              <w:top w:val="nil"/>
              <w:left w:val="nil"/>
              <w:bottom w:val="single" w:sz="4" w:space="0" w:color="AEAEAE"/>
              <w:right w:val="single" w:sz="4" w:space="0" w:color="E0E0E0"/>
            </w:tcBorders>
            <w:shd w:val="clear" w:color="auto" w:fill="auto"/>
            <w:noWrap/>
            <w:hideMark/>
          </w:tcPr>
          <w:p w14:paraId="5C03D978" w14:textId="77777777" w:rsidR="009968E0" w:rsidRPr="009968E0" w:rsidRDefault="009968E0" w:rsidP="009968E0">
            <w:pPr>
              <w:jc w:val="right"/>
              <w:rPr>
                <w:rFonts w:ascii="Calibri" w:eastAsia="Times New Roman" w:hAnsi="Calibri" w:cs="Calibri"/>
                <w:color w:val="010205"/>
                <w:sz w:val="22"/>
                <w:szCs w:val="22"/>
                <w:lang w:eastAsia="en-GB"/>
              </w:rPr>
            </w:pPr>
            <w:r w:rsidRPr="009968E0">
              <w:rPr>
                <w:rFonts w:ascii="Calibri" w:eastAsia="Times New Roman" w:hAnsi="Calibri" w:cs="Calibri"/>
                <w:color w:val="010205"/>
                <w:sz w:val="22"/>
                <w:szCs w:val="22"/>
                <w:lang w:eastAsia="en-GB"/>
              </w:rPr>
              <w:t>17</w:t>
            </w:r>
          </w:p>
        </w:tc>
        <w:tc>
          <w:tcPr>
            <w:tcW w:w="1300" w:type="dxa"/>
            <w:tcBorders>
              <w:top w:val="nil"/>
              <w:left w:val="nil"/>
              <w:bottom w:val="single" w:sz="4" w:space="0" w:color="AEAEAE"/>
              <w:right w:val="nil"/>
            </w:tcBorders>
            <w:shd w:val="clear" w:color="auto" w:fill="auto"/>
            <w:noWrap/>
            <w:hideMark/>
          </w:tcPr>
          <w:p w14:paraId="1ABAB9CC" w14:textId="77777777" w:rsidR="009968E0" w:rsidRPr="009968E0" w:rsidRDefault="009968E0" w:rsidP="009968E0">
            <w:pPr>
              <w:jc w:val="right"/>
              <w:rPr>
                <w:rFonts w:ascii="Calibri" w:eastAsia="Times New Roman" w:hAnsi="Calibri" w:cs="Calibri"/>
                <w:color w:val="010205"/>
                <w:sz w:val="22"/>
                <w:szCs w:val="22"/>
                <w:lang w:eastAsia="en-GB"/>
              </w:rPr>
            </w:pPr>
            <w:r w:rsidRPr="009968E0">
              <w:rPr>
                <w:rFonts w:ascii="Calibri" w:eastAsia="Times New Roman" w:hAnsi="Calibri" w:cs="Calibri"/>
                <w:color w:val="010205"/>
                <w:sz w:val="22"/>
                <w:szCs w:val="22"/>
                <w:lang w:eastAsia="en-GB"/>
              </w:rPr>
              <w:t>66</w:t>
            </w:r>
          </w:p>
        </w:tc>
      </w:tr>
      <w:tr w:rsidR="009968E0" w:rsidRPr="009968E0" w14:paraId="2FA99D3A" w14:textId="77777777" w:rsidTr="009968E0">
        <w:trPr>
          <w:trHeight w:val="420"/>
        </w:trPr>
        <w:tc>
          <w:tcPr>
            <w:tcW w:w="2420" w:type="dxa"/>
            <w:tcBorders>
              <w:top w:val="nil"/>
              <w:left w:val="nil"/>
              <w:bottom w:val="single" w:sz="4" w:space="0" w:color="AEAEAE"/>
              <w:right w:val="nil"/>
            </w:tcBorders>
            <w:shd w:val="clear" w:color="auto" w:fill="FDE9D9"/>
            <w:hideMark/>
          </w:tcPr>
          <w:p w14:paraId="446C1C9D" w14:textId="77777777" w:rsidR="009968E0" w:rsidRPr="009968E0" w:rsidRDefault="009968E0" w:rsidP="009968E0">
            <w:pPr>
              <w:jc w:val="right"/>
              <w:rPr>
                <w:rFonts w:ascii="Calibri" w:eastAsia="Times New Roman" w:hAnsi="Calibri" w:cs="Calibri"/>
                <w:i/>
                <w:iCs/>
                <w:color w:val="264A60"/>
                <w:sz w:val="22"/>
                <w:szCs w:val="22"/>
                <w:lang w:eastAsia="en-GB"/>
              </w:rPr>
            </w:pPr>
            <w:r w:rsidRPr="009968E0">
              <w:rPr>
                <w:rFonts w:ascii="Calibri" w:eastAsia="Times New Roman" w:hAnsi="Calibri" w:cs="Calibri"/>
                <w:i/>
                <w:iCs/>
                <w:color w:val="264A60"/>
                <w:sz w:val="22"/>
                <w:szCs w:val="22"/>
                <w:lang w:eastAsia="en-GB"/>
              </w:rPr>
              <w:t>STAI-S</w:t>
            </w:r>
          </w:p>
        </w:tc>
        <w:tc>
          <w:tcPr>
            <w:tcW w:w="1300" w:type="dxa"/>
            <w:tcBorders>
              <w:top w:val="nil"/>
              <w:left w:val="nil"/>
              <w:bottom w:val="single" w:sz="4" w:space="0" w:color="AEAEAE"/>
              <w:right w:val="single" w:sz="4" w:space="0" w:color="E0E0E0"/>
            </w:tcBorders>
            <w:shd w:val="clear" w:color="auto" w:fill="auto"/>
            <w:noWrap/>
            <w:hideMark/>
          </w:tcPr>
          <w:p w14:paraId="02928157" w14:textId="77777777" w:rsidR="009968E0" w:rsidRPr="009968E0" w:rsidRDefault="009968E0" w:rsidP="009968E0">
            <w:pPr>
              <w:jc w:val="right"/>
              <w:rPr>
                <w:rFonts w:ascii="Calibri" w:eastAsia="Times New Roman" w:hAnsi="Calibri" w:cs="Calibri"/>
                <w:color w:val="010205"/>
                <w:sz w:val="22"/>
                <w:szCs w:val="22"/>
                <w:lang w:eastAsia="en-GB"/>
              </w:rPr>
            </w:pPr>
            <w:r w:rsidRPr="009968E0">
              <w:rPr>
                <w:rFonts w:ascii="Calibri" w:eastAsia="Times New Roman" w:hAnsi="Calibri" w:cs="Calibri"/>
                <w:color w:val="010205"/>
                <w:sz w:val="22"/>
                <w:szCs w:val="22"/>
                <w:lang w:eastAsia="en-GB"/>
              </w:rPr>
              <w:t>17</w:t>
            </w:r>
          </w:p>
        </w:tc>
        <w:tc>
          <w:tcPr>
            <w:tcW w:w="1300" w:type="dxa"/>
            <w:tcBorders>
              <w:top w:val="nil"/>
              <w:left w:val="nil"/>
              <w:bottom w:val="single" w:sz="4" w:space="0" w:color="AEAEAE"/>
              <w:right w:val="single" w:sz="4" w:space="0" w:color="E0E0E0"/>
            </w:tcBorders>
            <w:shd w:val="clear" w:color="auto" w:fill="auto"/>
            <w:noWrap/>
            <w:hideMark/>
          </w:tcPr>
          <w:p w14:paraId="497892F6" w14:textId="77777777" w:rsidR="009968E0" w:rsidRPr="009968E0" w:rsidRDefault="009968E0" w:rsidP="009968E0">
            <w:pPr>
              <w:jc w:val="right"/>
              <w:rPr>
                <w:rFonts w:ascii="Calibri" w:eastAsia="Times New Roman" w:hAnsi="Calibri" w:cs="Calibri"/>
                <w:color w:val="010205"/>
                <w:sz w:val="22"/>
                <w:szCs w:val="22"/>
                <w:lang w:eastAsia="en-GB"/>
              </w:rPr>
            </w:pPr>
            <w:r w:rsidRPr="009968E0">
              <w:rPr>
                <w:rFonts w:ascii="Calibri" w:eastAsia="Times New Roman" w:hAnsi="Calibri" w:cs="Calibri"/>
                <w:color w:val="010205"/>
                <w:sz w:val="22"/>
                <w:szCs w:val="22"/>
                <w:lang w:eastAsia="en-GB"/>
              </w:rPr>
              <w:t>22</w:t>
            </w:r>
          </w:p>
        </w:tc>
        <w:tc>
          <w:tcPr>
            <w:tcW w:w="1300" w:type="dxa"/>
            <w:tcBorders>
              <w:top w:val="nil"/>
              <w:left w:val="nil"/>
              <w:bottom w:val="single" w:sz="4" w:space="0" w:color="AEAEAE"/>
              <w:right w:val="single" w:sz="4" w:space="0" w:color="E0E0E0"/>
            </w:tcBorders>
            <w:shd w:val="clear" w:color="auto" w:fill="auto"/>
            <w:noWrap/>
            <w:hideMark/>
          </w:tcPr>
          <w:p w14:paraId="31AAD597" w14:textId="77777777" w:rsidR="009968E0" w:rsidRPr="009968E0" w:rsidRDefault="009968E0" w:rsidP="009968E0">
            <w:pPr>
              <w:jc w:val="right"/>
              <w:rPr>
                <w:rFonts w:ascii="Calibri" w:eastAsia="Times New Roman" w:hAnsi="Calibri" w:cs="Calibri"/>
                <w:color w:val="010205"/>
                <w:sz w:val="22"/>
                <w:szCs w:val="22"/>
                <w:lang w:eastAsia="en-GB"/>
              </w:rPr>
            </w:pPr>
            <w:r w:rsidRPr="009968E0">
              <w:rPr>
                <w:rFonts w:ascii="Calibri" w:eastAsia="Times New Roman" w:hAnsi="Calibri" w:cs="Calibri"/>
                <w:color w:val="010205"/>
                <w:sz w:val="22"/>
                <w:szCs w:val="22"/>
                <w:lang w:eastAsia="en-GB"/>
              </w:rPr>
              <w:t>12</w:t>
            </w:r>
          </w:p>
        </w:tc>
        <w:tc>
          <w:tcPr>
            <w:tcW w:w="1300" w:type="dxa"/>
            <w:tcBorders>
              <w:top w:val="nil"/>
              <w:left w:val="nil"/>
              <w:bottom w:val="single" w:sz="4" w:space="0" w:color="AEAEAE"/>
              <w:right w:val="single" w:sz="4" w:space="0" w:color="E0E0E0"/>
            </w:tcBorders>
            <w:shd w:val="clear" w:color="auto" w:fill="auto"/>
            <w:noWrap/>
            <w:hideMark/>
          </w:tcPr>
          <w:p w14:paraId="01D0D3C2" w14:textId="77777777" w:rsidR="009968E0" w:rsidRPr="009968E0" w:rsidRDefault="009968E0" w:rsidP="009968E0">
            <w:pPr>
              <w:jc w:val="right"/>
              <w:rPr>
                <w:rFonts w:ascii="Calibri" w:eastAsia="Times New Roman" w:hAnsi="Calibri" w:cs="Calibri"/>
                <w:color w:val="010205"/>
                <w:sz w:val="22"/>
                <w:szCs w:val="22"/>
                <w:lang w:eastAsia="en-GB"/>
              </w:rPr>
            </w:pPr>
            <w:r w:rsidRPr="009968E0">
              <w:rPr>
                <w:rFonts w:ascii="Calibri" w:eastAsia="Times New Roman" w:hAnsi="Calibri" w:cs="Calibri"/>
                <w:color w:val="010205"/>
                <w:sz w:val="22"/>
                <w:szCs w:val="22"/>
                <w:lang w:eastAsia="en-GB"/>
              </w:rPr>
              <w:t>17</w:t>
            </w:r>
          </w:p>
        </w:tc>
        <w:tc>
          <w:tcPr>
            <w:tcW w:w="1300" w:type="dxa"/>
            <w:tcBorders>
              <w:top w:val="nil"/>
              <w:left w:val="nil"/>
              <w:bottom w:val="single" w:sz="4" w:space="0" w:color="AEAEAE"/>
              <w:right w:val="nil"/>
            </w:tcBorders>
            <w:shd w:val="clear" w:color="auto" w:fill="auto"/>
            <w:noWrap/>
            <w:hideMark/>
          </w:tcPr>
          <w:p w14:paraId="43585B0B" w14:textId="77777777" w:rsidR="009968E0" w:rsidRPr="009968E0" w:rsidRDefault="009968E0" w:rsidP="009968E0">
            <w:pPr>
              <w:jc w:val="right"/>
              <w:rPr>
                <w:rFonts w:ascii="Calibri" w:eastAsia="Times New Roman" w:hAnsi="Calibri" w:cs="Calibri"/>
                <w:color w:val="010205"/>
                <w:sz w:val="22"/>
                <w:szCs w:val="22"/>
                <w:lang w:eastAsia="en-GB"/>
              </w:rPr>
            </w:pPr>
            <w:r w:rsidRPr="009968E0">
              <w:rPr>
                <w:rFonts w:ascii="Calibri" w:eastAsia="Times New Roman" w:hAnsi="Calibri" w:cs="Calibri"/>
                <w:color w:val="010205"/>
                <w:sz w:val="22"/>
                <w:szCs w:val="22"/>
                <w:lang w:eastAsia="en-GB"/>
              </w:rPr>
              <w:t>68</w:t>
            </w:r>
          </w:p>
        </w:tc>
      </w:tr>
      <w:tr w:rsidR="009968E0" w:rsidRPr="009968E0" w14:paraId="2C910F9E" w14:textId="77777777" w:rsidTr="009968E0">
        <w:trPr>
          <w:trHeight w:val="420"/>
        </w:trPr>
        <w:tc>
          <w:tcPr>
            <w:tcW w:w="2420" w:type="dxa"/>
            <w:tcBorders>
              <w:top w:val="nil"/>
              <w:left w:val="nil"/>
              <w:bottom w:val="single" w:sz="4" w:space="0" w:color="AEAEAE"/>
              <w:right w:val="nil"/>
            </w:tcBorders>
            <w:shd w:val="clear" w:color="auto" w:fill="FDE9D9"/>
            <w:hideMark/>
          </w:tcPr>
          <w:p w14:paraId="19017797" w14:textId="77777777" w:rsidR="009968E0" w:rsidRPr="009968E0" w:rsidRDefault="009968E0" w:rsidP="009968E0">
            <w:pPr>
              <w:jc w:val="right"/>
              <w:rPr>
                <w:rFonts w:ascii="Calibri" w:eastAsia="Times New Roman" w:hAnsi="Calibri" w:cs="Calibri"/>
                <w:i/>
                <w:iCs/>
                <w:color w:val="264A60"/>
                <w:sz w:val="22"/>
                <w:szCs w:val="22"/>
                <w:lang w:eastAsia="en-GB"/>
              </w:rPr>
            </w:pPr>
            <w:r w:rsidRPr="009968E0">
              <w:rPr>
                <w:rFonts w:ascii="Calibri" w:eastAsia="Times New Roman" w:hAnsi="Calibri" w:cs="Calibri"/>
                <w:i/>
                <w:iCs/>
                <w:color w:val="264A60"/>
                <w:sz w:val="22"/>
                <w:szCs w:val="22"/>
                <w:lang w:eastAsia="en-GB"/>
              </w:rPr>
              <w:t>STAI-T</w:t>
            </w:r>
          </w:p>
        </w:tc>
        <w:tc>
          <w:tcPr>
            <w:tcW w:w="1300" w:type="dxa"/>
            <w:tcBorders>
              <w:top w:val="nil"/>
              <w:left w:val="nil"/>
              <w:bottom w:val="single" w:sz="4" w:space="0" w:color="AEAEAE"/>
              <w:right w:val="single" w:sz="4" w:space="0" w:color="E0E0E0"/>
            </w:tcBorders>
            <w:shd w:val="clear" w:color="auto" w:fill="auto"/>
            <w:noWrap/>
            <w:hideMark/>
          </w:tcPr>
          <w:p w14:paraId="68559433" w14:textId="77777777" w:rsidR="009968E0" w:rsidRPr="009968E0" w:rsidRDefault="009968E0" w:rsidP="009968E0">
            <w:pPr>
              <w:jc w:val="right"/>
              <w:rPr>
                <w:rFonts w:ascii="Calibri" w:eastAsia="Times New Roman" w:hAnsi="Calibri" w:cs="Calibri"/>
                <w:color w:val="010205"/>
                <w:sz w:val="22"/>
                <w:szCs w:val="22"/>
                <w:lang w:eastAsia="en-GB"/>
              </w:rPr>
            </w:pPr>
            <w:r w:rsidRPr="009968E0">
              <w:rPr>
                <w:rFonts w:ascii="Calibri" w:eastAsia="Times New Roman" w:hAnsi="Calibri" w:cs="Calibri"/>
                <w:color w:val="010205"/>
                <w:sz w:val="22"/>
                <w:szCs w:val="22"/>
                <w:lang w:eastAsia="en-GB"/>
              </w:rPr>
              <w:t>16</w:t>
            </w:r>
          </w:p>
        </w:tc>
        <w:tc>
          <w:tcPr>
            <w:tcW w:w="1300" w:type="dxa"/>
            <w:tcBorders>
              <w:top w:val="nil"/>
              <w:left w:val="nil"/>
              <w:bottom w:val="single" w:sz="4" w:space="0" w:color="AEAEAE"/>
              <w:right w:val="single" w:sz="4" w:space="0" w:color="E0E0E0"/>
            </w:tcBorders>
            <w:shd w:val="clear" w:color="auto" w:fill="auto"/>
            <w:noWrap/>
            <w:hideMark/>
          </w:tcPr>
          <w:p w14:paraId="36235925" w14:textId="77777777" w:rsidR="009968E0" w:rsidRPr="009968E0" w:rsidRDefault="009968E0" w:rsidP="009968E0">
            <w:pPr>
              <w:jc w:val="right"/>
              <w:rPr>
                <w:rFonts w:ascii="Calibri" w:eastAsia="Times New Roman" w:hAnsi="Calibri" w:cs="Calibri"/>
                <w:color w:val="010205"/>
                <w:sz w:val="22"/>
                <w:szCs w:val="22"/>
                <w:lang w:eastAsia="en-GB"/>
              </w:rPr>
            </w:pPr>
            <w:r w:rsidRPr="009968E0">
              <w:rPr>
                <w:rFonts w:ascii="Calibri" w:eastAsia="Times New Roman" w:hAnsi="Calibri" w:cs="Calibri"/>
                <w:color w:val="010205"/>
                <w:sz w:val="22"/>
                <w:szCs w:val="22"/>
                <w:lang w:eastAsia="en-GB"/>
              </w:rPr>
              <w:t>22</w:t>
            </w:r>
          </w:p>
        </w:tc>
        <w:tc>
          <w:tcPr>
            <w:tcW w:w="1300" w:type="dxa"/>
            <w:tcBorders>
              <w:top w:val="nil"/>
              <w:left w:val="nil"/>
              <w:bottom w:val="single" w:sz="4" w:space="0" w:color="AEAEAE"/>
              <w:right w:val="single" w:sz="4" w:space="0" w:color="E0E0E0"/>
            </w:tcBorders>
            <w:shd w:val="clear" w:color="auto" w:fill="auto"/>
            <w:noWrap/>
            <w:hideMark/>
          </w:tcPr>
          <w:p w14:paraId="051FBA82" w14:textId="77777777" w:rsidR="009968E0" w:rsidRPr="009968E0" w:rsidRDefault="009968E0" w:rsidP="009968E0">
            <w:pPr>
              <w:jc w:val="right"/>
              <w:rPr>
                <w:rFonts w:ascii="Calibri" w:eastAsia="Times New Roman" w:hAnsi="Calibri" w:cs="Calibri"/>
                <w:color w:val="010205"/>
                <w:sz w:val="22"/>
                <w:szCs w:val="22"/>
                <w:lang w:eastAsia="en-GB"/>
              </w:rPr>
            </w:pPr>
            <w:r w:rsidRPr="009968E0">
              <w:rPr>
                <w:rFonts w:ascii="Calibri" w:eastAsia="Times New Roman" w:hAnsi="Calibri" w:cs="Calibri"/>
                <w:color w:val="010205"/>
                <w:sz w:val="22"/>
                <w:szCs w:val="22"/>
                <w:lang w:eastAsia="en-GB"/>
              </w:rPr>
              <w:t>12</w:t>
            </w:r>
          </w:p>
        </w:tc>
        <w:tc>
          <w:tcPr>
            <w:tcW w:w="1300" w:type="dxa"/>
            <w:tcBorders>
              <w:top w:val="nil"/>
              <w:left w:val="nil"/>
              <w:bottom w:val="single" w:sz="4" w:space="0" w:color="AEAEAE"/>
              <w:right w:val="single" w:sz="4" w:space="0" w:color="E0E0E0"/>
            </w:tcBorders>
            <w:shd w:val="clear" w:color="auto" w:fill="auto"/>
            <w:noWrap/>
            <w:hideMark/>
          </w:tcPr>
          <w:p w14:paraId="2D42CD71" w14:textId="77777777" w:rsidR="009968E0" w:rsidRPr="009968E0" w:rsidRDefault="009968E0" w:rsidP="009968E0">
            <w:pPr>
              <w:jc w:val="right"/>
              <w:rPr>
                <w:rFonts w:ascii="Calibri" w:eastAsia="Times New Roman" w:hAnsi="Calibri" w:cs="Calibri"/>
                <w:color w:val="010205"/>
                <w:sz w:val="22"/>
                <w:szCs w:val="22"/>
                <w:lang w:eastAsia="en-GB"/>
              </w:rPr>
            </w:pPr>
            <w:r w:rsidRPr="009968E0">
              <w:rPr>
                <w:rFonts w:ascii="Calibri" w:eastAsia="Times New Roman" w:hAnsi="Calibri" w:cs="Calibri"/>
                <w:color w:val="010205"/>
                <w:sz w:val="22"/>
                <w:szCs w:val="22"/>
                <w:lang w:eastAsia="en-GB"/>
              </w:rPr>
              <w:t>16</w:t>
            </w:r>
          </w:p>
        </w:tc>
        <w:tc>
          <w:tcPr>
            <w:tcW w:w="1300" w:type="dxa"/>
            <w:tcBorders>
              <w:top w:val="nil"/>
              <w:left w:val="nil"/>
              <w:bottom w:val="single" w:sz="4" w:space="0" w:color="AEAEAE"/>
              <w:right w:val="nil"/>
            </w:tcBorders>
            <w:shd w:val="clear" w:color="auto" w:fill="auto"/>
            <w:noWrap/>
            <w:hideMark/>
          </w:tcPr>
          <w:p w14:paraId="76D03513" w14:textId="77777777" w:rsidR="009968E0" w:rsidRPr="009968E0" w:rsidRDefault="009968E0" w:rsidP="009968E0">
            <w:pPr>
              <w:jc w:val="right"/>
              <w:rPr>
                <w:rFonts w:ascii="Calibri" w:eastAsia="Times New Roman" w:hAnsi="Calibri" w:cs="Calibri"/>
                <w:color w:val="010205"/>
                <w:sz w:val="22"/>
                <w:szCs w:val="22"/>
                <w:lang w:eastAsia="en-GB"/>
              </w:rPr>
            </w:pPr>
            <w:r w:rsidRPr="009968E0">
              <w:rPr>
                <w:rFonts w:ascii="Calibri" w:eastAsia="Times New Roman" w:hAnsi="Calibri" w:cs="Calibri"/>
                <w:color w:val="010205"/>
                <w:sz w:val="22"/>
                <w:szCs w:val="22"/>
                <w:lang w:eastAsia="en-GB"/>
              </w:rPr>
              <w:t>66</w:t>
            </w:r>
          </w:p>
        </w:tc>
      </w:tr>
      <w:tr w:rsidR="009968E0" w:rsidRPr="009968E0" w14:paraId="17E7D58B" w14:textId="77777777" w:rsidTr="009968E0">
        <w:trPr>
          <w:trHeight w:val="420"/>
        </w:trPr>
        <w:tc>
          <w:tcPr>
            <w:tcW w:w="2420" w:type="dxa"/>
            <w:tcBorders>
              <w:top w:val="nil"/>
              <w:left w:val="nil"/>
              <w:bottom w:val="single" w:sz="4" w:space="0" w:color="AEAEAE"/>
              <w:right w:val="nil"/>
            </w:tcBorders>
            <w:shd w:val="clear" w:color="auto" w:fill="FDE9D9"/>
            <w:hideMark/>
          </w:tcPr>
          <w:p w14:paraId="5410E1A9" w14:textId="77777777" w:rsidR="009968E0" w:rsidRPr="009968E0" w:rsidRDefault="009968E0" w:rsidP="009968E0">
            <w:pPr>
              <w:jc w:val="right"/>
              <w:rPr>
                <w:rFonts w:ascii="Calibri" w:eastAsia="Times New Roman" w:hAnsi="Calibri" w:cs="Calibri"/>
                <w:i/>
                <w:iCs/>
                <w:color w:val="264A60"/>
                <w:sz w:val="22"/>
                <w:szCs w:val="22"/>
                <w:lang w:eastAsia="en-GB"/>
              </w:rPr>
            </w:pPr>
            <w:r w:rsidRPr="009968E0">
              <w:rPr>
                <w:rFonts w:ascii="Calibri" w:eastAsia="Times New Roman" w:hAnsi="Calibri" w:cs="Calibri"/>
                <w:i/>
                <w:iCs/>
                <w:color w:val="264A60"/>
                <w:sz w:val="22"/>
                <w:szCs w:val="22"/>
                <w:lang w:eastAsia="en-GB"/>
              </w:rPr>
              <w:t>BIS/BAS</w:t>
            </w:r>
          </w:p>
        </w:tc>
        <w:tc>
          <w:tcPr>
            <w:tcW w:w="1300" w:type="dxa"/>
            <w:tcBorders>
              <w:top w:val="nil"/>
              <w:left w:val="nil"/>
              <w:bottom w:val="single" w:sz="4" w:space="0" w:color="AEAEAE"/>
              <w:right w:val="single" w:sz="4" w:space="0" w:color="E0E0E0"/>
            </w:tcBorders>
            <w:shd w:val="clear" w:color="auto" w:fill="auto"/>
            <w:noWrap/>
            <w:hideMark/>
          </w:tcPr>
          <w:p w14:paraId="26ADF241" w14:textId="77777777" w:rsidR="009968E0" w:rsidRPr="009968E0" w:rsidRDefault="009968E0" w:rsidP="009968E0">
            <w:pPr>
              <w:jc w:val="right"/>
              <w:rPr>
                <w:rFonts w:ascii="Calibri" w:eastAsia="Times New Roman" w:hAnsi="Calibri" w:cs="Calibri"/>
                <w:color w:val="010205"/>
                <w:sz w:val="22"/>
                <w:szCs w:val="22"/>
                <w:lang w:eastAsia="en-GB"/>
              </w:rPr>
            </w:pPr>
            <w:r w:rsidRPr="009968E0">
              <w:rPr>
                <w:rFonts w:ascii="Calibri" w:eastAsia="Times New Roman" w:hAnsi="Calibri" w:cs="Calibri"/>
                <w:color w:val="010205"/>
                <w:sz w:val="22"/>
                <w:szCs w:val="22"/>
                <w:lang w:eastAsia="en-GB"/>
              </w:rPr>
              <w:t>16</w:t>
            </w:r>
          </w:p>
        </w:tc>
        <w:tc>
          <w:tcPr>
            <w:tcW w:w="1300" w:type="dxa"/>
            <w:tcBorders>
              <w:top w:val="nil"/>
              <w:left w:val="nil"/>
              <w:bottom w:val="single" w:sz="4" w:space="0" w:color="AEAEAE"/>
              <w:right w:val="single" w:sz="4" w:space="0" w:color="E0E0E0"/>
            </w:tcBorders>
            <w:shd w:val="clear" w:color="auto" w:fill="auto"/>
            <w:noWrap/>
            <w:hideMark/>
          </w:tcPr>
          <w:p w14:paraId="7A3363A1" w14:textId="77777777" w:rsidR="009968E0" w:rsidRPr="009968E0" w:rsidRDefault="009968E0" w:rsidP="009968E0">
            <w:pPr>
              <w:jc w:val="right"/>
              <w:rPr>
                <w:rFonts w:ascii="Calibri" w:eastAsia="Times New Roman" w:hAnsi="Calibri" w:cs="Calibri"/>
                <w:color w:val="010205"/>
                <w:sz w:val="22"/>
                <w:szCs w:val="22"/>
                <w:lang w:eastAsia="en-GB"/>
              </w:rPr>
            </w:pPr>
            <w:r w:rsidRPr="009968E0">
              <w:rPr>
                <w:rFonts w:ascii="Calibri" w:eastAsia="Times New Roman" w:hAnsi="Calibri" w:cs="Calibri"/>
                <w:color w:val="010205"/>
                <w:sz w:val="22"/>
                <w:szCs w:val="22"/>
                <w:lang w:eastAsia="en-GB"/>
              </w:rPr>
              <w:t>21</w:t>
            </w:r>
          </w:p>
        </w:tc>
        <w:tc>
          <w:tcPr>
            <w:tcW w:w="1300" w:type="dxa"/>
            <w:tcBorders>
              <w:top w:val="nil"/>
              <w:left w:val="nil"/>
              <w:bottom w:val="single" w:sz="4" w:space="0" w:color="AEAEAE"/>
              <w:right w:val="single" w:sz="4" w:space="0" w:color="E0E0E0"/>
            </w:tcBorders>
            <w:shd w:val="clear" w:color="auto" w:fill="auto"/>
            <w:noWrap/>
            <w:hideMark/>
          </w:tcPr>
          <w:p w14:paraId="20820449" w14:textId="77777777" w:rsidR="009968E0" w:rsidRPr="009968E0" w:rsidRDefault="009968E0" w:rsidP="009968E0">
            <w:pPr>
              <w:jc w:val="right"/>
              <w:rPr>
                <w:rFonts w:ascii="Calibri" w:eastAsia="Times New Roman" w:hAnsi="Calibri" w:cs="Calibri"/>
                <w:color w:val="010205"/>
                <w:sz w:val="22"/>
                <w:szCs w:val="22"/>
                <w:lang w:eastAsia="en-GB"/>
              </w:rPr>
            </w:pPr>
            <w:r w:rsidRPr="009968E0">
              <w:rPr>
                <w:rFonts w:ascii="Calibri" w:eastAsia="Times New Roman" w:hAnsi="Calibri" w:cs="Calibri"/>
                <w:color w:val="010205"/>
                <w:sz w:val="22"/>
                <w:szCs w:val="22"/>
                <w:lang w:eastAsia="en-GB"/>
              </w:rPr>
              <w:t>12</w:t>
            </w:r>
          </w:p>
        </w:tc>
        <w:tc>
          <w:tcPr>
            <w:tcW w:w="1300" w:type="dxa"/>
            <w:tcBorders>
              <w:top w:val="nil"/>
              <w:left w:val="nil"/>
              <w:bottom w:val="single" w:sz="4" w:space="0" w:color="AEAEAE"/>
              <w:right w:val="single" w:sz="4" w:space="0" w:color="E0E0E0"/>
            </w:tcBorders>
            <w:shd w:val="clear" w:color="auto" w:fill="auto"/>
            <w:noWrap/>
            <w:hideMark/>
          </w:tcPr>
          <w:p w14:paraId="36EB3478" w14:textId="77777777" w:rsidR="009968E0" w:rsidRPr="009968E0" w:rsidRDefault="009968E0" w:rsidP="009968E0">
            <w:pPr>
              <w:jc w:val="right"/>
              <w:rPr>
                <w:rFonts w:ascii="Calibri" w:eastAsia="Times New Roman" w:hAnsi="Calibri" w:cs="Calibri"/>
                <w:color w:val="010205"/>
                <w:sz w:val="22"/>
                <w:szCs w:val="22"/>
                <w:lang w:eastAsia="en-GB"/>
              </w:rPr>
            </w:pPr>
            <w:r w:rsidRPr="009968E0">
              <w:rPr>
                <w:rFonts w:ascii="Calibri" w:eastAsia="Times New Roman" w:hAnsi="Calibri" w:cs="Calibri"/>
                <w:color w:val="010205"/>
                <w:sz w:val="22"/>
                <w:szCs w:val="22"/>
                <w:lang w:eastAsia="en-GB"/>
              </w:rPr>
              <w:t>17</w:t>
            </w:r>
          </w:p>
        </w:tc>
        <w:tc>
          <w:tcPr>
            <w:tcW w:w="1300" w:type="dxa"/>
            <w:tcBorders>
              <w:top w:val="nil"/>
              <w:left w:val="nil"/>
              <w:bottom w:val="single" w:sz="4" w:space="0" w:color="AEAEAE"/>
              <w:right w:val="nil"/>
            </w:tcBorders>
            <w:shd w:val="clear" w:color="auto" w:fill="auto"/>
            <w:noWrap/>
            <w:hideMark/>
          </w:tcPr>
          <w:p w14:paraId="7848B229" w14:textId="77777777" w:rsidR="009968E0" w:rsidRPr="009968E0" w:rsidRDefault="009968E0" w:rsidP="009968E0">
            <w:pPr>
              <w:jc w:val="right"/>
              <w:rPr>
                <w:rFonts w:ascii="Calibri" w:eastAsia="Times New Roman" w:hAnsi="Calibri" w:cs="Calibri"/>
                <w:color w:val="010205"/>
                <w:sz w:val="22"/>
                <w:szCs w:val="22"/>
                <w:lang w:eastAsia="en-GB"/>
              </w:rPr>
            </w:pPr>
            <w:r w:rsidRPr="009968E0">
              <w:rPr>
                <w:rFonts w:ascii="Calibri" w:eastAsia="Times New Roman" w:hAnsi="Calibri" w:cs="Calibri"/>
                <w:color w:val="010205"/>
                <w:sz w:val="22"/>
                <w:szCs w:val="22"/>
                <w:lang w:eastAsia="en-GB"/>
              </w:rPr>
              <w:t>66</w:t>
            </w:r>
          </w:p>
        </w:tc>
      </w:tr>
      <w:tr w:rsidR="009968E0" w:rsidRPr="009968E0" w14:paraId="18B898DF" w14:textId="77777777" w:rsidTr="009968E0">
        <w:trPr>
          <w:trHeight w:val="420"/>
        </w:trPr>
        <w:tc>
          <w:tcPr>
            <w:tcW w:w="2420" w:type="dxa"/>
            <w:tcBorders>
              <w:top w:val="nil"/>
              <w:left w:val="nil"/>
              <w:bottom w:val="single" w:sz="4" w:space="0" w:color="AEAEAE"/>
              <w:right w:val="nil"/>
            </w:tcBorders>
            <w:shd w:val="clear" w:color="auto" w:fill="FDE9D9"/>
            <w:hideMark/>
          </w:tcPr>
          <w:p w14:paraId="33F7F8B5" w14:textId="77777777" w:rsidR="009968E0" w:rsidRPr="009968E0" w:rsidRDefault="009968E0" w:rsidP="009968E0">
            <w:pPr>
              <w:jc w:val="right"/>
              <w:rPr>
                <w:rFonts w:ascii="Calibri" w:eastAsia="Times New Roman" w:hAnsi="Calibri" w:cs="Calibri"/>
                <w:i/>
                <w:iCs/>
                <w:color w:val="264A60"/>
                <w:sz w:val="22"/>
                <w:szCs w:val="22"/>
                <w:lang w:eastAsia="en-GB"/>
              </w:rPr>
            </w:pPr>
            <w:r w:rsidRPr="009968E0">
              <w:rPr>
                <w:rFonts w:ascii="Calibri" w:eastAsia="Times New Roman" w:hAnsi="Calibri" w:cs="Calibri"/>
                <w:i/>
                <w:iCs/>
                <w:color w:val="264A60"/>
                <w:sz w:val="22"/>
                <w:szCs w:val="22"/>
                <w:lang w:eastAsia="en-GB"/>
              </w:rPr>
              <w:t>PCS</w:t>
            </w:r>
          </w:p>
        </w:tc>
        <w:tc>
          <w:tcPr>
            <w:tcW w:w="1300" w:type="dxa"/>
            <w:tcBorders>
              <w:top w:val="nil"/>
              <w:left w:val="nil"/>
              <w:bottom w:val="single" w:sz="4" w:space="0" w:color="AEAEAE"/>
              <w:right w:val="single" w:sz="4" w:space="0" w:color="E0E0E0"/>
            </w:tcBorders>
            <w:shd w:val="clear" w:color="auto" w:fill="auto"/>
            <w:noWrap/>
            <w:hideMark/>
          </w:tcPr>
          <w:p w14:paraId="4B0D0EF8" w14:textId="77777777" w:rsidR="009968E0" w:rsidRPr="009968E0" w:rsidRDefault="009968E0" w:rsidP="009968E0">
            <w:pPr>
              <w:jc w:val="right"/>
              <w:rPr>
                <w:rFonts w:ascii="Calibri" w:eastAsia="Times New Roman" w:hAnsi="Calibri" w:cs="Calibri"/>
                <w:color w:val="010205"/>
                <w:sz w:val="22"/>
                <w:szCs w:val="22"/>
                <w:lang w:eastAsia="en-GB"/>
              </w:rPr>
            </w:pPr>
            <w:r w:rsidRPr="009968E0">
              <w:rPr>
                <w:rFonts w:ascii="Calibri" w:eastAsia="Times New Roman" w:hAnsi="Calibri" w:cs="Calibri"/>
                <w:color w:val="010205"/>
                <w:sz w:val="22"/>
                <w:szCs w:val="22"/>
                <w:lang w:eastAsia="en-GB"/>
              </w:rPr>
              <w:t>17</w:t>
            </w:r>
          </w:p>
        </w:tc>
        <w:tc>
          <w:tcPr>
            <w:tcW w:w="1300" w:type="dxa"/>
            <w:tcBorders>
              <w:top w:val="nil"/>
              <w:left w:val="nil"/>
              <w:bottom w:val="single" w:sz="4" w:space="0" w:color="AEAEAE"/>
              <w:right w:val="single" w:sz="4" w:space="0" w:color="E0E0E0"/>
            </w:tcBorders>
            <w:shd w:val="clear" w:color="auto" w:fill="auto"/>
            <w:noWrap/>
            <w:hideMark/>
          </w:tcPr>
          <w:p w14:paraId="4F042A6B" w14:textId="77777777" w:rsidR="009968E0" w:rsidRPr="009968E0" w:rsidRDefault="009968E0" w:rsidP="009968E0">
            <w:pPr>
              <w:jc w:val="right"/>
              <w:rPr>
                <w:rFonts w:ascii="Calibri" w:eastAsia="Times New Roman" w:hAnsi="Calibri" w:cs="Calibri"/>
                <w:color w:val="010205"/>
                <w:sz w:val="22"/>
                <w:szCs w:val="22"/>
                <w:lang w:eastAsia="en-GB"/>
              </w:rPr>
            </w:pPr>
            <w:r w:rsidRPr="009968E0">
              <w:rPr>
                <w:rFonts w:ascii="Calibri" w:eastAsia="Times New Roman" w:hAnsi="Calibri" w:cs="Calibri"/>
                <w:color w:val="010205"/>
                <w:sz w:val="22"/>
                <w:szCs w:val="22"/>
                <w:lang w:eastAsia="en-GB"/>
              </w:rPr>
              <w:t>20</w:t>
            </w:r>
          </w:p>
        </w:tc>
        <w:tc>
          <w:tcPr>
            <w:tcW w:w="1300" w:type="dxa"/>
            <w:tcBorders>
              <w:top w:val="nil"/>
              <w:left w:val="nil"/>
              <w:bottom w:val="single" w:sz="4" w:space="0" w:color="AEAEAE"/>
              <w:right w:val="single" w:sz="4" w:space="0" w:color="E0E0E0"/>
            </w:tcBorders>
            <w:shd w:val="clear" w:color="auto" w:fill="auto"/>
            <w:noWrap/>
            <w:hideMark/>
          </w:tcPr>
          <w:p w14:paraId="6DDC1B0B" w14:textId="77777777" w:rsidR="009968E0" w:rsidRPr="009968E0" w:rsidRDefault="009968E0" w:rsidP="009968E0">
            <w:pPr>
              <w:jc w:val="right"/>
              <w:rPr>
                <w:rFonts w:ascii="Calibri" w:eastAsia="Times New Roman" w:hAnsi="Calibri" w:cs="Calibri"/>
                <w:color w:val="010205"/>
                <w:sz w:val="22"/>
                <w:szCs w:val="22"/>
                <w:lang w:eastAsia="en-GB"/>
              </w:rPr>
            </w:pPr>
            <w:r w:rsidRPr="009968E0">
              <w:rPr>
                <w:rFonts w:ascii="Calibri" w:eastAsia="Times New Roman" w:hAnsi="Calibri" w:cs="Calibri"/>
                <w:color w:val="010205"/>
                <w:sz w:val="22"/>
                <w:szCs w:val="22"/>
                <w:lang w:eastAsia="en-GB"/>
              </w:rPr>
              <w:t>12</w:t>
            </w:r>
          </w:p>
        </w:tc>
        <w:tc>
          <w:tcPr>
            <w:tcW w:w="1300" w:type="dxa"/>
            <w:tcBorders>
              <w:top w:val="nil"/>
              <w:left w:val="nil"/>
              <w:bottom w:val="single" w:sz="4" w:space="0" w:color="AEAEAE"/>
              <w:right w:val="single" w:sz="4" w:space="0" w:color="E0E0E0"/>
            </w:tcBorders>
            <w:shd w:val="clear" w:color="auto" w:fill="auto"/>
            <w:noWrap/>
            <w:hideMark/>
          </w:tcPr>
          <w:p w14:paraId="30065C79" w14:textId="77777777" w:rsidR="009968E0" w:rsidRPr="009968E0" w:rsidRDefault="009968E0" w:rsidP="009968E0">
            <w:pPr>
              <w:jc w:val="right"/>
              <w:rPr>
                <w:rFonts w:ascii="Calibri" w:eastAsia="Times New Roman" w:hAnsi="Calibri" w:cs="Calibri"/>
                <w:color w:val="010205"/>
                <w:sz w:val="22"/>
                <w:szCs w:val="22"/>
                <w:lang w:eastAsia="en-GB"/>
              </w:rPr>
            </w:pPr>
            <w:r w:rsidRPr="009968E0">
              <w:rPr>
                <w:rFonts w:ascii="Calibri" w:eastAsia="Times New Roman" w:hAnsi="Calibri" w:cs="Calibri"/>
                <w:color w:val="010205"/>
                <w:sz w:val="22"/>
                <w:szCs w:val="22"/>
                <w:lang w:eastAsia="en-GB"/>
              </w:rPr>
              <w:t>16</w:t>
            </w:r>
          </w:p>
        </w:tc>
        <w:tc>
          <w:tcPr>
            <w:tcW w:w="1300" w:type="dxa"/>
            <w:tcBorders>
              <w:top w:val="nil"/>
              <w:left w:val="nil"/>
              <w:bottom w:val="single" w:sz="4" w:space="0" w:color="AEAEAE"/>
              <w:right w:val="nil"/>
            </w:tcBorders>
            <w:shd w:val="clear" w:color="auto" w:fill="auto"/>
            <w:noWrap/>
            <w:hideMark/>
          </w:tcPr>
          <w:p w14:paraId="7F1661F3" w14:textId="77777777" w:rsidR="009968E0" w:rsidRPr="009968E0" w:rsidRDefault="009968E0" w:rsidP="009968E0">
            <w:pPr>
              <w:jc w:val="right"/>
              <w:rPr>
                <w:rFonts w:ascii="Calibri" w:eastAsia="Times New Roman" w:hAnsi="Calibri" w:cs="Calibri"/>
                <w:color w:val="010205"/>
                <w:sz w:val="22"/>
                <w:szCs w:val="22"/>
                <w:lang w:eastAsia="en-GB"/>
              </w:rPr>
            </w:pPr>
            <w:r w:rsidRPr="009968E0">
              <w:rPr>
                <w:rFonts w:ascii="Calibri" w:eastAsia="Times New Roman" w:hAnsi="Calibri" w:cs="Calibri"/>
                <w:color w:val="010205"/>
                <w:sz w:val="22"/>
                <w:szCs w:val="22"/>
                <w:lang w:eastAsia="en-GB"/>
              </w:rPr>
              <w:t>65</w:t>
            </w:r>
          </w:p>
        </w:tc>
      </w:tr>
      <w:tr w:rsidR="009968E0" w:rsidRPr="009968E0" w14:paraId="30E2266F" w14:textId="77777777" w:rsidTr="009968E0">
        <w:trPr>
          <w:trHeight w:val="420"/>
        </w:trPr>
        <w:tc>
          <w:tcPr>
            <w:tcW w:w="2420" w:type="dxa"/>
            <w:tcBorders>
              <w:top w:val="nil"/>
              <w:left w:val="nil"/>
              <w:bottom w:val="single" w:sz="4" w:space="0" w:color="152935"/>
              <w:right w:val="nil"/>
            </w:tcBorders>
            <w:shd w:val="clear" w:color="auto" w:fill="FDE9D9"/>
            <w:hideMark/>
          </w:tcPr>
          <w:p w14:paraId="7CCD6492" w14:textId="77777777" w:rsidR="009968E0" w:rsidRPr="009968E0" w:rsidRDefault="009968E0" w:rsidP="009968E0">
            <w:pPr>
              <w:jc w:val="right"/>
              <w:rPr>
                <w:rFonts w:ascii="Calibri" w:eastAsia="Times New Roman" w:hAnsi="Calibri" w:cs="Calibri"/>
                <w:i/>
                <w:iCs/>
                <w:color w:val="264A60"/>
                <w:sz w:val="22"/>
                <w:szCs w:val="22"/>
                <w:lang w:eastAsia="en-GB"/>
              </w:rPr>
            </w:pPr>
            <w:r w:rsidRPr="009968E0">
              <w:rPr>
                <w:rFonts w:ascii="Calibri" w:eastAsia="Times New Roman" w:hAnsi="Calibri" w:cs="Calibri"/>
                <w:i/>
                <w:iCs/>
                <w:color w:val="264A60"/>
                <w:sz w:val="22"/>
                <w:szCs w:val="22"/>
                <w:lang w:eastAsia="en-GB"/>
              </w:rPr>
              <w:t>PILL (CDE score 1)</w:t>
            </w:r>
          </w:p>
        </w:tc>
        <w:tc>
          <w:tcPr>
            <w:tcW w:w="1300" w:type="dxa"/>
            <w:tcBorders>
              <w:top w:val="nil"/>
              <w:left w:val="nil"/>
              <w:bottom w:val="single" w:sz="4" w:space="0" w:color="152935"/>
              <w:right w:val="single" w:sz="4" w:space="0" w:color="E0E0E0"/>
            </w:tcBorders>
            <w:shd w:val="clear" w:color="auto" w:fill="auto"/>
            <w:noWrap/>
            <w:hideMark/>
          </w:tcPr>
          <w:p w14:paraId="6E9832C4" w14:textId="77777777" w:rsidR="009968E0" w:rsidRPr="009968E0" w:rsidRDefault="009968E0" w:rsidP="009968E0">
            <w:pPr>
              <w:jc w:val="right"/>
              <w:rPr>
                <w:rFonts w:ascii="Calibri" w:eastAsia="Times New Roman" w:hAnsi="Calibri" w:cs="Calibri"/>
                <w:color w:val="010205"/>
                <w:sz w:val="22"/>
                <w:szCs w:val="22"/>
                <w:lang w:eastAsia="en-GB"/>
              </w:rPr>
            </w:pPr>
            <w:r w:rsidRPr="009968E0">
              <w:rPr>
                <w:rFonts w:ascii="Calibri" w:eastAsia="Times New Roman" w:hAnsi="Calibri" w:cs="Calibri"/>
                <w:color w:val="010205"/>
                <w:sz w:val="22"/>
                <w:szCs w:val="22"/>
                <w:lang w:eastAsia="en-GB"/>
              </w:rPr>
              <w:t>16</w:t>
            </w:r>
          </w:p>
        </w:tc>
        <w:tc>
          <w:tcPr>
            <w:tcW w:w="1300" w:type="dxa"/>
            <w:tcBorders>
              <w:top w:val="nil"/>
              <w:left w:val="nil"/>
              <w:bottom w:val="single" w:sz="4" w:space="0" w:color="152935"/>
              <w:right w:val="single" w:sz="4" w:space="0" w:color="E0E0E0"/>
            </w:tcBorders>
            <w:shd w:val="clear" w:color="auto" w:fill="auto"/>
            <w:noWrap/>
            <w:hideMark/>
          </w:tcPr>
          <w:p w14:paraId="5FE0819C" w14:textId="77777777" w:rsidR="009968E0" w:rsidRPr="009968E0" w:rsidRDefault="009968E0" w:rsidP="009968E0">
            <w:pPr>
              <w:jc w:val="right"/>
              <w:rPr>
                <w:rFonts w:ascii="Calibri" w:eastAsia="Times New Roman" w:hAnsi="Calibri" w:cs="Calibri"/>
                <w:color w:val="010205"/>
                <w:sz w:val="22"/>
                <w:szCs w:val="22"/>
                <w:lang w:eastAsia="en-GB"/>
              </w:rPr>
            </w:pPr>
            <w:r w:rsidRPr="009968E0">
              <w:rPr>
                <w:rFonts w:ascii="Calibri" w:eastAsia="Times New Roman" w:hAnsi="Calibri" w:cs="Calibri"/>
                <w:color w:val="010205"/>
                <w:sz w:val="22"/>
                <w:szCs w:val="22"/>
                <w:lang w:eastAsia="en-GB"/>
              </w:rPr>
              <w:t>18</w:t>
            </w:r>
          </w:p>
        </w:tc>
        <w:tc>
          <w:tcPr>
            <w:tcW w:w="1300" w:type="dxa"/>
            <w:tcBorders>
              <w:top w:val="nil"/>
              <w:left w:val="nil"/>
              <w:bottom w:val="single" w:sz="4" w:space="0" w:color="152935"/>
              <w:right w:val="single" w:sz="4" w:space="0" w:color="E0E0E0"/>
            </w:tcBorders>
            <w:shd w:val="clear" w:color="auto" w:fill="auto"/>
            <w:noWrap/>
            <w:hideMark/>
          </w:tcPr>
          <w:p w14:paraId="42D939FA" w14:textId="77777777" w:rsidR="009968E0" w:rsidRPr="009968E0" w:rsidRDefault="009968E0" w:rsidP="009968E0">
            <w:pPr>
              <w:jc w:val="right"/>
              <w:rPr>
                <w:rFonts w:ascii="Calibri" w:eastAsia="Times New Roman" w:hAnsi="Calibri" w:cs="Calibri"/>
                <w:color w:val="010205"/>
                <w:sz w:val="22"/>
                <w:szCs w:val="22"/>
                <w:lang w:eastAsia="en-GB"/>
              </w:rPr>
            </w:pPr>
            <w:r w:rsidRPr="009968E0">
              <w:rPr>
                <w:rFonts w:ascii="Calibri" w:eastAsia="Times New Roman" w:hAnsi="Calibri" w:cs="Calibri"/>
                <w:color w:val="010205"/>
                <w:sz w:val="22"/>
                <w:szCs w:val="22"/>
                <w:lang w:eastAsia="en-GB"/>
              </w:rPr>
              <w:t>7</w:t>
            </w:r>
          </w:p>
        </w:tc>
        <w:tc>
          <w:tcPr>
            <w:tcW w:w="1300" w:type="dxa"/>
            <w:tcBorders>
              <w:top w:val="nil"/>
              <w:left w:val="nil"/>
              <w:bottom w:val="single" w:sz="4" w:space="0" w:color="152935"/>
              <w:right w:val="single" w:sz="4" w:space="0" w:color="E0E0E0"/>
            </w:tcBorders>
            <w:shd w:val="clear" w:color="auto" w:fill="auto"/>
            <w:noWrap/>
            <w:hideMark/>
          </w:tcPr>
          <w:p w14:paraId="229212C6" w14:textId="77777777" w:rsidR="009968E0" w:rsidRPr="009968E0" w:rsidRDefault="009968E0" w:rsidP="009968E0">
            <w:pPr>
              <w:jc w:val="right"/>
              <w:rPr>
                <w:rFonts w:ascii="Calibri" w:eastAsia="Times New Roman" w:hAnsi="Calibri" w:cs="Calibri"/>
                <w:color w:val="010205"/>
                <w:sz w:val="22"/>
                <w:szCs w:val="22"/>
                <w:lang w:eastAsia="en-GB"/>
              </w:rPr>
            </w:pPr>
            <w:r w:rsidRPr="009968E0">
              <w:rPr>
                <w:rFonts w:ascii="Calibri" w:eastAsia="Times New Roman" w:hAnsi="Calibri" w:cs="Calibri"/>
                <w:color w:val="010205"/>
                <w:sz w:val="22"/>
                <w:szCs w:val="22"/>
                <w:lang w:eastAsia="en-GB"/>
              </w:rPr>
              <w:t>13</w:t>
            </w:r>
          </w:p>
        </w:tc>
        <w:tc>
          <w:tcPr>
            <w:tcW w:w="1300" w:type="dxa"/>
            <w:tcBorders>
              <w:top w:val="nil"/>
              <w:left w:val="nil"/>
              <w:bottom w:val="single" w:sz="4" w:space="0" w:color="152935"/>
              <w:right w:val="nil"/>
            </w:tcBorders>
            <w:shd w:val="clear" w:color="auto" w:fill="auto"/>
            <w:noWrap/>
            <w:hideMark/>
          </w:tcPr>
          <w:p w14:paraId="58E6FF6F" w14:textId="77777777" w:rsidR="009968E0" w:rsidRPr="009968E0" w:rsidRDefault="009968E0" w:rsidP="009968E0">
            <w:pPr>
              <w:jc w:val="right"/>
              <w:rPr>
                <w:rFonts w:ascii="Calibri" w:eastAsia="Times New Roman" w:hAnsi="Calibri" w:cs="Calibri"/>
                <w:color w:val="010205"/>
                <w:sz w:val="22"/>
                <w:szCs w:val="22"/>
                <w:lang w:eastAsia="en-GB"/>
              </w:rPr>
            </w:pPr>
            <w:r w:rsidRPr="009968E0">
              <w:rPr>
                <w:rFonts w:ascii="Calibri" w:eastAsia="Times New Roman" w:hAnsi="Calibri" w:cs="Calibri"/>
                <w:color w:val="010205"/>
                <w:sz w:val="22"/>
                <w:szCs w:val="22"/>
                <w:lang w:eastAsia="en-GB"/>
              </w:rPr>
              <w:t>54</w:t>
            </w:r>
          </w:p>
        </w:tc>
      </w:tr>
    </w:tbl>
    <w:p w14:paraId="6EE93362" w14:textId="77777777" w:rsidR="009968E0" w:rsidRPr="009968E0" w:rsidRDefault="009968E0" w:rsidP="009968E0">
      <w:pPr>
        <w:rPr>
          <w:rFonts w:ascii="Times New Roman" w:eastAsia="Times New Roman" w:hAnsi="Times New Roman" w:cs="Times New Roman"/>
          <w:iCs/>
          <w:color w:val="808080"/>
          <w:sz w:val="21"/>
          <w:lang w:eastAsia="en-GB"/>
        </w:rPr>
      </w:pPr>
      <w:r w:rsidRPr="009968E0">
        <w:rPr>
          <w:rFonts w:ascii="Times New Roman" w:eastAsia="Times New Roman" w:hAnsi="Times New Roman" w:cs="Times New Roman"/>
          <w:iCs/>
          <w:color w:val="808080"/>
          <w:sz w:val="21"/>
          <w:lang w:eastAsia="en-GB"/>
        </w:rPr>
        <w:t>The Questionnaires are listed according to their position in the questionnaire pack</w:t>
      </w:r>
      <w:r w:rsidRPr="009968E0">
        <w:rPr>
          <w:rFonts w:ascii="Times New Roman" w:eastAsia="Times New Roman" w:hAnsi="Times New Roman" w:cs="Times New Roman"/>
          <w:iCs/>
          <w:color w:val="808080"/>
          <w:sz w:val="21"/>
          <w:lang w:eastAsia="en-GB"/>
        </w:rPr>
        <w:tab/>
      </w:r>
      <w:r w:rsidRPr="009968E0">
        <w:rPr>
          <w:rFonts w:ascii="Times New Roman" w:eastAsia="Times New Roman" w:hAnsi="Times New Roman" w:cs="Times New Roman"/>
          <w:iCs/>
          <w:color w:val="808080"/>
          <w:sz w:val="21"/>
          <w:lang w:eastAsia="en-GB"/>
        </w:rPr>
        <w:tab/>
      </w:r>
    </w:p>
    <w:p w14:paraId="03652640" w14:textId="77777777" w:rsidR="009968E0" w:rsidRPr="009968E0" w:rsidRDefault="009968E0" w:rsidP="009968E0">
      <w:pPr>
        <w:rPr>
          <w:rFonts w:ascii="Times New Roman" w:eastAsia="Times New Roman" w:hAnsi="Times New Roman" w:cs="Times New Roman"/>
          <w:iCs/>
          <w:color w:val="808080"/>
          <w:sz w:val="21"/>
          <w:lang w:eastAsia="en-GB"/>
        </w:rPr>
      </w:pPr>
    </w:p>
    <w:p w14:paraId="5A790B3D" w14:textId="7E5A4027" w:rsidR="009968E0" w:rsidRPr="00BD69F6" w:rsidRDefault="009968E0" w:rsidP="00BD69F6">
      <w:pPr>
        <w:pStyle w:val="Quote"/>
      </w:pPr>
      <w:bookmarkStart w:id="549" w:name="_Toc48406134"/>
      <w:bookmarkStart w:id="550" w:name="_Toc49273344"/>
      <w:bookmarkStart w:id="551" w:name="_Toc64724097"/>
      <w:r w:rsidRPr="00BD69F6">
        <w:t>Table A.2: Descriptive Statistics for Questionnaire Responses by Group</w:t>
      </w:r>
      <w:bookmarkEnd w:id="549"/>
      <w:bookmarkEnd w:id="550"/>
      <w:bookmarkEnd w:id="551"/>
    </w:p>
    <w:p w14:paraId="70B10085" w14:textId="77777777" w:rsidR="009968E0" w:rsidRPr="009968E0" w:rsidRDefault="009968E0" w:rsidP="009968E0">
      <w:pPr>
        <w:spacing w:line="360" w:lineRule="auto"/>
        <w:rPr>
          <w:rFonts w:ascii="Times New Roman" w:eastAsia="Times New Roman" w:hAnsi="Times New Roman" w:cs="Times New Roman"/>
          <w:iCs/>
          <w:color w:val="7F7F7F"/>
          <w:sz w:val="21"/>
          <w:szCs w:val="21"/>
          <w:lang w:eastAsia="en-GB"/>
        </w:rPr>
      </w:pPr>
    </w:p>
    <w:tbl>
      <w:tblPr>
        <w:tblStyle w:val="GridTable2-Accent611"/>
        <w:tblW w:w="5000" w:type="pct"/>
        <w:tblLook w:val="04A0" w:firstRow="1" w:lastRow="0" w:firstColumn="1" w:lastColumn="0" w:noHBand="0" w:noVBand="1"/>
      </w:tblPr>
      <w:tblGrid>
        <w:gridCol w:w="1815"/>
        <w:gridCol w:w="736"/>
        <w:gridCol w:w="1062"/>
        <w:gridCol w:w="736"/>
        <w:gridCol w:w="1063"/>
        <w:gridCol w:w="736"/>
        <w:gridCol w:w="1063"/>
        <w:gridCol w:w="736"/>
        <w:gridCol w:w="1063"/>
      </w:tblGrid>
      <w:tr w:rsidR="009968E0" w:rsidRPr="009968E0" w14:paraId="0B1EBBC0" w14:textId="77777777" w:rsidTr="00B667FD">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78" w:type="pct"/>
            <w:tcBorders>
              <w:top w:val="single" w:sz="4" w:space="0" w:color="000000" w:themeColor="text1"/>
              <w:left w:val="single" w:sz="4" w:space="0" w:color="000000" w:themeColor="text1"/>
            </w:tcBorders>
            <w:noWrap/>
            <w:hideMark/>
          </w:tcPr>
          <w:p w14:paraId="516DD498" w14:textId="77777777" w:rsidR="009968E0" w:rsidRPr="009968E0" w:rsidRDefault="009968E0" w:rsidP="009968E0">
            <w:pPr>
              <w:spacing w:line="480" w:lineRule="auto"/>
              <w:rPr>
                <w:rFonts w:ascii="Calibri" w:eastAsia="Times New Roman" w:hAnsi="Calibri" w:cs="Calibri"/>
                <w:sz w:val="22"/>
                <w:szCs w:val="22"/>
                <w:lang w:eastAsia="en-GB"/>
              </w:rPr>
            </w:pPr>
          </w:p>
        </w:tc>
        <w:tc>
          <w:tcPr>
            <w:tcW w:w="1155" w:type="pct"/>
            <w:gridSpan w:val="2"/>
            <w:tcBorders>
              <w:top w:val="single" w:sz="4" w:space="0" w:color="000000" w:themeColor="text1"/>
              <w:bottom w:val="single" w:sz="2" w:space="0" w:color="FABF8F"/>
            </w:tcBorders>
            <w:noWrap/>
            <w:hideMark/>
          </w:tcPr>
          <w:p w14:paraId="7D81A2CE" w14:textId="77777777" w:rsidR="009968E0" w:rsidRPr="009968E0" w:rsidRDefault="009968E0" w:rsidP="009968E0">
            <w:pPr>
              <w:spacing w:line="48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P-DPN</w:t>
            </w:r>
          </w:p>
        </w:tc>
        <w:tc>
          <w:tcPr>
            <w:tcW w:w="1155" w:type="pct"/>
            <w:gridSpan w:val="2"/>
            <w:tcBorders>
              <w:top w:val="single" w:sz="4" w:space="0" w:color="000000" w:themeColor="text1"/>
              <w:bottom w:val="single" w:sz="2" w:space="0" w:color="FABF8F"/>
            </w:tcBorders>
            <w:noWrap/>
            <w:hideMark/>
          </w:tcPr>
          <w:p w14:paraId="714FC600" w14:textId="77777777" w:rsidR="009968E0" w:rsidRPr="009968E0" w:rsidRDefault="009968E0" w:rsidP="009968E0">
            <w:pPr>
              <w:spacing w:line="48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DPN</w:t>
            </w:r>
          </w:p>
        </w:tc>
        <w:tc>
          <w:tcPr>
            <w:tcW w:w="1155" w:type="pct"/>
            <w:gridSpan w:val="2"/>
            <w:tcBorders>
              <w:top w:val="single" w:sz="4" w:space="0" w:color="000000" w:themeColor="text1"/>
              <w:bottom w:val="single" w:sz="2" w:space="0" w:color="FABF8F"/>
            </w:tcBorders>
            <w:noWrap/>
            <w:hideMark/>
          </w:tcPr>
          <w:p w14:paraId="1C6BCFEF" w14:textId="77777777" w:rsidR="009968E0" w:rsidRPr="009968E0" w:rsidRDefault="009968E0" w:rsidP="009968E0">
            <w:pPr>
              <w:spacing w:line="48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DM-NN</w:t>
            </w:r>
          </w:p>
        </w:tc>
        <w:tc>
          <w:tcPr>
            <w:tcW w:w="1155" w:type="pct"/>
            <w:gridSpan w:val="2"/>
            <w:tcBorders>
              <w:top w:val="single" w:sz="4" w:space="0" w:color="000000" w:themeColor="text1"/>
              <w:bottom w:val="single" w:sz="2" w:space="0" w:color="FABF8F"/>
              <w:right w:val="single" w:sz="4" w:space="0" w:color="000000" w:themeColor="text1"/>
            </w:tcBorders>
            <w:noWrap/>
            <w:hideMark/>
          </w:tcPr>
          <w:p w14:paraId="6F14C6E2" w14:textId="77777777" w:rsidR="009968E0" w:rsidRPr="009968E0" w:rsidRDefault="009968E0" w:rsidP="009968E0">
            <w:pPr>
              <w:spacing w:line="48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HV</w:t>
            </w:r>
          </w:p>
        </w:tc>
      </w:tr>
      <w:tr w:rsidR="009968E0" w:rsidRPr="009968E0" w14:paraId="2F7F83E7" w14:textId="77777777" w:rsidTr="00B667FD">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78" w:type="pct"/>
            <w:tcBorders>
              <w:left w:val="single" w:sz="4" w:space="0" w:color="000000" w:themeColor="text1"/>
            </w:tcBorders>
            <w:noWrap/>
            <w:hideMark/>
          </w:tcPr>
          <w:p w14:paraId="35155ABD" w14:textId="77777777" w:rsidR="009968E0" w:rsidRPr="009968E0" w:rsidRDefault="009968E0" w:rsidP="009968E0">
            <w:pPr>
              <w:spacing w:line="480" w:lineRule="auto"/>
              <w:jc w:val="center"/>
              <w:rPr>
                <w:rFonts w:ascii="Calibri" w:eastAsia="Times New Roman" w:hAnsi="Calibri" w:cs="Calibri"/>
                <w:color w:val="000000"/>
                <w:sz w:val="22"/>
                <w:szCs w:val="22"/>
                <w:lang w:eastAsia="en-GB"/>
              </w:rPr>
            </w:pPr>
          </w:p>
        </w:tc>
        <w:tc>
          <w:tcPr>
            <w:tcW w:w="435" w:type="pct"/>
            <w:tcBorders>
              <w:bottom w:val="nil"/>
              <w:right w:val="nil"/>
            </w:tcBorders>
            <w:noWrap/>
            <w:hideMark/>
          </w:tcPr>
          <w:p w14:paraId="0F46E206" w14:textId="77777777" w:rsidR="009968E0" w:rsidRPr="009968E0" w:rsidRDefault="009968E0" w:rsidP="009968E0">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720" w:type="pct"/>
            <w:tcBorders>
              <w:left w:val="nil"/>
              <w:bottom w:val="nil"/>
              <w:right w:val="nil"/>
            </w:tcBorders>
            <w:noWrap/>
            <w:hideMark/>
          </w:tcPr>
          <w:p w14:paraId="2D59C018" w14:textId="77777777" w:rsidR="009968E0" w:rsidRPr="009968E0" w:rsidRDefault="009968E0" w:rsidP="009968E0">
            <w:pPr>
              <w:spacing w:line="48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CI</w:t>
            </w:r>
          </w:p>
        </w:tc>
        <w:tc>
          <w:tcPr>
            <w:tcW w:w="435" w:type="pct"/>
            <w:tcBorders>
              <w:left w:val="nil"/>
              <w:bottom w:val="nil"/>
              <w:right w:val="nil"/>
            </w:tcBorders>
            <w:noWrap/>
            <w:hideMark/>
          </w:tcPr>
          <w:p w14:paraId="672B303C" w14:textId="77777777" w:rsidR="009968E0" w:rsidRPr="009968E0" w:rsidRDefault="009968E0" w:rsidP="009968E0">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720" w:type="pct"/>
            <w:tcBorders>
              <w:left w:val="nil"/>
              <w:bottom w:val="nil"/>
              <w:right w:val="nil"/>
            </w:tcBorders>
            <w:noWrap/>
            <w:hideMark/>
          </w:tcPr>
          <w:p w14:paraId="7EE64DA0" w14:textId="77777777" w:rsidR="009968E0" w:rsidRPr="009968E0" w:rsidRDefault="009968E0" w:rsidP="009968E0">
            <w:pPr>
              <w:spacing w:line="48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CI</w:t>
            </w:r>
          </w:p>
        </w:tc>
        <w:tc>
          <w:tcPr>
            <w:tcW w:w="435" w:type="pct"/>
            <w:tcBorders>
              <w:left w:val="nil"/>
              <w:bottom w:val="nil"/>
              <w:right w:val="nil"/>
            </w:tcBorders>
            <w:noWrap/>
            <w:hideMark/>
          </w:tcPr>
          <w:p w14:paraId="643CFF8A" w14:textId="77777777" w:rsidR="009968E0" w:rsidRPr="009968E0" w:rsidRDefault="009968E0" w:rsidP="009968E0">
            <w:pPr>
              <w:spacing w:line="48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720" w:type="pct"/>
            <w:tcBorders>
              <w:left w:val="nil"/>
              <w:bottom w:val="nil"/>
              <w:right w:val="nil"/>
            </w:tcBorders>
            <w:noWrap/>
            <w:hideMark/>
          </w:tcPr>
          <w:p w14:paraId="13243A43" w14:textId="77777777" w:rsidR="009968E0" w:rsidRPr="009968E0" w:rsidRDefault="009968E0" w:rsidP="009968E0">
            <w:pPr>
              <w:spacing w:line="48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CI</w:t>
            </w:r>
          </w:p>
        </w:tc>
        <w:tc>
          <w:tcPr>
            <w:tcW w:w="435" w:type="pct"/>
            <w:tcBorders>
              <w:left w:val="nil"/>
              <w:bottom w:val="nil"/>
              <w:right w:val="nil"/>
            </w:tcBorders>
            <w:noWrap/>
            <w:hideMark/>
          </w:tcPr>
          <w:p w14:paraId="6FDBC9BE" w14:textId="77777777" w:rsidR="009968E0" w:rsidRPr="009968E0" w:rsidRDefault="009968E0" w:rsidP="009968E0">
            <w:pPr>
              <w:spacing w:line="48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720" w:type="pct"/>
            <w:tcBorders>
              <w:left w:val="nil"/>
              <w:bottom w:val="nil"/>
              <w:right w:val="single" w:sz="4" w:space="0" w:color="000000" w:themeColor="text1"/>
            </w:tcBorders>
            <w:noWrap/>
            <w:hideMark/>
          </w:tcPr>
          <w:p w14:paraId="5DD78112" w14:textId="77777777" w:rsidR="009968E0" w:rsidRPr="009968E0" w:rsidRDefault="009968E0" w:rsidP="009968E0">
            <w:pPr>
              <w:spacing w:line="48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CI</w:t>
            </w:r>
          </w:p>
        </w:tc>
      </w:tr>
      <w:tr w:rsidR="009968E0" w:rsidRPr="009968E0" w14:paraId="6685AACB" w14:textId="77777777" w:rsidTr="00B667FD">
        <w:trPr>
          <w:trHeight w:val="320"/>
        </w:trPr>
        <w:tc>
          <w:tcPr>
            <w:cnfStyle w:val="001000000000" w:firstRow="0" w:lastRow="0" w:firstColumn="1" w:lastColumn="0" w:oddVBand="0" w:evenVBand="0" w:oddHBand="0" w:evenHBand="0" w:firstRowFirstColumn="0" w:firstRowLastColumn="0" w:lastRowFirstColumn="0" w:lastRowLastColumn="0"/>
            <w:tcW w:w="378" w:type="pct"/>
            <w:tcBorders>
              <w:left w:val="single" w:sz="4" w:space="0" w:color="000000" w:themeColor="text1"/>
            </w:tcBorders>
            <w:noWrap/>
            <w:hideMark/>
          </w:tcPr>
          <w:p w14:paraId="49F41221" w14:textId="77777777" w:rsidR="009968E0" w:rsidRPr="009968E0" w:rsidRDefault="009968E0" w:rsidP="009968E0">
            <w:pPr>
              <w:spacing w:line="48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HADS A</w:t>
            </w:r>
          </w:p>
        </w:tc>
        <w:tc>
          <w:tcPr>
            <w:tcW w:w="435" w:type="pct"/>
            <w:tcBorders>
              <w:top w:val="nil"/>
              <w:bottom w:val="nil"/>
              <w:right w:val="nil"/>
            </w:tcBorders>
            <w:noWrap/>
            <w:hideMark/>
          </w:tcPr>
          <w:p w14:paraId="33685454" w14:textId="77777777" w:rsidR="009968E0" w:rsidRPr="009968E0" w:rsidRDefault="009968E0" w:rsidP="009968E0">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vertAlign w:val="superscript"/>
                <w:lang w:eastAsia="en-GB"/>
              </w:rPr>
            </w:pPr>
            <w:r w:rsidRPr="009968E0">
              <w:rPr>
                <w:rFonts w:ascii="Calibri" w:eastAsia="Times New Roman" w:hAnsi="Calibri" w:cs="Calibri"/>
                <w:color w:val="000000"/>
                <w:sz w:val="22"/>
                <w:szCs w:val="22"/>
                <w:lang w:eastAsia="en-GB"/>
              </w:rPr>
              <w:t>8</w:t>
            </w:r>
            <w:r w:rsidRPr="009968E0">
              <w:rPr>
                <w:rFonts w:ascii="Calibri" w:eastAsia="Times New Roman" w:hAnsi="Calibri" w:cs="Calibri"/>
                <w:color w:val="000000"/>
                <w:sz w:val="22"/>
                <w:szCs w:val="22"/>
                <w:vertAlign w:val="superscript"/>
                <w:lang w:eastAsia="en-GB"/>
              </w:rPr>
              <w:t>a</w:t>
            </w:r>
          </w:p>
        </w:tc>
        <w:tc>
          <w:tcPr>
            <w:tcW w:w="720" w:type="pct"/>
            <w:tcBorders>
              <w:top w:val="nil"/>
              <w:left w:val="nil"/>
              <w:bottom w:val="nil"/>
              <w:right w:val="nil"/>
            </w:tcBorders>
            <w:noWrap/>
            <w:hideMark/>
          </w:tcPr>
          <w:p w14:paraId="4477FA46" w14:textId="77777777" w:rsidR="009968E0" w:rsidRPr="009968E0" w:rsidRDefault="009968E0" w:rsidP="009968E0">
            <w:pPr>
              <w:spacing w:line="48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6-10</w:t>
            </w:r>
          </w:p>
        </w:tc>
        <w:tc>
          <w:tcPr>
            <w:tcW w:w="435" w:type="pct"/>
            <w:tcBorders>
              <w:top w:val="nil"/>
              <w:left w:val="nil"/>
              <w:bottom w:val="nil"/>
              <w:right w:val="nil"/>
            </w:tcBorders>
            <w:noWrap/>
            <w:hideMark/>
          </w:tcPr>
          <w:p w14:paraId="49C92E83" w14:textId="77777777" w:rsidR="009968E0" w:rsidRPr="009968E0" w:rsidRDefault="009968E0" w:rsidP="009968E0">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7</w:t>
            </w:r>
          </w:p>
        </w:tc>
        <w:tc>
          <w:tcPr>
            <w:tcW w:w="720" w:type="pct"/>
            <w:tcBorders>
              <w:top w:val="nil"/>
              <w:left w:val="nil"/>
              <w:bottom w:val="nil"/>
              <w:right w:val="nil"/>
            </w:tcBorders>
            <w:noWrap/>
            <w:hideMark/>
          </w:tcPr>
          <w:p w14:paraId="460A44AF" w14:textId="77777777" w:rsidR="009968E0" w:rsidRPr="009968E0" w:rsidRDefault="009968E0" w:rsidP="009968E0">
            <w:pPr>
              <w:spacing w:line="48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5-8</w:t>
            </w:r>
          </w:p>
        </w:tc>
        <w:tc>
          <w:tcPr>
            <w:tcW w:w="435" w:type="pct"/>
            <w:tcBorders>
              <w:top w:val="nil"/>
              <w:left w:val="nil"/>
              <w:bottom w:val="nil"/>
              <w:right w:val="nil"/>
            </w:tcBorders>
            <w:noWrap/>
            <w:hideMark/>
          </w:tcPr>
          <w:p w14:paraId="12F9D966" w14:textId="77777777" w:rsidR="009968E0" w:rsidRPr="009968E0" w:rsidRDefault="009968E0" w:rsidP="009968E0">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4</w:t>
            </w:r>
          </w:p>
        </w:tc>
        <w:tc>
          <w:tcPr>
            <w:tcW w:w="720" w:type="pct"/>
            <w:tcBorders>
              <w:top w:val="nil"/>
              <w:left w:val="nil"/>
              <w:bottom w:val="nil"/>
              <w:right w:val="nil"/>
            </w:tcBorders>
            <w:noWrap/>
            <w:hideMark/>
          </w:tcPr>
          <w:p w14:paraId="1615E025" w14:textId="77777777" w:rsidR="009968E0" w:rsidRPr="009968E0" w:rsidRDefault="009968E0" w:rsidP="009968E0">
            <w:pPr>
              <w:spacing w:line="48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2-6</w:t>
            </w:r>
          </w:p>
        </w:tc>
        <w:tc>
          <w:tcPr>
            <w:tcW w:w="435" w:type="pct"/>
            <w:tcBorders>
              <w:top w:val="nil"/>
              <w:left w:val="nil"/>
              <w:bottom w:val="nil"/>
              <w:right w:val="nil"/>
            </w:tcBorders>
            <w:noWrap/>
            <w:hideMark/>
          </w:tcPr>
          <w:p w14:paraId="6044A6DC" w14:textId="77777777" w:rsidR="009968E0" w:rsidRPr="009968E0" w:rsidRDefault="009968E0" w:rsidP="009968E0">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7</w:t>
            </w:r>
          </w:p>
        </w:tc>
        <w:tc>
          <w:tcPr>
            <w:tcW w:w="720" w:type="pct"/>
            <w:tcBorders>
              <w:top w:val="nil"/>
              <w:left w:val="nil"/>
              <w:bottom w:val="nil"/>
              <w:right w:val="single" w:sz="4" w:space="0" w:color="000000" w:themeColor="text1"/>
            </w:tcBorders>
            <w:noWrap/>
            <w:hideMark/>
          </w:tcPr>
          <w:p w14:paraId="44C22156" w14:textId="77777777" w:rsidR="009968E0" w:rsidRPr="009968E0" w:rsidRDefault="009968E0" w:rsidP="009968E0">
            <w:pPr>
              <w:spacing w:line="48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5-9</w:t>
            </w:r>
          </w:p>
        </w:tc>
      </w:tr>
      <w:tr w:rsidR="009968E0" w:rsidRPr="009968E0" w14:paraId="1BAB9F33" w14:textId="77777777" w:rsidTr="00B667FD">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78" w:type="pct"/>
            <w:tcBorders>
              <w:left w:val="single" w:sz="4" w:space="0" w:color="000000" w:themeColor="text1"/>
            </w:tcBorders>
            <w:noWrap/>
            <w:hideMark/>
          </w:tcPr>
          <w:p w14:paraId="30F623AF" w14:textId="77777777" w:rsidR="009968E0" w:rsidRPr="009968E0" w:rsidRDefault="009968E0" w:rsidP="009968E0">
            <w:pPr>
              <w:spacing w:line="48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HADS D</w:t>
            </w:r>
          </w:p>
        </w:tc>
        <w:tc>
          <w:tcPr>
            <w:tcW w:w="435" w:type="pct"/>
            <w:tcBorders>
              <w:top w:val="nil"/>
              <w:bottom w:val="nil"/>
              <w:right w:val="nil"/>
            </w:tcBorders>
            <w:noWrap/>
            <w:hideMark/>
          </w:tcPr>
          <w:p w14:paraId="6DC3C6AA" w14:textId="77777777" w:rsidR="009968E0" w:rsidRPr="009968E0" w:rsidRDefault="009968E0" w:rsidP="009968E0">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vertAlign w:val="superscript"/>
                <w:lang w:eastAsia="en-GB"/>
              </w:rPr>
            </w:pPr>
            <w:r w:rsidRPr="009968E0">
              <w:rPr>
                <w:rFonts w:ascii="Calibri" w:eastAsia="Times New Roman" w:hAnsi="Calibri" w:cs="Calibri"/>
                <w:color w:val="000000"/>
                <w:sz w:val="22"/>
                <w:szCs w:val="22"/>
                <w:lang w:eastAsia="en-GB"/>
              </w:rPr>
              <w:t>7</w:t>
            </w:r>
            <w:r w:rsidRPr="009968E0">
              <w:rPr>
                <w:rFonts w:ascii="Calibri" w:eastAsia="Times New Roman" w:hAnsi="Calibri" w:cs="Calibri"/>
                <w:color w:val="000000"/>
                <w:sz w:val="22"/>
                <w:szCs w:val="22"/>
                <w:vertAlign w:val="superscript"/>
                <w:lang w:eastAsia="en-GB"/>
              </w:rPr>
              <w:t>b</w:t>
            </w:r>
          </w:p>
        </w:tc>
        <w:tc>
          <w:tcPr>
            <w:tcW w:w="720" w:type="pct"/>
            <w:tcBorders>
              <w:top w:val="nil"/>
              <w:left w:val="nil"/>
              <w:bottom w:val="nil"/>
              <w:right w:val="nil"/>
            </w:tcBorders>
            <w:noWrap/>
            <w:hideMark/>
          </w:tcPr>
          <w:p w14:paraId="0AA95CA6" w14:textId="77777777" w:rsidR="009968E0" w:rsidRPr="009968E0" w:rsidRDefault="009968E0" w:rsidP="009968E0">
            <w:pPr>
              <w:spacing w:line="48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6-9</w:t>
            </w:r>
          </w:p>
        </w:tc>
        <w:tc>
          <w:tcPr>
            <w:tcW w:w="435" w:type="pct"/>
            <w:tcBorders>
              <w:top w:val="nil"/>
              <w:left w:val="nil"/>
              <w:bottom w:val="nil"/>
              <w:right w:val="nil"/>
            </w:tcBorders>
            <w:noWrap/>
            <w:hideMark/>
          </w:tcPr>
          <w:p w14:paraId="1E540D92" w14:textId="77777777" w:rsidR="009968E0" w:rsidRPr="009968E0" w:rsidRDefault="009968E0" w:rsidP="009968E0">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4</w:t>
            </w:r>
          </w:p>
        </w:tc>
        <w:tc>
          <w:tcPr>
            <w:tcW w:w="720" w:type="pct"/>
            <w:tcBorders>
              <w:top w:val="nil"/>
              <w:left w:val="nil"/>
              <w:bottom w:val="nil"/>
              <w:right w:val="nil"/>
            </w:tcBorders>
            <w:noWrap/>
            <w:hideMark/>
          </w:tcPr>
          <w:p w14:paraId="19995589" w14:textId="77777777" w:rsidR="009968E0" w:rsidRPr="009968E0" w:rsidRDefault="009968E0" w:rsidP="009968E0">
            <w:pPr>
              <w:spacing w:line="48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3-5</w:t>
            </w:r>
          </w:p>
        </w:tc>
        <w:tc>
          <w:tcPr>
            <w:tcW w:w="435" w:type="pct"/>
            <w:tcBorders>
              <w:top w:val="nil"/>
              <w:left w:val="nil"/>
              <w:bottom w:val="nil"/>
              <w:right w:val="nil"/>
            </w:tcBorders>
            <w:noWrap/>
            <w:hideMark/>
          </w:tcPr>
          <w:p w14:paraId="2A7324CA" w14:textId="77777777" w:rsidR="009968E0" w:rsidRPr="009968E0" w:rsidRDefault="009968E0" w:rsidP="009968E0">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w:t>
            </w:r>
          </w:p>
        </w:tc>
        <w:tc>
          <w:tcPr>
            <w:tcW w:w="720" w:type="pct"/>
            <w:tcBorders>
              <w:top w:val="nil"/>
              <w:left w:val="nil"/>
              <w:bottom w:val="nil"/>
              <w:right w:val="nil"/>
            </w:tcBorders>
            <w:noWrap/>
            <w:hideMark/>
          </w:tcPr>
          <w:p w14:paraId="1E571FD1" w14:textId="77777777" w:rsidR="009968E0" w:rsidRPr="009968E0" w:rsidRDefault="009968E0" w:rsidP="009968E0">
            <w:pPr>
              <w:spacing w:line="48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1-2</w:t>
            </w:r>
          </w:p>
        </w:tc>
        <w:tc>
          <w:tcPr>
            <w:tcW w:w="435" w:type="pct"/>
            <w:tcBorders>
              <w:top w:val="nil"/>
              <w:left w:val="nil"/>
              <w:bottom w:val="nil"/>
              <w:right w:val="nil"/>
            </w:tcBorders>
            <w:noWrap/>
            <w:hideMark/>
          </w:tcPr>
          <w:p w14:paraId="0F6C64E1" w14:textId="77777777" w:rsidR="009968E0" w:rsidRPr="009968E0" w:rsidRDefault="009968E0" w:rsidP="009968E0">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3</w:t>
            </w:r>
          </w:p>
        </w:tc>
        <w:tc>
          <w:tcPr>
            <w:tcW w:w="720" w:type="pct"/>
            <w:tcBorders>
              <w:top w:val="nil"/>
              <w:left w:val="nil"/>
              <w:bottom w:val="nil"/>
              <w:right w:val="single" w:sz="4" w:space="0" w:color="000000" w:themeColor="text1"/>
            </w:tcBorders>
            <w:noWrap/>
            <w:hideMark/>
          </w:tcPr>
          <w:p w14:paraId="4C66B7F2" w14:textId="77777777" w:rsidR="009968E0" w:rsidRPr="009968E0" w:rsidRDefault="009968E0" w:rsidP="009968E0">
            <w:pPr>
              <w:spacing w:line="48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1-4</w:t>
            </w:r>
          </w:p>
        </w:tc>
      </w:tr>
      <w:tr w:rsidR="009968E0" w:rsidRPr="009968E0" w14:paraId="3542656F" w14:textId="77777777" w:rsidTr="00B667FD">
        <w:trPr>
          <w:trHeight w:val="320"/>
        </w:trPr>
        <w:tc>
          <w:tcPr>
            <w:cnfStyle w:val="001000000000" w:firstRow="0" w:lastRow="0" w:firstColumn="1" w:lastColumn="0" w:oddVBand="0" w:evenVBand="0" w:oddHBand="0" w:evenHBand="0" w:firstRowFirstColumn="0" w:firstRowLastColumn="0" w:lastRowFirstColumn="0" w:lastRowLastColumn="0"/>
            <w:tcW w:w="378" w:type="pct"/>
            <w:tcBorders>
              <w:left w:val="single" w:sz="4" w:space="0" w:color="000000" w:themeColor="text1"/>
            </w:tcBorders>
            <w:noWrap/>
            <w:hideMark/>
          </w:tcPr>
          <w:p w14:paraId="22072AAA" w14:textId="77777777" w:rsidR="009968E0" w:rsidRPr="009968E0" w:rsidRDefault="009968E0" w:rsidP="009968E0">
            <w:pPr>
              <w:spacing w:line="48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HADS</w:t>
            </w:r>
          </w:p>
        </w:tc>
        <w:tc>
          <w:tcPr>
            <w:tcW w:w="435" w:type="pct"/>
            <w:tcBorders>
              <w:top w:val="nil"/>
              <w:bottom w:val="nil"/>
              <w:right w:val="nil"/>
            </w:tcBorders>
            <w:noWrap/>
            <w:hideMark/>
          </w:tcPr>
          <w:p w14:paraId="07FC8C02" w14:textId="77777777" w:rsidR="009968E0" w:rsidRPr="009968E0" w:rsidRDefault="009968E0" w:rsidP="009968E0">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15</w:t>
            </w:r>
          </w:p>
        </w:tc>
        <w:tc>
          <w:tcPr>
            <w:tcW w:w="720" w:type="pct"/>
            <w:tcBorders>
              <w:top w:val="nil"/>
              <w:left w:val="nil"/>
              <w:bottom w:val="nil"/>
              <w:right w:val="nil"/>
            </w:tcBorders>
            <w:noWrap/>
            <w:hideMark/>
          </w:tcPr>
          <w:p w14:paraId="7E93F0CE" w14:textId="77777777" w:rsidR="009968E0" w:rsidRPr="009968E0" w:rsidRDefault="009968E0" w:rsidP="009968E0">
            <w:pPr>
              <w:spacing w:line="48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11-19</w:t>
            </w:r>
          </w:p>
        </w:tc>
        <w:tc>
          <w:tcPr>
            <w:tcW w:w="435" w:type="pct"/>
            <w:tcBorders>
              <w:top w:val="nil"/>
              <w:left w:val="nil"/>
              <w:bottom w:val="nil"/>
              <w:right w:val="nil"/>
            </w:tcBorders>
            <w:noWrap/>
            <w:hideMark/>
          </w:tcPr>
          <w:p w14:paraId="0C8A0500" w14:textId="77777777" w:rsidR="009968E0" w:rsidRPr="009968E0" w:rsidRDefault="009968E0" w:rsidP="009968E0">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10</w:t>
            </w:r>
          </w:p>
        </w:tc>
        <w:tc>
          <w:tcPr>
            <w:tcW w:w="720" w:type="pct"/>
            <w:tcBorders>
              <w:top w:val="nil"/>
              <w:left w:val="nil"/>
              <w:bottom w:val="nil"/>
              <w:right w:val="nil"/>
            </w:tcBorders>
            <w:noWrap/>
            <w:hideMark/>
          </w:tcPr>
          <w:p w14:paraId="25EE95B6" w14:textId="77777777" w:rsidR="009968E0" w:rsidRPr="009968E0" w:rsidRDefault="009968E0" w:rsidP="009968E0">
            <w:pPr>
              <w:spacing w:line="48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8-13</w:t>
            </w:r>
          </w:p>
        </w:tc>
        <w:tc>
          <w:tcPr>
            <w:tcW w:w="435" w:type="pct"/>
            <w:tcBorders>
              <w:top w:val="nil"/>
              <w:left w:val="nil"/>
              <w:bottom w:val="nil"/>
              <w:right w:val="nil"/>
            </w:tcBorders>
            <w:noWrap/>
            <w:hideMark/>
          </w:tcPr>
          <w:p w14:paraId="4CF2303F" w14:textId="77777777" w:rsidR="009968E0" w:rsidRPr="009968E0" w:rsidRDefault="009968E0" w:rsidP="009968E0">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5</w:t>
            </w:r>
          </w:p>
        </w:tc>
        <w:tc>
          <w:tcPr>
            <w:tcW w:w="720" w:type="pct"/>
            <w:tcBorders>
              <w:top w:val="nil"/>
              <w:left w:val="nil"/>
              <w:bottom w:val="nil"/>
              <w:right w:val="nil"/>
            </w:tcBorders>
            <w:noWrap/>
            <w:hideMark/>
          </w:tcPr>
          <w:p w14:paraId="0231C585" w14:textId="77777777" w:rsidR="009968E0" w:rsidRPr="009968E0" w:rsidRDefault="009968E0" w:rsidP="009968E0">
            <w:pPr>
              <w:spacing w:line="48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4-7</w:t>
            </w:r>
          </w:p>
        </w:tc>
        <w:tc>
          <w:tcPr>
            <w:tcW w:w="435" w:type="pct"/>
            <w:tcBorders>
              <w:top w:val="nil"/>
              <w:left w:val="nil"/>
              <w:bottom w:val="nil"/>
              <w:right w:val="nil"/>
            </w:tcBorders>
            <w:noWrap/>
            <w:hideMark/>
          </w:tcPr>
          <w:p w14:paraId="4A73309E" w14:textId="77777777" w:rsidR="009968E0" w:rsidRPr="009968E0" w:rsidRDefault="009968E0" w:rsidP="009968E0">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9</w:t>
            </w:r>
          </w:p>
        </w:tc>
        <w:tc>
          <w:tcPr>
            <w:tcW w:w="720" w:type="pct"/>
            <w:tcBorders>
              <w:top w:val="nil"/>
              <w:left w:val="nil"/>
              <w:bottom w:val="nil"/>
              <w:right w:val="single" w:sz="4" w:space="0" w:color="000000" w:themeColor="text1"/>
            </w:tcBorders>
            <w:noWrap/>
            <w:hideMark/>
          </w:tcPr>
          <w:p w14:paraId="401D0B2C" w14:textId="77777777" w:rsidR="009968E0" w:rsidRPr="009968E0" w:rsidRDefault="009968E0" w:rsidP="009968E0">
            <w:pPr>
              <w:spacing w:line="48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5-13</w:t>
            </w:r>
          </w:p>
        </w:tc>
      </w:tr>
      <w:tr w:rsidR="009968E0" w:rsidRPr="009968E0" w14:paraId="51C70172" w14:textId="77777777" w:rsidTr="00B667FD">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78" w:type="pct"/>
            <w:tcBorders>
              <w:left w:val="single" w:sz="4" w:space="0" w:color="000000" w:themeColor="text1"/>
            </w:tcBorders>
            <w:noWrap/>
            <w:hideMark/>
          </w:tcPr>
          <w:p w14:paraId="4F3A33FB" w14:textId="77777777" w:rsidR="009968E0" w:rsidRPr="009968E0" w:rsidRDefault="009968E0" w:rsidP="009968E0">
            <w:pPr>
              <w:spacing w:line="48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Becks</w:t>
            </w:r>
          </w:p>
        </w:tc>
        <w:tc>
          <w:tcPr>
            <w:tcW w:w="435" w:type="pct"/>
            <w:tcBorders>
              <w:top w:val="nil"/>
              <w:bottom w:val="nil"/>
              <w:right w:val="nil"/>
            </w:tcBorders>
            <w:noWrap/>
            <w:hideMark/>
          </w:tcPr>
          <w:p w14:paraId="06E90A2A" w14:textId="77777777" w:rsidR="009968E0" w:rsidRPr="009968E0" w:rsidRDefault="009968E0" w:rsidP="009968E0">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vertAlign w:val="superscript"/>
                <w:lang w:eastAsia="en-GB"/>
              </w:rPr>
            </w:pPr>
            <w:r w:rsidRPr="009968E0">
              <w:rPr>
                <w:rFonts w:ascii="Calibri" w:eastAsia="Times New Roman" w:hAnsi="Calibri" w:cs="Calibri"/>
                <w:color w:val="000000"/>
                <w:sz w:val="22"/>
                <w:szCs w:val="22"/>
                <w:lang w:eastAsia="en-GB"/>
              </w:rPr>
              <w:t>19</w:t>
            </w:r>
            <w:r w:rsidRPr="009968E0">
              <w:rPr>
                <w:rFonts w:ascii="Calibri" w:eastAsia="Times New Roman" w:hAnsi="Calibri" w:cs="Calibri"/>
                <w:color w:val="000000"/>
                <w:sz w:val="22"/>
                <w:szCs w:val="22"/>
                <w:vertAlign w:val="superscript"/>
                <w:lang w:eastAsia="en-GB"/>
              </w:rPr>
              <w:t>c</w:t>
            </w:r>
          </w:p>
        </w:tc>
        <w:tc>
          <w:tcPr>
            <w:tcW w:w="720" w:type="pct"/>
            <w:tcBorders>
              <w:top w:val="nil"/>
              <w:left w:val="nil"/>
              <w:bottom w:val="nil"/>
              <w:right w:val="nil"/>
            </w:tcBorders>
            <w:noWrap/>
            <w:hideMark/>
          </w:tcPr>
          <w:p w14:paraId="3537A8E7" w14:textId="77777777" w:rsidR="009968E0" w:rsidRPr="009968E0" w:rsidRDefault="009968E0" w:rsidP="009968E0">
            <w:pPr>
              <w:spacing w:line="48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14-24</w:t>
            </w:r>
          </w:p>
        </w:tc>
        <w:tc>
          <w:tcPr>
            <w:tcW w:w="435" w:type="pct"/>
            <w:tcBorders>
              <w:top w:val="nil"/>
              <w:left w:val="nil"/>
              <w:bottom w:val="nil"/>
              <w:right w:val="nil"/>
            </w:tcBorders>
            <w:noWrap/>
            <w:hideMark/>
          </w:tcPr>
          <w:p w14:paraId="33576FE0" w14:textId="77777777" w:rsidR="009968E0" w:rsidRPr="009968E0" w:rsidRDefault="009968E0" w:rsidP="009968E0">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8</w:t>
            </w:r>
          </w:p>
        </w:tc>
        <w:tc>
          <w:tcPr>
            <w:tcW w:w="720" w:type="pct"/>
            <w:tcBorders>
              <w:top w:val="nil"/>
              <w:left w:val="nil"/>
              <w:bottom w:val="nil"/>
              <w:right w:val="nil"/>
            </w:tcBorders>
            <w:noWrap/>
            <w:hideMark/>
          </w:tcPr>
          <w:p w14:paraId="3C6BA291" w14:textId="77777777" w:rsidR="009968E0" w:rsidRPr="009968E0" w:rsidRDefault="009968E0" w:rsidP="009968E0">
            <w:pPr>
              <w:spacing w:line="48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5-12</w:t>
            </w:r>
          </w:p>
        </w:tc>
        <w:tc>
          <w:tcPr>
            <w:tcW w:w="435" w:type="pct"/>
            <w:tcBorders>
              <w:top w:val="nil"/>
              <w:left w:val="nil"/>
              <w:bottom w:val="nil"/>
              <w:right w:val="nil"/>
            </w:tcBorders>
            <w:noWrap/>
            <w:hideMark/>
          </w:tcPr>
          <w:p w14:paraId="08486561" w14:textId="77777777" w:rsidR="009968E0" w:rsidRPr="009968E0" w:rsidRDefault="009968E0" w:rsidP="009968E0">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3</w:t>
            </w:r>
          </w:p>
        </w:tc>
        <w:tc>
          <w:tcPr>
            <w:tcW w:w="720" w:type="pct"/>
            <w:tcBorders>
              <w:top w:val="nil"/>
              <w:left w:val="nil"/>
              <w:bottom w:val="nil"/>
              <w:right w:val="nil"/>
            </w:tcBorders>
            <w:noWrap/>
            <w:hideMark/>
          </w:tcPr>
          <w:p w14:paraId="5C65DF67" w14:textId="77777777" w:rsidR="009968E0" w:rsidRPr="009968E0" w:rsidRDefault="009968E0" w:rsidP="009968E0">
            <w:pPr>
              <w:spacing w:line="48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1-5</w:t>
            </w:r>
          </w:p>
        </w:tc>
        <w:tc>
          <w:tcPr>
            <w:tcW w:w="435" w:type="pct"/>
            <w:tcBorders>
              <w:top w:val="nil"/>
              <w:left w:val="nil"/>
              <w:bottom w:val="nil"/>
              <w:right w:val="nil"/>
            </w:tcBorders>
            <w:noWrap/>
            <w:hideMark/>
          </w:tcPr>
          <w:p w14:paraId="4B384FDA" w14:textId="77777777" w:rsidR="009968E0" w:rsidRPr="009968E0" w:rsidRDefault="009968E0" w:rsidP="009968E0">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7</w:t>
            </w:r>
          </w:p>
        </w:tc>
        <w:tc>
          <w:tcPr>
            <w:tcW w:w="720" w:type="pct"/>
            <w:tcBorders>
              <w:top w:val="nil"/>
              <w:left w:val="nil"/>
              <w:bottom w:val="nil"/>
              <w:right w:val="single" w:sz="4" w:space="0" w:color="000000" w:themeColor="text1"/>
            </w:tcBorders>
            <w:noWrap/>
            <w:hideMark/>
          </w:tcPr>
          <w:p w14:paraId="4A5C4B71" w14:textId="77777777" w:rsidR="009968E0" w:rsidRPr="009968E0" w:rsidRDefault="009968E0" w:rsidP="009968E0">
            <w:pPr>
              <w:spacing w:line="48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3-10</w:t>
            </w:r>
          </w:p>
        </w:tc>
      </w:tr>
      <w:tr w:rsidR="009968E0" w:rsidRPr="009968E0" w14:paraId="7F378D43" w14:textId="77777777" w:rsidTr="00B667FD">
        <w:trPr>
          <w:trHeight w:val="320"/>
        </w:trPr>
        <w:tc>
          <w:tcPr>
            <w:cnfStyle w:val="001000000000" w:firstRow="0" w:lastRow="0" w:firstColumn="1" w:lastColumn="0" w:oddVBand="0" w:evenVBand="0" w:oddHBand="0" w:evenHBand="0" w:firstRowFirstColumn="0" w:firstRowLastColumn="0" w:lastRowFirstColumn="0" w:lastRowLastColumn="0"/>
            <w:tcW w:w="378" w:type="pct"/>
            <w:tcBorders>
              <w:left w:val="single" w:sz="4" w:space="0" w:color="000000" w:themeColor="text1"/>
            </w:tcBorders>
            <w:noWrap/>
            <w:hideMark/>
          </w:tcPr>
          <w:p w14:paraId="5A8F529F" w14:textId="77777777" w:rsidR="009968E0" w:rsidRPr="009968E0" w:rsidRDefault="009968E0" w:rsidP="009968E0">
            <w:pPr>
              <w:spacing w:line="48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STAI-S</w:t>
            </w:r>
          </w:p>
        </w:tc>
        <w:tc>
          <w:tcPr>
            <w:tcW w:w="435" w:type="pct"/>
            <w:tcBorders>
              <w:top w:val="nil"/>
              <w:bottom w:val="nil"/>
              <w:right w:val="nil"/>
            </w:tcBorders>
            <w:noWrap/>
            <w:hideMark/>
          </w:tcPr>
          <w:p w14:paraId="4761804B" w14:textId="77777777" w:rsidR="009968E0" w:rsidRPr="009968E0" w:rsidRDefault="009968E0" w:rsidP="009968E0">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vertAlign w:val="superscript"/>
                <w:lang w:eastAsia="en-GB"/>
              </w:rPr>
            </w:pPr>
            <w:r w:rsidRPr="009968E0">
              <w:rPr>
                <w:rFonts w:ascii="Calibri" w:eastAsia="Times New Roman" w:hAnsi="Calibri" w:cs="Calibri"/>
                <w:color w:val="000000"/>
                <w:sz w:val="22"/>
                <w:szCs w:val="22"/>
                <w:lang w:eastAsia="en-GB"/>
              </w:rPr>
              <w:t>40</w:t>
            </w:r>
            <w:r w:rsidRPr="009968E0">
              <w:rPr>
                <w:rFonts w:ascii="Calibri" w:eastAsia="Times New Roman" w:hAnsi="Calibri" w:cs="Calibri"/>
                <w:color w:val="000000"/>
                <w:sz w:val="22"/>
                <w:szCs w:val="22"/>
                <w:vertAlign w:val="superscript"/>
                <w:lang w:eastAsia="en-GB"/>
              </w:rPr>
              <w:t>d</w:t>
            </w:r>
          </w:p>
        </w:tc>
        <w:tc>
          <w:tcPr>
            <w:tcW w:w="720" w:type="pct"/>
            <w:tcBorders>
              <w:top w:val="nil"/>
              <w:left w:val="nil"/>
              <w:bottom w:val="nil"/>
              <w:right w:val="nil"/>
            </w:tcBorders>
            <w:noWrap/>
            <w:hideMark/>
          </w:tcPr>
          <w:p w14:paraId="0283919F" w14:textId="77777777" w:rsidR="009968E0" w:rsidRPr="009968E0" w:rsidRDefault="009968E0" w:rsidP="009968E0">
            <w:pPr>
              <w:spacing w:line="48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34-47</w:t>
            </w:r>
          </w:p>
        </w:tc>
        <w:tc>
          <w:tcPr>
            <w:tcW w:w="435" w:type="pct"/>
            <w:tcBorders>
              <w:top w:val="nil"/>
              <w:left w:val="nil"/>
              <w:bottom w:val="nil"/>
              <w:right w:val="nil"/>
            </w:tcBorders>
            <w:noWrap/>
            <w:hideMark/>
          </w:tcPr>
          <w:p w14:paraId="0C76221C" w14:textId="77777777" w:rsidR="009968E0" w:rsidRPr="009968E0" w:rsidRDefault="009968E0" w:rsidP="009968E0">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33</w:t>
            </w:r>
          </w:p>
        </w:tc>
        <w:tc>
          <w:tcPr>
            <w:tcW w:w="720" w:type="pct"/>
            <w:tcBorders>
              <w:top w:val="nil"/>
              <w:left w:val="nil"/>
              <w:bottom w:val="nil"/>
              <w:right w:val="nil"/>
            </w:tcBorders>
            <w:noWrap/>
            <w:hideMark/>
          </w:tcPr>
          <w:p w14:paraId="2B073922" w14:textId="77777777" w:rsidR="009968E0" w:rsidRPr="009968E0" w:rsidRDefault="009968E0" w:rsidP="009968E0">
            <w:pPr>
              <w:spacing w:line="48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28-38</w:t>
            </w:r>
          </w:p>
        </w:tc>
        <w:tc>
          <w:tcPr>
            <w:tcW w:w="435" w:type="pct"/>
            <w:tcBorders>
              <w:top w:val="nil"/>
              <w:left w:val="nil"/>
              <w:bottom w:val="nil"/>
              <w:right w:val="nil"/>
            </w:tcBorders>
            <w:noWrap/>
            <w:hideMark/>
          </w:tcPr>
          <w:p w14:paraId="4F279739" w14:textId="77777777" w:rsidR="009968E0" w:rsidRPr="009968E0" w:rsidRDefault="009968E0" w:rsidP="009968E0">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28</w:t>
            </w:r>
          </w:p>
        </w:tc>
        <w:tc>
          <w:tcPr>
            <w:tcW w:w="720" w:type="pct"/>
            <w:tcBorders>
              <w:top w:val="nil"/>
              <w:left w:val="nil"/>
              <w:bottom w:val="nil"/>
              <w:right w:val="nil"/>
            </w:tcBorders>
            <w:noWrap/>
            <w:hideMark/>
          </w:tcPr>
          <w:p w14:paraId="3CE1340C" w14:textId="77777777" w:rsidR="009968E0" w:rsidRPr="009968E0" w:rsidRDefault="009968E0" w:rsidP="009968E0">
            <w:pPr>
              <w:spacing w:line="48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23-33</w:t>
            </w:r>
          </w:p>
        </w:tc>
        <w:tc>
          <w:tcPr>
            <w:tcW w:w="435" w:type="pct"/>
            <w:tcBorders>
              <w:top w:val="nil"/>
              <w:left w:val="nil"/>
              <w:bottom w:val="nil"/>
              <w:right w:val="nil"/>
            </w:tcBorders>
            <w:noWrap/>
            <w:hideMark/>
          </w:tcPr>
          <w:p w14:paraId="26967359" w14:textId="77777777" w:rsidR="009968E0" w:rsidRPr="009968E0" w:rsidRDefault="009968E0" w:rsidP="009968E0">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30</w:t>
            </w:r>
          </w:p>
        </w:tc>
        <w:tc>
          <w:tcPr>
            <w:tcW w:w="720" w:type="pct"/>
            <w:tcBorders>
              <w:top w:val="nil"/>
              <w:left w:val="nil"/>
              <w:bottom w:val="nil"/>
              <w:right w:val="single" w:sz="4" w:space="0" w:color="000000" w:themeColor="text1"/>
            </w:tcBorders>
            <w:noWrap/>
            <w:hideMark/>
          </w:tcPr>
          <w:p w14:paraId="74D3DFA4" w14:textId="77777777" w:rsidR="009968E0" w:rsidRPr="009968E0" w:rsidRDefault="009968E0" w:rsidP="009968E0">
            <w:pPr>
              <w:spacing w:line="48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25-34</w:t>
            </w:r>
          </w:p>
        </w:tc>
      </w:tr>
      <w:tr w:rsidR="009968E0" w:rsidRPr="009968E0" w14:paraId="76A1C7CD" w14:textId="77777777" w:rsidTr="00B667FD">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78" w:type="pct"/>
            <w:tcBorders>
              <w:left w:val="single" w:sz="4" w:space="0" w:color="000000" w:themeColor="text1"/>
            </w:tcBorders>
            <w:noWrap/>
            <w:hideMark/>
          </w:tcPr>
          <w:p w14:paraId="113338C1" w14:textId="77777777" w:rsidR="009968E0" w:rsidRPr="009968E0" w:rsidRDefault="009968E0" w:rsidP="009968E0">
            <w:pPr>
              <w:spacing w:line="48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STAI-T</w:t>
            </w:r>
          </w:p>
        </w:tc>
        <w:tc>
          <w:tcPr>
            <w:tcW w:w="435" w:type="pct"/>
            <w:tcBorders>
              <w:top w:val="nil"/>
              <w:bottom w:val="nil"/>
              <w:right w:val="nil"/>
            </w:tcBorders>
            <w:noWrap/>
            <w:hideMark/>
          </w:tcPr>
          <w:p w14:paraId="75150FDD" w14:textId="77777777" w:rsidR="009968E0" w:rsidRPr="009968E0" w:rsidRDefault="009968E0" w:rsidP="009968E0">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vertAlign w:val="superscript"/>
                <w:lang w:eastAsia="en-GB"/>
              </w:rPr>
            </w:pPr>
            <w:r w:rsidRPr="009968E0">
              <w:rPr>
                <w:rFonts w:ascii="Calibri" w:eastAsia="Times New Roman" w:hAnsi="Calibri" w:cs="Calibri"/>
                <w:color w:val="000000"/>
                <w:sz w:val="22"/>
                <w:szCs w:val="22"/>
                <w:lang w:eastAsia="en-GB"/>
              </w:rPr>
              <w:t>42</w:t>
            </w:r>
            <w:r w:rsidRPr="009968E0">
              <w:rPr>
                <w:rFonts w:ascii="Calibri" w:eastAsia="Times New Roman" w:hAnsi="Calibri" w:cs="Calibri"/>
                <w:color w:val="000000"/>
                <w:sz w:val="22"/>
                <w:szCs w:val="22"/>
                <w:vertAlign w:val="superscript"/>
                <w:lang w:eastAsia="en-GB"/>
              </w:rPr>
              <w:t>e</w:t>
            </w:r>
          </w:p>
        </w:tc>
        <w:tc>
          <w:tcPr>
            <w:tcW w:w="720" w:type="pct"/>
            <w:tcBorders>
              <w:top w:val="nil"/>
              <w:left w:val="nil"/>
              <w:bottom w:val="nil"/>
              <w:right w:val="nil"/>
            </w:tcBorders>
            <w:noWrap/>
            <w:hideMark/>
          </w:tcPr>
          <w:p w14:paraId="440E83A0" w14:textId="77777777" w:rsidR="009968E0" w:rsidRPr="009968E0" w:rsidRDefault="009968E0" w:rsidP="009968E0">
            <w:pPr>
              <w:spacing w:line="48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36-49</w:t>
            </w:r>
          </w:p>
        </w:tc>
        <w:tc>
          <w:tcPr>
            <w:tcW w:w="435" w:type="pct"/>
            <w:tcBorders>
              <w:top w:val="nil"/>
              <w:left w:val="nil"/>
              <w:bottom w:val="nil"/>
              <w:right w:val="nil"/>
            </w:tcBorders>
            <w:noWrap/>
            <w:hideMark/>
          </w:tcPr>
          <w:p w14:paraId="7BDC7227" w14:textId="77777777" w:rsidR="009968E0" w:rsidRPr="009968E0" w:rsidRDefault="009968E0" w:rsidP="009968E0">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37</w:t>
            </w:r>
          </w:p>
        </w:tc>
        <w:tc>
          <w:tcPr>
            <w:tcW w:w="720" w:type="pct"/>
            <w:tcBorders>
              <w:top w:val="nil"/>
              <w:left w:val="nil"/>
              <w:bottom w:val="nil"/>
              <w:right w:val="nil"/>
            </w:tcBorders>
            <w:noWrap/>
            <w:hideMark/>
          </w:tcPr>
          <w:p w14:paraId="53144AFC" w14:textId="77777777" w:rsidR="009968E0" w:rsidRPr="009968E0" w:rsidRDefault="009968E0" w:rsidP="009968E0">
            <w:pPr>
              <w:spacing w:line="48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31-43</w:t>
            </w:r>
          </w:p>
        </w:tc>
        <w:tc>
          <w:tcPr>
            <w:tcW w:w="435" w:type="pct"/>
            <w:tcBorders>
              <w:top w:val="nil"/>
              <w:left w:val="nil"/>
              <w:bottom w:val="nil"/>
              <w:right w:val="nil"/>
            </w:tcBorders>
            <w:noWrap/>
            <w:hideMark/>
          </w:tcPr>
          <w:p w14:paraId="4C8D9976" w14:textId="77777777" w:rsidR="009968E0" w:rsidRPr="009968E0" w:rsidRDefault="009968E0" w:rsidP="009968E0">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30</w:t>
            </w:r>
          </w:p>
        </w:tc>
        <w:tc>
          <w:tcPr>
            <w:tcW w:w="720" w:type="pct"/>
            <w:tcBorders>
              <w:top w:val="nil"/>
              <w:left w:val="nil"/>
              <w:bottom w:val="nil"/>
              <w:right w:val="nil"/>
            </w:tcBorders>
            <w:noWrap/>
            <w:hideMark/>
          </w:tcPr>
          <w:p w14:paraId="6F451DA1" w14:textId="77777777" w:rsidR="009968E0" w:rsidRPr="009968E0" w:rsidRDefault="009968E0" w:rsidP="009968E0">
            <w:pPr>
              <w:spacing w:line="48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26-33</w:t>
            </w:r>
          </w:p>
        </w:tc>
        <w:tc>
          <w:tcPr>
            <w:tcW w:w="435" w:type="pct"/>
            <w:tcBorders>
              <w:top w:val="nil"/>
              <w:left w:val="nil"/>
              <w:bottom w:val="nil"/>
              <w:right w:val="nil"/>
            </w:tcBorders>
            <w:noWrap/>
            <w:hideMark/>
          </w:tcPr>
          <w:p w14:paraId="498E9A8E" w14:textId="77777777" w:rsidR="009968E0" w:rsidRPr="009968E0" w:rsidRDefault="009968E0" w:rsidP="009968E0">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35</w:t>
            </w:r>
          </w:p>
        </w:tc>
        <w:tc>
          <w:tcPr>
            <w:tcW w:w="720" w:type="pct"/>
            <w:tcBorders>
              <w:top w:val="nil"/>
              <w:left w:val="nil"/>
              <w:bottom w:val="nil"/>
              <w:right w:val="single" w:sz="4" w:space="0" w:color="000000" w:themeColor="text1"/>
            </w:tcBorders>
            <w:noWrap/>
            <w:hideMark/>
          </w:tcPr>
          <w:p w14:paraId="7ECC172B" w14:textId="77777777" w:rsidR="009968E0" w:rsidRPr="009968E0" w:rsidRDefault="009968E0" w:rsidP="009968E0">
            <w:pPr>
              <w:spacing w:line="48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30-41</w:t>
            </w:r>
          </w:p>
        </w:tc>
      </w:tr>
      <w:tr w:rsidR="009968E0" w:rsidRPr="009968E0" w14:paraId="35436D0B" w14:textId="77777777" w:rsidTr="00B667FD">
        <w:trPr>
          <w:trHeight w:val="320"/>
        </w:trPr>
        <w:tc>
          <w:tcPr>
            <w:cnfStyle w:val="001000000000" w:firstRow="0" w:lastRow="0" w:firstColumn="1" w:lastColumn="0" w:oddVBand="0" w:evenVBand="0" w:oddHBand="0" w:evenHBand="0" w:firstRowFirstColumn="0" w:firstRowLastColumn="0" w:lastRowFirstColumn="0" w:lastRowLastColumn="0"/>
            <w:tcW w:w="378" w:type="pct"/>
            <w:tcBorders>
              <w:left w:val="single" w:sz="4" w:space="0" w:color="000000" w:themeColor="text1"/>
            </w:tcBorders>
            <w:noWrap/>
            <w:hideMark/>
          </w:tcPr>
          <w:p w14:paraId="377AF4FD" w14:textId="77777777" w:rsidR="009968E0" w:rsidRPr="009968E0" w:rsidRDefault="009968E0" w:rsidP="009968E0">
            <w:pPr>
              <w:spacing w:line="48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BIS</w:t>
            </w:r>
          </w:p>
        </w:tc>
        <w:tc>
          <w:tcPr>
            <w:tcW w:w="435" w:type="pct"/>
            <w:tcBorders>
              <w:top w:val="nil"/>
              <w:bottom w:val="nil"/>
              <w:right w:val="nil"/>
            </w:tcBorders>
            <w:noWrap/>
            <w:hideMark/>
          </w:tcPr>
          <w:p w14:paraId="03156EF2" w14:textId="77777777" w:rsidR="009968E0" w:rsidRPr="009968E0" w:rsidRDefault="009968E0" w:rsidP="009968E0">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17</w:t>
            </w:r>
          </w:p>
        </w:tc>
        <w:tc>
          <w:tcPr>
            <w:tcW w:w="720" w:type="pct"/>
            <w:tcBorders>
              <w:top w:val="nil"/>
              <w:left w:val="nil"/>
              <w:bottom w:val="nil"/>
              <w:right w:val="nil"/>
            </w:tcBorders>
            <w:noWrap/>
            <w:hideMark/>
          </w:tcPr>
          <w:p w14:paraId="684DF601" w14:textId="77777777" w:rsidR="009968E0" w:rsidRPr="009968E0" w:rsidRDefault="009968E0" w:rsidP="009968E0">
            <w:pPr>
              <w:spacing w:line="48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15-19</w:t>
            </w:r>
          </w:p>
        </w:tc>
        <w:tc>
          <w:tcPr>
            <w:tcW w:w="435" w:type="pct"/>
            <w:tcBorders>
              <w:top w:val="nil"/>
              <w:left w:val="nil"/>
              <w:bottom w:val="nil"/>
              <w:right w:val="nil"/>
            </w:tcBorders>
            <w:noWrap/>
            <w:hideMark/>
          </w:tcPr>
          <w:p w14:paraId="11E37822" w14:textId="77777777" w:rsidR="009968E0" w:rsidRPr="009968E0" w:rsidRDefault="009968E0" w:rsidP="009968E0">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17</w:t>
            </w:r>
          </w:p>
        </w:tc>
        <w:tc>
          <w:tcPr>
            <w:tcW w:w="720" w:type="pct"/>
            <w:tcBorders>
              <w:top w:val="nil"/>
              <w:left w:val="nil"/>
              <w:bottom w:val="nil"/>
              <w:right w:val="nil"/>
            </w:tcBorders>
            <w:noWrap/>
            <w:hideMark/>
          </w:tcPr>
          <w:p w14:paraId="5E846CD1" w14:textId="77777777" w:rsidR="009968E0" w:rsidRPr="009968E0" w:rsidRDefault="009968E0" w:rsidP="009968E0">
            <w:pPr>
              <w:spacing w:line="48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15-20</w:t>
            </w:r>
          </w:p>
        </w:tc>
        <w:tc>
          <w:tcPr>
            <w:tcW w:w="435" w:type="pct"/>
            <w:tcBorders>
              <w:top w:val="nil"/>
              <w:left w:val="nil"/>
              <w:bottom w:val="nil"/>
              <w:right w:val="nil"/>
            </w:tcBorders>
            <w:noWrap/>
            <w:hideMark/>
          </w:tcPr>
          <w:p w14:paraId="194F7E2C" w14:textId="77777777" w:rsidR="009968E0" w:rsidRPr="009968E0" w:rsidRDefault="009968E0" w:rsidP="009968E0">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17</w:t>
            </w:r>
          </w:p>
        </w:tc>
        <w:tc>
          <w:tcPr>
            <w:tcW w:w="720" w:type="pct"/>
            <w:tcBorders>
              <w:top w:val="nil"/>
              <w:left w:val="nil"/>
              <w:bottom w:val="nil"/>
              <w:right w:val="nil"/>
            </w:tcBorders>
            <w:noWrap/>
            <w:hideMark/>
          </w:tcPr>
          <w:p w14:paraId="19A81536" w14:textId="77777777" w:rsidR="009968E0" w:rsidRPr="009968E0" w:rsidRDefault="009968E0" w:rsidP="009968E0">
            <w:pPr>
              <w:spacing w:line="48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14-19</w:t>
            </w:r>
          </w:p>
        </w:tc>
        <w:tc>
          <w:tcPr>
            <w:tcW w:w="435" w:type="pct"/>
            <w:tcBorders>
              <w:top w:val="nil"/>
              <w:left w:val="nil"/>
              <w:bottom w:val="nil"/>
              <w:right w:val="nil"/>
            </w:tcBorders>
            <w:noWrap/>
            <w:hideMark/>
          </w:tcPr>
          <w:p w14:paraId="60426712" w14:textId="77777777" w:rsidR="009968E0" w:rsidRPr="009968E0" w:rsidRDefault="009968E0" w:rsidP="009968E0">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19</w:t>
            </w:r>
          </w:p>
        </w:tc>
        <w:tc>
          <w:tcPr>
            <w:tcW w:w="720" w:type="pct"/>
            <w:tcBorders>
              <w:top w:val="nil"/>
              <w:left w:val="nil"/>
              <w:bottom w:val="nil"/>
              <w:right w:val="single" w:sz="4" w:space="0" w:color="000000" w:themeColor="text1"/>
            </w:tcBorders>
            <w:noWrap/>
            <w:hideMark/>
          </w:tcPr>
          <w:p w14:paraId="6E790F0E" w14:textId="77777777" w:rsidR="009968E0" w:rsidRPr="009968E0" w:rsidRDefault="009968E0" w:rsidP="009968E0">
            <w:pPr>
              <w:spacing w:line="48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17-22</w:t>
            </w:r>
          </w:p>
        </w:tc>
      </w:tr>
      <w:tr w:rsidR="009968E0" w:rsidRPr="009968E0" w14:paraId="5B4746B3" w14:textId="77777777" w:rsidTr="00B667FD">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78" w:type="pct"/>
            <w:tcBorders>
              <w:left w:val="single" w:sz="4" w:space="0" w:color="000000" w:themeColor="text1"/>
            </w:tcBorders>
            <w:noWrap/>
            <w:hideMark/>
          </w:tcPr>
          <w:p w14:paraId="76BB1AA1" w14:textId="77777777" w:rsidR="009968E0" w:rsidRPr="009968E0" w:rsidRDefault="009968E0" w:rsidP="009968E0">
            <w:pPr>
              <w:spacing w:line="48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BAS-RR</w:t>
            </w:r>
          </w:p>
        </w:tc>
        <w:tc>
          <w:tcPr>
            <w:tcW w:w="435" w:type="pct"/>
            <w:tcBorders>
              <w:top w:val="nil"/>
              <w:bottom w:val="nil"/>
              <w:right w:val="nil"/>
            </w:tcBorders>
            <w:noWrap/>
            <w:hideMark/>
          </w:tcPr>
          <w:p w14:paraId="02F99850" w14:textId="77777777" w:rsidR="009968E0" w:rsidRPr="009968E0" w:rsidRDefault="009968E0" w:rsidP="009968E0">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15</w:t>
            </w:r>
          </w:p>
        </w:tc>
        <w:tc>
          <w:tcPr>
            <w:tcW w:w="720" w:type="pct"/>
            <w:tcBorders>
              <w:top w:val="nil"/>
              <w:left w:val="nil"/>
              <w:bottom w:val="nil"/>
              <w:right w:val="nil"/>
            </w:tcBorders>
            <w:noWrap/>
            <w:hideMark/>
          </w:tcPr>
          <w:p w14:paraId="3C54F86C" w14:textId="77777777" w:rsidR="009968E0" w:rsidRPr="009968E0" w:rsidRDefault="009968E0" w:rsidP="009968E0">
            <w:pPr>
              <w:spacing w:line="48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13-16</w:t>
            </w:r>
          </w:p>
        </w:tc>
        <w:tc>
          <w:tcPr>
            <w:tcW w:w="435" w:type="pct"/>
            <w:tcBorders>
              <w:top w:val="nil"/>
              <w:left w:val="nil"/>
              <w:bottom w:val="nil"/>
              <w:right w:val="nil"/>
            </w:tcBorders>
            <w:noWrap/>
            <w:hideMark/>
          </w:tcPr>
          <w:p w14:paraId="22CB2C64" w14:textId="77777777" w:rsidR="009968E0" w:rsidRPr="009968E0" w:rsidRDefault="009968E0" w:rsidP="009968E0">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15</w:t>
            </w:r>
          </w:p>
        </w:tc>
        <w:tc>
          <w:tcPr>
            <w:tcW w:w="720" w:type="pct"/>
            <w:tcBorders>
              <w:top w:val="nil"/>
              <w:left w:val="nil"/>
              <w:bottom w:val="nil"/>
              <w:right w:val="nil"/>
            </w:tcBorders>
            <w:noWrap/>
            <w:hideMark/>
          </w:tcPr>
          <w:p w14:paraId="6772CB0C" w14:textId="77777777" w:rsidR="009968E0" w:rsidRPr="009968E0" w:rsidRDefault="009968E0" w:rsidP="009968E0">
            <w:pPr>
              <w:spacing w:line="48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13-17</w:t>
            </w:r>
          </w:p>
        </w:tc>
        <w:tc>
          <w:tcPr>
            <w:tcW w:w="435" w:type="pct"/>
            <w:tcBorders>
              <w:top w:val="nil"/>
              <w:left w:val="nil"/>
              <w:bottom w:val="nil"/>
              <w:right w:val="nil"/>
            </w:tcBorders>
            <w:noWrap/>
            <w:hideMark/>
          </w:tcPr>
          <w:p w14:paraId="39E47994" w14:textId="77777777" w:rsidR="009968E0" w:rsidRPr="009968E0" w:rsidRDefault="009968E0" w:rsidP="009968E0">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18</w:t>
            </w:r>
          </w:p>
        </w:tc>
        <w:tc>
          <w:tcPr>
            <w:tcW w:w="720" w:type="pct"/>
            <w:tcBorders>
              <w:top w:val="nil"/>
              <w:left w:val="nil"/>
              <w:bottom w:val="nil"/>
              <w:right w:val="nil"/>
            </w:tcBorders>
            <w:noWrap/>
            <w:hideMark/>
          </w:tcPr>
          <w:p w14:paraId="0D190407" w14:textId="77777777" w:rsidR="009968E0" w:rsidRPr="009968E0" w:rsidRDefault="009968E0" w:rsidP="009968E0">
            <w:pPr>
              <w:spacing w:line="48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16-19</w:t>
            </w:r>
          </w:p>
        </w:tc>
        <w:tc>
          <w:tcPr>
            <w:tcW w:w="435" w:type="pct"/>
            <w:tcBorders>
              <w:top w:val="nil"/>
              <w:left w:val="nil"/>
              <w:bottom w:val="nil"/>
              <w:right w:val="nil"/>
            </w:tcBorders>
            <w:noWrap/>
            <w:hideMark/>
          </w:tcPr>
          <w:p w14:paraId="13BC2B2E" w14:textId="77777777" w:rsidR="009968E0" w:rsidRPr="009968E0" w:rsidRDefault="009968E0" w:rsidP="009968E0">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16</w:t>
            </w:r>
          </w:p>
        </w:tc>
        <w:tc>
          <w:tcPr>
            <w:tcW w:w="720" w:type="pct"/>
            <w:tcBorders>
              <w:top w:val="nil"/>
              <w:left w:val="nil"/>
              <w:bottom w:val="nil"/>
              <w:right w:val="single" w:sz="4" w:space="0" w:color="000000" w:themeColor="text1"/>
            </w:tcBorders>
            <w:noWrap/>
            <w:hideMark/>
          </w:tcPr>
          <w:p w14:paraId="34D144C0" w14:textId="77777777" w:rsidR="009968E0" w:rsidRPr="009968E0" w:rsidRDefault="009968E0" w:rsidP="009968E0">
            <w:pPr>
              <w:spacing w:line="48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15-18</w:t>
            </w:r>
          </w:p>
        </w:tc>
      </w:tr>
      <w:tr w:rsidR="009968E0" w:rsidRPr="009968E0" w14:paraId="3D651BDD" w14:textId="77777777" w:rsidTr="00B667FD">
        <w:trPr>
          <w:trHeight w:val="320"/>
        </w:trPr>
        <w:tc>
          <w:tcPr>
            <w:cnfStyle w:val="001000000000" w:firstRow="0" w:lastRow="0" w:firstColumn="1" w:lastColumn="0" w:oddVBand="0" w:evenVBand="0" w:oddHBand="0" w:evenHBand="0" w:firstRowFirstColumn="0" w:firstRowLastColumn="0" w:lastRowFirstColumn="0" w:lastRowLastColumn="0"/>
            <w:tcW w:w="378" w:type="pct"/>
            <w:tcBorders>
              <w:left w:val="single" w:sz="4" w:space="0" w:color="000000" w:themeColor="text1"/>
              <w:bottom w:val="single" w:sz="4" w:space="0" w:color="000000" w:themeColor="text1"/>
            </w:tcBorders>
            <w:noWrap/>
            <w:hideMark/>
          </w:tcPr>
          <w:p w14:paraId="58702FC5" w14:textId="77777777" w:rsidR="009968E0" w:rsidRPr="009968E0" w:rsidRDefault="009968E0" w:rsidP="009968E0">
            <w:pPr>
              <w:spacing w:line="48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BAS-D</w:t>
            </w:r>
          </w:p>
        </w:tc>
        <w:tc>
          <w:tcPr>
            <w:tcW w:w="435" w:type="pct"/>
            <w:tcBorders>
              <w:top w:val="nil"/>
              <w:bottom w:val="single" w:sz="4" w:space="0" w:color="000000" w:themeColor="text1"/>
              <w:right w:val="nil"/>
            </w:tcBorders>
            <w:noWrap/>
            <w:hideMark/>
          </w:tcPr>
          <w:p w14:paraId="62E5843D" w14:textId="77777777" w:rsidR="009968E0" w:rsidRPr="009968E0" w:rsidRDefault="009968E0" w:rsidP="009968E0">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9</w:t>
            </w:r>
          </w:p>
        </w:tc>
        <w:tc>
          <w:tcPr>
            <w:tcW w:w="720" w:type="pct"/>
            <w:tcBorders>
              <w:top w:val="nil"/>
              <w:left w:val="nil"/>
              <w:bottom w:val="single" w:sz="4" w:space="0" w:color="000000" w:themeColor="text1"/>
              <w:right w:val="nil"/>
            </w:tcBorders>
            <w:noWrap/>
            <w:hideMark/>
          </w:tcPr>
          <w:p w14:paraId="1A0EF2AD" w14:textId="77777777" w:rsidR="009968E0" w:rsidRPr="009968E0" w:rsidRDefault="009968E0" w:rsidP="009968E0">
            <w:pPr>
              <w:spacing w:line="48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7-10</w:t>
            </w:r>
          </w:p>
        </w:tc>
        <w:tc>
          <w:tcPr>
            <w:tcW w:w="435" w:type="pct"/>
            <w:tcBorders>
              <w:top w:val="nil"/>
              <w:left w:val="nil"/>
              <w:bottom w:val="single" w:sz="4" w:space="0" w:color="000000" w:themeColor="text1"/>
              <w:right w:val="nil"/>
            </w:tcBorders>
            <w:noWrap/>
            <w:hideMark/>
          </w:tcPr>
          <w:p w14:paraId="4A809A82" w14:textId="77777777" w:rsidR="009968E0" w:rsidRPr="009968E0" w:rsidRDefault="009968E0" w:rsidP="009968E0">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9</w:t>
            </w:r>
          </w:p>
        </w:tc>
        <w:tc>
          <w:tcPr>
            <w:tcW w:w="720" w:type="pct"/>
            <w:tcBorders>
              <w:top w:val="nil"/>
              <w:left w:val="nil"/>
              <w:bottom w:val="single" w:sz="4" w:space="0" w:color="000000" w:themeColor="text1"/>
              <w:right w:val="nil"/>
            </w:tcBorders>
            <w:noWrap/>
            <w:hideMark/>
          </w:tcPr>
          <w:p w14:paraId="42B447E4" w14:textId="77777777" w:rsidR="009968E0" w:rsidRPr="009968E0" w:rsidRDefault="009968E0" w:rsidP="009968E0">
            <w:pPr>
              <w:spacing w:line="48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7-10</w:t>
            </w:r>
          </w:p>
        </w:tc>
        <w:tc>
          <w:tcPr>
            <w:tcW w:w="435" w:type="pct"/>
            <w:tcBorders>
              <w:top w:val="nil"/>
              <w:left w:val="nil"/>
              <w:bottom w:val="single" w:sz="4" w:space="0" w:color="000000" w:themeColor="text1"/>
              <w:right w:val="nil"/>
            </w:tcBorders>
            <w:noWrap/>
            <w:hideMark/>
          </w:tcPr>
          <w:p w14:paraId="1936C76D" w14:textId="77777777" w:rsidR="009968E0" w:rsidRPr="009968E0" w:rsidRDefault="009968E0" w:rsidP="009968E0">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11</w:t>
            </w:r>
          </w:p>
        </w:tc>
        <w:tc>
          <w:tcPr>
            <w:tcW w:w="720" w:type="pct"/>
            <w:tcBorders>
              <w:top w:val="nil"/>
              <w:left w:val="nil"/>
              <w:bottom w:val="single" w:sz="4" w:space="0" w:color="000000" w:themeColor="text1"/>
              <w:right w:val="nil"/>
            </w:tcBorders>
            <w:noWrap/>
            <w:hideMark/>
          </w:tcPr>
          <w:p w14:paraId="658D7304" w14:textId="77777777" w:rsidR="009968E0" w:rsidRPr="009968E0" w:rsidRDefault="009968E0" w:rsidP="009968E0">
            <w:pPr>
              <w:spacing w:line="48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9-13</w:t>
            </w:r>
          </w:p>
        </w:tc>
        <w:tc>
          <w:tcPr>
            <w:tcW w:w="435" w:type="pct"/>
            <w:tcBorders>
              <w:top w:val="nil"/>
              <w:left w:val="nil"/>
              <w:bottom w:val="single" w:sz="4" w:space="0" w:color="000000" w:themeColor="text1"/>
              <w:right w:val="nil"/>
            </w:tcBorders>
            <w:noWrap/>
            <w:hideMark/>
          </w:tcPr>
          <w:p w14:paraId="7E825929" w14:textId="77777777" w:rsidR="009968E0" w:rsidRPr="009968E0" w:rsidRDefault="009968E0" w:rsidP="009968E0">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9</w:t>
            </w:r>
          </w:p>
        </w:tc>
        <w:tc>
          <w:tcPr>
            <w:tcW w:w="720" w:type="pct"/>
            <w:tcBorders>
              <w:top w:val="nil"/>
              <w:left w:val="nil"/>
              <w:bottom w:val="single" w:sz="4" w:space="0" w:color="000000" w:themeColor="text1"/>
              <w:right w:val="single" w:sz="4" w:space="0" w:color="000000" w:themeColor="text1"/>
            </w:tcBorders>
            <w:noWrap/>
            <w:hideMark/>
          </w:tcPr>
          <w:p w14:paraId="69A36BA2" w14:textId="77777777" w:rsidR="009968E0" w:rsidRPr="009968E0" w:rsidRDefault="009968E0" w:rsidP="009968E0">
            <w:pPr>
              <w:spacing w:line="48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8-11</w:t>
            </w:r>
          </w:p>
        </w:tc>
      </w:tr>
      <w:tr w:rsidR="009968E0" w:rsidRPr="009968E0" w14:paraId="205794AB" w14:textId="77777777" w:rsidTr="00B667FD">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78" w:type="pct"/>
            <w:tcBorders>
              <w:top w:val="single" w:sz="4" w:space="0" w:color="000000" w:themeColor="text1"/>
              <w:left w:val="single" w:sz="4" w:space="0" w:color="000000" w:themeColor="text1"/>
            </w:tcBorders>
            <w:noWrap/>
            <w:hideMark/>
          </w:tcPr>
          <w:p w14:paraId="6AEACA58" w14:textId="77777777" w:rsidR="009968E0" w:rsidRPr="009968E0" w:rsidRDefault="009968E0" w:rsidP="009968E0">
            <w:pPr>
              <w:spacing w:line="48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lastRenderedPageBreak/>
              <w:t>BAS F</w:t>
            </w:r>
          </w:p>
        </w:tc>
        <w:tc>
          <w:tcPr>
            <w:tcW w:w="435" w:type="pct"/>
            <w:tcBorders>
              <w:top w:val="single" w:sz="4" w:space="0" w:color="000000" w:themeColor="text1"/>
              <w:bottom w:val="nil"/>
              <w:right w:val="nil"/>
            </w:tcBorders>
            <w:noWrap/>
            <w:hideMark/>
          </w:tcPr>
          <w:p w14:paraId="4C6182BC" w14:textId="77777777" w:rsidR="009968E0" w:rsidRPr="009968E0" w:rsidRDefault="009968E0" w:rsidP="009968E0">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9</w:t>
            </w:r>
          </w:p>
        </w:tc>
        <w:tc>
          <w:tcPr>
            <w:tcW w:w="720" w:type="pct"/>
            <w:tcBorders>
              <w:top w:val="single" w:sz="4" w:space="0" w:color="000000" w:themeColor="text1"/>
              <w:left w:val="nil"/>
              <w:bottom w:val="nil"/>
              <w:right w:val="nil"/>
            </w:tcBorders>
            <w:noWrap/>
            <w:hideMark/>
          </w:tcPr>
          <w:p w14:paraId="53E14E5F" w14:textId="77777777" w:rsidR="009968E0" w:rsidRPr="009968E0" w:rsidRDefault="009968E0" w:rsidP="009968E0">
            <w:pPr>
              <w:spacing w:line="48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8-10</w:t>
            </w:r>
          </w:p>
        </w:tc>
        <w:tc>
          <w:tcPr>
            <w:tcW w:w="435" w:type="pct"/>
            <w:tcBorders>
              <w:top w:val="single" w:sz="4" w:space="0" w:color="000000" w:themeColor="text1"/>
              <w:left w:val="nil"/>
              <w:bottom w:val="nil"/>
              <w:right w:val="nil"/>
            </w:tcBorders>
            <w:noWrap/>
            <w:hideMark/>
          </w:tcPr>
          <w:p w14:paraId="058877D2" w14:textId="77777777" w:rsidR="009968E0" w:rsidRPr="009968E0" w:rsidRDefault="009968E0" w:rsidP="009968E0">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10</w:t>
            </w:r>
          </w:p>
        </w:tc>
        <w:tc>
          <w:tcPr>
            <w:tcW w:w="720" w:type="pct"/>
            <w:tcBorders>
              <w:top w:val="single" w:sz="4" w:space="0" w:color="000000" w:themeColor="text1"/>
              <w:left w:val="nil"/>
              <w:bottom w:val="nil"/>
              <w:right w:val="nil"/>
            </w:tcBorders>
            <w:noWrap/>
            <w:hideMark/>
          </w:tcPr>
          <w:p w14:paraId="5F695694" w14:textId="77777777" w:rsidR="009968E0" w:rsidRPr="009968E0" w:rsidRDefault="009968E0" w:rsidP="009968E0">
            <w:pPr>
              <w:spacing w:line="48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8-11</w:t>
            </w:r>
          </w:p>
        </w:tc>
        <w:tc>
          <w:tcPr>
            <w:tcW w:w="435" w:type="pct"/>
            <w:tcBorders>
              <w:top w:val="single" w:sz="4" w:space="0" w:color="000000" w:themeColor="text1"/>
              <w:left w:val="nil"/>
              <w:bottom w:val="nil"/>
              <w:right w:val="nil"/>
            </w:tcBorders>
            <w:noWrap/>
            <w:hideMark/>
          </w:tcPr>
          <w:p w14:paraId="672B5ACF" w14:textId="77777777" w:rsidR="009968E0" w:rsidRPr="009968E0" w:rsidRDefault="009968E0" w:rsidP="009968E0">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10</w:t>
            </w:r>
          </w:p>
        </w:tc>
        <w:tc>
          <w:tcPr>
            <w:tcW w:w="720" w:type="pct"/>
            <w:tcBorders>
              <w:top w:val="single" w:sz="4" w:space="0" w:color="000000" w:themeColor="text1"/>
              <w:left w:val="nil"/>
              <w:bottom w:val="nil"/>
              <w:right w:val="nil"/>
            </w:tcBorders>
            <w:noWrap/>
            <w:hideMark/>
          </w:tcPr>
          <w:p w14:paraId="05479863" w14:textId="77777777" w:rsidR="009968E0" w:rsidRPr="009968E0" w:rsidRDefault="009968E0" w:rsidP="009968E0">
            <w:pPr>
              <w:spacing w:line="48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8-12</w:t>
            </w:r>
          </w:p>
        </w:tc>
        <w:tc>
          <w:tcPr>
            <w:tcW w:w="435" w:type="pct"/>
            <w:tcBorders>
              <w:top w:val="single" w:sz="4" w:space="0" w:color="000000" w:themeColor="text1"/>
              <w:left w:val="nil"/>
              <w:bottom w:val="nil"/>
              <w:right w:val="nil"/>
            </w:tcBorders>
            <w:noWrap/>
            <w:hideMark/>
          </w:tcPr>
          <w:p w14:paraId="26ADB1A2" w14:textId="77777777" w:rsidR="009968E0" w:rsidRPr="009968E0" w:rsidRDefault="009968E0" w:rsidP="009968E0">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10</w:t>
            </w:r>
          </w:p>
        </w:tc>
        <w:tc>
          <w:tcPr>
            <w:tcW w:w="720" w:type="pct"/>
            <w:tcBorders>
              <w:top w:val="single" w:sz="4" w:space="0" w:color="000000" w:themeColor="text1"/>
              <w:left w:val="nil"/>
              <w:bottom w:val="nil"/>
              <w:right w:val="single" w:sz="4" w:space="0" w:color="000000" w:themeColor="text1"/>
            </w:tcBorders>
            <w:noWrap/>
            <w:hideMark/>
          </w:tcPr>
          <w:p w14:paraId="70845902" w14:textId="77777777" w:rsidR="009968E0" w:rsidRPr="009968E0" w:rsidRDefault="009968E0" w:rsidP="009968E0">
            <w:pPr>
              <w:spacing w:line="48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8-12</w:t>
            </w:r>
          </w:p>
        </w:tc>
      </w:tr>
      <w:tr w:rsidR="009968E0" w:rsidRPr="009968E0" w14:paraId="43D0AE51" w14:textId="77777777" w:rsidTr="00B667FD">
        <w:trPr>
          <w:trHeight w:val="320"/>
        </w:trPr>
        <w:tc>
          <w:tcPr>
            <w:cnfStyle w:val="001000000000" w:firstRow="0" w:lastRow="0" w:firstColumn="1" w:lastColumn="0" w:oddVBand="0" w:evenVBand="0" w:oddHBand="0" w:evenHBand="0" w:firstRowFirstColumn="0" w:firstRowLastColumn="0" w:lastRowFirstColumn="0" w:lastRowLastColumn="0"/>
            <w:tcW w:w="378" w:type="pct"/>
            <w:tcBorders>
              <w:left w:val="single" w:sz="4" w:space="0" w:color="000000" w:themeColor="text1"/>
            </w:tcBorders>
            <w:noWrap/>
            <w:hideMark/>
          </w:tcPr>
          <w:p w14:paraId="5AEF302C" w14:textId="77777777" w:rsidR="009968E0" w:rsidRPr="009968E0" w:rsidRDefault="009968E0" w:rsidP="009968E0">
            <w:pPr>
              <w:spacing w:line="48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PCS</w:t>
            </w:r>
          </w:p>
        </w:tc>
        <w:tc>
          <w:tcPr>
            <w:tcW w:w="435" w:type="pct"/>
            <w:tcBorders>
              <w:top w:val="nil"/>
              <w:bottom w:val="nil"/>
              <w:right w:val="nil"/>
            </w:tcBorders>
            <w:noWrap/>
            <w:hideMark/>
          </w:tcPr>
          <w:p w14:paraId="2517EFD6" w14:textId="77777777" w:rsidR="009968E0" w:rsidRPr="009968E0" w:rsidRDefault="009968E0" w:rsidP="009968E0">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vertAlign w:val="superscript"/>
                <w:lang w:eastAsia="en-GB"/>
              </w:rPr>
            </w:pPr>
            <w:r w:rsidRPr="009968E0">
              <w:rPr>
                <w:rFonts w:ascii="Calibri" w:eastAsia="Times New Roman" w:hAnsi="Calibri" w:cs="Calibri"/>
                <w:color w:val="000000"/>
                <w:sz w:val="22"/>
                <w:szCs w:val="22"/>
                <w:lang w:eastAsia="en-GB"/>
              </w:rPr>
              <w:t>18</w:t>
            </w:r>
            <w:r w:rsidRPr="009968E0">
              <w:rPr>
                <w:rFonts w:ascii="Calibri" w:eastAsia="Times New Roman" w:hAnsi="Calibri" w:cs="Calibri"/>
                <w:color w:val="000000"/>
                <w:sz w:val="22"/>
                <w:szCs w:val="22"/>
                <w:vertAlign w:val="superscript"/>
                <w:lang w:eastAsia="en-GB"/>
              </w:rPr>
              <w:t>f</w:t>
            </w:r>
          </w:p>
        </w:tc>
        <w:tc>
          <w:tcPr>
            <w:tcW w:w="720" w:type="pct"/>
            <w:tcBorders>
              <w:top w:val="nil"/>
              <w:left w:val="nil"/>
              <w:bottom w:val="nil"/>
              <w:right w:val="nil"/>
            </w:tcBorders>
            <w:noWrap/>
            <w:hideMark/>
          </w:tcPr>
          <w:p w14:paraId="2258B524" w14:textId="77777777" w:rsidR="009968E0" w:rsidRPr="009968E0" w:rsidRDefault="009968E0" w:rsidP="009968E0">
            <w:pPr>
              <w:spacing w:line="48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12-24</w:t>
            </w:r>
          </w:p>
        </w:tc>
        <w:tc>
          <w:tcPr>
            <w:tcW w:w="435" w:type="pct"/>
            <w:tcBorders>
              <w:top w:val="nil"/>
              <w:left w:val="nil"/>
              <w:bottom w:val="nil"/>
              <w:right w:val="nil"/>
            </w:tcBorders>
            <w:noWrap/>
            <w:hideMark/>
          </w:tcPr>
          <w:p w14:paraId="4029FC19" w14:textId="77777777" w:rsidR="009968E0" w:rsidRPr="009968E0" w:rsidRDefault="009968E0" w:rsidP="009968E0">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9</w:t>
            </w:r>
          </w:p>
        </w:tc>
        <w:tc>
          <w:tcPr>
            <w:tcW w:w="720" w:type="pct"/>
            <w:tcBorders>
              <w:top w:val="nil"/>
              <w:left w:val="nil"/>
              <w:bottom w:val="nil"/>
              <w:right w:val="nil"/>
            </w:tcBorders>
            <w:noWrap/>
            <w:hideMark/>
          </w:tcPr>
          <w:p w14:paraId="25B912A4" w14:textId="77777777" w:rsidR="009968E0" w:rsidRPr="009968E0" w:rsidRDefault="009968E0" w:rsidP="009968E0">
            <w:pPr>
              <w:spacing w:line="48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5-13</w:t>
            </w:r>
          </w:p>
        </w:tc>
        <w:tc>
          <w:tcPr>
            <w:tcW w:w="435" w:type="pct"/>
            <w:tcBorders>
              <w:top w:val="nil"/>
              <w:left w:val="nil"/>
              <w:bottom w:val="nil"/>
              <w:right w:val="nil"/>
            </w:tcBorders>
            <w:noWrap/>
            <w:hideMark/>
          </w:tcPr>
          <w:p w14:paraId="480CE2F6" w14:textId="77777777" w:rsidR="009968E0" w:rsidRPr="009968E0" w:rsidRDefault="009968E0" w:rsidP="009968E0">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12</w:t>
            </w:r>
          </w:p>
        </w:tc>
        <w:tc>
          <w:tcPr>
            <w:tcW w:w="720" w:type="pct"/>
            <w:tcBorders>
              <w:top w:val="nil"/>
              <w:left w:val="nil"/>
              <w:bottom w:val="nil"/>
              <w:right w:val="nil"/>
            </w:tcBorders>
            <w:noWrap/>
            <w:hideMark/>
          </w:tcPr>
          <w:p w14:paraId="316BD8DA" w14:textId="77777777" w:rsidR="009968E0" w:rsidRPr="009968E0" w:rsidRDefault="009968E0" w:rsidP="009968E0">
            <w:pPr>
              <w:spacing w:line="48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6-17</w:t>
            </w:r>
          </w:p>
        </w:tc>
        <w:tc>
          <w:tcPr>
            <w:tcW w:w="435" w:type="pct"/>
            <w:tcBorders>
              <w:top w:val="nil"/>
              <w:left w:val="nil"/>
              <w:bottom w:val="nil"/>
              <w:right w:val="nil"/>
            </w:tcBorders>
            <w:noWrap/>
            <w:hideMark/>
          </w:tcPr>
          <w:p w14:paraId="116AE2BD" w14:textId="77777777" w:rsidR="009968E0" w:rsidRPr="009968E0" w:rsidRDefault="009968E0" w:rsidP="009968E0">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9</w:t>
            </w:r>
          </w:p>
        </w:tc>
        <w:tc>
          <w:tcPr>
            <w:tcW w:w="720" w:type="pct"/>
            <w:tcBorders>
              <w:top w:val="nil"/>
              <w:left w:val="nil"/>
              <w:bottom w:val="nil"/>
              <w:right w:val="single" w:sz="4" w:space="0" w:color="000000" w:themeColor="text1"/>
            </w:tcBorders>
            <w:noWrap/>
            <w:hideMark/>
          </w:tcPr>
          <w:p w14:paraId="4C892156" w14:textId="77777777" w:rsidR="009968E0" w:rsidRPr="009968E0" w:rsidRDefault="009968E0" w:rsidP="009968E0">
            <w:pPr>
              <w:spacing w:line="48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5-13</w:t>
            </w:r>
          </w:p>
        </w:tc>
      </w:tr>
      <w:tr w:rsidR="009968E0" w:rsidRPr="009968E0" w14:paraId="42DBF690" w14:textId="77777777" w:rsidTr="00B667FD">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78" w:type="pct"/>
            <w:tcBorders>
              <w:left w:val="single" w:sz="4" w:space="0" w:color="000000" w:themeColor="text1"/>
              <w:bottom w:val="single" w:sz="4" w:space="0" w:color="000000" w:themeColor="text1"/>
            </w:tcBorders>
            <w:noWrap/>
            <w:hideMark/>
          </w:tcPr>
          <w:p w14:paraId="37BC3D9B" w14:textId="77777777" w:rsidR="009968E0" w:rsidRPr="009968E0" w:rsidRDefault="009968E0" w:rsidP="009968E0">
            <w:pPr>
              <w:spacing w:line="48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PILL (CDE score 1)</w:t>
            </w:r>
          </w:p>
        </w:tc>
        <w:tc>
          <w:tcPr>
            <w:tcW w:w="435" w:type="pct"/>
            <w:tcBorders>
              <w:top w:val="nil"/>
              <w:bottom w:val="single" w:sz="4" w:space="0" w:color="000000" w:themeColor="text1"/>
              <w:right w:val="nil"/>
            </w:tcBorders>
            <w:noWrap/>
            <w:hideMark/>
          </w:tcPr>
          <w:p w14:paraId="4B943787" w14:textId="77777777" w:rsidR="009968E0" w:rsidRPr="009968E0" w:rsidRDefault="009968E0" w:rsidP="009968E0">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vertAlign w:val="superscript"/>
                <w:lang w:eastAsia="en-GB"/>
              </w:rPr>
            </w:pPr>
            <w:r w:rsidRPr="009968E0">
              <w:rPr>
                <w:rFonts w:ascii="Calibri" w:eastAsia="Times New Roman" w:hAnsi="Calibri" w:cs="Calibri"/>
                <w:color w:val="000000"/>
                <w:sz w:val="22"/>
                <w:szCs w:val="22"/>
                <w:lang w:eastAsia="en-GB"/>
              </w:rPr>
              <w:t>20</w:t>
            </w:r>
            <w:r w:rsidRPr="009968E0">
              <w:rPr>
                <w:rFonts w:ascii="Calibri" w:eastAsia="Times New Roman" w:hAnsi="Calibri" w:cs="Calibri"/>
                <w:color w:val="000000"/>
                <w:sz w:val="22"/>
                <w:szCs w:val="22"/>
                <w:vertAlign w:val="superscript"/>
                <w:lang w:eastAsia="en-GB"/>
              </w:rPr>
              <w:t>g</w:t>
            </w:r>
          </w:p>
        </w:tc>
        <w:tc>
          <w:tcPr>
            <w:tcW w:w="720" w:type="pct"/>
            <w:tcBorders>
              <w:top w:val="nil"/>
              <w:left w:val="nil"/>
              <w:bottom w:val="single" w:sz="4" w:space="0" w:color="000000" w:themeColor="text1"/>
              <w:right w:val="nil"/>
            </w:tcBorders>
            <w:noWrap/>
            <w:hideMark/>
          </w:tcPr>
          <w:p w14:paraId="1023162E" w14:textId="77777777" w:rsidR="009968E0" w:rsidRPr="009968E0" w:rsidRDefault="009968E0" w:rsidP="009968E0">
            <w:pPr>
              <w:spacing w:line="48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15-24</w:t>
            </w:r>
          </w:p>
        </w:tc>
        <w:tc>
          <w:tcPr>
            <w:tcW w:w="435" w:type="pct"/>
            <w:tcBorders>
              <w:top w:val="nil"/>
              <w:left w:val="nil"/>
              <w:bottom w:val="single" w:sz="4" w:space="0" w:color="000000" w:themeColor="text1"/>
              <w:right w:val="nil"/>
            </w:tcBorders>
            <w:noWrap/>
            <w:hideMark/>
          </w:tcPr>
          <w:p w14:paraId="2D1697E9" w14:textId="77777777" w:rsidR="009968E0" w:rsidRPr="009968E0" w:rsidRDefault="009968E0" w:rsidP="009968E0">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13</w:t>
            </w:r>
          </w:p>
        </w:tc>
        <w:tc>
          <w:tcPr>
            <w:tcW w:w="720" w:type="pct"/>
            <w:tcBorders>
              <w:top w:val="nil"/>
              <w:left w:val="nil"/>
              <w:bottom w:val="single" w:sz="4" w:space="0" w:color="000000" w:themeColor="text1"/>
              <w:right w:val="nil"/>
            </w:tcBorders>
            <w:noWrap/>
            <w:hideMark/>
          </w:tcPr>
          <w:p w14:paraId="56CE9E22" w14:textId="77777777" w:rsidR="009968E0" w:rsidRPr="009968E0" w:rsidRDefault="009968E0" w:rsidP="009968E0">
            <w:pPr>
              <w:spacing w:line="48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9-17</w:t>
            </w:r>
          </w:p>
        </w:tc>
        <w:tc>
          <w:tcPr>
            <w:tcW w:w="435" w:type="pct"/>
            <w:tcBorders>
              <w:top w:val="nil"/>
              <w:left w:val="nil"/>
              <w:bottom w:val="single" w:sz="4" w:space="0" w:color="000000" w:themeColor="text1"/>
              <w:right w:val="nil"/>
            </w:tcBorders>
            <w:noWrap/>
            <w:hideMark/>
          </w:tcPr>
          <w:p w14:paraId="4F956C0C" w14:textId="77777777" w:rsidR="009968E0" w:rsidRPr="009968E0" w:rsidRDefault="009968E0" w:rsidP="009968E0">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9</w:t>
            </w:r>
          </w:p>
        </w:tc>
        <w:tc>
          <w:tcPr>
            <w:tcW w:w="720" w:type="pct"/>
            <w:tcBorders>
              <w:top w:val="nil"/>
              <w:left w:val="nil"/>
              <w:bottom w:val="single" w:sz="4" w:space="0" w:color="000000" w:themeColor="text1"/>
              <w:right w:val="nil"/>
            </w:tcBorders>
            <w:noWrap/>
            <w:hideMark/>
          </w:tcPr>
          <w:p w14:paraId="325EDF34" w14:textId="77777777" w:rsidR="009968E0" w:rsidRPr="009968E0" w:rsidRDefault="009968E0" w:rsidP="009968E0">
            <w:pPr>
              <w:spacing w:line="48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4-14</w:t>
            </w:r>
          </w:p>
        </w:tc>
        <w:tc>
          <w:tcPr>
            <w:tcW w:w="435" w:type="pct"/>
            <w:tcBorders>
              <w:top w:val="nil"/>
              <w:left w:val="nil"/>
              <w:bottom w:val="single" w:sz="4" w:space="0" w:color="000000" w:themeColor="text1"/>
              <w:right w:val="nil"/>
            </w:tcBorders>
            <w:noWrap/>
            <w:hideMark/>
          </w:tcPr>
          <w:p w14:paraId="7CA5955E" w14:textId="77777777" w:rsidR="009968E0" w:rsidRPr="009968E0" w:rsidRDefault="009968E0" w:rsidP="009968E0">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12</w:t>
            </w:r>
          </w:p>
        </w:tc>
        <w:tc>
          <w:tcPr>
            <w:tcW w:w="720" w:type="pct"/>
            <w:tcBorders>
              <w:top w:val="nil"/>
              <w:left w:val="nil"/>
              <w:bottom w:val="single" w:sz="4" w:space="0" w:color="000000" w:themeColor="text1"/>
              <w:right w:val="single" w:sz="4" w:space="0" w:color="000000" w:themeColor="text1"/>
            </w:tcBorders>
            <w:noWrap/>
            <w:hideMark/>
          </w:tcPr>
          <w:p w14:paraId="7760424A" w14:textId="77777777" w:rsidR="009968E0" w:rsidRPr="009968E0" w:rsidRDefault="009968E0" w:rsidP="009968E0">
            <w:pPr>
              <w:spacing w:line="48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7-16</w:t>
            </w:r>
          </w:p>
        </w:tc>
      </w:tr>
    </w:tbl>
    <w:p w14:paraId="0B8EB886" w14:textId="3FFD8F6E" w:rsidR="009968E0" w:rsidRPr="009968E0" w:rsidRDefault="009968E0" w:rsidP="009968E0">
      <w:pPr>
        <w:spacing w:line="360" w:lineRule="auto"/>
        <w:rPr>
          <w:rFonts w:asciiTheme="minorHAnsi" w:eastAsia="Times New Roman" w:hAnsiTheme="minorHAnsi" w:cs="Times New Roman"/>
          <w:i/>
          <w:color w:val="808080"/>
          <w:sz w:val="21"/>
          <w:lang w:eastAsia="en-GB"/>
        </w:rPr>
      </w:pPr>
      <w:r w:rsidRPr="009968E0">
        <w:rPr>
          <w:rFonts w:asciiTheme="minorHAnsi" w:eastAsia="Times New Roman" w:hAnsiTheme="minorHAnsi" w:cs="Times New Roman"/>
          <w:i/>
          <w:color w:val="808080"/>
          <w:sz w:val="21"/>
          <w:lang w:eastAsia="en-GB"/>
        </w:rPr>
        <w:t xml:space="preserve">a. </w:t>
      </w:r>
      <w:r w:rsidR="004E59F7">
        <w:rPr>
          <w:rFonts w:asciiTheme="minorHAnsi" w:eastAsia="Times New Roman" w:hAnsiTheme="minorHAnsi" w:cs="Times New Roman"/>
          <w:i/>
          <w:color w:val="808080"/>
          <w:sz w:val="21"/>
          <w:lang w:eastAsia="en-GB"/>
        </w:rPr>
        <w:t>P-DPN</w:t>
      </w:r>
      <w:r w:rsidRPr="009968E0">
        <w:rPr>
          <w:rFonts w:asciiTheme="minorHAnsi" w:eastAsia="Times New Roman" w:hAnsiTheme="minorHAnsi" w:cs="Times New Roman"/>
          <w:i/>
          <w:color w:val="808080"/>
          <w:sz w:val="21"/>
          <w:lang w:eastAsia="en-GB"/>
        </w:rPr>
        <w:t xml:space="preserve"> vs DM-NN p=.014 b. </w:t>
      </w:r>
      <w:r w:rsidR="004E59F7">
        <w:rPr>
          <w:rFonts w:asciiTheme="minorHAnsi" w:eastAsia="Times New Roman" w:hAnsiTheme="minorHAnsi" w:cs="Times New Roman"/>
          <w:i/>
          <w:color w:val="808080"/>
          <w:sz w:val="21"/>
          <w:lang w:eastAsia="en-GB"/>
        </w:rPr>
        <w:t>P-DPN</w:t>
      </w:r>
      <w:r w:rsidRPr="009968E0">
        <w:rPr>
          <w:rFonts w:asciiTheme="minorHAnsi" w:eastAsia="Times New Roman" w:hAnsiTheme="minorHAnsi" w:cs="Times New Roman"/>
          <w:i/>
          <w:color w:val="808080"/>
          <w:sz w:val="21"/>
          <w:lang w:eastAsia="en-GB"/>
        </w:rPr>
        <w:t xml:space="preserve"> vs DPN p=.008, vs DM-NN p&lt;.001, vs HV p&lt;.001 c. </w:t>
      </w:r>
      <w:r w:rsidR="004E59F7">
        <w:rPr>
          <w:rFonts w:asciiTheme="minorHAnsi" w:eastAsia="Times New Roman" w:hAnsiTheme="minorHAnsi" w:cs="Times New Roman"/>
          <w:i/>
          <w:color w:val="808080"/>
          <w:sz w:val="21"/>
          <w:lang w:eastAsia="en-GB"/>
        </w:rPr>
        <w:t>P-DPN</w:t>
      </w:r>
      <w:r w:rsidRPr="009968E0">
        <w:rPr>
          <w:rFonts w:asciiTheme="minorHAnsi" w:eastAsia="Times New Roman" w:hAnsiTheme="minorHAnsi" w:cs="Times New Roman"/>
          <w:i/>
          <w:color w:val="808080"/>
          <w:sz w:val="21"/>
          <w:lang w:eastAsia="en-GB"/>
        </w:rPr>
        <w:t xml:space="preserve"> vs DPN, DM-NN and HV p&lt;.001, </w:t>
      </w:r>
      <w:proofErr w:type="spellStart"/>
      <w:r w:rsidRPr="009968E0">
        <w:rPr>
          <w:rFonts w:asciiTheme="minorHAnsi" w:eastAsia="Times New Roman" w:hAnsiTheme="minorHAnsi" w:cs="Times New Roman"/>
          <w:i/>
          <w:color w:val="808080"/>
          <w:sz w:val="21"/>
          <w:lang w:eastAsia="en-GB"/>
        </w:rPr>
        <w:t>d.</w:t>
      </w:r>
      <w:r w:rsidR="004E59F7">
        <w:rPr>
          <w:rFonts w:asciiTheme="minorHAnsi" w:eastAsia="Times New Roman" w:hAnsiTheme="minorHAnsi" w:cs="Times New Roman"/>
          <w:i/>
          <w:color w:val="808080"/>
          <w:sz w:val="21"/>
          <w:lang w:eastAsia="en-GB"/>
        </w:rPr>
        <w:t>P</w:t>
      </w:r>
      <w:proofErr w:type="spellEnd"/>
      <w:r w:rsidR="004E59F7">
        <w:rPr>
          <w:rFonts w:asciiTheme="minorHAnsi" w:eastAsia="Times New Roman" w:hAnsiTheme="minorHAnsi" w:cs="Times New Roman"/>
          <w:i/>
          <w:color w:val="808080"/>
          <w:sz w:val="21"/>
          <w:lang w:eastAsia="en-GB"/>
        </w:rPr>
        <w:t>-DPN</w:t>
      </w:r>
      <w:r w:rsidRPr="009968E0">
        <w:rPr>
          <w:rFonts w:asciiTheme="minorHAnsi" w:eastAsia="Times New Roman" w:hAnsiTheme="minorHAnsi" w:cs="Times New Roman"/>
          <w:i/>
          <w:color w:val="808080"/>
          <w:sz w:val="21"/>
          <w:lang w:eastAsia="en-GB"/>
        </w:rPr>
        <w:t xml:space="preserve"> vs DM-NN .014 and HV p=.028, e. </w:t>
      </w:r>
      <w:r w:rsidR="004E59F7">
        <w:rPr>
          <w:rFonts w:asciiTheme="minorHAnsi" w:eastAsia="Times New Roman" w:hAnsiTheme="minorHAnsi" w:cs="Times New Roman"/>
          <w:i/>
          <w:color w:val="808080"/>
          <w:sz w:val="21"/>
          <w:lang w:eastAsia="en-GB"/>
        </w:rPr>
        <w:t>P-DPN</w:t>
      </w:r>
      <w:r w:rsidRPr="009968E0">
        <w:rPr>
          <w:rFonts w:asciiTheme="minorHAnsi" w:eastAsia="Times New Roman" w:hAnsiTheme="minorHAnsi" w:cs="Times New Roman"/>
          <w:i/>
          <w:color w:val="808080"/>
          <w:sz w:val="21"/>
          <w:lang w:eastAsia="en-GB"/>
        </w:rPr>
        <w:t xml:space="preserve"> vs DM-NN p=.036, f. </w:t>
      </w:r>
      <w:r w:rsidR="004E59F7">
        <w:rPr>
          <w:rFonts w:asciiTheme="minorHAnsi" w:eastAsia="Times New Roman" w:hAnsiTheme="minorHAnsi" w:cs="Times New Roman"/>
          <w:i/>
          <w:color w:val="808080"/>
          <w:sz w:val="21"/>
          <w:lang w:eastAsia="en-GB"/>
        </w:rPr>
        <w:t>P-DPN</w:t>
      </w:r>
      <w:r w:rsidRPr="009968E0">
        <w:rPr>
          <w:rFonts w:asciiTheme="minorHAnsi" w:eastAsia="Times New Roman" w:hAnsiTheme="minorHAnsi" w:cs="Times New Roman"/>
          <w:i/>
          <w:color w:val="808080"/>
          <w:sz w:val="21"/>
          <w:lang w:eastAsia="en-GB"/>
        </w:rPr>
        <w:t xml:space="preserve"> vs DPN p=.017, </w:t>
      </w:r>
      <w:r w:rsidR="004E59F7">
        <w:rPr>
          <w:rFonts w:asciiTheme="minorHAnsi" w:eastAsia="Times New Roman" w:hAnsiTheme="minorHAnsi" w:cs="Times New Roman"/>
          <w:i/>
          <w:color w:val="808080"/>
          <w:sz w:val="21"/>
          <w:lang w:eastAsia="en-GB"/>
        </w:rPr>
        <w:t>P-DPN</w:t>
      </w:r>
      <w:r w:rsidRPr="009968E0">
        <w:rPr>
          <w:rFonts w:asciiTheme="minorHAnsi" w:eastAsia="Times New Roman" w:hAnsiTheme="minorHAnsi" w:cs="Times New Roman"/>
          <w:i/>
          <w:color w:val="808080"/>
          <w:sz w:val="21"/>
          <w:lang w:eastAsia="en-GB"/>
        </w:rPr>
        <w:t xml:space="preserve"> vs HV p=.034 e. </w:t>
      </w:r>
      <w:r w:rsidR="004E59F7">
        <w:rPr>
          <w:rFonts w:asciiTheme="minorHAnsi" w:eastAsia="Times New Roman" w:hAnsiTheme="minorHAnsi" w:cs="Times New Roman"/>
          <w:i/>
          <w:color w:val="808080"/>
          <w:sz w:val="21"/>
          <w:lang w:eastAsia="en-GB"/>
        </w:rPr>
        <w:t>P-DPN</w:t>
      </w:r>
      <w:r w:rsidRPr="009968E0">
        <w:rPr>
          <w:rFonts w:asciiTheme="minorHAnsi" w:eastAsia="Times New Roman" w:hAnsiTheme="minorHAnsi" w:cs="Times New Roman"/>
          <w:i/>
          <w:color w:val="808080"/>
          <w:sz w:val="21"/>
          <w:lang w:eastAsia="en-GB"/>
        </w:rPr>
        <w:t xml:space="preserve"> vs DM-NN p=.016</w:t>
      </w:r>
    </w:p>
    <w:p w14:paraId="7D49A7B8" w14:textId="77777777" w:rsidR="009968E0" w:rsidRPr="009968E0" w:rsidRDefault="009968E0" w:rsidP="009968E0">
      <w:pPr>
        <w:ind w:left="1080"/>
        <w:rPr>
          <w:rFonts w:ascii="Times New Roman" w:eastAsia="Times New Roman" w:hAnsi="Times New Roman" w:cs="Times New Roman"/>
          <w:i/>
          <w:color w:val="808080"/>
          <w:sz w:val="21"/>
          <w:lang w:eastAsia="en-GB"/>
        </w:rPr>
      </w:pPr>
    </w:p>
    <w:p w14:paraId="0DB44325" w14:textId="7BADB7E1" w:rsidR="009968E0" w:rsidRPr="00BD69F6" w:rsidRDefault="009968E0" w:rsidP="00BD69F6">
      <w:pPr>
        <w:pStyle w:val="Subtitle"/>
      </w:pPr>
      <w:bookmarkStart w:id="552" w:name="_Toc45038083"/>
      <w:bookmarkStart w:id="553" w:name="_Toc49273241"/>
      <w:bookmarkStart w:id="554" w:name="_Toc64724231"/>
      <w:r w:rsidRPr="00BD69F6">
        <w:t xml:space="preserve">Figure A.1 Questionnaires: 95% </w:t>
      </w:r>
      <w:commentRangeStart w:id="555"/>
      <w:r w:rsidRPr="00BD69F6">
        <w:t>Confidence</w:t>
      </w:r>
      <w:commentRangeEnd w:id="555"/>
      <w:r w:rsidRPr="00BD69F6">
        <w:commentReference w:id="555"/>
      </w:r>
      <w:r w:rsidRPr="00BD69F6">
        <w:t xml:space="preserve"> Intervals for HADS overall score by Group</w:t>
      </w:r>
      <w:bookmarkEnd w:id="552"/>
      <w:bookmarkEnd w:id="553"/>
      <w:bookmarkEnd w:id="554"/>
    </w:p>
    <w:p w14:paraId="57809B50" w14:textId="77777777" w:rsidR="009968E0" w:rsidRPr="009968E0" w:rsidRDefault="009968E0" w:rsidP="009968E0">
      <w:pPr>
        <w:pBdr>
          <w:top w:val="single" w:sz="4" w:space="1" w:color="auto"/>
          <w:left w:val="single" w:sz="4" w:space="4" w:color="auto"/>
          <w:bottom w:val="single" w:sz="4" w:space="1" w:color="auto"/>
          <w:right w:val="single" w:sz="4" w:space="4" w:color="auto"/>
        </w:pBdr>
        <w:spacing w:line="360" w:lineRule="auto"/>
        <w:rPr>
          <w:rFonts w:asciiTheme="minorHAnsi" w:eastAsiaTheme="minorHAnsi" w:hAnsiTheme="minorHAnsi" w:cs="Arial"/>
          <w:color w:val="808080"/>
        </w:rPr>
      </w:pPr>
      <w:r w:rsidRPr="009968E0">
        <w:rPr>
          <w:rFonts w:asciiTheme="minorHAnsi" w:eastAsiaTheme="minorHAnsi" w:hAnsiTheme="minorHAnsi" w:cs="Arial"/>
          <w:noProof/>
          <w:color w:val="808080"/>
          <w:lang w:eastAsia="en-GB"/>
        </w:rPr>
        <w:drawing>
          <wp:inline distT="0" distB="0" distL="0" distR="0" wp14:anchorId="3EEE17CF" wp14:editId="4F1428F4">
            <wp:extent cx="5190565" cy="3063285"/>
            <wp:effectExtent l="0" t="0" r="3810" b="0"/>
            <wp:docPr id="1073741877" name="Picture 107374187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201174" cy="3069546"/>
                    </a:xfrm>
                    <a:prstGeom prst="rect">
                      <a:avLst/>
                    </a:prstGeom>
                  </pic:spPr>
                </pic:pic>
              </a:graphicData>
            </a:graphic>
          </wp:inline>
        </w:drawing>
      </w:r>
    </w:p>
    <w:p w14:paraId="7BD320BA" w14:textId="77777777" w:rsidR="009968E0" w:rsidRPr="009968E0" w:rsidRDefault="009968E0" w:rsidP="009968E0">
      <w:pPr>
        <w:pBdr>
          <w:top w:val="single" w:sz="4" w:space="1" w:color="auto"/>
          <w:left w:val="single" w:sz="4" w:space="4" w:color="auto"/>
          <w:bottom w:val="single" w:sz="4" w:space="1" w:color="auto"/>
          <w:right w:val="single" w:sz="4" w:space="4" w:color="auto"/>
        </w:pBdr>
        <w:spacing w:line="360" w:lineRule="auto"/>
        <w:rPr>
          <w:rFonts w:asciiTheme="minorHAnsi" w:eastAsiaTheme="minorHAnsi" w:hAnsiTheme="minorHAnsi"/>
          <w:i/>
          <w:iCs/>
          <w:color w:val="404040" w:themeColor="text1" w:themeTint="BF"/>
        </w:rPr>
      </w:pPr>
      <w:r w:rsidRPr="009968E0">
        <w:rPr>
          <w:rFonts w:asciiTheme="minorHAnsi" w:eastAsiaTheme="minorHAnsi" w:hAnsiTheme="minorHAnsi"/>
          <w:i/>
          <w:iCs/>
          <w:color w:val="404040" w:themeColor="text1" w:themeTint="BF"/>
        </w:rPr>
        <w:t>*Post-Hoc significance: P-DPN vs DM-NN p&lt;.001, P-DPN vs HV p=.025</w:t>
      </w:r>
    </w:p>
    <w:p w14:paraId="198240B3" w14:textId="77777777" w:rsidR="007A2ECE" w:rsidRDefault="007A2ECE">
      <w:pPr>
        <w:rPr>
          <w:rFonts w:eastAsia="Arial" w:cs="Arial"/>
          <w:i/>
          <w:iCs/>
          <w:color w:val="4F81BD"/>
          <w:u w:color="4F81BD"/>
          <w:bdr w:val="nil"/>
          <w:lang w:val="en-US" w:eastAsia="en-GB"/>
        </w:rPr>
      </w:pPr>
      <w:bookmarkStart w:id="556" w:name="_Toc45038084"/>
      <w:bookmarkStart w:id="557" w:name="_Toc49273242"/>
      <w:r>
        <w:br w:type="page"/>
      </w:r>
    </w:p>
    <w:p w14:paraId="02F74FDE" w14:textId="746404EB" w:rsidR="009968E0" w:rsidRPr="009968E0" w:rsidRDefault="009968E0" w:rsidP="00BD69F6">
      <w:pPr>
        <w:pStyle w:val="Subtitle"/>
      </w:pPr>
      <w:bookmarkStart w:id="558" w:name="_Toc64724232"/>
      <w:r w:rsidRPr="009968E0">
        <w:lastRenderedPageBreak/>
        <w:t>Figure A.2 Questionnaires: 95% Confidence Intervals for HADS anxiety score by Group</w:t>
      </w:r>
      <w:bookmarkEnd w:id="556"/>
      <w:bookmarkEnd w:id="557"/>
      <w:bookmarkEnd w:id="558"/>
    </w:p>
    <w:p w14:paraId="64BFB311" w14:textId="77777777" w:rsidR="009968E0" w:rsidRPr="009968E0" w:rsidRDefault="009968E0" w:rsidP="009968E0">
      <w:pPr>
        <w:pBdr>
          <w:top w:val="single" w:sz="4" w:space="1" w:color="auto"/>
          <w:left w:val="single" w:sz="4" w:space="4" w:color="auto"/>
          <w:bottom w:val="single" w:sz="4" w:space="1" w:color="auto"/>
          <w:right w:val="single" w:sz="4" w:space="4" w:color="auto"/>
        </w:pBdr>
        <w:spacing w:line="360" w:lineRule="auto"/>
        <w:rPr>
          <w:rFonts w:asciiTheme="minorHAnsi" w:eastAsiaTheme="minorHAnsi" w:hAnsiTheme="minorHAnsi" w:cs="Arial"/>
        </w:rPr>
      </w:pPr>
      <w:r w:rsidRPr="009968E0">
        <w:rPr>
          <w:rFonts w:asciiTheme="minorHAnsi" w:eastAsiaTheme="minorHAnsi" w:hAnsiTheme="minorHAnsi" w:cs="Arial"/>
          <w:noProof/>
          <w:lang w:eastAsia="en-GB"/>
        </w:rPr>
        <w:drawing>
          <wp:inline distT="0" distB="0" distL="0" distR="0" wp14:anchorId="537400CA" wp14:editId="244F31A8">
            <wp:extent cx="5304865" cy="3130739"/>
            <wp:effectExtent l="0" t="0" r="3810" b="6350"/>
            <wp:docPr id="1073741878" name="Picture 107374187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317810" cy="3138378"/>
                    </a:xfrm>
                    <a:prstGeom prst="rect">
                      <a:avLst/>
                    </a:prstGeom>
                  </pic:spPr>
                </pic:pic>
              </a:graphicData>
            </a:graphic>
          </wp:inline>
        </w:drawing>
      </w:r>
    </w:p>
    <w:p w14:paraId="29456E98" w14:textId="77777777" w:rsidR="009968E0" w:rsidRPr="009968E0" w:rsidRDefault="009968E0" w:rsidP="009968E0">
      <w:pPr>
        <w:pBdr>
          <w:top w:val="single" w:sz="4" w:space="1" w:color="auto"/>
          <w:left w:val="single" w:sz="4" w:space="4" w:color="auto"/>
          <w:bottom w:val="single" w:sz="4" w:space="1" w:color="auto"/>
          <w:right w:val="single" w:sz="4" w:space="4" w:color="auto"/>
        </w:pBdr>
        <w:spacing w:line="360" w:lineRule="auto"/>
        <w:rPr>
          <w:rFonts w:asciiTheme="minorHAnsi" w:eastAsiaTheme="minorHAnsi" w:hAnsiTheme="minorHAnsi"/>
          <w:i/>
          <w:iCs/>
          <w:color w:val="404040" w:themeColor="text1" w:themeTint="BF"/>
        </w:rPr>
      </w:pPr>
      <w:r w:rsidRPr="009968E0">
        <w:rPr>
          <w:rFonts w:asciiTheme="minorHAnsi" w:eastAsiaTheme="minorHAnsi" w:hAnsiTheme="minorHAnsi"/>
          <w:i/>
          <w:iCs/>
          <w:color w:val="404040" w:themeColor="text1" w:themeTint="BF"/>
        </w:rPr>
        <w:t>*P-DPN vs DM-NN p=.014</w:t>
      </w:r>
    </w:p>
    <w:p w14:paraId="6FB30D5E" w14:textId="07B11E78" w:rsidR="009968E0" w:rsidRPr="009968E0" w:rsidRDefault="009968E0" w:rsidP="007A2ECE">
      <w:pPr>
        <w:pStyle w:val="Subtitle"/>
      </w:pPr>
      <w:bookmarkStart w:id="559" w:name="_Toc45038085"/>
      <w:bookmarkStart w:id="560" w:name="_Toc49273243"/>
      <w:bookmarkStart w:id="561" w:name="_Toc64724233"/>
      <w:r w:rsidRPr="009968E0">
        <w:t>Figure A.3 Questionnaires: 95% Confidence Intervals for HADS depression score by Group</w:t>
      </w:r>
      <w:bookmarkEnd w:id="559"/>
      <w:bookmarkEnd w:id="560"/>
      <w:bookmarkEnd w:id="561"/>
    </w:p>
    <w:p w14:paraId="4314C3F6" w14:textId="77777777" w:rsidR="009968E0" w:rsidRPr="009968E0" w:rsidRDefault="009968E0" w:rsidP="009968E0">
      <w:pPr>
        <w:pBdr>
          <w:top w:val="single" w:sz="4" w:space="1" w:color="auto"/>
          <w:left w:val="single" w:sz="4" w:space="4" w:color="auto"/>
          <w:bottom w:val="single" w:sz="4" w:space="1" w:color="auto"/>
          <w:right w:val="single" w:sz="4" w:space="4" w:color="auto"/>
        </w:pBdr>
        <w:spacing w:line="360" w:lineRule="auto"/>
        <w:rPr>
          <w:rFonts w:asciiTheme="minorHAnsi" w:eastAsiaTheme="minorHAnsi" w:hAnsiTheme="minorHAnsi" w:cs="Arial"/>
        </w:rPr>
      </w:pPr>
      <w:r w:rsidRPr="009968E0">
        <w:rPr>
          <w:rFonts w:asciiTheme="minorHAnsi" w:eastAsiaTheme="minorHAnsi" w:hAnsiTheme="minorHAnsi" w:cs="Arial"/>
          <w:noProof/>
          <w:lang w:eastAsia="en-GB"/>
        </w:rPr>
        <w:drawing>
          <wp:inline distT="0" distB="0" distL="0" distR="0" wp14:anchorId="0D30BF91" wp14:editId="2231E6BC">
            <wp:extent cx="5422900" cy="3200400"/>
            <wp:effectExtent l="0" t="0" r="0" b="0"/>
            <wp:docPr id="1073741879" name="Picture 107374187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422900" cy="3200400"/>
                    </a:xfrm>
                    <a:prstGeom prst="rect">
                      <a:avLst/>
                    </a:prstGeom>
                  </pic:spPr>
                </pic:pic>
              </a:graphicData>
            </a:graphic>
          </wp:inline>
        </w:drawing>
      </w:r>
    </w:p>
    <w:p w14:paraId="0EAE951A" w14:textId="77777777" w:rsidR="009968E0" w:rsidRPr="009968E0" w:rsidRDefault="009968E0" w:rsidP="009968E0">
      <w:pPr>
        <w:pBdr>
          <w:top w:val="single" w:sz="4" w:space="1" w:color="auto"/>
          <w:left w:val="single" w:sz="4" w:space="4" w:color="auto"/>
          <w:bottom w:val="single" w:sz="4" w:space="1" w:color="auto"/>
          <w:right w:val="single" w:sz="4" w:space="4" w:color="auto"/>
        </w:pBdr>
        <w:spacing w:line="360" w:lineRule="auto"/>
        <w:rPr>
          <w:rFonts w:asciiTheme="minorHAnsi" w:eastAsiaTheme="minorHAnsi" w:hAnsiTheme="minorHAnsi"/>
          <w:i/>
          <w:iCs/>
          <w:color w:val="404040" w:themeColor="text1" w:themeTint="BF"/>
        </w:rPr>
      </w:pPr>
      <w:r w:rsidRPr="009968E0">
        <w:rPr>
          <w:rFonts w:asciiTheme="minorHAnsi" w:eastAsiaTheme="minorHAnsi" w:hAnsiTheme="minorHAnsi"/>
          <w:i/>
          <w:iCs/>
          <w:color w:val="404040" w:themeColor="text1" w:themeTint="BF"/>
        </w:rPr>
        <w:t>*P-DPN vs DPN p=.008, P-DPN vs DM-NN p&lt;.001, P-DPN vs HV p&lt;.001</w:t>
      </w:r>
    </w:p>
    <w:p w14:paraId="5A9ACD07" w14:textId="77777777" w:rsidR="009968E0" w:rsidRPr="009968E0" w:rsidRDefault="009968E0" w:rsidP="009968E0">
      <w:pPr>
        <w:rPr>
          <w:rFonts w:eastAsia="Calibri" w:cs="Calibri"/>
          <w:i/>
          <w:color w:val="4F81BD"/>
          <w:lang w:eastAsia="en-GB"/>
        </w:rPr>
      </w:pPr>
    </w:p>
    <w:p w14:paraId="7FB8636D" w14:textId="77777777" w:rsidR="009968E0" w:rsidRPr="009968E0" w:rsidRDefault="009968E0" w:rsidP="009968E0">
      <w:pPr>
        <w:rPr>
          <w:rFonts w:eastAsia="Calibri" w:cs="Calibri"/>
          <w:i/>
          <w:color w:val="4F81BD"/>
          <w:lang w:eastAsia="en-GB"/>
        </w:rPr>
      </w:pPr>
    </w:p>
    <w:p w14:paraId="5FCB3D4A" w14:textId="43023E7F" w:rsidR="009968E0" w:rsidRPr="007A2ECE" w:rsidRDefault="009968E0" w:rsidP="007A2ECE">
      <w:pPr>
        <w:pStyle w:val="Subtitle"/>
      </w:pPr>
      <w:bookmarkStart w:id="562" w:name="_Toc45038086"/>
      <w:bookmarkStart w:id="563" w:name="_Toc49273244"/>
      <w:bookmarkStart w:id="564" w:name="_Toc64724234"/>
      <w:r w:rsidRPr="007A2ECE">
        <w:lastRenderedPageBreak/>
        <w:t>Figure A.4 Questionnaires: 95% Confidence Intervals for Becks Depression Inventory by Group</w:t>
      </w:r>
      <w:bookmarkEnd w:id="562"/>
      <w:bookmarkEnd w:id="563"/>
      <w:bookmarkEnd w:id="564"/>
    </w:p>
    <w:p w14:paraId="12FB20EB" w14:textId="77777777" w:rsidR="009968E0" w:rsidRPr="009968E0" w:rsidRDefault="009968E0" w:rsidP="009968E0">
      <w:pPr>
        <w:pBdr>
          <w:top w:val="single" w:sz="4" w:space="1" w:color="auto"/>
          <w:left w:val="single" w:sz="4" w:space="4" w:color="auto"/>
          <w:bottom w:val="single" w:sz="4" w:space="1" w:color="auto"/>
          <w:right w:val="single" w:sz="4" w:space="4" w:color="auto"/>
        </w:pBdr>
        <w:spacing w:line="360" w:lineRule="auto"/>
        <w:rPr>
          <w:rFonts w:asciiTheme="minorHAnsi" w:eastAsiaTheme="minorHAnsi" w:hAnsiTheme="minorHAnsi" w:cs="Arial"/>
        </w:rPr>
      </w:pPr>
      <w:r w:rsidRPr="009968E0">
        <w:rPr>
          <w:rFonts w:asciiTheme="minorHAnsi" w:eastAsiaTheme="minorHAnsi" w:hAnsiTheme="minorHAnsi" w:cs="Arial"/>
          <w:noProof/>
          <w:lang w:eastAsia="en-GB"/>
        </w:rPr>
        <w:drawing>
          <wp:inline distT="0" distB="0" distL="0" distR="0" wp14:anchorId="6F6D7197" wp14:editId="54ABB001">
            <wp:extent cx="5422900" cy="3200400"/>
            <wp:effectExtent l="0" t="0" r="0" b="0"/>
            <wp:docPr id="1073741880" name="Picture 107374188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422900" cy="3200400"/>
                    </a:xfrm>
                    <a:prstGeom prst="rect">
                      <a:avLst/>
                    </a:prstGeom>
                  </pic:spPr>
                </pic:pic>
              </a:graphicData>
            </a:graphic>
          </wp:inline>
        </w:drawing>
      </w:r>
    </w:p>
    <w:p w14:paraId="472A9377" w14:textId="77777777" w:rsidR="009968E0" w:rsidRPr="009968E0" w:rsidRDefault="009968E0" w:rsidP="009968E0">
      <w:pPr>
        <w:pBdr>
          <w:top w:val="single" w:sz="4" w:space="1" w:color="auto"/>
          <w:left w:val="single" w:sz="4" w:space="4" w:color="auto"/>
          <w:bottom w:val="single" w:sz="4" w:space="1" w:color="auto"/>
          <w:right w:val="single" w:sz="4" w:space="4" w:color="auto"/>
        </w:pBdr>
        <w:spacing w:line="360" w:lineRule="auto"/>
        <w:rPr>
          <w:rFonts w:asciiTheme="minorHAnsi" w:eastAsiaTheme="minorHAnsi" w:hAnsiTheme="minorHAnsi"/>
          <w:i/>
          <w:iCs/>
          <w:color w:val="404040" w:themeColor="text1" w:themeTint="BF"/>
        </w:rPr>
      </w:pPr>
      <w:r w:rsidRPr="009968E0">
        <w:rPr>
          <w:rFonts w:asciiTheme="minorHAnsi" w:eastAsiaTheme="minorHAnsi" w:hAnsiTheme="minorHAnsi"/>
          <w:i/>
          <w:iCs/>
          <w:color w:val="404040" w:themeColor="text1" w:themeTint="BF"/>
        </w:rPr>
        <w:t xml:space="preserve">P-DPN vs DPN p=.008, P-DPN vs DM-NN p&lt;.001, HV p&lt;.001, </w:t>
      </w:r>
    </w:p>
    <w:p w14:paraId="48934123" w14:textId="77777777" w:rsidR="007A2ECE" w:rsidRDefault="007A2ECE" w:rsidP="007A2ECE">
      <w:pPr>
        <w:pStyle w:val="Subtitle"/>
      </w:pPr>
      <w:bookmarkStart w:id="565" w:name="_Toc45038087"/>
      <w:bookmarkStart w:id="566" w:name="_Toc49273245"/>
    </w:p>
    <w:p w14:paraId="7D4657AD" w14:textId="26415A51" w:rsidR="009968E0" w:rsidRPr="007A2ECE" w:rsidRDefault="009968E0" w:rsidP="007A2ECE">
      <w:pPr>
        <w:pStyle w:val="Subtitle"/>
      </w:pPr>
      <w:bookmarkStart w:id="567" w:name="_Toc64724235"/>
      <w:r w:rsidRPr="007A2ECE">
        <w:t>Figure A.5 Questionnaires: 95% Confidence Intervals for STAI- S by Group</w:t>
      </w:r>
      <w:bookmarkEnd w:id="565"/>
      <w:bookmarkEnd w:id="566"/>
      <w:bookmarkEnd w:id="567"/>
    </w:p>
    <w:p w14:paraId="0E9E8129" w14:textId="77777777" w:rsidR="009968E0" w:rsidRPr="009968E0" w:rsidRDefault="009968E0" w:rsidP="009968E0">
      <w:pPr>
        <w:pBdr>
          <w:top w:val="single" w:sz="4" w:space="1" w:color="auto"/>
          <w:left w:val="single" w:sz="4" w:space="4" w:color="auto"/>
          <w:bottom w:val="single" w:sz="4" w:space="1" w:color="auto"/>
          <w:right w:val="single" w:sz="4" w:space="4" w:color="auto"/>
        </w:pBdr>
        <w:spacing w:line="360" w:lineRule="auto"/>
        <w:rPr>
          <w:rFonts w:asciiTheme="minorHAnsi" w:eastAsiaTheme="minorHAnsi" w:hAnsiTheme="minorHAnsi" w:cs="Arial"/>
        </w:rPr>
      </w:pPr>
      <w:r w:rsidRPr="009968E0">
        <w:rPr>
          <w:rFonts w:asciiTheme="minorHAnsi" w:eastAsiaTheme="minorHAnsi" w:hAnsiTheme="minorHAnsi" w:cs="Arial"/>
          <w:noProof/>
          <w:lang w:eastAsia="en-GB"/>
        </w:rPr>
        <w:drawing>
          <wp:inline distT="0" distB="0" distL="0" distR="0" wp14:anchorId="598C03D5" wp14:editId="6B7BEAAD">
            <wp:extent cx="5422900" cy="3200400"/>
            <wp:effectExtent l="0" t="0" r="0" b="0"/>
            <wp:docPr id="1073741881" name="Picture 107374188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422900" cy="3200400"/>
                    </a:xfrm>
                    <a:prstGeom prst="rect">
                      <a:avLst/>
                    </a:prstGeom>
                  </pic:spPr>
                </pic:pic>
              </a:graphicData>
            </a:graphic>
          </wp:inline>
        </w:drawing>
      </w:r>
    </w:p>
    <w:p w14:paraId="71CDB85D" w14:textId="77777777" w:rsidR="009968E0" w:rsidRPr="009968E0" w:rsidRDefault="009968E0" w:rsidP="009968E0">
      <w:pPr>
        <w:pBdr>
          <w:top w:val="single" w:sz="4" w:space="1" w:color="auto"/>
          <w:left w:val="single" w:sz="4" w:space="4" w:color="auto"/>
          <w:bottom w:val="single" w:sz="4" w:space="1" w:color="auto"/>
          <w:right w:val="single" w:sz="4" w:space="4" w:color="auto"/>
        </w:pBdr>
        <w:spacing w:line="360" w:lineRule="auto"/>
        <w:rPr>
          <w:rFonts w:asciiTheme="minorHAnsi" w:eastAsiaTheme="minorHAnsi" w:hAnsiTheme="minorHAnsi"/>
          <w:i/>
          <w:iCs/>
          <w:color w:val="404040" w:themeColor="text1" w:themeTint="BF"/>
        </w:rPr>
      </w:pPr>
      <w:r w:rsidRPr="009968E0">
        <w:rPr>
          <w:rFonts w:asciiTheme="minorHAnsi" w:eastAsiaTheme="minorHAnsi" w:hAnsiTheme="minorHAnsi"/>
          <w:i/>
          <w:iCs/>
          <w:color w:val="404040" w:themeColor="text1" w:themeTint="BF"/>
        </w:rPr>
        <w:t>*P-DPN vs DPN p=.218, P-DPN vs DM-NN p=.014, P-DPN vs HV p=.028</w:t>
      </w:r>
    </w:p>
    <w:p w14:paraId="7C26CA02" w14:textId="5436B0C2" w:rsidR="009968E0" w:rsidRDefault="009968E0" w:rsidP="009968E0">
      <w:pPr>
        <w:rPr>
          <w:rFonts w:eastAsia="Calibri" w:cs="Calibri"/>
          <w:i/>
          <w:color w:val="4F81BD"/>
          <w:lang w:eastAsia="en-GB"/>
        </w:rPr>
      </w:pPr>
    </w:p>
    <w:p w14:paraId="5127E289" w14:textId="0494D205" w:rsidR="007A2ECE" w:rsidRDefault="007A2ECE" w:rsidP="009968E0">
      <w:pPr>
        <w:rPr>
          <w:rFonts w:eastAsia="Calibri" w:cs="Calibri"/>
          <w:i/>
          <w:color w:val="4F81BD"/>
          <w:lang w:eastAsia="en-GB"/>
        </w:rPr>
      </w:pPr>
    </w:p>
    <w:p w14:paraId="5C49AE74" w14:textId="77777777" w:rsidR="007A2ECE" w:rsidRPr="009968E0" w:rsidRDefault="007A2ECE" w:rsidP="009968E0">
      <w:pPr>
        <w:rPr>
          <w:rFonts w:eastAsia="Calibri" w:cs="Calibri"/>
          <w:i/>
          <w:color w:val="4F81BD"/>
          <w:lang w:eastAsia="en-GB"/>
        </w:rPr>
      </w:pPr>
    </w:p>
    <w:p w14:paraId="7720A33D" w14:textId="1F634030" w:rsidR="009968E0" w:rsidRPr="007A2ECE" w:rsidRDefault="009968E0" w:rsidP="007A2ECE">
      <w:pPr>
        <w:pStyle w:val="Subtitle"/>
      </w:pPr>
      <w:bookmarkStart w:id="568" w:name="_Toc45038088"/>
      <w:bookmarkStart w:id="569" w:name="_Toc49273246"/>
      <w:bookmarkStart w:id="570" w:name="_Toc64724236"/>
      <w:r w:rsidRPr="007A2ECE">
        <w:lastRenderedPageBreak/>
        <w:t>Figure A.6 Questionnaires: 95% Confidence Intervals for STAI- T by Group</w:t>
      </w:r>
      <w:bookmarkEnd w:id="568"/>
      <w:bookmarkEnd w:id="569"/>
      <w:bookmarkEnd w:id="570"/>
    </w:p>
    <w:p w14:paraId="3A234662" w14:textId="77777777" w:rsidR="009968E0" w:rsidRPr="009968E0" w:rsidRDefault="009968E0" w:rsidP="009968E0">
      <w:pPr>
        <w:pBdr>
          <w:top w:val="single" w:sz="4" w:space="1" w:color="auto"/>
          <w:left w:val="single" w:sz="4" w:space="4" w:color="auto"/>
          <w:bottom w:val="single" w:sz="4" w:space="1" w:color="auto"/>
          <w:right w:val="single" w:sz="4" w:space="4" w:color="auto"/>
        </w:pBdr>
        <w:spacing w:line="360" w:lineRule="auto"/>
        <w:rPr>
          <w:rFonts w:asciiTheme="minorHAnsi" w:eastAsiaTheme="minorHAnsi" w:hAnsiTheme="minorHAnsi" w:cs="Arial"/>
        </w:rPr>
      </w:pPr>
      <w:r w:rsidRPr="009968E0">
        <w:rPr>
          <w:rFonts w:asciiTheme="minorHAnsi" w:eastAsiaTheme="minorHAnsi" w:hAnsiTheme="minorHAnsi" w:cs="Arial"/>
          <w:noProof/>
          <w:lang w:eastAsia="en-GB"/>
        </w:rPr>
        <w:drawing>
          <wp:inline distT="0" distB="0" distL="0" distR="0" wp14:anchorId="0BE6E90F" wp14:editId="3487A1D1">
            <wp:extent cx="5422900" cy="3200400"/>
            <wp:effectExtent l="0" t="0" r="0" b="0"/>
            <wp:docPr id="1073741882" name="Picture 107374188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422900" cy="3200400"/>
                    </a:xfrm>
                    <a:prstGeom prst="rect">
                      <a:avLst/>
                    </a:prstGeom>
                  </pic:spPr>
                </pic:pic>
              </a:graphicData>
            </a:graphic>
          </wp:inline>
        </w:drawing>
      </w:r>
    </w:p>
    <w:p w14:paraId="764FF4BD" w14:textId="77777777" w:rsidR="009968E0" w:rsidRPr="009968E0" w:rsidRDefault="009968E0" w:rsidP="009968E0">
      <w:pPr>
        <w:pBdr>
          <w:top w:val="single" w:sz="4" w:space="1" w:color="auto"/>
          <w:left w:val="single" w:sz="4" w:space="4" w:color="auto"/>
          <w:bottom w:val="single" w:sz="4" w:space="1" w:color="auto"/>
          <w:right w:val="single" w:sz="4" w:space="4" w:color="auto"/>
        </w:pBdr>
        <w:spacing w:line="360" w:lineRule="auto"/>
        <w:rPr>
          <w:rFonts w:asciiTheme="minorHAnsi" w:eastAsiaTheme="minorHAnsi" w:hAnsiTheme="minorHAnsi"/>
          <w:i/>
          <w:iCs/>
          <w:color w:val="404040" w:themeColor="text1" w:themeTint="BF"/>
        </w:rPr>
      </w:pPr>
      <w:r w:rsidRPr="009968E0">
        <w:rPr>
          <w:rFonts w:asciiTheme="minorHAnsi" w:eastAsiaTheme="minorHAnsi" w:hAnsiTheme="minorHAnsi"/>
          <w:i/>
          <w:iCs/>
          <w:color w:val="404040" w:themeColor="text1" w:themeTint="BF"/>
        </w:rPr>
        <w:t>*P-DPN vs DM-NN p=.036</w:t>
      </w:r>
    </w:p>
    <w:p w14:paraId="746D0060" w14:textId="77777777" w:rsidR="009968E0" w:rsidRPr="009968E0" w:rsidRDefault="009968E0" w:rsidP="009968E0">
      <w:pPr>
        <w:rPr>
          <w:rFonts w:ascii="Times New Roman" w:eastAsia="Times New Roman" w:hAnsi="Times New Roman" w:cs="Times New Roman"/>
          <w:i/>
          <w:color w:val="808080"/>
          <w:sz w:val="21"/>
          <w:lang w:eastAsia="en-GB"/>
        </w:rPr>
      </w:pPr>
    </w:p>
    <w:p w14:paraId="14B45DAF" w14:textId="77777777" w:rsidR="009968E0" w:rsidRPr="009968E0" w:rsidRDefault="009968E0" w:rsidP="009968E0">
      <w:pPr>
        <w:rPr>
          <w:rFonts w:ascii="Times New Roman" w:eastAsia="Times New Roman" w:hAnsi="Times New Roman" w:cs="Times New Roman"/>
          <w:i/>
          <w:color w:val="808080"/>
          <w:sz w:val="21"/>
          <w:lang w:eastAsia="en-GB"/>
        </w:rPr>
      </w:pPr>
    </w:p>
    <w:tbl>
      <w:tblPr>
        <w:tblW w:w="9064" w:type="dxa"/>
        <w:tblLayout w:type="fixed"/>
        <w:tblCellMar>
          <w:left w:w="115" w:type="dxa"/>
          <w:right w:w="115" w:type="dxa"/>
        </w:tblCellMar>
        <w:tblLook w:val="0400" w:firstRow="0" w:lastRow="0" w:firstColumn="0" w:lastColumn="0" w:noHBand="0" w:noVBand="1"/>
      </w:tblPr>
      <w:tblGrid>
        <w:gridCol w:w="1679"/>
        <w:gridCol w:w="1709"/>
        <w:gridCol w:w="1080"/>
        <w:gridCol w:w="1126"/>
        <w:gridCol w:w="1157"/>
        <w:gridCol w:w="1126"/>
        <w:gridCol w:w="1187"/>
      </w:tblGrid>
      <w:tr w:rsidR="009968E0" w:rsidRPr="007A2ECE" w14:paraId="10BD3353" w14:textId="77777777" w:rsidTr="009968E0">
        <w:trPr>
          <w:trHeight w:val="709"/>
        </w:trPr>
        <w:tc>
          <w:tcPr>
            <w:tcW w:w="9064" w:type="dxa"/>
            <w:gridSpan w:val="7"/>
            <w:tcBorders>
              <w:top w:val="nil"/>
              <w:left w:val="nil"/>
              <w:bottom w:val="nil"/>
              <w:right w:val="nil"/>
            </w:tcBorders>
            <w:shd w:val="clear" w:color="auto" w:fill="auto"/>
            <w:vAlign w:val="center"/>
          </w:tcPr>
          <w:p w14:paraId="667AD152" w14:textId="48348C27" w:rsidR="009968E0" w:rsidRPr="007A2ECE" w:rsidRDefault="009968E0" w:rsidP="007A2ECE">
            <w:pPr>
              <w:pStyle w:val="Quote"/>
            </w:pPr>
            <w:bookmarkStart w:id="571" w:name="_Toc48406135"/>
            <w:bookmarkStart w:id="572" w:name="_Toc49273345"/>
            <w:bookmarkStart w:id="573" w:name="_Toc64724098"/>
            <w:r w:rsidRPr="007A2ECE">
              <w:t>Table A.3: Descriptive Statistics reported for QST measurements obtained by the DFNS protocol</w:t>
            </w:r>
            <w:bookmarkEnd w:id="571"/>
            <w:bookmarkEnd w:id="572"/>
            <w:bookmarkEnd w:id="573"/>
          </w:p>
        </w:tc>
      </w:tr>
      <w:tr w:rsidR="009968E0" w:rsidRPr="009968E0" w14:paraId="75F8FF7B" w14:textId="77777777" w:rsidTr="009968E0">
        <w:trPr>
          <w:trHeight w:val="360"/>
        </w:trPr>
        <w:tc>
          <w:tcPr>
            <w:tcW w:w="4468" w:type="dxa"/>
            <w:gridSpan w:val="3"/>
            <w:tcBorders>
              <w:top w:val="single" w:sz="12" w:space="0" w:color="000000"/>
              <w:left w:val="single" w:sz="12" w:space="0" w:color="000000"/>
              <w:bottom w:val="single" w:sz="12" w:space="0" w:color="000000"/>
              <w:right w:val="single" w:sz="12" w:space="0" w:color="000000"/>
            </w:tcBorders>
            <w:shd w:val="clear" w:color="auto" w:fill="auto"/>
            <w:vAlign w:val="bottom"/>
          </w:tcPr>
          <w:p w14:paraId="4566A648"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QST Parameters</w:t>
            </w:r>
          </w:p>
        </w:tc>
        <w:tc>
          <w:tcPr>
            <w:tcW w:w="1126" w:type="dxa"/>
            <w:tcBorders>
              <w:top w:val="single" w:sz="12" w:space="0" w:color="000000"/>
              <w:left w:val="nil"/>
              <w:bottom w:val="single" w:sz="12" w:space="0" w:color="000000"/>
              <w:right w:val="single" w:sz="4" w:space="0" w:color="000000"/>
            </w:tcBorders>
            <w:shd w:val="clear" w:color="auto" w:fill="auto"/>
            <w:vAlign w:val="bottom"/>
          </w:tcPr>
          <w:p w14:paraId="0E05FBAA"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Arial" w:hAnsi="Calibri" w:cs="Calibri"/>
                <w:i/>
                <w:iCs/>
                <w:color w:val="000000"/>
                <w:sz w:val="22"/>
                <w:szCs w:val="22"/>
                <w:lang w:eastAsia="en-GB"/>
              </w:rPr>
              <w:t>P-DPN</w:t>
            </w:r>
          </w:p>
        </w:tc>
        <w:tc>
          <w:tcPr>
            <w:tcW w:w="1157" w:type="dxa"/>
            <w:tcBorders>
              <w:top w:val="single" w:sz="12" w:space="0" w:color="000000"/>
              <w:left w:val="nil"/>
              <w:bottom w:val="single" w:sz="12" w:space="0" w:color="000000"/>
              <w:right w:val="single" w:sz="4" w:space="0" w:color="000000"/>
            </w:tcBorders>
            <w:shd w:val="clear" w:color="auto" w:fill="auto"/>
            <w:vAlign w:val="bottom"/>
          </w:tcPr>
          <w:p w14:paraId="169464A1"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DPN</w:t>
            </w:r>
          </w:p>
        </w:tc>
        <w:tc>
          <w:tcPr>
            <w:tcW w:w="1126" w:type="dxa"/>
            <w:tcBorders>
              <w:top w:val="single" w:sz="12" w:space="0" w:color="000000"/>
              <w:left w:val="nil"/>
              <w:bottom w:val="single" w:sz="12" w:space="0" w:color="000000"/>
              <w:right w:val="single" w:sz="4" w:space="0" w:color="000000"/>
            </w:tcBorders>
            <w:shd w:val="clear" w:color="auto" w:fill="auto"/>
            <w:vAlign w:val="bottom"/>
          </w:tcPr>
          <w:p w14:paraId="55E52CFC"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Arial" w:hAnsi="Calibri" w:cs="Calibri"/>
                <w:i/>
                <w:iCs/>
                <w:color w:val="000000"/>
                <w:sz w:val="22"/>
                <w:szCs w:val="22"/>
                <w:lang w:eastAsia="en-GB"/>
              </w:rPr>
              <w:t>DM-NN</w:t>
            </w:r>
          </w:p>
        </w:tc>
        <w:tc>
          <w:tcPr>
            <w:tcW w:w="1187" w:type="dxa"/>
            <w:tcBorders>
              <w:top w:val="single" w:sz="12" w:space="0" w:color="000000"/>
              <w:left w:val="nil"/>
              <w:bottom w:val="single" w:sz="12" w:space="0" w:color="000000"/>
              <w:right w:val="single" w:sz="12" w:space="0" w:color="000000"/>
            </w:tcBorders>
            <w:shd w:val="clear" w:color="auto" w:fill="auto"/>
            <w:vAlign w:val="bottom"/>
          </w:tcPr>
          <w:p w14:paraId="53FB97BD"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HV</w:t>
            </w:r>
          </w:p>
        </w:tc>
      </w:tr>
      <w:tr w:rsidR="009968E0" w:rsidRPr="009968E0" w14:paraId="6CB7D20F" w14:textId="77777777" w:rsidTr="009968E0">
        <w:trPr>
          <w:trHeight w:val="360"/>
        </w:trPr>
        <w:tc>
          <w:tcPr>
            <w:tcW w:w="1679" w:type="dxa"/>
            <w:vMerge w:val="restart"/>
            <w:tcBorders>
              <w:top w:val="nil"/>
              <w:left w:val="single" w:sz="12" w:space="0" w:color="000000"/>
              <w:bottom w:val="single" w:sz="4" w:space="0" w:color="000000"/>
              <w:right w:val="nil"/>
            </w:tcBorders>
            <w:shd w:val="clear" w:color="auto" w:fill="FDE9D9"/>
          </w:tcPr>
          <w:p w14:paraId="6C6DF902"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CDT-</w:t>
            </w:r>
            <w:r w:rsidRPr="009968E0">
              <w:rPr>
                <w:rFonts w:ascii="Calibri" w:eastAsia="Times New Roman" w:hAnsi="Calibri" w:cs="Calibri"/>
                <w:i/>
                <w:iCs/>
                <w:color w:val="000000"/>
                <w:sz w:val="22"/>
                <w:szCs w:val="22"/>
                <w:vertAlign w:val="superscript"/>
                <w:lang w:eastAsia="en-GB"/>
              </w:rPr>
              <w:t>0</w:t>
            </w:r>
            <w:r w:rsidRPr="009968E0">
              <w:rPr>
                <w:rFonts w:ascii="Calibri" w:eastAsia="Times New Roman" w:hAnsi="Calibri" w:cs="Calibri"/>
                <w:i/>
                <w:iCs/>
                <w:color w:val="000000"/>
                <w:sz w:val="22"/>
                <w:szCs w:val="22"/>
                <w:lang w:eastAsia="en-GB"/>
              </w:rPr>
              <w:t>C</w:t>
            </w:r>
          </w:p>
        </w:tc>
        <w:tc>
          <w:tcPr>
            <w:tcW w:w="2789" w:type="dxa"/>
            <w:gridSpan w:val="2"/>
            <w:tcBorders>
              <w:top w:val="single" w:sz="12" w:space="0" w:color="000000"/>
              <w:left w:val="nil"/>
              <w:bottom w:val="single" w:sz="4" w:space="0" w:color="000000"/>
              <w:right w:val="single" w:sz="12" w:space="0" w:color="000000"/>
            </w:tcBorders>
            <w:shd w:val="clear" w:color="auto" w:fill="auto"/>
          </w:tcPr>
          <w:p w14:paraId="51F6AE26"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1126" w:type="dxa"/>
            <w:tcBorders>
              <w:top w:val="nil"/>
              <w:left w:val="nil"/>
              <w:bottom w:val="single" w:sz="4" w:space="0" w:color="000000"/>
              <w:right w:val="single" w:sz="4" w:space="0" w:color="000000"/>
            </w:tcBorders>
            <w:shd w:val="clear" w:color="auto" w:fill="auto"/>
            <w:vAlign w:val="center"/>
          </w:tcPr>
          <w:p w14:paraId="7F83BB59"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-16.56</w:t>
            </w:r>
          </w:p>
        </w:tc>
        <w:tc>
          <w:tcPr>
            <w:tcW w:w="1157" w:type="dxa"/>
            <w:tcBorders>
              <w:top w:val="nil"/>
              <w:left w:val="nil"/>
              <w:bottom w:val="single" w:sz="4" w:space="0" w:color="000000"/>
              <w:right w:val="single" w:sz="4" w:space="0" w:color="000000"/>
            </w:tcBorders>
            <w:shd w:val="clear" w:color="auto" w:fill="auto"/>
            <w:vAlign w:val="center"/>
          </w:tcPr>
          <w:p w14:paraId="7BB73379"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-13.32</w:t>
            </w:r>
          </w:p>
        </w:tc>
        <w:tc>
          <w:tcPr>
            <w:tcW w:w="1126" w:type="dxa"/>
            <w:tcBorders>
              <w:top w:val="nil"/>
              <w:left w:val="nil"/>
              <w:bottom w:val="single" w:sz="4" w:space="0" w:color="000000"/>
              <w:right w:val="single" w:sz="4" w:space="0" w:color="000000"/>
            </w:tcBorders>
            <w:shd w:val="clear" w:color="auto" w:fill="auto"/>
            <w:vAlign w:val="center"/>
          </w:tcPr>
          <w:p w14:paraId="3E3EA9C2"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-3.34</w:t>
            </w:r>
          </w:p>
        </w:tc>
        <w:tc>
          <w:tcPr>
            <w:tcW w:w="1187" w:type="dxa"/>
            <w:tcBorders>
              <w:top w:val="nil"/>
              <w:left w:val="nil"/>
              <w:bottom w:val="single" w:sz="4" w:space="0" w:color="000000"/>
              <w:right w:val="single" w:sz="12" w:space="0" w:color="000000"/>
            </w:tcBorders>
            <w:shd w:val="clear" w:color="auto" w:fill="auto"/>
            <w:vAlign w:val="center"/>
          </w:tcPr>
          <w:p w14:paraId="05035A9C"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-3.62</w:t>
            </w:r>
          </w:p>
        </w:tc>
      </w:tr>
      <w:tr w:rsidR="009968E0" w:rsidRPr="009968E0" w14:paraId="76CBEC54" w14:textId="77777777" w:rsidTr="009968E0">
        <w:trPr>
          <w:trHeight w:val="360"/>
        </w:trPr>
        <w:tc>
          <w:tcPr>
            <w:tcW w:w="1679" w:type="dxa"/>
            <w:vMerge/>
            <w:tcBorders>
              <w:top w:val="nil"/>
              <w:left w:val="single" w:sz="12" w:space="0" w:color="000000"/>
              <w:bottom w:val="single" w:sz="4" w:space="0" w:color="000000"/>
              <w:right w:val="nil"/>
            </w:tcBorders>
            <w:shd w:val="clear" w:color="auto" w:fill="FDE9D9"/>
          </w:tcPr>
          <w:p w14:paraId="63027CE9"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709" w:type="dxa"/>
            <w:vMerge w:val="restart"/>
            <w:tcBorders>
              <w:top w:val="nil"/>
              <w:left w:val="nil"/>
              <w:bottom w:val="single" w:sz="4" w:space="0" w:color="000000"/>
              <w:right w:val="nil"/>
            </w:tcBorders>
            <w:shd w:val="clear" w:color="auto" w:fill="auto"/>
          </w:tcPr>
          <w:p w14:paraId="717EF366"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 for Mean</w:t>
            </w:r>
          </w:p>
        </w:tc>
        <w:tc>
          <w:tcPr>
            <w:tcW w:w="1080" w:type="dxa"/>
            <w:tcBorders>
              <w:top w:val="nil"/>
              <w:left w:val="nil"/>
              <w:bottom w:val="nil"/>
              <w:right w:val="single" w:sz="12" w:space="0" w:color="000000"/>
            </w:tcBorders>
            <w:shd w:val="clear" w:color="auto" w:fill="auto"/>
          </w:tcPr>
          <w:p w14:paraId="2E4C7A74"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1126" w:type="dxa"/>
            <w:tcBorders>
              <w:top w:val="nil"/>
              <w:left w:val="nil"/>
              <w:bottom w:val="nil"/>
              <w:right w:val="single" w:sz="4" w:space="0" w:color="000000"/>
            </w:tcBorders>
            <w:shd w:val="clear" w:color="auto" w:fill="auto"/>
            <w:vAlign w:val="center"/>
          </w:tcPr>
          <w:p w14:paraId="47028B48"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-21.89</w:t>
            </w:r>
          </w:p>
        </w:tc>
        <w:tc>
          <w:tcPr>
            <w:tcW w:w="1157" w:type="dxa"/>
            <w:tcBorders>
              <w:top w:val="nil"/>
              <w:left w:val="nil"/>
              <w:bottom w:val="nil"/>
              <w:right w:val="single" w:sz="4" w:space="0" w:color="000000"/>
            </w:tcBorders>
            <w:shd w:val="clear" w:color="auto" w:fill="auto"/>
            <w:vAlign w:val="center"/>
          </w:tcPr>
          <w:p w14:paraId="47A62C83"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-17.48</w:t>
            </w:r>
          </w:p>
        </w:tc>
        <w:tc>
          <w:tcPr>
            <w:tcW w:w="1126" w:type="dxa"/>
            <w:tcBorders>
              <w:top w:val="nil"/>
              <w:left w:val="nil"/>
              <w:bottom w:val="nil"/>
              <w:right w:val="single" w:sz="4" w:space="0" w:color="000000"/>
            </w:tcBorders>
            <w:shd w:val="clear" w:color="auto" w:fill="auto"/>
            <w:vAlign w:val="center"/>
          </w:tcPr>
          <w:p w14:paraId="4D0671E2"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-5.40</w:t>
            </w:r>
          </w:p>
        </w:tc>
        <w:tc>
          <w:tcPr>
            <w:tcW w:w="1187" w:type="dxa"/>
            <w:tcBorders>
              <w:top w:val="nil"/>
              <w:left w:val="nil"/>
              <w:bottom w:val="nil"/>
              <w:right w:val="single" w:sz="12" w:space="0" w:color="000000"/>
            </w:tcBorders>
            <w:shd w:val="clear" w:color="auto" w:fill="auto"/>
            <w:vAlign w:val="center"/>
          </w:tcPr>
          <w:p w14:paraId="0B4BD235"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-5.60</w:t>
            </w:r>
          </w:p>
        </w:tc>
      </w:tr>
      <w:tr w:rsidR="009968E0" w:rsidRPr="009968E0" w14:paraId="444976CF" w14:textId="77777777" w:rsidTr="009968E0">
        <w:trPr>
          <w:trHeight w:val="360"/>
        </w:trPr>
        <w:tc>
          <w:tcPr>
            <w:tcW w:w="1679" w:type="dxa"/>
            <w:vMerge/>
            <w:tcBorders>
              <w:top w:val="nil"/>
              <w:left w:val="single" w:sz="12" w:space="0" w:color="000000"/>
              <w:bottom w:val="single" w:sz="4" w:space="0" w:color="000000"/>
              <w:right w:val="nil"/>
            </w:tcBorders>
            <w:shd w:val="clear" w:color="auto" w:fill="FDE9D9"/>
          </w:tcPr>
          <w:p w14:paraId="083651BF"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709" w:type="dxa"/>
            <w:vMerge/>
            <w:tcBorders>
              <w:top w:val="nil"/>
              <w:left w:val="nil"/>
              <w:bottom w:val="single" w:sz="4" w:space="0" w:color="000000"/>
              <w:right w:val="nil"/>
            </w:tcBorders>
            <w:shd w:val="clear" w:color="auto" w:fill="auto"/>
          </w:tcPr>
          <w:p w14:paraId="26EAD059"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080" w:type="dxa"/>
            <w:tcBorders>
              <w:top w:val="nil"/>
              <w:left w:val="nil"/>
              <w:bottom w:val="single" w:sz="4" w:space="0" w:color="000000"/>
              <w:right w:val="single" w:sz="12" w:space="0" w:color="000000"/>
            </w:tcBorders>
            <w:shd w:val="clear" w:color="auto" w:fill="auto"/>
          </w:tcPr>
          <w:p w14:paraId="1947B682"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1126" w:type="dxa"/>
            <w:tcBorders>
              <w:top w:val="nil"/>
              <w:left w:val="nil"/>
              <w:bottom w:val="single" w:sz="4" w:space="0" w:color="000000"/>
              <w:right w:val="single" w:sz="4" w:space="0" w:color="000000"/>
            </w:tcBorders>
            <w:shd w:val="clear" w:color="auto" w:fill="auto"/>
            <w:vAlign w:val="center"/>
          </w:tcPr>
          <w:p w14:paraId="6F315A56"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-11.22</w:t>
            </w:r>
          </w:p>
        </w:tc>
        <w:tc>
          <w:tcPr>
            <w:tcW w:w="1157" w:type="dxa"/>
            <w:tcBorders>
              <w:top w:val="nil"/>
              <w:left w:val="nil"/>
              <w:bottom w:val="single" w:sz="4" w:space="0" w:color="000000"/>
              <w:right w:val="single" w:sz="4" w:space="0" w:color="000000"/>
            </w:tcBorders>
            <w:shd w:val="clear" w:color="auto" w:fill="auto"/>
            <w:vAlign w:val="center"/>
          </w:tcPr>
          <w:p w14:paraId="53638F86"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-9.15</w:t>
            </w:r>
          </w:p>
        </w:tc>
        <w:tc>
          <w:tcPr>
            <w:tcW w:w="1126" w:type="dxa"/>
            <w:tcBorders>
              <w:top w:val="nil"/>
              <w:left w:val="nil"/>
              <w:bottom w:val="single" w:sz="4" w:space="0" w:color="000000"/>
              <w:right w:val="single" w:sz="4" w:space="0" w:color="000000"/>
            </w:tcBorders>
            <w:shd w:val="clear" w:color="auto" w:fill="auto"/>
            <w:vAlign w:val="center"/>
          </w:tcPr>
          <w:p w14:paraId="2D85F24E"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-1.27</w:t>
            </w:r>
          </w:p>
        </w:tc>
        <w:tc>
          <w:tcPr>
            <w:tcW w:w="1187" w:type="dxa"/>
            <w:tcBorders>
              <w:top w:val="nil"/>
              <w:left w:val="nil"/>
              <w:bottom w:val="single" w:sz="4" w:space="0" w:color="000000"/>
              <w:right w:val="single" w:sz="12" w:space="0" w:color="000000"/>
            </w:tcBorders>
            <w:shd w:val="clear" w:color="auto" w:fill="auto"/>
            <w:vAlign w:val="center"/>
          </w:tcPr>
          <w:p w14:paraId="06AD6006"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-1.64</w:t>
            </w:r>
          </w:p>
        </w:tc>
      </w:tr>
      <w:tr w:rsidR="009968E0" w:rsidRPr="009968E0" w14:paraId="603A61EF" w14:textId="77777777" w:rsidTr="009968E0">
        <w:trPr>
          <w:trHeight w:val="360"/>
        </w:trPr>
        <w:tc>
          <w:tcPr>
            <w:tcW w:w="9064" w:type="dxa"/>
            <w:gridSpan w:val="7"/>
            <w:tcBorders>
              <w:top w:val="single" w:sz="4" w:space="0" w:color="000000"/>
              <w:left w:val="single" w:sz="12" w:space="0" w:color="000000"/>
              <w:bottom w:val="single" w:sz="4" w:space="0" w:color="000000"/>
              <w:right w:val="single" w:sz="12" w:space="0" w:color="000000"/>
            </w:tcBorders>
            <w:shd w:val="clear" w:color="auto" w:fill="auto"/>
          </w:tcPr>
          <w:p w14:paraId="515FB89E" w14:textId="77777777" w:rsidR="009968E0" w:rsidRPr="009968E0" w:rsidRDefault="009968E0" w:rsidP="009968E0">
            <w:pPr>
              <w:jc w:val="center"/>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p&lt;.001</w:t>
            </w:r>
          </w:p>
        </w:tc>
      </w:tr>
      <w:tr w:rsidR="009968E0" w:rsidRPr="009968E0" w14:paraId="1F617283" w14:textId="77777777" w:rsidTr="009968E0">
        <w:trPr>
          <w:trHeight w:val="360"/>
        </w:trPr>
        <w:tc>
          <w:tcPr>
            <w:tcW w:w="1679" w:type="dxa"/>
            <w:vMerge w:val="restart"/>
            <w:tcBorders>
              <w:top w:val="nil"/>
              <w:left w:val="single" w:sz="12" w:space="0" w:color="000000"/>
              <w:bottom w:val="single" w:sz="4" w:space="0" w:color="000000"/>
              <w:right w:val="nil"/>
            </w:tcBorders>
            <w:shd w:val="clear" w:color="auto" w:fill="FDE9D9"/>
          </w:tcPr>
          <w:p w14:paraId="3ACBF42D"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WDT</w:t>
            </w:r>
          </w:p>
          <w:p w14:paraId="3D6340D5"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vertAlign w:val="superscript"/>
                <w:lang w:eastAsia="en-GB"/>
              </w:rPr>
              <w:t>0</w:t>
            </w:r>
            <w:r w:rsidRPr="009968E0">
              <w:rPr>
                <w:rFonts w:ascii="Calibri" w:eastAsia="Times New Roman" w:hAnsi="Calibri" w:cs="Calibri"/>
                <w:i/>
                <w:iCs/>
                <w:color w:val="000000"/>
                <w:sz w:val="22"/>
                <w:szCs w:val="22"/>
                <w:lang w:eastAsia="en-GB"/>
              </w:rPr>
              <w:t>C</w:t>
            </w:r>
          </w:p>
        </w:tc>
        <w:tc>
          <w:tcPr>
            <w:tcW w:w="2789" w:type="dxa"/>
            <w:gridSpan w:val="2"/>
            <w:tcBorders>
              <w:top w:val="nil"/>
              <w:left w:val="nil"/>
              <w:bottom w:val="single" w:sz="4" w:space="0" w:color="000000"/>
              <w:right w:val="single" w:sz="12" w:space="0" w:color="000000"/>
            </w:tcBorders>
            <w:shd w:val="clear" w:color="auto" w:fill="auto"/>
          </w:tcPr>
          <w:p w14:paraId="23BB0718"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1126" w:type="dxa"/>
            <w:tcBorders>
              <w:top w:val="nil"/>
              <w:left w:val="nil"/>
              <w:bottom w:val="single" w:sz="4" w:space="0" w:color="000000"/>
              <w:right w:val="single" w:sz="4" w:space="0" w:color="000000"/>
            </w:tcBorders>
            <w:shd w:val="clear" w:color="auto" w:fill="auto"/>
            <w:vAlign w:val="center"/>
          </w:tcPr>
          <w:p w14:paraId="590BE3C8"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13.67</w:t>
            </w:r>
          </w:p>
        </w:tc>
        <w:tc>
          <w:tcPr>
            <w:tcW w:w="1157" w:type="dxa"/>
            <w:tcBorders>
              <w:top w:val="nil"/>
              <w:left w:val="nil"/>
              <w:bottom w:val="single" w:sz="4" w:space="0" w:color="000000"/>
              <w:right w:val="single" w:sz="4" w:space="0" w:color="000000"/>
            </w:tcBorders>
            <w:shd w:val="clear" w:color="auto" w:fill="auto"/>
            <w:vAlign w:val="center"/>
          </w:tcPr>
          <w:p w14:paraId="382E551C"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12.81</w:t>
            </w:r>
          </w:p>
        </w:tc>
        <w:tc>
          <w:tcPr>
            <w:tcW w:w="1126" w:type="dxa"/>
            <w:tcBorders>
              <w:top w:val="nil"/>
              <w:left w:val="nil"/>
              <w:bottom w:val="single" w:sz="4" w:space="0" w:color="000000"/>
              <w:right w:val="single" w:sz="4" w:space="0" w:color="000000"/>
            </w:tcBorders>
            <w:shd w:val="clear" w:color="auto" w:fill="auto"/>
            <w:vAlign w:val="center"/>
          </w:tcPr>
          <w:p w14:paraId="6483EAC3"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6.63</w:t>
            </w:r>
          </w:p>
        </w:tc>
        <w:tc>
          <w:tcPr>
            <w:tcW w:w="1187" w:type="dxa"/>
            <w:tcBorders>
              <w:top w:val="nil"/>
              <w:left w:val="nil"/>
              <w:bottom w:val="single" w:sz="4" w:space="0" w:color="000000"/>
              <w:right w:val="single" w:sz="12" w:space="0" w:color="000000"/>
            </w:tcBorders>
            <w:shd w:val="clear" w:color="auto" w:fill="auto"/>
            <w:vAlign w:val="center"/>
          </w:tcPr>
          <w:p w14:paraId="33D221A4"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7.95</w:t>
            </w:r>
          </w:p>
        </w:tc>
      </w:tr>
      <w:tr w:rsidR="009968E0" w:rsidRPr="009968E0" w14:paraId="5FE8EE87" w14:textId="77777777" w:rsidTr="009968E0">
        <w:trPr>
          <w:trHeight w:val="360"/>
        </w:trPr>
        <w:tc>
          <w:tcPr>
            <w:tcW w:w="1679" w:type="dxa"/>
            <w:vMerge/>
            <w:tcBorders>
              <w:top w:val="nil"/>
              <w:left w:val="single" w:sz="12" w:space="0" w:color="000000"/>
              <w:bottom w:val="single" w:sz="4" w:space="0" w:color="000000"/>
              <w:right w:val="nil"/>
            </w:tcBorders>
            <w:shd w:val="clear" w:color="auto" w:fill="FDE9D9"/>
          </w:tcPr>
          <w:p w14:paraId="7872CE93"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709" w:type="dxa"/>
            <w:vMerge w:val="restart"/>
            <w:tcBorders>
              <w:top w:val="nil"/>
              <w:left w:val="nil"/>
              <w:bottom w:val="single" w:sz="4" w:space="0" w:color="000000"/>
              <w:right w:val="nil"/>
            </w:tcBorders>
            <w:shd w:val="clear" w:color="auto" w:fill="auto"/>
          </w:tcPr>
          <w:p w14:paraId="676BC613"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 for Mean</w:t>
            </w:r>
          </w:p>
        </w:tc>
        <w:tc>
          <w:tcPr>
            <w:tcW w:w="1080" w:type="dxa"/>
            <w:tcBorders>
              <w:top w:val="nil"/>
              <w:left w:val="nil"/>
              <w:bottom w:val="nil"/>
              <w:right w:val="single" w:sz="12" w:space="0" w:color="000000"/>
            </w:tcBorders>
            <w:shd w:val="clear" w:color="auto" w:fill="auto"/>
          </w:tcPr>
          <w:p w14:paraId="2C9ABDAA"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1126" w:type="dxa"/>
            <w:tcBorders>
              <w:top w:val="nil"/>
              <w:left w:val="nil"/>
              <w:bottom w:val="nil"/>
              <w:right w:val="single" w:sz="4" w:space="0" w:color="000000"/>
            </w:tcBorders>
            <w:shd w:val="clear" w:color="auto" w:fill="auto"/>
            <w:vAlign w:val="center"/>
          </w:tcPr>
          <w:p w14:paraId="476AF8C6"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11.37</w:t>
            </w:r>
          </w:p>
        </w:tc>
        <w:tc>
          <w:tcPr>
            <w:tcW w:w="1157" w:type="dxa"/>
            <w:tcBorders>
              <w:top w:val="nil"/>
              <w:left w:val="nil"/>
              <w:bottom w:val="nil"/>
              <w:right w:val="single" w:sz="4" w:space="0" w:color="000000"/>
            </w:tcBorders>
            <w:shd w:val="clear" w:color="auto" w:fill="auto"/>
            <w:vAlign w:val="center"/>
          </w:tcPr>
          <w:p w14:paraId="6DD6B1D9"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11.03</w:t>
            </w:r>
          </w:p>
        </w:tc>
        <w:tc>
          <w:tcPr>
            <w:tcW w:w="1126" w:type="dxa"/>
            <w:tcBorders>
              <w:top w:val="nil"/>
              <w:left w:val="nil"/>
              <w:bottom w:val="nil"/>
              <w:right w:val="single" w:sz="4" w:space="0" w:color="000000"/>
            </w:tcBorders>
            <w:shd w:val="clear" w:color="auto" w:fill="auto"/>
            <w:vAlign w:val="center"/>
          </w:tcPr>
          <w:p w14:paraId="6071BD94"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4.66</w:t>
            </w:r>
          </w:p>
        </w:tc>
        <w:tc>
          <w:tcPr>
            <w:tcW w:w="1187" w:type="dxa"/>
            <w:tcBorders>
              <w:top w:val="nil"/>
              <w:left w:val="nil"/>
              <w:bottom w:val="nil"/>
              <w:right w:val="single" w:sz="12" w:space="0" w:color="000000"/>
            </w:tcBorders>
            <w:shd w:val="clear" w:color="auto" w:fill="auto"/>
            <w:vAlign w:val="center"/>
          </w:tcPr>
          <w:p w14:paraId="0682B867"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6.00</w:t>
            </w:r>
          </w:p>
        </w:tc>
      </w:tr>
      <w:tr w:rsidR="009968E0" w:rsidRPr="009968E0" w14:paraId="13FEA9CE" w14:textId="77777777" w:rsidTr="009968E0">
        <w:trPr>
          <w:trHeight w:val="360"/>
        </w:trPr>
        <w:tc>
          <w:tcPr>
            <w:tcW w:w="1679" w:type="dxa"/>
            <w:vMerge/>
            <w:tcBorders>
              <w:top w:val="nil"/>
              <w:left w:val="single" w:sz="12" w:space="0" w:color="000000"/>
              <w:bottom w:val="single" w:sz="4" w:space="0" w:color="000000"/>
              <w:right w:val="nil"/>
            </w:tcBorders>
            <w:shd w:val="clear" w:color="auto" w:fill="FDE9D9"/>
          </w:tcPr>
          <w:p w14:paraId="0613AA35"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709" w:type="dxa"/>
            <w:vMerge/>
            <w:tcBorders>
              <w:top w:val="nil"/>
              <w:left w:val="nil"/>
              <w:bottom w:val="single" w:sz="4" w:space="0" w:color="000000"/>
              <w:right w:val="nil"/>
            </w:tcBorders>
            <w:shd w:val="clear" w:color="auto" w:fill="auto"/>
          </w:tcPr>
          <w:p w14:paraId="3B755BB7"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080" w:type="dxa"/>
            <w:tcBorders>
              <w:top w:val="nil"/>
              <w:left w:val="nil"/>
              <w:bottom w:val="single" w:sz="4" w:space="0" w:color="000000"/>
              <w:right w:val="single" w:sz="12" w:space="0" w:color="000000"/>
            </w:tcBorders>
            <w:shd w:val="clear" w:color="auto" w:fill="auto"/>
          </w:tcPr>
          <w:p w14:paraId="204C589E"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1126" w:type="dxa"/>
            <w:tcBorders>
              <w:top w:val="nil"/>
              <w:left w:val="nil"/>
              <w:bottom w:val="single" w:sz="4" w:space="0" w:color="000000"/>
              <w:right w:val="single" w:sz="4" w:space="0" w:color="000000"/>
            </w:tcBorders>
            <w:shd w:val="clear" w:color="auto" w:fill="auto"/>
            <w:vAlign w:val="center"/>
          </w:tcPr>
          <w:p w14:paraId="2BF076C6"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15.96</w:t>
            </w:r>
          </w:p>
        </w:tc>
        <w:tc>
          <w:tcPr>
            <w:tcW w:w="1157" w:type="dxa"/>
            <w:tcBorders>
              <w:top w:val="nil"/>
              <w:left w:val="nil"/>
              <w:bottom w:val="single" w:sz="4" w:space="0" w:color="000000"/>
              <w:right w:val="single" w:sz="4" w:space="0" w:color="000000"/>
            </w:tcBorders>
            <w:shd w:val="clear" w:color="auto" w:fill="auto"/>
            <w:vAlign w:val="center"/>
          </w:tcPr>
          <w:p w14:paraId="43094772"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14.59</w:t>
            </w:r>
          </w:p>
        </w:tc>
        <w:tc>
          <w:tcPr>
            <w:tcW w:w="1126" w:type="dxa"/>
            <w:tcBorders>
              <w:top w:val="nil"/>
              <w:left w:val="nil"/>
              <w:bottom w:val="single" w:sz="4" w:space="0" w:color="000000"/>
              <w:right w:val="single" w:sz="4" w:space="0" w:color="000000"/>
            </w:tcBorders>
            <w:shd w:val="clear" w:color="auto" w:fill="auto"/>
            <w:vAlign w:val="center"/>
          </w:tcPr>
          <w:p w14:paraId="5606BF1F"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8.59</w:t>
            </w:r>
          </w:p>
        </w:tc>
        <w:tc>
          <w:tcPr>
            <w:tcW w:w="1187" w:type="dxa"/>
            <w:tcBorders>
              <w:top w:val="nil"/>
              <w:left w:val="nil"/>
              <w:bottom w:val="single" w:sz="4" w:space="0" w:color="000000"/>
              <w:right w:val="single" w:sz="12" w:space="0" w:color="000000"/>
            </w:tcBorders>
            <w:shd w:val="clear" w:color="auto" w:fill="auto"/>
            <w:vAlign w:val="center"/>
          </w:tcPr>
          <w:p w14:paraId="5BDEF8E1"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9.90</w:t>
            </w:r>
          </w:p>
        </w:tc>
      </w:tr>
      <w:tr w:rsidR="009968E0" w:rsidRPr="009968E0" w14:paraId="403933C0" w14:textId="77777777" w:rsidTr="009968E0">
        <w:trPr>
          <w:trHeight w:val="360"/>
        </w:trPr>
        <w:tc>
          <w:tcPr>
            <w:tcW w:w="9064" w:type="dxa"/>
            <w:gridSpan w:val="7"/>
            <w:tcBorders>
              <w:top w:val="single" w:sz="4" w:space="0" w:color="000000"/>
              <w:left w:val="single" w:sz="12" w:space="0" w:color="000000"/>
              <w:bottom w:val="single" w:sz="4" w:space="0" w:color="000000"/>
              <w:right w:val="single" w:sz="12" w:space="0" w:color="000000"/>
            </w:tcBorders>
            <w:shd w:val="clear" w:color="auto" w:fill="auto"/>
          </w:tcPr>
          <w:p w14:paraId="2BC5040D" w14:textId="77777777" w:rsidR="009968E0" w:rsidRPr="009968E0" w:rsidRDefault="009968E0" w:rsidP="009968E0">
            <w:pPr>
              <w:jc w:val="center"/>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p&lt;.001</w:t>
            </w:r>
          </w:p>
        </w:tc>
      </w:tr>
      <w:tr w:rsidR="009968E0" w:rsidRPr="009968E0" w14:paraId="4D54E55F" w14:textId="77777777" w:rsidTr="009968E0">
        <w:trPr>
          <w:trHeight w:val="360"/>
        </w:trPr>
        <w:tc>
          <w:tcPr>
            <w:tcW w:w="1679" w:type="dxa"/>
            <w:vMerge w:val="restart"/>
            <w:tcBorders>
              <w:top w:val="nil"/>
              <w:left w:val="single" w:sz="12" w:space="0" w:color="000000"/>
              <w:bottom w:val="single" w:sz="4" w:space="0" w:color="000000"/>
              <w:right w:val="nil"/>
            </w:tcBorders>
            <w:shd w:val="clear" w:color="auto" w:fill="FDE9D9"/>
          </w:tcPr>
          <w:p w14:paraId="6D831C19"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TSL</w:t>
            </w:r>
          </w:p>
          <w:p w14:paraId="59D9D2A2"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vertAlign w:val="superscript"/>
                <w:lang w:eastAsia="en-GB"/>
              </w:rPr>
              <w:t>0</w:t>
            </w:r>
            <w:r w:rsidRPr="009968E0">
              <w:rPr>
                <w:rFonts w:ascii="Calibri" w:eastAsia="Times New Roman" w:hAnsi="Calibri" w:cs="Calibri"/>
                <w:i/>
                <w:iCs/>
                <w:color w:val="000000"/>
                <w:sz w:val="22"/>
                <w:szCs w:val="22"/>
                <w:lang w:eastAsia="en-GB"/>
              </w:rPr>
              <w:t>C</w:t>
            </w:r>
          </w:p>
        </w:tc>
        <w:tc>
          <w:tcPr>
            <w:tcW w:w="2789" w:type="dxa"/>
            <w:gridSpan w:val="2"/>
            <w:tcBorders>
              <w:top w:val="nil"/>
              <w:left w:val="nil"/>
              <w:bottom w:val="single" w:sz="4" w:space="0" w:color="000000"/>
              <w:right w:val="single" w:sz="12" w:space="0" w:color="000000"/>
            </w:tcBorders>
            <w:shd w:val="clear" w:color="auto" w:fill="auto"/>
          </w:tcPr>
          <w:p w14:paraId="14726BE4"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1126" w:type="dxa"/>
            <w:tcBorders>
              <w:top w:val="nil"/>
              <w:left w:val="nil"/>
              <w:bottom w:val="single" w:sz="4" w:space="0" w:color="000000"/>
              <w:right w:val="single" w:sz="4" w:space="0" w:color="000000"/>
            </w:tcBorders>
            <w:shd w:val="clear" w:color="auto" w:fill="auto"/>
            <w:vAlign w:val="center"/>
          </w:tcPr>
          <w:p w14:paraId="04A1D7E8"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35.03</w:t>
            </w:r>
          </w:p>
        </w:tc>
        <w:tc>
          <w:tcPr>
            <w:tcW w:w="1157" w:type="dxa"/>
            <w:tcBorders>
              <w:top w:val="nil"/>
              <w:left w:val="nil"/>
              <w:bottom w:val="single" w:sz="4" w:space="0" w:color="000000"/>
              <w:right w:val="single" w:sz="4" w:space="0" w:color="000000"/>
            </w:tcBorders>
            <w:shd w:val="clear" w:color="auto" w:fill="auto"/>
            <w:vAlign w:val="center"/>
          </w:tcPr>
          <w:p w14:paraId="4FE49D19"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32.02</w:t>
            </w:r>
          </w:p>
        </w:tc>
        <w:tc>
          <w:tcPr>
            <w:tcW w:w="1126" w:type="dxa"/>
            <w:tcBorders>
              <w:top w:val="nil"/>
              <w:left w:val="nil"/>
              <w:bottom w:val="single" w:sz="4" w:space="0" w:color="000000"/>
              <w:right w:val="single" w:sz="4" w:space="0" w:color="000000"/>
            </w:tcBorders>
            <w:shd w:val="clear" w:color="auto" w:fill="auto"/>
            <w:vAlign w:val="center"/>
          </w:tcPr>
          <w:p w14:paraId="106B9C4E"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12.52</w:t>
            </w:r>
          </w:p>
        </w:tc>
        <w:tc>
          <w:tcPr>
            <w:tcW w:w="1187" w:type="dxa"/>
            <w:tcBorders>
              <w:top w:val="nil"/>
              <w:left w:val="nil"/>
              <w:bottom w:val="single" w:sz="4" w:space="0" w:color="000000"/>
              <w:right w:val="single" w:sz="12" w:space="0" w:color="000000"/>
            </w:tcBorders>
            <w:shd w:val="clear" w:color="auto" w:fill="auto"/>
            <w:vAlign w:val="center"/>
          </w:tcPr>
          <w:p w14:paraId="0B58161C"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15.55</w:t>
            </w:r>
          </w:p>
        </w:tc>
      </w:tr>
      <w:tr w:rsidR="009968E0" w:rsidRPr="009968E0" w14:paraId="1F90A52D" w14:textId="77777777" w:rsidTr="009968E0">
        <w:trPr>
          <w:trHeight w:val="360"/>
        </w:trPr>
        <w:tc>
          <w:tcPr>
            <w:tcW w:w="1679" w:type="dxa"/>
            <w:vMerge/>
            <w:tcBorders>
              <w:top w:val="nil"/>
              <w:left w:val="single" w:sz="12" w:space="0" w:color="000000"/>
              <w:bottom w:val="single" w:sz="4" w:space="0" w:color="000000"/>
              <w:right w:val="nil"/>
            </w:tcBorders>
            <w:shd w:val="clear" w:color="auto" w:fill="FDE9D9"/>
          </w:tcPr>
          <w:p w14:paraId="4CF04600"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709" w:type="dxa"/>
            <w:vMerge w:val="restart"/>
            <w:tcBorders>
              <w:top w:val="nil"/>
              <w:left w:val="nil"/>
              <w:bottom w:val="single" w:sz="4" w:space="0" w:color="000000"/>
              <w:right w:val="nil"/>
            </w:tcBorders>
            <w:shd w:val="clear" w:color="auto" w:fill="auto"/>
          </w:tcPr>
          <w:p w14:paraId="38BA5BB2"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 for Mean</w:t>
            </w:r>
          </w:p>
        </w:tc>
        <w:tc>
          <w:tcPr>
            <w:tcW w:w="1080" w:type="dxa"/>
            <w:tcBorders>
              <w:top w:val="nil"/>
              <w:left w:val="nil"/>
              <w:bottom w:val="nil"/>
              <w:right w:val="single" w:sz="12" w:space="0" w:color="000000"/>
            </w:tcBorders>
            <w:shd w:val="clear" w:color="auto" w:fill="auto"/>
          </w:tcPr>
          <w:p w14:paraId="605C9281"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1126" w:type="dxa"/>
            <w:tcBorders>
              <w:top w:val="nil"/>
              <w:left w:val="nil"/>
              <w:bottom w:val="nil"/>
              <w:right w:val="single" w:sz="4" w:space="0" w:color="000000"/>
            </w:tcBorders>
            <w:shd w:val="clear" w:color="auto" w:fill="auto"/>
            <w:vAlign w:val="center"/>
          </w:tcPr>
          <w:p w14:paraId="5A6D4CB5"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27.83</w:t>
            </w:r>
          </w:p>
        </w:tc>
        <w:tc>
          <w:tcPr>
            <w:tcW w:w="1157" w:type="dxa"/>
            <w:tcBorders>
              <w:top w:val="nil"/>
              <w:left w:val="nil"/>
              <w:bottom w:val="nil"/>
              <w:right w:val="single" w:sz="4" w:space="0" w:color="000000"/>
            </w:tcBorders>
            <w:shd w:val="clear" w:color="auto" w:fill="auto"/>
            <w:vAlign w:val="center"/>
          </w:tcPr>
          <w:p w14:paraId="2E24A089"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26.26</w:t>
            </w:r>
          </w:p>
        </w:tc>
        <w:tc>
          <w:tcPr>
            <w:tcW w:w="1126" w:type="dxa"/>
            <w:tcBorders>
              <w:top w:val="nil"/>
              <w:left w:val="nil"/>
              <w:bottom w:val="nil"/>
              <w:right w:val="single" w:sz="4" w:space="0" w:color="000000"/>
            </w:tcBorders>
            <w:shd w:val="clear" w:color="auto" w:fill="auto"/>
            <w:vAlign w:val="center"/>
          </w:tcPr>
          <w:p w14:paraId="4E2F6702"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8.70</w:t>
            </w:r>
          </w:p>
        </w:tc>
        <w:tc>
          <w:tcPr>
            <w:tcW w:w="1187" w:type="dxa"/>
            <w:tcBorders>
              <w:top w:val="nil"/>
              <w:left w:val="nil"/>
              <w:bottom w:val="nil"/>
              <w:right w:val="single" w:sz="12" w:space="0" w:color="000000"/>
            </w:tcBorders>
            <w:shd w:val="clear" w:color="auto" w:fill="auto"/>
            <w:vAlign w:val="center"/>
          </w:tcPr>
          <w:p w14:paraId="0B8F9D42"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10.07</w:t>
            </w:r>
          </w:p>
        </w:tc>
      </w:tr>
      <w:tr w:rsidR="009968E0" w:rsidRPr="009968E0" w14:paraId="1A629918" w14:textId="77777777" w:rsidTr="009968E0">
        <w:trPr>
          <w:trHeight w:val="360"/>
        </w:trPr>
        <w:tc>
          <w:tcPr>
            <w:tcW w:w="1679" w:type="dxa"/>
            <w:vMerge/>
            <w:tcBorders>
              <w:top w:val="nil"/>
              <w:left w:val="single" w:sz="12" w:space="0" w:color="000000"/>
              <w:bottom w:val="single" w:sz="4" w:space="0" w:color="000000"/>
              <w:right w:val="nil"/>
            </w:tcBorders>
            <w:shd w:val="clear" w:color="auto" w:fill="FDE9D9"/>
          </w:tcPr>
          <w:p w14:paraId="0B1D6BAB"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709" w:type="dxa"/>
            <w:vMerge/>
            <w:tcBorders>
              <w:top w:val="nil"/>
              <w:left w:val="nil"/>
              <w:bottom w:val="single" w:sz="4" w:space="0" w:color="000000"/>
              <w:right w:val="nil"/>
            </w:tcBorders>
            <w:shd w:val="clear" w:color="auto" w:fill="auto"/>
          </w:tcPr>
          <w:p w14:paraId="02B83B11"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080" w:type="dxa"/>
            <w:tcBorders>
              <w:top w:val="nil"/>
              <w:left w:val="nil"/>
              <w:bottom w:val="single" w:sz="4" w:space="0" w:color="000000"/>
              <w:right w:val="single" w:sz="12" w:space="0" w:color="000000"/>
            </w:tcBorders>
            <w:shd w:val="clear" w:color="auto" w:fill="auto"/>
          </w:tcPr>
          <w:p w14:paraId="70BEBAA3"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1126" w:type="dxa"/>
            <w:tcBorders>
              <w:top w:val="nil"/>
              <w:left w:val="nil"/>
              <w:bottom w:val="single" w:sz="4" w:space="0" w:color="000000"/>
              <w:right w:val="single" w:sz="4" w:space="0" w:color="000000"/>
            </w:tcBorders>
            <w:shd w:val="clear" w:color="auto" w:fill="auto"/>
            <w:vAlign w:val="center"/>
          </w:tcPr>
          <w:p w14:paraId="600AF9A6"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42.23</w:t>
            </w:r>
          </w:p>
        </w:tc>
        <w:tc>
          <w:tcPr>
            <w:tcW w:w="1157" w:type="dxa"/>
            <w:tcBorders>
              <w:top w:val="nil"/>
              <w:left w:val="nil"/>
              <w:bottom w:val="single" w:sz="4" w:space="0" w:color="000000"/>
              <w:right w:val="single" w:sz="4" w:space="0" w:color="000000"/>
            </w:tcBorders>
            <w:shd w:val="clear" w:color="auto" w:fill="auto"/>
            <w:vAlign w:val="center"/>
          </w:tcPr>
          <w:p w14:paraId="20183E95"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37.78</w:t>
            </w:r>
          </w:p>
        </w:tc>
        <w:tc>
          <w:tcPr>
            <w:tcW w:w="1126" w:type="dxa"/>
            <w:tcBorders>
              <w:top w:val="nil"/>
              <w:left w:val="nil"/>
              <w:bottom w:val="single" w:sz="4" w:space="0" w:color="000000"/>
              <w:right w:val="single" w:sz="4" w:space="0" w:color="000000"/>
            </w:tcBorders>
            <w:shd w:val="clear" w:color="auto" w:fill="auto"/>
            <w:vAlign w:val="center"/>
          </w:tcPr>
          <w:p w14:paraId="5D259578"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16.33</w:t>
            </w:r>
          </w:p>
        </w:tc>
        <w:tc>
          <w:tcPr>
            <w:tcW w:w="1187" w:type="dxa"/>
            <w:tcBorders>
              <w:top w:val="nil"/>
              <w:left w:val="nil"/>
              <w:bottom w:val="single" w:sz="4" w:space="0" w:color="000000"/>
              <w:right w:val="single" w:sz="12" w:space="0" w:color="000000"/>
            </w:tcBorders>
            <w:shd w:val="clear" w:color="auto" w:fill="auto"/>
            <w:vAlign w:val="center"/>
          </w:tcPr>
          <w:p w14:paraId="05E41768"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21.03</w:t>
            </w:r>
          </w:p>
        </w:tc>
      </w:tr>
      <w:tr w:rsidR="009968E0" w:rsidRPr="009968E0" w14:paraId="08CE9CFD" w14:textId="77777777" w:rsidTr="009968E0">
        <w:trPr>
          <w:trHeight w:val="360"/>
        </w:trPr>
        <w:tc>
          <w:tcPr>
            <w:tcW w:w="9064" w:type="dxa"/>
            <w:gridSpan w:val="7"/>
            <w:tcBorders>
              <w:top w:val="single" w:sz="4" w:space="0" w:color="000000"/>
              <w:left w:val="single" w:sz="12" w:space="0" w:color="000000"/>
              <w:bottom w:val="single" w:sz="4" w:space="0" w:color="000000"/>
              <w:right w:val="single" w:sz="12" w:space="0" w:color="000000"/>
            </w:tcBorders>
            <w:shd w:val="clear" w:color="auto" w:fill="auto"/>
          </w:tcPr>
          <w:p w14:paraId="5397FCEB" w14:textId="77777777" w:rsidR="009968E0" w:rsidRPr="009968E0" w:rsidRDefault="009968E0" w:rsidP="009968E0">
            <w:pPr>
              <w:jc w:val="center"/>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p&lt;.001</w:t>
            </w:r>
          </w:p>
        </w:tc>
      </w:tr>
      <w:tr w:rsidR="009968E0" w:rsidRPr="009968E0" w14:paraId="4CB5A836" w14:textId="77777777" w:rsidTr="009968E0">
        <w:trPr>
          <w:trHeight w:val="360"/>
        </w:trPr>
        <w:tc>
          <w:tcPr>
            <w:tcW w:w="1679" w:type="dxa"/>
            <w:vMerge w:val="restart"/>
            <w:tcBorders>
              <w:top w:val="nil"/>
              <w:left w:val="single" w:sz="12" w:space="0" w:color="000000"/>
              <w:bottom w:val="single" w:sz="4" w:space="0" w:color="000000"/>
              <w:right w:val="nil"/>
            </w:tcBorders>
            <w:shd w:val="clear" w:color="auto" w:fill="FDE9D9"/>
          </w:tcPr>
          <w:p w14:paraId="796952AC"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CPT</w:t>
            </w:r>
          </w:p>
          <w:p w14:paraId="58959C99"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vertAlign w:val="superscript"/>
                <w:lang w:eastAsia="en-GB"/>
              </w:rPr>
              <w:lastRenderedPageBreak/>
              <w:t>0</w:t>
            </w:r>
            <w:r w:rsidRPr="009968E0">
              <w:rPr>
                <w:rFonts w:ascii="Calibri" w:eastAsia="Times New Roman" w:hAnsi="Calibri" w:cs="Calibri"/>
                <w:i/>
                <w:iCs/>
                <w:color w:val="000000"/>
                <w:sz w:val="22"/>
                <w:szCs w:val="22"/>
                <w:lang w:eastAsia="en-GB"/>
              </w:rPr>
              <w:t>C</w:t>
            </w:r>
          </w:p>
        </w:tc>
        <w:tc>
          <w:tcPr>
            <w:tcW w:w="2789" w:type="dxa"/>
            <w:gridSpan w:val="2"/>
            <w:tcBorders>
              <w:top w:val="nil"/>
              <w:left w:val="nil"/>
              <w:bottom w:val="single" w:sz="4" w:space="0" w:color="000000"/>
              <w:right w:val="single" w:sz="12" w:space="0" w:color="000000"/>
            </w:tcBorders>
            <w:shd w:val="clear" w:color="auto" w:fill="auto"/>
          </w:tcPr>
          <w:p w14:paraId="7EA58D31"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lastRenderedPageBreak/>
              <w:t>Mean</w:t>
            </w:r>
          </w:p>
        </w:tc>
        <w:tc>
          <w:tcPr>
            <w:tcW w:w="1126" w:type="dxa"/>
            <w:tcBorders>
              <w:top w:val="nil"/>
              <w:left w:val="nil"/>
              <w:bottom w:val="single" w:sz="4" w:space="0" w:color="000000"/>
              <w:right w:val="single" w:sz="4" w:space="0" w:color="000000"/>
            </w:tcBorders>
            <w:shd w:val="clear" w:color="auto" w:fill="auto"/>
            <w:vAlign w:val="center"/>
          </w:tcPr>
          <w:p w14:paraId="30269B6B"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5.58</w:t>
            </w:r>
          </w:p>
        </w:tc>
        <w:tc>
          <w:tcPr>
            <w:tcW w:w="1157" w:type="dxa"/>
            <w:tcBorders>
              <w:top w:val="nil"/>
              <w:left w:val="nil"/>
              <w:bottom w:val="single" w:sz="4" w:space="0" w:color="000000"/>
              <w:right w:val="single" w:sz="4" w:space="0" w:color="000000"/>
            </w:tcBorders>
            <w:shd w:val="clear" w:color="auto" w:fill="auto"/>
            <w:vAlign w:val="center"/>
          </w:tcPr>
          <w:p w14:paraId="54253335"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3.56</w:t>
            </w:r>
          </w:p>
        </w:tc>
        <w:tc>
          <w:tcPr>
            <w:tcW w:w="1126" w:type="dxa"/>
            <w:tcBorders>
              <w:top w:val="nil"/>
              <w:left w:val="nil"/>
              <w:bottom w:val="single" w:sz="4" w:space="0" w:color="000000"/>
              <w:right w:val="single" w:sz="4" w:space="0" w:color="000000"/>
            </w:tcBorders>
            <w:shd w:val="clear" w:color="auto" w:fill="auto"/>
            <w:vAlign w:val="center"/>
          </w:tcPr>
          <w:p w14:paraId="322A6234"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12.06</w:t>
            </w:r>
          </w:p>
        </w:tc>
        <w:tc>
          <w:tcPr>
            <w:tcW w:w="1187" w:type="dxa"/>
            <w:tcBorders>
              <w:top w:val="nil"/>
              <w:left w:val="nil"/>
              <w:bottom w:val="single" w:sz="4" w:space="0" w:color="000000"/>
              <w:right w:val="single" w:sz="12" w:space="0" w:color="000000"/>
            </w:tcBorders>
            <w:shd w:val="clear" w:color="auto" w:fill="auto"/>
            <w:vAlign w:val="center"/>
          </w:tcPr>
          <w:p w14:paraId="1F063896"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11.62</w:t>
            </w:r>
          </w:p>
        </w:tc>
      </w:tr>
      <w:tr w:rsidR="009968E0" w:rsidRPr="009968E0" w14:paraId="7F1804CF" w14:textId="77777777" w:rsidTr="009968E0">
        <w:trPr>
          <w:trHeight w:val="360"/>
        </w:trPr>
        <w:tc>
          <w:tcPr>
            <w:tcW w:w="1679" w:type="dxa"/>
            <w:vMerge/>
            <w:tcBorders>
              <w:top w:val="nil"/>
              <w:left w:val="single" w:sz="12" w:space="0" w:color="000000"/>
              <w:bottom w:val="single" w:sz="4" w:space="0" w:color="000000"/>
              <w:right w:val="nil"/>
            </w:tcBorders>
            <w:shd w:val="clear" w:color="auto" w:fill="FDE9D9"/>
          </w:tcPr>
          <w:p w14:paraId="7002F1A9"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color w:val="000000"/>
                <w:sz w:val="22"/>
                <w:szCs w:val="22"/>
                <w:lang w:eastAsia="en-GB"/>
              </w:rPr>
            </w:pPr>
          </w:p>
        </w:tc>
        <w:tc>
          <w:tcPr>
            <w:tcW w:w="1709" w:type="dxa"/>
            <w:vMerge w:val="restart"/>
            <w:tcBorders>
              <w:top w:val="nil"/>
              <w:left w:val="nil"/>
              <w:bottom w:val="single" w:sz="4" w:space="0" w:color="000000"/>
              <w:right w:val="nil"/>
            </w:tcBorders>
            <w:shd w:val="clear" w:color="auto" w:fill="auto"/>
          </w:tcPr>
          <w:p w14:paraId="3BFDDCA0"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 for Mean</w:t>
            </w:r>
          </w:p>
        </w:tc>
        <w:tc>
          <w:tcPr>
            <w:tcW w:w="1080" w:type="dxa"/>
            <w:tcBorders>
              <w:top w:val="nil"/>
              <w:left w:val="nil"/>
              <w:bottom w:val="nil"/>
              <w:right w:val="single" w:sz="12" w:space="0" w:color="000000"/>
            </w:tcBorders>
            <w:shd w:val="clear" w:color="auto" w:fill="auto"/>
          </w:tcPr>
          <w:p w14:paraId="1505C643"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1126" w:type="dxa"/>
            <w:tcBorders>
              <w:top w:val="nil"/>
              <w:left w:val="nil"/>
              <w:bottom w:val="nil"/>
              <w:right w:val="single" w:sz="4" w:space="0" w:color="000000"/>
            </w:tcBorders>
            <w:shd w:val="clear" w:color="auto" w:fill="auto"/>
            <w:vAlign w:val="center"/>
          </w:tcPr>
          <w:p w14:paraId="1993AD8B"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1.23</w:t>
            </w:r>
          </w:p>
        </w:tc>
        <w:tc>
          <w:tcPr>
            <w:tcW w:w="1157" w:type="dxa"/>
            <w:tcBorders>
              <w:top w:val="nil"/>
              <w:left w:val="nil"/>
              <w:bottom w:val="nil"/>
              <w:right w:val="single" w:sz="4" w:space="0" w:color="000000"/>
            </w:tcBorders>
            <w:shd w:val="clear" w:color="auto" w:fill="auto"/>
            <w:vAlign w:val="center"/>
          </w:tcPr>
          <w:p w14:paraId="51755F9F"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.58</w:t>
            </w:r>
          </w:p>
        </w:tc>
        <w:tc>
          <w:tcPr>
            <w:tcW w:w="1126" w:type="dxa"/>
            <w:tcBorders>
              <w:top w:val="nil"/>
              <w:left w:val="nil"/>
              <w:bottom w:val="nil"/>
              <w:right w:val="single" w:sz="4" w:space="0" w:color="000000"/>
            </w:tcBorders>
            <w:shd w:val="clear" w:color="auto" w:fill="auto"/>
            <w:vAlign w:val="center"/>
          </w:tcPr>
          <w:p w14:paraId="1EE24476"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5.74</w:t>
            </w:r>
          </w:p>
        </w:tc>
        <w:tc>
          <w:tcPr>
            <w:tcW w:w="1187" w:type="dxa"/>
            <w:tcBorders>
              <w:top w:val="nil"/>
              <w:left w:val="nil"/>
              <w:bottom w:val="nil"/>
              <w:right w:val="single" w:sz="12" w:space="0" w:color="000000"/>
            </w:tcBorders>
            <w:shd w:val="clear" w:color="auto" w:fill="auto"/>
            <w:vAlign w:val="center"/>
          </w:tcPr>
          <w:p w14:paraId="69691358"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7.18</w:t>
            </w:r>
          </w:p>
        </w:tc>
      </w:tr>
      <w:tr w:rsidR="009968E0" w:rsidRPr="009968E0" w14:paraId="3C374AC8" w14:textId="77777777" w:rsidTr="009968E0">
        <w:trPr>
          <w:trHeight w:val="360"/>
        </w:trPr>
        <w:tc>
          <w:tcPr>
            <w:tcW w:w="1679" w:type="dxa"/>
            <w:vMerge/>
            <w:tcBorders>
              <w:top w:val="nil"/>
              <w:left w:val="single" w:sz="12" w:space="0" w:color="000000"/>
              <w:bottom w:val="single" w:sz="4" w:space="0" w:color="000000"/>
              <w:right w:val="nil"/>
            </w:tcBorders>
            <w:shd w:val="clear" w:color="auto" w:fill="FDE9D9"/>
          </w:tcPr>
          <w:p w14:paraId="577D8457"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color w:val="000000"/>
                <w:sz w:val="22"/>
                <w:szCs w:val="22"/>
                <w:lang w:eastAsia="en-GB"/>
              </w:rPr>
            </w:pPr>
          </w:p>
        </w:tc>
        <w:tc>
          <w:tcPr>
            <w:tcW w:w="1709" w:type="dxa"/>
            <w:vMerge/>
            <w:tcBorders>
              <w:top w:val="nil"/>
              <w:left w:val="nil"/>
              <w:bottom w:val="single" w:sz="4" w:space="0" w:color="000000"/>
              <w:right w:val="nil"/>
            </w:tcBorders>
            <w:shd w:val="clear" w:color="auto" w:fill="auto"/>
          </w:tcPr>
          <w:p w14:paraId="054AE349"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080" w:type="dxa"/>
            <w:tcBorders>
              <w:top w:val="nil"/>
              <w:left w:val="nil"/>
              <w:bottom w:val="single" w:sz="4" w:space="0" w:color="000000"/>
              <w:right w:val="single" w:sz="12" w:space="0" w:color="000000"/>
            </w:tcBorders>
            <w:shd w:val="clear" w:color="auto" w:fill="auto"/>
          </w:tcPr>
          <w:p w14:paraId="24FE2DA8"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1126" w:type="dxa"/>
            <w:tcBorders>
              <w:top w:val="nil"/>
              <w:left w:val="nil"/>
              <w:bottom w:val="single" w:sz="4" w:space="0" w:color="000000"/>
              <w:right w:val="single" w:sz="4" w:space="0" w:color="000000"/>
            </w:tcBorders>
            <w:shd w:val="clear" w:color="auto" w:fill="auto"/>
            <w:vAlign w:val="center"/>
          </w:tcPr>
          <w:p w14:paraId="462A3A1B"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9.92</w:t>
            </w:r>
          </w:p>
        </w:tc>
        <w:tc>
          <w:tcPr>
            <w:tcW w:w="1157" w:type="dxa"/>
            <w:tcBorders>
              <w:top w:val="nil"/>
              <w:left w:val="nil"/>
              <w:bottom w:val="single" w:sz="4" w:space="0" w:color="000000"/>
              <w:right w:val="single" w:sz="4" w:space="0" w:color="000000"/>
            </w:tcBorders>
            <w:shd w:val="clear" w:color="auto" w:fill="auto"/>
            <w:vAlign w:val="center"/>
          </w:tcPr>
          <w:p w14:paraId="5D0400DD"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6.53</w:t>
            </w:r>
          </w:p>
        </w:tc>
        <w:tc>
          <w:tcPr>
            <w:tcW w:w="1126" w:type="dxa"/>
            <w:tcBorders>
              <w:top w:val="nil"/>
              <w:left w:val="nil"/>
              <w:bottom w:val="single" w:sz="4" w:space="0" w:color="000000"/>
              <w:right w:val="single" w:sz="4" w:space="0" w:color="000000"/>
            </w:tcBorders>
            <w:shd w:val="clear" w:color="auto" w:fill="auto"/>
            <w:vAlign w:val="center"/>
          </w:tcPr>
          <w:p w14:paraId="7DA1FD11"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18.38</w:t>
            </w:r>
          </w:p>
        </w:tc>
        <w:tc>
          <w:tcPr>
            <w:tcW w:w="1187" w:type="dxa"/>
            <w:tcBorders>
              <w:top w:val="nil"/>
              <w:left w:val="nil"/>
              <w:bottom w:val="single" w:sz="4" w:space="0" w:color="000000"/>
              <w:right w:val="single" w:sz="12" w:space="0" w:color="000000"/>
            </w:tcBorders>
            <w:shd w:val="clear" w:color="auto" w:fill="auto"/>
            <w:vAlign w:val="center"/>
          </w:tcPr>
          <w:p w14:paraId="4A766CC3"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16.07</w:t>
            </w:r>
          </w:p>
        </w:tc>
      </w:tr>
      <w:tr w:rsidR="009968E0" w:rsidRPr="009968E0" w14:paraId="25DC472E" w14:textId="77777777" w:rsidTr="009968E0">
        <w:trPr>
          <w:trHeight w:val="360"/>
        </w:trPr>
        <w:tc>
          <w:tcPr>
            <w:tcW w:w="9064" w:type="dxa"/>
            <w:gridSpan w:val="7"/>
            <w:tcBorders>
              <w:top w:val="single" w:sz="4" w:space="0" w:color="000000"/>
              <w:left w:val="single" w:sz="12" w:space="0" w:color="000000"/>
              <w:bottom w:val="single" w:sz="4" w:space="0" w:color="000000"/>
              <w:right w:val="single" w:sz="12" w:space="0" w:color="000000"/>
            </w:tcBorders>
            <w:shd w:val="clear" w:color="auto" w:fill="auto"/>
          </w:tcPr>
          <w:p w14:paraId="303CC19C" w14:textId="77777777" w:rsidR="009968E0" w:rsidRPr="009968E0" w:rsidRDefault="009968E0" w:rsidP="009968E0">
            <w:pPr>
              <w:jc w:val="center"/>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p=.006</w:t>
            </w:r>
          </w:p>
        </w:tc>
      </w:tr>
      <w:tr w:rsidR="009968E0" w:rsidRPr="009968E0" w14:paraId="31E3A609" w14:textId="77777777" w:rsidTr="009968E0">
        <w:trPr>
          <w:trHeight w:val="360"/>
        </w:trPr>
        <w:tc>
          <w:tcPr>
            <w:tcW w:w="1679" w:type="dxa"/>
            <w:vMerge w:val="restart"/>
            <w:tcBorders>
              <w:top w:val="nil"/>
              <w:left w:val="single" w:sz="12" w:space="0" w:color="000000"/>
              <w:bottom w:val="single" w:sz="4" w:space="0" w:color="000000"/>
              <w:right w:val="nil"/>
            </w:tcBorders>
            <w:shd w:val="clear" w:color="auto" w:fill="FDE9D9"/>
          </w:tcPr>
          <w:p w14:paraId="0EA36A75"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HPT</w:t>
            </w:r>
          </w:p>
          <w:p w14:paraId="2E37CD91"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vertAlign w:val="superscript"/>
                <w:lang w:eastAsia="en-GB"/>
              </w:rPr>
              <w:t>0</w:t>
            </w:r>
            <w:r w:rsidRPr="009968E0">
              <w:rPr>
                <w:rFonts w:ascii="Calibri" w:eastAsia="Times New Roman" w:hAnsi="Calibri" w:cs="Calibri"/>
                <w:i/>
                <w:iCs/>
                <w:color w:val="000000"/>
                <w:sz w:val="22"/>
                <w:szCs w:val="22"/>
                <w:lang w:eastAsia="en-GB"/>
              </w:rPr>
              <w:t>C</w:t>
            </w:r>
          </w:p>
        </w:tc>
        <w:tc>
          <w:tcPr>
            <w:tcW w:w="2789" w:type="dxa"/>
            <w:gridSpan w:val="2"/>
            <w:tcBorders>
              <w:top w:val="nil"/>
              <w:left w:val="nil"/>
              <w:bottom w:val="single" w:sz="4" w:space="0" w:color="000000"/>
              <w:right w:val="single" w:sz="12" w:space="0" w:color="000000"/>
            </w:tcBorders>
            <w:shd w:val="clear" w:color="auto" w:fill="auto"/>
          </w:tcPr>
          <w:p w14:paraId="2DD5FCF5"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1126" w:type="dxa"/>
            <w:tcBorders>
              <w:top w:val="nil"/>
              <w:left w:val="nil"/>
              <w:bottom w:val="single" w:sz="4" w:space="0" w:color="000000"/>
              <w:right w:val="single" w:sz="4" w:space="0" w:color="000000"/>
            </w:tcBorders>
            <w:shd w:val="clear" w:color="auto" w:fill="auto"/>
            <w:vAlign w:val="center"/>
          </w:tcPr>
          <w:p w14:paraId="05560F36"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47.87</w:t>
            </w:r>
          </w:p>
        </w:tc>
        <w:tc>
          <w:tcPr>
            <w:tcW w:w="1157" w:type="dxa"/>
            <w:tcBorders>
              <w:top w:val="nil"/>
              <w:left w:val="nil"/>
              <w:bottom w:val="single" w:sz="4" w:space="0" w:color="000000"/>
              <w:right w:val="single" w:sz="4" w:space="0" w:color="000000"/>
            </w:tcBorders>
            <w:shd w:val="clear" w:color="auto" w:fill="auto"/>
            <w:vAlign w:val="center"/>
          </w:tcPr>
          <w:p w14:paraId="519233AD"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48.23</w:t>
            </w:r>
          </w:p>
        </w:tc>
        <w:tc>
          <w:tcPr>
            <w:tcW w:w="1126" w:type="dxa"/>
            <w:tcBorders>
              <w:top w:val="nil"/>
              <w:left w:val="nil"/>
              <w:bottom w:val="single" w:sz="4" w:space="0" w:color="000000"/>
              <w:right w:val="single" w:sz="4" w:space="0" w:color="000000"/>
            </w:tcBorders>
            <w:shd w:val="clear" w:color="auto" w:fill="auto"/>
            <w:vAlign w:val="center"/>
          </w:tcPr>
          <w:p w14:paraId="70D5625D"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44.25</w:t>
            </w:r>
          </w:p>
        </w:tc>
        <w:tc>
          <w:tcPr>
            <w:tcW w:w="1187" w:type="dxa"/>
            <w:tcBorders>
              <w:top w:val="nil"/>
              <w:left w:val="nil"/>
              <w:bottom w:val="single" w:sz="4" w:space="0" w:color="000000"/>
              <w:right w:val="single" w:sz="12" w:space="0" w:color="000000"/>
            </w:tcBorders>
            <w:shd w:val="clear" w:color="auto" w:fill="auto"/>
            <w:vAlign w:val="center"/>
          </w:tcPr>
          <w:p w14:paraId="452B86EA"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46.23</w:t>
            </w:r>
          </w:p>
        </w:tc>
      </w:tr>
      <w:tr w:rsidR="009968E0" w:rsidRPr="009968E0" w14:paraId="0176D931" w14:textId="77777777" w:rsidTr="009968E0">
        <w:trPr>
          <w:trHeight w:val="360"/>
        </w:trPr>
        <w:tc>
          <w:tcPr>
            <w:tcW w:w="1679" w:type="dxa"/>
            <w:vMerge/>
            <w:tcBorders>
              <w:top w:val="nil"/>
              <w:left w:val="single" w:sz="12" w:space="0" w:color="000000"/>
              <w:bottom w:val="single" w:sz="4" w:space="0" w:color="000000"/>
              <w:right w:val="nil"/>
            </w:tcBorders>
            <w:shd w:val="clear" w:color="auto" w:fill="FDE9D9"/>
          </w:tcPr>
          <w:p w14:paraId="056577BF"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709" w:type="dxa"/>
            <w:vMerge w:val="restart"/>
            <w:tcBorders>
              <w:top w:val="nil"/>
              <w:left w:val="nil"/>
              <w:bottom w:val="single" w:sz="4" w:space="0" w:color="000000"/>
              <w:right w:val="nil"/>
            </w:tcBorders>
            <w:shd w:val="clear" w:color="auto" w:fill="auto"/>
          </w:tcPr>
          <w:p w14:paraId="20AF9103"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 for Mean</w:t>
            </w:r>
          </w:p>
        </w:tc>
        <w:tc>
          <w:tcPr>
            <w:tcW w:w="1080" w:type="dxa"/>
            <w:tcBorders>
              <w:top w:val="nil"/>
              <w:left w:val="nil"/>
              <w:bottom w:val="nil"/>
              <w:right w:val="single" w:sz="12" w:space="0" w:color="000000"/>
            </w:tcBorders>
            <w:shd w:val="clear" w:color="auto" w:fill="auto"/>
          </w:tcPr>
          <w:p w14:paraId="0A5AE387"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1126" w:type="dxa"/>
            <w:tcBorders>
              <w:top w:val="nil"/>
              <w:left w:val="nil"/>
              <w:bottom w:val="nil"/>
              <w:right w:val="single" w:sz="4" w:space="0" w:color="000000"/>
            </w:tcBorders>
            <w:shd w:val="clear" w:color="auto" w:fill="auto"/>
            <w:vAlign w:val="center"/>
          </w:tcPr>
          <w:p w14:paraId="5BD777CD"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46.06</w:t>
            </w:r>
          </w:p>
        </w:tc>
        <w:tc>
          <w:tcPr>
            <w:tcW w:w="1157" w:type="dxa"/>
            <w:tcBorders>
              <w:top w:val="nil"/>
              <w:left w:val="nil"/>
              <w:bottom w:val="nil"/>
              <w:right w:val="single" w:sz="4" w:space="0" w:color="000000"/>
            </w:tcBorders>
            <w:shd w:val="clear" w:color="auto" w:fill="auto"/>
            <w:vAlign w:val="center"/>
          </w:tcPr>
          <w:p w14:paraId="741BD16E"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47.25</w:t>
            </w:r>
          </w:p>
        </w:tc>
        <w:tc>
          <w:tcPr>
            <w:tcW w:w="1126" w:type="dxa"/>
            <w:tcBorders>
              <w:top w:val="nil"/>
              <w:left w:val="nil"/>
              <w:bottom w:val="nil"/>
              <w:right w:val="single" w:sz="4" w:space="0" w:color="000000"/>
            </w:tcBorders>
            <w:shd w:val="clear" w:color="auto" w:fill="auto"/>
            <w:vAlign w:val="center"/>
          </w:tcPr>
          <w:p w14:paraId="6A3E609F"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42.13</w:t>
            </w:r>
          </w:p>
        </w:tc>
        <w:tc>
          <w:tcPr>
            <w:tcW w:w="1187" w:type="dxa"/>
            <w:tcBorders>
              <w:top w:val="nil"/>
              <w:left w:val="nil"/>
              <w:bottom w:val="nil"/>
              <w:right w:val="single" w:sz="12" w:space="0" w:color="000000"/>
            </w:tcBorders>
            <w:shd w:val="clear" w:color="auto" w:fill="auto"/>
            <w:vAlign w:val="center"/>
          </w:tcPr>
          <w:p w14:paraId="760D90BF"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44.73</w:t>
            </w:r>
          </w:p>
        </w:tc>
      </w:tr>
      <w:tr w:rsidR="009968E0" w:rsidRPr="009968E0" w14:paraId="1C67C1CE" w14:textId="77777777" w:rsidTr="009968E0">
        <w:trPr>
          <w:trHeight w:val="360"/>
        </w:trPr>
        <w:tc>
          <w:tcPr>
            <w:tcW w:w="1679" w:type="dxa"/>
            <w:vMerge/>
            <w:tcBorders>
              <w:top w:val="nil"/>
              <w:left w:val="single" w:sz="12" w:space="0" w:color="000000"/>
              <w:bottom w:val="single" w:sz="4" w:space="0" w:color="000000"/>
              <w:right w:val="nil"/>
            </w:tcBorders>
            <w:shd w:val="clear" w:color="auto" w:fill="FDE9D9"/>
          </w:tcPr>
          <w:p w14:paraId="4776CC32"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709" w:type="dxa"/>
            <w:vMerge/>
            <w:tcBorders>
              <w:top w:val="nil"/>
              <w:left w:val="nil"/>
              <w:bottom w:val="single" w:sz="4" w:space="0" w:color="000000"/>
              <w:right w:val="nil"/>
            </w:tcBorders>
            <w:shd w:val="clear" w:color="auto" w:fill="auto"/>
          </w:tcPr>
          <w:p w14:paraId="33847820"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080" w:type="dxa"/>
            <w:tcBorders>
              <w:top w:val="nil"/>
              <w:left w:val="nil"/>
              <w:bottom w:val="single" w:sz="4" w:space="0" w:color="000000"/>
              <w:right w:val="single" w:sz="12" w:space="0" w:color="000000"/>
            </w:tcBorders>
            <w:shd w:val="clear" w:color="auto" w:fill="auto"/>
          </w:tcPr>
          <w:p w14:paraId="7C014062"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1126" w:type="dxa"/>
            <w:tcBorders>
              <w:top w:val="nil"/>
              <w:left w:val="nil"/>
              <w:bottom w:val="single" w:sz="4" w:space="0" w:color="000000"/>
              <w:right w:val="single" w:sz="4" w:space="0" w:color="000000"/>
            </w:tcBorders>
            <w:shd w:val="clear" w:color="auto" w:fill="auto"/>
            <w:vAlign w:val="center"/>
          </w:tcPr>
          <w:p w14:paraId="570FEADC"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49.67</w:t>
            </w:r>
          </w:p>
        </w:tc>
        <w:tc>
          <w:tcPr>
            <w:tcW w:w="1157" w:type="dxa"/>
            <w:tcBorders>
              <w:top w:val="nil"/>
              <w:left w:val="nil"/>
              <w:bottom w:val="single" w:sz="4" w:space="0" w:color="000000"/>
              <w:right w:val="single" w:sz="4" w:space="0" w:color="000000"/>
            </w:tcBorders>
            <w:shd w:val="clear" w:color="auto" w:fill="auto"/>
            <w:vAlign w:val="center"/>
          </w:tcPr>
          <w:p w14:paraId="18B1CC1F"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49.20</w:t>
            </w:r>
          </w:p>
        </w:tc>
        <w:tc>
          <w:tcPr>
            <w:tcW w:w="1126" w:type="dxa"/>
            <w:tcBorders>
              <w:top w:val="nil"/>
              <w:left w:val="nil"/>
              <w:bottom w:val="single" w:sz="4" w:space="0" w:color="000000"/>
              <w:right w:val="single" w:sz="4" w:space="0" w:color="000000"/>
            </w:tcBorders>
            <w:shd w:val="clear" w:color="auto" w:fill="auto"/>
            <w:vAlign w:val="center"/>
          </w:tcPr>
          <w:p w14:paraId="77F07EB3"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46.36</w:t>
            </w:r>
          </w:p>
        </w:tc>
        <w:tc>
          <w:tcPr>
            <w:tcW w:w="1187" w:type="dxa"/>
            <w:tcBorders>
              <w:top w:val="nil"/>
              <w:left w:val="nil"/>
              <w:bottom w:val="single" w:sz="4" w:space="0" w:color="000000"/>
              <w:right w:val="single" w:sz="12" w:space="0" w:color="000000"/>
            </w:tcBorders>
            <w:shd w:val="clear" w:color="auto" w:fill="auto"/>
            <w:vAlign w:val="center"/>
          </w:tcPr>
          <w:p w14:paraId="60399721"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47.74</w:t>
            </w:r>
          </w:p>
        </w:tc>
      </w:tr>
      <w:tr w:rsidR="009968E0" w:rsidRPr="009968E0" w14:paraId="5891F5F7" w14:textId="77777777" w:rsidTr="009968E0">
        <w:trPr>
          <w:trHeight w:val="360"/>
        </w:trPr>
        <w:tc>
          <w:tcPr>
            <w:tcW w:w="9064" w:type="dxa"/>
            <w:gridSpan w:val="7"/>
            <w:tcBorders>
              <w:top w:val="single" w:sz="4" w:space="0" w:color="000000"/>
              <w:left w:val="single" w:sz="12" w:space="0" w:color="000000"/>
              <w:bottom w:val="single" w:sz="4" w:space="0" w:color="000000"/>
              <w:right w:val="single" w:sz="12" w:space="0" w:color="000000"/>
            </w:tcBorders>
            <w:shd w:val="clear" w:color="auto" w:fill="auto"/>
          </w:tcPr>
          <w:p w14:paraId="5382B621" w14:textId="77777777" w:rsidR="009968E0" w:rsidRPr="009968E0" w:rsidRDefault="009968E0" w:rsidP="009968E0">
            <w:pPr>
              <w:jc w:val="center"/>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p=.002</w:t>
            </w:r>
          </w:p>
        </w:tc>
      </w:tr>
      <w:tr w:rsidR="009968E0" w:rsidRPr="009968E0" w14:paraId="6F9E3846" w14:textId="77777777" w:rsidTr="009968E0">
        <w:trPr>
          <w:trHeight w:val="360"/>
        </w:trPr>
        <w:tc>
          <w:tcPr>
            <w:tcW w:w="1679" w:type="dxa"/>
            <w:vMerge w:val="restart"/>
            <w:tcBorders>
              <w:top w:val="nil"/>
              <w:left w:val="single" w:sz="12" w:space="0" w:color="000000"/>
              <w:bottom w:val="single" w:sz="4" w:space="0" w:color="000000"/>
              <w:right w:val="nil"/>
            </w:tcBorders>
            <w:shd w:val="clear" w:color="auto" w:fill="FDE9D9"/>
          </w:tcPr>
          <w:p w14:paraId="7295E6BC"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PPT</w:t>
            </w:r>
          </w:p>
          <w:p w14:paraId="7BC1AA9C"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kPa</w:t>
            </w:r>
          </w:p>
        </w:tc>
        <w:tc>
          <w:tcPr>
            <w:tcW w:w="2789" w:type="dxa"/>
            <w:gridSpan w:val="2"/>
            <w:tcBorders>
              <w:top w:val="nil"/>
              <w:left w:val="nil"/>
              <w:bottom w:val="single" w:sz="4" w:space="0" w:color="000000"/>
              <w:right w:val="single" w:sz="12" w:space="0" w:color="000000"/>
            </w:tcBorders>
            <w:shd w:val="clear" w:color="auto" w:fill="auto"/>
          </w:tcPr>
          <w:p w14:paraId="4FBB2DAA"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1126" w:type="dxa"/>
            <w:tcBorders>
              <w:top w:val="nil"/>
              <w:left w:val="nil"/>
              <w:bottom w:val="single" w:sz="4" w:space="0" w:color="000000"/>
              <w:right w:val="single" w:sz="4" w:space="0" w:color="000000"/>
            </w:tcBorders>
            <w:shd w:val="clear" w:color="auto" w:fill="auto"/>
            <w:vAlign w:val="center"/>
          </w:tcPr>
          <w:p w14:paraId="5AD3AA7F"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303.77</w:t>
            </w:r>
          </w:p>
        </w:tc>
        <w:tc>
          <w:tcPr>
            <w:tcW w:w="1157" w:type="dxa"/>
            <w:tcBorders>
              <w:top w:val="nil"/>
              <w:left w:val="nil"/>
              <w:bottom w:val="single" w:sz="4" w:space="0" w:color="000000"/>
              <w:right w:val="single" w:sz="4" w:space="0" w:color="000000"/>
            </w:tcBorders>
            <w:shd w:val="clear" w:color="auto" w:fill="auto"/>
            <w:vAlign w:val="center"/>
          </w:tcPr>
          <w:p w14:paraId="0540BEE1"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308.53</w:t>
            </w:r>
          </w:p>
        </w:tc>
        <w:tc>
          <w:tcPr>
            <w:tcW w:w="1126" w:type="dxa"/>
            <w:tcBorders>
              <w:top w:val="nil"/>
              <w:left w:val="nil"/>
              <w:bottom w:val="single" w:sz="4" w:space="0" w:color="000000"/>
              <w:right w:val="single" w:sz="4" w:space="0" w:color="000000"/>
            </w:tcBorders>
            <w:shd w:val="clear" w:color="auto" w:fill="auto"/>
            <w:vAlign w:val="center"/>
          </w:tcPr>
          <w:p w14:paraId="1FE77111"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293.56</w:t>
            </w:r>
          </w:p>
        </w:tc>
        <w:tc>
          <w:tcPr>
            <w:tcW w:w="1187" w:type="dxa"/>
            <w:tcBorders>
              <w:top w:val="nil"/>
              <w:left w:val="nil"/>
              <w:bottom w:val="single" w:sz="4" w:space="0" w:color="000000"/>
              <w:right w:val="single" w:sz="12" w:space="0" w:color="000000"/>
            </w:tcBorders>
            <w:shd w:val="clear" w:color="auto" w:fill="auto"/>
            <w:vAlign w:val="center"/>
          </w:tcPr>
          <w:p w14:paraId="0CE95CEA"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321.49</w:t>
            </w:r>
          </w:p>
        </w:tc>
      </w:tr>
      <w:tr w:rsidR="009968E0" w:rsidRPr="009968E0" w14:paraId="5472BDB1" w14:textId="77777777" w:rsidTr="009968E0">
        <w:trPr>
          <w:trHeight w:val="360"/>
        </w:trPr>
        <w:tc>
          <w:tcPr>
            <w:tcW w:w="1679" w:type="dxa"/>
            <w:vMerge/>
            <w:tcBorders>
              <w:top w:val="nil"/>
              <w:left w:val="single" w:sz="12" w:space="0" w:color="000000"/>
              <w:bottom w:val="single" w:sz="4" w:space="0" w:color="000000"/>
              <w:right w:val="nil"/>
            </w:tcBorders>
            <w:shd w:val="clear" w:color="auto" w:fill="FDE9D9"/>
          </w:tcPr>
          <w:p w14:paraId="23E1C945"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709" w:type="dxa"/>
            <w:vMerge w:val="restart"/>
            <w:tcBorders>
              <w:top w:val="nil"/>
              <w:left w:val="nil"/>
              <w:bottom w:val="single" w:sz="4" w:space="0" w:color="000000"/>
              <w:right w:val="nil"/>
            </w:tcBorders>
            <w:shd w:val="clear" w:color="auto" w:fill="auto"/>
          </w:tcPr>
          <w:p w14:paraId="27F32F04"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 for Mean</w:t>
            </w:r>
          </w:p>
        </w:tc>
        <w:tc>
          <w:tcPr>
            <w:tcW w:w="1080" w:type="dxa"/>
            <w:tcBorders>
              <w:top w:val="nil"/>
              <w:left w:val="nil"/>
              <w:bottom w:val="nil"/>
              <w:right w:val="single" w:sz="12" w:space="0" w:color="000000"/>
            </w:tcBorders>
            <w:shd w:val="clear" w:color="auto" w:fill="auto"/>
          </w:tcPr>
          <w:p w14:paraId="375F62DA"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1126" w:type="dxa"/>
            <w:tcBorders>
              <w:top w:val="nil"/>
              <w:left w:val="nil"/>
              <w:bottom w:val="nil"/>
              <w:right w:val="single" w:sz="4" w:space="0" w:color="000000"/>
            </w:tcBorders>
            <w:shd w:val="clear" w:color="auto" w:fill="auto"/>
            <w:vAlign w:val="center"/>
          </w:tcPr>
          <w:p w14:paraId="61601A16"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231.97</w:t>
            </w:r>
          </w:p>
        </w:tc>
        <w:tc>
          <w:tcPr>
            <w:tcW w:w="1157" w:type="dxa"/>
            <w:tcBorders>
              <w:top w:val="nil"/>
              <w:left w:val="nil"/>
              <w:bottom w:val="nil"/>
              <w:right w:val="single" w:sz="4" w:space="0" w:color="000000"/>
            </w:tcBorders>
            <w:shd w:val="clear" w:color="auto" w:fill="auto"/>
            <w:vAlign w:val="center"/>
          </w:tcPr>
          <w:p w14:paraId="3ED5B67A"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256.11</w:t>
            </w:r>
          </w:p>
        </w:tc>
        <w:tc>
          <w:tcPr>
            <w:tcW w:w="1126" w:type="dxa"/>
            <w:tcBorders>
              <w:top w:val="nil"/>
              <w:left w:val="nil"/>
              <w:bottom w:val="nil"/>
              <w:right w:val="single" w:sz="4" w:space="0" w:color="000000"/>
            </w:tcBorders>
            <w:shd w:val="clear" w:color="auto" w:fill="auto"/>
            <w:vAlign w:val="center"/>
          </w:tcPr>
          <w:p w14:paraId="27C64329"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255.79</w:t>
            </w:r>
          </w:p>
        </w:tc>
        <w:tc>
          <w:tcPr>
            <w:tcW w:w="1187" w:type="dxa"/>
            <w:tcBorders>
              <w:top w:val="nil"/>
              <w:left w:val="nil"/>
              <w:bottom w:val="nil"/>
              <w:right w:val="single" w:sz="12" w:space="0" w:color="000000"/>
            </w:tcBorders>
            <w:shd w:val="clear" w:color="auto" w:fill="auto"/>
            <w:vAlign w:val="center"/>
          </w:tcPr>
          <w:p w14:paraId="7C0B3164"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263.29</w:t>
            </w:r>
          </w:p>
        </w:tc>
      </w:tr>
      <w:tr w:rsidR="009968E0" w:rsidRPr="009968E0" w14:paraId="2E481BD3" w14:textId="77777777" w:rsidTr="009968E0">
        <w:trPr>
          <w:trHeight w:val="360"/>
        </w:trPr>
        <w:tc>
          <w:tcPr>
            <w:tcW w:w="1679" w:type="dxa"/>
            <w:vMerge/>
            <w:tcBorders>
              <w:top w:val="nil"/>
              <w:left w:val="single" w:sz="12" w:space="0" w:color="000000"/>
              <w:bottom w:val="single" w:sz="4" w:space="0" w:color="000000"/>
              <w:right w:val="nil"/>
            </w:tcBorders>
            <w:shd w:val="clear" w:color="auto" w:fill="FDE9D9"/>
          </w:tcPr>
          <w:p w14:paraId="50E40C96"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709" w:type="dxa"/>
            <w:vMerge/>
            <w:tcBorders>
              <w:top w:val="nil"/>
              <w:left w:val="nil"/>
              <w:bottom w:val="single" w:sz="4" w:space="0" w:color="000000"/>
              <w:right w:val="nil"/>
            </w:tcBorders>
            <w:shd w:val="clear" w:color="auto" w:fill="auto"/>
          </w:tcPr>
          <w:p w14:paraId="57C3B5CD"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080" w:type="dxa"/>
            <w:tcBorders>
              <w:top w:val="nil"/>
              <w:left w:val="nil"/>
              <w:bottom w:val="single" w:sz="4" w:space="0" w:color="000000"/>
              <w:right w:val="single" w:sz="12" w:space="0" w:color="000000"/>
            </w:tcBorders>
            <w:shd w:val="clear" w:color="auto" w:fill="auto"/>
          </w:tcPr>
          <w:p w14:paraId="0A22551D"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1126" w:type="dxa"/>
            <w:tcBorders>
              <w:top w:val="nil"/>
              <w:left w:val="nil"/>
              <w:bottom w:val="single" w:sz="4" w:space="0" w:color="000000"/>
              <w:right w:val="single" w:sz="4" w:space="0" w:color="000000"/>
            </w:tcBorders>
            <w:shd w:val="clear" w:color="auto" w:fill="auto"/>
            <w:vAlign w:val="center"/>
          </w:tcPr>
          <w:p w14:paraId="6227F2A1"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375.56</w:t>
            </w:r>
          </w:p>
        </w:tc>
        <w:tc>
          <w:tcPr>
            <w:tcW w:w="1157" w:type="dxa"/>
            <w:tcBorders>
              <w:top w:val="nil"/>
              <w:left w:val="nil"/>
              <w:bottom w:val="single" w:sz="4" w:space="0" w:color="000000"/>
              <w:right w:val="single" w:sz="4" w:space="0" w:color="000000"/>
            </w:tcBorders>
            <w:shd w:val="clear" w:color="auto" w:fill="auto"/>
            <w:vAlign w:val="center"/>
          </w:tcPr>
          <w:p w14:paraId="3193F410"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360.94</w:t>
            </w:r>
          </w:p>
        </w:tc>
        <w:tc>
          <w:tcPr>
            <w:tcW w:w="1126" w:type="dxa"/>
            <w:tcBorders>
              <w:top w:val="nil"/>
              <w:left w:val="nil"/>
              <w:bottom w:val="single" w:sz="4" w:space="0" w:color="000000"/>
              <w:right w:val="single" w:sz="4" w:space="0" w:color="000000"/>
            </w:tcBorders>
            <w:shd w:val="clear" w:color="auto" w:fill="auto"/>
            <w:vAlign w:val="center"/>
          </w:tcPr>
          <w:p w14:paraId="1406E108"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331.33</w:t>
            </w:r>
          </w:p>
        </w:tc>
        <w:tc>
          <w:tcPr>
            <w:tcW w:w="1187" w:type="dxa"/>
            <w:tcBorders>
              <w:top w:val="nil"/>
              <w:left w:val="nil"/>
              <w:bottom w:val="single" w:sz="4" w:space="0" w:color="000000"/>
              <w:right w:val="single" w:sz="12" w:space="0" w:color="000000"/>
            </w:tcBorders>
            <w:shd w:val="clear" w:color="auto" w:fill="auto"/>
            <w:vAlign w:val="center"/>
          </w:tcPr>
          <w:p w14:paraId="66F3B3DD"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379.69</w:t>
            </w:r>
          </w:p>
        </w:tc>
      </w:tr>
      <w:tr w:rsidR="009968E0" w:rsidRPr="009968E0" w14:paraId="47EEE91F" w14:textId="77777777" w:rsidTr="009968E0">
        <w:trPr>
          <w:trHeight w:val="360"/>
        </w:trPr>
        <w:tc>
          <w:tcPr>
            <w:tcW w:w="9064" w:type="dxa"/>
            <w:gridSpan w:val="7"/>
            <w:tcBorders>
              <w:top w:val="single" w:sz="4" w:space="0" w:color="000000"/>
              <w:left w:val="single" w:sz="12" w:space="0" w:color="000000"/>
              <w:bottom w:val="single" w:sz="4" w:space="0" w:color="000000"/>
              <w:right w:val="single" w:sz="12" w:space="0" w:color="000000"/>
            </w:tcBorders>
            <w:shd w:val="clear" w:color="auto" w:fill="auto"/>
          </w:tcPr>
          <w:p w14:paraId="1F602EC4" w14:textId="77777777" w:rsidR="009968E0" w:rsidRPr="009968E0" w:rsidRDefault="009968E0" w:rsidP="009968E0">
            <w:pPr>
              <w:jc w:val="center"/>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p=.931</w:t>
            </w:r>
          </w:p>
        </w:tc>
      </w:tr>
      <w:tr w:rsidR="009968E0" w:rsidRPr="009968E0" w14:paraId="30287851" w14:textId="77777777" w:rsidTr="009968E0">
        <w:trPr>
          <w:trHeight w:val="360"/>
        </w:trPr>
        <w:tc>
          <w:tcPr>
            <w:tcW w:w="1679" w:type="dxa"/>
            <w:vMerge w:val="restart"/>
            <w:tcBorders>
              <w:top w:val="nil"/>
              <w:left w:val="single" w:sz="12" w:space="0" w:color="000000"/>
              <w:bottom w:val="single" w:sz="4" w:space="0" w:color="000000"/>
              <w:right w:val="nil"/>
            </w:tcBorders>
            <w:shd w:val="clear" w:color="auto" w:fill="FDE9D9"/>
          </w:tcPr>
          <w:p w14:paraId="337234E3"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MPT</w:t>
            </w:r>
          </w:p>
          <w:p w14:paraId="3F63AE26" w14:textId="77777777" w:rsidR="009968E0" w:rsidRPr="009968E0" w:rsidRDefault="009968E0" w:rsidP="009968E0">
            <w:pPr>
              <w:rPr>
                <w:rFonts w:ascii="Calibri" w:eastAsia="Times New Roman" w:hAnsi="Calibri" w:cs="Calibri"/>
                <w:i/>
                <w:iCs/>
                <w:color w:val="000000"/>
                <w:sz w:val="22"/>
                <w:szCs w:val="22"/>
                <w:lang w:eastAsia="en-GB"/>
              </w:rPr>
            </w:pPr>
            <w:proofErr w:type="spellStart"/>
            <w:r w:rsidRPr="009968E0">
              <w:rPr>
                <w:rFonts w:ascii="Calibri" w:eastAsia="Times New Roman" w:hAnsi="Calibri" w:cs="Calibri"/>
                <w:i/>
                <w:iCs/>
                <w:color w:val="000000"/>
                <w:sz w:val="22"/>
                <w:szCs w:val="22"/>
                <w:lang w:eastAsia="en-GB"/>
              </w:rPr>
              <w:t>mN</w:t>
            </w:r>
            <w:proofErr w:type="spellEnd"/>
          </w:p>
        </w:tc>
        <w:tc>
          <w:tcPr>
            <w:tcW w:w="2789" w:type="dxa"/>
            <w:gridSpan w:val="2"/>
            <w:tcBorders>
              <w:top w:val="nil"/>
              <w:left w:val="nil"/>
              <w:bottom w:val="single" w:sz="4" w:space="0" w:color="000000"/>
              <w:right w:val="single" w:sz="12" w:space="0" w:color="000000"/>
            </w:tcBorders>
            <w:shd w:val="clear" w:color="auto" w:fill="auto"/>
          </w:tcPr>
          <w:p w14:paraId="6E1CBECB"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1126" w:type="dxa"/>
            <w:tcBorders>
              <w:top w:val="nil"/>
              <w:left w:val="nil"/>
              <w:bottom w:val="single" w:sz="4" w:space="0" w:color="000000"/>
              <w:right w:val="single" w:sz="4" w:space="0" w:color="000000"/>
            </w:tcBorders>
            <w:shd w:val="clear" w:color="auto" w:fill="auto"/>
            <w:vAlign w:val="center"/>
          </w:tcPr>
          <w:p w14:paraId="5FD06D87"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301.41</w:t>
            </w:r>
          </w:p>
        </w:tc>
        <w:tc>
          <w:tcPr>
            <w:tcW w:w="1157" w:type="dxa"/>
            <w:tcBorders>
              <w:top w:val="nil"/>
              <w:left w:val="nil"/>
              <w:bottom w:val="single" w:sz="4" w:space="0" w:color="000000"/>
              <w:right w:val="single" w:sz="4" w:space="0" w:color="000000"/>
            </w:tcBorders>
            <w:shd w:val="clear" w:color="auto" w:fill="auto"/>
            <w:vAlign w:val="center"/>
          </w:tcPr>
          <w:p w14:paraId="5A06B094"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231.15</w:t>
            </w:r>
          </w:p>
        </w:tc>
        <w:tc>
          <w:tcPr>
            <w:tcW w:w="1126" w:type="dxa"/>
            <w:tcBorders>
              <w:top w:val="nil"/>
              <w:left w:val="nil"/>
              <w:bottom w:val="single" w:sz="4" w:space="0" w:color="000000"/>
              <w:right w:val="single" w:sz="4" w:space="0" w:color="000000"/>
            </w:tcBorders>
            <w:shd w:val="clear" w:color="auto" w:fill="auto"/>
            <w:vAlign w:val="center"/>
          </w:tcPr>
          <w:p w14:paraId="4DB1041E"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36.60</w:t>
            </w:r>
          </w:p>
        </w:tc>
        <w:tc>
          <w:tcPr>
            <w:tcW w:w="1187" w:type="dxa"/>
            <w:tcBorders>
              <w:top w:val="nil"/>
              <w:left w:val="nil"/>
              <w:bottom w:val="single" w:sz="4" w:space="0" w:color="000000"/>
              <w:right w:val="single" w:sz="12" w:space="0" w:color="000000"/>
            </w:tcBorders>
            <w:shd w:val="clear" w:color="auto" w:fill="auto"/>
            <w:vAlign w:val="center"/>
          </w:tcPr>
          <w:p w14:paraId="1AF7D163"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45.10</w:t>
            </w:r>
          </w:p>
        </w:tc>
      </w:tr>
      <w:tr w:rsidR="009968E0" w:rsidRPr="009968E0" w14:paraId="07115434" w14:textId="77777777" w:rsidTr="009968E0">
        <w:trPr>
          <w:trHeight w:val="360"/>
        </w:trPr>
        <w:tc>
          <w:tcPr>
            <w:tcW w:w="1679" w:type="dxa"/>
            <w:vMerge/>
            <w:tcBorders>
              <w:top w:val="nil"/>
              <w:left w:val="single" w:sz="12" w:space="0" w:color="000000"/>
              <w:bottom w:val="single" w:sz="4" w:space="0" w:color="000000"/>
              <w:right w:val="nil"/>
            </w:tcBorders>
            <w:shd w:val="clear" w:color="auto" w:fill="FDE9D9"/>
          </w:tcPr>
          <w:p w14:paraId="1B9C7B7E"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709" w:type="dxa"/>
            <w:vMerge w:val="restart"/>
            <w:tcBorders>
              <w:top w:val="nil"/>
              <w:left w:val="nil"/>
              <w:bottom w:val="single" w:sz="4" w:space="0" w:color="000000"/>
              <w:right w:val="nil"/>
            </w:tcBorders>
            <w:shd w:val="clear" w:color="auto" w:fill="auto"/>
          </w:tcPr>
          <w:p w14:paraId="5D3A4FDD"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 for Mean</w:t>
            </w:r>
          </w:p>
        </w:tc>
        <w:tc>
          <w:tcPr>
            <w:tcW w:w="1080" w:type="dxa"/>
            <w:tcBorders>
              <w:top w:val="nil"/>
              <w:left w:val="nil"/>
              <w:bottom w:val="nil"/>
              <w:right w:val="single" w:sz="12" w:space="0" w:color="000000"/>
            </w:tcBorders>
            <w:shd w:val="clear" w:color="auto" w:fill="auto"/>
          </w:tcPr>
          <w:p w14:paraId="2116A8E1"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1126" w:type="dxa"/>
            <w:tcBorders>
              <w:top w:val="nil"/>
              <w:left w:val="nil"/>
              <w:bottom w:val="nil"/>
              <w:right w:val="single" w:sz="4" w:space="0" w:color="000000"/>
            </w:tcBorders>
            <w:shd w:val="clear" w:color="auto" w:fill="auto"/>
            <w:vAlign w:val="center"/>
          </w:tcPr>
          <w:p w14:paraId="7D59802C"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166.61</w:t>
            </w:r>
          </w:p>
        </w:tc>
        <w:tc>
          <w:tcPr>
            <w:tcW w:w="1157" w:type="dxa"/>
            <w:tcBorders>
              <w:top w:val="nil"/>
              <w:left w:val="nil"/>
              <w:bottom w:val="nil"/>
              <w:right w:val="single" w:sz="4" w:space="0" w:color="000000"/>
            </w:tcBorders>
            <w:shd w:val="clear" w:color="auto" w:fill="auto"/>
            <w:vAlign w:val="center"/>
          </w:tcPr>
          <w:p w14:paraId="6D972047"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119.59</w:t>
            </w:r>
          </w:p>
        </w:tc>
        <w:tc>
          <w:tcPr>
            <w:tcW w:w="1126" w:type="dxa"/>
            <w:tcBorders>
              <w:top w:val="nil"/>
              <w:left w:val="nil"/>
              <w:bottom w:val="nil"/>
              <w:right w:val="single" w:sz="4" w:space="0" w:color="000000"/>
            </w:tcBorders>
            <w:shd w:val="clear" w:color="auto" w:fill="auto"/>
            <w:vAlign w:val="center"/>
          </w:tcPr>
          <w:p w14:paraId="59BE2D37"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19.80</w:t>
            </w:r>
          </w:p>
        </w:tc>
        <w:tc>
          <w:tcPr>
            <w:tcW w:w="1187" w:type="dxa"/>
            <w:tcBorders>
              <w:top w:val="nil"/>
              <w:left w:val="nil"/>
              <w:bottom w:val="nil"/>
              <w:right w:val="single" w:sz="12" w:space="0" w:color="000000"/>
            </w:tcBorders>
            <w:shd w:val="clear" w:color="auto" w:fill="auto"/>
            <w:vAlign w:val="center"/>
          </w:tcPr>
          <w:p w14:paraId="6FD986B2"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33.11</w:t>
            </w:r>
          </w:p>
        </w:tc>
      </w:tr>
      <w:tr w:rsidR="009968E0" w:rsidRPr="009968E0" w14:paraId="22428741" w14:textId="77777777" w:rsidTr="009968E0">
        <w:trPr>
          <w:trHeight w:val="360"/>
        </w:trPr>
        <w:tc>
          <w:tcPr>
            <w:tcW w:w="1679" w:type="dxa"/>
            <w:vMerge/>
            <w:tcBorders>
              <w:top w:val="nil"/>
              <w:left w:val="single" w:sz="12" w:space="0" w:color="000000"/>
              <w:bottom w:val="single" w:sz="4" w:space="0" w:color="000000"/>
              <w:right w:val="nil"/>
            </w:tcBorders>
            <w:shd w:val="clear" w:color="auto" w:fill="FDE9D9"/>
          </w:tcPr>
          <w:p w14:paraId="3ED7F3FB"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709" w:type="dxa"/>
            <w:vMerge/>
            <w:tcBorders>
              <w:top w:val="nil"/>
              <w:left w:val="nil"/>
              <w:bottom w:val="single" w:sz="4" w:space="0" w:color="000000"/>
              <w:right w:val="nil"/>
            </w:tcBorders>
            <w:shd w:val="clear" w:color="auto" w:fill="auto"/>
          </w:tcPr>
          <w:p w14:paraId="7DB7BAA6"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080" w:type="dxa"/>
            <w:tcBorders>
              <w:top w:val="nil"/>
              <w:left w:val="nil"/>
              <w:bottom w:val="single" w:sz="4" w:space="0" w:color="000000"/>
              <w:right w:val="single" w:sz="12" w:space="0" w:color="000000"/>
            </w:tcBorders>
            <w:shd w:val="clear" w:color="auto" w:fill="auto"/>
          </w:tcPr>
          <w:p w14:paraId="0C8063AD"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1126" w:type="dxa"/>
            <w:tcBorders>
              <w:top w:val="nil"/>
              <w:left w:val="nil"/>
              <w:bottom w:val="single" w:sz="4" w:space="0" w:color="000000"/>
              <w:right w:val="single" w:sz="4" w:space="0" w:color="000000"/>
            </w:tcBorders>
            <w:shd w:val="clear" w:color="auto" w:fill="auto"/>
            <w:vAlign w:val="center"/>
          </w:tcPr>
          <w:p w14:paraId="347C9095"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436.20</w:t>
            </w:r>
          </w:p>
        </w:tc>
        <w:tc>
          <w:tcPr>
            <w:tcW w:w="1157" w:type="dxa"/>
            <w:tcBorders>
              <w:top w:val="nil"/>
              <w:left w:val="nil"/>
              <w:bottom w:val="single" w:sz="4" w:space="0" w:color="000000"/>
              <w:right w:val="single" w:sz="4" w:space="0" w:color="000000"/>
            </w:tcBorders>
            <w:shd w:val="clear" w:color="auto" w:fill="auto"/>
            <w:vAlign w:val="center"/>
          </w:tcPr>
          <w:p w14:paraId="29C36877"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342.72</w:t>
            </w:r>
          </w:p>
        </w:tc>
        <w:tc>
          <w:tcPr>
            <w:tcW w:w="1126" w:type="dxa"/>
            <w:tcBorders>
              <w:top w:val="nil"/>
              <w:left w:val="nil"/>
              <w:bottom w:val="single" w:sz="4" w:space="0" w:color="000000"/>
              <w:right w:val="single" w:sz="4" w:space="0" w:color="000000"/>
            </w:tcBorders>
            <w:shd w:val="clear" w:color="auto" w:fill="auto"/>
            <w:vAlign w:val="center"/>
          </w:tcPr>
          <w:p w14:paraId="488B69E2"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53.41</w:t>
            </w:r>
          </w:p>
        </w:tc>
        <w:tc>
          <w:tcPr>
            <w:tcW w:w="1187" w:type="dxa"/>
            <w:tcBorders>
              <w:top w:val="nil"/>
              <w:left w:val="nil"/>
              <w:bottom w:val="single" w:sz="4" w:space="0" w:color="000000"/>
              <w:right w:val="single" w:sz="12" w:space="0" w:color="000000"/>
            </w:tcBorders>
            <w:shd w:val="clear" w:color="auto" w:fill="auto"/>
            <w:vAlign w:val="center"/>
          </w:tcPr>
          <w:p w14:paraId="2769D5F9"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57.09</w:t>
            </w:r>
          </w:p>
        </w:tc>
      </w:tr>
      <w:tr w:rsidR="009968E0" w:rsidRPr="009968E0" w14:paraId="03C4B174" w14:textId="77777777" w:rsidTr="009968E0">
        <w:trPr>
          <w:trHeight w:val="360"/>
        </w:trPr>
        <w:tc>
          <w:tcPr>
            <w:tcW w:w="9064" w:type="dxa"/>
            <w:gridSpan w:val="7"/>
            <w:tcBorders>
              <w:top w:val="single" w:sz="4" w:space="0" w:color="000000"/>
              <w:left w:val="single" w:sz="12" w:space="0" w:color="000000"/>
              <w:bottom w:val="single" w:sz="4" w:space="0" w:color="000000"/>
              <w:right w:val="single" w:sz="12" w:space="0" w:color="000000"/>
            </w:tcBorders>
            <w:shd w:val="clear" w:color="auto" w:fill="auto"/>
          </w:tcPr>
          <w:p w14:paraId="6D4B7B43" w14:textId="77777777" w:rsidR="009968E0" w:rsidRPr="009968E0" w:rsidRDefault="009968E0" w:rsidP="009968E0">
            <w:pPr>
              <w:jc w:val="center"/>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p&lt;.001</w:t>
            </w:r>
          </w:p>
        </w:tc>
      </w:tr>
      <w:tr w:rsidR="009968E0" w:rsidRPr="009968E0" w14:paraId="2382779A" w14:textId="77777777" w:rsidTr="009968E0">
        <w:trPr>
          <w:trHeight w:val="360"/>
        </w:trPr>
        <w:tc>
          <w:tcPr>
            <w:tcW w:w="1679" w:type="dxa"/>
            <w:vMerge w:val="restart"/>
            <w:tcBorders>
              <w:top w:val="nil"/>
              <w:left w:val="single" w:sz="12" w:space="0" w:color="000000"/>
              <w:bottom w:val="single" w:sz="4" w:space="0" w:color="000000"/>
              <w:right w:val="nil"/>
            </w:tcBorders>
            <w:shd w:val="clear" w:color="auto" w:fill="FDE9D9"/>
          </w:tcPr>
          <w:p w14:paraId="2BD86936"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MPS</w:t>
            </w:r>
          </w:p>
          <w:p w14:paraId="28490DB1"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shd w:val="clear" w:color="auto" w:fill="FDE9D9"/>
                <w:lang w:eastAsia="en-GB"/>
              </w:rPr>
              <w:t>pain scale</w:t>
            </w:r>
          </w:p>
        </w:tc>
        <w:tc>
          <w:tcPr>
            <w:tcW w:w="2789" w:type="dxa"/>
            <w:gridSpan w:val="2"/>
            <w:tcBorders>
              <w:top w:val="nil"/>
              <w:left w:val="nil"/>
              <w:bottom w:val="single" w:sz="4" w:space="0" w:color="000000"/>
              <w:right w:val="single" w:sz="12" w:space="0" w:color="000000"/>
            </w:tcBorders>
            <w:shd w:val="clear" w:color="auto" w:fill="auto"/>
          </w:tcPr>
          <w:p w14:paraId="159F074F"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1126" w:type="dxa"/>
            <w:tcBorders>
              <w:top w:val="nil"/>
              <w:left w:val="nil"/>
              <w:bottom w:val="single" w:sz="4" w:space="0" w:color="000000"/>
              <w:right w:val="single" w:sz="4" w:space="0" w:color="000000"/>
            </w:tcBorders>
            <w:shd w:val="clear" w:color="auto" w:fill="auto"/>
            <w:vAlign w:val="center"/>
          </w:tcPr>
          <w:p w14:paraId="10E82A88"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.53</w:t>
            </w:r>
          </w:p>
        </w:tc>
        <w:tc>
          <w:tcPr>
            <w:tcW w:w="1157" w:type="dxa"/>
            <w:tcBorders>
              <w:top w:val="nil"/>
              <w:left w:val="nil"/>
              <w:bottom w:val="single" w:sz="4" w:space="0" w:color="000000"/>
              <w:right w:val="single" w:sz="4" w:space="0" w:color="000000"/>
            </w:tcBorders>
            <w:shd w:val="clear" w:color="auto" w:fill="auto"/>
            <w:vAlign w:val="center"/>
          </w:tcPr>
          <w:p w14:paraId="35B46C2A"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1.09</w:t>
            </w:r>
          </w:p>
        </w:tc>
        <w:tc>
          <w:tcPr>
            <w:tcW w:w="1126" w:type="dxa"/>
            <w:tcBorders>
              <w:top w:val="nil"/>
              <w:left w:val="nil"/>
              <w:bottom w:val="single" w:sz="4" w:space="0" w:color="000000"/>
              <w:right w:val="single" w:sz="4" w:space="0" w:color="000000"/>
            </w:tcBorders>
            <w:shd w:val="clear" w:color="auto" w:fill="auto"/>
            <w:vAlign w:val="center"/>
          </w:tcPr>
          <w:p w14:paraId="65A6490B"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2.40</w:t>
            </w:r>
          </w:p>
        </w:tc>
        <w:tc>
          <w:tcPr>
            <w:tcW w:w="1187" w:type="dxa"/>
            <w:tcBorders>
              <w:top w:val="nil"/>
              <w:left w:val="nil"/>
              <w:bottom w:val="single" w:sz="4" w:space="0" w:color="000000"/>
              <w:right w:val="single" w:sz="12" w:space="0" w:color="000000"/>
            </w:tcBorders>
            <w:shd w:val="clear" w:color="auto" w:fill="auto"/>
            <w:vAlign w:val="center"/>
          </w:tcPr>
          <w:p w14:paraId="374D1745"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1.54</w:t>
            </w:r>
          </w:p>
        </w:tc>
      </w:tr>
      <w:tr w:rsidR="009968E0" w:rsidRPr="009968E0" w14:paraId="5A86FDEF" w14:textId="77777777" w:rsidTr="009968E0">
        <w:trPr>
          <w:trHeight w:val="360"/>
        </w:trPr>
        <w:tc>
          <w:tcPr>
            <w:tcW w:w="1679" w:type="dxa"/>
            <w:vMerge/>
            <w:tcBorders>
              <w:top w:val="nil"/>
              <w:left w:val="single" w:sz="12" w:space="0" w:color="000000"/>
              <w:bottom w:val="single" w:sz="4" w:space="0" w:color="000000"/>
              <w:right w:val="nil"/>
            </w:tcBorders>
            <w:shd w:val="clear" w:color="auto" w:fill="FDE9D9"/>
          </w:tcPr>
          <w:p w14:paraId="5F331800"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709" w:type="dxa"/>
            <w:vMerge w:val="restart"/>
            <w:tcBorders>
              <w:top w:val="nil"/>
              <w:left w:val="nil"/>
              <w:bottom w:val="single" w:sz="4" w:space="0" w:color="000000"/>
              <w:right w:val="nil"/>
            </w:tcBorders>
            <w:shd w:val="clear" w:color="auto" w:fill="auto"/>
          </w:tcPr>
          <w:p w14:paraId="462C95A9"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 for Mean</w:t>
            </w:r>
          </w:p>
        </w:tc>
        <w:tc>
          <w:tcPr>
            <w:tcW w:w="1080" w:type="dxa"/>
            <w:tcBorders>
              <w:top w:val="nil"/>
              <w:left w:val="nil"/>
              <w:bottom w:val="nil"/>
              <w:right w:val="single" w:sz="12" w:space="0" w:color="000000"/>
            </w:tcBorders>
            <w:shd w:val="clear" w:color="auto" w:fill="auto"/>
          </w:tcPr>
          <w:p w14:paraId="3776502F"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1126" w:type="dxa"/>
            <w:tcBorders>
              <w:top w:val="nil"/>
              <w:left w:val="nil"/>
              <w:bottom w:val="nil"/>
              <w:right w:val="single" w:sz="4" w:space="0" w:color="000000"/>
            </w:tcBorders>
            <w:shd w:val="clear" w:color="auto" w:fill="auto"/>
            <w:vAlign w:val="center"/>
          </w:tcPr>
          <w:p w14:paraId="50EEE21B"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.22</w:t>
            </w:r>
          </w:p>
        </w:tc>
        <w:tc>
          <w:tcPr>
            <w:tcW w:w="1157" w:type="dxa"/>
            <w:tcBorders>
              <w:top w:val="nil"/>
              <w:left w:val="nil"/>
              <w:bottom w:val="nil"/>
              <w:right w:val="single" w:sz="4" w:space="0" w:color="000000"/>
            </w:tcBorders>
            <w:shd w:val="clear" w:color="auto" w:fill="auto"/>
            <w:vAlign w:val="center"/>
          </w:tcPr>
          <w:p w14:paraId="77650723"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.32</w:t>
            </w:r>
          </w:p>
        </w:tc>
        <w:tc>
          <w:tcPr>
            <w:tcW w:w="1126" w:type="dxa"/>
            <w:tcBorders>
              <w:top w:val="nil"/>
              <w:left w:val="nil"/>
              <w:bottom w:val="nil"/>
              <w:right w:val="single" w:sz="4" w:space="0" w:color="000000"/>
            </w:tcBorders>
            <w:shd w:val="clear" w:color="auto" w:fill="auto"/>
            <w:vAlign w:val="center"/>
          </w:tcPr>
          <w:p w14:paraId="79CFC80A"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-.06</w:t>
            </w:r>
          </w:p>
        </w:tc>
        <w:tc>
          <w:tcPr>
            <w:tcW w:w="1187" w:type="dxa"/>
            <w:tcBorders>
              <w:top w:val="nil"/>
              <w:left w:val="nil"/>
              <w:bottom w:val="nil"/>
              <w:right w:val="single" w:sz="12" w:space="0" w:color="000000"/>
            </w:tcBorders>
            <w:shd w:val="clear" w:color="auto" w:fill="auto"/>
            <w:vAlign w:val="center"/>
          </w:tcPr>
          <w:p w14:paraId="333A316D"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.67</w:t>
            </w:r>
          </w:p>
        </w:tc>
      </w:tr>
      <w:tr w:rsidR="009968E0" w:rsidRPr="009968E0" w14:paraId="7C22DAB0" w14:textId="77777777" w:rsidTr="009968E0">
        <w:trPr>
          <w:trHeight w:val="360"/>
        </w:trPr>
        <w:tc>
          <w:tcPr>
            <w:tcW w:w="1679" w:type="dxa"/>
            <w:vMerge/>
            <w:tcBorders>
              <w:top w:val="nil"/>
              <w:left w:val="single" w:sz="12" w:space="0" w:color="000000"/>
              <w:bottom w:val="single" w:sz="4" w:space="0" w:color="000000"/>
              <w:right w:val="nil"/>
            </w:tcBorders>
            <w:shd w:val="clear" w:color="auto" w:fill="FDE9D9"/>
          </w:tcPr>
          <w:p w14:paraId="07C8A3C7"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709" w:type="dxa"/>
            <w:vMerge/>
            <w:tcBorders>
              <w:top w:val="nil"/>
              <w:left w:val="nil"/>
              <w:bottom w:val="single" w:sz="4" w:space="0" w:color="000000"/>
              <w:right w:val="nil"/>
            </w:tcBorders>
            <w:shd w:val="clear" w:color="auto" w:fill="auto"/>
          </w:tcPr>
          <w:p w14:paraId="373FB6A0"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080" w:type="dxa"/>
            <w:tcBorders>
              <w:top w:val="nil"/>
              <w:left w:val="nil"/>
              <w:bottom w:val="single" w:sz="4" w:space="0" w:color="000000"/>
              <w:right w:val="single" w:sz="12" w:space="0" w:color="000000"/>
            </w:tcBorders>
            <w:shd w:val="clear" w:color="auto" w:fill="auto"/>
          </w:tcPr>
          <w:p w14:paraId="224DEDD8"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1126" w:type="dxa"/>
            <w:tcBorders>
              <w:top w:val="nil"/>
              <w:left w:val="nil"/>
              <w:bottom w:val="single" w:sz="4" w:space="0" w:color="000000"/>
              <w:right w:val="single" w:sz="4" w:space="0" w:color="000000"/>
            </w:tcBorders>
            <w:shd w:val="clear" w:color="auto" w:fill="auto"/>
            <w:vAlign w:val="center"/>
          </w:tcPr>
          <w:p w14:paraId="22AA4984"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.84</w:t>
            </w:r>
          </w:p>
        </w:tc>
        <w:tc>
          <w:tcPr>
            <w:tcW w:w="1157" w:type="dxa"/>
            <w:tcBorders>
              <w:top w:val="nil"/>
              <w:left w:val="nil"/>
              <w:bottom w:val="single" w:sz="4" w:space="0" w:color="000000"/>
              <w:right w:val="single" w:sz="4" w:space="0" w:color="000000"/>
            </w:tcBorders>
            <w:shd w:val="clear" w:color="auto" w:fill="auto"/>
            <w:vAlign w:val="center"/>
          </w:tcPr>
          <w:p w14:paraId="79D322D1"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1.85</w:t>
            </w:r>
          </w:p>
        </w:tc>
        <w:tc>
          <w:tcPr>
            <w:tcW w:w="1126" w:type="dxa"/>
            <w:tcBorders>
              <w:top w:val="nil"/>
              <w:left w:val="nil"/>
              <w:bottom w:val="single" w:sz="4" w:space="0" w:color="000000"/>
              <w:right w:val="single" w:sz="4" w:space="0" w:color="000000"/>
            </w:tcBorders>
            <w:shd w:val="clear" w:color="auto" w:fill="auto"/>
            <w:vAlign w:val="center"/>
          </w:tcPr>
          <w:p w14:paraId="33EBB246"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4.86</w:t>
            </w:r>
          </w:p>
        </w:tc>
        <w:tc>
          <w:tcPr>
            <w:tcW w:w="1187" w:type="dxa"/>
            <w:tcBorders>
              <w:top w:val="nil"/>
              <w:left w:val="nil"/>
              <w:bottom w:val="single" w:sz="4" w:space="0" w:color="000000"/>
              <w:right w:val="single" w:sz="12" w:space="0" w:color="000000"/>
            </w:tcBorders>
            <w:shd w:val="clear" w:color="auto" w:fill="auto"/>
            <w:vAlign w:val="center"/>
          </w:tcPr>
          <w:p w14:paraId="7422F521"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2.42</w:t>
            </w:r>
          </w:p>
        </w:tc>
      </w:tr>
      <w:tr w:rsidR="009968E0" w:rsidRPr="009968E0" w14:paraId="256E692D" w14:textId="77777777" w:rsidTr="009968E0">
        <w:trPr>
          <w:trHeight w:val="360"/>
        </w:trPr>
        <w:tc>
          <w:tcPr>
            <w:tcW w:w="9064" w:type="dxa"/>
            <w:gridSpan w:val="7"/>
            <w:tcBorders>
              <w:top w:val="single" w:sz="4" w:space="0" w:color="000000"/>
              <w:left w:val="single" w:sz="12" w:space="0" w:color="000000"/>
              <w:bottom w:val="single" w:sz="4" w:space="0" w:color="000000"/>
              <w:right w:val="single" w:sz="12" w:space="0" w:color="000000"/>
            </w:tcBorders>
            <w:shd w:val="clear" w:color="auto" w:fill="auto"/>
          </w:tcPr>
          <w:p w14:paraId="602C7AC3" w14:textId="77777777" w:rsidR="009968E0" w:rsidRPr="009968E0" w:rsidRDefault="009968E0" w:rsidP="009968E0">
            <w:pPr>
              <w:jc w:val="center"/>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p=.118</w:t>
            </w:r>
          </w:p>
        </w:tc>
      </w:tr>
      <w:tr w:rsidR="009968E0" w:rsidRPr="009968E0" w14:paraId="65AEC1B9" w14:textId="77777777" w:rsidTr="009968E0">
        <w:trPr>
          <w:trHeight w:val="360"/>
        </w:trPr>
        <w:tc>
          <w:tcPr>
            <w:tcW w:w="1679" w:type="dxa"/>
            <w:vMerge w:val="restart"/>
            <w:tcBorders>
              <w:top w:val="nil"/>
              <w:left w:val="single" w:sz="12" w:space="0" w:color="000000"/>
              <w:bottom w:val="single" w:sz="4" w:space="0" w:color="000000"/>
              <w:right w:val="nil"/>
            </w:tcBorders>
            <w:shd w:val="clear" w:color="auto" w:fill="FDE9D9"/>
          </w:tcPr>
          <w:p w14:paraId="17C5B120"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WUR</w:t>
            </w:r>
          </w:p>
          <w:p w14:paraId="1628E0EF"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ratio series to single pain rating</w:t>
            </w:r>
          </w:p>
        </w:tc>
        <w:tc>
          <w:tcPr>
            <w:tcW w:w="2789" w:type="dxa"/>
            <w:gridSpan w:val="2"/>
            <w:tcBorders>
              <w:top w:val="nil"/>
              <w:left w:val="nil"/>
              <w:bottom w:val="single" w:sz="4" w:space="0" w:color="000000"/>
              <w:right w:val="single" w:sz="12" w:space="0" w:color="000000"/>
            </w:tcBorders>
            <w:shd w:val="clear" w:color="auto" w:fill="auto"/>
          </w:tcPr>
          <w:p w14:paraId="3949EF2A"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1126" w:type="dxa"/>
            <w:tcBorders>
              <w:top w:val="nil"/>
              <w:left w:val="nil"/>
              <w:bottom w:val="single" w:sz="4" w:space="0" w:color="000000"/>
              <w:right w:val="single" w:sz="4" w:space="0" w:color="000000"/>
            </w:tcBorders>
            <w:shd w:val="clear" w:color="auto" w:fill="auto"/>
            <w:vAlign w:val="center"/>
          </w:tcPr>
          <w:p w14:paraId="6468FCE4"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1.69</w:t>
            </w:r>
          </w:p>
        </w:tc>
        <w:tc>
          <w:tcPr>
            <w:tcW w:w="1157" w:type="dxa"/>
            <w:tcBorders>
              <w:top w:val="nil"/>
              <w:left w:val="nil"/>
              <w:bottom w:val="single" w:sz="4" w:space="0" w:color="000000"/>
              <w:right w:val="single" w:sz="4" w:space="0" w:color="000000"/>
            </w:tcBorders>
            <w:shd w:val="clear" w:color="auto" w:fill="auto"/>
            <w:vAlign w:val="center"/>
          </w:tcPr>
          <w:p w14:paraId="2ABAA07B"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3.28</w:t>
            </w:r>
          </w:p>
        </w:tc>
        <w:tc>
          <w:tcPr>
            <w:tcW w:w="1126" w:type="dxa"/>
            <w:tcBorders>
              <w:top w:val="nil"/>
              <w:left w:val="nil"/>
              <w:bottom w:val="single" w:sz="4" w:space="0" w:color="000000"/>
              <w:right w:val="single" w:sz="4" w:space="0" w:color="000000"/>
            </w:tcBorders>
            <w:shd w:val="clear" w:color="auto" w:fill="auto"/>
            <w:vAlign w:val="center"/>
          </w:tcPr>
          <w:p w14:paraId="54AB4681"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2.53</w:t>
            </w:r>
          </w:p>
        </w:tc>
        <w:tc>
          <w:tcPr>
            <w:tcW w:w="1187" w:type="dxa"/>
            <w:tcBorders>
              <w:top w:val="nil"/>
              <w:left w:val="nil"/>
              <w:bottom w:val="single" w:sz="4" w:space="0" w:color="000000"/>
              <w:right w:val="single" w:sz="12" w:space="0" w:color="000000"/>
            </w:tcBorders>
            <w:shd w:val="clear" w:color="auto" w:fill="auto"/>
            <w:vAlign w:val="center"/>
          </w:tcPr>
          <w:p w14:paraId="49BCA911"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2.17</w:t>
            </w:r>
          </w:p>
        </w:tc>
      </w:tr>
      <w:tr w:rsidR="009968E0" w:rsidRPr="009968E0" w14:paraId="680EC5EA" w14:textId="77777777" w:rsidTr="009968E0">
        <w:trPr>
          <w:trHeight w:val="360"/>
        </w:trPr>
        <w:tc>
          <w:tcPr>
            <w:tcW w:w="1679" w:type="dxa"/>
            <w:vMerge/>
            <w:tcBorders>
              <w:top w:val="nil"/>
              <w:left w:val="single" w:sz="12" w:space="0" w:color="000000"/>
              <w:bottom w:val="single" w:sz="4" w:space="0" w:color="000000"/>
              <w:right w:val="nil"/>
            </w:tcBorders>
            <w:shd w:val="clear" w:color="auto" w:fill="FDE9D9"/>
          </w:tcPr>
          <w:p w14:paraId="7C4ABA28"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709" w:type="dxa"/>
            <w:vMerge w:val="restart"/>
            <w:tcBorders>
              <w:top w:val="nil"/>
              <w:left w:val="nil"/>
              <w:bottom w:val="single" w:sz="4" w:space="0" w:color="000000"/>
              <w:right w:val="nil"/>
            </w:tcBorders>
            <w:shd w:val="clear" w:color="auto" w:fill="auto"/>
          </w:tcPr>
          <w:p w14:paraId="59D49C92"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 for Mean</w:t>
            </w:r>
          </w:p>
        </w:tc>
        <w:tc>
          <w:tcPr>
            <w:tcW w:w="1080" w:type="dxa"/>
            <w:tcBorders>
              <w:top w:val="nil"/>
              <w:left w:val="nil"/>
              <w:bottom w:val="nil"/>
              <w:right w:val="single" w:sz="12" w:space="0" w:color="000000"/>
            </w:tcBorders>
            <w:shd w:val="clear" w:color="auto" w:fill="auto"/>
          </w:tcPr>
          <w:p w14:paraId="4C87799C"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1126" w:type="dxa"/>
            <w:tcBorders>
              <w:top w:val="nil"/>
              <w:left w:val="nil"/>
              <w:bottom w:val="nil"/>
              <w:right w:val="single" w:sz="4" w:space="0" w:color="000000"/>
            </w:tcBorders>
            <w:shd w:val="clear" w:color="auto" w:fill="auto"/>
            <w:vAlign w:val="center"/>
          </w:tcPr>
          <w:p w14:paraId="04513715"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.88</w:t>
            </w:r>
          </w:p>
        </w:tc>
        <w:tc>
          <w:tcPr>
            <w:tcW w:w="1157" w:type="dxa"/>
            <w:tcBorders>
              <w:top w:val="nil"/>
              <w:left w:val="nil"/>
              <w:bottom w:val="nil"/>
              <w:right w:val="single" w:sz="4" w:space="0" w:color="000000"/>
            </w:tcBorders>
            <w:shd w:val="clear" w:color="auto" w:fill="auto"/>
            <w:vAlign w:val="center"/>
          </w:tcPr>
          <w:p w14:paraId="3ABAD933"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1.75</w:t>
            </w:r>
          </w:p>
        </w:tc>
        <w:tc>
          <w:tcPr>
            <w:tcW w:w="1126" w:type="dxa"/>
            <w:tcBorders>
              <w:top w:val="nil"/>
              <w:left w:val="nil"/>
              <w:bottom w:val="nil"/>
              <w:right w:val="single" w:sz="4" w:space="0" w:color="000000"/>
            </w:tcBorders>
            <w:shd w:val="clear" w:color="auto" w:fill="auto"/>
            <w:vAlign w:val="center"/>
          </w:tcPr>
          <w:p w14:paraId="2D2B58B0"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1.72</w:t>
            </w:r>
          </w:p>
        </w:tc>
        <w:tc>
          <w:tcPr>
            <w:tcW w:w="1187" w:type="dxa"/>
            <w:tcBorders>
              <w:top w:val="nil"/>
              <w:left w:val="nil"/>
              <w:bottom w:val="nil"/>
              <w:right w:val="single" w:sz="12" w:space="0" w:color="000000"/>
            </w:tcBorders>
            <w:shd w:val="clear" w:color="auto" w:fill="auto"/>
            <w:vAlign w:val="center"/>
          </w:tcPr>
          <w:p w14:paraId="72F625A3"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1.67</w:t>
            </w:r>
          </w:p>
        </w:tc>
      </w:tr>
      <w:tr w:rsidR="009968E0" w:rsidRPr="009968E0" w14:paraId="149E2592" w14:textId="77777777" w:rsidTr="009968E0">
        <w:trPr>
          <w:trHeight w:val="360"/>
        </w:trPr>
        <w:tc>
          <w:tcPr>
            <w:tcW w:w="1679" w:type="dxa"/>
            <w:vMerge/>
            <w:tcBorders>
              <w:top w:val="nil"/>
              <w:left w:val="single" w:sz="12" w:space="0" w:color="000000"/>
              <w:bottom w:val="single" w:sz="4" w:space="0" w:color="000000"/>
              <w:right w:val="nil"/>
            </w:tcBorders>
            <w:shd w:val="clear" w:color="auto" w:fill="FDE9D9"/>
          </w:tcPr>
          <w:p w14:paraId="19CB8AD6"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709" w:type="dxa"/>
            <w:vMerge/>
            <w:tcBorders>
              <w:top w:val="nil"/>
              <w:left w:val="nil"/>
              <w:bottom w:val="single" w:sz="4" w:space="0" w:color="000000"/>
              <w:right w:val="nil"/>
            </w:tcBorders>
            <w:shd w:val="clear" w:color="auto" w:fill="auto"/>
          </w:tcPr>
          <w:p w14:paraId="3099EBA4"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080" w:type="dxa"/>
            <w:tcBorders>
              <w:top w:val="nil"/>
              <w:left w:val="nil"/>
              <w:bottom w:val="single" w:sz="4" w:space="0" w:color="000000"/>
              <w:right w:val="single" w:sz="12" w:space="0" w:color="000000"/>
            </w:tcBorders>
            <w:shd w:val="clear" w:color="auto" w:fill="auto"/>
          </w:tcPr>
          <w:p w14:paraId="1BF1B963"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1126" w:type="dxa"/>
            <w:tcBorders>
              <w:top w:val="nil"/>
              <w:left w:val="nil"/>
              <w:bottom w:val="single" w:sz="4" w:space="0" w:color="000000"/>
              <w:right w:val="single" w:sz="4" w:space="0" w:color="000000"/>
            </w:tcBorders>
            <w:shd w:val="clear" w:color="auto" w:fill="auto"/>
            <w:vAlign w:val="center"/>
          </w:tcPr>
          <w:p w14:paraId="2361D765"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2.51</w:t>
            </w:r>
          </w:p>
        </w:tc>
        <w:tc>
          <w:tcPr>
            <w:tcW w:w="1157" w:type="dxa"/>
            <w:tcBorders>
              <w:top w:val="nil"/>
              <w:left w:val="nil"/>
              <w:bottom w:val="single" w:sz="4" w:space="0" w:color="000000"/>
              <w:right w:val="single" w:sz="4" w:space="0" w:color="000000"/>
            </w:tcBorders>
            <w:shd w:val="clear" w:color="auto" w:fill="auto"/>
            <w:vAlign w:val="center"/>
          </w:tcPr>
          <w:p w14:paraId="7B90FBA7"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4.81</w:t>
            </w:r>
          </w:p>
        </w:tc>
        <w:tc>
          <w:tcPr>
            <w:tcW w:w="1126" w:type="dxa"/>
            <w:tcBorders>
              <w:top w:val="nil"/>
              <w:left w:val="nil"/>
              <w:bottom w:val="single" w:sz="4" w:space="0" w:color="000000"/>
              <w:right w:val="single" w:sz="4" w:space="0" w:color="000000"/>
            </w:tcBorders>
            <w:shd w:val="clear" w:color="auto" w:fill="auto"/>
            <w:vAlign w:val="center"/>
          </w:tcPr>
          <w:p w14:paraId="04133E31"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3.33</w:t>
            </w:r>
          </w:p>
        </w:tc>
        <w:tc>
          <w:tcPr>
            <w:tcW w:w="1187" w:type="dxa"/>
            <w:tcBorders>
              <w:top w:val="nil"/>
              <w:left w:val="nil"/>
              <w:bottom w:val="single" w:sz="4" w:space="0" w:color="000000"/>
              <w:right w:val="single" w:sz="12" w:space="0" w:color="000000"/>
            </w:tcBorders>
            <w:shd w:val="clear" w:color="auto" w:fill="auto"/>
            <w:vAlign w:val="center"/>
          </w:tcPr>
          <w:p w14:paraId="71458F7A"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2.67</w:t>
            </w:r>
          </w:p>
        </w:tc>
      </w:tr>
      <w:tr w:rsidR="009968E0" w:rsidRPr="009968E0" w14:paraId="286BC4DD" w14:textId="77777777" w:rsidTr="009968E0">
        <w:trPr>
          <w:trHeight w:val="360"/>
        </w:trPr>
        <w:tc>
          <w:tcPr>
            <w:tcW w:w="9064" w:type="dxa"/>
            <w:gridSpan w:val="7"/>
            <w:tcBorders>
              <w:top w:val="single" w:sz="4" w:space="0" w:color="000000"/>
              <w:left w:val="single" w:sz="12" w:space="0" w:color="000000"/>
              <w:bottom w:val="single" w:sz="4" w:space="0" w:color="000000"/>
              <w:right w:val="single" w:sz="12" w:space="0" w:color="000000"/>
            </w:tcBorders>
            <w:shd w:val="clear" w:color="auto" w:fill="auto"/>
          </w:tcPr>
          <w:p w14:paraId="12141B66" w14:textId="77777777" w:rsidR="009968E0" w:rsidRPr="009968E0" w:rsidRDefault="009968E0" w:rsidP="009968E0">
            <w:pPr>
              <w:jc w:val="center"/>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p=.155</w:t>
            </w:r>
          </w:p>
        </w:tc>
      </w:tr>
      <w:tr w:rsidR="009968E0" w:rsidRPr="009968E0" w14:paraId="0F8CA0F4" w14:textId="77777777" w:rsidTr="009968E0">
        <w:trPr>
          <w:trHeight w:val="360"/>
        </w:trPr>
        <w:tc>
          <w:tcPr>
            <w:tcW w:w="1679" w:type="dxa"/>
            <w:vMerge w:val="restart"/>
            <w:tcBorders>
              <w:top w:val="nil"/>
              <w:left w:val="single" w:sz="12" w:space="0" w:color="000000"/>
              <w:bottom w:val="single" w:sz="4" w:space="0" w:color="000000"/>
              <w:right w:val="nil"/>
            </w:tcBorders>
            <w:shd w:val="clear" w:color="auto" w:fill="FDE9D9"/>
          </w:tcPr>
          <w:p w14:paraId="496C1D96"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MDT</w:t>
            </w:r>
          </w:p>
          <w:p w14:paraId="53B7F263" w14:textId="77777777" w:rsidR="009968E0" w:rsidRPr="009968E0" w:rsidRDefault="009968E0" w:rsidP="009968E0">
            <w:pPr>
              <w:rPr>
                <w:rFonts w:ascii="Calibri" w:eastAsia="Times New Roman" w:hAnsi="Calibri" w:cs="Calibri"/>
                <w:i/>
                <w:iCs/>
                <w:color w:val="000000"/>
                <w:sz w:val="22"/>
                <w:szCs w:val="22"/>
                <w:lang w:eastAsia="en-GB"/>
              </w:rPr>
            </w:pPr>
            <w:proofErr w:type="spellStart"/>
            <w:r w:rsidRPr="009968E0">
              <w:rPr>
                <w:rFonts w:ascii="Calibri" w:eastAsia="Times New Roman" w:hAnsi="Calibri" w:cs="Calibri"/>
                <w:i/>
                <w:iCs/>
                <w:color w:val="000000"/>
                <w:sz w:val="22"/>
                <w:szCs w:val="22"/>
                <w:lang w:eastAsia="en-GB"/>
              </w:rPr>
              <w:t>mN</w:t>
            </w:r>
            <w:proofErr w:type="spellEnd"/>
          </w:p>
        </w:tc>
        <w:tc>
          <w:tcPr>
            <w:tcW w:w="2789" w:type="dxa"/>
            <w:gridSpan w:val="2"/>
            <w:tcBorders>
              <w:top w:val="nil"/>
              <w:left w:val="nil"/>
              <w:bottom w:val="single" w:sz="4" w:space="0" w:color="000000"/>
              <w:right w:val="single" w:sz="12" w:space="0" w:color="000000"/>
            </w:tcBorders>
            <w:shd w:val="clear" w:color="auto" w:fill="auto"/>
          </w:tcPr>
          <w:p w14:paraId="52DA9336"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1126" w:type="dxa"/>
            <w:tcBorders>
              <w:top w:val="nil"/>
              <w:left w:val="nil"/>
              <w:bottom w:val="single" w:sz="4" w:space="0" w:color="000000"/>
              <w:right w:val="single" w:sz="4" w:space="0" w:color="000000"/>
            </w:tcBorders>
            <w:shd w:val="clear" w:color="auto" w:fill="auto"/>
            <w:vAlign w:val="center"/>
          </w:tcPr>
          <w:p w14:paraId="264E50E4"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192.88</w:t>
            </w:r>
          </w:p>
        </w:tc>
        <w:tc>
          <w:tcPr>
            <w:tcW w:w="1157" w:type="dxa"/>
            <w:tcBorders>
              <w:top w:val="nil"/>
              <w:left w:val="nil"/>
              <w:bottom w:val="single" w:sz="4" w:space="0" w:color="000000"/>
              <w:right w:val="single" w:sz="4" w:space="0" w:color="000000"/>
            </w:tcBorders>
            <w:shd w:val="clear" w:color="auto" w:fill="auto"/>
            <w:vAlign w:val="center"/>
          </w:tcPr>
          <w:p w14:paraId="2581FF3D"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113.23</w:t>
            </w:r>
          </w:p>
        </w:tc>
        <w:tc>
          <w:tcPr>
            <w:tcW w:w="1126" w:type="dxa"/>
            <w:tcBorders>
              <w:top w:val="nil"/>
              <w:left w:val="nil"/>
              <w:bottom w:val="single" w:sz="4" w:space="0" w:color="000000"/>
              <w:right w:val="single" w:sz="4" w:space="0" w:color="000000"/>
            </w:tcBorders>
            <w:shd w:val="clear" w:color="auto" w:fill="auto"/>
            <w:vAlign w:val="center"/>
          </w:tcPr>
          <w:p w14:paraId="07299AC9"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5.70</w:t>
            </w:r>
          </w:p>
        </w:tc>
        <w:tc>
          <w:tcPr>
            <w:tcW w:w="1187" w:type="dxa"/>
            <w:tcBorders>
              <w:top w:val="nil"/>
              <w:left w:val="nil"/>
              <w:bottom w:val="single" w:sz="4" w:space="0" w:color="000000"/>
              <w:right w:val="single" w:sz="12" w:space="0" w:color="000000"/>
            </w:tcBorders>
            <w:shd w:val="clear" w:color="auto" w:fill="auto"/>
            <w:vAlign w:val="center"/>
          </w:tcPr>
          <w:p w14:paraId="6223B967"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8.28</w:t>
            </w:r>
          </w:p>
        </w:tc>
      </w:tr>
      <w:tr w:rsidR="009968E0" w:rsidRPr="009968E0" w14:paraId="212CC217" w14:textId="77777777" w:rsidTr="009968E0">
        <w:trPr>
          <w:trHeight w:val="360"/>
        </w:trPr>
        <w:tc>
          <w:tcPr>
            <w:tcW w:w="1679" w:type="dxa"/>
            <w:vMerge/>
            <w:tcBorders>
              <w:top w:val="nil"/>
              <w:left w:val="single" w:sz="12" w:space="0" w:color="000000"/>
              <w:bottom w:val="single" w:sz="4" w:space="0" w:color="000000"/>
              <w:right w:val="nil"/>
            </w:tcBorders>
            <w:shd w:val="clear" w:color="auto" w:fill="FDE9D9"/>
          </w:tcPr>
          <w:p w14:paraId="21075FC6"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709" w:type="dxa"/>
            <w:vMerge w:val="restart"/>
            <w:tcBorders>
              <w:top w:val="nil"/>
              <w:left w:val="nil"/>
              <w:bottom w:val="single" w:sz="4" w:space="0" w:color="000000"/>
              <w:right w:val="nil"/>
            </w:tcBorders>
            <w:shd w:val="clear" w:color="auto" w:fill="auto"/>
          </w:tcPr>
          <w:p w14:paraId="32F1EC13"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 for Mean</w:t>
            </w:r>
          </w:p>
        </w:tc>
        <w:tc>
          <w:tcPr>
            <w:tcW w:w="1080" w:type="dxa"/>
            <w:tcBorders>
              <w:top w:val="nil"/>
              <w:left w:val="nil"/>
              <w:bottom w:val="nil"/>
              <w:right w:val="single" w:sz="12" w:space="0" w:color="000000"/>
            </w:tcBorders>
            <w:shd w:val="clear" w:color="auto" w:fill="auto"/>
          </w:tcPr>
          <w:p w14:paraId="05FA50C6"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1126" w:type="dxa"/>
            <w:tcBorders>
              <w:top w:val="nil"/>
              <w:left w:val="nil"/>
              <w:bottom w:val="nil"/>
              <w:right w:val="single" w:sz="4" w:space="0" w:color="000000"/>
            </w:tcBorders>
            <w:shd w:val="clear" w:color="auto" w:fill="auto"/>
            <w:vAlign w:val="center"/>
          </w:tcPr>
          <w:p w14:paraId="6EF9746C"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66.79</w:t>
            </w:r>
          </w:p>
        </w:tc>
        <w:tc>
          <w:tcPr>
            <w:tcW w:w="1157" w:type="dxa"/>
            <w:tcBorders>
              <w:top w:val="nil"/>
              <w:left w:val="nil"/>
              <w:bottom w:val="nil"/>
              <w:right w:val="single" w:sz="4" w:space="0" w:color="000000"/>
            </w:tcBorders>
            <w:shd w:val="clear" w:color="auto" w:fill="auto"/>
            <w:vAlign w:val="center"/>
          </w:tcPr>
          <w:p w14:paraId="72F451C9"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23.01</w:t>
            </w:r>
          </w:p>
        </w:tc>
        <w:tc>
          <w:tcPr>
            <w:tcW w:w="1126" w:type="dxa"/>
            <w:tcBorders>
              <w:top w:val="nil"/>
              <w:left w:val="nil"/>
              <w:bottom w:val="nil"/>
              <w:right w:val="single" w:sz="4" w:space="0" w:color="000000"/>
            </w:tcBorders>
            <w:shd w:val="clear" w:color="auto" w:fill="auto"/>
            <w:vAlign w:val="center"/>
          </w:tcPr>
          <w:p w14:paraId="21F28448"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3.95</w:t>
            </w:r>
          </w:p>
        </w:tc>
        <w:tc>
          <w:tcPr>
            <w:tcW w:w="1187" w:type="dxa"/>
            <w:tcBorders>
              <w:top w:val="nil"/>
              <w:left w:val="nil"/>
              <w:bottom w:val="nil"/>
              <w:right w:val="single" w:sz="12" w:space="0" w:color="000000"/>
            </w:tcBorders>
            <w:shd w:val="clear" w:color="auto" w:fill="auto"/>
            <w:vAlign w:val="center"/>
          </w:tcPr>
          <w:p w14:paraId="6FC98629"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4.58</w:t>
            </w:r>
          </w:p>
        </w:tc>
      </w:tr>
      <w:tr w:rsidR="009968E0" w:rsidRPr="009968E0" w14:paraId="6DA9DB0A" w14:textId="77777777" w:rsidTr="009968E0">
        <w:trPr>
          <w:trHeight w:val="360"/>
        </w:trPr>
        <w:tc>
          <w:tcPr>
            <w:tcW w:w="1679" w:type="dxa"/>
            <w:vMerge/>
            <w:tcBorders>
              <w:top w:val="nil"/>
              <w:left w:val="single" w:sz="12" w:space="0" w:color="000000"/>
              <w:bottom w:val="single" w:sz="4" w:space="0" w:color="000000"/>
              <w:right w:val="nil"/>
            </w:tcBorders>
            <w:shd w:val="clear" w:color="auto" w:fill="FDE9D9"/>
          </w:tcPr>
          <w:p w14:paraId="4D1EB51C"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709" w:type="dxa"/>
            <w:vMerge/>
            <w:tcBorders>
              <w:top w:val="nil"/>
              <w:left w:val="nil"/>
              <w:bottom w:val="single" w:sz="4" w:space="0" w:color="000000"/>
              <w:right w:val="nil"/>
            </w:tcBorders>
            <w:shd w:val="clear" w:color="auto" w:fill="auto"/>
          </w:tcPr>
          <w:p w14:paraId="2E16DB53"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080" w:type="dxa"/>
            <w:tcBorders>
              <w:top w:val="nil"/>
              <w:left w:val="nil"/>
              <w:bottom w:val="single" w:sz="4" w:space="0" w:color="000000"/>
              <w:right w:val="single" w:sz="12" w:space="0" w:color="000000"/>
            </w:tcBorders>
            <w:shd w:val="clear" w:color="auto" w:fill="auto"/>
          </w:tcPr>
          <w:p w14:paraId="3DE8C510"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1126" w:type="dxa"/>
            <w:tcBorders>
              <w:top w:val="nil"/>
              <w:left w:val="nil"/>
              <w:bottom w:val="single" w:sz="4" w:space="0" w:color="000000"/>
              <w:right w:val="single" w:sz="4" w:space="0" w:color="000000"/>
            </w:tcBorders>
            <w:shd w:val="clear" w:color="auto" w:fill="auto"/>
            <w:vAlign w:val="center"/>
          </w:tcPr>
          <w:p w14:paraId="25DCBC59"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318.97</w:t>
            </w:r>
          </w:p>
        </w:tc>
        <w:tc>
          <w:tcPr>
            <w:tcW w:w="1157" w:type="dxa"/>
            <w:tcBorders>
              <w:top w:val="nil"/>
              <w:left w:val="nil"/>
              <w:bottom w:val="single" w:sz="4" w:space="0" w:color="000000"/>
              <w:right w:val="single" w:sz="4" w:space="0" w:color="000000"/>
            </w:tcBorders>
            <w:shd w:val="clear" w:color="auto" w:fill="auto"/>
            <w:vAlign w:val="center"/>
          </w:tcPr>
          <w:p w14:paraId="20326B64"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203.46</w:t>
            </w:r>
          </w:p>
        </w:tc>
        <w:tc>
          <w:tcPr>
            <w:tcW w:w="1126" w:type="dxa"/>
            <w:tcBorders>
              <w:top w:val="nil"/>
              <w:left w:val="nil"/>
              <w:bottom w:val="single" w:sz="4" w:space="0" w:color="000000"/>
              <w:right w:val="single" w:sz="4" w:space="0" w:color="000000"/>
            </w:tcBorders>
            <w:shd w:val="clear" w:color="auto" w:fill="auto"/>
            <w:vAlign w:val="center"/>
          </w:tcPr>
          <w:p w14:paraId="494E92A0"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7.46</w:t>
            </w:r>
          </w:p>
        </w:tc>
        <w:tc>
          <w:tcPr>
            <w:tcW w:w="1187" w:type="dxa"/>
            <w:tcBorders>
              <w:top w:val="nil"/>
              <w:left w:val="nil"/>
              <w:bottom w:val="single" w:sz="4" w:space="0" w:color="000000"/>
              <w:right w:val="single" w:sz="12" w:space="0" w:color="000000"/>
            </w:tcBorders>
            <w:shd w:val="clear" w:color="auto" w:fill="auto"/>
            <w:vAlign w:val="center"/>
          </w:tcPr>
          <w:p w14:paraId="665BDFE9"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11.99</w:t>
            </w:r>
          </w:p>
        </w:tc>
      </w:tr>
      <w:tr w:rsidR="009968E0" w:rsidRPr="009968E0" w14:paraId="77B6AEC5" w14:textId="77777777" w:rsidTr="009968E0">
        <w:trPr>
          <w:trHeight w:val="360"/>
        </w:trPr>
        <w:tc>
          <w:tcPr>
            <w:tcW w:w="9064" w:type="dxa"/>
            <w:gridSpan w:val="7"/>
            <w:tcBorders>
              <w:top w:val="single" w:sz="4" w:space="0" w:color="000000"/>
              <w:left w:val="single" w:sz="12" w:space="0" w:color="000000"/>
              <w:bottom w:val="single" w:sz="4" w:space="0" w:color="000000"/>
              <w:right w:val="single" w:sz="12" w:space="0" w:color="000000"/>
            </w:tcBorders>
            <w:shd w:val="clear" w:color="auto" w:fill="auto"/>
          </w:tcPr>
          <w:p w14:paraId="2844EFF7" w14:textId="77777777" w:rsidR="009968E0" w:rsidRPr="009968E0" w:rsidRDefault="009968E0" w:rsidP="009968E0">
            <w:pPr>
              <w:jc w:val="center"/>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P=.005</w:t>
            </w:r>
          </w:p>
        </w:tc>
      </w:tr>
      <w:tr w:rsidR="009968E0" w:rsidRPr="009968E0" w14:paraId="2BAEF459" w14:textId="77777777" w:rsidTr="009968E0">
        <w:trPr>
          <w:trHeight w:val="360"/>
        </w:trPr>
        <w:tc>
          <w:tcPr>
            <w:tcW w:w="1679" w:type="dxa"/>
            <w:vMerge w:val="restart"/>
            <w:tcBorders>
              <w:top w:val="nil"/>
              <w:left w:val="single" w:sz="12" w:space="0" w:color="000000"/>
              <w:bottom w:val="single" w:sz="4" w:space="0" w:color="000000"/>
              <w:right w:val="nil"/>
            </w:tcBorders>
            <w:shd w:val="clear" w:color="auto" w:fill="FDE9D9"/>
          </w:tcPr>
          <w:p w14:paraId="365BA5D1"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VDT</w:t>
            </w:r>
          </w:p>
          <w:p w14:paraId="74F50C47"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threshold/8</w:t>
            </w:r>
          </w:p>
        </w:tc>
        <w:tc>
          <w:tcPr>
            <w:tcW w:w="2789" w:type="dxa"/>
            <w:gridSpan w:val="2"/>
            <w:tcBorders>
              <w:top w:val="nil"/>
              <w:left w:val="nil"/>
              <w:bottom w:val="single" w:sz="4" w:space="0" w:color="000000"/>
              <w:right w:val="single" w:sz="12" w:space="0" w:color="000000"/>
            </w:tcBorders>
            <w:shd w:val="clear" w:color="auto" w:fill="auto"/>
          </w:tcPr>
          <w:p w14:paraId="77E4F953"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1126" w:type="dxa"/>
            <w:tcBorders>
              <w:top w:val="nil"/>
              <w:left w:val="nil"/>
              <w:bottom w:val="single" w:sz="4" w:space="0" w:color="000000"/>
              <w:right w:val="single" w:sz="4" w:space="0" w:color="000000"/>
            </w:tcBorders>
            <w:shd w:val="clear" w:color="auto" w:fill="auto"/>
            <w:vAlign w:val="center"/>
          </w:tcPr>
          <w:p w14:paraId="263DD6F8"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3.57</w:t>
            </w:r>
          </w:p>
        </w:tc>
        <w:tc>
          <w:tcPr>
            <w:tcW w:w="1157" w:type="dxa"/>
            <w:tcBorders>
              <w:top w:val="nil"/>
              <w:left w:val="nil"/>
              <w:bottom w:val="single" w:sz="4" w:space="0" w:color="000000"/>
              <w:right w:val="single" w:sz="4" w:space="0" w:color="000000"/>
            </w:tcBorders>
            <w:shd w:val="clear" w:color="auto" w:fill="auto"/>
            <w:vAlign w:val="center"/>
          </w:tcPr>
          <w:p w14:paraId="2D6CBEA3"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3.45</w:t>
            </w:r>
          </w:p>
        </w:tc>
        <w:tc>
          <w:tcPr>
            <w:tcW w:w="1126" w:type="dxa"/>
            <w:tcBorders>
              <w:top w:val="nil"/>
              <w:left w:val="nil"/>
              <w:bottom w:val="single" w:sz="4" w:space="0" w:color="000000"/>
              <w:right w:val="single" w:sz="4" w:space="0" w:color="000000"/>
            </w:tcBorders>
            <w:shd w:val="clear" w:color="auto" w:fill="auto"/>
            <w:vAlign w:val="center"/>
          </w:tcPr>
          <w:p w14:paraId="3FDA4530"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6.76</w:t>
            </w:r>
          </w:p>
        </w:tc>
        <w:tc>
          <w:tcPr>
            <w:tcW w:w="1187" w:type="dxa"/>
            <w:tcBorders>
              <w:top w:val="nil"/>
              <w:left w:val="nil"/>
              <w:bottom w:val="single" w:sz="4" w:space="0" w:color="000000"/>
              <w:right w:val="single" w:sz="12" w:space="0" w:color="000000"/>
            </w:tcBorders>
            <w:shd w:val="clear" w:color="auto" w:fill="auto"/>
            <w:vAlign w:val="center"/>
          </w:tcPr>
          <w:p w14:paraId="339D1157"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7.18</w:t>
            </w:r>
          </w:p>
        </w:tc>
      </w:tr>
      <w:tr w:rsidR="009968E0" w:rsidRPr="009968E0" w14:paraId="71A49DA2" w14:textId="77777777" w:rsidTr="009968E0">
        <w:trPr>
          <w:trHeight w:val="360"/>
        </w:trPr>
        <w:tc>
          <w:tcPr>
            <w:tcW w:w="1679" w:type="dxa"/>
            <w:vMerge/>
            <w:tcBorders>
              <w:top w:val="nil"/>
              <w:left w:val="single" w:sz="12" w:space="0" w:color="000000"/>
              <w:bottom w:val="single" w:sz="4" w:space="0" w:color="000000"/>
              <w:right w:val="nil"/>
            </w:tcBorders>
            <w:shd w:val="clear" w:color="auto" w:fill="FDE9D9"/>
          </w:tcPr>
          <w:p w14:paraId="71E0C795"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709" w:type="dxa"/>
            <w:vMerge w:val="restart"/>
            <w:tcBorders>
              <w:top w:val="nil"/>
              <w:left w:val="nil"/>
              <w:bottom w:val="single" w:sz="4" w:space="0" w:color="000000"/>
              <w:right w:val="nil"/>
            </w:tcBorders>
            <w:shd w:val="clear" w:color="auto" w:fill="auto"/>
          </w:tcPr>
          <w:p w14:paraId="57558362"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 for Mean</w:t>
            </w:r>
          </w:p>
        </w:tc>
        <w:tc>
          <w:tcPr>
            <w:tcW w:w="1080" w:type="dxa"/>
            <w:tcBorders>
              <w:top w:val="nil"/>
              <w:left w:val="nil"/>
              <w:bottom w:val="nil"/>
              <w:right w:val="single" w:sz="12" w:space="0" w:color="000000"/>
            </w:tcBorders>
            <w:shd w:val="clear" w:color="auto" w:fill="auto"/>
          </w:tcPr>
          <w:p w14:paraId="069E21F1"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1126" w:type="dxa"/>
            <w:tcBorders>
              <w:top w:val="nil"/>
              <w:left w:val="nil"/>
              <w:bottom w:val="nil"/>
              <w:right w:val="single" w:sz="4" w:space="0" w:color="000000"/>
            </w:tcBorders>
            <w:shd w:val="clear" w:color="auto" w:fill="auto"/>
            <w:vAlign w:val="center"/>
          </w:tcPr>
          <w:p w14:paraId="7B88DE22"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2.02</w:t>
            </w:r>
          </w:p>
        </w:tc>
        <w:tc>
          <w:tcPr>
            <w:tcW w:w="1157" w:type="dxa"/>
            <w:tcBorders>
              <w:top w:val="nil"/>
              <w:left w:val="nil"/>
              <w:bottom w:val="nil"/>
              <w:right w:val="single" w:sz="4" w:space="0" w:color="000000"/>
            </w:tcBorders>
            <w:shd w:val="clear" w:color="auto" w:fill="auto"/>
            <w:vAlign w:val="center"/>
          </w:tcPr>
          <w:p w14:paraId="4CBEB869"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2.19</w:t>
            </w:r>
          </w:p>
        </w:tc>
        <w:tc>
          <w:tcPr>
            <w:tcW w:w="1126" w:type="dxa"/>
            <w:tcBorders>
              <w:top w:val="nil"/>
              <w:left w:val="nil"/>
              <w:bottom w:val="nil"/>
              <w:right w:val="single" w:sz="4" w:space="0" w:color="000000"/>
            </w:tcBorders>
            <w:shd w:val="clear" w:color="auto" w:fill="auto"/>
            <w:vAlign w:val="center"/>
          </w:tcPr>
          <w:p w14:paraId="4BB569F0"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5.41</w:t>
            </w:r>
          </w:p>
        </w:tc>
        <w:tc>
          <w:tcPr>
            <w:tcW w:w="1187" w:type="dxa"/>
            <w:tcBorders>
              <w:top w:val="nil"/>
              <w:left w:val="nil"/>
              <w:bottom w:val="nil"/>
              <w:right w:val="single" w:sz="12" w:space="0" w:color="000000"/>
            </w:tcBorders>
            <w:shd w:val="clear" w:color="auto" w:fill="auto"/>
            <w:vAlign w:val="center"/>
          </w:tcPr>
          <w:p w14:paraId="09ADF535"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6.57</w:t>
            </w:r>
          </w:p>
        </w:tc>
      </w:tr>
      <w:tr w:rsidR="009968E0" w:rsidRPr="009968E0" w14:paraId="4468552C" w14:textId="77777777" w:rsidTr="009968E0">
        <w:trPr>
          <w:trHeight w:val="360"/>
        </w:trPr>
        <w:tc>
          <w:tcPr>
            <w:tcW w:w="1679" w:type="dxa"/>
            <w:vMerge/>
            <w:tcBorders>
              <w:top w:val="nil"/>
              <w:left w:val="single" w:sz="12" w:space="0" w:color="000000"/>
              <w:bottom w:val="single" w:sz="4" w:space="0" w:color="000000"/>
              <w:right w:val="nil"/>
            </w:tcBorders>
            <w:shd w:val="clear" w:color="auto" w:fill="FDE9D9"/>
          </w:tcPr>
          <w:p w14:paraId="53405692"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709" w:type="dxa"/>
            <w:vMerge/>
            <w:tcBorders>
              <w:top w:val="nil"/>
              <w:left w:val="nil"/>
              <w:bottom w:val="single" w:sz="4" w:space="0" w:color="000000"/>
              <w:right w:val="nil"/>
            </w:tcBorders>
            <w:shd w:val="clear" w:color="auto" w:fill="auto"/>
          </w:tcPr>
          <w:p w14:paraId="66460FA7"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080" w:type="dxa"/>
            <w:tcBorders>
              <w:top w:val="nil"/>
              <w:left w:val="nil"/>
              <w:bottom w:val="single" w:sz="4" w:space="0" w:color="000000"/>
              <w:right w:val="single" w:sz="12" w:space="0" w:color="000000"/>
            </w:tcBorders>
            <w:shd w:val="clear" w:color="auto" w:fill="auto"/>
          </w:tcPr>
          <w:p w14:paraId="28D37A19"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1126" w:type="dxa"/>
            <w:tcBorders>
              <w:top w:val="nil"/>
              <w:left w:val="nil"/>
              <w:bottom w:val="single" w:sz="4" w:space="0" w:color="000000"/>
              <w:right w:val="single" w:sz="4" w:space="0" w:color="000000"/>
            </w:tcBorders>
            <w:shd w:val="clear" w:color="auto" w:fill="auto"/>
            <w:vAlign w:val="center"/>
          </w:tcPr>
          <w:p w14:paraId="53FFD14B"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5.13</w:t>
            </w:r>
          </w:p>
        </w:tc>
        <w:tc>
          <w:tcPr>
            <w:tcW w:w="1157" w:type="dxa"/>
            <w:tcBorders>
              <w:top w:val="nil"/>
              <w:left w:val="nil"/>
              <w:bottom w:val="single" w:sz="4" w:space="0" w:color="000000"/>
              <w:right w:val="single" w:sz="4" w:space="0" w:color="000000"/>
            </w:tcBorders>
            <w:shd w:val="clear" w:color="auto" w:fill="auto"/>
            <w:vAlign w:val="center"/>
          </w:tcPr>
          <w:p w14:paraId="180D1DA3"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4.71</w:t>
            </w:r>
          </w:p>
        </w:tc>
        <w:tc>
          <w:tcPr>
            <w:tcW w:w="1126" w:type="dxa"/>
            <w:tcBorders>
              <w:top w:val="nil"/>
              <w:left w:val="nil"/>
              <w:bottom w:val="single" w:sz="4" w:space="0" w:color="000000"/>
              <w:right w:val="single" w:sz="4" w:space="0" w:color="000000"/>
            </w:tcBorders>
            <w:shd w:val="clear" w:color="auto" w:fill="auto"/>
            <w:vAlign w:val="center"/>
          </w:tcPr>
          <w:p w14:paraId="4A36C590"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8.11</w:t>
            </w:r>
          </w:p>
        </w:tc>
        <w:tc>
          <w:tcPr>
            <w:tcW w:w="1187" w:type="dxa"/>
            <w:tcBorders>
              <w:top w:val="nil"/>
              <w:left w:val="nil"/>
              <w:bottom w:val="single" w:sz="4" w:space="0" w:color="000000"/>
              <w:right w:val="single" w:sz="12" w:space="0" w:color="000000"/>
            </w:tcBorders>
            <w:shd w:val="clear" w:color="auto" w:fill="auto"/>
            <w:vAlign w:val="center"/>
          </w:tcPr>
          <w:p w14:paraId="32460CDD"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7.80</w:t>
            </w:r>
          </w:p>
        </w:tc>
      </w:tr>
      <w:tr w:rsidR="009968E0" w:rsidRPr="009968E0" w14:paraId="7D940477" w14:textId="77777777" w:rsidTr="009968E0">
        <w:trPr>
          <w:trHeight w:val="360"/>
        </w:trPr>
        <w:tc>
          <w:tcPr>
            <w:tcW w:w="9064" w:type="dxa"/>
            <w:gridSpan w:val="7"/>
            <w:tcBorders>
              <w:top w:val="single" w:sz="4" w:space="0" w:color="000000"/>
              <w:left w:val="single" w:sz="12" w:space="0" w:color="000000"/>
              <w:bottom w:val="single" w:sz="4" w:space="0" w:color="000000"/>
              <w:right w:val="single" w:sz="12" w:space="0" w:color="000000"/>
            </w:tcBorders>
            <w:shd w:val="clear" w:color="auto" w:fill="auto"/>
          </w:tcPr>
          <w:p w14:paraId="71985F7C" w14:textId="77777777" w:rsidR="009968E0" w:rsidRPr="009968E0" w:rsidRDefault="009968E0" w:rsidP="009968E0">
            <w:pPr>
              <w:jc w:val="center"/>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lastRenderedPageBreak/>
              <w:t>P&lt;.001</w:t>
            </w:r>
          </w:p>
        </w:tc>
      </w:tr>
      <w:tr w:rsidR="009968E0" w:rsidRPr="009968E0" w14:paraId="079A0A29" w14:textId="77777777" w:rsidTr="009968E0">
        <w:trPr>
          <w:trHeight w:val="360"/>
        </w:trPr>
        <w:tc>
          <w:tcPr>
            <w:tcW w:w="1679" w:type="dxa"/>
            <w:vMerge w:val="restart"/>
            <w:tcBorders>
              <w:top w:val="nil"/>
              <w:left w:val="single" w:sz="12" w:space="0" w:color="000000"/>
              <w:bottom w:val="single" w:sz="4" w:space="0" w:color="000000"/>
              <w:right w:val="nil"/>
            </w:tcBorders>
            <w:shd w:val="clear" w:color="auto" w:fill="FDE9D9"/>
          </w:tcPr>
          <w:p w14:paraId="327C4324"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DMA</w:t>
            </w:r>
          </w:p>
          <w:p w14:paraId="642883EF"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pain rating</w:t>
            </w:r>
          </w:p>
        </w:tc>
        <w:tc>
          <w:tcPr>
            <w:tcW w:w="2789" w:type="dxa"/>
            <w:gridSpan w:val="2"/>
            <w:tcBorders>
              <w:top w:val="nil"/>
              <w:left w:val="nil"/>
              <w:bottom w:val="single" w:sz="4" w:space="0" w:color="000000"/>
              <w:right w:val="single" w:sz="12" w:space="0" w:color="000000"/>
            </w:tcBorders>
            <w:shd w:val="clear" w:color="auto" w:fill="auto"/>
          </w:tcPr>
          <w:p w14:paraId="015A4916"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1126" w:type="dxa"/>
            <w:tcBorders>
              <w:top w:val="nil"/>
              <w:left w:val="nil"/>
              <w:bottom w:val="single" w:sz="4" w:space="0" w:color="000000"/>
              <w:right w:val="single" w:sz="4" w:space="0" w:color="000000"/>
            </w:tcBorders>
            <w:shd w:val="clear" w:color="auto" w:fill="auto"/>
            <w:vAlign w:val="center"/>
          </w:tcPr>
          <w:p w14:paraId="7FB27B9F"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.42</w:t>
            </w:r>
          </w:p>
        </w:tc>
        <w:tc>
          <w:tcPr>
            <w:tcW w:w="1157" w:type="dxa"/>
            <w:tcBorders>
              <w:top w:val="nil"/>
              <w:left w:val="nil"/>
              <w:bottom w:val="single" w:sz="4" w:space="0" w:color="000000"/>
              <w:right w:val="single" w:sz="4" w:space="0" w:color="000000"/>
            </w:tcBorders>
            <w:shd w:val="clear" w:color="auto" w:fill="auto"/>
            <w:vAlign w:val="center"/>
          </w:tcPr>
          <w:p w14:paraId="7D3D9086"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.06</w:t>
            </w:r>
          </w:p>
        </w:tc>
        <w:tc>
          <w:tcPr>
            <w:tcW w:w="1126" w:type="dxa"/>
            <w:tcBorders>
              <w:top w:val="nil"/>
              <w:left w:val="nil"/>
              <w:bottom w:val="single" w:sz="4" w:space="0" w:color="000000"/>
              <w:right w:val="single" w:sz="4" w:space="0" w:color="000000"/>
            </w:tcBorders>
            <w:shd w:val="clear" w:color="auto" w:fill="auto"/>
            <w:vAlign w:val="center"/>
          </w:tcPr>
          <w:p w14:paraId="3DDE6389"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.03</w:t>
            </w:r>
          </w:p>
        </w:tc>
        <w:tc>
          <w:tcPr>
            <w:tcW w:w="1187" w:type="dxa"/>
            <w:tcBorders>
              <w:top w:val="nil"/>
              <w:left w:val="nil"/>
              <w:bottom w:val="single" w:sz="4" w:space="0" w:color="000000"/>
              <w:right w:val="single" w:sz="12" w:space="0" w:color="000000"/>
            </w:tcBorders>
            <w:shd w:val="clear" w:color="auto" w:fill="auto"/>
            <w:vAlign w:val="center"/>
          </w:tcPr>
          <w:p w14:paraId="179D462E"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.01</w:t>
            </w:r>
          </w:p>
        </w:tc>
      </w:tr>
      <w:tr w:rsidR="009968E0" w:rsidRPr="009968E0" w14:paraId="2D0CBBE6" w14:textId="77777777" w:rsidTr="009968E0">
        <w:trPr>
          <w:trHeight w:val="360"/>
        </w:trPr>
        <w:tc>
          <w:tcPr>
            <w:tcW w:w="1679" w:type="dxa"/>
            <w:vMerge/>
            <w:tcBorders>
              <w:top w:val="nil"/>
              <w:left w:val="single" w:sz="12" w:space="0" w:color="000000"/>
              <w:bottom w:val="single" w:sz="4" w:space="0" w:color="000000"/>
              <w:right w:val="nil"/>
            </w:tcBorders>
            <w:shd w:val="clear" w:color="auto" w:fill="FDE9D9"/>
          </w:tcPr>
          <w:p w14:paraId="3B848A41"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709" w:type="dxa"/>
            <w:vMerge w:val="restart"/>
            <w:tcBorders>
              <w:top w:val="nil"/>
              <w:left w:val="nil"/>
              <w:bottom w:val="single" w:sz="4" w:space="0" w:color="000000"/>
              <w:right w:val="nil"/>
            </w:tcBorders>
            <w:shd w:val="clear" w:color="auto" w:fill="auto"/>
          </w:tcPr>
          <w:p w14:paraId="66B8C4C4"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 for Mean</w:t>
            </w:r>
          </w:p>
        </w:tc>
        <w:tc>
          <w:tcPr>
            <w:tcW w:w="1080" w:type="dxa"/>
            <w:tcBorders>
              <w:top w:val="nil"/>
              <w:left w:val="nil"/>
              <w:bottom w:val="nil"/>
              <w:right w:val="single" w:sz="12" w:space="0" w:color="000000"/>
            </w:tcBorders>
            <w:shd w:val="clear" w:color="auto" w:fill="auto"/>
          </w:tcPr>
          <w:p w14:paraId="59617548"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1126" w:type="dxa"/>
            <w:tcBorders>
              <w:top w:val="nil"/>
              <w:left w:val="nil"/>
              <w:bottom w:val="nil"/>
              <w:right w:val="single" w:sz="4" w:space="0" w:color="000000"/>
            </w:tcBorders>
            <w:shd w:val="clear" w:color="auto" w:fill="auto"/>
            <w:vAlign w:val="center"/>
          </w:tcPr>
          <w:p w14:paraId="0ADD4272"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-.15</w:t>
            </w:r>
          </w:p>
        </w:tc>
        <w:tc>
          <w:tcPr>
            <w:tcW w:w="1157" w:type="dxa"/>
            <w:tcBorders>
              <w:top w:val="nil"/>
              <w:left w:val="nil"/>
              <w:bottom w:val="nil"/>
              <w:right w:val="single" w:sz="4" w:space="0" w:color="000000"/>
            </w:tcBorders>
            <w:shd w:val="clear" w:color="auto" w:fill="auto"/>
            <w:vAlign w:val="center"/>
          </w:tcPr>
          <w:p w14:paraId="654AC97B"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-.01</w:t>
            </w:r>
          </w:p>
        </w:tc>
        <w:tc>
          <w:tcPr>
            <w:tcW w:w="1126" w:type="dxa"/>
            <w:tcBorders>
              <w:top w:val="nil"/>
              <w:left w:val="nil"/>
              <w:bottom w:val="nil"/>
              <w:right w:val="single" w:sz="4" w:space="0" w:color="000000"/>
            </w:tcBorders>
            <w:shd w:val="clear" w:color="auto" w:fill="auto"/>
            <w:vAlign w:val="center"/>
          </w:tcPr>
          <w:p w14:paraId="01206B20"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-.01</w:t>
            </w:r>
          </w:p>
        </w:tc>
        <w:tc>
          <w:tcPr>
            <w:tcW w:w="1187" w:type="dxa"/>
            <w:tcBorders>
              <w:top w:val="nil"/>
              <w:left w:val="nil"/>
              <w:bottom w:val="nil"/>
              <w:right w:val="single" w:sz="12" w:space="0" w:color="000000"/>
            </w:tcBorders>
            <w:shd w:val="clear" w:color="auto" w:fill="auto"/>
            <w:vAlign w:val="center"/>
          </w:tcPr>
          <w:p w14:paraId="53BA4C44"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.00</w:t>
            </w:r>
          </w:p>
        </w:tc>
      </w:tr>
      <w:tr w:rsidR="009968E0" w:rsidRPr="009968E0" w14:paraId="1834B18E" w14:textId="77777777" w:rsidTr="009968E0">
        <w:trPr>
          <w:trHeight w:val="360"/>
        </w:trPr>
        <w:tc>
          <w:tcPr>
            <w:tcW w:w="1679" w:type="dxa"/>
            <w:vMerge/>
            <w:tcBorders>
              <w:top w:val="nil"/>
              <w:left w:val="single" w:sz="12" w:space="0" w:color="000000"/>
              <w:bottom w:val="single" w:sz="4" w:space="0" w:color="000000"/>
              <w:right w:val="nil"/>
            </w:tcBorders>
            <w:shd w:val="clear" w:color="auto" w:fill="FDE9D9"/>
          </w:tcPr>
          <w:p w14:paraId="5C913AC6"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709" w:type="dxa"/>
            <w:vMerge/>
            <w:tcBorders>
              <w:top w:val="nil"/>
              <w:left w:val="nil"/>
              <w:bottom w:val="single" w:sz="4" w:space="0" w:color="000000"/>
              <w:right w:val="nil"/>
            </w:tcBorders>
            <w:shd w:val="clear" w:color="auto" w:fill="auto"/>
          </w:tcPr>
          <w:p w14:paraId="4A889E10"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080" w:type="dxa"/>
            <w:tcBorders>
              <w:top w:val="nil"/>
              <w:left w:val="nil"/>
              <w:bottom w:val="single" w:sz="4" w:space="0" w:color="000000"/>
              <w:right w:val="single" w:sz="12" w:space="0" w:color="000000"/>
            </w:tcBorders>
            <w:shd w:val="clear" w:color="auto" w:fill="auto"/>
          </w:tcPr>
          <w:p w14:paraId="7624A75F"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1126" w:type="dxa"/>
            <w:tcBorders>
              <w:top w:val="nil"/>
              <w:left w:val="nil"/>
              <w:bottom w:val="single" w:sz="4" w:space="0" w:color="000000"/>
              <w:right w:val="single" w:sz="4" w:space="0" w:color="000000"/>
            </w:tcBorders>
            <w:shd w:val="clear" w:color="auto" w:fill="auto"/>
            <w:vAlign w:val="center"/>
          </w:tcPr>
          <w:p w14:paraId="7735E65D"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.98</w:t>
            </w:r>
          </w:p>
        </w:tc>
        <w:tc>
          <w:tcPr>
            <w:tcW w:w="1157" w:type="dxa"/>
            <w:tcBorders>
              <w:top w:val="nil"/>
              <w:left w:val="nil"/>
              <w:bottom w:val="single" w:sz="4" w:space="0" w:color="000000"/>
              <w:right w:val="single" w:sz="4" w:space="0" w:color="000000"/>
            </w:tcBorders>
            <w:shd w:val="clear" w:color="auto" w:fill="auto"/>
            <w:vAlign w:val="center"/>
          </w:tcPr>
          <w:p w14:paraId="69D36B8E"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.12</w:t>
            </w:r>
          </w:p>
        </w:tc>
        <w:tc>
          <w:tcPr>
            <w:tcW w:w="1126" w:type="dxa"/>
            <w:tcBorders>
              <w:top w:val="nil"/>
              <w:left w:val="nil"/>
              <w:bottom w:val="single" w:sz="4" w:space="0" w:color="000000"/>
              <w:right w:val="single" w:sz="4" w:space="0" w:color="000000"/>
            </w:tcBorders>
            <w:shd w:val="clear" w:color="auto" w:fill="auto"/>
            <w:vAlign w:val="center"/>
          </w:tcPr>
          <w:p w14:paraId="6ED20478"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.06</w:t>
            </w:r>
          </w:p>
        </w:tc>
        <w:tc>
          <w:tcPr>
            <w:tcW w:w="1187" w:type="dxa"/>
            <w:tcBorders>
              <w:top w:val="nil"/>
              <w:left w:val="nil"/>
              <w:bottom w:val="single" w:sz="4" w:space="0" w:color="000000"/>
              <w:right w:val="single" w:sz="12" w:space="0" w:color="000000"/>
            </w:tcBorders>
            <w:shd w:val="clear" w:color="auto" w:fill="auto"/>
            <w:vAlign w:val="center"/>
          </w:tcPr>
          <w:p w14:paraId="0A02604A"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.02</w:t>
            </w:r>
          </w:p>
        </w:tc>
      </w:tr>
      <w:tr w:rsidR="009968E0" w:rsidRPr="009968E0" w14:paraId="79FFF09C" w14:textId="77777777" w:rsidTr="009968E0">
        <w:trPr>
          <w:trHeight w:val="360"/>
        </w:trPr>
        <w:tc>
          <w:tcPr>
            <w:tcW w:w="9064" w:type="dxa"/>
            <w:gridSpan w:val="7"/>
            <w:tcBorders>
              <w:top w:val="single" w:sz="4" w:space="0" w:color="000000"/>
              <w:left w:val="single" w:sz="12" w:space="0" w:color="000000"/>
              <w:bottom w:val="single" w:sz="4" w:space="0" w:color="000000"/>
              <w:right w:val="single" w:sz="12" w:space="0" w:color="000000"/>
            </w:tcBorders>
            <w:shd w:val="clear" w:color="auto" w:fill="auto"/>
          </w:tcPr>
          <w:p w14:paraId="388C50AE" w14:textId="77777777" w:rsidR="009968E0" w:rsidRPr="009968E0" w:rsidRDefault="009968E0" w:rsidP="009968E0">
            <w:pPr>
              <w:jc w:val="center"/>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p=.128</w:t>
            </w:r>
          </w:p>
        </w:tc>
      </w:tr>
      <w:tr w:rsidR="009968E0" w:rsidRPr="009968E0" w14:paraId="65D3DF29" w14:textId="77777777" w:rsidTr="009968E0">
        <w:trPr>
          <w:trHeight w:val="360"/>
        </w:trPr>
        <w:tc>
          <w:tcPr>
            <w:tcW w:w="1679" w:type="dxa"/>
            <w:vMerge w:val="restart"/>
            <w:tcBorders>
              <w:top w:val="nil"/>
              <w:left w:val="single" w:sz="12" w:space="0" w:color="000000"/>
              <w:bottom w:val="nil"/>
              <w:right w:val="nil"/>
            </w:tcBorders>
            <w:shd w:val="clear" w:color="auto" w:fill="FDE9D9"/>
          </w:tcPr>
          <w:p w14:paraId="6ABE82DC"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PHS</w:t>
            </w:r>
          </w:p>
          <w:p w14:paraId="29AF2B3C"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number/3</w:t>
            </w:r>
          </w:p>
        </w:tc>
        <w:tc>
          <w:tcPr>
            <w:tcW w:w="2789" w:type="dxa"/>
            <w:gridSpan w:val="2"/>
            <w:tcBorders>
              <w:top w:val="nil"/>
              <w:left w:val="nil"/>
              <w:bottom w:val="single" w:sz="4" w:space="0" w:color="000000"/>
              <w:right w:val="single" w:sz="12" w:space="0" w:color="000000"/>
            </w:tcBorders>
            <w:shd w:val="clear" w:color="auto" w:fill="auto"/>
          </w:tcPr>
          <w:p w14:paraId="401A5332"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1126" w:type="dxa"/>
            <w:tcBorders>
              <w:top w:val="nil"/>
              <w:left w:val="nil"/>
              <w:bottom w:val="single" w:sz="4" w:space="0" w:color="000000"/>
              <w:right w:val="single" w:sz="4" w:space="0" w:color="000000"/>
            </w:tcBorders>
            <w:shd w:val="clear" w:color="auto" w:fill="auto"/>
            <w:vAlign w:val="center"/>
          </w:tcPr>
          <w:p w14:paraId="4CF67A0F"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.63</w:t>
            </w:r>
          </w:p>
        </w:tc>
        <w:tc>
          <w:tcPr>
            <w:tcW w:w="1157" w:type="dxa"/>
            <w:tcBorders>
              <w:top w:val="nil"/>
              <w:left w:val="nil"/>
              <w:bottom w:val="single" w:sz="4" w:space="0" w:color="000000"/>
              <w:right w:val="single" w:sz="4" w:space="0" w:color="000000"/>
            </w:tcBorders>
            <w:shd w:val="clear" w:color="auto" w:fill="auto"/>
            <w:vAlign w:val="center"/>
          </w:tcPr>
          <w:p w14:paraId="26B56393"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1.13</w:t>
            </w:r>
          </w:p>
        </w:tc>
        <w:tc>
          <w:tcPr>
            <w:tcW w:w="1126" w:type="dxa"/>
            <w:tcBorders>
              <w:top w:val="nil"/>
              <w:left w:val="nil"/>
              <w:bottom w:val="single" w:sz="4" w:space="0" w:color="000000"/>
              <w:right w:val="single" w:sz="4" w:space="0" w:color="000000"/>
            </w:tcBorders>
            <w:shd w:val="clear" w:color="auto" w:fill="auto"/>
            <w:vAlign w:val="center"/>
          </w:tcPr>
          <w:p w14:paraId="17B9B4E1"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.85</w:t>
            </w:r>
          </w:p>
        </w:tc>
        <w:tc>
          <w:tcPr>
            <w:tcW w:w="1187" w:type="dxa"/>
            <w:tcBorders>
              <w:top w:val="nil"/>
              <w:left w:val="nil"/>
              <w:bottom w:val="single" w:sz="4" w:space="0" w:color="000000"/>
              <w:right w:val="single" w:sz="12" w:space="0" w:color="000000"/>
            </w:tcBorders>
            <w:shd w:val="clear" w:color="auto" w:fill="auto"/>
            <w:vAlign w:val="center"/>
          </w:tcPr>
          <w:p w14:paraId="4A5CD13D"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.58</w:t>
            </w:r>
          </w:p>
        </w:tc>
      </w:tr>
      <w:tr w:rsidR="009968E0" w:rsidRPr="009968E0" w14:paraId="6B03F7F4" w14:textId="77777777" w:rsidTr="009968E0">
        <w:trPr>
          <w:trHeight w:val="360"/>
        </w:trPr>
        <w:tc>
          <w:tcPr>
            <w:tcW w:w="1679" w:type="dxa"/>
            <w:vMerge/>
            <w:tcBorders>
              <w:top w:val="nil"/>
              <w:left w:val="single" w:sz="12" w:space="0" w:color="000000"/>
              <w:bottom w:val="nil"/>
              <w:right w:val="nil"/>
            </w:tcBorders>
            <w:shd w:val="clear" w:color="auto" w:fill="FDE9D9"/>
          </w:tcPr>
          <w:p w14:paraId="0C25051C"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709" w:type="dxa"/>
            <w:vMerge w:val="restart"/>
            <w:tcBorders>
              <w:top w:val="nil"/>
              <w:left w:val="nil"/>
              <w:bottom w:val="nil"/>
              <w:right w:val="nil"/>
            </w:tcBorders>
            <w:shd w:val="clear" w:color="auto" w:fill="auto"/>
          </w:tcPr>
          <w:p w14:paraId="0341B527"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 for Mean</w:t>
            </w:r>
          </w:p>
        </w:tc>
        <w:tc>
          <w:tcPr>
            <w:tcW w:w="1080" w:type="dxa"/>
            <w:tcBorders>
              <w:top w:val="nil"/>
              <w:left w:val="nil"/>
              <w:bottom w:val="nil"/>
              <w:right w:val="single" w:sz="12" w:space="0" w:color="000000"/>
            </w:tcBorders>
            <w:shd w:val="clear" w:color="auto" w:fill="auto"/>
          </w:tcPr>
          <w:p w14:paraId="0ACF5291"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1126" w:type="dxa"/>
            <w:tcBorders>
              <w:top w:val="nil"/>
              <w:left w:val="nil"/>
              <w:bottom w:val="nil"/>
              <w:right w:val="single" w:sz="4" w:space="0" w:color="000000"/>
            </w:tcBorders>
            <w:shd w:val="clear" w:color="auto" w:fill="auto"/>
            <w:vAlign w:val="center"/>
          </w:tcPr>
          <w:p w14:paraId="4E9F3D66"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.07</w:t>
            </w:r>
          </w:p>
        </w:tc>
        <w:tc>
          <w:tcPr>
            <w:tcW w:w="1157" w:type="dxa"/>
            <w:tcBorders>
              <w:top w:val="nil"/>
              <w:left w:val="nil"/>
              <w:bottom w:val="nil"/>
              <w:right w:val="single" w:sz="4" w:space="0" w:color="000000"/>
            </w:tcBorders>
            <w:shd w:val="clear" w:color="auto" w:fill="auto"/>
            <w:vAlign w:val="center"/>
          </w:tcPr>
          <w:p w14:paraId="4E034FC8"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.60</w:t>
            </w:r>
          </w:p>
        </w:tc>
        <w:tc>
          <w:tcPr>
            <w:tcW w:w="1126" w:type="dxa"/>
            <w:tcBorders>
              <w:top w:val="nil"/>
              <w:left w:val="nil"/>
              <w:bottom w:val="nil"/>
              <w:right w:val="single" w:sz="4" w:space="0" w:color="000000"/>
            </w:tcBorders>
            <w:shd w:val="clear" w:color="auto" w:fill="auto"/>
            <w:vAlign w:val="center"/>
          </w:tcPr>
          <w:p w14:paraId="70187F20"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.03</w:t>
            </w:r>
          </w:p>
        </w:tc>
        <w:tc>
          <w:tcPr>
            <w:tcW w:w="1187" w:type="dxa"/>
            <w:tcBorders>
              <w:top w:val="nil"/>
              <w:left w:val="nil"/>
              <w:bottom w:val="nil"/>
              <w:right w:val="single" w:sz="12" w:space="0" w:color="000000"/>
            </w:tcBorders>
            <w:shd w:val="clear" w:color="auto" w:fill="auto"/>
            <w:vAlign w:val="center"/>
          </w:tcPr>
          <w:p w14:paraId="76D1D5CC"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.09</w:t>
            </w:r>
          </w:p>
        </w:tc>
      </w:tr>
      <w:tr w:rsidR="009968E0" w:rsidRPr="009968E0" w14:paraId="04465E49" w14:textId="77777777" w:rsidTr="009968E0">
        <w:trPr>
          <w:trHeight w:val="360"/>
        </w:trPr>
        <w:tc>
          <w:tcPr>
            <w:tcW w:w="1679" w:type="dxa"/>
            <w:vMerge/>
            <w:tcBorders>
              <w:top w:val="nil"/>
              <w:left w:val="single" w:sz="12" w:space="0" w:color="000000"/>
              <w:bottom w:val="nil"/>
              <w:right w:val="nil"/>
            </w:tcBorders>
            <w:shd w:val="clear" w:color="auto" w:fill="FDE9D9"/>
          </w:tcPr>
          <w:p w14:paraId="124C4DCB"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709" w:type="dxa"/>
            <w:vMerge/>
            <w:tcBorders>
              <w:top w:val="nil"/>
              <w:left w:val="nil"/>
              <w:bottom w:val="nil"/>
              <w:right w:val="nil"/>
            </w:tcBorders>
            <w:shd w:val="clear" w:color="auto" w:fill="auto"/>
          </w:tcPr>
          <w:p w14:paraId="14512BDB"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080" w:type="dxa"/>
            <w:tcBorders>
              <w:top w:val="nil"/>
              <w:left w:val="nil"/>
              <w:bottom w:val="nil"/>
              <w:right w:val="single" w:sz="12" w:space="0" w:color="000000"/>
            </w:tcBorders>
            <w:shd w:val="clear" w:color="auto" w:fill="auto"/>
          </w:tcPr>
          <w:p w14:paraId="090C3280"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1126" w:type="dxa"/>
            <w:tcBorders>
              <w:top w:val="nil"/>
              <w:left w:val="nil"/>
              <w:bottom w:val="nil"/>
              <w:right w:val="single" w:sz="4" w:space="0" w:color="000000"/>
            </w:tcBorders>
            <w:shd w:val="clear" w:color="auto" w:fill="auto"/>
            <w:vAlign w:val="center"/>
          </w:tcPr>
          <w:p w14:paraId="33FA05FC"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1.19</w:t>
            </w:r>
          </w:p>
        </w:tc>
        <w:tc>
          <w:tcPr>
            <w:tcW w:w="1157" w:type="dxa"/>
            <w:tcBorders>
              <w:top w:val="nil"/>
              <w:left w:val="nil"/>
              <w:bottom w:val="nil"/>
              <w:right w:val="single" w:sz="4" w:space="0" w:color="000000"/>
            </w:tcBorders>
            <w:shd w:val="clear" w:color="auto" w:fill="auto"/>
            <w:vAlign w:val="center"/>
          </w:tcPr>
          <w:p w14:paraId="19C451D7"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1.66</w:t>
            </w:r>
          </w:p>
        </w:tc>
        <w:tc>
          <w:tcPr>
            <w:tcW w:w="1126" w:type="dxa"/>
            <w:tcBorders>
              <w:top w:val="nil"/>
              <w:left w:val="nil"/>
              <w:bottom w:val="nil"/>
              <w:right w:val="single" w:sz="4" w:space="0" w:color="000000"/>
            </w:tcBorders>
            <w:shd w:val="clear" w:color="auto" w:fill="auto"/>
            <w:vAlign w:val="center"/>
          </w:tcPr>
          <w:p w14:paraId="1B846EEA"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1.66</w:t>
            </w:r>
          </w:p>
        </w:tc>
        <w:tc>
          <w:tcPr>
            <w:tcW w:w="1187" w:type="dxa"/>
            <w:tcBorders>
              <w:top w:val="nil"/>
              <w:left w:val="nil"/>
              <w:bottom w:val="nil"/>
              <w:right w:val="single" w:sz="12" w:space="0" w:color="000000"/>
            </w:tcBorders>
            <w:shd w:val="clear" w:color="auto" w:fill="auto"/>
            <w:vAlign w:val="center"/>
          </w:tcPr>
          <w:p w14:paraId="429FB743" w14:textId="77777777" w:rsidR="009968E0" w:rsidRPr="009968E0" w:rsidRDefault="009968E0" w:rsidP="009968E0">
            <w:pPr>
              <w:jc w:val="right"/>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1.07</w:t>
            </w:r>
          </w:p>
        </w:tc>
      </w:tr>
      <w:tr w:rsidR="009968E0" w:rsidRPr="009968E0" w14:paraId="635F474D" w14:textId="77777777" w:rsidTr="009968E0">
        <w:trPr>
          <w:trHeight w:val="360"/>
        </w:trPr>
        <w:tc>
          <w:tcPr>
            <w:tcW w:w="9064" w:type="dxa"/>
            <w:gridSpan w:val="7"/>
            <w:tcBorders>
              <w:top w:val="single" w:sz="4" w:space="0" w:color="000000"/>
              <w:left w:val="single" w:sz="12" w:space="0" w:color="000000"/>
              <w:bottom w:val="single" w:sz="12" w:space="0" w:color="000000"/>
              <w:right w:val="single" w:sz="12" w:space="0" w:color="000000"/>
            </w:tcBorders>
            <w:shd w:val="clear" w:color="auto" w:fill="auto"/>
          </w:tcPr>
          <w:p w14:paraId="1A9BBAF0" w14:textId="77777777" w:rsidR="009968E0" w:rsidRPr="009968E0" w:rsidRDefault="009968E0" w:rsidP="009968E0">
            <w:pPr>
              <w:jc w:val="center"/>
              <w:rPr>
                <w:rFonts w:ascii="Calibri" w:eastAsia="Times New Roman" w:hAnsi="Calibri" w:cs="Calibri"/>
                <w:color w:val="000000"/>
                <w:sz w:val="22"/>
                <w:szCs w:val="22"/>
                <w:lang w:eastAsia="en-GB"/>
              </w:rPr>
            </w:pPr>
            <w:r w:rsidRPr="009968E0">
              <w:rPr>
                <w:rFonts w:ascii="Calibri" w:eastAsia="Times New Roman" w:hAnsi="Calibri" w:cs="Calibri"/>
                <w:color w:val="000000"/>
                <w:sz w:val="22"/>
                <w:szCs w:val="22"/>
                <w:lang w:eastAsia="en-GB"/>
              </w:rPr>
              <w:t>p=.417</w:t>
            </w:r>
          </w:p>
        </w:tc>
      </w:tr>
    </w:tbl>
    <w:p w14:paraId="593F4510" w14:textId="77777777" w:rsidR="009968E0" w:rsidRPr="009968E0" w:rsidRDefault="009968E0" w:rsidP="009968E0">
      <w:pPr>
        <w:spacing w:line="360" w:lineRule="auto"/>
        <w:rPr>
          <w:rFonts w:ascii="Times New Roman" w:eastAsia="Times New Roman" w:hAnsi="Times New Roman" w:cs="Arial"/>
          <w:i/>
          <w:iCs/>
          <w:color w:val="808080"/>
          <w:lang w:eastAsia="en-GB"/>
        </w:rPr>
      </w:pPr>
      <w:r w:rsidRPr="009968E0">
        <w:rPr>
          <w:rFonts w:ascii="Times New Roman" w:eastAsia="Times New Roman" w:hAnsi="Times New Roman" w:cs="Arial"/>
          <w:i/>
          <w:iCs/>
          <w:color w:val="808080"/>
          <w:lang w:eastAsia="en-GB"/>
        </w:rPr>
        <w:t xml:space="preserve">CDT- cold detection threshold, WDT- warm detection threshold, TSL- thermal sensory limen, CPT-cold pain threshold, HPT-heat pain threshold, PPT- pressure pain threshold, MPT- mechanical pain threshold, MPS-Mechanical Pain sensation, WUR- wind up ratio- (ratio of the series of pain ratings to a single pain rating), MDT-mechanical detection threshold, VDT-vibration detection threshold, DMA-dynamic mechanical allodynia, PHS- paradoxical heat sensation. </w:t>
      </w:r>
    </w:p>
    <w:p w14:paraId="5A2A72DE" w14:textId="77777777" w:rsidR="007A2ECE" w:rsidRDefault="007A2ECE">
      <w:pPr>
        <w:rPr>
          <w:rFonts w:eastAsia="MS Gothic" w:cs="Arial"/>
          <w:b/>
          <w:bCs/>
          <w:color w:val="345A8A"/>
          <w:sz w:val="32"/>
          <w:szCs w:val="32"/>
        </w:rPr>
      </w:pPr>
      <w:bookmarkStart w:id="574" w:name="_Toc48540077"/>
      <w:bookmarkStart w:id="575" w:name="_Toc49272022"/>
      <w:r>
        <w:rPr>
          <w:rFonts w:eastAsia="MS Gothic" w:cs="Arial"/>
          <w:b/>
          <w:bCs/>
          <w:color w:val="345A8A"/>
          <w:sz w:val="32"/>
          <w:szCs w:val="32"/>
        </w:rPr>
        <w:br w:type="page"/>
      </w:r>
    </w:p>
    <w:p w14:paraId="7AE0B7B6" w14:textId="42123425" w:rsidR="009968E0" w:rsidRPr="009968E0" w:rsidRDefault="009968E0" w:rsidP="007A2ECE">
      <w:pPr>
        <w:pStyle w:val="Heading1"/>
        <w:rPr>
          <w:rFonts w:eastAsia="MS Gothic"/>
        </w:rPr>
      </w:pPr>
      <w:bookmarkStart w:id="576" w:name="_Toc64723980"/>
      <w:r w:rsidRPr="009968E0">
        <w:rPr>
          <w:rFonts w:eastAsia="MS Gothic" w:cs="Arial"/>
        </w:rPr>
        <w:lastRenderedPageBreak/>
        <w:t xml:space="preserve">Appendix B: </w:t>
      </w:r>
      <w:r w:rsidRPr="009968E0">
        <w:rPr>
          <w:rFonts w:eastAsia="MS Gothic"/>
        </w:rPr>
        <w:t>Supplementary Results Tables for Chapter 3</w:t>
      </w:r>
      <w:bookmarkEnd w:id="574"/>
      <w:bookmarkEnd w:id="575"/>
      <w:bookmarkEnd w:id="576"/>
      <w:r w:rsidRPr="009968E0">
        <w:rPr>
          <w:rFonts w:eastAsia="MS Gothic"/>
        </w:rPr>
        <w:t xml:space="preserve"> </w:t>
      </w:r>
    </w:p>
    <w:p w14:paraId="19F4B209" w14:textId="77777777" w:rsidR="009968E0" w:rsidRPr="009968E0" w:rsidRDefault="009968E0" w:rsidP="009968E0">
      <w:pPr>
        <w:rPr>
          <w:rFonts w:ascii="Times New Roman" w:eastAsia="Times New Roman" w:hAnsi="Times New Roman" w:cs="Times New Roman"/>
          <w:lang w:eastAsia="en-GB"/>
        </w:rPr>
      </w:pPr>
    </w:p>
    <w:p w14:paraId="5B5ED2EB" w14:textId="662E4C0A" w:rsidR="009968E0" w:rsidRPr="009968E0" w:rsidRDefault="009968E0" w:rsidP="009968E0">
      <w:pPr>
        <w:rPr>
          <w:rFonts w:eastAsia="Calibri" w:cs="Calibri"/>
          <w:i/>
          <w:color w:val="4F81BD"/>
          <w:lang w:eastAsia="en-GB"/>
        </w:rPr>
      </w:pPr>
      <w:bookmarkStart w:id="577" w:name="_Toc48406136"/>
      <w:bookmarkStart w:id="578" w:name="_Toc49273247"/>
      <w:r w:rsidRPr="009968E0">
        <w:rPr>
          <w:rFonts w:eastAsia="Calibri" w:cs="Calibri"/>
          <w:i/>
          <w:color w:val="4F81BD"/>
          <w:lang w:eastAsia="en-GB"/>
        </w:rPr>
        <w:t xml:space="preserve">Figure B.1. Settings for Philips </w:t>
      </w:r>
      <w:proofErr w:type="spellStart"/>
      <w:r w:rsidRPr="009968E0">
        <w:rPr>
          <w:rFonts w:eastAsia="Calibri" w:cs="Calibri"/>
          <w:i/>
          <w:color w:val="4F81BD"/>
          <w:lang w:eastAsia="en-GB"/>
        </w:rPr>
        <w:t>Ingenia</w:t>
      </w:r>
      <w:proofErr w:type="spellEnd"/>
      <w:r w:rsidRPr="009968E0">
        <w:rPr>
          <w:rFonts w:eastAsia="Calibri" w:cs="Calibri"/>
          <w:i/>
          <w:color w:val="4F81BD"/>
          <w:lang w:eastAsia="en-GB"/>
        </w:rPr>
        <w:t xml:space="preserve"> 3T MRI for DSC protocol</w:t>
      </w:r>
      <w:bookmarkEnd w:id="577"/>
      <w:bookmarkEnd w:id="578"/>
    </w:p>
    <w:p w14:paraId="5FCE5E6E" w14:textId="77777777" w:rsidR="009968E0" w:rsidRPr="009968E0" w:rsidRDefault="009968E0" w:rsidP="009968E0">
      <w:pPr>
        <w:rPr>
          <w:rFonts w:ascii="Times New Roman" w:eastAsia="Times New Roman" w:hAnsi="Times New Roman" w:cs="Times New Roman"/>
          <w:lang w:eastAsia="en-GB"/>
        </w:rPr>
      </w:pPr>
    </w:p>
    <w:p w14:paraId="0B0992BB"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Nucleus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"H1</w:t>
      </w:r>
      <w:proofErr w:type="gramStart"/>
      <w:r w:rsidRPr="009968E0">
        <w:rPr>
          <w:rFonts w:ascii="Times New Roman" w:eastAsia="Times New Roman" w:hAnsi="Times New Roman" w:cs="Arial"/>
          <w:sz w:val="20"/>
          <w:szCs w:val="20"/>
          <w:lang w:eastAsia="en-GB"/>
        </w:rPr>
        <w:t>";</w:t>
      </w:r>
      <w:proofErr w:type="gramEnd"/>
    </w:p>
    <w:p w14:paraId="094ED193" w14:textId="77777777" w:rsidR="009968E0" w:rsidRPr="009968E0" w:rsidRDefault="009968E0" w:rsidP="009968E0">
      <w:pPr>
        <w:rPr>
          <w:rFonts w:ascii="Times New Roman" w:eastAsia="Times New Roman" w:hAnsi="Times New Roman" w:cs="Arial"/>
          <w:sz w:val="20"/>
          <w:szCs w:val="20"/>
          <w:lang w:eastAsia="en-GB"/>
        </w:rPr>
      </w:pPr>
      <w:proofErr w:type="spellStart"/>
      <w:r w:rsidRPr="009968E0">
        <w:rPr>
          <w:rFonts w:ascii="Times New Roman" w:eastAsia="Times New Roman" w:hAnsi="Times New Roman" w:cs="Arial"/>
          <w:sz w:val="20"/>
          <w:szCs w:val="20"/>
          <w:lang w:eastAsia="en-GB"/>
        </w:rPr>
        <w:t>SmartSelect</w:t>
      </w:r>
      <w:proofErr w:type="spellEnd"/>
      <w:r w:rsidRPr="009968E0">
        <w:rPr>
          <w:rFonts w:ascii="Times New Roman" w:eastAsia="Times New Roman" w:hAnsi="Times New Roman" w:cs="Arial"/>
          <w:sz w:val="20"/>
          <w:szCs w:val="20"/>
          <w:lang w:eastAsia="en-GB"/>
        </w:rPr>
        <w:t xml:space="preserve">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"yes</w:t>
      </w:r>
      <w:proofErr w:type="gramStart"/>
      <w:r w:rsidRPr="009968E0">
        <w:rPr>
          <w:rFonts w:ascii="Times New Roman" w:eastAsia="Times New Roman" w:hAnsi="Times New Roman" w:cs="Arial"/>
          <w:sz w:val="20"/>
          <w:szCs w:val="20"/>
          <w:lang w:eastAsia="en-GB"/>
        </w:rPr>
        <w:t>";</w:t>
      </w:r>
      <w:proofErr w:type="gramEnd"/>
    </w:p>
    <w:p w14:paraId="2FCAAC60"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Coil 1  (exclude)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"None</w:t>
      </w:r>
      <w:proofErr w:type="gramStart"/>
      <w:r w:rsidRPr="009968E0">
        <w:rPr>
          <w:rFonts w:ascii="Times New Roman" w:eastAsia="Times New Roman" w:hAnsi="Times New Roman" w:cs="Arial"/>
          <w:sz w:val="20"/>
          <w:szCs w:val="20"/>
          <w:lang w:eastAsia="en-GB"/>
        </w:rPr>
        <w:t>";</w:t>
      </w:r>
      <w:proofErr w:type="gramEnd"/>
    </w:p>
    <w:p w14:paraId="0D43ACA7"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Uniformity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"CLEAR</w:t>
      </w:r>
      <w:proofErr w:type="gramStart"/>
      <w:r w:rsidRPr="009968E0">
        <w:rPr>
          <w:rFonts w:ascii="Times New Roman" w:eastAsia="Times New Roman" w:hAnsi="Times New Roman" w:cs="Arial"/>
          <w:sz w:val="20"/>
          <w:szCs w:val="20"/>
          <w:lang w:eastAsia="en-GB"/>
        </w:rPr>
        <w:t>";</w:t>
      </w:r>
      <w:proofErr w:type="gramEnd"/>
    </w:p>
    <w:p w14:paraId="78434AF8"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FOV          RL (mm)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proofErr w:type="gramStart"/>
      <w:r w:rsidRPr="009968E0">
        <w:rPr>
          <w:rFonts w:ascii="Times New Roman" w:eastAsia="Times New Roman" w:hAnsi="Times New Roman" w:cs="Arial"/>
          <w:sz w:val="20"/>
          <w:szCs w:val="20"/>
          <w:lang w:eastAsia="en-GB"/>
        </w:rPr>
        <w:t>224;</w:t>
      </w:r>
      <w:proofErr w:type="gramEnd"/>
    </w:p>
    <w:p w14:paraId="48A01729"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 xml:space="preserve">             AP (mm)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proofErr w:type="gramStart"/>
      <w:r w:rsidRPr="009968E0">
        <w:rPr>
          <w:rFonts w:ascii="Times New Roman" w:eastAsia="Times New Roman" w:hAnsi="Times New Roman" w:cs="Arial"/>
          <w:sz w:val="20"/>
          <w:szCs w:val="20"/>
          <w:lang w:eastAsia="en-GB"/>
        </w:rPr>
        <w:t>224;</w:t>
      </w:r>
      <w:proofErr w:type="gramEnd"/>
    </w:p>
    <w:p w14:paraId="40A55E87"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 xml:space="preserve">             FH (mm)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proofErr w:type="gramStart"/>
      <w:r w:rsidRPr="009968E0">
        <w:rPr>
          <w:rFonts w:ascii="Times New Roman" w:eastAsia="Times New Roman" w:hAnsi="Times New Roman" w:cs="Arial"/>
          <w:sz w:val="20"/>
          <w:szCs w:val="20"/>
          <w:lang w:eastAsia="en-GB"/>
        </w:rPr>
        <w:t>99;</w:t>
      </w:r>
      <w:proofErr w:type="gramEnd"/>
    </w:p>
    <w:p w14:paraId="23284AB2"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Voxel size   RL (mm)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proofErr w:type="gramStart"/>
      <w:r w:rsidRPr="009968E0">
        <w:rPr>
          <w:rFonts w:ascii="Times New Roman" w:eastAsia="Times New Roman" w:hAnsi="Times New Roman" w:cs="Arial"/>
          <w:sz w:val="20"/>
          <w:szCs w:val="20"/>
          <w:lang w:eastAsia="en-GB"/>
        </w:rPr>
        <w:t>2.32999992;</w:t>
      </w:r>
      <w:proofErr w:type="gramEnd"/>
    </w:p>
    <w:p w14:paraId="5BC6467C"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 xml:space="preserve">             AP (mm)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proofErr w:type="gramStart"/>
      <w:r w:rsidRPr="009968E0">
        <w:rPr>
          <w:rFonts w:ascii="Times New Roman" w:eastAsia="Times New Roman" w:hAnsi="Times New Roman" w:cs="Arial"/>
          <w:sz w:val="20"/>
          <w:szCs w:val="20"/>
          <w:lang w:eastAsia="en-GB"/>
        </w:rPr>
        <w:t>2.32999992;</w:t>
      </w:r>
      <w:proofErr w:type="gramEnd"/>
    </w:p>
    <w:p w14:paraId="608AE93F"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Slice thickness (mm)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proofErr w:type="gramStart"/>
      <w:r w:rsidRPr="009968E0">
        <w:rPr>
          <w:rFonts w:ascii="Times New Roman" w:eastAsia="Times New Roman" w:hAnsi="Times New Roman" w:cs="Arial"/>
          <w:sz w:val="20"/>
          <w:szCs w:val="20"/>
          <w:lang w:eastAsia="en-GB"/>
        </w:rPr>
        <w:t>4;</w:t>
      </w:r>
      <w:proofErr w:type="gramEnd"/>
    </w:p>
    <w:p w14:paraId="4C230CCC"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Recon voxel size (mm)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proofErr w:type="gramStart"/>
      <w:r w:rsidRPr="009968E0">
        <w:rPr>
          <w:rFonts w:ascii="Times New Roman" w:eastAsia="Times New Roman" w:hAnsi="Times New Roman" w:cs="Arial"/>
          <w:sz w:val="20"/>
          <w:szCs w:val="20"/>
          <w:lang w:eastAsia="en-GB"/>
        </w:rPr>
        <w:t>1.75;</w:t>
      </w:r>
      <w:proofErr w:type="gramEnd"/>
    </w:p>
    <w:p w14:paraId="77AED210"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Fold-over suppression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"no</w:t>
      </w:r>
      <w:proofErr w:type="gramStart"/>
      <w:r w:rsidRPr="009968E0">
        <w:rPr>
          <w:rFonts w:ascii="Times New Roman" w:eastAsia="Times New Roman" w:hAnsi="Times New Roman" w:cs="Arial"/>
          <w:sz w:val="20"/>
          <w:szCs w:val="20"/>
          <w:lang w:eastAsia="en-GB"/>
        </w:rPr>
        <w:t>";</w:t>
      </w:r>
      <w:proofErr w:type="gramEnd"/>
    </w:p>
    <w:p w14:paraId="08BD957E"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Reconstruction matrix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proofErr w:type="gramStart"/>
      <w:r w:rsidRPr="009968E0">
        <w:rPr>
          <w:rFonts w:ascii="Times New Roman" w:eastAsia="Times New Roman" w:hAnsi="Times New Roman" w:cs="Arial"/>
          <w:sz w:val="20"/>
          <w:szCs w:val="20"/>
          <w:lang w:eastAsia="en-GB"/>
        </w:rPr>
        <w:t>128;</w:t>
      </w:r>
      <w:proofErr w:type="gramEnd"/>
    </w:p>
    <w:p w14:paraId="6C1CC8FB"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SENSE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"yes</w:t>
      </w:r>
      <w:proofErr w:type="gramStart"/>
      <w:r w:rsidRPr="009968E0">
        <w:rPr>
          <w:rFonts w:ascii="Times New Roman" w:eastAsia="Times New Roman" w:hAnsi="Times New Roman" w:cs="Arial"/>
          <w:sz w:val="20"/>
          <w:szCs w:val="20"/>
          <w:lang w:eastAsia="en-GB"/>
        </w:rPr>
        <w:t>";</w:t>
      </w:r>
      <w:proofErr w:type="gramEnd"/>
    </w:p>
    <w:p w14:paraId="27572698"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 xml:space="preserve">    P reduction (AP)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proofErr w:type="gramStart"/>
      <w:r w:rsidRPr="009968E0">
        <w:rPr>
          <w:rFonts w:ascii="Times New Roman" w:eastAsia="Times New Roman" w:hAnsi="Times New Roman" w:cs="Arial"/>
          <w:sz w:val="20"/>
          <w:szCs w:val="20"/>
          <w:lang w:eastAsia="en-GB"/>
        </w:rPr>
        <w:t>2.0999999;</w:t>
      </w:r>
      <w:proofErr w:type="gramEnd"/>
    </w:p>
    <w:p w14:paraId="55704DCA"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k-t BLAST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"no</w:t>
      </w:r>
      <w:proofErr w:type="gramStart"/>
      <w:r w:rsidRPr="009968E0">
        <w:rPr>
          <w:rFonts w:ascii="Times New Roman" w:eastAsia="Times New Roman" w:hAnsi="Times New Roman" w:cs="Arial"/>
          <w:sz w:val="20"/>
          <w:szCs w:val="20"/>
          <w:lang w:eastAsia="en-GB"/>
        </w:rPr>
        <w:t>";</w:t>
      </w:r>
      <w:proofErr w:type="gramEnd"/>
    </w:p>
    <w:p w14:paraId="50651D8B"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Stacks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proofErr w:type="gramStart"/>
      <w:r w:rsidRPr="009968E0">
        <w:rPr>
          <w:rFonts w:ascii="Times New Roman" w:eastAsia="Times New Roman" w:hAnsi="Times New Roman" w:cs="Arial"/>
          <w:sz w:val="20"/>
          <w:szCs w:val="20"/>
          <w:lang w:eastAsia="en-GB"/>
        </w:rPr>
        <w:t>1;</w:t>
      </w:r>
      <w:proofErr w:type="gramEnd"/>
    </w:p>
    <w:p w14:paraId="522B2B32"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 xml:space="preserve">    type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"parallel</w:t>
      </w:r>
      <w:proofErr w:type="gramStart"/>
      <w:r w:rsidRPr="009968E0">
        <w:rPr>
          <w:rFonts w:ascii="Times New Roman" w:eastAsia="Times New Roman" w:hAnsi="Times New Roman" w:cs="Arial"/>
          <w:sz w:val="20"/>
          <w:szCs w:val="20"/>
          <w:lang w:eastAsia="en-GB"/>
        </w:rPr>
        <w:t>";</w:t>
      </w:r>
      <w:proofErr w:type="gramEnd"/>
    </w:p>
    <w:p w14:paraId="5D2504DD"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 xml:space="preserve">    slices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proofErr w:type="gramStart"/>
      <w:r w:rsidRPr="009968E0">
        <w:rPr>
          <w:rFonts w:ascii="Times New Roman" w:eastAsia="Times New Roman" w:hAnsi="Times New Roman" w:cs="Arial"/>
          <w:sz w:val="20"/>
          <w:szCs w:val="20"/>
          <w:lang w:eastAsia="en-GB"/>
        </w:rPr>
        <w:t>20;</w:t>
      </w:r>
      <w:proofErr w:type="gramEnd"/>
    </w:p>
    <w:p w14:paraId="70387B1B"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 xml:space="preserve">    slice gap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"user defined</w:t>
      </w:r>
      <w:proofErr w:type="gramStart"/>
      <w:r w:rsidRPr="009968E0">
        <w:rPr>
          <w:rFonts w:ascii="Times New Roman" w:eastAsia="Times New Roman" w:hAnsi="Times New Roman" w:cs="Arial"/>
          <w:sz w:val="20"/>
          <w:szCs w:val="20"/>
          <w:lang w:eastAsia="en-GB"/>
        </w:rPr>
        <w:t>";</w:t>
      </w:r>
      <w:proofErr w:type="gramEnd"/>
    </w:p>
    <w:p w14:paraId="41D7BF6F"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 xml:space="preserve">          gap (mm)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proofErr w:type="gramStart"/>
      <w:r w:rsidRPr="009968E0">
        <w:rPr>
          <w:rFonts w:ascii="Times New Roman" w:eastAsia="Times New Roman" w:hAnsi="Times New Roman" w:cs="Arial"/>
          <w:sz w:val="20"/>
          <w:szCs w:val="20"/>
          <w:lang w:eastAsia="en-GB"/>
        </w:rPr>
        <w:t>1;</w:t>
      </w:r>
      <w:proofErr w:type="gramEnd"/>
    </w:p>
    <w:p w14:paraId="0CD7CC49"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 xml:space="preserve">    slice orientation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"transverse</w:t>
      </w:r>
      <w:proofErr w:type="gramStart"/>
      <w:r w:rsidRPr="009968E0">
        <w:rPr>
          <w:rFonts w:ascii="Times New Roman" w:eastAsia="Times New Roman" w:hAnsi="Times New Roman" w:cs="Arial"/>
          <w:sz w:val="20"/>
          <w:szCs w:val="20"/>
          <w:lang w:eastAsia="en-GB"/>
        </w:rPr>
        <w:t>";</w:t>
      </w:r>
      <w:proofErr w:type="gramEnd"/>
    </w:p>
    <w:p w14:paraId="4DC4C085"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 xml:space="preserve">    fold-over direction =</w:t>
      </w:r>
      <w:r w:rsidRPr="009968E0">
        <w:rPr>
          <w:rFonts w:ascii="Times New Roman" w:eastAsia="Times New Roman" w:hAnsi="Times New Roman" w:cs="Arial"/>
          <w:sz w:val="20"/>
          <w:szCs w:val="20"/>
          <w:lang w:eastAsia="en-GB"/>
        </w:rPr>
        <w:tab/>
        <w:t>"AP</w:t>
      </w:r>
      <w:proofErr w:type="gramStart"/>
      <w:r w:rsidRPr="009968E0">
        <w:rPr>
          <w:rFonts w:ascii="Times New Roman" w:eastAsia="Times New Roman" w:hAnsi="Times New Roman" w:cs="Arial"/>
          <w:sz w:val="20"/>
          <w:szCs w:val="20"/>
          <w:lang w:eastAsia="en-GB"/>
        </w:rPr>
        <w:t>";</w:t>
      </w:r>
      <w:proofErr w:type="gramEnd"/>
    </w:p>
    <w:p w14:paraId="101A8A68"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 xml:space="preserve">    fat shift direction =</w:t>
      </w:r>
      <w:r w:rsidRPr="009968E0">
        <w:rPr>
          <w:rFonts w:ascii="Times New Roman" w:eastAsia="Times New Roman" w:hAnsi="Times New Roman" w:cs="Arial"/>
          <w:sz w:val="20"/>
          <w:szCs w:val="20"/>
          <w:lang w:eastAsia="en-GB"/>
        </w:rPr>
        <w:tab/>
        <w:t>"P</w:t>
      </w:r>
      <w:proofErr w:type="gramStart"/>
      <w:r w:rsidRPr="009968E0">
        <w:rPr>
          <w:rFonts w:ascii="Times New Roman" w:eastAsia="Times New Roman" w:hAnsi="Times New Roman" w:cs="Arial"/>
          <w:sz w:val="20"/>
          <w:szCs w:val="20"/>
          <w:lang w:eastAsia="en-GB"/>
        </w:rPr>
        <w:t>";</w:t>
      </w:r>
      <w:proofErr w:type="gramEnd"/>
    </w:p>
    <w:p w14:paraId="653C7452"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 xml:space="preserve">Stack </w:t>
      </w:r>
      <w:proofErr w:type="spellStart"/>
      <w:r w:rsidRPr="009968E0">
        <w:rPr>
          <w:rFonts w:ascii="Times New Roman" w:eastAsia="Times New Roman" w:hAnsi="Times New Roman" w:cs="Arial"/>
          <w:sz w:val="20"/>
          <w:szCs w:val="20"/>
          <w:lang w:eastAsia="en-GB"/>
        </w:rPr>
        <w:t>Offc</w:t>
      </w:r>
      <w:proofErr w:type="spellEnd"/>
      <w:r w:rsidRPr="009968E0">
        <w:rPr>
          <w:rFonts w:ascii="Times New Roman" w:eastAsia="Times New Roman" w:hAnsi="Times New Roman" w:cs="Arial"/>
          <w:sz w:val="20"/>
          <w:szCs w:val="20"/>
          <w:lang w:eastAsia="en-GB"/>
        </w:rPr>
        <w:t>. AP (P=+mm) =</w:t>
      </w:r>
      <w:r w:rsidRPr="009968E0">
        <w:rPr>
          <w:rFonts w:ascii="Times New Roman" w:eastAsia="Times New Roman" w:hAnsi="Times New Roman" w:cs="Arial"/>
          <w:sz w:val="20"/>
          <w:szCs w:val="20"/>
          <w:lang w:eastAsia="en-GB"/>
        </w:rPr>
        <w:tab/>
      </w:r>
      <w:proofErr w:type="gramStart"/>
      <w:r w:rsidRPr="009968E0">
        <w:rPr>
          <w:rFonts w:ascii="Times New Roman" w:eastAsia="Times New Roman" w:hAnsi="Times New Roman" w:cs="Arial"/>
          <w:sz w:val="20"/>
          <w:szCs w:val="20"/>
          <w:lang w:eastAsia="en-GB"/>
        </w:rPr>
        <w:t>3.33654881;</w:t>
      </w:r>
      <w:proofErr w:type="gramEnd"/>
    </w:p>
    <w:p w14:paraId="5B476500"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 xml:space="preserve">            RL (L=+mm) =</w:t>
      </w:r>
      <w:r w:rsidRPr="009968E0">
        <w:rPr>
          <w:rFonts w:ascii="Times New Roman" w:eastAsia="Times New Roman" w:hAnsi="Times New Roman" w:cs="Arial"/>
          <w:sz w:val="20"/>
          <w:szCs w:val="20"/>
          <w:lang w:eastAsia="en-GB"/>
        </w:rPr>
        <w:tab/>
      </w:r>
      <w:proofErr w:type="gramStart"/>
      <w:r w:rsidRPr="009968E0">
        <w:rPr>
          <w:rFonts w:ascii="Times New Roman" w:eastAsia="Times New Roman" w:hAnsi="Times New Roman" w:cs="Arial"/>
          <w:sz w:val="20"/>
          <w:szCs w:val="20"/>
          <w:lang w:eastAsia="en-GB"/>
        </w:rPr>
        <w:t>-1.20742595;</w:t>
      </w:r>
      <w:proofErr w:type="gramEnd"/>
    </w:p>
    <w:p w14:paraId="5CFA8A77"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 xml:space="preserve">            FH (H=+mm) =</w:t>
      </w:r>
      <w:r w:rsidRPr="009968E0">
        <w:rPr>
          <w:rFonts w:ascii="Times New Roman" w:eastAsia="Times New Roman" w:hAnsi="Times New Roman" w:cs="Arial"/>
          <w:sz w:val="20"/>
          <w:szCs w:val="20"/>
          <w:lang w:eastAsia="en-GB"/>
        </w:rPr>
        <w:tab/>
      </w:r>
      <w:proofErr w:type="gramStart"/>
      <w:r w:rsidRPr="009968E0">
        <w:rPr>
          <w:rFonts w:ascii="Times New Roman" w:eastAsia="Times New Roman" w:hAnsi="Times New Roman" w:cs="Arial"/>
          <w:sz w:val="20"/>
          <w:szCs w:val="20"/>
          <w:lang w:eastAsia="en-GB"/>
        </w:rPr>
        <w:t>40.9308586;</w:t>
      </w:r>
      <w:proofErr w:type="gramEnd"/>
    </w:p>
    <w:p w14:paraId="129ECC6D"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 xml:space="preserve">      Ang.  AP (</w:t>
      </w:r>
      <w:proofErr w:type="spellStart"/>
      <w:r w:rsidRPr="009968E0">
        <w:rPr>
          <w:rFonts w:ascii="Times New Roman" w:eastAsia="Times New Roman" w:hAnsi="Times New Roman" w:cs="Arial"/>
          <w:sz w:val="20"/>
          <w:szCs w:val="20"/>
          <w:lang w:eastAsia="en-GB"/>
        </w:rPr>
        <w:t>deg</w:t>
      </w:r>
      <w:proofErr w:type="spellEnd"/>
      <w:r w:rsidRPr="009968E0">
        <w:rPr>
          <w:rFonts w:ascii="Times New Roman" w:eastAsia="Times New Roman" w:hAnsi="Times New Roman" w:cs="Arial"/>
          <w:sz w:val="20"/>
          <w:szCs w:val="20"/>
          <w:lang w:eastAsia="en-GB"/>
        </w:rPr>
        <w:t>)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proofErr w:type="gramStart"/>
      <w:r w:rsidRPr="009968E0">
        <w:rPr>
          <w:rFonts w:ascii="Times New Roman" w:eastAsia="Times New Roman" w:hAnsi="Times New Roman" w:cs="Arial"/>
          <w:sz w:val="20"/>
          <w:szCs w:val="20"/>
          <w:lang w:eastAsia="en-GB"/>
        </w:rPr>
        <w:t>2.41751242;</w:t>
      </w:r>
      <w:proofErr w:type="gramEnd"/>
    </w:p>
    <w:p w14:paraId="7115393A"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 xml:space="preserve">            RL (</w:t>
      </w:r>
      <w:proofErr w:type="spellStart"/>
      <w:r w:rsidRPr="009968E0">
        <w:rPr>
          <w:rFonts w:ascii="Times New Roman" w:eastAsia="Times New Roman" w:hAnsi="Times New Roman" w:cs="Arial"/>
          <w:sz w:val="20"/>
          <w:szCs w:val="20"/>
          <w:lang w:eastAsia="en-GB"/>
        </w:rPr>
        <w:t>deg</w:t>
      </w:r>
      <w:proofErr w:type="spellEnd"/>
      <w:r w:rsidRPr="009968E0">
        <w:rPr>
          <w:rFonts w:ascii="Times New Roman" w:eastAsia="Times New Roman" w:hAnsi="Times New Roman" w:cs="Arial"/>
          <w:sz w:val="20"/>
          <w:szCs w:val="20"/>
          <w:lang w:eastAsia="en-GB"/>
        </w:rPr>
        <w:t>)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proofErr w:type="gramStart"/>
      <w:r w:rsidRPr="009968E0">
        <w:rPr>
          <w:rFonts w:ascii="Times New Roman" w:eastAsia="Times New Roman" w:hAnsi="Times New Roman" w:cs="Arial"/>
          <w:sz w:val="20"/>
          <w:szCs w:val="20"/>
          <w:lang w:eastAsia="en-GB"/>
        </w:rPr>
        <w:t>-10.9253206;</w:t>
      </w:r>
      <w:proofErr w:type="gramEnd"/>
    </w:p>
    <w:p w14:paraId="564158C9"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 xml:space="preserve">            FH (</w:t>
      </w:r>
      <w:proofErr w:type="spellStart"/>
      <w:r w:rsidRPr="009968E0">
        <w:rPr>
          <w:rFonts w:ascii="Times New Roman" w:eastAsia="Times New Roman" w:hAnsi="Times New Roman" w:cs="Arial"/>
          <w:sz w:val="20"/>
          <w:szCs w:val="20"/>
          <w:lang w:eastAsia="en-GB"/>
        </w:rPr>
        <w:t>deg</w:t>
      </w:r>
      <w:proofErr w:type="spellEnd"/>
      <w:r w:rsidRPr="009968E0">
        <w:rPr>
          <w:rFonts w:ascii="Times New Roman" w:eastAsia="Times New Roman" w:hAnsi="Times New Roman" w:cs="Arial"/>
          <w:sz w:val="20"/>
          <w:szCs w:val="20"/>
          <w:lang w:eastAsia="en-GB"/>
        </w:rPr>
        <w:t>)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proofErr w:type="gramStart"/>
      <w:r w:rsidRPr="009968E0">
        <w:rPr>
          <w:rFonts w:ascii="Times New Roman" w:eastAsia="Times New Roman" w:hAnsi="Times New Roman" w:cs="Arial"/>
          <w:sz w:val="20"/>
          <w:szCs w:val="20"/>
          <w:lang w:eastAsia="en-GB"/>
        </w:rPr>
        <w:t>2.29192114;</w:t>
      </w:r>
      <w:proofErr w:type="gramEnd"/>
    </w:p>
    <w:p w14:paraId="23F7F475"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 xml:space="preserve">      Free rotatable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"no</w:t>
      </w:r>
      <w:proofErr w:type="gramStart"/>
      <w:r w:rsidRPr="009968E0">
        <w:rPr>
          <w:rFonts w:ascii="Times New Roman" w:eastAsia="Times New Roman" w:hAnsi="Times New Roman" w:cs="Arial"/>
          <w:sz w:val="20"/>
          <w:szCs w:val="20"/>
          <w:lang w:eastAsia="en-GB"/>
        </w:rPr>
        <w:t>";</w:t>
      </w:r>
      <w:proofErr w:type="gramEnd"/>
    </w:p>
    <w:p w14:paraId="7A69F362"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Minimum number of packages =</w:t>
      </w:r>
      <w:r w:rsidRPr="009968E0">
        <w:rPr>
          <w:rFonts w:ascii="Times New Roman" w:eastAsia="Times New Roman" w:hAnsi="Times New Roman" w:cs="Arial"/>
          <w:sz w:val="20"/>
          <w:szCs w:val="20"/>
          <w:lang w:eastAsia="en-GB"/>
        </w:rPr>
        <w:tab/>
      </w:r>
      <w:proofErr w:type="gramStart"/>
      <w:r w:rsidRPr="009968E0">
        <w:rPr>
          <w:rFonts w:ascii="Times New Roman" w:eastAsia="Times New Roman" w:hAnsi="Times New Roman" w:cs="Arial"/>
          <w:sz w:val="20"/>
          <w:szCs w:val="20"/>
          <w:lang w:eastAsia="en-GB"/>
        </w:rPr>
        <w:t>1;</w:t>
      </w:r>
      <w:proofErr w:type="gramEnd"/>
    </w:p>
    <w:p w14:paraId="4DAAF05C"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Slice scan order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"interleaved</w:t>
      </w:r>
      <w:proofErr w:type="gramStart"/>
      <w:r w:rsidRPr="009968E0">
        <w:rPr>
          <w:rFonts w:ascii="Times New Roman" w:eastAsia="Times New Roman" w:hAnsi="Times New Roman" w:cs="Arial"/>
          <w:sz w:val="20"/>
          <w:szCs w:val="20"/>
          <w:lang w:eastAsia="en-GB"/>
        </w:rPr>
        <w:t>";</w:t>
      </w:r>
      <w:proofErr w:type="gramEnd"/>
    </w:p>
    <w:p w14:paraId="31D3D9B5"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Large table movement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"no</w:t>
      </w:r>
      <w:proofErr w:type="gramStart"/>
      <w:r w:rsidRPr="009968E0">
        <w:rPr>
          <w:rFonts w:ascii="Times New Roman" w:eastAsia="Times New Roman" w:hAnsi="Times New Roman" w:cs="Arial"/>
          <w:sz w:val="20"/>
          <w:szCs w:val="20"/>
          <w:lang w:eastAsia="en-GB"/>
        </w:rPr>
        <w:t>";</w:t>
      </w:r>
      <w:proofErr w:type="gramEnd"/>
    </w:p>
    <w:p w14:paraId="2753B7E4" w14:textId="77777777" w:rsidR="009968E0" w:rsidRPr="009968E0" w:rsidRDefault="009968E0" w:rsidP="009968E0">
      <w:pPr>
        <w:rPr>
          <w:rFonts w:ascii="Times New Roman" w:eastAsia="Times New Roman" w:hAnsi="Times New Roman" w:cs="Arial"/>
          <w:sz w:val="20"/>
          <w:szCs w:val="20"/>
          <w:lang w:eastAsia="en-GB"/>
        </w:rPr>
      </w:pPr>
      <w:proofErr w:type="spellStart"/>
      <w:r w:rsidRPr="009968E0">
        <w:rPr>
          <w:rFonts w:ascii="Times New Roman" w:eastAsia="Times New Roman" w:hAnsi="Times New Roman" w:cs="Arial"/>
          <w:sz w:val="20"/>
          <w:szCs w:val="20"/>
          <w:lang w:eastAsia="en-GB"/>
        </w:rPr>
        <w:t>PlanAlign</w:t>
      </w:r>
      <w:proofErr w:type="spellEnd"/>
      <w:r w:rsidRPr="009968E0">
        <w:rPr>
          <w:rFonts w:ascii="Times New Roman" w:eastAsia="Times New Roman" w:hAnsi="Times New Roman" w:cs="Arial"/>
          <w:sz w:val="20"/>
          <w:szCs w:val="20"/>
          <w:lang w:eastAsia="en-GB"/>
        </w:rPr>
        <w:t xml:space="preserve">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"no</w:t>
      </w:r>
      <w:proofErr w:type="gramStart"/>
      <w:r w:rsidRPr="009968E0">
        <w:rPr>
          <w:rFonts w:ascii="Times New Roman" w:eastAsia="Times New Roman" w:hAnsi="Times New Roman" w:cs="Arial"/>
          <w:sz w:val="20"/>
          <w:szCs w:val="20"/>
          <w:lang w:eastAsia="en-GB"/>
        </w:rPr>
        <w:t>";</w:t>
      </w:r>
      <w:proofErr w:type="gramEnd"/>
    </w:p>
    <w:p w14:paraId="51C27613"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REST slabs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proofErr w:type="gramStart"/>
      <w:r w:rsidRPr="009968E0">
        <w:rPr>
          <w:rFonts w:ascii="Times New Roman" w:eastAsia="Times New Roman" w:hAnsi="Times New Roman" w:cs="Arial"/>
          <w:sz w:val="20"/>
          <w:szCs w:val="20"/>
          <w:lang w:eastAsia="en-GB"/>
        </w:rPr>
        <w:t>0;</w:t>
      </w:r>
      <w:proofErr w:type="gramEnd"/>
    </w:p>
    <w:p w14:paraId="2C38A559"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Shim  Size  AP (mm)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proofErr w:type="gramStart"/>
      <w:r w:rsidRPr="009968E0">
        <w:rPr>
          <w:rFonts w:ascii="Times New Roman" w:eastAsia="Times New Roman" w:hAnsi="Times New Roman" w:cs="Arial"/>
          <w:sz w:val="20"/>
          <w:szCs w:val="20"/>
          <w:lang w:eastAsia="en-GB"/>
        </w:rPr>
        <w:t>118.963959;</w:t>
      </w:r>
      <w:proofErr w:type="gramEnd"/>
    </w:p>
    <w:p w14:paraId="142C1722"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 xml:space="preserve">            RL (mm)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proofErr w:type="gramStart"/>
      <w:r w:rsidRPr="009968E0">
        <w:rPr>
          <w:rFonts w:ascii="Times New Roman" w:eastAsia="Times New Roman" w:hAnsi="Times New Roman" w:cs="Arial"/>
          <w:sz w:val="20"/>
          <w:szCs w:val="20"/>
          <w:lang w:eastAsia="en-GB"/>
        </w:rPr>
        <w:t>92.1667633;</w:t>
      </w:r>
      <w:proofErr w:type="gramEnd"/>
    </w:p>
    <w:p w14:paraId="7A8037FC"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 xml:space="preserve">            FH (mm)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proofErr w:type="gramStart"/>
      <w:r w:rsidRPr="009968E0">
        <w:rPr>
          <w:rFonts w:ascii="Times New Roman" w:eastAsia="Times New Roman" w:hAnsi="Times New Roman" w:cs="Arial"/>
          <w:sz w:val="20"/>
          <w:szCs w:val="20"/>
          <w:lang w:eastAsia="en-GB"/>
        </w:rPr>
        <w:t>58.7610779;</w:t>
      </w:r>
      <w:proofErr w:type="gramEnd"/>
    </w:p>
    <w:p w14:paraId="23F0A713"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 xml:space="preserve">      </w:t>
      </w:r>
      <w:proofErr w:type="spellStart"/>
      <w:r w:rsidRPr="009968E0">
        <w:rPr>
          <w:rFonts w:ascii="Times New Roman" w:eastAsia="Times New Roman" w:hAnsi="Times New Roman" w:cs="Arial"/>
          <w:sz w:val="20"/>
          <w:szCs w:val="20"/>
          <w:lang w:eastAsia="en-GB"/>
        </w:rPr>
        <w:t>Offc</w:t>
      </w:r>
      <w:proofErr w:type="spellEnd"/>
      <w:r w:rsidRPr="009968E0">
        <w:rPr>
          <w:rFonts w:ascii="Times New Roman" w:eastAsia="Times New Roman" w:hAnsi="Times New Roman" w:cs="Arial"/>
          <w:sz w:val="20"/>
          <w:szCs w:val="20"/>
          <w:lang w:eastAsia="en-GB"/>
        </w:rPr>
        <w:t>. AP (P=+mm) =</w:t>
      </w:r>
      <w:r w:rsidRPr="009968E0">
        <w:rPr>
          <w:rFonts w:ascii="Times New Roman" w:eastAsia="Times New Roman" w:hAnsi="Times New Roman" w:cs="Arial"/>
          <w:sz w:val="20"/>
          <w:szCs w:val="20"/>
          <w:lang w:eastAsia="en-GB"/>
        </w:rPr>
        <w:tab/>
      </w:r>
      <w:proofErr w:type="gramStart"/>
      <w:r w:rsidRPr="009968E0">
        <w:rPr>
          <w:rFonts w:ascii="Times New Roman" w:eastAsia="Times New Roman" w:hAnsi="Times New Roman" w:cs="Arial"/>
          <w:sz w:val="20"/>
          <w:szCs w:val="20"/>
          <w:lang w:eastAsia="en-GB"/>
        </w:rPr>
        <w:t>8.84815216;</w:t>
      </w:r>
      <w:proofErr w:type="gramEnd"/>
    </w:p>
    <w:p w14:paraId="6246465D"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 xml:space="preserve">            RL (L=+mm) =</w:t>
      </w:r>
      <w:r w:rsidRPr="009968E0">
        <w:rPr>
          <w:rFonts w:ascii="Times New Roman" w:eastAsia="Times New Roman" w:hAnsi="Times New Roman" w:cs="Arial"/>
          <w:sz w:val="20"/>
          <w:szCs w:val="20"/>
          <w:lang w:eastAsia="en-GB"/>
        </w:rPr>
        <w:tab/>
      </w:r>
      <w:proofErr w:type="gramStart"/>
      <w:r w:rsidRPr="009968E0">
        <w:rPr>
          <w:rFonts w:ascii="Times New Roman" w:eastAsia="Times New Roman" w:hAnsi="Times New Roman" w:cs="Arial"/>
          <w:sz w:val="20"/>
          <w:szCs w:val="20"/>
          <w:lang w:eastAsia="en-GB"/>
        </w:rPr>
        <w:t>-0.713706434;</w:t>
      </w:r>
      <w:proofErr w:type="gramEnd"/>
    </w:p>
    <w:p w14:paraId="3D063C0C"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 xml:space="preserve">            FH (H=+mm) =</w:t>
      </w:r>
      <w:r w:rsidRPr="009968E0">
        <w:rPr>
          <w:rFonts w:ascii="Times New Roman" w:eastAsia="Times New Roman" w:hAnsi="Times New Roman" w:cs="Arial"/>
          <w:sz w:val="20"/>
          <w:szCs w:val="20"/>
          <w:lang w:eastAsia="en-GB"/>
        </w:rPr>
        <w:tab/>
      </w:r>
      <w:proofErr w:type="gramStart"/>
      <w:r w:rsidRPr="009968E0">
        <w:rPr>
          <w:rFonts w:ascii="Times New Roman" w:eastAsia="Times New Roman" w:hAnsi="Times New Roman" w:cs="Arial"/>
          <w:sz w:val="20"/>
          <w:szCs w:val="20"/>
          <w:lang w:eastAsia="en-GB"/>
        </w:rPr>
        <w:t>35.2560463;</w:t>
      </w:r>
      <w:proofErr w:type="gramEnd"/>
    </w:p>
    <w:p w14:paraId="333A5F2B"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 xml:space="preserve">      Ang.  AP (</w:t>
      </w:r>
      <w:proofErr w:type="spellStart"/>
      <w:r w:rsidRPr="009968E0">
        <w:rPr>
          <w:rFonts w:ascii="Times New Roman" w:eastAsia="Times New Roman" w:hAnsi="Times New Roman" w:cs="Arial"/>
          <w:sz w:val="20"/>
          <w:szCs w:val="20"/>
          <w:lang w:eastAsia="en-GB"/>
        </w:rPr>
        <w:t>deg</w:t>
      </w:r>
      <w:proofErr w:type="spellEnd"/>
      <w:r w:rsidRPr="009968E0">
        <w:rPr>
          <w:rFonts w:ascii="Times New Roman" w:eastAsia="Times New Roman" w:hAnsi="Times New Roman" w:cs="Arial"/>
          <w:sz w:val="20"/>
          <w:szCs w:val="20"/>
          <w:lang w:eastAsia="en-GB"/>
        </w:rPr>
        <w:t>)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proofErr w:type="gramStart"/>
      <w:r w:rsidRPr="009968E0">
        <w:rPr>
          <w:rFonts w:ascii="Times New Roman" w:eastAsia="Times New Roman" w:hAnsi="Times New Roman" w:cs="Arial"/>
          <w:sz w:val="20"/>
          <w:szCs w:val="20"/>
          <w:lang w:eastAsia="en-GB"/>
        </w:rPr>
        <w:t>1.83766496;</w:t>
      </w:r>
      <w:proofErr w:type="gramEnd"/>
    </w:p>
    <w:p w14:paraId="6161C10C"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 xml:space="preserve">            RL (</w:t>
      </w:r>
      <w:proofErr w:type="spellStart"/>
      <w:r w:rsidRPr="009968E0">
        <w:rPr>
          <w:rFonts w:ascii="Times New Roman" w:eastAsia="Times New Roman" w:hAnsi="Times New Roman" w:cs="Arial"/>
          <w:sz w:val="20"/>
          <w:szCs w:val="20"/>
          <w:lang w:eastAsia="en-GB"/>
        </w:rPr>
        <w:t>deg</w:t>
      </w:r>
      <w:proofErr w:type="spellEnd"/>
      <w:r w:rsidRPr="009968E0">
        <w:rPr>
          <w:rFonts w:ascii="Times New Roman" w:eastAsia="Times New Roman" w:hAnsi="Times New Roman" w:cs="Arial"/>
          <w:sz w:val="20"/>
          <w:szCs w:val="20"/>
          <w:lang w:eastAsia="en-GB"/>
        </w:rPr>
        <w:t>)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proofErr w:type="gramStart"/>
      <w:r w:rsidRPr="009968E0">
        <w:rPr>
          <w:rFonts w:ascii="Times New Roman" w:eastAsia="Times New Roman" w:hAnsi="Times New Roman" w:cs="Arial"/>
          <w:sz w:val="20"/>
          <w:szCs w:val="20"/>
          <w:lang w:eastAsia="en-GB"/>
        </w:rPr>
        <w:t>-15.5034018;</w:t>
      </w:r>
      <w:proofErr w:type="gramEnd"/>
    </w:p>
    <w:p w14:paraId="7E37CDAF"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 xml:space="preserve">            FH (</w:t>
      </w:r>
      <w:proofErr w:type="spellStart"/>
      <w:r w:rsidRPr="009968E0">
        <w:rPr>
          <w:rFonts w:ascii="Times New Roman" w:eastAsia="Times New Roman" w:hAnsi="Times New Roman" w:cs="Arial"/>
          <w:sz w:val="20"/>
          <w:szCs w:val="20"/>
          <w:lang w:eastAsia="en-GB"/>
        </w:rPr>
        <w:t>deg</w:t>
      </w:r>
      <w:proofErr w:type="spellEnd"/>
      <w:r w:rsidRPr="009968E0">
        <w:rPr>
          <w:rFonts w:ascii="Times New Roman" w:eastAsia="Times New Roman" w:hAnsi="Times New Roman" w:cs="Arial"/>
          <w:sz w:val="20"/>
          <w:szCs w:val="20"/>
          <w:lang w:eastAsia="en-GB"/>
        </w:rPr>
        <w:t>)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proofErr w:type="gramStart"/>
      <w:r w:rsidRPr="009968E0">
        <w:rPr>
          <w:rFonts w:ascii="Times New Roman" w:eastAsia="Times New Roman" w:hAnsi="Times New Roman" w:cs="Arial"/>
          <w:sz w:val="20"/>
          <w:szCs w:val="20"/>
          <w:lang w:eastAsia="en-GB"/>
        </w:rPr>
        <w:t>1.80611312;</w:t>
      </w:r>
      <w:proofErr w:type="gramEnd"/>
    </w:p>
    <w:p w14:paraId="3DDABB18"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Interactive positioning =</w:t>
      </w:r>
      <w:r w:rsidRPr="009968E0">
        <w:rPr>
          <w:rFonts w:ascii="Times New Roman" w:eastAsia="Times New Roman" w:hAnsi="Times New Roman" w:cs="Arial"/>
          <w:sz w:val="20"/>
          <w:szCs w:val="20"/>
          <w:lang w:eastAsia="en-GB"/>
        </w:rPr>
        <w:tab/>
        <w:t>"no</w:t>
      </w:r>
      <w:proofErr w:type="gramStart"/>
      <w:r w:rsidRPr="009968E0">
        <w:rPr>
          <w:rFonts w:ascii="Times New Roman" w:eastAsia="Times New Roman" w:hAnsi="Times New Roman" w:cs="Arial"/>
          <w:sz w:val="20"/>
          <w:szCs w:val="20"/>
          <w:lang w:eastAsia="en-GB"/>
        </w:rPr>
        <w:t>";</w:t>
      </w:r>
      <w:proofErr w:type="gramEnd"/>
    </w:p>
    <w:p w14:paraId="0B485FC3"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Patient position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w:t>
      </w:r>
      <w:proofErr w:type="gramStart"/>
      <w:r w:rsidRPr="009968E0">
        <w:rPr>
          <w:rFonts w:ascii="Times New Roman" w:eastAsia="Times New Roman" w:hAnsi="Times New Roman" w:cs="Arial"/>
          <w:sz w:val="20"/>
          <w:szCs w:val="20"/>
          <w:lang w:eastAsia="en-GB"/>
        </w:rPr>
        <w:t>head first</w:t>
      </w:r>
      <w:proofErr w:type="gramEnd"/>
      <w:r w:rsidRPr="009968E0">
        <w:rPr>
          <w:rFonts w:ascii="Times New Roman" w:eastAsia="Times New Roman" w:hAnsi="Times New Roman" w:cs="Arial"/>
          <w:sz w:val="20"/>
          <w:szCs w:val="20"/>
          <w:lang w:eastAsia="en-GB"/>
        </w:rPr>
        <w:t>";</w:t>
      </w:r>
    </w:p>
    <w:p w14:paraId="728E7FB9"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 xml:space="preserve">        orientation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"supine</w:t>
      </w:r>
      <w:proofErr w:type="gramStart"/>
      <w:r w:rsidRPr="009968E0">
        <w:rPr>
          <w:rFonts w:ascii="Times New Roman" w:eastAsia="Times New Roman" w:hAnsi="Times New Roman" w:cs="Arial"/>
          <w:sz w:val="20"/>
          <w:szCs w:val="20"/>
          <w:lang w:eastAsia="en-GB"/>
        </w:rPr>
        <w:t>";</w:t>
      </w:r>
      <w:proofErr w:type="gramEnd"/>
    </w:p>
    <w:p w14:paraId="5FC6CBC6"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Scan type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"Imaging</w:t>
      </w:r>
      <w:proofErr w:type="gramStart"/>
      <w:r w:rsidRPr="009968E0">
        <w:rPr>
          <w:rFonts w:ascii="Times New Roman" w:eastAsia="Times New Roman" w:hAnsi="Times New Roman" w:cs="Arial"/>
          <w:sz w:val="20"/>
          <w:szCs w:val="20"/>
          <w:lang w:eastAsia="en-GB"/>
        </w:rPr>
        <w:t>";</w:t>
      </w:r>
      <w:proofErr w:type="gramEnd"/>
    </w:p>
    <w:p w14:paraId="68845699"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Scan mode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"MS</w:t>
      </w:r>
      <w:proofErr w:type="gramStart"/>
      <w:r w:rsidRPr="009968E0">
        <w:rPr>
          <w:rFonts w:ascii="Times New Roman" w:eastAsia="Times New Roman" w:hAnsi="Times New Roman" w:cs="Arial"/>
          <w:sz w:val="20"/>
          <w:szCs w:val="20"/>
          <w:lang w:eastAsia="en-GB"/>
        </w:rPr>
        <w:t>";</w:t>
      </w:r>
      <w:proofErr w:type="gramEnd"/>
    </w:p>
    <w:p w14:paraId="37FB2C76"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 xml:space="preserve">    technique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"FFE</w:t>
      </w:r>
      <w:proofErr w:type="gramStart"/>
      <w:r w:rsidRPr="009968E0">
        <w:rPr>
          <w:rFonts w:ascii="Times New Roman" w:eastAsia="Times New Roman" w:hAnsi="Times New Roman" w:cs="Arial"/>
          <w:sz w:val="20"/>
          <w:szCs w:val="20"/>
          <w:lang w:eastAsia="en-GB"/>
        </w:rPr>
        <w:t>";</w:t>
      </w:r>
      <w:proofErr w:type="gramEnd"/>
    </w:p>
    <w:p w14:paraId="39E56E87"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Contrast enhancement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"no</w:t>
      </w:r>
      <w:proofErr w:type="gramStart"/>
      <w:r w:rsidRPr="009968E0">
        <w:rPr>
          <w:rFonts w:ascii="Times New Roman" w:eastAsia="Times New Roman" w:hAnsi="Times New Roman" w:cs="Arial"/>
          <w:sz w:val="20"/>
          <w:szCs w:val="20"/>
          <w:lang w:eastAsia="en-GB"/>
        </w:rPr>
        <w:t>";</w:t>
      </w:r>
      <w:proofErr w:type="gramEnd"/>
    </w:p>
    <w:p w14:paraId="31CE0BB5"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Acquisition mode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"cartesian</w:t>
      </w:r>
      <w:proofErr w:type="gramStart"/>
      <w:r w:rsidRPr="009968E0">
        <w:rPr>
          <w:rFonts w:ascii="Times New Roman" w:eastAsia="Times New Roman" w:hAnsi="Times New Roman" w:cs="Arial"/>
          <w:sz w:val="20"/>
          <w:szCs w:val="20"/>
          <w:lang w:eastAsia="en-GB"/>
        </w:rPr>
        <w:t>";</w:t>
      </w:r>
      <w:proofErr w:type="gramEnd"/>
    </w:p>
    <w:p w14:paraId="48A3F05A"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Fast Imaging mode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"EPI</w:t>
      </w:r>
      <w:proofErr w:type="gramStart"/>
      <w:r w:rsidRPr="009968E0">
        <w:rPr>
          <w:rFonts w:ascii="Times New Roman" w:eastAsia="Times New Roman" w:hAnsi="Times New Roman" w:cs="Arial"/>
          <w:sz w:val="20"/>
          <w:szCs w:val="20"/>
          <w:lang w:eastAsia="en-GB"/>
        </w:rPr>
        <w:t>";</w:t>
      </w:r>
      <w:proofErr w:type="gramEnd"/>
    </w:p>
    <w:p w14:paraId="54487F1E"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lastRenderedPageBreak/>
        <w:t xml:space="preserve">    shot mode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"single-shot</w:t>
      </w:r>
      <w:proofErr w:type="gramStart"/>
      <w:r w:rsidRPr="009968E0">
        <w:rPr>
          <w:rFonts w:ascii="Times New Roman" w:eastAsia="Times New Roman" w:hAnsi="Times New Roman" w:cs="Arial"/>
          <w:sz w:val="20"/>
          <w:szCs w:val="20"/>
          <w:lang w:eastAsia="en-GB"/>
        </w:rPr>
        <w:t>";</w:t>
      </w:r>
      <w:proofErr w:type="gramEnd"/>
    </w:p>
    <w:p w14:paraId="7C41743E"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Echoes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proofErr w:type="gramStart"/>
      <w:r w:rsidRPr="009968E0">
        <w:rPr>
          <w:rFonts w:ascii="Times New Roman" w:eastAsia="Times New Roman" w:hAnsi="Times New Roman" w:cs="Arial"/>
          <w:sz w:val="20"/>
          <w:szCs w:val="20"/>
          <w:lang w:eastAsia="en-GB"/>
        </w:rPr>
        <w:t>1;</w:t>
      </w:r>
      <w:proofErr w:type="gramEnd"/>
    </w:p>
    <w:p w14:paraId="76156043"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 xml:space="preserve">    partial echo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"no</w:t>
      </w:r>
      <w:proofErr w:type="gramStart"/>
      <w:r w:rsidRPr="009968E0">
        <w:rPr>
          <w:rFonts w:ascii="Times New Roman" w:eastAsia="Times New Roman" w:hAnsi="Times New Roman" w:cs="Arial"/>
          <w:sz w:val="20"/>
          <w:szCs w:val="20"/>
          <w:lang w:eastAsia="en-GB"/>
        </w:rPr>
        <w:t>";</w:t>
      </w:r>
      <w:proofErr w:type="gramEnd"/>
    </w:p>
    <w:p w14:paraId="2D1AE05A"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 xml:space="preserve">    shifted echo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"no</w:t>
      </w:r>
      <w:proofErr w:type="gramStart"/>
      <w:r w:rsidRPr="009968E0">
        <w:rPr>
          <w:rFonts w:ascii="Times New Roman" w:eastAsia="Times New Roman" w:hAnsi="Times New Roman" w:cs="Arial"/>
          <w:sz w:val="20"/>
          <w:szCs w:val="20"/>
          <w:lang w:eastAsia="en-GB"/>
        </w:rPr>
        <w:t>";</w:t>
      </w:r>
      <w:proofErr w:type="gramEnd"/>
    </w:p>
    <w:p w14:paraId="7B1DB9D4"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TE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"user defined</w:t>
      </w:r>
      <w:proofErr w:type="gramStart"/>
      <w:r w:rsidRPr="009968E0">
        <w:rPr>
          <w:rFonts w:ascii="Times New Roman" w:eastAsia="Times New Roman" w:hAnsi="Times New Roman" w:cs="Arial"/>
          <w:sz w:val="20"/>
          <w:szCs w:val="20"/>
          <w:lang w:eastAsia="en-GB"/>
        </w:rPr>
        <w:t>";</w:t>
      </w:r>
      <w:proofErr w:type="gramEnd"/>
    </w:p>
    <w:p w14:paraId="3E6EF1C0"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 xml:space="preserve">    (</w:t>
      </w:r>
      <w:proofErr w:type="spellStart"/>
      <w:r w:rsidRPr="009968E0">
        <w:rPr>
          <w:rFonts w:ascii="Times New Roman" w:eastAsia="Times New Roman" w:hAnsi="Times New Roman" w:cs="Arial"/>
          <w:sz w:val="20"/>
          <w:szCs w:val="20"/>
          <w:lang w:eastAsia="en-GB"/>
        </w:rPr>
        <w:t>ms</w:t>
      </w:r>
      <w:proofErr w:type="spellEnd"/>
      <w:r w:rsidRPr="009968E0">
        <w:rPr>
          <w:rFonts w:ascii="Times New Roman" w:eastAsia="Times New Roman" w:hAnsi="Times New Roman" w:cs="Arial"/>
          <w:sz w:val="20"/>
          <w:szCs w:val="20"/>
          <w:lang w:eastAsia="en-GB"/>
        </w:rPr>
        <w:t>)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proofErr w:type="gramStart"/>
      <w:r w:rsidRPr="009968E0">
        <w:rPr>
          <w:rFonts w:ascii="Times New Roman" w:eastAsia="Times New Roman" w:hAnsi="Times New Roman" w:cs="Arial"/>
          <w:sz w:val="20"/>
          <w:szCs w:val="20"/>
          <w:lang w:eastAsia="en-GB"/>
        </w:rPr>
        <w:t>35;</w:t>
      </w:r>
      <w:proofErr w:type="gramEnd"/>
    </w:p>
    <w:p w14:paraId="413D36C8"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Flip angle (</w:t>
      </w:r>
      <w:proofErr w:type="spellStart"/>
      <w:r w:rsidRPr="009968E0">
        <w:rPr>
          <w:rFonts w:ascii="Times New Roman" w:eastAsia="Times New Roman" w:hAnsi="Times New Roman" w:cs="Arial"/>
          <w:sz w:val="20"/>
          <w:szCs w:val="20"/>
          <w:lang w:eastAsia="en-GB"/>
        </w:rPr>
        <w:t>deg</w:t>
      </w:r>
      <w:proofErr w:type="spellEnd"/>
      <w:r w:rsidRPr="009968E0">
        <w:rPr>
          <w:rFonts w:ascii="Times New Roman" w:eastAsia="Times New Roman" w:hAnsi="Times New Roman" w:cs="Arial"/>
          <w:sz w:val="20"/>
          <w:szCs w:val="20"/>
          <w:lang w:eastAsia="en-GB"/>
        </w:rPr>
        <w:t>)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proofErr w:type="gramStart"/>
      <w:r w:rsidRPr="009968E0">
        <w:rPr>
          <w:rFonts w:ascii="Times New Roman" w:eastAsia="Times New Roman" w:hAnsi="Times New Roman" w:cs="Arial"/>
          <w:sz w:val="20"/>
          <w:szCs w:val="20"/>
          <w:lang w:eastAsia="en-GB"/>
        </w:rPr>
        <w:t>60;</w:t>
      </w:r>
      <w:proofErr w:type="gramEnd"/>
    </w:p>
    <w:p w14:paraId="646B5CF0"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TR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"user defined</w:t>
      </w:r>
      <w:proofErr w:type="gramStart"/>
      <w:r w:rsidRPr="009968E0">
        <w:rPr>
          <w:rFonts w:ascii="Times New Roman" w:eastAsia="Times New Roman" w:hAnsi="Times New Roman" w:cs="Arial"/>
          <w:sz w:val="20"/>
          <w:szCs w:val="20"/>
          <w:lang w:eastAsia="en-GB"/>
        </w:rPr>
        <w:t>";</w:t>
      </w:r>
      <w:proofErr w:type="gramEnd"/>
    </w:p>
    <w:p w14:paraId="05D94B91"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 xml:space="preserve">    (</w:t>
      </w:r>
      <w:proofErr w:type="spellStart"/>
      <w:r w:rsidRPr="009968E0">
        <w:rPr>
          <w:rFonts w:ascii="Times New Roman" w:eastAsia="Times New Roman" w:hAnsi="Times New Roman" w:cs="Arial"/>
          <w:sz w:val="20"/>
          <w:szCs w:val="20"/>
          <w:lang w:eastAsia="en-GB"/>
        </w:rPr>
        <w:t>ms</w:t>
      </w:r>
      <w:proofErr w:type="spellEnd"/>
      <w:r w:rsidRPr="009968E0">
        <w:rPr>
          <w:rFonts w:ascii="Times New Roman" w:eastAsia="Times New Roman" w:hAnsi="Times New Roman" w:cs="Arial"/>
          <w:sz w:val="20"/>
          <w:szCs w:val="20"/>
          <w:lang w:eastAsia="en-GB"/>
        </w:rPr>
        <w:t>)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proofErr w:type="gramStart"/>
      <w:r w:rsidRPr="009968E0">
        <w:rPr>
          <w:rFonts w:ascii="Times New Roman" w:eastAsia="Times New Roman" w:hAnsi="Times New Roman" w:cs="Arial"/>
          <w:sz w:val="20"/>
          <w:szCs w:val="20"/>
          <w:lang w:eastAsia="en-GB"/>
        </w:rPr>
        <w:t>1250;</w:t>
      </w:r>
      <w:proofErr w:type="gramEnd"/>
    </w:p>
    <w:p w14:paraId="7C34AE1F" w14:textId="77777777" w:rsidR="009968E0" w:rsidRPr="009968E0" w:rsidRDefault="009968E0" w:rsidP="009968E0">
      <w:pPr>
        <w:rPr>
          <w:rFonts w:ascii="Times New Roman" w:eastAsia="Times New Roman" w:hAnsi="Times New Roman" w:cs="Arial"/>
          <w:sz w:val="20"/>
          <w:szCs w:val="20"/>
          <w:lang w:eastAsia="en-GB"/>
        </w:rPr>
      </w:pPr>
      <w:proofErr w:type="spellStart"/>
      <w:r w:rsidRPr="009968E0">
        <w:rPr>
          <w:rFonts w:ascii="Times New Roman" w:eastAsia="Times New Roman" w:hAnsi="Times New Roman" w:cs="Arial"/>
          <w:sz w:val="20"/>
          <w:szCs w:val="20"/>
          <w:lang w:eastAsia="en-GB"/>
        </w:rPr>
        <w:t>Halfscan</w:t>
      </w:r>
      <w:proofErr w:type="spellEnd"/>
      <w:r w:rsidRPr="009968E0">
        <w:rPr>
          <w:rFonts w:ascii="Times New Roman" w:eastAsia="Times New Roman" w:hAnsi="Times New Roman" w:cs="Arial"/>
          <w:sz w:val="20"/>
          <w:szCs w:val="20"/>
          <w:lang w:eastAsia="en-GB"/>
        </w:rPr>
        <w:t xml:space="preserve">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"no</w:t>
      </w:r>
      <w:proofErr w:type="gramStart"/>
      <w:r w:rsidRPr="009968E0">
        <w:rPr>
          <w:rFonts w:ascii="Times New Roman" w:eastAsia="Times New Roman" w:hAnsi="Times New Roman" w:cs="Arial"/>
          <w:sz w:val="20"/>
          <w:szCs w:val="20"/>
          <w:lang w:eastAsia="en-GB"/>
        </w:rPr>
        <w:t>";</w:t>
      </w:r>
      <w:proofErr w:type="gramEnd"/>
    </w:p>
    <w:p w14:paraId="0C08E129"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Water-fat shift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"minimum</w:t>
      </w:r>
      <w:proofErr w:type="gramStart"/>
      <w:r w:rsidRPr="009968E0">
        <w:rPr>
          <w:rFonts w:ascii="Times New Roman" w:eastAsia="Times New Roman" w:hAnsi="Times New Roman" w:cs="Arial"/>
          <w:sz w:val="20"/>
          <w:szCs w:val="20"/>
          <w:lang w:eastAsia="en-GB"/>
        </w:rPr>
        <w:t>";</w:t>
      </w:r>
      <w:proofErr w:type="gramEnd"/>
    </w:p>
    <w:p w14:paraId="4BB2AC26"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RF Shims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"adaptive</w:t>
      </w:r>
      <w:proofErr w:type="gramStart"/>
      <w:r w:rsidRPr="009968E0">
        <w:rPr>
          <w:rFonts w:ascii="Times New Roman" w:eastAsia="Times New Roman" w:hAnsi="Times New Roman" w:cs="Arial"/>
          <w:sz w:val="20"/>
          <w:szCs w:val="20"/>
          <w:lang w:eastAsia="en-GB"/>
        </w:rPr>
        <w:t>";</w:t>
      </w:r>
      <w:proofErr w:type="gramEnd"/>
    </w:p>
    <w:p w14:paraId="208307DF"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Shim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"PB-volume</w:t>
      </w:r>
      <w:proofErr w:type="gramStart"/>
      <w:r w:rsidRPr="009968E0">
        <w:rPr>
          <w:rFonts w:ascii="Times New Roman" w:eastAsia="Times New Roman" w:hAnsi="Times New Roman" w:cs="Arial"/>
          <w:sz w:val="20"/>
          <w:szCs w:val="20"/>
          <w:lang w:eastAsia="en-GB"/>
        </w:rPr>
        <w:t>";</w:t>
      </w:r>
      <w:proofErr w:type="gramEnd"/>
    </w:p>
    <w:p w14:paraId="5DD1B639" w14:textId="77777777" w:rsidR="009968E0" w:rsidRPr="009968E0" w:rsidRDefault="009968E0" w:rsidP="009968E0">
      <w:pPr>
        <w:rPr>
          <w:rFonts w:ascii="Times New Roman" w:eastAsia="Times New Roman" w:hAnsi="Times New Roman" w:cs="Arial"/>
          <w:sz w:val="20"/>
          <w:szCs w:val="20"/>
          <w:lang w:eastAsia="en-GB"/>
        </w:rPr>
      </w:pPr>
      <w:proofErr w:type="spellStart"/>
      <w:r w:rsidRPr="009968E0">
        <w:rPr>
          <w:rFonts w:ascii="Times New Roman" w:eastAsia="Times New Roman" w:hAnsi="Times New Roman" w:cs="Arial"/>
          <w:sz w:val="20"/>
          <w:szCs w:val="20"/>
          <w:lang w:eastAsia="en-GB"/>
        </w:rPr>
        <w:t>ShimAlign</w:t>
      </w:r>
      <w:proofErr w:type="spellEnd"/>
      <w:r w:rsidRPr="009968E0">
        <w:rPr>
          <w:rFonts w:ascii="Times New Roman" w:eastAsia="Times New Roman" w:hAnsi="Times New Roman" w:cs="Arial"/>
          <w:sz w:val="20"/>
          <w:szCs w:val="20"/>
          <w:lang w:eastAsia="en-GB"/>
        </w:rPr>
        <w:t xml:space="preserve">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"no</w:t>
      </w:r>
      <w:proofErr w:type="gramStart"/>
      <w:r w:rsidRPr="009968E0">
        <w:rPr>
          <w:rFonts w:ascii="Times New Roman" w:eastAsia="Times New Roman" w:hAnsi="Times New Roman" w:cs="Arial"/>
          <w:sz w:val="20"/>
          <w:szCs w:val="20"/>
          <w:lang w:eastAsia="en-GB"/>
        </w:rPr>
        <w:t>";</w:t>
      </w:r>
      <w:proofErr w:type="gramEnd"/>
    </w:p>
    <w:p w14:paraId="51489C19" w14:textId="77777777" w:rsidR="009968E0" w:rsidRPr="009968E0" w:rsidRDefault="009968E0" w:rsidP="009968E0">
      <w:pPr>
        <w:rPr>
          <w:rFonts w:ascii="Times New Roman" w:eastAsia="Times New Roman" w:hAnsi="Times New Roman" w:cs="Arial"/>
          <w:sz w:val="20"/>
          <w:szCs w:val="20"/>
          <w:lang w:eastAsia="en-GB"/>
        </w:rPr>
      </w:pPr>
      <w:proofErr w:type="spellStart"/>
      <w:r w:rsidRPr="009968E0">
        <w:rPr>
          <w:rFonts w:ascii="Times New Roman" w:eastAsia="Times New Roman" w:hAnsi="Times New Roman" w:cs="Arial"/>
          <w:sz w:val="20"/>
          <w:szCs w:val="20"/>
          <w:lang w:eastAsia="en-GB"/>
        </w:rPr>
        <w:t>mDIXON</w:t>
      </w:r>
      <w:proofErr w:type="spellEnd"/>
      <w:r w:rsidRPr="009968E0">
        <w:rPr>
          <w:rFonts w:ascii="Times New Roman" w:eastAsia="Times New Roman" w:hAnsi="Times New Roman" w:cs="Arial"/>
          <w:sz w:val="20"/>
          <w:szCs w:val="20"/>
          <w:lang w:eastAsia="en-GB"/>
        </w:rPr>
        <w:t xml:space="preserve">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"no</w:t>
      </w:r>
      <w:proofErr w:type="gramStart"/>
      <w:r w:rsidRPr="009968E0">
        <w:rPr>
          <w:rFonts w:ascii="Times New Roman" w:eastAsia="Times New Roman" w:hAnsi="Times New Roman" w:cs="Arial"/>
          <w:sz w:val="20"/>
          <w:szCs w:val="20"/>
          <w:lang w:eastAsia="en-GB"/>
        </w:rPr>
        <w:t>";</w:t>
      </w:r>
      <w:proofErr w:type="gramEnd"/>
    </w:p>
    <w:p w14:paraId="69993A6E"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Fat suppression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"SPIR</w:t>
      </w:r>
      <w:proofErr w:type="gramStart"/>
      <w:r w:rsidRPr="009968E0">
        <w:rPr>
          <w:rFonts w:ascii="Times New Roman" w:eastAsia="Times New Roman" w:hAnsi="Times New Roman" w:cs="Arial"/>
          <w:sz w:val="20"/>
          <w:szCs w:val="20"/>
          <w:lang w:eastAsia="en-GB"/>
        </w:rPr>
        <w:t>";</w:t>
      </w:r>
      <w:proofErr w:type="gramEnd"/>
    </w:p>
    <w:p w14:paraId="36637583"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 xml:space="preserve">   strength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"strong</w:t>
      </w:r>
      <w:proofErr w:type="gramStart"/>
      <w:r w:rsidRPr="009968E0">
        <w:rPr>
          <w:rFonts w:ascii="Times New Roman" w:eastAsia="Times New Roman" w:hAnsi="Times New Roman" w:cs="Arial"/>
          <w:sz w:val="20"/>
          <w:szCs w:val="20"/>
          <w:lang w:eastAsia="en-GB"/>
        </w:rPr>
        <w:t>";</w:t>
      </w:r>
      <w:proofErr w:type="gramEnd"/>
    </w:p>
    <w:p w14:paraId="209FFD7B"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 xml:space="preserve">   frequency offset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"default</w:t>
      </w:r>
      <w:proofErr w:type="gramStart"/>
      <w:r w:rsidRPr="009968E0">
        <w:rPr>
          <w:rFonts w:ascii="Times New Roman" w:eastAsia="Times New Roman" w:hAnsi="Times New Roman" w:cs="Arial"/>
          <w:sz w:val="20"/>
          <w:szCs w:val="20"/>
          <w:lang w:eastAsia="en-GB"/>
        </w:rPr>
        <w:t>";</w:t>
      </w:r>
      <w:proofErr w:type="gramEnd"/>
    </w:p>
    <w:p w14:paraId="34CC17D3"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Water suppression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"no</w:t>
      </w:r>
      <w:proofErr w:type="gramStart"/>
      <w:r w:rsidRPr="009968E0">
        <w:rPr>
          <w:rFonts w:ascii="Times New Roman" w:eastAsia="Times New Roman" w:hAnsi="Times New Roman" w:cs="Arial"/>
          <w:sz w:val="20"/>
          <w:szCs w:val="20"/>
          <w:lang w:eastAsia="en-GB"/>
        </w:rPr>
        <w:t>";</w:t>
      </w:r>
      <w:proofErr w:type="gramEnd"/>
    </w:p>
    <w:p w14:paraId="14BABFB7"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MTC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"no</w:t>
      </w:r>
      <w:proofErr w:type="gramStart"/>
      <w:r w:rsidRPr="009968E0">
        <w:rPr>
          <w:rFonts w:ascii="Times New Roman" w:eastAsia="Times New Roman" w:hAnsi="Times New Roman" w:cs="Arial"/>
          <w:sz w:val="20"/>
          <w:szCs w:val="20"/>
          <w:lang w:eastAsia="en-GB"/>
        </w:rPr>
        <w:t>";</w:t>
      </w:r>
      <w:proofErr w:type="gramEnd"/>
    </w:p>
    <w:p w14:paraId="5B597C96"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 xml:space="preserve">Research </w:t>
      </w:r>
      <w:proofErr w:type="spellStart"/>
      <w:r w:rsidRPr="009968E0">
        <w:rPr>
          <w:rFonts w:ascii="Times New Roman" w:eastAsia="Times New Roman" w:hAnsi="Times New Roman" w:cs="Arial"/>
          <w:sz w:val="20"/>
          <w:szCs w:val="20"/>
          <w:lang w:eastAsia="en-GB"/>
        </w:rPr>
        <w:t>prepulse</w:t>
      </w:r>
      <w:proofErr w:type="spellEnd"/>
      <w:r w:rsidRPr="009968E0">
        <w:rPr>
          <w:rFonts w:ascii="Times New Roman" w:eastAsia="Times New Roman" w:hAnsi="Times New Roman" w:cs="Arial"/>
          <w:sz w:val="20"/>
          <w:szCs w:val="20"/>
          <w:lang w:eastAsia="en-GB"/>
        </w:rPr>
        <w:t xml:space="preserve">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"no</w:t>
      </w:r>
      <w:proofErr w:type="gramStart"/>
      <w:r w:rsidRPr="009968E0">
        <w:rPr>
          <w:rFonts w:ascii="Times New Roman" w:eastAsia="Times New Roman" w:hAnsi="Times New Roman" w:cs="Arial"/>
          <w:sz w:val="20"/>
          <w:szCs w:val="20"/>
          <w:lang w:eastAsia="en-GB"/>
        </w:rPr>
        <w:t>";</w:t>
      </w:r>
      <w:proofErr w:type="gramEnd"/>
    </w:p>
    <w:p w14:paraId="130D6DAC"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Diffusion mode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"no</w:t>
      </w:r>
      <w:proofErr w:type="gramStart"/>
      <w:r w:rsidRPr="009968E0">
        <w:rPr>
          <w:rFonts w:ascii="Times New Roman" w:eastAsia="Times New Roman" w:hAnsi="Times New Roman" w:cs="Arial"/>
          <w:sz w:val="20"/>
          <w:szCs w:val="20"/>
          <w:lang w:eastAsia="en-GB"/>
        </w:rPr>
        <w:t>";</w:t>
      </w:r>
      <w:proofErr w:type="gramEnd"/>
    </w:p>
    <w:p w14:paraId="05351789"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SAR mode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"high</w:t>
      </w:r>
      <w:proofErr w:type="gramStart"/>
      <w:r w:rsidRPr="009968E0">
        <w:rPr>
          <w:rFonts w:ascii="Times New Roman" w:eastAsia="Times New Roman" w:hAnsi="Times New Roman" w:cs="Arial"/>
          <w:sz w:val="20"/>
          <w:szCs w:val="20"/>
          <w:lang w:eastAsia="en-GB"/>
        </w:rPr>
        <w:t>";</w:t>
      </w:r>
      <w:proofErr w:type="gramEnd"/>
    </w:p>
    <w:p w14:paraId="60D49126"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B1 mode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"default</w:t>
      </w:r>
      <w:proofErr w:type="gramStart"/>
      <w:r w:rsidRPr="009968E0">
        <w:rPr>
          <w:rFonts w:ascii="Times New Roman" w:eastAsia="Times New Roman" w:hAnsi="Times New Roman" w:cs="Arial"/>
          <w:sz w:val="20"/>
          <w:szCs w:val="20"/>
          <w:lang w:eastAsia="en-GB"/>
        </w:rPr>
        <w:t>";</w:t>
      </w:r>
      <w:proofErr w:type="gramEnd"/>
    </w:p>
    <w:p w14:paraId="55D1495A"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PNS mode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"high</w:t>
      </w:r>
      <w:proofErr w:type="gramStart"/>
      <w:r w:rsidRPr="009968E0">
        <w:rPr>
          <w:rFonts w:ascii="Times New Roman" w:eastAsia="Times New Roman" w:hAnsi="Times New Roman" w:cs="Arial"/>
          <w:sz w:val="20"/>
          <w:szCs w:val="20"/>
          <w:lang w:eastAsia="en-GB"/>
        </w:rPr>
        <w:t>";</w:t>
      </w:r>
      <w:proofErr w:type="gramEnd"/>
    </w:p>
    <w:p w14:paraId="58F7E6C6"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Gradient mode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"maximum</w:t>
      </w:r>
      <w:proofErr w:type="gramStart"/>
      <w:r w:rsidRPr="009968E0">
        <w:rPr>
          <w:rFonts w:ascii="Times New Roman" w:eastAsia="Times New Roman" w:hAnsi="Times New Roman" w:cs="Arial"/>
          <w:sz w:val="20"/>
          <w:szCs w:val="20"/>
          <w:lang w:eastAsia="en-GB"/>
        </w:rPr>
        <w:t>";</w:t>
      </w:r>
      <w:proofErr w:type="gramEnd"/>
    </w:p>
    <w:p w14:paraId="395D150B" w14:textId="77777777" w:rsidR="009968E0" w:rsidRPr="009968E0" w:rsidRDefault="009968E0" w:rsidP="009968E0">
      <w:pPr>
        <w:rPr>
          <w:rFonts w:ascii="Times New Roman" w:eastAsia="Times New Roman" w:hAnsi="Times New Roman" w:cs="Arial"/>
          <w:sz w:val="20"/>
          <w:szCs w:val="20"/>
          <w:lang w:eastAsia="en-GB"/>
        </w:rPr>
      </w:pPr>
      <w:proofErr w:type="spellStart"/>
      <w:r w:rsidRPr="009968E0">
        <w:rPr>
          <w:rFonts w:ascii="Times New Roman" w:eastAsia="Times New Roman" w:hAnsi="Times New Roman" w:cs="Arial"/>
          <w:sz w:val="20"/>
          <w:szCs w:val="20"/>
          <w:lang w:eastAsia="en-GB"/>
        </w:rPr>
        <w:t>SofTone</w:t>
      </w:r>
      <w:proofErr w:type="spellEnd"/>
      <w:r w:rsidRPr="009968E0">
        <w:rPr>
          <w:rFonts w:ascii="Times New Roman" w:eastAsia="Times New Roman" w:hAnsi="Times New Roman" w:cs="Arial"/>
          <w:sz w:val="20"/>
          <w:szCs w:val="20"/>
          <w:lang w:eastAsia="en-GB"/>
        </w:rPr>
        <w:t xml:space="preserve"> mode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"no</w:t>
      </w:r>
      <w:proofErr w:type="gramStart"/>
      <w:r w:rsidRPr="009968E0">
        <w:rPr>
          <w:rFonts w:ascii="Times New Roman" w:eastAsia="Times New Roman" w:hAnsi="Times New Roman" w:cs="Arial"/>
          <w:sz w:val="20"/>
          <w:szCs w:val="20"/>
          <w:lang w:eastAsia="en-GB"/>
        </w:rPr>
        <w:t>";</w:t>
      </w:r>
      <w:proofErr w:type="gramEnd"/>
    </w:p>
    <w:p w14:paraId="42FD1C0A"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Cardiac synchronization =</w:t>
      </w:r>
      <w:r w:rsidRPr="009968E0">
        <w:rPr>
          <w:rFonts w:ascii="Times New Roman" w:eastAsia="Times New Roman" w:hAnsi="Times New Roman" w:cs="Arial"/>
          <w:sz w:val="20"/>
          <w:szCs w:val="20"/>
          <w:lang w:eastAsia="en-GB"/>
        </w:rPr>
        <w:tab/>
        <w:t>"no</w:t>
      </w:r>
      <w:proofErr w:type="gramStart"/>
      <w:r w:rsidRPr="009968E0">
        <w:rPr>
          <w:rFonts w:ascii="Times New Roman" w:eastAsia="Times New Roman" w:hAnsi="Times New Roman" w:cs="Arial"/>
          <w:sz w:val="20"/>
          <w:szCs w:val="20"/>
          <w:lang w:eastAsia="en-GB"/>
        </w:rPr>
        <w:t>";</w:t>
      </w:r>
      <w:proofErr w:type="gramEnd"/>
    </w:p>
    <w:p w14:paraId="03298BB2"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Heart rate &gt; 250 bpm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"no</w:t>
      </w:r>
      <w:proofErr w:type="gramStart"/>
      <w:r w:rsidRPr="009968E0">
        <w:rPr>
          <w:rFonts w:ascii="Times New Roman" w:eastAsia="Times New Roman" w:hAnsi="Times New Roman" w:cs="Arial"/>
          <w:sz w:val="20"/>
          <w:szCs w:val="20"/>
          <w:lang w:eastAsia="en-GB"/>
        </w:rPr>
        <w:t>";</w:t>
      </w:r>
      <w:proofErr w:type="gramEnd"/>
    </w:p>
    <w:p w14:paraId="6BE0D9E4"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Respiratory compensation =</w:t>
      </w:r>
      <w:r w:rsidRPr="009968E0">
        <w:rPr>
          <w:rFonts w:ascii="Times New Roman" w:eastAsia="Times New Roman" w:hAnsi="Times New Roman" w:cs="Arial"/>
          <w:sz w:val="20"/>
          <w:szCs w:val="20"/>
          <w:lang w:eastAsia="en-GB"/>
        </w:rPr>
        <w:tab/>
        <w:t>"no</w:t>
      </w:r>
      <w:proofErr w:type="gramStart"/>
      <w:r w:rsidRPr="009968E0">
        <w:rPr>
          <w:rFonts w:ascii="Times New Roman" w:eastAsia="Times New Roman" w:hAnsi="Times New Roman" w:cs="Arial"/>
          <w:sz w:val="20"/>
          <w:szCs w:val="20"/>
          <w:lang w:eastAsia="en-GB"/>
        </w:rPr>
        <w:t>";</w:t>
      </w:r>
      <w:proofErr w:type="gramEnd"/>
    </w:p>
    <w:p w14:paraId="2C1402CF"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Navigator respiratory comp =</w:t>
      </w:r>
      <w:r w:rsidRPr="009968E0">
        <w:rPr>
          <w:rFonts w:ascii="Times New Roman" w:eastAsia="Times New Roman" w:hAnsi="Times New Roman" w:cs="Arial"/>
          <w:sz w:val="20"/>
          <w:szCs w:val="20"/>
          <w:lang w:eastAsia="en-GB"/>
        </w:rPr>
        <w:tab/>
        <w:t>"no</w:t>
      </w:r>
      <w:proofErr w:type="gramStart"/>
      <w:r w:rsidRPr="009968E0">
        <w:rPr>
          <w:rFonts w:ascii="Times New Roman" w:eastAsia="Times New Roman" w:hAnsi="Times New Roman" w:cs="Arial"/>
          <w:sz w:val="20"/>
          <w:szCs w:val="20"/>
          <w:lang w:eastAsia="en-GB"/>
        </w:rPr>
        <w:t>";</w:t>
      </w:r>
      <w:proofErr w:type="gramEnd"/>
    </w:p>
    <w:p w14:paraId="16BC76E0"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Flow compensation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"no</w:t>
      </w:r>
      <w:proofErr w:type="gramStart"/>
      <w:r w:rsidRPr="009968E0">
        <w:rPr>
          <w:rFonts w:ascii="Times New Roman" w:eastAsia="Times New Roman" w:hAnsi="Times New Roman" w:cs="Arial"/>
          <w:sz w:val="20"/>
          <w:szCs w:val="20"/>
          <w:lang w:eastAsia="en-GB"/>
        </w:rPr>
        <w:t>";</w:t>
      </w:r>
      <w:proofErr w:type="gramEnd"/>
    </w:p>
    <w:p w14:paraId="57292147"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Temporal slice spacing =</w:t>
      </w:r>
      <w:r w:rsidRPr="009968E0">
        <w:rPr>
          <w:rFonts w:ascii="Times New Roman" w:eastAsia="Times New Roman" w:hAnsi="Times New Roman" w:cs="Arial"/>
          <w:sz w:val="20"/>
          <w:szCs w:val="20"/>
          <w:lang w:eastAsia="en-GB"/>
        </w:rPr>
        <w:tab/>
        <w:t>"default</w:t>
      </w:r>
      <w:proofErr w:type="gramStart"/>
      <w:r w:rsidRPr="009968E0">
        <w:rPr>
          <w:rFonts w:ascii="Times New Roman" w:eastAsia="Times New Roman" w:hAnsi="Times New Roman" w:cs="Arial"/>
          <w:sz w:val="20"/>
          <w:szCs w:val="20"/>
          <w:lang w:eastAsia="en-GB"/>
        </w:rPr>
        <w:t>";</w:t>
      </w:r>
      <w:proofErr w:type="gramEnd"/>
    </w:p>
    <w:p w14:paraId="5FEE7995"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fMRI echo stabilisation =</w:t>
      </w:r>
      <w:r w:rsidRPr="009968E0">
        <w:rPr>
          <w:rFonts w:ascii="Times New Roman" w:eastAsia="Times New Roman" w:hAnsi="Times New Roman" w:cs="Arial"/>
          <w:sz w:val="20"/>
          <w:szCs w:val="20"/>
          <w:lang w:eastAsia="en-GB"/>
        </w:rPr>
        <w:tab/>
        <w:t>"no</w:t>
      </w:r>
      <w:proofErr w:type="gramStart"/>
      <w:r w:rsidRPr="009968E0">
        <w:rPr>
          <w:rFonts w:ascii="Times New Roman" w:eastAsia="Times New Roman" w:hAnsi="Times New Roman" w:cs="Arial"/>
          <w:sz w:val="20"/>
          <w:szCs w:val="20"/>
          <w:lang w:eastAsia="en-GB"/>
        </w:rPr>
        <w:t>";</w:t>
      </w:r>
      <w:proofErr w:type="gramEnd"/>
    </w:p>
    <w:p w14:paraId="5ABB2C55"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NSA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proofErr w:type="gramStart"/>
      <w:r w:rsidRPr="009968E0">
        <w:rPr>
          <w:rFonts w:ascii="Times New Roman" w:eastAsia="Times New Roman" w:hAnsi="Times New Roman" w:cs="Arial"/>
          <w:sz w:val="20"/>
          <w:szCs w:val="20"/>
          <w:lang w:eastAsia="en-GB"/>
        </w:rPr>
        <w:t>1;</w:t>
      </w:r>
      <w:proofErr w:type="gramEnd"/>
    </w:p>
    <w:p w14:paraId="59A0A599"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 xml:space="preserve">Angio / Contrast </w:t>
      </w:r>
      <w:proofErr w:type="spellStart"/>
      <w:r w:rsidRPr="009968E0">
        <w:rPr>
          <w:rFonts w:ascii="Times New Roman" w:eastAsia="Times New Roman" w:hAnsi="Times New Roman" w:cs="Arial"/>
          <w:sz w:val="20"/>
          <w:szCs w:val="20"/>
          <w:lang w:eastAsia="en-GB"/>
        </w:rPr>
        <w:t>enh</w:t>
      </w:r>
      <w:proofErr w:type="spellEnd"/>
      <w:r w:rsidRPr="009968E0">
        <w:rPr>
          <w:rFonts w:ascii="Times New Roman" w:eastAsia="Times New Roman" w:hAnsi="Times New Roman" w:cs="Arial"/>
          <w:sz w:val="20"/>
          <w:szCs w:val="20"/>
          <w:lang w:eastAsia="en-GB"/>
        </w:rPr>
        <w:t>.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"no</w:t>
      </w:r>
      <w:proofErr w:type="gramStart"/>
      <w:r w:rsidRPr="009968E0">
        <w:rPr>
          <w:rFonts w:ascii="Times New Roman" w:eastAsia="Times New Roman" w:hAnsi="Times New Roman" w:cs="Arial"/>
          <w:sz w:val="20"/>
          <w:szCs w:val="20"/>
          <w:lang w:eastAsia="en-GB"/>
        </w:rPr>
        <w:t>";</w:t>
      </w:r>
      <w:proofErr w:type="gramEnd"/>
    </w:p>
    <w:p w14:paraId="02FDCDEE"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Quantitative flow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"no</w:t>
      </w:r>
      <w:proofErr w:type="gramStart"/>
      <w:r w:rsidRPr="009968E0">
        <w:rPr>
          <w:rFonts w:ascii="Times New Roman" w:eastAsia="Times New Roman" w:hAnsi="Times New Roman" w:cs="Arial"/>
          <w:sz w:val="20"/>
          <w:szCs w:val="20"/>
          <w:lang w:eastAsia="en-GB"/>
        </w:rPr>
        <w:t>";</w:t>
      </w:r>
      <w:proofErr w:type="gramEnd"/>
    </w:p>
    <w:p w14:paraId="5DD1D3CA"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Manual start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"yes</w:t>
      </w:r>
      <w:proofErr w:type="gramStart"/>
      <w:r w:rsidRPr="009968E0">
        <w:rPr>
          <w:rFonts w:ascii="Times New Roman" w:eastAsia="Times New Roman" w:hAnsi="Times New Roman" w:cs="Arial"/>
          <w:sz w:val="20"/>
          <w:szCs w:val="20"/>
          <w:lang w:eastAsia="en-GB"/>
        </w:rPr>
        <w:t>";</w:t>
      </w:r>
      <w:proofErr w:type="gramEnd"/>
    </w:p>
    <w:p w14:paraId="55B6CC4B"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Dynamic study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"individual</w:t>
      </w:r>
      <w:proofErr w:type="gramStart"/>
      <w:r w:rsidRPr="009968E0">
        <w:rPr>
          <w:rFonts w:ascii="Times New Roman" w:eastAsia="Times New Roman" w:hAnsi="Times New Roman" w:cs="Arial"/>
          <w:sz w:val="20"/>
          <w:szCs w:val="20"/>
          <w:lang w:eastAsia="en-GB"/>
        </w:rPr>
        <w:t>";</w:t>
      </w:r>
      <w:proofErr w:type="gramEnd"/>
    </w:p>
    <w:p w14:paraId="60C836E8"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 xml:space="preserve">    </w:t>
      </w:r>
      <w:proofErr w:type="spellStart"/>
      <w:r w:rsidRPr="009968E0">
        <w:rPr>
          <w:rFonts w:ascii="Times New Roman" w:eastAsia="Times New Roman" w:hAnsi="Times New Roman" w:cs="Arial"/>
          <w:sz w:val="20"/>
          <w:szCs w:val="20"/>
          <w:lang w:eastAsia="en-GB"/>
        </w:rPr>
        <w:t>dyn</w:t>
      </w:r>
      <w:proofErr w:type="spellEnd"/>
      <w:r w:rsidRPr="009968E0">
        <w:rPr>
          <w:rFonts w:ascii="Times New Roman" w:eastAsia="Times New Roman" w:hAnsi="Times New Roman" w:cs="Arial"/>
          <w:sz w:val="20"/>
          <w:szCs w:val="20"/>
          <w:lang w:eastAsia="en-GB"/>
        </w:rPr>
        <w:t xml:space="preserve"> scans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proofErr w:type="gramStart"/>
      <w:r w:rsidRPr="009968E0">
        <w:rPr>
          <w:rFonts w:ascii="Times New Roman" w:eastAsia="Times New Roman" w:hAnsi="Times New Roman" w:cs="Arial"/>
          <w:sz w:val="20"/>
          <w:szCs w:val="20"/>
          <w:lang w:eastAsia="en-GB"/>
        </w:rPr>
        <w:t>72;</w:t>
      </w:r>
      <w:proofErr w:type="gramEnd"/>
    </w:p>
    <w:p w14:paraId="7BEF3E11"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 xml:space="preserve">    recon multiplier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proofErr w:type="gramStart"/>
      <w:r w:rsidRPr="009968E0">
        <w:rPr>
          <w:rFonts w:ascii="Times New Roman" w:eastAsia="Times New Roman" w:hAnsi="Times New Roman" w:cs="Arial"/>
          <w:sz w:val="20"/>
          <w:szCs w:val="20"/>
          <w:lang w:eastAsia="en-GB"/>
        </w:rPr>
        <w:t>1;</w:t>
      </w:r>
      <w:proofErr w:type="gramEnd"/>
    </w:p>
    <w:p w14:paraId="242CFF93"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 xml:space="preserve">    </w:t>
      </w:r>
      <w:proofErr w:type="spellStart"/>
      <w:r w:rsidRPr="009968E0">
        <w:rPr>
          <w:rFonts w:ascii="Times New Roman" w:eastAsia="Times New Roman" w:hAnsi="Times New Roman" w:cs="Arial"/>
          <w:sz w:val="20"/>
          <w:szCs w:val="20"/>
          <w:lang w:eastAsia="en-GB"/>
        </w:rPr>
        <w:t>dyn</w:t>
      </w:r>
      <w:proofErr w:type="spellEnd"/>
      <w:r w:rsidRPr="009968E0">
        <w:rPr>
          <w:rFonts w:ascii="Times New Roman" w:eastAsia="Times New Roman" w:hAnsi="Times New Roman" w:cs="Arial"/>
          <w:sz w:val="20"/>
          <w:szCs w:val="20"/>
          <w:lang w:eastAsia="en-GB"/>
        </w:rPr>
        <w:t xml:space="preserve"> scan times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"shortest</w:t>
      </w:r>
      <w:proofErr w:type="gramStart"/>
      <w:r w:rsidRPr="009968E0">
        <w:rPr>
          <w:rFonts w:ascii="Times New Roman" w:eastAsia="Times New Roman" w:hAnsi="Times New Roman" w:cs="Arial"/>
          <w:sz w:val="20"/>
          <w:szCs w:val="20"/>
          <w:lang w:eastAsia="en-GB"/>
        </w:rPr>
        <w:t>";</w:t>
      </w:r>
      <w:proofErr w:type="gramEnd"/>
    </w:p>
    <w:p w14:paraId="6D55655E"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 xml:space="preserve">    </w:t>
      </w:r>
      <w:proofErr w:type="spellStart"/>
      <w:r w:rsidRPr="009968E0">
        <w:rPr>
          <w:rFonts w:ascii="Times New Roman" w:eastAsia="Times New Roman" w:hAnsi="Times New Roman" w:cs="Arial"/>
          <w:sz w:val="20"/>
          <w:szCs w:val="20"/>
          <w:lang w:eastAsia="en-GB"/>
        </w:rPr>
        <w:t>fov</w:t>
      </w:r>
      <w:proofErr w:type="spellEnd"/>
      <w:r w:rsidRPr="009968E0">
        <w:rPr>
          <w:rFonts w:ascii="Times New Roman" w:eastAsia="Times New Roman" w:hAnsi="Times New Roman" w:cs="Arial"/>
          <w:sz w:val="20"/>
          <w:szCs w:val="20"/>
          <w:lang w:eastAsia="en-GB"/>
        </w:rPr>
        <w:t xml:space="preserve"> time mode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"default</w:t>
      </w:r>
      <w:proofErr w:type="gramStart"/>
      <w:r w:rsidRPr="009968E0">
        <w:rPr>
          <w:rFonts w:ascii="Times New Roman" w:eastAsia="Times New Roman" w:hAnsi="Times New Roman" w:cs="Arial"/>
          <w:sz w:val="20"/>
          <w:szCs w:val="20"/>
          <w:lang w:eastAsia="en-GB"/>
        </w:rPr>
        <w:t>";</w:t>
      </w:r>
      <w:proofErr w:type="gramEnd"/>
    </w:p>
    <w:p w14:paraId="001EC57B"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 xml:space="preserve">    dummy scans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proofErr w:type="gramStart"/>
      <w:r w:rsidRPr="009968E0">
        <w:rPr>
          <w:rFonts w:ascii="Times New Roman" w:eastAsia="Times New Roman" w:hAnsi="Times New Roman" w:cs="Arial"/>
          <w:sz w:val="20"/>
          <w:szCs w:val="20"/>
          <w:lang w:eastAsia="en-GB"/>
        </w:rPr>
        <w:t>0;</w:t>
      </w:r>
      <w:proofErr w:type="gramEnd"/>
    </w:p>
    <w:p w14:paraId="378ABCC0"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 xml:space="preserve">    immediate subtraction =</w:t>
      </w:r>
      <w:r w:rsidRPr="009968E0">
        <w:rPr>
          <w:rFonts w:ascii="Times New Roman" w:eastAsia="Times New Roman" w:hAnsi="Times New Roman" w:cs="Arial"/>
          <w:sz w:val="20"/>
          <w:szCs w:val="20"/>
          <w:lang w:eastAsia="en-GB"/>
        </w:rPr>
        <w:tab/>
        <w:t>"no</w:t>
      </w:r>
      <w:proofErr w:type="gramStart"/>
      <w:r w:rsidRPr="009968E0">
        <w:rPr>
          <w:rFonts w:ascii="Times New Roman" w:eastAsia="Times New Roman" w:hAnsi="Times New Roman" w:cs="Arial"/>
          <w:sz w:val="20"/>
          <w:szCs w:val="20"/>
          <w:lang w:eastAsia="en-GB"/>
        </w:rPr>
        <w:t>";</w:t>
      </w:r>
      <w:proofErr w:type="gramEnd"/>
    </w:p>
    <w:p w14:paraId="6077ED03"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 xml:space="preserve">    fast next scan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"no</w:t>
      </w:r>
      <w:proofErr w:type="gramStart"/>
      <w:r w:rsidRPr="009968E0">
        <w:rPr>
          <w:rFonts w:ascii="Times New Roman" w:eastAsia="Times New Roman" w:hAnsi="Times New Roman" w:cs="Arial"/>
          <w:sz w:val="20"/>
          <w:szCs w:val="20"/>
          <w:lang w:eastAsia="en-GB"/>
        </w:rPr>
        <w:t>";</w:t>
      </w:r>
      <w:proofErr w:type="gramEnd"/>
    </w:p>
    <w:p w14:paraId="73CC7D74"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 xml:space="preserve">    synch. ext. device =</w:t>
      </w:r>
      <w:r w:rsidRPr="009968E0">
        <w:rPr>
          <w:rFonts w:ascii="Times New Roman" w:eastAsia="Times New Roman" w:hAnsi="Times New Roman" w:cs="Arial"/>
          <w:sz w:val="20"/>
          <w:szCs w:val="20"/>
          <w:lang w:eastAsia="en-GB"/>
        </w:rPr>
        <w:tab/>
        <w:t>"no</w:t>
      </w:r>
      <w:proofErr w:type="gramStart"/>
      <w:r w:rsidRPr="009968E0">
        <w:rPr>
          <w:rFonts w:ascii="Times New Roman" w:eastAsia="Times New Roman" w:hAnsi="Times New Roman" w:cs="Arial"/>
          <w:sz w:val="20"/>
          <w:szCs w:val="20"/>
          <w:lang w:eastAsia="en-GB"/>
        </w:rPr>
        <w:t>";</w:t>
      </w:r>
      <w:proofErr w:type="gramEnd"/>
    </w:p>
    <w:p w14:paraId="06F5C487"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 xml:space="preserve">    </w:t>
      </w:r>
      <w:proofErr w:type="spellStart"/>
      <w:r w:rsidRPr="009968E0">
        <w:rPr>
          <w:rFonts w:ascii="Times New Roman" w:eastAsia="Times New Roman" w:hAnsi="Times New Roman" w:cs="Arial"/>
          <w:sz w:val="20"/>
          <w:szCs w:val="20"/>
          <w:lang w:eastAsia="en-GB"/>
        </w:rPr>
        <w:t>dyn</w:t>
      </w:r>
      <w:proofErr w:type="spellEnd"/>
      <w:r w:rsidRPr="009968E0">
        <w:rPr>
          <w:rFonts w:ascii="Times New Roman" w:eastAsia="Times New Roman" w:hAnsi="Times New Roman" w:cs="Arial"/>
          <w:sz w:val="20"/>
          <w:szCs w:val="20"/>
          <w:lang w:eastAsia="en-GB"/>
        </w:rPr>
        <w:t xml:space="preserve"> stabilization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"no</w:t>
      </w:r>
      <w:proofErr w:type="gramStart"/>
      <w:r w:rsidRPr="009968E0">
        <w:rPr>
          <w:rFonts w:ascii="Times New Roman" w:eastAsia="Times New Roman" w:hAnsi="Times New Roman" w:cs="Arial"/>
          <w:sz w:val="20"/>
          <w:szCs w:val="20"/>
          <w:lang w:eastAsia="en-GB"/>
        </w:rPr>
        <w:t>";</w:t>
      </w:r>
      <w:proofErr w:type="gramEnd"/>
    </w:p>
    <w:p w14:paraId="1D812C69"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 xml:space="preserve">    prospect. motion corr. =</w:t>
      </w:r>
      <w:r w:rsidRPr="009968E0">
        <w:rPr>
          <w:rFonts w:ascii="Times New Roman" w:eastAsia="Times New Roman" w:hAnsi="Times New Roman" w:cs="Arial"/>
          <w:sz w:val="20"/>
          <w:szCs w:val="20"/>
          <w:lang w:eastAsia="en-GB"/>
        </w:rPr>
        <w:tab/>
        <w:t>"no</w:t>
      </w:r>
      <w:proofErr w:type="gramStart"/>
      <w:r w:rsidRPr="009968E0">
        <w:rPr>
          <w:rFonts w:ascii="Times New Roman" w:eastAsia="Times New Roman" w:hAnsi="Times New Roman" w:cs="Arial"/>
          <w:sz w:val="20"/>
          <w:szCs w:val="20"/>
          <w:lang w:eastAsia="en-GB"/>
        </w:rPr>
        <w:t>";</w:t>
      </w:r>
      <w:proofErr w:type="gramEnd"/>
    </w:p>
    <w:p w14:paraId="7F9188EA"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Keyhole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"no</w:t>
      </w:r>
      <w:proofErr w:type="gramStart"/>
      <w:r w:rsidRPr="009968E0">
        <w:rPr>
          <w:rFonts w:ascii="Times New Roman" w:eastAsia="Times New Roman" w:hAnsi="Times New Roman" w:cs="Arial"/>
          <w:sz w:val="20"/>
          <w:szCs w:val="20"/>
          <w:lang w:eastAsia="en-GB"/>
        </w:rPr>
        <w:t>";</w:t>
      </w:r>
      <w:proofErr w:type="gramEnd"/>
    </w:p>
    <w:p w14:paraId="0D3E71DF"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 xml:space="preserve">Arterial Spin </w:t>
      </w:r>
      <w:proofErr w:type="spellStart"/>
      <w:r w:rsidRPr="009968E0">
        <w:rPr>
          <w:rFonts w:ascii="Times New Roman" w:eastAsia="Times New Roman" w:hAnsi="Times New Roman" w:cs="Arial"/>
          <w:sz w:val="20"/>
          <w:szCs w:val="20"/>
          <w:lang w:eastAsia="en-GB"/>
        </w:rPr>
        <w:t>labeling</w:t>
      </w:r>
      <w:proofErr w:type="spellEnd"/>
      <w:r w:rsidRPr="009968E0">
        <w:rPr>
          <w:rFonts w:ascii="Times New Roman" w:eastAsia="Times New Roman" w:hAnsi="Times New Roman" w:cs="Arial"/>
          <w:sz w:val="20"/>
          <w:szCs w:val="20"/>
          <w:lang w:eastAsia="en-GB"/>
        </w:rPr>
        <w:t xml:space="preserve"> =</w:t>
      </w:r>
      <w:r w:rsidRPr="009968E0">
        <w:rPr>
          <w:rFonts w:ascii="Times New Roman" w:eastAsia="Times New Roman" w:hAnsi="Times New Roman" w:cs="Arial"/>
          <w:sz w:val="20"/>
          <w:szCs w:val="20"/>
          <w:lang w:eastAsia="en-GB"/>
        </w:rPr>
        <w:tab/>
        <w:t>"no</w:t>
      </w:r>
      <w:proofErr w:type="gramStart"/>
      <w:r w:rsidRPr="009968E0">
        <w:rPr>
          <w:rFonts w:ascii="Times New Roman" w:eastAsia="Times New Roman" w:hAnsi="Times New Roman" w:cs="Arial"/>
          <w:sz w:val="20"/>
          <w:szCs w:val="20"/>
          <w:lang w:eastAsia="en-GB"/>
        </w:rPr>
        <w:t>";</w:t>
      </w:r>
      <w:proofErr w:type="gramEnd"/>
    </w:p>
    <w:p w14:paraId="2FA32B0A"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Preparation phases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"auto</w:t>
      </w:r>
      <w:proofErr w:type="gramStart"/>
      <w:r w:rsidRPr="009968E0">
        <w:rPr>
          <w:rFonts w:ascii="Times New Roman" w:eastAsia="Times New Roman" w:hAnsi="Times New Roman" w:cs="Arial"/>
          <w:sz w:val="20"/>
          <w:szCs w:val="20"/>
          <w:lang w:eastAsia="en-GB"/>
        </w:rPr>
        <w:t>";</w:t>
      </w:r>
      <w:proofErr w:type="gramEnd"/>
    </w:p>
    <w:p w14:paraId="21B6ECDC"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Interactive F0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"no</w:t>
      </w:r>
      <w:proofErr w:type="gramStart"/>
      <w:r w:rsidRPr="009968E0">
        <w:rPr>
          <w:rFonts w:ascii="Times New Roman" w:eastAsia="Times New Roman" w:hAnsi="Times New Roman" w:cs="Arial"/>
          <w:sz w:val="20"/>
          <w:szCs w:val="20"/>
          <w:lang w:eastAsia="en-GB"/>
        </w:rPr>
        <w:t>";</w:t>
      </w:r>
      <w:proofErr w:type="gramEnd"/>
    </w:p>
    <w:p w14:paraId="01A97FAE"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B0 field map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"no</w:t>
      </w:r>
      <w:proofErr w:type="gramStart"/>
      <w:r w:rsidRPr="009968E0">
        <w:rPr>
          <w:rFonts w:ascii="Times New Roman" w:eastAsia="Times New Roman" w:hAnsi="Times New Roman" w:cs="Arial"/>
          <w:sz w:val="20"/>
          <w:szCs w:val="20"/>
          <w:lang w:eastAsia="en-GB"/>
        </w:rPr>
        <w:t>";</w:t>
      </w:r>
      <w:proofErr w:type="gramEnd"/>
    </w:p>
    <w:p w14:paraId="5E93DBD3"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MIP/MPR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"no</w:t>
      </w:r>
      <w:proofErr w:type="gramStart"/>
      <w:r w:rsidRPr="009968E0">
        <w:rPr>
          <w:rFonts w:ascii="Times New Roman" w:eastAsia="Times New Roman" w:hAnsi="Times New Roman" w:cs="Arial"/>
          <w:sz w:val="20"/>
          <w:szCs w:val="20"/>
          <w:lang w:eastAsia="en-GB"/>
        </w:rPr>
        <w:t>";</w:t>
      </w:r>
      <w:proofErr w:type="gramEnd"/>
    </w:p>
    <w:p w14:paraId="69650E89"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Images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"M", (3) "no</w:t>
      </w:r>
      <w:proofErr w:type="gramStart"/>
      <w:r w:rsidRPr="009968E0">
        <w:rPr>
          <w:rFonts w:ascii="Times New Roman" w:eastAsia="Times New Roman" w:hAnsi="Times New Roman" w:cs="Arial"/>
          <w:sz w:val="20"/>
          <w:szCs w:val="20"/>
          <w:lang w:eastAsia="en-GB"/>
        </w:rPr>
        <w:t>";</w:t>
      </w:r>
      <w:proofErr w:type="gramEnd"/>
    </w:p>
    <w:p w14:paraId="64EB7DC0" w14:textId="77777777" w:rsidR="009968E0" w:rsidRPr="009968E0" w:rsidRDefault="009968E0" w:rsidP="009968E0">
      <w:pPr>
        <w:rPr>
          <w:rFonts w:ascii="Times New Roman" w:eastAsia="Times New Roman" w:hAnsi="Times New Roman" w:cs="Arial"/>
          <w:sz w:val="20"/>
          <w:szCs w:val="20"/>
          <w:lang w:eastAsia="en-GB"/>
        </w:rPr>
      </w:pPr>
      <w:proofErr w:type="spellStart"/>
      <w:r w:rsidRPr="009968E0">
        <w:rPr>
          <w:rFonts w:ascii="Times New Roman" w:eastAsia="Times New Roman" w:hAnsi="Times New Roman" w:cs="Arial"/>
          <w:sz w:val="20"/>
          <w:szCs w:val="20"/>
          <w:lang w:eastAsia="en-GB"/>
        </w:rPr>
        <w:t>Autoview</w:t>
      </w:r>
      <w:proofErr w:type="spellEnd"/>
      <w:r w:rsidRPr="009968E0">
        <w:rPr>
          <w:rFonts w:ascii="Times New Roman" w:eastAsia="Times New Roman" w:hAnsi="Times New Roman" w:cs="Arial"/>
          <w:sz w:val="20"/>
          <w:szCs w:val="20"/>
          <w:lang w:eastAsia="en-GB"/>
        </w:rPr>
        <w:t xml:space="preserve"> image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"M</w:t>
      </w:r>
      <w:proofErr w:type="gramStart"/>
      <w:r w:rsidRPr="009968E0">
        <w:rPr>
          <w:rFonts w:ascii="Times New Roman" w:eastAsia="Times New Roman" w:hAnsi="Times New Roman" w:cs="Arial"/>
          <w:sz w:val="20"/>
          <w:szCs w:val="20"/>
          <w:lang w:eastAsia="en-GB"/>
        </w:rPr>
        <w:t>";</w:t>
      </w:r>
      <w:proofErr w:type="gramEnd"/>
    </w:p>
    <w:p w14:paraId="394422BD"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Calculated images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(4) "no</w:t>
      </w:r>
      <w:proofErr w:type="gramStart"/>
      <w:r w:rsidRPr="009968E0">
        <w:rPr>
          <w:rFonts w:ascii="Times New Roman" w:eastAsia="Times New Roman" w:hAnsi="Times New Roman" w:cs="Arial"/>
          <w:sz w:val="20"/>
          <w:szCs w:val="20"/>
          <w:lang w:eastAsia="en-GB"/>
        </w:rPr>
        <w:t>";</w:t>
      </w:r>
      <w:proofErr w:type="gramEnd"/>
    </w:p>
    <w:p w14:paraId="05F58D65"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Reference tissue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"Grey matter</w:t>
      </w:r>
      <w:proofErr w:type="gramStart"/>
      <w:r w:rsidRPr="009968E0">
        <w:rPr>
          <w:rFonts w:ascii="Times New Roman" w:eastAsia="Times New Roman" w:hAnsi="Times New Roman" w:cs="Arial"/>
          <w:sz w:val="20"/>
          <w:szCs w:val="20"/>
          <w:lang w:eastAsia="en-GB"/>
        </w:rPr>
        <w:t>";</w:t>
      </w:r>
      <w:proofErr w:type="gramEnd"/>
    </w:p>
    <w:p w14:paraId="383E2246"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Recon compression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"No</w:t>
      </w:r>
      <w:proofErr w:type="gramStart"/>
      <w:r w:rsidRPr="009968E0">
        <w:rPr>
          <w:rFonts w:ascii="Times New Roman" w:eastAsia="Times New Roman" w:hAnsi="Times New Roman" w:cs="Arial"/>
          <w:sz w:val="20"/>
          <w:szCs w:val="20"/>
          <w:lang w:eastAsia="en-GB"/>
        </w:rPr>
        <w:t>";</w:t>
      </w:r>
      <w:proofErr w:type="gramEnd"/>
    </w:p>
    <w:p w14:paraId="42B5B551" w14:textId="77777777" w:rsidR="009968E0" w:rsidRPr="009968E0" w:rsidRDefault="009968E0" w:rsidP="009968E0">
      <w:pPr>
        <w:rPr>
          <w:rFonts w:ascii="Times New Roman" w:eastAsia="Times New Roman" w:hAnsi="Times New Roman" w:cs="Arial"/>
          <w:sz w:val="20"/>
          <w:szCs w:val="20"/>
          <w:lang w:eastAsia="en-GB"/>
        </w:rPr>
      </w:pPr>
      <w:proofErr w:type="spellStart"/>
      <w:r w:rsidRPr="009968E0">
        <w:rPr>
          <w:rFonts w:ascii="Times New Roman" w:eastAsia="Times New Roman" w:hAnsi="Times New Roman" w:cs="Arial"/>
          <w:sz w:val="20"/>
          <w:szCs w:val="20"/>
          <w:lang w:eastAsia="en-GB"/>
        </w:rPr>
        <w:lastRenderedPageBreak/>
        <w:t>Preset</w:t>
      </w:r>
      <w:proofErr w:type="spellEnd"/>
      <w:r w:rsidRPr="009968E0">
        <w:rPr>
          <w:rFonts w:ascii="Times New Roman" w:eastAsia="Times New Roman" w:hAnsi="Times New Roman" w:cs="Arial"/>
          <w:sz w:val="20"/>
          <w:szCs w:val="20"/>
          <w:lang w:eastAsia="en-GB"/>
        </w:rPr>
        <w:t xml:space="preserve"> window contrast =</w:t>
      </w:r>
      <w:r w:rsidRPr="009968E0">
        <w:rPr>
          <w:rFonts w:ascii="Times New Roman" w:eastAsia="Times New Roman" w:hAnsi="Times New Roman" w:cs="Arial"/>
          <w:sz w:val="20"/>
          <w:szCs w:val="20"/>
          <w:lang w:eastAsia="en-GB"/>
        </w:rPr>
        <w:tab/>
        <w:t>"soft</w:t>
      </w:r>
      <w:proofErr w:type="gramStart"/>
      <w:r w:rsidRPr="009968E0">
        <w:rPr>
          <w:rFonts w:ascii="Times New Roman" w:eastAsia="Times New Roman" w:hAnsi="Times New Roman" w:cs="Arial"/>
          <w:sz w:val="20"/>
          <w:szCs w:val="20"/>
          <w:lang w:eastAsia="en-GB"/>
        </w:rPr>
        <w:t>";</w:t>
      </w:r>
      <w:proofErr w:type="gramEnd"/>
    </w:p>
    <w:p w14:paraId="4FF9AEC1"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Reconstruction mode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"real time</w:t>
      </w:r>
      <w:proofErr w:type="gramStart"/>
      <w:r w:rsidRPr="009968E0">
        <w:rPr>
          <w:rFonts w:ascii="Times New Roman" w:eastAsia="Times New Roman" w:hAnsi="Times New Roman" w:cs="Arial"/>
          <w:sz w:val="20"/>
          <w:szCs w:val="20"/>
          <w:lang w:eastAsia="en-GB"/>
        </w:rPr>
        <w:t>";</w:t>
      </w:r>
      <w:proofErr w:type="gramEnd"/>
    </w:p>
    <w:p w14:paraId="38B20325"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 xml:space="preserve">    reuse memory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"no</w:t>
      </w:r>
      <w:proofErr w:type="gramStart"/>
      <w:r w:rsidRPr="009968E0">
        <w:rPr>
          <w:rFonts w:ascii="Times New Roman" w:eastAsia="Times New Roman" w:hAnsi="Times New Roman" w:cs="Arial"/>
          <w:sz w:val="20"/>
          <w:szCs w:val="20"/>
          <w:lang w:eastAsia="en-GB"/>
        </w:rPr>
        <w:t>";</w:t>
      </w:r>
      <w:proofErr w:type="gramEnd"/>
    </w:p>
    <w:p w14:paraId="202F84E6"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Save raw data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"no</w:t>
      </w:r>
      <w:proofErr w:type="gramStart"/>
      <w:r w:rsidRPr="009968E0">
        <w:rPr>
          <w:rFonts w:ascii="Times New Roman" w:eastAsia="Times New Roman" w:hAnsi="Times New Roman" w:cs="Arial"/>
          <w:sz w:val="20"/>
          <w:szCs w:val="20"/>
          <w:lang w:eastAsia="en-GB"/>
        </w:rPr>
        <w:t>";</w:t>
      </w:r>
      <w:proofErr w:type="gramEnd"/>
    </w:p>
    <w:p w14:paraId="5A0A38F4"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Hardcopy protocol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"no</w:t>
      </w:r>
      <w:proofErr w:type="gramStart"/>
      <w:r w:rsidRPr="009968E0">
        <w:rPr>
          <w:rFonts w:ascii="Times New Roman" w:eastAsia="Times New Roman" w:hAnsi="Times New Roman" w:cs="Arial"/>
          <w:sz w:val="20"/>
          <w:szCs w:val="20"/>
          <w:lang w:eastAsia="en-GB"/>
        </w:rPr>
        <w:t>";</w:t>
      </w:r>
      <w:proofErr w:type="gramEnd"/>
    </w:p>
    <w:p w14:paraId="5537DAD5"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Image filter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"system default</w:t>
      </w:r>
      <w:proofErr w:type="gramStart"/>
      <w:r w:rsidRPr="009968E0">
        <w:rPr>
          <w:rFonts w:ascii="Times New Roman" w:eastAsia="Times New Roman" w:hAnsi="Times New Roman" w:cs="Arial"/>
          <w:sz w:val="20"/>
          <w:szCs w:val="20"/>
          <w:lang w:eastAsia="en-GB"/>
        </w:rPr>
        <w:t>";</w:t>
      </w:r>
      <w:proofErr w:type="gramEnd"/>
    </w:p>
    <w:p w14:paraId="5AD2F053"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Geometry correction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"default</w:t>
      </w:r>
      <w:proofErr w:type="gramStart"/>
      <w:r w:rsidRPr="009968E0">
        <w:rPr>
          <w:rFonts w:ascii="Times New Roman" w:eastAsia="Times New Roman" w:hAnsi="Times New Roman" w:cs="Arial"/>
          <w:sz w:val="20"/>
          <w:szCs w:val="20"/>
          <w:lang w:eastAsia="en-GB"/>
        </w:rPr>
        <w:t>";</w:t>
      </w:r>
      <w:proofErr w:type="gramEnd"/>
    </w:p>
    <w:p w14:paraId="695A7CE9" w14:textId="77777777" w:rsidR="009968E0" w:rsidRPr="009968E0" w:rsidRDefault="009968E0" w:rsidP="009968E0">
      <w:pPr>
        <w:rPr>
          <w:rFonts w:ascii="Times New Roman" w:eastAsia="Times New Roman" w:hAnsi="Times New Roman" w:cs="Arial"/>
          <w:sz w:val="20"/>
          <w:szCs w:val="20"/>
          <w:lang w:eastAsia="en-GB"/>
        </w:rPr>
      </w:pPr>
      <w:proofErr w:type="spellStart"/>
      <w:r w:rsidRPr="009968E0">
        <w:rPr>
          <w:rFonts w:ascii="Times New Roman" w:eastAsia="Times New Roman" w:hAnsi="Times New Roman" w:cs="Arial"/>
          <w:sz w:val="20"/>
          <w:szCs w:val="20"/>
          <w:lang w:eastAsia="en-GB"/>
        </w:rPr>
        <w:t>IF_info_seperator</w:t>
      </w:r>
      <w:proofErr w:type="spellEnd"/>
      <w:r w:rsidRPr="009968E0">
        <w:rPr>
          <w:rFonts w:ascii="Times New Roman" w:eastAsia="Times New Roman" w:hAnsi="Times New Roman" w:cs="Arial"/>
          <w:sz w:val="20"/>
          <w:szCs w:val="20"/>
          <w:lang w:eastAsia="en-GB"/>
        </w:rPr>
        <w:t xml:space="preserve">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proofErr w:type="gramStart"/>
      <w:r w:rsidRPr="009968E0">
        <w:rPr>
          <w:rFonts w:ascii="Times New Roman" w:eastAsia="Times New Roman" w:hAnsi="Times New Roman" w:cs="Arial"/>
          <w:sz w:val="20"/>
          <w:szCs w:val="20"/>
          <w:lang w:eastAsia="en-GB"/>
        </w:rPr>
        <w:t>1634755923;</w:t>
      </w:r>
      <w:proofErr w:type="gramEnd"/>
    </w:p>
    <w:p w14:paraId="4F76F1E7"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Total scan duration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"01:33.7</w:t>
      </w:r>
      <w:proofErr w:type="gramStart"/>
      <w:r w:rsidRPr="009968E0">
        <w:rPr>
          <w:rFonts w:ascii="Times New Roman" w:eastAsia="Times New Roman" w:hAnsi="Times New Roman" w:cs="Arial"/>
          <w:sz w:val="20"/>
          <w:szCs w:val="20"/>
          <w:lang w:eastAsia="en-GB"/>
        </w:rPr>
        <w:t>";</w:t>
      </w:r>
      <w:proofErr w:type="gramEnd"/>
    </w:p>
    <w:p w14:paraId="212AFD0B"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Rel. SNR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proofErr w:type="gramStart"/>
      <w:r w:rsidRPr="009968E0">
        <w:rPr>
          <w:rFonts w:ascii="Times New Roman" w:eastAsia="Times New Roman" w:hAnsi="Times New Roman" w:cs="Arial"/>
          <w:sz w:val="20"/>
          <w:szCs w:val="20"/>
          <w:lang w:eastAsia="en-GB"/>
        </w:rPr>
        <w:t>1.000723;</w:t>
      </w:r>
      <w:proofErr w:type="gramEnd"/>
    </w:p>
    <w:p w14:paraId="093A4579"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Act. TR/TE (</w:t>
      </w:r>
      <w:proofErr w:type="spellStart"/>
      <w:r w:rsidRPr="009968E0">
        <w:rPr>
          <w:rFonts w:ascii="Times New Roman" w:eastAsia="Times New Roman" w:hAnsi="Times New Roman" w:cs="Arial"/>
          <w:sz w:val="20"/>
          <w:szCs w:val="20"/>
          <w:lang w:eastAsia="en-GB"/>
        </w:rPr>
        <w:t>ms</w:t>
      </w:r>
      <w:proofErr w:type="spellEnd"/>
      <w:r w:rsidRPr="009968E0">
        <w:rPr>
          <w:rFonts w:ascii="Times New Roman" w:eastAsia="Times New Roman" w:hAnsi="Times New Roman" w:cs="Arial"/>
          <w:sz w:val="20"/>
          <w:szCs w:val="20"/>
          <w:lang w:eastAsia="en-GB"/>
        </w:rPr>
        <w:t>)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"1250 / 35</w:t>
      </w:r>
      <w:proofErr w:type="gramStart"/>
      <w:r w:rsidRPr="009968E0">
        <w:rPr>
          <w:rFonts w:ascii="Times New Roman" w:eastAsia="Times New Roman" w:hAnsi="Times New Roman" w:cs="Arial"/>
          <w:sz w:val="20"/>
          <w:szCs w:val="20"/>
          <w:lang w:eastAsia="en-GB"/>
        </w:rPr>
        <w:t>";</w:t>
      </w:r>
      <w:proofErr w:type="gramEnd"/>
    </w:p>
    <w:p w14:paraId="1B87E875" w14:textId="77777777" w:rsidR="009968E0" w:rsidRPr="009968E0" w:rsidRDefault="009968E0" w:rsidP="009968E0">
      <w:pPr>
        <w:rPr>
          <w:rFonts w:ascii="Times New Roman" w:eastAsia="Times New Roman" w:hAnsi="Times New Roman" w:cs="Arial"/>
          <w:sz w:val="20"/>
          <w:szCs w:val="20"/>
          <w:lang w:eastAsia="en-GB"/>
        </w:rPr>
      </w:pPr>
      <w:proofErr w:type="spellStart"/>
      <w:r w:rsidRPr="009968E0">
        <w:rPr>
          <w:rFonts w:ascii="Times New Roman" w:eastAsia="Times New Roman" w:hAnsi="Times New Roman" w:cs="Arial"/>
          <w:sz w:val="20"/>
          <w:szCs w:val="20"/>
          <w:lang w:eastAsia="en-GB"/>
        </w:rPr>
        <w:t>Dyn</w:t>
      </w:r>
      <w:proofErr w:type="spellEnd"/>
      <w:r w:rsidRPr="009968E0">
        <w:rPr>
          <w:rFonts w:ascii="Times New Roman" w:eastAsia="Times New Roman" w:hAnsi="Times New Roman" w:cs="Arial"/>
          <w:sz w:val="20"/>
          <w:szCs w:val="20"/>
          <w:lang w:eastAsia="en-GB"/>
        </w:rPr>
        <w:t>. scan time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"00:01.2</w:t>
      </w:r>
      <w:proofErr w:type="gramStart"/>
      <w:r w:rsidRPr="009968E0">
        <w:rPr>
          <w:rFonts w:ascii="Times New Roman" w:eastAsia="Times New Roman" w:hAnsi="Times New Roman" w:cs="Arial"/>
          <w:sz w:val="20"/>
          <w:szCs w:val="20"/>
          <w:lang w:eastAsia="en-GB"/>
        </w:rPr>
        <w:t>";</w:t>
      </w:r>
      <w:proofErr w:type="gramEnd"/>
    </w:p>
    <w:p w14:paraId="47ED9E81"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Time to k0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"0.625</w:t>
      </w:r>
      <w:proofErr w:type="gramStart"/>
      <w:r w:rsidRPr="009968E0">
        <w:rPr>
          <w:rFonts w:ascii="Times New Roman" w:eastAsia="Times New Roman" w:hAnsi="Times New Roman" w:cs="Arial"/>
          <w:sz w:val="20"/>
          <w:szCs w:val="20"/>
          <w:lang w:eastAsia="en-GB"/>
        </w:rPr>
        <w:t>";</w:t>
      </w:r>
      <w:proofErr w:type="gramEnd"/>
    </w:p>
    <w:p w14:paraId="01E69814"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ACQ matrix M x P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"96 x 93</w:t>
      </w:r>
      <w:proofErr w:type="gramStart"/>
      <w:r w:rsidRPr="009968E0">
        <w:rPr>
          <w:rFonts w:ascii="Times New Roman" w:eastAsia="Times New Roman" w:hAnsi="Times New Roman" w:cs="Arial"/>
          <w:sz w:val="20"/>
          <w:szCs w:val="20"/>
          <w:lang w:eastAsia="en-GB"/>
        </w:rPr>
        <w:t>";</w:t>
      </w:r>
      <w:proofErr w:type="gramEnd"/>
    </w:p>
    <w:p w14:paraId="0664E93F"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ACQ voxel MPS (mm)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"2.33 / 2.39 / 4.00</w:t>
      </w:r>
      <w:proofErr w:type="gramStart"/>
      <w:r w:rsidRPr="009968E0">
        <w:rPr>
          <w:rFonts w:ascii="Times New Roman" w:eastAsia="Times New Roman" w:hAnsi="Times New Roman" w:cs="Arial"/>
          <w:sz w:val="20"/>
          <w:szCs w:val="20"/>
          <w:lang w:eastAsia="en-GB"/>
        </w:rPr>
        <w:t>";</w:t>
      </w:r>
      <w:proofErr w:type="gramEnd"/>
    </w:p>
    <w:p w14:paraId="6854CF48"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REC voxel MPS (mm)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"1.75 / 1.75 / 4.00</w:t>
      </w:r>
      <w:proofErr w:type="gramStart"/>
      <w:r w:rsidRPr="009968E0">
        <w:rPr>
          <w:rFonts w:ascii="Times New Roman" w:eastAsia="Times New Roman" w:hAnsi="Times New Roman" w:cs="Arial"/>
          <w:sz w:val="20"/>
          <w:szCs w:val="20"/>
          <w:lang w:eastAsia="en-GB"/>
        </w:rPr>
        <w:t>";</w:t>
      </w:r>
      <w:proofErr w:type="gramEnd"/>
    </w:p>
    <w:p w14:paraId="18A0F33D"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Scan percentage (%)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proofErr w:type="gramStart"/>
      <w:r w:rsidRPr="009968E0">
        <w:rPr>
          <w:rFonts w:ascii="Times New Roman" w:eastAsia="Times New Roman" w:hAnsi="Times New Roman" w:cs="Arial"/>
          <w:sz w:val="20"/>
          <w:szCs w:val="20"/>
          <w:lang w:eastAsia="en-GB"/>
        </w:rPr>
        <w:t>97.826088;</w:t>
      </w:r>
      <w:proofErr w:type="gramEnd"/>
    </w:p>
    <w:p w14:paraId="71A0198A"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Packages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proofErr w:type="gramStart"/>
      <w:r w:rsidRPr="009968E0">
        <w:rPr>
          <w:rFonts w:ascii="Times New Roman" w:eastAsia="Times New Roman" w:hAnsi="Times New Roman" w:cs="Arial"/>
          <w:sz w:val="20"/>
          <w:szCs w:val="20"/>
          <w:lang w:eastAsia="en-GB"/>
        </w:rPr>
        <w:t>1;</w:t>
      </w:r>
      <w:proofErr w:type="gramEnd"/>
    </w:p>
    <w:p w14:paraId="2600ADAF"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Min. slice gap (mm)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proofErr w:type="gramStart"/>
      <w:r w:rsidRPr="009968E0">
        <w:rPr>
          <w:rFonts w:ascii="Times New Roman" w:eastAsia="Times New Roman" w:hAnsi="Times New Roman" w:cs="Arial"/>
          <w:sz w:val="20"/>
          <w:szCs w:val="20"/>
          <w:lang w:eastAsia="en-GB"/>
        </w:rPr>
        <w:t>-0;</w:t>
      </w:r>
      <w:proofErr w:type="gramEnd"/>
    </w:p>
    <w:p w14:paraId="0313D171"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EPI factor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proofErr w:type="gramStart"/>
      <w:r w:rsidRPr="009968E0">
        <w:rPr>
          <w:rFonts w:ascii="Times New Roman" w:eastAsia="Times New Roman" w:hAnsi="Times New Roman" w:cs="Arial"/>
          <w:sz w:val="20"/>
          <w:szCs w:val="20"/>
          <w:lang w:eastAsia="en-GB"/>
        </w:rPr>
        <w:t>45;</w:t>
      </w:r>
      <w:proofErr w:type="gramEnd"/>
    </w:p>
    <w:p w14:paraId="2A569EBD"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Act. WFS (</w:t>
      </w:r>
      <w:proofErr w:type="spellStart"/>
      <w:r w:rsidRPr="009968E0">
        <w:rPr>
          <w:rFonts w:ascii="Times New Roman" w:eastAsia="Times New Roman" w:hAnsi="Times New Roman" w:cs="Arial"/>
          <w:sz w:val="20"/>
          <w:szCs w:val="20"/>
          <w:lang w:eastAsia="en-GB"/>
        </w:rPr>
        <w:t>pix</w:t>
      </w:r>
      <w:proofErr w:type="spellEnd"/>
      <w:r w:rsidRPr="009968E0">
        <w:rPr>
          <w:rFonts w:ascii="Times New Roman" w:eastAsia="Times New Roman" w:hAnsi="Times New Roman" w:cs="Arial"/>
          <w:sz w:val="20"/>
          <w:szCs w:val="20"/>
          <w:lang w:eastAsia="en-GB"/>
        </w:rPr>
        <w:t>) / BW (Hz) =</w:t>
      </w:r>
      <w:r w:rsidRPr="009968E0">
        <w:rPr>
          <w:rFonts w:ascii="Times New Roman" w:eastAsia="Times New Roman" w:hAnsi="Times New Roman" w:cs="Arial"/>
          <w:sz w:val="20"/>
          <w:szCs w:val="20"/>
          <w:lang w:eastAsia="en-GB"/>
        </w:rPr>
        <w:tab/>
        <w:t>"12.164 / 35.7</w:t>
      </w:r>
      <w:proofErr w:type="gramStart"/>
      <w:r w:rsidRPr="009968E0">
        <w:rPr>
          <w:rFonts w:ascii="Times New Roman" w:eastAsia="Times New Roman" w:hAnsi="Times New Roman" w:cs="Arial"/>
          <w:sz w:val="20"/>
          <w:szCs w:val="20"/>
          <w:lang w:eastAsia="en-GB"/>
        </w:rPr>
        <w:t>";</w:t>
      </w:r>
      <w:proofErr w:type="gramEnd"/>
    </w:p>
    <w:p w14:paraId="58148576"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BW in EPI freq. dir. (Hz) =</w:t>
      </w:r>
      <w:r w:rsidRPr="009968E0">
        <w:rPr>
          <w:rFonts w:ascii="Times New Roman" w:eastAsia="Times New Roman" w:hAnsi="Times New Roman" w:cs="Arial"/>
          <w:sz w:val="20"/>
          <w:szCs w:val="20"/>
          <w:lang w:eastAsia="en-GB"/>
        </w:rPr>
        <w:tab/>
        <w:t>"2039.9</w:t>
      </w:r>
      <w:proofErr w:type="gramStart"/>
      <w:r w:rsidRPr="009968E0">
        <w:rPr>
          <w:rFonts w:ascii="Times New Roman" w:eastAsia="Times New Roman" w:hAnsi="Times New Roman" w:cs="Arial"/>
          <w:sz w:val="20"/>
          <w:szCs w:val="20"/>
          <w:lang w:eastAsia="en-GB"/>
        </w:rPr>
        <w:t>";</w:t>
      </w:r>
      <w:proofErr w:type="gramEnd"/>
    </w:p>
    <w:p w14:paraId="2650F7AE"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Min. WFS (</w:t>
      </w:r>
      <w:proofErr w:type="spellStart"/>
      <w:r w:rsidRPr="009968E0">
        <w:rPr>
          <w:rFonts w:ascii="Times New Roman" w:eastAsia="Times New Roman" w:hAnsi="Times New Roman" w:cs="Arial"/>
          <w:sz w:val="20"/>
          <w:szCs w:val="20"/>
          <w:lang w:eastAsia="en-GB"/>
        </w:rPr>
        <w:t>pix</w:t>
      </w:r>
      <w:proofErr w:type="spellEnd"/>
      <w:r w:rsidRPr="009968E0">
        <w:rPr>
          <w:rFonts w:ascii="Times New Roman" w:eastAsia="Times New Roman" w:hAnsi="Times New Roman" w:cs="Arial"/>
          <w:sz w:val="20"/>
          <w:szCs w:val="20"/>
          <w:lang w:eastAsia="en-GB"/>
        </w:rPr>
        <w:t>) / Max. BW (Hz) =</w:t>
      </w:r>
      <w:r w:rsidRPr="009968E0">
        <w:rPr>
          <w:rFonts w:ascii="Times New Roman" w:eastAsia="Times New Roman" w:hAnsi="Times New Roman" w:cs="Arial"/>
          <w:sz w:val="20"/>
          <w:szCs w:val="20"/>
          <w:lang w:eastAsia="en-GB"/>
        </w:rPr>
        <w:tab/>
        <w:t>"11.365 / 38.2</w:t>
      </w:r>
      <w:proofErr w:type="gramStart"/>
      <w:r w:rsidRPr="009968E0">
        <w:rPr>
          <w:rFonts w:ascii="Times New Roman" w:eastAsia="Times New Roman" w:hAnsi="Times New Roman" w:cs="Arial"/>
          <w:sz w:val="20"/>
          <w:szCs w:val="20"/>
          <w:lang w:eastAsia="en-GB"/>
        </w:rPr>
        <w:t>";</w:t>
      </w:r>
      <w:proofErr w:type="gramEnd"/>
    </w:p>
    <w:p w14:paraId="0B3A92B3"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Min. TR/TE (</w:t>
      </w:r>
      <w:proofErr w:type="spellStart"/>
      <w:r w:rsidRPr="009968E0">
        <w:rPr>
          <w:rFonts w:ascii="Times New Roman" w:eastAsia="Times New Roman" w:hAnsi="Times New Roman" w:cs="Arial"/>
          <w:sz w:val="20"/>
          <w:szCs w:val="20"/>
          <w:lang w:eastAsia="en-GB"/>
        </w:rPr>
        <w:t>ms</w:t>
      </w:r>
      <w:proofErr w:type="spellEnd"/>
      <w:r w:rsidRPr="009968E0">
        <w:rPr>
          <w:rFonts w:ascii="Times New Roman" w:eastAsia="Times New Roman" w:hAnsi="Times New Roman" w:cs="Arial"/>
          <w:sz w:val="20"/>
          <w:szCs w:val="20"/>
          <w:lang w:eastAsia="en-GB"/>
        </w:rPr>
        <w:t>)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"1217 / 15</w:t>
      </w:r>
      <w:proofErr w:type="gramStart"/>
      <w:r w:rsidRPr="009968E0">
        <w:rPr>
          <w:rFonts w:ascii="Times New Roman" w:eastAsia="Times New Roman" w:hAnsi="Times New Roman" w:cs="Arial"/>
          <w:sz w:val="20"/>
          <w:szCs w:val="20"/>
          <w:lang w:eastAsia="en-GB"/>
        </w:rPr>
        <w:t>";</w:t>
      </w:r>
      <w:proofErr w:type="gramEnd"/>
    </w:p>
    <w:p w14:paraId="611A9140"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SAR / head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"&lt;  24 %</w:t>
      </w:r>
      <w:proofErr w:type="gramStart"/>
      <w:r w:rsidRPr="009968E0">
        <w:rPr>
          <w:rFonts w:ascii="Times New Roman" w:eastAsia="Times New Roman" w:hAnsi="Times New Roman" w:cs="Arial"/>
          <w:sz w:val="20"/>
          <w:szCs w:val="20"/>
          <w:lang w:eastAsia="en-GB"/>
        </w:rPr>
        <w:t>";</w:t>
      </w:r>
      <w:proofErr w:type="gramEnd"/>
    </w:p>
    <w:p w14:paraId="5343353E"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Whole body / level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"&lt; 0.1 W/kg / normal</w:t>
      </w:r>
      <w:proofErr w:type="gramStart"/>
      <w:r w:rsidRPr="009968E0">
        <w:rPr>
          <w:rFonts w:ascii="Times New Roman" w:eastAsia="Times New Roman" w:hAnsi="Times New Roman" w:cs="Arial"/>
          <w:sz w:val="20"/>
          <w:szCs w:val="20"/>
          <w:lang w:eastAsia="en-GB"/>
        </w:rPr>
        <w:t>";</w:t>
      </w:r>
      <w:proofErr w:type="gramEnd"/>
    </w:p>
    <w:p w14:paraId="545E6211"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SED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  0.0 kJ/kg</w:t>
      </w:r>
      <w:proofErr w:type="gramStart"/>
      <w:r w:rsidRPr="009968E0">
        <w:rPr>
          <w:rFonts w:ascii="Times New Roman" w:eastAsia="Times New Roman" w:hAnsi="Times New Roman" w:cs="Arial"/>
          <w:sz w:val="20"/>
          <w:szCs w:val="20"/>
          <w:lang w:eastAsia="en-GB"/>
        </w:rPr>
        <w:t>";</w:t>
      </w:r>
      <w:proofErr w:type="gramEnd"/>
    </w:p>
    <w:p w14:paraId="43E4F826"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B1+rms / Coil Power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 xml:space="preserve">"1.16 </w:t>
      </w:r>
      <w:proofErr w:type="spellStart"/>
      <w:r w:rsidRPr="009968E0">
        <w:rPr>
          <w:rFonts w:ascii="Times New Roman" w:eastAsia="Times New Roman" w:hAnsi="Times New Roman" w:cs="Arial"/>
          <w:sz w:val="20"/>
          <w:szCs w:val="20"/>
          <w:lang w:eastAsia="en-GB"/>
        </w:rPr>
        <w:t>uT</w:t>
      </w:r>
      <w:proofErr w:type="spellEnd"/>
      <w:r w:rsidRPr="009968E0">
        <w:rPr>
          <w:rFonts w:ascii="Times New Roman" w:eastAsia="Times New Roman" w:hAnsi="Times New Roman" w:cs="Arial"/>
          <w:sz w:val="20"/>
          <w:szCs w:val="20"/>
          <w:lang w:eastAsia="en-GB"/>
        </w:rPr>
        <w:t xml:space="preserve"> / 24 %</w:t>
      </w:r>
      <w:proofErr w:type="gramStart"/>
      <w:r w:rsidRPr="009968E0">
        <w:rPr>
          <w:rFonts w:ascii="Times New Roman" w:eastAsia="Times New Roman" w:hAnsi="Times New Roman" w:cs="Arial"/>
          <w:sz w:val="20"/>
          <w:szCs w:val="20"/>
          <w:lang w:eastAsia="en-GB"/>
        </w:rPr>
        <w:t>";</w:t>
      </w:r>
      <w:proofErr w:type="gramEnd"/>
    </w:p>
    <w:p w14:paraId="421098B4"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Max B1+rms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 xml:space="preserve">"1.16 </w:t>
      </w:r>
      <w:proofErr w:type="spellStart"/>
      <w:r w:rsidRPr="009968E0">
        <w:rPr>
          <w:rFonts w:ascii="Times New Roman" w:eastAsia="Times New Roman" w:hAnsi="Times New Roman" w:cs="Arial"/>
          <w:sz w:val="20"/>
          <w:szCs w:val="20"/>
          <w:lang w:eastAsia="en-GB"/>
        </w:rPr>
        <w:t>uT</w:t>
      </w:r>
      <w:proofErr w:type="spellEnd"/>
      <w:proofErr w:type="gramStart"/>
      <w:r w:rsidRPr="009968E0">
        <w:rPr>
          <w:rFonts w:ascii="Times New Roman" w:eastAsia="Times New Roman" w:hAnsi="Times New Roman" w:cs="Arial"/>
          <w:sz w:val="20"/>
          <w:szCs w:val="20"/>
          <w:lang w:eastAsia="en-GB"/>
        </w:rPr>
        <w:t>";</w:t>
      </w:r>
      <w:proofErr w:type="gramEnd"/>
    </w:p>
    <w:p w14:paraId="11BF157F"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PNS / level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"78 % / normal</w:t>
      </w:r>
      <w:proofErr w:type="gramStart"/>
      <w:r w:rsidRPr="009968E0">
        <w:rPr>
          <w:rFonts w:ascii="Times New Roman" w:eastAsia="Times New Roman" w:hAnsi="Times New Roman" w:cs="Arial"/>
          <w:sz w:val="20"/>
          <w:szCs w:val="20"/>
          <w:lang w:eastAsia="en-GB"/>
        </w:rPr>
        <w:t>";</w:t>
      </w:r>
      <w:proofErr w:type="gramEnd"/>
    </w:p>
    <w:p w14:paraId="6AA87663"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dB/dt =</w:t>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r>
      <w:r w:rsidRPr="009968E0">
        <w:rPr>
          <w:rFonts w:ascii="Times New Roman" w:eastAsia="Times New Roman" w:hAnsi="Times New Roman" w:cs="Arial"/>
          <w:sz w:val="20"/>
          <w:szCs w:val="20"/>
          <w:lang w:eastAsia="en-GB"/>
        </w:rPr>
        <w:tab/>
        <w:t>"101.6 T/s</w:t>
      </w:r>
      <w:proofErr w:type="gramStart"/>
      <w:r w:rsidRPr="009968E0">
        <w:rPr>
          <w:rFonts w:ascii="Times New Roman" w:eastAsia="Times New Roman" w:hAnsi="Times New Roman" w:cs="Arial"/>
          <w:sz w:val="20"/>
          <w:szCs w:val="20"/>
          <w:lang w:eastAsia="en-GB"/>
        </w:rPr>
        <w:t>";</w:t>
      </w:r>
      <w:proofErr w:type="gramEnd"/>
    </w:p>
    <w:p w14:paraId="5BD29838" w14:textId="77777777" w:rsidR="009968E0" w:rsidRPr="009968E0" w:rsidRDefault="009968E0" w:rsidP="009968E0">
      <w:pPr>
        <w:rPr>
          <w:rFonts w:ascii="Times New Roman" w:eastAsia="Times New Roman" w:hAnsi="Times New Roman" w:cs="Arial"/>
          <w:sz w:val="20"/>
          <w:szCs w:val="20"/>
          <w:lang w:eastAsia="en-GB"/>
        </w:rPr>
      </w:pPr>
      <w:r w:rsidRPr="009968E0">
        <w:rPr>
          <w:rFonts w:ascii="Times New Roman" w:eastAsia="Times New Roman" w:hAnsi="Times New Roman" w:cs="Arial"/>
          <w:sz w:val="20"/>
          <w:szCs w:val="20"/>
          <w:lang w:eastAsia="en-GB"/>
        </w:rPr>
        <w:t>Sound Pressure Level (dB) =</w:t>
      </w:r>
      <w:r w:rsidRPr="009968E0">
        <w:rPr>
          <w:rFonts w:ascii="Times New Roman" w:eastAsia="Times New Roman" w:hAnsi="Times New Roman" w:cs="Arial"/>
          <w:sz w:val="20"/>
          <w:szCs w:val="20"/>
          <w:lang w:eastAsia="en-GB"/>
        </w:rPr>
        <w:tab/>
      </w:r>
      <w:proofErr w:type="gramStart"/>
      <w:r w:rsidRPr="009968E0">
        <w:rPr>
          <w:rFonts w:ascii="Times New Roman" w:eastAsia="Times New Roman" w:hAnsi="Times New Roman" w:cs="Arial"/>
          <w:sz w:val="20"/>
          <w:szCs w:val="20"/>
          <w:lang w:eastAsia="en-GB"/>
        </w:rPr>
        <w:t>20.5559311;</w:t>
      </w:r>
      <w:proofErr w:type="gramEnd"/>
    </w:p>
    <w:p w14:paraId="68D3C0AD" w14:textId="77777777" w:rsidR="007A2ECE" w:rsidRDefault="007A2ECE">
      <w:pPr>
        <w:rPr>
          <w:rFonts w:ascii="Times New Roman" w:eastAsia="Times New Roman" w:hAnsi="Times New Roman" w:cs="Times New Roman"/>
          <w:lang w:eastAsia="en-GB"/>
        </w:rPr>
      </w:pPr>
      <w:bookmarkStart w:id="579" w:name="_Toc48540078"/>
      <w:bookmarkStart w:id="580" w:name="_Toc49272023"/>
      <w:r>
        <w:rPr>
          <w:rFonts w:ascii="Times New Roman" w:eastAsia="Times New Roman" w:hAnsi="Times New Roman" w:cs="Times New Roman"/>
          <w:lang w:eastAsia="en-GB"/>
        </w:rPr>
        <w:br w:type="page"/>
      </w:r>
    </w:p>
    <w:p w14:paraId="13C4786C" w14:textId="203E820A" w:rsidR="009968E0" w:rsidRPr="007A2ECE" w:rsidRDefault="009968E0" w:rsidP="007A2ECE">
      <w:pPr>
        <w:pStyle w:val="Heading1"/>
      </w:pPr>
      <w:bookmarkStart w:id="581" w:name="_Toc64723981"/>
      <w:r w:rsidRPr="007A2ECE">
        <w:lastRenderedPageBreak/>
        <w:t>Appendix C: Supplementary Results Tables for Chapter 4</w:t>
      </w:r>
      <w:bookmarkEnd w:id="579"/>
      <w:bookmarkEnd w:id="580"/>
      <w:bookmarkEnd w:id="581"/>
    </w:p>
    <w:p w14:paraId="734C7CCE" w14:textId="77777777" w:rsidR="009968E0" w:rsidRPr="009968E0" w:rsidRDefault="009968E0" w:rsidP="009968E0">
      <w:pPr>
        <w:rPr>
          <w:rFonts w:ascii="Times New Roman" w:eastAsia="Times New Roman" w:hAnsi="Times New Roman" w:cs="Times New Roman"/>
          <w:lang w:eastAsia="en-GB"/>
        </w:rPr>
      </w:pPr>
    </w:p>
    <w:p w14:paraId="585CE62B" w14:textId="4B565BE9" w:rsidR="009968E0" w:rsidRPr="009968E0" w:rsidRDefault="009968E0" w:rsidP="007A2ECE">
      <w:pPr>
        <w:pStyle w:val="Quote"/>
      </w:pPr>
      <w:bookmarkStart w:id="582" w:name="_Toc48406137"/>
      <w:bookmarkStart w:id="583" w:name="_Toc49273346"/>
      <w:bookmarkStart w:id="584" w:name="_Toc64724099"/>
      <w:r w:rsidRPr="009968E0">
        <w:t>Table C.1 Age as a Covariant for Perfusion Factors by linear regression</w:t>
      </w:r>
      <w:bookmarkEnd w:id="582"/>
      <w:bookmarkEnd w:id="583"/>
      <w:bookmarkEnd w:id="584"/>
    </w:p>
    <w:tbl>
      <w:tblPr>
        <w:tblStyle w:val="GridTable2-Accent62"/>
        <w:tblW w:w="0" w:type="auto"/>
        <w:tblLook w:val="04A0" w:firstRow="1" w:lastRow="0" w:firstColumn="1" w:lastColumn="0" w:noHBand="0" w:noVBand="1"/>
      </w:tblPr>
      <w:tblGrid>
        <w:gridCol w:w="2160"/>
        <w:gridCol w:w="1494"/>
      </w:tblGrid>
      <w:tr w:rsidR="009968E0" w:rsidRPr="009968E0" w14:paraId="5F08198C" w14:textId="77777777" w:rsidTr="009968E0">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60" w:type="dxa"/>
            <w:noWrap/>
          </w:tcPr>
          <w:p w14:paraId="7EF6D8DB"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ROI</w:t>
            </w:r>
          </w:p>
        </w:tc>
        <w:tc>
          <w:tcPr>
            <w:tcW w:w="1300" w:type="dxa"/>
            <w:noWrap/>
          </w:tcPr>
          <w:p w14:paraId="5EEA5692" w14:textId="77777777" w:rsidR="009968E0" w:rsidRPr="009968E0" w:rsidRDefault="009968E0" w:rsidP="009968E0">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SIGNIFICANCE</w:t>
            </w:r>
          </w:p>
        </w:tc>
      </w:tr>
      <w:tr w:rsidR="009968E0" w:rsidRPr="009968E0" w14:paraId="37307867"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60" w:type="dxa"/>
            <w:noWrap/>
            <w:hideMark/>
          </w:tcPr>
          <w:p w14:paraId="54C8E906" w14:textId="13FECEE6"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RBV-L</w:t>
            </w:r>
            <w:r w:rsidR="00AB685F">
              <w:rPr>
                <w:rFonts w:ascii="Calibri" w:eastAsia="Times New Roman" w:hAnsi="Calibri" w:cs="Calibri"/>
                <w:i/>
                <w:iCs/>
                <w:sz w:val="22"/>
                <w:szCs w:val="22"/>
                <w:lang w:eastAsia="en-GB"/>
              </w:rPr>
              <w:t>T</w:t>
            </w:r>
            <w:r w:rsidRPr="009968E0">
              <w:rPr>
                <w:rFonts w:ascii="Calibri" w:eastAsia="Times New Roman" w:hAnsi="Calibri" w:cs="Calibri"/>
                <w:i/>
                <w:iCs/>
                <w:sz w:val="22"/>
                <w:szCs w:val="22"/>
                <w:lang w:eastAsia="en-GB"/>
              </w:rPr>
              <w:t>h</w:t>
            </w:r>
            <w:r w:rsidR="00AB685F">
              <w:rPr>
                <w:rFonts w:ascii="Calibri" w:eastAsia="Times New Roman" w:hAnsi="Calibri" w:cs="Calibri"/>
                <w:i/>
                <w:iCs/>
                <w:sz w:val="22"/>
                <w:szCs w:val="22"/>
                <w:lang w:eastAsia="en-GB"/>
              </w:rPr>
              <w:t>al</w:t>
            </w:r>
            <w:r w:rsidRPr="009968E0">
              <w:rPr>
                <w:rFonts w:ascii="Calibri" w:eastAsia="Times New Roman" w:hAnsi="Calibri" w:cs="Calibri"/>
                <w:i/>
                <w:iCs/>
                <w:sz w:val="22"/>
                <w:szCs w:val="22"/>
                <w:lang w:eastAsia="en-GB"/>
              </w:rPr>
              <w:t>2</w:t>
            </w:r>
          </w:p>
        </w:tc>
        <w:tc>
          <w:tcPr>
            <w:tcW w:w="1300" w:type="dxa"/>
            <w:noWrap/>
            <w:hideMark/>
          </w:tcPr>
          <w:p w14:paraId="3AA06ADD"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0.15</w:t>
            </w:r>
          </w:p>
        </w:tc>
      </w:tr>
      <w:tr w:rsidR="009968E0" w:rsidRPr="009968E0" w14:paraId="260D6990"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2160" w:type="dxa"/>
            <w:noWrap/>
            <w:hideMark/>
          </w:tcPr>
          <w:p w14:paraId="5987D245" w14:textId="5FF0C4C1"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RBV-R</w:t>
            </w:r>
            <w:r w:rsidR="00AB685F">
              <w:rPr>
                <w:rFonts w:ascii="Calibri" w:eastAsia="Times New Roman" w:hAnsi="Calibri" w:cs="Calibri"/>
                <w:i/>
                <w:iCs/>
                <w:sz w:val="22"/>
                <w:szCs w:val="22"/>
                <w:lang w:eastAsia="en-GB"/>
              </w:rPr>
              <w:t>T</w:t>
            </w:r>
            <w:r w:rsidRPr="009968E0">
              <w:rPr>
                <w:rFonts w:ascii="Calibri" w:eastAsia="Times New Roman" w:hAnsi="Calibri" w:cs="Calibri"/>
                <w:i/>
                <w:iCs/>
                <w:sz w:val="22"/>
                <w:szCs w:val="22"/>
                <w:lang w:eastAsia="en-GB"/>
              </w:rPr>
              <w:t>h</w:t>
            </w:r>
            <w:r w:rsidR="00AB685F">
              <w:rPr>
                <w:rFonts w:ascii="Calibri" w:eastAsia="Times New Roman" w:hAnsi="Calibri" w:cs="Calibri"/>
                <w:i/>
                <w:iCs/>
                <w:sz w:val="22"/>
                <w:szCs w:val="22"/>
                <w:lang w:eastAsia="en-GB"/>
              </w:rPr>
              <w:t>al</w:t>
            </w:r>
            <w:r w:rsidRPr="009968E0">
              <w:rPr>
                <w:rFonts w:ascii="Calibri" w:eastAsia="Times New Roman" w:hAnsi="Calibri" w:cs="Calibri"/>
                <w:i/>
                <w:iCs/>
                <w:sz w:val="22"/>
                <w:szCs w:val="22"/>
                <w:lang w:eastAsia="en-GB"/>
              </w:rPr>
              <w:t>2</w:t>
            </w:r>
          </w:p>
        </w:tc>
        <w:tc>
          <w:tcPr>
            <w:tcW w:w="1300" w:type="dxa"/>
            <w:noWrap/>
            <w:hideMark/>
          </w:tcPr>
          <w:p w14:paraId="4A9A8C83"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0.14</w:t>
            </w:r>
          </w:p>
        </w:tc>
      </w:tr>
      <w:tr w:rsidR="009968E0" w:rsidRPr="009968E0" w14:paraId="568BB1E4"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60" w:type="dxa"/>
            <w:noWrap/>
            <w:hideMark/>
          </w:tcPr>
          <w:p w14:paraId="6B978955" w14:textId="4BC4508A"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RBV-L</w:t>
            </w:r>
            <w:r w:rsidR="00AB685F">
              <w:rPr>
                <w:rFonts w:ascii="Calibri" w:eastAsia="Times New Roman" w:hAnsi="Calibri" w:cs="Calibri"/>
                <w:i/>
                <w:iCs/>
                <w:sz w:val="22"/>
                <w:szCs w:val="22"/>
                <w:lang w:eastAsia="en-GB"/>
              </w:rPr>
              <w:t>INS</w:t>
            </w:r>
            <w:r w:rsidRPr="009968E0">
              <w:rPr>
                <w:rFonts w:ascii="Calibri" w:eastAsia="Times New Roman" w:hAnsi="Calibri" w:cs="Calibri"/>
                <w:i/>
                <w:iCs/>
                <w:sz w:val="22"/>
                <w:szCs w:val="22"/>
                <w:lang w:eastAsia="en-GB"/>
              </w:rPr>
              <w:t>2</w:t>
            </w:r>
          </w:p>
        </w:tc>
        <w:tc>
          <w:tcPr>
            <w:tcW w:w="1300" w:type="dxa"/>
            <w:noWrap/>
            <w:hideMark/>
          </w:tcPr>
          <w:p w14:paraId="2F7C81C8"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0.35</w:t>
            </w:r>
          </w:p>
        </w:tc>
      </w:tr>
      <w:tr w:rsidR="009968E0" w:rsidRPr="009968E0" w14:paraId="2B39E792"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2160" w:type="dxa"/>
            <w:noWrap/>
            <w:hideMark/>
          </w:tcPr>
          <w:p w14:paraId="483468AC" w14:textId="43A9C29B"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RBV-R</w:t>
            </w:r>
            <w:r w:rsidR="00AB685F">
              <w:rPr>
                <w:rFonts w:ascii="Calibri" w:eastAsia="Times New Roman" w:hAnsi="Calibri" w:cs="Calibri"/>
                <w:i/>
                <w:iCs/>
                <w:sz w:val="22"/>
                <w:szCs w:val="22"/>
                <w:lang w:eastAsia="en-GB"/>
              </w:rPr>
              <w:t>INS</w:t>
            </w:r>
            <w:r w:rsidRPr="009968E0">
              <w:rPr>
                <w:rFonts w:ascii="Calibri" w:eastAsia="Times New Roman" w:hAnsi="Calibri" w:cs="Calibri"/>
                <w:i/>
                <w:iCs/>
                <w:sz w:val="22"/>
                <w:szCs w:val="22"/>
                <w:lang w:eastAsia="en-GB"/>
              </w:rPr>
              <w:t>2</w:t>
            </w:r>
          </w:p>
        </w:tc>
        <w:tc>
          <w:tcPr>
            <w:tcW w:w="1300" w:type="dxa"/>
            <w:noWrap/>
            <w:hideMark/>
          </w:tcPr>
          <w:p w14:paraId="1DA05718"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0.39</w:t>
            </w:r>
          </w:p>
        </w:tc>
      </w:tr>
      <w:tr w:rsidR="009968E0" w:rsidRPr="009968E0" w14:paraId="61A16097"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60" w:type="dxa"/>
            <w:noWrap/>
            <w:hideMark/>
          </w:tcPr>
          <w:p w14:paraId="67759A30" w14:textId="2DF0724A"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RBV-AC</w:t>
            </w:r>
            <w:r w:rsidR="00AB685F">
              <w:rPr>
                <w:rFonts w:ascii="Calibri" w:eastAsia="Times New Roman" w:hAnsi="Calibri" w:cs="Calibri"/>
                <w:i/>
                <w:iCs/>
                <w:sz w:val="22"/>
                <w:szCs w:val="22"/>
                <w:lang w:eastAsia="en-GB"/>
              </w:rPr>
              <w:t>C</w:t>
            </w:r>
            <w:r w:rsidRPr="009968E0">
              <w:rPr>
                <w:rFonts w:ascii="Calibri" w:eastAsia="Times New Roman" w:hAnsi="Calibri" w:cs="Calibri"/>
                <w:i/>
                <w:iCs/>
                <w:sz w:val="22"/>
                <w:szCs w:val="22"/>
                <w:lang w:eastAsia="en-GB"/>
              </w:rPr>
              <w:t>2</w:t>
            </w:r>
          </w:p>
        </w:tc>
        <w:tc>
          <w:tcPr>
            <w:tcW w:w="1300" w:type="dxa"/>
            <w:noWrap/>
            <w:hideMark/>
          </w:tcPr>
          <w:p w14:paraId="25A90E96"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0.16</w:t>
            </w:r>
          </w:p>
        </w:tc>
      </w:tr>
      <w:tr w:rsidR="009968E0" w:rsidRPr="009968E0" w14:paraId="4CB4FCE6"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2160" w:type="dxa"/>
            <w:noWrap/>
            <w:hideMark/>
          </w:tcPr>
          <w:p w14:paraId="0703615E" w14:textId="1BE6C286"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RBV-PO</w:t>
            </w:r>
            <w:r w:rsidR="00AB685F">
              <w:rPr>
                <w:rFonts w:ascii="Calibri" w:eastAsia="Times New Roman" w:hAnsi="Calibri" w:cs="Calibri"/>
                <w:i/>
                <w:iCs/>
                <w:sz w:val="22"/>
                <w:szCs w:val="22"/>
                <w:lang w:eastAsia="en-GB"/>
              </w:rPr>
              <w:t>WM</w:t>
            </w:r>
            <w:r w:rsidRPr="009968E0">
              <w:rPr>
                <w:rFonts w:ascii="Calibri" w:eastAsia="Times New Roman" w:hAnsi="Calibri" w:cs="Calibri"/>
                <w:i/>
                <w:iCs/>
                <w:sz w:val="22"/>
                <w:szCs w:val="22"/>
                <w:lang w:eastAsia="en-GB"/>
              </w:rPr>
              <w:t>2</w:t>
            </w:r>
          </w:p>
        </w:tc>
        <w:tc>
          <w:tcPr>
            <w:tcW w:w="1300" w:type="dxa"/>
            <w:noWrap/>
            <w:hideMark/>
          </w:tcPr>
          <w:p w14:paraId="27BB04D4"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0.10</w:t>
            </w:r>
          </w:p>
        </w:tc>
      </w:tr>
      <w:tr w:rsidR="009968E0" w:rsidRPr="009968E0" w14:paraId="549AE677"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60" w:type="dxa"/>
            <w:noWrap/>
            <w:hideMark/>
          </w:tcPr>
          <w:p w14:paraId="5656F31F" w14:textId="08955961"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RBV_</w:t>
            </w:r>
            <w:r w:rsidR="00AB685F">
              <w:rPr>
                <w:rFonts w:ascii="Calibri" w:eastAsia="Times New Roman" w:hAnsi="Calibri" w:cs="Calibri"/>
                <w:i/>
                <w:iCs/>
                <w:sz w:val="22"/>
                <w:szCs w:val="22"/>
                <w:lang w:eastAsia="en-GB"/>
              </w:rPr>
              <w:t>LPSC</w:t>
            </w:r>
            <w:r w:rsidRPr="009968E0">
              <w:rPr>
                <w:rFonts w:ascii="Calibri" w:eastAsia="Times New Roman" w:hAnsi="Calibri" w:cs="Calibri"/>
                <w:i/>
                <w:iCs/>
                <w:sz w:val="22"/>
                <w:szCs w:val="22"/>
                <w:lang w:eastAsia="en-GB"/>
              </w:rPr>
              <w:t>2</w:t>
            </w:r>
          </w:p>
        </w:tc>
        <w:tc>
          <w:tcPr>
            <w:tcW w:w="1300" w:type="dxa"/>
            <w:noWrap/>
            <w:hideMark/>
          </w:tcPr>
          <w:p w14:paraId="60B9D7DB"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0.82</w:t>
            </w:r>
          </w:p>
        </w:tc>
      </w:tr>
      <w:tr w:rsidR="009968E0" w:rsidRPr="009968E0" w14:paraId="39DAE261"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2160" w:type="dxa"/>
            <w:noWrap/>
            <w:hideMark/>
          </w:tcPr>
          <w:p w14:paraId="55885160" w14:textId="722BBF12"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RBV-R</w:t>
            </w:r>
            <w:r w:rsidR="00AB685F">
              <w:rPr>
                <w:rFonts w:ascii="Calibri" w:eastAsia="Times New Roman" w:hAnsi="Calibri" w:cs="Calibri"/>
                <w:i/>
                <w:iCs/>
                <w:sz w:val="22"/>
                <w:szCs w:val="22"/>
                <w:lang w:eastAsia="en-GB"/>
              </w:rPr>
              <w:t>PSC</w:t>
            </w:r>
            <w:r w:rsidRPr="009968E0">
              <w:rPr>
                <w:rFonts w:ascii="Calibri" w:eastAsia="Times New Roman" w:hAnsi="Calibri" w:cs="Calibri"/>
                <w:i/>
                <w:iCs/>
                <w:sz w:val="22"/>
                <w:szCs w:val="22"/>
                <w:lang w:eastAsia="en-GB"/>
              </w:rPr>
              <w:t>2</w:t>
            </w:r>
          </w:p>
        </w:tc>
        <w:tc>
          <w:tcPr>
            <w:tcW w:w="1300" w:type="dxa"/>
            <w:noWrap/>
            <w:hideMark/>
          </w:tcPr>
          <w:p w14:paraId="69A6AA29"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0.91</w:t>
            </w:r>
          </w:p>
        </w:tc>
      </w:tr>
      <w:tr w:rsidR="009968E0" w:rsidRPr="009968E0" w14:paraId="51D28A50"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60" w:type="dxa"/>
            <w:noWrap/>
            <w:hideMark/>
          </w:tcPr>
          <w:p w14:paraId="1D2B63E7" w14:textId="5C8CC611"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RBF-</w:t>
            </w:r>
            <w:r w:rsidR="00AB685F" w:rsidRPr="009968E0">
              <w:rPr>
                <w:rFonts w:ascii="Calibri" w:eastAsia="Times New Roman" w:hAnsi="Calibri" w:cs="Calibri"/>
                <w:i/>
                <w:iCs/>
                <w:sz w:val="22"/>
                <w:szCs w:val="22"/>
                <w:lang w:eastAsia="en-GB"/>
              </w:rPr>
              <w:t xml:space="preserve"> L</w:t>
            </w:r>
            <w:r w:rsidR="00AB685F">
              <w:rPr>
                <w:rFonts w:ascii="Calibri" w:eastAsia="Times New Roman" w:hAnsi="Calibri" w:cs="Calibri"/>
                <w:i/>
                <w:iCs/>
                <w:sz w:val="22"/>
                <w:szCs w:val="22"/>
                <w:lang w:eastAsia="en-GB"/>
              </w:rPr>
              <w:t>T</w:t>
            </w:r>
            <w:r w:rsidR="00AB685F" w:rsidRPr="009968E0">
              <w:rPr>
                <w:rFonts w:ascii="Calibri" w:eastAsia="Times New Roman" w:hAnsi="Calibri" w:cs="Calibri"/>
                <w:i/>
                <w:iCs/>
                <w:sz w:val="22"/>
                <w:szCs w:val="22"/>
                <w:lang w:eastAsia="en-GB"/>
              </w:rPr>
              <w:t>h</w:t>
            </w:r>
            <w:r w:rsidR="00AB685F">
              <w:rPr>
                <w:rFonts w:ascii="Calibri" w:eastAsia="Times New Roman" w:hAnsi="Calibri" w:cs="Calibri"/>
                <w:i/>
                <w:iCs/>
                <w:sz w:val="22"/>
                <w:szCs w:val="22"/>
                <w:lang w:eastAsia="en-GB"/>
              </w:rPr>
              <w:t>al</w:t>
            </w:r>
            <w:r w:rsidR="00AB685F" w:rsidRPr="009968E0">
              <w:rPr>
                <w:rFonts w:ascii="Calibri" w:eastAsia="Times New Roman" w:hAnsi="Calibri" w:cs="Calibri"/>
                <w:i/>
                <w:iCs/>
                <w:sz w:val="22"/>
                <w:szCs w:val="22"/>
                <w:lang w:eastAsia="en-GB"/>
              </w:rPr>
              <w:t>2</w:t>
            </w:r>
          </w:p>
        </w:tc>
        <w:tc>
          <w:tcPr>
            <w:tcW w:w="1300" w:type="dxa"/>
            <w:noWrap/>
            <w:hideMark/>
          </w:tcPr>
          <w:p w14:paraId="24A46565"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0.43</w:t>
            </w:r>
          </w:p>
        </w:tc>
      </w:tr>
      <w:tr w:rsidR="009968E0" w:rsidRPr="009968E0" w14:paraId="5FD99FF4"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2160" w:type="dxa"/>
            <w:noWrap/>
            <w:hideMark/>
          </w:tcPr>
          <w:p w14:paraId="151108DD" w14:textId="100DFA9F"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RBF-</w:t>
            </w:r>
            <w:r w:rsidR="00AB685F" w:rsidRPr="009968E0">
              <w:rPr>
                <w:rFonts w:ascii="Calibri" w:eastAsia="Times New Roman" w:hAnsi="Calibri" w:cs="Calibri"/>
                <w:i/>
                <w:iCs/>
                <w:sz w:val="22"/>
                <w:szCs w:val="22"/>
                <w:lang w:eastAsia="en-GB"/>
              </w:rPr>
              <w:t xml:space="preserve"> R</w:t>
            </w:r>
            <w:r w:rsidR="00AB685F">
              <w:rPr>
                <w:rFonts w:ascii="Calibri" w:eastAsia="Times New Roman" w:hAnsi="Calibri" w:cs="Calibri"/>
                <w:i/>
                <w:iCs/>
                <w:sz w:val="22"/>
                <w:szCs w:val="22"/>
                <w:lang w:eastAsia="en-GB"/>
              </w:rPr>
              <w:t>T</w:t>
            </w:r>
            <w:r w:rsidR="00AB685F" w:rsidRPr="009968E0">
              <w:rPr>
                <w:rFonts w:ascii="Calibri" w:eastAsia="Times New Roman" w:hAnsi="Calibri" w:cs="Calibri"/>
                <w:i/>
                <w:iCs/>
                <w:sz w:val="22"/>
                <w:szCs w:val="22"/>
                <w:lang w:eastAsia="en-GB"/>
              </w:rPr>
              <w:t>h</w:t>
            </w:r>
            <w:r w:rsidR="00AB685F">
              <w:rPr>
                <w:rFonts w:ascii="Calibri" w:eastAsia="Times New Roman" w:hAnsi="Calibri" w:cs="Calibri"/>
                <w:i/>
                <w:iCs/>
                <w:sz w:val="22"/>
                <w:szCs w:val="22"/>
                <w:lang w:eastAsia="en-GB"/>
              </w:rPr>
              <w:t>al</w:t>
            </w:r>
            <w:r w:rsidR="00AB685F" w:rsidRPr="009968E0">
              <w:rPr>
                <w:rFonts w:ascii="Calibri" w:eastAsia="Times New Roman" w:hAnsi="Calibri" w:cs="Calibri"/>
                <w:i/>
                <w:iCs/>
                <w:sz w:val="22"/>
                <w:szCs w:val="22"/>
                <w:lang w:eastAsia="en-GB"/>
              </w:rPr>
              <w:t>2</w:t>
            </w:r>
          </w:p>
        </w:tc>
        <w:tc>
          <w:tcPr>
            <w:tcW w:w="1300" w:type="dxa"/>
            <w:noWrap/>
            <w:hideMark/>
          </w:tcPr>
          <w:p w14:paraId="498DCC0B"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0.33</w:t>
            </w:r>
          </w:p>
        </w:tc>
      </w:tr>
      <w:tr w:rsidR="009968E0" w:rsidRPr="009968E0" w14:paraId="65F3B1EE"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60" w:type="dxa"/>
            <w:noWrap/>
            <w:hideMark/>
          </w:tcPr>
          <w:p w14:paraId="3ADA4B4D" w14:textId="58183200"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RBF-</w:t>
            </w:r>
            <w:r w:rsidR="00AB685F" w:rsidRPr="009968E0">
              <w:rPr>
                <w:rFonts w:ascii="Calibri" w:eastAsia="Times New Roman" w:hAnsi="Calibri" w:cs="Calibri"/>
                <w:i/>
                <w:iCs/>
                <w:sz w:val="22"/>
                <w:szCs w:val="22"/>
                <w:lang w:eastAsia="en-GB"/>
              </w:rPr>
              <w:t xml:space="preserve"> L</w:t>
            </w:r>
            <w:r w:rsidR="00AB685F">
              <w:rPr>
                <w:rFonts w:ascii="Calibri" w:eastAsia="Times New Roman" w:hAnsi="Calibri" w:cs="Calibri"/>
                <w:i/>
                <w:iCs/>
                <w:sz w:val="22"/>
                <w:szCs w:val="22"/>
                <w:lang w:eastAsia="en-GB"/>
              </w:rPr>
              <w:t>INS</w:t>
            </w:r>
            <w:r w:rsidR="00AB685F" w:rsidRPr="009968E0">
              <w:rPr>
                <w:rFonts w:ascii="Calibri" w:eastAsia="Times New Roman" w:hAnsi="Calibri" w:cs="Calibri"/>
                <w:i/>
                <w:iCs/>
                <w:sz w:val="22"/>
                <w:szCs w:val="22"/>
                <w:lang w:eastAsia="en-GB"/>
              </w:rPr>
              <w:t>2</w:t>
            </w:r>
          </w:p>
        </w:tc>
        <w:tc>
          <w:tcPr>
            <w:tcW w:w="1300" w:type="dxa"/>
            <w:noWrap/>
            <w:hideMark/>
          </w:tcPr>
          <w:p w14:paraId="6387A5E2"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0.18</w:t>
            </w:r>
          </w:p>
        </w:tc>
      </w:tr>
      <w:tr w:rsidR="009968E0" w:rsidRPr="009968E0" w14:paraId="465468A4"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2160" w:type="dxa"/>
            <w:noWrap/>
            <w:hideMark/>
          </w:tcPr>
          <w:p w14:paraId="50FDE7B4" w14:textId="2F0DDFBA"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RBF-</w:t>
            </w:r>
            <w:r w:rsidR="00AB685F" w:rsidRPr="009968E0">
              <w:rPr>
                <w:rFonts w:ascii="Calibri" w:eastAsia="Times New Roman" w:hAnsi="Calibri" w:cs="Calibri"/>
                <w:i/>
                <w:iCs/>
                <w:sz w:val="22"/>
                <w:szCs w:val="22"/>
                <w:lang w:eastAsia="en-GB"/>
              </w:rPr>
              <w:t xml:space="preserve"> R</w:t>
            </w:r>
            <w:r w:rsidR="00AB685F">
              <w:rPr>
                <w:rFonts w:ascii="Calibri" w:eastAsia="Times New Roman" w:hAnsi="Calibri" w:cs="Calibri"/>
                <w:i/>
                <w:iCs/>
                <w:sz w:val="22"/>
                <w:szCs w:val="22"/>
                <w:lang w:eastAsia="en-GB"/>
              </w:rPr>
              <w:t>INS</w:t>
            </w:r>
            <w:r w:rsidR="00AB685F" w:rsidRPr="009968E0">
              <w:rPr>
                <w:rFonts w:ascii="Calibri" w:eastAsia="Times New Roman" w:hAnsi="Calibri" w:cs="Calibri"/>
                <w:i/>
                <w:iCs/>
                <w:sz w:val="22"/>
                <w:szCs w:val="22"/>
                <w:lang w:eastAsia="en-GB"/>
              </w:rPr>
              <w:t>2</w:t>
            </w:r>
          </w:p>
        </w:tc>
        <w:tc>
          <w:tcPr>
            <w:tcW w:w="1300" w:type="dxa"/>
            <w:noWrap/>
            <w:hideMark/>
          </w:tcPr>
          <w:p w14:paraId="37AEC1FA"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0.35</w:t>
            </w:r>
          </w:p>
        </w:tc>
      </w:tr>
      <w:tr w:rsidR="009968E0" w:rsidRPr="009968E0" w14:paraId="1CD16A51"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60" w:type="dxa"/>
            <w:noWrap/>
            <w:hideMark/>
          </w:tcPr>
          <w:p w14:paraId="2F3F26BC" w14:textId="139488F3"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RBF-</w:t>
            </w:r>
            <w:r w:rsidR="00AB685F" w:rsidRPr="009968E0">
              <w:rPr>
                <w:rFonts w:ascii="Calibri" w:eastAsia="Times New Roman" w:hAnsi="Calibri" w:cs="Calibri"/>
                <w:i/>
                <w:iCs/>
                <w:sz w:val="22"/>
                <w:szCs w:val="22"/>
                <w:lang w:eastAsia="en-GB"/>
              </w:rPr>
              <w:t xml:space="preserve"> AC</w:t>
            </w:r>
            <w:r w:rsidR="00AB685F">
              <w:rPr>
                <w:rFonts w:ascii="Calibri" w:eastAsia="Times New Roman" w:hAnsi="Calibri" w:cs="Calibri"/>
                <w:i/>
                <w:iCs/>
                <w:sz w:val="22"/>
                <w:szCs w:val="22"/>
                <w:lang w:eastAsia="en-GB"/>
              </w:rPr>
              <w:t>C</w:t>
            </w:r>
            <w:r w:rsidR="00AB685F" w:rsidRPr="009968E0">
              <w:rPr>
                <w:rFonts w:ascii="Calibri" w:eastAsia="Times New Roman" w:hAnsi="Calibri" w:cs="Calibri"/>
                <w:i/>
                <w:iCs/>
                <w:sz w:val="22"/>
                <w:szCs w:val="22"/>
                <w:lang w:eastAsia="en-GB"/>
              </w:rPr>
              <w:t>2</w:t>
            </w:r>
          </w:p>
        </w:tc>
        <w:tc>
          <w:tcPr>
            <w:tcW w:w="1300" w:type="dxa"/>
            <w:noWrap/>
            <w:hideMark/>
          </w:tcPr>
          <w:p w14:paraId="24BDB4E5"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0.09</w:t>
            </w:r>
          </w:p>
        </w:tc>
      </w:tr>
      <w:tr w:rsidR="009968E0" w:rsidRPr="009968E0" w14:paraId="1189C367"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2160" w:type="dxa"/>
            <w:noWrap/>
            <w:hideMark/>
          </w:tcPr>
          <w:p w14:paraId="28E876F3" w14:textId="498949ED"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RBF-</w:t>
            </w:r>
            <w:r w:rsidR="00AB685F" w:rsidRPr="009968E0">
              <w:rPr>
                <w:rFonts w:ascii="Calibri" w:eastAsia="Times New Roman" w:hAnsi="Calibri" w:cs="Calibri"/>
                <w:i/>
                <w:iCs/>
                <w:sz w:val="22"/>
                <w:szCs w:val="22"/>
                <w:lang w:eastAsia="en-GB"/>
              </w:rPr>
              <w:t xml:space="preserve"> PO</w:t>
            </w:r>
            <w:r w:rsidR="00AB685F">
              <w:rPr>
                <w:rFonts w:ascii="Calibri" w:eastAsia="Times New Roman" w:hAnsi="Calibri" w:cs="Calibri"/>
                <w:i/>
                <w:iCs/>
                <w:sz w:val="22"/>
                <w:szCs w:val="22"/>
                <w:lang w:eastAsia="en-GB"/>
              </w:rPr>
              <w:t>WM</w:t>
            </w:r>
            <w:r w:rsidR="00AB685F" w:rsidRPr="009968E0">
              <w:rPr>
                <w:rFonts w:ascii="Calibri" w:eastAsia="Times New Roman" w:hAnsi="Calibri" w:cs="Calibri"/>
                <w:i/>
                <w:iCs/>
                <w:sz w:val="22"/>
                <w:szCs w:val="22"/>
                <w:lang w:eastAsia="en-GB"/>
              </w:rPr>
              <w:t>2</w:t>
            </w:r>
          </w:p>
        </w:tc>
        <w:tc>
          <w:tcPr>
            <w:tcW w:w="1300" w:type="dxa"/>
            <w:noWrap/>
            <w:hideMark/>
          </w:tcPr>
          <w:p w14:paraId="792813BA"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0.14</w:t>
            </w:r>
          </w:p>
        </w:tc>
      </w:tr>
      <w:tr w:rsidR="009968E0" w:rsidRPr="009968E0" w14:paraId="367D8846"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60" w:type="dxa"/>
            <w:noWrap/>
            <w:hideMark/>
          </w:tcPr>
          <w:p w14:paraId="6D1A1192" w14:textId="3A64EA29"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RBF-</w:t>
            </w:r>
            <w:r w:rsidR="00AB685F">
              <w:rPr>
                <w:rFonts w:ascii="Calibri" w:eastAsia="Times New Roman" w:hAnsi="Calibri" w:cs="Calibri"/>
                <w:i/>
                <w:iCs/>
                <w:sz w:val="22"/>
                <w:szCs w:val="22"/>
                <w:lang w:eastAsia="en-GB"/>
              </w:rPr>
              <w:t xml:space="preserve"> LPSC</w:t>
            </w:r>
            <w:r w:rsidR="00AB685F" w:rsidRPr="009968E0">
              <w:rPr>
                <w:rFonts w:ascii="Calibri" w:eastAsia="Times New Roman" w:hAnsi="Calibri" w:cs="Calibri"/>
                <w:i/>
                <w:iCs/>
                <w:sz w:val="22"/>
                <w:szCs w:val="22"/>
                <w:lang w:eastAsia="en-GB"/>
              </w:rPr>
              <w:t>2</w:t>
            </w:r>
          </w:p>
        </w:tc>
        <w:tc>
          <w:tcPr>
            <w:tcW w:w="1300" w:type="dxa"/>
            <w:noWrap/>
            <w:hideMark/>
          </w:tcPr>
          <w:p w14:paraId="1C20EF00"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0.98</w:t>
            </w:r>
          </w:p>
        </w:tc>
      </w:tr>
      <w:tr w:rsidR="009968E0" w:rsidRPr="009968E0" w14:paraId="5565B0D9"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2160" w:type="dxa"/>
            <w:noWrap/>
            <w:hideMark/>
          </w:tcPr>
          <w:p w14:paraId="08E1C4E4" w14:textId="7451D41C"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RBF-</w:t>
            </w:r>
            <w:r w:rsidR="00AB685F" w:rsidRPr="009968E0">
              <w:rPr>
                <w:rFonts w:ascii="Calibri" w:eastAsia="Times New Roman" w:hAnsi="Calibri" w:cs="Calibri"/>
                <w:i/>
                <w:iCs/>
                <w:sz w:val="22"/>
                <w:szCs w:val="22"/>
                <w:lang w:eastAsia="en-GB"/>
              </w:rPr>
              <w:t xml:space="preserve"> R</w:t>
            </w:r>
            <w:r w:rsidR="00AB685F">
              <w:rPr>
                <w:rFonts w:ascii="Calibri" w:eastAsia="Times New Roman" w:hAnsi="Calibri" w:cs="Calibri"/>
                <w:i/>
                <w:iCs/>
                <w:sz w:val="22"/>
                <w:szCs w:val="22"/>
                <w:lang w:eastAsia="en-GB"/>
              </w:rPr>
              <w:t>PSC</w:t>
            </w:r>
            <w:r w:rsidR="00AB685F" w:rsidRPr="009968E0">
              <w:rPr>
                <w:rFonts w:ascii="Calibri" w:eastAsia="Times New Roman" w:hAnsi="Calibri" w:cs="Calibri"/>
                <w:i/>
                <w:iCs/>
                <w:sz w:val="22"/>
                <w:szCs w:val="22"/>
                <w:lang w:eastAsia="en-GB"/>
              </w:rPr>
              <w:t>2</w:t>
            </w:r>
          </w:p>
        </w:tc>
        <w:tc>
          <w:tcPr>
            <w:tcW w:w="1300" w:type="dxa"/>
            <w:noWrap/>
            <w:hideMark/>
          </w:tcPr>
          <w:p w14:paraId="584B220A"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0.77</w:t>
            </w:r>
          </w:p>
        </w:tc>
      </w:tr>
      <w:tr w:rsidR="009968E0" w:rsidRPr="009968E0" w14:paraId="1AAC4DDF"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60" w:type="dxa"/>
            <w:noWrap/>
            <w:hideMark/>
          </w:tcPr>
          <w:p w14:paraId="393E5F28" w14:textId="6088BF4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MTT-</w:t>
            </w:r>
            <w:r w:rsidR="00AB685F" w:rsidRPr="009968E0">
              <w:rPr>
                <w:rFonts w:ascii="Calibri" w:eastAsia="Times New Roman" w:hAnsi="Calibri" w:cs="Calibri"/>
                <w:i/>
                <w:iCs/>
                <w:sz w:val="22"/>
                <w:szCs w:val="22"/>
                <w:lang w:eastAsia="en-GB"/>
              </w:rPr>
              <w:t>L</w:t>
            </w:r>
            <w:r w:rsidR="00AB685F">
              <w:rPr>
                <w:rFonts w:ascii="Calibri" w:eastAsia="Times New Roman" w:hAnsi="Calibri" w:cs="Calibri"/>
                <w:i/>
                <w:iCs/>
                <w:sz w:val="22"/>
                <w:szCs w:val="22"/>
                <w:lang w:eastAsia="en-GB"/>
              </w:rPr>
              <w:t>T</w:t>
            </w:r>
            <w:r w:rsidR="00AB685F" w:rsidRPr="009968E0">
              <w:rPr>
                <w:rFonts w:ascii="Calibri" w:eastAsia="Times New Roman" w:hAnsi="Calibri" w:cs="Calibri"/>
                <w:i/>
                <w:iCs/>
                <w:sz w:val="22"/>
                <w:szCs w:val="22"/>
                <w:lang w:eastAsia="en-GB"/>
              </w:rPr>
              <w:t>h</w:t>
            </w:r>
            <w:r w:rsidR="00AB685F">
              <w:rPr>
                <w:rFonts w:ascii="Calibri" w:eastAsia="Times New Roman" w:hAnsi="Calibri" w:cs="Calibri"/>
                <w:i/>
                <w:iCs/>
                <w:sz w:val="22"/>
                <w:szCs w:val="22"/>
                <w:lang w:eastAsia="en-GB"/>
              </w:rPr>
              <w:t>al</w:t>
            </w:r>
            <w:r w:rsidR="00AB685F" w:rsidRPr="009968E0">
              <w:rPr>
                <w:rFonts w:ascii="Calibri" w:eastAsia="Times New Roman" w:hAnsi="Calibri" w:cs="Calibri"/>
                <w:i/>
                <w:iCs/>
                <w:sz w:val="22"/>
                <w:szCs w:val="22"/>
                <w:lang w:eastAsia="en-GB"/>
              </w:rPr>
              <w:t>2</w:t>
            </w:r>
          </w:p>
        </w:tc>
        <w:tc>
          <w:tcPr>
            <w:tcW w:w="1300" w:type="dxa"/>
            <w:noWrap/>
            <w:hideMark/>
          </w:tcPr>
          <w:p w14:paraId="28D551B5"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0.52</w:t>
            </w:r>
          </w:p>
        </w:tc>
      </w:tr>
      <w:tr w:rsidR="009968E0" w:rsidRPr="009968E0" w14:paraId="7A9A99A7"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2160" w:type="dxa"/>
            <w:noWrap/>
            <w:hideMark/>
          </w:tcPr>
          <w:p w14:paraId="5F341191" w14:textId="46386B53"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MTT-</w:t>
            </w:r>
            <w:r w:rsidR="00AB685F" w:rsidRPr="009968E0">
              <w:rPr>
                <w:rFonts w:ascii="Calibri" w:eastAsia="Times New Roman" w:hAnsi="Calibri" w:cs="Calibri"/>
                <w:i/>
                <w:iCs/>
                <w:sz w:val="22"/>
                <w:szCs w:val="22"/>
                <w:lang w:eastAsia="en-GB"/>
              </w:rPr>
              <w:t xml:space="preserve"> R</w:t>
            </w:r>
            <w:r w:rsidR="00AB685F">
              <w:rPr>
                <w:rFonts w:ascii="Calibri" w:eastAsia="Times New Roman" w:hAnsi="Calibri" w:cs="Calibri"/>
                <w:i/>
                <w:iCs/>
                <w:sz w:val="22"/>
                <w:szCs w:val="22"/>
                <w:lang w:eastAsia="en-GB"/>
              </w:rPr>
              <w:t>T</w:t>
            </w:r>
            <w:r w:rsidR="00AB685F" w:rsidRPr="009968E0">
              <w:rPr>
                <w:rFonts w:ascii="Calibri" w:eastAsia="Times New Roman" w:hAnsi="Calibri" w:cs="Calibri"/>
                <w:i/>
                <w:iCs/>
                <w:sz w:val="22"/>
                <w:szCs w:val="22"/>
                <w:lang w:eastAsia="en-GB"/>
              </w:rPr>
              <w:t>h</w:t>
            </w:r>
            <w:r w:rsidR="00AB685F">
              <w:rPr>
                <w:rFonts w:ascii="Calibri" w:eastAsia="Times New Roman" w:hAnsi="Calibri" w:cs="Calibri"/>
                <w:i/>
                <w:iCs/>
                <w:sz w:val="22"/>
                <w:szCs w:val="22"/>
                <w:lang w:eastAsia="en-GB"/>
              </w:rPr>
              <w:t>al</w:t>
            </w:r>
            <w:r w:rsidR="00AB685F" w:rsidRPr="009968E0">
              <w:rPr>
                <w:rFonts w:ascii="Calibri" w:eastAsia="Times New Roman" w:hAnsi="Calibri" w:cs="Calibri"/>
                <w:i/>
                <w:iCs/>
                <w:sz w:val="22"/>
                <w:szCs w:val="22"/>
                <w:lang w:eastAsia="en-GB"/>
              </w:rPr>
              <w:t>2</w:t>
            </w:r>
          </w:p>
        </w:tc>
        <w:tc>
          <w:tcPr>
            <w:tcW w:w="1300" w:type="dxa"/>
            <w:noWrap/>
            <w:hideMark/>
          </w:tcPr>
          <w:p w14:paraId="6B92D24C"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0.68</w:t>
            </w:r>
          </w:p>
        </w:tc>
      </w:tr>
      <w:tr w:rsidR="009968E0" w:rsidRPr="009968E0" w14:paraId="7ACC8DC4"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60" w:type="dxa"/>
            <w:noWrap/>
            <w:hideMark/>
          </w:tcPr>
          <w:p w14:paraId="1805992D" w14:textId="31FE8706"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MTT-</w:t>
            </w:r>
            <w:r w:rsidR="00AB685F" w:rsidRPr="009968E0">
              <w:rPr>
                <w:rFonts w:ascii="Calibri" w:eastAsia="Times New Roman" w:hAnsi="Calibri" w:cs="Calibri"/>
                <w:i/>
                <w:iCs/>
                <w:sz w:val="22"/>
                <w:szCs w:val="22"/>
                <w:lang w:eastAsia="en-GB"/>
              </w:rPr>
              <w:t xml:space="preserve"> L</w:t>
            </w:r>
            <w:r w:rsidR="00AB685F">
              <w:rPr>
                <w:rFonts w:ascii="Calibri" w:eastAsia="Times New Roman" w:hAnsi="Calibri" w:cs="Calibri"/>
                <w:i/>
                <w:iCs/>
                <w:sz w:val="22"/>
                <w:szCs w:val="22"/>
                <w:lang w:eastAsia="en-GB"/>
              </w:rPr>
              <w:t>INS</w:t>
            </w:r>
            <w:r w:rsidR="00AB685F" w:rsidRPr="009968E0">
              <w:rPr>
                <w:rFonts w:ascii="Calibri" w:eastAsia="Times New Roman" w:hAnsi="Calibri" w:cs="Calibri"/>
                <w:i/>
                <w:iCs/>
                <w:sz w:val="22"/>
                <w:szCs w:val="22"/>
                <w:lang w:eastAsia="en-GB"/>
              </w:rPr>
              <w:t>2</w:t>
            </w:r>
          </w:p>
        </w:tc>
        <w:tc>
          <w:tcPr>
            <w:tcW w:w="1300" w:type="dxa"/>
            <w:noWrap/>
            <w:hideMark/>
          </w:tcPr>
          <w:p w14:paraId="29D2106A"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0.67</w:t>
            </w:r>
          </w:p>
        </w:tc>
      </w:tr>
      <w:tr w:rsidR="009968E0" w:rsidRPr="009968E0" w14:paraId="21D95510"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2160" w:type="dxa"/>
            <w:noWrap/>
            <w:hideMark/>
          </w:tcPr>
          <w:p w14:paraId="1467A18D" w14:textId="77118EC5"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MTT-</w:t>
            </w:r>
            <w:r w:rsidR="00AB685F" w:rsidRPr="009968E0">
              <w:rPr>
                <w:rFonts w:ascii="Calibri" w:eastAsia="Times New Roman" w:hAnsi="Calibri" w:cs="Calibri"/>
                <w:i/>
                <w:iCs/>
                <w:sz w:val="22"/>
                <w:szCs w:val="22"/>
                <w:lang w:eastAsia="en-GB"/>
              </w:rPr>
              <w:t xml:space="preserve"> R</w:t>
            </w:r>
            <w:r w:rsidR="00AB685F">
              <w:rPr>
                <w:rFonts w:ascii="Calibri" w:eastAsia="Times New Roman" w:hAnsi="Calibri" w:cs="Calibri"/>
                <w:i/>
                <w:iCs/>
                <w:sz w:val="22"/>
                <w:szCs w:val="22"/>
                <w:lang w:eastAsia="en-GB"/>
              </w:rPr>
              <w:t>INS</w:t>
            </w:r>
            <w:r w:rsidR="00AB685F" w:rsidRPr="009968E0">
              <w:rPr>
                <w:rFonts w:ascii="Calibri" w:eastAsia="Times New Roman" w:hAnsi="Calibri" w:cs="Calibri"/>
                <w:i/>
                <w:iCs/>
                <w:sz w:val="22"/>
                <w:szCs w:val="22"/>
                <w:lang w:eastAsia="en-GB"/>
              </w:rPr>
              <w:t>2</w:t>
            </w:r>
          </w:p>
        </w:tc>
        <w:tc>
          <w:tcPr>
            <w:tcW w:w="1300" w:type="dxa"/>
            <w:noWrap/>
            <w:hideMark/>
          </w:tcPr>
          <w:p w14:paraId="66AD4FC0"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0.90</w:t>
            </w:r>
          </w:p>
        </w:tc>
      </w:tr>
      <w:tr w:rsidR="009968E0" w:rsidRPr="009968E0" w14:paraId="5B3D273D"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60" w:type="dxa"/>
            <w:noWrap/>
            <w:hideMark/>
          </w:tcPr>
          <w:p w14:paraId="29A11843" w14:textId="11A2785D"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MTT-</w:t>
            </w:r>
            <w:r w:rsidR="00AB685F" w:rsidRPr="009968E0">
              <w:rPr>
                <w:rFonts w:ascii="Calibri" w:eastAsia="Times New Roman" w:hAnsi="Calibri" w:cs="Calibri"/>
                <w:i/>
                <w:iCs/>
                <w:sz w:val="22"/>
                <w:szCs w:val="22"/>
                <w:lang w:eastAsia="en-GB"/>
              </w:rPr>
              <w:t xml:space="preserve"> AC</w:t>
            </w:r>
            <w:r w:rsidR="00AB685F">
              <w:rPr>
                <w:rFonts w:ascii="Calibri" w:eastAsia="Times New Roman" w:hAnsi="Calibri" w:cs="Calibri"/>
                <w:i/>
                <w:iCs/>
                <w:sz w:val="22"/>
                <w:szCs w:val="22"/>
                <w:lang w:eastAsia="en-GB"/>
              </w:rPr>
              <w:t>C</w:t>
            </w:r>
            <w:r w:rsidR="00AB685F" w:rsidRPr="009968E0">
              <w:rPr>
                <w:rFonts w:ascii="Calibri" w:eastAsia="Times New Roman" w:hAnsi="Calibri" w:cs="Calibri"/>
                <w:i/>
                <w:iCs/>
                <w:sz w:val="22"/>
                <w:szCs w:val="22"/>
                <w:lang w:eastAsia="en-GB"/>
              </w:rPr>
              <w:t>2</w:t>
            </w:r>
          </w:p>
        </w:tc>
        <w:tc>
          <w:tcPr>
            <w:tcW w:w="1300" w:type="dxa"/>
            <w:noWrap/>
            <w:hideMark/>
          </w:tcPr>
          <w:p w14:paraId="242C86D4"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0.69</w:t>
            </w:r>
          </w:p>
        </w:tc>
      </w:tr>
      <w:tr w:rsidR="009968E0" w:rsidRPr="009968E0" w14:paraId="27468E17"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2160" w:type="dxa"/>
            <w:noWrap/>
            <w:hideMark/>
          </w:tcPr>
          <w:p w14:paraId="54174027" w14:textId="396B7EA8"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MTT-</w:t>
            </w:r>
            <w:r w:rsidR="00AB685F" w:rsidRPr="009968E0">
              <w:rPr>
                <w:rFonts w:ascii="Calibri" w:eastAsia="Times New Roman" w:hAnsi="Calibri" w:cs="Calibri"/>
                <w:i/>
                <w:iCs/>
                <w:sz w:val="22"/>
                <w:szCs w:val="22"/>
                <w:lang w:eastAsia="en-GB"/>
              </w:rPr>
              <w:t xml:space="preserve"> PO</w:t>
            </w:r>
            <w:r w:rsidR="00AB685F">
              <w:rPr>
                <w:rFonts w:ascii="Calibri" w:eastAsia="Times New Roman" w:hAnsi="Calibri" w:cs="Calibri"/>
                <w:i/>
                <w:iCs/>
                <w:sz w:val="22"/>
                <w:szCs w:val="22"/>
                <w:lang w:eastAsia="en-GB"/>
              </w:rPr>
              <w:t>WM</w:t>
            </w:r>
            <w:r w:rsidR="00AB685F" w:rsidRPr="009968E0">
              <w:rPr>
                <w:rFonts w:ascii="Calibri" w:eastAsia="Times New Roman" w:hAnsi="Calibri" w:cs="Calibri"/>
                <w:i/>
                <w:iCs/>
                <w:sz w:val="22"/>
                <w:szCs w:val="22"/>
                <w:lang w:eastAsia="en-GB"/>
              </w:rPr>
              <w:t>2</w:t>
            </w:r>
          </w:p>
        </w:tc>
        <w:tc>
          <w:tcPr>
            <w:tcW w:w="1300" w:type="dxa"/>
            <w:noWrap/>
            <w:hideMark/>
          </w:tcPr>
          <w:p w14:paraId="1B04EEB6"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0.68</w:t>
            </w:r>
          </w:p>
        </w:tc>
      </w:tr>
      <w:tr w:rsidR="009968E0" w:rsidRPr="009968E0" w14:paraId="7A57AC17"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60" w:type="dxa"/>
            <w:noWrap/>
            <w:hideMark/>
          </w:tcPr>
          <w:p w14:paraId="58C5D741" w14:textId="115DE5EC"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MTT-</w:t>
            </w:r>
            <w:r w:rsidR="00AB685F">
              <w:rPr>
                <w:rFonts w:ascii="Calibri" w:eastAsia="Times New Roman" w:hAnsi="Calibri" w:cs="Calibri"/>
                <w:i/>
                <w:iCs/>
                <w:sz w:val="22"/>
                <w:szCs w:val="22"/>
                <w:lang w:eastAsia="en-GB"/>
              </w:rPr>
              <w:t xml:space="preserve"> LPSC</w:t>
            </w:r>
            <w:r w:rsidR="00AB685F" w:rsidRPr="009968E0">
              <w:rPr>
                <w:rFonts w:ascii="Calibri" w:eastAsia="Times New Roman" w:hAnsi="Calibri" w:cs="Calibri"/>
                <w:i/>
                <w:iCs/>
                <w:sz w:val="22"/>
                <w:szCs w:val="22"/>
                <w:lang w:eastAsia="en-GB"/>
              </w:rPr>
              <w:t>2</w:t>
            </w:r>
          </w:p>
        </w:tc>
        <w:tc>
          <w:tcPr>
            <w:tcW w:w="1300" w:type="dxa"/>
            <w:noWrap/>
            <w:hideMark/>
          </w:tcPr>
          <w:p w14:paraId="38DFBCB8"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0.83</w:t>
            </w:r>
          </w:p>
        </w:tc>
      </w:tr>
      <w:tr w:rsidR="009968E0" w:rsidRPr="009968E0" w14:paraId="045AACB3"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2160" w:type="dxa"/>
            <w:noWrap/>
            <w:hideMark/>
          </w:tcPr>
          <w:p w14:paraId="1071F8FA" w14:textId="00F10FF5"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MTT-</w:t>
            </w:r>
            <w:r w:rsidR="00AB685F" w:rsidRPr="009968E0">
              <w:rPr>
                <w:rFonts w:ascii="Calibri" w:eastAsia="Times New Roman" w:hAnsi="Calibri" w:cs="Calibri"/>
                <w:i/>
                <w:iCs/>
                <w:sz w:val="22"/>
                <w:szCs w:val="22"/>
                <w:lang w:eastAsia="en-GB"/>
              </w:rPr>
              <w:t xml:space="preserve"> R</w:t>
            </w:r>
            <w:r w:rsidR="00AB685F">
              <w:rPr>
                <w:rFonts w:ascii="Calibri" w:eastAsia="Times New Roman" w:hAnsi="Calibri" w:cs="Calibri"/>
                <w:i/>
                <w:iCs/>
                <w:sz w:val="22"/>
                <w:szCs w:val="22"/>
                <w:lang w:eastAsia="en-GB"/>
              </w:rPr>
              <w:t>PSC</w:t>
            </w:r>
            <w:r w:rsidR="00AB685F" w:rsidRPr="009968E0">
              <w:rPr>
                <w:rFonts w:ascii="Calibri" w:eastAsia="Times New Roman" w:hAnsi="Calibri" w:cs="Calibri"/>
                <w:i/>
                <w:iCs/>
                <w:sz w:val="22"/>
                <w:szCs w:val="22"/>
                <w:lang w:eastAsia="en-GB"/>
              </w:rPr>
              <w:t>2</w:t>
            </w:r>
          </w:p>
        </w:tc>
        <w:tc>
          <w:tcPr>
            <w:tcW w:w="1300" w:type="dxa"/>
            <w:noWrap/>
            <w:hideMark/>
          </w:tcPr>
          <w:p w14:paraId="7F6943CB"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0.84</w:t>
            </w:r>
          </w:p>
        </w:tc>
      </w:tr>
      <w:tr w:rsidR="009968E0" w:rsidRPr="009968E0" w14:paraId="6F8DA9E7"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60" w:type="dxa"/>
            <w:noWrap/>
            <w:hideMark/>
          </w:tcPr>
          <w:p w14:paraId="259FFC83" w14:textId="5953EB3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TTP-</w:t>
            </w:r>
            <w:r w:rsidR="00AB685F" w:rsidRPr="009968E0">
              <w:rPr>
                <w:rFonts w:ascii="Calibri" w:eastAsia="Times New Roman" w:hAnsi="Calibri" w:cs="Calibri"/>
                <w:i/>
                <w:iCs/>
                <w:sz w:val="22"/>
                <w:szCs w:val="22"/>
                <w:lang w:eastAsia="en-GB"/>
              </w:rPr>
              <w:t xml:space="preserve"> L</w:t>
            </w:r>
            <w:r w:rsidR="00AB685F">
              <w:rPr>
                <w:rFonts w:ascii="Calibri" w:eastAsia="Times New Roman" w:hAnsi="Calibri" w:cs="Calibri"/>
                <w:i/>
                <w:iCs/>
                <w:sz w:val="22"/>
                <w:szCs w:val="22"/>
                <w:lang w:eastAsia="en-GB"/>
              </w:rPr>
              <w:t>T</w:t>
            </w:r>
            <w:r w:rsidR="00AB685F" w:rsidRPr="009968E0">
              <w:rPr>
                <w:rFonts w:ascii="Calibri" w:eastAsia="Times New Roman" w:hAnsi="Calibri" w:cs="Calibri"/>
                <w:i/>
                <w:iCs/>
                <w:sz w:val="22"/>
                <w:szCs w:val="22"/>
                <w:lang w:eastAsia="en-GB"/>
              </w:rPr>
              <w:t>h</w:t>
            </w:r>
            <w:r w:rsidR="00AB685F">
              <w:rPr>
                <w:rFonts w:ascii="Calibri" w:eastAsia="Times New Roman" w:hAnsi="Calibri" w:cs="Calibri"/>
                <w:i/>
                <w:iCs/>
                <w:sz w:val="22"/>
                <w:szCs w:val="22"/>
                <w:lang w:eastAsia="en-GB"/>
              </w:rPr>
              <w:t>al</w:t>
            </w:r>
            <w:r w:rsidR="00AB685F" w:rsidRPr="009968E0">
              <w:rPr>
                <w:rFonts w:ascii="Calibri" w:eastAsia="Times New Roman" w:hAnsi="Calibri" w:cs="Calibri"/>
                <w:i/>
                <w:iCs/>
                <w:sz w:val="22"/>
                <w:szCs w:val="22"/>
                <w:lang w:eastAsia="en-GB"/>
              </w:rPr>
              <w:t>2</w:t>
            </w:r>
          </w:p>
        </w:tc>
        <w:tc>
          <w:tcPr>
            <w:tcW w:w="1300" w:type="dxa"/>
            <w:noWrap/>
            <w:hideMark/>
          </w:tcPr>
          <w:p w14:paraId="05A6EAE3"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0.24</w:t>
            </w:r>
          </w:p>
        </w:tc>
      </w:tr>
      <w:tr w:rsidR="009968E0" w:rsidRPr="009968E0" w14:paraId="090E19EB"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2160" w:type="dxa"/>
            <w:noWrap/>
            <w:hideMark/>
          </w:tcPr>
          <w:p w14:paraId="28BBFFE6" w14:textId="74C0F1FB"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TTP-</w:t>
            </w:r>
            <w:r w:rsidR="00AB685F" w:rsidRPr="009968E0">
              <w:rPr>
                <w:rFonts w:ascii="Calibri" w:eastAsia="Times New Roman" w:hAnsi="Calibri" w:cs="Calibri"/>
                <w:i/>
                <w:iCs/>
                <w:sz w:val="22"/>
                <w:szCs w:val="22"/>
                <w:lang w:eastAsia="en-GB"/>
              </w:rPr>
              <w:t xml:space="preserve"> R</w:t>
            </w:r>
            <w:r w:rsidR="00AB685F">
              <w:rPr>
                <w:rFonts w:ascii="Calibri" w:eastAsia="Times New Roman" w:hAnsi="Calibri" w:cs="Calibri"/>
                <w:i/>
                <w:iCs/>
                <w:sz w:val="22"/>
                <w:szCs w:val="22"/>
                <w:lang w:eastAsia="en-GB"/>
              </w:rPr>
              <w:t>T</w:t>
            </w:r>
            <w:r w:rsidR="00AB685F" w:rsidRPr="009968E0">
              <w:rPr>
                <w:rFonts w:ascii="Calibri" w:eastAsia="Times New Roman" w:hAnsi="Calibri" w:cs="Calibri"/>
                <w:i/>
                <w:iCs/>
                <w:sz w:val="22"/>
                <w:szCs w:val="22"/>
                <w:lang w:eastAsia="en-GB"/>
              </w:rPr>
              <w:t>h</w:t>
            </w:r>
            <w:r w:rsidR="00AB685F">
              <w:rPr>
                <w:rFonts w:ascii="Calibri" w:eastAsia="Times New Roman" w:hAnsi="Calibri" w:cs="Calibri"/>
                <w:i/>
                <w:iCs/>
                <w:sz w:val="22"/>
                <w:szCs w:val="22"/>
                <w:lang w:eastAsia="en-GB"/>
              </w:rPr>
              <w:t>al</w:t>
            </w:r>
            <w:r w:rsidR="00AB685F" w:rsidRPr="009968E0">
              <w:rPr>
                <w:rFonts w:ascii="Calibri" w:eastAsia="Times New Roman" w:hAnsi="Calibri" w:cs="Calibri"/>
                <w:i/>
                <w:iCs/>
                <w:sz w:val="22"/>
                <w:szCs w:val="22"/>
                <w:lang w:eastAsia="en-GB"/>
              </w:rPr>
              <w:t>2</w:t>
            </w:r>
          </w:p>
        </w:tc>
        <w:tc>
          <w:tcPr>
            <w:tcW w:w="1300" w:type="dxa"/>
            <w:noWrap/>
            <w:hideMark/>
          </w:tcPr>
          <w:p w14:paraId="4F54F37E"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0.53</w:t>
            </w:r>
          </w:p>
        </w:tc>
      </w:tr>
      <w:tr w:rsidR="009968E0" w:rsidRPr="009968E0" w14:paraId="7A9A5FB9"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60" w:type="dxa"/>
            <w:noWrap/>
            <w:hideMark/>
          </w:tcPr>
          <w:p w14:paraId="7D050A7C" w14:textId="482AE7D2"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TTP-</w:t>
            </w:r>
            <w:r w:rsidR="00AB685F" w:rsidRPr="009968E0">
              <w:rPr>
                <w:rFonts w:ascii="Calibri" w:eastAsia="Times New Roman" w:hAnsi="Calibri" w:cs="Calibri"/>
                <w:i/>
                <w:iCs/>
                <w:sz w:val="22"/>
                <w:szCs w:val="22"/>
                <w:lang w:eastAsia="en-GB"/>
              </w:rPr>
              <w:t xml:space="preserve"> L</w:t>
            </w:r>
            <w:r w:rsidR="00AB685F">
              <w:rPr>
                <w:rFonts w:ascii="Calibri" w:eastAsia="Times New Roman" w:hAnsi="Calibri" w:cs="Calibri"/>
                <w:i/>
                <w:iCs/>
                <w:sz w:val="22"/>
                <w:szCs w:val="22"/>
                <w:lang w:eastAsia="en-GB"/>
              </w:rPr>
              <w:t>INS</w:t>
            </w:r>
            <w:r w:rsidR="00AB685F" w:rsidRPr="009968E0">
              <w:rPr>
                <w:rFonts w:ascii="Calibri" w:eastAsia="Times New Roman" w:hAnsi="Calibri" w:cs="Calibri"/>
                <w:i/>
                <w:iCs/>
                <w:sz w:val="22"/>
                <w:szCs w:val="22"/>
                <w:lang w:eastAsia="en-GB"/>
              </w:rPr>
              <w:t>2</w:t>
            </w:r>
          </w:p>
        </w:tc>
        <w:tc>
          <w:tcPr>
            <w:tcW w:w="1300" w:type="dxa"/>
            <w:noWrap/>
            <w:hideMark/>
          </w:tcPr>
          <w:p w14:paraId="45702724"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0.77</w:t>
            </w:r>
          </w:p>
        </w:tc>
      </w:tr>
      <w:tr w:rsidR="009968E0" w:rsidRPr="009968E0" w14:paraId="6E1D095A"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2160" w:type="dxa"/>
            <w:noWrap/>
            <w:hideMark/>
          </w:tcPr>
          <w:p w14:paraId="0F573FA2" w14:textId="689ACCCB"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TTP-</w:t>
            </w:r>
            <w:r w:rsidR="00AB685F" w:rsidRPr="009968E0">
              <w:rPr>
                <w:rFonts w:ascii="Calibri" w:eastAsia="Times New Roman" w:hAnsi="Calibri" w:cs="Calibri"/>
                <w:i/>
                <w:iCs/>
                <w:sz w:val="22"/>
                <w:szCs w:val="22"/>
                <w:lang w:eastAsia="en-GB"/>
              </w:rPr>
              <w:t xml:space="preserve"> R</w:t>
            </w:r>
            <w:r w:rsidR="00AB685F">
              <w:rPr>
                <w:rFonts w:ascii="Calibri" w:eastAsia="Times New Roman" w:hAnsi="Calibri" w:cs="Calibri"/>
                <w:i/>
                <w:iCs/>
                <w:sz w:val="22"/>
                <w:szCs w:val="22"/>
                <w:lang w:eastAsia="en-GB"/>
              </w:rPr>
              <w:t>INS</w:t>
            </w:r>
            <w:r w:rsidR="00AB685F" w:rsidRPr="009968E0">
              <w:rPr>
                <w:rFonts w:ascii="Calibri" w:eastAsia="Times New Roman" w:hAnsi="Calibri" w:cs="Calibri"/>
                <w:i/>
                <w:iCs/>
                <w:sz w:val="22"/>
                <w:szCs w:val="22"/>
                <w:lang w:eastAsia="en-GB"/>
              </w:rPr>
              <w:t>2</w:t>
            </w:r>
          </w:p>
        </w:tc>
        <w:tc>
          <w:tcPr>
            <w:tcW w:w="1300" w:type="dxa"/>
            <w:noWrap/>
            <w:hideMark/>
          </w:tcPr>
          <w:p w14:paraId="2130F468"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0.56</w:t>
            </w:r>
          </w:p>
        </w:tc>
      </w:tr>
      <w:tr w:rsidR="009968E0" w:rsidRPr="009968E0" w14:paraId="104BC9E0"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60" w:type="dxa"/>
            <w:noWrap/>
            <w:hideMark/>
          </w:tcPr>
          <w:p w14:paraId="6AFCBE26" w14:textId="1645B09B"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TTP-</w:t>
            </w:r>
            <w:r w:rsidR="00AB685F" w:rsidRPr="009968E0">
              <w:rPr>
                <w:rFonts w:ascii="Calibri" w:eastAsia="Times New Roman" w:hAnsi="Calibri" w:cs="Calibri"/>
                <w:i/>
                <w:iCs/>
                <w:sz w:val="22"/>
                <w:szCs w:val="22"/>
                <w:lang w:eastAsia="en-GB"/>
              </w:rPr>
              <w:t xml:space="preserve"> AC</w:t>
            </w:r>
            <w:r w:rsidR="00AB685F">
              <w:rPr>
                <w:rFonts w:ascii="Calibri" w:eastAsia="Times New Roman" w:hAnsi="Calibri" w:cs="Calibri"/>
                <w:i/>
                <w:iCs/>
                <w:sz w:val="22"/>
                <w:szCs w:val="22"/>
                <w:lang w:eastAsia="en-GB"/>
              </w:rPr>
              <w:t>C</w:t>
            </w:r>
            <w:r w:rsidR="00AB685F" w:rsidRPr="009968E0">
              <w:rPr>
                <w:rFonts w:ascii="Calibri" w:eastAsia="Times New Roman" w:hAnsi="Calibri" w:cs="Calibri"/>
                <w:i/>
                <w:iCs/>
                <w:sz w:val="22"/>
                <w:szCs w:val="22"/>
                <w:lang w:eastAsia="en-GB"/>
              </w:rPr>
              <w:t>2</w:t>
            </w:r>
          </w:p>
        </w:tc>
        <w:tc>
          <w:tcPr>
            <w:tcW w:w="1300" w:type="dxa"/>
            <w:noWrap/>
            <w:hideMark/>
          </w:tcPr>
          <w:p w14:paraId="7D17ACC4"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0.73</w:t>
            </w:r>
          </w:p>
        </w:tc>
      </w:tr>
      <w:tr w:rsidR="009968E0" w:rsidRPr="009968E0" w14:paraId="0C4EDF14"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2160" w:type="dxa"/>
            <w:noWrap/>
            <w:hideMark/>
          </w:tcPr>
          <w:p w14:paraId="468C54CA" w14:textId="36AFDA6C"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TTP-</w:t>
            </w:r>
            <w:r w:rsidR="00AB685F" w:rsidRPr="009968E0">
              <w:rPr>
                <w:rFonts w:ascii="Calibri" w:eastAsia="Times New Roman" w:hAnsi="Calibri" w:cs="Calibri"/>
                <w:i/>
                <w:iCs/>
                <w:sz w:val="22"/>
                <w:szCs w:val="22"/>
                <w:lang w:eastAsia="en-GB"/>
              </w:rPr>
              <w:t xml:space="preserve"> PO</w:t>
            </w:r>
            <w:r w:rsidR="00AB685F">
              <w:rPr>
                <w:rFonts w:ascii="Calibri" w:eastAsia="Times New Roman" w:hAnsi="Calibri" w:cs="Calibri"/>
                <w:i/>
                <w:iCs/>
                <w:sz w:val="22"/>
                <w:szCs w:val="22"/>
                <w:lang w:eastAsia="en-GB"/>
              </w:rPr>
              <w:t>WM</w:t>
            </w:r>
            <w:r w:rsidR="00AB685F" w:rsidRPr="009968E0">
              <w:rPr>
                <w:rFonts w:ascii="Calibri" w:eastAsia="Times New Roman" w:hAnsi="Calibri" w:cs="Calibri"/>
                <w:i/>
                <w:iCs/>
                <w:sz w:val="22"/>
                <w:szCs w:val="22"/>
                <w:lang w:eastAsia="en-GB"/>
              </w:rPr>
              <w:t>2</w:t>
            </w:r>
          </w:p>
        </w:tc>
        <w:tc>
          <w:tcPr>
            <w:tcW w:w="1300" w:type="dxa"/>
            <w:noWrap/>
            <w:hideMark/>
          </w:tcPr>
          <w:p w14:paraId="109DAEFD"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0.31</w:t>
            </w:r>
          </w:p>
        </w:tc>
      </w:tr>
      <w:tr w:rsidR="009968E0" w:rsidRPr="009968E0" w14:paraId="09F6942B"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60" w:type="dxa"/>
            <w:noWrap/>
            <w:hideMark/>
          </w:tcPr>
          <w:p w14:paraId="48D0BA76" w14:textId="3F7A5D5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TTP-</w:t>
            </w:r>
            <w:r w:rsidR="00AB685F">
              <w:rPr>
                <w:rFonts w:ascii="Calibri" w:eastAsia="Times New Roman" w:hAnsi="Calibri" w:cs="Calibri"/>
                <w:i/>
                <w:iCs/>
                <w:sz w:val="22"/>
                <w:szCs w:val="22"/>
                <w:lang w:eastAsia="en-GB"/>
              </w:rPr>
              <w:t xml:space="preserve"> LPSC</w:t>
            </w:r>
            <w:r w:rsidR="00AB685F" w:rsidRPr="009968E0">
              <w:rPr>
                <w:rFonts w:ascii="Calibri" w:eastAsia="Times New Roman" w:hAnsi="Calibri" w:cs="Calibri"/>
                <w:i/>
                <w:iCs/>
                <w:sz w:val="22"/>
                <w:szCs w:val="22"/>
                <w:lang w:eastAsia="en-GB"/>
              </w:rPr>
              <w:t>2</w:t>
            </w:r>
          </w:p>
        </w:tc>
        <w:tc>
          <w:tcPr>
            <w:tcW w:w="1300" w:type="dxa"/>
            <w:noWrap/>
            <w:hideMark/>
          </w:tcPr>
          <w:p w14:paraId="0A8E238D"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0.82</w:t>
            </w:r>
          </w:p>
        </w:tc>
      </w:tr>
      <w:tr w:rsidR="009968E0" w:rsidRPr="009968E0" w14:paraId="225A3503"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2160" w:type="dxa"/>
            <w:noWrap/>
            <w:hideMark/>
          </w:tcPr>
          <w:p w14:paraId="539EF516" w14:textId="71AF0512"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TTP-</w:t>
            </w:r>
            <w:r w:rsidR="00AB685F" w:rsidRPr="009968E0">
              <w:rPr>
                <w:rFonts w:ascii="Calibri" w:eastAsia="Times New Roman" w:hAnsi="Calibri" w:cs="Calibri"/>
                <w:i/>
                <w:iCs/>
                <w:sz w:val="22"/>
                <w:szCs w:val="22"/>
                <w:lang w:eastAsia="en-GB"/>
              </w:rPr>
              <w:t xml:space="preserve"> R</w:t>
            </w:r>
            <w:r w:rsidR="00AB685F">
              <w:rPr>
                <w:rFonts w:ascii="Calibri" w:eastAsia="Times New Roman" w:hAnsi="Calibri" w:cs="Calibri"/>
                <w:i/>
                <w:iCs/>
                <w:sz w:val="22"/>
                <w:szCs w:val="22"/>
                <w:lang w:eastAsia="en-GB"/>
              </w:rPr>
              <w:t>PSC</w:t>
            </w:r>
            <w:r w:rsidR="00AB685F" w:rsidRPr="009968E0">
              <w:rPr>
                <w:rFonts w:ascii="Calibri" w:eastAsia="Times New Roman" w:hAnsi="Calibri" w:cs="Calibri"/>
                <w:i/>
                <w:iCs/>
                <w:sz w:val="22"/>
                <w:szCs w:val="22"/>
                <w:lang w:eastAsia="en-GB"/>
              </w:rPr>
              <w:t>2</w:t>
            </w:r>
          </w:p>
        </w:tc>
        <w:tc>
          <w:tcPr>
            <w:tcW w:w="1300" w:type="dxa"/>
            <w:noWrap/>
            <w:hideMark/>
          </w:tcPr>
          <w:p w14:paraId="142D2111"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0.86</w:t>
            </w:r>
          </w:p>
        </w:tc>
      </w:tr>
    </w:tbl>
    <w:p w14:paraId="79B07187" w14:textId="77777777" w:rsidR="009968E0" w:rsidRPr="009968E0" w:rsidRDefault="009968E0" w:rsidP="009968E0">
      <w:pPr>
        <w:rPr>
          <w:rFonts w:ascii="Times New Roman" w:eastAsia="Times New Roman" w:hAnsi="Times New Roman" w:cs="Times New Roman"/>
          <w:lang w:eastAsia="en-GB"/>
        </w:rPr>
      </w:pPr>
    </w:p>
    <w:p w14:paraId="66B41445" w14:textId="71C6A94B" w:rsidR="009968E0" w:rsidRPr="009968E0" w:rsidRDefault="009968E0" w:rsidP="007A2ECE">
      <w:pPr>
        <w:pStyle w:val="Quote"/>
      </w:pPr>
      <w:bookmarkStart w:id="585" w:name="_Toc48406138"/>
      <w:bookmarkStart w:id="586" w:name="_Toc49273347"/>
      <w:bookmarkStart w:id="587" w:name="_Toc64724100"/>
      <w:r w:rsidRPr="009968E0">
        <w:t>Table C.2. Univariate ANOVA for RBV Visit 2</w:t>
      </w:r>
      <w:bookmarkEnd w:id="585"/>
      <w:bookmarkEnd w:id="586"/>
      <w:bookmarkEnd w:id="587"/>
    </w:p>
    <w:tbl>
      <w:tblPr>
        <w:tblW w:w="5000" w:type="pct"/>
        <w:tblCellMar>
          <w:left w:w="115" w:type="dxa"/>
          <w:right w:w="115" w:type="dxa"/>
        </w:tblCellMar>
        <w:tblLook w:val="0400" w:firstRow="0" w:lastRow="0" w:firstColumn="0" w:lastColumn="0" w:noHBand="0" w:noVBand="1"/>
      </w:tblPr>
      <w:tblGrid>
        <w:gridCol w:w="1838"/>
        <w:gridCol w:w="2210"/>
        <w:gridCol w:w="1138"/>
        <w:gridCol w:w="944"/>
        <w:gridCol w:w="933"/>
        <w:gridCol w:w="996"/>
        <w:gridCol w:w="931"/>
      </w:tblGrid>
      <w:tr w:rsidR="009968E0" w:rsidRPr="009968E0" w14:paraId="25BA2A2C" w14:textId="77777777" w:rsidTr="009968E0">
        <w:trPr>
          <w:trHeight w:val="360"/>
        </w:trPr>
        <w:tc>
          <w:tcPr>
            <w:tcW w:w="2884" w:type="pct"/>
            <w:gridSpan w:val="3"/>
            <w:tcBorders>
              <w:top w:val="single" w:sz="12" w:space="0" w:color="000000"/>
              <w:left w:val="single" w:sz="12" w:space="0" w:color="000000"/>
              <w:bottom w:val="single" w:sz="12" w:space="0" w:color="000000"/>
              <w:right w:val="single" w:sz="12" w:space="0" w:color="000000"/>
            </w:tcBorders>
            <w:shd w:val="clear" w:color="auto" w:fill="auto"/>
            <w:vAlign w:val="bottom"/>
          </w:tcPr>
          <w:p w14:paraId="257A8C8B"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 </w:t>
            </w:r>
          </w:p>
        </w:tc>
        <w:tc>
          <w:tcPr>
            <w:tcW w:w="525" w:type="pct"/>
            <w:tcBorders>
              <w:top w:val="single" w:sz="12" w:space="0" w:color="000000"/>
              <w:left w:val="nil"/>
              <w:bottom w:val="single" w:sz="12" w:space="0" w:color="000000"/>
              <w:right w:val="single" w:sz="4" w:space="0" w:color="000000"/>
            </w:tcBorders>
            <w:shd w:val="clear" w:color="auto" w:fill="auto"/>
            <w:vAlign w:val="bottom"/>
          </w:tcPr>
          <w:p w14:paraId="696E8A2F"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P-DPN</w:t>
            </w:r>
          </w:p>
        </w:tc>
        <w:tc>
          <w:tcPr>
            <w:tcW w:w="519" w:type="pct"/>
            <w:tcBorders>
              <w:top w:val="single" w:sz="12" w:space="0" w:color="000000"/>
              <w:left w:val="nil"/>
              <w:bottom w:val="single" w:sz="12" w:space="0" w:color="000000"/>
              <w:right w:val="single" w:sz="4" w:space="0" w:color="000000"/>
            </w:tcBorders>
            <w:shd w:val="clear" w:color="auto" w:fill="auto"/>
            <w:vAlign w:val="bottom"/>
          </w:tcPr>
          <w:p w14:paraId="50B8172C"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DPN</w:t>
            </w:r>
          </w:p>
        </w:tc>
        <w:tc>
          <w:tcPr>
            <w:tcW w:w="554" w:type="pct"/>
            <w:tcBorders>
              <w:top w:val="single" w:sz="12" w:space="0" w:color="000000"/>
              <w:left w:val="nil"/>
              <w:bottom w:val="single" w:sz="12" w:space="0" w:color="000000"/>
              <w:right w:val="single" w:sz="4" w:space="0" w:color="000000"/>
            </w:tcBorders>
            <w:shd w:val="clear" w:color="auto" w:fill="auto"/>
            <w:vAlign w:val="bottom"/>
          </w:tcPr>
          <w:p w14:paraId="415DD49E"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DM-NN</w:t>
            </w:r>
          </w:p>
        </w:tc>
        <w:tc>
          <w:tcPr>
            <w:tcW w:w="518" w:type="pct"/>
            <w:tcBorders>
              <w:top w:val="single" w:sz="12" w:space="0" w:color="000000"/>
              <w:left w:val="nil"/>
              <w:bottom w:val="single" w:sz="12" w:space="0" w:color="000000"/>
              <w:right w:val="single" w:sz="12" w:space="0" w:color="000000"/>
            </w:tcBorders>
            <w:shd w:val="clear" w:color="auto" w:fill="auto"/>
            <w:vAlign w:val="bottom"/>
          </w:tcPr>
          <w:p w14:paraId="47B27EE0"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HV</w:t>
            </w:r>
          </w:p>
        </w:tc>
      </w:tr>
      <w:tr w:rsidR="009968E0" w:rsidRPr="009968E0" w14:paraId="25525C4C" w14:textId="77777777" w:rsidTr="009968E0">
        <w:trPr>
          <w:trHeight w:val="360"/>
        </w:trPr>
        <w:tc>
          <w:tcPr>
            <w:tcW w:w="1022" w:type="pct"/>
            <w:vMerge w:val="restart"/>
            <w:tcBorders>
              <w:top w:val="nil"/>
              <w:left w:val="single" w:sz="12" w:space="0" w:color="000000"/>
              <w:bottom w:val="single" w:sz="4" w:space="0" w:color="000000"/>
              <w:right w:val="nil"/>
            </w:tcBorders>
            <w:shd w:val="clear" w:color="auto" w:fill="FDE9D9"/>
          </w:tcPr>
          <w:p w14:paraId="71F0A8CE" w14:textId="59B70D49"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RBV-</w:t>
            </w:r>
            <w:r w:rsidR="00264184">
              <w:rPr>
                <w:rFonts w:ascii="Calibri" w:eastAsia="Times New Roman" w:hAnsi="Calibri" w:cs="Calibri"/>
                <w:i/>
                <w:iCs/>
                <w:sz w:val="22"/>
                <w:szCs w:val="22"/>
                <w:lang w:eastAsia="en-GB"/>
              </w:rPr>
              <w:t>LThal</w:t>
            </w:r>
            <w:r w:rsidRPr="009968E0">
              <w:rPr>
                <w:rFonts w:ascii="Calibri" w:eastAsia="Times New Roman" w:hAnsi="Calibri" w:cs="Calibri"/>
                <w:i/>
                <w:iCs/>
                <w:sz w:val="22"/>
                <w:szCs w:val="22"/>
                <w:lang w:eastAsia="en-GB"/>
              </w:rPr>
              <w:t>2</w:t>
            </w:r>
          </w:p>
        </w:tc>
        <w:tc>
          <w:tcPr>
            <w:tcW w:w="1862" w:type="pct"/>
            <w:gridSpan w:val="2"/>
            <w:tcBorders>
              <w:top w:val="single" w:sz="12" w:space="0" w:color="000000"/>
              <w:left w:val="nil"/>
              <w:bottom w:val="single" w:sz="4" w:space="0" w:color="000000"/>
              <w:right w:val="single" w:sz="12" w:space="0" w:color="000000"/>
            </w:tcBorders>
            <w:shd w:val="clear" w:color="auto" w:fill="auto"/>
          </w:tcPr>
          <w:p w14:paraId="3888EA56"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N</w:t>
            </w:r>
          </w:p>
        </w:tc>
        <w:tc>
          <w:tcPr>
            <w:tcW w:w="525" w:type="pct"/>
            <w:tcBorders>
              <w:top w:val="nil"/>
              <w:left w:val="nil"/>
              <w:bottom w:val="single" w:sz="4" w:space="0" w:color="000000"/>
              <w:right w:val="single" w:sz="4" w:space="0" w:color="000000"/>
            </w:tcBorders>
            <w:shd w:val="clear" w:color="auto" w:fill="auto"/>
            <w:vAlign w:val="center"/>
          </w:tcPr>
          <w:p w14:paraId="7792B6B0"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w:t>
            </w:r>
          </w:p>
        </w:tc>
        <w:tc>
          <w:tcPr>
            <w:tcW w:w="519" w:type="pct"/>
            <w:tcBorders>
              <w:top w:val="nil"/>
              <w:left w:val="nil"/>
              <w:bottom w:val="single" w:sz="4" w:space="0" w:color="000000"/>
              <w:right w:val="single" w:sz="4" w:space="0" w:color="000000"/>
            </w:tcBorders>
            <w:shd w:val="clear" w:color="auto" w:fill="auto"/>
            <w:vAlign w:val="center"/>
          </w:tcPr>
          <w:p w14:paraId="527768C9"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23</w:t>
            </w:r>
          </w:p>
        </w:tc>
        <w:tc>
          <w:tcPr>
            <w:tcW w:w="554" w:type="pct"/>
            <w:tcBorders>
              <w:top w:val="nil"/>
              <w:left w:val="nil"/>
              <w:bottom w:val="single" w:sz="4" w:space="0" w:color="000000"/>
              <w:right w:val="single" w:sz="4" w:space="0" w:color="000000"/>
            </w:tcBorders>
            <w:shd w:val="clear" w:color="auto" w:fill="auto"/>
            <w:vAlign w:val="center"/>
          </w:tcPr>
          <w:p w14:paraId="49FBC1C2"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w:t>
            </w:r>
          </w:p>
        </w:tc>
        <w:tc>
          <w:tcPr>
            <w:tcW w:w="518" w:type="pct"/>
            <w:tcBorders>
              <w:top w:val="nil"/>
              <w:left w:val="nil"/>
              <w:bottom w:val="single" w:sz="4" w:space="0" w:color="000000"/>
              <w:right w:val="single" w:sz="12" w:space="0" w:color="000000"/>
            </w:tcBorders>
            <w:shd w:val="clear" w:color="auto" w:fill="auto"/>
            <w:vAlign w:val="center"/>
          </w:tcPr>
          <w:p w14:paraId="5A45080A"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w:t>
            </w:r>
          </w:p>
        </w:tc>
      </w:tr>
      <w:tr w:rsidR="009968E0" w:rsidRPr="009968E0" w14:paraId="614FB5CD" w14:textId="77777777" w:rsidTr="009968E0">
        <w:trPr>
          <w:trHeight w:val="360"/>
        </w:trPr>
        <w:tc>
          <w:tcPr>
            <w:tcW w:w="1022" w:type="pct"/>
            <w:vMerge/>
            <w:tcBorders>
              <w:top w:val="nil"/>
              <w:left w:val="single" w:sz="12" w:space="0" w:color="000000"/>
              <w:bottom w:val="single" w:sz="4" w:space="0" w:color="000000"/>
              <w:right w:val="nil"/>
            </w:tcBorders>
            <w:shd w:val="clear" w:color="auto" w:fill="FDE9D9"/>
          </w:tcPr>
          <w:p w14:paraId="63ABA254" w14:textId="77777777" w:rsidR="009968E0" w:rsidRPr="009968E0" w:rsidRDefault="009968E0" w:rsidP="009968E0">
            <w:pPr>
              <w:rPr>
                <w:rFonts w:ascii="Calibri" w:eastAsia="Times New Roman" w:hAnsi="Calibri" w:cs="Calibri"/>
                <w:i/>
                <w:iCs/>
                <w:sz w:val="22"/>
                <w:szCs w:val="22"/>
                <w:lang w:eastAsia="en-GB"/>
              </w:rPr>
            </w:pPr>
          </w:p>
        </w:tc>
        <w:tc>
          <w:tcPr>
            <w:tcW w:w="1862" w:type="pct"/>
            <w:gridSpan w:val="2"/>
            <w:tcBorders>
              <w:top w:val="nil"/>
              <w:left w:val="nil"/>
              <w:bottom w:val="single" w:sz="4" w:space="0" w:color="000000"/>
              <w:right w:val="single" w:sz="12" w:space="0" w:color="000000"/>
            </w:tcBorders>
            <w:shd w:val="clear" w:color="auto" w:fill="auto"/>
          </w:tcPr>
          <w:p w14:paraId="4A7F5EBC"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Mean</w:t>
            </w:r>
          </w:p>
        </w:tc>
        <w:tc>
          <w:tcPr>
            <w:tcW w:w="525" w:type="pct"/>
            <w:tcBorders>
              <w:top w:val="nil"/>
              <w:left w:val="nil"/>
              <w:bottom w:val="single" w:sz="4" w:space="0" w:color="000000"/>
              <w:right w:val="single" w:sz="4" w:space="0" w:color="000000"/>
            </w:tcBorders>
            <w:shd w:val="clear" w:color="auto" w:fill="auto"/>
            <w:vAlign w:val="center"/>
          </w:tcPr>
          <w:p w14:paraId="1362338F"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11.111</w:t>
            </w:r>
          </w:p>
        </w:tc>
        <w:tc>
          <w:tcPr>
            <w:tcW w:w="519" w:type="pct"/>
            <w:tcBorders>
              <w:top w:val="nil"/>
              <w:left w:val="nil"/>
              <w:bottom w:val="single" w:sz="4" w:space="0" w:color="000000"/>
              <w:right w:val="single" w:sz="4" w:space="0" w:color="000000"/>
            </w:tcBorders>
            <w:shd w:val="clear" w:color="auto" w:fill="auto"/>
            <w:vAlign w:val="center"/>
          </w:tcPr>
          <w:p w14:paraId="39609F96"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11.657</w:t>
            </w:r>
          </w:p>
        </w:tc>
        <w:tc>
          <w:tcPr>
            <w:tcW w:w="554" w:type="pct"/>
            <w:tcBorders>
              <w:top w:val="nil"/>
              <w:left w:val="nil"/>
              <w:bottom w:val="single" w:sz="4" w:space="0" w:color="000000"/>
              <w:right w:val="single" w:sz="4" w:space="0" w:color="000000"/>
            </w:tcBorders>
            <w:shd w:val="clear" w:color="auto" w:fill="auto"/>
            <w:vAlign w:val="center"/>
          </w:tcPr>
          <w:p w14:paraId="4AD6FE88"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10.192</w:t>
            </w:r>
          </w:p>
        </w:tc>
        <w:tc>
          <w:tcPr>
            <w:tcW w:w="518" w:type="pct"/>
            <w:tcBorders>
              <w:top w:val="nil"/>
              <w:left w:val="nil"/>
              <w:bottom w:val="single" w:sz="4" w:space="0" w:color="000000"/>
              <w:right w:val="single" w:sz="12" w:space="0" w:color="000000"/>
            </w:tcBorders>
            <w:shd w:val="clear" w:color="auto" w:fill="auto"/>
            <w:vAlign w:val="center"/>
          </w:tcPr>
          <w:p w14:paraId="34EF745C"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10.695</w:t>
            </w:r>
          </w:p>
        </w:tc>
      </w:tr>
      <w:tr w:rsidR="009968E0" w:rsidRPr="009968E0" w14:paraId="1CF480F7" w14:textId="77777777" w:rsidTr="009968E0">
        <w:trPr>
          <w:trHeight w:val="360"/>
        </w:trPr>
        <w:tc>
          <w:tcPr>
            <w:tcW w:w="1022" w:type="pct"/>
            <w:vMerge/>
            <w:tcBorders>
              <w:top w:val="nil"/>
              <w:left w:val="single" w:sz="12" w:space="0" w:color="000000"/>
              <w:bottom w:val="single" w:sz="4" w:space="0" w:color="000000"/>
              <w:right w:val="nil"/>
            </w:tcBorders>
            <w:shd w:val="clear" w:color="auto" w:fill="FDE9D9"/>
          </w:tcPr>
          <w:p w14:paraId="49FE6525" w14:textId="77777777" w:rsidR="009968E0" w:rsidRPr="009968E0" w:rsidRDefault="009968E0" w:rsidP="009968E0">
            <w:pPr>
              <w:rPr>
                <w:rFonts w:ascii="Calibri" w:eastAsia="Times New Roman" w:hAnsi="Calibri" w:cs="Calibri"/>
                <w:i/>
                <w:iCs/>
                <w:sz w:val="22"/>
                <w:szCs w:val="22"/>
                <w:lang w:eastAsia="en-GB"/>
              </w:rPr>
            </w:pPr>
          </w:p>
        </w:tc>
        <w:tc>
          <w:tcPr>
            <w:tcW w:w="1229" w:type="pct"/>
            <w:vMerge w:val="restart"/>
            <w:tcBorders>
              <w:top w:val="nil"/>
              <w:left w:val="nil"/>
              <w:bottom w:val="single" w:sz="4" w:space="0" w:color="000000"/>
              <w:right w:val="nil"/>
            </w:tcBorders>
            <w:shd w:val="clear" w:color="auto" w:fill="auto"/>
          </w:tcPr>
          <w:p w14:paraId="3F7B16F5"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95% Confidence Interval for Mean</w:t>
            </w:r>
          </w:p>
        </w:tc>
        <w:tc>
          <w:tcPr>
            <w:tcW w:w="633" w:type="pct"/>
            <w:tcBorders>
              <w:top w:val="nil"/>
              <w:left w:val="nil"/>
              <w:bottom w:val="nil"/>
              <w:right w:val="single" w:sz="12" w:space="0" w:color="000000"/>
            </w:tcBorders>
            <w:shd w:val="clear" w:color="auto" w:fill="auto"/>
          </w:tcPr>
          <w:p w14:paraId="702C78A9"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Lower Bound</w:t>
            </w:r>
          </w:p>
        </w:tc>
        <w:tc>
          <w:tcPr>
            <w:tcW w:w="525" w:type="pct"/>
            <w:tcBorders>
              <w:top w:val="nil"/>
              <w:left w:val="nil"/>
              <w:bottom w:val="nil"/>
              <w:right w:val="single" w:sz="4" w:space="0" w:color="000000"/>
            </w:tcBorders>
            <w:shd w:val="clear" w:color="auto" w:fill="auto"/>
            <w:vAlign w:val="center"/>
          </w:tcPr>
          <w:p w14:paraId="751DEC6B"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9.739</w:t>
            </w:r>
          </w:p>
        </w:tc>
        <w:tc>
          <w:tcPr>
            <w:tcW w:w="519" w:type="pct"/>
            <w:tcBorders>
              <w:top w:val="nil"/>
              <w:left w:val="nil"/>
              <w:bottom w:val="nil"/>
              <w:right w:val="single" w:sz="4" w:space="0" w:color="000000"/>
            </w:tcBorders>
            <w:shd w:val="clear" w:color="auto" w:fill="auto"/>
            <w:vAlign w:val="center"/>
          </w:tcPr>
          <w:p w14:paraId="1803BCFC"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9.733</w:t>
            </w:r>
          </w:p>
        </w:tc>
        <w:tc>
          <w:tcPr>
            <w:tcW w:w="554" w:type="pct"/>
            <w:tcBorders>
              <w:top w:val="nil"/>
              <w:left w:val="nil"/>
              <w:bottom w:val="nil"/>
              <w:right w:val="single" w:sz="4" w:space="0" w:color="000000"/>
            </w:tcBorders>
            <w:shd w:val="clear" w:color="auto" w:fill="auto"/>
            <w:vAlign w:val="center"/>
          </w:tcPr>
          <w:p w14:paraId="6275C99D"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8.449</w:t>
            </w:r>
          </w:p>
        </w:tc>
        <w:tc>
          <w:tcPr>
            <w:tcW w:w="518" w:type="pct"/>
            <w:tcBorders>
              <w:top w:val="nil"/>
              <w:left w:val="nil"/>
              <w:bottom w:val="nil"/>
              <w:right w:val="single" w:sz="12" w:space="0" w:color="000000"/>
            </w:tcBorders>
            <w:shd w:val="clear" w:color="auto" w:fill="auto"/>
            <w:vAlign w:val="center"/>
          </w:tcPr>
          <w:p w14:paraId="5BC48378"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9.471</w:t>
            </w:r>
          </w:p>
        </w:tc>
      </w:tr>
      <w:tr w:rsidR="009968E0" w:rsidRPr="009968E0" w14:paraId="654A35E4" w14:textId="77777777" w:rsidTr="009968E0">
        <w:trPr>
          <w:trHeight w:val="360"/>
        </w:trPr>
        <w:tc>
          <w:tcPr>
            <w:tcW w:w="1022" w:type="pct"/>
            <w:vMerge/>
            <w:tcBorders>
              <w:top w:val="nil"/>
              <w:left w:val="single" w:sz="12" w:space="0" w:color="000000"/>
              <w:bottom w:val="single" w:sz="4" w:space="0" w:color="000000"/>
              <w:right w:val="nil"/>
            </w:tcBorders>
            <w:shd w:val="clear" w:color="auto" w:fill="FDE9D9"/>
          </w:tcPr>
          <w:p w14:paraId="6B044C8F" w14:textId="77777777" w:rsidR="009968E0" w:rsidRPr="009968E0" w:rsidRDefault="009968E0" w:rsidP="009968E0">
            <w:pPr>
              <w:rPr>
                <w:rFonts w:ascii="Calibri" w:eastAsia="Times New Roman" w:hAnsi="Calibri" w:cs="Calibri"/>
                <w:i/>
                <w:iCs/>
                <w:sz w:val="22"/>
                <w:szCs w:val="22"/>
                <w:lang w:eastAsia="en-GB"/>
              </w:rPr>
            </w:pPr>
          </w:p>
        </w:tc>
        <w:tc>
          <w:tcPr>
            <w:tcW w:w="1229" w:type="pct"/>
            <w:vMerge/>
            <w:tcBorders>
              <w:top w:val="nil"/>
              <w:left w:val="nil"/>
              <w:bottom w:val="single" w:sz="4" w:space="0" w:color="000000"/>
              <w:right w:val="nil"/>
            </w:tcBorders>
            <w:shd w:val="clear" w:color="auto" w:fill="auto"/>
          </w:tcPr>
          <w:p w14:paraId="1EF9F912" w14:textId="77777777" w:rsidR="009968E0" w:rsidRPr="009968E0" w:rsidRDefault="009968E0" w:rsidP="009968E0">
            <w:pPr>
              <w:rPr>
                <w:rFonts w:ascii="Calibri" w:eastAsia="Times New Roman" w:hAnsi="Calibri" w:cs="Calibri"/>
                <w:i/>
                <w:iCs/>
                <w:sz w:val="22"/>
                <w:szCs w:val="22"/>
                <w:lang w:eastAsia="en-GB"/>
              </w:rPr>
            </w:pPr>
          </w:p>
        </w:tc>
        <w:tc>
          <w:tcPr>
            <w:tcW w:w="633" w:type="pct"/>
            <w:tcBorders>
              <w:top w:val="nil"/>
              <w:left w:val="nil"/>
              <w:bottom w:val="single" w:sz="4" w:space="0" w:color="000000"/>
              <w:right w:val="single" w:sz="12" w:space="0" w:color="000000"/>
            </w:tcBorders>
            <w:shd w:val="clear" w:color="auto" w:fill="auto"/>
          </w:tcPr>
          <w:p w14:paraId="76D4E966"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Upper Bound</w:t>
            </w:r>
          </w:p>
        </w:tc>
        <w:tc>
          <w:tcPr>
            <w:tcW w:w="525" w:type="pct"/>
            <w:tcBorders>
              <w:top w:val="nil"/>
              <w:left w:val="nil"/>
              <w:bottom w:val="single" w:sz="4" w:space="0" w:color="000000"/>
              <w:right w:val="single" w:sz="4" w:space="0" w:color="000000"/>
            </w:tcBorders>
            <w:shd w:val="clear" w:color="auto" w:fill="auto"/>
            <w:vAlign w:val="center"/>
          </w:tcPr>
          <w:p w14:paraId="610AE14B"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12.482</w:t>
            </w:r>
          </w:p>
        </w:tc>
        <w:tc>
          <w:tcPr>
            <w:tcW w:w="519" w:type="pct"/>
            <w:tcBorders>
              <w:top w:val="nil"/>
              <w:left w:val="nil"/>
              <w:bottom w:val="single" w:sz="4" w:space="0" w:color="000000"/>
              <w:right w:val="single" w:sz="4" w:space="0" w:color="000000"/>
            </w:tcBorders>
            <w:shd w:val="clear" w:color="auto" w:fill="auto"/>
            <w:vAlign w:val="center"/>
          </w:tcPr>
          <w:p w14:paraId="7971E22B"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13.580</w:t>
            </w:r>
          </w:p>
        </w:tc>
        <w:tc>
          <w:tcPr>
            <w:tcW w:w="554" w:type="pct"/>
            <w:tcBorders>
              <w:top w:val="nil"/>
              <w:left w:val="nil"/>
              <w:bottom w:val="single" w:sz="4" w:space="0" w:color="000000"/>
              <w:right w:val="single" w:sz="4" w:space="0" w:color="000000"/>
            </w:tcBorders>
            <w:shd w:val="clear" w:color="auto" w:fill="auto"/>
            <w:vAlign w:val="center"/>
          </w:tcPr>
          <w:p w14:paraId="20FE895A"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11.936</w:t>
            </w:r>
          </w:p>
        </w:tc>
        <w:tc>
          <w:tcPr>
            <w:tcW w:w="518" w:type="pct"/>
            <w:tcBorders>
              <w:top w:val="nil"/>
              <w:left w:val="nil"/>
              <w:bottom w:val="single" w:sz="4" w:space="0" w:color="000000"/>
              <w:right w:val="single" w:sz="12" w:space="0" w:color="000000"/>
            </w:tcBorders>
            <w:shd w:val="clear" w:color="auto" w:fill="auto"/>
            <w:vAlign w:val="center"/>
          </w:tcPr>
          <w:p w14:paraId="5FE813BD"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11.918</w:t>
            </w:r>
          </w:p>
        </w:tc>
      </w:tr>
      <w:tr w:rsidR="009968E0" w:rsidRPr="009968E0" w14:paraId="52233830" w14:textId="77777777" w:rsidTr="009968E0">
        <w:trPr>
          <w:trHeight w:val="360"/>
        </w:trPr>
        <w:tc>
          <w:tcPr>
            <w:tcW w:w="5000" w:type="pct"/>
            <w:gridSpan w:val="7"/>
            <w:tcBorders>
              <w:top w:val="nil"/>
              <w:left w:val="single" w:sz="12" w:space="0" w:color="000000"/>
              <w:bottom w:val="single" w:sz="4" w:space="0" w:color="000000"/>
              <w:right w:val="single" w:sz="12" w:space="0" w:color="000000"/>
            </w:tcBorders>
            <w:shd w:val="clear" w:color="auto" w:fill="FFFFFF"/>
            <w:vAlign w:val="center"/>
          </w:tcPr>
          <w:p w14:paraId="6B024BCF" w14:textId="77777777" w:rsidR="009968E0" w:rsidRPr="009968E0" w:rsidRDefault="009968E0" w:rsidP="009968E0">
            <w:pPr>
              <w:jc w:val="cente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p=0.619</w:t>
            </w:r>
          </w:p>
        </w:tc>
      </w:tr>
      <w:tr w:rsidR="009968E0" w:rsidRPr="009968E0" w14:paraId="60757863" w14:textId="77777777" w:rsidTr="009968E0">
        <w:trPr>
          <w:trHeight w:val="360"/>
        </w:trPr>
        <w:tc>
          <w:tcPr>
            <w:tcW w:w="1022" w:type="pct"/>
            <w:vMerge w:val="restart"/>
            <w:tcBorders>
              <w:top w:val="nil"/>
              <w:left w:val="single" w:sz="12" w:space="0" w:color="000000"/>
              <w:bottom w:val="single" w:sz="4" w:space="0" w:color="000000"/>
              <w:right w:val="nil"/>
            </w:tcBorders>
            <w:shd w:val="clear" w:color="auto" w:fill="FDE9D9"/>
          </w:tcPr>
          <w:p w14:paraId="2C2F6A2C" w14:textId="6548413D"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RBV-</w:t>
            </w:r>
            <w:r w:rsidR="00264184">
              <w:rPr>
                <w:rFonts w:ascii="Calibri" w:eastAsia="Times New Roman" w:hAnsi="Calibri" w:cs="Calibri"/>
                <w:i/>
                <w:iCs/>
                <w:sz w:val="22"/>
                <w:szCs w:val="22"/>
                <w:lang w:eastAsia="en-GB"/>
              </w:rPr>
              <w:t>RThal</w:t>
            </w:r>
            <w:r w:rsidRPr="009968E0">
              <w:rPr>
                <w:rFonts w:ascii="Calibri" w:eastAsia="Times New Roman" w:hAnsi="Calibri" w:cs="Calibri"/>
                <w:i/>
                <w:iCs/>
                <w:sz w:val="22"/>
                <w:szCs w:val="22"/>
                <w:lang w:eastAsia="en-GB"/>
              </w:rPr>
              <w:t>2</w:t>
            </w:r>
          </w:p>
        </w:tc>
        <w:tc>
          <w:tcPr>
            <w:tcW w:w="1862" w:type="pct"/>
            <w:gridSpan w:val="2"/>
            <w:tcBorders>
              <w:top w:val="nil"/>
              <w:left w:val="nil"/>
              <w:bottom w:val="single" w:sz="4" w:space="0" w:color="000000"/>
              <w:right w:val="single" w:sz="12" w:space="0" w:color="000000"/>
            </w:tcBorders>
            <w:shd w:val="clear" w:color="auto" w:fill="auto"/>
          </w:tcPr>
          <w:p w14:paraId="3208E091"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N</w:t>
            </w:r>
          </w:p>
        </w:tc>
        <w:tc>
          <w:tcPr>
            <w:tcW w:w="525" w:type="pct"/>
            <w:tcBorders>
              <w:top w:val="nil"/>
              <w:left w:val="nil"/>
              <w:bottom w:val="single" w:sz="4" w:space="0" w:color="000000"/>
              <w:right w:val="single" w:sz="4" w:space="0" w:color="000000"/>
            </w:tcBorders>
            <w:shd w:val="clear" w:color="auto" w:fill="auto"/>
            <w:vAlign w:val="center"/>
          </w:tcPr>
          <w:p w14:paraId="199BF890"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w:t>
            </w:r>
          </w:p>
        </w:tc>
        <w:tc>
          <w:tcPr>
            <w:tcW w:w="519" w:type="pct"/>
            <w:tcBorders>
              <w:top w:val="nil"/>
              <w:left w:val="nil"/>
              <w:bottom w:val="single" w:sz="4" w:space="0" w:color="000000"/>
              <w:right w:val="single" w:sz="4" w:space="0" w:color="000000"/>
            </w:tcBorders>
            <w:shd w:val="clear" w:color="auto" w:fill="auto"/>
            <w:vAlign w:val="center"/>
          </w:tcPr>
          <w:p w14:paraId="0F9B76A5"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23</w:t>
            </w:r>
          </w:p>
        </w:tc>
        <w:tc>
          <w:tcPr>
            <w:tcW w:w="554" w:type="pct"/>
            <w:tcBorders>
              <w:top w:val="nil"/>
              <w:left w:val="nil"/>
              <w:bottom w:val="single" w:sz="4" w:space="0" w:color="000000"/>
              <w:right w:val="single" w:sz="4" w:space="0" w:color="000000"/>
            </w:tcBorders>
            <w:shd w:val="clear" w:color="auto" w:fill="auto"/>
            <w:vAlign w:val="center"/>
          </w:tcPr>
          <w:p w14:paraId="5A23529C"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w:t>
            </w:r>
          </w:p>
        </w:tc>
        <w:tc>
          <w:tcPr>
            <w:tcW w:w="518" w:type="pct"/>
            <w:tcBorders>
              <w:top w:val="nil"/>
              <w:left w:val="nil"/>
              <w:bottom w:val="single" w:sz="4" w:space="0" w:color="000000"/>
              <w:right w:val="single" w:sz="12" w:space="0" w:color="000000"/>
            </w:tcBorders>
            <w:shd w:val="clear" w:color="auto" w:fill="auto"/>
            <w:vAlign w:val="center"/>
          </w:tcPr>
          <w:p w14:paraId="18250D21"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w:t>
            </w:r>
          </w:p>
        </w:tc>
      </w:tr>
      <w:tr w:rsidR="009968E0" w:rsidRPr="009968E0" w14:paraId="39675D90" w14:textId="77777777" w:rsidTr="009968E0">
        <w:trPr>
          <w:trHeight w:val="360"/>
        </w:trPr>
        <w:tc>
          <w:tcPr>
            <w:tcW w:w="1022" w:type="pct"/>
            <w:vMerge/>
            <w:tcBorders>
              <w:top w:val="nil"/>
              <w:left w:val="single" w:sz="12" w:space="0" w:color="000000"/>
              <w:bottom w:val="single" w:sz="4" w:space="0" w:color="000000"/>
              <w:right w:val="nil"/>
            </w:tcBorders>
            <w:shd w:val="clear" w:color="auto" w:fill="FDE9D9"/>
          </w:tcPr>
          <w:p w14:paraId="15986029" w14:textId="77777777" w:rsidR="009968E0" w:rsidRPr="009968E0" w:rsidRDefault="009968E0" w:rsidP="009968E0">
            <w:pPr>
              <w:rPr>
                <w:rFonts w:ascii="Calibri" w:eastAsia="Times New Roman" w:hAnsi="Calibri" w:cs="Calibri"/>
                <w:i/>
                <w:iCs/>
                <w:sz w:val="22"/>
                <w:szCs w:val="22"/>
                <w:lang w:eastAsia="en-GB"/>
              </w:rPr>
            </w:pPr>
          </w:p>
        </w:tc>
        <w:tc>
          <w:tcPr>
            <w:tcW w:w="1862" w:type="pct"/>
            <w:gridSpan w:val="2"/>
            <w:tcBorders>
              <w:top w:val="nil"/>
              <w:left w:val="nil"/>
              <w:bottom w:val="single" w:sz="4" w:space="0" w:color="000000"/>
              <w:right w:val="single" w:sz="12" w:space="0" w:color="000000"/>
            </w:tcBorders>
            <w:shd w:val="clear" w:color="auto" w:fill="auto"/>
          </w:tcPr>
          <w:p w14:paraId="11ADB17B"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Mean</w:t>
            </w:r>
          </w:p>
        </w:tc>
        <w:tc>
          <w:tcPr>
            <w:tcW w:w="525" w:type="pct"/>
            <w:tcBorders>
              <w:top w:val="nil"/>
              <w:left w:val="nil"/>
              <w:bottom w:val="single" w:sz="4" w:space="0" w:color="000000"/>
              <w:right w:val="single" w:sz="4" w:space="0" w:color="000000"/>
            </w:tcBorders>
            <w:shd w:val="clear" w:color="auto" w:fill="auto"/>
            <w:vAlign w:val="center"/>
          </w:tcPr>
          <w:p w14:paraId="4F7E7215"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11.105</w:t>
            </w:r>
          </w:p>
        </w:tc>
        <w:tc>
          <w:tcPr>
            <w:tcW w:w="519" w:type="pct"/>
            <w:tcBorders>
              <w:top w:val="nil"/>
              <w:left w:val="nil"/>
              <w:bottom w:val="single" w:sz="4" w:space="0" w:color="000000"/>
              <w:right w:val="single" w:sz="4" w:space="0" w:color="000000"/>
            </w:tcBorders>
            <w:shd w:val="clear" w:color="auto" w:fill="auto"/>
            <w:vAlign w:val="center"/>
          </w:tcPr>
          <w:p w14:paraId="40EB6486"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10.991</w:t>
            </w:r>
          </w:p>
        </w:tc>
        <w:tc>
          <w:tcPr>
            <w:tcW w:w="554" w:type="pct"/>
            <w:tcBorders>
              <w:top w:val="nil"/>
              <w:left w:val="nil"/>
              <w:bottom w:val="single" w:sz="4" w:space="0" w:color="000000"/>
              <w:right w:val="single" w:sz="4" w:space="0" w:color="000000"/>
            </w:tcBorders>
            <w:shd w:val="clear" w:color="auto" w:fill="auto"/>
            <w:vAlign w:val="center"/>
          </w:tcPr>
          <w:p w14:paraId="217C3ACE"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10.162</w:t>
            </w:r>
          </w:p>
        </w:tc>
        <w:tc>
          <w:tcPr>
            <w:tcW w:w="518" w:type="pct"/>
            <w:tcBorders>
              <w:top w:val="nil"/>
              <w:left w:val="nil"/>
              <w:bottom w:val="single" w:sz="4" w:space="0" w:color="000000"/>
              <w:right w:val="single" w:sz="12" w:space="0" w:color="000000"/>
            </w:tcBorders>
            <w:shd w:val="clear" w:color="auto" w:fill="auto"/>
            <w:vAlign w:val="center"/>
          </w:tcPr>
          <w:p w14:paraId="35E8A74F"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10.574</w:t>
            </w:r>
          </w:p>
        </w:tc>
      </w:tr>
      <w:tr w:rsidR="009968E0" w:rsidRPr="009968E0" w14:paraId="4CED0D0D" w14:textId="77777777" w:rsidTr="009968E0">
        <w:trPr>
          <w:trHeight w:val="360"/>
        </w:trPr>
        <w:tc>
          <w:tcPr>
            <w:tcW w:w="1022" w:type="pct"/>
            <w:vMerge/>
            <w:tcBorders>
              <w:top w:val="nil"/>
              <w:left w:val="single" w:sz="12" w:space="0" w:color="000000"/>
              <w:bottom w:val="single" w:sz="4" w:space="0" w:color="000000"/>
              <w:right w:val="nil"/>
            </w:tcBorders>
            <w:shd w:val="clear" w:color="auto" w:fill="FDE9D9"/>
          </w:tcPr>
          <w:p w14:paraId="4D7D2B50" w14:textId="77777777" w:rsidR="009968E0" w:rsidRPr="009968E0" w:rsidRDefault="009968E0" w:rsidP="009968E0">
            <w:pPr>
              <w:rPr>
                <w:rFonts w:ascii="Calibri" w:eastAsia="Times New Roman" w:hAnsi="Calibri" w:cs="Calibri"/>
                <w:i/>
                <w:iCs/>
                <w:sz w:val="22"/>
                <w:szCs w:val="22"/>
                <w:lang w:eastAsia="en-GB"/>
              </w:rPr>
            </w:pPr>
          </w:p>
        </w:tc>
        <w:tc>
          <w:tcPr>
            <w:tcW w:w="1229" w:type="pct"/>
            <w:vMerge w:val="restart"/>
            <w:tcBorders>
              <w:top w:val="nil"/>
              <w:left w:val="nil"/>
              <w:bottom w:val="single" w:sz="4" w:space="0" w:color="000000"/>
              <w:right w:val="nil"/>
            </w:tcBorders>
            <w:shd w:val="clear" w:color="auto" w:fill="auto"/>
          </w:tcPr>
          <w:p w14:paraId="55F37946"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95% Confidence Interval for Mean</w:t>
            </w:r>
          </w:p>
        </w:tc>
        <w:tc>
          <w:tcPr>
            <w:tcW w:w="633" w:type="pct"/>
            <w:tcBorders>
              <w:top w:val="nil"/>
              <w:left w:val="nil"/>
              <w:bottom w:val="nil"/>
              <w:right w:val="single" w:sz="12" w:space="0" w:color="000000"/>
            </w:tcBorders>
            <w:shd w:val="clear" w:color="auto" w:fill="auto"/>
          </w:tcPr>
          <w:p w14:paraId="78804AC4"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Lower Bound</w:t>
            </w:r>
          </w:p>
        </w:tc>
        <w:tc>
          <w:tcPr>
            <w:tcW w:w="525" w:type="pct"/>
            <w:tcBorders>
              <w:top w:val="nil"/>
              <w:left w:val="nil"/>
              <w:bottom w:val="nil"/>
              <w:right w:val="single" w:sz="4" w:space="0" w:color="000000"/>
            </w:tcBorders>
            <w:shd w:val="clear" w:color="auto" w:fill="auto"/>
            <w:vAlign w:val="center"/>
          </w:tcPr>
          <w:p w14:paraId="6CC14753"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9.636</w:t>
            </w:r>
          </w:p>
        </w:tc>
        <w:tc>
          <w:tcPr>
            <w:tcW w:w="519" w:type="pct"/>
            <w:tcBorders>
              <w:top w:val="nil"/>
              <w:left w:val="nil"/>
              <w:bottom w:val="nil"/>
              <w:right w:val="single" w:sz="4" w:space="0" w:color="000000"/>
            </w:tcBorders>
            <w:shd w:val="clear" w:color="auto" w:fill="auto"/>
            <w:vAlign w:val="center"/>
          </w:tcPr>
          <w:p w14:paraId="4DDA1A63"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9.467</w:t>
            </w:r>
          </w:p>
        </w:tc>
        <w:tc>
          <w:tcPr>
            <w:tcW w:w="554" w:type="pct"/>
            <w:tcBorders>
              <w:top w:val="nil"/>
              <w:left w:val="nil"/>
              <w:bottom w:val="nil"/>
              <w:right w:val="single" w:sz="4" w:space="0" w:color="000000"/>
            </w:tcBorders>
            <w:shd w:val="clear" w:color="auto" w:fill="auto"/>
            <w:vAlign w:val="center"/>
          </w:tcPr>
          <w:p w14:paraId="43331CB5"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7.882</w:t>
            </w:r>
          </w:p>
        </w:tc>
        <w:tc>
          <w:tcPr>
            <w:tcW w:w="518" w:type="pct"/>
            <w:tcBorders>
              <w:top w:val="nil"/>
              <w:left w:val="nil"/>
              <w:bottom w:val="nil"/>
              <w:right w:val="single" w:sz="12" w:space="0" w:color="000000"/>
            </w:tcBorders>
            <w:shd w:val="clear" w:color="auto" w:fill="auto"/>
            <w:vAlign w:val="center"/>
          </w:tcPr>
          <w:p w14:paraId="1AE1364E"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9.459</w:t>
            </w:r>
          </w:p>
        </w:tc>
      </w:tr>
      <w:tr w:rsidR="009968E0" w:rsidRPr="009968E0" w14:paraId="605F0DE9" w14:textId="77777777" w:rsidTr="009968E0">
        <w:trPr>
          <w:trHeight w:val="360"/>
        </w:trPr>
        <w:tc>
          <w:tcPr>
            <w:tcW w:w="1022" w:type="pct"/>
            <w:vMerge/>
            <w:tcBorders>
              <w:top w:val="nil"/>
              <w:left w:val="single" w:sz="12" w:space="0" w:color="000000"/>
              <w:bottom w:val="single" w:sz="4" w:space="0" w:color="000000"/>
              <w:right w:val="nil"/>
            </w:tcBorders>
            <w:shd w:val="clear" w:color="auto" w:fill="FDE9D9"/>
          </w:tcPr>
          <w:p w14:paraId="3D1A86D6" w14:textId="77777777" w:rsidR="009968E0" w:rsidRPr="009968E0" w:rsidRDefault="009968E0" w:rsidP="009968E0">
            <w:pPr>
              <w:rPr>
                <w:rFonts w:ascii="Calibri" w:eastAsia="Times New Roman" w:hAnsi="Calibri" w:cs="Calibri"/>
                <w:i/>
                <w:iCs/>
                <w:sz w:val="22"/>
                <w:szCs w:val="22"/>
                <w:lang w:eastAsia="en-GB"/>
              </w:rPr>
            </w:pPr>
          </w:p>
        </w:tc>
        <w:tc>
          <w:tcPr>
            <w:tcW w:w="1229" w:type="pct"/>
            <w:vMerge/>
            <w:tcBorders>
              <w:top w:val="nil"/>
              <w:left w:val="nil"/>
              <w:bottom w:val="single" w:sz="4" w:space="0" w:color="000000"/>
              <w:right w:val="nil"/>
            </w:tcBorders>
            <w:shd w:val="clear" w:color="auto" w:fill="auto"/>
          </w:tcPr>
          <w:p w14:paraId="3DB394C9" w14:textId="77777777" w:rsidR="009968E0" w:rsidRPr="009968E0" w:rsidRDefault="009968E0" w:rsidP="009968E0">
            <w:pPr>
              <w:rPr>
                <w:rFonts w:ascii="Calibri" w:eastAsia="Times New Roman" w:hAnsi="Calibri" w:cs="Calibri"/>
                <w:i/>
                <w:iCs/>
                <w:sz w:val="22"/>
                <w:szCs w:val="22"/>
                <w:lang w:eastAsia="en-GB"/>
              </w:rPr>
            </w:pPr>
          </w:p>
        </w:tc>
        <w:tc>
          <w:tcPr>
            <w:tcW w:w="633" w:type="pct"/>
            <w:tcBorders>
              <w:top w:val="nil"/>
              <w:left w:val="nil"/>
              <w:bottom w:val="single" w:sz="4" w:space="0" w:color="000000"/>
              <w:right w:val="single" w:sz="12" w:space="0" w:color="000000"/>
            </w:tcBorders>
            <w:shd w:val="clear" w:color="auto" w:fill="auto"/>
          </w:tcPr>
          <w:p w14:paraId="2D5FC314"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Upper Bound</w:t>
            </w:r>
          </w:p>
        </w:tc>
        <w:tc>
          <w:tcPr>
            <w:tcW w:w="525" w:type="pct"/>
            <w:tcBorders>
              <w:top w:val="nil"/>
              <w:left w:val="nil"/>
              <w:bottom w:val="single" w:sz="4" w:space="0" w:color="000000"/>
              <w:right w:val="single" w:sz="4" w:space="0" w:color="000000"/>
            </w:tcBorders>
            <w:shd w:val="clear" w:color="auto" w:fill="auto"/>
            <w:vAlign w:val="center"/>
          </w:tcPr>
          <w:p w14:paraId="4DCBAADC"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12.575</w:t>
            </w:r>
          </w:p>
        </w:tc>
        <w:tc>
          <w:tcPr>
            <w:tcW w:w="519" w:type="pct"/>
            <w:tcBorders>
              <w:top w:val="nil"/>
              <w:left w:val="nil"/>
              <w:bottom w:val="single" w:sz="4" w:space="0" w:color="000000"/>
              <w:right w:val="single" w:sz="4" w:space="0" w:color="000000"/>
            </w:tcBorders>
            <w:shd w:val="clear" w:color="auto" w:fill="auto"/>
            <w:vAlign w:val="center"/>
          </w:tcPr>
          <w:p w14:paraId="19669689"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12.516</w:t>
            </w:r>
          </w:p>
        </w:tc>
        <w:tc>
          <w:tcPr>
            <w:tcW w:w="554" w:type="pct"/>
            <w:tcBorders>
              <w:top w:val="nil"/>
              <w:left w:val="nil"/>
              <w:bottom w:val="single" w:sz="4" w:space="0" w:color="000000"/>
              <w:right w:val="single" w:sz="4" w:space="0" w:color="000000"/>
            </w:tcBorders>
            <w:shd w:val="clear" w:color="auto" w:fill="auto"/>
            <w:vAlign w:val="center"/>
          </w:tcPr>
          <w:p w14:paraId="0FA9CCBB"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12.441</w:t>
            </w:r>
          </w:p>
        </w:tc>
        <w:tc>
          <w:tcPr>
            <w:tcW w:w="518" w:type="pct"/>
            <w:tcBorders>
              <w:top w:val="nil"/>
              <w:left w:val="nil"/>
              <w:bottom w:val="single" w:sz="4" w:space="0" w:color="000000"/>
              <w:right w:val="single" w:sz="12" w:space="0" w:color="000000"/>
            </w:tcBorders>
            <w:shd w:val="clear" w:color="auto" w:fill="auto"/>
            <w:vAlign w:val="center"/>
          </w:tcPr>
          <w:p w14:paraId="001FD5F0"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11.689</w:t>
            </w:r>
          </w:p>
        </w:tc>
      </w:tr>
      <w:tr w:rsidR="009968E0" w:rsidRPr="009968E0" w14:paraId="1E27AE75" w14:textId="77777777" w:rsidTr="009968E0">
        <w:trPr>
          <w:trHeight w:val="360"/>
        </w:trPr>
        <w:tc>
          <w:tcPr>
            <w:tcW w:w="5000" w:type="pct"/>
            <w:gridSpan w:val="7"/>
            <w:tcBorders>
              <w:top w:val="nil"/>
              <w:left w:val="single" w:sz="12" w:space="0" w:color="000000"/>
              <w:bottom w:val="single" w:sz="4" w:space="0" w:color="000000"/>
              <w:right w:val="single" w:sz="12" w:space="0" w:color="000000"/>
            </w:tcBorders>
            <w:shd w:val="clear" w:color="auto" w:fill="FFFFFF"/>
            <w:vAlign w:val="center"/>
          </w:tcPr>
          <w:p w14:paraId="39A5868D" w14:textId="77777777" w:rsidR="009968E0" w:rsidRPr="009968E0" w:rsidRDefault="009968E0" w:rsidP="009968E0">
            <w:pPr>
              <w:jc w:val="cente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p=0.832</w:t>
            </w:r>
          </w:p>
        </w:tc>
      </w:tr>
      <w:tr w:rsidR="009968E0" w:rsidRPr="009968E0" w14:paraId="4B66758D" w14:textId="77777777" w:rsidTr="009968E0">
        <w:trPr>
          <w:trHeight w:val="360"/>
        </w:trPr>
        <w:tc>
          <w:tcPr>
            <w:tcW w:w="1022" w:type="pct"/>
            <w:vMerge w:val="restart"/>
            <w:tcBorders>
              <w:top w:val="nil"/>
              <w:left w:val="single" w:sz="12" w:space="0" w:color="000000"/>
              <w:bottom w:val="single" w:sz="4" w:space="0" w:color="000000"/>
              <w:right w:val="nil"/>
            </w:tcBorders>
            <w:shd w:val="clear" w:color="auto" w:fill="FDE9D9"/>
          </w:tcPr>
          <w:p w14:paraId="735C932C"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RBV-LINS2</w:t>
            </w:r>
          </w:p>
        </w:tc>
        <w:tc>
          <w:tcPr>
            <w:tcW w:w="1862" w:type="pct"/>
            <w:gridSpan w:val="2"/>
            <w:tcBorders>
              <w:top w:val="nil"/>
              <w:left w:val="nil"/>
              <w:bottom w:val="single" w:sz="4" w:space="0" w:color="000000"/>
              <w:right w:val="single" w:sz="12" w:space="0" w:color="000000"/>
            </w:tcBorders>
            <w:shd w:val="clear" w:color="auto" w:fill="auto"/>
          </w:tcPr>
          <w:p w14:paraId="4186E290"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N</w:t>
            </w:r>
          </w:p>
        </w:tc>
        <w:tc>
          <w:tcPr>
            <w:tcW w:w="525" w:type="pct"/>
            <w:tcBorders>
              <w:top w:val="nil"/>
              <w:left w:val="nil"/>
              <w:bottom w:val="single" w:sz="4" w:space="0" w:color="000000"/>
              <w:right w:val="single" w:sz="4" w:space="0" w:color="000000"/>
            </w:tcBorders>
            <w:shd w:val="clear" w:color="auto" w:fill="auto"/>
            <w:vAlign w:val="center"/>
          </w:tcPr>
          <w:p w14:paraId="6EAE9796"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w:t>
            </w:r>
          </w:p>
        </w:tc>
        <w:tc>
          <w:tcPr>
            <w:tcW w:w="519" w:type="pct"/>
            <w:tcBorders>
              <w:top w:val="nil"/>
              <w:left w:val="nil"/>
              <w:bottom w:val="single" w:sz="4" w:space="0" w:color="000000"/>
              <w:right w:val="single" w:sz="4" w:space="0" w:color="000000"/>
            </w:tcBorders>
            <w:shd w:val="clear" w:color="auto" w:fill="auto"/>
            <w:vAlign w:val="center"/>
          </w:tcPr>
          <w:p w14:paraId="3AFA3733"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23</w:t>
            </w:r>
          </w:p>
        </w:tc>
        <w:tc>
          <w:tcPr>
            <w:tcW w:w="554" w:type="pct"/>
            <w:tcBorders>
              <w:top w:val="nil"/>
              <w:left w:val="nil"/>
              <w:bottom w:val="single" w:sz="4" w:space="0" w:color="000000"/>
              <w:right w:val="single" w:sz="4" w:space="0" w:color="000000"/>
            </w:tcBorders>
            <w:shd w:val="clear" w:color="auto" w:fill="auto"/>
            <w:vAlign w:val="center"/>
          </w:tcPr>
          <w:p w14:paraId="2C2473F9"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w:t>
            </w:r>
          </w:p>
        </w:tc>
        <w:tc>
          <w:tcPr>
            <w:tcW w:w="518" w:type="pct"/>
            <w:tcBorders>
              <w:top w:val="nil"/>
              <w:left w:val="nil"/>
              <w:bottom w:val="single" w:sz="4" w:space="0" w:color="000000"/>
              <w:right w:val="single" w:sz="12" w:space="0" w:color="000000"/>
            </w:tcBorders>
            <w:shd w:val="clear" w:color="auto" w:fill="auto"/>
            <w:vAlign w:val="center"/>
          </w:tcPr>
          <w:p w14:paraId="0D81E623"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w:t>
            </w:r>
          </w:p>
        </w:tc>
      </w:tr>
      <w:tr w:rsidR="009968E0" w:rsidRPr="009968E0" w14:paraId="79B5E557" w14:textId="77777777" w:rsidTr="009968E0">
        <w:trPr>
          <w:trHeight w:val="360"/>
        </w:trPr>
        <w:tc>
          <w:tcPr>
            <w:tcW w:w="1022" w:type="pct"/>
            <w:vMerge/>
            <w:tcBorders>
              <w:top w:val="nil"/>
              <w:left w:val="single" w:sz="12" w:space="0" w:color="000000"/>
              <w:bottom w:val="single" w:sz="4" w:space="0" w:color="000000"/>
              <w:right w:val="nil"/>
            </w:tcBorders>
            <w:shd w:val="clear" w:color="auto" w:fill="FDE9D9"/>
          </w:tcPr>
          <w:p w14:paraId="34B87BD7" w14:textId="77777777" w:rsidR="009968E0" w:rsidRPr="009968E0" w:rsidRDefault="009968E0" w:rsidP="009968E0">
            <w:pPr>
              <w:rPr>
                <w:rFonts w:ascii="Calibri" w:eastAsia="Times New Roman" w:hAnsi="Calibri" w:cs="Calibri"/>
                <w:i/>
                <w:iCs/>
                <w:sz w:val="22"/>
                <w:szCs w:val="22"/>
                <w:lang w:eastAsia="en-GB"/>
              </w:rPr>
            </w:pPr>
          </w:p>
        </w:tc>
        <w:tc>
          <w:tcPr>
            <w:tcW w:w="1862" w:type="pct"/>
            <w:gridSpan w:val="2"/>
            <w:tcBorders>
              <w:top w:val="nil"/>
              <w:left w:val="nil"/>
              <w:bottom w:val="single" w:sz="4" w:space="0" w:color="000000"/>
              <w:right w:val="single" w:sz="12" w:space="0" w:color="000000"/>
            </w:tcBorders>
            <w:shd w:val="clear" w:color="auto" w:fill="auto"/>
          </w:tcPr>
          <w:p w14:paraId="2473A3E0"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Mean</w:t>
            </w:r>
          </w:p>
        </w:tc>
        <w:tc>
          <w:tcPr>
            <w:tcW w:w="525" w:type="pct"/>
            <w:tcBorders>
              <w:top w:val="nil"/>
              <w:left w:val="nil"/>
              <w:bottom w:val="single" w:sz="4" w:space="0" w:color="000000"/>
              <w:right w:val="single" w:sz="4" w:space="0" w:color="000000"/>
            </w:tcBorders>
            <w:shd w:val="clear" w:color="auto" w:fill="auto"/>
            <w:vAlign w:val="center"/>
          </w:tcPr>
          <w:p w14:paraId="036287C5"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17.847</w:t>
            </w:r>
          </w:p>
        </w:tc>
        <w:tc>
          <w:tcPr>
            <w:tcW w:w="519" w:type="pct"/>
            <w:tcBorders>
              <w:top w:val="nil"/>
              <w:left w:val="nil"/>
              <w:bottom w:val="single" w:sz="4" w:space="0" w:color="000000"/>
              <w:right w:val="single" w:sz="4" w:space="0" w:color="000000"/>
            </w:tcBorders>
            <w:shd w:val="clear" w:color="auto" w:fill="auto"/>
            <w:vAlign w:val="center"/>
          </w:tcPr>
          <w:p w14:paraId="75FF374D"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16.996</w:t>
            </w:r>
          </w:p>
        </w:tc>
        <w:tc>
          <w:tcPr>
            <w:tcW w:w="554" w:type="pct"/>
            <w:tcBorders>
              <w:top w:val="nil"/>
              <w:left w:val="nil"/>
              <w:bottom w:val="single" w:sz="4" w:space="0" w:color="000000"/>
              <w:right w:val="single" w:sz="4" w:space="0" w:color="000000"/>
            </w:tcBorders>
            <w:shd w:val="clear" w:color="auto" w:fill="auto"/>
            <w:vAlign w:val="center"/>
          </w:tcPr>
          <w:p w14:paraId="5AF981A7"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15.085</w:t>
            </w:r>
          </w:p>
        </w:tc>
        <w:tc>
          <w:tcPr>
            <w:tcW w:w="518" w:type="pct"/>
            <w:tcBorders>
              <w:top w:val="nil"/>
              <w:left w:val="nil"/>
              <w:bottom w:val="single" w:sz="4" w:space="0" w:color="000000"/>
              <w:right w:val="single" w:sz="12" w:space="0" w:color="000000"/>
            </w:tcBorders>
            <w:shd w:val="clear" w:color="auto" w:fill="auto"/>
            <w:vAlign w:val="center"/>
          </w:tcPr>
          <w:p w14:paraId="30EFC719"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18.132</w:t>
            </w:r>
          </w:p>
        </w:tc>
      </w:tr>
      <w:tr w:rsidR="009968E0" w:rsidRPr="009968E0" w14:paraId="10105A71" w14:textId="77777777" w:rsidTr="009968E0">
        <w:trPr>
          <w:trHeight w:val="360"/>
        </w:trPr>
        <w:tc>
          <w:tcPr>
            <w:tcW w:w="1022" w:type="pct"/>
            <w:vMerge/>
            <w:tcBorders>
              <w:top w:val="nil"/>
              <w:left w:val="single" w:sz="12" w:space="0" w:color="000000"/>
              <w:bottom w:val="single" w:sz="4" w:space="0" w:color="000000"/>
              <w:right w:val="nil"/>
            </w:tcBorders>
            <w:shd w:val="clear" w:color="auto" w:fill="FDE9D9"/>
          </w:tcPr>
          <w:p w14:paraId="522C43F3" w14:textId="77777777" w:rsidR="009968E0" w:rsidRPr="009968E0" w:rsidRDefault="009968E0" w:rsidP="009968E0">
            <w:pPr>
              <w:rPr>
                <w:rFonts w:ascii="Calibri" w:eastAsia="Times New Roman" w:hAnsi="Calibri" w:cs="Calibri"/>
                <w:i/>
                <w:iCs/>
                <w:sz w:val="22"/>
                <w:szCs w:val="22"/>
                <w:lang w:eastAsia="en-GB"/>
              </w:rPr>
            </w:pPr>
          </w:p>
        </w:tc>
        <w:tc>
          <w:tcPr>
            <w:tcW w:w="1229" w:type="pct"/>
            <w:vMerge w:val="restart"/>
            <w:tcBorders>
              <w:top w:val="nil"/>
              <w:left w:val="nil"/>
              <w:bottom w:val="single" w:sz="4" w:space="0" w:color="000000"/>
              <w:right w:val="nil"/>
            </w:tcBorders>
            <w:shd w:val="clear" w:color="auto" w:fill="auto"/>
          </w:tcPr>
          <w:p w14:paraId="0737992C"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95% Confidence Interval for Mean</w:t>
            </w:r>
          </w:p>
        </w:tc>
        <w:tc>
          <w:tcPr>
            <w:tcW w:w="633" w:type="pct"/>
            <w:tcBorders>
              <w:top w:val="nil"/>
              <w:left w:val="nil"/>
              <w:bottom w:val="nil"/>
              <w:right w:val="single" w:sz="12" w:space="0" w:color="000000"/>
            </w:tcBorders>
            <w:shd w:val="clear" w:color="auto" w:fill="auto"/>
          </w:tcPr>
          <w:p w14:paraId="7AFBE2EE"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Lower Bound</w:t>
            </w:r>
          </w:p>
        </w:tc>
        <w:tc>
          <w:tcPr>
            <w:tcW w:w="525" w:type="pct"/>
            <w:tcBorders>
              <w:top w:val="nil"/>
              <w:left w:val="nil"/>
              <w:bottom w:val="nil"/>
              <w:right w:val="single" w:sz="4" w:space="0" w:color="000000"/>
            </w:tcBorders>
            <w:shd w:val="clear" w:color="auto" w:fill="auto"/>
            <w:vAlign w:val="center"/>
          </w:tcPr>
          <w:p w14:paraId="2C3DBC46"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15.832</w:t>
            </w:r>
          </w:p>
        </w:tc>
        <w:tc>
          <w:tcPr>
            <w:tcW w:w="519" w:type="pct"/>
            <w:tcBorders>
              <w:top w:val="nil"/>
              <w:left w:val="nil"/>
              <w:bottom w:val="nil"/>
              <w:right w:val="single" w:sz="4" w:space="0" w:color="000000"/>
            </w:tcBorders>
            <w:shd w:val="clear" w:color="auto" w:fill="auto"/>
            <w:vAlign w:val="center"/>
          </w:tcPr>
          <w:p w14:paraId="576C8DFD"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14.541</w:t>
            </w:r>
          </w:p>
        </w:tc>
        <w:tc>
          <w:tcPr>
            <w:tcW w:w="554" w:type="pct"/>
            <w:tcBorders>
              <w:top w:val="nil"/>
              <w:left w:val="nil"/>
              <w:bottom w:val="nil"/>
              <w:right w:val="single" w:sz="4" w:space="0" w:color="000000"/>
            </w:tcBorders>
            <w:shd w:val="clear" w:color="auto" w:fill="auto"/>
            <w:vAlign w:val="center"/>
          </w:tcPr>
          <w:p w14:paraId="7A900477"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12.554</w:t>
            </w:r>
          </w:p>
        </w:tc>
        <w:tc>
          <w:tcPr>
            <w:tcW w:w="518" w:type="pct"/>
            <w:tcBorders>
              <w:top w:val="nil"/>
              <w:left w:val="nil"/>
              <w:bottom w:val="nil"/>
              <w:right w:val="single" w:sz="12" w:space="0" w:color="000000"/>
            </w:tcBorders>
            <w:shd w:val="clear" w:color="auto" w:fill="auto"/>
            <w:vAlign w:val="center"/>
          </w:tcPr>
          <w:p w14:paraId="0208361B"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16.077</w:t>
            </w:r>
          </w:p>
        </w:tc>
      </w:tr>
      <w:tr w:rsidR="009968E0" w:rsidRPr="009968E0" w14:paraId="18845A70" w14:textId="77777777" w:rsidTr="009968E0">
        <w:trPr>
          <w:trHeight w:val="360"/>
        </w:trPr>
        <w:tc>
          <w:tcPr>
            <w:tcW w:w="1022" w:type="pct"/>
            <w:vMerge/>
            <w:tcBorders>
              <w:top w:val="nil"/>
              <w:left w:val="single" w:sz="12" w:space="0" w:color="000000"/>
              <w:bottom w:val="single" w:sz="4" w:space="0" w:color="000000"/>
              <w:right w:val="nil"/>
            </w:tcBorders>
            <w:shd w:val="clear" w:color="auto" w:fill="FDE9D9"/>
          </w:tcPr>
          <w:p w14:paraId="5E6A501B" w14:textId="77777777" w:rsidR="009968E0" w:rsidRPr="009968E0" w:rsidRDefault="009968E0" w:rsidP="009968E0">
            <w:pPr>
              <w:rPr>
                <w:rFonts w:ascii="Calibri" w:eastAsia="Times New Roman" w:hAnsi="Calibri" w:cs="Calibri"/>
                <w:i/>
                <w:iCs/>
                <w:sz w:val="22"/>
                <w:szCs w:val="22"/>
                <w:lang w:eastAsia="en-GB"/>
              </w:rPr>
            </w:pPr>
          </w:p>
        </w:tc>
        <w:tc>
          <w:tcPr>
            <w:tcW w:w="1229" w:type="pct"/>
            <w:vMerge/>
            <w:tcBorders>
              <w:top w:val="nil"/>
              <w:left w:val="nil"/>
              <w:bottom w:val="single" w:sz="4" w:space="0" w:color="000000"/>
              <w:right w:val="nil"/>
            </w:tcBorders>
            <w:shd w:val="clear" w:color="auto" w:fill="auto"/>
          </w:tcPr>
          <w:p w14:paraId="2F900F59" w14:textId="77777777" w:rsidR="009968E0" w:rsidRPr="009968E0" w:rsidRDefault="009968E0" w:rsidP="009968E0">
            <w:pPr>
              <w:rPr>
                <w:rFonts w:ascii="Calibri" w:eastAsia="Times New Roman" w:hAnsi="Calibri" w:cs="Calibri"/>
                <w:i/>
                <w:iCs/>
                <w:sz w:val="22"/>
                <w:szCs w:val="22"/>
                <w:lang w:eastAsia="en-GB"/>
              </w:rPr>
            </w:pPr>
          </w:p>
        </w:tc>
        <w:tc>
          <w:tcPr>
            <w:tcW w:w="633" w:type="pct"/>
            <w:tcBorders>
              <w:top w:val="nil"/>
              <w:left w:val="nil"/>
              <w:bottom w:val="single" w:sz="4" w:space="0" w:color="000000"/>
              <w:right w:val="single" w:sz="12" w:space="0" w:color="000000"/>
            </w:tcBorders>
            <w:shd w:val="clear" w:color="auto" w:fill="auto"/>
          </w:tcPr>
          <w:p w14:paraId="44A9A69E"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Upper Bound</w:t>
            </w:r>
          </w:p>
        </w:tc>
        <w:tc>
          <w:tcPr>
            <w:tcW w:w="525" w:type="pct"/>
            <w:tcBorders>
              <w:top w:val="nil"/>
              <w:left w:val="nil"/>
              <w:bottom w:val="single" w:sz="4" w:space="0" w:color="000000"/>
              <w:right w:val="single" w:sz="4" w:space="0" w:color="000000"/>
            </w:tcBorders>
            <w:shd w:val="clear" w:color="auto" w:fill="auto"/>
            <w:vAlign w:val="center"/>
          </w:tcPr>
          <w:p w14:paraId="3B69DAB5"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19.863</w:t>
            </w:r>
          </w:p>
        </w:tc>
        <w:tc>
          <w:tcPr>
            <w:tcW w:w="519" w:type="pct"/>
            <w:tcBorders>
              <w:top w:val="nil"/>
              <w:left w:val="nil"/>
              <w:bottom w:val="single" w:sz="4" w:space="0" w:color="000000"/>
              <w:right w:val="single" w:sz="4" w:space="0" w:color="000000"/>
            </w:tcBorders>
            <w:shd w:val="clear" w:color="auto" w:fill="auto"/>
            <w:vAlign w:val="center"/>
          </w:tcPr>
          <w:p w14:paraId="66F82D64"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19.450</w:t>
            </w:r>
          </w:p>
        </w:tc>
        <w:tc>
          <w:tcPr>
            <w:tcW w:w="554" w:type="pct"/>
            <w:tcBorders>
              <w:top w:val="nil"/>
              <w:left w:val="nil"/>
              <w:bottom w:val="single" w:sz="4" w:space="0" w:color="000000"/>
              <w:right w:val="single" w:sz="4" w:space="0" w:color="000000"/>
            </w:tcBorders>
            <w:shd w:val="clear" w:color="auto" w:fill="auto"/>
            <w:vAlign w:val="center"/>
          </w:tcPr>
          <w:p w14:paraId="59F234C9"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17.615</w:t>
            </w:r>
          </w:p>
        </w:tc>
        <w:tc>
          <w:tcPr>
            <w:tcW w:w="518" w:type="pct"/>
            <w:tcBorders>
              <w:top w:val="nil"/>
              <w:left w:val="nil"/>
              <w:bottom w:val="single" w:sz="4" w:space="0" w:color="000000"/>
              <w:right w:val="single" w:sz="12" w:space="0" w:color="000000"/>
            </w:tcBorders>
            <w:shd w:val="clear" w:color="auto" w:fill="auto"/>
            <w:vAlign w:val="center"/>
          </w:tcPr>
          <w:p w14:paraId="3BDFEC98"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20.186</w:t>
            </w:r>
          </w:p>
        </w:tc>
      </w:tr>
      <w:tr w:rsidR="009968E0" w:rsidRPr="009968E0" w14:paraId="7406367A" w14:textId="77777777" w:rsidTr="009968E0">
        <w:trPr>
          <w:trHeight w:val="360"/>
        </w:trPr>
        <w:tc>
          <w:tcPr>
            <w:tcW w:w="5000" w:type="pct"/>
            <w:gridSpan w:val="7"/>
            <w:tcBorders>
              <w:top w:val="nil"/>
              <w:left w:val="single" w:sz="12" w:space="0" w:color="000000"/>
              <w:bottom w:val="single" w:sz="4" w:space="0" w:color="000000"/>
              <w:right w:val="single" w:sz="12" w:space="0" w:color="000000"/>
            </w:tcBorders>
            <w:shd w:val="clear" w:color="auto" w:fill="FFFFFF"/>
            <w:vAlign w:val="center"/>
          </w:tcPr>
          <w:p w14:paraId="288E3EA6" w14:textId="77777777" w:rsidR="009968E0" w:rsidRPr="009968E0" w:rsidRDefault="009968E0" w:rsidP="009968E0">
            <w:pPr>
              <w:jc w:val="cente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p=0.299</w:t>
            </w:r>
          </w:p>
        </w:tc>
      </w:tr>
      <w:tr w:rsidR="009968E0" w:rsidRPr="009968E0" w14:paraId="2F856529" w14:textId="77777777" w:rsidTr="009968E0">
        <w:trPr>
          <w:trHeight w:val="360"/>
        </w:trPr>
        <w:tc>
          <w:tcPr>
            <w:tcW w:w="1022" w:type="pct"/>
            <w:vMerge w:val="restart"/>
            <w:tcBorders>
              <w:top w:val="nil"/>
              <w:left w:val="single" w:sz="12" w:space="0" w:color="000000"/>
              <w:bottom w:val="single" w:sz="4" w:space="0" w:color="000000"/>
              <w:right w:val="nil"/>
            </w:tcBorders>
            <w:shd w:val="clear" w:color="auto" w:fill="FDE9D9"/>
          </w:tcPr>
          <w:p w14:paraId="2D64CDCC"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RBV-RINS2</w:t>
            </w:r>
          </w:p>
        </w:tc>
        <w:tc>
          <w:tcPr>
            <w:tcW w:w="1862" w:type="pct"/>
            <w:gridSpan w:val="2"/>
            <w:tcBorders>
              <w:top w:val="nil"/>
              <w:left w:val="nil"/>
              <w:bottom w:val="single" w:sz="4" w:space="0" w:color="000000"/>
              <w:right w:val="single" w:sz="12" w:space="0" w:color="000000"/>
            </w:tcBorders>
            <w:shd w:val="clear" w:color="auto" w:fill="auto"/>
          </w:tcPr>
          <w:p w14:paraId="0F37DF1B"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N</w:t>
            </w:r>
          </w:p>
        </w:tc>
        <w:tc>
          <w:tcPr>
            <w:tcW w:w="525" w:type="pct"/>
            <w:tcBorders>
              <w:top w:val="nil"/>
              <w:left w:val="nil"/>
              <w:bottom w:val="single" w:sz="4" w:space="0" w:color="000000"/>
              <w:right w:val="single" w:sz="4" w:space="0" w:color="000000"/>
            </w:tcBorders>
            <w:shd w:val="clear" w:color="auto" w:fill="auto"/>
            <w:vAlign w:val="center"/>
          </w:tcPr>
          <w:p w14:paraId="6D76DA09"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w:t>
            </w:r>
          </w:p>
        </w:tc>
        <w:tc>
          <w:tcPr>
            <w:tcW w:w="519" w:type="pct"/>
            <w:tcBorders>
              <w:top w:val="nil"/>
              <w:left w:val="nil"/>
              <w:bottom w:val="single" w:sz="4" w:space="0" w:color="000000"/>
              <w:right w:val="single" w:sz="4" w:space="0" w:color="000000"/>
            </w:tcBorders>
            <w:shd w:val="clear" w:color="auto" w:fill="auto"/>
            <w:vAlign w:val="center"/>
          </w:tcPr>
          <w:p w14:paraId="03977333"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23</w:t>
            </w:r>
          </w:p>
        </w:tc>
        <w:tc>
          <w:tcPr>
            <w:tcW w:w="554" w:type="pct"/>
            <w:tcBorders>
              <w:top w:val="nil"/>
              <w:left w:val="nil"/>
              <w:bottom w:val="single" w:sz="4" w:space="0" w:color="000000"/>
              <w:right w:val="single" w:sz="4" w:space="0" w:color="000000"/>
            </w:tcBorders>
            <w:shd w:val="clear" w:color="auto" w:fill="auto"/>
            <w:vAlign w:val="center"/>
          </w:tcPr>
          <w:p w14:paraId="642B1C9A"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w:t>
            </w:r>
          </w:p>
        </w:tc>
        <w:tc>
          <w:tcPr>
            <w:tcW w:w="518" w:type="pct"/>
            <w:tcBorders>
              <w:top w:val="nil"/>
              <w:left w:val="nil"/>
              <w:bottom w:val="single" w:sz="4" w:space="0" w:color="000000"/>
              <w:right w:val="single" w:sz="12" w:space="0" w:color="000000"/>
            </w:tcBorders>
            <w:shd w:val="clear" w:color="auto" w:fill="auto"/>
            <w:vAlign w:val="center"/>
          </w:tcPr>
          <w:p w14:paraId="64F53F2C"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w:t>
            </w:r>
          </w:p>
        </w:tc>
      </w:tr>
      <w:tr w:rsidR="009968E0" w:rsidRPr="009968E0" w14:paraId="04E697F5" w14:textId="77777777" w:rsidTr="009968E0">
        <w:trPr>
          <w:trHeight w:val="360"/>
        </w:trPr>
        <w:tc>
          <w:tcPr>
            <w:tcW w:w="1022" w:type="pct"/>
            <w:vMerge/>
            <w:tcBorders>
              <w:top w:val="nil"/>
              <w:left w:val="single" w:sz="12" w:space="0" w:color="000000"/>
              <w:bottom w:val="single" w:sz="4" w:space="0" w:color="000000"/>
              <w:right w:val="nil"/>
            </w:tcBorders>
            <w:shd w:val="clear" w:color="auto" w:fill="FDE9D9"/>
          </w:tcPr>
          <w:p w14:paraId="2B869822" w14:textId="77777777" w:rsidR="009968E0" w:rsidRPr="009968E0" w:rsidRDefault="009968E0" w:rsidP="009968E0">
            <w:pPr>
              <w:rPr>
                <w:rFonts w:ascii="Calibri" w:eastAsia="Times New Roman" w:hAnsi="Calibri" w:cs="Calibri"/>
                <w:i/>
                <w:iCs/>
                <w:sz w:val="22"/>
                <w:szCs w:val="22"/>
                <w:lang w:eastAsia="en-GB"/>
              </w:rPr>
            </w:pPr>
          </w:p>
        </w:tc>
        <w:tc>
          <w:tcPr>
            <w:tcW w:w="1862" w:type="pct"/>
            <w:gridSpan w:val="2"/>
            <w:tcBorders>
              <w:top w:val="nil"/>
              <w:left w:val="nil"/>
              <w:bottom w:val="single" w:sz="4" w:space="0" w:color="000000"/>
              <w:right w:val="single" w:sz="12" w:space="0" w:color="000000"/>
            </w:tcBorders>
            <w:shd w:val="clear" w:color="auto" w:fill="auto"/>
          </w:tcPr>
          <w:p w14:paraId="658719B4"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Mean</w:t>
            </w:r>
          </w:p>
        </w:tc>
        <w:tc>
          <w:tcPr>
            <w:tcW w:w="525" w:type="pct"/>
            <w:tcBorders>
              <w:top w:val="nil"/>
              <w:left w:val="nil"/>
              <w:bottom w:val="single" w:sz="4" w:space="0" w:color="000000"/>
              <w:right w:val="single" w:sz="4" w:space="0" w:color="000000"/>
            </w:tcBorders>
            <w:shd w:val="clear" w:color="auto" w:fill="auto"/>
            <w:vAlign w:val="center"/>
          </w:tcPr>
          <w:p w14:paraId="0AF207EE"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19.037</w:t>
            </w:r>
          </w:p>
        </w:tc>
        <w:tc>
          <w:tcPr>
            <w:tcW w:w="519" w:type="pct"/>
            <w:tcBorders>
              <w:top w:val="nil"/>
              <w:left w:val="nil"/>
              <w:bottom w:val="single" w:sz="4" w:space="0" w:color="000000"/>
              <w:right w:val="single" w:sz="4" w:space="0" w:color="000000"/>
            </w:tcBorders>
            <w:shd w:val="clear" w:color="auto" w:fill="auto"/>
            <w:vAlign w:val="center"/>
          </w:tcPr>
          <w:p w14:paraId="0226DA68"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17.022</w:t>
            </w:r>
          </w:p>
        </w:tc>
        <w:tc>
          <w:tcPr>
            <w:tcW w:w="554" w:type="pct"/>
            <w:tcBorders>
              <w:top w:val="nil"/>
              <w:left w:val="nil"/>
              <w:bottom w:val="single" w:sz="4" w:space="0" w:color="000000"/>
              <w:right w:val="single" w:sz="4" w:space="0" w:color="000000"/>
            </w:tcBorders>
            <w:shd w:val="clear" w:color="auto" w:fill="auto"/>
            <w:vAlign w:val="center"/>
          </w:tcPr>
          <w:p w14:paraId="279569F3"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17.192</w:t>
            </w:r>
          </w:p>
        </w:tc>
        <w:tc>
          <w:tcPr>
            <w:tcW w:w="518" w:type="pct"/>
            <w:tcBorders>
              <w:top w:val="nil"/>
              <w:left w:val="nil"/>
              <w:bottom w:val="single" w:sz="4" w:space="0" w:color="000000"/>
              <w:right w:val="single" w:sz="12" w:space="0" w:color="000000"/>
            </w:tcBorders>
            <w:shd w:val="clear" w:color="auto" w:fill="auto"/>
            <w:vAlign w:val="center"/>
          </w:tcPr>
          <w:p w14:paraId="2A0E6287"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19.526</w:t>
            </w:r>
          </w:p>
        </w:tc>
      </w:tr>
      <w:tr w:rsidR="009968E0" w:rsidRPr="009968E0" w14:paraId="38F32EE9" w14:textId="77777777" w:rsidTr="009968E0">
        <w:trPr>
          <w:trHeight w:val="360"/>
        </w:trPr>
        <w:tc>
          <w:tcPr>
            <w:tcW w:w="1022" w:type="pct"/>
            <w:vMerge/>
            <w:tcBorders>
              <w:top w:val="nil"/>
              <w:left w:val="single" w:sz="12" w:space="0" w:color="000000"/>
              <w:bottom w:val="single" w:sz="4" w:space="0" w:color="000000"/>
              <w:right w:val="nil"/>
            </w:tcBorders>
            <w:shd w:val="clear" w:color="auto" w:fill="FDE9D9"/>
          </w:tcPr>
          <w:p w14:paraId="1D604D59" w14:textId="77777777" w:rsidR="009968E0" w:rsidRPr="009968E0" w:rsidRDefault="009968E0" w:rsidP="009968E0">
            <w:pPr>
              <w:rPr>
                <w:rFonts w:ascii="Calibri" w:eastAsia="Times New Roman" w:hAnsi="Calibri" w:cs="Calibri"/>
                <w:i/>
                <w:iCs/>
                <w:sz w:val="22"/>
                <w:szCs w:val="22"/>
                <w:lang w:eastAsia="en-GB"/>
              </w:rPr>
            </w:pPr>
          </w:p>
        </w:tc>
        <w:tc>
          <w:tcPr>
            <w:tcW w:w="1229" w:type="pct"/>
            <w:vMerge w:val="restart"/>
            <w:tcBorders>
              <w:top w:val="nil"/>
              <w:left w:val="nil"/>
              <w:bottom w:val="single" w:sz="4" w:space="0" w:color="000000"/>
              <w:right w:val="nil"/>
            </w:tcBorders>
            <w:shd w:val="clear" w:color="auto" w:fill="auto"/>
          </w:tcPr>
          <w:p w14:paraId="128423C8"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95% Confidence Interval for Mean</w:t>
            </w:r>
          </w:p>
        </w:tc>
        <w:tc>
          <w:tcPr>
            <w:tcW w:w="633" w:type="pct"/>
            <w:tcBorders>
              <w:top w:val="nil"/>
              <w:left w:val="nil"/>
              <w:bottom w:val="nil"/>
              <w:right w:val="single" w:sz="12" w:space="0" w:color="000000"/>
            </w:tcBorders>
            <w:shd w:val="clear" w:color="auto" w:fill="auto"/>
          </w:tcPr>
          <w:p w14:paraId="725D57F7"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Lower Bound</w:t>
            </w:r>
          </w:p>
        </w:tc>
        <w:tc>
          <w:tcPr>
            <w:tcW w:w="525" w:type="pct"/>
            <w:tcBorders>
              <w:top w:val="nil"/>
              <w:left w:val="nil"/>
              <w:bottom w:val="nil"/>
              <w:right w:val="single" w:sz="4" w:space="0" w:color="000000"/>
            </w:tcBorders>
            <w:shd w:val="clear" w:color="auto" w:fill="auto"/>
            <w:vAlign w:val="center"/>
          </w:tcPr>
          <w:p w14:paraId="0204944C"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16.888</w:t>
            </w:r>
          </w:p>
        </w:tc>
        <w:tc>
          <w:tcPr>
            <w:tcW w:w="519" w:type="pct"/>
            <w:tcBorders>
              <w:top w:val="nil"/>
              <w:left w:val="nil"/>
              <w:bottom w:val="nil"/>
              <w:right w:val="single" w:sz="4" w:space="0" w:color="000000"/>
            </w:tcBorders>
            <w:shd w:val="clear" w:color="auto" w:fill="auto"/>
            <w:vAlign w:val="center"/>
          </w:tcPr>
          <w:p w14:paraId="04B9DAF0"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14.730</w:t>
            </w:r>
          </w:p>
        </w:tc>
        <w:tc>
          <w:tcPr>
            <w:tcW w:w="554" w:type="pct"/>
            <w:tcBorders>
              <w:top w:val="nil"/>
              <w:left w:val="nil"/>
              <w:bottom w:val="nil"/>
              <w:right w:val="single" w:sz="4" w:space="0" w:color="000000"/>
            </w:tcBorders>
            <w:shd w:val="clear" w:color="auto" w:fill="auto"/>
            <w:vAlign w:val="center"/>
          </w:tcPr>
          <w:p w14:paraId="6910ECEC"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13.651</w:t>
            </w:r>
          </w:p>
        </w:tc>
        <w:tc>
          <w:tcPr>
            <w:tcW w:w="518" w:type="pct"/>
            <w:tcBorders>
              <w:top w:val="nil"/>
              <w:left w:val="nil"/>
              <w:bottom w:val="nil"/>
              <w:right w:val="single" w:sz="12" w:space="0" w:color="000000"/>
            </w:tcBorders>
            <w:shd w:val="clear" w:color="auto" w:fill="auto"/>
            <w:vAlign w:val="center"/>
          </w:tcPr>
          <w:p w14:paraId="495E125C"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15.802</w:t>
            </w:r>
          </w:p>
        </w:tc>
      </w:tr>
      <w:tr w:rsidR="009968E0" w:rsidRPr="009968E0" w14:paraId="5E71831D" w14:textId="77777777" w:rsidTr="009968E0">
        <w:trPr>
          <w:trHeight w:val="360"/>
        </w:trPr>
        <w:tc>
          <w:tcPr>
            <w:tcW w:w="1022" w:type="pct"/>
            <w:vMerge/>
            <w:tcBorders>
              <w:top w:val="nil"/>
              <w:left w:val="single" w:sz="12" w:space="0" w:color="000000"/>
              <w:bottom w:val="single" w:sz="4" w:space="0" w:color="000000"/>
              <w:right w:val="nil"/>
            </w:tcBorders>
            <w:shd w:val="clear" w:color="auto" w:fill="FDE9D9"/>
          </w:tcPr>
          <w:p w14:paraId="645B722A" w14:textId="77777777" w:rsidR="009968E0" w:rsidRPr="009968E0" w:rsidRDefault="009968E0" w:rsidP="009968E0">
            <w:pPr>
              <w:rPr>
                <w:rFonts w:ascii="Calibri" w:eastAsia="Times New Roman" w:hAnsi="Calibri" w:cs="Calibri"/>
                <w:i/>
                <w:iCs/>
                <w:sz w:val="22"/>
                <w:szCs w:val="22"/>
                <w:lang w:eastAsia="en-GB"/>
              </w:rPr>
            </w:pPr>
          </w:p>
        </w:tc>
        <w:tc>
          <w:tcPr>
            <w:tcW w:w="1229" w:type="pct"/>
            <w:vMerge/>
            <w:tcBorders>
              <w:top w:val="nil"/>
              <w:left w:val="nil"/>
              <w:bottom w:val="single" w:sz="4" w:space="0" w:color="000000"/>
              <w:right w:val="nil"/>
            </w:tcBorders>
            <w:shd w:val="clear" w:color="auto" w:fill="auto"/>
          </w:tcPr>
          <w:p w14:paraId="2337A713" w14:textId="77777777" w:rsidR="009968E0" w:rsidRPr="009968E0" w:rsidRDefault="009968E0" w:rsidP="009968E0">
            <w:pPr>
              <w:rPr>
                <w:rFonts w:ascii="Calibri" w:eastAsia="Times New Roman" w:hAnsi="Calibri" w:cs="Calibri"/>
                <w:i/>
                <w:iCs/>
                <w:sz w:val="22"/>
                <w:szCs w:val="22"/>
                <w:lang w:eastAsia="en-GB"/>
              </w:rPr>
            </w:pPr>
          </w:p>
        </w:tc>
        <w:tc>
          <w:tcPr>
            <w:tcW w:w="633" w:type="pct"/>
            <w:tcBorders>
              <w:top w:val="nil"/>
              <w:left w:val="nil"/>
              <w:bottom w:val="single" w:sz="4" w:space="0" w:color="000000"/>
              <w:right w:val="single" w:sz="12" w:space="0" w:color="000000"/>
            </w:tcBorders>
            <w:shd w:val="clear" w:color="auto" w:fill="auto"/>
          </w:tcPr>
          <w:p w14:paraId="29115A5F"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Upper Bound</w:t>
            </w:r>
          </w:p>
        </w:tc>
        <w:tc>
          <w:tcPr>
            <w:tcW w:w="525" w:type="pct"/>
            <w:tcBorders>
              <w:top w:val="nil"/>
              <w:left w:val="nil"/>
              <w:bottom w:val="single" w:sz="4" w:space="0" w:color="000000"/>
              <w:right w:val="single" w:sz="4" w:space="0" w:color="000000"/>
            </w:tcBorders>
            <w:shd w:val="clear" w:color="auto" w:fill="auto"/>
            <w:vAlign w:val="center"/>
          </w:tcPr>
          <w:p w14:paraId="19C4B985"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21.186</w:t>
            </w:r>
          </w:p>
        </w:tc>
        <w:tc>
          <w:tcPr>
            <w:tcW w:w="519" w:type="pct"/>
            <w:tcBorders>
              <w:top w:val="nil"/>
              <w:left w:val="nil"/>
              <w:bottom w:val="single" w:sz="4" w:space="0" w:color="000000"/>
              <w:right w:val="single" w:sz="4" w:space="0" w:color="000000"/>
            </w:tcBorders>
            <w:shd w:val="clear" w:color="auto" w:fill="auto"/>
            <w:vAlign w:val="center"/>
          </w:tcPr>
          <w:p w14:paraId="2B0DCFFA"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19.313</w:t>
            </w:r>
          </w:p>
        </w:tc>
        <w:tc>
          <w:tcPr>
            <w:tcW w:w="554" w:type="pct"/>
            <w:tcBorders>
              <w:top w:val="nil"/>
              <w:left w:val="nil"/>
              <w:bottom w:val="single" w:sz="4" w:space="0" w:color="000000"/>
              <w:right w:val="single" w:sz="4" w:space="0" w:color="000000"/>
            </w:tcBorders>
            <w:shd w:val="clear" w:color="auto" w:fill="auto"/>
            <w:vAlign w:val="center"/>
          </w:tcPr>
          <w:p w14:paraId="4BF06730"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20.733</w:t>
            </w:r>
          </w:p>
        </w:tc>
        <w:tc>
          <w:tcPr>
            <w:tcW w:w="518" w:type="pct"/>
            <w:tcBorders>
              <w:top w:val="nil"/>
              <w:left w:val="nil"/>
              <w:bottom w:val="single" w:sz="4" w:space="0" w:color="000000"/>
              <w:right w:val="single" w:sz="12" w:space="0" w:color="000000"/>
            </w:tcBorders>
            <w:shd w:val="clear" w:color="auto" w:fill="auto"/>
            <w:vAlign w:val="center"/>
          </w:tcPr>
          <w:p w14:paraId="60B36D35"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23.251</w:t>
            </w:r>
          </w:p>
        </w:tc>
      </w:tr>
      <w:tr w:rsidR="009968E0" w:rsidRPr="009968E0" w14:paraId="2F891A74" w14:textId="77777777" w:rsidTr="009968E0">
        <w:trPr>
          <w:trHeight w:val="360"/>
        </w:trPr>
        <w:tc>
          <w:tcPr>
            <w:tcW w:w="5000" w:type="pct"/>
            <w:gridSpan w:val="7"/>
            <w:tcBorders>
              <w:top w:val="nil"/>
              <w:left w:val="single" w:sz="12" w:space="0" w:color="000000"/>
              <w:bottom w:val="single" w:sz="4" w:space="0" w:color="000000"/>
              <w:right w:val="single" w:sz="12" w:space="0" w:color="000000"/>
            </w:tcBorders>
            <w:shd w:val="clear" w:color="auto" w:fill="FFFFFF"/>
            <w:vAlign w:val="center"/>
          </w:tcPr>
          <w:p w14:paraId="43BFC8DA" w14:textId="77777777" w:rsidR="009968E0" w:rsidRPr="009968E0" w:rsidRDefault="009968E0" w:rsidP="009968E0">
            <w:pPr>
              <w:jc w:val="cente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p=0.461</w:t>
            </w:r>
          </w:p>
        </w:tc>
      </w:tr>
      <w:tr w:rsidR="009968E0" w:rsidRPr="009968E0" w14:paraId="53672137" w14:textId="77777777" w:rsidTr="009968E0">
        <w:trPr>
          <w:trHeight w:val="360"/>
        </w:trPr>
        <w:tc>
          <w:tcPr>
            <w:tcW w:w="1022" w:type="pct"/>
            <w:vMerge w:val="restart"/>
            <w:tcBorders>
              <w:top w:val="nil"/>
              <w:left w:val="single" w:sz="12" w:space="0" w:color="000000"/>
              <w:bottom w:val="single" w:sz="4" w:space="0" w:color="000000"/>
              <w:right w:val="nil"/>
            </w:tcBorders>
            <w:shd w:val="clear" w:color="auto" w:fill="FDE9D9"/>
          </w:tcPr>
          <w:p w14:paraId="39C8A404"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RBV-ACC2</w:t>
            </w:r>
          </w:p>
        </w:tc>
        <w:tc>
          <w:tcPr>
            <w:tcW w:w="1862" w:type="pct"/>
            <w:gridSpan w:val="2"/>
            <w:tcBorders>
              <w:top w:val="nil"/>
              <w:left w:val="nil"/>
              <w:bottom w:val="single" w:sz="4" w:space="0" w:color="000000"/>
              <w:right w:val="single" w:sz="12" w:space="0" w:color="000000"/>
            </w:tcBorders>
            <w:shd w:val="clear" w:color="auto" w:fill="auto"/>
          </w:tcPr>
          <w:p w14:paraId="6148F90E"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N</w:t>
            </w:r>
          </w:p>
        </w:tc>
        <w:tc>
          <w:tcPr>
            <w:tcW w:w="525" w:type="pct"/>
            <w:tcBorders>
              <w:top w:val="nil"/>
              <w:left w:val="nil"/>
              <w:bottom w:val="single" w:sz="4" w:space="0" w:color="000000"/>
              <w:right w:val="single" w:sz="4" w:space="0" w:color="000000"/>
            </w:tcBorders>
            <w:shd w:val="clear" w:color="auto" w:fill="auto"/>
            <w:vAlign w:val="center"/>
          </w:tcPr>
          <w:p w14:paraId="4787727D"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w:t>
            </w:r>
          </w:p>
        </w:tc>
        <w:tc>
          <w:tcPr>
            <w:tcW w:w="519" w:type="pct"/>
            <w:tcBorders>
              <w:top w:val="nil"/>
              <w:left w:val="nil"/>
              <w:bottom w:val="single" w:sz="4" w:space="0" w:color="000000"/>
              <w:right w:val="single" w:sz="4" w:space="0" w:color="000000"/>
            </w:tcBorders>
            <w:shd w:val="clear" w:color="auto" w:fill="auto"/>
            <w:vAlign w:val="center"/>
          </w:tcPr>
          <w:p w14:paraId="32400E89"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23</w:t>
            </w:r>
          </w:p>
        </w:tc>
        <w:tc>
          <w:tcPr>
            <w:tcW w:w="554" w:type="pct"/>
            <w:tcBorders>
              <w:top w:val="nil"/>
              <w:left w:val="nil"/>
              <w:bottom w:val="single" w:sz="4" w:space="0" w:color="000000"/>
              <w:right w:val="single" w:sz="4" w:space="0" w:color="000000"/>
            </w:tcBorders>
            <w:shd w:val="clear" w:color="auto" w:fill="auto"/>
            <w:vAlign w:val="center"/>
          </w:tcPr>
          <w:p w14:paraId="5E7A718A"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w:t>
            </w:r>
          </w:p>
        </w:tc>
        <w:tc>
          <w:tcPr>
            <w:tcW w:w="518" w:type="pct"/>
            <w:tcBorders>
              <w:top w:val="nil"/>
              <w:left w:val="nil"/>
              <w:bottom w:val="single" w:sz="4" w:space="0" w:color="000000"/>
              <w:right w:val="single" w:sz="12" w:space="0" w:color="000000"/>
            </w:tcBorders>
            <w:shd w:val="clear" w:color="auto" w:fill="auto"/>
            <w:vAlign w:val="center"/>
          </w:tcPr>
          <w:p w14:paraId="1A6297D2"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w:t>
            </w:r>
          </w:p>
        </w:tc>
      </w:tr>
      <w:tr w:rsidR="009968E0" w:rsidRPr="009968E0" w14:paraId="4317A97D" w14:textId="77777777" w:rsidTr="009968E0">
        <w:trPr>
          <w:trHeight w:val="360"/>
        </w:trPr>
        <w:tc>
          <w:tcPr>
            <w:tcW w:w="1022" w:type="pct"/>
            <w:vMerge/>
            <w:tcBorders>
              <w:top w:val="nil"/>
              <w:left w:val="single" w:sz="12" w:space="0" w:color="000000"/>
              <w:bottom w:val="single" w:sz="4" w:space="0" w:color="000000"/>
              <w:right w:val="nil"/>
            </w:tcBorders>
            <w:shd w:val="clear" w:color="auto" w:fill="FDE9D9"/>
          </w:tcPr>
          <w:p w14:paraId="36721139" w14:textId="77777777" w:rsidR="009968E0" w:rsidRPr="009968E0" w:rsidRDefault="009968E0" w:rsidP="009968E0">
            <w:pPr>
              <w:rPr>
                <w:rFonts w:ascii="Calibri" w:eastAsia="Times New Roman" w:hAnsi="Calibri" w:cs="Calibri"/>
                <w:i/>
                <w:iCs/>
                <w:sz w:val="22"/>
                <w:szCs w:val="22"/>
                <w:lang w:eastAsia="en-GB"/>
              </w:rPr>
            </w:pPr>
          </w:p>
        </w:tc>
        <w:tc>
          <w:tcPr>
            <w:tcW w:w="1862" w:type="pct"/>
            <w:gridSpan w:val="2"/>
            <w:tcBorders>
              <w:top w:val="nil"/>
              <w:left w:val="nil"/>
              <w:bottom w:val="single" w:sz="4" w:space="0" w:color="000000"/>
              <w:right w:val="single" w:sz="12" w:space="0" w:color="000000"/>
            </w:tcBorders>
            <w:shd w:val="clear" w:color="auto" w:fill="auto"/>
          </w:tcPr>
          <w:p w14:paraId="510B942B"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Mean</w:t>
            </w:r>
          </w:p>
        </w:tc>
        <w:tc>
          <w:tcPr>
            <w:tcW w:w="525" w:type="pct"/>
            <w:tcBorders>
              <w:top w:val="nil"/>
              <w:left w:val="nil"/>
              <w:bottom w:val="single" w:sz="4" w:space="0" w:color="000000"/>
              <w:right w:val="single" w:sz="4" w:space="0" w:color="000000"/>
            </w:tcBorders>
            <w:shd w:val="clear" w:color="auto" w:fill="auto"/>
            <w:vAlign w:val="center"/>
          </w:tcPr>
          <w:p w14:paraId="44401501"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15.311</w:t>
            </w:r>
          </w:p>
        </w:tc>
        <w:tc>
          <w:tcPr>
            <w:tcW w:w="519" w:type="pct"/>
            <w:tcBorders>
              <w:top w:val="nil"/>
              <w:left w:val="nil"/>
              <w:bottom w:val="single" w:sz="4" w:space="0" w:color="000000"/>
              <w:right w:val="single" w:sz="4" w:space="0" w:color="000000"/>
            </w:tcBorders>
            <w:shd w:val="clear" w:color="auto" w:fill="auto"/>
            <w:vAlign w:val="center"/>
          </w:tcPr>
          <w:p w14:paraId="6972A9F7"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14.930</w:t>
            </w:r>
          </w:p>
        </w:tc>
        <w:tc>
          <w:tcPr>
            <w:tcW w:w="554" w:type="pct"/>
            <w:tcBorders>
              <w:top w:val="nil"/>
              <w:left w:val="nil"/>
              <w:bottom w:val="single" w:sz="4" w:space="0" w:color="000000"/>
              <w:right w:val="single" w:sz="4" w:space="0" w:color="000000"/>
            </w:tcBorders>
            <w:shd w:val="clear" w:color="auto" w:fill="auto"/>
            <w:vAlign w:val="center"/>
          </w:tcPr>
          <w:p w14:paraId="6EEF6A6E"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12.885</w:t>
            </w:r>
          </w:p>
        </w:tc>
        <w:tc>
          <w:tcPr>
            <w:tcW w:w="518" w:type="pct"/>
            <w:tcBorders>
              <w:top w:val="nil"/>
              <w:left w:val="nil"/>
              <w:bottom w:val="single" w:sz="4" w:space="0" w:color="000000"/>
              <w:right w:val="single" w:sz="12" w:space="0" w:color="000000"/>
            </w:tcBorders>
            <w:shd w:val="clear" w:color="auto" w:fill="auto"/>
            <w:vAlign w:val="center"/>
          </w:tcPr>
          <w:p w14:paraId="71D2E7E8"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14.342</w:t>
            </w:r>
          </w:p>
        </w:tc>
      </w:tr>
      <w:tr w:rsidR="009968E0" w:rsidRPr="009968E0" w14:paraId="15C08F54" w14:textId="77777777" w:rsidTr="009968E0">
        <w:trPr>
          <w:trHeight w:val="360"/>
        </w:trPr>
        <w:tc>
          <w:tcPr>
            <w:tcW w:w="1022" w:type="pct"/>
            <w:vMerge/>
            <w:tcBorders>
              <w:top w:val="nil"/>
              <w:left w:val="single" w:sz="12" w:space="0" w:color="000000"/>
              <w:bottom w:val="single" w:sz="4" w:space="0" w:color="000000"/>
              <w:right w:val="nil"/>
            </w:tcBorders>
            <w:shd w:val="clear" w:color="auto" w:fill="FDE9D9"/>
          </w:tcPr>
          <w:p w14:paraId="7DCE0423" w14:textId="77777777" w:rsidR="009968E0" w:rsidRPr="009968E0" w:rsidRDefault="009968E0" w:rsidP="009968E0">
            <w:pPr>
              <w:rPr>
                <w:rFonts w:ascii="Calibri" w:eastAsia="Times New Roman" w:hAnsi="Calibri" w:cs="Calibri"/>
                <w:i/>
                <w:iCs/>
                <w:sz w:val="22"/>
                <w:szCs w:val="22"/>
                <w:lang w:eastAsia="en-GB"/>
              </w:rPr>
            </w:pPr>
          </w:p>
        </w:tc>
        <w:tc>
          <w:tcPr>
            <w:tcW w:w="1229" w:type="pct"/>
            <w:vMerge w:val="restart"/>
            <w:tcBorders>
              <w:top w:val="nil"/>
              <w:left w:val="nil"/>
              <w:bottom w:val="single" w:sz="4" w:space="0" w:color="000000"/>
              <w:right w:val="nil"/>
            </w:tcBorders>
            <w:shd w:val="clear" w:color="auto" w:fill="auto"/>
          </w:tcPr>
          <w:p w14:paraId="6381A9D9"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95% Confidence Interval for Mean</w:t>
            </w:r>
          </w:p>
        </w:tc>
        <w:tc>
          <w:tcPr>
            <w:tcW w:w="633" w:type="pct"/>
            <w:tcBorders>
              <w:top w:val="nil"/>
              <w:left w:val="nil"/>
              <w:bottom w:val="nil"/>
              <w:right w:val="single" w:sz="12" w:space="0" w:color="000000"/>
            </w:tcBorders>
            <w:shd w:val="clear" w:color="auto" w:fill="auto"/>
          </w:tcPr>
          <w:p w14:paraId="005DE2D8"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Lower Bound</w:t>
            </w:r>
          </w:p>
        </w:tc>
        <w:tc>
          <w:tcPr>
            <w:tcW w:w="525" w:type="pct"/>
            <w:tcBorders>
              <w:top w:val="nil"/>
              <w:left w:val="nil"/>
              <w:bottom w:val="nil"/>
              <w:right w:val="single" w:sz="4" w:space="0" w:color="000000"/>
            </w:tcBorders>
            <w:shd w:val="clear" w:color="auto" w:fill="auto"/>
            <w:vAlign w:val="center"/>
          </w:tcPr>
          <w:p w14:paraId="2CD4395C"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13.471</w:t>
            </w:r>
          </w:p>
        </w:tc>
        <w:tc>
          <w:tcPr>
            <w:tcW w:w="519" w:type="pct"/>
            <w:tcBorders>
              <w:top w:val="nil"/>
              <w:left w:val="nil"/>
              <w:bottom w:val="nil"/>
              <w:right w:val="single" w:sz="4" w:space="0" w:color="000000"/>
            </w:tcBorders>
            <w:shd w:val="clear" w:color="auto" w:fill="auto"/>
            <w:vAlign w:val="center"/>
          </w:tcPr>
          <w:p w14:paraId="64A93D70"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12.963</w:t>
            </w:r>
          </w:p>
        </w:tc>
        <w:tc>
          <w:tcPr>
            <w:tcW w:w="554" w:type="pct"/>
            <w:tcBorders>
              <w:top w:val="nil"/>
              <w:left w:val="nil"/>
              <w:bottom w:val="nil"/>
              <w:right w:val="single" w:sz="4" w:space="0" w:color="000000"/>
            </w:tcBorders>
            <w:shd w:val="clear" w:color="auto" w:fill="auto"/>
            <w:vAlign w:val="center"/>
          </w:tcPr>
          <w:p w14:paraId="4BA6D0B2"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10.443</w:t>
            </w:r>
          </w:p>
        </w:tc>
        <w:tc>
          <w:tcPr>
            <w:tcW w:w="518" w:type="pct"/>
            <w:tcBorders>
              <w:top w:val="nil"/>
              <w:left w:val="nil"/>
              <w:bottom w:val="nil"/>
              <w:right w:val="single" w:sz="12" w:space="0" w:color="000000"/>
            </w:tcBorders>
            <w:shd w:val="clear" w:color="auto" w:fill="auto"/>
            <w:vAlign w:val="center"/>
          </w:tcPr>
          <w:p w14:paraId="59A122CA"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12.211</w:t>
            </w:r>
          </w:p>
        </w:tc>
      </w:tr>
      <w:tr w:rsidR="009968E0" w:rsidRPr="009968E0" w14:paraId="213CE7A2" w14:textId="77777777" w:rsidTr="009968E0">
        <w:trPr>
          <w:trHeight w:val="360"/>
        </w:trPr>
        <w:tc>
          <w:tcPr>
            <w:tcW w:w="1022" w:type="pct"/>
            <w:vMerge/>
            <w:tcBorders>
              <w:top w:val="nil"/>
              <w:left w:val="single" w:sz="12" w:space="0" w:color="000000"/>
              <w:bottom w:val="single" w:sz="4" w:space="0" w:color="000000"/>
              <w:right w:val="nil"/>
            </w:tcBorders>
            <w:shd w:val="clear" w:color="auto" w:fill="FDE9D9"/>
          </w:tcPr>
          <w:p w14:paraId="17474B3B" w14:textId="77777777" w:rsidR="009968E0" w:rsidRPr="009968E0" w:rsidRDefault="009968E0" w:rsidP="009968E0">
            <w:pPr>
              <w:rPr>
                <w:rFonts w:ascii="Calibri" w:eastAsia="Times New Roman" w:hAnsi="Calibri" w:cs="Calibri"/>
                <w:i/>
                <w:iCs/>
                <w:sz w:val="22"/>
                <w:szCs w:val="22"/>
                <w:lang w:eastAsia="en-GB"/>
              </w:rPr>
            </w:pPr>
          </w:p>
        </w:tc>
        <w:tc>
          <w:tcPr>
            <w:tcW w:w="1229" w:type="pct"/>
            <w:vMerge/>
            <w:tcBorders>
              <w:top w:val="nil"/>
              <w:left w:val="nil"/>
              <w:bottom w:val="single" w:sz="4" w:space="0" w:color="000000"/>
              <w:right w:val="nil"/>
            </w:tcBorders>
            <w:shd w:val="clear" w:color="auto" w:fill="auto"/>
          </w:tcPr>
          <w:p w14:paraId="251DD560" w14:textId="77777777" w:rsidR="009968E0" w:rsidRPr="009968E0" w:rsidRDefault="009968E0" w:rsidP="009968E0">
            <w:pPr>
              <w:rPr>
                <w:rFonts w:ascii="Calibri" w:eastAsia="Times New Roman" w:hAnsi="Calibri" w:cs="Calibri"/>
                <w:i/>
                <w:iCs/>
                <w:sz w:val="22"/>
                <w:szCs w:val="22"/>
                <w:lang w:eastAsia="en-GB"/>
              </w:rPr>
            </w:pPr>
          </w:p>
        </w:tc>
        <w:tc>
          <w:tcPr>
            <w:tcW w:w="633" w:type="pct"/>
            <w:tcBorders>
              <w:top w:val="nil"/>
              <w:left w:val="nil"/>
              <w:bottom w:val="single" w:sz="4" w:space="0" w:color="000000"/>
              <w:right w:val="single" w:sz="12" w:space="0" w:color="000000"/>
            </w:tcBorders>
            <w:shd w:val="clear" w:color="auto" w:fill="auto"/>
          </w:tcPr>
          <w:p w14:paraId="048F8D89"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Upper Bound</w:t>
            </w:r>
          </w:p>
        </w:tc>
        <w:tc>
          <w:tcPr>
            <w:tcW w:w="525" w:type="pct"/>
            <w:tcBorders>
              <w:top w:val="nil"/>
              <w:left w:val="nil"/>
              <w:bottom w:val="single" w:sz="4" w:space="0" w:color="000000"/>
              <w:right w:val="single" w:sz="4" w:space="0" w:color="000000"/>
            </w:tcBorders>
            <w:shd w:val="clear" w:color="auto" w:fill="auto"/>
            <w:vAlign w:val="center"/>
          </w:tcPr>
          <w:p w14:paraId="12356317"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17.150</w:t>
            </w:r>
          </w:p>
        </w:tc>
        <w:tc>
          <w:tcPr>
            <w:tcW w:w="519" w:type="pct"/>
            <w:tcBorders>
              <w:top w:val="nil"/>
              <w:left w:val="nil"/>
              <w:bottom w:val="single" w:sz="4" w:space="0" w:color="000000"/>
              <w:right w:val="single" w:sz="4" w:space="0" w:color="000000"/>
            </w:tcBorders>
            <w:shd w:val="clear" w:color="auto" w:fill="auto"/>
            <w:vAlign w:val="center"/>
          </w:tcPr>
          <w:p w14:paraId="2527242D"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16.898</w:t>
            </w:r>
          </w:p>
        </w:tc>
        <w:tc>
          <w:tcPr>
            <w:tcW w:w="554" w:type="pct"/>
            <w:tcBorders>
              <w:top w:val="nil"/>
              <w:left w:val="nil"/>
              <w:bottom w:val="single" w:sz="4" w:space="0" w:color="000000"/>
              <w:right w:val="single" w:sz="4" w:space="0" w:color="000000"/>
            </w:tcBorders>
            <w:shd w:val="clear" w:color="auto" w:fill="auto"/>
            <w:vAlign w:val="center"/>
          </w:tcPr>
          <w:p w14:paraId="69A39C60"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15.326</w:t>
            </w:r>
          </w:p>
        </w:tc>
        <w:tc>
          <w:tcPr>
            <w:tcW w:w="518" w:type="pct"/>
            <w:tcBorders>
              <w:top w:val="nil"/>
              <w:left w:val="nil"/>
              <w:bottom w:val="single" w:sz="4" w:space="0" w:color="000000"/>
              <w:right w:val="single" w:sz="12" w:space="0" w:color="000000"/>
            </w:tcBorders>
            <w:shd w:val="clear" w:color="auto" w:fill="auto"/>
            <w:vAlign w:val="center"/>
          </w:tcPr>
          <w:p w14:paraId="44B2FA66"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16.474</w:t>
            </w:r>
          </w:p>
        </w:tc>
      </w:tr>
      <w:tr w:rsidR="009968E0" w:rsidRPr="009968E0" w14:paraId="60A9AF07" w14:textId="77777777" w:rsidTr="009968E0">
        <w:trPr>
          <w:trHeight w:val="360"/>
        </w:trPr>
        <w:tc>
          <w:tcPr>
            <w:tcW w:w="5000" w:type="pct"/>
            <w:gridSpan w:val="7"/>
            <w:tcBorders>
              <w:top w:val="nil"/>
              <w:left w:val="single" w:sz="12" w:space="0" w:color="000000"/>
              <w:bottom w:val="single" w:sz="4" w:space="0" w:color="000000"/>
              <w:right w:val="single" w:sz="12" w:space="0" w:color="000000"/>
            </w:tcBorders>
            <w:shd w:val="clear" w:color="auto" w:fill="FFFFFF"/>
            <w:vAlign w:val="center"/>
          </w:tcPr>
          <w:p w14:paraId="388EFDC1" w14:textId="77777777" w:rsidR="009968E0" w:rsidRPr="009968E0" w:rsidRDefault="009968E0" w:rsidP="009968E0">
            <w:pPr>
              <w:jc w:val="cente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p=0.425</w:t>
            </w:r>
          </w:p>
        </w:tc>
      </w:tr>
      <w:tr w:rsidR="009968E0" w:rsidRPr="009968E0" w14:paraId="7DE88057" w14:textId="77777777" w:rsidTr="009968E0">
        <w:trPr>
          <w:trHeight w:val="360"/>
        </w:trPr>
        <w:tc>
          <w:tcPr>
            <w:tcW w:w="1022" w:type="pct"/>
            <w:vMerge w:val="restart"/>
            <w:tcBorders>
              <w:top w:val="nil"/>
              <w:left w:val="single" w:sz="12" w:space="0" w:color="000000"/>
              <w:bottom w:val="single" w:sz="4" w:space="0" w:color="000000"/>
              <w:right w:val="nil"/>
            </w:tcBorders>
            <w:shd w:val="clear" w:color="auto" w:fill="FDE9D9"/>
          </w:tcPr>
          <w:p w14:paraId="68AC782E"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RBV-POWM2</w:t>
            </w:r>
          </w:p>
        </w:tc>
        <w:tc>
          <w:tcPr>
            <w:tcW w:w="1862" w:type="pct"/>
            <w:gridSpan w:val="2"/>
            <w:tcBorders>
              <w:top w:val="nil"/>
              <w:left w:val="nil"/>
              <w:bottom w:val="single" w:sz="4" w:space="0" w:color="000000"/>
              <w:right w:val="single" w:sz="12" w:space="0" w:color="000000"/>
            </w:tcBorders>
            <w:shd w:val="clear" w:color="auto" w:fill="auto"/>
          </w:tcPr>
          <w:p w14:paraId="3B8B7858"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N</w:t>
            </w:r>
          </w:p>
        </w:tc>
        <w:tc>
          <w:tcPr>
            <w:tcW w:w="525" w:type="pct"/>
            <w:tcBorders>
              <w:top w:val="nil"/>
              <w:left w:val="nil"/>
              <w:bottom w:val="single" w:sz="4" w:space="0" w:color="000000"/>
              <w:right w:val="single" w:sz="4" w:space="0" w:color="000000"/>
            </w:tcBorders>
            <w:shd w:val="clear" w:color="auto" w:fill="auto"/>
            <w:vAlign w:val="center"/>
          </w:tcPr>
          <w:p w14:paraId="70949691"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w:t>
            </w:r>
          </w:p>
        </w:tc>
        <w:tc>
          <w:tcPr>
            <w:tcW w:w="519" w:type="pct"/>
            <w:tcBorders>
              <w:top w:val="nil"/>
              <w:left w:val="nil"/>
              <w:bottom w:val="single" w:sz="4" w:space="0" w:color="000000"/>
              <w:right w:val="single" w:sz="4" w:space="0" w:color="000000"/>
            </w:tcBorders>
            <w:shd w:val="clear" w:color="auto" w:fill="auto"/>
            <w:vAlign w:val="center"/>
          </w:tcPr>
          <w:p w14:paraId="0F612746"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23</w:t>
            </w:r>
          </w:p>
        </w:tc>
        <w:tc>
          <w:tcPr>
            <w:tcW w:w="554" w:type="pct"/>
            <w:tcBorders>
              <w:top w:val="nil"/>
              <w:left w:val="nil"/>
              <w:bottom w:val="single" w:sz="4" w:space="0" w:color="000000"/>
              <w:right w:val="single" w:sz="4" w:space="0" w:color="000000"/>
            </w:tcBorders>
            <w:shd w:val="clear" w:color="auto" w:fill="auto"/>
            <w:vAlign w:val="center"/>
          </w:tcPr>
          <w:p w14:paraId="1D2C5FCE"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w:t>
            </w:r>
          </w:p>
        </w:tc>
        <w:tc>
          <w:tcPr>
            <w:tcW w:w="518" w:type="pct"/>
            <w:tcBorders>
              <w:top w:val="nil"/>
              <w:left w:val="nil"/>
              <w:bottom w:val="single" w:sz="4" w:space="0" w:color="000000"/>
              <w:right w:val="single" w:sz="12" w:space="0" w:color="000000"/>
            </w:tcBorders>
            <w:shd w:val="clear" w:color="auto" w:fill="auto"/>
            <w:vAlign w:val="center"/>
          </w:tcPr>
          <w:p w14:paraId="4A641E3A"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w:t>
            </w:r>
          </w:p>
        </w:tc>
      </w:tr>
      <w:tr w:rsidR="009968E0" w:rsidRPr="009968E0" w14:paraId="14F67DAE" w14:textId="77777777" w:rsidTr="009968E0">
        <w:trPr>
          <w:trHeight w:val="360"/>
        </w:trPr>
        <w:tc>
          <w:tcPr>
            <w:tcW w:w="1022" w:type="pct"/>
            <w:vMerge/>
            <w:tcBorders>
              <w:top w:val="nil"/>
              <w:left w:val="single" w:sz="12" w:space="0" w:color="000000"/>
              <w:bottom w:val="single" w:sz="4" w:space="0" w:color="000000"/>
              <w:right w:val="nil"/>
            </w:tcBorders>
            <w:shd w:val="clear" w:color="auto" w:fill="FDE9D9"/>
          </w:tcPr>
          <w:p w14:paraId="5B9091AD" w14:textId="77777777" w:rsidR="009968E0" w:rsidRPr="009968E0" w:rsidRDefault="009968E0" w:rsidP="009968E0">
            <w:pPr>
              <w:rPr>
                <w:rFonts w:ascii="Calibri" w:eastAsia="Times New Roman" w:hAnsi="Calibri" w:cs="Calibri"/>
                <w:i/>
                <w:iCs/>
                <w:sz w:val="22"/>
                <w:szCs w:val="22"/>
                <w:lang w:eastAsia="en-GB"/>
              </w:rPr>
            </w:pPr>
          </w:p>
        </w:tc>
        <w:tc>
          <w:tcPr>
            <w:tcW w:w="1862" w:type="pct"/>
            <w:gridSpan w:val="2"/>
            <w:tcBorders>
              <w:top w:val="nil"/>
              <w:left w:val="nil"/>
              <w:bottom w:val="single" w:sz="4" w:space="0" w:color="000000"/>
              <w:right w:val="single" w:sz="12" w:space="0" w:color="000000"/>
            </w:tcBorders>
            <w:shd w:val="clear" w:color="auto" w:fill="auto"/>
          </w:tcPr>
          <w:p w14:paraId="54316E4A"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Mean</w:t>
            </w:r>
          </w:p>
        </w:tc>
        <w:tc>
          <w:tcPr>
            <w:tcW w:w="525" w:type="pct"/>
            <w:tcBorders>
              <w:top w:val="nil"/>
              <w:left w:val="nil"/>
              <w:bottom w:val="single" w:sz="4" w:space="0" w:color="000000"/>
              <w:right w:val="single" w:sz="4" w:space="0" w:color="000000"/>
            </w:tcBorders>
            <w:shd w:val="clear" w:color="auto" w:fill="auto"/>
            <w:vAlign w:val="center"/>
          </w:tcPr>
          <w:p w14:paraId="076101ED"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5.226</w:t>
            </w:r>
          </w:p>
        </w:tc>
        <w:tc>
          <w:tcPr>
            <w:tcW w:w="519" w:type="pct"/>
            <w:tcBorders>
              <w:top w:val="nil"/>
              <w:left w:val="nil"/>
              <w:bottom w:val="single" w:sz="4" w:space="0" w:color="000000"/>
              <w:right w:val="single" w:sz="4" w:space="0" w:color="000000"/>
            </w:tcBorders>
            <w:shd w:val="clear" w:color="auto" w:fill="auto"/>
            <w:vAlign w:val="center"/>
          </w:tcPr>
          <w:p w14:paraId="2F9389EF"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5.835</w:t>
            </w:r>
          </w:p>
        </w:tc>
        <w:tc>
          <w:tcPr>
            <w:tcW w:w="554" w:type="pct"/>
            <w:tcBorders>
              <w:top w:val="nil"/>
              <w:left w:val="nil"/>
              <w:bottom w:val="single" w:sz="4" w:space="0" w:color="000000"/>
              <w:right w:val="single" w:sz="4" w:space="0" w:color="000000"/>
            </w:tcBorders>
            <w:shd w:val="clear" w:color="auto" w:fill="auto"/>
            <w:vAlign w:val="center"/>
          </w:tcPr>
          <w:p w14:paraId="4A1F6F70"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5.446</w:t>
            </w:r>
          </w:p>
        </w:tc>
        <w:tc>
          <w:tcPr>
            <w:tcW w:w="518" w:type="pct"/>
            <w:tcBorders>
              <w:top w:val="nil"/>
              <w:left w:val="nil"/>
              <w:bottom w:val="single" w:sz="4" w:space="0" w:color="000000"/>
              <w:right w:val="single" w:sz="12" w:space="0" w:color="000000"/>
            </w:tcBorders>
            <w:shd w:val="clear" w:color="auto" w:fill="auto"/>
            <w:vAlign w:val="center"/>
          </w:tcPr>
          <w:p w14:paraId="3302FED2"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5.321</w:t>
            </w:r>
          </w:p>
        </w:tc>
      </w:tr>
      <w:tr w:rsidR="009968E0" w:rsidRPr="009968E0" w14:paraId="5B0A15B2" w14:textId="77777777" w:rsidTr="009968E0">
        <w:trPr>
          <w:trHeight w:val="360"/>
        </w:trPr>
        <w:tc>
          <w:tcPr>
            <w:tcW w:w="1022" w:type="pct"/>
            <w:vMerge/>
            <w:tcBorders>
              <w:top w:val="nil"/>
              <w:left w:val="single" w:sz="12" w:space="0" w:color="000000"/>
              <w:bottom w:val="single" w:sz="4" w:space="0" w:color="000000"/>
              <w:right w:val="nil"/>
            </w:tcBorders>
            <w:shd w:val="clear" w:color="auto" w:fill="FDE9D9"/>
          </w:tcPr>
          <w:p w14:paraId="4F404950" w14:textId="77777777" w:rsidR="009968E0" w:rsidRPr="009968E0" w:rsidRDefault="009968E0" w:rsidP="009968E0">
            <w:pPr>
              <w:rPr>
                <w:rFonts w:ascii="Calibri" w:eastAsia="Times New Roman" w:hAnsi="Calibri" w:cs="Calibri"/>
                <w:i/>
                <w:iCs/>
                <w:sz w:val="22"/>
                <w:szCs w:val="22"/>
                <w:lang w:eastAsia="en-GB"/>
              </w:rPr>
            </w:pPr>
          </w:p>
        </w:tc>
        <w:tc>
          <w:tcPr>
            <w:tcW w:w="1229" w:type="pct"/>
            <w:vMerge w:val="restart"/>
            <w:tcBorders>
              <w:top w:val="nil"/>
              <w:left w:val="nil"/>
              <w:bottom w:val="single" w:sz="4" w:space="0" w:color="000000"/>
              <w:right w:val="nil"/>
            </w:tcBorders>
            <w:shd w:val="clear" w:color="auto" w:fill="auto"/>
          </w:tcPr>
          <w:p w14:paraId="70495861"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95% Confidence Interval for Mean</w:t>
            </w:r>
          </w:p>
        </w:tc>
        <w:tc>
          <w:tcPr>
            <w:tcW w:w="633" w:type="pct"/>
            <w:tcBorders>
              <w:top w:val="nil"/>
              <w:left w:val="nil"/>
              <w:bottom w:val="nil"/>
              <w:right w:val="single" w:sz="12" w:space="0" w:color="000000"/>
            </w:tcBorders>
            <w:shd w:val="clear" w:color="auto" w:fill="auto"/>
          </w:tcPr>
          <w:p w14:paraId="48D064AB"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Lower Bound</w:t>
            </w:r>
          </w:p>
        </w:tc>
        <w:tc>
          <w:tcPr>
            <w:tcW w:w="525" w:type="pct"/>
            <w:tcBorders>
              <w:top w:val="nil"/>
              <w:left w:val="nil"/>
              <w:bottom w:val="nil"/>
              <w:right w:val="single" w:sz="4" w:space="0" w:color="000000"/>
            </w:tcBorders>
            <w:shd w:val="clear" w:color="auto" w:fill="auto"/>
            <w:vAlign w:val="center"/>
          </w:tcPr>
          <w:p w14:paraId="7DB2CF75"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4.606</w:t>
            </w:r>
          </w:p>
        </w:tc>
        <w:tc>
          <w:tcPr>
            <w:tcW w:w="519" w:type="pct"/>
            <w:tcBorders>
              <w:top w:val="nil"/>
              <w:left w:val="nil"/>
              <w:bottom w:val="nil"/>
              <w:right w:val="single" w:sz="4" w:space="0" w:color="000000"/>
            </w:tcBorders>
            <w:shd w:val="clear" w:color="auto" w:fill="auto"/>
            <w:vAlign w:val="center"/>
          </w:tcPr>
          <w:p w14:paraId="4FCDA574"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5.095</w:t>
            </w:r>
          </w:p>
        </w:tc>
        <w:tc>
          <w:tcPr>
            <w:tcW w:w="554" w:type="pct"/>
            <w:tcBorders>
              <w:top w:val="nil"/>
              <w:left w:val="nil"/>
              <w:bottom w:val="nil"/>
              <w:right w:val="single" w:sz="4" w:space="0" w:color="000000"/>
            </w:tcBorders>
            <w:shd w:val="clear" w:color="auto" w:fill="auto"/>
            <w:vAlign w:val="center"/>
          </w:tcPr>
          <w:p w14:paraId="1F5126FD"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4.134</w:t>
            </w:r>
          </w:p>
        </w:tc>
        <w:tc>
          <w:tcPr>
            <w:tcW w:w="518" w:type="pct"/>
            <w:tcBorders>
              <w:top w:val="nil"/>
              <w:left w:val="nil"/>
              <w:bottom w:val="nil"/>
              <w:right w:val="single" w:sz="12" w:space="0" w:color="000000"/>
            </w:tcBorders>
            <w:shd w:val="clear" w:color="auto" w:fill="auto"/>
            <w:vAlign w:val="center"/>
          </w:tcPr>
          <w:p w14:paraId="07517535"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4.487</w:t>
            </w:r>
          </w:p>
        </w:tc>
      </w:tr>
      <w:tr w:rsidR="009968E0" w:rsidRPr="009968E0" w14:paraId="31DEDD09" w14:textId="77777777" w:rsidTr="009968E0">
        <w:trPr>
          <w:trHeight w:val="360"/>
        </w:trPr>
        <w:tc>
          <w:tcPr>
            <w:tcW w:w="1022" w:type="pct"/>
            <w:vMerge/>
            <w:tcBorders>
              <w:top w:val="nil"/>
              <w:left w:val="single" w:sz="12" w:space="0" w:color="000000"/>
              <w:bottom w:val="single" w:sz="4" w:space="0" w:color="000000"/>
              <w:right w:val="nil"/>
            </w:tcBorders>
            <w:shd w:val="clear" w:color="auto" w:fill="FDE9D9"/>
          </w:tcPr>
          <w:p w14:paraId="2CEF2448" w14:textId="77777777" w:rsidR="009968E0" w:rsidRPr="009968E0" w:rsidRDefault="009968E0" w:rsidP="009968E0">
            <w:pPr>
              <w:rPr>
                <w:rFonts w:ascii="Calibri" w:eastAsia="Times New Roman" w:hAnsi="Calibri" w:cs="Calibri"/>
                <w:i/>
                <w:iCs/>
                <w:sz w:val="22"/>
                <w:szCs w:val="22"/>
                <w:lang w:eastAsia="en-GB"/>
              </w:rPr>
            </w:pPr>
          </w:p>
        </w:tc>
        <w:tc>
          <w:tcPr>
            <w:tcW w:w="1229" w:type="pct"/>
            <w:vMerge/>
            <w:tcBorders>
              <w:top w:val="nil"/>
              <w:left w:val="nil"/>
              <w:bottom w:val="single" w:sz="4" w:space="0" w:color="000000"/>
              <w:right w:val="nil"/>
            </w:tcBorders>
            <w:shd w:val="clear" w:color="auto" w:fill="auto"/>
          </w:tcPr>
          <w:p w14:paraId="6D4FB718" w14:textId="77777777" w:rsidR="009968E0" w:rsidRPr="009968E0" w:rsidRDefault="009968E0" w:rsidP="009968E0">
            <w:pPr>
              <w:rPr>
                <w:rFonts w:ascii="Calibri" w:eastAsia="Times New Roman" w:hAnsi="Calibri" w:cs="Calibri"/>
                <w:i/>
                <w:iCs/>
                <w:sz w:val="22"/>
                <w:szCs w:val="22"/>
                <w:lang w:eastAsia="en-GB"/>
              </w:rPr>
            </w:pPr>
          </w:p>
        </w:tc>
        <w:tc>
          <w:tcPr>
            <w:tcW w:w="633" w:type="pct"/>
            <w:tcBorders>
              <w:top w:val="nil"/>
              <w:left w:val="nil"/>
              <w:bottom w:val="single" w:sz="4" w:space="0" w:color="000000"/>
              <w:right w:val="single" w:sz="12" w:space="0" w:color="000000"/>
            </w:tcBorders>
            <w:shd w:val="clear" w:color="auto" w:fill="auto"/>
          </w:tcPr>
          <w:p w14:paraId="263004DD"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Upper Bound</w:t>
            </w:r>
          </w:p>
        </w:tc>
        <w:tc>
          <w:tcPr>
            <w:tcW w:w="525" w:type="pct"/>
            <w:tcBorders>
              <w:top w:val="nil"/>
              <w:left w:val="nil"/>
              <w:bottom w:val="single" w:sz="4" w:space="0" w:color="000000"/>
              <w:right w:val="single" w:sz="4" w:space="0" w:color="000000"/>
            </w:tcBorders>
            <w:shd w:val="clear" w:color="auto" w:fill="auto"/>
            <w:vAlign w:val="center"/>
          </w:tcPr>
          <w:p w14:paraId="1B37508E"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5.847</w:t>
            </w:r>
          </w:p>
        </w:tc>
        <w:tc>
          <w:tcPr>
            <w:tcW w:w="519" w:type="pct"/>
            <w:tcBorders>
              <w:top w:val="nil"/>
              <w:left w:val="nil"/>
              <w:bottom w:val="single" w:sz="4" w:space="0" w:color="000000"/>
              <w:right w:val="single" w:sz="4" w:space="0" w:color="000000"/>
            </w:tcBorders>
            <w:shd w:val="clear" w:color="auto" w:fill="auto"/>
            <w:vAlign w:val="center"/>
          </w:tcPr>
          <w:p w14:paraId="341A08E4"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6.574</w:t>
            </w:r>
          </w:p>
        </w:tc>
        <w:tc>
          <w:tcPr>
            <w:tcW w:w="554" w:type="pct"/>
            <w:tcBorders>
              <w:top w:val="nil"/>
              <w:left w:val="nil"/>
              <w:bottom w:val="single" w:sz="4" w:space="0" w:color="000000"/>
              <w:right w:val="single" w:sz="4" w:space="0" w:color="000000"/>
            </w:tcBorders>
            <w:shd w:val="clear" w:color="auto" w:fill="auto"/>
            <w:vAlign w:val="center"/>
          </w:tcPr>
          <w:p w14:paraId="65D3DA3C"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6.758</w:t>
            </w:r>
          </w:p>
        </w:tc>
        <w:tc>
          <w:tcPr>
            <w:tcW w:w="518" w:type="pct"/>
            <w:tcBorders>
              <w:top w:val="nil"/>
              <w:left w:val="nil"/>
              <w:bottom w:val="single" w:sz="4" w:space="0" w:color="000000"/>
              <w:right w:val="single" w:sz="12" w:space="0" w:color="000000"/>
            </w:tcBorders>
            <w:shd w:val="clear" w:color="auto" w:fill="auto"/>
            <w:vAlign w:val="center"/>
          </w:tcPr>
          <w:p w14:paraId="0B680D9C"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6.156</w:t>
            </w:r>
          </w:p>
        </w:tc>
      </w:tr>
      <w:tr w:rsidR="009968E0" w:rsidRPr="009968E0" w14:paraId="1AE25E88" w14:textId="77777777" w:rsidTr="009968E0">
        <w:trPr>
          <w:trHeight w:val="360"/>
        </w:trPr>
        <w:tc>
          <w:tcPr>
            <w:tcW w:w="5000" w:type="pct"/>
            <w:gridSpan w:val="7"/>
            <w:tcBorders>
              <w:top w:val="nil"/>
              <w:left w:val="single" w:sz="12" w:space="0" w:color="000000"/>
              <w:bottom w:val="single" w:sz="4" w:space="0" w:color="000000"/>
              <w:right w:val="single" w:sz="12" w:space="0" w:color="000000"/>
            </w:tcBorders>
            <w:shd w:val="clear" w:color="auto" w:fill="FFFFFF"/>
            <w:vAlign w:val="center"/>
          </w:tcPr>
          <w:p w14:paraId="4DD2610F" w14:textId="77777777" w:rsidR="009968E0" w:rsidRPr="009968E0" w:rsidRDefault="009968E0" w:rsidP="009968E0">
            <w:pPr>
              <w:jc w:val="cente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p=0.666</w:t>
            </w:r>
          </w:p>
        </w:tc>
      </w:tr>
      <w:tr w:rsidR="009968E0" w:rsidRPr="009968E0" w14:paraId="2D7F3C63" w14:textId="77777777" w:rsidTr="009968E0">
        <w:trPr>
          <w:trHeight w:val="360"/>
        </w:trPr>
        <w:tc>
          <w:tcPr>
            <w:tcW w:w="1022" w:type="pct"/>
            <w:vMerge w:val="restart"/>
            <w:tcBorders>
              <w:top w:val="nil"/>
              <w:left w:val="single" w:sz="12" w:space="0" w:color="000000"/>
              <w:bottom w:val="single" w:sz="4" w:space="0" w:color="000000"/>
              <w:right w:val="nil"/>
            </w:tcBorders>
            <w:shd w:val="clear" w:color="auto" w:fill="FDE9D9"/>
          </w:tcPr>
          <w:p w14:paraId="79515853"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RBV-LPSC2</w:t>
            </w:r>
          </w:p>
        </w:tc>
        <w:tc>
          <w:tcPr>
            <w:tcW w:w="1862" w:type="pct"/>
            <w:gridSpan w:val="2"/>
            <w:tcBorders>
              <w:top w:val="nil"/>
              <w:left w:val="nil"/>
              <w:bottom w:val="single" w:sz="4" w:space="0" w:color="000000"/>
              <w:right w:val="single" w:sz="12" w:space="0" w:color="000000"/>
            </w:tcBorders>
            <w:shd w:val="clear" w:color="auto" w:fill="auto"/>
          </w:tcPr>
          <w:p w14:paraId="40B66EF3"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N</w:t>
            </w:r>
          </w:p>
        </w:tc>
        <w:tc>
          <w:tcPr>
            <w:tcW w:w="525" w:type="pct"/>
            <w:tcBorders>
              <w:top w:val="nil"/>
              <w:left w:val="nil"/>
              <w:bottom w:val="single" w:sz="4" w:space="0" w:color="000000"/>
              <w:right w:val="single" w:sz="4" w:space="0" w:color="000000"/>
            </w:tcBorders>
            <w:shd w:val="clear" w:color="auto" w:fill="auto"/>
            <w:vAlign w:val="center"/>
          </w:tcPr>
          <w:p w14:paraId="31CB316D"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w:t>
            </w:r>
          </w:p>
        </w:tc>
        <w:tc>
          <w:tcPr>
            <w:tcW w:w="519" w:type="pct"/>
            <w:tcBorders>
              <w:top w:val="nil"/>
              <w:left w:val="nil"/>
              <w:bottom w:val="single" w:sz="4" w:space="0" w:color="000000"/>
              <w:right w:val="single" w:sz="4" w:space="0" w:color="000000"/>
            </w:tcBorders>
            <w:shd w:val="clear" w:color="auto" w:fill="auto"/>
            <w:vAlign w:val="center"/>
          </w:tcPr>
          <w:p w14:paraId="5B33F192"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23</w:t>
            </w:r>
          </w:p>
        </w:tc>
        <w:tc>
          <w:tcPr>
            <w:tcW w:w="554" w:type="pct"/>
            <w:tcBorders>
              <w:top w:val="nil"/>
              <w:left w:val="nil"/>
              <w:bottom w:val="single" w:sz="4" w:space="0" w:color="000000"/>
              <w:right w:val="single" w:sz="4" w:space="0" w:color="000000"/>
            </w:tcBorders>
            <w:shd w:val="clear" w:color="auto" w:fill="auto"/>
            <w:vAlign w:val="center"/>
          </w:tcPr>
          <w:p w14:paraId="72C7591C"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w:t>
            </w:r>
          </w:p>
        </w:tc>
        <w:tc>
          <w:tcPr>
            <w:tcW w:w="518" w:type="pct"/>
            <w:tcBorders>
              <w:top w:val="nil"/>
              <w:left w:val="nil"/>
              <w:bottom w:val="single" w:sz="4" w:space="0" w:color="000000"/>
              <w:right w:val="single" w:sz="12" w:space="0" w:color="000000"/>
            </w:tcBorders>
            <w:shd w:val="clear" w:color="auto" w:fill="auto"/>
            <w:vAlign w:val="center"/>
          </w:tcPr>
          <w:p w14:paraId="64B276AA"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w:t>
            </w:r>
          </w:p>
        </w:tc>
      </w:tr>
      <w:tr w:rsidR="009968E0" w:rsidRPr="009968E0" w14:paraId="5DB7C906" w14:textId="77777777" w:rsidTr="009968E0">
        <w:trPr>
          <w:trHeight w:val="360"/>
        </w:trPr>
        <w:tc>
          <w:tcPr>
            <w:tcW w:w="1022" w:type="pct"/>
            <w:vMerge/>
            <w:tcBorders>
              <w:top w:val="nil"/>
              <w:left w:val="single" w:sz="12" w:space="0" w:color="000000"/>
              <w:bottom w:val="single" w:sz="4" w:space="0" w:color="000000"/>
              <w:right w:val="nil"/>
            </w:tcBorders>
            <w:shd w:val="clear" w:color="auto" w:fill="FDE9D9"/>
          </w:tcPr>
          <w:p w14:paraId="053C79A3" w14:textId="77777777" w:rsidR="009968E0" w:rsidRPr="009968E0" w:rsidRDefault="009968E0" w:rsidP="009968E0">
            <w:pPr>
              <w:rPr>
                <w:rFonts w:ascii="Calibri" w:eastAsia="Times New Roman" w:hAnsi="Calibri" w:cs="Calibri"/>
                <w:i/>
                <w:iCs/>
                <w:sz w:val="22"/>
                <w:szCs w:val="22"/>
                <w:lang w:eastAsia="en-GB"/>
              </w:rPr>
            </w:pPr>
          </w:p>
        </w:tc>
        <w:tc>
          <w:tcPr>
            <w:tcW w:w="1862" w:type="pct"/>
            <w:gridSpan w:val="2"/>
            <w:tcBorders>
              <w:top w:val="nil"/>
              <w:left w:val="nil"/>
              <w:bottom w:val="single" w:sz="4" w:space="0" w:color="000000"/>
              <w:right w:val="single" w:sz="12" w:space="0" w:color="000000"/>
            </w:tcBorders>
            <w:shd w:val="clear" w:color="auto" w:fill="auto"/>
          </w:tcPr>
          <w:p w14:paraId="7C130341"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Mean</w:t>
            </w:r>
          </w:p>
        </w:tc>
        <w:tc>
          <w:tcPr>
            <w:tcW w:w="525" w:type="pct"/>
            <w:tcBorders>
              <w:top w:val="nil"/>
              <w:left w:val="nil"/>
              <w:bottom w:val="single" w:sz="4" w:space="0" w:color="000000"/>
              <w:right w:val="single" w:sz="4" w:space="0" w:color="000000"/>
            </w:tcBorders>
            <w:shd w:val="clear" w:color="auto" w:fill="auto"/>
            <w:vAlign w:val="center"/>
          </w:tcPr>
          <w:p w14:paraId="0070D8CA"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9.847</w:t>
            </w:r>
          </w:p>
        </w:tc>
        <w:tc>
          <w:tcPr>
            <w:tcW w:w="519" w:type="pct"/>
            <w:tcBorders>
              <w:top w:val="nil"/>
              <w:left w:val="nil"/>
              <w:bottom w:val="single" w:sz="4" w:space="0" w:color="000000"/>
              <w:right w:val="single" w:sz="4" w:space="0" w:color="000000"/>
            </w:tcBorders>
            <w:shd w:val="clear" w:color="auto" w:fill="auto"/>
            <w:vAlign w:val="center"/>
          </w:tcPr>
          <w:p w14:paraId="043980BF"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9.204</w:t>
            </w:r>
          </w:p>
        </w:tc>
        <w:tc>
          <w:tcPr>
            <w:tcW w:w="554" w:type="pct"/>
            <w:tcBorders>
              <w:top w:val="nil"/>
              <w:left w:val="nil"/>
              <w:bottom w:val="single" w:sz="4" w:space="0" w:color="000000"/>
              <w:right w:val="single" w:sz="4" w:space="0" w:color="000000"/>
            </w:tcBorders>
            <w:shd w:val="clear" w:color="auto" w:fill="auto"/>
            <w:vAlign w:val="center"/>
          </w:tcPr>
          <w:p w14:paraId="2D0CDE2E"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7.931</w:t>
            </w:r>
          </w:p>
        </w:tc>
        <w:tc>
          <w:tcPr>
            <w:tcW w:w="518" w:type="pct"/>
            <w:tcBorders>
              <w:top w:val="nil"/>
              <w:left w:val="nil"/>
              <w:bottom w:val="single" w:sz="4" w:space="0" w:color="000000"/>
              <w:right w:val="single" w:sz="12" w:space="0" w:color="000000"/>
            </w:tcBorders>
            <w:shd w:val="clear" w:color="auto" w:fill="auto"/>
            <w:vAlign w:val="center"/>
          </w:tcPr>
          <w:p w14:paraId="61B451ED"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8.832</w:t>
            </w:r>
          </w:p>
        </w:tc>
      </w:tr>
      <w:tr w:rsidR="009968E0" w:rsidRPr="009968E0" w14:paraId="06A2AA3A" w14:textId="77777777" w:rsidTr="009968E0">
        <w:trPr>
          <w:trHeight w:val="360"/>
        </w:trPr>
        <w:tc>
          <w:tcPr>
            <w:tcW w:w="1022" w:type="pct"/>
            <w:vMerge/>
            <w:tcBorders>
              <w:top w:val="nil"/>
              <w:left w:val="single" w:sz="12" w:space="0" w:color="000000"/>
              <w:bottom w:val="single" w:sz="4" w:space="0" w:color="000000"/>
              <w:right w:val="nil"/>
            </w:tcBorders>
            <w:shd w:val="clear" w:color="auto" w:fill="FDE9D9"/>
          </w:tcPr>
          <w:p w14:paraId="6EA7DE1E" w14:textId="77777777" w:rsidR="009968E0" w:rsidRPr="009968E0" w:rsidRDefault="009968E0" w:rsidP="009968E0">
            <w:pPr>
              <w:rPr>
                <w:rFonts w:ascii="Calibri" w:eastAsia="Times New Roman" w:hAnsi="Calibri" w:cs="Calibri"/>
                <w:i/>
                <w:iCs/>
                <w:sz w:val="22"/>
                <w:szCs w:val="22"/>
                <w:lang w:eastAsia="en-GB"/>
              </w:rPr>
            </w:pPr>
          </w:p>
        </w:tc>
        <w:tc>
          <w:tcPr>
            <w:tcW w:w="1229" w:type="pct"/>
            <w:vMerge w:val="restart"/>
            <w:tcBorders>
              <w:top w:val="nil"/>
              <w:left w:val="nil"/>
              <w:bottom w:val="single" w:sz="4" w:space="0" w:color="000000"/>
              <w:right w:val="nil"/>
            </w:tcBorders>
            <w:shd w:val="clear" w:color="auto" w:fill="auto"/>
          </w:tcPr>
          <w:p w14:paraId="3901172A"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95% Confidence Interval for Mean</w:t>
            </w:r>
          </w:p>
        </w:tc>
        <w:tc>
          <w:tcPr>
            <w:tcW w:w="633" w:type="pct"/>
            <w:tcBorders>
              <w:top w:val="nil"/>
              <w:left w:val="nil"/>
              <w:bottom w:val="nil"/>
              <w:right w:val="single" w:sz="12" w:space="0" w:color="000000"/>
            </w:tcBorders>
            <w:shd w:val="clear" w:color="auto" w:fill="auto"/>
          </w:tcPr>
          <w:p w14:paraId="79E2803E"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Lower Bound</w:t>
            </w:r>
          </w:p>
        </w:tc>
        <w:tc>
          <w:tcPr>
            <w:tcW w:w="525" w:type="pct"/>
            <w:tcBorders>
              <w:top w:val="nil"/>
              <w:left w:val="nil"/>
              <w:bottom w:val="nil"/>
              <w:right w:val="single" w:sz="4" w:space="0" w:color="000000"/>
            </w:tcBorders>
            <w:shd w:val="clear" w:color="auto" w:fill="auto"/>
            <w:vAlign w:val="center"/>
          </w:tcPr>
          <w:p w14:paraId="015ED080"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8.721</w:t>
            </w:r>
          </w:p>
        </w:tc>
        <w:tc>
          <w:tcPr>
            <w:tcW w:w="519" w:type="pct"/>
            <w:tcBorders>
              <w:top w:val="nil"/>
              <w:left w:val="nil"/>
              <w:bottom w:val="nil"/>
              <w:right w:val="single" w:sz="4" w:space="0" w:color="000000"/>
            </w:tcBorders>
            <w:shd w:val="clear" w:color="auto" w:fill="auto"/>
            <w:vAlign w:val="center"/>
          </w:tcPr>
          <w:p w14:paraId="2D716949"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8.083</w:t>
            </w:r>
          </w:p>
        </w:tc>
        <w:tc>
          <w:tcPr>
            <w:tcW w:w="554" w:type="pct"/>
            <w:tcBorders>
              <w:top w:val="nil"/>
              <w:left w:val="nil"/>
              <w:bottom w:val="nil"/>
              <w:right w:val="single" w:sz="4" w:space="0" w:color="000000"/>
            </w:tcBorders>
            <w:shd w:val="clear" w:color="auto" w:fill="auto"/>
            <w:vAlign w:val="center"/>
          </w:tcPr>
          <w:p w14:paraId="72E0E47E"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6.419</w:t>
            </w:r>
          </w:p>
        </w:tc>
        <w:tc>
          <w:tcPr>
            <w:tcW w:w="518" w:type="pct"/>
            <w:tcBorders>
              <w:top w:val="nil"/>
              <w:left w:val="nil"/>
              <w:bottom w:val="nil"/>
              <w:right w:val="single" w:sz="12" w:space="0" w:color="000000"/>
            </w:tcBorders>
            <w:shd w:val="clear" w:color="auto" w:fill="auto"/>
            <w:vAlign w:val="center"/>
          </w:tcPr>
          <w:p w14:paraId="38AAAC59"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7.875</w:t>
            </w:r>
          </w:p>
        </w:tc>
      </w:tr>
      <w:tr w:rsidR="009968E0" w:rsidRPr="009968E0" w14:paraId="117AD55B" w14:textId="77777777" w:rsidTr="009968E0">
        <w:trPr>
          <w:trHeight w:val="360"/>
        </w:trPr>
        <w:tc>
          <w:tcPr>
            <w:tcW w:w="1022" w:type="pct"/>
            <w:vMerge/>
            <w:tcBorders>
              <w:top w:val="nil"/>
              <w:left w:val="single" w:sz="12" w:space="0" w:color="000000"/>
              <w:bottom w:val="single" w:sz="4" w:space="0" w:color="000000"/>
              <w:right w:val="nil"/>
            </w:tcBorders>
            <w:shd w:val="clear" w:color="auto" w:fill="FDE9D9"/>
          </w:tcPr>
          <w:p w14:paraId="29692905" w14:textId="77777777" w:rsidR="009968E0" w:rsidRPr="009968E0" w:rsidRDefault="009968E0" w:rsidP="009968E0">
            <w:pPr>
              <w:rPr>
                <w:rFonts w:ascii="Calibri" w:eastAsia="Times New Roman" w:hAnsi="Calibri" w:cs="Calibri"/>
                <w:i/>
                <w:iCs/>
                <w:sz w:val="22"/>
                <w:szCs w:val="22"/>
                <w:lang w:eastAsia="en-GB"/>
              </w:rPr>
            </w:pPr>
          </w:p>
        </w:tc>
        <w:tc>
          <w:tcPr>
            <w:tcW w:w="1229" w:type="pct"/>
            <w:vMerge/>
            <w:tcBorders>
              <w:top w:val="nil"/>
              <w:left w:val="nil"/>
              <w:bottom w:val="single" w:sz="4" w:space="0" w:color="000000"/>
              <w:right w:val="nil"/>
            </w:tcBorders>
            <w:shd w:val="clear" w:color="auto" w:fill="auto"/>
          </w:tcPr>
          <w:p w14:paraId="42577643" w14:textId="77777777" w:rsidR="009968E0" w:rsidRPr="009968E0" w:rsidRDefault="009968E0" w:rsidP="009968E0">
            <w:pPr>
              <w:rPr>
                <w:rFonts w:ascii="Calibri" w:eastAsia="Times New Roman" w:hAnsi="Calibri" w:cs="Calibri"/>
                <w:i/>
                <w:iCs/>
                <w:sz w:val="22"/>
                <w:szCs w:val="22"/>
                <w:lang w:eastAsia="en-GB"/>
              </w:rPr>
            </w:pPr>
          </w:p>
        </w:tc>
        <w:tc>
          <w:tcPr>
            <w:tcW w:w="633" w:type="pct"/>
            <w:tcBorders>
              <w:top w:val="nil"/>
              <w:left w:val="nil"/>
              <w:bottom w:val="single" w:sz="4" w:space="0" w:color="000000"/>
              <w:right w:val="single" w:sz="12" w:space="0" w:color="000000"/>
            </w:tcBorders>
            <w:shd w:val="clear" w:color="auto" w:fill="auto"/>
          </w:tcPr>
          <w:p w14:paraId="3060D330"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Upper Bound</w:t>
            </w:r>
          </w:p>
        </w:tc>
        <w:tc>
          <w:tcPr>
            <w:tcW w:w="525" w:type="pct"/>
            <w:tcBorders>
              <w:top w:val="nil"/>
              <w:left w:val="nil"/>
              <w:bottom w:val="single" w:sz="4" w:space="0" w:color="000000"/>
              <w:right w:val="single" w:sz="4" w:space="0" w:color="000000"/>
            </w:tcBorders>
            <w:shd w:val="clear" w:color="auto" w:fill="auto"/>
            <w:vAlign w:val="center"/>
          </w:tcPr>
          <w:p w14:paraId="0D92B307"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10.973</w:t>
            </w:r>
          </w:p>
        </w:tc>
        <w:tc>
          <w:tcPr>
            <w:tcW w:w="519" w:type="pct"/>
            <w:tcBorders>
              <w:top w:val="nil"/>
              <w:left w:val="nil"/>
              <w:bottom w:val="single" w:sz="4" w:space="0" w:color="000000"/>
              <w:right w:val="single" w:sz="4" w:space="0" w:color="000000"/>
            </w:tcBorders>
            <w:shd w:val="clear" w:color="auto" w:fill="auto"/>
            <w:vAlign w:val="center"/>
          </w:tcPr>
          <w:p w14:paraId="4FEADE2C"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10.326</w:t>
            </w:r>
          </w:p>
        </w:tc>
        <w:tc>
          <w:tcPr>
            <w:tcW w:w="554" w:type="pct"/>
            <w:tcBorders>
              <w:top w:val="nil"/>
              <w:left w:val="nil"/>
              <w:bottom w:val="single" w:sz="4" w:space="0" w:color="000000"/>
              <w:right w:val="single" w:sz="4" w:space="0" w:color="000000"/>
            </w:tcBorders>
            <w:shd w:val="clear" w:color="auto" w:fill="auto"/>
            <w:vAlign w:val="center"/>
          </w:tcPr>
          <w:p w14:paraId="005A1488"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9.443</w:t>
            </w:r>
          </w:p>
        </w:tc>
        <w:tc>
          <w:tcPr>
            <w:tcW w:w="518" w:type="pct"/>
            <w:tcBorders>
              <w:top w:val="nil"/>
              <w:left w:val="nil"/>
              <w:bottom w:val="single" w:sz="4" w:space="0" w:color="000000"/>
              <w:right w:val="single" w:sz="12" w:space="0" w:color="000000"/>
            </w:tcBorders>
            <w:shd w:val="clear" w:color="auto" w:fill="auto"/>
            <w:vAlign w:val="center"/>
          </w:tcPr>
          <w:p w14:paraId="1AD25104"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9.788</w:t>
            </w:r>
          </w:p>
        </w:tc>
      </w:tr>
      <w:tr w:rsidR="009968E0" w:rsidRPr="009968E0" w14:paraId="33DA89E5" w14:textId="77777777" w:rsidTr="009968E0">
        <w:trPr>
          <w:trHeight w:val="360"/>
        </w:trPr>
        <w:tc>
          <w:tcPr>
            <w:tcW w:w="5000" w:type="pct"/>
            <w:gridSpan w:val="7"/>
            <w:tcBorders>
              <w:top w:val="nil"/>
              <w:left w:val="single" w:sz="12" w:space="0" w:color="000000"/>
              <w:bottom w:val="single" w:sz="4" w:space="0" w:color="000000"/>
              <w:right w:val="single" w:sz="12" w:space="0" w:color="000000"/>
            </w:tcBorders>
            <w:shd w:val="clear" w:color="auto" w:fill="FFFFFF"/>
            <w:vAlign w:val="center"/>
          </w:tcPr>
          <w:p w14:paraId="3057D030" w14:textId="77777777" w:rsidR="009968E0" w:rsidRPr="009968E0" w:rsidRDefault="009968E0" w:rsidP="009968E0">
            <w:pPr>
              <w:jc w:val="cente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p=0.160</w:t>
            </w:r>
          </w:p>
        </w:tc>
      </w:tr>
      <w:tr w:rsidR="009968E0" w:rsidRPr="009968E0" w14:paraId="7B5B86F5" w14:textId="77777777" w:rsidTr="009968E0">
        <w:trPr>
          <w:trHeight w:val="360"/>
        </w:trPr>
        <w:tc>
          <w:tcPr>
            <w:tcW w:w="1022" w:type="pct"/>
            <w:vMerge w:val="restart"/>
            <w:tcBorders>
              <w:top w:val="nil"/>
              <w:left w:val="single" w:sz="12" w:space="0" w:color="000000"/>
              <w:bottom w:val="nil"/>
              <w:right w:val="nil"/>
            </w:tcBorders>
            <w:shd w:val="clear" w:color="auto" w:fill="FDE9D9"/>
          </w:tcPr>
          <w:p w14:paraId="61E8E277"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RBV-RPSC2</w:t>
            </w:r>
          </w:p>
        </w:tc>
        <w:tc>
          <w:tcPr>
            <w:tcW w:w="1862" w:type="pct"/>
            <w:gridSpan w:val="2"/>
            <w:tcBorders>
              <w:top w:val="nil"/>
              <w:left w:val="nil"/>
              <w:bottom w:val="single" w:sz="4" w:space="0" w:color="000000"/>
              <w:right w:val="single" w:sz="12" w:space="0" w:color="000000"/>
            </w:tcBorders>
            <w:shd w:val="clear" w:color="auto" w:fill="auto"/>
          </w:tcPr>
          <w:p w14:paraId="3E44EBFD"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N</w:t>
            </w:r>
          </w:p>
        </w:tc>
        <w:tc>
          <w:tcPr>
            <w:tcW w:w="525" w:type="pct"/>
            <w:tcBorders>
              <w:top w:val="nil"/>
              <w:left w:val="nil"/>
              <w:bottom w:val="single" w:sz="4" w:space="0" w:color="000000"/>
              <w:right w:val="single" w:sz="4" w:space="0" w:color="000000"/>
            </w:tcBorders>
            <w:shd w:val="clear" w:color="auto" w:fill="auto"/>
            <w:vAlign w:val="center"/>
          </w:tcPr>
          <w:p w14:paraId="751E0CF1"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w:t>
            </w:r>
          </w:p>
        </w:tc>
        <w:tc>
          <w:tcPr>
            <w:tcW w:w="519" w:type="pct"/>
            <w:tcBorders>
              <w:top w:val="nil"/>
              <w:left w:val="nil"/>
              <w:bottom w:val="single" w:sz="4" w:space="0" w:color="000000"/>
              <w:right w:val="single" w:sz="4" w:space="0" w:color="000000"/>
            </w:tcBorders>
            <w:shd w:val="clear" w:color="auto" w:fill="auto"/>
            <w:vAlign w:val="center"/>
          </w:tcPr>
          <w:p w14:paraId="1CE3770F"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23</w:t>
            </w:r>
          </w:p>
        </w:tc>
        <w:tc>
          <w:tcPr>
            <w:tcW w:w="554" w:type="pct"/>
            <w:tcBorders>
              <w:top w:val="nil"/>
              <w:left w:val="nil"/>
              <w:bottom w:val="single" w:sz="4" w:space="0" w:color="000000"/>
              <w:right w:val="single" w:sz="4" w:space="0" w:color="000000"/>
            </w:tcBorders>
            <w:shd w:val="clear" w:color="auto" w:fill="auto"/>
            <w:vAlign w:val="center"/>
          </w:tcPr>
          <w:p w14:paraId="5D5B3784"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w:t>
            </w:r>
          </w:p>
        </w:tc>
        <w:tc>
          <w:tcPr>
            <w:tcW w:w="518" w:type="pct"/>
            <w:tcBorders>
              <w:top w:val="nil"/>
              <w:left w:val="nil"/>
              <w:bottom w:val="single" w:sz="4" w:space="0" w:color="000000"/>
              <w:right w:val="single" w:sz="12" w:space="0" w:color="000000"/>
            </w:tcBorders>
            <w:shd w:val="clear" w:color="auto" w:fill="auto"/>
            <w:vAlign w:val="center"/>
          </w:tcPr>
          <w:p w14:paraId="0F6D9E38"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w:t>
            </w:r>
          </w:p>
        </w:tc>
      </w:tr>
      <w:tr w:rsidR="009968E0" w:rsidRPr="009968E0" w14:paraId="7D59A545" w14:textId="77777777" w:rsidTr="009968E0">
        <w:trPr>
          <w:trHeight w:val="360"/>
        </w:trPr>
        <w:tc>
          <w:tcPr>
            <w:tcW w:w="1022" w:type="pct"/>
            <w:vMerge/>
            <w:tcBorders>
              <w:top w:val="nil"/>
              <w:left w:val="single" w:sz="12" w:space="0" w:color="000000"/>
              <w:bottom w:val="nil"/>
              <w:right w:val="nil"/>
            </w:tcBorders>
            <w:shd w:val="clear" w:color="auto" w:fill="FDE9D9"/>
          </w:tcPr>
          <w:p w14:paraId="01556330" w14:textId="77777777" w:rsidR="009968E0" w:rsidRPr="009968E0" w:rsidRDefault="009968E0" w:rsidP="009968E0">
            <w:pPr>
              <w:rPr>
                <w:rFonts w:ascii="Calibri" w:eastAsia="Times New Roman" w:hAnsi="Calibri" w:cs="Calibri"/>
                <w:i/>
                <w:iCs/>
                <w:sz w:val="22"/>
                <w:szCs w:val="22"/>
                <w:lang w:eastAsia="en-GB"/>
              </w:rPr>
            </w:pPr>
          </w:p>
        </w:tc>
        <w:tc>
          <w:tcPr>
            <w:tcW w:w="1862" w:type="pct"/>
            <w:gridSpan w:val="2"/>
            <w:tcBorders>
              <w:top w:val="nil"/>
              <w:left w:val="nil"/>
              <w:bottom w:val="single" w:sz="4" w:space="0" w:color="000000"/>
              <w:right w:val="single" w:sz="12" w:space="0" w:color="000000"/>
            </w:tcBorders>
            <w:shd w:val="clear" w:color="auto" w:fill="auto"/>
          </w:tcPr>
          <w:p w14:paraId="43CAD76B"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Mean</w:t>
            </w:r>
          </w:p>
        </w:tc>
        <w:tc>
          <w:tcPr>
            <w:tcW w:w="525" w:type="pct"/>
            <w:tcBorders>
              <w:top w:val="nil"/>
              <w:left w:val="nil"/>
              <w:bottom w:val="single" w:sz="4" w:space="0" w:color="000000"/>
              <w:right w:val="single" w:sz="4" w:space="0" w:color="000000"/>
            </w:tcBorders>
            <w:shd w:val="clear" w:color="auto" w:fill="auto"/>
            <w:vAlign w:val="center"/>
          </w:tcPr>
          <w:p w14:paraId="57B6F970"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10.037</w:t>
            </w:r>
          </w:p>
        </w:tc>
        <w:tc>
          <w:tcPr>
            <w:tcW w:w="519" w:type="pct"/>
            <w:tcBorders>
              <w:top w:val="nil"/>
              <w:left w:val="nil"/>
              <w:bottom w:val="single" w:sz="4" w:space="0" w:color="000000"/>
              <w:right w:val="single" w:sz="4" w:space="0" w:color="000000"/>
            </w:tcBorders>
            <w:shd w:val="clear" w:color="auto" w:fill="auto"/>
            <w:vAlign w:val="center"/>
          </w:tcPr>
          <w:p w14:paraId="218C33A0"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8.887</w:t>
            </w:r>
          </w:p>
        </w:tc>
        <w:tc>
          <w:tcPr>
            <w:tcW w:w="554" w:type="pct"/>
            <w:tcBorders>
              <w:top w:val="nil"/>
              <w:left w:val="nil"/>
              <w:bottom w:val="single" w:sz="4" w:space="0" w:color="000000"/>
              <w:right w:val="single" w:sz="4" w:space="0" w:color="000000"/>
            </w:tcBorders>
            <w:shd w:val="clear" w:color="auto" w:fill="auto"/>
            <w:vAlign w:val="center"/>
          </w:tcPr>
          <w:p w14:paraId="1AA55738"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7.785</w:t>
            </w:r>
          </w:p>
        </w:tc>
        <w:tc>
          <w:tcPr>
            <w:tcW w:w="518" w:type="pct"/>
            <w:tcBorders>
              <w:top w:val="nil"/>
              <w:left w:val="nil"/>
              <w:bottom w:val="single" w:sz="4" w:space="0" w:color="000000"/>
              <w:right w:val="single" w:sz="12" w:space="0" w:color="000000"/>
            </w:tcBorders>
            <w:shd w:val="clear" w:color="auto" w:fill="auto"/>
            <w:vAlign w:val="center"/>
          </w:tcPr>
          <w:p w14:paraId="540FCDDE"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8.989</w:t>
            </w:r>
          </w:p>
        </w:tc>
      </w:tr>
      <w:tr w:rsidR="009968E0" w:rsidRPr="009968E0" w14:paraId="69FE700D" w14:textId="77777777" w:rsidTr="009968E0">
        <w:trPr>
          <w:trHeight w:val="360"/>
        </w:trPr>
        <w:tc>
          <w:tcPr>
            <w:tcW w:w="1022" w:type="pct"/>
            <w:vMerge/>
            <w:tcBorders>
              <w:top w:val="nil"/>
              <w:left w:val="single" w:sz="12" w:space="0" w:color="000000"/>
              <w:bottom w:val="nil"/>
              <w:right w:val="nil"/>
            </w:tcBorders>
            <w:shd w:val="clear" w:color="auto" w:fill="FDE9D9"/>
          </w:tcPr>
          <w:p w14:paraId="73265049" w14:textId="77777777" w:rsidR="009968E0" w:rsidRPr="009968E0" w:rsidRDefault="009968E0" w:rsidP="009968E0">
            <w:pPr>
              <w:rPr>
                <w:rFonts w:ascii="Calibri" w:eastAsia="Times New Roman" w:hAnsi="Calibri" w:cs="Calibri"/>
                <w:i/>
                <w:iCs/>
                <w:sz w:val="22"/>
                <w:szCs w:val="22"/>
                <w:lang w:eastAsia="en-GB"/>
              </w:rPr>
            </w:pPr>
          </w:p>
        </w:tc>
        <w:tc>
          <w:tcPr>
            <w:tcW w:w="1229" w:type="pct"/>
            <w:vMerge w:val="restart"/>
            <w:tcBorders>
              <w:top w:val="nil"/>
              <w:left w:val="nil"/>
              <w:bottom w:val="nil"/>
              <w:right w:val="nil"/>
            </w:tcBorders>
            <w:shd w:val="clear" w:color="auto" w:fill="auto"/>
          </w:tcPr>
          <w:p w14:paraId="1FE2E30D"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95% Confidence Interval for Mean</w:t>
            </w:r>
          </w:p>
        </w:tc>
        <w:tc>
          <w:tcPr>
            <w:tcW w:w="633" w:type="pct"/>
            <w:tcBorders>
              <w:top w:val="nil"/>
              <w:left w:val="nil"/>
              <w:bottom w:val="nil"/>
              <w:right w:val="single" w:sz="12" w:space="0" w:color="000000"/>
            </w:tcBorders>
            <w:shd w:val="clear" w:color="auto" w:fill="auto"/>
          </w:tcPr>
          <w:p w14:paraId="5E2D3E2A"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Lower Bound</w:t>
            </w:r>
          </w:p>
        </w:tc>
        <w:tc>
          <w:tcPr>
            <w:tcW w:w="525" w:type="pct"/>
            <w:tcBorders>
              <w:top w:val="nil"/>
              <w:left w:val="nil"/>
              <w:bottom w:val="nil"/>
              <w:right w:val="single" w:sz="4" w:space="0" w:color="000000"/>
            </w:tcBorders>
            <w:shd w:val="clear" w:color="auto" w:fill="auto"/>
            <w:vAlign w:val="center"/>
          </w:tcPr>
          <w:p w14:paraId="08B6C64D"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9.125</w:t>
            </w:r>
          </w:p>
        </w:tc>
        <w:tc>
          <w:tcPr>
            <w:tcW w:w="519" w:type="pct"/>
            <w:tcBorders>
              <w:top w:val="nil"/>
              <w:left w:val="nil"/>
              <w:bottom w:val="nil"/>
              <w:right w:val="single" w:sz="4" w:space="0" w:color="000000"/>
            </w:tcBorders>
            <w:shd w:val="clear" w:color="auto" w:fill="auto"/>
            <w:vAlign w:val="center"/>
          </w:tcPr>
          <w:p w14:paraId="66E220CE"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7.793</w:t>
            </w:r>
          </w:p>
        </w:tc>
        <w:tc>
          <w:tcPr>
            <w:tcW w:w="554" w:type="pct"/>
            <w:tcBorders>
              <w:top w:val="nil"/>
              <w:left w:val="nil"/>
              <w:bottom w:val="nil"/>
              <w:right w:val="single" w:sz="4" w:space="0" w:color="000000"/>
            </w:tcBorders>
            <w:shd w:val="clear" w:color="auto" w:fill="auto"/>
            <w:vAlign w:val="center"/>
          </w:tcPr>
          <w:p w14:paraId="0C117ED1"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6.108</w:t>
            </w:r>
          </w:p>
        </w:tc>
        <w:tc>
          <w:tcPr>
            <w:tcW w:w="518" w:type="pct"/>
            <w:tcBorders>
              <w:top w:val="nil"/>
              <w:left w:val="nil"/>
              <w:bottom w:val="nil"/>
              <w:right w:val="single" w:sz="12" w:space="0" w:color="000000"/>
            </w:tcBorders>
            <w:shd w:val="clear" w:color="auto" w:fill="auto"/>
            <w:vAlign w:val="center"/>
          </w:tcPr>
          <w:p w14:paraId="163AD4B2"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7.750</w:t>
            </w:r>
          </w:p>
        </w:tc>
      </w:tr>
      <w:tr w:rsidR="009968E0" w:rsidRPr="009968E0" w14:paraId="105B3912" w14:textId="77777777" w:rsidTr="009968E0">
        <w:trPr>
          <w:trHeight w:val="360"/>
        </w:trPr>
        <w:tc>
          <w:tcPr>
            <w:tcW w:w="1022" w:type="pct"/>
            <w:vMerge/>
            <w:tcBorders>
              <w:top w:val="nil"/>
              <w:left w:val="single" w:sz="12" w:space="0" w:color="000000"/>
              <w:bottom w:val="nil"/>
              <w:right w:val="nil"/>
            </w:tcBorders>
            <w:shd w:val="clear" w:color="auto" w:fill="FDE9D9"/>
          </w:tcPr>
          <w:p w14:paraId="611D962F" w14:textId="77777777" w:rsidR="009968E0" w:rsidRPr="009968E0" w:rsidRDefault="009968E0" w:rsidP="009968E0">
            <w:pPr>
              <w:rPr>
                <w:rFonts w:ascii="Calibri" w:eastAsia="Times New Roman" w:hAnsi="Calibri" w:cs="Calibri"/>
                <w:i/>
                <w:iCs/>
                <w:sz w:val="22"/>
                <w:szCs w:val="22"/>
                <w:lang w:eastAsia="en-GB"/>
              </w:rPr>
            </w:pPr>
          </w:p>
        </w:tc>
        <w:tc>
          <w:tcPr>
            <w:tcW w:w="1229" w:type="pct"/>
            <w:vMerge/>
            <w:tcBorders>
              <w:top w:val="nil"/>
              <w:left w:val="nil"/>
              <w:bottom w:val="nil"/>
              <w:right w:val="nil"/>
            </w:tcBorders>
            <w:shd w:val="clear" w:color="auto" w:fill="auto"/>
          </w:tcPr>
          <w:p w14:paraId="471785C1" w14:textId="77777777" w:rsidR="009968E0" w:rsidRPr="009968E0" w:rsidRDefault="009968E0" w:rsidP="009968E0">
            <w:pPr>
              <w:rPr>
                <w:rFonts w:ascii="Calibri" w:eastAsia="Times New Roman" w:hAnsi="Calibri" w:cs="Calibri"/>
                <w:i/>
                <w:iCs/>
                <w:sz w:val="22"/>
                <w:szCs w:val="22"/>
                <w:lang w:eastAsia="en-GB"/>
              </w:rPr>
            </w:pPr>
          </w:p>
        </w:tc>
        <w:tc>
          <w:tcPr>
            <w:tcW w:w="633" w:type="pct"/>
            <w:tcBorders>
              <w:top w:val="nil"/>
              <w:left w:val="nil"/>
              <w:bottom w:val="nil"/>
              <w:right w:val="single" w:sz="12" w:space="0" w:color="000000"/>
            </w:tcBorders>
            <w:shd w:val="clear" w:color="auto" w:fill="auto"/>
          </w:tcPr>
          <w:p w14:paraId="6C73208A"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Upper Bound</w:t>
            </w:r>
          </w:p>
        </w:tc>
        <w:tc>
          <w:tcPr>
            <w:tcW w:w="525" w:type="pct"/>
            <w:tcBorders>
              <w:top w:val="nil"/>
              <w:left w:val="nil"/>
              <w:bottom w:val="nil"/>
              <w:right w:val="single" w:sz="4" w:space="0" w:color="000000"/>
            </w:tcBorders>
            <w:shd w:val="clear" w:color="auto" w:fill="auto"/>
            <w:vAlign w:val="center"/>
          </w:tcPr>
          <w:p w14:paraId="17B44FC3"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10.949</w:t>
            </w:r>
          </w:p>
        </w:tc>
        <w:tc>
          <w:tcPr>
            <w:tcW w:w="519" w:type="pct"/>
            <w:tcBorders>
              <w:top w:val="nil"/>
              <w:left w:val="nil"/>
              <w:bottom w:val="nil"/>
              <w:right w:val="single" w:sz="4" w:space="0" w:color="000000"/>
            </w:tcBorders>
            <w:shd w:val="clear" w:color="auto" w:fill="auto"/>
            <w:vAlign w:val="center"/>
          </w:tcPr>
          <w:p w14:paraId="7B64A89A"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9.980</w:t>
            </w:r>
          </w:p>
        </w:tc>
        <w:tc>
          <w:tcPr>
            <w:tcW w:w="554" w:type="pct"/>
            <w:tcBorders>
              <w:top w:val="nil"/>
              <w:left w:val="nil"/>
              <w:bottom w:val="nil"/>
              <w:right w:val="single" w:sz="4" w:space="0" w:color="000000"/>
            </w:tcBorders>
            <w:shd w:val="clear" w:color="auto" w:fill="auto"/>
            <w:vAlign w:val="center"/>
          </w:tcPr>
          <w:p w14:paraId="5FA5280F"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9.461</w:t>
            </w:r>
          </w:p>
        </w:tc>
        <w:tc>
          <w:tcPr>
            <w:tcW w:w="518" w:type="pct"/>
            <w:tcBorders>
              <w:top w:val="nil"/>
              <w:left w:val="nil"/>
              <w:bottom w:val="nil"/>
              <w:right w:val="single" w:sz="12" w:space="0" w:color="000000"/>
            </w:tcBorders>
            <w:shd w:val="clear" w:color="auto" w:fill="auto"/>
            <w:vAlign w:val="center"/>
          </w:tcPr>
          <w:p w14:paraId="5DFEBB10"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10.229</w:t>
            </w:r>
          </w:p>
        </w:tc>
      </w:tr>
      <w:tr w:rsidR="009968E0" w:rsidRPr="009968E0" w14:paraId="70B1F7CB" w14:textId="77777777" w:rsidTr="009968E0">
        <w:trPr>
          <w:trHeight w:val="360"/>
        </w:trPr>
        <w:tc>
          <w:tcPr>
            <w:tcW w:w="5000" w:type="pct"/>
            <w:gridSpan w:val="7"/>
            <w:tcBorders>
              <w:top w:val="single" w:sz="4" w:space="0" w:color="000000"/>
              <w:left w:val="single" w:sz="12" w:space="0" w:color="000000"/>
              <w:bottom w:val="single" w:sz="12" w:space="0" w:color="000000"/>
              <w:right w:val="single" w:sz="12" w:space="0" w:color="000000"/>
            </w:tcBorders>
            <w:shd w:val="clear" w:color="auto" w:fill="auto"/>
            <w:vAlign w:val="center"/>
          </w:tcPr>
          <w:p w14:paraId="16A91C5E" w14:textId="77777777" w:rsidR="009968E0" w:rsidRPr="009968E0" w:rsidRDefault="009968E0" w:rsidP="009968E0">
            <w:pPr>
              <w:jc w:val="cente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p=0.092</w:t>
            </w:r>
          </w:p>
        </w:tc>
      </w:tr>
    </w:tbl>
    <w:p w14:paraId="767C290B" w14:textId="77777777" w:rsidR="009968E0" w:rsidRPr="009968E0" w:rsidRDefault="009968E0" w:rsidP="009968E0">
      <w:pPr>
        <w:rPr>
          <w:rFonts w:ascii="Calibri" w:eastAsia="Times New Roman" w:hAnsi="Calibri" w:cs="Calibri"/>
          <w:i/>
          <w:iCs/>
          <w:color w:val="808080"/>
          <w:sz w:val="22"/>
          <w:szCs w:val="22"/>
          <w:lang w:eastAsia="en-GB"/>
        </w:rPr>
      </w:pPr>
      <w:r w:rsidRPr="009968E0">
        <w:rPr>
          <w:rFonts w:ascii="Calibri" w:eastAsia="Times New Roman" w:hAnsi="Calibri" w:cs="Calibri"/>
          <w:i/>
          <w:iCs/>
          <w:color w:val="808080"/>
          <w:sz w:val="22"/>
          <w:szCs w:val="22"/>
          <w:lang w:eastAsia="en-GB"/>
        </w:rPr>
        <w:t xml:space="preserve">RBV=Regional Blood volume, 2=second visit, L=left, R=right, </w:t>
      </w:r>
      <w:proofErr w:type="spellStart"/>
      <w:r w:rsidRPr="009968E0">
        <w:rPr>
          <w:rFonts w:ascii="Calibri" w:eastAsia="Times New Roman" w:hAnsi="Calibri" w:cs="Calibri"/>
          <w:i/>
          <w:iCs/>
          <w:color w:val="808080"/>
          <w:sz w:val="22"/>
          <w:szCs w:val="22"/>
          <w:lang w:eastAsia="en-GB"/>
        </w:rPr>
        <w:t>thal</w:t>
      </w:r>
      <w:proofErr w:type="spellEnd"/>
      <w:r w:rsidRPr="009968E0">
        <w:rPr>
          <w:rFonts w:ascii="Calibri" w:eastAsia="Times New Roman" w:hAnsi="Calibri" w:cs="Calibri"/>
          <w:i/>
          <w:iCs/>
          <w:color w:val="808080"/>
          <w:sz w:val="22"/>
          <w:szCs w:val="22"/>
          <w:lang w:eastAsia="en-GB"/>
        </w:rPr>
        <w:t>= thalamus, INS=Insula, ACC= anterior cingulate gyrus, POWM=parieto-</w:t>
      </w:r>
      <w:proofErr w:type="spellStart"/>
      <w:r w:rsidRPr="009968E0">
        <w:rPr>
          <w:rFonts w:ascii="Calibri" w:eastAsia="Times New Roman" w:hAnsi="Calibri" w:cs="Calibri"/>
          <w:i/>
          <w:iCs/>
          <w:color w:val="808080"/>
          <w:sz w:val="22"/>
          <w:szCs w:val="22"/>
          <w:lang w:eastAsia="en-GB"/>
        </w:rPr>
        <w:t>occiptal</w:t>
      </w:r>
      <w:proofErr w:type="spellEnd"/>
      <w:r w:rsidRPr="009968E0">
        <w:rPr>
          <w:rFonts w:ascii="Calibri" w:eastAsia="Times New Roman" w:hAnsi="Calibri" w:cs="Calibri"/>
          <w:i/>
          <w:iCs/>
          <w:color w:val="808080"/>
          <w:sz w:val="22"/>
          <w:szCs w:val="22"/>
          <w:lang w:eastAsia="en-GB"/>
        </w:rPr>
        <w:t xml:space="preserve"> white matter, PSC=primary sensory cortex, N=number in group</w:t>
      </w:r>
    </w:p>
    <w:p w14:paraId="143F8668" w14:textId="77777777" w:rsidR="009968E0" w:rsidRPr="009968E0" w:rsidRDefault="009968E0" w:rsidP="009968E0">
      <w:pPr>
        <w:rPr>
          <w:rFonts w:ascii="Times New Roman" w:eastAsia="Times New Roman" w:hAnsi="Times New Roman" w:cs="Times New Roman"/>
          <w:lang w:eastAsia="en-GB"/>
        </w:rPr>
      </w:pPr>
    </w:p>
    <w:p w14:paraId="6413FD8D" w14:textId="77777777" w:rsidR="009968E0" w:rsidRPr="009968E0" w:rsidRDefault="009968E0" w:rsidP="009968E0">
      <w:pPr>
        <w:rPr>
          <w:rFonts w:ascii="Times New Roman" w:eastAsia="Times New Roman" w:hAnsi="Times New Roman" w:cs="Times New Roman"/>
          <w:lang w:eastAsia="en-GB"/>
        </w:rPr>
      </w:pPr>
    </w:p>
    <w:tbl>
      <w:tblPr>
        <w:tblW w:w="9064" w:type="dxa"/>
        <w:tblLayout w:type="fixed"/>
        <w:tblCellMar>
          <w:left w:w="115" w:type="dxa"/>
          <w:right w:w="115" w:type="dxa"/>
        </w:tblCellMar>
        <w:tblLook w:val="0400" w:firstRow="0" w:lastRow="0" w:firstColumn="0" w:lastColumn="0" w:noHBand="0" w:noVBand="1"/>
      </w:tblPr>
      <w:tblGrid>
        <w:gridCol w:w="1554"/>
        <w:gridCol w:w="2467"/>
        <w:gridCol w:w="1215"/>
        <w:gridCol w:w="950"/>
        <w:gridCol w:w="939"/>
        <w:gridCol w:w="1002"/>
        <w:gridCol w:w="937"/>
      </w:tblGrid>
      <w:tr w:rsidR="009968E0" w:rsidRPr="009968E0" w14:paraId="5C2CF0FF" w14:textId="77777777" w:rsidTr="009968E0">
        <w:trPr>
          <w:trHeight w:val="480"/>
        </w:trPr>
        <w:tc>
          <w:tcPr>
            <w:tcW w:w="9064" w:type="dxa"/>
            <w:gridSpan w:val="7"/>
            <w:tcBorders>
              <w:top w:val="nil"/>
              <w:left w:val="nil"/>
              <w:bottom w:val="nil"/>
              <w:right w:val="nil"/>
            </w:tcBorders>
            <w:shd w:val="clear" w:color="auto" w:fill="auto"/>
            <w:vAlign w:val="center"/>
          </w:tcPr>
          <w:p w14:paraId="6DF2E5C8" w14:textId="76287846" w:rsidR="009968E0" w:rsidRPr="009968E0" w:rsidRDefault="009968E0" w:rsidP="007A2ECE">
            <w:pPr>
              <w:pStyle w:val="Quote"/>
            </w:pPr>
            <w:bookmarkStart w:id="588" w:name="_Toc48406139"/>
            <w:bookmarkStart w:id="589" w:name="_Toc49273348"/>
            <w:bookmarkStart w:id="590" w:name="_Toc64724101"/>
            <w:r w:rsidRPr="009968E0">
              <w:t>Table C.3. Univariate ANOVA for RBF Visit 2</w:t>
            </w:r>
            <w:bookmarkEnd w:id="588"/>
            <w:bookmarkEnd w:id="589"/>
            <w:bookmarkEnd w:id="590"/>
          </w:p>
          <w:p w14:paraId="1A662883" w14:textId="77777777" w:rsidR="009968E0" w:rsidRPr="009968E0" w:rsidRDefault="009968E0" w:rsidP="007A2ECE">
            <w:pPr>
              <w:pStyle w:val="Quote"/>
            </w:pPr>
          </w:p>
        </w:tc>
      </w:tr>
      <w:tr w:rsidR="009968E0" w:rsidRPr="009968E0" w14:paraId="693717FD" w14:textId="77777777" w:rsidTr="009968E0">
        <w:trPr>
          <w:trHeight w:val="360"/>
        </w:trPr>
        <w:tc>
          <w:tcPr>
            <w:tcW w:w="5236" w:type="dxa"/>
            <w:gridSpan w:val="3"/>
            <w:tcBorders>
              <w:top w:val="single" w:sz="12" w:space="0" w:color="000000"/>
              <w:left w:val="single" w:sz="12" w:space="0" w:color="000000"/>
              <w:bottom w:val="single" w:sz="12" w:space="0" w:color="000000"/>
              <w:right w:val="single" w:sz="12" w:space="0" w:color="000000"/>
            </w:tcBorders>
            <w:shd w:val="clear" w:color="auto" w:fill="auto"/>
            <w:vAlign w:val="bottom"/>
          </w:tcPr>
          <w:p w14:paraId="43264472"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 </w:t>
            </w:r>
          </w:p>
        </w:tc>
        <w:tc>
          <w:tcPr>
            <w:tcW w:w="950" w:type="dxa"/>
            <w:tcBorders>
              <w:top w:val="single" w:sz="12" w:space="0" w:color="000000"/>
              <w:left w:val="nil"/>
              <w:bottom w:val="single" w:sz="12" w:space="0" w:color="000000"/>
              <w:right w:val="single" w:sz="4" w:space="0" w:color="000000"/>
            </w:tcBorders>
            <w:shd w:val="clear" w:color="auto" w:fill="auto"/>
            <w:vAlign w:val="bottom"/>
          </w:tcPr>
          <w:p w14:paraId="2E1CB324"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P-DPN</w:t>
            </w:r>
          </w:p>
        </w:tc>
        <w:tc>
          <w:tcPr>
            <w:tcW w:w="939" w:type="dxa"/>
            <w:tcBorders>
              <w:top w:val="single" w:sz="12" w:space="0" w:color="000000"/>
              <w:left w:val="nil"/>
              <w:bottom w:val="single" w:sz="12" w:space="0" w:color="000000"/>
              <w:right w:val="single" w:sz="4" w:space="0" w:color="000000"/>
            </w:tcBorders>
            <w:shd w:val="clear" w:color="auto" w:fill="auto"/>
            <w:vAlign w:val="bottom"/>
          </w:tcPr>
          <w:p w14:paraId="1E112ADF"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DPN</w:t>
            </w:r>
          </w:p>
        </w:tc>
        <w:tc>
          <w:tcPr>
            <w:tcW w:w="1002" w:type="dxa"/>
            <w:tcBorders>
              <w:top w:val="single" w:sz="12" w:space="0" w:color="000000"/>
              <w:left w:val="nil"/>
              <w:bottom w:val="single" w:sz="12" w:space="0" w:color="000000"/>
              <w:right w:val="single" w:sz="4" w:space="0" w:color="000000"/>
            </w:tcBorders>
            <w:shd w:val="clear" w:color="auto" w:fill="auto"/>
            <w:vAlign w:val="bottom"/>
          </w:tcPr>
          <w:p w14:paraId="13A668BC"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DM-NN</w:t>
            </w:r>
          </w:p>
        </w:tc>
        <w:tc>
          <w:tcPr>
            <w:tcW w:w="937" w:type="dxa"/>
            <w:tcBorders>
              <w:top w:val="single" w:sz="12" w:space="0" w:color="000000"/>
              <w:left w:val="nil"/>
              <w:bottom w:val="single" w:sz="12" w:space="0" w:color="000000"/>
              <w:right w:val="single" w:sz="12" w:space="0" w:color="000000"/>
            </w:tcBorders>
            <w:shd w:val="clear" w:color="auto" w:fill="auto"/>
            <w:vAlign w:val="bottom"/>
          </w:tcPr>
          <w:p w14:paraId="720C9EDA"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HV</w:t>
            </w:r>
          </w:p>
        </w:tc>
      </w:tr>
      <w:tr w:rsidR="009968E0" w:rsidRPr="009968E0" w14:paraId="4A7FD597" w14:textId="77777777" w:rsidTr="009968E0">
        <w:trPr>
          <w:trHeight w:val="360"/>
        </w:trPr>
        <w:tc>
          <w:tcPr>
            <w:tcW w:w="1554" w:type="dxa"/>
            <w:vMerge w:val="restart"/>
            <w:tcBorders>
              <w:top w:val="nil"/>
              <w:left w:val="single" w:sz="12" w:space="0" w:color="000000"/>
              <w:bottom w:val="single" w:sz="4" w:space="0" w:color="000000"/>
              <w:right w:val="nil"/>
            </w:tcBorders>
            <w:shd w:val="clear" w:color="auto" w:fill="FDE9D9"/>
          </w:tcPr>
          <w:p w14:paraId="01A03C6D" w14:textId="46127AC5"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RBF-</w:t>
            </w:r>
            <w:r w:rsidR="00264184">
              <w:rPr>
                <w:rFonts w:ascii="Calibri" w:eastAsia="Times New Roman" w:hAnsi="Calibri" w:cs="Calibri"/>
                <w:i/>
                <w:iCs/>
                <w:sz w:val="22"/>
                <w:szCs w:val="22"/>
                <w:lang w:eastAsia="en-GB"/>
              </w:rPr>
              <w:t>LThal</w:t>
            </w:r>
            <w:r w:rsidRPr="009968E0">
              <w:rPr>
                <w:rFonts w:ascii="Calibri" w:eastAsia="Times New Roman" w:hAnsi="Calibri" w:cs="Calibri"/>
                <w:i/>
                <w:iCs/>
                <w:sz w:val="22"/>
                <w:szCs w:val="22"/>
                <w:lang w:eastAsia="en-GB"/>
              </w:rPr>
              <w:t>2</w:t>
            </w:r>
          </w:p>
        </w:tc>
        <w:tc>
          <w:tcPr>
            <w:tcW w:w="3682" w:type="dxa"/>
            <w:gridSpan w:val="2"/>
            <w:tcBorders>
              <w:top w:val="single" w:sz="12" w:space="0" w:color="000000"/>
              <w:left w:val="nil"/>
              <w:bottom w:val="single" w:sz="4" w:space="0" w:color="000000"/>
              <w:right w:val="single" w:sz="12" w:space="0" w:color="000000"/>
            </w:tcBorders>
            <w:shd w:val="clear" w:color="auto" w:fill="auto"/>
          </w:tcPr>
          <w:p w14:paraId="7B3ACA35"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N</w:t>
            </w:r>
          </w:p>
        </w:tc>
        <w:tc>
          <w:tcPr>
            <w:tcW w:w="950" w:type="dxa"/>
            <w:tcBorders>
              <w:top w:val="nil"/>
              <w:left w:val="nil"/>
              <w:bottom w:val="single" w:sz="4" w:space="0" w:color="000000"/>
              <w:right w:val="single" w:sz="4" w:space="0" w:color="000000"/>
            </w:tcBorders>
            <w:shd w:val="clear" w:color="auto" w:fill="auto"/>
            <w:vAlign w:val="center"/>
          </w:tcPr>
          <w:p w14:paraId="196C3E55"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w:t>
            </w:r>
          </w:p>
        </w:tc>
        <w:tc>
          <w:tcPr>
            <w:tcW w:w="939" w:type="dxa"/>
            <w:tcBorders>
              <w:top w:val="nil"/>
              <w:left w:val="nil"/>
              <w:bottom w:val="single" w:sz="4" w:space="0" w:color="000000"/>
              <w:right w:val="single" w:sz="4" w:space="0" w:color="000000"/>
            </w:tcBorders>
            <w:shd w:val="clear" w:color="auto" w:fill="auto"/>
            <w:vAlign w:val="center"/>
          </w:tcPr>
          <w:p w14:paraId="689FF142"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23</w:t>
            </w:r>
          </w:p>
        </w:tc>
        <w:tc>
          <w:tcPr>
            <w:tcW w:w="1002" w:type="dxa"/>
            <w:tcBorders>
              <w:top w:val="nil"/>
              <w:left w:val="nil"/>
              <w:bottom w:val="single" w:sz="4" w:space="0" w:color="000000"/>
              <w:right w:val="single" w:sz="4" w:space="0" w:color="000000"/>
            </w:tcBorders>
            <w:shd w:val="clear" w:color="auto" w:fill="auto"/>
            <w:vAlign w:val="center"/>
          </w:tcPr>
          <w:p w14:paraId="5AF75B86"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w:t>
            </w:r>
          </w:p>
        </w:tc>
        <w:tc>
          <w:tcPr>
            <w:tcW w:w="937" w:type="dxa"/>
            <w:tcBorders>
              <w:top w:val="nil"/>
              <w:left w:val="nil"/>
              <w:bottom w:val="single" w:sz="4" w:space="0" w:color="000000"/>
              <w:right w:val="single" w:sz="12" w:space="0" w:color="000000"/>
            </w:tcBorders>
            <w:shd w:val="clear" w:color="auto" w:fill="auto"/>
            <w:vAlign w:val="center"/>
          </w:tcPr>
          <w:p w14:paraId="5E7F08C2"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w:t>
            </w:r>
          </w:p>
        </w:tc>
      </w:tr>
      <w:tr w:rsidR="009968E0" w:rsidRPr="009968E0" w14:paraId="067C12BF" w14:textId="77777777" w:rsidTr="009968E0">
        <w:trPr>
          <w:trHeight w:val="360"/>
        </w:trPr>
        <w:tc>
          <w:tcPr>
            <w:tcW w:w="1554" w:type="dxa"/>
            <w:vMerge/>
            <w:tcBorders>
              <w:top w:val="nil"/>
              <w:left w:val="single" w:sz="12" w:space="0" w:color="000000"/>
              <w:bottom w:val="single" w:sz="4" w:space="0" w:color="000000"/>
              <w:right w:val="nil"/>
            </w:tcBorders>
            <w:shd w:val="clear" w:color="auto" w:fill="FDE9D9"/>
          </w:tcPr>
          <w:p w14:paraId="2531D6E7" w14:textId="77777777" w:rsidR="009968E0" w:rsidRPr="009968E0" w:rsidRDefault="009968E0" w:rsidP="009968E0">
            <w:pPr>
              <w:rPr>
                <w:rFonts w:ascii="Calibri" w:eastAsia="Times New Roman" w:hAnsi="Calibri" w:cs="Calibri"/>
                <w:i/>
                <w:iCs/>
                <w:sz w:val="22"/>
                <w:szCs w:val="22"/>
                <w:lang w:eastAsia="en-GB"/>
              </w:rPr>
            </w:pPr>
          </w:p>
        </w:tc>
        <w:tc>
          <w:tcPr>
            <w:tcW w:w="3682" w:type="dxa"/>
            <w:gridSpan w:val="2"/>
            <w:tcBorders>
              <w:top w:val="nil"/>
              <w:left w:val="nil"/>
              <w:bottom w:val="single" w:sz="4" w:space="0" w:color="000000"/>
              <w:right w:val="single" w:sz="12" w:space="0" w:color="000000"/>
            </w:tcBorders>
            <w:shd w:val="clear" w:color="auto" w:fill="auto"/>
          </w:tcPr>
          <w:p w14:paraId="040E159E"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Mean</w:t>
            </w:r>
          </w:p>
        </w:tc>
        <w:tc>
          <w:tcPr>
            <w:tcW w:w="950" w:type="dxa"/>
            <w:tcBorders>
              <w:top w:val="nil"/>
              <w:left w:val="nil"/>
              <w:bottom w:val="single" w:sz="4" w:space="0" w:color="000000"/>
              <w:right w:val="single" w:sz="4" w:space="0" w:color="000000"/>
            </w:tcBorders>
            <w:shd w:val="clear" w:color="auto" w:fill="auto"/>
            <w:vAlign w:val="center"/>
          </w:tcPr>
          <w:p w14:paraId="2B5FFCA1"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125.54</w:t>
            </w:r>
          </w:p>
        </w:tc>
        <w:tc>
          <w:tcPr>
            <w:tcW w:w="939" w:type="dxa"/>
            <w:tcBorders>
              <w:top w:val="nil"/>
              <w:left w:val="nil"/>
              <w:bottom w:val="single" w:sz="4" w:space="0" w:color="000000"/>
              <w:right w:val="single" w:sz="4" w:space="0" w:color="000000"/>
            </w:tcBorders>
            <w:shd w:val="clear" w:color="auto" w:fill="auto"/>
            <w:vAlign w:val="center"/>
          </w:tcPr>
          <w:p w14:paraId="1C6B891A"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122.87</w:t>
            </w:r>
          </w:p>
        </w:tc>
        <w:tc>
          <w:tcPr>
            <w:tcW w:w="1002" w:type="dxa"/>
            <w:tcBorders>
              <w:top w:val="nil"/>
              <w:left w:val="nil"/>
              <w:bottom w:val="single" w:sz="4" w:space="0" w:color="000000"/>
              <w:right w:val="single" w:sz="4" w:space="0" w:color="000000"/>
            </w:tcBorders>
            <w:shd w:val="clear" w:color="auto" w:fill="auto"/>
            <w:vAlign w:val="center"/>
          </w:tcPr>
          <w:p w14:paraId="64777167"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124.45</w:t>
            </w:r>
          </w:p>
        </w:tc>
        <w:tc>
          <w:tcPr>
            <w:tcW w:w="937" w:type="dxa"/>
            <w:tcBorders>
              <w:top w:val="nil"/>
              <w:left w:val="nil"/>
              <w:bottom w:val="single" w:sz="4" w:space="0" w:color="000000"/>
              <w:right w:val="single" w:sz="12" w:space="0" w:color="000000"/>
            </w:tcBorders>
            <w:shd w:val="clear" w:color="auto" w:fill="auto"/>
            <w:vAlign w:val="center"/>
          </w:tcPr>
          <w:p w14:paraId="554656C8"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111.26</w:t>
            </w:r>
          </w:p>
        </w:tc>
      </w:tr>
      <w:tr w:rsidR="009968E0" w:rsidRPr="009968E0" w14:paraId="28091A1A" w14:textId="77777777" w:rsidTr="009968E0">
        <w:trPr>
          <w:trHeight w:val="360"/>
        </w:trPr>
        <w:tc>
          <w:tcPr>
            <w:tcW w:w="1554" w:type="dxa"/>
            <w:vMerge/>
            <w:tcBorders>
              <w:top w:val="nil"/>
              <w:left w:val="single" w:sz="12" w:space="0" w:color="000000"/>
              <w:bottom w:val="single" w:sz="4" w:space="0" w:color="000000"/>
              <w:right w:val="nil"/>
            </w:tcBorders>
            <w:shd w:val="clear" w:color="auto" w:fill="FDE9D9"/>
          </w:tcPr>
          <w:p w14:paraId="60E7E5ED" w14:textId="77777777" w:rsidR="009968E0" w:rsidRPr="009968E0" w:rsidRDefault="009968E0" w:rsidP="009968E0">
            <w:pPr>
              <w:rPr>
                <w:rFonts w:ascii="Calibri" w:eastAsia="Times New Roman" w:hAnsi="Calibri" w:cs="Calibri"/>
                <w:i/>
                <w:iCs/>
                <w:sz w:val="22"/>
                <w:szCs w:val="22"/>
                <w:lang w:eastAsia="en-GB"/>
              </w:rPr>
            </w:pPr>
          </w:p>
        </w:tc>
        <w:tc>
          <w:tcPr>
            <w:tcW w:w="2467" w:type="dxa"/>
            <w:vMerge w:val="restart"/>
            <w:tcBorders>
              <w:top w:val="nil"/>
              <w:left w:val="nil"/>
              <w:bottom w:val="single" w:sz="4" w:space="0" w:color="000000"/>
              <w:right w:val="nil"/>
            </w:tcBorders>
            <w:shd w:val="clear" w:color="auto" w:fill="auto"/>
          </w:tcPr>
          <w:p w14:paraId="3B6CAC4F"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95% Confidence Interval for Mean</w:t>
            </w:r>
          </w:p>
        </w:tc>
        <w:tc>
          <w:tcPr>
            <w:tcW w:w="1215" w:type="dxa"/>
            <w:tcBorders>
              <w:top w:val="nil"/>
              <w:left w:val="nil"/>
              <w:bottom w:val="nil"/>
              <w:right w:val="single" w:sz="12" w:space="0" w:color="000000"/>
            </w:tcBorders>
            <w:shd w:val="clear" w:color="auto" w:fill="auto"/>
          </w:tcPr>
          <w:p w14:paraId="531B2C2A"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Lower Bound</w:t>
            </w:r>
          </w:p>
        </w:tc>
        <w:tc>
          <w:tcPr>
            <w:tcW w:w="950" w:type="dxa"/>
            <w:tcBorders>
              <w:top w:val="nil"/>
              <w:left w:val="nil"/>
              <w:bottom w:val="nil"/>
              <w:right w:val="single" w:sz="4" w:space="0" w:color="000000"/>
            </w:tcBorders>
            <w:shd w:val="clear" w:color="auto" w:fill="auto"/>
            <w:vAlign w:val="center"/>
          </w:tcPr>
          <w:p w14:paraId="547A1C73"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105.72</w:t>
            </w:r>
          </w:p>
        </w:tc>
        <w:tc>
          <w:tcPr>
            <w:tcW w:w="939" w:type="dxa"/>
            <w:tcBorders>
              <w:top w:val="nil"/>
              <w:left w:val="nil"/>
              <w:bottom w:val="nil"/>
              <w:right w:val="single" w:sz="4" w:space="0" w:color="000000"/>
            </w:tcBorders>
            <w:shd w:val="clear" w:color="auto" w:fill="auto"/>
            <w:vAlign w:val="center"/>
          </w:tcPr>
          <w:p w14:paraId="6BA255C5"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106.36</w:t>
            </w:r>
          </w:p>
        </w:tc>
        <w:tc>
          <w:tcPr>
            <w:tcW w:w="1002" w:type="dxa"/>
            <w:tcBorders>
              <w:top w:val="nil"/>
              <w:left w:val="nil"/>
              <w:bottom w:val="nil"/>
              <w:right w:val="single" w:sz="4" w:space="0" w:color="000000"/>
            </w:tcBorders>
            <w:shd w:val="clear" w:color="auto" w:fill="auto"/>
            <w:vAlign w:val="center"/>
          </w:tcPr>
          <w:p w14:paraId="4DC15948"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91.16</w:t>
            </w:r>
          </w:p>
        </w:tc>
        <w:tc>
          <w:tcPr>
            <w:tcW w:w="937" w:type="dxa"/>
            <w:tcBorders>
              <w:top w:val="nil"/>
              <w:left w:val="nil"/>
              <w:bottom w:val="nil"/>
              <w:right w:val="single" w:sz="12" w:space="0" w:color="000000"/>
            </w:tcBorders>
            <w:shd w:val="clear" w:color="auto" w:fill="auto"/>
            <w:vAlign w:val="center"/>
          </w:tcPr>
          <w:p w14:paraId="0D8AFC98"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91.65</w:t>
            </w:r>
          </w:p>
        </w:tc>
      </w:tr>
      <w:tr w:rsidR="009968E0" w:rsidRPr="009968E0" w14:paraId="407F0639" w14:textId="77777777" w:rsidTr="009968E0">
        <w:trPr>
          <w:trHeight w:val="360"/>
        </w:trPr>
        <w:tc>
          <w:tcPr>
            <w:tcW w:w="1554" w:type="dxa"/>
            <w:vMerge/>
            <w:tcBorders>
              <w:top w:val="nil"/>
              <w:left w:val="single" w:sz="12" w:space="0" w:color="000000"/>
              <w:bottom w:val="single" w:sz="4" w:space="0" w:color="000000"/>
              <w:right w:val="nil"/>
            </w:tcBorders>
            <w:shd w:val="clear" w:color="auto" w:fill="FDE9D9"/>
          </w:tcPr>
          <w:p w14:paraId="003B2AD8" w14:textId="77777777" w:rsidR="009968E0" w:rsidRPr="009968E0" w:rsidRDefault="009968E0" w:rsidP="009968E0">
            <w:pPr>
              <w:rPr>
                <w:rFonts w:ascii="Calibri" w:eastAsia="Times New Roman" w:hAnsi="Calibri" w:cs="Calibri"/>
                <w:i/>
                <w:iCs/>
                <w:sz w:val="22"/>
                <w:szCs w:val="22"/>
                <w:lang w:eastAsia="en-GB"/>
              </w:rPr>
            </w:pPr>
          </w:p>
        </w:tc>
        <w:tc>
          <w:tcPr>
            <w:tcW w:w="2467" w:type="dxa"/>
            <w:vMerge/>
            <w:tcBorders>
              <w:top w:val="nil"/>
              <w:left w:val="nil"/>
              <w:bottom w:val="single" w:sz="4" w:space="0" w:color="000000"/>
              <w:right w:val="nil"/>
            </w:tcBorders>
            <w:shd w:val="clear" w:color="auto" w:fill="auto"/>
          </w:tcPr>
          <w:p w14:paraId="78E75A4F" w14:textId="77777777" w:rsidR="009968E0" w:rsidRPr="009968E0" w:rsidRDefault="009968E0" w:rsidP="009968E0">
            <w:pPr>
              <w:rPr>
                <w:rFonts w:ascii="Calibri" w:eastAsia="Times New Roman" w:hAnsi="Calibri" w:cs="Calibri"/>
                <w:i/>
                <w:iCs/>
                <w:sz w:val="22"/>
                <w:szCs w:val="22"/>
                <w:lang w:eastAsia="en-GB"/>
              </w:rPr>
            </w:pPr>
          </w:p>
        </w:tc>
        <w:tc>
          <w:tcPr>
            <w:tcW w:w="1215" w:type="dxa"/>
            <w:tcBorders>
              <w:top w:val="nil"/>
              <w:left w:val="nil"/>
              <w:bottom w:val="single" w:sz="4" w:space="0" w:color="000000"/>
              <w:right w:val="single" w:sz="12" w:space="0" w:color="000000"/>
            </w:tcBorders>
            <w:shd w:val="clear" w:color="auto" w:fill="auto"/>
          </w:tcPr>
          <w:p w14:paraId="5E809198"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Upper Bound</w:t>
            </w:r>
          </w:p>
        </w:tc>
        <w:tc>
          <w:tcPr>
            <w:tcW w:w="950" w:type="dxa"/>
            <w:tcBorders>
              <w:top w:val="nil"/>
              <w:left w:val="nil"/>
              <w:bottom w:val="single" w:sz="4" w:space="0" w:color="000000"/>
              <w:right w:val="single" w:sz="4" w:space="0" w:color="000000"/>
            </w:tcBorders>
            <w:shd w:val="clear" w:color="auto" w:fill="auto"/>
            <w:vAlign w:val="center"/>
          </w:tcPr>
          <w:p w14:paraId="055E570E"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145.35</w:t>
            </w:r>
          </w:p>
        </w:tc>
        <w:tc>
          <w:tcPr>
            <w:tcW w:w="939" w:type="dxa"/>
            <w:tcBorders>
              <w:top w:val="nil"/>
              <w:left w:val="nil"/>
              <w:bottom w:val="single" w:sz="4" w:space="0" w:color="000000"/>
              <w:right w:val="single" w:sz="4" w:space="0" w:color="000000"/>
            </w:tcBorders>
            <w:shd w:val="clear" w:color="auto" w:fill="auto"/>
            <w:vAlign w:val="center"/>
          </w:tcPr>
          <w:p w14:paraId="0F3E579B"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139.39</w:t>
            </w:r>
          </w:p>
        </w:tc>
        <w:tc>
          <w:tcPr>
            <w:tcW w:w="1002" w:type="dxa"/>
            <w:tcBorders>
              <w:top w:val="nil"/>
              <w:left w:val="nil"/>
              <w:bottom w:val="single" w:sz="4" w:space="0" w:color="000000"/>
              <w:right w:val="single" w:sz="4" w:space="0" w:color="000000"/>
            </w:tcBorders>
            <w:shd w:val="clear" w:color="auto" w:fill="auto"/>
            <w:vAlign w:val="center"/>
          </w:tcPr>
          <w:p w14:paraId="65B38C87"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157.73</w:t>
            </w:r>
          </w:p>
        </w:tc>
        <w:tc>
          <w:tcPr>
            <w:tcW w:w="937" w:type="dxa"/>
            <w:tcBorders>
              <w:top w:val="nil"/>
              <w:left w:val="nil"/>
              <w:bottom w:val="single" w:sz="4" w:space="0" w:color="000000"/>
              <w:right w:val="single" w:sz="12" w:space="0" w:color="000000"/>
            </w:tcBorders>
            <w:shd w:val="clear" w:color="auto" w:fill="auto"/>
            <w:vAlign w:val="center"/>
          </w:tcPr>
          <w:p w14:paraId="3423123A"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130.87</w:t>
            </w:r>
          </w:p>
        </w:tc>
      </w:tr>
      <w:tr w:rsidR="009968E0" w:rsidRPr="009968E0" w14:paraId="04F9EA40" w14:textId="77777777" w:rsidTr="009968E0">
        <w:trPr>
          <w:trHeight w:val="360"/>
        </w:trPr>
        <w:tc>
          <w:tcPr>
            <w:tcW w:w="9064" w:type="dxa"/>
            <w:gridSpan w:val="7"/>
            <w:tcBorders>
              <w:top w:val="nil"/>
              <w:left w:val="single" w:sz="12" w:space="0" w:color="000000"/>
              <w:bottom w:val="single" w:sz="4" w:space="0" w:color="000000"/>
              <w:right w:val="single" w:sz="12" w:space="0" w:color="000000"/>
            </w:tcBorders>
            <w:shd w:val="clear" w:color="auto" w:fill="auto"/>
            <w:vAlign w:val="center"/>
          </w:tcPr>
          <w:p w14:paraId="641E99AA" w14:textId="77777777" w:rsidR="009968E0" w:rsidRPr="009968E0" w:rsidRDefault="009968E0" w:rsidP="009968E0">
            <w:pPr>
              <w:jc w:val="cente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p=0.725</w:t>
            </w:r>
          </w:p>
        </w:tc>
      </w:tr>
      <w:tr w:rsidR="009968E0" w:rsidRPr="009968E0" w14:paraId="16948384" w14:textId="77777777" w:rsidTr="009968E0">
        <w:trPr>
          <w:trHeight w:val="360"/>
        </w:trPr>
        <w:tc>
          <w:tcPr>
            <w:tcW w:w="1554" w:type="dxa"/>
            <w:vMerge w:val="restart"/>
            <w:tcBorders>
              <w:top w:val="nil"/>
              <w:left w:val="single" w:sz="12" w:space="0" w:color="000000"/>
              <w:bottom w:val="single" w:sz="4" w:space="0" w:color="000000"/>
              <w:right w:val="nil"/>
            </w:tcBorders>
            <w:shd w:val="clear" w:color="auto" w:fill="FDE9D9"/>
          </w:tcPr>
          <w:p w14:paraId="029C446A"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RBF-RThal2</w:t>
            </w:r>
          </w:p>
        </w:tc>
        <w:tc>
          <w:tcPr>
            <w:tcW w:w="3682" w:type="dxa"/>
            <w:gridSpan w:val="2"/>
            <w:tcBorders>
              <w:top w:val="nil"/>
              <w:left w:val="nil"/>
              <w:bottom w:val="single" w:sz="4" w:space="0" w:color="000000"/>
              <w:right w:val="single" w:sz="12" w:space="0" w:color="000000"/>
            </w:tcBorders>
            <w:shd w:val="clear" w:color="auto" w:fill="auto"/>
          </w:tcPr>
          <w:p w14:paraId="3FF93B99"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N</w:t>
            </w:r>
          </w:p>
        </w:tc>
        <w:tc>
          <w:tcPr>
            <w:tcW w:w="950" w:type="dxa"/>
            <w:tcBorders>
              <w:top w:val="nil"/>
              <w:left w:val="nil"/>
              <w:bottom w:val="single" w:sz="4" w:space="0" w:color="000000"/>
              <w:right w:val="single" w:sz="4" w:space="0" w:color="000000"/>
            </w:tcBorders>
            <w:shd w:val="clear" w:color="auto" w:fill="auto"/>
            <w:vAlign w:val="center"/>
          </w:tcPr>
          <w:p w14:paraId="5770330D"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w:t>
            </w:r>
          </w:p>
        </w:tc>
        <w:tc>
          <w:tcPr>
            <w:tcW w:w="939" w:type="dxa"/>
            <w:tcBorders>
              <w:top w:val="nil"/>
              <w:left w:val="nil"/>
              <w:bottom w:val="single" w:sz="4" w:space="0" w:color="000000"/>
              <w:right w:val="single" w:sz="4" w:space="0" w:color="000000"/>
            </w:tcBorders>
            <w:shd w:val="clear" w:color="auto" w:fill="auto"/>
            <w:vAlign w:val="center"/>
          </w:tcPr>
          <w:p w14:paraId="06635BBC"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23</w:t>
            </w:r>
          </w:p>
        </w:tc>
        <w:tc>
          <w:tcPr>
            <w:tcW w:w="1002" w:type="dxa"/>
            <w:tcBorders>
              <w:top w:val="nil"/>
              <w:left w:val="nil"/>
              <w:bottom w:val="single" w:sz="4" w:space="0" w:color="000000"/>
              <w:right w:val="single" w:sz="4" w:space="0" w:color="000000"/>
            </w:tcBorders>
            <w:shd w:val="clear" w:color="auto" w:fill="auto"/>
            <w:vAlign w:val="center"/>
          </w:tcPr>
          <w:p w14:paraId="2CC2DEE4"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w:t>
            </w:r>
          </w:p>
        </w:tc>
        <w:tc>
          <w:tcPr>
            <w:tcW w:w="937" w:type="dxa"/>
            <w:tcBorders>
              <w:top w:val="nil"/>
              <w:left w:val="nil"/>
              <w:bottom w:val="single" w:sz="4" w:space="0" w:color="000000"/>
              <w:right w:val="single" w:sz="12" w:space="0" w:color="000000"/>
            </w:tcBorders>
            <w:shd w:val="clear" w:color="auto" w:fill="auto"/>
            <w:vAlign w:val="center"/>
          </w:tcPr>
          <w:p w14:paraId="4AED8F05"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w:t>
            </w:r>
          </w:p>
        </w:tc>
      </w:tr>
      <w:tr w:rsidR="009968E0" w:rsidRPr="009968E0" w14:paraId="020F2693" w14:textId="77777777" w:rsidTr="009968E0">
        <w:trPr>
          <w:trHeight w:val="360"/>
        </w:trPr>
        <w:tc>
          <w:tcPr>
            <w:tcW w:w="1554" w:type="dxa"/>
            <w:vMerge/>
            <w:tcBorders>
              <w:top w:val="nil"/>
              <w:left w:val="single" w:sz="12" w:space="0" w:color="000000"/>
              <w:bottom w:val="single" w:sz="4" w:space="0" w:color="000000"/>
              <w:right w:val="nil"/>
            </w:tcBorders>
            <w:shd w:val="clear" w:color="auto" w:fill="FDE9D9"/>
          </w:tcPr>
          <w:p w14:paraId="5A862A7B" w14:textId="77777777" w:rsidR="009968E0" w:rsidRPr="009968E0" w:rsidRDefault="009968E0" w:rsidP="009968E0">
            <w:pPr>
              <w:rPr>
                <w:rFonts w:ascii="Calibri" w:eastAsia="Times New Roman" w:hAnsi="Calibri" w:cs="Calibri"/>
                <w:i/>
                <w:iCs/>
                <w:sz w:val="22"/>
                <w:szCs w:val="22"/>
                <w:lang w:eastAsia="en-GB"/>
              </w:rPr>
            </w:pPr>
          </w:p>
        </w:tc>
        <w:tc>
          <w:tcPr>
            <w:tcW w:w="3682" w:type="dxa"/>
            <w:gridSpan w:val="2"/>
            <w:tcBorders>
              <w:top w:val="nil"/>
              <w:left w:val="nil"/>
              <w:bottom w:val="single" w:sz="4" w:space="0" w:color="000000"/>
              <w:right w:val="single" w:sz="12" w:space="0" w:color="000000"/>
            </w:tcBorders>
            <w:shd w:val="clear" w:color="auto" w:fill="auto"/>
          </w:tcPr>
          <w:p w14:paraId="68188E1E"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Mean</w:t>
            </w:r>
          </w:p>
        </w:tc>
        <w:tc>
          <w:tcPr>
            <w:tcW w:w="950" w:type="dxa"/>
            <w:tcBorders>
              <w:top w:val="nil"/>
              <w:left w:val="nil"/>
              <w:bottom w:val="single" w:sz="4" w:space="0" w:color="000000"/>
              <w:right w:val="single" w:sz="4" w:space="0" w:color="000000"/>
            </w:tcBorders>
            <w:shd w:val="clear" w:color="auto" w:fill="auto"/>
            <w:vAlign w:val="center"/>
          </w:tcPr>
          <w:p w14:paraId="11110226"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126.26</w:t>
            </w:r>
          </w:p>
        </w:tc>
        <w:tc>
          <w:tcPr>
            <w:tcW w:w="939" w:type="dxa"/>
            <w:tcBorders>
              <w:top w:val="nil"/>
              <w:left w:val="nil"/>
              <w:bottom w:val="single" w:sz="4" w:space="0" w:color="000000"/>
              <w:right w:val="single" w:sz="4" w:space="0" w:color="000000"/>
            </w:tcBorders>
            <w:shd w:val="clear" w:color="auto" w:fill="auto"/>
            <w:vAlign w:val="center"/>
          </w:tcPr>
          <w:p w14:paraId="548C18D6"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119.02</w:t>
            </w:r>
          </w:p>
        </w:tc>
        <w:tc>
          <w:tcPr>
            <w:tcW w:w="1002" w:type="dxa"/>
            <w:tcBorders>
              <w:top w:val="nil"/>
              <w:left w:val="nil"/>
              <w:bottom w:val="single" w:sz="4" w:space="0" w:color="000000"/>
              <w:right w:val="single" w:sz="4" w:space="0" w:color="000000"/>
            </w:tcBorders>
            <w:shd w:val="clear" w:color="auto" w:fill="auto"/>
            <w:vAlign w:val="center"/>
          </w:tcPr>
          <w:p w14:paraId="1DA1A9F4"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121.21</w:t>
            </w:r>
          </w:p>
        </w:tc>
        <w:tc>
          <w:tcPr>
            <w:tcW w:w="937" w:type="dxa"/>
            <w:tcBorders>
              <w:top w:val="nil"/>
              <w:left w:val="nil"/>
              <w:bottom w:val="single" w:sz="4" w:space="0" w:color="000000"/>
              <w:right w:val="single" w:sz="12" w:space="0" w:color="000000"/>
            </w:tcBorders>
            <w:shd w:val="clear" w:color="auto" w:fill="auto"/>
            <w:vAlign w:val="center"/>
          </w:tcPr>
          <w:p w14:paraId="5E01B1CE"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108.81</w:t>
            </w:r>
          </w:p>
        </w:tc>
      </w:tr>
      <w:tr w:rsidR="009968E0" w:rsidRPr="009968E0" w14:paraId="6C5F7B9E" w14:textId="77777777" w:rsidTr="009968E0">
        <w:trPr>
          <w:trHeight w:val="360"/>
        </w:trPr>
        <w:tc>
          <w:tcPr>
            <w:tcW w:w="1554" w:type="dxa"/>
            <w:vMerge/>
            <w:tcBorders>
              <w:top w:val="nil"/>
              <w:left w:val="single" w:sz="12" w:space="0" w:color="000000"/>
              <w:bottom w:val="single" w:sz="4" w:space="0" w:color="000000"/>
              <w:right w:val="nil"/>
            </w:tcBorders>
            <w:shd w:val="clear" w:color="auto" w:fill="FDE9D9"/>
          </w:tcPr>
          <w:p w14:paraId="1A4776C0" w14:textId="77777777" w:rsidR="009968E0" w:rsidRPr="009968E0" w:rsidRDefault="009968E0" w:rsidP="009968E0">
            <w:pPr>
              <w:rPr>
                <w:rFonts w:ascii="Calibri" w:eastAsia="Times New Roman" w:hAnsi="Calibri" w:cs="Calibri"/>
                <w:i/>
                <w:iCs/>
                <w:sz w:val="22"/>
                <w:szCs w:val="22"/>
                <w:lang w:eastAsia="en-GB"/>
              </w:rPr>
            </w:pPr>
          </w:p>
        </w:tc>
        <w:tc>
          <w:tcPr>
            <w:tcW w:w="2467" w:type="dxa"/>
            <w:vMerge w:val="restart"/>
            <w:tcBorders>
              <w:top w:val="nil"/>
              <w:left w:val="nil"/>
              <w:bottom w:val="single" w:sz="4" w:space="0" w:color="000000"/>
              <w:right w:val="nil"/>
            </w:tcBorders>
            <w:shd w:val="clear" w:color="auto" w:fill="auto"/>
          </w:tcPr>
          <w:p w14:paraId="42A350B6"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95% Confidence Interval for Mean</w:t>
            </w:r>
          </w:p>
        </w:tc>
        <w:tc>
          <w:tcPr>
            <w:tcW w:w="1215" w:type="dxa"/>
            <w:tcBorders>
              <w:top w:val="nil"/>
              <w:left w:val="nil"/>
              <w:bottom w:val="nil"/>
              <w:right w:val="single" w:sz="12" w:space="0" w:color="000000"/>
            </w:tcBorders>
            <w:shd w:val="clear" w:color="auto" w:fill="auto"/>
          </w:tcPr>
          <w:p w14:paraId="0E5C2000"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Lower Bound</w:t>
            </w:r>
          </w:p>
        </w:tc>
        <w:tc>
          <w:tcPr>
            <w:tcW w:w="950" w:type="dxa"/>
            <w:tcBorders>
              <w:top w:val="nil"/>
              <w:left w:val="nil"/>
              <w:bottom w:val="nil"/>
              <w:right w:val="single" w:sz="4" w:space="0" w:color="000000"/>
            </w:tcBorders>
            <w:shd w:val="clear" w:color="auto" w:fill="auto"/>
            <w:vAlign w:val="center"/>
          </w:tcPr>
          <w:p w14:paraId="7F445738"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103.94</w:t>
            </w:r>
          </w:p>
        </w:tc>
        <w:tc>
          <w:tcPr>
            <w:tcW w:w="939" w:type="dxa"/>
            <w:tcBorders>
              <w:top w:val="nil"/>
              <w:left w:val="nil"/>
              <w:bottom w:val="nil"/>
              <w:right w:val="single" w:sz="4" w:space="0" w:color="000000"/>
            </w:tcBorders>
            <w:shd w:val="clear" w:color="auto" w:fill="auto"/>
            <w:vAlign w:val="center"/>
          </w:tcPr>
          <w:p w14:paraId="7BD2FA86"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103.46</w:t>
            </w:r>
          </w:p>
        </w:tc>
        <w:tc>
          <w:tcPr>
            <w:tcW w:w="1002" w:type="dxa"/>
            <w:tcBorders>
              <w:top w:val="nil"/>
              <w:left w:val="nil"/>
              <w:bottom w:val="nil"/>
              <w:right w:val="single" w:sz="4" w:space="0" w:color="000000"/>
            </w:tcBorders>
            <w:shd w:val="clear" w:color="auto" w:fill="auto"/>
            <w:vAlign w:val="center"/>
          </w:tcPr>
          <w:p w14:paraId="67E1D832"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83.24</w:t>
            </w:r>
          </w:p>
        </w:tc>
        <w:tc>
          <w:tcPr>
            <w:tcW w:w="937" w:type="dxa"/>
            <w:tcBorders>
              <w:top w:val="nil"/>
              <w:left w:val="nil"/>
              <w:bottom w:val="nil"/>
              <w:right w:val="single" w:sz="12" w:space="0" w:color="000000"/>
            </w:tcBorders>
            <w:shd w:val="clear" w:color="auto" w:fill="auto"/>
            <w:vAlign w:val="center"/>
          </w:tcPr>
          <w:p w14:paraId="5E2FD732"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89.80</w:t>
            </w:r>
          </w:p>
        </w:tc>
      </w:tr>
      <w:tr w:rsidR="009968E0" w:rsidRPr="009968E0" w14:paraId="2643EAF6" w14:textId="77777777" w:rsidTr="009968E0">
        <w:trPr>
          <w:trHeight w:val="360"/>
        </w:trPr>
        <w:tc>
          <w:tcPr>
            <w:tcW w:w="1554" w:type="dxa"/>
            <w:vMerge/>
            <w:tcBorders>
              <w:top w:val="nil"/>
              <w:left w:val="single" w:sz="12" w:space="0" w:color="000000"/>
              <w:bottom w:val="single" w:sz="4" w:space="0" w:color="000000"/>
              <w:right w:val="nil"/>
            </w:tcBorders>
            <w:shd w:val="clear" w:color="auto" w:fill="FDE9D9"/>
          </w:tcPr>
          <w:p w14:paraId="2616502A" w14:textId="77777777" w:rsidR="009968E0" w:rsidRPr="009968E0" w:rsidRDefault="009968E0" w:rsidP="009968E0">
            <w:pPr>
              <w:rPr>
                <w:rFonts w:ascii="Calibri" w:eastAsia="Times New Roman" w:hAnsi="Calibri" w:cs="Calibri"/>
                <w:i/>
                <w:iCs/>
                <w:sz w:val="22"/>
                <w:szCs w:val="22"/>
                <w:lang w:eastAsia="en-GB"/>
              </w:rPr>
            </w:pPr>
          </w:p>
        </w:tc>
        <w:tc>
          <w:tcPr>
            <w:tcW w:w="2467" w:type="dxa"/>
            <w:vMerge/>
            <w:tcBorders>
              <w:top w:val="nil"/>
              <w:left w:val="nil"/>
              <w:bottom w:val="single" w:sz="4" w:space="0" w:color="000000"/>
              <w:right w:val="nil"/>
            </w:tcBorders>
            <w:shd w:val="clear" w:color="auto" w:fill="auto"/>
          </w:tcPr>
          <w:p w14:paraId="410E2729" w14:textId="77777777" w:rsidR="009968E0" w:rsidRPr="009968E0" w:rsidRDefault="009968E0" w:rsidP="009968E0">
            <w:pPr>
              <w:rPr>
                <w:rFonts w:ascii="Calibri" w:eastAsia="Times New Roman" w:hAnsi="Calibri" w:cs="Calibri"/>
                <w:i/>
                <w:iCs/>
                <w:sz w:val="22"/>
                <w:szCs w:val="22"/>
                <w:lang w:eastAsia="en-GB"/>
              </w:rPr>
            </w:pPr>
          </w:p>
        </w:tc>
        <w:tc>
          <w:tcPr>
            <w:tcW w:w="1215" w:type="dxa"/>
            <w:tcBorders>
              <w:top w:val="nil"/>
              <w:left w:val="nil"/>
              <w:bottom w:val="single" w:sz="4" w:space="0" w:color="000000"/>
              <w:right w:val="single" w:sz="12" w:space="0" w:color="000000"/>
            </w:tcBorders>
            <w:shd w:val="clear" w:color="auto" w:fill="auto"/>
          </w:tcPr>
          <w:p w14:paraId="570129CF"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Upper Bound</w:t>
            </w:r>
          </w:p>
        </w:tc>
        <w:tc>
          <w:tcPr>
            <w:tcW w:w="950" w:type="dxa"/>
            <w:tcBorders>
              <w:top w:val="nil"/>
              <w:left w:val="nil"/>
              <w:bottom w:val="single" w:sz="4" w:space="0" w:color="000000"/>
              <w:right w:val="single" w:sz="4" w:space="0" w:color="000000"/>
            </w:tcBorders>
            <w:shd w:val="clear" w:color="auto" w:fill="auto"/>
            <w:vAlign w:val="center"/>
          </w:tcPr>
          <w:p w14:paraId="62ADC2D6"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148.59</w:t>
            </w:r>
          </w:p>
        </w:tc>
        <w:tc>
          <w:tcPr>
            <w:tcW w:w="939" w:type="dxa"/>
            <w:tcBorders>
              <w:top w:val="nil"/>
              <w:left w:val="nil"/>
              <w:bottom w:val="single" w:sz="4" w:space="0" w:color="000000"/>
              <w:right w:val="single" w:sz="4" w:space="0" w:color="000000"/>
            </w:tcBorders>
            <w:shd w:val="clear" w:color="auto" w:fill="auto"/>
            <w:vAlign w:val="center"/>
          </w:tcPr>
          <w:p w14:paraId="3F188760"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134.57</w:t>
            </w:r>
          </w:p>
        </w:tc>
        <w:tc>
          <w:tcPr>
            <w:tcW w:w="1002" w:type="dxa"/>
            <w:tcBorders>
              <w:top w:val="nil"/>
              <w:left w:val="nil"/>
              <w:bottom w:val="single" w:sz="4" w:space="0" w:color="000000"/>
              <w:right w:val="single" w:sz="4" w:space="0" w:color="000000"/>
            </w:tcBorders>
            <w:shd w:val="clear" w:color="auto" w:fill="auto"/>
            <w:vAlign w:val="center"/>
          </w:tcPr>
          <w:p w14:paraId="2B0E3C7A"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159.17</w:t>
            </w:r>
          </w:p>
        </w:tc>
        <w:tc>
          <w:tcPr>
            <w:tcW w:w="937" w:type="dxa"/>
            <w:tcBorders>
              <w:top w:val="nil"/>
              <w:left w:val="nil"/>
              <w:bottom w:val="single" w:sz="4" w:space="0" w:color="000000"/>
              <w:right w:val="single" w:sz="12" w:space="0" w:color="000000"/>
            </w:tcBorders>
            <w:shd w:val="clear" w:color="auto" w:fill="auto"/>
            <w:vAlign w:val="center"/>
          </w:tcPr>
          <w:p w14:paraId="5C32DC8D"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127.81</w:t>
            </w:r>
          </w:p>
        </w:tc>
      </w:tr>
      <w:tr w:rsidR="009968E0" w:rsidRPr="009968E0" w14:paraId="1DF94AC1" w14:textId="77777777" w:rsidTr="009968E0">
        <w:trPr>
          <w:trHeight w:val="360"/>
        </w:trPr>
        <w:tc>
          <w:tcPr>
            <w:tcW w:w="9064" w:type="dxa"/>
            <w:gridSpan w:val="7"/>
            <w:tcBorders>
              <w:top w:val="nil"/>
              <w:left w:val="single" w:sz="12" w:space="0" w:color="000000"/>
              <w:bottom w:val="single" w:sz="4" w:space="0" w:color="000000"/>
              <w:right w:val="single" w:sz="12" w:space="0" w:color="000000"/>
            </w:tcBorders>
            <w:shd w:val="clear" w:color="auto" w:fill="auto"/>
            <w:vAlign w:val="center"/>
          </w:tcPr>
          <w:p w14:paraId="16999BC3" w14:textId="77777777" w:rsidR="009968E0" w:rsidRPr="009968E0" w:rsidRDefault="009968E0" w:rsidP="009968E0">
            <w:pPr>
              <w:jc w:val="cente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p=0.686</w:t>
            </w:r>
          </w:p>
        </w:tc>
      </w:tr>
      <w:tr w:rsidR="009968E0" w:rsidRPr="009968E0" w14:paraId="3900C1AC" w14:textId="77777777" w:rsidTr="009968E0">
        <w:trPr>
          <w:trHeight w:val="360"/>
        </w:trPr>
        <w:tc>
          <w:tcPr>
            <w:tcW w:w="1554" w:type="dxa"/>
            <w:vMerge w:val="restart"/>
            <w:tcBorders>
              <w:top w:val="nil"/>
              <w:left w:val="single" w:sz="12" w:space="0" w:color="000000"/>
              <w:bottom w:val="single" w:sz="4" w:space="0" w:color="000000"/>
              <w:right w:val="nil"/>
            </w:tcBorders>
            <w:shd w:val="clear" w:color="auto" w:fill="FDE9D9"/>
          </w:tcPr>
          <w:p w14:paraId="7FB58974"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RBF-LINS2</w:t>
            </w:r>
          </w:p>
        </w:tc>
        <w:tc>
          <w:tcPr>
            <w:tcW w:w="3682" w:type="dxa"/>
            <w:gridSpan w:val="2"/>
            <w:tcBorders>
              <w:top w:val="nil"/>
              <w:left w:val="nil"/>
              <w:bottom w:val="single" w:sz="4" w:space="0" w:color="000000"/>
              <w:right w:val="single" w:sz="12" w:space="0" w:color="000000"/>
            </w:tcBorders>
            <w:shd w:val="clear" w:color="auto" w:fill="auto"/>
          </w:tcPr>
          <w:p w14:paraId="726721F2"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N</w:t>
            </w:r>
          </w:p>
        </w:tc>
        <w:tc>
          <w:tcPr>
            <w:tcW w:w="950" w:type="dxa"/>
            <w:tcBorders>
              <w:top w:val="nil"/>
              <w:left w:val="nil"/>
              <w:bottom w:val="single" w:sz="4" w:space="0" w:color="000000"/>
              <w:right w:val="single" w:sz="4" w:space="0" w:color="000000"/>
            </w:tcBorders>
            <w:shd w:val="clear" w:color="auto" w:fill="auto"/>
            <w:vAlign w:val="center"/>
          </w:tcPr>
          <w:p w14:paraId="798E3606"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w:t>
            </w:r>
          </w:p>
        </w:tc>
        <w:tc>
          <w:tcPr>
            <w:tcW w:w="939" w:type="dxa"/>
            <w:tcBorders>
              <w:top w:val="nil"/>
              <w:left w:val="nil"/>
              <w:bottom w:val="single" w:sz="4" w:space="0" w:color="000000"/>
              <w:right w:val="single" w:sz="4" w:space="0" w:color="000000"/>
            </w:tcBorders>
            <w:shd w:val="clear" w:color="auto" w:fill="auto"/>
            <w:vAlign w:val="center"/>
          </w:tcPr>
          <w:p w14:paraId="5FBB80C9"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23</w:t>
            </w:r>
          </w:p>
        </w:tc>
        <w:tc>
          <w:tcPr>
            <w:tcW w:w="1002" w:type="dxa"/>
            <w:tcBorders>
              <w:top w:val="nil"/>
              <w:left w:val="nil"/>
              <w:bottom w:val="single" w:sz="4" w:space="0" w:color="000000"/>
              <w:right w:val="single" w:sz="4" w:space="0" w:color="000000"/>
            </w:tcBorders>
            <w:shd w:val="clear" w:color="auto" w:fill="auto"/>
            <w:vAlign w:val="center"/>
          </w:tcPr>
          <w:p w14:paraId="37487B8F"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w:t>
            </w:r>
          </w:p>
        </w:tc>
        <w:tc>
          <w:tcPr>
            <w:tcW w:w="937" w:type="dxa"/>
            <w:tcBorders>
              <w:top w:val="nil"/>
              <w:left w:val="nil"/>
              <w:bottom w:val="single" w:sz="4" w:space="0" w:color="000000"/>
              <w:right w:val="single" w:sz="12" w:space="0" w:color="000000"/>
            </w:tcBorders>
            <w:shd w:val="clear" w:color="auto" w:fill="auto"/>
            <w:vAlign w:val="center"/>
          </w:tcPr>
          <w:p w14:paraId="72B8DCEF"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w:t>
            </w:r>
          </w:p>
        </w:tc>
      </w:tr>
      <w:tr w:rsidR="009968E0" w:rsidRPr="009968E0" w14:paraId="4B2675E0" w14:textId="77777777" w:rsidTr="009968E0">
        <w:trPr>
          <w:trHeight w:val="360"/>
        </w:trPr>
        <w:tc>
          <w:tcPr>
            <w:tcW w:w="1554" w:type="dxa"/>
            <w:vMerge/>
            <w:tcBorders>
              <w:top w:val="nil"/>
              <w:left w:val="single" w:sz="12" w:space="0" w:color="000000"/>
              <w:bottom w:val="single" w:sz="4" w:space="0" w:color="000000"/>
              <w:right w:val="nil"/>
            </w:tcBorders>
            <w:shd w:val="clear" w:color="auto" w:fill="FDE9D9"/>
          </w:tcPr>
          <w:p w14:paraId="6D12BF45" w14:textId="77777777" w:rsidR="009968E0" w:rsidRPr="009968E0" w:rsidRDefault="009968E0" w:rsidP="009968E0">
            <w:pPr>
              <w:rPr>
                <w:rFonts w:ascii="Calibri" w:eastAsia="Times New Roman" w:hAnsi="Calibri" w:cs="Calibri"/>
                <w:i/>
                <w:iCs/>
                <w:sz w:val="22"/>
                <w:szCs w:val="22"/>
                <w:lang w:eastAsia="en-GB"/>
              </w:rPr>
            </w:pPr>
          </w:p>
        </w:tc>
        <w:tc>
          <w:tcPr>
            <w:tcW w:w="3682" w:type="dxa"/>
            <w:gridSpan w:val="2"/>
            <w:tcBorders>
              <w:top w:val="nil"/>
              <w:left w:val="nil"/>
              <w:bottom w:val="single" w:sz="4" w:space="0" w:color="000000"/>
              <w:right w:val="single" w:sz="12" w:space="0" w:color="000000"/>
            </w:tcBorders>
            <w:shd w:val="clear" w:color="auto" w:fill="auto"/>
          </w:tcPr>
          <w:p w14:paraId="0340A777"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Mean</w:t>
            </w:r>
          </w:p>
        </w:tc>
        <w:tc>
          <w:tcPr>
            <w:tcW w:w="950" w:type="dxa"/>
            <w:tcBorders>
              <w:top w:val="nil"/>
              <w:left w:val="nil"/>
              <w:bottom w:val="single" w:sz="4" w:space="0" w:color="000000"/>
              <w:right w:val="single" w:sz="4" w:space="0" w:color="000000"/>
            </w:tcBorders>
            <w:shd w:val="clear" w:color="auto" w:fill="auto"/>
            <w:vAlign w:val="center"/>
          </w:tcPr>
          <w:p w14:paraId="62653B32"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234.23</w:t>
            </w:r>
          </w:p>
        </w:tc>
        <w:tc>
          <w:tcPr>
            <w:tcW w:w="939" w:type="dxa"/>
            <w:tcBorders>
              <w:top w:val="nil"/>
              <w:left w:val="nil"/>
              <w:bottom w:val="single" w:sz="4" w:space="0" w:color="000000"/>
              <w:right w:val="single" w:sz="4" w:space="0" w:color="000000"/>
            </w:tcBorders>
            <w:shd w:val="clear" w:color="auto" w:fill="auto"/>
            <w:vAlign w:val="center"/>
          </w:tcPr>
          <w:p w14:paraId="609CEB7E"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234.96</w:t>
            </w:r>
          </w:p>
        </w:tc>
        <w:tc>
          <w:tcPr>
            <w:tcW w:w="1002" w:type="dxa"/>
            <w:tcBorders>
              <w:top w:val="nil"/>
              <w:left w:val="nil"/>
              <w:bottom w:val="single" w:sz="4" w:space="0" w:color="000000"/>
              <w:right w:val="single" w:sz="4" w:space="0" w:color="000000"/>
            </w:tcBorders>
            <w:shd w:val="clear" w:color="auto" w:fill="auto"/>
            <w:vAlign w:val="center"/>
          </w:tcPr>
          <w:p w14:paraId="7F033B0E"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216.89</w:t>
            </w:r>
          </w:p>
        </w:tc>
        <w:tc>
          <w:tcPr>
            <w:tcW w:w="937" w:type="dxa"/>
            <w:tcBorders>
              <w:top w:val="nil"/>
              <w:left w:val="nil"/>
              <w:bottom w:val="single" w:sz="4" w:space="0" w:color="000000"/>
              <w:right w:val="single" w:sz="12" w:space="0" w:color="000000"/>
            </w:tcBorders>
            <w:shd w:val="clear" w:color="auto" w:fill="auto"/>
            <w:vAlign w:val="center"/>
          </w:tcPr>
          <w:p w14:paraId="39FD72B6"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214.74</w:t>
            </w:r>
          </w:p>
        </w:tc>
      </w:tr>
      <w:tr w:rsidR="009968E0" w:rsidRPr="009968E0" w14:paraId="559D8D8F" w14:textId="77777777" w:rsidTr="009968E0">
        <w:trPr>
          <w:trHeight w:val="360"/>
        </w:trPr>
        <w:tc>
          <w:tcPr>
            <w:tcW w:w="1554" w:type="dxa"/>
            <w:vMerge/>
            <w:tcBorders>
              <w:top w:val="nil"/>
              <w:left w:val="single" w:sz="12" w:space="0" w:color="000000"/>
              <w:bottom w:val="single" w:sz="4" w:space="0" w:color="000000"/>
              <w:right w:val="nil"/>
            </w:tcBorders>
            <w:shd w:val="clear" w:color="auto" w:fill="FDE9D9"/>
          </w:tcPr>
          <w:p w14:paraId="1D84F056" w14:textId="77777777" w:rsidR="009968E0" w:rsidRPr="009968E0" w:rsidRDefault="009968E0" w:rsidP="009968E0">
            <w:pPr>
              <w:rPr>
                <w:rFonts w:ascii="Calibri" w:eastAsia="Times New Roman" w:hAnsi="Calibri" w:cs="Calibri"/>
                <w:i/>
                <w:iCs/>
                <w:sz w:val="22"/>
                <w:szCs w:val="22"/>
                <w:lang w:eastAsia="en-GB"/>
              </w:rPr>
            </w:pPr>
          </w:p>
        </w:tc>
        <w:tc>
          <w:tcPr>
            <w:tcW w:w="2467" w:type="dxa"/>
            <w:vMerge w:val="restart"/>
            <w:tcBorders>
              <w:top w:val="nil"/>
              <w:left w:val="nil"/>
              <w:bottom w:val="single" w:sz="4" w:space="0" w:color="000000"/>
              <w:right w:val="nil"/>
            </w:tcBorders>
            <w:shd w:val="clear" w:color="auto" w:fill="auto"/>
          </w:tcPr>
          <w:p w14:paraId="1004E48B"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95% Confidence Interval for Mean</w:t>
            </w:r>
          </w:p>
        </w:tc>
        <w:tc>
          <w:tcPr>
            <w:tcW w:w="1215" w:type="dxa"/>
            <w:tcBorders>
              <w:top w:val="nil"/>
              <w:left w:val="nil"/>
              <w:bottom w:val="nil"/>
              <w:right w:val="single" w:sz="12" w:space="0" w:color="000000"/>
            </w:tcBorders>
            <w:shd w:val="clear" w:color="auto" w:fill="auto"/>
          </w:tcPr>
          <w:p w14:paraId="26C05F0C"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Lower Bound</w:t>
            </w:r>
          </w:p>
        </w:tc>
        <w:tc>
          <w:tcPr>
            <w:tcW w:w="950" w:type="dxa"/>
            <w:tcBorders>
              <w:top w:val="nil"/>
              <w:left w:val="nil"/>
              <w:bottom w:val="nil"/>
              <w:right w:val="single" w:sz="4" w:space="0" w:color="000000"/>
            </w:tcBorders>
            <w:shd w:val="clear" w:color="auto" w:fill="auto"/>
            <w:vAlign w:val="center"/>
          </w:tcPr>
          <w:p w14:paraId="3D0B0BD4"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204.07</w:t>
            </w:r>
          </w:p>
        </w:tc>
        <w:tc>
          <w:tcPr>
            <w:tcW w:w="939" w:type="dxa"/>
            <w:tcBorders>
              <w:top w:val="nil"/>
              <w:left w:val="nil"/>
              <w:bottom w:val="nil"/>
              <w:right w:val="single" w:sz="4" w:space="0" w:color="000000"/>
            </w:tcBorders>
            <w:shd w:val="clear" w:color="auto" w:fill="auto"/>
            <w:vAlign w:val="center"/>
          </w:tcPr>
          <w:p w14:paraId="6BD18DE4"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200.39</w:t>
            </w:r>
          </w:p>
        </w:tc>
        <w:tc>
          <w:tcPr>
            <w:tcW w:w="1002" w:type="dxa"/>
            <w:tcBorders>
              <w:top w:val="nil"/>
              <w:left w:val="nil"/>
              <w:bottom w:val="nil"/>
              <w:right w:val="single" w:sz="4" w:space="0" w:color="000000"/>
            </w:tcBorders>
            <w:shd w:val="clear" w:color="auto" w:fill="auto"/>
            <w:vAlign w:val="center"/>
          </w:tcPr>
          <w:p w14:paraId="613D67C6"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174.62</w:t>
            </w:r>
          </w:p>
        </w:tc>
        <w:tc>
          <w:tcPr>
            <w:tcW w:w="937" w:type="dxa"/>
            <w:tcBorders>
              <w:top w:val="nil"/>
              <w:left w:val="nil"/>
              <w:bottom w:val="nil"/>
              <w:right w:val="single" w:sz="12" w:space="0" w:color="000000"/>
            </w:tcBorders>
            <w:shd w:val="clear" w:color="auto" w:fill="auto"/>
            <w:vAlign w:val="center"/>
          </w:tcPr>
          <w:p w14:paraId="0BC31231"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183.33</w:t>
            </w:r>
          </w:p>
        </w:tc>
      </w:tr>
      <w:tr w:rsidR="009968E0" w:rsidRPr="009968E0" w14:paraId="6D6818E6" w14:textId="77777777" w:rsidTr="009968E0">
        <w:trPr>
          <w:trHeight w:val="360"/>
        </w:trPr>
        <w:tc>
          <w:tcPr>
            <w:tcW w:w="1554" w:type="dxa"/>
            <w:vMerge/>
            <w:tcBorders>
              <w:top w:val="nil"/>
              <w:left w:val="single" w:sz="12" w:space="0" w:color="000000"/>
              <w:bottom w:val="single" w:sz="4" w:space="0" w:color="000000"/>
              <w:right w:val="nil"/>
            </w:tcBorders>
            <w:shd w:val="clear" w:color="auto" w:fill="FDE9D9"/>
          </w:tcPr>
          <w:p w14:paraId="184C83CA" w14:textId="77777777" w:rsidR="009968E0" w:rsidRPr="009968E0" w:rsidRDefault="009968E0" w:rsidP="009968E0">
            <w:pPr>
              <w:rPr>
                <w:rFonts w:ascii="Calibri" w:eastAsia="Times New Roman" w:hAnsi="Calibri" w:cs="Calibri"/>
                <w:i/>
                <w:iCs/>
                <w:sz w:val="22"/>
                <w:szCs w:val="22"/>
                <w:lang w:eastAsia="en-GB"/>
              </w:rPr>
            </w:pPr>
          </w:p>
        </w:tc>
        <w:tc>
          <w:tcPr>
            <w:tcW w:w="2467" w:type="dxa"/>
            <w:vMerge/>
            <w:tcBorders>
              <w:top w:val="nil"/>
              <w:left w:val="nil"/>
              <w:bottom w:val="single" w:sz="4" w:space="0" w:color="000000"/>
              <w:right w:val="nil"/>
            </w:tcBorders>
            <w:shd w:val="clear" w:color="auto" w:fill="auto"/>
          </w:tcPr>
          <w:p w14:paraId="4A6891E2" w14:textId="77777777" w:rsidR="009968E0" w:rsidRPr="009968E0" w:rsidRDefault="009968E0" w:rsidP="009968E0">
            <w:pPr>
              <w:rPr>
                <w:rFonts w:ascii="Calibri" w:eastAsia="Times New Roman" w:hAnsi="Calibri" w:cs="Calibri"/>
                <w:i/>
                <w:iCs/>
                <w:sz w:val="22"/>
                <w:szCs w:val="22"/>
                <w:lang w:eastAsia="en-GB"/>
              </w:rPr>
            </w:pPr>
          </w:p>
        </w:tc>
        <w:tc>
          <w:tcPr>
            <w:tcW w:w="1215" w:type="dxa"/>
            <w:tcBorders>
              <w:top w:val="nil"/>
              <w:left w:val="nil"/>
              <w:bottom w:val="single" w:sz="4" w:space="0" w:color="000000"/>
              <w:right w:val="single" w:sz="12" w:space="0" w:color="000000"/>
            </w:tcBorders>
            <w:shd w:val="clear" w:color="auto" w:fill="auto"/>
          </w:tcPr>
          <w:p w14:paraId="28B1591B"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Upper Bound</w:t>
            </w:r>
          </w:p>
        </w:tc>
        <w:tc>
          <w:tcPr>
            <w:tcW w:w="950" w:type="dxa"/>
            <w:tcBorders>
              <w:top w:val="nil"/>
              <w:left w:val="nil"/>
              <w:bottom w:val="single" w:sz="4" w:space="0" w:color="000000"/>
              <w:right w:val="single" w:sz="4" w:space="0" w:color="000000"/>
            </w:tcBorders>
            <w:shd w:val="clear" w:color="auto" w:fill="auto"/>
            <w:vAlign w:val="center"/>
          </w:tcPr>
          <w:p w14:paraId="36B417A8"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264.39</w:t>
            </w:r>
          </w:p>
        </w:tc>
        <w:tc>
          <w:tcPr>
            <w:tcW w:w="939" w:type="dxa"/>
            <w:tcBorders>
              <w:top w:val="nil"/>
              <w:left w:val="nil"/>
              <w:bottom w:val="single" w:sz="4" w:space="0" w:color="000000"/>
              <w:right w:val="single" w:sz="4" w:space="0" w:color="000000"/>
            </w:tcBorders>
            <w:shd w:val="clear" w:color="auto" w:fill="auto"/>
            <w:vAlign w:val="center"/>
          </w:tcPr>
          <w:p w14:paraId="35FC605F"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269.53</w:t>
            </w:r>
          </w:p>
        </w:tc>
        <w:tc>
          <w:tcPr>
            <w:tcW w:w="1002" w:type="dxa"/>
            <w:tcBorders>
              <w:top w:val="nil"/>
              <w:left w:val="nil"/>
              <w:bottom w:val="single" w:sz="4" w:space="0" w:color="000000"/>
              <w:right w:val="single" w:sz="4" w:space="0" w:color="000000"/>
            </w:tcBorders>
            <w:shd w:val="clear" w:color="auto" w:fill="auto"/>
            <w:vAlign w:val="center"/>
          </w:tcPr>
          <w:p w14:paraId="2E09FC46"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259.16</w:t>
            </w:r>
          </w:p>
        </w:tc>
        <w:tc>
          <w:tcPr>
            <w:tcW w:w="937" w:type="dxa"/>
            <w:tcBorders>
              <w:top w:val="nil"/>
              <w:left w:val="nil"/>
              <w:bottom w:val="single" w:sz="4" w:space="0" w:color="000000"/>
              <w:right w:val="single" w:sz="12" w:space="0" w:color="000000"/>
            </w:tcBorders>
            <w:shd w:val="clear" w:color="auto" w:fill="auto"/>
            <w:vAlign w:val="center"/>
          </w:tcPr>
          <w:p w14:paraId="501FC226"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246.15</w:t>
            </w:r>
          </w:p>
        </w:tc>
      </w:tr>
      <w:tr w:rsidR="009968E0" w:rsidRPr="009968E0" w14:paraId="2C771A67" w14:textId="77777777" w:rsidTr="009968E0">
        <w:trPr>
          <w:trHeight w:val="360"/>
        </w:trPr>
        <w:tc>
          <w:tcPr>
            <w:tcW w:w="9064" w:type="dxa"/>
            <w:gridSpan w:val="7"/>
            <w:tcBorders>
              <w:top w:val="nil"/>
              <w:left w:val="single" w:sz="12" w:space="0" w:color="000000"/>
              <w:bottom w:val="single" w:sz="4" w:space="0" w:color="000000"/>
              <w:right w:val="single" w:sz="12" w:space="0" w:color="000000"/>
            </w:tcBorders>
            <w:shd w:val="clear" w:color="auto" w:fill="auto"/>
            <w:vAlign w:val="center"/>
          </w:tcPr>
          <w:p w14:paraId="4D901B60" w14:textId="77777777" w:rsidR="009968E0" w:rsidRPr="009968E0" w:rsidRDefault="009968E0" w:rsidP="009968E0">
            <w:pPr>
              <w:jc w:val="cente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p=0.721</w:t>
            </w:r>
          </w:p>
        </w:tc>
      </w:tr>
      <w:tr w:rsidR="009968E0" w:rsidRPr="009968E0" w14:paraId="6572D8B6" w14:textId="77777777" w:rsidTr="009968E0">
        <w:trPr>
          <w:trHeight w:val="360"/>
        </w:trPr>
        <w:tc>
          <w:tcPr>
            <w:tcW w:w="1554" w:type="dxa"/>
            <w:vMerge w:val="restart"/>
            <w:tcBorders>
              <w:top w:val="nil"/>
              <w:left w:val="single" w:sz="12" w:space="0" w:color="000000"/>
              <w:bottom w:val="single" w:sz="4" w:space="0" w:color="000000"/>
              <w:right w:val="nil"/>
            </w:tcBorders>
            <w:shd w:val="clear" w:color="auto" w:fill="FDE9D9"/>
          </w:tcPr>
          <w:p w14:paraId="703CA3CD"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RBF-RINS2</w:t>
            </w:r>
          </w:p>
        </w:tc>
        <w:tc>
          <w:tcPr>
            <w:tcW w:w="3682" w:type="dxa"/>
            <w:gridSpan w:val="2"/>
            <w:tcBorders>
              <w:top w:val="nil"/>
              <w:left w:val="nil"/>
              <w:bottom w:val="single" w:sz="4" w:space="0" w:color="000000"/>
              <w:right w:val="single" w:sz="12" w:space="0" w:color="000000"/>
            </w:tcBorders>
            <w:shd w:val="clear" w:color="auto" w:fill="auto"/>
          </w:tcPr>
          <w:p w14:paraId="6164ED20"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N</w:t>
            </w:r>
          </w:p>
        </w:tc>
        <w:tc>
          <w:tcPr>
            <w:tcW w:w="950" w:type="dxa"/>
            <w:tcBorders>
              <w:top w:val="nil"/>
              <w:left w:val="nil"/>
              <w:bottom w:val="single" w:sz="4" w:space="0" w:color="000000"/>
              <w:right w:val="single" w:sz="4" w:space="0" w:color="000000"/>
            </w:tcBorders>
            <w:shd w:val="clear" w:color="auto" w:fill="auto"/>
            <w:vAlign w:val="center"/>
          </w:tcPr>
          <w:p w14:paraId="77E9D5FD"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w:t>
            </w:r>
          </w:p>
        </w:tc>
        <w:tc>
          <w:tcPr>
            <w:tcW w:w="939" w:type="dxa"/>
            <w:tcBorders>
              <w:top w:val="nil"/>
              <w:left w:val="nil"/>
              <w:bottom w:val="single" w:sz="4" w:space="0" w:color="000000"/>
              <w:right w:val="single" w:sz="4" w:space="0" w:color="000000"/>
            </w:tcBorders>
            <w:shd w:val="clear" w:color="auto" w:fill="auto"/>
            <w:vAlign w:val="center"/>
          </w:tcPr>
          <w:p w14:paraId="60C3444B"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23</w:t>
            </w:r>
          </w:p>
        </w:tc>
        <w:tc>
          <w:tcPr>
            <w:tcW w:w="1002" w:type="dxa"/>
            <w:tcBorders>
              <w:top w:val="nil"/>
              <w:left w:val="nil"/>
              <w:bottom w:val="single" w:sz="4" w:space="0" w:color="000000"/>
              <w:right w:val="single" w:sz="4" w:space="0" w:color="000000"/>
            </w:tcBorders>
            <w:shd w:val="clear" w:color="auto" w:fill="auto"/>
            <w:vAlign w:val="center"/>
          </w:tcPr>
          <w:p w14:paraId="3E1FD4FA"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w:t>
            </w:r>
          </w:p>
        </w:tc>
        <w:tc>
          <w:tcPr>
            <w:tcW w:w="937" w:type="dxa"/>
            <w:tcBorders>
              <w:top w:val="nil"/>
              <w:left w:val="nil"/>
              <w:bottom w:val="single" w:sz="4" w:space="0" w:color="000000"/>
              <w:right w:val="single" w:sz="12" w:space="0" w:color="000000"/>
            </w:tcBorders>
            <w:shd w:val="clear" w:color="auto" w:fill="auto"/>
            <w:vAlign w:val="center"/>
          </w:tcPr>
          <w:p w14:paraId="663A4B97"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w:t>
            </w:r>
          </w:p>
        </w:tc>
      </w:tr>
      <w:tr w:rsidR="009968E0" w:rsidRPr="009968E0" w14:paraId="03E46EA3" w14:textId="77777777" w:rsidTr="009968E0">
        <w:trPr>
          <w:trHeight w:val="360"/>
        </w:trPr>
        <w:tc>
          <w:tcPr>
            <w:tcW w:w="1554" w:type="dxa"/>
            <w:vMerge/>
            <w:tcBorders>
              <w:top w:val="nil"/>
              <w:left w:val="single" w:sz="12" w:space="0" w:color="000000"/>
              <w:bottom w:val="single" w:sz="4" w:space="0" w:color="000000"/>
              <w:right w:val="nil"/>
            </w:tcBorders>
            <w:shd w:val="clear" w:color="auto" w:fill="FDE9D9"/>
          </w:tcPr>
          <w:p w14:paraId="01F0BDCD" w14:textId="77777777" w:rsidR="009968E0" w:rsidRPr="009968E0" w:rsidRDefault="009968E0" w:rsidP="009968E0">
            <w:pPr>
              <w:rPr>
                <w:rFonts w:ascii="Calibri" w:eastAsia="Times New Roman" w:hAnsi="Calibri" w:cs="Calibri"/>
                <w:i/>
                <w:iCs/>
                <w:sz w:val="22"/>
                <w:szCs w:val="22"/>
                <w:lang w:eastAsia="en-GB"/>
              </w:rPr>
            </w:pPr>
          </w:p>
        </w:tc>
        <w:tc>
          <w:tcPr>
            <w:tcW w:w="3682" w:type="dxa"/>
            <w:gridSpan w:val="2"/>
            <w:tcBorders>
              <w:top w:val="nil"/>
              <w:left w:val="nil"/>
              <w:bottom w:val="single" w:sz="4" w:space="0" w:color="000000"/>
              <w:right w:val="single" w:sz="12" w:space="0" w:color="000000"/>
            </w:tcBorders>
            <w:shd w:val="clear" w:color="auto" w:fill="auto"/>
          </w:tcPr>
          <w:p w14:paraId="0BAE025F"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Mean</w:t>
            </w:r>
          </w:p>
        </w:tc>
        <w:tc>
          <w:tcPr>
            <w:tcW w:w="950" w:type="dxa"/>
            <w:tcBorders>
              <w:top w:val="nil"/>
              <w:left w:val="nil"/>
              <w:bottom w:val="single" w:sz="4" w:space="0" w:color="000000"/>
              <w:right w:val="single" w:sz="4" w:space="0" w:color="000000"/>
            </w:tcBorders>
            <w:shd w:val="clear" w:color="auto" w:fill="auto"/>
            <w:vAlign w:val="center"/>
          </w:tcPr>
          <w:p w14:paraId="2D9DA007"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248.22</w:t>
            </w:r>
          </w:p>
        </w:tc>
        <w:tc>
          <w:tcPr>
            <w:tcW w:w="939" w:type="dxa"/>
            <w:tcBorders>
              <w:top w:val="nil"/>
              <w:left w:val="nil"/>
              <w:bottom w:val="single" w:sz="4" w:space="0" w:color="000000"/>
              <w:right w:val="single" w:sz="4" w:space="0" w:color="000000"/>
            </w:tcBorders>
            <w:shd w:val="clear" w:color="auto" w:fill="auto"/>
            <w:vAlign w:val="center"/>
          </w:tcPr>
          <w:p w14:paraId="1310E8C7"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227.88</w:t>
            </w:r>
          </w:p>
        </w:tc>
        <w:tc>
          <w:tcPr>
            <w:tcW w:w="1002" w:type="dxa"/>
            <w:tcBorders>
              <w:top w:val="nil"/>
              <w:left w:val="nil"/>
              <w:bottom w:val="single" w:sz="4" w:space="0" w:color="000000"/>
              <w:right w:val="single" w:sz="4" w:space="0" w:color="000000"/>
            </w:tcBorders>
            <w:shd w:val="clear" w:color="auto" w:fill="auto"/>
            <w:vAlign w:val="center"/>
          </w:tcPr>
          <w:p w14:paraId="0ABEE663"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244.51</w:t>
            </w:r>
          </w:p>
        </w:tc>
        <w:tc>
          <w:tcPr>
            <w:tcW w:w="937" w:type="dxa"/>
            <w:tcBorders>
              <w:top w:val="nil"/>
              <w:left w:val="nil"/>
              <w:bottom w:val="single" w:sz="4" w:space="0" w:color="000000"/>
              <w:right w:val="single" w:sz="12" w:space="0" w:color="000000"/>
            </w:tcBorders>
            <w:shd w:val="clear" w:color="auto" w:fill="auto"/>
            <w:vAlign w:val="center"/>
          </w:tcPr>
          <w:p w14:paraId="589915C1"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209.26</w:t>
            </w:r>
          </w:p>
        </w:tc>
      </w:tr>
      <w:tr w:rsidR="009968E0" w:rsidRPr="009968E0" w14:paraId="78811AB3" w14:textId="77777777" w:rsidTr="009968E0">
        <w:trPr>
          <w:trHeight w:val="360"/>
        </w:trPr>
        <w:tc>
          <w:tcPr>
            <w:tcW w:w="1554" w:type="dxa"/>
            <w:vMerge/>
            <w:tcBorders>
              <w:top w:val="nil"/>
              <w:left w:val="single" w:sz="12" w:space="0" w:color="000000"/>
              <w:bottom w:val="single" w:sz="4" w:space="0" w:color="000000"/>
              <w:right w:val="nil"/>
            </w:tcBorders>
            <w:shd w:val="clear" w:color="auto" w:fill="FDE9D9"/>
          </w:tcPr>
          <w:p w14:paraId="6D751304" w14:textId="77777777" w:rsidR="009968E0" w:rsidRPr="009968E0" w:rsidRDefault="009968E0" w:rsidP="009968E0">
            <w:pPr>
              <w:rPr>
                <w:rFonts w:ascii="Calibri" w:eastAsia="Times New Roman" w:hAnsi="Calibri" w:cs="Calibri"/>
                <w:i/>
                <w:iCs/>
                <w:sz w:val="22"/>
                <w:szCs w:val="22"/>
                <w:lang w:eastAsia="en-GB"/>
              </w:rPr>
            </w:pPr>
          </w:p>
        </w:tc>
        <w:tc>
          <w:tcPr>
            <w:tcW w:w="2467" w:type="dxa"/>
            <w:vMerge w:val="restart"/>
            <w:tcBorders>
              <w:top w:val="nil"/>
              <w:left w:val="nil"/>
              <w:bottom w:val="single" w:sz="4" w:space="0" w:color="000000"/>
              <w:right w:val="nil"/>
            </w:tcBorders>
            <w:shd w:val="clear" w:color="auto" w:fill="auto"/>
          </w:tcPr>
          <w:p w14:paraId="3F677C4F"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95% Confidence Interval for Mean</w:t>
            </w:r>
          </w:p>
        </w:tc>
        <w:tc>
          <w:tcPr>
            <w:tcW w:w="1215" w:type="dxa"/>
            <w:tcBorders>
              <w:top w:val="nil"/>
              <w:left w:val="nil"/>
              <w:bottom w:val="nil"/>
              <w:right w:val="single" w:sz="12" w:space="0" w:color="000000"/>
            </w:tcBorders>
            <w:shd w:val="clear" w:color="auto" w:fill="auto"/>
          </w:tcPr>
          <w:p w14:paraId="0018C648"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Lower Bound</w:t>
            </w:r>
          </w:p>
        </w:tc>
        <w:tc>
          <w:tcPr>
            <w:tcW w:w="950" w:type="dxa"/>
            <w:tcBorders>
              <w:top w:val="nil"/>
              <w:left w:val="nil"/>
              <w:bottom w:val="nil"/>
              <w:right w:val="single" w:sz="4" w:space="0" w:color="000000"/>
            </w:tcBorders>
            <w:shd w:val="clear" w:color="auto" w:fill="auto"/>
            <w:vAlign w:val="center"/>
          </w:tcPr>
          <w:p w14:paraId="517B7AFE"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212.11</w:t>
            </w:r>
          </w:p>
        </w:tc>
        <w:tc>
          <w:tcPr>
            <w:tcW w:w="939" w:type="dxa"/>
            <w:tcBorders>
              <w:top w:val="nil"/>
              <w:left w:val="nil"/>
              <w:bottom w:val="nil"/>
              <w:right w:val="single" w:sz="4" w:space="0" w:color="000000"/>
            </w:tcBorders>
            <w:shd w:val="clear" w:color="auto" w:fill="auto"/>
            <w:vAlign w:val="center"/>
          </w:tcPr>
          <w:p w14:paraId="092A3D04"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188.18</w:t>
            </w:r>
          </w:p>
        </w:tc>
        <w:tc>
          <w:tcPr>
            <w:tcW w:w="1002" w:type="dxa"/>
            <w:tcBorders>
              <w:top w:val="nil"/>
              <w:left w:val="nil"/>
              <w:bottom w:val="nil"/>
              <w:right w:val="single" w:sz="4" w:space="0" w:color="000000"/>
            </w:tcBorders>
            <w:shd w:val="clear" w:color="auto" w:fill="auto"/>
            <w:vAlign w:val="center"/>
          </w:tcPr>
          <w:p w14:paraId="3473824B"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186.09</w:t>
            </w:r>
          </w:p>
        </w:tc>
        <w:tc>
          <w:tcPr>
            <w:tcW w:w="937" w:type="dxa"/>
            <w:tcBorders>
              <w:top w:val="nil"/>
              <w:left w:val="nil"/>
              <w:bottom w:val="nil"/>
              <w:right w:val="single" w:sz="12" w:space="0" w:color="000000"/>
            </w:tcBorders>
            <w:shd w:val="clear" w:color="auto" w:fill="auto"/>
            <w:vAlign w:val="center"/>
          </w:tcPr>
          <w:p w14:paraId="4E5A47CB"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177.04</w:t>
            </w:r>
          </w:p>
        </w:tc>
      </w:tr>
      <w:tr w:rsidR="009968E0" w:rsidRPr="009968E0" w14:paraId="62B901D3" w14:textId="77777777" w:rsidTr="009968E0">
        <w:trPr>
          <w:trHeight w:val="360"/>
        </w:trPr>
        <w:tc>
          <w:tcPr>
            <w:tcW w:w="1554" w:type="dxa"/>
            <w:vMerge/>
            <w:tcBorders>
              <w:top w:val="nil"/>
              <w:left w:val="single" w:sz="12" w:space="0" w:color="000000"/>
              <w:bottom w:val="single" w:sz="4" w:space="0" w:color="000000"/>
              <w:right w:val="nil"/>
            </w:tcBorders>
            <w:shd w:val="clear" w:color="auto" w:fill="FDE9D9"/>
          </w:tcPr>
          <w:p w14:paraId="0BEA2AB5" w14:textId="77777777" w:rsidR="009968E0" w:rsidRPr="009968E0" w:rsidRDefault="009968E0" w:rsidP="009968E0">
            <w:pPr>
              <w:rPr>
                <w:rFonts w:ascii="Calibri" w:eastAsia="Times New Roman" w:hAnsi="Calibri" w:cs="Calibri"/>
                <w:i/>
                <w:iCs/>
                <w:sz w:val="22"/>
                <w:szCs w:val="22"/>
                <w:lang w:eastAsia="en-GB"/>
              </w:rPr>
            </w:pPr>
          </w:p>
        </w:tc>
        <w:tc>
          <w:tcPr>
            <w:tcW w:w="2467" w:type="dxa"/>
            <w:vMerge/>
            <w:tcBorders>
              <w:top w:val="nil"/>
              <w:left w:val="nil"/>
              <w:bottom w:val="single" w:sz="4" w:space="0" w:color="000000"/>
              <w:right w:val="nil"/>
            </w:tcBorders>
            <w:shd w:val="clear" w:color="auto" w:fill="auto"/>
          </w:tcPr>
          <w:p w14:paraId="317527F7" w14:textId="77777777" w:rsidR="009968E0" w:rsidRPr="009968E0" w:rsidRDefault="009968E0" w:rsidP="009968E0">
            <w:pPr>
              <w:rPr>
                <w:rFonts w:ascii="Calibri" w:eastAsia="Times New Roman" w:hAnsi="Calibri" w:cs="Calibri"/>
                <w:i/>
                <w:iCs/>
                <w:sz w:val="22"/>
                <w:szCs w:val="22"/>
                <w:lang w:eastAsia="en-GB"/>
              </w:rPr>
            </w:pPr>
          </w:p>
        </w:tc>
        <w:tc>
          <w:tcPr>
            <w:tcW w:w="1215" w:type="dxa"/>
            <w:tcBorders>
              <w:top w:val="nil"/>
              <w:left w:val="nil"/>
              <w:bottom w:val="single" w:sz="4" w:space="0" w:color="000000"/>
              <w:right w:val="single" w:sz="12" w:space="0" w:color="000000"/>
            </w:tcBorders>
            <w:shd w:val="clear" w:color="auto" w:fill="auto"/>
          </w:tcPr>
          <w:p w14:paraId="768AE9C5"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Upper Bound</w:t>
            </w:r>
          </w:p>
        </w:tc>
        <w:tc>
          <w:tcPr>
            <w:tcW w:w="950" w:type="dxa"/>
            <w:tcBorders>
              <w:top w:val="nil"/>
              <w:left w:val="nil"/>
              <w:bottom w:val="single" w:sz="4" w:space="0" w:color="000000"/>
              <w:right w:val="single" w:sz="4" w:space="0" w:color="000000"/>
            </w:tcBorders>
            <w:shd w:val="clear" w:color="auto" w:fill="auto"/>
            <w:vAlign w:val="center"/>
          </w:tcPr>
          <w:p w14:paraId="4A372FDD"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284.32</w:t>
            </w:r>
          </w:p>
        </w:tc>
        <w:tc>
          <w:tcPr>
            <w:tcW w:w="939" w:type="dxa"/>
            <w:tcBorders>
              <w:top w:val="nil"/>
              <w:left w:val="nil"/>
              <w:bottom w:val="single" w:sz="4" w:space="0" w:color="000000"/>
              <w:right w:val="single" w:sz="4" w:space="0" w:color="000000"/>
            </w:tcBorders>
            <w:shd w:val="clear" w:color="auto" w:fill="auto"/>
            <w:vAlign w:val="center"/>
          </w:tcPr>
          <w:p w14:paraId="42341085"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267.57</w:t>
            </w:r>
          </w:p>
        </w:tc>
        <w:tc>
          <w:tcPr>
            <w:tcW w:w="1002" w:type="dxa"/>
            <w:tcBorders>
              <w:top w:val="nil"/>
              <w:left w:val="nil"/>
              <w:bottom w:val="single" w:sz="4" w:space="0" w:color="000000"/>
              <w:right w:val="single" w:sz="4" w:space="0" w:color="000000"/>
            </w:tcBorders>
            <w:shd w:val="clear" w:color="auto" w:fill="auto"/>
            <w:vAlign w:val="center"/>
          </w:tcPr>
          <w:p w14:paraId="626A92FC"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302.92</w:t>
            </w:r>
          </w:p>
        </w:tc>
        <w:tc>
          <w:tcPr>
            <w:tcW w:w="937" w:type="dxa"/>
            <w:tcBorders>
              <w:top w:val="nil"/>
              <w:left w:val="nil"/>
              <w:bottom w:val="single" w:sz="4" w:space="0" w:color="000000"/>
              <w:right w:val="single" w:sz="12" w:space="0" w:color="000000"/>
            </w:tcBorders>
            <w:shd w:val="clear" w:color="auto" w:fill="auto"/>
            <w:vAlign w:val="center"/>
          </w:tcPr>
          <w:p w14:paraId="2D95B121"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241.48</w:t>
            </w:r>
          </w:p>
        </w:tc>
      </w:tr>
      <w:tr w:rsidR="009968E0" w:rsidRPr="009968E0" w14:paraId="6C3892E4" w14:textId="77777777" w:rsidTr="009968E0">
        <w:trPr>
          <w:trHeight w:val="360"/>
        </w:trPr>
        <w:tc>
          <w:tcPr>
            <w:tcW w:w="9064" w:type="dxa"/>
            <w:gridSpan w:val="7"/>
            <w:tcBorders>
              <w:top w:val="nil"/>
              <w:left w:val="single" w:sz="12" w:space="0" w:color="000000"/>
              <w:bottom w:val="single" w:sz="4" w:space="0" w:color="000000"/>
              <w:right w:val="single" w:sz="12" w:space="0" w:color="000000"/>
            </w:tcBorders>
            <w:shd w:val="clear" w:color="auto" w:fill="auto"/>
            <w:vAlign w:val="center"/>
          </w:tcPr>
          <w:p w14:paraId="6E87D663" w14:textId="77777777" w:rsidR="009968E0" w:rsidRPr="009968E0" w:rsidRDefault="009968E0" w:rsidP="009968E0">
            <w:pPr>
              <w:jc w:val="cente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p=0.477</w:t>
            </w:r>
          </w:p>
        </w:tc>
      </w:tr>
      <w:tr w:rsidR="009968E0" w:rsidRPr="009968E0" w14:paraId="59994B58" w14:textId="77777777" w:rsidTr="009968E0">
        <w:trPr>
          <w:trHeight w:val="360"/>
        </w:trPr>
        <w:tc>
          <w:tcPr>
            <w:tcW w:w="1554" w:type="dxa"/>
            <w:vMerge w:val="restart"/>
            <w:tcBorders>
              <w:top w:val="nil"/>
              <w:left w:val="single" w:sz="12" w:space="0" w:color="000000"/>
              <w:bottom w:val="single" w:sz="4" w:space="0" w:color="000000"/>
              <w:right w:val="nil"/>
            </w:tcBorders>
            <w:shd w:val="clear" w:color="auto" w:fill="FDE9D9"/>
          </w:tcPr>
          <w:p w14:paraId="516829A4"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RBF-ACC2</w:t>
            </w:r>
          </w:p>
        </w:tc>
        <w:tc>
          <w:tcPr>
            <w:tcW w:w="3682" w:type="dxa"/>
            <w:gridSpan w:val="2"/>
            <w:tcBorders>
              <w:top w:val="nil"/>
              <w:left w:val="nil"/>
              <w:bottom w:val="single" w:sz="4" w:space="0" w:color="000000"/>
              <w:right w:val="single" w:sz="12" w:space="0" w:color="000000"/>
            </w:tcBorders>
            <w:shd w:val="clear" w:color="auto" w:fill="auto"/>
          </w:tcPr>
          <w:p w14:paraId="24125950"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N</w:t>
            </w:r>
          </w:p>
        </w:tc>
        <w:tc>
          <w:tcPr>
            <w:tcW w:w="950" w:type="dxa"/>
            <w:tcBorders>
              <w:top w:val="nil"/>
              <w:left w:val="nil"/>
              <w:bottom w:val="single" w:sz="4" w:space="0" w:color="000000"/>
              <w:right w:val="single" w:sz="4" w:space="0" w:color="000000"/>
            </w:tcBorders>
            <w:shd w:val="clear" w:color="auto" w:fill="auto"/>
            <w:vAlign w:val="center"/>
          </w:tcPr>
          <w:p w14:paraId="6EF918A4"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w:t>
            </w:r>
          </w:p>
        </w:tc>
        <w:tc>
          <w:tcPr>
            <w:tcW w:w="939" w:type="dxa"/>
            <w:tcBorders>
              <w:top w:val="nil"/>
              <w:left w:val="nil"/>
              <w:bottom w:val="single" w:sz="4" w:space="0" w:color="000000"/>
              <w:right w:val="single" w:sz="4" w:space="0" w:color="000000"/>
            </w:tcBorders>
            <w:shd w:val="clear" w:color="auto" w:fill="auto"/>
            <w:vAlign w:val="center"/>
          </w:tcPr>
          <w:p w14:paraId="65334FD3"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23</w:t>
            </w:r>
          </w:p>
        </w:tc>
        <w:tc>
          <w:tcPr>
            <w:tcW w:w="1002" w:type="dxa"/>
            <w:tcBorders>
              <w:top w:val="nil"/>
              <w:left w:val="nil"/>
              <w:bottom w:val="single" w:sz="4" w:space="0" w:color="000000"/>
              <w:right w:val="single" w:sz="4" w:space="0" w:color="000000"/>
            </w:tcBorders>
            <w:shd w:val="clear" w:color="auto" w:fill="auto"/>
            <w:vAlign w:val="center"/>
          </w:tcPr>
          <w:p w14:paraId="7C8A426B"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w:t>
            </w:r>
          </w:p>
        </w:tc>
        <w:tc>
          <w:tcPr>
            <w:tcW w:w="937" w:type="dxa"/>
            <w:tcBorders>
              <w:top w:val="nil"/>
              <w:left w:val="nil"/>
              <w:bottom w:val="single" w:sz="4" w:space="0" w:color="000000"/>
              <w:right w:val="single" w:sz="12" w:space="0" w:color="000000"/>
            </w:tcBorders>
            <w:shd w:val="clear" w:color="auto" w:fill="auto"/>
            <w:vAlign w:val="center"/>
          </w:tcPr>
          <w:p w14:paraId="5F22EADF"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w:t>
            </w:r>
          </w:p>
        </w:tc>
      </w:tr>
      <w:tr w:rsidR="009968E0" w:rsidRPr="009968E0" w14:paraId="6F0CCAAC" w14:textId="77777777" w:rsidTr="009968E0">
        <w:trPr>
          <w:trHeight w:val="360"/>
        </w:trPr>
        <w:tc>
          <w:tcPr>
            <w:tcW w:w="1554" w:type="dxa"/>
            <w:vMerge/>
            <w:tcBorders>
              <w:top w:val="nil"/>
              <w:left w:val="single" w:sz="12" w:space="0" w:color="000000"/>
              <w:bottom w:val="single" w:sz="4" w:space="0" w:color="000000"/>
              <w:right w:val="nil"/>
            </w:tcBorders>
            <w:shd w:val="clear" w:color="auto" w:fill="FDE9D9"/>
          </w:tcPr>
          <w:p w14:paraId="68EC631B" w14:textId="77777777" w:rsidR="009968E0" w:rsidRPr="009968E0" w:rsidRDefault="009968E0" w:rsidP="009968E0">
            <w:pPr>
              <w:rPr>
                <w:rFonts w:ascii="Calibri" w:eastAsia="Times New Roman" w:hAnsi="Calibri" w:cs="Calibri"/>
                <w:i/>
                <w:iCs/>
                <w:sz w:val="22"/>
                <w:szCs w:val="22"/>
                <w:lang w:eastAsia="en-GB"/>
              </w:rPr>
            </w:pPr>
          </w:p>
        </w:tc>
        <w:tc>
          <w:tcPr>
            <w:tcW w:w="3682" w:type="dxa"/>
            <w:gridSpan w:val="2"/>
            <w:tcBorders>
              <w:top w:val="nil"/>
              <w:left w:val="nil"/>
              <w:bottom w:val="single" w:sz="4" w:space="0" w:color="000000"/>
              <w:right w:val="single" w:sz="12" w:space="0" w:color="000000"/>
            </w:tcBorders>
            <w:shd w:val="clear" w:color="auto" w:fill="auto"/>
          </w:tcPr>
          <w:p w14:paraId="4FA2F17A"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Mean</w:t>
            </w:r>
          </w:p>
        </w:tc>
        <w:tc>
          <w:tcPr>
            <w:tcW w:w="950" w:type="dxa"/>
            <w:tcBorders>
              <w:top w:val="nil"/>
              <w:left w:val="nil"/>
              <w:bottom w:val="single" w:sz="4" w:space="0" w:color="000000"/>
              <w:right w:val="single" w:sz="4" w:space="0" w:color="000000"/>
            </w:tcBorders>
            <w:shd w:val="clear" w:color="auto" w:fill="auto"/>
            <w:vAlign w:val="center"/>
          </w:tcPr>
          <w:p w14:paraId="3916BA06"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186.17</w:t>
            </w:r>
          </w:p>
        </w:tc>
        <w:tc>
          <w:tcPr>
            <w:tcW w:w="939" w:type="dxa"/>
            <w:tcBorders>
              <w:top w:val="nil"/>
              <w:left w:val="nil"/>
              <w:bottom w:val="single" w:sz="4" w:space="0" w:color="000000"/>
              <w:right w:val="single" w:sz="4" w:space="0" w:color="000000"/>
            </w:tcBorders>
            <w:shd w:val="clear" w:color="auto" w:fill="auto"/>
            <w:vAlign w:val="center"/>
          </w:tcPr>
          <w:p w14:paraId="37EB56D1"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201.11</w:t>
            </w:r>
          </w:p>
        </w:tc>
        <w:tc>
          <w:tcPr>
            <w:tcW w:w="1002" w:type="dxa"/>
            <w:tcBorders>
              <w:top w:val="nil"/>
              <w:left w:val="nil"/>
              <w:bottom w:val="single" w:sz="4" w:space="0" w:color="000000"/>
              <w:right w:val="single" w:sz="4" w:space="0" w:color="000000"/>
            </w:tcBorders>
            <w:shd w:val="clear" w:color="auto" w:fill="auto"/>
            <w:vAlign w:val="center"/>
          </w:tcPr>
          <w:p w14:paraId="5A6E5336"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176.49</w:t>
            </w:r>
          </w:p>
        </w:tc>
        <w:tc>
          <w:tcPr>
            <w:tcW w:w="937" w:type="dxa"/>
            <w:tcBorders>
              <w:top w:val="nil"/>
              <w:left w:val="nil"/>
              <w:bottom w:val="single" w:sz="4" w:space="0" w:color="000000"/>
              <w:right w:val="single" w:sz="12" w:space="0" w:color="000000"/>
            </w:tcBorders>
            <w:shd w:val="clear" w:color="auto" w:fill="auto"/>
            <w:vAlign w:val="center"/>
          </w:tcPr>
          <w:p w14:paraId="557B1CCD"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158.05</w:t>
            </w:r>
          </w:p>
        </w:tc>
      </w:tr>
      <w:tr w:rsidR="009968E0" w:rsidRPr="009968E0" w14:paraId="0E66D189" w14:textId="77777777" w:rsidTr="009968E0">
        <w:trPr>
          <w:trHeight w:val="360"/>
        </w:trPr>
        <w:tc>
          <w:tcPr>
            <w:tcW w:w="1554" w:type="dxa"/>
            <w:vMerge/>
            <w:tcBorders>
              <w:top w:val="nil"/>
              <w:left w:val="single" w:sz="12" w:space="0" w:color="000000"/>
              <w:bottom w:val="single" w:sz="4" w:space="0" w:color="000000"/>
              <w:right w:val="nil"/>
            </w:tcBorders>
            <w:shd w:val="clear" w:color="auto" w:fill="FDE9D9"/>
          </w:tcPr>
          <w:p w14:paraId="58C81F65" w14:textId="77777777" w:rsidR="009968E0" w:rsidRPr="009968E0" w:rsidRDefault="009968E0" w:rsidP="009968E0">
            <w:pPr>
              <w:rPr>
                <w:rFonts w:ascii="Calibri" w:eastAsia="Times New Roman" w:hAnsi="Calibri" w:cs="Calibri"/>
                <w:i/>
                <w:iCs/>
                <w:sz w:val="22"/>
                <w:szCs w:val="22"/>
                <w:lang w:eastAsia="en-GB"/>
              </w:rPr>
            </w:pPr>
          </w:p>
        </w:tc>
        <w:tc>
          <w:tcPr>
            <w:tcW w:w="2467" w:type="dxa"/>
            <w:vMerge w:val="restart"/>
            <w:tcBorders>
              <w:top w:val="nil"/>
              <w:left w:val="nil"/>
              <w:bottom w:val="single" w:sz="4" w:space="0" w:color="000000"/>
              <w:right w:val="nil"/>
            </w:tcBorders>
            <w:shd w:val="clear" w:color="auto" w:fill="auto"/>
          </w:tcPr>
          <w:p w14:paraId="106949B9"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95% Confidence Interval for Mean</w:t>
            </w:r>
          </w:p>
        </w:tc>
        <w:tc>
          <w:tcPr>
            <w:tcW w:w="1215" w:type="dxa"/>
            <w:tcBorders>
              <w:top w:val="nil"/>
              <w:left w:val="nil"/>
              <w:bottom w:val="nil"/>
              <w:right w:val="single" w:sz="12" w:space="0" w:color="000000"/>
            </w:tcBorders>
            <w:shd w:val="clear" w:color="auto" w:fill="auto"/>
          </w:tcPr>
          <w:p w14:paraId="323E047E"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Lower Bound</w:t>
            </w:r>
          </w:p>
        </w:tc>
        <w:tc>
          <w:tcPr>
            <w:tcW w:w="950" w:type="dxa"/>
            <w:tcBorders>
              <w:top w:val="nil"/>
              <w:left w:val="nil"/>
              <w:bottom w:val="nil"/>
              <w:right w:val="single" w:sz="4" w:space="0" w:color="000000"/>
            </w:tcBorders>
            <w:shd w:val="clear" w:color="auto" w:fill="auto"/>
            <w:vAlign w:val="center"/>
          </w:tcPr>
          <w:p w14:paraId="103F17CA"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163.52</w:t>
            </w:r>
          </w:p>
        </w:tc>
        <w:tc>
          <w:tcPr>
            <w:tcW w:w="939" w:type="dxa"/>
            <w:tcBorders>
              <w:top w:val="nil"/>
              <w:left w:val="nil"/>
              <w:bottom w:val="nil"/>
              <w:right w:val="single" w:sz="4" w:space="0" w:color="000000"/>
            </w:tcBorders>
            <w:shd w:val="clear" w:color="auto" w:fill="auto"/>
            <w:vAlign w:val="center"/>
          </w:tcPr>
          <w:p w14:paraId="5F8054D5"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170.74</w:t>
            </w:r>
          </w:p>
        </w:tc>
        <w:tc>
          <w:tcPr>
            <w:tcW w:w="1002" w:type="dxa"/>
            <w:tcBorders>
              <w:top w:val="nil"/>
              <w:left w:val="nil"/>
              <w:bottom w:val="nil"/>
              <w:right w:val="single" w:sz="4" w:space="0" w:color="000000"/>
            </w:tcBorders>
            <w:shd w:val="clear" w:color="auto" w:fill="auto"/>
            <w:vAlign w:val="center"/>
          </w:tcPr>
          <w:p w14:paraId="59434EE9"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127.68</w:t>
            </w:r>
          </w:p>
        </w:tc>
        <w:tc>
          <w:tcPr>
            <w:tcW w:w="937" w:type="dxa"/>
            <w:tcBorders>
              <w:top w:val="nil"/>
              <w:left w:val="nil"/>
              <w:bottom w:val="nil"/>
              <w:right w:val="single" w:sz="12" w:space="0" w:color="000000"/>
            </w:tcBorders>
            <w:shd w:val="clear" w:color="auto" w:fill="auto"/>
            <w:vAlign w:val="center"/>
          </w:tcPr>
          <w:p w14:paraId="06373131"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133.53</w:t>
            </w:r>
          </w:p>
        </w:tc>
      </w:tr>
      <w:tr w:rsidR="009968E0" w:rsidRPr="009968E0" w14:paraId="7C3AE745" w14:textId="77777777" w:rsidTr="009968E0">
        <w:trPr>
          <w:trHeight w:val="360"/>
        </w:trPr>
        <w:tc>
          <w:tcPr>
            <w:tcW w:w="1554" w:type="dxa"/>
            <w:vMerge/>
            <w:tcBorders>
              <w:top w:val="nil"/>
              <w:left w:val="single" w:sz="12" w:space="0" w:color="000000"/>
              <w:bottom w:val="single" w:sz="4" w:space="0" w:color="000000"/>
              <w:right w:val="nil"/>
            </w:tcBorders>
            <w:shd w:val="clear" w:color="auto" w:fill="FDE9D9"/>
          </w:tcPr>
          <w:p w14:paraId="1981391B" w14:textId="77777777" w:rsidR="009968E0" w:rsidRPr="009968E0" w:rsidRDefault="009968E0" w:rsidP="009968E0">
            <w:pPr>
              <w:rPr>
                <w:rFonts w:ascii="Calibri" w:eastAsia="Times New Roman" w:hAnsi="Calibri" w:cs="Calibri"/>
                <w:i/>
                <w:iCs/>
                <w:sz w:val="22"/>
                <w:szCs w:val="22"/>
                <w:lang w:eastAsia="en-GB"/>
              </w:rPr>
            </w:pPr>
          </w:p>
        </w:tc>
        <w:tc>
          <w:tcPr>
            <w:tcW w:w="2467" w:type="dxa"/>
            <w:vMerge/>
            <w:tcBorders>
              <w:top w:val="nil"/>
              <w:left w:val="nil"/>
              <w:bottom w:val="single" w:sz="4" w:space="0" w:color="000000"/>
              <w:right w:val="nil"/>
            </w:tcBorders>
            <w:shd w:val="clear" w:color="auto" w:fill="auto"/>
          </w:tcPr>
          <w:p w14:paraId="0D788D77" w14:textId="77777777" w:rsidR="009968E0" w:rsidRPr="009968E0" w:rsidRDefault="009968E0" w:rsidP="009968E0">
            <w:pPr>
              <w:rPr>
                <w:rFonts w:ascii="Calibri" w:eastAsia="Times New Roman" w:hAnsi="Calibri" w:cs="Calibri"/>
                <w:i/>
                <w:iCs/>
                <w:sz w:val="22"/>
                <w:szCs w:val="22"/>
                <w:lang w:eastAsia="en-GB"/>
              </w:rPr>
            </w:pPr>
          </w:p>
        </w:tc>
        <w:tc>
          <w:tcPr>
            <w:tcW w:w="1215" w:type="dxa"/>
            <w:tcBorders>
              <w:top w:val="nil"/>
              <w:left w:val="nil"/>
              <w:bottom w:val="single" w:sz="4" w:space="0" w:color="000000"/>
              <w:right w:val="single" w:sz="12" w:space="0" w:color="000000"/>
            </w:tcBorders>
            <w:shd w:val="clear" w:color="auto" w:fill="auto"/>
          </w:tcPr>
          <w:p w14:paraId="64D7BABC"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Upper Bound</w:t>
            </w:r>
          </w:p>
        </w:tc>
        <w:tc>
          <w:tcPr>
            <w:tcW w:w="950" w:type="dxa"/>
            <w:tcBorders>
              <w:top w:val="nil"/>
              <w:left w:val="nil"/>
              <w:bottom w:val="single" w:sz="4" w:space="0" w:color="000000"/>
              <w:right w:val="single" w:sz="4" w:space="0" w:color="000000"/>
            </w:tcBorders>
            <w:shd w:val="clear" w:color="auto" w:fill="auto"/>
            <w:vAlign w:val="center"/>
          </w:tcPr>
          <w:p w14:paraId="4323BA74"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208.81</w:t>
            </w:r>
          </w:p>
        </w:tc>
        <w:tc>
          <w:tcPr>
            <w:tcW w:w="939" w:type="dxa"/>
            <w:tcBorders>
              <w:top w:val="nil"/>
              <w:left w:val="nil"/>
              <w:bottom w:val="single" w:sz="4" w:space="0" w:color="000000"/>
              <w:right w:val="single" w:sz="4" w:space="0" w:color="000000"/>
            </w:tcBorders>
            <w:shd w:val="clear" w:color="auto" w:fill="auto"/>
            <w:vAlign w:val="center"/>
          </w:tcPr>
          <w:p w14:paraId="4CB4CD28"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231.47</w:t>
            </w:r>
          </w:p>
        </w:tc>
        <w:tc>
          <w:tcPr>
            <w:tcW w:w="1002" w:type="dxa"/>
            <w:tcBorders>
              <w:top w:val="nil"/>
              <w:left w:val="nil"/>
              <w:bottom w:val="single" w:sz="4" w:space="0" w:color="000000"/>
              <w:right w:val="single" w:sz="4" w:space="0" w:color="000000"/>
            </w:tcBorders>
            <w:shd w:val="clear" w:color="auto" w:fill="auto"/>
            <w:vAlign w:val="center"/>
          </w:tcPr>
          <w:p w14:paraId="4F2F4947"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225.30</w:t>
            </w:r>
          </w:p>
        </w:tc>
        <w:tc>
          <w:tcPr>
            <w:tcW w:w="937" w:type="dxa"/>
            <w:tcBorders>
              <w:top w:val="nil"/>
              <w:left w:val="nil"/>
              <w:bottom w:val="single" w:sz="4" w:space="0" w:color="000000"/>
              <w:right w:val="single" w:sz="12" w:space="0" w:color="000000"/>
            </w:tcBorders>
            <w:shd w:val="clear" w:color="auto" w:fill="auto"/>
            <w:vAlign w:val="center"/>
          </w:tcPr>
          <w:p w14:paraId="641B0926"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182.58</w:t>
            </w:r>
          </w:p>
        </w:tc>
      </w:tr>
      <w:tr w:rsidR="009968E0" w:rsidRPr="009968E0" w14:paraId="47381A68" w14:textId="77777777" w:rsidTr="009968E0">
        <w:trPr>
          <w:trHeight w:val="360"/>
        </w:trPr>
        <w:tc>
          <w:tcPr>
            <w:tcW w:w="9064" w:type="dxa"/>
            <w:gridSpan w:val="7"/>
            <w:tcBorders>
              <w:top w:val="nil"/>
              <w:left w:val="single" w:sz="12" w:space="0" w:color="000000"/>
              <w:bottom w:val="single" w:sz="4" w:space="0" w:color="000000"/>
              <w:right w:val="single" w:sz="12" w:space="0" w:color="000000"/>
            </w:tcBorders>
            <w:shd w:val="clear" w:color="auto" w:fill="auto"/>
            <w:vAlign w:val="center"/>
          </w:tcPr>
          <w:p w14:paraId="7AC7348E" w14:textId="77777777" w:rsidR="009968E0" w:rsidRPr="009968E0" w:rsidRDefault="009968E0" w:rsidP="009968E0">
            <w:pPr>
              <w:jc w:val="cente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p=0.173</w:t>
            </w:r>
          </w:p>
        </w:tc>
      </w:tr>
      <w:tr w:rsidR="009968E0" w:rsidRPr="009968E0" w14:paraId="3AEF24F9" w14:textId="77777777" w:rsidTr="009968E0">
        <w:trPr>
          <w:trHeight w:val="360"/>
        </w:trPr>
        <w:tc>
          <w:tcPr>
            <w:tcW w:w="1554" w:type="dxa"/>
            <w:vMerge w:val="restart"/>
            <w:tcBorders>
              <w:top w:val="nil"/>
              <w:left w:val="single" w:sz="12" w:space="0" w:color="000000"/>
              <w:bottom w:val="single" w:sz="4" w:space="0" w:color="000000"/>
              <w:right w:val="nil"/>
            </w:tcBorders>
            <w:shd w:val="clear" w:color="auto" w:fill="FDE9D9"/>
          </w:tcPr>
          <w:p w14:paraId="4E59D422"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RBF-POWM2</w:t>
            </w:r>
          </w:p>
        </w:tc>
        <w:tc>
          <w:tcPr>
            <w:tcW w:w="3682" w:type="dxa"/>
            <w:gridSpan w:val="2"/>
            <w:tcBorders>
              <w:top w:val="nil"/>
              <w:left w:val="nil"/>
              <w:bottom w:val="single" w:sz="4" w:space="0" w:color="000000"/>
              <w:right w:val="single" w:sz="12" w:space="0" w:color="000000"/>
            </w:tcBorders>
            <w:shd w:val="clear" w:color="auto" w:fill="auto"/>
          </w:tcPr>
          <w:p w14:paraId="672BF9B6"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N</w:t>
            </w:r>
          </w:p>
        </w:tc>
        <w:tc>
          <w:tcPr>
            <w:tcW w:w="950" w:type="dxa"/>
            <w:tcBorders>
              <w:top w:val="nil"/>
              <w:left w:val="nil"/>
              <w:bottom w:val="single" w:sz="4" w:space="0" w:color="000000"/>
              <w:right w:val="single" w:sz="4" w:space="0" w:color="000000"/>
            </w:tcBorders>
            <w:shd w:val="clear" w:color="auto" w:fill="auto"/>
            <w:vAlign w:val="center"/>
          </w:tcPr>
          <w:p w14:paraId="1D17A166"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w:t>
            </w:r>
          </w:p>
        </w:tc>
        <w:tc>
          <w:tcPr>
            <w:tcW w:w="939" w:type="dxa"/>
            <w:tcBorders>
              <w:top w:val="nil"/>
              <w:left w:val="nil"/>
              <w:bottom w:val="single" w:sz="4" w:space="0" w:color="000000"/>
              <w:right w:val="single" w:sz="4" w:space="0" w:color="000000"/>
            </w:tcBorders>
            <w:shd w:val="clear" w:color="auto" w:fill="auto"/>
            <w:vAlign w:val="center"/>
          </w:tcPr>
          <w:p w14:paraId="2E977736"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23</w:t>
            </w:r>
          </w:p>
        </w:tc>
        <w:tc>
          <w:tcPr>
            <w:tcW w:w="1002" w:type="dxa"/>
            <w:tcBorders>
              <w:top w:val="nil"/>
              <w:left w:val="nil"/>
              <w:bottom w:val="single" w:sz="4" w:space="0" w:color="000000"/>
              <w:right w:val="single" w:sz="4" w:space="0" w:color="000000"/>
            </w:tcBorders>
            <w:shd w:val="clear" w:color="auto" w:fill="auto"/>
            <w:vAlign w:val="center"/>
          </w:tcPr>
          <w:p w14:paraId="03C50C17"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w:t>
            </w:r>
          </w:p>
        </w:tc>
        <w:tc>
          <w:tcPr>
            <w:tcW w:w="937" w:type="dxa"/>
            <w:tcBorders>
              <w:top w:val="nil"/>
              <w:left w:val="nil"/>
              <w:bottom w:val="single" w:sz="4" w:space="0" w:color="000000"/>
              <w:right w:val="single" w:sz="12" w:space="0" w:color="000000"/>
            </w:tcBorders>
            <w:shd w:val="clear" w:color="auto" w:fill="auto"/>
            <w:vAlign w:val="center"/>
          </w:tcPr>
          <w:p w14:paraId="396D8E0C"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w:t>
            </w:r>
          </w:p>
        </w:tc>
      </w:tr>
      <w:tr w:rsidR="009968E0" w:rsidRPr="009968E0" w14:paraId="62A8746D" w14:textId="77777777" w:rsidTr="009968E0">
        <w:trPr>
          <w:trHeight w:val="360"/>
        </w:trPr>
        <w:tc>
          <w:tcPr>
            <w:tcW w:w="1554" w:type="dxa"/>
            <w:vMerge/>
            <w:tcBorders>
              <w:top w:val="nil"/>
              <w:left w:val="single" w:sz="12" w:space="0" w:color="000000"/>
              <w:bottom w:val="single" w:sz="4" w:space="0" w:color="000000"/>
              <w:right w:val="nil"/>
            </w:tcBorders>
            <w:shd w:val="clear" w:color="auto" w:fill="FDE9D9"/>
          </w:tcPr>
          <w:p w14:paraId="036A2A4B" w14:textId="77777777" w:rsidR="009968E0" w:rsidRPr="009968E0" w:rsidRDefault="009968E0" w:rsidP="009968E0">
            <w:pPr>
              <w:rPr>
                <w:rFonts w:ascii="Calibri" w:eastAsia="Times New Roman" w:hAnsi="Calibri" w:cs="Calibri"/>
                <w:i/>
                <w:iCs/>
                <w:sz w:val="22"/>
                <w:szCs w:val="22"/>
                <w:lang w:eastAsia="en-GB"/>
              </w:rPr>
            </w:pPr>
          </w:p>
        </w:tc>
        <w:tc>
          <w:tcPr>
            <w:tcW w:w="3682" w:type="dxa"/>
            <w:gridSpan w:val="2"/>
            <w:tcBorders>
              <w:top w:val="nil"/>
              <w:left w:val="nil"/>
              <w:bottom w:val="single" w:sz="4" w:space="0" w:color="000000"/>
              <w:right w:val="single" w:sz="12" w:space="0" w:color="000000"/>
            </w:tcBorders>
            <w:shd w:val="clear" w:color="auto" w:fill="auto"/>
          </w:tcPr>
          <w:p w14:paraId="1AE53DD0"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Mean</w:t>
            </w:r>
          </w:p>
        </w:tc>
        <w:tc>
          <w:tcPr>
            <w:tcW w:w="950" w:type="dxa"/>
            <w:tcBorders>
              <w:top w:val="nil"/>
              <w:left w:val="nil"/>
              <w:bottom w:val="single" w:sz="4" w:space="0" w:color="000000"/>
              <w:right w:val="single" w:sz="4" w:space="0" w:color="000000"/>
            </w:tcBorders>
            <w:shd w:val="clear" w:color="auto" w:fill="auto"/>
            <w:vAlign w:val="center"/>
          </w:tcPr>
          <w:p w14:paraId="678121BD"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44.22</w:t>
            </w:r>
          </w:p>
        </w:tc>
        <w:tc>
          <w:tcPr>
            <w:tcW w:w="939" w:type="dxa"/>
            <w:tcBorders>
              <w:top w:val="nil"/>
              <w:left w:val="nil"/>
              <w:bottom w:val="single" w:sz="4" w:space="0" w:color="000000"/>
              <w:right w:val="single" w:sz="4" w:space="0" w:color="000000"/>
            </w:tcBorders>
            <w:shd w:val="clear" w:color="auto" w:fill="auto"/>
            <w:vAlign w:val="center"/>
          </w:tcPr>
          <w:p w14:paraId="5FF82CF2"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48.61</w:t>
            </w:r>
          </w:p>
        </w:tc>
        <w:tc>
          <w:tcPr>
            <w:tcW w:w="1002" w:type="dxa"/>
            <w:tcBorders>
              <w:top w:val="nil"/>
              <w:left w:val="nil"/>
              <w:bottom w:val="single" w:sz="4" w:space="0" w:color="000000"/>
              <w:right w:val="single" w:sz="4" w:space="0" w:color="000000"/>
            </w:tcBorders>
            <w:shd w:val="clear" w:color="auto" w:fill="auto"/>
            <w:vAlign w:val="center"/>
          </w:tcPr>
          <w:p w14:paraId="4EE11F39"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44.45</w:t>
            </w:r>
          </w:p>
        </w:tc>
        <w:tc>
          <w:tcPr>
            <w:tcW w:w="937" w:type="dxa"/>
            <w:tcBorders>
              <w:top w:val="nil"/>
              <w:left w:val="nil"/>
              <w:bottom w:val="single" w:sz="4" w:space="0" w:color="000000"/>
              <w:right w:val="single" w:sz="12" w:space="0" w:color="000000"/>
            </w:tcBorders>
            <w:shd w:val="clear" w:color="auto" w:fill="auto"/>
            <w:vAlign w:val="center"/>
          </w:tcPr>
          <w:p w14:paraId="2D77A959"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42.77</w:t>
            </w:r>
          </w:p>
        </w:tc>
      </w:tr>
      <w:tr w:rsidR="009968E0" w:rsidRPr="009968E0" w14:paraId="51A56F72" w14:textId="77777777" w:rsidTr="009968E0">
        <w:trPr>
          <w:trHeight w:val="360"/>
        </w:trPr>
        <w:tc>
          <w:tcPr>
            <w:tcW w:w="1554" w:type="dxa"/>
            <w:vMerge/>
            <w:tcBorders>
              <w:top w:val="nil"/>
              <w:left w:val="single" w:sz="12" w:space="0" w:color="000000"/>
              <w:bottom w:val="single" w:sz="4" w:space="0" w:color="000000"/>
              <w:right w:val="nil"/>
            </w:tcBorders>
            <w:shd w:val="clear" w:color="auto" w:fill="FDE9D9"/>
          </w:tcPr>
          <w:p w14:paraId="7387632B" w14:textId="77777777" w:rsidR="009968E0" w:rsidRPr="009968E0" w:rsidRDefault="009968E0" w:rsidP="009968E0">
            <w:pPr>
              <w:rPr>
                <w:rFonts w:ascii="Calibri" w:eastAsia="Times New Roman" w:hAnsi="Calibri" w:cs="Calibri"/>
                <w:i/>
                <w:iCs/>
                <w:sz w:val="22"/>
                <w:szCs w:val="22"/>
                <w:lang w:eastAsia="en-GB"/>
              </w:rPr>
            </w:pPr>
          </w:p>
        </w:tc>
        <w:tc>
          <w:tcPr>
            <w:tcW w:w="2467" w:type="dxa"/>
            <w:vMerge w:val="restart"/>
            <w:tcBorders>
              <w:top w:val="nil"/>
              <w:left w:val="nil"/>
              <w:bottom w:val="single" w:sz="4" w:space="0" w:color="000000"/>
              <w:right w:val="nil"/>
            </w:tcBorders>
            <w:shd w:val="clear" w:color="auto" w:fill="auto"/>
          </w:tcPr>
          <w:p w14:paraId="2BF46634"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95% Confidence Interval for Mean</w:t>
            </w:r>
          </w:p>
        </w:tc>
        <w:tc>
          <w:tcPr>
            <w:tcW w:w="1215" w:type="dxa"/>
            <w:tcBorders>
              <w:top w:val="nil"/>
              <w:left w:val="nil"/>
              <w:bottom w:val="nil"/>
              <w:right w:val="single" w:sz="12" w:space="0" w:color="000000"/>
            </w:tcBorders>
            <w:shd w:val="clear" w:color="auto" w:fill="auto"/>
          </w:tcPr>
          <w:p w14:paraId="5A019CD9"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Lower Bound</w:t>
            </w:r>
          </w:p>
        </w:tc>
        <w:tc>
          <w:tcPr>
            <w:tcW w:w="950" w:type="dxa"/>
            <w:tcBorders>
              <w:top w:val="nil"/>
              <w:left w:val="nil"/>
              <w:bottom w:val="nil"/>
              <w:right w:val="single" w:sz="4" w:space="0" w:color="000000"/>
            </w:tcBorders>
            <w:shd w:val="clear" w:color="auto" w:fill="auto"/>
            <w:vAlign w:val="center"/>
          </w:tcPr>
          <w:p w14:paraId="0AEB275F"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38.11</w:t>
            </w:r>
          </w:p>
        </w:tc>
        <w:tc>
          <w:tcPr>
            <w:tcW w:w="939" w:type="dxa"/>
            <w:tcBorders>
              <w:top w:val="nil"/>
              <w:left w:val="nil"/>
              <w:bottom w:val="nil"/>
              <w:right w:val="single" w:sz="4" w:space="0" w:color="000000"/>
            </w:tcBorders>
            <w:shd w:val="clear" w:color="auto" w:fill="auto"/>
            <w:vAlign w:val="center"/>
          </w:tcPr>
          <w:p w14:paraId="7A52289F"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40.89</w:t>
            </w:r>
          </w:p>
        </w:tc>
        <w:tc>
          <w:tcPr>
            <w:tcW w:w="1002" w:type="dxa"/>
            <w:tcBorders>
              <w:top w:val="nil"/>
              <w:left w:val="nil"/>
              <w:bottom w:val="nil"/>
              <w:right w:val="single" w:sz="4" w:space="0" w:color="000000"/>
            </w:tcBorders>
            <w:shd w:val="clear" w:color="auto" w:fill="auto"/>
            <w:vAlign w:val="center"/>
          </w:tcPr>
          <w:p w14:paraId="3CED560C"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29.01</w:t>
            </w:r>
          </w:p>
        </w:tc>
        <w:tc>
          <w:tcPr>
            <w:tcW w:w="937" w:type="dxa"/>
            <w:tcBorders>
              <w:top w:val="nil"/>
              <w:left w:val="nil"/>
              <w:bottom w:val="nil"/>
              <w:right w:val="single" w:sz="12" w:space="0" w:color="000000"/>
            </w:tcBorders>
            <w:shd w:val="clear" w:color="auto" w:fill="auto"/>
            <w:vAlign w:val="center"/>
          </w:tcPr>
          <w:p w14:paraId="780ACE9E"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33.48</w:t>
            </w:r>
          </w:p>
        </w:tc>
      </w:tr>
      <w:tr w:rsidR="009968E0" w:rsidRPr="009968E0" w14:paraId="57D931E0" w14:textId="77777777" w:rsidTr="009968E0">
        <w:trPr>
          <w:trHeight w:val="360"/>
        </w:trPr>
        <w:tc>
          <w:tcPr>
            <w:tcW w:w="1554" w:type="dxa"/>
            <w:vMerge/>
            <w:tcBorders>
              <w:top w:val="nil"/>
              <w:left w:val="single" w:sz="12" w:space="0" w:color="000000"/>
              <w:bottom w:val="single" w:sz="4" w:space="0" w:color="000000"/>
              <w:right w:val="nil"/>
            </w:tcBorders>
            <w:shd w:val="clear" w:color="auto" w:fill="FDE9D9"/>
          </w:tcPr>
          <w:p w14:paraId="52B13F8E" w14:textId="77777777" w:rsidR="009968E0" w:rsidRPr="009968E0" w:rsidRDefault="009968E0" w:rsidP="009968E0">
            <w:pPr>
              <w:rPr>
                <w:rFonts w:ascii="Calibri" w:eastAsia="Times New Roman" w:hAnsi="Calibri" w:cs="Calibri"/>
                <w:i/>
                <w:iCs/>
                <w:sz w:val="22"/>
                <w:szCs w:val="22"/>
                <w:lang w:eastAsia="en-GB"/>
              </w:rPr>
            </w:pPr>
          </w:p>
        </w:tc>
        <w:tc>
          <w:tcPr>
            <w:tcW w:w="2467" w:type="dxa"/>
            <w:vMerge/>
            <w:tcBorders>
              <w:top w:val="nil"/>
              <w:left w:val="nil"/>
              <w:bottom w:val="single" w:sz="4" w:space="0" w:color="000000"/>
              <w:right w:val="nil"/>
            </w:tcBorders>
            <w:shd w:val="clear" w:color="auto" w:fill="auto"/>
          </w:tcPr>
          <w:p w14:paraId="74E00DF0" w14:textId="77777777" w:rsidR="009968E0" w:rsidRPr="009968E0" w:rsidRDefault="009968E0" w:rsidP="009968E0">
            <w:pPr>
              <w:rPr>
                <w:rFonts w:ascii="Calibri" w:eastAsia="Times New Roman" w:hAnsi="Calibri" w:cs="Calibri"/>
                <w:i/>
                <w:iCs/>
                <w:sz w:val="22"/>
                <w:szCs w:val="22"/>
                <w:lang w:eastAsia="en-GB"/>
              </w:rPr>
            </w:pPr>
          </w:p>
        </w:tc>
        <w:tc>
          <w:tcPr>
            <w:tcW w:w="1215" w:type="dxa"/>
            <w:tcBorders>
              <w:top w:val="nil"/>
              <w:left w:val="nil"/>
              <w:bottom w:val="single" w:sz="4" w:space="0" w:color="000000"/>
              <w:right w:val="single" w:sz="12" w:space="0" w:color="000000"/>
            </w:tcBorders>
            <w:shd w:val="clear" w:color="auto" w:fill="auto"/>
          </w:tcPr>
          <w:p w14:paraId="5283AAD8"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Upper Bound</w:t>
            </w:r>
          </w:p>
        </w:tc>
        <w:tc>
          <w:tcPr>
            <w:tcW w:w="950" w:type="dxa"/>
            <w:tcBorders>
              <w:top w:val="nil"/>
              <w:left w:val="nil"/>
              <w:bottom w:val="single" w:sz="4" w:space="0" w:color="000000"/>
              <w:right w:val="single" w:sz="4" w:space="0" w:color="000000"/>
            </w:tcBorders>
            <w:shd w:val="clear" w:color="auto" w:fill="auto"/>
            <w:vAlign w:val="center"/>
          </w:tcPr>
          <w:p w14:paraId="203E07A6"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50.33</w:t>
            </w:r>
          </w:p>
        </w:tc>
        <w:tc>
          <w:tcPr>
            <w:tcW w:w="939" w:type="dxa"/>
            <w:tcBorders>
              <w:top w:val="nil"/>
              <w:left w:val="nil"/>
              <w:bottom w:val="single" w:sz="4" w:space="0" w:color="000000"/>
              <w:right w:val="single" w:sz="4" w:space="0" w:color="000000"/>
            </w:tcBorders>
            <w:shd w:val="clear" w:color="auto" w:fill="auto"/>
            <w:vAlign w:val="center"/>
          </w:tcPr>
          <w:p w14:paraId="06B8235B"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56.33</w:t>
            </w:r>
          </w:p>
        </w:tc>
        <w:tc>
          <w:tcPr>
            <w:tcW w:w="1002" w:type="dxa"/>
            <w:tcBorders>
              <w:top w:val="nil"/>
              <w:left w:val="nil"/>
              <w:bottom w:val="single" w:sz="4" w:space="0" w:color="000000"/>
              <w:right w:val="single" w:sz="4" w:space="0" w:color="000000"/>
            </w:tcBorders>
            <w:shd w:val="clear" w:color="auto" w:fill="auto"/>
            <w:vAlign w:val="center"/>
          </w:tcPr>
          <w:p w14:paraId="61310870"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59.89</w:t>
            </w:r>
          </w:p>
        </w:tc>
        <w:tc>
          <w:tcPr>
            <w:tcW w:w="937" w:type="dxa"/>
            <w:tcBorders>
              <w:top w:val="nil"/>
              <w:left w:val="nil"/>
              <w:bottom w:val="single" w:sz="4" w:space="0" w:color="000000"/>
              <w:right w:val="single" w:sz="12" w:space="0" w:color="000000"/>
            </w:tcBorders>
            <w:shd w:val="clear" w:color="auto" w:fill="auto"/>
            <w:vAlign w:val="center"/>
          </w:tcPr>
          <w:p w14:paraId="311D9B3D"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52.06</w:t>
            </w:r>
          </w:p>
        </w:tc>
      </w:tr>
      <w:tr w:rsidR="009968E0" w:rsidRPr="009968E0" w14:paraId="40B94574" w14:textId="77777777" w:rsidTr="009968E0">
        <w:trPr>
          <w:trHeight w:val="360"/>
        </w:trPr>
        <w:tc>
          <w:tcPr>
            <w:tcW w:w="9064" w:type="dxa"/>
            <w:gridSpan w:val="7"/>
            <w:tcBorders>
              <w:top w:val="nil"/>
              <w:left w:val="single" w:sz="12" w:space="0" w:color="000000"/>
              <w:bottom w:val="single" w:sz="4" w:space="0" w:color="000000"/>
              <w:right w:val="single" w:sz="12" w:space="0" w:color="000000"/>
            </w:tcBorders>
            <w:shd w:val="clear" w:color="auto" w:fill="auto"/>
            <w:vAlign w:val="center"/>
          </w:tcPr>
          <w:p w14:paraId="425B397D" w14:textId="77777777" w:rsidR="009968E0" w:rsidRPr="009968E0" w:rsidRDefault="009968E0" w:rsidP="009968E0">
            <w:pPr>
              <w:jc w:val="cente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p=0.762</w:t>
            </w:r>
          </w:p>
        </w:tc>
      </w:tr>
      <w:tr w:rsidR="009968E0" w:rsidRPr="009968E0" w14:paraId="7321C9A6" w14:textId="77777777" w:rsidTr="009968E0">
        <w:trPr>
          <w:trHeight w:val="360"/>
        </w:trPr>
        <w:tc>
          <w:tcPr>
            <w:tcW w:w="1554" w:type="dxa"/>
            <w:vMerge w:val="restart"/>
            <w:tcBorders>
              <w:top w:val="nil"/>
              <w:left w:val="single" w:sz="12" w:space="0" w:color="000000"/>
              <w:bottom w:val="single" w:sz="4" w:space="0" w:color="000000"/>
              <w:right w:val="nil"/>
            </w:tcBorders>
            <w:shd w:val="clear" w:color="auto" w:fill="FDE9D9"/>
          </w:tcPr>
          <w:p w14:paraId="1EAA5333"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RBF-LPSC2</w:t>
            </w:r>
          </w:p>
        </w:tc>
        <w:tc>
          <w:tcPr>
            <w:tcW w:w="3682" w:type="dxa"/>
            <w:gridSpan w:val="2"/>
            <w:tcBorders>
              <w:top w:val="nil"/>
              <w:left w:val="nil"/>
              <w:bottom w:val="single" w:sz="4" w:space="0" w:color="000000"/>
              <w:right w:val="single" w:sz="12" w:space="0" w:color="000000"/>
            </w:tcBorders>
            <w:shd w:val="clear" w:color="auto" w:fill="auto"/>
          </w:tcPr>
          <w:p w14:paraId="0746A020"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N</w:t>
            </w:r>
          </w:p>
        </w:tc>
        <w:tc>
          <w:tcPr>
            <w:tcW w:w="950" w:type="dxa"/>
            <w:tcBorders>
              <w:top w:val="nil"/>
              <w:left w:val="nil"/>
              <w:bottom w:val="single" w:sz="4" w:space="0" w:color="000000"/>
              <w:right w:val="single" w:sz="4" w:space="0" w:color="000000"/>
            </w:tcBorders>
            <w:shd w:val="clear" w:color="auto" w:fill="auto"/>
            <w:vAlign w:val="center"/>
          </w:tcPr>
          <w:p w14:paraId="3B79A1E0"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w:t>
            </w:r>
          </w:p>
        </w:tc>
        <w:tc>
          <w:tcPr>
            <w:tcW w:w="939" w:type="dxa"/>
            <w:tcBorders>
              <w:top w:val="nil"/>
              <w:left w:val="nil"/>
              <w:bottom w:val="single" w:sz="4" w:space="0" w:color="000000"/>
              <w:right w:val="single" w:sz="4" w:space="0" w:color="000000"/>
            </w:tcBorders>
            <w:shd w:val="clear" w:color="auto" w:fill="auto"/>
            <w:vAlign w:val="center"/>
          </w:tcPr>
          <w:p w14:paraId="4443D555"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23</w:t>
            </w:r>
          </w:p>
        </w:tc>
        <w:tc>
          <w:tcPr>
            <w:tcW w:w="1002" w:type="dxa"/>
            <w:tcBorders>
              <w:top w:val="nil"/>
              <w:left w:val="nil"/>
              <w:bottom w:val="single" w:sz="4" w:space="0" w:color="000000"/>
              <w:right w:val="single" w:sz="4" w:space="0" w:color="000000"/>
            </w:tcBorders>
            <w:shd w:val="clear" w:color="auto" w:fill="auto"/>
            <w:vAlign w:val="center"/>
          </w:tcPr>
          <w:p w14:paraId="795BF83D"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w:t>
            </w:r>
          </w:p>
        </w:tc>
        <w:tc>
          <w:tcPr>
            <w:tcW w:w="937" w:type="dxa"/>
            <w:tcBorders>
              <w:top w:val="nil"/>
              <w:left w:val="nil"/>
              <w:bottom w:val="single" w:sz="4" w:space="0" w:color="000000"/>
              <w:right w:val="single" w:sz="12" w:space="0" w:color="000000"/>
            </w:tcBorders>
            <w:shd w:val="clear" w:color="auto" w:fill="auto"/>
            <w:vAlign w:val="center"/>
          </w:tcPr>
          <w:p w14:paraId="584F3E9C"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w:t>
            </w:r>
          </w:p>
        </w:tc>
      </w:tr>
      <w:tr w:rsidR="009968E0" w:rsidRPr="009968E0" w14:paraId="3EB98503" w14:textId="77777777" w:rsidTr="009968E0">
        <w:trPr>
          <w:trHeight w:val="360"/>
        </w:trPr>
        <w:tc>
          <w:tcPr>
            <w:tcW w:w="1554" w:type="dxa"/>
            <w:vMerge/>
            <w:tcBorders>
              <w:top w:val="nil"/>
              <w:left w:val="single" w:sz="12" w:space="0" w:color="000000"/>
              <w:bottom w:val="single" w:sz="4" w:space="0" w:color="000000"/>
              <w:right w:val="nil"/>
            </w:tcBorders>
            <w:shd w:val="clear" w:color="auto" w:fill="FDE9D9"/>
          </w:tcPr>
          <w:p w14:paraId="7241E37B" w14:textId="77777777" w:rsidR="009968E0" w:rsidRPr="009968E0" w:rsidRDefault="009968E0" w:rsidP="009968E0">
            <w:pPr>
              <w:rPr>
                <w:rFonts w:ascii="Calibri" w:eastAsia="Times New Roman" w:hAnsi="Calibri" w:cs="Calibri"/>
                <w:i/>
                <w:iCs/>
                <w:sz w:val="22"/>
                <w:szCs w:val="22"/>
                <w:lang w:eastAsia="en-GB"/>
              </w:rPr>
            </w:pPr>
          </w:p>
        </w:tc>
        <w:tc>
          <w:tcPr>
            <w:tcW w:w="3682" w:type="dxa"/>
            <w:gridSpan w:val="2"/>
            <w:tcBorders>
              <w:top w:val="nil"/>
              <w:left w:val="nil"/>
              <w:bottom w:val="single" w:sz="4" w:space="0" w:color="000000"/>
              <w:right w:val="single" w:sz="12" w:space="0" w:color="000000"/>
            </w:tcBorders>
            <w:shd w:val="clear" w:color="auto" w:fill="auto"/>
          </w:tcPr>
          <w:p w14:paraId="64C0E163"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Mean</w:t>
            </w:r>
          </w:p>
        </w:tc>
        <w:tc>
          <w:tcPr>
            <w:tcW w:w="950" w:type="dxa"/>
            <w:tcBorders>
              <w:top w:val="nil"/>
              <w:left w:val="nil"/>
              <w:bottom w:val="single" w:sz="4" w:space="0" w:color="000000"/>
              <w:right w:val="single" w:sz="4" w:space="0" w:color="000000"/>
            </w:tcBorders>
            <w:shd w:val="clear" w:color="auto" w:fill="auto"/>
            <w:vAlign w:val="center"/>
          </w:tcPr>
          <w:p w14:paraId="56938EF8"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109.99</w:t>
            </w:r>
          </w:p>
        </w:tc>
        <w:tc>
          <w:tcPr>
            <w:tcW w:w="939" w:type="dxa"/>
            <w:tcBorders>
              <w:top w:val="nil"/>
              <w:left w:val="nil"/>
              <w:bottom w:val="single" w:sz="4" w:space="0" w:color="000000"/>
              <w:right w:val="single" w:sz="4" w:space="0" w:color="000000"/>
            </w:tcBorders>
            <w:shd w:val="clear" w:color="auto" w:fill="auto"/>
            <w:vAlign w:val="center"/>
          </w:tcPr>
          <w:p w14:paraId="75E0B188"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102.40</w:t>
            </w:r>
          </w:p>
        </w:tc>
        <w:tc>
          <w:tcPr>
            <w:tcW w:w="1002" w:type="dxa"/>
            <w:tcBorders>
              <w:top w:val="nil"/>
              <w:left w:val="nil"/>
              <w:bottom w:val="single" w:sz="4" w:space="0" w:color="000000"/>
              <w:right w:val="single" w:sz="4" w:space="0" w:color="000000"/>
            </w:tcBorders>
            <w:shd w:val="clear" w:color="auto" w:fill="auto"/>
            <w:vAlign w:val="center"/>
          </w:tcPr>
          <w:p w14:paraId="4807AEC2"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98.83</w:t>
            </w:r>
          </w:p>
        </w:tc>
        <w:tc>
          <w:tcPr>
            <w:tcW w:w="937" w:type="dxa"/>
            <w:tcBorders>
              <w:top w:val="nil"/>
              <w:left w:val="nil"/>
              <w:bottom w:val="single" w:sz="4" w:space="0" w:color="000000"/>
              <w:right w:val="single" w:sz="12" w:space="0" w:color="000000"/>
            </w:tcBorders>
            <w:shd w:val="clear" w:color="auto" w:fill="auto"/>
            <w:vAlign w:val="center"/>
          </w:tcPr>
          <w:p w14:paraId="69C82828"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89.95</w:t>
            </w:r>
          </w:p>
        </w:tc>
      </w:tr>
      <w:tr w:rsidR="009968E0" w:rsidRPr="009968E0" w14:paraId="6637011F" w14:textId="77777777" w:rsidTr="009968E0">
        <w:trPr>
          <w:trHeight w:val="360"/>
        </w:trPr>
        <w:tc>
          <w:tcPr>
            <w:tcW w:w="1554" w:type="dxa"/>
            <w:vMerge/>
            <w:tcBorders>
              <w:top w:val="nil"/>
              <w:left w:val="single" w:sz="12" w:space="0" w:color="000000"/>
              <w:bottom w:val="single" w:sz="4" w:space="0" w:color="000000"/>
              <w:right w:val="nil"/>
            </w:tcBorders>
            <w:shd w:val="clear" w:color="auto" w:fill="FDE9D9"/>
          </w:tcPr>
          <w:p w14:paraId="6E308EF1" w14:textId="77777777" w:rsidR="009968E0" w:rsidRPr="009968E0" w:rsidRDefault="009968E0" w:rsidP="009968E0">
            <w:pPr>
              <w:rPr>
                <w:rFonts w:ascii="Calibri" w:eastAsia="Times New Roman" w:hAnsi="Calibri" w:cs="Calibri"/>
                <w:i/>
                <w:iCs/>
                <w:sz w:val="22"/>
                <w:szCs w:val="22"/>
                <w:lang w:eastAsia="en-GB"/>
              </w:rPr>
            </w:pPr>
          </w:p>
        </w:tc>
        <w:tc>
          <w:tcPr>
            <w:tcW w:w="2467" w:type="dxa"/>
            <w:vMerge w:val="restart"/>
            <w:tcBorders>
              <w:top w:val="nil"/>
              <w:left w:val="nil"/>
              <w:bottom w:val="single" w:sz="4" w:space="0" w:color="000000"/>
              <w:right w:val="nil"/>
            </w:tcBorders>
            <w:shd w:val="clear" w:color="auto" w:fill="auto"/>
          </w:tcPr>
          <w:p w14:paraId="57E89EFF"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95% Confidence Interval for Mean</w:t>
            </w:r>
          </w:p>
        </w:tc>
        <w:tc>
          <w:tcPr>
            <w:tcW w:w="1215" w:type="dxa"/>
            <w:tcBorders>
              <w:top w:val="nil"/>
              <w:left w:val="nil"/>
              <w:bottom w:val="nil"/>
              <w:right w:val="single" w:sz="12" w:space="0" w:color="000000"/>
            </w:tcBorders>
            <w:shd w:val="clear" w:color="auto" w:fill="auto"/>
          </w:tcPr>
          <w:p w14:paraId="122888C3"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Lower Bound</w:t>
            </w:r>
          </w:p>
        </w:tc>
        <w:tc>
          <w:tcPr>
            <w:tcW w:w="950" w:type="dxa"/>
            <w:tcBorders>
              <w:top w:val="nil"/>
              <w:left w:val="nil"/>
              <w:bottom w:val="nil"/>
              <w:right w:val="single" w:sz="4" w:space="0" w:color="000000"/>
            </w:tcBorders>
            <w:shd w:val="clear" w:color="auto" w:fill="auto"/>
            <w:vAlign w:val="center"/>
          </w:tcPr>
          <w:p w14:paraId="38135870"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96.23</w:t>
            </w:r>
          </w:p>
        </w:tc>
        <w:tc>
          <w:tcPr>
            <w:tcW w:w="939" w:type="dxa"/>
            <w:tcBorders>
              <w:top w:val="nil"/>
              <w:left w:val="nil"/>
              <w:bottom w:val="nil"/>
              <w:right w:val="single" w:sz="4" w:space="0" w:color="000000"/>
            </w:tcBorders>
            <w:shd w:val="clear" w:color="auto" w:fill="auto"/>
            <w:vAlign w:val="center"/>
          </w:tcPr>
          <w:p w14:paraId="593491FC"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90.36</w:t>
            </w:r>
          </w:p>
        </w:tc>
        <w:tc>
          <w:tcPr>
            <w:tcW w:w="1002" w:type="dxa"/>
            <w:tcBorders>
              <w:top w:val="nil"/>
              <w:left w:val="nil"/>
              <w:bottom w:val="nil"/>
              <w:right w:val="single" w:sz="4" w:space="0" w:color="000000"/>
            </w:tcBorders>
            <w:shd w:val="clear" w:color="auto" w:fill="auto"/>
            <w:vAlign w:val="center"/>
          </w:tcPr>
          <w:p w14:paraId="50D14D75"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72.92</w:t>
            </w:r>
          </w:p>
        </w:tc>
        <w:tc>
          <w:tcPr>
            <w:tcW w:w="937" w:type="dxa"/>
            <w:tcBorders>
              <w:top w:val="nil"/>
              <w:left w:val="nil"/>
              <w:bottom w:val="nil"/>
              <w:right w:val="single" w:sz="12" w:space="0" w:color="000000"/>
            </w:tcBorders>
            <w:shd w:val="clear" w:color="auto" w:fill="auto"/>
            <w:vAlign w:val="center"/>
          </w:tcPr>
          <w:p w14:paraId="08956457"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78.04</w:t>
            </w:r>
          </w:p>
        </w:tc>
      </w:tr>
      <w:tr w:rsidR="009968E0" w:rsidRPr="009968E0" w14:paraId="631807B1" w14:textId="77777777" w:rsidTr="009968E0">
        <w:trPr>
          <w:trHeight w:val="360"/>
        </w:trPr>
        <w:tc>
          <w:tcPr>
            <w:tcW w:w="1554" w:type="dxa"/>
            <w:vMerge/>
            <w:tcBorders>
              <w:top w:val="nil"/>
              <w:left w:val="single" w:sz="12" w:space="0" w:color="000000"/>
              <w:bottom w:val="single" w:sz="4" w:space="0" w:color="000000"/>
              <w:right w:val="nil"/>
            </w:tcBorders>
            <w:shd w:val="clear" w:color="auto" w:fill="FDE9D9"/>
          </w:tcPr>
          <w:p w14:paraId="6732DFD8" w14:textId="77777777" w:rsidR="009968E0" w:rsidRPr="009968E0" w:rsidRDefault="009968E0" w:rsidP="009968E0">
            <w:pPr>
              <w:rPr>
                <w:rFonts w:ascii="Calibri" w:eastAsia="Times New Roman" w:hAnsi="Calibri" w:cs="Calibri"/>
                <w:i/>
                <w:iCs/>
                <w:sz w:val="22"/>
                <w:szCs w:val="22"/>
                <w:lang w:eastAsia="en-GB"/>
              </w:rPr>
            </w:pPr>
          </w:p>
        </w:tc>
        <w:tc>
          <w:tcPr>
            <w:tcW w:w="2467" w:type="dxa"/>
            <w:vMerge/>
            <w:tcBorders>
              <w:top w:val="nil"/>
              <w:left w:val="nil"/>
              <w:bottom w:val="single" w:sz="4" w:space="0" w:color="000000"/>
              <w:right w:val="nil"/>
            </w:tcBorders>
            <w:shd w:val="clear" w:color="auto" w:fill="auto"/>
          </w:tcPr>
          <w:p w14:paraId="25C25CA7" w14:textId="77777777" w:rsidR="009968E0" w:rsidRPr="009968E0" w:rsidRDefault="009968E0" w:rsidP="009968E0">
            <w:pPr>
              <w:rPr>
                <w:rFonts w:ascii="Calibri" w:eastAsia="Times New Roman" w:hAnsi="Calibri" w:cs="Calibri"/>
                <w:i/>
                <w:iCs/>
                <w:sz w:val="22"/>
                <w:szCs w:val="22"/>
                <w:lang w:eastAsia="en-GB"/>
              </w:rPr>
            </w:pPr>
          </w:p>
        </w:tc>
        <w:tc>
          <w:tcPr>
            <w:tcW w:w="1215" w:type="dxa"/>
            <w:tcBorders>
              <w:top w:val="nil"/>
              <w:left w:val="nil"/>
              <w:bottom w:val="single" w:sz="4" w:space="0" w:color="000000"/>
              <w:right w:val="single" w:sz="12" w:space="0" w:color="000000"/>
            </w:tcBorders>
            <w:shd w:val="clear" w:color="auto" w:fill="auto"/>
          </w:tcPr>
          <w:p w14:paraId="2C693DD3"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Upper Bound</w:t>
            </w:r>
          </w:p>
        </w:tc>
        <w:tc>
          <w:tcPr>
            <w:tcW w:w="950" w:type="dxa"/>
            <w:tcBorders>
              <w:top w:val="nil"/>
              <w:left w:val="nil"/>
              <w:bottom w:val="single" w:sz="4" w:space="0" w:color="000000"/>
              <w:right w:val="single" w:sz="4" w:space="0" w:color="000000"/>
            </w:tcBorders>
            <w:shd w:val="clear" w:color="auto" w:fill="auto"/>
            <w:vAlign w:val="center"/>
          </w:tcPr>
          <w:p w14:paraId="5C75823F"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123.75</w:t>
            </w:r>
          </w:p>
        </w:tc>
        <w:tc>
          <w:tcPr>
            <w:tcW w:w="939" w:type="dxa"/>
            <w:tcBorders>
              <w:top w:val="nil"/>
              <w:left w:val="nil"/>
              <w:bottom w:val="single" w:sz="4" w:space="0" w:color="000000"/>
              <w:right w:val="single" w:sz="4" w:space="0" w:color="000000"/>
            </w:tcBorders>
            <w:shd w:val="clear" w:color="auto" w:fill="auto"/>
            <w:vAlign w:val="center"/>
          </w:tcPr>
          <w:p w14:paraId="23128660"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114.43</w:t>
            </w:r>
          </w:p>
        </w:tc>
        <w:tc>
          <w:tcPr>
            <w:tcW w:w="1002" w:type="dxa"/>
            <w:tcBorders>
              <w:top w:val="nil"/>
              <w:left w:val="nil"/>
              <w:bottom w:val="single" w:sz="4" w:space="0" w:color="000000"/>
              <w:right w:val="single" w:sz="4" w:space="0" w:color="000000"/>
            </w:tcBorders>
            <w:shd w:val="clear" w:color="auto" w:fill="auto"/>
            <w:vAlign w:val="center"/>
          </w:tcPr>
          <w:p w14:paraId="18B9E266"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124.74</w:t>
            </w:r>
          </w:p>
        </w:tc>
        <w:tc>
          <w:tcPr>
            <w:tcW w:w="937" w:type="dxa"/>
            <w:tcBorders>
              <w:top w:val="nil"/>
              <w:left w:val="nil"/>
              <w:bottom w:val="single" w:sz="4" w:space="0" w:color="000000"/>
              <w:right w:val="single" w:sz="12" w:space="0" w:color="000000"/>
            </w:tcBorders>
            <w:shd w:val="clear" w:color="auto" w:fill="auto"/>
            <w:vAlign w:val="center"/>
          </w:tcPr>
          <w:p w14:paraId="2E2F2E82"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101.87</w:t>
            </w:r>
          </w:p>
        </w:tc>
      </w:tr>
      <w:tr w:rsidR="009968E0" w:rsidRPr="009968E0" w14:paraId="182F2D25" w14:textId="77777777" w:rsidTr="009968E0">
        <w:trPr>
          <w:trHeight w:val="360"/>
        </w:trPr>
        <w:tc>
          <w:tcPr>
            <w:tcW w:w="9064" w:type="dxa"/>
            <w:gridSpan w:val="7"/>
            <w:tcBorders>
              <w:top w:val="nil"/>
              <w:left w:val="single" w:sz="12" w:space="0" w:color="000000"/>
              <w:bottom w:val="single" w:sz="4" w:space="0" w:color="000000"/>
              <w:right w:val="single" w:sz="12" w:space="0" w:color="000000"/>
            </w:tcBorders>
            <w:shd w:val="clear" w:color="auto" w:fill="auto"/>
            <w:vAlign w:val="center"/>
          </w:tcPr>
          <w:p w14:paraId="2BEC02AB" w14:textId="77777777" w:rsidR="009968E0" w:rsidRPr="009968E0" w:rsidRDefault="009968E0" w:rsidP="009968E0">
            <w:pPr>
              <w:jc w:val="cente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p=0.244</w:t>
            </w:r>
          </w:p>
        </w:tc>
      </w:tr>
      <w:tr w:rsidR="009968E0" w:rsidRPr="009968E0" w14:paraId="1945E2BC" w14:textId="77777777" w:rsidTr="009968E0">
        <w:trPr>
          <w:trHeight w:val="360"/>
        </w:trPr>
        <w:tc>
          <w:tcPr>
            <w:tcW w:w="1554" w:type="dxa"/>
            <w:vMerge w:val="restart"/>
            <w:tcBorders>
              <w:top w:val="nil"/>
              <w:left w:val="single" w:sz="12" w:space="0" w:color="000000"/>
              <w:bottom w:val="nil"/>
              <w:right w:val="nil"/>
            </w:tcBorders>
            <w:shd w:val="clear" w:color="auto" w:fill="FDE9D9"/>
          </w:tcPr>
          <w:p w14:paraId="64E3A1CE"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RBF-RPSC2</w:t>
            </w:r>
          </w:p>
        </w:tc>
        <w:tc>
          <w:tcPr>
            <w:tcW w:w="3682" w:type="dxa"/>
            <w:gridSpan w:val="2"/>
            <w:tcBorders>
              <w:top w:val="nil"/>
              <w:left w:val="nil"/>
              <w:bottom w:val="single" w:sz="4" w:space="0" w:color="000000"/>
              <w:right w:val="single" w:sz="12" w:space="0" w:color="000000"/>
            </w:tcBorders>
            <w:shd w:val="clear" w:color="auto" w:fill="auto"/>
          </w:tcPr>
          <w:p w14:paraId="0BC352FA"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N</w:t>
            </w:r>
          </w:p>
        </w:tc>
        <w:tc>
          <w:tcPr>
            <w:tcW w:w="950" w:type="dxa"/>
            <w:tcBorders>
              <w:top w:val="nil"/>
              <w:left w:val="nil"/>
              <w:bottom w:val="single" w:sz="4" w:space="0" w:color="000000"/>
              <w:right w:val="single" w:sz="4" w:space="0" w:color="000000"/>
            </w:tcBorders>
            <w:shd w:val="clear" w:color="auto" w:fill="auto"/>
            <w:vAlign w:val="center"/>
          </w:tcPr>
          <w:p w14:paraId="5F52ECF4"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w:t>
            </w:r>
          </w:p>
        </w:tc>
        <w:tc>
          <w:tcPr>
            <w:tcW w:w="939" w:type="dxa"/>
            <w:tcBorders>
              <w:top w:val="nil"/>
              <w:left w:val="nil"/>
              <w:bottom w:val="single" w:sz="4" w:space="0" w:color="000000"/>
              <w:right w:val="single" w:sz="4" w:space="0" w:color="000000"/>
            </w:tcBorders>
            <w:shd w:val="clear" w:color="auto" w:fill="auto"/>
            <w:vAlign w:val="center"/>
          </w:tcPr>
          <w:p w14:paraId="0B5925F5"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23</w:t>
            </w:r>
          </w:p>
        </w:tc>
        <w:tc>
          <w:tcPr>
            <w:tcW w:w="1002" w:type="dxa"/>
            <w:tcBorders>
              <w:top w:val="nil"/>
              <w:left w:val="nil"/>
              <w:bottom w:val="single" w:sz="4" w:space="0" w:color="000000"/>
              <w:right w:val="single" w:sz="4" w:space="0" w:color="000000"/>
            </w:tcBorders>
            <w:shd w:val="clear" w:color="auto" w:fill="auto"/>
            <w:vAlign w:val="center"/>
          </w:tcPr>
          <w:p w14:paraId="7611EF42"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w:t>
            </w:r>
          </w:p>
        </w:tc>
        <w:tc>
          <w:tcPr>
            <w:tcW w:w="937" w:type="dxa"/>
            <w:tcBorders>
              <w:top w:val="nil"/>
              <w:left w:val="nil"/>
              <w:bottom w:val="single" w:sz="4" w:space="0" w:color="000000"/>
              <w:right w:val="single" w:sz="12" w:space="0" w:color="000000"/>
            </w:tcBorders>
            <w:shd w:val="clear" w:color="auto" w:fill="auto"/>
            <w:vAlign w:val="center"/>
          </w:tcPr>
          <w:p w14:paraId="2914AD37"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w:t>
            </w:r>
          </w:p>
        </w:tc>
      </w:tr>
      <w:tr w:rsidR="009968E0" w:rsidRPr="009968E0" w14:paraId="6D7ABF29" w14:textId="77777777" w:rsidTr="009968E0">
        <w:trPr>
          <w:trHeight w:val="360"/>
        </w:trPr>
        <w:tc>
          <w:tcPr>
            <w:tcW w:w="1554" w:type="dxa"/>
            <w:vMerge/>
            <w:tcBorders>
              <w:top w:val="nil"/>
              <w:left w:val="single" w:sz="12" w:space="0" w:color="000000"/>
              <w:bottom w:val="nil"/>
              <w:right w:val="nil"/>
            </w:tcBorders>
            <w:shd w:val="clear" w:color="auto" w:fill="FDE9D9"/>
          </w:tcPr>
          <w:p w14:paraId="29181247" w14:textId="77777777" w:rsidR="009968E0" w:rsidRPr="009968E0" w:rsidRDefault="009968E0" w:rsidP="009968E0">
            <w:pPr>
              <w:rPr>
                <w:rFonts w:ascii="Calibri" w:eastAsia="Times New Roman" w:hAnsi="Calibri" w:cs="Calibri"/>
                <w:i/>
                <w:iCs/>
                <w:sz w:val="22"/>
                <w:szCs w:val="22"/>
                <w:lang w:eastAsia="en-GB"/>
              </w:rPr>
            </w:pPr>
          </w:p>
        </w:tc>
        <w:tc>
          <w:tcPr>
            <w:tcW w:w="3682" w:type="dxa"/>
            <w:gridSpan w:val="2"/>
            <w:tcBorders>
              <w:top w:val="nil"/>
              <w:left w:val="nil"/>
              <w:bottom w:val="single" w:sz="4" w:space="0" w:color="000000"/>
              <w:right w:val="single" w:sz="12" w:space="0" w:color="000000"/>
            </w:tcBorders>
            <w:shd w:val="clear" w:color="auto" w:fill="auto"/>
          </w:tcPr>
          <w:p w14:paraId="1B81E851"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Mean</w:t>
            </w:r>
          </w:p>
        </w:tc>
        <w:tc>
          <w:tcPr>
            <w:tcW w:w="950" w:type="dxa"/>
            <w:tcBorders>
              <w:top w:val="nil"/>
              <w:left w:val="nil"/>
              <w:bottom w:val="single" w:sz="4" w:space="0" w:color="000000"/>
              <w:right w:val="single" w:sz="4" w:space="0" w:color="000000"/>
            </w:tcBorders>
            <w:shd w:val="clear" w:color="auto" w:fill="auto"/>
            <w:vAlign w:val="center"/>
          </w:tcPr>
          <w:p w14:paraId="61BA1994"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109.84</w:t>
            </w:r>
          </w:p>
        </w:tc>
        <w:tc>
          <w:tcPr>
            <w:tcW w:w="939" w:type="dxa"/>
            <w:tcBorders>
              <w:top w:val="nil"/>
              <w:left w:val="nil"/>
              <w:bottom w:val="single" w:sz="4" w:space="0" w:color="000000"/>
              <w:right w:val="single" w:sz="4" w:space="0" w:color="000000"/>
            </w:tcBorders>
            <w:shd w:val="clear" w:color="auto" w:fill="auto"/>
            <w:vAlign w:val="center"/>
          </w:tcPr>
          <w:p w14:paraId="3B743EC6"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99.98</w:t>
            </w:r>
          </w:p>
        </w:tc>
        <w:tc>
          <w:tcPr>
            <w:tcW w:w="1002" w:type="dxa"/>
            <w:tcBorders>
              <w:top w:val="nil"/>
              <w:left w:val="nil"/>
              <w:bottom w:val="single" w:sz="4" w:space="0" w:color="000000"/>
              <w:right w:val="single" w:sz="4" w:space="0" w:color="000000"/>
            </w:tcBorders>
            <w:shd w:val="clear" w:color="auto" w:fill="auto"/>
            <w:vAlign w:val="center"/>
          </w:tcPr>
          <w:p w14:paraId="7598FD01"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95.18</w:t>
            </w:r>
          </w:p>
        </w:tc>
        <w:tc>
          <w:tcPr>
            <w:tcW w:w="937" w:type="dxa"/>
            <w:tcBorders>
              <w:top w:val="nil"/>
              <w:left w:val="nil"/>
              <w:bottom w:val="single" w:sz="4" w:space="0" w:color="000000"/>
              <w:right w:val="single" w:sz="12" w:space="0" w:color="000000"/>
            </w:tcBorders>
            <w:shd w:val="clear" w:color="auto" w:fill="auto"/>
            <w:vAlign w:val="center"/>
          </w:tcPr>
          <w:p w14:paraId="092F0FB8"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90.19</w:t>
            </w:r>
          </w:p>
        </w:tc>
      </w:tr>
      <w:tr w:rsidR="009968E0" w:rsidRPr="009968E0" w14:paraId="1FB2D56E" w14:textId="77777777" w:rsidTr="009968E0">
        <w:trPr>
          <w:trHeight w:val="360"/>
        </w:trPr>
        <w:tc>
          <w:tcPr>
            <w:tcW w:w="1554" w:type="dxa"/>
            <w:vMerge/>
            <w:tcBorders>
              <w:top w:val="nil"/>
              <w:left w:val="single" w:sz="12" w:space="0" w:color="000000"/>
              <w:bottom w:val="nil"/>
              <w:right w:val="nil"/>
            </w:tcBorders>
            <w:shd w:val="clear" w:color="auto" w:fill="FDE9D9"/>
          </w:tcPr>
          <w:p w14:paraId="19048660" w14:textId="77777777" w:rsidR="009968E0" w:rsidRPr="009968E0" w:rsidRDefault="009968E0" w:rsidP="009968E0">
            <w:pPr>
              <w:rPr>
                <w:rFonts w:ascii="Calibri" w:eastAsia="Times New Roman" w:hAnsi="Calibri" w:cs="Calibri"/>
                <w:i/>
                <w:iCs/>
                <w:sz w:val="22"/>
                <w:szCs w:val="22"/>
                <w:lang w:eastAsia="en-GB"/>
              </w:rPr>
            </w:pPr>
          </w:p>
        </w:tc>
        <w:tc>
          <w:tcPr>
            <w:tcW w:w="2467" w:type="dxa"/>
            <w:vMerge w:val="restart"/>
            <w:tcBorders>
              <w:top w:val="nil"/>
              <w:left w:val="nil"/>
              <w:bottom w:val="nil"/>
              <w:right w:val="nil"/>
            </w:tcBorders>
            <w:shd w:val="clear" w:color="auto" w:fill="auto"/>
          </w:tcPr>
          <w:p w14:paraId="5DA3DBBA"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95% Confidence Interval for Mean</w:t>
            </w:r>
          </w:p>
        </w:tc>
        <w:tc>
          <w:tcPr>
            <w:tcW w:w="1215" w:type="dxa"/>
            <w:tcBorders>
              <w:top w:val="nil"/>
              <w:left w:val="nil"/>
              <w:bottom w:val="nil"/>
              <w:right w:val="single" w:sz="12" w:space="0" w:color="000000"/>
            </w:tcBorders>
            <w:shd w:val="clear" w:color="auto" w:fill="auto"/>
          </w:tcPr>
          <w:p w14:paraId="72315A04"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Lower Bound</w:t>
            </w:r>
          </w:p>
        </w:tc>
        <w:tc>
          <w:tcPr>
            <w:tcW w:w="950" w:type="dxa"/>
            <w:tcBorders>
              <w:top w:val="nil"/>
              <w:left w:val="nil"/>
              <w:bottom w:val="nil"/>
              <w:right w:val="single" w:sz="4" w:space="0" w:color="000000"/>
            </w:tcBorders>
            <w:shd w:val="clear" w:color="auto" w:fill="auto"/>
            <w:vAlign w:val="center"/>
          </w:tcPr>
          <w:p w14:paraId="6A57376C"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95.54</w:t>
            </w:r>
          </w:p>
        </w:tc>
        <w:tc>
          <w:tcPr>
            <w:tcW w:w="939" w:type="dxa"/>
            <w:tcBorders>
              <w:top w:val="nil"/>
              <w:left w:val="nil"/>
              <w:bottom w:val="nil"/>
              <w:right w:val="single" w:sz="4" w:space="0" w:color="000000"/>
            </w:tcBorders>
            <w:shd w:val="clear" w:color="auto" w:fill="auto"/>
            <w:vAlign w:val="center"/>
          </w:tcPr>
          <w:p w14:paraId="2EF620B3"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87.63</w:t>
            </w:r>
          </w:p>
        </w:tc>
        <w:tc>
          <w:tcPr>
            <w:tcW w:w="1002" w:type="dxa"/>
            <w:tcBorders>
              <w:top w:val="nil"/>
              <w:left w:val="nil"/>
              <w:bottom w:val="nil"/>
              <w:right w:val="single" w:sz="4" w:space="0" w:color="000000"/>
            </w:tcBorders>
            <w:shd w:val="clear" w:color="auto" w:fill="auto"/>
            <w:vAlign w:val="center"/>
          </w:tcPr>
          <w:p w14:paraId="33512D2C"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70.30</w:t>
            </w:r>
          </w:p>
        </w:tc>
        <w:tc>
          <w:tcPr>
            <w:tcW w:w="937" w:type="dxa"/>
            <w:tcBorders>
              <w:top w:val="nil"/>
              <w:left w:val="nil"/>
              <w:bottom w:val="nil"/>
              <w:right w:val="single" w:sz="12" w:space="0" w:color="000000"/>
            </w:tcBorders>
            <w:shd w:val="clear" w:color="auto" w:fill="auto"/>
            <w:vAlign w:val="center"/>
          </w:tcPr>
          <w:p w14:paraId="4C3EC906"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78.20</w:t>
            </w:r>
          </w:p>
        </w:tc>
      </w:tr>
      <w:tr w:rsidR="009968E0" w:rsidRPr="009968E0" w14:paraId="24EA7A4C" w14:textId="77777777" w:rsidTr="009968E0">
        <w:trPr>
          <w:trHeight w:val="360"/>
        </w:trPr>
        <w:tc>
          <w:tcPr>
            <w:tcW w:w="1554" w:type="dxa"/>
            <w:vMerge/>
            <w:tcBorders>
              <w:top w:val="nil"/>
              <w:left w:val="single" w:sz="12" w:space="0" w:color="000000"/>
              <w:bottom w:val="nil"/>
              <w:right w:val="nil"/>
            </w:tcBorders>
            <w:shd w:val="clear" w:color="auto" w:fill="FDE9D9"/>
          </w:tcPr>
          <w:p w14:paraId="2AB2A62B" w14:textId="77777777" w:rsidR="009968E0" w:rsidRPr="009968E0" w:rsidRDefault="009968E0" w:rsidP="009968E0">
            <w:pPr>
              <w:rPr>
                <w:rFonts w:ascii="Calibri" w:eastAsia="Times New Roman" w:hAnsi="Calibri" w:cs="Calibri"/>
                <w:i/>
                <w:iCs/>
                <w:sz w:val="22"/>
                <w:szCs w:val="22"/>
                <w:lang w:eastAsia="en-GB"/>
              </w:rPr>
            </w:pPr>
          </w:p>
        </w:tc>
        <w:tc>
          <w:tcPr>
            <w:tcW w:w="2467" w:type="dxa"/>
            <w:vMerge/>
            <w:tcBorders>
              <w:top w:val="nil"/>
              <w:left w:val="nil"/>
              <w:bottom w:val="nil"/>
              <w:right w:val="nil"/>
            </w:tcBorders>
            <w:shd w:val="clear" w:color="auto" w:fill="auto"/>
          </w:tcPr>
          <w:p w14:paraId="229D84DB" w14:textId="77777777" w:rsidR="009968E0" w:rsidRPr="009968E0" w:rsidRDefault="009968E0" w:rsidP="009968E0">
            <w:pPr>
              <w:rPr>
                <w:rFonts w:ascii="Calibri" w:eastAsia="Times New Roman" w:hAnsi="Calibri" w:cs="Calibri"/>
                <w:i/>
                <w:iCs/>
                <w:sz w:val="22"/>
                <w:szCs w:val="22"/>
                <w:lang w:eastAsia="en-GB"/>
              </w:rPr>
            </w:pPr>
          </w:p>
        </w:tc>
        <w:tc>
          <w:tcPr>
            <w:tcW w:w="1215" w:type="dxa"/>
            <w:tcBorders>
              <w:top w:val="nil"/>
              <w:left w:val="nil"/>
              <w:bottom w:val="nil"/>
              <w:right w:val="single" w:sz="12" w:space="0" w:color="000000"/>
            </w:tcBorders>
            <w:shd w:val="clear" w:color="auto" w:fill="auto"/>
          </w:tcPr>
          <w:p w14:paraId="0FFE991B"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Upper Bound</w:t>
            </w:r>
          </w:p>
        </w:tc>
        <w:tc>
          <w:tcPr>
            <w:tcW w:w="950" w:type="dxa"/>
            <w:tcBorders>
              <w:top w:val="nil"/>
              <w:left w:val="nil"/>
              <w:bottom w:val="nil"/>
              <w:right w:val="single" w:sz="4" w:space="0" w:color="000000"/>
            </w:tcBorders>
            <w:shd w:val="clear" w:color="auto" w:fill="auto"/>
            <w:vAlign w:val="center"/>
          </w:tcPr>
          <w:p w14:paraId="35446897"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124.14</w:t>
            </w:r>
          </w:p>
        </w:tc>
        <w:tc>
          <w:tcPr>
            <w:tcW w:w="939" w:type="dxa"/>
            <w:tcBorders>
              <w:top w:val="nil"/>
              <w:left w:val="nil"/>
              <w:bottom w:val="nil"/>
              <w:right w:val="single" w:sz="4" w:space="0" w:color="000000"/>
            </w:tcBorders>
            <w:shd w:val="clear" w:color="auto" w:fill="auto"/>
            <w:vAlign w:val="center"/>
          </w:tcPr>
          <w:p w14:paraId="1C6D4326"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112.34</w:t>
            </w:r>
          </w:p>
        </w:tc>
        <w:tc>
          <w:tcPr>
            <w:tcW w:w="1002" w:type="dxa"/>
            <w:tcBorders>
              <w:top w:val="nil"/>
              <w:left w:val="nil"/>
              <w:bottom w:val="nil"/>
              <w:right w:val="single" w:sz="4" w:space="0" w:color="000000"/>
            </w:tcBorders>
            <w:shd w:val="clear" w:color="auto" w:fill="auto"/>
            <w:vAlign w:val="center"/>
          </w:tcPr>
          <w:p w14:paraId="26B5B790"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120.07</w:t>
            </w:r>
          </w:p>
        </w:tc>
        <w:tc>
          <w:tcPr>
            <w:tcW w:w="937" w:type="dxa"/>
            <w:tcBorders>
              <w:top w:val="nil"/>
              <w:left w:val="nil"/>
              <w:bottom w:val="nil"/>
              <w:right w:val="single" w:sz="12" w:space="0" w:color="000000"/>
            </w:tcBorders>
            <w:shd w:val="clear" w:color="auto" w:fill="auto"/>
            <w:vAlign w:val="center"/>
          </w:tcPr>
          <w:p w14:paraId="244FCFFA"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102.19</w:t>
            </w:r>
          </w:p>
        </w:tc>
      </w:tr>
      <w:tr w:rsidR="009968E0" w:rsidRPr="009968E0" w14:paraId="24DEFD3C" w14:textId="77777777" w:rsidTr="009968E0">
        <w:trPr>
          <w:trHeight w:val="360"/>
        </w:trPr>
        <w:tc>
          <w:tcPr>
            <w:tcW w:w="9064" w:type="dxa"/>
            <w:gridSpan w:val="7"/>
            <w:tcBorders>
              <w:top w:val="single" w:sz="4" w:space="0" w:color="000000"/>
              <w:left w:val="single" w:sz="12" w:space="0" w:color="000000"/>
              <w:bottom w:val="single" w:sz="12" w:space="0" w:color="000000"/>
              <w:right w:val="single" w:sz="12" w:space="0" w:color="000000"/>
            </w:tcBorders>
            <w:shd w:val="clear" w:color="auto" w:fill="auto"/>
            <w:vAlign w:val="center"/>
          </w:tcPr>
          <w:p w14:paraId="52626C3B" w14:textId="77777777" w:rsidR="009968E0" w:rsidRPr="009968E0" w:rsidRDefault="009968E0" w:rsidP="009968E0">
            <w:pPr>
              <w:jc w:val="cente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p=0.250</w:t>
            </w:r>
          </w:p>
        </w:tc>
      </w:tr>
    </w:tbl>
    <w:p w14:paraId="19A5AC8F" w14:textId="77777777" w:rsidR="009968E0" w:rsidRPr="009968E0" w:rsidRDefault="009968E0" w:rsidP="009968E0">
      <w:pPr>
        <w:rPr>
          <w:rFonts w:ascii="Calibri" w:eastAsia="Times New Roman" w:hAnsi="Calibri" w:cs="Calibri"/>
          <w:i/>
          <w:color w:val="808080"/>
          <w:sz w:val="21"/>
          <w:lang w:eastAsia="en-GB"/>
        </w:rPr>
      </w:pPr>
      <w:r w:rsidRPr="009968E0">
        <w:rPr>
          <w:rFonts w:ascii="Calibri" w:eastAsia="Times New Roman" w:hAnsi="Calibri" w:cs="Calibri"/>
          <w:i/>
          <w:color w:val="808080"/>
          <w:sz w:val="21"/>
          <w:lang w:eastAsia="en-GB"/>
        </w:rPr>
        <w:t xml:space="preserve">RBF=Regional Blood flow, 2=second visit, L=left, R=right, </w:t>
      </w:r>
      <w:proofErr w:type="spellStart"/>
      <w:r w:rsidRPr="009968E0">
        <w:rPr>
          <w:rFonts w:ascii="Calibri" w:eastAsia="Times New Roman" w:hAnsi="Calibri" w:cs="Calibri"/>
          <w:i/>
          <w:color w:val="808080"/>
          <w:sz w:val="21"/>
          <w:lang w:eastAsia="en-GB"/>
        </w:rPr>
        <w:t>thal</w:t>
      </w:r>
      <w:proofErr w:type="spellEnd"/>
      <w:r w:rsidRPr="009968E0">
        <w:rPr>
          <w:rFonts w:ascii="Calibri" w:eastAsia="Times New Roman" w:hAnsi="Calibri" w:cs="Calibri"/>
          <w:i/>
          <w:color w:val="808080"/>
          <w:sz w:val="21"/>
          <w:lang w:eastAsia="en-GB"/>
        </w:rPr>
        <w:t>= thalamus, Ins=Insula, ACC= anterior cingulate gyrus, PO=parieto-</w:t>
      </w:r>
      <w:proofErr w:type="spellStart"/>
      <w:r w:rsidRPr="009968E0">
        <w:rPr>
          <w:rFonts w:ascii="Calibri" w:eastAsia="Times New Roman" w:hAnsi="Calibri" w:cs="Calibri"/>
          <w:i/>
          <w:color w:val="808080"/>
          <w:sz w:val="21"/>
          <w:lang w:eastAsia="en-GB"/>
        </w:rPr>
        <w:t>occiptal</w:t>
      </w:r>
      <w:proofErr w:type="spellEnd"/>
      <w:r w:rsidRPr="009968E0">
        <w:rPr>
          <w:rFonts w:ascii="Calibri" w:eastAsia="Times New Roman" w:hAnsi="Calibri" w:cs="Calibri"/>
          <w:i/>
          <w:color w:val="808080"/>
          <w:sz w:val="21"/>
          <w:lang w:eastAsia="en-GB"/>
        </w:rPr>
        <w:t xml:space="preserve"> white matter, PS=primary sensory cortex, N=number in group</w:t>
      </w:r>
    </w:p>
    <w:p w14:paraId="03D9A18D" w14:textId="77777777" w:rsidR="009968E0" w:rsidRPr="009968E0" w:rsidRDefault="009968E0" w:rsidP="009968E0">
      <w:pPr>
        <w:rPr>
          <w:rFonts w:ascii="Times New Roman" w:eastAsia="Times New Roman" w:hAnsi="Times New Roman" w:cs="Times New Roman"/>
          <w:lang w:eastAsia="en-GB"/>
        </w:rPr>
      </w:pPr>
    </w:p>
    <w:tbl>
      <w:tblPr>
        <w:tblW w:w="9064" w:type="dxa"/>
        <w:tblLayout w:type="fixed"/>
        <w:tblCellMar>
          <w:left w:w="115" w:type="dxa"/>
          <w:right w:w="115" w:type="dxa"/>
        </w:tblCellMar>
        <w:tblLook w:val="0400" w:firstRow="0" w:lastRow="0" w:firstColumn="0" w:lastColumn="0" w:noHBand="0" w:noVBand="1"/>
      </w:tblPr>
      <w:tblGrid>
        <w:gridCol w:w="1629"/>
        <w:gridCol w:w="2786"/>
        <w:gridCol w:w="1309"/>
        <w:gridCol w:w="950"/>
        <w:gridCol w:w="712"/>
        <w:gridCol w:w="1002"/>
        <w:gridCol w:w="676"/>
      </w:tblGrid>
      <w:tr w:rsidR="009968E0" w:rsidRPr="009968E0" w14:paraId="4B5E6071" w14:textId="77777777" w:rsidTr="009968E0">
        <w:trPr>
          <w:trHeight w:val="480"/>
        </w:trPr>
        <w:tc>
          <w:tcPr>
            <w:tcW w:w="9064" w:type="dxa"/>
            <w:gridSpan w:val="7"/>
            <w:tcBorders>
              <w:top w:val="nil"/>
              <w:left w:val="nil"/>
              <w:bottom w:val="nil"/>
              <w:right w:val="nil"/>
            </w:tcBorders>
            <w:shd w:val="clear" w:color="auto" w:fill="auto"/>
            <w:vAlign w:val="center"/>
          </w:tcPr>
          <w:p w14:paraId="4F174928" w14:textId="77BBB6DB" w:rsidR="009968E0" w:rsidRPr="009968E0" w:rsidRDefault="009968E0" w:rsidP="007A2ECE">
            <w:pPr>
              <w:pStyle w:val="Quote"/>
            </w:pPr>
            <w:bookmarkStart w:id="591" w:name="_Toc48406140"/>
            <w:bookmarkStart w:id="592" w:name="_Toc49273349"/>
            <w:bookmarkStart w:id="593" w:name="_Toc64724102"/>
            <w:r w:rsidRPr="009968E0">
              <w:t>Table C.4. Univariate ANOVA for MTT Visit 2</w:t>
            </w:r>
            <w:bookmarkEnd w:id="591"/>
            <w:bookmarkEnd w:id="592"/>
            <w:bookmarkEnd w:id="593"/>
            <w:r w:rsidRPr="009968E0">
              <w:t xml:space="preserve"> </w:t>
            </w:r>
          </w:p>
        </w:tc>
      </w:tr>
      <w:tr w:rsidR="009968E0" w:rsidRPr="009968E0" w14:paraId="27337D14" w14:textId="77777777" w:rsidTr="009968E0">
        <w:trPr>
          <w:trHeight w:val="360"/>
        </w:trPr>
        <w:tc>
          <w:tcPr>
            <w:tcW w:w="5724" w:type="dxa"/>
            <w:gridSpan w:val="3"/>
            <w:tcBorders>
              <w:top w:val="single" w:sz="12" w:space="0" w:color="000000"/>
              <w:left w:val="single" w:sz="12" w:space="0" w:color="000000"/>
              <w:bottom w:val="single" w:sz="12" w:space="0" w:color="000000"/>
              <w:right w:val="single" w:sz="12" w:space="0" w:color="000000"/>
            </w:tcBorders>
            <w:shd w:val="clear" w:color="auto" w:fill="auto"/>
            <w:vAlign w:val="bottom"/>
          </w:tcPr>
          <w:p w14:paraId="7EA6B1E1"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 </w:t>
            </w:r>
          </w:p>
        </w:tc>
        <w:tc>
          <w:tcPr>
            <w:tcW w:w="950" w:type="dxa"/>
            <w:tcBorders>
              <w:top w:val="single" w:sz="12" w:space="0" w:color="000000"/>
              <w:left w:val="nil"/>
              <w:bottom w:val="single" w:sz="12" w:space="0" w:color="000000"/>
              <w:right w:val="single" w:sz="4" w:space="0" w:color="000000"/>
            </w:tcBorders>
            <w:shd w:val="clear" w:color="auto" w:fill="auto"/>
            <w:vAlign w:val="bottom"/>
          </w:tcPr>
          <w:p w14:paraId="5C02F4FB"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P-DPN</w:t>
            </w:r>
          </w:p>
        </w:tc>
        <w:tc>
          <w:tcPr>
            <w:tcW w:w="712" w:type="dxa"/>
            <w:tcBorders>
              <w:top w:val="single" w:sz="12" w:space="0" w:color="000000"/>
              <w:left w:val="nil"/>
              <w:bottom w:val="single" w:sz="12" w:space="0" w:color="000000"/>
              <w:right w:val="single" w:sz="4" w:space="0" w:color="000000"/>
            </w:tcBorders>
            <w:shd w:val="clear" w:color="auto" w:fill="auto"/>
            <w:vAlign w:val="bottom"/>
          </w:tcPr>
          <w:p w14:paraId="787D1EEA"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DPN</w:t>
            </w:r>
          </w:p>
        </w:tc>
        <w:tc>
          <w:tcPr>
            <w:tcW w:w="1002" w:type="dxa"/>
            <w:tcBorders>
              <w:top w:val="single" w:sz="12" w:space="0" w:color="000000"/>
              <w:left w:val="nil"/>
              <w:bottom w:val="single" w:sz="12" w:space="0" w:color="000000"/>
              <w:right w:val="single" w:sz="4" w:space="0" w:color="000000"/>
            </w:tcBorders>
            <w:shd w:val="clear" w:color="auto" w:fill="auto"/>
            <w:vAlign w:val="bottom"/>
          </w:tcPr>
          <w:p w14:paraId="73180020"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Arial" w:hAnsi="Calibri" w:cs="Calibri"/>
                <w:i/>
                <w:iCs/>
                <w:color w:val="000000"/>
                <w:sz w:val="22"/>
                <w:szCs w:val="22"/>
                <w:lang w:eastAsia="en-GB"/>
              </w:rPr>
              <w:t>DM-NN</w:t>
            </w:r>
          </w:p>
        </w:tc>
        <w:tc>
          <w:tcPr>
            <w:tcW w:w="676" w:type="dxa"/>
            <w:tcBorders>
              <w:top w:val="single" w:sz="12" w:space="0" w:color="000000"/>
              <w:left w:val="nil"/>
              <w:bottom w:val="single" w:sz="12" w:space="0" w:color="000000"/>
              <w:right w:val="single" w:sz="12" w:space="0" w:color="000000"/>
            </w:tcBorders>
            <w:shd w:val="clear" w:color="auto" w:fill="auto"/>
            <w:vAlign w:val="bottom"/>
          </w:tcPr>
          <w:p w14:paraId="7AC9B50C"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HV</w:t>
            </w:r>
          </w:p>
        </w:tc>
      </w:tr>
      <w:tr w:rsidR="009968E0" w:rsidRPr="009968E0" w14:paraId="58B80E07" w14:textId="77777777" w:rsidTr="009968E0">
        <w:trPr>
          <w:trHeight w:val="360"/>
        </w:trPr>
        <w:tc>
          <w:tcPr>
            <w:tcW w:w="1629" w:type="dxa"/>
            <w:vMerge w:val="restart"/>
            <w:tcBorders>
              <w:top w:val="nil"/>
              <w:left w:val="single" w:sz="12" w:space="0" w:color="000000"/>
              <w:bottom w:val="single" w:sz="4" w:space="0" w:color="000000"/>
              <w:right w:val="nil"/>
            </w:tcBorders>
            <w:shd w:val="clear" w:color="auto" w:fill="FDE9D9"/>
          </w:tcPr>
          <w:p w14:paraId="7D523B82" w14:textId="71823C36"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MTT-</w:t>
            </w:r>
            <w:r w:rsidR="00264184">
              <w:rPr>
                <w:rFonts w:ascii="Calibri" w:eastAsia="Times New Roman" w:hAnsi="Calibri" w:cs="Calibri"/>
                <w:i/>
                <w:iCs/>
                <w:color w:val="000000"/>
                <w:sz w:val="22"/>
                <w:szCs w:val="22"/>
                <w:lang w:eastAsia="en-GB"/>
              </w:rPr>
              <w:t>LThal</w:t>
            </w:r>
            <w:r w:rsidRPr="009968E0">
              <w:rPr>
                <w:rFonts w:ascii="Calibri" w:eastAsia="Times New Roman" w:hAnsi="Calibri" w:cs="Calibri"/>
                <w:i/>
                <w:iCs/>
                <w:color w:val="000000"/>
                <w:sz w:val="22"/>
                <w:szCs w:val="22"/>
                <w:lang w:eastAsia="en-GB"/>
              </w:rPr>
              <w:t>2</w:t>
            </w:r>
          </w:p>
        </w:tc>
        <w:tc>
          <w:tcPr>
            <w:tcW w:w="4095" w:type="dxa"/>
            <w:gridSpan w:val="2"/>
            <w:tcBorders>
              <w:top w:val="single" w:sz="12" w:space="0" w:color="000000"/>
              <w:left w:val="nil"/>
              <w:bottom w:val="single" w:sz="4" w:space="0" w:color="000000"/>
              <w:right w:val="single" w:sz="12" w:space="0" w:color="000000"/>
            </w:tcBorders>
            <w:shd w:val="clear" w:color="auto" w:fill="auto"/>
          </w:tcPr>
          <w:p w14:paraId="56C1E2DC"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w:t>
            </w:r>
          </w:p>
        </w:tc>
        <w:tc>
          <w:tcPr>
            <w:tcW w:w="950" w:type="dxa"/>
            <w:tcBorders>
              <w:top w:val="nil"/>
              <w:left w:val="nil"/>
              <w:bottom w:val="single" w:sz="4" w:space="0" w:color="000000"/>
              <w:right w:val="single" w:sz="4" w:space="0" w:color="000000"/>
            </w:tcBorders>
            <w:shd w:val="clear" w:color="auto" w:fill="auto"/>
            <w:vAlign w:val="center"/>
          </w:tcPr>
          <w:p w14:paraId="6728FCD8"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19</w:t>
            </w:r>
          </w:p>
        </w:tc>
        <w:tc>
          <w:tcPr>
            <w:tcW w:w="712" w:type="dxa"/>
            <w:tcBorders>
              <w:top w:val="nil"/>
              <w:left w:val="nil"/>
              <w:bottom w:val="single" w:sz="4" w:space="0" w:color="000000"/>
              <w:right w:val="single" w:sz="4" w:space="0" w:color="000000"/>
            </w:tcBorders>
            <w:shd w:val="clear" w:color="auto" w:fill="auto"/>
            <w:vAlign w:val="center"/>
          </w:tcPr>
          <w:p w14:paraId="2A78CC0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23</w:t>
            </w:r>
          </w:p>
        </w:tc>
        <w:tc>
          <w:tcPr>
            <w:tcW w:w="1002" w:type="dxa"/>
            <w:tcBorders>
              <w:top w:val="nil"/>
              <w:left w:val="nil"/>
              <w:bottom w:val="single" w:sz="4" w:space="0" w:color="000000"/>
              <w:right w:val="single" w:sz="4" w:space="0" w:color="000000"/>
            </w:tcBorders>
            <w:shd w:val="clear" w:color="auto" w:fill="auto"/>
            <w:vAlign w:val="center"/>
          </w:tcPr>
          <w:p w14:paraId="7737EF0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13</w:t>
            </w:r>
          </w:p>
        </w:tc>
        <w:tc>
          <w:tcPr>
            <w:tcW w:w="676" w:type="dxa"/>
            <w:tcBorders>
              <w:top w:val="nil"/>
              <w:left w:val="nil"/>
              <w:bottom w:val="single" w:sz="4" w:space="0" w:color="000000"/>
              <w:right w:val="single" w:sz="12" w:space="0" w:color="000000"/>
            </w:tcBorders>
            <w:shd w:val="clear" w:color="auto" w:fill="auto"/>
            <w:vAlign w:val="center"/>
          </w:tcPr>
          <w:p w14:paraId="37DA9CA4"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19</w:t>
            </w:r>
          </w:p>
        </w:tc>
      </w:tr>
      <w:tr w:rsidR="009968E0" w:rsidRPr="009968E0" w14:paraId="38139BDF" w14:textId="77777777" w:rsidTr="009968E0">
        <w:trPr>
          <w:trHeight w:val="360"/>
        </w:trPr>
        <w:tc>
          <w:tcPr>
            <w:tcW w:w="1629" w:type="dxa"/>
            <w:vMerge/>
            <w:tcBorders>
              <w:top w:val="nil"/>
              <w:left w:val="single" w:sz="12" w:space="0" w:color="000000"/>
              <w:bottom w:val="single" w:sz="4" w:space="0" w:color="000000"/>
              <w:right w:val="nil"/>
            </w:tcBorders>
            <w:shd w:val="clear" w:color="auto" w:fill="FDE9D9"/>
          </w:tcPr>
          <w:p w14:paraId="27FF0334"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4095" w:type="dxa"/>
            <w:gridSpan w:val="2"/>
            <w:tcBorders>
              <w:top w:val="nil"/>
              <w:left w:val="nil"/>
              <w:bottom w:val="single" w:sz="4" w:space="0" w:color="000000"/>
              <w:right w:val="single" w:sz="12" w:space="0" w:color="000000"/>
            </w:tcBorders>
            <w:shd w:val="clear" w:color="auto" w:fill="auto"/>
          </w:tcPr>
          <w:p w14:paraId="7D2AA180"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950" w:type="dxa"/>
            <w:tcBorders>
              <w:top w:val="nil"/>
              <w:left w:val="nil"/>
              <w:bottom w:val="single" w:sz="4" w:space="0" w:color="000000"/>
              <w:right w:val="single" w:sz="4" w:space="0" w:color="000000"/>
            </w:tcBorders>
            <w:shd w:val="clear" w:color="auto" w:fill="auto"/>
            <w:vAlign w:val="center"/>
          </w:tcPr>
          <w:p w14:paraId="6782B3DE"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5.44</w:t>
            </w:r>
          </w:p>
        </w:tc>
        <w:tc>
          <w:tcPr>
            <w:tcW w:w="712" w:type="dxa"/>
            <w:tcBorders>
              <w:top w:val="nil"/>
              <w:left w:val="nil"/>
              <w:bottom w:val="single" w:sz="4" w:space="0" w:color="000000"/>
              <w:right w:val="single" w:sz="4" w:space="0" w:color="000000"/>
            </w:tcBorders>
            <w:shd w:val="clear" w:color="auto" w:fill="auto"/>
            <w:vAlign w:val="center"/>
          </w:tcPr>
          <w:p w14:paraId="1C3B3BF8"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5.57</w:t>
            </w:r>
          </w:p>
        </w:tc>
        <w:tc>
          <w:tcPr>
            <w:tcW w:w="1002" w:type="dxa"/>
            <w:tcBorders>
              <w:top w:val="nil"/>
              <w:left w:val="nil"/>
              <w:bottom w:val="single" w:sz="4" w:space="0" w:color="000000"/>
              <w:right w:val="single" w:sz="4" w:space="0" w:color="000000"/>
            </w:tcBorders>
            <w:shd w:val="clear" w:color="auto" w:fill="auto"/>
            <w:vAlign w:val="center"/>
          </w:tcPr>
          <w:p w14:paraId="2778574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5.17</w:t>
            </w:r>
          </w:p>
        </w:tc>
        <w:tc>
          <w:tcPr>
            <w:tcW w:w="676" w:type="dxa"/>
            <w:tcBorders>
              <w:top w:val="nil"/>
              <w:left w:val="nil"/>
              <w:bottom w:val="single" w:sz="4" w:space="0" w:color="000000"/>
              <w:right w:val="single" w:sz="12" w:space="0" w:color="000000"/>
            </w:tcBorders>
            <w:shd w:val="clear" w:color="auto" w:fill="auto"/>
            <w:vAlign w:val="center"/>
          </w:tcPr>
          <w:p w14:paraId="4EB95C3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6.13</w:t>
            </w:r>
          </w:p>
        </w:tc>
      </w:tr>
      <w:tr w:rsidR="009968E0" w:rsidRPr="009968E0" w14:paraId="7EA8D7F7" w14:textId="77777777" w:rsidTr="009968E0">
        <w:trPr>
          <w:trHeight w:val="360"/>
        </w:trPr>
        <w:tc>
          <w:tcPr>
            <w:tcW w:w="1629" w:type="dxa"/>
            <w:vMerge/>
            <w:tcBorders>
              <w:top w:val="nil"/>
              <w:left w:val="single" w:sz="12" w:space="0" w:color="000000"/>
              <w:bottom w:val="single" w:sz="4" w:space="0" w:color="000000"/>
              <w:right w:val="nil"/>
            </w:tcBorders>
            <w:shd w:val="clear" w:color="auto" w:fill="FDE9D9"/>
          </w:tcPr>
          <w:p w14:paraId="634F9772"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786" w:type="dxa"/>
            <w:vMerge w:val="restart"/>
            <w:tcBorders>
              <w:top w:val="nil"/>
              <w:left w:val="nil"/>
              <w:bottom w:val="single" w:sz="4" w:space="0" w:color="000000"/>
              <w:right w:val="nil"/>
            </w:tcBorders>
            <w:shd w:val="clear" w:color="auto" w:fill="auto"/>
          </w:tcPr>
          <w:p w14:paraId="7F71DDA8"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 for Mean</w:t>
            </w:r>
          </w:p>
        </w:tc>
        <w:tc>
          <w:tcPr>
            <w:tcW w:w="1309" w:type="dxa"/>
            <w:tcBorders>
              <w:top w:val="nil"/>
              <w:left w:val="nil"/>
              <w:bottom w:val="nil"/>
              <w:right w:val="single" w:sz="12" w:space="0" w:color="000000"/>
            </w:tcBorders>
            <w:shd w:val="clear" w:color="auto" w:fill="auto"/>
          </w:tcPr>
          <w:p w14:paraId="4E516FCA"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950" w:type="dxa"/>
            <w:tcBorders>
              <w:top w:val="nil"/>
              <w:left w:val="nil"/>
              <w:bottom w:val="nil"/>
              <w:right w:val="single" w:sz="4" w:space="0" w:color="000000"/>
            </w:tcBorders>
            <w:shd w:val="clear" w:color="auto" w:fill="auto"/>
            <w:vAlign w:val="center"/>
          </w:tcPr>
          <w:p w14:paraId="253A78A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4.93</w:t>
            </w:r>
          </w:p>
        </w:tc>
        <w:tc>
          <w:tcPr>
            <w:tcW w:w="712" w:type="dxa"/>
            <w:tcBorders>
              <w:top w:val="nil"/>
              <w:left w:val="nil"/>
              <w:bottom w:val="nil"/>
              <w:right w:val="single" w:sz="4" w:space="0" w:color="000000"/>
            </w:tcBorders>
            <w:shd w:val="clear" w:color="auto" w:fill="auto"/>
            <w:vAlign w:val="center"/>
          </w:tcPr>
          <w:p w14:paraId="4F33FB4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5.15</w:t>
            </w:r>
          </w:p>
        </w:tc>
        <w:tc>
          <w:tcPr>
            <w:tcW w:w="1002" w:type="dxa"/>
            <w:tcBorders>
              <w:top w:val="nil"/>
              <w:left w:val="nil"/>
              <w:bottom w:val="nil"/>
              <w:right w:val="single" w:sz="4" w:space="0" w:color="000000"/>
            </w:tcBorders>
            <w:shd w:val="clear" w:color="auto" w:fill="auto"/>
            <w:vAlign w:val="center"/>
          </w:tcPr>
          <w:p w14:paraId="183AE33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4.40</w:t>
            </w:r>
          </w:p>
        </w:tc>
        <w:tc>
          <w:tcPr>
            <w:tcW w:w="676" w:type="dxa"/>
            <w:tcBorders>
              <w:top w:val="nil"/>
              <w:left w:val="nil"/>
              <w:bottom w:val="nil"/>
              <w:right w:val="single" w:sz="12" w:space="0" w:color="000000"/>
            </w:tcBorders>
            <w:shd w:val="clear" w:color="auto" w:fill="auto"/>
            <w:vAlign w:val="center"/>
          </w:tcPr>
          <w:p w14:paraId="262BF02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5.38</w:t>
            </w:r>
          </w:p>
        </w:tc>
      </w:tr>
      <w:tr w:rsidR="009968E0" w:rsidRPr="009968E0" w14:paraId="25044EC6" w14:textId="77777777" w:rsidTr="009968E0">
        <w:trPr>
          <w:trHeight w:val="360"/>
        </w:trPr>
        <w:tc>
          <w:tcPr>
            <w:tcW w:w="1629" w:type="dxa"/>
            <w:vMerge/>
            <w:tcBorders>
              <w:top w:val="nil"/>
              <w:left w:val="single" w:sz="12" w:space="0" w:color="000000"/>
              <w:bottom w:val="single" w:sz="4" w:space="0" w:color="000000"/>
              <w:right w:val="nil"/>
            </w:tcBorders>
            <w:shd w:val="clear" w:color="auto" w:fill="FDE9D9"/>
          </w:tcPr>
          <w:p w14:paraId="2E7209BB"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786" w:type="dxa"/>
            <w:vMerge/>
            <w:tcBorders>
              <w:top w:val="nil"/>
              <w:left w:val="nil"/>
              <w:bottom w:val="single" w:sz="4" w:space="0" w:color="000000"/>
              <w:right w:val="nil"/>
            </w:tcBorders>
            <w:shd w:val="clear" w:color="auto" w:fill="auto"/>
          </w:tcPr>
          <w:p w14:paraId="67EC0D18"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309" w:type="dxa"/>
            <w:tcBorders>
              <w:top w:val="nil"/>
              <w:left w:val="nil"/>
              <w:bottom w:val="single" w:sz="4" w:space="0" w:color="000000"/>
              <w:right w:val="single" w:sz="12" w:space="0" w:color="000000"/>
            </w:tcBorders>
            <w:shd w:val="clear" w:color="auto" w:fill="auto"/>
          </w:tcPr>
          <w:p w14:paraId="65BF3A77"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950" w:type="dxa"/>
            <w:tcBorders>
              <w:top w:val="nil"/>
              <w:left w:val="nil"/>
              <w:bottom w:val="single" w:sz="4" w:space="0" w:color="000000"/>
              <w:right w:val="single" w:sz="4" w:space="0" w:color="000000"/>
            </w:tcBorders>
            <w:shd w:val="clear" w:color="auto" w:fill="auto"/>
            <w:vAlign w:val="center"/>
          </w:tcPr>
          <w:p w14:paraId="7432E4E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5.95</w:t>
            </w:r>
          </w:p>
        </w:tc>
        <w:tc>
          <w:tcPr>
            <w:tcW w:w="712" w:type="dxa"/>
            <w:tcBorders>
              <w:top w:val="nil"/>
              <w:left w:val="nil"/>
              <w:bottom w:val="single" w:sz="4" w:space="0" w:color="000000"/>
              <w:right w:val="single" w:sz="4" w:space="0" w:color="000000"/>
            </w:tcBorders>
            <w:shd w:val="clear" w:color="auto" w:fill="auto"/>
            <w:vAlign w:val="center"/>
          </w:tcPr>
          <w:p w14:paraId="5F83A364"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5.99</w:t>
            </w:r>
          </w:p>
        </w:tc>
        <w:tc>
          <w:tcPr>
            <w:tcW w:w="1002" w:type="dxa"/>
            <w:tcBorders>
              <w:top w:val="nil"/>
              <w:left w:val="nil"/>
              <w:bottom w:val="single" w:sz="4" w:space="0" w:color="000000"/>
              <w:right w:val="single" w:sz="4" w:space="0" w:color="000000"/>
            </w:tcBorders>
            <w:shd w:val="clear" w:color="auto" w:fill="auto"/>
            <w:vAlign w:val="center"/>
          </w:tcPr>
          <w:p w14:paraId="582025BE"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5.94</w:t>
            </w:r>
          </w:p>
        </w:tc>
        <w:tc>
          <w:tcPr>
            <w:tcW w:w="676" w:type="dxa"/>
            <w:tcBorders>
              <w:top w:val="nil"/>
              <w:left w:val="nil"/>
              <w:bottom w:val="single" w:sz="4" w:space="0" w:color="000000"/>
              <w:right w:val="single" w:sz="12" w:space="0" w:color="000000"/>
            </w:tcBorders>
            <w:shd w:val="clear" w:color="auto" w:fill="auto"/>
            <w:vAlign w:val="center"/>
          </w:tcPr>
          <w:p w14:paraId="6454D1D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6.88</w:t>
            </w:r>
          </w:p>
        </w:tc>
      </w:tr>
      <w:tr w:rsidR="009968E0" w:rsidRPr="009968E0" w14:paraId="38BF4CD6" w14:textId="77777777" w:rsidTr="009968E0">
        <w:trPr>
          <w:trHeight w:val="360"/>
        </w:trPr>
        <w:tc>
          <w:tcPr>
            <w:tcW w:w="9064" w:type="dxa"/>
            <w:gridSpan w:val="7"/>
            <w:tcBorders>
              <w:top w:val="nil"/>
              <w:left w:val="single" w:sz="12" w:space="0" w:color="000000"/>
              <w:bottom w:val="single" w:sz="4" w:space="0" w:color="000000"/>
              <w:right w:val="single" w:sz="12" w:space="0" w:color="000000"/>
            </w:tcBorders>
            <w:shd w:val="clear" w:color="auto" w:fill="auto"/>
          </w:tcPr>
          <w:p w14:paraId="314ED7F3"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p=0.147</w:t>
            </w:r>
          </w:p>
        </w:tc>
      </w:tr>
      <w:tr w:rsidR="009968E0" w:rsidRPr="009968E0" w14:paraId="620C6BA1" w14:textId="77777777" w:rsidTr="009968E0">
        <w:trPr>
          <w:trHeight w:val="360"/>
        </w:trPr>
        <w:tc>
          <w:tcPr>
            <w:tcW w:w="1629" w:type="dxa"/>
            <w:vMerge w:val="restart"/>
            <w:tcBorders>
              <w:top w:val="nil"/>
              <w:left w:val="single" w:sz="12" w:space="0" w:color="000000"/>
              <w:bottom w:val="single" w:sz="4" w:space="0" w:color="000000"/>
              <w:right w:val="nil"/>
            </w:tcBorders>
            <w:shd w:val="clear" w:color="auto" w:fill="FDE9D9"/>
          </w:tcPr>
          <w:p w14:paraId="1DF37321" w14:textId="13B81231"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lastRenderedPageBreak/>
              <w:t>MTT-</w:t>
            </w:r>
            <w:r w:rsidR="00264184">
              <w:rPr>
                <w:rFonts w:ascii="Calibri" w:eastAsia="Times New Roman" w:hAnsi="Calibri" w:cs="Calibri"/>
                <w:i/>
                <w:iCs/>
                <w:color w:val="000000"/>
                <w:sz w:val="22"/>
                <w:szCs w:val="22"/>
                <w:lang w:eastAsia="en-GB"/>
              </w:rPr>
              <w:t>RThal</w:t>
            </w:r>
            <w:r w:rsidRPr="009968E0">
              <w:rPr>
                <w:rFonts w:ascii="Calibri" w:eastAsia="Times New Roman" w:hAnsi="Calibri" w:cs="Calibri"/>
                <w:i/>
                <w:iCs/>
                <w:color w:val="000000"/>
                <w:sz w:val="22"/>
                <w:szCs w:val="22"/>
                <w:lang w:eastAsia="en-GB"/>
              </w:rPr>
              <w:t>2</w:t>
            </w:r>
          </w:p>
        </w:tc>
        <w:tc>
          <w:tcPr>
            <w:tcW w:w="4095" w:type="dxa"/>
            <w:gridSpan w:val="2"/>
            <w:tcBorders>
              <w:top w:val="nil"/>
              <w:left w:val="nil"/>
              <w:bottom w:val="single" w:sz="4" w:space="0" w:color="000000"/>
              <w:right w:val="single" w:sz="12" w:space="0" w:color="000000"/>
            </w:tcBorders>
            <w:shd w:val="clear" w:color="auto" w:fill="auto"/>
          </w:tcPr>
          <w:p w14:paraId="1F94741C"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w:t>
            </w:r>
          </w:p>
        </w:tc>
        <w:tc>
          <w:tcPr>
            <w:tcW w:w="950" w:type="dxa"/>
            <w:tcBorders>
              <w:top w:val="nil"/>
              <w:left w:val="nil"/>
              <w:bottom w:val="single" w:sz="4" w:space="0" w:color="000000"/>
              <w:right w:val="single" w:sz="4" w:space="0" w:color="000000"/>
            </w:tcBorders>
            <w:shd w:val="clear" w:color="auto" w:fill="auto"/>
            <w:vAlign w:val="center"/>
          </w:tcPr>
          <w:p w14:paraId="1D3715B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19</w:t>
            </w:r>
          </w:p>
        </w:tc>
        <w:tc>
          <w:tcPr>
            <w:tcW w:w="712" w:type="dxa"/>
            <w:tcBorders>
              <w:top w:val="nil"/>
              <w:left w:val="nil"/>
              <w:bottom w:val="single" w:sz="4" w:space="0" w:color="000000"/>
              <w:right w:val="single" w:sz="4" w:space="0" w:color="000000"/>
            </w:tcBorders>
            <w:shd w:val="clear" w:color="auto" w:fill="auto"/>
            <w:vAlign w:val="center"/>
          </w:tcPr>
          <w:p w14:paraId="6548C22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23</w:t>
            </w:r>
          </w:p>
        </w:tc>
        <w:tc>
          <w:tcPr>
            <w:tcW w:w="1002" w:type="dxa"/>
            <w:tcBorders>
              <w:top w:val="nil"/>
              <w:left w:val="nil"/>
              <w:bottom w:val="single" w:sz="4" w:space="0" w:color="000000"/>
              <w:right w:val="single" w:sz="4" w:space="0" w:color="000000"/>
            </w:tcBorders>
            <w:shd w:val="clear" w:color="auto" w:fill="auto"/>
            <w:vAlign w:val="center"/>
          </w:tcPr>
          <w:p w14:paraId="334D469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13</w:t>
            </w:r>
          </w:p>
        </w:tc>
        <w:tc>
          <w:tcPr>
            <w:tcW w:w="676" w:type="dxa"/>
            <w:tcBorders>
              <w:top w:val="nil"/>
              <w:left w:val="nil"/>
              <w:bottom w:val="single" w:sz="4" w:space="0" w:color="000000"/>
              <w:right w:val="single" w:sz="12" w:space="0" w:color="000000"/>
            </w:tcBorders>
            <w:shd w:val="clear" w:color="auto" w:fill="auto"/>
            <w:vAlign w:val="center"/>
          </w:tcPr>
          <w:p w14:paraId="369A8C7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19</w:t>
            </w:r>
          </w:p>
        </w:tc>
      </w:tr>
      <w:tr w:rsidR="009968E0" w:rsidRPr="009968E0" w14:paraId="219CDEA1" w14:textId="77777777" w:rsidTr="009968E0">
        <w:trPr>
          <w:trHeight w:val="360"/>
        </w:trPr>
        <w:tc>
          <w:tcPr>
            <w:tcW w:w="1629" w:type="dxa"/>
            <w:vMerge/>
            <w:tcBorders>
              <w:top w:val="nil"/>
              <w:left w:val="single" w:sz="12" w:space="0" w:color="000000"/>
              <w:bottom w:val="single" w:sz="4" w:space="0" w:color="000000"/>
              <w:right w:val="nil"/>
            </w:tcBorders>
            <w:shd w:val="clear" w:color="auto" w:fill="FDE9D9"/>
          </w:tcPr>
          <w:p w14:paraId="1189DFA0"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4095" w:type="dxa"/>
            <w:gridSpan w:val="2"/>
            <w:tcBorders>
              <w:top w:val="nil"/>
              <w:left w:val="nil"/>
              <w:bottom w:val="single" w:sz="4" w:space="0" w:color="000000"/>
              <w:right w:val="single" w:sz="12" w:space="0" w:color="000000"/>
            </w:tcBorders>
            <w:shd w:val="clear" w:color="auto" w:fill="auto"/>
          </w:tcPr>
          <w:p w14:paraId="7154B252"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950" w:type="dxa"/>
            <w:tcBorders>
              <w:top w:val="nil"/>
              <w:left w:val="nil"/>
              <w:bottom w:val="single" w:sz="4" w:space="0" w:color="000000"/>
              <w:right w:val="single" w:sz="4" w:space="0" w:color="000000"/>
            </w:tcBorders>
            <w:shd w:val="clear" w:color="auto" w:fill="auto"/>
            <w:vAlign w:val="center"/>
          </w:tcPr>
          <w:p w14:paraId="5949F2A4"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5.54</w:t>
            </w:r>
          </w:p>
        </w:tc>
        <w:tc>
          <w:tcPr>
            <w:tcW w:w="712" w:type="dxa"/>
            <w:tcBorders>
              <w:top w:val="nil"/>
              <w:left w:val="nil"/>
              <w:bottom w:val="single" w:sz="4" w:space="0" w:color="000000"/>
              <w:right w:val="single" w:sz="4" w:space="0" w:color="000000"/>
            </w:tcBorders>
            <w:shd w:val="clear" w:color="auto" w:fill="auto"/>
            <w:vAlign w:val="center"/>
          </w:tcPr>
          <w:p w14:paraId="04EE6B5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5.57</w:t>
            </w:r>
          </w:p>
        </w:tc>
        <w:tc>
          <w:tcPr>
            <w:tcW w:w="1002" w:type="dxa"/>
            <w:tcBorders>
              <w:top w:val="nil"/>
              <w:left w:val="nil"/>
              <w:bottom w:val="single" w:sz="4" w:space="0" w:color="000000"/>
              <w:right w:val="single" w:sz="4" w:space="0" w:color="000000"/>
            </w:tcBorders>
            <w:shd w:val="clear" w:color="auto" w:fill="auto"/>
            <w:vAlign w:val="center"/>
          </w:tcPr>
          <w:p w14:paraId="49991324"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5.22</w:t>
            </w:r>
          </w:p>
        </w:tc>
        <w:tc>
          <w:tcPr>
            <w:tcW w:w="676" w:type="dxa"/>
            <w:tcBorders>
              <w:top w:val="nil"/>
              <w:left w:val="nil"/>
              <w:bottom w:val="single" w:sz="4" w:space="0" w:color="000000"/>
              <w:right w:val="single" w:sz="12" w:space="0" w:color="000000"/>
            </w:tcBorders>
            <w:shd w:val="clear" w:color="auto" w:fill="auto"/>
            <w:vAlign w:val="center"/>
          </w:tcPr>
          <w:p w14:paraId="108035CE"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6.21</w:t>
            </w:r>
          </w:p>
        </w:tc>
      </w:tr>
      <w:tr w:rsidR="009968E0" w:rsidRPr="009968E0" w14:paraId="6992B535" w14:textId="77777777" w:rsidTr="009968E0">
        <w:trPr>
          <w:trHeight w:val="360"/>
        </w:trPr>
        <w:tc>
          <w:tcPr>
            <w:tcW w:w="1629" w:type="dxa"/>
            <w:vMerge/>
            <w:tcBorders>
              <w:top w:val="nil"/>
              <w:left w:val="single" w:sz="12" w:space="0" w:color="000000"/>
              <w:bottom w:val="single" w:sz="4" w:space="0" w:color="000000"/>
              <w:right w:val="nil"/>
            </w:tcBorders>
            <w:shd w:val="clear" w:color="auto" w:fill="FDE9D9"/>
          </w:tcPr>
          <w:p w14:paraId="1A158235"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786" w:type="dxa"/>
            <w:vMerge w:val="restart"/>
            <w:tcBorders>
              <w:top w:val="nil"/>
              <w:left w:val="nil"/>
              <w:bottom w:val="single" w:sz="4" w:space="0" w:color="000000"/>
              <w:right w:val="nil"/>
            </w:tcBorders>
            <w:shd w:val="clear" w:color="auto" w:fill="auto"/>
          </w:tcPr>
          <w:p w14:paraId="4630FC2D"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 for Mean</w:t>
            </w:r>
          </w:p>
        </w:tc>
        <w:tc>
          <w:tcPr>
            <w:tcW w:w="1309" w:type="dxa"/>
            <w:tcBorders>
              <w:top w:val="nil"/>
              <w:left w:val="nil"/>
              <w:bottom w:val="nil"/>
              <w:right w:val="single" w:sz="12" w:space="0" w:color="000000"/>
            </w:tcBorders>
            <w:shd w:val="clear" w:color="auto" w:fill="auto"/>
          </w:tcPr>
          <w:p w14:paraId="60472AC7"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950" w:type="dxa"/>
            <w:tcBorders>
              <w:top w:val="nil"/>
              <w:left w:val="nil"/>
              <w:bottom w:val="nil"/>
              <w:right w:val="single" w:sz="4" w:space="0" w:color="000000"/>
            </w:tcBorders>
            <w:shd w:val="clear" w:color="auto" w:fill="auto"/>
            <w:vAlign w:val="center"/>
          </w:tcPr>
          <w:p w14:paraId="25410BB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4.91</w:t>
            </w:r>
          </w:p>
        </w:tc>
        <w:tc>
          <w:tcPr>
            <w:tcW w:w="712" w:type="dxa"/>
            <w:tcBorders>
              <w:top w:val="nil"/>
              <w:left w:val="nil"/>
              <w:bottom w:val="nil"/>
              <w:right w:val="single" w:sz="4" w:space="0" w:color="000000"/>
            </w:tcBorders>
            <w:shd w:val="clear" w:color="auto" w:fill="auto"/>
            <w:vAlign w:val="center"/>
          </w:tcPr>
          <w:p w14:paraId="4B6BCCF0"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5.08</w:t>
            </w:r>
          </w:p>
        </w:tc>
        <w:tc>
          <w:tcPr>
            <w:tcW w:w="1002" w:type="dxa"/>
            <w:tcBorders>
              <w:top w:val="nil"/>
              <w:left w:val="nil"/>
              <w:bottom w:val="nil"/>
              <w:right w:val="single" w:sz="4" w:space="0" w:color="000000"/>
            </w:tcBorders>
            <w:shd w:val="clear" w:color="auto" w:fill="auto"/>
            <w:vAlign w:val="center"/>
          </w:tcPr>
          <w:p w14:paraId="01A20263"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4.62</w:t>
            </w:r>
          </w:p>
        </w:tc>
        <w:tc>
          <w:tcPr>
            <w:tcW w:w="676" w:type="dxa"/>
            <w:tcBorders>
              <w:top w:val="nil"/>
              <w:left w:val="nil"/>
              <w:bottom w:val="nil"/>
              <w:right w:val="single" w:sz="12" w:space="0" w:color="000000"/>
            </w:tcBorders>
            <w:shd w:val="clear" w:color="auto" w:fill="auto"/>
            <w:vAlign w:val="center"/>
          </w:tcPr>
          <w:p w14:paraId="3F42325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5.46</w:t>
            </w:r>
          </w:p>
        </w:tc>
      </w:tr>
      <w:tr w:rsidR="009968E0" w:rsidRPr="009968E0" w14:paraId="79BB97B1" w14:textId="77777777" w:rsidTr="009968E0">
        <w:trPr>
          <w:trHeight w:val="360"/>
        </w:trPr>
        <w:tc>
          <w:tcPr>
            <w:tcW w:w="1629" w:type="dxa"/>
            <w:vMerge/>
            <w:tcBorders>
              <w:top w:val="nil"/>
              <w:left w:val="single" w:sz="12" w:space="0" w:color="000000"/>
              <w:bottom w:val="single" w:sz="4" w:space="0" w:color="000000"/>
              <w:right w:val="nil"/>
            </w:tcBorders>
            <w:shd w:val="clear" w:color="auto" w:fill="FDE9D9"/>
          </w:tcPr>
          <w:p w14:paraId="3C3EA9FD"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786" w:type="dxa"/>
            <w:vMerge/>
            <w:tcBorders>
              <w:top w:val="nil"/>
              <w:left w:val="nil"/>
              <w:bottom w:val="single" w:sz="4" w:space="0" w:color="000000"/>
              <w:right w:val="nil"/>
            </w:tcBorders>
            <w:shd w:val="clear" w:color="auto" w:fill="auto"/>
          </w:tcPr>
          <w:p w14:paraId="4B0C32CA"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309" w:type="dxa"/>
            <w:tcBorders>
              <w:top w:val="nil"/>
              <w:left w:val="nil"/>
              <w:bottom w:val="single" w:sz="4" w:space="0" w:color="000000"/>
              <w:right w:val="single" w:sz="12" w:space="0" w:color="000000"/>
            </w:tcBorders>
            <w:shd w:val="clear" w:color="auto" w:fill="auto"/>
          </w:tcPr>
          <w:p w14:paraId="2E054E18"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950" w:type="dxa"/>
            <w:tcBorders>
              <w:top w:val="nil"/>
              <w:left w:val="nil"/>
              <w:bottom w:val="single" w:sz="4" w:space="0" w:color="000000"/>
              <w:right w:val="single" w:sz="4" w:space="0" w:color="000000"/>
            </w:tcBorders>
            <w:shd w:val="clear" w:color="auto" w:fill="auto"/>
            <w:vAlign w:val="center"/>
          </w:tcPr>
          <w:p w14:paraId="1C91B8F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6.17</w:t>
            </w:r>
          </w:p>
        </w:tc>
        <w:tc>
          <w:tcPr>
            <w:tcW w:w="712" w:type="dxa"/>
            <w:tcBorders>
              <w:top w:val="nil"/>
              <w:left w:val="nil"/>
              <w:bottom w:val="single" w:sz="4" w:space="0" w:color="000000"/>
              <w:right w:val="single" w:sz="4" w:space="0" w:color="000000"/>
            </w:tcBorders>
            <w:shd w:val="clear" w:color="auto" w:fill="auto"/>
            <w:vAlign w:val="center"/>
          </w:tcPr>
          <w:p w14:paraId="1D72028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6.05</w:t>
            </w:r>
          </w:p>
        </w:tc>
        <w:tc>
          <w:tcPr>
            <w:tcW w:w="1002" w:type="dxa"/>
            <w:tcBorders>
              <w:top w:val="nil"/>
              <w:left w:val="nil"/>
              <w:bottom w:val="single" w:sz="4" w:space="0" w:color="000000"/>
              <w:right w:val="single" w:sz="4" w:space="0" w:color="000000"/>
            </w:tcBorders>
            <w:shd w:val="clear" w:color="auto" w:fill="auto"/>
            <w:vAlign w:val="center"/>
          </w:tcPr>
          <w:p w14:paraId="39D78EE5"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5.82</w:t>
            </w:r>
          </w:p>
        </w:tc>
        <w:tc>
          <w:tcPr>
            <w:tcW w:w="676" w:type="dxa"/>
            <w:tcBorders>
              <w:top w:val="nil"/>
              <w:left w:val="nil"/>
              <w:bottom w:val="single" w:sz="4" w:space="0" w:color="000000"/>
              <w:right w:val="single" w:sz="12" w:space="0" w:color="000000"/>
            </w:tcBorders>
            <w:shd w:val="clear" w:color="auto" w:fill="auto"/>
            <w:vAlign w:val="center"/>
          </w:tcPr>
          <w:p w14:paraId="1D91B438"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6.96</w:t>
            </w:r>
          </w:p>
        </w:tc>
      </w:tr>
      <w:tr w:rsidR="009968E0" w:rsidRPr="009968E0" w14:paraId="609301DF" w14:textId="77777777" w:rsidTr="009968E0">
        <w:trPr>
          <w:trHeight w:val="360"/>
        </w:trPr>
        <w:tc>
          <w:tcPr>
            <w:tcW w:w="1629" w:type="dxa"/>
            <w:tcBorders>
              <w:top w:val="nil"/>
              <w:left w:val="single" w:sz="12" w:space="0" w:color="000000"/>
              <w:bottom w:val="single" w:sz="4" w:space="0" w:color="000000"/>
              <w:right w:val="nil"/>
            </w:tcBorders>
            <w:shd w:val="clear" w:color="auto" w:fill="auto"/>
          </w:tcPr>
          <w:p w14:paraId="2CB748DA"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 </w:t>
            </w:r>
          </w:p>
        </w:tc>
        <w:tc>
          <w:tcPr>
            <w:tcW w:w="7435" w:type="dxa"/>
            <w:gridSpan w:val="6"/>
            <w:tcBorders>
              <w:top w:val="nil"/>
              <w:left w:val="nil"/>
              <w:bottom w:val="single" w:sz="4" w:space="0" w:color="000000"/>
              <w:right w:val="single" w:sz="12" w:space="0" w:color="000000"/>
            </w:tcBorders>
            <w:shd w:val="clear" w:color="auto" w:fill="auto"/>
            <w:vAlign w:val="center"/>
          </w:tcPr>
          <w:p w14:paraId="0E72AE3D"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p=0.153</w:t>
            </w:r>
          </w:p>
        </w:tc>
      </w:tr>
      <w:tr w:rsidR="009968E0" w:rsidRPr="009968E0" w14:paraId="6DE323FD" w14:textId="77777777" w:rsidTr="009968E0">
        <w:trPr>
          <w:trHeight w:val="360"/>
        </w:trPr>
        <w:tc>
          <w:tcPr>
            <w:tcW w:w="1629" w:type="dxa"/>
            <w:vMerge w:val="restart"/>
            <w:tcBorders>
              <w:top w:val="nil"/>
              <w:left w:val="single" w:sz="12" w:space="0" w:color="000000"/>
              <w:bottom w:val="single" w:sz="4" w:space="0" w:color="000000"/>
              <w:right w:val="nil"/>
            </w:tcBorders>
            <w:shd w:val="clear" w:color="auto" w:fill="FDE9D9"/>
          </w:tcPr>
          <w:p w14:paraId="02BBAC32"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MTT-LINS22</w:t>
            </w:r>
          </w:p>
        </w:tc>
        <w:tc>
          <w:tcPr>
            <w:tcW w:w="4095" w:type="dxa"/>
            <w:gridSpan w:val="2"/>
            <w:tcBorders>
              <w:top w:val="nil"/>
              <w:left w:val="nil"/>
              <w:bottom w:val="single" w:sz="4" w:space="0" w:color="000000"/>
              <w:right w:val="single" w:sz="12" w:space="0" w:color="000000"/>
            </w:tcBorders>
            <w:shd w:val="clear" w:color="auto" w:fill="auto"/>
          </w:tcPr>
          <w:p w14:paraId="74C9A804"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w:t>
            </w:r>
          </w:p>
        </w:tc>
        <w:tc>
          <w:tcPr>
            <w:tcW w:w="950" w:type="dxa"/>
            <w:tcBorders>
              <w:top w:val="nil"/>
              <w:left w:val="nil"/>
              <w:bottom w:val="single" w:sz="4" w:space="0" w:color="000000"/>
              <w:right w:val="single" w:sz="4" w:space="0" w:color="000000"/>
            </w:tcBorders>
            <w:shd w:val="clear" w:color="auto" w:fill="auto"/>
            <w:vAlign w:val="center"/>
          </w:tcPr>
          <w:p w14:paraId="773FA7F3"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19</w:t>
            </w:r>
          </w:p>
        </w:tc>
        <w:tc>
          <w:tcPr>
            <w:tcW w:w="712" w:type="dxa"/>
            <w:tcBorders>
              <w:top w:val="nil"/>
              <w:left w:val="nil"/>
              <w:bottom w:val="single" w:sz="4" w:space="0" w:color="000000"/>
              <w:right w:val="single" w:sz="4" w:space="0" w:color="000000"/>
            </w:tcBorders>
            <w:shd w:val="clear" w:color="auto" w:fill="auto"/>
            <w:vAlign w:val="center"/>
          </w:tcPr>
          <w:p w14:paraId="601B07D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23</w:t>
            </w:r>
          </w:p>
        </w:tc>
        <w:tc>
          <w:tcPr>
            <w:tcW w:w="1002" w:type="dxa"/>
            <w:tcBorders>
              <w:top w:val="nil"/>
              <w:left w:val="nil"/>
              <w:bottom w:val="single" w:sz="4" w:space="0" w:color="000000"/>
              <w:right w:val="single" w:sz="4" w:space="0" w:color="000000"/>
            </w:tcBorders>
            <w:shd w:val="clear" w:color="auto" w:fill="auto"/>
            <w:vAlign w:val="center"/>
          </w:tcPr>
          <w:p w14:paraId="0808B8F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13</w:t>
            </w:r>
          </w:p>
        </w:tc>
        <w:tc>
          <w:tcPr>
            <w:tcW w:w="676" w:type="dxa"/>
            <w:tcBorders>
              <w:top w:val="nil"/>
              <w:left w:val="nil"/>
              <w:bottom w:val="single" w:sz="4" w:space="0" w:color="000000"/>
              <w:right w:val="single" w:sz="12" w:space="0" w:color="000000"/>
            </w:tcBorders>
            <w:shd w:val="clear" w:color="auto" w:fill="auto"/>
            <w:vAlign w:val="center"/>
          </w:tcPr>
          <w:p w14:paraId="51ACD138"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19</w:t>
            </w:r>
          </w:p>
        </w:tc>
      </w:tr>
      <w:tr w:rsidR="009968E0" w:rsidRPr="009968E0" w14:paraId="0151FD77" w14:textId="77777777" w:rsidTr="009968E0">
        <w:trPr>
          <w:trHeight w:val="360"/>
        </w:trPr>
        <w:tc>
          <w:tcPr>
            <w:tcW w:w="1629" w:type="dxa"/>
            <w:vMerge/>
            <w:tcBorders>
              <w:top w:val="nil"/>
              <w:left w:val="single" w:sz="12" w:space="0" w:color="000000"/>
              <w:bottom w:val="single" w:sz="4" w:space="0" w:color="000000"/>
              <w:right w:val="nil"/>
            </w:tcBorders>
            <w:shd w:val="clear" w:color="auto" w:fill="FDE9D9"/>
          </w:tcPr>
          <w:p w14:paraId="3DE88829"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4095" w:type="dxa"/>
            <w:gridSpan w:val="2"/>
            <w:tcBorders>
              <w:top w:val="nil"/>
              <w:left w:val="nil"/>
              <w:bottom w:val="single" w:sz="4" w:space="0" w:color="000000"/>
              <w:right w:val="single" w:sz="12" w:space="0" w:color="000000"/>
            </w:tcBorders>
            <w:shd w:val="clear" w:color="auto" w:fill="auto"/>
          </w:tcPr>
          <w:p w14:paraId="1CBC726D"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950" w:type="dxa"/>
            <w:tcBorders>
              <w:top w:val="nil"/>
              <w:left w:val="nil"/>
              <w:bottom w:val="single" w:sz="4" w:space="0" w:color="000000"/>
              <w:right w:val="single" w:sz="4" w:space="0" w:color="000000"/>
            </w:tcBorders>
            <w:shd w:val="clear" w:color="auto" w:fill="auto"/>
            <w:vAlign w:val="center"/>
          </w:tcPr>
          <w:p w14:paraId="047E77C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4.82</w:t>
            </w:r>
          </w:p>
        </w:tc>
        <w:tc>
          <w:tcPr>
            <w:tcW w:w="712" w:type="dxa"/>
            <w:tcBorders>
              <w:top w:val="nil"/>
              <w:left w:val="nil"/>
              <w:bottom w:val="single" w:sz="4" w:space="0" w:color="000000"/>
              <w:right w:val="single" w:sz="4" w:space="0" w:color="000000"/>
            </w:tcBorders>
            <w:shd w:val="clear" w:color="auto" w:fill="auto"/>
            <w:vAlign w:val="center"/>
          </w:tcPr>
          <w:p w14:paraId="02C6896E"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4.53</w:t>
            </w:r>
          </w:p>
        </w:tc>
        <w:tc>
          <w:tcPr>
            <w:tcW w:w="1002" w:type="dxa"/>
            <w:tcBorders>
              <w:top w:val="nil"/>
              <w:left w:val="nil"/>
              <w:bottom w:val="single" w:sz="4" w:space="0" w:color="000000"/>
              <w:right w:val="single" w:sz="4" w:space="0" w:color="000000"/>
            </w:tcBorders>
            <w:shd w:val="clear" w:color="auto" w:fill="auto"/>
            <w:vAlign w:val="center"/>
          </w:tcPr>
          <w:p w14:paraId="1592FCE8"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4.32</w:t>
            </w:r>
          </w:p>
        </w:tc>
        <w:tc>
          <w:tcPr>
            <w:tcW w:w="676" w:type="dxa"/>
            <w:tcBorders>
              <w:top w:val="nil"/>
              <w:left w:val="nil"/>
              <w:bottom w:val="single" w:sz="4" w:space="0" w:color="000000"/>
              <w:right w:val="single" w:sz="12" w:space="0" w:color="000000"/>
            </w:tcBorders>
            <w:shd w:val="clear" w:color="auto" w:fill="auto"/>
            <w:vAlign w:val="center"/>
          </w:tcPr>
          <w:p w14:paraId="42FD0FB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5.35</w:t>
            </w:r>
          </w:p>
        </w:tc>
      </w:tr>
      <w:tr w:rsidR="009968E0" w:rsidRPr="009968E0" w14:paraId="309FB717" w14:textId="77777777" w:rsidTr="009968E0">
        <w:trPr>
          <w:trHeight w:val="360"/>
        </w:trPr>
        <w:tc>
          <w:tcPr>
            <w:tcW w:w="1629" w:type="dxa"/>
            <w:vMerge/>
            <w:tcBorders>
              <w:top w:val="nil"/>
              <w:left w:val="single" w:sz="12" w:space="0" w:color="000000"/>
              <w:bottom w:val="single" w:sz="4" w:space="0" w:color="000000"/>
              <w:right w:val="nil"/>
            </w:tcBorders>
            <w:shd w:val="clear" w:color="auto" w:fill="FDE9D9"/>
          </w:tcPr>
          <w:p w14:paraId="417560FF"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786" w:type="dxa"/>
            <w:vMerge w:val="restart"/>
            <w:tcBorders>
              <w:top w:val="nil"/>
              <w:left w:val="nil"/>
              <w:bottom w:val="single" w:sz="4" w:space="0" w:color="000000"/>
              <w:right w:val="nil"/>
            </w:tcBorders>
            <w:shd w:val="clear" w:color="auto" w:fill="auto"/>
          </w:tcPr>
          <w:p w14:paraId="4F16FB44"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 for Mean</w:t>
            </w:r>
          </w:p>
        </w:tc>
        <w:tc>
          <w:tcPr>
            <w:tcW w:w="1309" w:type="dxa"/>
            <w:tcBorders>
              <w:top w:val="nil"/>
              <w:left w:val="nil"/>
              <w:bottom w:val="nil"/>
              <w:right w:val="single" w:sz="12" w:space="0" w:color="000000"/>
            </w:tcBorders>
            <w:shd w:val="clear" w:color="auto" w:fill="auto"/>
          </w:tcPr>
          <w:p w14:paraId="3FB242D5"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950" w:type="dxa"/>
            <w:tcBorders>
              <w:top w:val="nil"/>
              <w:left w:val="nil"/>
              <w:bottom w:val="nil"/>
              <w:right w:val="single" w:sz="4" w:space="0" w:color="000000"/>
            </w:tcBorders>
            <w:shd w:val="clear" w:color="auto" w:fill="auto"/>
            <w:vAlign w:val="center"/>
          </w:tcPr>
          <w:p w14:paraId="34BACB2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4.36</w:t>
            </w:r>
          </w:p>
        </w:tc>
        <w:tc>
          <w:tcPr>
            <w:tcW w:w="712" w:type="dxa"/>
            <w:tcBorders>
              <w:top w:val="nil"/>
              <w:left w:val="nil"/>
              <w:bottom w:val="nil"/>
              <w:right w:val="single" w:sz="4" w:space="0" w:color="000000"/>
            </w:tcBorders>
            <w:shd w:val="clear" w:color="auto" w:fill="auto"/>
            <w:vAlign w:val="center"/>
          </w:tcPr>
          <w:p w14:paraId="7D0FA473"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4.20</w:t>
            </w:r>
          </w:p>
        </w:tc>
        <w:tc>
          <w:tcPr>
            <w:tcW w:w="1002" w:type="dxa"/>
            <w:tcBorders>
              <w:top w:val="nil"/>
              <w:left w:val="nil"/>
              <w:bottom w:val="nil"/>
              <w:right w:val="single" w:sz="4" w:space="0" w:color="000000"/>
            </w:tcBorders>
            <w:shd w:val="clear" w:color="auto" w:fill="auto"/>
            <w:vAlign w:val="center"/>
          </w:tcPr>
          <w:p w14:paraId="5C24CC75"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3.76</w:t>
            </w:r>
          </w:p>
        </w:tc>
        <w:tc>
          <w:tcPr>
            <w:tcW w:w="676" w:type="dxa"/>
            <w:tcBorders>
              <w:top w:val="nil"/>
              <w:left w:val="nil"/>
              <w:bottom w:val="nil"/>
              <w:right w:val="single" w:sz="12" w:space="0" w:color="000000"/>
            </w:tcBorders>
            <w:shd w:val="clear" w:color="auto" w:fill="auto"/>
            <w:vAlign w:val="center"/>
          </w:tcPr>
          <w:p w14:paraId="0AC487F0"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4.77</w:t>
            </w:r>
          </w:p>
        </w:tc>
      </w:tr>
      <w:tr w:rsidR="009968E0" w:rsidRPr="009968E0" w14:paraId="769BD814" w14:textId="77777777" w:rsidTr="009968E0">
        <w:trPr>
          <w:trHeight w:val="360"/>
        </w:trPr>
        <w:tc>
          <w:tcPr>
            <w:tcW w:w="1629" w:type="dxa"/>
            <w:vMerge/>
            <w:tcBorders>
              <w:top w:val="nil"/>
              <w:left w:val="single" w:sz="12" w:space="0" w:color="000000"/>
              <w:bottom w:val="single" w:sz="4" w:space="0" w:color="000000"/>
              <w:right w:val="nil"/>
            </w:tcBorders>
            <w:shd w:val="clear" w:color="auto" w:fill="FDE9D9"/>
          </w:tcPr>
          <w:p w14:paraId="7A3FA9F8"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786" w:type="dxa"/>
            <w:vMerge/>
            <w:tcBorders>
              <w:top w:val="nil"/>
              <w:left w:val="nil"/>
              <w:bottom w:val="single" w:sz="4" w:space="0" w:color="000000"/>
              <w:right w:val="nil"/>
            </w:tcBorders>
            <w:shd w:val="clear" w:color="auto" w:fill="auto"/>
          </w:tcPr>
          <w:p w14:paraId="77688D45"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309" w:type="dxa"/>
            <w:tcBorders>
              <w:top w:val="nil"/>
              <w:left w:val="nil"/>
              <w:bottom w:val="single" w:sz="4" w:space="0" w:color="000000"/>
              <w:right w:val="single" w:sz="12" w:space="0" w:color="000000"/>
            </w:tcBorders>
            <w:shd w:val="clear" w:color="auto" w:fill="auto"/>
          </w:tcPr>
          <w:p w14:paraId="01008BC7"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950" w:type="dxa"/>
            <w:tcBorders>
              <w:top w:val="nil"/>
              <w:left w:val="nil"/>
              <w:bottom w:val="single" w:sz="4" w:space="0" w:color="000000"/>
              <w:right w:val="single" w:sz="4" w:space="0" w:color="000000"/>
            </w:tcBorders>
            <w:shd w:val="clear" w:color="auto" w:fill="auto"/>
            <w:vAlign w:val="center"/>
          </w:tcPr>
          <w:p w14:paraId="0CFF0093"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5.29</w:t>
            </w:r>
          </w:p>
        </w:tc>
        <w:tc>
          <w:tcPr>
            <w:tcW w:w="712" w:type="dxa"/>
            <w:tcBorders>
              <w:top w:val="nil"/>
              <w:left w:val="nil"/>
              <w:bottom w:val="single" w:sz="4" w:space="0" w:color="000000"/>
              <w:right w:val="single" w:sz="4" w:space="0" w:color="000000"/>
            </w:tcBorders>
            <w:shd w:val="clear" w:color="auto" w:fill="auto"/>
            <w:vAlign w:val="center"/>
          </w:tcPr>
          <w:p w14:paraId="2DC5D27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4.86</w:t>
            </w:r>
          </w:p>
        </w:tc>
        <w:tc>
          <w:tcPr>
            <w:tcW w:w="1002" w:type="dxa"/>
            <w:tcBorders>
              <w:top w:val="nil"/>
              <w:left w:val="nil"/>
              <w:bottom w:val="single" w:sz="4" w:space="0" w:color="000000"/>
              <w:right w:val="single" w:sz="4" w:space="0" w:color="000000"/>
            </w:tcBorders>
            <w:shd w:val="clear" w:color="auto" w:fill="auto"/>
            <w:vAlign w:val="center"/>
          </w:tcPr>
          <w:p w14:paraId="19289E2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4.89</w:t>
            </w:r>
          </w:p>
        </w:tc>
        <w:tc>
          <w:tcPr>
            <w:tcW w:w="676" w:type="dxa"/>
            <w:tcBorders>
              <w:top w:val="nil"/>
              <w:left w:val="nil"/>
              <w:bottom w:val="single" w:sz="4" w:space="0" w:color="000000"/>
              <w:right w:val="single" w:sz="12" w:space="0" w:color="000000"/>
            </w:tcBorders>
            <w:shd w:val="clear" w:color="auto" w:fill="auto"/>
            <w:vAlign w:val="center"/>
          </w:tcPr>
          <w:p w14:paraId="4648EC3E"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5.94</w:t>
            </w:r>
          </w:p>
        </w:tc>
      </w:tr>
      <w:tr w:rsidR="009968E0" w:rsidRPr="009968E0" w14:paraId="27DC1A10" w14:textId="77777777" w:rsidTr="009968E0">
        <w:trPr>
          <w:trHeight w:val="360"/>
        </w:trPr>
        <w:tc>
          <w:tcPr>
            <w:tcW w:w="9064" w:type="dxa"/>
            <w:gridSpan w:val="7"/>
            <w:tcBorders>
              <w:top w:val="nil"/>
              <w:left w:val="single" w:sz="12" w:space="0" w:color="000000"/>
              <w:bottom w:val="single" w:sz="4" w:space="0" w:color="000000"/>
              <w:right w:val="single" w:sz="12" w:space="0" w:color="000000"/>
            </w:tcBorders>
            <w:shd w:val="clear" w:color="auto" w:fill="auto"/>
            <w:vAlign w:val="center"/>
          </w:tcPr>
          <w:p w14:paraId="53BD7FC9"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p=0.017</w:t>
            </w:r>
            <w:r w:rsidRPr="009968E0">
              <w:rPr>
                <w:rFonts w:ascii="Calibri" w:eastAsia="Times New Roman" w:hAnsi="Calibri" w:cs="Calibri"/>
                <w:i/>
                <w:iCs/>
                <w:color w:val="000000"/>
                <w:sz w:val="22"/>
                <w:szCs w:val="22"/>
                <w:vertAlign w:val="superscript"/>
                <w:lang w:eastAsia="en-GB"/>
              </w:rPr>
              <w:t>a</w:t>
            </w:r>
          </w:p>
        </w:tc>
      </w:tr>
      <w:tr w:rsidR="009968E0" w:rsidRPr="009968E0" w14:paraId="2C1F244D" w14:textId="77777777" w:rsidTr="009968E0">
        <w:trPr>
          <w:trHeight w:val="360"/>
        </w:trPr>
        <w:tc>
          <w:tcPr>
            <w:tcW w:w="1629" w:type="dxa"/>
            <w:vMerge w:val="restart"/>
            <w:tcBorders>
              <w:top w:val="nil"/>
              <w:left w:val="single" w:sz="12" w:space="0" w:color="000000"/>
              <w:bottom w:val="single" w:sz="4" w:space="0" w:color="000000"/>
              <w:right w:val="nil"/>
            </w:tcBorders>
            <w:shd w:val="clear" w:color="auto" w:fill="FDE9D9"/>
          </w:tcPr>
          <w:p w14:paraId="41E09BB3"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MTT-RINS2</w:t>
            </w:r>
          </w:p>
        </w:tc>
        <w:tc>
          <w:tcPr>
            <w:tcW w:w="4095" w:type="dxa"/>
            <w:gridSpan w:val="2"/>
            <w:tcBorders>
              <w:top w:val="nil"/>
              <w:left w:val="nil"/>
              <w:bottom w:val="single" w:sz="4" w:space="0" w:color="000000"/>
              <w:right w:val="single" w:sz="12" w:space="0" w:color="000000"/>
            </w:tcBorders>
            <w:shd w:val="clear" w:color="auto" w:fill="auto"/>
          </w:tcPr>
          <w:p w14:paraId="60C1EB3B"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w:t>
            </w:r>
          </w:p>
        </w:tc>
        <w:tc>
          <w:tcPr>
            <w:tcW w:w="950" w:type="dxa"/>
            <w:tcBorders>
              <w:top w:val="nil"/>
              <w:left w:val="nil"/>
              <w:bottom w:val="single" w:sz="4" w:space="0" w:color="000000"/>
              <w:right w:val="single" w:sz="4" w:space="0" w:color="000000"/>
            </w:tcBorders>
            <w:shd w:val="clear" w:color="auto" w:fill="auto"/>
            <w:vAlign w:val="center"/>
          </w:tcPr>
          <w:p w14:paraId="0A6A220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19</w:t>
            </w:r>
          </w:p>
        </w:tc>
        <w:tc>
          <w:tcPr>
            <w:tcW w:w="712" w:type="dxa"/>
            <w:tcBorders>
              <w:top w:val="nil"/>
              <w:left w:val="nil"/>
              <w:bottom w:val="single" w:sz="4" w:space="0" w:color="000000"/>
              <w:right w:val="single" w:sz="4" w:space="0" w:color="000000"/>
            </w:tcBorders>
            <w:shd w:val="clear" w:color="auto" w:fill="auto"/>
            <w:vAlign w:val="center"/>
          </w:tcPr>
          <w:p w14:paraId="24A86074"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23</w:t>
            </w:r>
          </w:p>
        </w:tc>
        <w:tc>
          <w:tcPr>
            <w:tcW w:w="1002" w:type="dxa"/>
            <w:tcBorders>
              <w:top w:val="nil"/>
              <w:left w:val="nil"/>
              <w:bottom w:val="single" w:sz="4" w:space="0" w:color="000000"/>
              <w:right w:val="single" w:sz="4" w:space="0" w:color="000000"/>
            </w:tcBorders>
            <w:shd w:val="clear" w:color="auto" w:fill="auto"/>
            <w:vAlign w:val="center"/>
          </w:tcPr>
          <w:p w14:paraId="6A8909E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13</w:t>
            </w:r>
          </w:p>
        </w:tc>
        <w:tc>
          <w:tcPr>
            <w:tcW w:w="676" w:type="dxa"/>
            <w:tcBorders>
              <w:top w:val="nil"/>
              <w:left w:val="nil"/>
              <w:bottom w:val="single" w:sz="4" w:space="0" w:color="000000"/>
              <w:right w:val="single" w:sz="12" w:space="0" w:color="000000"/>
            </w:tcBorders>
            <w:shd w:val="clear" w:color="auto" w:fill="auto"/>
            <w:vAlign w:val="center"/>
          </w:tcPr>
          <w:p w14:paraId="264E7D0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19</w:t>
            </w:r>
          </w:p>
        </w:tc>
      </w:tr>
      <w:tr w:rsidR="009968E0" w:rsidRPr="009968E0" w14:paraId="6CCB87CF" w14:textId="77777777" w:rsidTr="009968E0">
        <w:trPr>
          <w:trHeight w:val="360"/>
        </w:trPr>
        <w:tc>
          <w:tcPr>
            <w:tcW w:w="1629" w:type="dxa"/>
            <w:vMerge/>
            <w:tcBorders>
              <w:top w:val="nil"/>
              <w:left w:val="single" w:sz="12" w:space="0" w:color="000000"/>
              <w:bottom w:val="single" w:sz="4" w:space="0" w:color="000000"/>
              <w:right w:val="nil"/>
            </w:tcBorders>
            <w:shd w:val="clear" w:color="auto" w:fill="FDE9D9"/>
          </w:tcPr>
          <w:p w14:paraId="41C05EA3"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4095" w:type="dxa"/>
            <w:gridSpan w:val="2"/>
            <w:tcBorders>
              <w:top w:val="nil"/>
              <w:left w:val="nil"/>
              <w:bottom w:val="single" w:sz="4" w:space="0" w:color="000000"/>
              <w:right w:val="single" w:sz="12" w:space="0" w:color="000000"/>
            </w:tcBorders>
            <w:shd w:val="clear" w:color="auto" w:fill="auto"/>
          </w:tcPr>
          <w:p w14:paraId="0BFB63B1"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950" w:type="dxa"/>
            <w:tcBorders>
              <w:top w:val="nil"/>
              <w:left w:val="nil"/>
              <w:bottom w:val="single" w:sz="4" w:space="0" w:color="000000"/>
              <w:right w:val="single" w:sz="4" w:space="0" w:color="000000"/>
            </w:tcBorders>
            <w:shd w:val="clear" w:color="auto" w:fill="auto"/>
            <w:vAlign w:val="center"/>
          </w:tcPr>
          <w:p w14:paraId="462C33E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4.88</w:t>
            </w:r>
          </w:p>
        </w:tc>
        <w:tc>
          <w:tcPr>
            <w:tcW w:w="712" w:type="dxa"/>
            <w:tcBorders>
              <w:top w:val="nil"/>
              <w:left w:val="nil"/>
              <w:bottom w:val="single" w:sz="4" w:space="0" w:color="000000"/>
              <w:right w:val="single" w:sz="4" w:space="0" w:color="000000"/>
            </w:tcBorders>
            <w:shd w:val="clear" w:color="auto" w:fill="auto"/>
            <w:vAlign w:val="center"/>
          </w:tcPr>
          <w:p w14:paraId="28D0CE8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4.73</w:t>
            </w:r>
          </w:p>
        </w:tc>
        <w:tc>
          <w:tcPr>
            <w:tcW w:w="1002" w:type="dxa"/>
            <w:tcBorders>
              <w:top w:val="nil"/>
              <w:left w:val="nil"/>
              <w:bottom w:val="single" w:sz="4" w:space="0" w:color="000000"/>
              <w:right w:val="single" w:sz="4" w:space="0" w:color="000000"/>
            </w:tcBorders>
            <w:shd w:val="clear" w:color="auto" w:fill="auto"/>
            <w:vAlign w:val="center"/>
          </w:tcPr>
          <w:p w14:paraId="6D90238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4.45</w:t>
            </w:r>
          </w:p>
        </w:tc>
        <w:tc>
          <w:tcPr>
            <w:tcW w:w="676" w:type="dxa"/>
            <w:tcBorders>
              <w:top w:val="nil"/>
              <w:left w:val="nil"/>
              <w:bottom w:val="single" w:sz="4" w:space="0" w:color="000000"/>
              <w:right w:val="single" w:sz="12" w:space="0" w:color="000000"/>
            </w:tcBorders>
            <w:shd w:val="clear" w:color="auto" w:fill="auto"/>
            <w:vAlign w:val="center"/>
          </w:tcPr>
          <w:p w14:paraId="4DAFD00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5.46</w:t>
            </w:r>
          </w:p>
        </w:tc>
      </w:tr>
      <w:tr w:rsidR="009968E0" w:rsidRPr="009968E0" w14:paraId="57554C14" w14:textId="77777777" w:rsidTr="009968E0">
        <w:trPr>
          <w:trHeight w:val="360"/>
        </w:trPr>
        <w:tc>
          <w:tcPr>
            <w:tcW w:w="1629" w:type="dxa"/>
            <w:vMerge/>
            <w:tcBorders>
              <w:top w:val="nil"/>
              <w:left w:val="single" w:sz="12" w:space="0" w:color="000000"/>
              <w:bottom w:val="single" w:sz="4" w:space="0" w:color="000000"/>
              <w:right w:val="nil"/>
            </w:tcBorders>
            <w:shd w:val="clear" w:color="auto" w:fill="FDE9D9"/>
          </w:tcPr>
          <w:p w14:paraId="5725FB0C"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786" w:type="dxa"/>
            <w:vMerge w:val="restart"/>
            <w:tcBorders>
              <w:top w:val="nil"/>
              <w:left w:val="nil"/>
              <w:bottom w:val="single" w:sz="4" w:space="0" w:color="000000"/>
              <w:right w:val="nil"/>
            </w:tcBorders>
            <w:shd w:val="clear" w:color="auto" w:fill="auto"/>
          </w:tcPr>
          <w:p w14:paraId="671CD618"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 for Mean</w:t>
            </w:r>
          </w:p>
        </w:tc>
        <w:tc>
          <w:tcPr>
            <w:tcW w:w="1309" w:type="dxa"/>
            <w:tcBorders>
              <w:top w:val="nil"/>
              <w:left w:val="nil"/>
              <w:bottom w:val="nil"/>
              <w:right w:val="single" w:sz="12" w:space="0" w:color="000000"/>
            </w:tcBorders>
            <w:shd w:val="clear" w:color="auto" w:fill="auto"/>
          </w:tcPr>
          <w:p w14:paraId="584E55A5"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950" w:type="dxa"/>
            <w:tcBorders>
              <w:top w:val="nil"/>
              <w:left w:val="nil"/>
              <w:bottom w:val="nil"/>
              <w:right w:val="single" w:sz="4" w:space="0" w:color="000000"/>
            </w:tcBorders>
            <w:shd w:val="clear" w:color="auto" w:fill="auto"/>
            <w:vAlign w:val="center"/>
          </w:tcPr>
          <w:p w14:paraId="50388F9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4.35</w:t>
            </w:r>
          </w:p>
        </w:tc>
        <w:tc>
          <w:tcPr>
            <w:tcW w:w="712" w:type="dxa"/>
            <w:tcBorders>
              <w:top w:val="nil"/>
              <w:left w:val="nil"/>
              <w:bottom w:val="nil"/>
              <w:right w:val="single" w:sz="4" w:space="0" w:color="000000"/>
            </w:tcBorders>
            <w:shd w:val="clear" w:color="auto" w:fill="auto"/>
            <w:vAlign w:val="center"/>
          </w:tcPr>
          <w:p w14:paraId="24EA0008"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4.30</w:t>
            </w:r>
          </w:p>
        </w:tc>
        <w:tc>
          <w:tcPr>
            <w:tcW w:w="1002" w:type="dxa"/>
            <w:tcBorders>
              <w:top w:val="nil"/>
              <w:left w:val="nil"/>
              <w:bottom w:val="nil"/>
              <w:right w:val="single" w:sz="4" w:space="0" w:color="000000"/>
            </w:tcBorders>
            <w:shd w:val="clear" w:color="auto" w:fill="auto"/>
            <w:vAlign w:val="center"/>
          </w:tcPr>
          <w:p w14:paraId="400FFAC3"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3.88</w:t>
            </w:r>
          </w:p>
        </w:tc>
        <w:tc>
          <w:tcPr>
            <w:tcW w:w="676" w:type="dxa"/>
            <w:tcBorders>
              <w:top w:val="nil"/>
              <w:left w:val="nil"/>
              <w:bottom w:val="nil"/>
              <w:right w:val="single" w:sz="12" w:space="0" w:color="000000"/>
            </w:tcBorders>
            <w:shd w:val="clear" w:color="auto" w:fill="auto"/>
            <w:vAlign w:val="center"/>
          </w:tcPr>
          <w:p w14:paraId="4013EC1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4.95</w:t>
            </w:r>
          </w:p>
        </w:tc>
      </w:tr>
      <w:tr w:rsidR="009968E0" w:rsidRPr="009968E0" w14:paraId="01FCA3B0" w14:textId="77777777" w:rsidTr="009968E0">
        <w:trPr>
          <w:trHeight w:val="360"/>
        </w:trPr>
        <w:tc>
          <w:tcPr>
            <w:tcW w:w="1629" w:type="dxa"/>
            <w:vMerge/>
            <w:tcBorders>
              <w:top w:val="nil"/>
              <w:left w:val="single" w:sz="12" w:space="0" w:color="000000"/>
              <w:bottom w:val="single" w:sz="4" w:space="0" w:color="000000"/>
              <w:right w:val="nil"/>
            </w:tcBorders>
            <w:shd w:val="clear" w:color="auto" w:fill="FDE9D9"/>
          </w:tcPr>
          <w:p w14:paraId="7E5482AA"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786" w:type="dxa"/>
            <w:vMerge/>
            <w:tcBorders>
              <w:top w:val="nil"/>
              <w:left w:val="nil"/>
              <w:bottom w:val="single" w:sz="4" w:space="0" w:color="000000"/>
              <w:right w:val="nil"/>
            </w:tcBorders>
            <w:shd w:val="clear" w:color="auto" w:fill="auto"/>
          </w:tcPr>
          <w:p w14:paraId="0B25A713"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309" w:type="dxa"/>
            <w:tcBorders>
              <w:top w:val="nil"/>
              <w:left w:val="nil"/>
              <w:bottom w:val="single" w:sz="4" w:space="0" w:color="000000"/>
              <w:right w:val="single" w:sz="12" w:space="0" w:color="000000"/>
            </w:tcBorders>
            <w:shd w:val="clear" w:color="auto" w:fill="auto"/>
          </w:tcPr>
          <w:p w14:paraId="3E874C5C"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950" w:type="dxa"/>
            <w:tcBorders>
              <w:top w:val="nil"/>
              <w:left w:val="nil"/>
              <w:bottom w:val="single" w:sz="4" w:space="0" w:color="000000"/>
              <w:right w:val="single" w:sz="4" w:space="0" w:color="000000"/>
            </w:tcBorders>
            <w:shd w:val="clear" w:color="auto" w:fill="auto"/>
            <w:vAlign w:val="center"/>
          </w:tcPr>
          <w:p w14:paraId="678931B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5.41</w:t>
            </w:r>
          </w:p>
        </w:tc>
        <w:tc>
          <w:tcPr>
            <w:tcW w:w="712" w:type="dxa"/>
            <w:tcBorders>
              <w:top w:val="nil"/>
              <w:left w:val="nil"/>
              <w:bottom w:val="single" w:sz="4" w:space="0" w:color="000000"/>
              <w:right w:val="single" w:sz="4" w:space="0" w:color="000000"/>
            </w:tcBorders>
            <w:shd w:val="clear" w:color="auto" w:fill="auto"/>
            <w:vAlign w:val="center"/>
          </w:tcPr>
          <w:p w14:paraId="1544766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5.16</w:t>
            </w:r>
          </w:p>
        </w:tc>
        <w:tc>
          <w:tcPr>
            <w:tcW w:w="1002" w:type="dxa"/>
            <w:tcBorders>
              <w:top w:val="nil"/>
              <w:left w:val="nil"/>
              <w:bottom w:val="single" w:sz="4" w:space="0" w:color="000000"/>
              <w:right w:val="single" w:sz="4" w:space="0" w:color="000000"/>
            </w:tcBorders>
            <w:shd w:val="clear" w:color="auto" w:fill="auto"/>
            <w:vAlign w:val="center"/>
          </w:tcPr>
          <w:p w14:paraId="7E7FD144"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5.02</w:t>
            </w:r>
          </w:p>
        </w:tc>
        <w:tc>
          <w:tcPr>
            <w:tcW w:w="676" w:type="dxa"/>
            <w:tcBorders>
              <w:top w:val="nil"/>
              <w:left w:val="nil"/>
              <w:bottom w:val="single" w:sz="4" w:space="0" w:color="000000"/>
              <w:right w:val="single" w:sz="12" w:space="0" w:color="000000"/>
            </w:tcBorders>
            <w:shd w:val="clear" w:color="auto" w:fill="auto"/>
            <w:vAlign w:val="center"/>
          </w:tcPr>
          <w:p w14:paraId="088C1B3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5.97</w:t>
            </w:r>
          </w:p>
        </w:tc>
      </w:tr>
      <w:tr w:rsidR="009968E0" w:rsidRPr="009968E0" w14:paraId="006F2F08" w14:textId="77777777" w:rsidTr="009968E0">
        <w:trPr>
          <w:trHeight w:val="360"/>
        </w:trPr>
        <w:tc>
          <w:tcPr>
            <w:tcW w:w="8388" w:type="dxa"/>
            <w:gridSpan w:val="6"/>
            <w:tcBorders>
              <w:top w:val="nil"/>
              <w:left w:val="single" w:sz="12" w:space="0" w:color="000000"/>
              <w:bottom w:val="single" w:sz="4" w:space="0" w:color="000000"/>
              <w:right w:val="single" w:sz="4" w:space="0" w:color="000000"/>
            </w:tcBorders>
            <w:shd w:val="clear" w:color="auto" w:fill="auto"/>
            <w:vAlign w:val="center"/>
          </w:tcPr>
          <w:p w14:paraId="54204BD6"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p=0.039</w:t>
            </w:r>
            <w:r w:rsidRPr="009968E0">
              <w:rPr>
                <w:rFonts w:ascii="Calibri" w:eastAsia="Times New Roman" w:hAnsi="Calibri" w:cs="Calibri"/>
                <w:i/>
                <w:iCs/>
                <w:color w:val="000000"/>
                <w:sz w:val="22"/>
                <w:szCs w:val="22"/>
                <w:vertAlign w:val="superscript"/>
                <w:lang w:eastAsia="en-GB"/>
              </w:rPr>
              <w:t>b</w:t>
            </w:r>
          </w:p>
        </w:tc>
        <w:tc>
          <w:tcPr>
            <w:tcW w:w="676" w:type="dxa"/>
            <w:tcBorders>
              <w:top w:val="nil"/>
              <w:left w:val="nil"/>
              <w:bottom w:val="single" w:sz="4" w:space="0" w:color="000000"/>
              <w:right w:val="single" w:sz="12" w:space="0" w:color="000000"/>
            </w:tcBorders>
            <w:shd w:val="clear" w:color="auto" w:fill="auto"/>
            <w:vAlign w:val="center"/>
          </w:tcPr>
          <w:p w14:paraId="760A33B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 </w:t>
            </w:r>
          </w:p>
        </w:tc>
      </w:tr>
      <w:tr w:rsidR="009968E0" w:rsidRPr="009968E0" w14:paraId="2F0A3EE0" w14:textId="77777777" w:rsidTr="009968E0">
        <w:trPr>
          <w:trHeight w:val="360"/>
        </w:trPr>
        <w:tc>
          <w:tcPr>
            <w:tcW w:w="1629" w:type="dxa"/>
            <w:vMerge w:val="restart"/>
            <w:tcBorders>
              <w:top w:val="nil"/>
              <w:left w:val="single" w:sz="12" w:space="0" w:color="000000"/>
              <w:bottom w:val="single" w:sz="4" w:space="0" w:color="000000"/>
              <w:right w:val="nil"/>
            </w:tcBorders>
            <w:shd w:val="clear" w:color="auto" w:fill="FDE9D9"/>
          </w:tcPr>
          <w:p w14:paraId="446BEBE5"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MTT-ACC2</w:t>
            </w:r>
          </w:p>
        </w:tc>
        <w:tc>
          <w:tcPr>
            <w:tcW w:w="4095" w:type="dxa"/>
            <w:gridSpan w:val="2"/>
            <w:tcBorders>
              <w:top w:val="nil"/>
              <w:left w:val="nil"/>
              <w:bottom w:val="single" w:sz="4" w:space="0" w:color="000000"/>
              <w:right w:val="single" w:sz="12" w:space="0" w:color="000000"/>
            </w:tcBorders>
            <w:shd w:val="clear" w:color="auto" w:fill="auto"/>
          </w:tcPr>
          <w:p w14:paraId="7B458D8D"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w:t>
            </w:r>
          </w:p>
        </w:tc>
        <w:tc>
          <w:tcPr>
            <w:tcW w:w="950" w:type="dxa"/>
            <w:tcBorders>
              <w:top w:val="nil"/>
              <w:left w:val="nil"/>
              <w:bottom w:val="single" w:sz="4" w:space="0" w:color="000000"/>
              <w:right w:val="single" w:sz="4" w:space="0" w:color="000000"/>
            </w:tcBorders>
            <w:shd w:val="clear" w:color="auto" w:fill="auto"/>
            <w:vAlign w:val="center"/>
          </w:tcPr>
          <w:p w14:paraId="36544BF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19</w:t>
            </w:r>
          </w:p>
        </w:tc>
        <w:tc>
          <w:tcPr>
            <w:tcW w:w="712" w:type="dxa"/>
            <w:tcBorders>
              <w:top w:val="nil"/>
              <w:left w:val="nil"/>
              <w:bottom w:val="single" w:sz="4" w:space="0" w:color="000000"/>
              <w:right w:val="single" w:sz="4" w:space="0" w:color="000000"/>
            </w:tcBorders>
            <w:shd w:val="clear" w:color="auto" w:fill="auto"/>
            <w:vAlign w:val="center"/>
          </w:tcPr>
          <w:p w14:paraId="5AF3126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23</w:t>
            </w:r>
          </w:p>
        </w:tc>
        <w:tc>
          <w:tcPr>
            <w:tcW w:w="1002" w:type="dxa"/>
            <w:tcBorders>
              <w:top w:val="nil"/>
              <w:left w:val="nil"/>
              <w:bottom w:val="single" w:sz="4" w:space="0" w:color="000000"/>
              <w:right w:val="single" w:sz="4" w:space="0" w:color="000000"/>
            </w:tcBorders>
            <w:shd w:val="clear" w:color="auto" w:fill="auto"/>
            <w:vAlign w:val="center"/>
          </w:tcPr>
          <w:p w14:paraId="3A14F04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13</w:t>
            </w:r>
          </w:p>
        </w:tc>
        <w:tc>
          <w:tcPr>
            <w:tcW w:w="676" w:type="dxa"/>
            <w:tcBorders>
              <w:top w:val="nil"/>
              <w:left w:val="nil"/>
              <w:bottom w:val="single" w:sz="4" w:space="0" w:color="000000"/>
              <w:right w:val="single" w:sz="12" w:space="0" w:color="000000"/>
            </w:tcBorders>
            <w:shd w:val="clear" w:color="auto" w:fill="auto"/>
            <w:vAlign w:val="center"/>
          </w:tcPr>
          <w:p w14:paraId="50538460"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19</w:t>
            </w:r>
          </w:p>
        </w:tc>
      </w:tr>
      <w:tr w:rsidR="009968E0" w:rsidRPr="009968E0" w14:paraId="6FE15008" w14:textId="77777777" w:rsidTr="009968E0">
        <w:trPr>
          <w:trHeight w:val="360"/>
        </w:trPr>
        <w:tc>
          <w:tcPr>
            <w:tcW w:w="1629" w:type="dxa"/>
            <w:vMerge/>
            <w:tcBorders>
              <w:top w:val="nil"/>
              <w:left w:val="single" w:sz="12" w:space="0" w:color="000000"/>
              <w:bottom w:val="single" w:sz="4" w:space="0" w:color="000000"/>
              <w:right w:val="nil"/>
            </w:tcBorders>
            <w:shd w:val="clear" w:color="auto" w:fill="FDE9D9"/>
          </w:tcPr>
          <w:p w14:paraId="371AF5B6"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4095" w:type="dxa"/>
            <w:gridSpan w:val="2"/>
            <w:tcBorders>
              <w:top w:val="nil"/>
              <w:left w:val="nil"/>
              <w:bottom w:val="single" w:sz="4" w:space="0" w:color="000000"/>
              <w:right w:val="single" w:sz="12" w:space="0" w:color="000000"/>
            </w:tcBorders>
            <w:shd w:val="clear" w:color="auto" w:fill="auto"/>
          </w:tcPr>
          <w:p w14:paraId="205114E5"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950" w:type="dxa"/>
            <w:tcBorders>
              <w:top w:val="nil"/>
              <w:left w:val="nil"/>
              <w:bottom w:val="single" w:sz="4" w:space="0" w:color="000000"/>
              <w:right w:val="single" w:sz="4" w:space="0" w:color="000000"/>
            </w:tcBorders>
            <w:shd w:val="clear" w:color="auto" w:fill="auto"/>
            <w:vAlign w:val="center"/>
          </w:tcPr>
          <w:p w14:paraId="619B5D7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4.95</w:t>
            </w:r>
          </w:p>
        </w:tc>
        <w:tc>
          <w:tcPr>
            <w:tcW w:w="712" w:type="dxa"/>
            <w:tcBorders>
              <w:top w:val="nil"/>
              <w:left w:val="nil"/>
              <w:bottom w:val="single" w:sz="4" w:space="0" w:color="000000"/>
              <w:right w:val="single" w:sz="4" w:space="0" w:color="000000"/>
            </w:tcBorders>
            <w:shd w:val="clear" w:color="auto" w:fill="auto"/>
            <w:vAlign w:val="center"/>
          </w:tcPr>
          <w:p w14:paraId="205EB5D8"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4.76</w:t>
            </w:r>
          </w:p>
        </w:tc>
        <w:tc>
          <w:tcPr>
            <w:tcW w:w="1002" w:type="dxa"/>
            <w:tcBorders>
              <w:top w:val="nil"/>
              <w:left w:val="nil"/>
              <w:bottom w:val="single" w:sz="4" w:space="0" w:color="000000"/>
              <w:right w:val="single" w:sz="4" w:space="0" w:color="000000"/>
            </w:tcBorders>
            <w:shd w:val="clear" w:color="auto" w:fill="auto"/>
            <w:vAlign w:val="center"/>
          </w:tcPr>
          <w:p w14:paraId="6C72D7B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4.64</w:t>
            </w:r>
          </w:p>
        </w:tc>
        <w:tc>
          <w:tcPr>
            <w:tcW w:w="676" w:type="dxa"/>
            <w:tcBorders>
              <w:top w:val="nil"/>
              <w:left w:val="nil"/>
              <w:bottom w:val="single" w:sz="4" w:space="0" w:color="000000"/>
              <w:right w:val="single" w:sz="12" w:space="0" w:color="000000"/>
            </w:tcBorders>
            <w:shd w:val="clear" w:color="auto" w:fill="auto"/>
            <w:vAlign w:val="center"/>
          </w:tcPr>
          <w:p w14:paraId="0CCB5750"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5.61</w:t>
            </w:r>
          </w:p>
        </w:tc>
      </w:tr>
      <w:tr w:rsidR="009968E0" w:rsidRPr="009968E0" w14:paraId="07611265" w14:textId="77777777" w:rsidTr="009968E0">
        <w:trPr>
          <w:trHeight w:val="360"/>
        </w:trPr>
        <w:tc>
          <w:tcPr>
            <w:tcW w:w="1629" w:type="dxa"/>
            <w:vMerge/>
            <w:tcBorders>
              <w:top w:val="nil"/>
              <w:left w:val="single" w:sz="12" w:space="0" w:color="000000"/>
              <w:bottom w:val="single" w:sz="4" w:space="0" w:color="000000"/>
              <w:right w:val="nil"/>
            </w:tcBorders>
            <w:shd w:val="clear" w:color="auto" w:fill="FDE9D9"/>
          </w:tcPr>
          <w:p w14:paraId="31C8370C"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786" w:type="dxa"/>
            <w:vMerge w:val="restart"/>
            <w:tcBorders>
              <w:top w:val="nil"/>
              <w:left w:val="nil"/>
              <w:bottom w:val="single" w:sz="4" w:space="0" w:color="000000"/>
              <w:right w:val="nil"/>
            </w:tcBorders>
            <w:shd w:val="clear" w:color="auto" w:fill="auto"/>
          </w:tcPr>
          <w:p w14:paraId="68F48FD0"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 for Mean</w:t>
            </w:r>
          </w:p>
        </w:tc>
        <w:tc>
          <w:tcPr>
            <w:tcW w:w="1309" w:type="dxa"/>
            <w:tcBorders>
              <w:top w:val="nil"/>
              <w:left w:val="nil"/>
              <w:bottom w:val="nil"/>
              <w:right w:val="single" w:sz="12" w:space="0" w:color="000000"/>
            </w:tcBorders>
            <w:shd w:val="clear" w:color="auto" w:fill="auto"/>
          </w:tcPr>
          <w:p w14:paraId="093E1135"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950" w:type="dxa"/>
            <w:tcBorders>
              <w:top w:val="nil"/>
              <w:left w:val="nil"/>
              <w:bottom w:val="nil"/>
              <w:right w:val="single" w:sz="4" w:space="0" w:color="000000"/>
            </w:tcBorders>
            <w:shd w:val="clear" w:color="auto" w:fill="auto"/>
            <w:vAlign w:val="center"/>
          </w:tcPr>
          <w:p w14:paraId="2D26CE4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4.40</w:t>
            </w:r>
          </w:p>
        </w:tc>
        <w:tc>
          <w:tcPr>
            <w:tcW w:w="712" w:type="dxa"/>
            <w:tcBorders>
              <w:top w:val="nil"/>
              <w:left w:val="nil"/>
              <w:bottom w:val="nil"/>
              <w:right w:val="single" w:sz="4" w:space="0" w:color="000000"/>
            </w:tcBorders>
            <w:shd w:val="clear" w:color="auto" w:fill="auto"/>
            <w:vAlign w:val="center"/>
          </w:tcPr>
          <w:p w14:paraId="44C48A8E"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4.27</w:t>
            </w:r>
          </w:p>
        </w:tc>
        <w:tc>
          <w:tcPr>
            <w:tcW w:w="1002" w:type="dxa"/>
            <w:tcBorders>
              <w:top w:val="nil"/>
              <w:left w:val="nil"/>
              <w:bottom w:val="nil"/>
              <w:right w:val="single" w:sz="4" w:space="0" w:color="000000"/>
            </w:tcBorders>
            <w:shd w:val="clear" w:color="auto" w:fill="auto"/>
            <w:vAlign w:val="center"/>
          </w:tcPr>
          <w:p w14:paraId="430440B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3.98</w:t>
            </w:r>
          </w:p>
        </w:tc>
        <w:tc>
          <w:tcPr>
            <w:tcW w:w="676" w:type="dxa"/>
            <w:tcBorders>
              <w:top w:val="nil"/>
              <w:left w:val="nil"/>
              <w:bottom w:val="nil"/>
              <w:right w:val="single" w:sz="12" w:space="0" w:color="000000"/>
            </w:tcBorders>
            <w:shd w:val="clear" w:color="auto" w:fill="auto"/>
            <w:vAlign w:val="center"/>
          </w:tcPr>
          <w:p w14:paraId="153402EE"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4.93</w:t>
            </w:r>
          </w:p>
        </w:tc>
      </w:tr>
      <w:tr w:rsidR="009968E0" w:rsidRPr="009968E0" w14:paraId="6324940F" w14:textId="77777777" w:rsidTr="009968E0">
        <w:trPr>
          <w:trHeight w:val="360"/>
        </w:trPr>
        <w:tc>
          <w:tcPr>
            <w:tcW w:w="1629" w:type="dxa"/>
            <w:vMerge/>
            <w:tcBorders>
              <w:top w:val="nil"/>
              <w:left w:val="single" w:sz="12" w:space="0" w:color="000000"/>
              <w:bottom w:val="single" w:sz="4" w:space="0" w:color="000000"/>
              <w:right w:val="nil"/>
            </w:tcBorders>
            <w:shd w:val="clear" w:color="auto" w:fill="FDE9D9"/>
          </w:tcPr>
          <w:p w14:paraId="320B6D6E"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786" w:type="dxa"/>
            <w:vMerge/>
            <w:tcBorders>
              <w:top w:val="nil"/>
              <w:left w:val="nil"/>
              <w:bottom w:val="single" w:sz="4" w:space="0" w:color="000000"/>
              <w:right w:val="nil"/>
            </w:tcBorders>
            <w:shd w:val="clear" w:color="auto" w:fill="auto"/>
          </w:tcPr>
          <w:p w14:paraId="7B71EC66"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309" w:type="dxa"/>
            <w:tcBorders>
              <w:top w:val="nil"/>
              <w:left w:val="nil"/>
              <w:bottom w:val="single" w:sz="4" w:space="0" w:color="000000"/>
              <w:right w:val="single" w:sz="12" w:space="0" w:color="000000"/>
            </w:tcBorders>
            <w:shd w:val="clear" w:color="auto" w:fill="auto"/>
          </w:tcPr>
          <w:p w14:paraId="5C870448"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950" w:type="dxa"/>
            <w:tcBorders>
              <w:top w:val="nil"/>
              <w:left w:val="nil"/>
              <w:bottom w:val="single" w:sz="4" w:space="0" w:color="000000"/>
              <w:right w:val="single" w:sz="4" w:space="0" w:color="000000"/>
            </w:tcBorders>
            <w:shd w:val="clear" w:color="auto" w:fill="auto"/>
            <w:vAlign w:val="center"/>
          </w:tcPr>
          <w:p w14:paraId="42BC287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5.51</w:t>
            </w:r>
          </w:p>
        </w:tc>
        <w:tc>
          <w:tcPr>
            <w:tcW w:w="712" w:type="dxa"/>
            <w:tcBorders>
              <w:top w:val="nil"/>
              <w:left w:val="nil"/>
              <w:bottom w:val="single" w:sz="4" w:space="0" w:color="000000"/>
              <w:right w:val="single" w:sz="4" w:space="0" w:color="000000"/>
            </w:tcBorders>
            <w:shd w:val="clear" w:color="auto" w:fill="auto"/>
            <w:vAlign w:val="center"/>
          </w:tcPr>
          <w:p w14:paraId="4769C6D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5.26</w:t>
            </w:r>
          </w:p>
        </w:tc>
        <w:tc>
          <w:tcPr>
            <w:tcW w:w="1002" w:type="dxa"/>
            <w:tcBorders>
              <w:top w:val="nil"/>
              <w:left w:val="nil"/>
              <w:bottom w:val="single" w:sz="4" w:space="0" w:color="000000"/>
              <w:right w:val="single" w:sz="4" w:space="0" w:color="000000"/>
            </w:tcBorders>
            <w:shd w:val="clear" w:color="auto" w:fill="auto"/>
            <w:vAlign w:val="center"/>
          </w:tcPr>
          <w:p w14:paraId="3FFEA70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5.30</w:t>
            </w:r>
          </w:p>
        </w:tc>
        <w:tc>
          <w:tcPr>
            <w:tcW w:w="676" w:type="dxa"/>
            <w:tcBorders>
              <w:top w:val="nil"/>
              <w:left w:val="nil"/>
              <w:bottom w:val="single" w:sz="4" w:space="0" w:color="000000"/>
              <w:right w:val="single" w:sz="12" w:space="0" w:color="000000"/>
            </w:tcBorders>
            <w:shd w:val="clear" w:color="auto" w:fill="auto"/>
            <w:vAlign w:val="center"/>
          </w:tcPr>
          <w:p w14:paraId="275AD83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6.29</w:t>
            </w:r>
          </w:p>
        </w:tc>
      </w:tr>
      <w:tr w:rsidR="009968E0" w:rsidRPr="009968E0" w14:paraId="7500B220" w14:textId="77777777" w:rsidTr="009968E0">
        <w:trPr>
          <w:trHeight w:val="360"/>
        </w:trPr>
        <w:tc>
          <w:tcPr>
            <w:tcW w:w="9064" w:type="dxa"/>
            <w:gridSpan w:val="7"/>
            <w:tcBorders>
              <w:top w:val="nil"/>
              <w:left w:val="single" w:sz="12" w:space="0" w:color="000000"/>
              <w:bottom w:val="single" w:sz="4" w:space="0" w:color="000000"/>
              <w:right w:val="single" w:sz="12" w:space="0" w:color="000000"/>
            </w:tcBorders>
            <w:shd w:val="clear" w:color="auto" w:fill="auto"/>
            <w:vAlign w:val="center"/>
          </w:tcPr>
          <w:p w14:paraId="0D50EF80"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p=0.084</w:t>
            </w:r>
          </w:p>
        </w:tc>
      </w:tr>
      <w:tr w:rsidR="009968E0" w:rsidRPr="009968E0" w14:paraId="0D8480EA" w14:textId="77777777" w:rsidTr="009968E0">
        <w:trPr>
          <w:trHeight w:val="360"/>
        </w:trPr>
        <w:tc>
          <w:tcPr>
            <w:tcW w:w="1629" w:type="dxa"/>
            <w:vMerge w:val="restart"/>
            <w:tcBorders>
              <w:top w:val="nil"/>
              <w:left w:val="single" w:sz="12" w:space="0" w:color="000000"/>
              <w:bottom w:val="single" w:sz="4" w:space="0" w:color="000000"/>
              <w:right w:val="nil"/>
            </w:tcBorders>
            <w:shd w:val="clear" w:color="auto" w:fill="FDE9D9"/>
          </w:tcPr>
          <w:p w14:paraId="36BE7168"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MTT-POWM2</w:t>
            </w:r>
          </w:p>
        </w:tc>
        <w:tc>
          <w:tcPr>
            <w:tcW w:w="4095" w:type="dxa"/>
            <w:gridSpan w:val="2"/>
            <w:tcBorders>
              <w:top w:val="nil"/>
              <w:left w:val="nil"/>
              <w:bottom w:val="single" w:sz="4" w:space="0" w:color="000000"/>
              <w:right w:val="single" w:sz="12" w:space="0" w:color="000000"/>
            </w:tcBorders>
            <w:shd w:val="clear" w:color="auto" w:fill="auto"/>
          </w:tcPr>
          <w:p w14:paraId="43117F51"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w:t>
            </w:r>
          </w:p>
        </w:tc>
        <w:tc>
          <w:tcPr>
            <w:tcW w:w="950" w:type="dxa"/>
            <w:tcBorders>
              <w:top w:val="nil"/>
              <w:left w:val="nil"/>
              <w:bottom w:val="single" w:sz="4" w:space="0" w:color="000000"/>
              <w:right w:val="single" w:sz="4" w:space="0" w:color="000000"/>
            </w:tcBorders>
            <w:shd w:val="clear" w:color="auto" w:fill="auto"/>
            <w:vAlign w:val="center"/>
          </w:tcPr>
          <w:p w14:paraId="114E2CC8"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19</w:t>
            </w:r>
          </w:p>
        </w:tc>
        <w:tc>
          <w:tcPr>
            <w:tcW w:w="712" w:type="dxa"/>
            <w:tcBorders>
              <w:top w:val="nil"/>
              <w:left w:val="nil"/>
              <w:bottom w:val="single" w:sz="4" w:space="0" w:color="000000"/>
              <w:right w:val="single" w:sz="4" w:space="0" w:color="000000"/>
            </w:tcBorders>
            <w:shd w:val="clear" w:color="auto" w:fill="auto"/>
            <w:vAlign w:val="center"/>
          </w:tcPr>
          <w:p w14:paraId="7F18ACC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23</w:t>
            </w:r>
          </w:p>
        </w:tc>
        <w:tc>
          <w:tcPr>
            <w:tcW w:w="1002" w:type="dxa"/>
            <w:tcBorders>
              <w:top w:val="nil"/>
              <w:left w:val="nil"/>
              <w:bottom w:val="single" w:sz="4" w:space="0" w:color="000000"/>
              <w:right w:val="single" w:sz="4" w:space="0" w:color="000000"/>
            </w:tcBorders>
            <w:shd w:val="clear" w:color="auto" w:fill="auto"/>
            <w:vAlign w:val="center"/>
          </w:tcPr>
          <w:p w14:paraId="70A92A0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13</w:t>
            </w:r>
          </w:p>
        </w:tc>
        <w:tc>
          <w:tcPr>
            <w:tcW w:w="676" w:type="dxa"/>
            <w:tcBorders>
              <w:top w:val="nil"/>
              <w:left w:val="nil"/>
              <w:bottom w:val="single" w:sz="4" w:space="0" w:color="000000"/>
              <w:right w:val="single" w:sz="12" w:space="0" w:color="000000"/>
            </w:tcBorders>
            <w:shd w:val="clear" w:color="auto" w:fill="auto"/>
            <w:vAlign w:val="center"/>
          </w:tcPr>
          <w:p w14:paraId="24BD4EC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19</w:t>
            </w:r>
          </w:p>
        </w:tc>
      </w:tr>
      <w:tr w:rsidR="009968E0" w:rsidRPr="009968E0" w14:paraId="0F78BE86" w14:textId="77777777" w:rsidTr="009968E0">
        <w:trPr>
          <w:trHeight w:val="360"/>
        </w:trPr>
        <w:tc>
          <w:tcPr>
            <w:tcW w:w="1629" w:type="dxa"/>
            <w:vMerge/>
            <w:tcBorders>
              <w:top w:val="nil"/>
              <w:left w:val="single" w:sz="12" w:space="0" w:color="000000"/>
              <w:bottom w:val="single" w:sz="4" w:space="0" w:color="000000"/>
              <w:right w:val="nil"/>
            </w:tcBorders>
            <w:shd w:val="clear" w:color="auto" w:fill="FDE9D9"/>
          </w:tcPr>
          <w:p w14:paraId="2F524935"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4095" w:type="dxa"/>
            <w:gridSpan w:val="2"/>
            <w:tcBorders>
              <w:top w:val="nil"/>
              <w:left w:val="nil"/>
              <w:bottom w:val="single" w:sz="4" w:space="0" w:color="000000"/>
              <w:right w:val="single" w:sz="12" w:space="0" w:color="000000"/>
            </w:tcBorders>
            <w:shd w:val="clear" w:color="auto" w:fill="auto"/>
          </w:tcPr>
          <w:p w14:paraId="02CF3293"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950" w:type="dxa"/>
            <w:tcBorders>
              <w:top w:val="nil"/>
              <w:left w:val="nil"/>
              <w:bottom w:val="single" w:sz="4" w:space="0" w:color="000000"/>
              <w:right w:val="single" w:sz="4" w:space="0" w:color="000000"/>
            </w:tcBorders>
            <w:shd w:val="clear" w:color="auto" w:fill="auto"/>
            <w:vAlign w:val="center"/>
          </w:tcPr>
          <w:p w14:paraId="61D3ED58"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7.49</w:t>
            </w:r>
          </w:p>
        </w:tc>
        <w:tc>
          <w:tcPr>
            <w:tcW w:w="712" w:type="dxa"/>
            <w:tcBorders>
              <w:top w:val="nil"/>
              <w:left w:val="nil"/>
              <w:bottom w:val="single" w:sz="4" w:space="0" w:color="000000"/>
              <w:right w:val="single" w:sz="4" w:space="0" w:color="000000"/>
            </w:tcBorders>
            <w:shd w:val="clear" w:color="auto" w:fill="auto"/>
            <w:vAlign w:val="center"/>
          </w:tcPr>
          <w:p w14:paraId="1A452EC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7.47</w:t>
            </w:r>
          </w:p>
        </w:tc>
        <w:tc>
          <w:tcPr>
            <w:tcW w:w="1002" w:type="dxa"/>
            <w:tcBorders>
              <w:top w:val="nil"/>
              <w:left w:val="nil"/>
              <w:bottom w:val="single" w:sz="4" w:space="0" w:color="000000"/>
              <w:right w:val="single" w:sz="4" w:space="0" w:color="000000"/>
            </w:tcBorders>
            <w:shd w:val="clear" w:color="auto" w:fill="auto"/>
            <w:vAlign w:val="center"/>
          </w:tcPr>
          <w:p w14:paraId="6B21332E"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7.85</w:t>
            </w:r>
          </w:p>
        </w:tc>
        <w:tc>
          <w:tcPr>
            <w:tcW w:w="676" w:type="dxa"/>
            <w:tcBorders>
              <w:top w:val="nil"/>
              <w:left w:val="nil"/>
              <w:bottom w:val="single" w:sz="4" w:space="0" w:color="000000"/>
              <w:right w:val="single" w:sz="12" w:space="0" w:color="000000"/>
            </w:tcBorders>
            <w:shd w:val="clear" w:color="auto" w:fill="auto"/>
            <w:vAlign w:val="center"/>
          </w:tcPr>
          <w:p w14:paraId="73B55B34"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8.33</w:t>
            </w:r>
          </w:p>
        </w:tc>
      </w:tr>
      <w:tr w:rsidR="009968E0" w:rsidRPr="009968E0" w14:paraId="0F33EEBC" w14:textId="77777777" w:rsidTr="009968E0">
        <w:trPr>
          <w:trHeight w:val="360"/>
        </w:trPr>
        <w:tc>
          <w:tcPr>
            <w:tcW w:w="1629" w:type="dxa"/>
            <w:vMerge/>
            <w:tcBorders>
              <w:top w:val="nil"/>
              <w:left w:val="single" w:sz="12" w:space="0" w:color="000000"/>
              <w:bottom w:val="single" w:sz="4" w:space="0" w:color="000000"/>
              <w:right w:val="nil"/>
            </w:tcBorders>
            <w:shd w:val="clear" w:color="auto" w:fill="FDE9D9"/>
          </w:tcPr>
          <w:p w14:paraId="2631CC0F"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786" w:type="dxa"/>
            <w:vMerge w:val="restart"/>
            <w:tcBorders>
              <w:top w:val="nil"/>
              <w:left w:val="nil"/>
              <w:bottom w:val="single" w:sz="4" w:space="0" w:color="000000"/>
              <w:right w:val="nil"/>
            </w:tcBorders>
            <w:shd w:val="clear" w:color="auto" w:fill="auto"/>
          </w:tcPr>
          <w:p w14:paraId="5F6E29D3"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 for Mean</w:t>
            </w:r>
          </w:p>
        </w:tc>
        <w:tc>
          <w:tcPr>
            <w:tcW w:w="1309" w:type="dxa"/>
            <w:tcBorders>
              <w:top w:val="nil"/>
              <w:left w:val="nil"/>
              <w:bottom w:val="nil"/>
              <w:right w:val="single" w:sz="12" w:space="0" w:color="000000"/>
            </w:tcBorders>
            <w:shd w:val="clear" w:color="auto" w:fill="auto"/>
          </w:tcPr>
          <w:p w14:paraId="20475D58"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950" w:type="dxa"/>
            <w:tcBorders>
              <w:top w:val="nil"/>
              <w:left w:val="nil"/>
              <w:bottom w:val="nil"/>
              <w:right w:val="single" w:sz="4" w:space="0" w:color="000000"/>
            </w:tcBorders>
            <w:shd w:val="clear" w:color="auto" w:fill="auto"/>
            <w:vAlign w:val="center"/>
          </w:tcPr>
          <w:p w14:paraId="6CD4BCB4"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6.60</w:t>
            </w:r>
          </w:p>
        </w:tc>
        <w:tc>
          <w:tcPr>
            <w:tcW w:w="712" w:type="dxa"/>
            <w:tcBorders>
              <w:top w:val="nil"/>
              <w:left w:val="nil"/>
              <w:bottom w:val="nil"/>
              <w:right w:val="single" w:sz="4" w:space="0" w:color="000000"/>
            </w:tcBorders>
            <w:shd w:val="clear" w:color="auto" w:fill="auto"/>
            <w:vAlign w:val="center"/>
          </w:tcPr>
          <w:p w14:paraId="3858270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6.82</w:t>
            </w:r>
          </w:p>
        </w:tc>
        <w:tc>
          <w:tcPr>
            <w:tcW w:w="1002" w:type="dxa"/>
            <w:tcBorders>
              <w:top w:val="nil"/>
              <w:left w:val="nil"/>
              <w:bottom w:val="nil"/>
              <w:right w:val="single" w:sz="4" w:space="0" w:color="000000"/>
            </w:tcBorders>
            <w:shd w:val="clear" w:color="auto" w:fill="auto"/>
            <w:vAlign w:val="center"/>
          </w:tcPr>
          <w:p w14:paraId="28DDDEB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6.73</w:t>
            </w:r>
          </w:p>
        </w:tc>
        <w:tc>
          <w:tcPr>
            <w:tcW w:w="676" w:type="dxa"/>
            <w:tcBorders>
              <w:top w:val="nil"/>
              <w:left w:val="nil"/>
              <w:bottom w:val="nil"/>
              <w:right w:val="single" w:sz="12" w:space="0" w:color="000000"/>
            </w:tcBorders>
            <w:shd w:val="clear" w:color="auto" w:fill="auto"/>
            <w:vAlign w:val="center"/>
          </w:tcPr>
          <w:p w14:paraId="62B685B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7.42</w:t>
            </w:r>
          </w:p>
        </w:tc>
      </w:tr>
      <w:tr w:rsidR="009968E0" w:rsidRPr="009968E0" w14:paraId="46D169E1" w14:textId="77777777" w:rsidTr="009968E0">
        <w:trPr>
          <w:trHeight w:val="360"/>
        </w:trPr>
        <w:tc>
          <w:tcPr>
            <w:tcW w:w="1629" w:type="dxa"/>
            <w:vMerge/>
            <w:tcBorders>
              <w:top w:val="nil"/>
              <w:left w:val="single" w:sz="12" w:space="0" w:color="000000"/>
              <w:bottom w:val="single" w:sz="4" w:space="0" w:color="000000"/>
              <w:right w:val="nil"/>
            </w:tcBorders>
            <w:shd w:val="clear" w:color="auto" w:fill="FDE9D9"/>
          </w:tcPr>
          <w:p w14:paraId="565A5971"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786" w:type="dxa"/>
            <w:vMerge/>
            <w:tcBorders>
              <w:top w:val="nil"/>
              <w:left w:val="nil"/>
              <w:bottom w:val="single" w:sz="4" w:space="0" w:color="000000"/>
              <w:right w:val="nil"/>
            </w:tcBorders>
            <w:shd w:val="clear" w:color="auto" w:fill="auto"/>
          </w:tcPr>
          <w:p w14:paraId="63263843"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309" w:type="dxa"/>
            <w:tcBorders>
              <w:top w:val="nil"/>
              <w:left w:val="nil"/>
              <w:bottom w:val="single" w:sz="4" w:space="0" w:color="000000"/>
              <w:right w:val="single" w:sz="12" w:space="0" w:color="000000"/>
            </w:tcBorders>
            <w:shd w:val="clear" w:color="auto" w:fill="auto"/>
          </w:tcPr>
          <w:p w14:paraId="4C4957FA"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950" w:type="dxa"/>
            <w:tcBorders>
              <w:top w:val="nil"/>
              <w:left w:val="nil"/>
              <w:bottom w:val="single" w:sz="4" w:space="0" w:color="000000"/>
              <w:right w:val="single" w:sz="4" w:space="0" w:color="000000"/>
            </w:tcBorders>
            <w:shd w:val="clear" w:color="auto" w:fill="auto"/>
            <w:vAlign w:val="center"/>
          </w:tcPr>
          <w:p w14:paraId="34C0F26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8.39</w:t>
            </w:r>
          </w:p>
        </w:tc>
        <w:tc>
          <w:tcPr>
            <w:tcW w:w="712" w:type="dxa"/>
            <w:tcBorders>
              <w:top w:val="nil"/>
              <w:left w:val="nil"/>
              <w:bottom w:val="single" w:sz="4" w:space="0" w:color="000000"/>
              <w:right w:val="single" w:sz="4" w:space="0" w:color="000000"/>
            </w:tcBorders>
            <w:shd w:val="clear" w:color="auto" w:fill="auto"/>
            <w:vAlign w:val="center"/>
          </w:tcPr>
          <w:p w14:paraId="6920386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8.12</w:t>
            </w:r>
          </w:p>
        </w:tc>
        <w:tc>
          <w:tcPr>
            <w:tcW w:w="1002" w:type="dxa"/>
            <w:tcBorders>
              <w:top w:val="nil"/>
              <w:left w:val="nil"/>
              <w:bottom w:val="single" w:sz="4" w:space="0" w:color="000000"/>
              <w:right w:val="single" w:sz="4" w:space="0" w:color="000000"/>
            </w:tcBorders>
            <w:shd w:val="clear" w:color="auto" w:fill="auto"/>
            <w:vAlign w:val="center"/>
          </w:tcPr>
          <w:p w14:paraId="142193B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8.96</w:t>
            </w:r>
          </w:p>
        </w:tc>
        <w:tc>
          <w:tcPr>
            <w:tcW w:w="676" w:type="dxa"/>
            <w:tcBorders>
              <w:top w:val="nil"/>
              <w:left w:val="nil"/>
              <w:bottom w:val="single" w:sz="4" w:space="0" w:color="000000"/>
              <w:right w:val="single" w:sz="12" w:space="0" w:color="000000"/>
            </w:tcBorders>
            <w:shd w:val="clear" w:color="auto" w:fill="auto"/>
            <w:vAlign w:val="center"/>
          </w:tcPr>
          <w:p w14:paraId="672D102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9.24</w:t>
            </w:r>
          </w:p>
        </w:tc>
      </w:tr>
      <w:tr w:rsidR="009968E0" w:rsidRPr="009968E0" w14:paraId="723BE9A6" w14:textId="77777777" w:rsidTr="009968E0">
        <w:trPr>
          <w:trHeight w:val="360"/>
        </w:trPr>
        <w:tc>
          <w:tcPr>
            <w:tcW w:w="9064" w:type="dxa"/>
            <w:gridSpan w:val="7"/>
            <w:tcBorders>
              <w:top w:val="nil"/>
              <w:left w:val="single" w:sz="12" w:space="0" w:color="000000"/>
              <w:bottom w:val="single" w:sz="4" w:space="0" w:color="000000"/>
              <w:right w:val="single" w:sz="12" w:space="0" w:color="000000"/>
            </w:tcBorders>
            <w:shd w:val="clear" w:color="auto" w:fill="auto"/>
            <w:vAlign w:val="center"/>
          </w:tcPr>
          <w:p w14:paraId="6AD7C20A"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p=0.388</w:t>
            </w:r>
          </w:p>
        </w:tc>
      </w:tr>
      <w:tr w:rsidR="009968E0" w:rsidRPr="009968E0" w14:paraId="60D6A900" w14:textId="77777777" w:rsidTr="009968E0">
        <w:trPr>
          <w:trHeight w:val="360"/>
        </w:trPr>
        <w:tc>
          <w:tcPr>
            <w:tcW w:w="1629" w:type="dxa"/>
            <w:vMerge w:val="restart"/>
            <w:tcBorders>
              <w:top w:val="nil"/>
              <w:left w:val="single" w:sz="12" w:space="0" w:color="000000"/>
              <w:bottom w:val="single" w:sz="4" w:space="0" w:color="000000"/>
              <w:right w:val="nil"/>
            </w:tcBorders>
            <w:shd w:val="clear" w:color="auto" w:fill="FDE9D9"/>
          </w:tcPr>
          <w:p w14:paraId="7F7F746B"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MTT-LPSC2</w:t>
            </w:r>
          </w:p>
        </w:tc>
        <w:tc>
          <w:tcPr>
            <w:tcW w:w="4095" w:type="dxa"/>
            <w:gridSpan w:val="2"/>
            <w:tcBorders>
              <w:top w:val="nil"/>
              <w:left w:val="nil"/>
              <w:bottom w:val="single" w:sz="4" w:space="0" w:color="000000"/>
              <w:right w:val="single" w:sz="12" w:space="0" w:color="000000"/>
            </w:tcBorders>
            <w:shd w:val="clear" w:color="auto" w:fill="auto"/>
          </w:tcPr>
          <w:p w14:paraId="57A23B75"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w:t>
            </w:r>
          </w:p>
        </w:tc>
        <w:tc>
          <w:tcPr>
            <w:tcW w:w="950" w:type="dxa"/>
            <w:tcBorders>
              <w:top w:val="nil"/>
              <w:left w:val="nil"/>
              <w:bottom w:val="single" w:sz="4" w:space="0" w:color="000000"/>
              <w:right w:val="single" w:sz="4" w:space="0" w:color="000000"/>
            </w:tcBorders>
            <w:shd w:val="clear" w:color="auto" w:fill="auto"/>
            <w:vAlign w:val="center"/>
          </w:tcPr>
          <w:p w14:paraId="05CFEAD3"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19</w:t>
            </w:r>
          </w:p>
        </w:tc>
        <w:tc>
          <w:tcPr>
            <w:tcW w:w="712" w:type="dxa"/>
            <w:tcBorders>
              <w:top w:val="nil"/>
              <w:left w:val="nil"/>
              <w:bottom w:val="single" w:sz="4" w:space="0" w:color="000000"/>
              <w:right w:val="single" w:sz="4" w:space="0" w:color="000000"/>
            </w:tcBorders>
            <w:shd w:val="clear" w:color="auto" w:fill="auto"/>
            <w:vAlign w:val="center"/>
          </w:tcPr>
          <w:p w14:paraId="147042A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23</w:t>
            </w:r>
          </w:p>
        </w:tc>
        <w:tc>
          <w:tcPr>
            <w:tcW w:w="1002" w:type="dxa"/>
            <w:tcBorders>
              <w:top w:val="nil"/>
              <w:left w:val="nil"/>
              <w:bottom w:val="single" w:sz="4" w:space="0" w:color="000000"/>
              <w:right w:val="single" w:sz="4" w:space="0" w:color="000000"/>
            </w:tcBorders>
            <w:shd w:val="clear" w:color="auto" w:fill="auto"/>
            <w:vAlign w:val="center"/>
          </w:tcPr>
          <w:p w14:paraId="31BA85C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13</w:t>
            </w:r>
          </w:p>
        </w:tc>
        <w:tc>
          <w:tcPr>
            <w:tcW w:w="676" w:type="dxa"/>
            <w:tcBorders>
              <w:top w:val="nil"/>
              <w:left w:val="nil"/>
              <w:bottom w:val="single" w:sz="4" w:space="0" w:color="000000"/>
              <w:right w:val="single" w:sz="12" w:space="0" w:color="000000"/>
            </w:tcBorders>
            <w:shd w:val="clear" w:color="auto" w:fill="auto"/>
            <w:vAlign w:val="center"/>
          </w:tcPr>
          <w:p w14:paraId="5BAB974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19</w:t>
            </w:r>
          </w:p>
        </w:tc>
      </w:tr>
      <w:tr w:rsidR="009968E0" w:rsidRPr="009968E0" w14:paraId="3B6D1CF1" w14:textId="77777777" w:rsidTr="009968E0">
        <w:trPr>
          <w:trHeight w:val="360"/>
        </w:trPr>
        <w:tc>
          <w:tcPr>
            <w:tcW w:w="1629" w:type="dxa"/>
            <w:vMerge/>
            <w:tcBorders>
              <w:top w:val="nil"/>
              <w:left w:val="single" w:sz="12" w:space="0" w:color="000000"/>
              <w:bottom w:val="single" w:sz="4" w:space="0" w:color="000000"/>
              <w:right w:val="nil"/>
            </w:tcBorders>
            <w:shd w:val="clear" w:color="auto" w:fill="FDE9D9"/>
          </w:tcPr>
          <w:p w14:paraId="261E3FAA"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4095" w:type="dxa"/>
            <w:gridSpan w:val="2"/>
            <w:tcBorders>
              <w:top w:val="nil"/>
              <w:left w:val="nil"/>
              <w:bottom w:val="single" w:sz="4" w:space="0" w:color="000000"/>
              <w:right w:val="single" w:sz="12" w:space="0" w:color="000000"/>
            </w:tcBorders>
            <w:shd w:val="clear" w:color="auto" w:fill="auto"/>
          </w:tcPr>
          <w:p w14:paraId="717D2E5A"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950" w:type="dxa"/>
            <w:tcBorders>
              <w:top w:val="nil"/>
              <w:left w:val="nil"/>
              <w:bottom w:val="single" w:sz="4" w:space="0" w:color="000000"/>
              <w:right w:val="single" w:sz="4" w:space="0" w:color="000000"/>
            </w:tcBorders>
            <w:shd w:val="clear" w:color="auto" w:fill="auto"/>
            <w:vAlign w:val="center"/>
          </w:tcPr>
          <w:p w14:paraId="6A682B7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5.64</w:t>
            </w:r>
          </w:p>
        </w:tc>
        <w:tc>
          <w:tcPr>
            <w:tcW w:w="712" w:type="dxa"/>
            <w:tcBorders>
              <w:top w:val="nil"/>
              <w:left w:val="nil"/>
              <w:bottom w:val="single" w:sz="4" w:space="0" w:color="000000"/>
              <w:right w:val="single" w:sz="4" w:space="0" w:color="000000"/>
            </w:tcBorders>
            <w:shd w:val="clear" w:color="auto" w:fill="auto"/>
            <w:vAlign w:val="center"/>
          </w:tcPr>
          <w:p w14:paraId="3958E008"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5.36</w:t>
            </w:r>
          </w:p>
        </w:tc>
        <w:tc>
          <w:tcPr>
            <w:tcW w:w="1002" w:type="dxa"/>
            <w:tcBorders>
              <w:top w:val="nil"/>
              <w:left w:val="nil"/>
              <w:bottom w:val="single" w:sz="4" w:space="0" w:color="000000"/>
              <w:right w:val="single" w:sz="4" w:space="0" w:color="000000"/>
            </w:tcBorders>
            <w:shd w:val="clear" w:color="auto" w:fill="auto"/>
            <w:vAlign w:val="center"/>
          </w:tcPr>
          <w:p w14:paraId="21975E4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5.12</w:t>
            </w:r>
          </w:p>
        </w:tc>
        <w:tc>
          <w:tcPr>
            <w:tcW w:w="676" w:type="dxa"/>
            <w:tcBorders>
              <w:top w:val="nil"/>
              <w:left w:val="nil"/>
              <w:bottom w:val="single" w:sz="4" w:space="0" w:color="000000"/>
              <w:right w:val="single" w:sz="12" w:space="0" w:color="000000"/>
            </w:tcBorders>
            <w:shd w:val="clear" w:color="auto" w:fill="auto"/>
            <w:vAlign w:val="center"/>
          </w:tcPr>
          <w:p w14:paraId="4708E605"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6.33</w:t>
            </w:r>
          </w:p>
        </w:tc>
      </w:tr>
      <w:tr w:rsidR="009968E0" w:rsidRPr="009968E0" w14:paraId="6CAA17FD" w14:textId="77777777" w:rsidTr="009968E0">
        <w:trPr>
          <w:trHeight w:val="360"/>
        </w:trPr>
        <w:tc>
          <w:tcPr>
            <w:tcW w:w="1629" w:type="dxa"/>
            <w:vMerge/>
            <w:tcBorders>
              <w:top w:val="nil"/>
              <w:left w:val="single" w:sz="12" w:space="0" w:color="000000"/>
              <w:bottom w:val="single" w:sz="4" w:space="0" w:color="000000"/>
              <w:right w:val="nil"/>
            </w:tcBorders>
            <w:shd w:val="clear" w:color="auto" w:fill="FDE9D9"/>
          </w:tcPr>
          <w:p w14:paraId="63FC1C32"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786" w:type="dxa"/>
            <w:vMerge w:val="restart"/>
            <w:tcBorders>
              <w:top w:val="nil"/>
              <w:left w:val="nil"/>
              <w:bottom w:val="single" w:sz="4" w:space="0" w:color="000000"/>
              <w:right w:val="nil"/>
            </w:tcBorders>
            <w:shd w:val="clear" w:color="auto" w:fill="auto"/>
          </w:tcPr>
          <w:p w14:paraId="59D2916A"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 for Mean</w:t>
            </w:r>
          </w:p>
        </w:tc>
        <w:tc>
          <w:tcPr>
            <w:tcW w:w="1309" w:type="dxa"/>
            <w:tcBorders>
              <w:top w:val="nil"/>
              <w:left w:val="nil"/>
              <w:bottom w:val="nil"/>
              <w:right w:val="single" w:sz="12" w:space="0" w:color="000000"/>
            </w:tcBorders>
            <w:shd w:val="clear" w:color="auto" w:fill="auto"/>
          </w:tcPr>
          <w:p w14:paraId="7E2174E2"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950" w:type="dxa"/>
            <w:tcBorders>
              <w:top w:val="nil"/>
              <w:left w:val="nil"/>
              <w:bottom w:val="nil"/>
              <w:right w:val="single" w:sz="4" w:space="0" w:color="000000"/>
            </w:tcBorders>
            <w:shd w:val="clear" w:color="auto" w:fill="auto"/>
            <w:vAlign w:val="center"/>
          </w:tcPr>
          <w:p w14:paraId="648DF91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5.18</w:t>
            </w:r>
          </w:p>
        </w:tc>
        <w:tc>
          <w:tcPr>
            <w:tcW w:w="712" w:type="dxa"/>
            <w:tcBorders>
              <w:top w:val="nil"/>
              <w:left w:val="nil"/>
              <w:bottom w:val="nil"/>
              <w:right w:val="single" w:sz="4" w:space="0" w:color="000000"/>
            </w:tcBorders>
            <w:shd w:val="clear" w:color="auto" w:fill="auto"/>
            <w:vAlign w:val="center"/>
          </w:tcPr>
          <w:p w14:paraId="3599ABE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4.92</w:t>
            </w:r>
          </w:p>
        </w:tc>
        <w:tc>
          <w:tcPr>
            <w:tcW w:w="1002" w:type="dxa"/>
            <w:tcBorders>
              <w:top w:val="nil"/>
              <w:left w:val="nil"/>
              <w:bottom w:val="nil"/>
              <w:right w:val="single" w:sz="4" w:space="0" w:color="000000"/>
            </w:tcBorders>
            <w:shd w:val="clear" w:color="auto" w:fill="auto"/>
            <w:vAlign w:val="center"/>
          </w:tcPr>
          <w:p w14:paraId="63651190"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4.49</w:t>
            </w:r>
          </w:p>
        </w:tc>
        <w:tc>
          <w:tcPr>
            <w:tcW w:w="676" w:type="dxa"/>
            <w:tcBorders>
              <w:top w:val="nil"/>
              <w:left w:val="nil"/>
              <w:bottom w:val="nil"/>
              <w:right w:val="single" w:sz="12" w:space="0" w:color="000000"/>
            </w:tcBorders>
            <w:shd w:val="clear" w:color="auto" w:fill="auto"/>
            <w:vAlign w:val="center"/>
          </w:tcPr>
          <w:p w14:paraId="375FAE2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5.53</w:t>
            </w:r>
          </w:p>
        </w:tc>
      </w:tr>
      <w:tr w:rsidR="009968E0" w:rsidRPr="009968E0" w14:paraId="185E92CB" w14:textId="77777777" w:rsidTr="009968E0">
        <w:trPr>
          <w:trHeight w:val="360"/>
        </w:trPr>
        <w:tc>
          <w:tcPr>
            <w:tcW w:w="1629" w:type="dxa"/>
            <w:vMerge/>
            <w:tcBorders>
              <w:top w:val="nil"/>
              <w:left w:val="single" w:sz="12" w:space="0" w:color="000000"/>
              <w:bottom w:val="single" w:sz="4" w:space="0" w:color="000000"/>
              <w:right w:val="nil"/>
            </w:tcBorders>
            <w:shd w:val="clear" w:color="auto" w:fill="FDE9D9"/>
          </w:tcPr>
          <w:p w14:paraId="546739B9"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786" w:type="dxa"/>
            <w:vMerge/>
            <w:tcBorders>
              <w:top w:val="nil"/>
              <w:left w:val="nil"/>
              <w:bottom w:val="single" w:sz="4" w:space="0" w:color="000000"/>
              <w:right w:val="nil"/>
            </w:tcBorders>
            <w:shd w:val="clear" w:color="auto" w:fill="auto"/>
          </w:tcPr>
          <w:p w14:paraId="171E4EF1"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309" w:type="dxa"/>
            <w:tcBorders>
              <w:top w:val="nil"/>
              <w:left w:val="nil"/>
              <w:bottom w:val="single" w:sz="4" w:space="0" w:color="000000"/>
              <w:right w:val="single" w:sz="12" w:space="0" w:color="000000"/>
            </w:tcBorders>
            <w:shd w:val="clear" w:color="auto" w:fill="auto"/>
          </w:tcPr>
          <w:p w14:paraId="00C73A23"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950" w:type="dxa"/>
            <w:tcBorders>
              <w:top w:val="nil"/>
              <w:left w:val="nil"/>
              <w:bottom w:val="single" w:sz="4" w:space="0" w:color="000000"/>
              <w:right w:val="single" w:sz="4" w:space="0" w:color="000000"/>
            </w:tcBorders>
            <w:shd w:val="clear" w:color="auto" w:fill="auto"/>
            <w:vAlign w:val="center"/>
          </w:tcPr>
          <w:p w14:paraId="760E083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6.09</w:t>
            </w:r>
          </w:p>
        </w:tc>
        <w:tc>
          <w:tcPr>
            <w:tcW w:w="712" w:type="dxa"/>
            <w:tcBorders>
              <w:top w:val="nil"/>
              <w:left w:val="nil"/>
              <w:bottom w:val="single" w:sz="4" w:space="0" w:color="000000"/>
              <w:right w:val="single" w:sz="4" w:space="0" w:color="000000"/>
            </w:tcBorders>
            <w:shd w:val="clear" w:color="auto" w:fill="auto"/>
            <w:vAlign w:val="center"/>
          </w:tcPr>
          <w:p w14:paraId="135ED67E"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5.80</w:t>
            </w:r>
          </w:p>
        </w:tc>
        <w:tc>
          <w:tcPr>
            <w:tcW w:w="1002" w:type="dxa"/>
            <w:tcBorders>
              <w:top w:val="nil"/>
              <w:left w:val="nil"/>
              <w:bottom w:val="single" w:sz="4" w:space="0" w:color="000000"/>
              <w:right w:val="single" w:sz="4" w:space="0" w:color="000000"/>
            </w:tcBorders>
            <w:shd w:val="clear" w:color="auto" w:fill="auto"/>
            <w:vAlign w:val="center"/>
          </w:tcPr>
          <w:p w14:paraId="385765F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5.76</w:t>
            </w:r>
          </w:p>
        </w:tc>
        <w:tc>
          <w:tcPr>
            <w:tcW w:w="676" w:type="dxa"/>
            <w:tcBorders>
              <w:top w:val="nil"/>
              <w:left w:val="nil"/>
              <w:bottom w:val="single" w:sz="4" w:space="0" w:color="000000"/>
              <w:right w:val="single" w:sz="12" w:space="0" w:color="000000"/>
            </w:tcBorders>
            <w:shd w:val="clear" w:color="auto" w:fill="auto"/>
            <w:vAlign w:val="center"/>
          </w:tcPr>
          <w:p w14:paraId="0BF02F98"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7.12</w:t>
            </w:r>
          </w:p>
        </w:tc>
      </w:tr>
      <w:tr w:rsidR="009968E0" w:rsidRPr="009968E0" w14:paraId="43305832" w14:textId="77777777" w:rsidTr="009968E0">
        <w:trPr>
          <w:trHeight w:val="360"/>
        </w:trPr>
        <w:tc>
          <w:tcPr>
            <w:tcW w:w="9064" w:type="dxa"/>
            <w:gridSpan w:val="7"/>
            <w:tcBorders>
              <w:top w:val="nil"/>
              <w:left w:val="single" w:sz="12" w:space="0" w:color="000000"/>
              <w:bottom w:val="single" w:sz="4" w:space="0" w:color="000000"/>
              <w:right w:val="single" w:sz="12" w:space="0" w:color="000000"/>
            </w:tcBorders>
            <w:shd w:val="clear" w:color="auto" w:fill="auto"/>
            <w:vAlign w:val="center"/>
          </w:tcPr>
          <w:p w14:paraId="7F322E8A"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p=0.026</w:t>
            </w:r>
            <w:r w:rsidRPr="009968E0">
              <w:rPr>
                <w:rFonts w:ascii="Calibri" w:eastAsia="Times New Roman" w:hAnsi="Calibri" w:cs="Calibri"/>
                <w:i/>
                <w:iCs/>
                <w:color w:val="000000"/>
                <w:sz w:val="22"/>
                <w:szCs w:val="22"/>
                <w:vertAlign w:val="superscript"/>
                <w:lang w:eastAsia="en-GB"/>
              </w:rPr>
              <w:t>c</w:t>
            </w:r>
          </w:p>
        </w:tc>
      </w:tr>
      <w:tr w:rsidR="009968E0" w:rsidRPr="009968E0" w14:paraId="38084513" w14:textId="77777777" w:rsidTr="009968E0">
        <w:trPr>
          <w:trHeight w:val="360"/>
        </w:trPr>
        <w:tc>
          <w:tcPr>
            <w:tcW w:w="1629" w:type="dxa"/>
            <w:vMerge w:val="restart"/>
            <w:tcBorders>
              <w:top w:val="nil"/>
              <w:left w:val="single" w:sz="12" w:space="0" w:color="000000"/>
              <w:bottom w:val="nil"/>
              <w:right w:val="nil"/>
            </w:tcBorders>
            <w:shd w:val="clear" w:color="auto" w:fill="FDE9D9"/>
          </w:tcPr>
          <w:p w14:paraId="30B45DF1"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MTT-RPSC2</w:t>
            </w:r>
          </w:p>
        </w:tc>
        <w:tc>
          <w:tcPr>
            <w:tcW w:w="4095" w:type="dxa"/>
            <w:gridSpan w:val="2"/>
            <w:tcBorders>
              <w:top w:val="nil"/>
              <w:left w:val="nil"/>
              <w:bottom w:val="single" w:sz="4" w:space="0" w:color="000000"/>
              <w:right w:val="single" w:sz="12" w:space="0" w:color="000000"/>
            </w:tcBorders>
            <w:shd w:val="clear" w:color="auto" w:fill="auto"/>
          </w:tcPr>
          <w:p w14:paraId="1284AFFC"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w:t>
            </w:r>
          </w:p>
        </w:tc>
        <w:tc>
          <w:tcPr>
            <w:tcW w:w="950" w:type="dxa"/>
            <w:tcBorders>
              <w:top w:val="nil"/>
              <w:left w:val="nil"/>
              <w:bottom w:val="single" w:sz="4" w:space="0" w:color="000000"/>
              <w:right w:val="single" w:sz="4" w:space="0" w:color="000000"/>
            </w:tcBorders>
            <w:shd w:val="clear" w:color="auto" w:fill="auto"/>
            <w:vAlign w:val="center"/>
          </w:tcPr>
          <w:p w14:paraId="07600A53"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19</w:t>
            </w:r>
          </w:p>
        </w:tc>
        <w:tc>
          <w:tcPr>
            <w:tcW w:w="712" w:type="dxa"/>
            <w:tcBorders>
              <w:top w:val="nil"/>
              <w:left w:val="nil"/>
              <w:bottom w:val="single" w:sz="4" w:space="0" w:color="000000"/>
              <w:right w:val="single" w:sz="4" w:space="0" w:color="000000"/>
            </w:tcBorders>
            <w:shd w:val="clear" w:color="auto" w:fill="auto"/>
            <w:vAlign w:val="center"/>
          </w:tcPr>
          <w:p w14:paraId="0A78D95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23</w:t>
            </w:r>
          </w:p>
        </w:tc>
        <w:tc>
          <w:tcPr>
            <w:tcW w:w="1002" w:type="dxa"/>
            <w:tcBorders>
              <w:top w:val="nil"/>
              <w:left w:val="nil"/>
              <w:bottom w:val="single" w:sz="4" w:space="0" w:color="000000"/>
              <w:right w:val="single" w:sz="4" w:space="0" w:color="000000"/>
            </w:tcBorders>
            <w:shd w:val="clear" w:color="auto" w:fill="auto"/>
            <w:vAlign w:val="center"/>
          </w:tcPr>
          <w:p w14:paraId="59368125"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13</w:t>
            </w:r>
          </w:p>
        </w:tc>
        <w:tc>
          <w:tcPr>
            <w:tcW w:w="676" w:type="dxa"/>
            <w:tcBorders>
              <w:top w:val="nil"/>
              <w:left w:val="nil"/>
              <w:bottom w:val="single" w:sz="4" w:space="0" w:color="000000"/>
              <w:right w:val="single" w:sz="12" w:space="0" w:color="000000"/>
            </w:tcBorders>
            <w:shd w:val="clear" w:color="auto" w:fill="auto"/>
            <w:vAlign w:val="center"/>
          </w:tcPr>
          <w:p w14:paraId="1B055E88"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19</w:t>
            </w:r>
          </w:p>
        </w:tc>
      </w:tr>
      <w:tr w:rsidR="009968E0" w:rsidRPr="009968E0" w14:paraId="001C9D7E" w14:textId="77777777" w:rsidTr="009968E0">
        <w:trPr>
          <w:trHeight w:val="360"/>
        </w:trPr>
        <w:tc>
          <w:tcPr>
            <w:tcW w:w="1629" w:type="dxa"/>
            <w:vMerge/>
            <w:tcBorders>
              <w:top w:val="nil"/>
              <w:left w:val="single" w:sz="12" w:space="0" w:color="000000"/>
              <w:bottom w:val="nil"/>
              <w:right w:val="nil"/>
            </w:tcBorders>
            <w:shd w:val="clear" w:color="auto" w:fill="FDE9D9"/>
          </w:tcPr>
          <w:p w14:paraId="304EB030"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4095" w:type="dxa"/>
            <w:gridSpan w:val="2"/>
            <w:tcBorders>
              <w:top w:val="nil"/>
              <w:left w:val="nil"/>
              <w:bottom w:val="single" w:sz="4" w:space="0" w:color="000000"/>
              <w:right w:val="single" w:sz="12" w:space="0" w:color="000000"/>
            </w:tcBorders>
            <w:shd w:val="clear" w:color="auto" w:fill="auto"/>
          </w:tcPr>
          <w:p w14:paraId="55C9E373"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950" w:type="dxa"/>
            <w:tcBorders>
              <w:top w:val="nil"/>
              <w:left w:val="nil"/>
              <w:bottom w:val="single" w:sz="4" w:space="0" w:color="000000"/>
              <w:right w:val="single" w:sz="4" w:space="0" w:color="000000"/>
            </w:tcBorders>
            <w:shd w:val="clear" w:color="auto" w:fill="auto"/>
            <w:vAlign w:val="center"/>
          </w:tcPr>
          <w:p w14:paraId="3D278D9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5.82</w:t>
            </w:r>
          </w:p>
        </w:tc>
        <w:tc>
          <w:tcPr>
            <w:tcW w:w="712" w:type="dxa"/>
            <w:tcBorders>
              <w:top w:val="nil"/>
              <w:left w:val="nil"/>
              <w:bottom w:val="single" w:sz="4" w:space="0" w:color="000000"/>
              <w:right w:val="single" w:sz="4" w:space="0" w:color="000000"/>
            </w:tcBorders>
            <w:shd w:val="clear" w:color="auto" w:fill="auto"/>
            <w:vAlign w:val="center"/>
          </w:tcPr>
          <w:p w14:paraId="316FB964"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5.43</w:t>
            </w:r>
          </w:p>
        </w:tc>
        <w:tc>
          <w:tcPr>
            <w:tcW w:w="1002" w:type="dxa"/>
            <w:tcBorders>
              <w:top w:val="nil"/>
              <w:left w:val="nil"/>
              <w:bottom w:val="single" w:sz="4" w:space="0" w:color="000000"/>
              <w:right w:val="single" w:sz="4" w:space="0" w:color="000000"/>
            </w:tcBorders>
            <w:shd w:val="clear" w:color="auto" w:fill="auto"/>
            <w:vAlign w:val="center"/>
          </w:tcPr>
          <w:p w14:paraId="2627FB8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5.25</w:t>
            </w:r>
          </w:p>
        </w:tc>
        <w:tc>
          <w:tcPr>
            <w:tcW w:w="676" w:type="dxa"/>
            <w:tcBorders>
              <w:top w:val="nil"/>
              <w:left w:val="nil"/>
              <w:bottom w:val="single" w:sz="4" w:space="0" w:color="000000"/>
              <w:right w:val="single" w:sz="12" w:space="0" w:color="000000"/>
            </w:tcBorders>
            <w:shd w:val="clear" w:color="auto" w:fill="auto"/>
            <w:vAlign w:val="center"/>
          </w:tcPr>
          <w:p w14:paraId="66E87D5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6.32</w:t>
            </w:r>
          </w:p>
        </w:tc>
      </w:tr>
      <w:tr w:rsidR="009968E0" w:rsidRPr="009968E0" w14:paraId="39E55BCC" w14:textId="77777777" w:rsidTr="009968E0">
        <w:trPr>
          <w:trHeight w:val="360"/>
        </w:trPr>
        <w:tc>
          <w:tcPr>
            <w:tcW w:w="1629" w:type="dxa"/>
            <w:vMerge/>
            <w:tcBorders>
              <w:top w:val="nil"/>
              <w:left w:val="single" w:sz="12" w:space="0" w:color="000000"/>
              <w:bottom w:val="nil"/>
              <w:right w:val="nil"/>
            </w:tcBorders>
            <w:shd w:val="clear" w:color="auto" w:fill="FDE9D9"/>
          </w:tcPr>
          <w:p w14:paraId="64D2910F"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786" w:type="dxa"/>
            <w:vMerge w:val="restart"/>
            <w:tcBorders>
              <w:top w:val="nil"/>
              <w:left w:val="nil"/>
              <w:bottom w:val="nil"/>
              <w:right w:val="nil"/>
            </w:tcBorders>
            <w:shd w:val="clear" w:color="auto" w:fill="auto"/>
          </w:tcPr>
          <w:p w14:paraId="7D13E5AE"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 for Mean</w:t>
            </w:r>
          </w:p>
        </w:tc>
        <w:tc>
          <w:tcPr>
            <w:tcW w:w="1309" w:type="dxa"/>
            <w:tcBorders>
              <w:top w:val="nil"/>
              <w:left w:val="nil"/>
              <w:bottom w:val="nil"/>
              <w:right w:val="single" w:sz="12" w:space="0" w:color="000000"/>
            </w:tcBorders>
            <w:shd w:val="clear" w:color="auto" w:fill="auto"/>
          </w:tcPr>
          <w:p w14:paraId="7F5F4EC0"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950" w:type="dxa"/>
            <w:tcBorders>
              <w:top w:val="nil"/>
              <w:left w:val="nil"/>
              <w:bottom w:val="nil"/>
              <w:right w:val="single" w:sz="4" w:space="0" w:color="000000"/>
            </w:tcBorders>
            <w:shd w:val="clear" w:color="auto" w:fill="auto"/>
            <w:vAlign w:val="center"/>
          </w:tcPr>
          <w:p w14:paraId="065D166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5.25</w:t>
            </w:r>
          </w:p>
        </w:tc>
        <w:tc>
          <w:tcPr>
            <w:tcW w:w="712" w:type="dxa"/>
            <w:tcBorders>
              <w:top w:val="nil"/>
              <w:left w:val="nil"/>
              <w:bottom w:val="nil"/>
              <w:right w:val="single" w:sz="4" w:space="0" w:color="000000"/>
            </w:tcBorders>
            <w:shd w:val="clear" w:color="auto" w:fill="auto"/>
            <w:vAlign w:val="center"/>
          </w:tcPr>
          <w:p w14:paraId="3C317AF5"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4.97</w:t>
            </w:r>
          </w:p>
        </w:tc>
        <w:tc>
          <w:tcPr>
            <w:tcW w:w="1002" w:type="dxa"/>
            <w:tcBorders>
              <w:top w:val="nil"/>
              <w:left w:val="nil"/>
              <w:bottom w:val="nil"/>
              <w:right w:val="single" w:sz="4" w:space="0" w:color="000000"/>
            </w:tcBorders>
            <w:shd w:val="clear" w:color="auto" w:fill="auto"/>
            <w:vAlign w:val="center"/>
          </w:tcPr>
          <w:p w14:paraId="5146E76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4.51</w:t>
            </w:r>
          </w:p>
        </w:tc>
        <w:tc>
          <w:tcPr>
            <w:tcW w:w="676" w:type="dxa"/>
            <w:tcBorders>
              <w:top w:val="nil"/>
              <w:left w:val="nil"/>
              <w:bottom w:val="nil"/>
              <w:right w:val="single" w:sz="12" w:space="0" w:color="000000"/>
            </w:tcBorders>
            <w:shd w:val="clear" w:color="auto" w:fill="auto"/>
            <w:vAlign w:val="center"/>
          </w:tcPr>
          <w:p w14:paraId="2828A24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5.68</w:t>
            </w:r>
          </w:p>
        </w:tc>
      </w:tr>
      <w:tr w:rsidR="009968E0" w:rsidRPr="009968E0" w14:paraId="7590AB81" w14:textId="77777777" w:rsidTr="009968E0">
        <w:trPr>
          <w:trHeight w:val="360"/>
        </w:trPr>
        <w:tc>
          <w:tcPr>
            <w:tcW w:w="1629" w:type="dxa"/>
            <w:vMerge/>
            <w:tcBorders>
              <w:top w:val="nil"/>
              <w:left w:val="single" w:sz="12" w:space="0" w:color="000000"/>
              <w:bottom w:val="nil"/>
              <w:right w:val="nil"/>
            </w:tcBorders>
            <w:shd w:val="clear" w:color="auto" w:fill="FDE9D9"/>
          </w:tcPr>
          <w:p w14:paraId="2EFF8630"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786" w:type="dxa"/>
            <w:vMerge/>
            <w:tcBorders>
              <w:top w:val="nil"/>
              <w:left w:val="nil"/>
              <w:bottom w:val="nil"/>
              <w:right w:val="nil"/>
            </w:tcBorders>
            <w:shd w:val="clear" w:color="auto" w:fill="auto"/>
          </w:tcPr>
          <w:p w14:paraId="1BCBBA8E"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309" w:type="dxa"/>
            <w:tcBorders>
              <w:top w:val="nil"/>
              <w:left w:val="nil"/>
              <w:bottom w:val="nil"/>
              <w:right w:val="single" w:sz="12" w:space="0" w:color="000000"/>
            </w:tcBorders>
            <w:shd w:val="clear" w:color="auto" w:fill="auto"/>
          </w:tcPr>
          <w:p w14:paraId="71C08843"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950" w:type="dxa"/>
            <w:tcBorders>
              <w:top w:val="nil"/>
              <w:left w:val="nil"/>
              <w:bottom w:val="nil"/>
              <w:right w:val="single" w:sz="4" w:space="0" w:color="000000"/>
            </w:tcBorders>
            <w:shd w:val="clear" w:color="auto" w:fill="auto"/>
            <w:vAlign w:val="center"/>
          </w:tcPr>
          <w:p w14:paraId="023878C4"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6.39</w:t>
            </w:r>
          </w:p>
        </w:tc>
        <w:tc>
          <w:tcPr>
            <w:tcW w:w="712" w:type="dxa"/>
            <w:tcBorders>
              <w:top w:val="nil"/>
              <w:left w:val="nil"/>
              <w:bottom w:val="nil"/>
              <w:right w:val="single" w:sz="4" w:space="0" w:color="000000"/>
            </w:tcBorders>
            <w:shd w:val="clear" w:color="auto" w:fill="auto"/>
            <w:vAlign w:val="center"/>
          </w:tcPr>
          <w:p w14:paraId="4B7DA595"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5.88</w:t>
            </w:r>
          </w:p>
        </w:tc>
        <w:tc>
          <w:tcPr>
            <w:tcW w:w="1002" w:type="dxa"/>
            <w:tcBorders>
              <w:top w:val="nil"/>
              <w:left w:val="nil"/>
              <w:bottom w:val="nil"/>
              <w:right w:val="single" w:sz="4" w:space="0" w:color="000000"/>
            </w:tcBorders>
            <w:shd w:val="clear" w:color="auto" w:fill="auto"/>
            <w:vAlign w:val="center"/>
          </w:tcPr>
          <w:p w14:paraId="2E462FAE"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5.99</w:t>
            </w:r>
          </w:p>
        </w:tc>
        <w:tc>
          <w:tcPr>
            <w:tcW w:w="676" w:type="dxa"/>
            <w:tcBorders>
              <w:top w:val="nil"/>
              <w:left w:val="nil"/>
              <w:bottom w:val="nil"/>
              <w:right w:val="single" w:sz="12" w:space="0" w:color="000000"/>
            </w:tcBorders>
            <w:shd w:val="clear" w:color="auto" w:fill="auto"/>
            <w:vAlign w:val="center"/>
          </w:tcPr>
          <w:p w14:paraId="559FFBEE"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6.95</w:t>
            </w:r>
          </w:p>
        </w:tc>
      </w:tr>
      <w:tr w:rsidR="009968E0" w:rsidRPr="009968E0" w14:paraId="73A928D9" w14:textId="77777777" w:rsidTr="009968E0">
        <w:trPr>
          <w:trHeight w:val="360"/>
        </w:trPr>
        <w:tc>
          <w:tcPr>
            <w:tcW w:w="9064" w:type="dxa"/>
            <w:gridSpan w:val="7"/>
            <w:tcBorders>
              <w:top w:val="single" w:sz="4" w:space="0" w:color="000000"/>
              <w:left w:val="single" w:sz="12" w:space="0" w:color="000000"/>
              <w:bottom w:val="single" w:sz="12" w:space="0" w:color="000000"/>
              <w:right w:val="single" w:sz="12" w:space="0" w:color="000000"/>
            </w:tcBorders>
            <w:shd w:val="clear" w:color="auto" w:fill="auto"/>
            <w:vAlign w:val="center"/>
          </w:tcPr>
          <w:p w14:paraId="4A107018"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p=0.047</w:t>
            </w:r>
            <w:r w:rsidRPr="009968E0">
              <w:rPr>
                <w:rFonts w:ascii="Calibri" w:eastAsia="Times New Roman" w:hAnsi="Calibri" w:cs="Calibri"/>
                <w:i/>
                <w:iCs/>
                <w:color w:val="000000"/>
                <w:sz w:val="22"/>
                <w:szCs w:val="22"/>
                <w:vertAlign w:val="superscript"/>
                <w:lang w:eastAsia="en-GB"/>
              </w:rPr>
              <w:t>d</w:t>
            </w:r>
          </w:p>
        </w:tc>
      </w:tr>
    </w:tbl>
    <w:p w14:paraId="3B910EC2" w14:textId="77777777" w:rsidR="009968E0" w:rsidRPr="009968E0" w:rsidRDefault="009968E0" w:rsidP="009968E0">
      <w:pPr>
        <w:rPr>
          <w:rFonts w:ascii="Calibri" w:eastAsia="Times New Roman" w:hAnsi="Calibri" w:cs="Calibri"/>
          <w:i/>
          <w:iCs/>
          <w:color w:val="808080"/>
          <w:sz w:val="22"/>
          <w:szCs w:val="22"/>
          <w:lang w:eastAsia="en-GB"/>
        </w:rPr>
      </w:pPr>
      <w:r w:rsidRPr="009968E0">
        <w:rPr>
          <w:rFonts w:ascii="Calibri" w:eastAsia="Times New Roman" w:hAnsi="Calibri" w:cs="Calibri"/>
          <w:i/>
          <w:iCs/>
          <w:color w:val="808080"/>
          <w:sz w:val="22"/>
          <w:szCs w:val="22"/>
          <w:lang w:eastAsia="en-GB"/>
        </w:rPr>
        <w:t xml:space="preserve">MTT=Mean transit time, 2=second visit, L=left, R=right, </w:t>
      </w:r>
      <w:proofErr w:type="spellStart"/>
      <w:r w:rsidRPr="009968E0">
        <w:rPr>
          <w:rFonts w:ascii="Calibri" w:eastAsia="Times New Roman" w:hAnsi="Calibri" w:cs="Calibri"/>
          <w:i/>
          <w:iCs/>
          <w:color w:val="808080"/>
          <w:sz w:val="22"/>
          <w:szCs w:val="22"/>
          <w:lang w:eastAsia="en-GB"/>
        </w:rPr>
        <w:t>thal</w:t>
      </w:r>
      <w:proofErr w:type="spellEnd"/>
      <w:r w:rsidRPr="009968E0">
        <w:rPr>
          <w:rFonts w:ascii="Calibri" w:eastAsia="Times New Roman" w:hAnsi="Calibri" w:cs="Calibri"/>
          <w:i/>
          <w:iCs/>
          <w:color w:val="808080"/>
          <w:sz w:val="22"/>
          <w:szCs w:val="22"/>
          <w:lang w:eastAsia="en-GB"/>
        </w:rPr>
        <w:t>= thalamus, INS=Insula, ACC= anterior cingulate gyrus, POWM=parieto-</w:t>
      </w:r>
      <w:proofErr w:type="spellStart"/>
      <w:r w:rsidRPr="009968E0">
        <w:rPr>
          <w:rFonts w:ascii="Calibri" w:eastAsia="Times New Roman" w:hAnsi="Calibri" w:cs="Calibri"/>
          <w:i/>
          <w:iCs/>
          <w:color w:val="808080"/>
          <w:sz w:val="22"/>
          <w:szCs w:val="22"/>
          <w:lang w:eastAsia="en-GB"/>
        </w:rPr>
        <w:t>occiptal</w:t>
      </w:r>
      <w:proofErr w:type="spellEnd"/>
      <w:r w:rsidRPr="009968E0">
        <w:rPr>
          <w:rFonts w:ascii="Calibri" w:eastAsia="Times New Roman" w:hAnsi="Calibri" w:cs="Calibri"/>
          <w:i/>
          <w:iCs/>
          <w:color w:val="808080"/>
          <w:sz w:val="22"/>
          <w:szCs w:val="22"/>
          <w:lang w:eastAsia="en-GB"/>
        </w:rPr>
        <w:t xml:space="preserve"> white matter, PSC=primary sensory cortex, N=number in group</w:t>
      </w:r>
    </w:p>
    <w:p w14:paraId="46F0011E" w14:textId="77777777" w:rsidR="009968E0" w:rsidRPr="009968E0" w:rsidRDefault="009968E0" w:rsidP="009968E0">
      <w:pPr>
        <w:rPr>
          <w:rFonts w:ascii="Calibri" w:eastAsia="Times New Roman" w:hAnsi="Calibri" w:cs="Calibri"/>
          <w:i/>
          <w:iCs/>
          <w:color w:val="808080"/>
          <w:sz w:val="22"/>
          <w:szCs w:val="22"/>
          <w:lang w:eastAsia="en-GB"/>
        </w:rPr>
      </w:pPr>
      <w:r w:rsidRPr="009968E0">
        <w:rPr>
          <w:rFonts w:ascii="Calibri" w:eastAsia="Times New Roman" w:hAnsi="Calibri" w:cs="Calibri"/>
          <w:i/>
          <w:iCs/>
          <w:color w:val="808080"/>
          <w:sz w:val="22"/>
          <w:szCs w:val="22"/>
          <w:lang w:eastAsia="en-GB"/>
        </w:rPr>
        <w:t xml:space="preserve">(a) MTT_LIns2-: HV vs DM-NN p=0.027, HV vs DPN p=0.049. </w:t>
      </w:r>
    </w:p>
    <w:p w14:paraId="0067B12C" w14:textId="77777777" w:rsidR="009968E0" w:rsidRPr="009968E0" w:rsidRDefault="009968E0" w:rsidP="009968E0">
      <w:pPr>
        <w:rPr>
          <w:rFonts w:ascii="Calibri" w:eastAsia="Times New Roman" w:hAnsi="Calibri" w:cs="Calibri"/>
          <w:i/>
          <w:iCs/>
          <w:color w:val="808080"/>
          <w:sz w:val="22"/>
          <w:szCs w:val="22"/>
          <w:lang w:eastAsia="en-GB"/>
        </w:rPr>
      </w:pPr>
      <w:r w:rsidRPr="009968E0">
        <w:rPr>
          <w:rFonts w:ascii="Calibri" w:eastAsia="Times New Roman" w:hAnsi="Calibri" w:cs="Calibri"/>
          <w:i/>
          <w:iCs/>
          <w:color w:val="808080"/>
          <w:sz w:val="22"/>
          <w:szCs w:val="22"/>
          <w:lang w:eastAsia="en-GB"/>
        </w:rPr>
        <w:t xml:space="preserve">(b) MTT_RIns2-: HV vs DM-NN p=0.046. </w:t>
      </w:r>
    </w:p>
    <w:p w14:paraId="25048D39" w14:textId="77777777" w:rsidR="009968E0" w:rsidRPr="009968E0" w:rsidRDefault="009968E0" w:rsidP="009968E0">
      <w:pPr>
        <w:rPr>
          <w:rFonts w:ascii="Calibri" w:eastAsia="Times New Roman" w:hAnsi="Calibri" w:cs="Calibri"/>
          <w:i/>
          <w:iCs/>
          <w:color w:val="808080"/>
          <w:sz w:val="22"/>
          <w:szCs w:val="22"/>
          <w:lang w:eastAsia="en-GB"/>
        </w:rPr>
      </w:pPr>
      <w:r w:rsidRPr="009968E0">
        <w:rPr>
          <w:rFonts w:ascii="Calibri" w:eastAsia="Times New Roman" w:hAnsi="Calibri" w:cs="Calibri"/>
          <w:i/>
          <w:iCs/>
          <w:color w:val="808080"/>
          <w:sz w:val="22"/>
          <w:szCs w:val="22"/>
          <w:lang w:eastAsia="en-GB"/>
        </w:rPr>
        <w:t xml:space="preserve">(c) MTT_LPS2-: HV vs DM-NN p=0.041. </w:t>
      </w:r>
    </w:p>
    <w:p w14:paraId="3AAA8BF1" w14:textId="77777777" w:rsidR="009968E0" w:rsidRPr="009968E0" w:rsidRDefault="009968E0" w:rsidP="009968E0">
      <w:pPr>
        <w:rPr>
          <w:rFonts w:ascii="Calibri" w:eastAsia="Times New Roman" w:hAnsi="Calibri" w:cs="Calibri"/>
          <w:i/>
          <w:iCs/>
          <w:color w:val="808080"/>
          <w:sz w:val="22"/>
          <w:szCs w:val="22"/>
          <w:lang w:eastAsia="en-GB"/>
        </w:rPr>
      </w:pPr>
      <w:r w:rsidRPr="009968E0">
        <w:rPr>
          <w:rFonts w:ascii="Calibri" w:eastAsia="Times New Roman" w:hAnsi="Calibri" w:cs="Calibri"/>
          <w:i/>
          <w:iCs/>
          <w:color w:val="808080"/>
          <w:sz w:val="22"/>
          <w:szCs w:val="22"/>
          <w:lang w:eastAsia="en-GB"/>
        </w:rPr>
        <w:t>(d) MTT_RPS2-: nil significant.</w:t>
      </w:r>
    </w:p>
    <w:p w14:paraId="3BC7624F" w14:textId="77777777" w:rsidR="009968E0" w:rsidRPr="009968E0" w:rsidRDefault="009968E0" w:rsidP="009968E0">
      <w:pPr>
        <w:rPr>
          <w:rFonts w:ascii="Calibri" w:eastAsia="Times New Roman" w:hAnsi="Calibri" w:cs="Calibri"/>
          <w:i/>
          <w:iCs/>
          <w:color w:val="808080"/>
          <w:sz w:val="22"/>
          <w:szCs w:val="22"/>
          <w:lang w:eastAsia="en-GB"/>
        </w:rPr>
      </w:pPr>
    </w:p>
    <w:p w14:paraId="6B134EA8" w14:textId="7508B038" w:rsidR="009968E0" w:rsidRPr="007A2ECE" w:rsidRDefault="009968E0" w:rsidP="007A2ECE">
      <w:pPr>
        <w:pStyle w:val="Quote"/>
      </w:pPr>
      <w:bookmarkStart w:id="594" w:name="_Toc49273350"/>
      <w:bookmarkStart w:id="595" w:name="_Toc64724103"/>
      <w:r w:rsidRPr="007A2ECE">
        <w:t>Table C.5 Possible contributors to baseline differences in MTT at the LINS linear modelling</w:t>
      </w:r>
      <w:bookmarkEnd w:id="594"/>
      <w:bookmarkEnd w:id="595"/>
    </w:p>
    <w:p w14:paraId="5EBD7AB1" w14:textId="77777777" w:rsidR="009968E0" w:rsidRPr="009968E0" w:rsidRDefault="009968E0" w:rsidP="009968E0">
      <w:pPr>
        <w:rPr>
          <w:rFonts w:asciiTheme="minorHAnsi" w:eastAsiaTheme="minorHAnsi" w:hAnsiTheme="minorHAnsi" w:cs="Arial"/>
        </w:rPr>
      </w:pPr>
    </w:p>
    <w:tbl>
      <w:tblPr>
        <w:tblStyle w:val="GridTable2-Accent2111"/>
        <w:tblW w:w="5000" w:type="pct"/>
        <w:tblLayout w:type="fixed"/>
        <w:tblLook w:val="0400" w:firstRow="0" w:lastRow="0" w:firstColumn="0" w:lastColumn="0" w:noHBand="0" w:noVBand="1"/>
      </w:tblPr>
      <w:tblGrid>
        <w:gridCol w:w="1161"/>
        <w:gridCol w:w="3404"/>
        <w:gridCol w:w="2600"/>
        <w:gridCol w:w="1797"/>
        <w:gridCol w:w="58"/>
      </w:tblGrid>
      <w:tr w:rsidR="009968E0" w:rsidRPr="009968E0" w14:paraId="1CEF9B52" w14:textId="77777777" w:rsidTr="009968E0">
        <w:trPr>
          <w:cnfStyle w:val="000000100000" w:firstRow="0" w:lastRow="0" w:firstColumn="0" w:lastColumn="0" w:oddVBand="0" w:evenVBand="0" w:oddHBand="1" w:evenHBand="0" w:firstRowFirstColumn="0" w:firstRowLastColumn="0" w:lastRowFirstColumn="0" w:lastRowLastColumn="0"/>
          <w:trHeight w:val="540"/>
        </w:trPr>
        <w:tc>
          <w:tcPr>
            <w:tcW w:w="5000" w:type="pct"/>
            <w:gridSpan w:val="5"/>
          </w:tcPr>
          <w:p w14:paraId="2618B54A" w14:textId="77777777" w:rsidR="009968E0" w:rsidRPr="009968E0" w:rsidRDefault="009968E0" w:rsidP="009968E0">
            <w:pPr>
              <w:rPr>
                <w:rFonts w:asciiTheme="minorHAnsi" w:eastAsia="Calibri" w:hAnsiTheme="minorHAnsi" w:cstheme="minorHAnsi"/>
                <w:b/>
                <w:i/>
                <w:iCs/>
                <w:color w:val="000000"/>
                <w:sz w:val="22"/>
                <w:szCs w:val="22"/>
              </w:rPr>
            </w:pPr>
            <w:r w:rsidRPr="009968E0">
              <w:rPr>
                <w:rFonts w:asciiTheme="minorHAnsi" w:eastAsia="Calibri" w:hAnsiTheme="minorHAnsi" w:cstheme="minorHAnsi"/>
                <w:i/>
                <w:iCs/>
                <w:color w:val="000000"/>
                <w:sz w:val="22"/>
                <w:szCs w:val="22"/>
              </w:rPr>
              <w:t>Linear model of predictors of MTT-LINS Baseline</w:t>
            </w:r>
          </w:p>
        </w:tc>
      </w:tr>
      <w:tr w:rsidR="009968E0" w:rsidRPr="009968E0" w14:paraId="5E4A4A7A" w14:textId="77777777" w:rsidTr="009968E0">
        <w:trPr>
          <w:gridAfter w:val="1"/>
          <w:wAfter w:w="58" w:type="dxa"/>
          <w:trHeight w:val="680"/>
        </w:trPr>
        <w:tc>
          <w:tcPr>
            <w:tcW w:w="2531" w:type="pct"/>
            <w:gridSpan w:val="2"/>
            <w:vMerge w:val="restart"/>
          </w:tcPr>
          <w:p w14:paraId="2F265E8C" w14:textId="77777777" w:rsidR="009968E0" w:rsidRPr="009968E0" w:rsidRDefault="009968E0" w:rsidP="009968E0">
            <w:pPr>
              <w:rPr>
                <w:rFonts w:asciiTheme="minorHAnsi" w:eastAsia="Times New Roman" w:hAnsiTheme="minorHAnsi" w:cstheme="minorHAnsi"/>
                <w:i/>
                <w:iCs/>
                <w:color w:val="000000"/>
                <w:sz w:val="22"/>
                <w:szCs w:val="22"/>
              </w:rPr>
            </w:pPr>
            <w:r w:rsidRPr="009968E0">
              <w:rPr>
                <w:rFonts w:asciiTheme="minorHAnsi" w:eastAsia="Times New Roman" w:hAnsiTheme="minorHAnsi" w:cstheme="minorHAnsi"/>
                <w:i/>
                <w:iCs/>
                <w:color w:val="000000"/>
                <w:sz w:val="22"/>
                <w:szCs w:val="22"/>
              </w:rPr>
              <w:t>Model</w:t>
            </w:r>
          </w:p>
        </w:tc>
        <w:tc>
          <w:tcPr>
            <w:tcW w:w="1441" w:type="pct"/>
          </w:tcPr>
          <w:p w14:paraId="6E05FED1" w14:textId="77777777" w:rsidR="009968E0" w:rsidRPr="009968E0" w:rsidRDefault="009968E0" w:rsidP="009968E0">
            <w:pPr>
              <w:jc w:val="center"/>
              <w:rPr>
                <w:rFonts w:asciiTheme="minorHAnsi" w:eastAsia="Times New Roman" w:hAnsiTheme="minorHAnsi" w:cstheme="minorHAnsi"/>
                <w:i/>
                <w:iCs/>
                <w:color w:val="000000"/>
                <w:sz w:val="22"/>
                <w:szCs w:val="22"/>
              </w:rPr>
            </w:pPr>
            <w:r w:rsidRPr="009968E0">
              <w:rPr>
                <w:rFonts w:asciiTheme="minorHAnsi" w:eastAsia="Times New Roman" w:hAnsiTheme="minorHAnsi" w:cstheme="minorHAnsi"/>
                <w:i/>
                <w:iCs/>
                <w:color w:val="000000"/>
                <w:sz w:val="22"/>
                <w:szCs w:val="22"/>
              </w:rPr>
              <w:t>Standardized Coefficients</w:t>
            </w:r>
          </w:p>
        </w:tc>
        <w:tc>
          <w:tcPr>
            <w:tcW w:w="996" w:type="pct"/>
            <w:vMerge w:val="restart"/>
          </w:tcPr>
          <w:p w14:paraId="770D8F95" w14:textId="77777777" w:rsidR="009968E0" w:rsidRPr="009968E0" w:rsidRDefault="009968E0" w:rsidP="009968E0">
            <w:pPr>
              <w:jc w:val="center"/>
              <w:rPr>
                <w:rFonts w:asciiTheme="minorHAnsi" w:eastAsia="Times New Roman" w:hAnsiTheme="minorHAnsi" w:cstheme="minorHAnsi"/>
                <w:i/>
                <w:iCs/>
                <w:color w:val="000000"/>
                <w:sz w:val="22"/>
                <w:szCs w:val="22"/>
              </w:rPr>
            </w:pPr>
            <w:r w:rsidRPr="009968E0">
              <w:rPr>
                <w:rFonts w:asciiTheme="minorHAnsi" w:eastAsia="Times New Roman" w:hAnsiTheme="minorHAnsi" w:cstheme="minorHAnsi"/>
                <w:i/>
                <w:iCs/>
                <w:color w:val="000000"/>
                <w:sz w:val="22"/>
                <w:szCs w:val="22"/>
              </w:rPr>
              <w:t>Sig.</w:t>
            </w:r>
          </w:p>
        </w:tc>
      </w:tr>
      <w:tr w:rsidR="009968E0" w:rsidRPr="009968E0" w14:paraId="247B63CC" w14:textId="77777777" w:rsidTr="009968E0">
        <w:trPr>
          <w:gridAfter w:val="1"/>
          <w:cnfStyle w:val="000000100000" w:firstRow="0" w:lastRow="0" w:firstColumn="0" w:lastColumn="0" w:oddVBand="0" w:evenVBand="0" w:oddHBand="1" w:evenHBand="0" w:firstRowFirstColumn="0" w:firstRowLastColumn="0" w:lastRowFirstColumn="0" w:lastRowLastColumn="0"/>
          <w:wAfter w:w="58" w:type="dxa"/>
          <w:trHeight w:val="360"/>
        </w:trPr>
        <w:tc>
          <w:tcPr>
            <w:tcW w:w="2531" w:type="pct"/>
            <w:gridSpan w:val="2"/>
            <w:vMerge/>
          </w:tcPr>
          <w:p w14:paraId="63181431" w14:textId="77777777" w:rsidR="009968E0" w:rsidRPr="009968E0" w:rsidRDefault="009968E0" w:rsidP="009968E0">
            <w:pPr>
              <w:widowControl w:val="0"/>
              <w:pBdr>
                <w:top w:val="nil"/>
                <w:left w:val="nil"/>
                <w:bottom w:val="nil"/>
                <w:right w:val="nil"/>
                <w:between w:val="nil"/>
              </w:pBdr>
              <w:spacing w:line="276" w:lineRule="auto"/>
              <w:rPr>
                <w:rFonts w:asciiTheme="minorHAnsi" w:eastAsia="Times New Roman" w:hAnsiTheme="minorHAnsi" w:cstheme="minorHAnsi"/>
                <w:i/>
                <w:iCs/>
                <w:color w:val="000000"/>
                <w:sz w:val="22"/>
                <w:szCs w:val="22"/>
              </w:rPr>
            </w:pPr>
          </w:p>
        </w:tc>
        <w:tc>
          <w:tcPr>
            <w:tcW w:w="1441" w:type="pct"/>
          </w:tcPr>
          <w:p w14:paraId="2DCB8EE4" w14:textId="77777777" w:rsidR="009968E0" w:rsidRPr="009968E0" w:rsidRDefault="009968E0" w:rsidP="009968E0">
            <w:pPr>
              <w:jc w:val="center"/>
              <w:rPr>
                <w:rFonts w:asciiTheme="minorHAnsi" w:eastAsia="Times New Roman" w:hAnsiTheme="minorHAnsi" w:cstheme="minorHAnsi"/>
                <w:i/>
                <w:iCs/>
                <w:color w:val="000000"/>
                <w:sz w:val="22"/>
                <w:szCs w:val="22"/>
              </w:rPr>
            </w:pPr>
            <w:r w:rsidRPr="009968E0">
              <w:rPr>
                <w:rFonts w:asciiTheme="minorHAnsi" w:eastAsia="Times New Roman" w:hAnsiTheme="minorHAnsi" w:cstheme="minorHAnsi"/>
                <w:i/>
                <w:iCs/>
                <w:color w:val="000000"/>
                <w:sz w:val="22"/>
                <w:szCs w:val="22"/>
              </w:rPr>
              <w:t>Beta</w:t>
            </w:r>
          </w:p>
        </w:tc>
        <w:tc>
          <w:tcPr>
            <w:tcW w:w="996" w:type="pct"/>
            <w:vMerge/>
          </w:tcPr>
          <w:p w14:paraId="75359AAA" w14:textId="77777777" w:rsidR="009968E0" w:rsidRPr="009968E0" w:rsidRDefault="009968E0" w:rsidP="009968E0">
            <w:pPr>
              <w:widowControl w:val="0"/>
              <w:pBdr>
                <w:top w:val="nil"/>
                <w:left w:val="nil"/>
                <w:bottom w:val="nil"/>
                <w:right w:val="nil"/>
                <w:between w:val="nil"/>
              </w:pBdr>
              <w:spacing w:line="276" w:lineRule="auto"/>
              <w:rPr>
                <w:rFonts w:asciiTheme="minorHAnsi" w:eastAsia="Times New Roman" w:hAnsiTheme="minorHAnsi" w:cstheme="minorHAnsi"/>
                <w:i/>
                <w:iCs/>
                <w:color w:val="000000"/>
                <w:sz w:val="22"/>
                <w:szCs w:val="22"/>
              </w:rPr>
            </w:pPr>
          </w:p>
        </w:tc>
      </w:tr>
      <w:tr w:rsidR="009968E0" w:rsidRPr="009968E0" w14:paraId="57D2CF9E" w14:textId="77777777" w:rsidTr="009968E0">
        <w:trPr>
          <w:gridAfter w:val="1"/>
          <w:wAfter w:w="58" w:type="dxa"/>
          <w:trHeight w:val="360"/>
        </w:trPr>
        <w:tc>
          <w:tcPr>
            <w:tcW w:w="644" w:type="pct"/>
          </w:tcPr>
          <w:p w14:paraId="2CB03C49" w14:textId="77777777" w:rsidR="009968E0" w:rsidRPr="009968E0" w:rsidRDefault="009968E0" w:rsidP="009968E0">
            <w:pPr>
              <w:widowControl w:val="0"/>
              <w:pBdr>
                <w:top w:val="nil"/>
                <w:left w:val="nil"/>
                <w:bottom w:val="nil"/>
                <w:right w:val="nil"/>
                <w:between w:val="nil"/>
              </w:pBdr>
              <w:spacing w:line="276" w:lineRule="auto"/>
              <w:rPr>
                <w:rFonts w:asciiTheme="minorHAnsi" w:eastAsia="Times New Roman" w:hAnsiTheme="minorHAnsi" w:cstheme="minorHAnsi"/>
                <w:i/>
                <w:iCs/>
                <w:color w:val="000000"/>
                <w:sz w:val="22"/>
                <w:szCs w:val="22"/>
              </w:rPr>
            </w:pPr>
          </w:p>
        </w:tc>
        <w:tc>
          <w:tcPr>
            <w:tcW w:w="1886" w:type="pct"/>
          </w:tcPr>
          <w:p w14:paraId="000598B0" w14:textId="77777777" w:rsidR="009968E0" w:rsidRPr="009968E0" w:rsidRDefault="009968E0" w:rsidP="009968E0">
            <w:pPr>
              <w:rPr>
                <w:rFonts w:asciiTheme="minorHAnsi" w:eastAsia="Times New Roman" w:hAnsiTheme="minorHAnsi" w:cstheme="minorHAnsi"/>
                <w:i/>
                <w:iCs/>
                <w:color w:val="000000"/>
                <w:sz w:val="22"/>
                <w:szCs w:val="22"/>
              </w:rPr>
            </w:pPr>
            <w:r w:rsidRPr="009968E0">
              <w:rPr>
                <w:rFonts w:asciiTheme="minorHAnsi" w:eastAsia="Times New Roman" w:hAnsiTheme="minorHAnsi" w:cstheme="minorHAnsi"/>
                <w:i/>
                <w:iCs/>
                <w:color w:val="000000"/>
                <w:sz w:val="22"/>
                <w:szCs w:val="22"/>
              </w:rPr>
              <w:t>age</w:t>
            </w:r>
          </w:p>
        </w:tc>
        <w:tc>
          <w:tcPr>
            <w:tcW w:w="1441" w:type="pct"/>
          </w:tcPr>
          <w:p w14:paraId="71BF3515" w14:textId="77777777" w:rsidR="009968E0" w:rsidRPr="009968E0" w:rsidRDefault="009968E0" w:rsidP="009968E0">
            <w:pPr>
              <w:jc w:val="right"/>
              <w:rPr>
                <w:rFonts w:asciiTheme="minorHAnsi" w:eastAsia="Times New Roman" w:hAnsiTheme="minorHAnsi" w:cstheme="minorHAnsi"/>
                <w:i/>
                <w:iCs/>
                <w:color w:val="000000"/>
                <w:sz w:val="22"/>
                <w:szCs w:val="22"/>
              </w:rPr>
            </w:pPr>
            <w:r w:rsidRPr="009968E0">
              <w:rPr>
                <w:rFonts w:asciiTheme="minorHAnsi" w:eastAsia="Times New Roman" w:hAnsiTheme="minorHAnsi" w:cstheme="minorHAnsi"/>
                <w:i/>
                <w:iCs/>
                <w:color w:val="000000"/>
                <w:sz w:val="22"/>
                <w:szCs w:val="22"/>
              </w:rPr>
              <w:t>-.057</w:t>
            </w:r>
          </w:p>
        </w:tc>
        <w:tc>
          <w:tcPr>
            <w:tcW w:w="996" w:type="pct"/>
          </w:tcPr>
          <w:p w14:paraId="4F6459B8" w14:textId="77777777" w:rsidR="009968E0" w:rsidRPr="009968E0" w:rsidRDefault="009968E0" w:rsidP="009968E0">
            <w:pPr>
              <w:jc w:val="right"/>
              <w:rPr>
                <w:rFonts w:asciiTheme="minorHAnsi" w:eastAsia="Times New Roman" w:hAnsiTheme="minorHAnsi" w:cstheme="minorHAnsi"/>
                <w:i/>
                <w:iCs/>
                <w:color w:val="000000"/>
                <w:sz w:val="22"/>
                <w:szCs w:val="22"/>
              </w:rPr>
            </w:pPr>
            <w:r w:rsidRPr="009968E0">
              <w:rPr>
                <w:rFonts w:asciiTheme="minorHAnsi" w:eastAsia="Times New Roman" w:hAnsiTheme="minorHAnsi" w:cstheme="minorHAnsi"/>
                <w:i/>
                <w:iCs/>
                <w:color w:val="000000"/>
                <w:sz w:val="22"/>
                <w:szCs w:val="22"/>
              </w:rPr>
              <w:t>.628</w:t>
            </w:r>
          </w:p>
        </w:tc>
      </w:tr>
      <w:tr w:rsidR="009968E0" w:rsidRPr="009968E0" w14:paraId="1FFA246F" w14:textId="77777777" w:rsidTr="009968E0">
        <w:trPr>
          <w:gridAfter w:val="1"/>
          <w:cnfStyle w:val="000000100000" w:firstRow="0" w:lastRow="0" w:firstColumn="0" w:lastColumn="0" w:oddVBand="0" w:evenVBand="0" w:oddHBand="1" w:evenHBand="0" w:firstRowFirstColumn="0" w:firstRowLastColumn="0" w:lastRowFirstColumn="0" w:lastRowLastColumn="0"/>
          <w:wAfter w:w="58" w:type="dxa"/>
          <w:trHeight w:val="360"/>
        </w:trPr>
        <w:tc>
          <w:tcPr>
            <w:tcW w:w="644" w:type="pct"/>
          </w:tcPr>
          <w:p w14:paraId="4D73D031" w14:textId="77777777" w:rsidR="009968E0" w:rsidRPr="009968E0" w:rsidRDefault="009968E0" w:rsidP="009968E0">
            <w:pPr>
              <w:rPr>
                <w:rFonts w:asciiTheme="minorHAnsi" w:eastAsia="Times New Roman" w:hAnsiTheme="minorHAnsi" w:cstheme="minorHAnsi"/>
                <w:i/>
                <w:iCs/>
                <w:color w:val="000000"/>
                <w:sz w:val="22"/>
                <w:szCs w:val="22"/>
              </w:rPr>
            </w:pPr>
            <w:r w:rsidRPr="009968E0">
              <w:rPr>
                <w:rFonts w:asciiTheme="minorHAnsi" w:eastAsia="Times New Roman" w:hAnsiTheme="minorHAnsi" w:cstheme="minorHAnsi"/>
                <w:i/>
                <w:iCs/>
                <w:color w:val="000000"/>
                <w:sz w:val="22"/>
                <w:szCs w:val="22"/>
              </w:rPr>
              <w:t> </w:t>
            </w:r>
          </w:p>
        </w:tc>
        <w:tc>
          <w:tcPr>
            <w:tcW w:w="1886" w:type="pct"/>
          </w:tcPr>
          <w:p w14:paraId="6F06C1F0" w14:textId="77777777" w:rsidR="009968E0" w:rsidRPr="009968E0" w:rsidRDefault="009968E0" w:rsidP="009968E0">
            <w:pPr>
              <w:rPr>
                <w:rFonts w:asciiTheme="minorHAnsi" w:eastAsia="Times New Roman" w:hAnsiTheme="minorHAnsi" w:cstheme="minorHAnsi"/>
                <w:i/>
                <w:iCs/>
                <w:color w:val="000000"/>
                <w:sz w:val="22"/>
                <w:szCs w:val="22"/>
              </w:rPr>
            </w:pPr>
            <w:r w:rsidRPr="009968E0">
              <w:rPr>
                <w:rFonts w:asciiTheme="minorHAnsi" w:eastAsia="Times New Roman" w:hAnsiTheme="minorHAnsi" w:cstheme="minorHAnsi"/>
                <w:i/>
                <w:iCs/>
                <w:color w:val="000000"/>
                <w:sz w:val="22"/>
                <w:szCs w:val="22"/>
              </w:rPr>
              <w:t>BMI</w:t>
            </w:r>
          </w:p>
        </w:tc>
        <w:tc>
          <w:tcPr>
            <w:tcW w:w="1441" w:type="pct"/>
          </w:tcPr>
          <w:p w14:paraId="714B01BB" w14:textId="77777777" w:rsidR="009968E0" w:rsidRPr="009968E0" w:rsidRDefault="009968E0" w:rsidP="009968E0">
            <w:pPr>
              <w:jc w:val="right"/>
              <w:rPr>
                <w:rFonts w:asciiTheme="minorHAnsi" w:eastAsia="Times New Roman" w:hAnsiTheme="minorHAnsi" w:cstheme="minorHAnsi"/>
                <w:i/>
                <w:iCs/>
                <w:color w:val="000000"/>
                <w:sz w:val="22"/>
                <w:szCs w:val="22"/>
              </w:rPr>
            </w:pPr>
            <w:r w:rsidRPr="009968E0">
              <w:rPr>
                <w:rFonts w:asciiTheme="minorHAnsi" w:eastAsia="Times New Roman" w:hAnsiTheme="minorHAnsi" w:cstheme="minorHAnsi"/>
                <w:i/>
                <w:iCs/>
                <w:color w:val="000000"/>
                <w:sz w:val="22"/>
                <w:szCs w:val="22"/>
              </w:rPr>
              <w:t>.040</w:t>
            </w:r>
          </w:p>
        </w:tc>
        <w:tc>
          <w:tcPr>
            <w:tcW w:w="996" w:type="pct"/>
          </w:tcPr>
          <w:p w14:paraId="658E525A" w14:textId="77777777" w:rsidR="009968E0" w:rsidRPr="009968E0" w:rsidRDefault="009968E0" w:rsidP="009968E0">
            <w:pPr>
              <w:jc w:val="right"/>
              <w:rPr>
                <w:rFonts w:asciiTheme="minorHAnsi" w:eastAsia="Times New Roman" w:hAnsiTheme="minorHAnsi" w:cstheme="minorHAnsi"/>
                <w:i/>
                <w:iCs/>
                <w:color w:val="000000"/>
                <w:sz w:val="22"/>
                <w:szCs w:val="22"/>
              </w:rPr>
            </w:pPr>
            <w:r w:rsidRPr="009968E0">
              <w:rPr>
                <w:rFonts w:asciiTheme="minorHAnsi" w:eastAsia="Times New Roman" w:hAnsiTheme="minorHAnsi" w:cstheme="minorHAnsi"/>
                <w:i/>
                <w:iCs/>
                <w:color w:val="000000"/>
                <w:sz w:val="22"/>
                <w:szCs w:val="22"/>
              </w:rPr>
              <w:t>.736</w:t>
            </w:r>
          </w:p>
        </w:tc>
      </w:tr>
      <w:tr w:rsidR="009968E0" w:rsidRPr="009968E0" w14:paraId="42B446F9" w14:textId="77777777" w:rsidTr="009968E0">
        <w:trPr>
          <w:gridAfter w:val="1"/>
          <w:wAfter w:w="58" w:type="dxa"/>
          <w:trHeight w:val="360"/>
        </w:trPr>
        <w:tc>
          <w:tcPr>
            <w:tcW w:w="644" w:type="pct"/>
          </w:tcPr>
          <w:p w14:paraId="5A5472B7" w14:textId="77777777" w:rsidR="009968E0" w:rsidRPr="009968E0" w:rsidRDefault="009968E0" w:rsidP="009968E0">
            <w:pPr>
              <w:rPr>
                <w:rFonts w:asciiTheme="minorHAnsi" w:eastAsia="Times New Roman" w:hAnsiTheme="minorHAnsi" w:cstheme="minorHAnsi"/>
                <w:i/>
                <w:iCs/>
                <w:color w:val="000000"/>
                <w:sz w:val="22"/>
                <w:szCs w:val="22"/>
              </w:rPr>
            </w:pPr>
            <w:r w:rsidRPr="009968E0">
              <w:rPr>
                <w:rFonts w:asciiTheme="minorHAnsi" w:eastAsia="Times New Roman" w:hAnsiTheme="minorHAnsi" w:cstheme="minorHAnsi"/>
                <w:i/>
                <w:iCs/>
                <w:color w:val="000000"/>
                <w:sz w:val="22"/>
                <w:szCs w:val="22"/>
              </w:rPr>
              <w:t> </w:t>
            </w:r>
          </w:p>
        </w:tc>
        <w:tc>
          <w:tcPr>
            <w:tcW w:w="1886" w:type="pct"/>
          </w:tcPr>
          <w:p w14:paraId="74C1BFC0" w14:textId="7B94DB08" w:rsidR="009968E0" w:rsidRPr="009968E0" w:rsidRDefault="00233478" w:rsidP="009968E0">
            <w:pPr>
              <w:rPr>
                <w:rFonts w:asciiTheme="minorHAnsi" w:eastAsia="Times New Roman" w:hAnsiTheme="minorHAnsi" w:cstheme="minorHAnsi"/>
                <w:i/>
                <w:iCs/>
                <w:color w:val="000000"/>
                <w:sz w:val="22"/>
                <w:szCs w:val="22"/>
              </w:rPr>
            </w:pPr>
            <w:r>
              <w:rPr>
                <w:rFonts w:asciiTheme="minorHAnsi" w:eastAsia="Times New Roman" w:hAnsiTheme="minorHAnsi" w:cstheme="minorHAnsi"/>
                <w:i/>
                <w:iCs/>
                <w:color w:val="000000"/>
                <w:sz w:val="22"/>
                <w:szCs w:val="22"/>
              </w:rPr>
              <w:t>eGFR</w:t>
            </w:r>
          </w:p>
        </w:tc>
        <w:tc>
          <w:tcPr>
            <w:tcW w:w="1441" w:type="pct"/>
          </w:tcPr>
          <w:p w14:paraId="47E630D2" w14:textId="77777777" w:rsidR="009968E0" w:rsidRPr="009968E0" w:rsidRDefault="009968E0" w:rsidP="009968E0">
            <w:pPr>
              <w:jc w:val="right"/>
              <w:rPr>
                <w:rFonts w:asciiTheme="minorHAnsi" w:eastAsia="Times New Roman" w:hAnsiTheme="minorHAnsi" w:cstheme="minorHAnsi"/>
                <w:i/>
                <w:iCs/>
                <w:color w:val="000000"/>
                <w:sz w:val="22"/>
                <w:szCs w:val="22"/>
              </w:rPr>
            </w:pPr>
            <w:r w:rsidRPr="009968E0">
              <w:rPr>
                <w:rFonts w:asciiTheme="minorHAnsi" w:eastAsia="Times New Roman" w:hAnsiTheme="minorHAnsi" w:cstheme="minorHAnsi"/>
                <w:i/>
                <w:iCs/>
                <w:color w:val="000000"/>
                <w:sz w:val="22"/>
                <w:szCs w:val="22"/>
              </w:rPr>
              <w:t>.201</w:t>
            </w:r>
          </w:p>
        </w:tc>
        <w:tc>
          <w:tcPr>
            <w:tcW w:w="996" w:type="pct"/>
          </w:tcPr>
          <w:p w14:paraId="64EBBCBB" w14:textId="77777777" w:rsidR="009968E0" w:rsidRPr="009968E0" w:rsidRDefault="009968E0" w:rsidP="009968E0">
            <w:pPr>
              <w:jc w:val="right"/>
              <w:rPr>
                <w:rFonts w:asciiTheme="minorHAnsi" w:eastAsia="Times New Roman" w:hAnsiTheme="minorHAnsi" w:cstheme="minorHAnsi"/>
                <w:i/>
                <w:iCs/>
                <w:color w:val="000000"/>
                <w:sz w:val="22"/>
                <w:szCs w:val="22"/>
              </w:rPr>
            </w:pPr>
            <w:r w:rsidRPr="009968E0">
              <w:rPr>
                <w:rFonts w:asciiTheme="minorHAnsi" w:eastAsia="Times New Roman" w:hAnsiTheme="minorHAnsi" w:cstheme="minorHAnsi"/>
                <w:i/>
                <w:iCs/>
                <w:color w:val="000000"/>
                <w:sz w:val="22"/>
                <w:szCs w:val="22"/>
              </w:rPr>
              <w:t>.083</w:t>
            </w:r>
          </w:p>
        </w:tc>
      </w:tr>
      <w:tr w:rsidR="009968E0" w:rsidRPr="009968E0" w14:paraId="1DE2C280" w14:textId="77777777" w:rsidTr="009968E0">
        <w:trPr>
          <w:gridAfter w:val="1"/>
          <w:cnfStyle w:val="000000100000" w:firstRow="0" w:lastRow="0" w:firstColumn="0" w:lastColumn="0" w:oddVBand="0" w:evenVBand="0" w:oddHBand="1" w:evenHBand="0" w:firstRowFirstColumn="0" w:firstRowLastColumn="0" w:lastRowFirstColumn="0" w:lastRowLastColumn="0"/>
          <w:wAfter w:w="58" w:type="dxa"/>
          <w:trHeight w:val="360"/>
        </w:trPr>
        <w:tc>
          <w:tcPr>
            <w:tcW w:w="644" w:type="pct"/>
          </w:tcPr>
          <w:p w14:paraId="19138DA9" w14:textId="77777777" w:rsidR="009968E0" w:rsidRPr="009968E0" w:rsidRDefault="009968E0" w:rsidP="009968E0">
            <w:pPr>
              <w:rPr>
                <w:rFonts w:asciiTheme="minorHAnsi" w:eastAsia="Times New Roman" w:hAnsiTheme="minorHAnsi" w:cstheme="minorHAnsi"/>
                <w:i/>
                <w:iCs/>
                <w:color w:val="000000"/>
                <w:sz w:val="22"/>
                <w:szCs w:val="22"/>
              </w:rPr>
            </w:pPr>
            <w:r w:rsidRPr="009968E0">
              <w:rPr>
                <w:rFonts w:asciiTheme="minorHAnsi" w:eastAsia="Times New Roman" w:hAnsiTheme="minorHAnsi" w:cstheme="minorHAnsi"/>
                <w:i/>
                <w:iCs/>
                <w:color w:val="000000"/>
                <w:sz w:val="22"/>
                <w:szCs w:val="22"/>
              </w:rPr>
              <w:t> </w:t>
            </w:r>
          </w:p>
        </w:tc>
        <w:tc>
          <w:tcPr>
            <w:tcW w:w="1886" w:type="pct"/>
          </w:tcPr>
          <w:p w14:paraId="1E2E3FA6" w14:textId="77777777" w:rsidR="009968E0" w:rsidRPr="009968E0" w:rsidRDefault="009968E0" w:rsidP="009968E0">
            <w:pPr>
              <w:rPr>
                <w:rFonts w:asciiTheme="minorHAnsi" w:eastAsia="Times New Roman" w:hAnsiTheme="minorHAnsi" w:cstheme="minorHAnsi"/>
                <w:i/>
                <w:iCs/>
                <w:color w:val="000000"/>
                <w:sz w:val="22"/>
                <w:szCs w:val="22"/>
              </w:rPr>
            </w:pPr>
            <w:r w:rsidRPr="009968E0">
              <w:rPr>
                <w:rFonts w:asciiTheme="minorHAnsi" w:eastAsia="Times New Roman" w:hAnsiTheme="minorHAnsi" w:cstheme="minorHAnsi"/>
                <w:i/>
                <w:iCs/>
                <w:color w:val="000000"/>
                <w:sz w:val="22"/>
                <w:szCs w:val="22"/>
              </w:rPr>
              <w:t>Hba1c</w:t>
            </w:r>
          </w:p>
        </w:tc>
        <w:tc>
          <w:tcPr>
            <w:tcW w:w="1441" w:type="pct"/>
          </w:tcPr>
          <w:p w14:paraId="6F4C8012" w14:textId="77777777" w:rsidR="009968E0" w:rsidRPr="009968E0" w:rsidRDefault="009968E0" w:rsidP="009968E0">
            <w:pPr>
              <w:jc w:val="right"/>
              <w:rPr>
                <w:rFonts w:asciiTheme="minorHAnsi" w:eastAsia="Times New Roman" w:hAnsiTheme="minorHAnsi" w:cstheme="minorHAnsi"/>
                <w:i/>
                <w:iCs/>
                <w:color w:val="000000"/>
                <w:sz w:val="22"/>
                <w:szCs w:val="22"/>
              </w:rPr>
            </w:pPr>
            <w:r w:rsidRPr="009968E0">
              <w:rPr>
                <w:rFonts w:asciiTheme="minorHAnsi" w:eastAsia="Times New Roman" w:hAnsiTheme="minorHAnsi" w:cstheme="minorHAnsi"/>
                <w:i/>
                <w:iCs/>
                <w:color w:val="000000"/>
                <w:sz w:val="22"/>
                <w:szCs w:val="22"/>
              </w:rPr>
              <w:t>.152</w:t>
            </w:r>
          </w:p>
        </w:tc>
        <w:tc>
          <w:tcPr>
            <w:tcW w:w="996" w:type="pct"/>
          </w:tcPr>
          <w:p w14:paraId="64DA184A" w14:textId="77777777" w:rsidR="009968E0" w:rsidRPr="009968E0" w:rsidRDefault="009968E0" w:rsidP="009968E0">
            <w:pPr>
              <w:jc w:val="right"/>
              <w:rPr>
                <w:rFonts w:asciiTheme="minorHAnsi" w:eastAsia="Times New Roman" w:hAnsiTheme="minorHAnsi" w:cstheme="minorHAnsi"/>
                <w:i/>
                <w:iCs/>
                <w:color w:val="000000"/>
                <w:sz w:val="22"/>
                <w:szCs w:val="22"/>
              </w:rPr>
            </w:pPr>
            <w:r w:rsidRPr="009968E0">
              <w:rPr>
                <w:rFonts w:asciiTheme="minorHAnsi" w:eastAsia="Times New Roman" w:hAnsiTheme="minorHAnsi" w:cstheme="minorHAnsi"/>
                <w:i/>
                <w:iCs/>
                <w:color w:val="000000"/>
                <w:sz w:val="22"/>
                <w:szCs w:val="22"/>
              </w:rPr>
              <w:t>.264</w:t>
            </w:r>
          </w:p>
        </w:tc>
      </w:tr>
      <w:tr w:rsidR="009968E0" w:rsidRPr="009968E0" w14:paraId="6C41EC16" w14:textId="77777777" w:rsidTr="009968E0">
        <w:trPr>
          <w:gridAfter w:val="1"/>
          <w:wAfter w:w="58" w:type="dxa"/>
          <w:trHeight w:val="360"/>
        </w:trPr>
        <w:tc>
          <w:tcPr>
            <w:tcW w:w="644" w:type="pct"/>
          </w:tcPr>
          <w:p w14:paraId="1F4C6665" w14:textId="77777777" w:rsidR="009968E0" w:rsidRPr="009968E0" w:rsidRDefault="009968E0" w:rsidP="009968E0">
            <w:pPr>
              <w:rPr>
                <w:rFonts w:asciiTheme="minorHAnsi" w:eastAsia="Times New Roman" w:hAnsiTheme="minorHAnsi" w:cstheme="minorHAnsi"/>
                <w:i/>
                <w:iCs/>
                <w:color w:val="000000"/>
                <w:sz w:val="22"/>
                <w:szCs w:val="22"/>
              </w:rPr>
            </w:pPr>
            <w:r w:rsidRPr="009968E0">
              <w:rPr>
                <w:rFonts w:asciiTheme="minorHAnsi" w:eastAsia="Times New Roman" w:hAnsiTheme="minorHAnsi" w:cstheme="minorHAnsi"/>
                <w:i/>
                <w:iCs/>
                <w:color w:val="000000"/>
                <w:sz w:val="22"/>
                <w:szCs w:val="22"/>
              </w:rPr>
              <w:t> </w:t>
            </w:r>
          </w:p>
        </w:tc>
        <w:tc>
          <w:tcPr>
            <w:tcW w:w="1886" w:type="pct"/>
          </w:tcPr>
          <w:p w14:paraId="5100E584" w14:textId="77777777" w:rsidR="009968E0" w:rsidRPr="009968E0" w:rsidRDefault="009968E0" w:rsidP="009968E0">
            <w:pPr>
              <w:rPr>
                <w:rFonts w:asciiTheme="minorHAnsi" w:eastAsia="Times New Roman" w:hAnsiTheme="minorHAnsi" w:cstheme="minorHAnsi"/>
                <w:i/>
                <w:iCs/>
                <w:color w:val="000000"/>
                <w:sz w:val="22"/>
                <w:szCs w:val="22"/>
              </w:rPr>
            </w:pPr>
            <w:r w:rsidRPr="009968E0">
              <w:rPr>
                <w:rFonts w:asciiTheme="minorHAnsi" w:eastAsia="Times New Roman" w:hAnsiTheme="minorHAnsi" w:cstheme="minorHAnsi"/>
                <w:i/>
                <w:iCs/>
                <w:color w:val="000000"/>
                <w:sz w:val="22"/>
                <w:szCs w:val="22"/>
              </w:rPr>
              <w:t>pulse</w:t>
            </w:r>
          </w:p>
        </w:tc>
        <w:tc>
          <w:tcPr>
            <w:tcW w:w="1441" w:type="pct"/>
          </w:tcPr>
          <w:p w14:paraId="2A71D4F7" w14:textId="77777777" w:rsidR="009968E0" w:rsidRPr="009968E0" w:rsidRDefault="009968E0" w:rsidP="009968E0">
            <w:pPr>
              <w:jc w:val="right"/>
              <w:rPr>
                <w:rFonts w:asciiTheme="minorHAnsi" w:eastAsia="Times New Roman" w:hAnsiTheme="minorHAnsi" w:cstheme="minorHAnsi"/>
                <w:i/>
                <w:iCs/>
                <w:color w:val="000000"/>
                <w:sz w:val="22"/>
                <w:szCs w:val="22"/>
              </w:rPr>
            </w:pPr>
            <w:r w:rsidRPr="009968E0">
              <w:rPr>
                <w:rFonts w:asciiTheme="minorHAnsi" w:eastAsia="Times New Roman" w:hAnsiTheme="minorHAnsi" w:cstheme="minorHAnsi"/>
                <w:i/>
                <w:iCs/>
                <w:color w:val="000000"/>
                <w:sz w:val="22"/>
                <w:szCs w:val="22"/>
              </w:rPr>
              <w:t>.026</w:t>
            </w:r>
          </w:p>
        </w:tc>
        <w:tc>
          <w:tcPr>
            <w:tcW w:w="996" w:type="pct"/>
          </w:tcPr>
          <w:p w14:paraId="6C03E3AA" w14:textId="77777777" w:rsidR="009968E0" w:rsidRPr="009968E0" w:rsidRDefault="009968E0" w:rsidP="009968E0">
            <w:pPr>
              <w:jc w:val="right"/>
              <w:rPr>
                <w:rFonts w:asciiTheme="minorHAnsi" w:eastAsia="Times New Roman" w:hAnsiTheme="minorHAnsi" w:cstheme="minorHAnsi"/>
                <w:i/>
                <w:iCs/>
                <w:color w:val="000000"/>
                <w:sz w:val="22"/>
                <w:szCs w:val="22"/>
              </w:rPr>
            </w:pPr>
            <w:r w:rsidRPr="009968E0">
              <w:rPr>
                <w:rFonts w:asciiTheme="minorHAnsi" w:eastAsia="Times New Roman" w:hAnsiTheme="minorHAnsi" w:cstheme="minorHAnsi"/>
                <w:i/>
                <w:iCs/>
                <w:color w:val="000000"/>
                <w:sz w:val="22"/>
                <w:szCs w:val="22"/>
              </w:rPr>
              <w:t>.825</w:t>
            </w:r>
          </w:p>
        </w:tc>
      </w:tr>
      <w:tr w:rsidR="009968E0" w:rsidRPr="009968E0" w14:paraId="6F27B2C4" w14:textId="77777777" w:rsidTr="009968E0">
        <w:trPr>
          <w:gridAfter w:val="1"/>
          <w:cnfStyle w:val="000000100000" w:firstRow="0" w:lastRow="0" w:firstColumn="0" w:lastColumn="0" w:oddVBand="0" w:evenVBand="0" w:oddHBand="1" w:evenHBand="0" w:firstRowFirstColumn="0" w:firstRowLastColumn="0" w:lastRowFirstColumn="0" w:lastRowLastColumn="0"/>
          <w:wAfter w:w="58" w:type="dxa"/>
          <w:trHeight w:val="360"/>
        </w:trPr>
        <w:tc>
          <w:tcPr>
            <w:tcW w:w="644" w:type="pct"/>
          </w:tcPr>
          <w:p w14:paraId="380B0799" w14:textId="77777777" w:rsidR="009968E0" w:rsidRPr="009968E0" w:rsidRDefault="009968E0" w:rsidP="009968E0">
            <w:pPr>
              <w:rPr>
                <w:rFonts w:asciiTheme="minorHAnsi" w:eastAsia="Times New Roman" w:hAnsiTheme="minorHAnsi" w:cstheme="minorHAnsi"/>
                <w:i/>
                <w:iCs/>
                <w:color w:val="000000"/>
                <w:sz w:val="22"/>
                <w:szCs w:val="22"/>
              </w:rPr>
            </w:pPr>
            <w:r w:rsidRPr="009968E0">
              <w:rPr>
                <w:rFonts w:asciiTheme="minorHAnsi" w:eastAsia="Times New Roman" w:hAnsiTheme="minorHAnsi" w:cstheme="minorHAnsi"/>
                <w:i/>
                <w:iCs/>
                <w:color w:val="000000"/>
                <w:sz w:val="22"/>
                <w:szCs w:val="22"/>
              </w:rPr>
              <w:t> </w:t>
            </w:r>
          </w:p>
        </w:tc>
        <w:tc>
          <w:tcPr>
            <w:tcW w:w="1886" w:type="pct"/>
          </w:tcPr>
          <w:p w14:paraId="1A2F38F3" w14:textId="77777777" w:rsidR="009968E0" w:rsidRPr="009968E0" w:rsidRDefault="009968E0" w:rsidP="009968E0">
            <w:pPr>
              <w:rPr>
                <w:rFonts w:asciiTheme="minorHAnsi" w:eastAsia="Times New Roman" w:hAnsiTheme="minorHAnsi" w:cstheme="minorHAnsi"/>
                <w:i/>
                <w:iCs/>
                <w:color w:val="000000"/>
                <w:sz w:val="22"/>
                <w:szCs w:val="22"/>
              </w:rPr>
            </w:pPr>
            <w:r w:rsidRPr="009968E0">
              <w:rPr>
                <w:rFonts w:asciiTheme="minorHAnsi" w:eastAsia="Times New Roman" w:hAnsiTheme="minorHAnsi" w:cstheme="minorHAnsi"/>
                <w:i/>
                <w:iCs/>
                <w:color w:val="000000"/>
                <w:sz w:val="22"/>
                <w:szCs w:val="22"/>
              </w:rPr>
              <w:t>blood pressure systolic</w:t>
            </w:r>
          </w:p>
        </w:tc>
        <w:tc>
          <w:tcPr>
            <w:tcW w:w="1441" w:type="pct"/>
          </w:tcPr>
          <w:p w14:paraId="20A876E1" w14:textId="77777777" w:rsidR="009968E0" w:rsidRPr="009968E0" w:rsidRDefault="009968E0" w:rsidP="009968E0">
            <w:pPr>
              <w:jc w:val="right"/>
              <w:rPr>
                <w:rFonts w:asciiTheme="minorHAnsi" w:eastAsia="Times New Roman" w:hAnsiTheme="minorHAnsi" w:cstheme="minorHAnsi"/>
                <w:i/>
                <w:iCs/>
                <w:color w:val="000000"/>
                <w:sz w:val="22"/>
                <w:szCs w:val="22"/>
              </w:rPr>
            </w:pPr>
            <w:r w:rsidRPr="009968E0">
              <w:rPr>
                <w:rFonts w:asciiTheme="minorHAnsi" w:eastAsia="Times New Roman" w:hAnsiTheme="minorHAnsi" w:cstheme="minorHAnsi"/>
                <w:i/>
                <w:iCs/>
                <w:color w:val="000000"/>
                <w:sz w:val="22"/>
                <w:szCs w:val="22"/>
              </w:rPr>
              <w:t>-.189</w:t>
            </w:r>
          </w:p>
        </w:tc>
        <w:tc>
          <w:tcPr>
            <w:tcW w:w="996" w:type="pct"/>
          </w:tcPr>
          <w:p w14:paraId="79E55CD8" w14:textId="77777777" w:rsidR="009968E0" w:rsidRPr="009968E0" w:rsidRDefault="009968E0" w:rsidP="009968E0">
            <w:pPr>
              <w:jc w:val="right"/>
              <w:rPr>
                <w:rFonts w:asciiTheme="minorHAnsi" w:eastAsia="Times New Roman" w:hAnsiTheme="minorHAnsi" w:cstheme="minorHAnsi"/>
                <w:i/>
                <w:iCs/>
                <w:color w:val="000000"/>
                <w:sz w:val="22"/>
                <w:szCs w:val="22"/>
              </w:rPr>
            </w:pPr>
            <w:r w:rsidRPr="009968E0">
              <w:rPr>
                <w:rFonts w:asciiTheme="minorHAnsi" w:eastAsia="Times New Roman" w:hAnsiTheme="minorHAnsi" w:cstheme="minorHAnsi"/>
                <w:i/>
                <w:iCs/>
                <w:color w:val="000000"/>
                <w:sz w:val="22"/>
                <w:szCs w:val="22"/>
              </w:rPr>
              <w:t>.104</w:t>
            </w:r>
          </w:p>
        </w:tc>
      </w:tr>
      <w:tr w:rsidR="009968E0" w:rsidRPr="009968E0" w14:paraId="36CFD74A" w14:textId="77777777" w:rsidTr="009968E0">
        <w:trPr>
          <w:gridAfter w:val="1"/>
          <w:wAfter w:w="58" w:type="dxa"/>
          <w:trHeight w:val="360"/>
        </w:trPr>
        <w:tc>
          <w:tcPr>
            <w:tcW w:w="644" w:type="pct"/>
          </w:tcPr>
          <w:p w14:paraId="61020369" w14:textId="77777777" w:rsidR="009968E0" w:rsidRPr="009968E0" w:rsidRDefault="009968E0" w:rsidP="009968E0">
            <w:pPr>
              <w:rPr>
                <w:rFonts w:asciiTheme="minorHAnsi" w:eastAsia="Times New Roman" w:hAnsiTheme="minorHAnsi" w:cstheme="minorHAnsi"/>
                <w:i/>
                <w:iCs/>
                <w:color w:val="000000"/>
                <w:sz w:val="22"/>
                <w:szCs w:val="22"/>
              </w:rPr>
            </w:pPr>
            <w:r w:rsidRPr="009968E0">
              <w:rPr>
                <w:rFonts w:asciiTheme="minorHAnsi" w:eastAsia="Times New Roman" w:hAnsiTheme="minorHAnsi" w:cstheme="minorHAnsi"/>
                <w:i/>
                <w:iCs/>
                <w:color w:val="000000"/>
                <w:sz w:val="22"/>
                <w:szCs w:val="22"/>
              </w:rPr>
              <w:t> </w:t>
            </w:r>
          </w:p>
        </w:tc>
        <w:tc>
          <w:tcPr>
            <w:tcW w:w="1886" w:type="pct"/>
          </w:tcPr>
          <w:p w14:paraId="2549B6E0" w14:textId="77777777" w:rsidR="009968E0" w:rsidRPr="009968E0" w:rsidRDefault="009968E0" w:rsidP="009968E0">
            <w:pPr>
              <w:rPr>
                <w:rFonts w:asciiTheme="minorHAnsi" w:eastAsia="Times New Roman" w:hAnsiTheme="minorHAnsi" w:cstheme="minorHAnsi"/>
                <w:i/>
                <w:iCs/>
                <w:color w:val="000000"/>
                <w:sz w:val="22"/>
                <w:szCs w:val="22"/>
              </w:rPr>
            </w:pPr>
            <w:r w:rsidRPr="009968E0">
              <w:rPr>
                <w:rFonts w:asciiTheme="minorHAnsi" w:eastAsia="Times New Roman" w:hAnsiTheme="minorHAnsi" w:cstheme="minorHAnsi"/>
                <w:i/>
                <w:iCs/>
                <w:color w:val="000000"/>
                <w:sz w:val="22"/>
                <w:szCs w:val="22"/>
              </w:rPr>
              <w:t xml:space="preserve">blood </w:t>
            </w:r>
            <w:r w:rsidRPr="009968E0">
              <w:rPr>
                <w:rFonts w:asciiTheme="minorHAnsi" w:eastAsia="Arial" w:hAnsiTheme="minorHAnsi" w:cstheme="minorHAnsi"/>
                <w:i/>
                <w:iCs/>
                <w:color w:val="000000"/>
                <w:sz w:val="22"/>
                <w:szCs w:val="22"/>
              </w:rPr>
              <w:t>pressure</w:t>
            </w:r>
            <w:r w:rsidRPr="009968E0">
              <w:rPr>
                <w:rFonts w:asciiTheme="minorHAnsi" w:eastAsia="Times New Roman" w:hAnsiTheme="minorHAnsi" w:cstheme="minorHAnsi"/>
                <w:i/>
                <w:iCs/>
                <w:color w:val="000000"/>
                <w:sz w:val="22"/>
                <w:szCs w:val="22"/>
              </w:rPr>
              <w:t xml:space="preserve"> diastolic</w:t>
            </w:r>
          </w:p>
        </w:tc>
        <w:tc>
          <w:tcPr>
            <w:tcW w:w="1441" w:type="pct"/>
          </w:tcPr>
          <w:p w14:paraId="17F98027" w14:textId="77777777" w:rsidR="009968E0" w:rsidRPr="009968E0" w:rsidRDefault="009968E0" w:rsidP="009968E0">
            <w:pPr>
              <w:jc w:val="right"/>
              <w:rPr>
                <w:rFonts w:asciiTheme="minorHAnsi" w:eastAsia="Times New Roman" w:hAnsiTheme="minorHAnsi" w:cstheme="minorHAnsi"/>
                <w:i/>
                <w:iCs/>
                <w:color w:val="000000"/>
                <w:sz w:val="22"/>
                <w:szCs w:val="22"/>
              </w:rPr>
            </w:pPr>
            <w:r w:rsidRPr="009968E0">
              <w:rPr>
                <w:rFonts w:asciiTheme="minorHAnsi" w:eastAsia="Times New Roman" w:hAnsiTheme="minorHAnsi" w:cstheme="minorHAnsi"/>
                <w:i/>
                <w:iCs/>
                <w:color w:val="000000"/>
                <w:sz w:val="22"/>
                <w:szCs w:val="22"/>
              </w:rPr>
              <w:t>.239</w:t>
            </w:r>
          </w:p>
        </w:tc>
        <w:tc>
          <w:tcPr>
            <w:tcW w:w="996" w:type="pct"/>
          </w:tcPr>
          <w:p w14:paraId="59B6044D" w14:textId="77777777" w:rsidR="009968E0" w:rsidRPr="009968E0" w:rsidRDefault="009968E0" w:rsidP="009968E0">
            <w:pPr>
              <w:jc w:val="right"/>
              <w:rPr>
                <w:rFonts w:asciiTheme="minorHAnsi" w:eastAsia="Times New Roman" w:hAnsiTheme="minorHAnsi" w:cstheme="minorHAnsi"/>
                <w:i/>
                <w:iCs/>
                <w:color w:val="000000"/>
                <w:sz w:val="22"/>
                <w:szCs w:val="22"/>
              </w:rPr>
            </w:pPr>
            <w:r w:rsidRPr="009968E0">
              <w:rPr>
                <w:rFonts w:asciiTheme="minorHAnsi" w:eastAsia="Times New Roman" w:hAnsiTheme="minorHAnsi" w:cstheme="minorHAnsi"/>
                <w:i/>
                <w:iCs/>
                <w:color w:val="000000"/>
                <w:sz w:val="22"/>
                <w:szCs w:val="22"/>
              </w:rPr>
              <w:t>.039</w:t>
            </w:r>
            <w:r w:rsidRPr="009968E0">
              <w:rPr>
                <w:rFonts w:asciiTheme="minorHAnsi" w:eastAsia="Times New Roman" w:hAnsiTheme="minorHAnsi" w:cstheme="minorHAnsi"/>
                <w:i/>
                <w:iCs/>
                <w:color w:val="000000"/>
                <w:sz w:val="22"/>
                <w:szCs w:val="22"/>
                <w:vertAlign w:val="superscript"/>
              </w:rPr>
              <w:t>a</w:t>
            </w:r>
          </w:p>
        </w:tc>
      </w:tr>
      <w:tr w:rsidR="009968E0" w:rsidRPr="009968E0" w14:paraId="42D7AC39" w14:textId="77777777" w:rsidTr="009968E0">
        <w:trPr>
          <w:gridAfter w:val="1"/>
          <w:cnfStyle w:val="000000100000" w:firstRow="0" w:lastRow="0" w:firstColumn="0" w:lastColumn="0" w:oddVBand="0" w:evenVBand="0" w:oddHBand="1" w:evenHBand="0" w:firstRowFirstColumn="0" w:firstRowLastColumn="0" w:lastRowFirstColumn="0" w:lastRowLastColumn="0"/>
          <w:wAfter w:w="58" w:type="dxa"/>
          <w:trHeight w:val="360"/>
        </w:trPr>
        <w:tc>
          <w:tcPr>
            <w:tcW w:w="644" w:type="pct"/>
          </w:tcPr>
          <w:p w14:paraId="5E82F923" w14:textId="77777777" w:rsidR="009968E0" w:rsidRPr="009968E0" w:rsidRDefault="009968E0" w:rsidP="009968E0">
            <w:pPr>
              <w:rPr>
                <w:rFonts w:asciiTheme="minorHAnsi" w:eastAsia="Times New Roman" w:hAnsiTheme="minorHAnsi" w:cstheme="minorHAnsi"/>
                <w:i/>
                <w:iCs/>
                <w:color w:val="000000"/>
                <w:sz w:val="22"/>
                <w:szCs w:val="22"/>
              </w:rPr>
            </w:pPr>
            <w:r w:rsidRPr="009968E0">
              <w:rPr>
                <w:rFonts w:asciiTheme="minorHAnsi" w:eastAsia="Times New Roman" w:hAnsiTheme="minorHAnsi" w:cstheme="minorHAnsi"/>
                <w:i/>
                <w:iCs/>
                <w:color w:val="000000"/>
                <w:sz w:val="22"/>
                <w:szCs w:val="22"/>
              </w:rPr>
              <w:t> </w:t>
            </w:r>
          </w:p>
        </w:tc>
        <w:tc>
          <w:tcPr>
            <w:tcW w:w="1886" w:type="pct"/>
          </w:tcPr>
          <w:p w14:paraId="619CA9F3" w14:textId="77777777" w:rsidR="009968E0" w:rsidRPr="009968E0" w:rsidRDefault="009968E0" w:rsidP="009968E0">
            <w:pPr>
              <w:rPr>
                <w:rFonts w:asciiTheme="minorHAnsi" w:eastAsia="Times New Roman" w:hAnsiTheme="minorHAnsi" w:cstheme="minorHAnsi"/>
                <w:i/>
                <w:iCs/>
                <w:color w:val="000000"/>
                <w:sz w:val="22"/>
                <w:szCs w:val="22"/>
              </w:rPr>
            </w:pPr>
            <w:r w:rsidRPr="009968E0">
              <w:rPr>
                <w:rFonts w:asciiTheme="minorHAnsi" w:eastAsia="Times New Roman" w:hAnsiTheme="minorHAnsi" w:cstheme="minorHAnsi"/>
                <w:i/>
                <w:iCs/>
                <w:color w:val="000000"/>
                <w:sz w:val="22"/>
                <w:szCs w:val="22"/>
              </w:rPr>
              <w:t xml:space="preserve">blood </w:t>
            </w:r>
            <w:r w:rsidRPr="009968E0">
              <w:rPr>
                <w:rFonts w:asciiTheme="minorHAnsi" w:eastAsia="Arial" w:hAnsiTheme="minorHAnsi" w:cstheme="minorHAnsi"/>
                <w:i/>
                <w:iCs/>
                <w:color w:val="000000"/>
                <w:sz w:val="22"/>
                <w:szCs w:val="22"/>
              </w:rPr>
              <w:t>glucose</w:t>
            </w:r>
            <w:r w:rsidRPr="009968E0">
              <w:rPr>
                <w:rFonts w:asciiTheme="minorHAnsi" w:eastAsia="Times New Roman" w:hAnsiTheme="minorHAnsi" w:cstheme="minorHAnsi"/>
                <w:i/>
                <w:iCs/>
                <w:color w:val="000000"/>
                <w:sz w:val="22"/>
                <w:szCs w:val="22"/>
              </w:rPr>
              <w:t xml:space="preserve"> </w:t>
            </w:r>
            <w:proofErr w:type="spellStart"/>
            <w:r w:rsidRPr="009968E0">
              <w:rPr>
                <w:rFonts w:asciiTheme="minorHAnsi" w:eastAsia="Times New Roman" w:hAnsiTheme="minorHAnsi" w:cstheme="minorHAnsi"/>
                <w:i/>
                <w:iCs/>
                <w:color w:val="000000"/>
                <w:sz w:val="22"/>
                <w:szCs w:val="22"/>
              </w:rPr>
              <w:t>arrival</w:t>
            </w:r>
            <w:r w:rsidRPr="009968E0">
              <w:rPr>
                <w:rFonts w:asciiTheme="minorHAnsi" w:eastAsia="Times New Roman" w:hAnsiTheme="minorHAnsi" w:cstheme="minorHAnsi"/>
                <w:i/>
                <w:iCs/>
                <w:color w:val="000000"/>
                <w:sz w:val="22"/>
                <w:szCs w:val="22"/>
                <w:vertAlign w:val="superscript"/>
              </w:rPr>
              <w:t>b</w:t>
            </w:r>
            <w:proofErr w:type="spellEnd"/>
          </w:p>
        </w:tc>
        <w:tc>
          <w:tcPr>
            <w:tcW w:w="1441" w:type="pct"/>
          </w:tcPr>
          <w:p w14:paraId="5230C13E" w14:textId="77777777" w:rsidR="009968E0" w:rsidRPr="009968E0" w:rsidRDefault="009968E0" w:rsidP="009968E0">
            <w:pPr>
              <w:jc w:val="right"/>
              <w:rPr>
                <w:rFonts w:asciiTheme="minorHAnsi" w:eastAsia="Times New Roman" w:hAnsiTheme="minorHAnsi" w:cstheme="minorHAnsi"/>
                <w:i/>
                <w:iCs/>
                <w:color w:val="000000"/>
                <w:sz w:val="22"/>
                <w:szCs w:val="22"/>
              </w:rPr>
            </w:pPr>
            <w:r w:rsidRPr="009968E0">
              <w:rPr>
                <w:rFonts w:asciiTheme="minorHAnsi" w:eastAsia="Times New Roman" w:hAnsiTheme="minorHAnsi" w:cstheme="minorHAnsi"/>
                <w:i/>
                <w:iCs/>
                <w:color w:val="000000"/>
                <w:sz w:val="22"/>
                <w:szCs w:val="22"/>
              </w:rPr>
              <w:t>0.075</w:t>
            </w:r>
          </w:p>
        </w:tc>
        <w:tc>
          <w:tcPr>
            <w:tcW w:w="996" w:type="pct"/>
          </w:tcPr>
          <w:p w14:paraId="33724BEE" w14:textId="77777777" w:rsidR="009968E0" w:rsidRPr="009968E0" w:rsidRDefault="009968E0" w:rsidP="009968E0">
            <w:pPr>
              <w:jc w:val="right"/>
              <w:rPr>
                <w:rFonts w:asciiTheme="minorHAnsi" w:eastAsia="Times New Roman" w:hAnsiTheme="minorHAnsi" w:cstheme="minorHAnsi"/>
                <w:i/>
                <w:iCs/>
                <w:color w:val="000000"/>
                <w:sz w:val="22"/>
                <w:szCs w:val="22"/>
              </w:rPr>
            </w:pPr>
            <w:r w:rsidRPr="009968E0">
              <w:rPr>
                <w:rFonts w:asciiTheme="minorHAnsi" w:eastAsia="Times New Roman" w:hAnsiTheme="minorHAnsi" w:cstheme="minorHAnsi"/>
                <w:i/>
                <w:iCs/>
                <w:color w:val="000000"/>
                <w:sz w:val="22"/>
                <w:szCs w:val="22"/>
              </w:rPr>
              <w:t>.584</w:t>
            </w:r>
          </w:p>
        </w:tc>
      </w:tr>
      <w:tr w:rsidR="009968E0" w:rsidRPr="009968E0" w14:paraId="62D5D01B" w14:textId="77777777" w:rsidTr="009968E0">
        <w:trPr>
          <w:gridAfter w:val="1"/>
          <w:wAfter w:w="58" w:type="dxa"/>
          <w:trHeight w:val="360"/>
        </w:trPr>
        <w:tc>
          <w:tcPr>
            <w:tcW w:w="644" w:type="pct"/>
          </w:tcPr>
          <w:p w14:paraId="66F6DA7A" w14:textId="77777777" w:rsidR="009968E0" w:rsidRPr="009968E0" w:rsidRDefault="009968E0" w:rsidP="009968E0">
            <w:pPr>
              <w:rPr>
                <w:rFonts w:asciiTheme="minorHAnsi" w:eastAsia="Times New Roman" w:hAnsiTheme="minorHAnsi" w:cstheme="minorHAnsi"/>
                <w:i/>
                <w:iCs/>
                <w:color w:val="000000"/>
                <w:sz w:val="22"/>
                <w:szCs w:val="22"/>
              </w:rPr>
            </w:pPr>
          </w:p>
        </w:tc>
        <w:tc>
          <w:tcPr>
            <w:tcW w:w="1886" w:type="pct"/>
          </w:tcPr>
          <w:p w14:paraId="27285702" w14:textId="77777777" w:rsidR="009968E0" w:rsidRPr="009968E0" w:rsidRDefault="009968E0" w:rsidP="009968E0">
            <w:pPr>
              <w:rPr>
                <w:rFonts w:asciiTheme="minorHAnsi" w:eastAsia="Times New Roman" w:hAnsiTheme="minorHAnsi" w:cstheme="minorHAnsi"/>
                <w:i/>
                <w:iCs/>
                <w:color w:val="000000"/>
                <w:sz w:val="22"/>
                <w:szCs w:val="22"/>
              </w:rPr>
            </w:pPr>
            <w:r w:rsidRPr="009968E0">
              <w:rPr>
                <w:rFonts w:asciiTheme="minorHAnsi" w:eastAsia="Times New Roman" w:hAnsiTheme="minorHAnsi" w:cstheme="minorHAnsi"/>
                <w:i/>
                <w:iCs/>
                <w:color w:val="000000"/>
                <w:sz w:val="22"/>
                <w:szCs w:val="22"/>
              </w:rPr>
              <w:t xml:space="preserve">blood </w:t>
            </w:r>
            <w:r w:rsidRPr="009968E0">
              <w:rPr>
                <w:rFonts w:asciiTheme="minorHAnsi" w:eastAsia="Arial" w:hAnsiTheme="minorHAnsi" w:cstheme="minorHAnsi"/>
                <w:i/>
                <w:iCs/>
                <w:color w:val="000000"/>
                <w:sz w:val="22"/>
                <w:szCs w:val="22"/>
              </w:rPr>
              <w:t>glucose</w:t>
            </w:r>
            <w:r w:rsidRPr="009968E0">
              <w:rPr>
                <w:rFonts w:asciiTheme="minorHAnsi" w:eastAsia="Times New Roman" w:hAnsiTheme="minorHAnsi" w:cstheme="minorHAnsi"/>
                <w:i/>
                <w:iCs/>
                <w:color w:val="000000"/>
                <w:sz w:val="22"/>
                <w:szCs w:val="22"/>
              </w:rPr>
              <w:t xml:space="preserve"> departure</w:t>
            </w:r>
          </w:p>
        </w:tc>
        <w:tc>
          <w:tcPr>
            <w:tcW w:w="1441" w:type="pct"/>
          </w:tcPr>
          <w:p w14:paraId="519EB5A7" w14:textId="77777777" w:rsidR="009968E0" w:rsidRPr="009968E0" w:rsidRDefault="009968E0" w:rsidP="009968E0">
            <w:pPr>
              <w:jc w:val="right"/>
              <w:rPr>
                <w:rFonts w:asciiTheme="minorHAnsi" w:eastAsia="Times New Roman" w:hAnsiTheme="minorHAnsi" w:cstheme="minorHAnsi"/>
                <w:i/>
                <w:iCs/>
                <w:color w:val="000000"/>
                <w:sz w:val="22"/>
                <w:szCs w:val="22"/>
              </w:rPr>
            </w:pPr>
            <w:r w:rsidRPr="009968E0">
              <w:rPr>
                <w:rFonts w:asciiTheme="minorHAnsi" w:eastAsia="Times New Roman" w:hAnsiTheme="minorHAnsi" w:cstheme="minorHAnsi"/>
                <w:i/>
                <w:iCs/>
                <w:color w:val="000000"/>
                <w:sz w:val="22"/>
                <w:szCs w:val="22"/>
              </w:rPr>
              <w:t>.118</w:t>
            </w:r>
          </w:p>
        </w:tc>
        <w:tc>
          <w:tcPr>
            <w:tcW w:w="996" w:type="pct"/>
          </w:tcPr>
          <w:p w14:paraId="50AB9DE9" w14:textId="77777777" w:rsidR="009968E0" w:rsidRPr="009968E0" w:rsidRDefault="009968E0" w:rsidP="009968E0">
            <w:pPr>
              <w:jc w:val="right"/>
              <w:rPr>
                <w:rFonts w:asciiTheme="minorHAnsi" w:eastAsia="Times New Roman" w:hAnsiTheme="minorHAnsi" w:cstheme="minorHAnsi"/>
                <w:i/>
                <w:iCs/>
                <w:color w:val="000000"/>
                <w:sz w:val="22"/>
                <w:szCs w:val="22"/>
              </w:rPr>
            </w:pPr>
            <w:r w:rsidRPr="009968E0">
              <w:rPr>
                <w:rFonts w:asciiTheme="minorHAnsi" w:eastAsia="Times New Roman" w:hAnsiTheme="minorHAnsi" w:cstheme="minorHAnsi"/>
                <w:i/>
                <w:iCs/>
                <w:color w:val="000000"/>
                <w:sz w:val="22"/>
                <w:szCs w:val="22"/>
              </w:rPr>
              <w:t>.418</w:t>
            </w:r>
          </w:p>
        </w:tc>
      </w:tr>
      <w:tr w:rsidR="009968E0" w:rsidRPr="009968E0" w14:paraId="6C7566AD" w14:textId="77777777" w:rsidTr="009968E0">
        <w:trPr>
          <w:gridAfter w:val="1"/>
          <w:cnfStyle w:val="000000100000" w:firstRow="0" w:lastRow="0" w:firstColumn="0" w:lastColumn="0" w:oddVBand="0" w:evenVBand="0" w:oddHBand="1" w:evenHBand="0" w:firstRowFirstColumn="0" w:firstRowLastColumn="0" w:lastRowFirstColumn="0" w:lastRowLastColumn="0"/>
          <w:wAfter w:w="58" w:type="dxa"/>
          <w:trHeight w:val="360"/>
        </w:trPr>
        <w:tc>
          <w:tcPr>
            <w:tcW w:w="644" w:type="pct"/>
          </w:tcPr>
          <w:p w14:paraId="3F9D7B31" w14:textId="77777777" w:rsidR="009968E0" w:rsidRPr="009968E0" w:rsidRDefault="009968E0" w:rsidP="009968E0">
            <w:pPr>
              <w:rPr>
                <w:rFonts w:asciiTheme="minorHAnsi" w:eastAsia="Times New Roman" w:hAnsiTheme="minorHAnsi" w:cstheme="minorHAnsi"/>
                <w:i/>
                <w:iCs/>
                <w:color w:val="000000"/>
                <w:sz w:val="22"/>
                <w:szCs w:val="22"/>
              </w:rPr>
            </w:pPr>
            <w:r w:rsidRPr="009968E0">
              <w:rPr>
                <w:rFonts w:asciiTheme="minorHAnsi" w:eastAsia="Times New Roman" w:hAnsiTheme="minorHAnsi" w:cstheme="minorHAnsi"/>
                <w:i/>
                <w:iCs/>
                <w:color w:val="000000"/>
                <w:sz w:val="22"/>
                <w:szCs w:val="22"/>
              </w:rPr>
              <w:tab/>
            </w:r>
            <w:r w:rsidRPr="009968E0">
              <w:rPr>
                <w:rFonts w:asciiTheme="minorHAnsi" w:eastAsia="Times New Roman" w:hAnsiTheme="minorHAnsi" w:cstheme="minorHAnsi"/>
                <w:i/>
                <w:iCs/>
                <w:color w:val="000000"/>
                <w:sz w:val="22"/>
                <w:szCs w:val="22"/>
              </w:rPr>
              <w:tab/>
            </w:r>
          </w:p>
        </w:tc>
        <w:tc>
          <w:tcPr>
            <w:tcW w:w="1886" w:type="pct"/>
          </w:tcPr>
          <w:p w14:paraId="178BE969" w14:textId="77777777" w:rsidR="009968E0" w:rsidRPr="009968E0" w:rsidRDefault="009968E0" w:rsidP="009968E0">
            <w:pPr>
              <w:rPr>
                <w:rFonts w:asciiTheme="minorHAnsi" w:eastAsia="Times New Roman" w:hAnsiTheme="minorHAnsi" w:cstheme="minorHAnsi"/>
                <w:i/>
                <w:iCs/>
                <w:color w:val="000000"/>
                <w:sz w:val="22"/>
                <w:szCs w:val="22"/>
              </w:rPr>
            </w:pPr>
            <w:proofErr w:type="spellStart"/>
            <w:r w:rsidRPr="009968E0">
              <w:rPr>
                <w:rFonts w:asciiTheme="minorHAnsi" w:eastAsia="Times New Roman" w:hAnsiTheme="minorHAnsi" w:cstheme="minorHAnsi"/>
                <w:i/>
                <w:iCs/>
                <w:color w:val="000000"/>
                <w:sz w:val="22"/>
                <w:szCs w:val="22"/>
              </w:rPr>
              <w:t>blood_glucose_delta</w:t>
            </w:r>
            <w:proofErr w:type="spellEnd"/>
          </w:p>
        </w:tc>
        <w:tc>
          <w:tcPr>
            <w:tcW w:w="1441" w:type="pct"/>
          </w:tcPr>
          <w:p w14:paraId="6D86161E" w14:textId="77777777" w:rsidR="009968E0" w:rsidRPr="009968E0" w:rsidRDefault="009968E0" w:rsidP="009968E0">
            <w:pPr>
              <w:jc w:val="right"/>
              <w:rPr>
                <w:rFonts w:asciiTheme="minorHAnsi" w:eastAsia="Times New Roman" w:hAnsiTheme="minorHAnsi" w:cstheme="minorHAnsi"/>
                <w:i/>
                <w:iCs/>
                <w:color w:val="000000"/>
                <w:sz w:val="22"/>
                <w:szCs w:val="22"/>
              </w:rPr>
            </w:pPr>
            <w:r w:rsidRPr="009968E0">
              <w:rPr>
                <w:rFonts w:asciiTheme="minorHAnsi" w:eastAsia="Times New Roman" w:hAnsiTheme="minorHAnsi" w:cstheme="minorHAnsi"/>
                <w:i/>
                <w:iCs/>
                <w:color w:val="000000"/>
                <w:sz w:val="22"/>
                <w:szCs w:val="22"/>
              </w:rPr>
              <w:t>-.039</w:t>
            </w:r>
          </w:p>
        </w:tc>
        <w:tc>
          <w:tcPr>
            <w:tcW w:w="996" w:type="pct"/>
          </w:tcPr>
          <w:p w14:paraId="4C0B66D9" w14:textId="77777777" w:rsidR="009968E0" w:rsidRPr="009968E0" w:rsidRDefault="009968E0" w:rsidP="009968E0">
            <w:pPr>
              <w:jc w:val="right"/>
              <w:rPr>
                <w:rFonts w:asciiTheme="minorHAnsi" w:eastAsia="Times New Roman" w:hAnsiTheme="minorHAnsi" w:cstheme="minorHAnsi"/>
                <w:i/>
                <w:iCs/>
                <w:color w:val="000000"/>
                <w:sz w:val="22"/>
                <w:szCs w:val="22"/>
              </w:rPr>
            </w:pPr>
            <w:r w:rsidRPr="009968E0">
              <w:rPr>
                <w:rFonts w:asciiTheme="minorHAnsi" w:eastAsia="Times New Roman" w:hAnsiTheme="minorHAnsi" w:cstheme="minorHAnsi"/>
                <w:i/>
                <w:iCs/>
                <w:color w:val="000000"/>
                <w:sz w:val="22"/>
                <w:szCs w:val="22"/>
              </w:rPr>
              <w:t>.792</w:t>
            </w:r>
          </w:p>
        </w:tc>
      </w:tr>
      <w:tr w:rsidR="009968E0" w:rsidRPr="009968E0" w14:paraId="40B7A141" w14:textId="77777777" w:rsidTr="009968E0">
        <w:trPr>
          <w:trHeight w:val="360"/>
        </w:trPr>
        <w:tc>
          <w:tcPr>
            <w:tcW w:w="5000" w:type="pct"/>
            <w:gridSpan w:val="5"/>
          </w:tcPr>
          <w:p w14:paraId="6EF0DE80" w14:textId="77777777" w:rsidR="009968E0" w:rsidRPr="009968E0" w:rsidRDefault="009968E0" w:rsidP="009968E0">
            <w:pPr>
              <w:rPr>
                <w:rFonts w:asciiTheme="minorHAnsi" w:eastAsia="Calibri" w:hAnsiTheme="minorHAnsi" w:cstheme="minorHAnsi"/>
                <w:i/>
                <w:iCs/>
                <w:color w:val="404040" w:themeColor="text1" w:themeTint="BF"/>
                <w:sz w:val="22"/>
                <w:szCs w:val="22"/>
              </w:rPr>
            </w:pPr>
            <w:r w:rsidRPr="009968E0">
              <w:rPr>
                <w:rFonts w:asciiTheme="minorHAnsi" w:eastAsia="Calibri" w:hAnsiTheme="minorHAnsi" w:cstheme="minorHAnsi"/>
                <w:i/>
                <w:iCs/>
                <w:color w:val="404040" w:themeColor="text1" w:themeTint="BF"/>
                <w:sz w:val="22"/>
                <w:szCs w:val="22"/>
              </w:rPr>
              <w:t>a .R= -.239 R</w:t>
            </w:r>
            <w:r w:rsidRPr="009968E0">
              <w:rPr>
                <w:rFonts w:asciiTheme="minorHAnsi" w:eastAsia="Calibri" w:hAnsiTheme="minorHAnsi" w:cstheme="minorHAnsi"/>
                <w:i/>
                <w:iCs/>
                <w:color w:val="404040" w:themeColor="text1" w:themeTint="BF"/>
                <w:sz w:val="22"/>
                <w:szCs w:val="22"/>
                <w:vertAlign w:val="superscript"/>
              </w:rPr>
              <w:t>2</w:t>
            </w:r>
            <w:r w:rsidRPr="009968E0">
              <w:rPr>
                <w:rFonts w:asciiTheme="minorHAnsi" w:eastAsia="Calibri" w:hAnsiTheme="minorHAnsi" w:cstheme="minorHAnsi"/>
                <w:i/>
                <w:iCs/>
                <w:color w:val="404040" w:themeColor="text1" w:themeTint="BF"/>
                <w:sz w:val="22"/>
                <w:szCs w:val="22"/>
              </w:rPr>
              <w:t xml:space="preserve">=.057 </w:t>
            </w:r>
          </w:p>
          <w:p w14:paraId="2994C4D2" w14:textId="77777777" w:rsidR="009968E0" w:rsidRPr="009968E0" w:rsidRDefault="009968E0" w:rsidP="009968E0">
            <w:pPr>
              <w:rPr>
                <w:rFonts w:asciiTheme="minorHAnsi" w:eastAsia="Calibri" w:hAnsiTheme="minorHAnsi" w:cstheme="minorHAnsi"/>
                <w:i/>
                <w:iCs/>
                <w:color w:val="404040" w:themeColor="text1" w:themeTint="BF"/>
                <w:sz w:val="22"/>
                <w:szCs w:val="22"/>
              </w:rPr>
            </w:pPr>
            <w:r w:rsidRPr="009968E0">
              <w:rPr>
                <w:rFonts w:asciiTheme="minorHAnsi" w:eastAsia="Calibri" w:hAnsiTheme="minorHAnsi" w:cstheme="minorHAnsi"/>
                <w:i/>
                <w:iCs/>
                <w:color w:val="404040" w:themeColor="text1" w:themeTint="BF"/>
                <w:sz w:val="22"/>
                <w:szCs w:val="22"/>
              </w:rPr>
              <w:t>b. comparisons for blood glucose were between the groups with subjects with diabetes only</w:t>
            </w:r>
          </w:p>
          <w:p w14:paraId="4B4F6A8E" w14:textId="77777777" w:rsidR="009968E0" w:rsidRPr="009968E0" w:rsidRDefault="009968E0" w:rsidP="009968E0">
            <w:pPr>
              <w:jc w:val="right"/>
              <w:rPr>
                <w:rFonts w:asciiTheme="minorHAnsi" w:eastAsia="Times New Roman" w:hAnsiTheme="minorHAnsi" w:cstheme="minorHAnsi"/>
                <w:i/>
                <w:iCs/>
                <w:color w:val="000000"/>
                <w:sz w:val="22"/>
                <w:szCs w:val="22"/>
              </w:rPr>
            </w:pPr>
          </w:p>
        </w:tc>
      </w:tr>
    </w:tbl>
    <w:p w14:paraId="5FB20205" w14:textId="77777777" w:rsidR="009968E0" w:rsidRPr="009968E0" w:rsidRDefault="009968E0" w:rsidP="009968E0">
      <w:pPr>
        <w:rPr>
          <w:rFonts w:ascii="Calibri" w:eastAsia="Times New Roman" w:hAnsi="Calibri" w:cs="Calibri"/>
          <w:i/>
          <w:iCs/>
          <w:color w:val="808080"/>
          <w:sz w:val="22"/>
          <w:szCs w:val="22"/>
          <w:lang w:eastAsia="en-GB"/>
        </w:rPr>
      </w:pPr>
    </w:p>
    <w:tbl>
      <w:tblPr>
        <w:tblW w:w="9063" w:type="dxa"/>
        <w:tblLayout w:type="fixed"/>
        <w:tblCellMar>
          <w:left w:w="115" w:type="dxa"/>
          <w:right w:w="115" w:type="dxa"/>
        </w:tblCellMar>
        <w:tblLook w:val="0400" w:firstRow="0" w:lastRow="0" w:firstColumn="0" w:lastColumn="0" w:noHBand="0" w:noVBand="1"/>
      </w:tblPr>
      <w:tblGrid>
        <w:gridCol w:w="1733"/>
        <w:gridCol w:w="1671"/>
        <w:gridCol w:w="1390"/>
        <w:gridCol w:w="968"/>
        <w:gridCol w:w="1363"/>
        <w:gridCol w:w="968"/>
        <w:gridCol w:w="970"/>
      </w:tblGrid>
      <w:tr w:rsidR="009968E0" w:rsidRPr="009968E0" w14:paraId="00A27EDA" w14:textId="77777777" w:rsidTr="009968E0">
        <w:trPr>
          <w:trHeight w:val="480"/>
        </w:trPr>
        <w:tc>
          <w:tcPr>
            <w:tcW w:w="9063" w:type="dxa"/>
            <w:gridSpan w:val="7"/>
            <w:tcBorders>
              <w:top w:val="nil"/>
              <w:left w:val="nil"/>
              <w:bottom w:val="nil"/>
              <w:right w:val="nil"/>
            </w:tcBorders>
            <w:shd w:val="clear" w:color="auto" w:fill="auto"/>
            <w:vAlign w:val="center"/>
          </w:tcPr>
          <w:p w14:paraId="4B0457A0" w14:textId="2CC40188" w:rsidR="009968E0" w:rsidRPr="009968E0" w:rsidRDefault="009968E0" w:rsidP="007A2ECE">
            <w:pPr>
              <w:pStyle w:val="Quote"/>
            </w:pPr>
            <w:bookmarkStart w:id="596" w:name="_Toc49273351"/>
            <w:bookmarkStart w:id="597" w:name="_Toc64724104"/>
            <w:r w:rsidRPr="009968E0">
              <w:t>Table C.6 Tests of Between-Subjects Effects-ANCOVA with Diastolic BP as the covariate</w:t>
            </w:r>
            <w:bookmarkEnd w:id="596"/>
            <w:bookmarkEnd w:id="597"/>
          </w:p>
        </w:tc>
      </w:tr>
      <w:tr w:rsidR="009968E0" w:rsidRPr="009968E0" w14:paraId="3E5F2610" w14:textId="77777777" w:rsidTr="009968E0">
        <w:trPr>
          <w:trHeight w:val="680"/>
        </w:trPr>
        <w:tc>
          <w:tcPr>
            <w:tcW w:w="3404" w:type="dxa"/>
            <w:gridSpan w:val="2"/>
            <w:tcBorders>
              <w:top w:val="single" w:sz="12" w:space="0" w:color="000000"/>
              <w:left w:val="single" w:sz="12" w:space="0" w:color="000000"/>
              <w:bottom w:val="single" w:sz="12" w:space="0" w:color="000000"/>
              <w:right w:val="single" w:sz="12" w:space="0" w:color="000000"/>
            </w:tcBorders>
            <w:shd w:val="clear" w:color="auto" w:fill="auto"/>
            <w:vAlign w:val="bottom"/>
          </w:tcPr>
          <w:p w14:paraId="74E92FFB" w14:textId="77777777" w:rsidR="009968E0" w:rsidRPr="009968E0" w:rsidRDefault="009968E0" w:rsidP="009968E0">
            <w:pPr>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Dependent Variable</w:t>
            </w:r>
          </w:p>
        </w:tc>
        <w:tc>
          <w:tcPr>
            <w:tcW w:w="1390" w:type="dxa"/>
            <w:tcBorders>
              <w:top w:val="single" w:sz="12" w:space="0" w:color="000000"/>
              <w:left w:val="nil"/>
              <w:bottom w:val="single" w:sz="12" w:space="0" w:color="000000"/>
              <w:right w:val="single" w:sz="4" w:space="0" w:color="000000"/>
            </w:tcBorders>
            <w:shd w:val="clear" w:color="auto" w:fill="auto"/>
            <w:vAlign w:val="bottom"/>
          </w:tcPr>
          <w:p w14:paraId="30E2B8A1" w14:textId="77777777" w:rsidR="009968E0" w:rsidRPr="009968E0" w:rsidRDefault="009968E0" w:rsidP="009968E0">
            <w:pPr>
              <w:jc w:val="center"/>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Type III Sum of Squares</w:t>
            </w:r>
          </w:p>
        </w:tc>
        <w:tc>
          <w:tcPr>
            <w:tcW w:w="968" w:type="dxa"/>
            <w:tcBorders>
              <w:top w:val="single" w:sz="12" w:space="0" w:color="000000"/>
              <w:left w:val="nil"/>
              <w:bottom w:val="single" w:sz="12" w:space="0" w:color="000000"/>
              <w:right w:val="single" w:sz="4" w:space="0" w:color="000000"/>
            </w:tcBorders>
            <w:shd w:val="clear" w:color="auto" w:fill="auto"/>
            <w:vAlign w:val="bottom"/>
          </w:tcPr>
          <w:p w14:paraId="04D1D507" w14:textId="77777777" w:rsidR="009968E0" w:rsidRPr="009968E0" w:rsidRDefault="009968E0" w:rsidP="009968E0">
            <w:pPr>
              <w:jc w:val="center"/>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df</w:t>
            </w:r>
          </w:p>
        </w:tc>
        <w:tc>
          <w:tcPr>
            <w:tcW w:w="1363" w:type="dxa"/>
            <w:tcBorders>
              <w:top w:val="single" w:sz="12" w:space="0" w:color="000000"/>
              <w:left w:val="nil"/>
              <w:bottom w:val="single" w:sz="12" w:space="0" w:color="000000"/>
              <w:right w:val="single" w:sz="4" w:space="0" w:color="000000"/>
            </w:tcBorders>
            <w:shd w:val="clear" w:color="auto" w:fill="auto"/>
            <w:vAlign w:val="bottom"/>
          </w:tcPr>
          <w:p w14:paraId="00E62D89" w14:textId="77777777" w:rsidR="009968E0" w:rsidRPr="009968E0" w:rsidRDefault="009968E0" w:rsidP="009968E0">
            <w:pPr>
              <w:jc w:val="center"/>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Mean Square</w:t>
            </w:r>
          </w:p>
        </w:tc>
        <w:tc>
          <w:tcPr>
            <w:tcW w:w="968" w:type="dxa"/>
            <w:tcBorders>
              <w:top w:val="single" w:sz="12" w:space="0" w:color="000000"/>
              <w:left w:val="nil"/>
              <w:bottom w:val="single" w:sz="12" w:space="0" w:color="000000"/>
              <w:right w:val="single" w:sz="4" w:space="0" w:color="000000"/>
            </w:tcBorders>
            <w:shd w:val="clear" w:color="auto" w:fill="auto"/>
            <w:vAlign w:val="bottom"/>
          </w:tcPr>
          <w:p w14:paraId="196D98E5" w14:textId="77777777" w:rsidR="009968E0" w:rsidRPr="009968E0" w:rsidRDefault="009968E0" w:rsidP="009968E0">
            <w:pPr>
              <w:jc w:val="center"/>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F</w:t>
            </w:r>
          </w:p>
        </w:tc>
        <w:tc>
          <w:tcPr>
            <w:tcW w:w="970" w:type="dxa"/>
            <w:tcBorders>
              <w:top w:val="single" w:sz="12" w:space="0" w:color="000000"/>
              <w:left w:val="nil"/>
              <w:bottom w:val="single" w:sz="12" w:space="0" w:color="000000"/>
              <w:right w:val="single" w:sz="12" w:space="0" w:color="000000"/>
            </w:tcBorders>
            <w:shd w:val="clear" w:color="auto" w:fill="auto"/>
            <w:vAlign w:val="bottom"/>
          </w:tcPr>
          <w:p w14:paraId="1C8F3E8B" w14:textId="77777777" w:rsidR="009968E0" w:rsidRPr="009968E0" w:rsidRDefault="009968E0" w:rsidP="009968E0">
            <w:pPr>
              <w:jc w:val="center"/>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Sig.</w:t>
            </w:r>
          </w:p>
        </w:tc>
      </w:tr>
      <w:tr w:rsidR="009968E0" w:rsidRPr="009968E0" w14:paraId="279447D7" w14:textId="77777777" w:rsidTr="009968E0">
        <w:trPr>
          <w:trHeight w:val="360"/>
        </w:trPr>
        <w:tc>
          <w:tcPr>
            <w:tcW w:w="1733" w:type="dxa"/>
            <w:vMerge w:val="restart"/>
            <w:tcBorders>
              <w:top w:val="nil"/>
              <w:left w:val="single" w:sz="12" w:space="0" w:color="000000"/>
              <w:bottom w:val="single" w:sz="4" w:space="0" w:color="000000"/>
              <w:right w:val="nil"/>
            </w:tcBorders>
            <w:shd w:val="clear" w:color="auto" w:fill="FDE9D9"/>
          </w:tcPr>
          <w:p w14:paraId="6344018C" w14:textId="77777777" w:rsidR="009968E0" w:rsidRPr="009968E0" w:rsidRDefault="009968E0" w:rsidP="009968E0">
            <w:pPr>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MTT-LINS2</w:t>
            </w:r>
          </w:p>
        </w:tc>
        <w:tc>
          <w:tcPr>
            <w:tcW w:w="1671" w:type="dxa"/>
            <w:tcBorders>
              <w:top w:val="nil"/>
              <w:left w:val="nil"/>
              <w:bottom w:val="nil"/>
              <w:right w:val="single" w:sz="12" w:space="0" w:color="000000"/>
            </w:tcBorders>
            <w:shd w:val="clear" w:color="auto" w:fill="auto"/>
          </w:tcPr>
          <w:p w14:paraId="42FC5630" w14:textId="77777777" w:rsidR="009968E0" w:rsidRPr="009968E0" w:rsidRDefault="009968E0" w:rsidP="009968E0">
            <w:pPr>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Corrected Model</w:t>
            </w:r>
          </w:p>
        </w:tc>
        <w:tc>
          <w:tcPr>
            <w:tcW w:w="1390" w:type="dxa"/>
            <w:tcBorders>
              <w:top w:val="nil"/>
              <w:left w:val="nil"/>
              <w:bottom w:val="nil"/>
              <w:right w:val="single" w:sz="4" w:space="0" w:color="000000"/>
            </w:tcBorders>
            <w:shd w:val="clear" w:color="auto" w:fill="auto"/>
            <w:vAlign w:val="center"/>
          </w:tcPr>
          <w:p w14:paraId="658352B7"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12.226</w:t>
            </w:r>
            <w:r w:rsidRPr="009968E0">
              <w:rPr>
                <w:rFonts w:ascii="Calibri" w:eastAsia="Times New Roman" w:hAnsi="Calibri" w:cs="Calibri"/>
                <w:i/>
                <w:iCs/>
                <w:color w:val="000000"/>
                <w:sz w:val="21"/>
                <w:szCs w:val="21"/>
                <w:vertAlign w:val="superscript"/>
                <w:lang w:eastAsia="en-GB"/>
              </w:rPr>
              <w:t>a</w:t>
            </w:r>
          </w:p>
        </w:tc>
        <w:tc>
          <w:tcPr>
            <w:tcW w:w="968" w:type="dxa"/>
            <w:tcBorders>
              <w:top w:val="nil"/>
              <w:left w:val="nil"/>
              <w:bottom w:val="nil"/>
              <w:right w:val="single" w:sz="4" w:space="0" w:color="000000"/>
            </w:tcBorders>
            <w:shd w:val="clear" w:color="auto" w:fill="auto"/>
            <w:vAlign w:val="center"/>
          </w:tcPr>
          <w:p w14:paraId="7A092A2B"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4</w:t>
            </w:r>
          </w:p>
        </w:tc>
        <w:tc>
          <w:tcPr>
            <w:tcW w:w="1363" w:type="dxa"/>
            <w:tcBorders>
              <w:top w:val="nil"/>
              <w:left w:val="nil"/>
              <w:bottom w:val="nil"/>
              <w:right w:val="single" w:sz="4" w:space="0" w:color="000000"/>
            </w:tcBorders>
            <w:shd w:val="clear" w:color="auto" w:fill="auto"/>
            <w:vAlign w:val="center"/>
          </w:tcPr>
          <w:p w14:paraId="4CA39ED8"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3.057</w:t>
            </w:r>
          </w:p>
        </w:tc>
        <w:tc>
          <w:tcPr>
            <w:tcW w:w="968" w:type="dxa"/>
            <w:tcBorders>
              <w:top w:val="nil"/>
              <w:left w:val="nil"/>
              <w:bottom w:val="nil"/>
              <w:right w:val="single" w:sz="4" w:space="0" w:color="000000"/>
            </w:tcBorders>
            <w:shd w:val="clear" w:color="auto" w:fill="auto"/>
            <w:vAlign w:val="center"/>
          </w:tcPr>
          <w:p w14:paraId="3C119B9C"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3.251</w:t>
            </w:r>
          </w:p>
        </w:tc>
        <w:tc>
          <w:tcPr>
            <w:tcW w:w="970" w:type="dxa"/>
            <w:tcBorders>
              <w:top w:val="nil"/>
              <w:left w:val="nil"/>
              <w:bottom w:val="nil"/>
              <w:right w:val="single" w:sz="12" w:space="0" w:color="000000"/>
            </w:tcBorders>
            <w:shd w:val="clear" w:color="auto" w:fill="auto"/>
            <w:vAlign w:val="center"/>
          </w:tcPr>
          <w:p w14:paraId="0A8B9308"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.017</w:t>
            </w:r>
          </w:p>
        </w:tc>
      </w:tr>
      <w:tr w:rsidR="009968E0" w:rsidRPr="009968E0" w14:paraId="7637F4EC" w14:textId="77777777" w:rsidTr="009968E0">
        <w:trPr>
          <w:trHeight w:val="360"/>
        </w:trPr>
        <w:tc>
          <w:tcPr>
            <w:tcW w:w="1733" w:type="dxa"/>
            <w:vMerge/>
            <w:tcBorders>
              <w:top w:val="nil"/>
              <w:left w:val="single" w:sz="12" w:space="0" w:color="000000"/>
              <w:bottom w:val="single" w:sz="4" w:space="0" w:color="000000"/>
              <w:right w:val="nil"/>
            </w:tcBorders>
            <w:shd w:val="clear" w:color="auto" w:fill="FDE9D9"/>
          </w:tcPr>
          <w:p w14:paraId="7E94C3D7"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1"/>
                <w:szCs w:val="21"/>
                <w:lang w:eastAsia="en-GB"/>
              </w:rPr>
            </w:pPr>
          </w:p>
        </w:tc>
        <w:tc>
          <w:tcPr>
            <w:tcW w:w="1671" w:type="dxa"/>
            <w:tcBorders>
              <w:top w:val="nil"/>
              <w:left w:val="nil"/>
              <w:bottom w:val="nil"/>
              <w:right w:val="single" w:sz="12" w:space="0" w:color="000000"/>
            </w:tcBorders>
            <w:shd w:val="clear" w:color="auto" w:fill="auto"/>
          </w:tcPr>
          <w:p w14:paraId="2C2A0CE9" w14:textId="77777777" w:rsidR="009968E0" w:rsidRPr="009968E0" w:rsidRDefault="009968E0" w:rsidP="009968E0">
            <w:pPr>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Intercept</w:t>
            </w:r>
          </w:p>
        </w:tc>
        <w:tc>
          <w:tcPr>
            <w:tcW w:w="1390" w:type="dxa"/>
            <w:tcBorders>
              <w:top w:val="nil"/>
              <w:left w:val="nil"/>
              <w:bottom w:val="nil"/>
              <w:right w:val="single" w:sz="4" w:space="0" w:color="000000"/>
            </w:tcBorders>
            <w:shd w:val="clear" w:color="auto" w:fill="auto"/>
            <w:vAlign w:val="center"/>
          </w:tcPr>
          <w:p w14:paraId="643E1F95"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17.610</w:t>
            </w:r>
          </w:p>
        </w:tc>
        <w:tc>
          <w:tcPr>
            <w:tcW w:w="968" w:type="dxa"/>
            <w:tcBorders>
              <w:top w:val="nil"/>
              <w:left w:val="nil"/>
              <w:bottom w:val="nil"/>
              <w:right w:val="single" w:sz="4" w:space="0" w:color="000000"/>
            </w:tcBorders>
            <w:shd w:val="clear" w:color="auto" w:fill="auto"/>
            <w:vAlign w:val="center"/>
          </w:tcPr>
          <w:p w14:paraId="3E4E8845"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1</w:t>
            </w:r>
          </w:p>
        </w:tc>
        <w:tc>
          <w:tcPr>
            <w:tcW w:w="1363" w:type="dxa"/>
            <w:tcBorders>
              <w:top w:val="nil"/>
              <w:left w:val="nil"/>
              <w:bottom w:val="nil"/>
              <w:right w:val="single" w:sz="4" w:space="0" w:color="000000"/>
            </w:tcBorders>
            <w:shd w:val="clear" w:color="auto" w:fill="auto"/>
            <w:vAlign w:val="center"/>
          </w:tcPr>
          <w:p w14:paraId="65CEA38B"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17.610</w:t>
            </w:r>
          </w:p>
        </w:tc>
        <w:tc>
          <w:tcPr>
            <w:tcW w:w="968" w:type="dxa"/>
            <w:tcBorders>
              <w:top w:val="nil"/>
              <w:left w:val="nil"/>
              <w:bottom w:val="nil"/>
              <w:right w:val="single" w:sz="4" w:space="0" w:color="000000"/>
            </w:tcBorders>
            <w:shd w:val="clear" w:color="auto" w:fill="auto"/>
            <w:vAlign w:val="center"/>
          </w:tcPr>
          <w:p w14:paraId="4364FB97"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18.730</w:t>
            </w:r>
          </w:p>
        </w:tc>
        <w:tc>
          <w:tcPr>
            <w:tcW w:w="970" w:type="dxa"/>
            <w:tcBorders>
              <w:top w:val="nil"/>
              <w:left w:val="nil"/>
              <w:bottom w:val="nil"/>
              <w:right w:val="single" w:sz="12" w:space="0" w:color="000000"/>
            </w:tcBorders>
            <w:shd w:val="clear" w:color="auto" w:fill="auto"/>
            <w:vAlign w:val="center"/>
          </w:tcPr>
          <w:p w14:paraId="14149F82"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.000</w:t>
            </w:r>
          </w:p>
        </w:tc>
      </w:tr>
      <w:tr w:rsidR="009968E0" w:rsidRPr="009968E0" w14:paraId="616D0016" w14:textId="77777777" w:rsidTr="009968E0">
        <w:trPr>
          <w:trHeight w:val="360"/>
        </w:trPr>
        <w:tc>
          <w:tcPr>
            <w:tcW w:w="1733" w:type="dxa"/>
            <w:vMerge/>
            <w:tcBorders>
              <w:top w:val="nil"/>
              <w:left w:val="single" w:sz="12" w:space="0" w:color="000000"/>
              <w:bottom w:val="single" w:sz="4" w:space="0" w:color="000000"/>
              <w:right w:val="nil"/>
            </w:tcBorders>
            <w:shd w:val="clear" w:color="auto" w:fill="FDE9D9"/>
          </w:tcPr>
          <w:p w14:paraId="5BBBF280"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1"/>
                <w:szCs w:val="21"/>
                <w:lang w:eastAsia="en-GB"/>
              </w:rPr>
            </w:pPr>
          </w:p>
        </w:tc>
        <w:tc>
          <w:tcPr>
            <w:tcW w:w="1671" w:type="dxa"/>
            <w:tcBorders>
              <w:top w:val="nil"/>
              <w:left w:val="nil"/>
              <w:bottom w:val="nil"/>
              <w:right w:val="single" w:sz="12" w:space="0" w:color="000000"/>
            </w:tcBorders>
            <w:shd w:val="clear" w:color="auto" w:fill="auto"/>
          </w:tcPr>
          <w:p w14:paraId="54530093" w14:textId="77777777" w:rsidR="009968E0" w:rsidRPr="009968E0" w:rsidRDefault="009968E0" w:rsidP="009968E0">
            <w:pPr>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GROUP</w:t>
            </w:r>
          </w:p>
        </w:tc>
        <w:tc>
          <w:tcPr>
            <w:tcW w:w="1390" w:type="dxa"/>
            <w:tcBorders>
              <w:top w:val="nil"/>
              <w:left w:val="nil"/>
              <w:bottom w:val="nil"/>
              <w:right w:val="single" w:sz="4" w:space="0" w:color="000000"/>
            </w:tcBorders>
            <w:shd w:val="clear" w:color="auto" w:fill="auto"/>
            <w:vAlign w:val="center"/>
          </w:tcPr>
          <w:p w14:paraId="0F49ECB5"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7.771</w:t>
            </w:r>
          </w:p>
        </w:tc>
        <w:tc>
          <w:tcPr>
            <w:tcW w:w="968" w:type="dxa"/>
            <w:tcBorders>
              <w:top w:val="nil"/>
              <w:left w:val="nil"/>
              <w:bottom w:val="nil"/>
              <w:right w:val="single" w:sz="4" w:space="0" w:color="000000"/>
            </w:tcBorders>
            <w:shd w:val="clear" w:color="auto" w:fill="auto"/>
            <w:vAlign w:val="center"/>
          </w:tcPr>
          <w:p w14:paraId="220AA569"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3</w:t>
            </w:r>
          </w:p>
        </w:tc>
        <w:tc>
          <w:tcPr>
            <w:tcW w:w="1363" w:type="dxa"/>
            <w:tcBorders>
              <w:top w:val="nil"/>
              <w:left w:val="nil"/>
              <w:bottom w:val="nil"/>
              <w:right w:val="single" w:sz="4" w:space="0" w:color="000000"/>
            </w:tcBorders>
            <w:shd w:val="clear" w:color="auto" w:fill="auto"/>
            <w:vAlign w:val="center"/>
          </w:tcPr>
          <w:p w14:paraId="0D7875D4"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2.590</w:t>
            </w:r>
          </w:p>
        </w:tc>
        <w:tc>
          <w:tcPr>
            <w:tcW w:w="968" w:type="dxa"/>
            <w:tcBorders>
              <w:top w:val="nil"/>
              <w:left w:val="nil"/>
              <w:bottom w:val="nil"/>
              <w:right w:val="single" w:sz="4" w:space="0" w:color="000000"/>
            </w:tcBorders>
            <w:shd w:val="clear" w:color="auto" w:fill="auto"/>
            <w:vAlign w:val="center"/>
          </w:tcPr>
          <w:p w14:paraId="614D00D5"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2.755</w:t>
            </w:r>
          </w:p>
        </w:tc>
        <w:tc>
          <w:tcPr>
            <w:tcW w:w="970" w:type="dxa"/>
            <w:tcBorders>
              <w:top w:val="nil"/>
              <w:left w:val="nil"/>
              <w:bottom w:val="nil"/>
              <w:right w:val="single" w:sz="12" w:space="0" w:color="000000"/>
            </w:tcBorders>
            <w:shd w:val="clear" w:color="auto" w:fill="auto"/>
            <w:vAlign w:val="center"/>
          </w:tcPr>
          <w:p w14:paraId="6225DBC5"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.049</w:t>
            </w:r>
          </w:p>
        </w:tc>
      </w:tr>
      <w:tr w:rsidR="009968E0" w:rsidRPr="009968E0" w14:paraId="0C804C1F" w14:textId="77777777" w:rsidTr="009968E0">
        <w:trPr>
          <w:trHeight w:val="360"/>
        </w:trPr>
        <w:tc>
          <w:tcPr>
            <w:tcW w:w="1733" w:type="dxa"/>
            <w:vMerge/>
            <w:tcBorders>
              <w:top w:val="nil"/>
              <w:left w:val="single" w:sz="12" w:space="0" w:color="000000"/>
              <w:bottom w:val="single" w:sz="4" w:space="0" w:color="000000"/>
              <w:right w:val="nil"/>
            </w:tcBorders>
            <w:shd w:val="clear" w:color="auto" w:fill="FDE9D9"/>
          </w:tcPr>
          <w:p w14:paraId="2DA93EEF"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1"/>
                <w:szCs w:val="21"/>
                <w:lang w:eastAsia="en-GB"/>
              </w:rPr>
            </w:pPr>
          </w:p>
        </w:tc>
        <w:tc>
          <w:tcPr>
            <w:tcW w:w="1671" w:type="dxa"/>
            <w:tcBorders>
              <w:top w:val="nil"/>
              <w:left w:val="nil"/>
              <w:bottom w:val="single" w:sz="4" w:space="0" w:color="000000"/>
              <w:right w:val="single" w:sz="12" w:space="0" w:color="000000"/>
            </w:tcBorders>
            <w:shd w:val="clear" w:color="auto" w:fill="auto"/>
          </w:tcPr>
          <w:p w14:paraId="50E022BA" w14:textId="77777777" w:rsidR="009968E0" w:rsidRPr="009968E0" w:rsidRDefault="009968E0" w:rsidP="009968E0">
            <w:pPr>
              <w:rPr>
                <w:rFonts w:ascii="Calibri" w:eastAsia="Times New Roman" w:hAnsi="Calibri" w:cs="Calibri"/>
                <w:i/>
                <w:iCs/>
                <w:color w:val="000000"/>
                <w:sz w:val="21"/>
                <w:szCs w:val="21"/>
                <w:lang w:eastAsia="en-GB"/>
              </w:rPr>
            </w:pPr>
            <w:proofErr w:type="spellStart"/>
            <w:r w:rsidRPr="009968E0">
              <w:rPr>
                <w:rFonts w:ascii="Calibri" w:eastAsia="Times New Roman" w:hAnsi="Calibri" w:cs="Calibri"/>
                <w:i/>
                <w:iCs/>
                <w:color w:val="000000"/>
                <w:sz w:val="21"/>
                <w:szCs w:val="21"/>
                <w:lang w:eastAsia="en-GB"/>
              </w:rPr>
              <w:t>BP_diastolic</w:t>
            </w:r>
            <w:proofErr w:type="spellEnd"/>
          </w:p>
        </w:tc>
        <w:tc>
          <w:tcPr>
            <w:tcW w:w="1390" w:type="dxa"/>
            <w:tcBorders>
              <w:top w:val="nil"/>
              <w:left w:val="nil"/>
              <w:bottom w:val="single" w:sz="4" w:space="0" w:color="000000"/>
              <w:right w:val="single" w:sz="4" w:space="0" w:color="000000"/>
            </w:tcBorders>
            <w:shd w:val="clear" w:color="auto" w:fill="auto"/>
            <w:vAlign w:val="center"/>
          </w:tcPr>
          <w:p w14:paraId="41A1137C"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1.817</w:t>
            </w:r>
          </w:p>
        </w:tc>
        <w:tc>
          <w:tcPr>
            <w:tcW w:w="968" w:type="dxa"/>
            <w:tcBorders>
              <w:top w:val="nil"/>
              <w:left w:val="nil"/>
              <w:bottom w:val="single" w:sz="4" w:space="0" w:color="000000"/>
              <w:right w:val="single" w:sz="4" w:space="0" w:color="000000"/>
            </w:tcBorders>
            <w:shd w:val="clear" w:color="auto" w:fill="auto"/>
            <w:vAlign w:val="center"/>
          </w:tcPr>
          <w:p w14:paraId="5B7554B0"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1</w:t>
            </w:r>
          </w:p>
        </w:tc>
        <w:tc>
          <w:tcPr>
            <w:tcW w:w="1363" w:type="dxa"/>
            <w:tcBorders>
              <w:top w:val="nil"/>
              <w:left w:val="nil"/>
              <w:bottom w:val="single" w:sz="4" w:space="0" w:color="000000"/>
              <w:right w:val="single" w:sz="4" w:space="0" w:color="000000"/>
            </w:tcBorders>
            <w:shd w:val="clear" w:color="auto" w:fill="auto"/>
            <w:vAlign w:val="center"/>
          </w:tcPr>
          <w:p w14:paraId="3F3EB935"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1.817</w:t>
            </w:r>
          </w:p>
        </w:tc>
        <w:tc>
          <w:tcPr>
            <w:tcW w:w="968" w:type="dxa"/>
            <w:tcBorders>
              <w:top w:val="nil"/>
              <w:left w:val="nil"/>
              <w:bottom w:val="single" w:sz="4" w:space="0" w:color="000000"/>
              <w:right w:val="single" w:sz="4" w:space="0" w:color="000000"/>
            </w:tcBorders>
            <w:shd w:val="clear" w:color="auto" w:fill="auto"/>
            <w:vAlign w:val="center"/>
          </w:tcPr>
          <w:p w14:paraId="6453F4DA"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1.933</w:t>
            </w:r>
          </w:p>
        </w:tc>
        <w:tc>
          <w:tcPr>
            <w:tcW w:w="970" w:type="dxa"/>
            <w:tcBorders>
              <w:top w:val="nil"/>
              <w:left w:val="nil"/>
              <w:bottom w:val="single" w:sz="4" w:space="0" w:color="000000"/>
              <w:right w:val="single" w:sz="12" w:space="0" w:color="000000"/>
            </w:tcBorders>
            <w:shd w:val="clear" w:color="auto" w:fill="auto"/>
            <w:vAlign w:val="center"/>
          </w:tcPr>
          <w:p w14:paraId="03E53DCB" w14:textId="77777777" w:rsidR="009968E0" w:rsidRPr="009968E0" w:rsidRDefault="009968E0" w:rsidP="009968E0">
            <w:pPr>
              <w:jc w:val="right"/>
              <w:rPr>
                <w:rFonts w:ascii="Calibri" w:eastAsia="Times New Roman" w:hAnsi="Calibri" w:cs="Calibri"/>
                <w:i/>
                <w:iCs/>
                <w:color w:val="000000"/>
                <w:sz w:val="21"/>
                <w:szCs w:val="21"/>
                <w:vertAlign w:val="superscript"/>
                <w:lang w:eastAsia="en-GB"/>
              </w:rPr>
            </w:pPr>
            <w:r w:rsidRPr="009968E0">
              <w:rPr>
                <w:rFonts w:ascii="Calibri" w:eastAsia="Times New Roman" w:hAnsi="Calibri" w:cs="Calibri"/>
                <w:i/>
                <w:iCs/>
                <w:color w:val="000000"/>
                <w:sz w:val="21"/>
                <w:szCs w:val="21"/>
                <w:lang w:eastAsia="en-GB"/>
              </w:rPr>
              <w:t>.169</w:t>
            </w:r>
            <w:r w:rsidRPr="009968E0">
              <w:rPr>
                <w:rFonts w:ascii="Calibri" w:eastAsia="Times New Roman" w:hAnsi="Calibri" w:cs="Calibri"/>
                <w:i/>
                <w:iCs/>
                <w:color w:val="000000"/>
                <w:sz w:val="21"/>
                <w:szCs w:val="21"/>
                <w:vertAlign w:val="superscript"/>
                <w:lang w:eastAsia="en-GB"/>
              </w:rPr>
              <w:t>a</w:t>
            </w:r>
          </w:p>
        </w:tc>
      </w:tr>
      <w:tr w:rsidR="009968E0" w:rsidRPr="009968E0" w14:paraId="7D57F5C1" w14:textId="77777777" w:rsidTr="009968E0">
        <w:trPr>
          <w:trHeight w:val="360"/>
        </w:trPr>
        <w:tc>
          <w:tcPr>
            <w:tcW w:w="1733" w:type="dxa"/>
            <w:vMerge w:val="restart"/>
            <w:tcBorders>
              <w:top w:val="nil"/>
              <w:left w:val="single" w:sz="12" w:space="0" w:color="000000"/>
              <w:bottom w:val="single" w:sz="4" w:space="0" w:color="000000"/>
              <w:right w:val="nil"/>
            </w:tcBorders>
            <w:shd w:val="clear" w:color="auto" w:fill="FDE9D9"/>
          </w:tcPr>
          <w:p w14:paraId="30F4FDA8" w14:textId="77777777" w:rsidR="009968E0" w:rsidRPr="009968E0" w:rsidRDefault="009968E0" w:rsidP="009968E0">
            <w:pPr>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MTT-RINS2</w:t>
            </w:r>
          </w:p>
        </w:tc>
        <w:tc>
          <w:tcPr>
            <w:tcW w:w="1671" w:type="dxa"/>
            <w:tcBorders>
              <w:top w:val="nil"/>
              <w:left w:val="nil"/>
              <w:bottom w:val="nil"/>
              <w:right w:val="single" w:sz="12" w:space="0" w:color="000000"/>
            </w:tcBorders>
            <w:shd w:val="clear" w:color="auto" w:fill="auto"/>
          </w:tcPr>
          <w:p w14:paraId="41B3D8F1" w14:textId="77777777" w:rsidR="009968E0" w:rsidRPr="009968E0" w:rsidRDefault="009968E0" w:rsidP="009968E0">
            <w:pPr>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Corrected Model</w:t>
            </w:r>
          </w:p>
        </w:tc>
        <w:tc>
          <w:tcPr>
            <w:tcW w:w="1390" w:type="dxa"/>
            <w:tcBorders>
              <w:top w:val="nil"/>
              <w:left w:val="nil"/>
              <w:bottom w:val="nil"/>
              <w:right w:val="single" w:sz="4" w:space="0" w:color="000000"/>
            </w:tcBorders>
            <w:shd w:val="clear" w:color="auto" w:fill="auto"/>
            <w:vAlign w:val="center"/>
          </w:tcPr>
          <w:p w14:paraId="2B967742"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9.476</w:t>
            </w:r>
            <w:r w:rsidRPr="009968E0">
              <w:rPr>
                <w:rFonts w:ascii="Calibri" w:eastAsia="Times New Roman" w:hAnsi="Calibri" w:cs="Calibri"/>
                <w:i/>
                <w:iCs/>
                <w:color w:val="000000"/>
                <w:sz w:val="21"/>
                <w:szCs w:val="21"/>
                <w:vertAlign w:val="superscript"/>
                <w:lang w:eastAsia="en-GB"/>
              </w:rPr>
              <w:t>b</w:t>
            </w:r>
          </w:p>
        </w:tc>
        <w:tc>
          <w:tcPr>
            <w:tcW w:w="968" w:type="dxa"/>
            <w:tcBorders>
              <w:top w:val="nil"/>
              <w:left w:val="nil"/>
              <w:bottom w:val="nil"/>
              <w:right w:val="single" w:sz="4" w:space="0" w:color="000000"/>
            </w:tcBorders>
            <w:shd w:val="clear" w:color="auto" w:fill="auto"/>
            <w:vAlign w:val="center"/>
          </w:tcPr>
          <w:p w14:paraId="4669F36C"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4</w:t>
            </w:r>
          </w:p>
        </w:tc>
        <w:tc>
          <w:tcPr>
            <w:tcW w:w="1363" w:type="dxa"/>
            <w:tcBorders>
              <w:top w:val="nil"/>
              <w:left w:val="nil"/>
              <w:bottom w:val="nil"/>
              <w:right w:val="single" w:sz="4" w:space="0" w:color="000000"/>
            </w:tcBorders>
            <w:shd w:val="clear" w:color="auto" w:fill="auto"/>
            <w:vAlign w:val="center"/>
          </w:tcPr>
          <w:p w14:paraId="69AC44E8"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2.369</w:t>
            </w:r>
          </w:p>
        </w:tc>
        <w:tc>
          <w:tcPr>
            <w:tcW w:w="968" w:type="dxa"/>
            <w:tcBorders>
              <w:top w:val="nil"/>
              <w:left w:val="nil"/>
              <w:bottom w:val="nil"/>
              <w:right w:val="single" w:sz="4" w:space="0" w:color="000000"/>
            </w:tcBorders>
            <w:shd w:val="clear" w:color="auto" w:fill="auto"/>
            <w:vAlign w:val="center"/>
          </w:tcPr>
          <w:p w14:paraId="10DC6DD9"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2.199</w:t>
            </w:r>
          </w:p>
        </w:tc>
        <w:tc>
          <w:tcPr>
            <w:tcW w:w="970" w:type="dxa"/>
            <w:tcBorders>
              <w:top w:val="nil"/>
              <w:left w:val="nil"/>
              <w:bottom w:val="nil"/>
              <w:right w:val="single" w:sz="12" w:space="0" w:color="000000"/>
            </w:tcBorders>
            <w:shd w:val="clear" w:color="auto" w:fill="auto"/>
            <w:vAlign w:val="center"/>
          </w:tcPr>
          <w:p w14:paraId="736ED115"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.078</w:t>
            </w:r>
          </w:p>
        </w:tc>
      </w:tr>
      <w:tr w:rsidR="009968E0" w:rsidRPr="009968E0" w14:paraId="42B777E7" w14:textId="77777777" w:rsidTr="009968E0">
        <w:trPr>
          <w:trHeight w:val="360"/>
        </w:trPr>
        <w:tc>
          <w:tcPr>
            <w:tcW w:w="1733" w:type="dxa"/>
            <w:vMerge/>
            <w:tcBorders>
              <w:top w:val="nil"/>
              <w:left w:val="single" w:sz="12" w:space="0" w:color="000000"/>
              <w:bottom w:val="single" w:sz="4" w:space="0" w:color="000000"/>
              <w:right w:val="nil"/>
            </w:tcBorders>
            <w:shd w:val="clear" w:color="auto" w:fill="FDE9D9"/>
          </w:tcPr>
          <w:p w14:paraId="327BF94E"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1"/>
                <w:szCs w:val="21"/>
                <w:lang w:eastAsia="en-GB"/>
              </w:rPr>
            </w:pPr>
          </w:p>
        </w:tc>
        <w:tc>
          <w:tcPr>
            <w:tcW w:w="1671" w:type="dxa"/>
            <w:tcBorders>
              <w:top w:val="nil"/>
              <w:left w:val="nil"/>
              <w:bottom w:val="nil"/>
              <w:right w:val="single" w:sz="12" w:space="0" w:color="000000"/>
            </w:tcBorders>
            <w:shd w:val="clear" w:color="auto" w:fill="auto"/>
          </w:tcPr>
          <w:p w14:paraId="5917F97B" w14:textId="77777777" w:rsidR="009968E0" w:rsidRPr="009968E0" w:rsidRDefault="009968E0" w:rsidP="009968E0">
            <w:pPr>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Intercept</w:t>
            </w:r>
          </w:p>
        </w:tc>
        <w:tc>
          <w:tcPr>
            <w:tcW w:w="1390" w:type="dxa"/>
            <w:tcBorders>
              <w:top w:val="nil"/>
              <w:left w:val="nil"/>
              <w:bottom w:val="nil"/>
              <w:right w:val="single" w:sz="4" w:space="0" w:color="000000"/>
            </w:tcBorders>
            <w:shd w:val="clear" w:color="auto" w:fill="auto"/>
            <w:vAlign w:val="center"/>
          </w:tcPr>
          <w:p w14:paraId="07CABCDA"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28.642</w:t>
            </w:r>
          </w:p>
        </w:tc>
        <w:tc>
          <w:tcPr>
            <w:tcW w:w="968" w:type="dxa"/>
            <w:tcBorders>
              <w:top w:val="nil"/>
              <w:left w:val="nil"/>
              <w:bottom w:val="nil"/>
              <w:right w:val="single" w:sz="4" w:space="0" w:color="000000"/>
            </w:tcBorders>
            <w:shd w:val="clear" w:color="auto" w:fill="auto"/>
            <w:vAlign w:val="center"/>
          </w:tcPr>
          <w:p w14:paraId="07BBB085"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1</w:t>
            </w:r>
          </w:p>
        </w:tc>
        <w:tc>
          <w:tcPr>
            <w:tcW w:w="1363" w:type="dxa"/>
            <w:tcBorders>
              <w:top w:val="nil"/>
              <w:left w:val="nil"/>
              <w:bottom w:val="nil"/>
              <w:right w:val="single" w:sz="4" w:space="0" w:color="000000"/>
            </w:tcBorders>
            <w:shd w:val="clear" w:color="auto" w:fill="auto"/>
            <w:vAlign w:val="center"/>
          </w:tcPr>
          <w:p w14:paraId="466F9012"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28.642</w:t>
            </w:r>
          </w:p>
        </w:tc>
        <w:tc>
          <w:tcPr>
            <w:tcW w:w="968" w:type="dxa"/>
            <w:tcBorders>
              <w:top w:val="nil"/>
              <w:left w:val="nil"/>
              <w:bottom w:val="nil"/>
              <w:right w:val="single" w:sz="4" w:space="0" w:color="000000"/>
            </w:tcBorders>
            <w:shd w:val="clear" w:color="auto" w:fill="auto"/>
            <w:vAlign w:val="center"/>
          </w:tcPr>
          <w:p w14:paraId="40F6CD65"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26.581</w:t>
            </w:r>
          </w:p>
        </w:tc>
        <w:tc>
          <w:tcPr>
            <w:tcW w:w="970" w:type="dxa"/>
            <w:tcBorders>
              <w:top w:val="nil"/>
              <w:left w:val="nil"/>
              <w:bottom w:val="nil"/>
              <w:right w:val="single" w:sz="12" w:space="0" w:color="000000"/>
            </w:tcBorders>
            <w:shd w:val="clear" w:color="auto" w:fill="auto"/>
            <w:vAlign w:val="center"/>
          </w:tcPr>
          <w:p w14:paraId="573260C6"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.000</w:t>
            </w:r>
          </w:p>
        </w:tc>
      </w:tr>
      <w:tr w:rsidR="009968E0" w:rsidRPr="009968E0" w14:paraId="65911843" w14:textId="77777777" w:rsidTr="009968E0">
        <w:trPr>
          <w:trHeight w:val="360"/>
        </w:trPr>
        <w:tc>
          <w:tcPr>
            <w:tcW w:w="1733" w:type="dxa"/>
            <w:vMerge/>
            <w:tcBorders>
              <w:top w:val="nil"/>
              <w:left w:val="single" w:sz="12" w:space="0" w:color="000000"/>
              <w:bottom w:val="single" w:sz="4" w:space="0" w:color="000000"/>
              <w:right w:val="nil"/>
            </w:tcBorders>
            <w:shd w:val="clear" w:color="auto" w:fill="FDE9D9"/>
          </w:tcPr>
          <w:p w14:paraId="137FA8F2"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1"/>
                <w:szCs w:val="21"/>
                <w:lang w:eastAsia="en-GB"/>
              </w:rPr>
            </w:pPr>
          </w:p>
        </w:tc>
        <w:tc>
          <w:tcPr>
            <w:tcW w:w="1671" w:type="dxa"/>
            <w:tcBorders>
              <w:top w:val="nil"/>
              <w:left w:val="nil"/>
              <w:bottom w:val="nil"/>
              <w:right w:val="single" w:sz="12" w:space="0" w:color="000000"/>
            </w:tcBorders>
            <w:shd w:val="clear" w:color="auto" w:fill="auto"/>
          </w:tcPr>
          <w:p w14:paraId="2380FF18" w14:textId="77777777" w:rsidR="009968E0" w:rsidRPr="009968E0" w:rsidRDefault="009968E0" w:rsidP="009968E0">
            <w:pPr>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GROUP</w:t>
            </w:r>
          </w:p>
        </w:tc>
        <w:tc>
          <w:tcPr>
            <w:tcW w:w="1390" w:type="dxa"/>
            <w:tcBorders>
              <w:top w:val="nil"/>
              <w:left w:val="nil"/>
              <w:bottom w:val="nil"/>
              <w:right w:val="single" w:sz="4" w:space="0" w:color="000000"/>
            </w:tcBorders>
            <w:shd w:val="clear" w:color="auto" w:fill="auto"/>
            <w:vAlign w:val="center"/>
          </w:tcPr>
          <w:p w14:paraId="26C6F185"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8.253</w:t>
            </w:r>
          </w:p>
        </w:tc>
        <w:tc>
          <w:tcPr>
            <w:tcW w:w="968" w:type="dxa"/>
            <w:tcBorders>
              <w:top w:val="nil"/>
              <w:left w:val="nil"/>
              <w:bottom w:val="nil"/>
              <w:right w:val="single" w:sz="4" w:space="0" w:color="000000"/>
            </w:tcBorders>
            <w:shd w:val="clear" w:color="auto" w:fill="auto"/>
            <w:vAlign w:val="center"/>
          </w:tcPr>
          <w:p w14:paraId="392C3ED4"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3</w:t>
            </w:r>
          </w:p>
        </w:tc>
        <w:tc>
          <w:tcPr>
            <w:tcW w:w="1363" w:type="dxa"/>
            <w:tcBorders>
              <w:top w:val="nil"/>
              <w:left w:val="nil"/>
              <w:bottom w:val="nil"/>
              <w:right w:val="single" w:sz="4" w:space="0" w:color="000000"/>
            </w:tcBorders>
            <w:shd w:val="clear" w:color="auto" w:fill="auto"/>
            <w:vAlign w:val="center"/>
          </w:tcPr>
          <w:p w14:paraId="717317BD"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2.751</w:t>
            </w:r>
          </w:p>
        </w:tc>
        <w:tc>
          <w:tcPr>
            <w:tcW w:w="968" w:type="dxa"/>
            <w:tcBorders>
              <w:top w:val="nil"/>
              <w:left w:val="nil"/>
              <w:bottom w:val="nil"/>
              <w:right w:val="single" w:sz="4" w:space="0" w:color="000000"/>
            </w:tcBorders>
            <w:shd w:val="clear" w:color="auto" w:fill="auto"/>
            <w:vAlign w:val="center"/>
          </w:tcPr>
          <w:p w14:paraId="6762ADDC"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2.553</w:t>
            </w:r>
          </w:p>
        </w:tc>
        <w:tc>
          <w:tcPr>
            <w:tcW w:w="970" w:type="dxa"/>
            <w:tcBorders>
              <w:top w:val="nil"/>
              <w:left w:val="nil"/>
              <w:bottom w:val="nil"/>
              <w:right w:val="single" w:sz="12" w:space="0" w:color="000000"/>
            </w:tcBorders>
            <w:shd w:val="clear" w:color="auto" w:fill="auto"/>
            <w:vAlign w:val="center"/>
          </w:tcPr>
          <w:p w14:paraId="4FB4C908"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.063</w:t>
            </w:r>
          </w:p>
        </w:tc>
      </w:tr>
      <w:tr w:rsidR="009968E0" w:rsidRPr="009968E0" w14:paraId="49392DF5" w14:textId="77777777" w:rsidTr="009968E0">
        <w:trPr>
          <w:trHeight w:val="360"/>
        </w:trPr>
        <w:tc>
          <w:tcPr>
            <w:tcW w:w="1733" w:type="dxa"/>
            <w:vMerge/>
            <w:tcBorders>
              <w:top w:val="nil"/>
              <w:left w:val="single" w:sz="12" w:space="0" w:color="000000"/>
              <w:bottom w:val="single" w:sz="4" w:space="0" w:color="000000"/>
              <w:right w:val="nil"/>
            </w:tcBorders>
            <w:shd w:val="clear" w:color="auto" w:fill="FDE9D9"/>
          </w:tcPr>
          <w:p w14:paraId="0A5CB2D0"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1"/>
                <w:szCs w:val="21"/>
                <w:lang w:eastAsia="en-GB"/>
              </w:rPr>
            </w:pPr>
          </w:p>
        </w:tc>
        <w:tc>
          <w:tcPr>
            <w:tcW w:w="1671" w:type="dxa"/>
            <w:tcBorders>
              <w:top w:val="nil"/>
              <w:left w:val="nil"/>
              <w:bottom w:val="single" w:sz="4" w:space="0" w:color="000000"/>
              <w:right w:val="single" w:sz="12" w:space="0" w:color="000000"/>
            </w:tcBorders>
            <w:shd w:val="clear" w:color="auto" w:fill="auto"/>
          </w:tcPr>
          <w:p w14:paraId="21447B54" w14:textId="77777777" w:rsidR="009968E0" w:rsidRPr="009968E0" w:rsidRDefault="009968E0" w:rsidP="009968E0">
            <w:pPr>
              <w:rPr>
                <w:rFonts w:ascii="Calibri" w:eastAsia="Times New Roman" w:hAnsi="Calibri" w:cs="Calibri"/>
                <w:i/>
                <w:iCs/>
                <w:color w:val="000000"/>
                <w:sz w:val="21"/>
                <w:szCs w:val="21"/>
                <w:lang w:eastAsia="en-GB"/>
              </w:rPr>
            </w:pPr>
            <w:proofErr w:type="spellStart"/>
            <w:r w:rsidRPr="009968E0">
              <w:rPr>
                <w:rFonts w:ascii="Calibri" w:eastAsia="Times New Roman" w:hAnsi="Calibri" w:cs="Calibri"/>
                <w:i/>
                <w:iCs/>
                <w:color w:val="000000"/>
                <w:sz w:val="21"/>
                <w:szCs w:val="21"/>
                <w:lang w:eastAsia="en-GB"/>
              </w:rPr>
              <w:t>BP_diastolic</w:t>
            </w:r>
            <w:proofErr w:type="spellEnd"/>
          </w:p>
        </w:tc>
        <w:tc>
          <w:tcPr>
            <w:tcW w:w="1390" w:type="dxa"/>
            <w:tcBorders>
              <w:top w:val="nil"/>
              <w:left w:val="nil"/>
              <w:bottom w:val="single" w:sz="4" w:space="0" w:color="000000"/>
              <w:right w:val="single" w:sz="4" w:space="0" w:color="000000"/>
            </w:tcBorders>
            <w:shd w:val="clear" w:color="auto" w:fill="auto"/>
            <w:vAlign w:val="center"/>
          </w:tcPr>
          <w:p w14:paraId="5B3C0DF8"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.106</w:t>
            </w:r>
          </w:p>
        </w:tc>
        <w:tc>
          <w:tcPr>
            <w:tcW w:w="968" w:type="dxa"/>
            <w:tcBorders>
              <w:top w:val="nil"/>
              <w:left w:val="nil"/>
              <w:bottom w:val="single" w:sz="4" w:space="0" w:color="000000"/>
              <w:right w:val="single" w:sz="4" w:space="0" w:color="000000"/>
            </w:tcBorders>
            <w:shd w:val="clear" w:color="auto" w:fill="auto"/>
            <w:vAlign w:val="center"/>
          </w:tcPr>
          <w:p w14:paraId="29F0D5BC"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1</w:t>
            </w:r>
          </w:p>
        </w:tc>
        <w:tc>
          <w:tcPr>
            <w:tcW w:w="1363" w:type="dxa"/>
            <w:tcBorders>
              <w:top w:val="nil"/>
              <w:left w:val="nil"/>
              <w:bottom w:val="single" w:sz="4" w:space="0" w:color="000000"/>
              <w:right w:val="single" w:sz="4" w:space="0" w:color="000000"/>
            </w:tcBorders>
            <w:shd w:val="clear" w:color="auto" w:fill="auto"/>
            <w:vAlign w:val="center"/>
          </w:tcPr>
          <w:p w14:paraId="174463B1"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.106</w:t>
            </w:r>
          </w:p>
        </w:tc>
        <w:tc>
          <w:tcPr>
            <w:tcW w:w="968" w:type="dxa"/>
            <w:tcBorders>
              <w:top w:val="nil"/>
              <w:left w:val="nil"/>
              <w:bottom w:val="single" w:sz="4" w:space="0" w:color="000000"/>
              <w:right w:val="single" w:sz="4" w:space="0" w:color="000000"/>
            </w:tcBorders>
            <w:shd w:val="clear" w:color="auto" w:fill="auto"/>
            <w:vAlign w:val="center"/>
          </w:tcPr>
          <w:p w14:paraId="35B14156"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.099</w:t>
            </w:r>
          </w:p>
        </w:tc>
        <w:tc>
          <w:tcPr>
            <w:tcW w:w="970" w:type="dxa"/>
            <w:tcBorders>
              <w:top w:val="nil"/>
              <w:left w:val="nil"/>
              <w:bottom w:val="single" w:sz="4" w:space="0" w:color="000000"/>
              <w:right w:val="single" w:sz="12" w:space="0" w:color="000000"/>
            </w:tcBorders>
            <w:shd w:val="clear" w:color="auto" w:fill="auto"/>
            <w:vAlign w:val="center"/>
          </w:tcPr>
          <w:p w14:paraId="6C245762" w14:textId="77777777" w:rsidR="009968E0" w:rsidRPr="009968E0" w:rsidRDefault="009968E0" w:rsidP="009968E0">
            <w:pPr>
              <w:jc w:val="right"/>
              <w:rPr>
                <w:rFonts w:ascii="Calibri" w:eastAsia="Times New Roman" w:hAnsi="Calibri" w:cs="Calibri"/>
                <w:i/>
                <w:iCs/>
                <w:color w:val="000000"/>
                <w:sz w:val="21"/>
                <w:szCs w:val="21"/>
                <w:vertAlign w:val="superscript"/>
                <w:lang w:eastAsia="en-GB"/>
              </w:rPr>
            </w:pPr>
            <w:r w:rsidRPr="009968E0">
              <w:rPr>
                <w:rFonts w:ascii="Calibri" w:eastAsia="Times New Roman" w:hAnsi="Calibri" w:cs="Calibri"/>
                <w:i/>
                <w:iCs/>
                <w:color w:val="000000"/>
                <w:sz w:val="21"/>
                <w:szCs w:val="21"/>
                <w:lang w:eastAsia="en-GB"/>
              </w:rPr>
              <w:t>.755</w:t>
            </w:r>
            <w:r w:rsidRPr="009968E0">
              <w:rPr>
                <w:rFonts w:ascii="Calibri" w:eastAsia="Times New Roman" w:hAnsi="Calibri" w:cs="Calibri"/>
                <w:i/>
                <w:iCs/>
                <w:color w:val="000000"/>
                <w:sz w:val="21"/>
                <w:szCs w:val="21"/>
                <w:vertAlign w:val="superscript"/>
                <w:lang w:eastAsia="en-GB"/>
              </w:rPr>
              <w:t>a</w:t>
            </w:r>
          </w:p>
        </w:tc>
      </w:tr>
      <w:tr w:rsidR="009968E0" w:rsidRPr="009968E0" w14:paraId="383861A9" w14:textId="77777777" w:rsidTr="009968E0">
        <w:trPr>
          <w:trHeight w:val="360"/>
        </w:trPr>
        <w:tc>
          <w:tcPr>
            <w:tcW w:w="1733" w:type="dxa"/>
            <w:vMerge w:val="restart"/>
            <w:tcBorders>
              <w:top w:val="nil"/>
              <w:left w:val="single" w:sz="12" w:space="0" w:color="000000"/>
              <w:bottom w:val="single" w:sz="4" w:space="0" w:color="000000"/>
              <w:right w:val="nil"/>
            </w:tcBorders>
            <w:shd w:val="clear" w:color="auto" w:fill="FDE9D9"/>
          </w:tcPr>
          <w:p w14:paraId="31A4E473" w14:textId="77777777" w:rsidR="009968E0" w:rsidRPr="009968E0" w:rsidRDefault="009968E0" w:rsidP="009968E0">
            <w:pPr>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MTT-LPSC2</w:t>
            </w:r>
          </w:p>
        </w:tc>
        <w:tc>
          <w:tcPr>
            <w:tcW w:w="1671" w:type="dxa"/>
            <w:tcBorders>
              <w:top w:val="nil"/>
              <w:left w:val="nil"/>
              <w:bottom w:val="nil"/>
              <w:right w:val="single" w:sz="12" w:space="0" w:color="000000"/>
            </w:tcBorders>
            <w:shd w:val="clear" w:color="auto" w:fill="auto"/>
          </w:tcPr>
          <w:p w14:paraId="1DDCDE74" w14:textId="77777777" w:rsidR="009968E0" w:rsidRPr="009968E0" w:rsidRDefault="009968E0" w:rsidP="009968E0">
            <w:pPr>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Corrected Model</w:t>
            </w:r>
          </w:p>
        </w:tc>
        <w:tc>
          <w:tcPr>
            <w:tcW w:w="1390" w:type="dxa"/>
            <w:tcBorders>
              <w:top w:val="nil"/>
              <w:left w:val="nil"/>
              <w:bottom w:val="nil"/>
              <w:right w:val="single" w:sz="4" w:space="0" w:color="000000"/>
            </w:tcBorders>
            <w:shd w:val="clear" w:color="auto" w:fill="auto"/>
            <w:vAlign w:val="center"/>
          </w:tcPr>
          <w:p w14:paraId="3D4ED757"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15.881</w:t>
            </w:r>
            <w:r w:rsidRPr="009968E0">
              <w:rPr>
                <w:rFonts w:ascii="Calibri" w:eastAsia="Times New Roman" w:hAnsi="Calibri" w:cs="Calibri"/>
                <w:i/>
                <w:iCs/>
                <w:color w:val="000000"/>
                <w:sz w:val="21"/>
                <w:szCs w:val="21"/>
                <w:vertAlign w:val="superscript"/>
                <w:lang w:eastAsia="en-GB"/>
              </w:rPr>
              <w:t>c</w:t>
            </w:r>
          </w:p>
        </w:tc>
        <w:tc>
          <w:tcPr>
            <w:tcW w:w="968" w:type="dxa"/>
            <w:tcBorders>
              <w:top w:val="nil"/>
              <w:left w:val="nil"/>
              <w:bottom w:val="nil"/>
              <w:right w:val="single" w:sz="4" w:space="0" w:color="000000"/>
            </w:tcBorders>
            <w:shd w:val="clear" w:color="auto" w:fill="auto"/>
            <w:vAlign w:val="center"/>
          </w:tcPr>
          <w:p w14:paraId="14A7FE39"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4</w:t>
            </w:r>
          </w:p>
        </w:tc>
        <w:tc>
          <w:tcPr>
            <w:tcW w:w="1363" w:type="dxa"/>
            <w:tcBorders>
              <w:top w:val="nil"/>
              <w:left w:val="nil"/>
              <w:bottom w:val="nil"/>
              <w:right w:val="single" w:sz="4" w:space="0" w:color="000000"/>
            </w:tcBorders>
            <w:shd w:val="clear" w:color="auto" w:fill="auto"/>
            <w:vAlign w:val="center"/>
          </w:tcPr>
          <w:p w14:paraId="0BD08D7A"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3.970</w:t>
            </w:r>
          </w:p>
        </w:tc>
        <w:tc>
          <w:tcPr>
            <w:tcW w:w="968" w:type="dxa"/>
            <w:tcBorders>
              <w:top w:val="nil"/>
              <w:left w:val="nil"/>
              <w:bottom w:val="nil"/>
              <w:right w:val="single" w:sz="4" w:space="0" w:color="000000"/>
            </w:tcBorders>
            <w:shd w:val="clear" w:color="auto" w:fill="auto"/>
            <w:vAlign w:val="center"/>
          </w:tcPr>
          <w:p w14:paraId="5AD040B5"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2.751</w:t>
            </w:r>
          </w:p>
        </w:tc>
        <w:tc>
          <w:tcPr>
            <w:tcW w:w="970" w:type="dxa"/>
            <w:tcBorders>
              <w:top w:val="nil"/>
              <w:left w:val="nil"/>
              <w:bottom w:val="nil"/>
              <w:right w:val="single" w:sz="12" w:space="0" w:color="000000"/>
            </w:tcBorders>
            <w:shd w:val="clear" w:color="auto" w:fill="auto"/>
            <w:vAlign w:val="center"/>
          </w:tcPr>
          <w:p w14:paraId="024F5339"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.035</w:t>
            </w:r>
          </w:p>
        </w:tc>
      </w:tr>
      <w:tr w:rsidR="009968E0" w:rsidRPr="009968E0" w14:paraId="4622972D" w14:textId="77777777" w:rsidTr="009968E0">
        <w:trPr>
          <w:trHeight w:val="360"/>
        </w:trPr>
        <w:tc>
          <w:tcPr>
            <w:tcW w:w="1733" w:type="dxa"/>
            <w:vMerge/>
            <w:tcBorders>
              <w:top w:val="nil"/>
              <w:left w:val="single" w:sz="12" w:space="0" w:color="000000"/>
              <w:bottom w:val="single" w:sz="4" w:space="0" w:color="000000"/>
              <w:right w:val="nil"/>
            </w:tcBorders>
            <w:shd w:val="clear" w:color="auto" w:fill="FDE9D9"/>
          </w:tcPr>
          <w:p w14:paraId="660773D3"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1"/>
                <w:szCs w:val="21"/>
                <w:lang w:eastAsia="en-GB"/>
              </w:rPr>
            </w:pPr>
          </w:p>
        </w:tc>
        <w:tc>
          <w:tcPr>
            <w:tcW w:w="1671" w:type="dxa"/>
            <w:tcBorders>
              <w:top w:val="nil"/>
              <w:left w:val="nil"/>
              <w:bottom w:val="nil"/>
              <w:right w:val="single" w:sz="12" w:space="0" w:color="000000"/>
            </w:tcBorders>
            <w:shd w:val="clear" w:color="auto" w:fill="auto"/>
          </w:tcPr>
          <w:p w14:paraId="46F357EB" w14:textId="77777777" w:rsidR="009968E0" w:rsidRPr="009968E0" w:rsidRDefault="009968E0" w:rsidP="009968E0">
            <w:pPr>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Intercept</w:t>
            </w:r>
          </w:p>
        </w:tc>
        <w:tc>
          <w:tcPr>
            <w:tcW w:w="1390" w:type="dxa"/>
            <w:tcBorders>
              <w:top w:val="nil"/>
              <w:left w:val="nil"/>
              <w:bottom w:val="nil"/>
              <w:right w:val="single" w:sz="4" w:space="0" w:color="000000"/>
            </w:tcBorders>
            <w:shd w:val="clear" w:color="auto" w:fill="auto"/>
            <w:vAlign w:val="center"/>
          </w:tcPr>
          <w:p w14:paraId="0080AC4A"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27.750</w:t>
            </w:r>
          </w:p>
        </w:tc>
        <w:tc>
          <w:tcPr>
            <w:tcW w:w="968" w:type="dxa"/>
            <w:tcBorders>
              <w:top w:val="nil"/>
              <w:left w:val="nil"/>
              <w:bottom w:val="nil"/>
              <w:right w:val="single" w:sz="4" w:space="0" w:color="000000"/>
            </w:tcBorders>
            <w:shd w:val="clear" w:color="auto" w:fill="auto"/>
            <w:vAlign w:val="center"/>
          </w:tcPr>
          <w:p w14:paraId="635E4528"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1</w:t>
            </w:r>
          </w:p>
        </w:tc>
        <w:tc>
          <w:tcPr>
            <w:tcW w:w="1363" w:type="dxa"/>
            <w:tcBorders>
              <w:top w:val="nil"/>
              <w:left w:val="nil"/>
              <w:bottom w:val="nil"/>
              <w:right w:val="single" w:sz="4" w:space="0" w:color="000000"/>
            </w:tcBorders>
            <w:shd w:val="clear" w:color="auto" w:fill="auto"/>
            <w:vAlign w:val="center"/>
          </w:tcPr>
          <w:p w14:paraId="32900B2A"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27.750</w:t>
            </w:r>
          </w:p>
        </w:tc>
        <w:tc>
          <w:tcPr>
            <w:tcW w:w="968" w:type="dxa"/>
            <w:tcBorders>
              <w:top w:val="nil"/>
              <w:left w:val="nil"/>
              <w:bottom w:val="nil"/>
              <w:right w:val="single" w:sz="4" w:space="0" w:color="000000"/>
            </w:tcBorders>
            <w:shd w:val="clear" w:color="auto" w:fill="auto"/>
            <w:vAlign w:val="center"/>
          </w:tcPr>
          <w:p w14:paraId="5B092452"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19.230</w:t>
            </w:r>
          </w:p>
        </w:tc>
        <w:tc>
          <w:tcPr>
            <w:tcW w:w="970" w:type="dxa"/>
            <w:tcBorders>
              <w:top w:val="nil"/>
              <w:left w:val="nil"/>
              <w:bottom w:val="nil"/>
              <w:right w:val="single" w:sz="12" w:space="0" w:color="000000"/>
            </w:tcBorders>
            <w:shd w:val="clear" w:color="auto" w:fill="auto"/>
            <w:vAlign w:val="center"/>
          </w:tcPr>
          <w:p w14:paraId="08C3445F"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.000</w:t>
            </w:r>
          </w:p>
        </w:tc>
      </w:tr>
      <w:tr w:rsidR="009968E0" w:rsidRPr="009968E0" w14:paraId="2418DF1C" w14:textId="77777777" w:rsidTr="009968E0">
        <w:trPr>
          <w:trHeight w:val="360"/>
        </w:trPr>
        <w:tc>
          <w:tcPr>
            <w:tcW w:w="1733" w:type="dxa"/>
            <w:vMerge/>
            <w:tcBorders>
              <w:top w:val="nil"/>
              <w:left w:val="single" w:sz="12" w:space="0" w:color="000000"/>
              <w:bottom w:val="single" w:sz="4" w:space="0" w:color="000000"/>
              <w:right w:val="nil"/>
            </w:tcBorders>
            <w:shd w:val="clear" w:color="auto" w:fill="FDE9D9"/>
          </w:tcPr>
          <w:p w14:paraId="380E68B3"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1"/>
                <w:szCs w:val="21"/>
                <w:lang w:eastAsia="en-GB"/>
              </w:rPr>
            </w:pPr>
          </w:p>
        </w:tc>
        <w:tc>
          <w:tcPr>
            <w:tcW w:w="1671" w:type="dxa"/>
            <w:tcBorders>
              <w:top w:val="nil"/>
              <w:left w:val="nil"/>
              <w:bottom w:val="nil"/>
              <w:right w:val="single" w:sz="12" w:space="0" w:color="000000"/>
            </w:tcBorders>
            <w:shd w:val="clear" w:color="auto" w:fill="auto"/>
          </w:tcPr>
          <w:p w14:paraId="1BD35C38" w14:textId="77777777" w:rsidR="009968E0" w:rsidRPr="009968E0" w:rsidRDefault="009968E0" w:rsidP="009968E0">
            <w:pPr>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GROUP</w:t>
            </w:r>
          </w:p>
        </w:tc>
        <w:tc>
          <w:tcPr>
            <w:tcW w:w="1390" w:type="dxa"/>
            <w:tcBorders>
              <w:top w:val="nil"/>
              <w:left w:val="nil"/>
              <w:bottom w:val="nil"/>
              <w:right w:val="single" w:sz="4" w:space="0" w:color="000000"/>
            </w:tcBorders>
            <w:shd w:val="clear" w:color="auto" w:fill="auto"/>
            <w:vAlign w:val="center"/>
          </w:tcPr>
          <w:p w14:paraId="168584DF"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11.017</w:t>
            </w:r>
          </w:p>
        </w:tc>
        <w:tc>
          <w:tcPr>
            <w:tcW w:w="968" w:type="dxa"/>
            <w:tcBorders>
              <w:top w:val="nil"/>
              <w:left w:val="nil"/>
              <w:bottom w:val="nil"/>
              <w:right w:val="single" w:sz="4" w:space="0" w:color="000000"/>
            </w:tcBorders>
            <w:shd w:val="clear" w:color="auto" w:fill="auto"/>
            <w:vAlign w:val="center"/>
          </w:tcPr>
          <w:p w14:paraId="1B471F27"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3</w:t>
            </w:r>
          </w:p>
        </w:tc>
        <w:tc>
          <w:tcPr>
            <w:tcW w:w="1363" w:type="dxa"/>
            <w:tcBorders>
              <w:top w:val="nil"/>
              <w:left w:val="nil"/>
              <w:bottom w:val="nil"/>
              <w:right w:val="single" w:sz="4" w:space="0" w:color="000000"/>
            </w:tcBorders>
            <w:shd w:val="clear" w:color="auto" w:fill="auto"/>
            <w:vAlign w:val="center"/>
          </w:tcPr>
          <w:p w14:paraId="1282E13B"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3.672</w:t>
            </w:r>
          </w:p>
        </w:tc>
        <w:tc>
          <w:tcPr>
            <w:tcW w:w="968" w:type="dxa"/>
            <w:tcBorders>
              <w:top w:val="nil"/>
              <w:left w:val="nil"/>
              <w:bottom w:val="nil"/>
              <w:right w:val="single" w:sz="4" w:space="0" w:color="000000"/>
            </w:tcBorders>
            <w:shd w:val="clear" w:color="auto" w:fill="auto"/>
            <w:vAlign w:val="center"/>
          </w:tcPr>
          <w:p w14:paraId="4207418A"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2.545</w:t>
            </w:r>
          </w:p>
        </w:tc>
        <w:tc>
          <w:tcPr>
            <w:tcW w:w="970" w:type="dxa"/>
            <w:tcBorders>
              <w:top w:val="nil"/>
              <w:left w:val="nil"/>
              <w:bottom w:val="nil"/>
              <w:right w:val="single" w:sz="12" w:space="0" w:color="000000"/>
            </w:tcBorders>
            <w:shd w:val="clear" w:color="auto" w:fill="auto"/>
            <w:vAlign w:val="center"/>
          </w:tcPr>
          <w:p w14:paraId="2B6A3250"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.063</w:t>
            </w:r>
          </w:p>
        </w:tc>
      </w:tr>
      <w:tr w:rsidR="009968E0" w:rsidRPr="009968E0" w14:paraId="182D66E2" w14:textId="77777777" w:rsidTr="009968E0">
        <w:trPr>
          <w:trHeight w:val="360"/>
        </w:trPr>
        <w:tc>
          <w:tcPr>
            <w:tcW w:w="1733" w:type="dxa"/>
            <w:vMerge/>
            <w:tcBorders>
              <w:top w:val="nil"/>
              <w:left w:val="single" w:sz="12" w:space="0" w:color="000000"/>
              <w:bottom w:val="single" w:sz="4" w:space="0" w:color="000000"/>
              <w:right w:val="nil"/>
            </w:tcBorders>
            <w:shd w:val="clear" w:color="auto" w:fill="FDE9D9"/>
          </w:tcPr>
          <w:p w14:paraId="693409EA"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1"/>
                <w:szCs w:val="21"/>
                <w:lang w:eastAsia="en-GB"/>
              </w:rPr>
            </w:pPr>
          </w:p>
        </w:tc>
        <w:tc>
          <w:tcPr>
            <w:tcW w:w="1671" w:type="dxa"/>
            <w:tcBorders>
              <w:top w:val="nil"/>
              <w:left w:val="nil"/>
              <w:bottom w:val="single" w:sz="4" w:space="0" w:color="000000"/>
              <w:right w:val="single" w:sz="12" w:space="0" w:color="000000"/>
            </w:tcBorders>
            <w:shd w:val="clear" w:color="auto" w:fill="auto"/>
          </w:tcPr>
          <w:p w14:paraId="0C6D408F" w14:textId="77777777" w:rsidR="009968E0" w:rsidRPr="009968E0" w:rsidRDefault="009968E0" w:rsidP="009968E0">
            <w:pPr>
              <w:rPr>
                <w:rFonts w:ascii="Calibri" w:eastAsia="Times New Roman" w:hAnsi="Calibri" w:cs="Calibri"/>
                <w:i/>
                <w:iCs/>
                <w:color w:val="000000"/>
                <w:sz w:val="21"/>
                <w:szCs w:val="21"/>
                <w:lang w:eastAsia="en-GB"/>
              </w:rPr>
            </w:pPr>
            <w:proofErr w:type="spellStart"/>
            <w:r w:rsidRPr="009968E0">
              <w:rPr>
                <w:rFonts w:ascii="Calibri" w:eastAsia="Times New Roman" w:hAnsi="Calibri" w:cs="Calibri"/>
                <w:i/>
                <w:iCs/>
                <w:color w:val="000000"/>
                <w:sz w:val="21"/>
                <w:szCs w:val="21"/>
                <w:lang w:eastAsia="en-GB"/>
              </w:rPr>
              <w:t>BP_diastolic</w:t>
            </w:r>
            <w:proofErr w:type="spellEnd"/>
          </w:p>
        </w:tc>
        <w:tc>
          <w:tcPr>
            <w:tcW w:w="1390" w:type="dxa"/>
            <w:tcBorders>
              <w:top w:val="nil"/>
              <w:left w:val="nil"/>
              <w:bottom w:val="single" w:sz="4" w:space="0" w:color="000000"/>
              <w:right w:val="single" w:sz="4" w:space="0" w:color="000000"/>
            </w:tcBorders>
            <w:shd w:val="clear" w:color="auto" w:fill="auto"/>
            <w:vAlign w:val="center"/>
          </w:tcPr>
          <w:p w14:paraId="56526CAA"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1.610</w:t>
            </w:r>
          </w:p>
        </w:tc>
        <w:tc>
          <w:tcPr>
            <w:tcW w:w="968" w:type="dxa"/>
            <w:tcBorders>
              <w:top w:val="nil"/>
              <w:left w:val="nil"/>
              <w:bottom w:val="single" w:sz="4" w:space="0" w:color="000000"/>
              <w:right w:val="single" w:sz="4" w:space="0" w:color="000000"/>
            </w:tcBorders>
            <w:shd w:val="clear" w:color="auto" w:fill="auto"/>
            <w:vAlign w:val="center"/>
          </w:tcPr>
          <w:p w14:paraId="331F90DF"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1</w:t>
            </w:r>
          </w:p>
        </w:tc>
        <w:tc>
          <w:tcPr>
            <w:tcW w:w="1363" w:type="dxa"/>
            <w:tcBorders>
              <w:top w:val="nil"/>
              <w:left w:val="nil"/>
              <w:bottom w:val="single" w:sz="4" w:space="0" w:color="000000"/>
              <w:right w:val="single" w:sz="4" w:space="0" w:color="000000"/>
            </w:tcBorders>
            <w:shd w:val="clear" w:color="auto" w:fill="auto"/>
            <w:vAlign w:val="center"/>
          </w:tcPr>
          <w:p w14:paraId="5D05900E"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1.610</w:t>
            </w:r>
          </w:p>
        </w:tc>
        <w:tc>
          <w:tcPr>
            <w:tcW w:w="968" w:type="dxa"/>
            <w:tcBorders>
              <w:top w:val="nil"/>
              <w:left w:val="nil"/>
              <w:bottom w:val="single" w:sz="4" w:space="0" w:color="000000"/>
              <w:right w:val="single" w:sz="4" w:space="0" w:color="000000"/>
            </w:tcBorders>
            <w:shd w:val="clear" w:color="auto" w:fill="auto"/>
            <w:vAlign w:val="center"/>
          </w:tcPr>
          <w:p w14:paraId="39744925"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1.116</w:t>
            </w:r>
          </w:p>
        </w:tc>
        <w:tc>
          <w:tcPr>
            <w:tcW w:w="970" w:type="dxa"/>
            <w:tcBorders>
              <w:top w:val="nil"/>
              <w:left w:val="nil"/>
              <w:bottom w:val="single" w:sz="4" w:space="0" w:color="000000"/>
              <w:right w:val="single" w:sz="12" w:space="0" w:color="000000"/>
            </w:tcBorders>
            <w:shd w:val="clear" w:color="auto" w:fill="auto"/>
            <w:vAlign w:val="center"/>
          </w:tcPr>
          <w:p w14:paraId="3D26E509" w14:textId="77777777" w:rsidR="009968E0" w:rsidRPr="009968E0" w:rsidRDefault="009968E0" w:rsidP="009968E0">
            <w:pPr>
              <w:jc w:val="right"/>
              <w:rPr>
                <w:rFonts w:ascii="Calibri" w:eastAsia="Times New Roman" w:hAnsi="Calibri" w:cs="Calibri"/>
                <w:i/>
                <w:iCs/>
                <w:color w:val="000000"/>
                <w:sz w:val="21"/>
                <w:szCs w:val="21"/>
                <w:vertAlign w:val="superscript"/>
                <w:lang w:eastAsia="en-GB"/>
              </w:rPr>
            </w:pPr>
            <w:r w:rsidRPr="009968E0">
              <w:rPr>
                <w:rFonts w:ascii="Calibri" w:eastAsia="Times New Roman" w:hAnsi="Calibri" w:cs="Calibri"/>
                <w:i/>
                <w:iCs/>
                <w:color w:val="000000"/>
                <w:sz w:val="21"/>
                <w:szCs w:val="21"/>
                <w:lang w:eastAsia="en-GB"/>
              </w:rPr>
              <w:t>.294</w:t>
            </w:r>
            <w:r w:rsidRPr="009968E0">
              <w:rPr>
                <w:rFonts w:ascii="Calibri" w:eastAsia="Times New Roman" w:hAnsi="Calibri" w:cs="Calibri"/>
                <w:i/>
                <w:iCs/>
                <w:color w:val="000000"/>
                <w:sz w:val="21"/>
                <w:szCs w:val="21"/>
                <w:vertAlign w:val="superscript"/>
                <w:lang w:eastAsia="en-GB"/>
              </w:rPr>
              <w:t>a</w:t>
            </w:r>
          </w:p>
        </w:tc>
      </w:tr>
      <w:tr w:rsidR="009968E0" w:rsidRPr="009968E0" w14:paraId="179CDCA0" w14:textId="77777777" w:rsidTr="009968E0">
        <w:trPr>
          <w:trHeight w:val="360"/>
        </w:trPr>
        <w:tc>
          <w:tcPr>
            <w:tcW w:w="1733" w:type="dxa"/>
            <w:vMerge w:val="restart"/>
            <w:tcBorders>
              <w:top w:val="nil"/>
              <w:left w:val="single" w:sz="12" w:space="0" w:color="000000"/>
              <w:bottom w:val="single" w:sz="12" w:space="0" w:color="000000"/>
              <w:right w:val="nil"/>
            </w:tcBorders>
            <w:shd w:val="clear" w:color="auto" w:fill="FDE9D9"/>
          </w:tcPr>
          <w:p w14:paraId="20D0B310" w14:textId="77777777" w:rsidR="009968E0" w:rsidRPr="009968E0" w:rsidRDefault="009968E0" w:rsidP="009968E0">
            <w:pPr>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MTT-RPSC2</w:t>
            </w:r>
          </w:p>
        </w:tc>
        <w:tc>
          <w:tcPr>
            <w:tcW w:w="1671" w:type="dxa"/>
            <w:tcBorders>
              <w:top w:val="nil"/>
              <w:left w:val="nil"/>
              <w:bottom w:val="nil"/>
              <w:right w:val="single" w:sz="12" w:space="0" w:color="000000"/>
            </w:tcBorders>
            <w:shd w:val="clear" w:color="auto" w:fill="auto"/>
          </w:tcPr>
          <w:p w14:paraId="017220D1" w14:textId="77777777" w:rsidR="009968E0" w:rsidRPr="009968E0" w:rsidRDefault="009968E0" w:rsidP="009968E0">
            <w:pPr>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Corrected Model</w:t>
            </w:r>
          </w:p>
        </w:tc>
        <w:tc>
          <w:tcPr>
            <w:tcW w:w="1390" w:type="dxa"/>
            <w:tcBorders>
              <w:top w:val="nil"/>
              <w:left w:val="nil"/>
              <w:bottom w:val="nil"/>
              <w:right w:val="single" w:sz="4" w:space="0" w:color="000000"/>
            </w:tcBorders>
            <w:shd w:val="clear" w:color="auto" w:fill="auto"/>
            <w:vAlign w:val="center"/>
          </w:tcPr>
          <w:p w14:paraId="1261A7A7"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11.939</w:t>
            </w:r>
            <w:r w:rsidRPr="009968E0">
              <w:rPr>
                <w:rFonts w:ascii="Calibri" w:eastAsia="Times New Roman" w:hAnsi="Calibri" w:cs="Calibri"/>
                <w:i/>
                <w:iCs/>
                <w:color w:val="000000"/>
                <w:sz w:val="21"/>
                <w:szCs w:val="21"/>
                <w:vertAlign w:val="superscript"/>
                <w:lang w:eastAsia="en-GB"/>
              </w:rPr>
              <w:t>d</w:t>
            </w:r>
          </w:p>
        </w:tc>
        <w:tc>
          <w:tcPr>
            <w:tcW w:w="968" w:type="dxa"/>
            <w:tcBorders>
              <w:top w:val="nil"/>
              <w:left w:val="nil"/>
              <w:bottom w:val="nil"/>
              <w:right w:val="single" w:sz="4" w:space="0" w:color="000000"/>
            </w:tcBorders>
            <w:shd w:val="clear" w:color="auto" w:fill="auto"/>
            <w:vAlign w:val="center"/>
          </w:tcPr>
          <w:p w14:paraId="47696E36"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4</w:t>
            </w:r>
          </w:p>
        </w:tc>
        <w:tc>
          <w:tcPr>
            <w:tcW w:w="1363" w:type="dxa"/>
            <w:tcBorders>
              <w:top w:val="nil"/>
              <w:left w:val="nil"/>
              <w:bottom w:val="nil"/>
              <w:right w:val="single" w:sz="4" w:space="0" w:color="000000"/>
            </w:tcBorders>
            <w:shd w:val="clear" w:color="auto" w:fill="auto"/>
            <w:vAlign w:val="center"/>
          </w:tcPr>
          <w:p w14:paraId="32B5E9F8"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2.985</w:t>
            </w:r>
          </w:p>
        </w:tc>
        <w:tc>
          <w:tcPr>
            <w:tcW w:w="968" w:type="dxa"/>
            <w:tcBorders>
              <w:top w:val="nil"/>
              <w:left w:val="nil"/>
              <w:bottom w:val="nil"/>
              <w:right w:val="single" w:sz="4" w:space="0" w:color="000000"/>
            </w:tcBorders>
            <w:shd w:val="clear" w:color="auto" w:fill="auto"/>
            <w:vAlign w:val="center"/>
          </w:tcPr>
          <w:p w14:paraId="07DD90E2"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2.080</w:t>
            </w:r>
          </w:p>
        </w:tc>
        <w:tc>
          <w:tcPr>
            <w:tcW w:w="970" w:type="dxa"/>
            <w:tcBorders>
              <w:top w:val="nil"/>
              <w:left w:val="nil"/>
              <w:bottom w:val="nil"/>
              <w:right w:val="single" w:sz="12" w:space="0" w:color="000000"/>
            </w:tcBorders>
            <w:shd w:val="clear" w:color="auto" w:fill="auto"/>
            <w:vAlign w:val="center"/>
          </w:tcPr>
          <w:p w14:paraId="5A0BF402"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.093</w:t>
            </w:r>
          </w:p>
        </w:tc>
      </w:tr>
      <w:tr w:rsidR="009968E0" w:rsidRPr="009968E0" w14:paraId="7C80C698" w14:textId="77777777" w:rsidTr="009968E0">
        <w:trPr>
          <w:trHeight w:val="360"/>
        </w:trPr>
        <w:tc>
          <w:tcPr>
            <w:tcW w:w="1733" w:type="dxa"/>
            <w:vMerge/>
            <w:tcBorders>
              <w:top w:val="nil"/>
              <w:left w:val="single" w:sz="12" w:space="0" w:color="000000"/>
              <w:bottom w:val="single" w:sz="12" w:space="0" w:color="000000"/>
              <w:right w:val="nil"/>
            </w:tcBorders>
            <w:shd w:val="clear" w:color="auto" w:fill="FDE9D9"/>
          </w:tcPr>
          <w:p w14:paraId="77C8AF2D"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1"/>
                <w:szCs w:val="21"/>
                <w:lang w:eastAsia="en-GB"/>
              </w:rPr>
            </w:pPr>
          </w:p>
        </w:tc>
        <w:tc>
          <w:tcPr>
            <w:tcW w:w="1671" w:type="dxa"/>
            <w:tcBorders>
              <w:top w:val="nil"/>
              <w:left w:val="nil"/>
              <w:bottom w:val="nil"/>
              <w:right w:val="single" w:sz="12" w:space="0" w:color="000000"/>
            </w:tcBorders>
            <w:shd w:val="clear" w:color="auto" w:fill="auto"/>
          </w:tcPr>
          <w:p w14:paraId="68F5555F" w14:textId="77777777" w:rsidR="009968E0" w:rsidRPr="009968E0" w:rsidRDefault="009968E0" w:rsidP="009968E0">
            <w:pPr>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Intercept</w:t>
            </w:r>
          </w:p>
        </w:tc>
        <w:tc>
          <w:tcPr>
            <w:tcW w:w="1390" w:type="dxa"/>
            <w:tcBorders>
              <w:top w:val="nil"/>
              <w:left w:val="nil"/>
              <w:bottom w:val="nil"/>
              <w:right w:val="single" w:sz="4" w:space="0" w:color="000000"/>
            </w:tcBorders>
            <w:shd w:val="clear" w:color="auto" w:fill="auto"/>
            <w:vAlign w:val="center"/>
          </w:tcPr>
          <w:p w14:paraId="26D8F973"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39.988</w:t>
            </w:r>
          </w:p>
        </w:tc>
        <w:tc>
          <w:tcPr>
            <w:tcW w:w="968" w:type="dxa"/>
            <w:tcBorders>
              <w:top w:val="nil"/>
              <w:left w:val="nil"/>
              <w:bottom w:val="nil"/>
              <w:right w:val="single" w:sz="4" w:space="0" w:color="000000"/>
            </w:tcBorders>
            <w:shd w:val="clear" w:color="auto" w:fill="auto"/>
            <w:vAlign w:val="center"/>
          </w:tcPr>
          <w:p w14:paraId="6CE685BE"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1</w:t>
            </w:r>
          </w:p>
        </w:tc>
        <w:tc>
          <w:tcPr>
            <w:tcW w:w="1363" w:type="dxa"/>
            <w:tcBorders>
              <w:top w:val="nil"/>
              <w:left w:val="nil"/>
              <w:bottom w:val="nil"/>
              <w:right w:val="single" w:sz="4" w:space="0" w:color="000000"/>
            </w:tcBorders>
            <w:shd w:val="clear" w:color="auto" w:fill="auto"/>
            <w:vAlign w:val="center"/>
          </w:tcPr>
          <w:p w14:paraId="62A5C97A"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39.988</w:t>
            </w:r>
          </w:p>
        </w:tc>
        <w:tc>
          <w:tcPr>
            <w:tcW w:w="968" w:type="dxa"/>
            <w:tcBorders>
              <w:top w:val="nil"/>
              <w:left w:val="nil"/>
              <w:bottom w:val="nil"/>
              <w:right w:val="single" w:sz="4" w:space="0" w:color="000000"/>
            </w:tcBorders>
            <w:shd w:val="clear" w:color="auto" w:fill="auto"/>
            <w:vAlign w:val="center"/>
          </w:tcPr>
          <w:p w14:paraId="0D2F261D"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27.871</w:t>
            </w:r>
          </w:p>
        </w:tc>
        <w:tc>
          <w:tcPr>
            <w:tcW w:w="970" w:type="dxa"/>
            <w:tcBorders>
              <w:top w:val="nil"/>
              <w:left w:val="nil"/>
              <w:bottom w:val="nil"/>
              <w:right w:val="single" w:sz="12" w:space="0" w:color="000000"/>
            </w:tcBorders>
            <w:shd w:val="clear" w:color="auto" w:fill="auto"/>
            <w:vAlign w:val="center"/>
          </w:tcPr>
          <w:p w14:paraId="64D5E360"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.000</w:t>
            </w:r>
          </w:p>
        </w:tc>
      </w:tr>
      <w:tr w:rsidR="009968E0" w:rsidRPr="009968E0" w14:paraId="1E88748C" w14:textId="77777777" w:rsidTr="009968E0">
        <w:trPr>
          <w:trHeight w:val="360"/>
        </w:trPr>
        <w:tc>
          <w:tcPr>
            <w:tcW w:w="1733" w:type="dxa"/>
            <w:vMerge/>
            <w:tcBorders>
              <w:top w:val="nil"/>
              <w:left w:val="single" w:sz="12" w:space="0" w:color="000000"/>
              <w:bottom w:val="single" w:sz="12" w:space="0" w:color="000000"/>
              <w:right w:val="nil"/>
            </w:tcBorders>
            <w:shd w:val="clear" w:color="auto" w:fill="FDE9D9"/>
          </w:tcPr>
          <w:p w14:paraId="734FA48F"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1"/>
                <w:szCs w:val="21"/>
                <w:lang w:eastAsia="en-GB"/>
              </w:rPr>
            </w:pPr>
          </w:p>
        </w:tc>
        <w:tc>
          <w:tcPr>
            <w:tcW w:w="1671" w:type="dxa"/>
            <w:tcBorders>
              <w:top w:val="nil"/>
              <w:left w:val="nil"/>
              <w:bottom w:val="nil"/>
              <w:right w:val="single" w:sz="12" w:space="0" w:color="000000"/>
            </w:tcBorders>
            <w:shd w:val="clear" w:color="auto" w:fill="auto"/>
          </w:tcPr>
          <w:p w14:paraId="5168FF27" w14:textId="77777777" w:rsidR="009968E0" w:rsidRPr="009968E0" w:rsidRDefault="009968E0" w:rsidP="009968E0">
            <w:pPr>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GROUP</w:t>
            </w:r>
          </w:p>
        </w:tc>
        <w:tc>
          <w:tcPr>
            <w:tcW w:w="1390" w:type="dxa"/>
            <w:tcBorders>
              <w:top w:val="nil"/>
              <w:left w:val="nil"/>
              <w:bottom w:val="nil"/>
              <w:right w:val="single" w:sz="4" w:space="0" w:color="000000"/>
            </w:tcBorders>
            <w:shd w:val="clear" w:color="auto" w:fill="auto"/>
            <w:vAlign w:val="center"/>
          </w:tcPr>
          <w:p w14:paraId="44116916"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10.627</w:t>
            </w:r>
          </w:p>
        </w:tc>
        <w:tc>
          <w:tcPr>
            <w:tcW w:w="968" w:type="dxa"/>
            <w:tcBorders>
              <w:top w:val="nil"/>
              <w:left w:val="nil"/>
              <w:bottom w:val="nil"/>
              <w:right w:val="single" w:sz="4" w:space="0" w:color="000000"/>
            </w:tcBorders>
            <w:shd w:val="clear" w:color="auto" w:fill="auto"/>
            <w:vAlign w:val="center"/>
          </w:tcPr>
          <w:p w14:paraId="6AF95CBD"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3</w:t>
            </w:r>
          </w:p>
        </w:tc>
        <w:tc>
          <w:tcPr>
            <w:tcW w:w="1363" w:type="dxa"/>
            <w:tcBorders>
              <w:top w:val="nil"/>
              <w:left w:val="nil"/>
              <w:bottom w:val="nil"/>
              <w:right w:val="single" w:sz="4" w:space="0" w:color="000000"/>
            </w:tcBorders>
            <w:shd w:val="clear" w:color="auto" w:fill="auto"/>
            <w:vAlign w:val="center"/>
          </w:tcPr>
          <w:p w14:paraId="7B67A023"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3.542</w:t>
            </w:r>
          </w:p>
        </w:tc>
        <w:tc>
          <w:tcPr>
            <w:tcW w:w="968" w:type="dxa"/>
            <w:tcBorders>
              <w:top w:val="nil"/>
              <w:left w:val="nil"/>
              <w:bottom w:val="nil"/>
              <w:right w:val="single" w:sz="4" w:space="0" w:color="000000"/>
            </w:tcBorders>
            <w:shd w:val="clear" w:color="auto" w:fill="auto"/>
            <w:vAlign w:val="center"/>
          </w:tcPr>
          <w:p w14:paraId="51776B0E"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2.469</w:t>
            </w:r>
          </w:p>
        </w:tc>
        <w:tc>
          <w:tcPr>
            <w:tcW w:w="970" w:type="dxa"/>
            <w:tcBorders>
              <w:top w:val="nil"/>
              <w:left w:val="nil"/>
              <w:bottom w:val="nil"/>
              <w:right w:val="single" w:sz="12" w:space="0" w:color="000000"/>
            </w:tcBorders>
            <w:shd w:val="clear" w:color="auto" w:fill="auto"/>
            <w:vAlign w:val="center"/>
          </w:tcPr>
          <w:p w14:paraId="6D52DA2A"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.069</w:t>
            </w:r>
          </w:p>
        </w:tc>
      </w:tr>
      <w:tr w:rsidR="009968E0" w:rsidRPr="009968E0" w14:paraId="77F98FE9" w14:textId="77777777" w:rsidTr="009968E0">
        <w:trPr>
          <w:trHeight w:val="360"/>
        </w:trPr>
        <w:tc>
          <w:tcPr>
            <w:tcW w:w="1733" w:type="dxa"/>
            <w:vMerge/>
            <w:tcBorders>
              <w:top w:val="nil"/>
              <w:left w:val="single" w:sz="12" w:space="0" w:color="000000"/>
              <w:bottom w:val="single" w:sz="12" w:space="0" w:color="000000"/>
              <w:right w:val="nil"/>
            </w:tcBorders>
            <w:shd w:val="clear" w:color="auto" w:fill="FDE9D9"/>
          </w:tcPr>
          <w:p w14:paraId="73EBD8ED"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1"/>
                <w:szCs w:val="21"/>
                <w:lang w:eastAsia="en-GB"/>
              </w:rPr>
            </w:pPr>
          </w:p>
        </w:tc>
        <w:tc>
          <w:tcPr>
            <w:tcW w:w="1671" w:type="dxa"/>
            <w:tcBorders>
              <w:top w:val="nil"/>
              <w:left w:val="nil"/>
              <w:bottom w:val="single" w:sz="12" w:space="0" w:color="000000"/>
              <w:right w:val="single" w:sz="12" w:space="0" w:color="000000"/>
            </w:tcBorders>
            <w:shd w:val="clear" w:color="auto" w:fill="auto"/>
          </w:tcPr>
          <w:p w14:paraId="39EDF389" w14:textId="77777777" w:rsidR="009968E0" w:rsidRPr="009968E0" w:rsidRDefault="009968E0" w:rsidP="009968E0">
            <w:pPr>
              <w:rPr>
                <w:rFonts w:ascii="Calibri" w:eastAsia="Times New Roman" w:hAnsi="Calibri" w:cs="Calibri"/>
                <w:i/>
                <w:iCs/>
                <w:color w:val="000000"/>
                <w:sz w:val="21"/>
                <w:szCs w:val="21"/>
                <w:lang w:eastAsia="en-GB"/>
              </w:rPr>
            </w:pPr>
            <w:proofErr w:type="spellStart"/>
            <w:r w:rsidRPr="009968E0">
              <w:rPr>
                <w:rFonts w:ascii="Calibri" w:eastAsia="Times New Roman" w:hAnsi="Calibri" w:cs="Calibri"/>
                <w:i/>
                <w:iCs/>
                <w:color w:val="000000"/>
                <w:sz w:val="21"/>
                <w:szCs w:val="21"/>
                <w:lang w:eastAsia="en-GB"/>
              </w:rPr>
              <w:t>BP_diastolic</w:t>
            </w:r>
            <w:proofErr w:type="spellEnd"/>
          </w:p>
        </w:tc>
        <w:tc>
          <w:tcPr>
            <w:tcW w:w="1390" w:type="dxa"/>
            <w:tcBorders>
              <w:top w:val="nil"/>
              <w:left w:val="nil"/>
              <w:bottom w:val="single" w:sz="12" w:space="0" w:color="000000"/>
              <w:right w:val="single" w:sz="4" w:space="0" w:color="000000"/>
            </w:tcBorders>
            <w:shd w:val="clear" w:color="auto" w:fill="auto"/>
            <w:vAlign w:val="center"/>
          </w:tcPr>
          <w:p w14:paraId="78A496EC"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.096</w:t>
            </w:r>
          </w:p>
        </w:tc>
        <w:tc>
          <w:tcPr>
            <w:tcW w:w="968" w:type="dxa"/>
            <w:tcBorders>
              <w:top w:val="nil"/>
              <w:left w:val="nil"/>
              <w:bottom w:val="single" w:sz="12" w:space="0" w:color="000000"/>
              <w:right w:val="single" w:sz="4" w:space="0" w:color="000000"/>
            </w:tcBorders>
            <w:shd w:val="clear" w:color="auto" w:fill="auto"/>
            <w:vAlign w:val="center"/>
          </w:tcPr>
          <w:p w14:paraId="5D3ED8DD"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1</w:t>
            </w:r>
          </w:p>
        </w:tc>
        <w:tc>
          <w:tcPr>
            <w:tcW w:w="1363" w:type="dxa"/>
            <w:tcBorders>
              <w:top w:val="nil"/>
              <w:left w:val="nil"/>
              <w:bottom w:val="single" w:sz="12" w:space="0" w:color="000000"/>
              <w:right w:val="single" w:sz="4" w:space="0" w:color="000000"/>
            </w:tcBorders>
            <w:shd w:val="clear" w:color="auto" w:fill="auto"/>
            <w:vAlign w:val="center"/>
          </w:tcPr>
          <w:p w14:paraId="4F127D50"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.096</w:t>
            </w:r>
          </w:p>
        </w:tc>
        <w:tc>
          <w:tcPr>
            <w:tcW w:w="968" w:type="dxa"/>
            <w:tcBorders>
              <w:top w:val="nil"/>
              <w:left w:val="nil"/>
              <w:bottom w:val="single" w:sz="12" w:space="0" w:color="000000"/>
              <w:right w:val="single" w:sz="4" w:space="0" w:color="000000"/>
            </w:tcBorders>
            <w:shd w:val="clear" w:color="auto" w:fill="auto"/>
            <w:vAlign w:val="center"/>
          </w:tcPr>
          <w:p w14:paraId="135E368A" w14:textId="77777777" w:rsidR="009968E0" w:rsidRPr="009968E0" w:rsidRDefault="009968E0" w:rsidP="009968E0">
            <w:pPr>
              <w:jc w:val="right"/>
              <w:rPr>
                <w:rFonts w:ascii="Calibri" w:eastAsia="Times New Roman" w:hAnsi="Calibri" w:cs="Calibri"/>
                <w:i/>
                <w:iCs/>
                <w:color w:val="000000"/>
                <w:sz w:val="21"/>
                <w:szCs w:val="21"/>
                <w:lang w:eastAsia="en-GB"/>
              </w:rPr>
            </w:pPr>
            <w:r w:rsidRPr="009968E0">
              <w:rPr>
                <w:rFonts w:ascii="Calibri" w:eastAsia="Times New Roman" w:hAnsi="Calibri" w:cs="Calibri"/>
                <w:i/>
                <w:iCs/>
                <w:color w:val="000000"/>
                <w:sz w:val="21"/>
                <w:szCs w:val="21"/>
                <w:lang w:eastAsia="en-GB"/>
              </w:rPr>
              <w:t>.067</w:t>
            </w:r>
          </w:p>
        </w:tc>
        <w:tc>
          <w:tcPr>
            <w:tcW w:w="970" w:type="dxa"/>
            <w:tcBorders>
              <w:top w:val="nil"/>
              <w:left w:val="nil"/>
              <w:bottom w:val="single" w:sz="12" w:space="0" w:color="000000"/>
              <w:right w:val="single" w:sz="12" w:space="0" w:color="000000"/>
            </w:tcBorders>
            <w:shd w:val="clear" w:color="auto" w:fill="auto"/>
            <w:vAlign w:val="center"/>
          </w:tcPr>
          <w:p w14:paraId="205F02C2" w14:textId="77777777" w:rsidR="009968E0" w:rsidRPr="009968E0" w:rsidRDefault="009968E0" w:rsidP="009968E0">
            <w:pPr>
              <w:jc w:val="right"/>
              <w:rPr>
                <w:rFonts w:ascii="Calibri" w:eastAsia="Times New Roman" w:hAnsi="Calibri" w:cs="Calibri"/>
                <w:i/>
                <w:iCs/>
                <w:color w:val="000000"/>
                <w:sz w:val="21"/>
                <w:szCs w:val="21"/>
                <w:vertAlign w:val="superscript"/>
                <w:lang w:eastAsia="en-GB"/>
              </w:rPr>
            </w:pPr>
            <w:r w:rsidRPr="009968E0">
              <w:rPr>
                <w:rFonts w:ascii="Calibri" w:eastAsia="Times New Roman" w:hAnsi="Calibri" w:cs="Calibri"/>
                <w:i/>
                <w:iCs/>
                <w:color w:val="000000"/>
                <w:sz w:val="21"/>
                <w:szCs w:val="21"/>
                <w:lang w:eastAsia="en-GB"/>
              </w:rPr>
              <w:t>.796</w:t>
            </w:r>
            <w:r w:rsidRPr="009968E0">
              <w:rPr>
                <w:rFonts w:ascii="Calibri" w:eastAsia="Times New Roman" w:hAnsi="Calibri" w:cs="Calibri"/>
                <w:i/>
                <w:iCs/>
                <w:color w:val="000000"/>
                <w:sz w:val="21"/>
                <w:szCs w:val="21"/>
                <w:vertAlign w:val="superscript"/>
                <w:lang w:eastAsia="en-GB"/>
              </w:rPr>
              <w:t>a</w:t>
            </w:r>
          </w:p>
        </w:tc>
      </w:tr>
    </w:tbl>
    <w:p w14:paraId="3C12C9C4" w14:textId="77777777" w:rsidR="009968E0" w:rsidRPr="009968E0" w:rsidRDefault="009968E0" w:rsidP="008271BA">
      <w:pPr>
        <w:numPr>
          <w:ilvl w:val="0"/>
          <w:numId w:val="23"/>
        </w:numPr>
        <w:rPr>
          <w:rFonts w:ascii="Calibri" w:eastAsia="Times New Roman" w:hAnsi="Calibri" w:cs="Calibri"/>
          <w:i/>
          <w:iCs/>
          <w:color w:val="808080"/>
          <w:sz w:val="22"/>
          <w:szCs w:val="22"/>
          <w:lang w:eastAsia="en-GB"/>
        </w:rPr>
      </w:pPr>
      <w:r w:rsidRPr="009968E0">
        <w:rPr>
          <w:rFonts w:ascii="Calibri" w:eastAsia="Times New Roman" w:hAnsi="Calibri" w:cs="Calibri"/>
          <w:i/>
          <w:iCs/>
          <w:color w:val="808080"/>
          <w:sz w:val="22"/>
          <w:szCs w:val="22"/>
          <w:lang w:eastAsia="en-GB"/>
        </w:rPr>
        <w:t>Values do not reach threshold for significance therefore do not contribute significantly to the model.</w:t>
      </w:r>
    </w:p>
    <w:p w14:paraId="37D3423D" w14:textId="77777777" w:rsidR="009968E0" w:rsidRPr="009968E0" w:rsidRDefault="009968E0" w:rsidP="008271BA">
      <w:pPr>
        <w:numPr>
          <w:ilvl w:val="0"/>
          <w:numId w:val="23"/>
        </w:numPr>
        <w:rPr>
          <w:rFonts w:ascii="Calibri" w:eastAsia="Times New Roman" w:hAnsi="Calibri" w:cs="Calibri"/>
          <w:i/>
          <w:iCs/>
          <w:color w:val="808080"/>
          <w:sz w:val="22"/>
          <w:szCs w:val="22"/>
          <w:lang w:eastAsia="en-GB"/>
        </w:rPr>
      </w:pPr>
      <w:r w:rsidRPr="009968E0">
        <w:rPr>
          <w:rFonts w:ascii="Calibri" w:eastAsia="Times New Roman" w:hAnsi="Calibri" w:cs="Calibri"/>
          <w:i/>
          <w:iCs/>
          <w:color w:val="808080"/>
          <w:sz w:val="22"/>
          <w:szCs w:val="22"/>
          <w:lang w:eastAsia="en-GB"/>
        </w:rPr>
        <w:t xml:space="preserve">MTT=Mean transit time, 2=second visit, L=left, R=right, </w:t>
      </w:r>
      <w:proofErr w:type="spellStart"/>
      <w:r w:rsidRPr="009968E0">
        <w:rPr>
          <w:rFonts w:ascii="Calibri" w:eastAsia="Times New Roman" w:hAnsi="Calibri" w:cs="Calibri"/>
          <w:i/>
          <w:iCs/>
          <w:color w:val="808080"/>
          <w:sz w:val="22"/>
          <w:szCs w:val="22"/>
          <w:lang w:eastAsia="en-GB"/>
        </w:rPr>
        <w:t>thal</w:t>
      </w:r>
      <w:proofErr w:type="spellEnd"/>
      <w:r w:rsidRPr="009968E0">
        <w:rPr>
          <w:rFonts w:ascii="Calibri" w:eastAsia="Times New Roman" w:hAnsi="Calibri" w:cs="Calibri"/>
          <w:i/>
          <w:iCs/>
          <w:color w:val="808080"/>
          <w:sz w:val="22"/>
          <w:szCs w:val="22"/>
          <w:lang w:eastAsia="en-GB"/>
        </w:rPr>
        <w:t>= thalamus, Ins=Insula, ACC= anterior cingulate gyrus, PO=parieto-</w:t>
      </w:r>
      <w:proofErr w:type="spellStart"/>
      <w:r w:rsidRPr="009968E0">
        <w:rPr>
          <w:rFonts w:ascii="Calibri" w:eastAsia="Times New Roman" w:hAnsi="Calibri" w:cs="Calibri"/>
          <w:i/>
          <w:iCs/>
          <w:color w:val="808080"/>
          <w:sz w:val="22"/>
          <w:szCs w:val="22"/>
          <w:lang w:eastAsia="en-GB"/>
        </w:rPr>
        <w:t>occiptal</w:t>
      </w:r>
      <w:proofErr w:type="spellEnd"/>
      <w:r w:rsidRPr="009968E0">
        <w:rPr>
          <w:rFonts w:ascii="Calibri" w:eastAsia="Times New Roman" w:hAnsi="Calibri" w:cs="Calibri"/>
          <w:i/>
          <w:iCs/>
          <w:color w:val="808080"/>
          <w:sz w:val="22"/>
          <w:szCs w:val="22"/>
          <w:lang w:eastAsia="en-GB"/>
        </w:rPr>
        <w:t xml:space="preserve"> white matter, PS=primary sensory cortex, N=number in group</w:t>
      </w:r>
    </w:p>
    <w:p w14:paraId="3EA0F66D" w14:textId="77777777" w:rsidR="009968E0" w:rsidRPr="009968E0" w:rsidRDefault="009968E0" w:rsidP="009968E0">
      <w:pPr>
        <w:rPr>
          <w:rFonts w:ascii="Calibri" w:eastAsia="Times New Roman" w:hAnsi="Calibri" w:cs="Calibri"/>
          <w:i/>
          <w:iCs/>
          <w:color w:val="808080"/>
          <w:sz w:val="22"/>
          <w:szCs w:val="22"/>
          <w:lang w:eastAsia="en-GB"/>
        </w:rPr>
      </w:pPr>
    </w:p>
    <w:p w14:paraId="401A8C63" w14:textId="72230287" w:rsidR="009968E0" w:rsidRPr="009968E0" w:rsidRDefault="009968E0" w:rsidP="007A2ECE">
      <w:pPr>
        <w:pStyle w:val="Heading3"/>
      </w:pPr>
      <w:bookmarkStart w:id="598" w:name="_Toc48540080"/>
      <w:bookmarkStart w:id="599" w:name="_Toc49272025"/>
      <w:bookmarkStart w:id="600" w:name="_Toc64723982"/>
      <w:r w:rsidRPr="009968E0">
        <w:t>Polynomial Contrasts Examining the Effect of Diabetes on MTT</w:t>
      </w:r>
      <w:bookmarkEnd w:id="598"/>
      <w:bookmarkEnd w:id="599"/>
      <w:bookmarkEnd w:id="600"/>
    </w:p>
    <w:p w14:paraId="73CF7F57" w14:textId="77777777" w:rsidR="009968E0" w:rsidRPr="007A2ECE" w:rsidRDefault="009968E0" w:rsidP="009968E0">
      <w:pPr>
        <w:spacing w:line="360" w:lineRule="auto"/>
        <w:rPr>
          <w:rFonts w:eastAsia="Times New Roman" w:cs="Arial"/>
          <w:color w:val="000000"/>
          <w:lang w:eastAsia="en-GB"/>
        </w:rPr>
      </w:pPr>
      <w:r w:rsidRPr="007A2ECE">
        <w:rPr>
          <w:rFonts w:eastAsia="Times New Roman" w:cs="Arial"/>
          <w:color w:val="000000"/>
          <w:lang w:eastAsia="en-GB"/>
        </w:rPr>
        <w:t xml:space="preserve">Polynomial contrasts were performed on the ROI that were statistically significant between groups to examine hierarchical relationships. At the left insula (LINS) MTT mean values were compared by polynomial contrast: HV vs </w:t>
      </w:r>
      <w:proofErr w:type="spellStart"/>
      <w:r w:rsidRPr="007A2ECE">
        <w:rPr>
          <w:rFonts w:eastAsia="Times New Roman" w:cs="Arial"/>
          <w:color w:val="000000"/>
          <w:lang w:eastAsia="en-GB"/>
        </w:rPr>
        <w:t>AllDM</w:t>
      </w:r>
      <w:proofErr w:type="spellEnd"/>
      <w:r w:rsidRPr="007A2ECE">
        <w:rPr>
          <w:rFonts w:eastAsia="Times New Roman" w:cs="Arial"/>
          <w:color w:val="000000"/>
          <w:lang w:eastAsia="en-GB"/>
        </w:rPr>
        <w:t xml:space="preserve"> p=0.003, DM-NN vs DM-NEUR p=0.217, P-DPN vs DPN p=0.340. The HV group mean was significantly different from the </w:t>
      </w:r>
      <w:proofErr w:type="spellStart"/>
      <w:r w:rsidRPr="007A2ECE">
        <w:rPr>
          <w:rFonts w:eastAsia="Times New Roman" w:cs="Arial"/>
          <w:color w:val="000000"/>
          <w:lang w:eastAsia="en-GB"/>
        </w:rPr>
        <w:t>AllDM</w:t>
      </w:r>
      <w:proofErr w:type="spellEnd"/>
      <w:r w:rsidRPr="007A2ECE">
        <w:rPr>
          <w:rFonts w:eastAsia="Times New Roman" w:cs="Arial"/>
          <w:color w:val="000000"/>
          <w:lang w:eastAsia="en-GB"/>
        </w:rPr>
        <w:t xml:space="preserve"> group mean. At the right insula polynomial contrasts revealed a difference between diabetes and healthy volunteers: HV vs </w:t>
      </w:r>
      <w:proofErr w:type="spellStart"/>
      <w:r w:rsidRPr="007A2ECE">
        <w:rPr>
          <w:rFonts w:eastAsia="Times New Roman" w:cs="Arial"/>
          <w:color w:val="000000"/>
          <w:lang w:eastAsia="en-GB"/>
        </w:rPr>
        <w:t>AllDM</w:t>
      </w:r>
      <w:proofErr w:type="spellEnd"/>
      <w:r w:rsidRPr="007A2ECE">
        <w:rPr>
          <w:rFonts w:eastAsia="Times New Roman" w:cs="Arial"/>
          <w:color w:val="000000"/>
          <w:lang w:eastAsia="en-GB"/>
        </w:rPr>
        <w:t xml:space="preserve">: p=0.009, DM-NN vs DM-NEUR p=0.258, P-DPN vs DPN p=0.652. Comparing MTT at the left primary sensory cortex using polynomial contrasts showed a difference between HV and </w:t>
      </w:r>
      <w:proofErr w:type="spellStart"/>
      <w:r w:rsidRPr="007A2ECE">
        <w:rPr>
          <w:rFonts w:eastAsia="Times New Roman" w:cs="Arial"/>
          <w:color w:val="000000"/>
          <w:lang w:eastAsia="en-GB"/>
        </w:rPr>
        <w:t>AllDM</w:t>
      </w:r>
      <w:proofErr w:type="spellEnd"/>
      <w:r w:rsidRPr="007A2ECE">
        <w:rPr>
          <w:rFonts w:eastAsia="Times New Roman" w:cs="Arial"/>
          <w:color w:val="000000"/>
          <w:lang w:eastAsia="en-GB"/>
        </w:rPr>
        <w:t xml:space="preserve">: HV vs </w:t>
      </w:r>
      <w:proofErr w:type="spellStart"/>
      <w:r w:rsidRPr="007A2ECE">
        <w:rPr>
          <w:rFonts w:eastAsia="Times New Roman" w:cs="Arial"/>
          <w:color w:val="000000"/>
          <w:lang w:eastAsia="en-GB"/>
        </w:rPr>
        <w:t>AllDM</w:t>
      </w:r>
      <w:proofErr w:type="spellEnd"/>
      <w:r w:rsidRPr="007A2ECE">
        <w:rPr>
          <w:rFonts w:eastAsia="Times New Roman" w:cs="Arial"/>
          <w:color w:val="000000"/>
          <w:lang w:eastAsia="en-GB"/>
        </w:rPr>
        <w:t xml:space="preserve">: p=0.004, DM-NN vs DM-NEUR p=0.331, P-DPN vs DPN p=0.445.  At the right primary sensory cortex (RPS) polynomial contrasts showed that there was a difference between HV and </w:t>
      </w:r>
      <w:proofErr w:type="spellStart"/>
      <w:r w:rsidRPr="007A2ECE">
        <w:rPr>
          <w:rFonts w:eastAsia="Times New Roman" w:cs="Arial"/>
          <w:color w:val="000000"/>
          <w:lang w:eastAsia="en-GB"/>
        </w:rPr>
        <w:t>AllDM</w:t>
      </w:r>
      <w:proofErr w:type="spellEnd"/>
      <w:r w:rsidRPr="007A2ECE">
        <w:rPr>
          <w:rFonts w:eastAsia="Times New Roman" w:cs="Arial"/>
          <w:color w:val="000000"/>
          <w:lang w:eastAsia="en-GB"/>
        </w:rPr>
        <w:t xml:space="preserve">: HV vs </w:t>
      </w:r>
      <w:proofErr w:type="spellStart"/>
      <w:r w:rsidRPr="007A2ECE">
        <w:rPr>
          <w:rFonts w:eastAsia="Times New Roman" w:cs="Arial"/>
          <w:color w:val="000000"/>
          <w:lang w:eastAsia="en-GB"/>
        </w:rPr>
        <w:t>AllDM</w:t>
      </w:r>
      <w:proofErr w:type="spellEnd"/>
      <w:r w:rsidRPr="007A2ECE">
        <w:rPr>
          <w:rFonts w:eastAsia="Times New Roman" w:cs="Arial"/>
          <w:color w:val="000000"/>
          <w:lang w:eastAsia="en-GB"/>
        </w:rPr>
        <w:t xml:space="preserve">: p=0.012, DM-NN vs DM-NEUR p=0.322, P-DPN vs DPN p=0.288.   </w:t>
      </w:r>
    </w:p>
    <w:p w14:paraId="7A551BF2" w14:textId="77777777" w:rsidR="009968E0" w:rsidRPr="009968E0" w:rsidRDefault="009968E0" w:rsidP="009968E0">
      <w:pPr>
        <w:rPr>
          <w:rFonts w:ascii="Times New Roman" w:eastAsia="Times New Roman" w:hAnsi="Times New Roman" w:cs="Times New Roman"/>
          <w:lang w:eastAsia="en-GB"/>
        </w:rPr>
      </w:pPr>
    </w:p>
    <w:p w14:paraId="2E1E101F" w14:textId="25FE7918" w:rsidR="009968E0" w:rsidRPr="009968E0" w:rsidRDefault="009968E0" w:rsidP="007A2ECE">
      <w:pPr>
        <w:pStyle w:val="Quote"/>
      </w:pPr>
      <w:bookmarkStart w:id="601" w:name="_Toc48406143"/>
      <w:bookmarkStart w:id="602" w:name="_Toc49273352"/>
      <w:bookmarkStart w:id="603" w:name="_Toc64724105"/>
      <w:r w:rsidRPr="009968E0">
        <w:t>Table C.7 Univariate ANOVA for MTT Visit 2- Female only participants</w:t>
      </w:r>
      <w:bookmarkEnd w:id="601"/>
      <w:bookmarkEnd w:id="602"/>
      <w:bookmarkEnd w:id="603"/>
    </w:p>
    <w:p w14:paraId="525D3CD1" w14:textId="77777777" w:rsidR="009968E0" w:rsidRPr="009968E0" w:rsidRDefault="009968E0" w:rsidP="009968E0">
      <w:pPr>
        <w:rPr>
          <w:rFonts w:ascii="Times New Roman" w:eastAsia="Times New Roman" w:hAnsi="Times New Roman" w:cs="Times New Roman"/>
          <w:lang w:eastAsia="en-GB"/>
        </w:rPr>
      </w:pPr>
    </w:p>
    <w:tbl>
      <w:tblPr>
        <w:tblStyle w:val="TableGrid1"/>
        <w:tblW w:w="9360" w:type="dxa"/>
        <w:tblLook w:val="0420" w:firstRow="1" w:lastRow="0" w:firstColumn="0" w:lastColumn="0" w:noHBand="0" w:noVBand="1"/>
      </w:tblPr>
      <w:tblGrid>
        <w:gridCol w:w="1178"/>
        <w:gridCol w:w="3425"/>
        <w:gridCol w:w="1465"/>
        <w:gridCol w:w="833"/>
        <w:gridCol w:w="759"/>
        <w:gridCol w:w="941"/>
        <w:gridCol w:w="759"/>
      </w:tblGrid>
      <w:tr w:rsidR="009968E0" w:rsidRPr="009968E0" w14:paraId="07EFBC40" w14:textId="77777777" w:rsidTr="009968E0">
        <w:trPr>
          <w:trHeight w:val="360"/>
        </w:trPr>
        <w:tc>
          <w:tcPr>
            <w:tcW w:w="0" w:type="auto"/>
            <w:gridSpan w:val="3"/>
          </w:tcPr>
          <w:p w14:paraId="5DF309AC"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 </w:t>
            </w:r>
          </w:p>
        </w:tc>
        <w:tc>
          <w:tcPr>
            <w:tcW w:w="0" w:type="auto"/>
          </w:tcPr>
          <w:p w14:paraId="4FC6ECF7"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Arial" w:hAnsi="Calibri" w:cs="Calibri"/>
                <w:i/>
                <w:iCs/>
                <w:color w:val="000000"/>
                <w:sz w:val="22"/>
                <w:szCs w:val="22"/>
                <w:lang w:eastAsia="en-GB"/>
              </w:rPr>
              <w:t>P-DPN</w:t>
            </w:r>
          </w:p>
        </w:tc>
        <w:tc>
          <w:tcPr>
            <w:tcW w:w="0" w:type="auto"/>
          </w:tcPr>
          <w:p w14:paraId="1D7DA5A3"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DPN</w:t>
            </w:r>
          </w:p>
        </w:tc>
        <w:tc>
          <w:tcPr>
            <w:tcW w:w="0" w:type="auto"/>
          </w:tcPr>
          <w:p w14:paraId="784812E3"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Arial" w:hAnsi="Calibri" w:cs="Calibri"/>
                <w:i/>
                <w:iCs/>
                <w:color w:val="000000"/>
                <w:sz w:val="22"/>
                <w:szCs w:val="22"/>
                <w:lang w:eastAsia="en-GB"/>
              </w:rPr>
              <w:t>DM-NN</w:t>
            </w:r>
          </w:p>
        </w:tc>
        <w:tc>
          <w:tcPr>
            <w:tcW w:w="0" w:type="auto"/>
          </w:tcPr>
          <w:p w14:paraId="000982E8"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HV</w:t>
            </w:r>
          </w:p>
        </w:tc>
      </w:tr>
      <w:tr w:rsidR="009968E0" w:rsidRPr="009968E0" w14:paraId="2206FEF2" w14:textId="77777777" w:rsidTr="009968E0">
        <w:trPr>
          <w:trHeight w:val="360"/>
        </w:trPr>
        <w:tc>
          <w:tcPr>
            <w:tcW w:w="0" w:type="auto"/>
            <w:vMerge w:val="restart"/>
            <w:shd w:val="clear" w:color="auto" w:fill="FDE9D9"/>
          </w:tcPr>
          <w:p w14:paraId="13159F0C"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lastRenderedPageBreak/>
              <w:t>MTT-Lth2</w:t>
            </w:r>
          </w:p>
        </w:tc>
        <w:tc>
          <w:tcPr>
            <w:tcW w:w="0" w:type="auto"/>
            <w:gridSpan w:val="2"/>
          </w:tcPr>
          <w:p w14:paraId="3F834E8B"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w:t>
            </w:r>
          </w:p>
        </w:tc>
        <w:tc>
          <w:tcPr>
            <w:tcW w:w="0" w:type="auto"/>
          </w:tcPr>
          <w:p w14:paraId="2B690135"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w:t>
            </w:r>
          </w:p>
        </w:tc>
        <w:tc>
          <w:tcPr>
            <w:tcW w:w="0" w:type="auto"/>
          </w:tcPr>
          <w:p w14:paraId="7660264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w:t>
            </w:r>
          </w:p>
        </w:tc>
        <w:tc>
          <w:tcPr>
            <w:tcW w:w="0" w:type="auto"/>
          </w:tcPr>
          <w:p w14:paraId="61A9F57E"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w:t>
            </w:r>
          </w:p>
        </w:tc>
        <w:tc>
          <w:tcPr>
            <w:tcW w:w="0" w:type="auto"/>
          </w:tcPr>
          <w:p w14:paraId="503BD27E"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w:t>
            </w:r>
          </w:p>
        </w:tc>
      </w:tr>
      <w:tr w:rsidR="009968E0" w:rsidRPr="009968E0" w14:paraId="2D6ADA4F" w14:textId="77777777" w:rsidTr="009968E0">
        <w:trPr>
          <w:trHeight w:val="360"/>
        </w:trPr>
        <w:tc>
          <w:tcPr>
            <w:tcW w:w="0" w:type="auto"/>
            <w:vMerge/>
            <w:shd w:val="clear" w:color="auto" w:fill="FDE9D9"/>
          </w:tcPr>
          <w:p w14:paraId="016F5539"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0" w:type="auto"/>
            <w:gridSpan w:val="2"/>
          </w:tcPr>
          <w:p w14:paraId="27250DE0"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0" w:type="auto"/>
          </w:tcPr>
          <w:p w14:paraId="53921D9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5.025</w:t>
            </w:r>
          </w:p>
        </w:tc>
        <w:tc>
          <w:tcPr>
            <w:tcW w:w="0" w:type="auto"/>
          </w:tcPr>
          <w:p w14:paraId="27873A8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6.000</w:t>
            </w:r>
          </w:p>
        </w:tc>
        <w:tc>
          <w:tcPr>
            <w:tcW w:w="0" w:type="auto"/>
          </w:tcPr>
          <w:p w14:paraId="09DD6CC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4.910</w:t>
            </w:r>
          </w:p>
        </w:tc>
        <w:tc>
          <w:tcPr>
            <w:tcW w:w="0" w:type="auto"/>
          </w:tcPr>
          <w:p w14:paraId="0EA3651E"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5.780</w:t>
            </w:r>
          </w:p>
        </w:tc>
      </w:tr>
      <w:tr w:rsidR="009968E0" w:rsidRPr="009968E0" w14:paraId="56942643" w14:textId="77777777" w:rsidTr="009968E0">
        <w:trPr>
          <w:trHeight w:val="360"/>
        </w:trPr>
        <w:tc>
          <w:tcPr>
            <w:tcW w:w="0" w:type="auto"/>
            <w:vMerge/>
            <w:shd w:val="clear" w:color="auto" w:fill="FDE9D9"/>
          </w:tcPr>
          <w:p w14:paraId="7745DB31"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0" w:type="auto"/>
            <w:vMerge w:val="restart"/>
          </w:tcPr>
          <w:p w14:paraId="4DF6E67A"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 for Mean</w:t>
            </w:r>
          </w:p>
        </w:tc>
        <w:tc>
          <w:tcPr>
            <w:tcW w:w="0" w:type="auto"/>
          </w:tcPr>
          <w:p w14:paraId="13F4C3F2"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0" w:type="auto"/>
          </w:tcPr>
          <w:p w14:paraId="300DC46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4.335</w:t>
            </w:r>
          </w:p>
        </w:tc>
        <w:tc>
          <w:tcPr>
            <w:tcW w:w="0" w:type="auto"/>
          </w:tcPr>
          <w:p w14:paraId="1B355534"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5.322</w:t>
            </w:r>
          </w:p>
        </w:tc>
        <w:tc>
          <w:tcPr>
            <w:tcW w:w="0" w:type="auto"/>
          </w:tcPr>
          <w:p w14:paraId="681269EE"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4.054</w:t>
            </w:r>
          </w:p>
        </w:tc>
        <w:tc>
          <w:tcPr>
            <w:tcW w:w="0" w:type="auto"/>
          </w:tcPr>
          <w:p w14:paraId="2576B89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4.434</w:t>
            </w:r>
          </w:p>
        </w:tc>
      </w:tr>
      <w:tr w:rsidR="009968E0" w:rsidRPr="009968E0" w14:paraId="6783E471" w14:textId="77777777" w:rsidTr="009968E0">
        <w:trPr>
          <w:trHeight w:val="360"/>
        </w:trPr>
        <w:tc>
          <w:tcPr>
            <w:tcW w:w="0" w:type="auto"/>
            <w:vMerge/>
            <w:shd w:val="clear" w:color="auto" w:fill="FDE9D9"/>
          </w:tcPr>
          <w:p w14:paraId="0C8CB508"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0" w:type="auto"/>
            <w:vMerge/>
          </w:tcPr>
          <w:p w14:paraId="0D099B79"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0" w:type="auto"/>
          </w:tcPr>
          <w:p w14:paraId="449E20D6"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0" w:type="auto"/>
          </w:tcPr>
          <w:p w14:paraId="015E8E35"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5.715</w:t>
            </w:r>
          </w:p>
        </w:tc>
        <w:tc>
          <w:tcPr>
            <w:tcW w:w="0" w:type="auto"/>
          </w:tcPr>
          <w:p w14:paraId="2382404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6.678</w:t>
            </w:r>
          </w:p>
        </w:tc>
        <w:tc>
          <w:tcPr>
            <w:tcW w:w="0" w:type="auto"/>
          </w:tcPr>
          <w:p w14:paraId="56E8A00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5.766</w:t>
            </w:r>
          </w:p>
        </w:tc>
        <w:tc>
          <w:tcPr>
            <w:tcW w:w="0" w:type="auto"/>
          </w:tcPr>
          <w:p w14:paraId="3550601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7.126</w:t>
            </w:r>
          </w:p>
        </w:tc>
      </w:tr>
      <w:tr w:rsidR="009968E0" w:rsidRPr="009968E0" w14:paraId="251C4B46" w14:textId="77777777" w:rsidTr="009968E0">
        <w:trPr>
          <w:trHeight w:val="360"/>
        </w:trPr>
        <w:tc>
          <w:tcPr>
            <w:tcW w:w="0" w:type="auto"/>
            <w:gridSpan w:val="7"/>
          </w:tcPr>
          <w:p w14:paraId="49DFADD3"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p=0.205</w:t>
            </w:r>
          </w:p>
        </w:tc>
      </w:tr>
      <w:tr w:rsidR="009968E0" w:rsidRPr="009968E0" w14:paraId="3953AE46" w14:textId="77777777" w:rsidTr="009968E0">
        <w:trPr>
          <w:trHeight w:val="360"/>
        </w:trPr>
        <w:tc>
          <w:tcPr>
            <w:tcW w:w="0" w:type="auto"/>
            <w:vMerge w:val="restart"/>
            <w:shd w:val="clear" w:color="auto" w:fill="FDE9D9"/>
          </w:tcPr>
          <w:p w14:paraId="49808B2E"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MTT-Rth2</w:t>
            </w:r>
          </w:p>
        </w:tc>
        <w:tc>
          <w:tcPr>
            <w:tcW w:w="0" w:type="auto"/>
            <w:gridSpan w:val="2"/>
          </w:tcPr>
          <w:p w14:paraId="636839E0"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w:t>
            </w:r>
          </w:p>
        </w:tc>
        <w:tc>
          <w:tcPr>
            <w:tcW w:w="0" w:type="auto"/>
          </w:tcPr>
          <w:p w14:paraId="3081423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w:t>
            </w:r>
          </w:p>
        </w:tc>
        <w:tc>
          <w:tcPr>
            <w:tcW w:w="0" w:type="auto"/>
          </w:tcPr>
          <w:p w14:paraId="69D6B4F0"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w:t>
            </w:r>
          </w:p>
        </w:tc>
        <w:tc>
          <w:tcPr>
            <w:tcW w:w="0" w:type="auto"/>
          </w:tcPr>
          <w:p w14:paraId="6CE83D6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w:t>
            </w:r>
          </w:p>
        </w:tc>
        <w:tc>
          <w:tcPr>
            <w:tcW w:w="0" w:type="auto"/>
          </w:tcPr>
          <w:p w14:paraId="248910B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w:t>
            </w:r>
          </w:p>
        </w:tc>
      </w:tr>
      <w:tr w:rsidR="009968E0" w:rsidRPr="009968E0" w14:paraId="1CD23BCD" w14:textId="77777777" w:rsidTr="009968E0">
        <w:trPr>
          <w:trHeight w:val="360"/>
        </w:trPr>
        <w:tc>
          <w:tcPr>
            <w:tcW w:w="0" w:type="auto"/>
            <w:vMerge/>
            <w:shd w:val="clear" w:color="auto" w:fill="FDE9D9"/>
          </w:tcPr>
          <w:p w14:paraId="5A519330"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0" w:type="auto"/>
            <w:gridSpan w:val="2"/>
          </w:tcPr>
          <w:p w14:paraId="06887786"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0" w:type="auto"/>
          </w:tcPr>
          <w:p w14:paraId="3C5E166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4.938</w:t>
            </w:r>
          </w:p>
        </w:tc>
        <w:tc>
          <w:tcPr>
            <w:tcW w:w="0" w:type="auto"/>
          </w:tcPr>
          <w:p w14:paraId="008EA5F8"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6.033</w:t>
            </w:r>
          </w:p>
        </w:tc>
        <w:tc>
          <w:tcPr>
            <w:tcW w:w="0" w:type="auto"/>
          </w:tcPr>
          <w:p w14:paraId="7B81DD2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5.030</w:t>
            </w:r>
          </w:p>
        </w:tc>
        <w:tc>
          <w:tcPr>
            <w:tcW w:w="0" w:type="auto"/>
          </w:tcPr>
          <w:p w14:paraId="400F0F7E"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5.780</w:t>
            </w:r>
          </w:p>
        </w:tc>
      </w:tr>
      <w:tr w:rsidR="009968E0" w:rsidRPr="009968E0" w14:paraId="5D018994" w14:textId="77777777" w:rsidTr="009968E0">
        <w:trPr>
          <w:trHeight w:val="360"/>
        </w:trPr>
        <w:tc>
          <w:tcPr>
            <w:tcW w:w="0" w:type="auto"/>
            <w:vMerge/>
            <w:shd w:val="clear" w:color="auto" w:fill="FDE9D9"/>
          </w:tcPr>
          <w:p w14:paraId="484CF7F2"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0" w:type="auto"/>
            <w:vMerge w:val="restart"/>
          </w:tcPr>
          <w:p w14:paraId="4BD0DBE6"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 for Mean</w:t>
            </w:r>
          </w:p>
        </w:tc>
        <w:tc>
          <w:tcPr>
            <w:tcW w:w="0" w:type="auto"/>
          </w:tcPr>
          <w:p w14:paraId="2690F05B"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0" w:type="auto"/>
          </w:tcPr>
          <w:p w14:paraId="216198D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4.203</w:t>
            </w:r>
          </w:p>
        </w:tc>
        <w:tc>
          <w:tcPr>
            <w:tcW w:w="0" w:type="auto"/>
          </w:tcPr>
          <w:p w14:paraId="383067E3"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5.142</w:t>
            </w:r>
          </w:p>
        </w:tc>
        <w:tc>
          <w:tcPr>
            <w:tcW w:w="0" w:type="auto"/>
          </w:tcPr>
          <w:p w14:paraId="340E40C3"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4.402</w:t>
            </w:r>
          </w:p>
        </w:tc>
        <w:tc>
          <w:tcPr>
            <w:tcW w:w="0" w:type="auto"/>
          </w:tcPr>
          <w:p w14:paraId="21D755C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4.450</w:t>
            </w:r>
          </w:p>
        </w:tc>
      </w:tr>
      <w:tr w:rsidR="009968E0" w:rsidRPr="009968E0" w14:paraId="1CD31355" w14:textId="77777777" w:rsidTr="009968E0">
        <w:trPr>
          <w:trHeight w:val="360"/>
        </w:trPr>
        <w:tc>
          <w:tcPr>
            <w:tcW w:w="0" w:type="auto"/>
            <w:vMerge/>
            <w:shd w:val="clear" w:color="auto" w:fill="FDE9D9"/>
          </w:tcPr>
          <w:p w14:paraId="1F07E303"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0" w:type="auto"/>
            <w:vMerge/>
          </w:tcPr>
          <w:p w14:paraId="0C9CA151"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0" w:type="auto"/>
          </w:tcPr>
          <w:p w14:paraId="6FE54EE1"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0" w:type="auto"/>
          </w:tcPr>
          <w:p w14:paraId="4B0FFF4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5.672</w:t>
            </w:r>
          </w:p>
        </w:tc>
        <w:tc>
          <w:tcPr>
            <w:tcW w:w="0" w:type="auto"/>
          </w:tcPr>
          <w:p w14:paraId="3FC041A5"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6.925</w:t>
            </w:r>
          </w:p>
        </w:tc>
        <w:tc>
          <w:tcPr>
            <w:tcW w:w="0" w:type="auto"/>
          </w:tcPr>
          <w:p w14:paraId="4DA3396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5.658</w:t>
            </w:r>
          </w:p>
        </w:tc>
        <w:tc>
          <w:tcPr>
            <w:tcW w:w="0" w:type="auto"/>
          </w:tcPr>
          <w:p w14:paraId="09DDCB7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7.110</w:t>
            </w:r>
          </w:p>
        </w:tc>
      </w:tr>
      <w:tr w:rsidR="009968E0" w:rsidRPr="009968E0" w14:paraId="62705969" w14:textId="77777777" w:rsidTr="009968E0">
        <w:trPr>
          <w:trHeight w:val="360"/>
        </w:trPr>
        <w:tc>
          <w:tcPr>
            <w:tcW w:w="0" w:type="auto"/>
            <w:gridSpan w:val="7"/>
          </w:tcPr>
          <w:p w14:paraId="689976D3"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p=0.202</w:t>
            </w:r>
          </w:p>
        </w:tc>
      </w:tr>
      <w:tr w:rsidR="009968E0" w:rsidRPr="009968E0" w14:paraId="743B7FBD" w14:textId="77777777" w:rsidTr="009968E0">
        <w:trPr>
          <w:trHeight w:val="360"/>
        </w:trPr>
        <w:tc>
          <w:tcPr>
            <w:tcW w:w="0" w:type="auto"/>
            <w:vMerge w:val="restart"/>
            <w:shd w:val="clear" w:color="auto" w:fill="FDE9D9"/>
          </w:tcPr>
          <w:p w14:paraId="0B230C68"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MTT-Lin2</w:t>
            </w:r>
          </w:p>
        </w:tc>
        <w:tc>
          <w:tcPr>
            <w:tcW w:w="0" w:type="auto"/>
            <w:gridSpan w:val="2"/>
          </w:tcPr>
          <w:p w14:paraId="5A9F9D8A"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w:t>
            </w:r>
          </w:p>
        </w:tc>
        <w:tc>
          <w:tcPr>
            <w:tcW w:w="0" w:type="auto"/>
          </w:tcPr>
          <w:p w14:paraId="386B93F8"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w:t>
            </w:r>
          </w:p>
        </w:tc>
        <w:tc>
          <w:tcPr>
            <w:tcW w:w="0" w:type="auto"/>
          </w:tcPr>
          <w:p w14:paraId="12186CF5"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w:t>
            </w:r>
          </w:p>
        </w:tc>
        <w:tc>
          <w:tcPr>
            <w:tcW w:w="0" w:type="auto"/>
          </w:tcPr>
          <w:p w14:paraId="4E18C10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w:t>
            </w:r>
          </w:p>
        </w:tc>
        <w:tc>
          <w:tcPr>
            <w:tcW w:w="0" w:type="auto"/>
          </w:tcPr>
          <w:p w14:paraId="26B12093"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w:t>
            </w:r>
          </w:p>
        </w:tc>
      </w:tr>
      <w:tr w:rsidR="009968E0" w:rsidRPr="009968E0" w14:paraId="0046ECD9" w14:textId="77777777" w:rsidTr="009968E0">
        <w:trPr>
          <w:trHeight w:val="360"/>
        </w:trPr>
        <w:tc>
          <w:tcPr>
            <w:tcW w:w="0" w:type="auto"/>
            <w:vMerge/>
            <w:shd w:val="clear" w:color="auto" w:fill="FDE9D9"/>
          </w:tcPr>
          <w:p w14:paraId="29A07BC9"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0" w:type="auto"/>
            <w:gridSpan w:val="2"/>
          </w:tcPr>
          <w:p w14:paraId="0CB986E5"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0" w:type="auto"/>
          </w:tcPr>
          <w:p w14:paraId="4478AD7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4.425</w:t>
            </w:r>
          </w:p>
        </w:tc>
        <w:tc>
          <w:tcPr>
            <w:tcW w:w="0" w:type="auto"/>
          </w:tcPr>
          <w:p w14:paraId="64A4C4B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4.889</w:t>
            </w:r>
          </w:p>
        </w:tc>
        <w:tc>
          <w:tcPr>
            <w:tcW w:w="0" w:type="auto"/>
          </w:tcPr>
          <w:p w14:paraId="201B89A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4.150</w:t>
            </w:r>
          </w:p>
        </w:tc>
        <w:tc>
          <w:tcPr>
            <w:tcW w:w="0" w:type="auto"/>
          </w:tcPr>
          <w:p w14:paraId="5B7DB2F3"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5.090</w:t>
            </w:r>
          </w:p>
        </w:tc>
      </w:tr>
      <w:tr w:rsidR="009968E0" w:rsidRPr="009968E0" w14:paraId="0C84C0C5" w14:textId="77777777" w:rsidTr="009968E0">
        <w:trPr>
          <w:trHeight w:val="360"/>
        </w:trPr>
        <w:tc>
          <w:tcPr>
            <w:tcW w:w="0" w:type="auto"/>
            <w:vMerge/>
            <w:shd w:val="clear" w:color="auto" w:fill="FDE9D9"/>
          </w:tcPr>
          <w:p w14:paraId="3BF8E8C5"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0" w:type="auto"/>
            <w:vMerge w:val="restart"/>
          </w:tcPr>
          <w:p w14:paraId="5706A04A"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 for Mean</w:t>
            </w:r>
          </w:p>
        </w:tc>
        <w:tc>
          <w:tcPr>
            <w:tcW w:w="0" w:type="auto"/>
          </w:tcPr>
          <w:p w14:paraId="34400D20"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0" w:type="auto"/>
          </w:tcPr>
          <w:p w14:paraId="1844611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3.719</w:t>
            </w:r>
          </w:p>
        </w:tc>
        <w:tc>
          <w:tcPr>
            <w:tcW w:w="0" w:type="auto"/>
          </w:tcPr>
          <w:p w14:paraId="124D686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4.269</w:t>
            </w:r>
          </w:p>
        </w:tc>
        <w:tc>
          <w:tcPr>
            <w:tcW w:w="0" w:type="auto"/>
          </w:tcPr>
          <w:p w14:paraId="3EAA0D7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3.543</w:t>
            </w:r>
          </w:p>
        </w:tc>
        <w:tc>
          <w:tcPr>
            <w:tcW w:w="0" w:type="auto"/>
          </w:tcPr>
          <w:p w14:paraId="1CD4030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4.194</w:t>
            </w:r>
          </w:p>
        </w:tc>
      </w:tr>
      <w:tr w:rsidR="009968E0" w:rsidRPr="009968E0" w14:paraId="6FDA86C7" w14:textId="77777777" w:rsidTr="009968E0">
        <w:trPr>
          <w:trHeight w:val="360"/>
        </w:trPr>
        <w:tc>
          <w:tcPr>
            <w:tcW w:w="0" w:type="auto"/>
            <w:vMerge/>
            <w:shd w:val="clear" w:color="auto" w:fill="FDE9D9"/>
          </w:tcPr>
          <w:p w14:paraId="5BE3F2E6"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0" w:type="auto"/>
            <w:vMerge/>
          </w:tcPr>
          <w:p w14:paraId="52EA3746"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0" w:type="auto"/>
          </w:tcPr>
          <w:p w14:paraId="7E574A79"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0" w:type="auto"/>
          </w:tcPr>
          <w:p w14:paraId="75D1002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5.131</w:t>
            </w:r>
          </w:p>
        </w:tc>
        <w:tc>
          <w:tcPr>
            <w:tcW w:w="0" w:type="auto"/>
          </w:tcPr>
          <w:p w14:paraId="6E01119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5.509</w:t>
            </w:r>
          </w:p>
        </w:tc>
        <w:tc>
          <w:tcPr>
            <w:tcW w:w="0" w:type="auto"/>
          </w:tcPr>
          <w:p w14:paraId="3A0BE9A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4.757</w:t>
            </w:r>
          </w:p>
        </w:tc>
        <w:tc>
          <w:tcPr>
            <w:tcW w:w="0" w:type="auto"/>
          </w:tcPr>
          <w:p w14:paraId="7610716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5.986</w:t>
            </w:r>
          </w:p>
        </w:tc>
      </w:tr>
      <w:tr w:rsidR="009968E0" w:rsidRPr="009968E0" w14:paraId="755E6543" w14:textId="77777777" w:rsidTr="009968E0">
        <w:trPr>
          <w:trHeight w:val="360"/>
        </w:trPr>
        <w:tc>
          <w:tcPr>
            <w:tcW w:w="0" w:type="auto"/>
            <w:gridSpan w:val="7"/>
          </w:tcPr>
          <w:p w14:paraId="2D7179E7"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p=0.147</w:t>
            </w:r>
          </w:p>
        </w:tc>
      </w:tr>
      <w:tr w:rsidR="009968E0" w:rsidRPr="009968E0" w14:paraId="4FEBF0D2" w14:textId="77777777" w:rsidTr="009968E0">
        <w:trPr>
          <w:trHeight w:val="360"/>
        </w:trPr>
        <w:tc>
          <w:tcPr>
            <w:tcW w:w="0" w:type="auto"/>
            <w:vMerge w:val="restart"/>
            <w:shd w:val="clear" w:color="auto" w:fill="FDE9D9"/>
          </w:tcPr>
          <w:p w14:paraId="415FAD15"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MTT-Rin2</w:t>
            </w:r>
          </w:p>
        </w:tc>
        <w:tc>
          <w:tcPr>
            <w:tcW w:w="0" w:type="auto"/>
            <w:gridSpan w:val="2"/>
          </w:tcPr>
          <w:p w14:paraId="0E7FCE48"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w:t>
            </w:r>
          </w:p>
        </w:tc>
        <w:tc>
          <w:tcPr>
            <w:tcW w:w="0" w:type="auto"/>
          </w:tcPr>
          <w:p w14:paraId="581956D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w:t>
            </w:r>
          </w:p>
        </w:tc>
        <w:tc>
          <w:tcPr>
            <w:tcW w:w="0" w:type="auto"/>
          </w:tcPr>
          <w:p w14:paraId="5F25D9F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w:t>
            </w:r>
          </w:p>
        </w:tc>
        <w:tc>
          <w:tcPr>
            <w:tcW w:w="0" w:type="auto"/>
          </w:tcPr>
          <w:p w14:paraId="4A279A5E"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w:t>
            </w:r>
          </w:p>
        </w:tc>
        <w:tc>
          <w:tcPr>
            <w:tcW w:w="0" w:type="auto"/>
          </w:tcPr>
          <w:p w14:paraId="6C59E67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w:t>
            </w:r>
          </w:p>
        </w:tc>
      </w:tr>
      <w:tr w:rsidR="009968E0" w:rsidRPr="009968E0" w14:paraId="4923B8B7" w14:textId="77777777" w:rsidTr="009968E0">
        <w:trPr>
          <w:trHeight w:val="360"/>
        </w:trPr>
        <w:tc>
          <w:tcPr>
            <w:tcW w:w="0" w:type="auto"/>
            <w:vMerge/>
            <w:shd w:val="clear" w:color="auto" w:fill="FDE9D9"/>
          </w:tcPr>
          <w:p w14:paraId="2982971C"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0" w:type="auto"/>
            <w:gridSpan w:val="2"/>
          </w:tcPr>
          <w:p w14:paraId="11EBD974"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0" w:type="auto"/>
          </w:tcPr>
          <w:p w14:paraId="2001E72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4.575</w:t>
            </w:r>
          </w:p>
        </w:tc>
        <w:tc>
          <w:tcPr>
            <w:tcW w:w="0" w:type="auto"/>
          </w:tcPr>
          <w:p w14:paraId="040E470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5.022</w:t>
            </w:r>
          </w:p>
        </w:tc>
        <w:tc>
          <w:tcPr>
            <w:tcW w:w="0" w:type="auto"/>
          </w:tcPr>
          <w:p w14:paraId="32C761F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4.270</w:t>
            </w:r>
          </w:p>
        </w:tc>
        <w:tc>
          <w:tcPr>
            <w:tcW w:w="0" w:type="auto"/>
          </w:tcPr>
          <w:p w14:paraId="2605D75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5.210</w:t>
            </w:r>
          </w:p>
        </w:tc>
      </w:tr>
      <w:tr w:rsidR="009968E0" w:rsidRPr="009968E0" w14:paraId="042B3453" w14:textId="77777777" w:rsidTr="009968E0">
        <w:trPr>
          <w:trHeight w:val="360"/>
        </w:trPr>
        <w:tc>
          <w:tcPr>
            <w:tcW w:w="0" w:type="auto"/>
            <w:vMerge/>
            <w:shd w:val="clear" w:color="auto" w:fill="FDE9D9"/>
          </w:tcPr>
          <w:p w14:paraId="7A722B94"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0" w:type="auto"/>
            <w:vMerge w:val="restart"/>
          </w:tcPr>
          <w:p w14:paraId="08FECA93"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 for Mean</w:t>
            </w:r>
          </w:p>
        </w:tc>
        <w:tc>
          <w:tcPr>
            <w:tcW w:w="0" w:type="auto"/>
          </w:tcPr>
          <w:p w14:paraId="31AE1BFB"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0" w:type="auto"/>
          </w:tcPr>
          <w:p w14:paraId="7F7436F5"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3.867</w:t>
            </w:r>
          </w:p>
        </w:tc>
        <w:tc>
          <w:tcPr>
            <w:tcW w:w="0" w:type="auto"/>
          </w:tcPr>
          <w:p w14:paraId="286D5FD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4.427</w:t>
            </w:r>
          </w:p>
        </w:tc>
        <w:tc>
          <w:tcPr>
            <w:tcW w:w="0" w:type="auto"/>
          </w:tcPr>
          <w:p w14:paraId="0702D1A4"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3.663</w:t>
            </w:r>
          </w:p>
        </w:tc>
        <w:tc>
          <w:tcPr>
            <w:tcW w:w="0" w:type="auto"/>
          </w:tcPr>
          <w:p w14:paraId="123130D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4.382</w:t>
            </w:r>
          </w:p>
        </w:tc>
      </w:tr>
      <w:tr w:rsidR="009968E0" w:rsidRPr="009968E0" w14:paraId="64ACB380" w14:textId="77777777" w:rsidTr="009968E0">
        <w:trPr>
          <w:trHeight w:val="360"/>
        </w:trPr>
        <w:tc>
          <w:tcPr>
            <w:tcW w:w="0" w:type="auto"/>
            <w:vMerge/>
            <w:shd w:val="clear" w:color="auto" w:fill="FDE9D9"/>
          </w:tcPr>
          <w:p w14:paraId="0882F892"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0" w:type="auto"/>
            <w:vMerge/>
          </w:tcPr>
          <w:p w14:paraId="2386B728"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0" w:type="auto"/>
          </w:tcPr>
          <w:p w14:paraId="022D4344"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0" w:type="auto"/>
          </w:tcPr>
          <w:p w14:paraId="1D7A30FE"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5.283</w:t>
            </w:r>
          </w:p>
        </w:tc>
        <w:tc>
          <w:tcPr>
            <w:tcW w:w="0" w:type="auto"/>
          </w:tcPr>
          <w:p w14:paraId="73B636F8"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5.617</w:t>
            </w:r>
          </w:p>
        </w:tc>
        <w:tc>
          <w:tcPr>
            <w:tcW w:w="0" w:type="auto"/>
          </w:tcPr>
          <w:p w14:paraId="3067CFD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4.877</w:t>
            </w:r>
          </w:p>
        </w:tc>
        <w:tc>
          <w:tcPr>
            <w:tcW w:w="0" w:type="auto"/>
          </w:tcPr>
          <w:p w14:paraId="199E303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6.038</w:t>
            </w:r>
          </w:p>
        </w:tc>
      </w:tr>
      <w:tr w:rsidR="009968E0" w:rsidRPr="009968E0" w14:paraId="539A6103" w14:textId="77777777" w:rsidTr="009968E0">
        <w:trPr>
          <w:trHeight w:val="360"/>
        </w:trPr>
        <w:tc>
          <w:tcPr>
            <w:tcW w:w="0" w:type="auto"/>
            <w:gridSpan w:val="7"/>
          </w:tcPr>
          <w:p w14:paraId="506F2990"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p=0.124</w:t>
            </w:r>
          </w:p>
        </w:tc>
      </w:tr>
      <w:tr w:rsidR="009968E0" w:rsidRPr="009968E0" w14:paraId="6615FF61" w14:textId="77777777" w:rsidTr="009968E0">
        <w:trPr>
          <w:trHeight w:val="360"/>
        </w:trPr>
        <w:tc>
          <w:tcPr>
            <w:tcW w:w="0" w:type="auto"/>
            <w:vMerge w:val="restart"/>
            <w:shd w:val="clear" w:color="auto" w:fill="FDE9D9"/>
          </w:tcPr>
          <w:p w14:paraId="648898EA"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MTT-AC2</w:t>
            </w:r>
          </w:p>
        </w:tc>
        <w:tc>
          <w:tcPr>
            <w:tcW w:w="0" w:type="auto"/>
            <w:gridSpan w:val="2"/>
          </w:tcPr>
          <w:p w14:paraId="675F2744"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w:t>
            </w:r>
          </w:p>
        </w:tc>
        <w:tc>
          <w:tcPr>
            <w:tcW w:w="0" w:type="auto"/>
          </w:tcPr>
          <w:p w14:paraId="487248E0"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w:t>
            </w:r>
          </w:p>
        </w:tc>
        <w:tc>
          <w:tcPr>
            <w:tcW w:w="0" w:type="auto"/>
          </w:tcPr>
          <w:p w14:paraId="636285C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w:t>
            </w:r>
          </w:p>
        </w:tc>
        <w:tc>
          <w:tcPr>
            <w:tcW w:w="0" w:type="auto"/>
          </w:tcPr>
          <w:p w14:paraId="55B3EDC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w:t>
            </w:r>
          </w:p>
        </w:tc>
        <w:tc>
          <w:tcPr>
            <w:tcW w:w="0" w:type="auto"/>
          </w:tcPr>
          <w:p w14:paraId="72B6B3A0"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w:t>
            </w:r>
          </w:p>
        </w:tc>
      </w:tr>
      <w:tr w:rsidR="009968E0" w:rsidRPr="009968E0" w14:paraId="7DA46572" w14:textId="77777777" w:rsidTr="009968E0">
        <w:trPr>
          <w:trHeight w:val="360"/>
        </w:trPr>
        <w:tc>
          <w:tcPr>
            <w:tcW w:w="0" w:type="auto"/>
            <w:vMerge/>
            <w:shd w:val="clear" w:color="auto" w:fill="FDE9D9"/>
          </w:tcPr>
          <w:p w14:paraId="74F3089F"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0" w:type="auto"/>
            <w:gridSpan w:val="2"/>
          </w:tcPr>
          <w:p w14:paraId="2A9EBA8B"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0" w:type="auto"/>
          </w:tcPr>
          <w:p w14:paraId="266726D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4.925</w:t>
            </w:r>
          </w:p>
        </w:tc>
        <w:tc>
          <w:tcPr>
            <w:tcW w:w="0" w:type="auto"/>
          </w:tcPr>
          <w:p w14:paraId="5E4AA0E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5.067</w:t>
            </w:r>
          </w:p>
        </w:tc>
        <w:tc>
          <w:tcPr>
            <w:tcW w:w="0" w:type="auto"/>
          </w:tcPr>
          <w:p w14:paraId="700AEB9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4.500</w:t>
            </w:r>
          </w:p>
        </w:tc>
        <w:tc>
          <w:tcPr>
            <w:tcW w:w="0" w:type="auto"/>
          </w:tcPr>
          <w:p w14:paraId="6DFC285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5.560</w:t>
            </w:r>
          </w:p>
        </w:tc>
      </w:tr>
      <w:tr w:rsidR="009968E0" w:rsidRPr="009968E0" w14:paraId="7ED9245E" w14:textId="77777777" w:rsidTr="009968E0">
        <w:trPr>
          <w:trHeight w:val="360"/>
        </w:trPr>
        <w:tc>
          <w:tcPr>
            <w:tcW w:w="0" w:type="auto"/>
            <w:vMerge/>
            <w:shd w:val="clear" w:color="auto" w:fill="FDE9D9"/>
          </w:tcPr>
          <w:p w14:paraId="26D4D082"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0" w:type="auto"/>
            <w:vMerge w:val="restart"/>
          </w:tcPr>
          <w:p w14:paraId="4D4FDC13"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 for Mean</w:t>
            </w:r>
          </w:p>
        </w:tc>
        <w:tc>
          <w:tcPr>
            <w:tcW w:w="0" w:type="auto"/>
          </w:tcPr>
          <w:p w14:paraId="0BBA9E5F"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0" w:type="auto"/>
          </w:tcPr>
          <w:p w14:paraId="115A5158"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3.888</w:t>
            </w:r>
          </w:p>
        </w:tc>
        <w:tc>
          <w:tcPr>
            <w:tcW w:w="0" w:type="auto"/>
          </w:tcPr>
          <w:p w14:paraId="50EF649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4.111</w:t>
            </w:r>
          </w:p>
        </w:tc>
        <w:tc>
          <w:tcPr>
            <w:tcW w:w="0" w:type="auto"/>
          </w:tcPr>
          <w:p w14:paraId="0AF3344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3.719</w:t>
            </w:r>
          </w:p>
        </w:tc>
        <w:tc>
          <w:tcPr>
            <w:tcW w:w="0" w:type="auto"/>
          </w:tcPr>
          <w:p w14:paraId="2F2A24F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4.300</w:t>
            </w:r>
          </w:p>
        </w:tc>
      </w:tr>
      <w:tr w:rsidR="009968E0" w:rsidRPr="009968E0" w14:paraId="3F175F7C" w14:textId="77777777" w:rsidTr="009968E0">
        <w:trPr>
          <w:trHeight w:val="360"/>
        </w:trPr>
        <w:tc>
          <w:tcPr>
            <w:tcW w:w="0" w:type="auto"/>
            <w:vMerge/>
            <w:shd w:val="clear" w:color="auto" w:fill="FDE9D9"/>
          </w:tcPr>
          <w:p w14:paraId="6B552807"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0" w:type="auto"/>
            <w:vMerge/>
          </w:tcPr>
          <w:p w14:paraId="3CED7460"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0" w:type="auto"/>
          </w:tcPr>
          <w:p w14:paraId="7C966D00"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0" w:type="auto"/>
          </w:tcPr>
          <w:p w14:paraId="31E088F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5.962</w:t>
            </w:r>
          </w:p>
        </w:tc>
        <w:tc>
          <w:tcPr>
            <w:tcW w:w="0" w:type="auto"/>
          </w:tcPr>
          <w:p w14:paraId="0DF26DC8"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6.022</w:t>
            </w:r>
          </w:p>
        </w:tc>
        <w:tc>
          <w:tcPr>
            <w:tcW w:w="0" w:type="auto"/>
          </w:tcPr>
          <w:p w14:paraId="286A382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5.281</w:t>
            </w:r>
          </w:p>
        </w:tc>
        <w:tc>
          <w:tcPr>
            <w:tcW w:w="0" w:type="auto"/>
          </w:tcPr>
          <w:p w14:paraId="0DF9B16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6.820</w:t>
            </w:r>
          </w:p>
        </w:tc>
      </w:tr>
      <w:tr w:rsidR="009968E0" w:rsidRPr="009968E0" w14:paraId="4B75E29E" w14:textId="77777777" w:rsidTr="009968E0">
        <w:trPr>
          <w:trHeight w:val="360"/>
        </w:trPr>
        <w:tc>
          <w:tcPr>
            <w:tcW w:w="0" w:type="auto"/>
            <w:gridSpan w:val="7"/>
          </w:tcPr>
          <w:p w14:paraId="7EB6F22F"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p=0.398</w:t>
            </w:r>
          </w:p>
        </w:tc>
      </w:tr>
      <w:tr w:rsidR="009968E0" w:rsidRPr="009968E0" w14:paraId="67B883AF" w14:textId="77777777" w:rsidTr="009968E0">
        <w:trPr>
          <w:trHeight w:val="360"/>
        </w:trPr>
        <w:tc>
          <w:tcPr>
            <w:tcW w:w="0" w:type="auto"/>
            <w:vMerge w:val="restart"/>
            <w:shd w:val="clear" w:color="auto" w:fill="FDE9D9"/>
          </w:tcPr>
          <w:p w14:paraId="0483B6D2"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MTT-PO2</w:t>
            </w:r>
          </w:p>
        </w:tc>
        <w:tc>
          <w:tcPr>
            <w:tcW w:w="0" w:type="auto"/>
            <w:gridSpan w:val="2"/>
          </w:tcPr>
          <w:p w14:paraId="4C094D96"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w:t>
            </w:r>
          </w:p>
        </w:tc>
        <w:tc>
          <w:tcPr>
            <w:tcW w:w="0" w:type="auto"/>
          </w:tcPr>
          <w:p w14:paraId="1BF24F48"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w:t>
            </w:r>
          </w:p>
        </w:tc>
        <w:tc>
          <w:tcPr>
            <w:tcW w:w="0" w:type="auto"/>
          </w:tcPr>
          <w:p w14:paraId="39D84430"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w:t>
            </w:r>
          </w:p>
        </w:tc>
        <w:tc>
          <w:tcPr>
            <w:tcW w:w="0" w:type="auto"/>
          </w:tcPr>
          <w:p w14:paraId="38BCC6C5"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w:t>
            </w:r>
          </w:p>
        </w:tc>
        <w:tc>
          <w:tcPr>
            <w:tcW w:w="0" w:type="auto"/>
          </w:tcPr>
          <w:p w14:paraId="3D224B88"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w:t>
            </w:r>
          </w:p>
        </w:tc>
      </w:tr>
      <w:tr w:rsidR="009968E0" w:rsidRPr="009968E0" w14:paraId="7202C1E2" w14:textId="77777777" w:rsidTr="009968E0">
        <w:trPr>
          <w:trHeight w:val="360"/>
        </w:trPr>
        <w:tc>
          <w:tcPr>
            <w:tcW w:w="0" w:type="auto"/>
            <w:vMerge/>
            <w:shd w:val="clear" w:color="auto" w:fill="FDE9D9"/>
          </w:tcPr>
          <w:p w14:paraId="2CA0C444"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0" w:type="auto"/>
            <w:gridSpan w:val="2"/>
          </w:tcPr>
          <w:p w14:paraId="2E962990"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0" w:type="auto"/>
          </w:tcPr>
          <w:p w14:paraId="51C5506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7.350</w:t>
            </w:r>
          </w:p>
        </w:tc>
        <w:tc>
          <w:tcPr>
            <w:tcW w:w="0" w:type="auto"/>
          </w:tcPr>
          <w:p w14:paraId="19A975A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7.778</w:t>
            </w:r>
          </w:p>
        </w:tc>
        <w:tc>
          <w:tcPr>
            <w:tcW w:w="0" w:type="auto"/>
          </w:tcPr>
          <w:p w14:paraId="1512538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7.350</w:t>
            </w:r>
          </w:p>
        </w:tc>
        <w:tc>
          <w:tcPr>
            <w:tcW w:w="0" w:type="auto"/>
          </w:tcPr>
          <w:p w14:paraId="7B1BBBD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8.060</w:t>
            </w:r>
          </w:p>
        </w:tc>
      </w:tr>
      <w:tr w:rsidR="009968E0" w:rsidRPr="009968E0" w14:paraId="62E2324D" w14:textId="77777777" w:rsidTr="009968E0">
        <w:trPr>
          <w:trHeight w:val="360"/>
        </w:trPr>
        <w:tc>
          <w:tcPr>
            <w:tcW w:w="0" w:type="auto"/>
            <w:vMerge/>
            <w:shd w:val="clear" w:color="auto" w:fill="FDE9D9"/>
          </w:tcPr>
          <w:p w14:paraId="6ED4E8B8"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0" w:type="auto"/>
            <w:vMerge w:val="restart"/>
          </w:tcPr>
          <w:p w14:paraId="78F0D127"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 for Mean</w:t>
            </w:r>
          </w:p>
        </w:tc>
        <w:tc>
          <w:tcPr>
            <w:tcW w:w="0" w:type="auto"/>
          </w:tcPr>
          <w:p w14:paraId="4994BE2D"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0" w:type="auto"/>
          </w:tcPr>
          <w:p w14:paraId="6A50ABA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5.964</w:t>
            </w:r>
          </w:p>
        </w:tc>
        <w:tc>
          <w:tcPr>
            <w:tcW w:w="0" w:type="auto"/>
          </w:tcPr>
          <w:p w14:paraId="33D6D1D5"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6.531</w:t>
            </w:r>
          </w:p>
        </w:tc>
        <w:tc>
          <w:tcPr>
            <w:tcW w:w="0" w:type="auto"/>
          </w:tcPr>
          <w:p w14:paraId="533CA4E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6.259</w:t>
            </w:r>
          </w:p>
        </w:tc>
        <w:tc>
          <w:tcPr>
            <w:tcW w:w="0" w:type="auto"/>
          </w:tcPr>
          <w:p w14:paraId="588E370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6.244</w:t>
            </w:r>
          </w:p>
        </w:tc>
      </w:tr>
      <w:tr w:rsidR="009968E0" w:rsidRPr="009968E0" w14:paraId="73B0A525" w14:textId="77777777" w:rsidTr="009968E0">
        <w:trPr>
          <w:trHeight w:val="360"/>
        </w:trPr>
        <w:tc>
          <w:tcPr>
            <w:tcW w:w="0" w:type="auto"/>
            <w:vMerge/>
            <w:shd w:val="clear" w:color="auto" w:fill="FDE9D9"/>
          </w:tcPr>
          <w:p w14:paraId="1AB0B29B"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0" w:type="auto"/>
            <w:vMerge/>
          </w:tcPr>
          <w:p w14:paraId="07C096BD"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0" w:type="auto"/>
          </w:tcPr>
          <w:p w14:paraId="02638D82"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0" w:type="auto"/>
          </w:tcPr>
          <w:p w14:paraId="4038543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8.736</w:t>
            </w:r>
          </w:p>
        </w:tc>
        <w:tc>
          <w:tcPr>
            <w:tcW w:w="0" w:type="auto"/>
          </w:tcPr>
          <w:p w14:paraId="4C03D7B0"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9.025</w:t>
            </w:r>
          </w:p>
        </w:tc>
        <w:tc>
          <w:tcPr>
            <w:tcW w:w="0" w:type="auto"/>
          </w:tcPr>
          <w:p w14:paraId="4A7668A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8.441</w:t>
            </w:r>
          </w:p>
        </w:tc>
        <w:tc>
          <w:tcPr>
            <w:tcW w:w="0" w:type="auto"/>
          </w:tcPr>
          <w:p w14:paraId="3B98E5B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9.876</w:t>
            </w:r>
          </w:p>
        </w:tc>
      </w:tr>
      <w:tr w:rsidR="009968E0" w:rsidRPr="009968E0" w14:paraId="07EA8706" w14:textId="77777777" w:rsidTr="009968E0">
        <w:trPr>
          <w:trHeight w:val="360"/>
        </w:trPr>
        <w:tc>
          <w:tcPr>
            <w:tcW w:w="0" w:type="auto"/>
            <w:gridSpan w:val="7"/>
          </w:tcPr>
          <w:p w14:paraId="5ABC6138"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p=0.812</w:t>
            </w:r>
          </w:p>
        </w:tc>
      </w:tr>
      <w:tr w:rsidR="009968E0" w:rsidRPr="009968E0" w14:paraId="3CA5CCE0" w14:textId="77777777" w:rsidTr="009968E0">
        <w:trPr>
          <w:trHeight w:val="360"/>
        </w:trPr>
        <w:tc>
          <w:tcPr>
            <w:tcW w:w="0" w:type="auto"/>
            <w:vMerge w:val="restart"/>
            <w:shd w:val="clear" w:color="auto" w:fill="FDE9D9"/>
          </w:tcPr>
          <w:p w14:paraId="4B4AB750"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MTT-LPS2</w:t>
            </w:r>
          </w:p>
        </w:tc>
        <w:tc>
          <w:tcPr>
            <w:tcW w:w="0" w:type="auto"/>
            <w:gridSpan w:val="2"/>
          </w:tcPr>
          <w:p w14:paraId="0C675281"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w:t>
            </w:r>
          </w:p>
        </w:tc>
        <w:tc>
          <w:tcPr>
            <w:tcW w:w="0" w:type="auto"/>
          </w:tcPr>
          <w:p w14:paraId="72D4DB8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w:t>
            </w:r>
          </w:p>
        </w:tc>
        <w:tc>
          <w:tcPr>
            <w:tcW w:w="0" w:type="auto"/>
          </w:tcPr>
          <w:p w14:paraId="6AF7B55E"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w:t>
            </w:r>
          </w:p>
        </w:tc>
        <w:tc>
          <w:tcPr>
            <w:tcW w:w="0" w:type="auto"/>
          </w:tcPr>
          <w:p w14:paraId="3BF5CEC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w:t>
            </w:r>
          </w:p>
        </w:tc>
        <w:tc>
          <w:tcPr>
            <w:tcW w:w="0" w:type="auto"/>
          </w:tcPr>
          <w:p w14:paraId="600BB82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w:t>
            </w:r>
          </w:p>
        </w:tc>
      </w:tr>
      <w:tr w:rsidR="009968E0" w:rsidRPr="009968E0" w14:paraId="5BDFC339" w14:textId="77777777" w:rsidTr="009968E0">
        <w:trPr>
          <w:trHeight w:val="360"/>
        </w:trPr>
        <w:tc>
          <w:tcPr>
            <w:tcW w:w="0" w:type="auto"/>
            <w:vMerge/>
            <w:shd w:val="clear" w:color="auto" w:fill="FDE9D9"/>
          </w:tcPr>
          <w:p w14:paraId="3FB17322"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0" w:type="auto"/>
            <w:gridSpan w:val="2"/>
          </w:tcPr>
          <w:p w14:paraId="159ABD51"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0" w:type="auto"/>
          </w:tcPr>
          <w:p w14:paraId="6C5D775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5.263</w:t>
            </w:r>
          </w:p>
        </w:tc>
        <w:tc>
          <w:tcPr>
            <w:tcW w:w="0" w:type="auto"/>
          </w:tcPr>
          <w:p w14:paraId="58B8E155"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5.622</w:t>
            </w:r>
          </w:p>
        </w:tc>
        <w:tc>
          <w:tcPr>
            <w:tcW w:w="0" w:type="auto"/>
          </w:tcPr>
          <w:p w14:paraId="47A95CB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4.880</w:t>
            </w:r>
          </w:p>
        </w:tc>
        <w:tc>
          <w:tcPr>
            <w:tcW w:w="0" w:type="auto"/>
          </w:tcPr>
          <w:p w14:paraId="47567BF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6.170</w:t>
            </w:r>
          </w:p>
        </w:tc>
      </w:tr>
      <w:tr w:rsidR="009968E0" w:rsidRPr="009968E0" w14:paraId="262490A7" w14:textId="77777777" w:rsidTr="009968E0">
        <w:trPr>
          <w:trHeight w:val="360"/>
        </w:trPr>
        <w:tc>
          <w:tcPr>
            <w:tcW w:w="0" w:type="auto"/>
            <w:vMerge/>
            <w:shd w:val="clear" w:color="auto" w:fill="FDE9D9"/>
          </w:tcPr>
          <w:p w14:paraId="32513687"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0" w:type="auto"/>
            <w:vMerge w:val="restart"/>
          </w:tcPr>
          <w:p w14:paraId="70A5A432"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 for Mean</w:t>
            </w:r>
          </w:p>
        </w:tc>
        <w:tc>
          <w:tcPr>
            <w:tcW w:w="0" w:type="auto"/>
          </w:tcPr>
          <w:p w14:paraId="1D98F320"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0" w:type="auto"/>
          </w:tcPr>
          <w:p w14:paraId="0FB3C7E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4.777</w:t>
            </w:r>
          </w:p>
        </w:tc>
        <w:tc>
          <w:tcPr>
            <w:tcW w:w="0" w:type="auto"/>
          </w:tcPr>
          <w:p w14:paraId="7F08A203"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5.006</w:t>
            </w:r>
          </w:p>
        </w:tc>
        <w:tc>
          <w:tcPr>
            <w:tcW w:w="0" w:type="auto"/>
          </w:tcPr>
          <w:p w14:paraId="093C36A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4.205</w:t>
            </w:r>
          </w:p>
        </w:tc>
        <w:tc>
          <w:tcPr>
            <w:tcW w:w="0" w:type="auto"/>
          </w:tcPr>
          <w:p w14:paraId="6609EF0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4.726</w:t>
            </w:r>
          </w:p>
        </w:tc>
      </w:tr>
      <w:tr w:rsidR="009968E0" w:rsidRPr="009968E0" w14:paraId="512ED396" w14:textId="77777777" w:rsidTr="009968E0">
        <w:trPr>
          <w:trHeight w:val="360"/>
        </w:trPr>
        <w:tc>
          <w:tcPr>
            <w:tcW w:w="0" w:type="auto"/>
            <w:vMerge/>
            <w:shd w:val="clear" w:color="auto" w:fill="FDE9D9"/>
          </w:tcPr>
          <w:p w14:paraId="63CE22B8"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0" w:type="auto"/>
            <w:vMerge/>
          </w:tcPr>
          <w:p w14:paraId="7616D4B1"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0" w:type="auto"/>
          </w:tcPr>
          <w:p w14:paraId="64EA810F"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0" w:type="auto"/>
          </w:tcPr>
          <w:p w14:paraId="136618E8"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5.748</w:t>
            </w:r>
          </w:p>
        </w:tc>
        <w:tc>
          <w:tcPr>
            <w:tcW w:w="0" w:type="auto"/>
          </w:tcPr>
          <w:p w14:paraId="4ED64ACE"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6.238</w:t>
            </w:r>
          </w:p>
        </w:tc>
        <w:tc>
          <w:tcPr>
            <w:tcW w:w="0" w:type="auto"/>
          </w:tcPr>
          <w:p w14:paraId="0E00A87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5.555</w:t>
            </w:r>
          </w:p>
        </w:tc>
        <w:tc>
          <w:tcPr>
            <w:tcW w:w="0" w:type="auto"/>
          </w:tcPr>
          <w:p w14:paraId="4A4B98B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7.614</w:t>
            </w:r>
          </w:p>
        </w:tc>
      </w:tr>
      <w:tr w:rsidR="009968E0" w:rsidRPr="009968E0" w14:paraId="74C8FCD4" w14:textId="77777777" w:rsidTr="009968E0">
        <w:trPr>
          <w:trHeight w:val="360"/>
        </w:trPr>
        <w:tc>
          <w:tcPr>
            <w:tcW w:w="0" w:type="auto"/>
            <w:gridSpan w:val="7"/>
          </w:tcPr>
          <w:p w14:paraId="0C780E4B"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p=0.152</w:t>
            </w:r>
          </w:p>
        </w:tc>
      </w:tr>
      <w:tr w:rsidR="009968E0" w:rsidRPr="009968E0" w14:paraId="51B82D8B" w14:textId="77777777" w:rsidTr="009968E0">
        <w:trPr>
          <w:trHeight w:val="360"/>
        </w:trPr>
        <w:tc>
          <w:tcPr>
            <w:tcW w:w="0" w:type="auto"/>
            <w:vMerge w:val="restart"/>
            <w:shd w:val="clear" w:color="auto" w:fill="FDE9D9"/>
          </w:tcPr>
          <w:p w14:paraId="5D9849F3"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MTT-Rps2</w:t>
            </w:r>
          </w:p>
        </w:tc>
        <w:tc>
          <w:tcPr>
            <w:tcW w:w="0" w:type="auto"/>
            <w:gridSpan w:val="2"/>
          </w:tcPr>
          <w:p w14:paraId="3659CFB6"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w:t>
            </w:r>
          </w:p>
        </w:tc>
        <w:tc>
          <w:tcPr>
            <w:tcW w:w="0" w:type="auto"/>
          </w:tcPr>
          <w:p w14:paraId="2E824A3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w:t>
            </w:r>
          </w:p>
        </w:tc>
        <w:tc>
          <w:tcPr>
            <w:tcW w:w="0" w:type="auto"/>
          </w:tcPr>
          <w:p w14:paraId="576501CE"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w:t>
            </w:r>
          </w:p>
        </w:tc>
        <w:tc>
          <w:tcPr>
            <w:tcW w:w="0" w:type="auto"/>
          </w:tcPr>
          <w:p w14:paraId="59032B0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w:t>
            </w:r>
          </w:p>
        </w:tc>
        <w:tc>
          <w:tcPr>
            <w:tcW w:w="0" w:type="auto"/>
          </w:tcPr>
          <w:p w14:paraId="69969AA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w:t>
            </w:r>
          </w:p>
        </w:tc>
      </w:tr>
      <w:tr w:rsidR="009968E0" w:rsidRPr="009968E0" w14:paraId="1A6045A5" w14:textId="77777777" w:rsidTr="009968E0">
        <w:trPr>
          <w:trHeight w:val="360"/>
        </w:trPr>
        <w:tc>
          <w:tcPr>
            <w:tcW w:w="0" w:type="auto"/>
            <w:vMerge/>
            <w:shd w:val="clear" w:color="auto" w:fill="FDE9D9"/>
          </w:tcPr>
          <w:p w14:paraId="21B819C5"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0" w:type="auto"/>
            <w:gridSpan w:val="2"/>
          </w:tcPr>
          <w:p w14:paraId="2EC1601A"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0" w:type="auto"/>
          </w:tcPr>
          <w:p w14:paraId="4B908E80"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5.550</w:t>
            </w:r>
          </w:p>
        </w:tc>
        <w:tc>
          <w:tcPr>
            <w:tcW w:w="0" w:type="auto"/>
          </w:tcPr>
          <w:p w14:paraId="03B7A22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5.600</w:t>
            </w:r>
          </w:p>
        </w:tc>
        <w:tc>
          <w:tcPr>
            <w:tcW w:w="0" w:type="auto"/>
          </w:tcPr>
          <w:p w14:paraId="36D4DAA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4.960</w:t>
            </w:r>
          </w:p>
        </w:tc>
        <w:tc>
          <w:tcPr>
            <w:tcW w:w="0" w:type="auto"/>
          </w:tcPr>
          <w:p w14:paraId="1ED6329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6.000</w:t>
            </w:r>
          </w:p>
        </w:tc>
      </w:tr>
      <w:tr w:rsidR="009968E0" w:rsidRPr="009968E0" w14:paraId="3AE7F103" w14:textId="77777777" w:rsidTr="009968E0">
        <w:trPr>
          <w:trHeight w:val="360"/>
        </w:trPr>
        <w:tc>
          <w:tcPr>
            <w:tcW w:w="0" w:type="auto"/>
            <w:vMerge/>
            <w:shd w:val="clear" w:color="auto" w:fill="FDE9D9"/>
          </w:tcPr>
          <w:p w14:paraId="7A5C7C8A"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0" w:type="auto"/>
            <w:vMerge w:val="restart"/>
          </w:tcPr>
          <w:p w14:paraId="4922C3C7"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 for Mean</w:t>
            </w:r>
          </w:p>
        </w:tc>
        <w:tc>
          <w:tcPr>
            <w:tcW w:w="0" w:type="auto"/>
          </w:tcPr>
          <w:p w14:paraId="55BD76B1"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0" w:type="auto"/>
          </w:tcPr>
          <w:p w14:paraId="607F567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4.696</w:t>
            </w:r>
          </w:p>
        </w:tc>
        <w:tc>
          <w:tcPr>
            <w:tcW w:w="0" w:type="auto"/>
          </w:tcPr>
          <w:p w14:paraId="1025F2B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4.854</w:t>
            </w:r>
          </w:p>
        </w:tc>
        <w:tc>
          <w:tcPr>
            <w:tcW w:w="0" w:type="auto"/>
          </w:tcPr>
          <w:p w14:paraId="1ADD599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4.221</w:t>
            </w:r>
          </w:p>
        </w:tc>
        <w:tc>
          <w:tcPr>
            <w:tcW w:w="0" w:type="auto"/>
          </w:tcPr>
          <w:p w14:paraId="38C36434"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4.859</w:t>
            </w:r>
          </w:p>
        </w:tc>
      </w:tr>
      <w:tr w:rsidR="009968E0" w:rsidRPr="009968E0" w14:paraId="153B0AAB" w14:textId="77777777" w:rsidTr="009968E0">
        <w:trPr>
          <w:trHeight w:val="360"/>
        </w:trPr>
        <w:tc>
          <w:tcPr>
            <w:tcW w:w="0" w:type="auto"/>
            <w:vMerge/>
            <w:shd w:val="clear" w:color="auto" w:fill="FDE9D9"/>
          </w:tcPr>
          <w:p w14:paraId="6F15DCEC"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0" w:type="auto"/>
            <w:vMerge/>
          </w:tcPr>
          <w:p w14:paraId="34C94BF6"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0" w:type="auto"/>
          </w:tcPr>
          <w:p w14:paraId="2973EA85"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0" w:type="auto"/>
          </w:tcPr>
          <w:p w14:paraId="5EF8B51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6.404</w:t>
            </w:r>
          </w:p>
        </w:tc>
        <w:tc>
          <w:tcPr>
            <w:tcW w:w="0" w:type="auto"/>
          </w:tcPr>
          <w:p w14:paraId="0648768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6.346</w:t>
            </w:r>
          </w:p>
        </w:tc>
        <w:tc>
          <w:tcPr>
            <w:tcW w:w="0" w:type="auto"/>
          </w:tcPr>
          <w:p w14:paraId="24F8930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5.699</w:t>
            </w:r>
          </w:p>
        </w:tc>
        <w:tc>
          <w:tcPr>
            <w:tcW w:w="0" w:type="auto"/>
          </w:tcPr>
          <w:p w14:paraId="6F2C656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7.141</w:t>
            </w:r>
          </w:p>
        </w:tc>
      </w:tr>
      <w:tr w:rsidR="009968E0" w:rsidRPr="009968E0" w14:paraId="63661A7D" w14:textId="77777777" w:rsidTr="009968E0">
        <w:trPr>
          <w:trHeight w:val="360"/>
        </w:trPr>
        <w:tc>
          <w:tcPr>
            <w:tcW w:w="0" w:type="auto"/>
            <w:gridSpan w:val="7"/>
          </w:tcPr>
          <w:p w14:paraId="15150B7B"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p=0.298</w:t>
            </w:r>
          </w:p>
        </w:tc>
      </w:tr>
    </w:tbl>
    <w:p w14:paraId="5F131F13" w14:textId="77777777" w:rsidR="009968E0" w:rsidRPr="009968E0" w:rsidRDefault="009968E0" w:rsidP="009968E0">
      <w:pPr>
        <w:rPr>
          <w:rFonts w:ascii="Times New Roman" w:eastAsia="Times New Roman" w:hAnsi="Times New Roman" w:cs="Arial"/>
          <w:i/>
          <w:iCs/>
          <w:color w:val="808080"/>
          <w:lang w:eastAsia="en-GB"/>
        </w:rPr>
      </w:pPr>
    </w:p>
    <w:p w14:paraId="7B9C0ACB" w14:textId="77777777" w:rsidR="009968E0" w:rsidRPr="009968E0" w:rsidRDefault="009968E0" w:rsidP="009968E0">
      <w:pPr>
        <w:rPr>
          <w:rFonts w:ascii="Times New Roman" w:eastAsia="Times New Roman" w:hAnsi="Times New Roman" w:cs="Arial"/>
          <w:i/>
          <w:iCs/>
          <w:color w:val="808080"/>
          <w:lang w:eastAsia="en-GB"/>
        </w:rPr>
      </w:pPr>
    </w:p>
    <w:p w14:paraId="2C57075B" w14:textId="666F0B72" w:rsidR="009968E0" w:rsidRPr="007A2ECE" w:rsidRDefault="009968E0" w:rsidP="007A2ECE">
      <w:pPr>
        <w:pStyle w:val="Quote"/>
      </w:pPr>
      <w:bookmarkStart w:id="604" w:name="_Toc48406141"/>
      <w:bookmarkStart w:id="605" w:name="_Toc49273353"/>
      <w:bookmarkStart w:id="606" w:name="_Toc64724106"/>
      <w:r w:rsidRPr="007A2ECE">
        <w:t>Table C.8 Univariate ANOVA for TTP Visit 2</w:t>
      </w:r>
      <w:bookmarkEnd w:id="604"/>
      <w:bookmarkEnd w:id="605"/>
      <w:bookmarkEnd w:id="606"/>
    </w:p>
    <w:tbl>
      <w:tblPr>
        <w:tblW w:w="90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400" w:firstRow="0" w:lastRow="0" w:firstColumn="0" w:lastColumn="0" w:noHBand="0" w:noVBand="1"/>
      </w:tblPr>
      <w:tblGrid>
        <w:gridCol w:w="1615"/>
        <w:gridCol w:w="2842"/>
        <w:gridCol w:w="1310"/>
        <w:gridCol w:w="839"/>
        <w:gridCol w:w="785"/>
        <w:gridCol w:w="883"/>
        <w:gridCol w:w="780"/>
      </w:tblGrid>
      <w:tr w:rsidR="009968E0" w:rsidRPr="009968E0" w14:paraId="182C0A4B" w14:textId="77777777" w:rsidTr="009968E0">
        <w:trPr>
          <w:trHeight w:val="360"/>
        </w:trPr>
        <w:tc>
          <w:tcPr>
            <w:tcW w:w="5767" w:type="dxa"/>
            <w:gridSpan w:val="3"/>
            <w:shd w:val="clear" w:color="auto" w:fill="auto"/>
          </w:tcPr>
          <w:p w14:paraId="21C20068"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 </w:t>
            </w:r>
          </w:p>
        </w:tc>
        <w:tc>
          <w:tcPr>
            <w:tcW w:w="839" w:type="dxa"/>
            <w:shd w:val="clear" w:color="auto" w:fill="auto"/>
          </w:tcPr>
          <w:p w14:paraId="2A966129"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P-DPN</w:t>
            </w:r>
          </w:p>
        </w:tc>
        <w:tc>
          <w:tcPr>
            <w:tcW w:w="785" w:type="dxa"/>
            <w:shd w:val="clear" w:color="auto" w:fill="auto"/>
          </w:tcPr>
          <w:p w14:paraId="661A3164"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DPN</w:t>
            </w:r>
          </w:p>
        </w:tc>
        <w:tc>
          <w:tcPr>
            <w:tcW w:w="883" w:type="dxa"/>
            <w:shd w:val="clear" w:color="auto" w:fill="auto"/>
          </w:tcPr>
          <w:p w14:paraId="15E5BED2"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Arial" w:hAnsi="Calibri" w:cs="Calibri"/>
                <w:i/>
                <w:iCs/>
                <w:color w:val="000000"/>
                <w:sz w:val="22"/>
                <w:szCs w:val="22"/>
                <w:lang w:eastAsia="en-GB"/>
              </w:rPr>
              <w:t>DM-NN</w:t>
            </w:r>
          </w:p>
        </w:tc>
        <w:tc>
          <w:tcPr>
            <w:tcW w:w="780" w:type="dxa"/>
            <w:shd w:val="clear" w:color="auto" w:fill="auto"/>
          </w:tcPr>
          <w:p w14:paraId="29D62A93"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HV</w:t>
            </w:r>
          </w:p>
        </w:tc>
      </w:tr>
      <w:tr w:rsidR="009968E0" w:rsidRPr="009968E0" w14:paraId="4F9DFE31" w14:textId="77777777" w:rsidTr="009968E0">
        <w:trPr>
          <w:trHeight w:val="360"/>
        </w:trPr>
        <w:tc>
          <w:tcPr>
            <w:tcW w:w="1615" w:type="dxa"/>
            <w:vMerge w:val="restart"/>
            <w:shd w:val="clear" w:color="auto" w:fill="FDE9D9"/>
          </w:tcPr>
          <w:p w14:paraId="6C939E42" w14:textId="198B268B"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TTP-</w:t>
            </w:r>
            <w:r w:rsidR="00264184">
              <w:rPr>
                <w:rFonts w:ascii="Calibri" w:eastAsia="Times New Roman" w:hAnsi="Calibri" w:cs="Calibri"/>
                <w:i/>
                <w:iCs/>
                <w:color w:val="000000"/>
                <w:sz w:val="22"/>
                <w:szCs w:val="22"/>
                <w:lang w:eastAsia="en-GB"/>
              </w:rPr>
              <w:t>LThal</w:t>
            </w:r>
            <w:r w:rsidRPr="009968E0">
              <w:rPr>
                <w:rFonts w:ascii="Calibri" w:eastAsia="Times New Roman" w:hAnsi="Calibri" w:cs="Calibri"/>
                <w:i/>
                <w:iCs/>
                <w:color w:val="000000"/>
                <w:sz w:val="22"/>
                <w:szCs w:val="22"/>
                <w:lang w:eastAsia="en-GB"/>
              </w:rPr>
              <w:t>2</w:t>
            </w:r>
          </w:p>
        </w:tc>
        <w:tc>
          <w:tcPr>
            <w:tcW w:w="4152" w:type="dxa"/>
            <w:gridSpan w:val="2"/>
            <w:shd w:val="clear" w:color="auto" w:fill="auto"/>
          </w:tcPr>
          <w:p w14:paraId="762B40F6"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w:t>
            </w:r>
          </w:p>
        </w:tc>
        <w:tc>
          <w:tcPr>
            <w:tcW w:w="839" w:type="dxa"/>
            <w:shd w:val="clear" w:color="auto" w:fill="auto"/>
          </w:tcPr>
          <w:p w14:paraId="7468084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19</w:t>
            </w:r>
          </w:p>
        </w:tc>
        <w:tc>
          <w:tcPr>
            <w:tcW w:w="785" w:type="dxa"/>
            <w:shd w:val="clear" w:color="auto" w:fill="auto"/>
          </w:tcPr>
          <w:p w14:paraId="5612E083"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23</w:t>
            </w:r>
          </w:p>
        </w:tc>
        <w:tc>
          <w:tcPr>
            <w:tcW w:w="883" w:type="dxa"/>
            <w:shd w:val="clear" w:color="auto" w:fill="auto"/>
          </w:tcPr>
          <w:p w14:paraId="2D3BF58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13</w:t>
            </w:r>
          </w:p>
        </w:tc>
        <w:tc>
          <w:tcPr>
            <w:tcW w:w="780" w:type="dxa"/>
            <w:shd w:val="clear" w:color="auto" w:fill="auto"/>
          </w:tcPr>
          <w:p w14:paraId="70462FA0"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19</w:t>
            </w:r>
          </w:p>
        </w:tc>
      </w:tr>
      <w:tr w:rsidR="009968E0" w:rsidRPr="009968E0" w14:paraId="06BA7EFD" w14:textId="77777777" w:rsidTr="009968E0">
        <w:trPr>
          <w:trHeight w:val="360"/>
        </w:trPr>
        <w:tc>
          <w:tcPr>
            <w:tcW w:w="1615" w:type="dxa"/>
            <w:vMerge/>
            <w:shd w:val="clear" w:color="auto" w:fill="FDE9D9"/>
          </w:tcPr>
          <w:p w14:paraId="7B2D7B62"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4152" w:type="dxa"/>
            <w:gridSpan w:val="2"/>
            <w:shd w:val="clear" w:color="auto" w:fill="auto"/>
          </w:tcPr>
          <w:p w14:paraId="1AE359C9"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839" w:type="dxa"/>
            <w:shd w:val="clear" w:color="auto" w:fill="auto"/>
          </w:tcPr>
          <w:p w14:paraId="1EF83F2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9.22</w:t>
            </w:r>
          </w:p>
        </w:tc>
        <w:tc>
          <w:tcPr>
            <w:tcW w:w="785" w:type="dxa"/>
            <w:shd w:val="clear" w:color="auto" w:fill="auto"/>
          </w:tcPr>
          <w:p w14:paraId="349C5BF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9.94</w:t>
            </w:r>
          </w:p>
        </w:tc>
        <w:tc>
          <w:tcPr>
            <w:tcW w:w="883" w:type="dxa"/>
            <w:shd w:val="clear" w:color="auto" w:fill="auto"/>
          </w:tcPr>
          <w:p w14:paraId="6D80080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9.58</w:t>
            </w:r>
          </w:p>
        </w:tc>
        <w:tc>
          <w:tcPr>
            <w:tcW w:w="780" w:type="dxa"/>
            <w:shd w:val="clear" w:color="auto" w:fill="auto"/>
          </w:tcPr>
          <w:p w14:paraId="63C1392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9.83</w:t>
            </w:r>
          </w:p>
        </w:tc>
      </w:tr>
      <w:tr w:rsidR="009968E0" w:rsidRPr="009968E0" w14:paraId="4E8D5B3B" w14:textId="77777777" w:rsidTr="009968E0">
        <w:trPr>
          <w:trHeight w:val="360"/>
        </w:trPr>
        <w:tc>
          <w:tcPr>
            <w:tcW w:w="1615" w:type="dxa"/>
            <w:vMerge/>
            <w:shd w:val="clear" w:color="auto" w:fill="FDE9D9"/>
          </w:tcPr>
          <w:p w14:paraId="3BA66004"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842" w:type="dxa"/>
            <w:vMerge w:val="restart"/>
            <w:shd w:val="clear" w:color="auto" w:fill="auto"/>
          </w:tcPr>
          <w:p w14:paraId="78BE4474"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 for Mean</w:t>
            </w:r>
          </w:p>
        </w:tc>
        <w:tc>
          <w:tcPr>
            <w:tcW w:w="1310" w:type="dxa"/>
            <w:shd w:val="clear" w:color="auto" w:fill="auto"/>
          </w:tcPr>
          <w:p w14:paraId="36550F86"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839" w:type="dxa"/>
            <w:shd w:val="clear" w:color="auto" w:fill="auto"/>
          </w:tcPr>
          <w:p w14:paraId="78416B68"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8.67</w:t>
            </w:r>
          </w:p>
        </w:tc>
        <w:tc>
          <w:tcPr>
            <w:tcW w:w="785" w:type="dxa"/>
            <w:shd w:val="clear" w:color="auto" w:fill="auto"/>
          </w:tcPr>
          <w:p w14:paraId="00C26BE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9.62</w:t>
            </w:r>
          </w:p>
        </w:tc>
        <w:tc>
          <w:tcPr>
            <w:tcW w:w="883" w:type="dxa"/>
            <w:shd w:val="clear" w:color="auto" w:fill="auto"/>
          </w:tcPr>
          <w:p w14:paraId="3DB2E904"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9.04</w:t>
            </w:r>
          </w:p>
        </w:tc>
        <w:tc>
          <w:tcPr>
            <w:tcW w:w="780" w:type="dxa"/>
            <w:shd w:val="clear" w:color="auto" w:fill="auto"/>
          </w:tcPr>
          <w:p w14:paraId="13A225B5"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9.35</w:t>
            </w:r>
          </w:p>
        </w:tc>
      </w:tr>
      <w:tr w:rsidR="009968E0" w:rsidRPr="009968E0" w14:paraId="1B5F2078" w14:textId="77777777" w:rsidTr="009968E0">
        <w:trPr>
          <w:trHeight w:val="360"/>
        </w:trPr>
        <w:tc>
          <w:tcPr>
            <w:tcW w:w="1615" w:type="dxa"/>
            <w:vMerge/>
            <w:shd w:val="clear" w:color="auto" w:fill="FDE9D9"/>
          </w:tcPr>
          <w:p w14:paraId="1FF1D568"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842" w:type="dxa"/>
            <w:vMerge/>
            <w:shd w:val="clear" w:color="auto" w:fill="auto"/>
          </w:tcPr>
          <w:p w14:paraId="1B94AAA2"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310" w:type="dxa"/>
            <w:shd w:val="clear" w:color="auto" w:fill="auto"/>
          </w:tcPr>
          <w:p w14:paraId="3162D701"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839" w:type="dxa"/>
            <w:shd w:val="clear" w:color="auto" w:fill="auto"/>
          </w:tcPr>
          <w:p w14:paraId="37DF062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9.76</w:t>
            </w:r>
          </w:p>
        </w:tc>
        <w:tc>
          <w:tcPr>
            <w:tcW w:w="785" w:type="dxa"/>
            <w:shd w:val="clear" w:color="auto" w:fill="auto"/>
          </w:tcPr>
          <w:p w14:paraId="01FBAFE8"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10.25</w:t>
            </w:r>
          </w:p>
        </w:tc>
        <w:tc>
          <w:tcPr>
            <w:tcW w:w="883" w:type="dxa"/>
            <w:shd w:val="clear" w:color="auto" w:fill="auto"/>
          </w:tcPr>
          <w:p w14:paraId="2F98116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10.13</w:t>
            </w:r>
          </w:p>
        </w:tc>
        <w:tc>
          <w:tcPr>
            <w:tcW w:w="780" w:type="dxa"/>
            <w:shd w:val="clear" w:color="auto" w:fill="auto"/>
          </w:tcPr>
          <w:p w14:paraId="77E15AA3"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10.30</w:t>
            </w:r>
          </w:p>
        </w:tc>
      </w:tr>
      <w:tr w:rsidR="009968E0" w:rsidRPr="009968E0" w14:paraId="1D67E13A" w14:textId="77777777" w:rsidTr="009968E0">
        <w:trPr>
          <w:trHeight w:val="360"/>
        </w:trPr>
        <w:tc>
          <w:tcPr>
            <w:tcW w:w="9054" w:type="dxa"/>
            <w:gridSpan w:val="7"/>
            <w:shd w:val="clear" w:color="auto" w:fill="auto"/>
            <w:vAlign w:val="center"/>
          </w:tcPr>
          <w:p w14:paraId="2B6D5BCF"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p=.084</w:t>
            </w:r>
          </w:p>
        </w:tc>
      </w:tr>
      <w:tr w:rsidR="009968E0" w:rsidRPr="009968E0" w14:paraId="51734860" w14:textId="77777777" w:rsidTr="009968E0">
        <w:trPr>
          <w:trHeight w:val="360"/>
        </w:trPr>
        <w:tc>
          <w:tcPr>
            <w:tcW w:w="1615" w:type="dxa"/>
            <w:vMerge w:val="restart"/>
            <w:shd w:val="clear" w:color="auto" w:fill="FDE9D9"/>
          </w:tcPr>
          <w:p w14:paraId="35383D6C" w14:textId="39925950"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TTP-</w:t>
            </w:r>
            <w:r w:rsidR="00264184">
              <w:rPr>
                <w:rFonts w:ascii="Calibri" w:eastAsia="Times New Roman" w:hAnsi="Calibri" w:cs="Calibri"/>
                <w:i/>
                <w:iCs/>
                <w:color w:val="000000"/>
                <w:sz w:val="22"/>
                <w:szCs w:val="22"/>
                <w:lang w:eastAsia="en-GB"/>
              </w:rPr>
              <w:t>RThal</w:t>
            </w:r>
            <w:r w:rsidRPr="009968E0">
              <w:rPr>
                <w:rFonts w:ascii="Calibri" w:eastAsia="Times New Roman" w:hAnsi="Calibri" w:cs="Calibri"/>
                <w:i/>
                <w:iCs/>
                <w:color w:val="000000"/>
                <w:sz w:val="22"/>
                <w:szCs w:val="22"/>
                <w:lang w:eastAsia="en-GB"/>
              </w:rPr>
              <w:t>2</w:t>
            </w:r>
          </w:p>
        </w:tc>
        <w:tc>
          <w:tcPr>
            <w:tcW w:w="4152" w:type="dxa"/>
            <w:gridSpan w:val="2"/>
            <w:shd w:val="clear" w:color="auto" w:fill="auto"/>
          </w:tcPr>
          <w:p w14:paraId="4999196C"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w:t>
            </w:r>
          </w:p>
        </w:tc>
        <w:tc>
          <w:tcPr>
            <w:tcW w:w="839" w:type="dxa"/>
            <w:shd w:val="clear" w:color="auto" w:fill="auto"/>
          </w:tcPr>
          <w:p w14:paraId="11711F20"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19</w:t>
            </w:r>
          </w:p>
        </w:tc>
        <w:tc>
          <w:tcPr>
            <w:tcW w:w="785" w:type="dxa"/>
            <w:shd w:val="clear" w:color="auto" w:fill="auto"/>
          </w:tcPr>
          <w:p w14:paraId="3BC3CEC4"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23</w:t>
            </w:r>
          </w:p>
        </w:tc>
        <w:tc>
          <w:tcPr>
            <w:tcW w:w="883" w:type="dxa"/>
            <w:shd w:val="clear" w:color="auto" w:fill="auto"/>
          </w:tcPr>
          <w:p w14:paraId="61DFFB4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13</w:t>
            </w:r>
          </w:p>
        </w:tc>
        <w:tc>
          <w:tcPr>
            <w:tcW w:w="780" w:type="dxa"/>
            <w:shd w:val="clear" w:color="auto" w:fill="auto"/>
          </w:tcPr>
          <w:p w14:paraId="68B70CC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19</w:t>
            </w:r>
          </w:p>
        </w:tc>
      </w:tr>
      <w:tr w:rsidR="009968E0" w:rsidRPr="009968E0" w14:paraId="67825789" w14:textId="77777777" w:rsidTr="009968E0">
        <w:trPr>
          <w:trHeight w:val="360"/>
        </w:trPr>
        <w:tc>
          <w:tcPr>
            <w:tcW w:w="1615" w:type="dxa"/>
            <w:vMerge/>
            <w:shd w:val="clear" w:color="auto" w:fill="FDE9D9"/>
          </w:tcPr>
          <w:p w14:paraId="4EAC6949"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4152" w:type="dxa"/>
            <w:gridSpan w:val="2"/>
            <w:shd w:val="clear" w:color="auto" w:fill="auto"/>
          </w:tcPr>
          <w:p w14:paraId="474FEA43"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839" w:type="dxa"/>
            <w:shd w:val="clear" w:color="auto" w:fill="auto"/>
          </w:tcPr>
          <w:p w14:paraId="5FDAF6E3"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9.18</w:t>
            </w:r>
          </w:p>
        </w:tc>
        <w:tc>
          <w:tcPr>
            <w:tcW w:w="785" w:type="dxa"/>
            <w:shd w:val="clear" w:color="auto" w:fill="auto"/>
          </w:tcPr>
          <w:p w14:paraId="6E3E478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9.89</w:t>
            </w:r>
          </w:p>
        </w:tc>
        <w:tc>
          <w:tcPr>
            <w:tcW w:w="883" w:type="dxa"/>
            <w:shd w:val="clear" w:color="auto" w:fill="auto"/>
          </w:tcPr>
          <w:p w14:paraId="664B7A9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9.53</w:t>
            </w:r>
          </w:p>
        </w:tc>
        <w:tc>
          <w:tcPr>
            <w:tcW w:w="780" w:type="dxa"/>
            <w:shd w:val="clear" w:color="auto" w:fill="auto"/>
          </w:tcPr>
          <w:p w14:paraId="78AB87B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9.85</w:t>
            </w:r>
          </w:p>
        </w:tc>
      </w:tr>
      <w:tr w:rsidR="009968E0" w:rsidRPr="009968E0" w14:paraId="2B5D0B11" w14:textId="77777777" w:rsidTr="009968E0">
        <w:trPr>
          <w:trHeight w:val="360"/>
        </w:trPr>
        <w:tc>
          <w:tcPr>
            <w:tcW w:w="1615" w:type="dxa"/>
            <w:vMerge/>
            <w:shd w:val="clear" w:color="auto" w:fill="FDE9D9"/>
          </w:tcPr>
          <w:p w14:paraId="0E651DE1"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842" w:type="dxa"/>
            <w:vMerge w:val="restart"/>
            <w:shd w:val="clear" w:color="auto" w:fill="auto"/>
          </w:tcPr>
          <w:p w14:paraId="583804EC"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 for Mean</w:t>
            </w:r>
          </w:p>
        </w:tc>
        <w:tc>
          <w:tcPr>
            <w:tcW w:w="1310" w:type="dxa"/>
            <w:shd w:val="clear" w:color="auto" w:fill="auto"/>
          </w:tcPr>
          <w:p w14:paraId="7821B6CF"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839" w:type="dxa"/>
            <w:shd w:val="clear" w:color="auto" w:fill="auto"/>
          </w:tcPr>
          <w:p w14:paraId="406F24A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8.61</w:t>
            </w:r>
          </w:p>
        </w:tc>
        <w:tc>
          <w:tcPr>
            <w:tcW w:w="785" w:type="dxa"/>
            <w:shd w:val="clear" w:color="auto" w:fill="auto"/>
          </w:tcPr>
          <w:p w14:paraId="02DED5E5"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9.58</w:t>
            </w:r>
          </w:p>
        </w:tc>
        <w:tc>
          <w:tcPr>
            <w:tcW w:w="883" w:type="dxa"/>
            <w:shd w:val="clear" w:color="auto" w:fill="auto"/>
          </w:tcPr>
          <w:p w14:paraId="39C06BE3"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9.11</w:t>
            </w:r>
          </w:p>
        </w:tc>
        <w:tc>
          <w:tcPr>
            <w:tcW w:w="780" w:type="dxa"/>
            <w:shd w:val="clear" w:color="auto" w:fill="auto"/>
          </w:tcPr>
          <w:p w14:paraId="25F7B810"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9.41</w:t>
            </w:r>
          </w:p>
        </w:tc>
      </w:tr>
      <w:tr w:rsidR="009968E0" w:rsidRPr="009968E0" w14:paraId="34A3BE6B" w14:textId="77777777" w:rsidTr="009968E0">
        <w:trPr>
          <w:trHeight w:val="360"/>
        </w:trPr>
        <w:tc>
          <w:tcPr>
            <w:tcW w:w="1615" w:type="dxa"/>
            <w:vMerge/>
            <w:shd w:val="clear" w:color="auto" w:fill="FDE9D9"/>
          </w:tcPr>
          <w:p w14:paraId="2B7E4911"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842" w:type="dxa"/>
            <w:vMerge/>
            <w:shd w:val="clear" w:color="auto" w:fill="auto"/>
          </w:tcPr>
          <w:p w14:paraId="26C5EC5E"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310" w:type="dxa"/>
            <w:shd w:val="clear" w:color="auto" w:fill="auto"/>
          </w:tcPr>
          <w:p w14:paraId="120987CD"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839" w:type="dxa"/>
            <w:shd w:val="clear" w:color="auto" w:fill="auto"/>
          </w:tcPr>
          <w:p w14:paraId="12AB790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9.75</w:t>
            </w:r>
          </w:p>
        </w:tc>
        <w:tc>
          <w:tcPr>
            <w:tcW w:w="785" w:type="dxa"/>
            <w:shd w:val="clear" w:color="auto" w:fill="auto"/>
          </w:tcPr>
          <w:p w14:paraId="574F9654"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10.20</w:t>
            </w:r>
          </w:p>
        </w:tc>
        <w:tc>
          <w:tcPr>
            <w:tcW w:w="883" w:type="dxa"/>
            <w:shd w:val="clear" w:color="auto" w:fill="auto"/>
          </w:tcPr>
          <w:p w14:paraId="2346ED9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9.95</w:t>
            </w:r>
          </w:p>
        </w:tc>
        <w:tc>
          <w:tcPr>
            <w:tcW w:w="780" w:type="dxa"/>
            <w:shd w:val="clear" w:color="auto" w:fill="auto"/>
          </w:tcPr>
          <w:p w14:paraId="73162C05"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10.29</w:t>
            </w:r>
          </w:p>
        </w:tc>
      </w:tr>
      <w:tr w:rsidR="009968E0" w:rsidRPr="009968E0" w14:paraId="35BDFA2C" w14:textId="77777777" w:rsidTr="009968E0">
        <w:trPr>
          <w:trHeight w:val="360"/>
        </w:trPr>
        <w:tc>
          <w:tcPr>
            <w:tcW w:w="9054" w:type="dxa"/>
            <w:gridSpan w:val="7"/>
            <w:shd w:val="clear" w:color="auto" w:fill="auto"/>
            <w:vAlign w:val="center"/>
          </w:tcPr>
          <w:p w14:paraId="08CCD96E"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p=.058</w:t>
            </w:r>
          </w:p>
        </w:tc>
      </w:tr>
      <w:tr w:rsidR="009968E0" w:rsidRPr="009968E0" w14:paraId="3F0E63E9" w14:textId="77777777" w:rsidTr="009968E0">
        <w:trPr>
          <w:trHeight w:val="360"/>
        </w:trPr>
        <w:tc>
          <w:tcPr>
            <w:tcW w:w="1615" w:type="dxa"/>
            <w:vMerge w:val="restart"/>
            <w:shd w:val="clear" w:color="auto" w:fill="FDE9D9"/>
          </w:tcPr>
          <w:p w14:paraId="54334013"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TTP-LINS2</w:t>
            </w:r>
          </w:p>
        </w:tc>
        <w:tc>
          <w:tcPr>
            <w:tcW w:w="4152" w:type="dxa"/>
            <w:gridSpan w:val="2"/>
            <w:shd w:val="clear" w:color="auto" w:fill="auto"/>
          </w:tcPr>
          <w:p w14:paraId="4D2E0DCA"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w:t>
            </w:r>
          </w:p>
        </w:tc>
        <w:tc>
          <w:tcPr>
            <w:tcW w:w="839" w:type="dxa"/>
            <w:shd w:val="clear" w:color="auto" w:fill="auto"/>
          </w:tcPr>
          <w:p w14:paraId="7AD3E60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19</w:t>
            </w:r>
          </w:p>
        </w:tc>
        <w:tc>
          <w:tcPr>
            <w:tcW w:w="785" w:type="dxa"/>
            <w:shd w:val="clear" w:color="auto" w:fill="auto"/>
          </w:tcPr>
          <w:p w14:paraId="2E2BBC9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23</w:t>
            </w:r>
          </w:p>
        </w:tc>
        <w:tc>
          <w:tcPr>
            <w:tcW w:w="883" w:type="dxa"/>
            <w:shd w:val="clear" w:color="auto" w:fill="auto"/>
          </w:tcPr>
          <w:p w14:paraId="5EEE82A8"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13</w:t>
            </w:r>
          </w:p>
        </w:tc>
        <w:tc>
          <w:tcPr>
            <w:tcW w:w="780" w:type="dxa"/>
            <w:shd w:val="clear" w:color="auto" w:fill="auto"/>
          </w:tcPr>
          <w:p w14:paraId="7F1761C3"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19</w:t>
            </w:r>
          </w:p>
        </w:tc>
      </w:tr>
      <w:tr w:rsidR="009968E0" w:rsidRPr="009968E0" w14:paraId="27E03DCD" w14:textId="77777777" w:rsidTr="009968E0">
        <w:trPr>
          <w:trHeight w:val="360"/>
        </w:trPr>
        <w:tc>
          <w:tcPr>
            <w:tcW w:w="1615" w:type="dxa"/>
            <w:vMerge/>
            <w:shd w:val="clear" w:color="auto" w:fill="FDE9D9"/>
          </w:tcPr>
          <w:p w14:paraId="261BB50B"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4152" w:type="dxa"/>
            <w:gridSpan w:val="2"/>
            <w:shd w:val="clear" w:color="auto" w:fill="auto"/>
          </w:tcPr>
          <w:p w14:paraId="0FFD20D8"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839" w:type="dxa"/>
            <w:shd w:val="clear" w:color="auto" w:fill="auto"/>
          </w:tcPr>
          <w:p w14:paraId="7CE1BAA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8.39</w:t>
            </w:r>
          </w:p>
        </w:tc>
        <w:tc>
          <w:tcPr>
            <w:tcW w:w="785" w:type="dxa"/>
            <w:shd w:val="clear" w:color="auto" w:fill="auto"/>
          </w:tcPr>
          <w:p w14:paraId="7AC1D395"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8.78</w:t>
            </w:r>
          </w:p>
        </w:tc>
        <w:tc>
          <w:tcPr>
            <w:tcW w:w="883" w:type="dxa"/>
            <w:shd w:val="clear" w:color="auto" w:fill="auto"/>
          </w:tcPr>
          <w:p w14:paraId="78DEE958"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8.44</w:t>
            </w:r>
          </w:p>
        </w:tc>
        <w:tc>
          <w:tcPr>
            <w:tcW w:w="780" w:type="dxa"/>
            <w:shd w:val="clear" w:color="auto" w:fill="auto"/>
          </w:tcPr>
          <w:p w14:paraId="1AAADCA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8.90</w:t>
            </w:r>
          </w:p>
        </w:tc>
      </w:tr>
      <w:tr w:rsidR="009968E0" w:rsidRPr="009968E0" w14:paraId="12375081" w14:textId="77777777" w:rsidTr="009968E0">
        <w:trPr>
          <w:trHeight w:val="360"/>
        </w:trPr>
        <w:tc>
          <w:tcPr>
            <w:tcW w:w="1615" w:type="dxa"/>
            <w:vMerge/>
            <w:shd w:val="clear" w:color="auto" w:fill="FDE9D9"/>
          </w:tcPr>
          <w:p w14:paraId="60AFA55B"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842" w:type="dxa"/>
            <w:vMerge w:val="restart"/>
            <w:shd w:val="clear" w:color="auto" w:fill="auto"/>
          </w:tcPr>
          <w:p w14:paraId="4D6783A0"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 for Mean</w:t>
            </w:r>
          </w:p>
        </w:tc>
        <w:tc>
          <w:tcPr>
            <w:tcW w:w="1310" w:type="dxa"/>
            <w:shd w:val="clear" w:color="auto" w:fill="auto"/>
          </w:tcPr>
          <w:p w14:paraId="17317CBA"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839" w:type="dxa"/>
            <w:shd w:val="clear" w:color="auto" w:fill="auto"/>
          </w:tcPr>
          <w:p w14:paraId="608A98C0"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7.93</w:t>
            </w:r>
          </w:p>
        </w:tc>
        <w:tc>
          <w:tcPr>
            <w:tcW w:w="785" w:type="dxa"/>
            <w:shd w:val="clear" w:color="auto" w:fill="auto"/>
          </w:tcPr>
          <w:p w14:paraId="4012EBE5"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8.45</w:t>
            </w:r>
          </w:p>
        </w:tc>
        <w:tc>
          <w:tcPr>
            <w:tcW w:w="883" w:type="dxa"/>
            <w:shd w:val="clear" w:color="auto" w:fill="auto"/>
          </w:tcPr>
          <w:p w14:paraId="30F08A7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8.02</w:t>
            </w:r>
          </w:p>
        </w:tc>
        <w:tc>
          <w:tcPr>
            <w:tcW w:w="780" w:type="dxa"/>
            <w:shd w:val="clear" w:color="auto" w:fill="auto"/>
          </w:tcPr>
          <w:p w14:paraId="16FD65CE"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8.48</w:t>
            </w:r>
          </w:p>
        </w:tc>
      </w:tr>
      <w:tr w:rsidR="009968E0" w:rsidRPr="009968E0" w14:paraId="22ABD910" w14:textId="77777777" w:rsidTr="009968E0">
        <w:trPr>
          <w:trHeight w:val="360"/>
        </w:trPr>
        <w:tc>
          <w:tcPr>
            <w:tcW w:w="1615" w:type="dxa"/>
            <w:vMerge/>
            <w:shd w:val="clear" w:color="auto" w:fill="FDE9D9"/>
          </w:tcPr>
          <w:p w14:paraId="6F180EF8"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842" w:type="dxa"/>
            <w:vMerge/>
            <w:shd w:val="clear" w:color="auto" w:fill="auto"/>
          </w:tcPr>
          <w:p w14:paraId="09034372"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310" w:type="dxa"/>
            <w:shd w:val="clear" w:color="auto" w:fill="auto"/>
          </w:tcPr>
          <w:p w14:paraId="5D3F2FEC"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839" w:type="dxa"/>
            <w:shd w:val="clear" w:color="auto" w:fill="auto"/>
          </w:tcPr>
          <w:p w14:paraId="5C1E63D3"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8.86</w:t>
            </w:r>
          </w:p>
        </w:tc>
        <w:tc>
          <w:tcPr>
            <w:tcW w:w="785" w:type="dxa"/>
            <w:shd w:val="clear" w:color="auto" w:fill="auto"/>
          </w:tcPr>
          <w:p w14:paraId="14E86F7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9.11</w:t>
            </w:r>
          </w:p>
        </w:tc>
        <w:tc>
          <w:tcPr>
            <w:tcW w:w="883" w:type="dxa"/>
            <w:shd w:val="clear" w:color="auto" w:fill="auto"/>
          </w:tcPr>
          <w:p w14:paraId="340A067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8.85</w:t>
            </w:r>
          </w:p>
        </w:tc>
        <w:tc>
          <w:tcPr>
            <w:tcW w:w="780" w:type="dxa"/>
            <w:shd w:val="clear" w:color="auto" w:fill="auto"/>
          </w:tcPr>
          <w:p w14:paraId="7FA61CC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9.32</w:t>
            </w:r>
          </w:p>
        </w:tc>
      </w:tr>
      <w:tr w:rsidR="009968E0" w:rsidRPr="009968E0" w14:paraId="300FB4A8" w14:textId="77777777" w:rsidTr="009968E0">
        <w:trPr>
          <w:trHeight w:val="360"/>
        </w:trPr>
        <w:tc>
          <w:tcPr>
            <w:tcW w:w="9054" w:type="dxa"/>
            <w:gridSpan w:val="7"/>
            <w:shd w:val="clear" w:color="auto" w:fill="auto"/>
            <w:vAlign w:val="center"/>
          </w:tcPr>
          <w:p w14:paraId="35B30691"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p=0.193</w:t>
            </w:r>
          </w:p>
        </w:tc>
      </w:tr>
      <w:tr w:rsidR="009968E0" w:rsidRPr="009968E0" w14:paraId="4FEDE776" w14:textId="77777777" w:rsidTr="009968E0">
        <w:trPr>
          <w:trHeight w:val="360"/>
        </w:trPr>
        <w:tc>
          <w:tcPr>
            <w:tcW w:w="1615" w:type="dxa"/>
            <w:vMerge w:val="restart"/>
            <w:shd w:val="clear" w:color="auto" w:fill="FDE9D9"/>
          </w:tcPr>
          <w:p w14:paraId="65924B8C"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TTP-RINS2</w:t>
            </w:r>
          </w:p>
        </w:tc>
        <w:tc>
          <w:tcPr>
            <w:tcW w:w="4152" w:type="dxa"/>
            <w:gridSpan w:val="2"/>
            <w:shd w:val="clear" w:color="auto" w:fill="auto"/>
          </w:tcPr>
          <w:p w14:paraId="386934BE"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w:t>
            </w:r>
          </w:p>
        </w:tc>
        <w:tc>
          <w:tcPr>
            <w:tcW w:w="839" w:type="dxa"/>
            <w:shd w:val="clear" w:color="auto" w:fill="auto"/>
          </w:tcPr>
          <w:p w14:paraId="371932A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19</w:t>
            </w:r>
          </w:p>
        </w:tc>
        <w:tc>
          <w:tcPr>
            <w:tcW w:w="785" w:type="dxa"/>
            <w:shd w:val="clear" w:color="auto" w:fill="auto"/>
          </w:tcPr>
          <w:p w14:paraId="5CB99533"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23</w:t>
            </w:r>
          </w:p>
        </w:tc>
        <w:tc>
          <w:tcPr>
            <w:tcW w:w="883" w:type="dxa"/>
            <w:shd w:val="clear" w:color="auto" w:fill="auto"/>
          </w:tcPr>
          <w:p w14:paraId="569D9F84"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13</w:t>
            </w:r>
          </w:p>
        </w:tc>
        <w:tc>
          <w:tcPr>
            <w:tcW w:w="780" w:type="dxa"/>
            <w:shd w:val="clear" w:color="auto" w:fill="auto"/>
          </w:tcPr>
          <w:p w14:paraId="77FD6A8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19</w:t>
            </w:r>
          </w:p>
        </w:tc>
      </w:tr>
      <w:tr w:rsidR="009968E0" w:rsidRPr="009968E0" w14:paraId="09D9D134" w14:textId="77777777" w:rsidTr="009968E0">
        <w:trPr>
          <w:trHeight w:val="360"/>
        </w:trPr>
        <w:tc>
          <w:tcPr>
            <w:tcW w:w="1615" w:type="dxa"/>
            <w:vMerge/>
            <w:shd w:val="clear" w:color="auto" w:fill="FDE9D9"/>
          </w:tcPr>
          <w:p w14:paraId="74D568EA"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4152" w:type="dxa"/>
            <w:gridSpan w:val="2"/>
            <w:shd w:val="clear" w:color="auto" w:fill="auto"/>
          </w:tcPr>
          <w:p w14:paraId="3A26CB0D"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839" w:type="dxa"/>
            <w:shd w:val="clear" w:color="auto" w:fill="auto"/>
          </w:tcPr>
          <w:p w14:paraId="7D4876E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8.52</w:t>
            </w:r>
          </w:p>
        </w:tc>
        <w:tc>
          <w:tcPr>
            <w:tcW w:w="785" w:type="dxa"/>
            <w:shd w:val="clear" w:color="auto" w:fill="auto"/>
          </w:tcPr>
          <w:p w14:paraId="600588A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8.97</w:t>
            </w:r>
          </w:p>
        </w:tc>
        <w:tc>
          <w:tcPr>
            <w:tcW w:w="883" w:type="dxa"/>
            <w:shd w:val="clear" w:color="auto" w:fill="auto"/>
          </w:tcPr>
          <w:p w14:paraId="4F594743"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8.60</w:t>
            </w:r>
          </w:p>
        </w:tc>
        <w:tc>
          <w:tcPr>
            <w:tcW w:w="780" w:type="dxa"/>
            <w:shd w:val="clear" w:color="auto" w:fill="auto"/>
          </w:tcPr>
          <w:p w14:paraId="2F0FBD3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9.06</w:t>
            </w:r>
          </w:p>
        </w:tc>
      </w:tr>
      <w:tr w:rsidR="009968E0" w:rsidRPr="009968E0" w14:paraId="626089FA" w14:textId="77777777" w:rsidTr="009968E0">
        <w:trPr>
          <w:trHeight w:val="360"/>
        </w:trPr>
        <w:tc>
          <w:tcPr>
            <w:tcW w:w="1615" w:type="dxa"/>
            <w:vMerge/>
            <w:shd w:val="clear" w:color="auto" w:fill="FDE9D9"/>
          </w:tcPr>
          <w:p w14:paraId="043B678D"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842" w:type="dxa"/>
            <w:vMerge w:val="restart"/>
            <w:shd w:val="clear" w:color="auto" w:fill="auto"/>
          </w:tcPr>
          <w:p w14:paraId="76002D6A"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 for Mean</w:t>
            </w:r>
          </w:p>
        </w:tc>
        <w:tc>
          <w:tcPr>
            <w:tcW w:w="1310" w:type="dxa"/>
            <w:shd w:val="clear" w:color="auto" w:fill="auto"/>
          </w:tcPr>
          <w:p w14:paraId="7FDB2740"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839" w:type="dxa"/>
            <w:shd w:val="clear" w:color="auto" w:fill="auto"/>
          </w:tcPr>
          <w:p w14:paraId="157DCA3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7.98</w:t>
            </w:r>
          </w:p>
        </w:tc>
        <w:tc>
          <w:tcPr>
            <w:tcW w:w="785" w:type="dxa"/>
            <w:shd w:val="clear" w:color="auto" w:fill="auto"/>
          </w:tcPr>
          <w:p w14:paraId="15C4A07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8.65</w:t>
            </w:r>
          </w:p>
        </w:tc>
        <w:tc>
          <w:tcPr>
            <w:tcW w:w="883" w:type="dxa"/>
            <w:shd w:val="clear" w:color="auto" w:fill="auto"/>
          </w:tcPr>
          <w:p w14:paraId="334BC274"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8.16</w:t>
            </w:r>
          </w:p>
        </w:tc>
        <w:tc>
          <w:tcPr>
            <w:tcW w:w="780" w:type="dxa"/>
            <w:shd w:val="clear" w:color="auto" w:fill="auto"/>
          </w:tcPr>
          <w:p w14:paraId="7C6FA6D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8.71</w:t>
            </w:r>
          </w:p>
        </w:tc>
      </w:tr>
      <w:tr w:rsidR="009968E0" w:rsidRPr="009968E0" w14:paraId="2A50E047" w14:textId="77777777" w:rsidTr="009968E0">
        <w:trPr>
          <w:trHeight w:val="360"/>
        </w:trPr>
        <w:tc>
          <w:tcPr>
            <w:tcW w:w="1615" w:type="dxa"/>
            <w:vMerge/>
            <w:shd w:val="clear" w:color="auto" w:fill="FDE9D9"/>
          </w:tcPr>
          <w:p w14:paraId="2C9A3009"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842" w:type="dxa"/>
            <w:vMerge/>
            <w:shd w:val="clear" w:color="auto" w:fill="auto"/>
          </w:tcPr>
          <w:p w14:paraId="3231988B"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310" w:type="dxa"/>
            <w:shd w:val="clear" w:color="auto" w:fill="auto"/>
          </w:tcPr>
          <w:p w14:paraId="33B5ED14"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839" w:type="dxa"/>
            <w:shd w:val="clear" w:color="auto" w:fill="auto"/>
          </w:tcPr>
          <w:p w14:paraId="6554F74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9.06</w:t>
            </w:r>
          </w:p>
        </w:tc>
        <w:tc>
          <w:tcPr>
            <w:tcW w:w="785" w:type="dxa"/>
            <w:shd w:val="clear" w:color="auto" w:fill="auto"/>
          </w:tcPr>
          <w:p w14:paraId="079F1E90"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9.30</w:t>
            </w:r>
          </w:p>
        </w:tc>
        <w:tc>
          <w:tcPr>
            <w:tcW w:w="883" w:type="dxa"/>
            <w:shd w:val="clear" w:color="auto" w:fill="auto"/>
          </w:tcPr>
          <w:p w14:paraId="7E641D8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9.04</w:t>
            </w:r>
          </w:p>
        </w:tc>
        <w:tc>
          <w:tcPr>
            <w:tcW w:w="780" w:type="dxa"/>
            <w:shd w:val="clear" w:color="auto" w:fill="auto"/>
          </w:tcPr>
          <w:p w14:paraId="61CDAC1E"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9.41</w:t>
            </w:r>
          </w:p>
        </w:tc>
      </w:tr>
      <w:tr w:rsidR="009968E0" w:rsidRPr="009968E0" w14:paraId="7CB9D16D" w14:textId="77777777" w:rsidTr="009968E0">
        <w:trPr>
          <w:trHeight w:val="360"/>
        </w:trPr>
        <w:tc>
          <w:tcPr>
            <w:tcW w:w="9054" w:type="dxa"/>
            <w:gridSpan w:val="7"/>
            <w:shd w:val="clear" w:color="auto" w:fill="auto"/>
            <w:vAlign w:val="center"/>
          </w:tcPr>
          <w:p w14:paraId="7BB8D46A"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p=0.149</w:t>
            </w:r>
          </w:p>
        </w:tc>
      </w:tr>
      <w:tr w:rsidR="009968E0" w:rsidRPr="009968E0" w14:paraId="55A71C62" w14:textId="77777777" w:rsidTr="009968E0">
        <w:trPr>
          <w:trHeight w:val="360"/>
        </w:trPr>
        <w:tc>
          <w:tcPr>
            <w:tcW w:w="1615" w:type="dxa"/>
            <w:vMerge w:val="restart"/>
            <w:shd w:val="clear" w:color="auto" w:fill="FDE9D9"/>
          </w:tcPr>
          <w:p w14:paraId="7FA44A97"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TTP-ACC2</w:t>
            </w:r>
          </w:p>
        </w:tc>
        <w:tc>
          <w:tcPr>
            <w:tcW w:w="4152" w:type="dxa"/>
            <w:gridSpan w:val="2"/>
            <w:shd w:val="clear" w:color="auto" w:fill="auto"/>
          </w:tcPr>
          <w:p w14:paraId="5CCE76C5"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w:t>
            </w:r>
          </w:p>
        </w:tc>
        <w:tc>
          <w:tcPr>
            <w:tcW w:w="839" w:type="dxa"/>
            <w:shd w:val="clear" w:color="auto" w:fill="auto"/>
          </w:tcPr>
          <w:p w14:paraId="77AF3D6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19</w:t>
            </w:r>
          </w:p>
        </w:tc>
        <w:tc>
          <w:tcPr>
            <w:tcW w:w="785" w:type="dxa"/>
            <w:shd w:val="clear" w:color="auto" w:fill="auto"/>
          </w:tcPr>
          <w:p w14:paraId="18D39075"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23</w:t>
            </w:r>
          </w:p>
        </w:tc>
        <w:tc>
          <w:tcPr>
            <w:tcW w:w="883" w:type="dxa"/>
            <w:shd w:val="clear" w:color="auto" w:fill="auto"/>
          </w:tcPr>
          <w:p w14:paraId="07598BA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13</w:t>
            </w:r>
          </w:p>
        </w:tc>
        <w:tc>
          <w:tcPr>
            <w:tcW w:w="780" w:type="dxa"/>
            <w:shd w:val="clear" w:color="auto" w:fill="auto"/>
          </w:tcPr>
          <w:p w14:paraId="11506E60"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19</w:t>
            </w:r>
          </w:p>
        </w:tc>
      </w:tr>
      <w:tr w:rsidR="009968E0" w:rsidRPr="009968E0" w14:paraId="438E8455" w14:textId="77777777" w:rsidTr="009968E0">
        <w:trPr>
          <w:trHeight w:val="360"/>
        </w:trPr>
        <w:tc>
          <w:tcPr>
            <w:tcW w:w="1615" w:type="dxa"/>
            <w:vMerge/>
            <w:shd w:val="clear" w:color="auto" w:fill="FDE9D9"/>
          </w:tcPr>
          <w:p w14:paraId="06F8CEB2"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4152" w:type="dxa"/>
            <w:gridSpan w:val="2"/>
            <w:shd w:val="clear" w:color="auto" w:fill="auto"/>
          </w:tcPr>
          <w:p w14:paraId="121E3625"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839" w:type="dxa"/>
            <w:shd w:val="clear" w:color="auto" w:fill="auto"/>
          </w:tcPr>
          <w:p w14:paraId="2C0FD4C0"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8.44</w:t>
            </w:r>
          </w:p>
        </w:tc>
        <w:tc>
          <w:tcPr>
            <w:tcW w:w="785" w:type="dxa"/>
            <w:shd w:val="clear" w:color="auto" w:fill="auto"/>
          </w:tcPr>
          <w:p w14:paraId="7661A323"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8.80</w:t>
            </w:r>
          </w:p>
        </w:tc>
        <w:tc>
          <w:tcPr>
            <w:tcW w:w="883" w:type="dxa"/>
            <w:shd w:val="clear" w:color="auto" w:fill="auto"/>
          </w:tcPr>
          <w:p w14:paraId="1ABC6A4E"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8.49</w:t>
            </w:r>
          </w:p>
        </w:tc>
        <w:tc>
          <w:tcPr>
            <w:tcW w:w="780" w:type="dxa"/>
            <w:shd w:val="clear" w:color="auto" w:fill="auto"/>
          </w:tcPr>
          <w:p w14:paraId="4946FE1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9.09</w:t>
            </w:r>
          </w:p>
        </w:tc>
      </w:tr>
      <w:tr w:rsidR="009968E0" w:rsidRPr="009968E0" w14:paraId="063BFCD9" w14:textId="77777777" w:rsidTr="009968E0">
        <w:trPr>
          <w:trHeight w:val="360"/>
        </w:trPr>
        <w:tc>
          <w:tcPr>
            <w:tcW w:w="1615" w:type="dxa"/>
            <w:vMerge/>
            <w:shd w:val="clear" w:color="auto" w:fill="FDE9D9"/>
          </w:tcPr>
          <w:p w14:paraId="4D7791C3"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842" w:type="dxa"/>
            <w:vMerge w:val="restart"/>
            <w:shd w:val="clear" w:color="auto" w:fill="auto"/>
          </w:tcPr>
          <w:p w14:paraId="7F1FBA5B"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 for Mean</w:t>
            </w:r>
          </w:p>
        </w:tc>
        <w:tc>
          <w:tcPr>
            <w:tcW w:w="1310" w:type="dxa"/>
            <w:shd w:val="clear" w:color="auto" w:fill="auto"/>
          </w:tcPr>
          <w:p w14:paraId="7F3D3110"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839" w:type="dxa"/>
            <w:shd w:val="clear" w:color="auto" w:fill="auto"/>
          </w:tcPr>
          <w:p w14:paraId="69902454"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7.98</w:t>
            </w:r>
          </w:p>
        </w:tc>
        <w:tc>
          <w:tcPr>
            <w:tcW w:w="785" w:type="dxa"/>
            <w:shd w:val="clear" w:color="auto" w:fill="auto"/>
          </w:tcPr>
          <w:p w14:paraId="59CE8B8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8.29</w:t>
            </w:r>
          </w:p>
        </w:tc>
        <w:tc>
          <w:tcPr>
            <w:tcW w:w="883" w:type="dxa"/>
            <w:shd w:val="clear" w:color="auto" w:fill="auto"/>
          </w:tcPr>
          <w:p w14:paraId="63CC5C50"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8.11</w:t>
            </w:r>
          </w:p>
        </w:tc>
        <w:tc>
          <w:tcPr>
            <w:tcW w:w="780" w:type="dxa"/>
            <w:shd w:val="clear" w:color="auto" w:fill="auto"/>
          </w:tcPr>
          <w:p w14:paraId="31FE5CD4"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8.68</w:t>
            </w:r>
          </w:p>
        </w:tc>
      </w:tr>
      <w:tr w:rsidR="009968E0" w:rsidRPr="009968E0" w14:paraId="023D83F7" w14:textId="77777777" w:rsidTr="009968E0">
        <w:trPr>
          <w:trHeight w:val="360"/>
        </w:trPr>
        <w:tc>
          <w:tcPr>
            <w:tcW w:w="1615" w:type="dxa"/>
            <w:vMerge/>
            <w:shd w:val="clear" w:color="auto" w:fill="FDE9D9"/>
          </w:tcPr>
          <w:p w14:paraId="465FBD6A"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842" w:type="dxa"/>
            <w:vMerge/>
            <w:shd w:val="clear" w:color="auto" w:fill="auto"/>
          </w:tcPr>
          <w:p w14:paraId="61F26844"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310" w:type="dxa"/>
            <w:shd w:val="clear" w:color="auto" w:fill="auto"/>
          </w:tcPr>
          <w:p w14:paraId="2B96F3F6"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839" w:type="dxa"/>
            <w:shd w:val="clear" w:color="auto" w:fill="auto"/>
          </w:tcPr>
          <w:p w14:paraId="5919F67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8.90</w:t>
            </w:r>
          </w:p>
        </w:tc>
        <w:tc>
          <w:tcPr>
            <w:tcW w:w="785" w:type="dxa"/>
            <w:shd w:val="clear" w:color="auto" w:fill="auto"/>
          </w:tcPr>
          <w:p w14:paraId="5411F63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9.32</w:t>
            </w:r>
          </w:p>
        </w:tc>
        <w:tc>
          <w:tcPr>
            <w:tcW w:w="883" w:type="dxa"/>
            <w:shd w:val="clear" w:color="auto" w:fill="auto"/>
          </w:tcPr>
          <w:p w14:paraId="5020AAC0"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8.88</w:t>
            </w:r>
          </w:p>
        </w:tc>
        <w:tc>
          <w:tcPr>
            <w:tcW w:w="780" w:type="dxa"/>
            <w:shd w:val="clear" w:color="auto" w:fill="auto"/>
          </w:tcPr>
          <w:p w14:paraId="104355C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9.50</w:t>
            </w:r>
          </w:p>
        </w:tc>
      </w:tr>
      <w:tr w:rsidR="009968E0" w:rsidRPr="009968E0" w14:paraId="46179B84" w14:textId="77777777" w:rsidTr="009968E0">
        <w:trPr>
          <w:trHeight w:val="360"/>
        </w:trPr>
        <w:tc>
          <w:tcPr>
            <w:tcW w:w="9054" w:type="dxa"/>
            <w:gridSpan w:val="7"/>
            <w:shd w:val="clear" w:color="auto" w:fill="auto"/>
            <w:vAlign w:val="center"/>
          </w:tcPr>
          <w:p w14:paraId="0CFC4CB6"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p=0.169</w:t>
            </w:r>
          </w:p>
        </w:tc>
      </w:tr>
      <w:tr w:rsidR="009968E0" w:rsidRPr="009968E0" w14:paraId="7E39361B" w14:textId="77777777" w:rsidTr="009968E0">
        <w:trPr>
          <w:trHeight w:val="360"/>
        </w:trPr>
        <w:tc>
          <w:tcPr>
            <w:tcW w:w="1615" w:type="dxa"/>
            <w:vMerge w:val="restart"/>
            <w:shd w:val="clear" w:color="auto" w:fill="FDE9D9"/>
          </w:tcPr>
          <w:p w14:paraId="12B5E6AC"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lastRenderedPageBreak/>
              <w:t>TTP-POWM2</w:t>
            </w:r>
          </w:p>
        </w:tc>
        <w:tc>
          <w:tcPr>
            <w:tcW w:w="4152" w:type="dxa"/>
            <w:gridSpan w:val="2"/>
            <w:shd w:val="clear" w:color="auto" w:fill="auto"/>
          </w:tcPr>
          <w:p w14:paraId="675F02DD"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w:t>
            </w:r>
          </w:p>
        </w:tc>
        <w:tc>
          <w:tcPr>
            <w:tcW w:w="839" w:type="dxa"/>
            <w:shd w:val="clear" w:color="auto" w:fill="auto"/>
          </w:tcPr>
          <w:p w14:paraId="42FDC2D5"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19</w:t>
            </w:r>
          </w:p>
        </w:tc>
        <w:tc>
          <w:tcPr>
            <w:tcW w:w="785" w:type="dxa"/>
            <w:shd w:val="clear" w:color="auto" w:fill="auto"/>
          </w:tcPr>
          <w:p w14:paraId="1C284A7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23</w:t>
            </w:r>
          </w:p>
        </w:tc>
        <w:tc>
          <w:tcPr>
            <w:tcW w:w="883" w:type="dxa"/>
            <w:shd w:val="clear" w:color="auto" w:fill="auto"/>
          </w:tcPr>
          <w:p w14:paraId="50BD459E"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13</w:t>
            </w:r>
          </w:p>
        </w:tc>
        <w:tc>
          <w:tcPr>
            <w:tcW w:w="780" w:type="dxa"/>
            <w:shd w:val="clear" w:color="auto" w:fill="auto"/>
          </w:tcPr>
          <w:p w14:paraId="0824937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19</w:t>
            </w:r>
          </w:p>
        </w:tc>
      </w:tr>
      <w:tr w:rsidR="009968E0" w:rsidRPr="009968E0" w14:paraId="7584A200" w14:textId="77777777" w:rsidTr="009968E0">
        <w:trPr>
          <w:trHeight w:val="360"/>
        </w:trPr>
        <w:tc>
          <w:tcPr>
            <w:tcW w:w="1615" w:type="dxa"/>
            <w:vMerge/>
            <w:shd w:val="clear" w:color="auto" w:fill="FDE9D9"/>
          </w:tcPr>
          <w:p w14:paraId="73DDA4C3"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4152" w:type="dxa"/>
            <w:gridSpan w:val="2"/>
            <w:shd w:val="clear" w:color="auto" w:fill="auto"/>
          </w:tcPr>
          <w:p w14:paraId="1906CFE4"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839" w:type="dxa"/>
            <w:shd w:val="clear" w:color="auto" w:fill="auto"/>
          </w:tcPr>
          <w:p w14:paraId="35622BD4"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10.90</w:t>
            </w:r>
          </w:p>
        </w:tc>
        <w:tc>
          <w:tcPr>
            <w:tcW w:w="785" w:type="dxa"/>
            <w:shd w:val="clear" w:color="auto" w:fill="auto"/>
          </w:tcPr>
          <w:p w14:paraId="1238413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11.37</w:t>
            </w:r>
          </w:p>
        </w:tc>
        <w:tc>
          <w:tcPr>
            <w:tcW w:w="883" w:type="dxa"/>
            <w:shd w:val="clear" w:color="auto" w:fill="auto"/>
          </w:tcPr>
          <w:p w14:paraId="132B266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11.22</w:t>
            </w:r>
          </w:p>
        </w:tc>
        <w:tc>
          <w:tcPr>
            <w:tcW w:w="780" w:type="dxa"/>
            <w:shd w:val="clear" w:color="auto" w:fill="auto"/>
          </w:tcPr>
          <w:p w14:paraId="796D69E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11.58</w:t>
            </w:r>
          </w:p>
        </w:tc>
      </w:tr>
      <w:tr w:rsidR="009968E0" w:rsidRPr="009968E0" w14:paraId="70189043" w14:textId="77777777" w:rsidTr="009968E0">
        <w:trPr>
          <w:trHeight w:val="360"/>
        </w:trPr>
        <w:tc>
          <w:tcPr>
            <w:tcW w:w="1615" w:type="dxa"/>
            <w:vMerge/>
            <w:shd w:val="clear" w:color="auto" w:fill="FDE9D9"/>
          </w:tcPr>
          <w:p w14:paraId="7C47C72B"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842" w:type="dxa"/>
            <w:vMerge w:val="restart"/>
            <w:shd w:val="clear" w:color="auto" w:fill="auto"/>
          </w:tcPr>
          <w:p w14:paraId="68B0AF7C"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 for Mean</w:t>
            </w:r>
          </w:p>
        </w:tc>
        <w:tc>
          <w:tcPr>
            <w:tcW w:w="1310" w:type="dxa"/>
            <w:shd w:val="clear" w:color="auto" w:fill="auto"/>
          </w:tcPr>
          <w:p w14:paraId="5D49136B"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839" w:type="dxa"/>
            <w:shd w:val="clear" w:color="auto" w:fill="auto"/>
          </w:tcPr>
          <w:p w14:paraId="577AD4E0"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10.18</w:t>
            </w:r>
          </w:p>
        </w:tc>
        <w:tc>
          <w:tcPr>
            <w:tcW w:w="785" w:type="dxa"/>
            <w:shd w:val="clear" w:color="auto" w:fill="auto"/>
          </w:tcPr>
          <w:p w14:paraId="1E45698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10.88</w:t>
            </w:r>
          </w:p>
        </w:tc>
        <w:tc>
          <w:tcPr>
            <w:tcW w:w="883" w:type="dxa"/>
            <w:shd w:val="clear" w:color="auto" w:fill="auto"/>
          </w:tcPr>
          <w:p w14:paraId="67EDEC7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10.53</w:t>
            </w:r>
          </w:p>
        </w:tc>
        <w:tc>
          <w:tcPr>
            <w:tcW w:w="780" w:type="dxa"/>
            <w:shd w:val="clear" w:color="auto" w:fill="auto"/>
          </w:tcPr>
          <w:p w14:paraId="2D960A5E"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10.92</w:t>
            </w:r>
          </w:p>
        </w:tc>
      </w:tr>
      <w:tr w:rsidR="009968E0" w:rsidRPr="009968E0" w14:paraId="2664419F" w14:textId="77777777" w:rsidTr="009968E0">
        <w:trPr>
          <w:trHeight w:val="360"/>
        </w:trPr>
        <w:tc>
          <w:tcPr>
            <w:tcW w:w="1615" w:type="dxa"/>
            <w:vMerge/>
            <w:shd w:val="clear" w:color="auto" w:fill="FDE9D9"/>
          </w:tcPr>
          <w:p w14:paraId="79634B8E"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842" w:type="dxa"/>
            <w:vMerge/>
            <w:shd w:val="clear" w:color="auto" w:fill="auto"/>
          </w:tcPr>
          <w:p w14:paraId="7156721B"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310" w:type="dxa"/>
            <w:shd w:val="clear" w:color="auto" w:fill="auto"/>
          </w:tcPr>
          <w:p w14:paraId="1C6468D3"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839" w:type="dxa"/>
            <w:shd w:val="clear" w:color="auto" w:fill="auto"/>
          </w:tcPr>
          <w:p w14:paraId="5316399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11.62</w:t>
            </w:r>
          </w:p>
        </w:tc>
        <w:tc>
          <w:tcPr>
            <w:tcW w:w="785" w:type="dxa"/>
            <w:shd w:val="clear" w:color="auto" w:fill="auto"/>
          </w:tcPr>
          <w:p w14:paraId="16AC7F5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11.85</w:t>
            </w:r>
          </w:p>
        </w:tc>
        <w:tc>
          <w:tcPr>
            <w:tcW w:w="883" w:type="dxa"/>
            <w:shd w:val="clear" w:color="auto" w:fill="auto"/>
          </w:tcPr>
          <w:p w14:paraId="729E27D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11.90</w:t>
            </w:r>
          </w:p>
        </w:tc>
        <w:tc>
          <w:tcPr>
            <w:tcW w:w="780" w:type="dxa"/>
            <w:shd w:val="clear" w:color="auto" w:fill="auto"/>
          </w:tcPr>
          <w:p w14:paraId="386C1B68"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12.25</w:t>
            </w:r>
          </w:p>
        </w:tc>
      </w:tr>
      <w:tr w:rsidR="009968E0" w:rsidRPr="009968E0" w14:paraId="0B66A658" w14:textId="77777777" w:rsidTr="009968E0">
        <w:trPr>
          <w:trHeight w:val="360"/>
        </w:trPr>
        <w:tc>
          <w:tcPr>
            <w:tcW w:w="9054" w:type="dxa"/>
            <w:gridSpan w:val="7"/>
            <w:shd w:val="clear" w:color="auto" w:fill="auto"/>
            <w:vAlign w:val="center"/>
          </w:tcPr>
          <w:p w14:paraId="6F362642"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p=0.424</w:t>
            </w:r>
          </w:p>
        </w:tc>
      </w:tr>
      <w:tr w:rsidR="009968E0" w:rsidRPr="009968E0" w14:paraId="16C1037C" w14:textId="77777777" w:rsidTr="009968E0">
        <w:trPr>
          <w:trHeight w:val="360"/>
        </w:trPr>
        <w:tc>
          <w:tcPr>
            <w:tcW w:w="1615" w:type="dxa"/>
            <w:vMerge w:val="restart"/>
            <w:shd w:val="clear" w:color="auto" w:fill="FDE9D9"/>
          </w:tcPr>
          <w:p w14:paraId="7C0834E3"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TTP-LPSC2</w:t>
            </w:r>
          </w:p>
        </w:tc>
        <w:tc>
          <w:tcPr>
            <w:tcW w:w="4152" w:type="dxa"/>
            <w:gridSpan w:val="2"/>
            <w:shd w:val="clear" w:color="auto" w:fill="auto"/>
          </w:tcPr>
          <w:p w14:paraId="61E1EE23"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w:t>
            </w:r>
          </w:p>
        </w:tc>
        <w:tc>
          <w:tcPr>
            <w:tcW w:w="839" w:type="dxa"/>
            <w:shd w:val="clear" w:color="auto" w:fill="auto"/>
          </w:tcPr>
          <w:p w14:paraId="3379905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19</w:t>
            </w:r>
          </w:p>
        </w:tc>
        <w:tc>
          <w:tcPr>
            <w:tcW w:w="785" w:type="dxa"/>
            <w:shd w:val="clear" w:color="auto" w:fill="auto"/>
          </w:tcPr>
          <w:p w14:paraId="59A3AC2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23</w:t>
            </w:r>
          </w:p>
        </w:tc>
        <w:tc>
          <w:tcPr>
            <w:tcW w:w="883" w:type="dxa"/>
            <w:shd w:val="clear" w:color="auto" w:fill="auto"/>
          </w:tcPr>
          <w:p w14:paraId="77103DB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13</w:t>
            </w:r>
          </w:p>
        </w:tc>
        <w:tc>
          <w:tcPr>
            <w:tcW w:w="780" w:type="dxa"/>
            <w:shd w:val="clear" w:color="auto" w:fill="auto"/>
          </w:tcPr>
          <w:p w14:paraId="451D793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19</w:t>
            </w:r>
          </w:p>
        </w:tc>
      </w:tr>
      <w:tr w:rsidR="009968E0" w:rsidRPr="009968E0" w14:paraId="4439B77E" w14:textId="77777777" w:rsidTr="009968E0">
        <w:trPr>
          <w:trHeight w:val="360"/>
        </w:trPr>
        <w:tc>
          <w:tcPr>
            <w:tcW w:w="1615" w:type="dxa"/>
            <w:vMerge/>
            <w:shd w:val="clear" w:color="auto" w:fill="FDE9D9"/>
          </w:tcPr>
          <w:p w14:paraId="05AF7C39"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4152" w:type="dxa"/>
            <w:gridSpan w:val="2"/>
            <w:shd w:val="clear" w:color="auto" w:fill="auto"/>
          </w:tcPr>
          <w:p w14:paraId="383D57D2"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839" w:type="dxa"/>
            <w:shd w:val="clear" w:color="auto" w:fill="auto"/>
          </w:tcPr>
          <w:p w14:paraId="245EE73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9.38</w:t>
            </w:r>
          </w:p>
        </w:tc>
        <w:tc>
          <w:tcPr>
            <w:tcW w:w="785" w:type="dxa"/>
            <w:shd w:val="clear" w:color="auto" w:fill="auto"/>
          </w:tcPr>
          <w:p w14:paraId="67D8C6E0"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9.63</w:t>
            </w:r>
          </w:p>
        </w:tc>
        <w:tc>
          <w:tcPr>
            <w:tcW w:w="883" w:type="dxa"/>
            <w:shd w:val="clear" w:color="auto" w:fill="auto"/>
          </w:tcPr>
          <w:p w14:paraId="02526B6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9.66</w:t>
            </w:r>
          </w:p>
        </w:tc>
        <w:tc>
          <w:tcPr>
            <w:tcW w:w="780" w:type="dxa"/>
            <w:shd w:val="clear" w:color="auto" w:fill="auto"/>
          </w:tcPr>
          <w:p w14:paraId="2EEFE53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10.04</w:t>
            </w:r>
          </w:p>
        </w:tc>
      </w:tr>
      <w:tr w:rsidR="009968E0" w:rsidRPr="009968E0" w14:paraId="46B6F5EE" w14:textId="77777777" w:rsidTr="009968E0">
        <w:trPr>
          <w:trHeight w:val="360"/>
        </w:trPr>
        <w:tc>
          <w:tcPr>
            <w:tcW w:w="1615" w:type="dxa"/>
            <w:vMerge/>
            <w:shd w:val="clear" w:color="auto" w:fill="FDE9D9"/>
          </w:tcPr>
          <w:p w14:paraId="754129F2"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842" w:type="dxa"/>
            <w:vMerge w:val="restart"/>
            <w:shd w:val="clear" w:color="auto" w:fill="auto"/>
          </w:tcPr>
          <w:p w14:paraId="5FF32C90"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 for Mean</w:t>
            </w:r>
          </w:p>
        </w:tc>
        <w:tc>
          <w:tcPr>
            <w:tcW w:w="1310" w:type="dxa"/>
            <w:shd w:val="clear" w:color="auto" w:fill="auto"/>
          </w:tcPr>
          <w:p w14:paraId="0F016FB3"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839" w:type="dxa"/>
            <w:shd w:val="clear" w:color="auto" w:fill="auto"/>
          </w:tcPr>
          <w:p w14:paraId="4526E245"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8.97</w:t>
            </w:r>
          </w:p>
        </w:tc>
        <w:tc>
          <w:tcPr>
            <w:tcW w:w="785" w:type="dxa"/>
            <w:shd w:val="clear" w:color="auto" w:fill="auto"/>
          </w:tcPr>
          <w:p w14:paraId="7FC34C6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9.32</w:t>
            </w:r>
          </w:p>
        </w:tc>
        <w:tc>
          <w:tcPr>
            <w:tcW w:w="883" w:type="dxa"/>
            <w:shd w:val="clear" w:color="auto" w:fill="auto"/>
          </w:tcPr>
          <w:p w14:paraId="0256F55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9.10</w:t>
            </w:r>
          </w:p>
        </w:tc>
        <w:tc>
          <w:tcPr>
            <w:tcW w:w="780" w:type="dxa"/>
            <w:shd w:val="clear" w:color="auto" w:fill="auto"/>
          </w:tcPr>
          <w:p w14:paraId="5D0FEAFE"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9.59</w:t>
            </w:r>
          </w:p>
        </w:tc>
      </w:tr>
      <w:tr w:rsidR="009968E0" w:rsidRPr="009968E0" w14:paraId="1B1EF47B" w14:textId="77777777" w:rsidTr="009968E0">
        <w:trPr>
          <w:trHeight w:val="360"/>
        </w:trPr>
        <w:tc>
          <w:tcPr>
            <w:tcW w:w="1615" w:type="dxa"/>
            <w:vMerge/>
            <w:shd w:val="clear" w:color="auto" w:fill="FDE9D9"/>
          </w:tcPr>
          <w:p w14:paraId="74058C44"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842" w:type="dxa"/>
            <w:vMerge/>
            <w:shd w:val="clear" w:color="auto" w:fill="auto"/>
          </w:tcPr>
          <w:p w14:paraId="13E3009F"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310" w:type="dxa"/>
            <w:shd w:val="clear" w:color="auto" w:fill="auto"/>
          </w:tcPr>
          <w:p w14:paraId="069B873E"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839" w:type="dxa"/>
            <w:shd w:val="clear" w:color="auto" w:fill="auto"/>
          </w:tcPr>
          <w:p w14:paraId="17A000D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9.79</w:t>
            </w:r>
          </w:p>
        </w:tc>
        <w:tc>
          <w:tcPr>
            <w:tcW w:w="785" w:type="dxa"/>
            <w:shd w:val="clear" w:color="auto" w:fill="auto"/>
          </w:tcPr>
          <w:p w14:paraId="704CC4C4"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9.94</w:t>
            </w:r>
          </w:p>
        </w:tc>
        <w:tc>
          <w:tcPr>
            <w:tcW w:w="883" w:type="dxa"/>
            <w:shd w:val="clear" w:color="auto" w:fill="auto"/>
          </w:tcPr>
          <w:p w14:paraId="4C2587C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10.22</w:t>
            </w:r>
          </w:p>
        </w:tc>
        <w:tc>
          <w:tcPr>
            <w:tcW w:w="780" w:type="dxa"/>
            <w:shd w:val="clear" w:color="auto" w:fill="auto"/>
          </w:tcPr>
          <w:p w14:paraId="56D7427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10.50</w:t>
            </w:r>
          </w:p>
        </w:tc>
      </w:tr>
      <w:tr w:rsidR="009968E0" w:rsidRPr="009968E0" w14:paraId="46EE1869" w14:textId="77777777" w:rsidTr="009968E0">
        <w:trPr>
          <w:trHeight w:val="360"/>
        </w:trPr>
        <w:tc>
          <w:tcPr>
            <w:tcW w:w="9054" w:type="dxa"/>
            <w:gridSpan w:val="7"/>
            <w:shd w:val="clear" w:color="auto" w:fill="auto"/>
            <w:vAlign w:val="center"/>
          </w:tcPr>
          <w:p w14:paraId="0D95CD35"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p=0.129</w:t>
            </w:r>
          </w:p>
        </w:tc>
      </w:tr>
      <w:tr w:rsidR="009968E0" w:rsidRPr="009968E0" w14:paraId="25CC5D35" w14:textId="77777777" w:rsidTr="009968E0">
        <w:trPr>
          <w:trHeight w:val="360"/>
        </w:trPr>
        <w:tc>
          <w:tcPr>
            <w:tcW w:w="1615" w:type="dxa"/>
            <w:vMerge w:val="restart"/>
            <w:shd w:val="clear" w:color="auto" w:fill="FDE9D9"/>
          </w:tcPr>
          <w:p w14:paraId="372B49CA"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TTP-RPSC2</w:t>
            </w:r>
          </w:p>
        </w:tc>
        <w:tc>
          <w:tcPr>
            <w:tcW w:w="4152" w:type="dxa"/>
            <w:gridSpan w:val="2"/>
            <w:shd w:val="clear" w:color="auto" w:fill="auto"/>
          </w:tcPr>
          <w:p w14:paraId="12BA9577"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w:t>
            </w:r>
          </w:p>
        </w:tc>
        <w:tc>
          <w:tcPr>
            <w:tcW w:w="839" w:type="dxa"/>
            <w:shd w:val="clear" w:color="auto" w:fill="auto"/>
          </w:tcPr>
          <w:p w14:paraId="1B04A9D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19</w:t>
            </w:r>
          </w:p>
        </w:tc>
        <w:tc>
          <w:tcPr>
            <w:tcW w:w="785" w:type="dxa"/>
            <w:shd w:val="clear" w:color="auto" w:fill="auto"/>
          </w:tcPr>
          <w:p w14:paraId="1CF5162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23</w:t>
            </w:r>
          </w:p>
        </w:tc>
        <w:tc>
          <w:tcPr>
            <w:tcW w:w="883" w:type="dxa"/>
            <w:shd w:val="clear" w:color="auto" w:fill="auto"/>
          </w:tcPr>
          <w:p w14:paraId="016040C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13</w:t>
            </w:r>
          </w:p>
        </w:tc>
        <w:tc>
          <w:tcPr>
            <w:tcW w:w="780" w:type="dxa"/>
            <w:shd w:val="clear" w:color="auto" w:fill="auto"/>
          </w:tcPr>
          <w:p w14:paraId="64A1948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19</w:t>
            </w:r>
          </w:p>
        </w:tc>
      </w:tr>
      <w:tr w:rsidR="009968E0" w:rsidRPr="009968E0" w14:paraId="5F7283B8" w14:textId="77777777" w:rsidTr="009968E0">
        <w:trPr>
          <w:trHeight w:val="360"/>
        </w:trPr>
        <w:tc>
          <w:tcPr>
            <w:tcW w:w="1615" w:type="dxa"/>
            <w:vMerge/>
            <w:shd w:val="clear" w:color="auto" w:fill="FDE9D9"/>
          </w:tcPr>
          <w:p w14:paraId="2C208ED9"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4152" w:type="dxa"/>
            <w:gridSpan w:val="2"/>
            <w:shd w:val="clear" w:color="auto" w:fill="auto"/>
          </w:tcPr>
          <w:p w14:paraId="7814F771"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839" w:type="dxa"/>
            <w:shd w:val="clear" w:color="auto" w:fill="auto"/>
          </w:tcPr>
          <w:p w14:paraId="5765975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9.48</w:t>
            </w:r>
          </w:p>
        </w:tc>
        <w:tc>
          <w:tcPr>
            <w:tcW w:w="785" w:type="dxa"/>
            <w:shd w:val="clear" w:color="auto" w:fill="auto"/>
          </w:tcPr>
          <w:p w14:paraId="6F6CF1F3"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9.83</w:t>
            </w:r>
          </w:p>
        </w:tc>
        <w:tc>
          <w:tcPr>
            <w:tcW w:w="883" w:type="dxa"/>
            <w:shd w:val="clear" w:color="auto" w:fill="auto"/>
          </w:tcPr>
          <w:p w14:paraId="418ADA55"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9.68</w:t>
            </w:r>
          </w:p>
        </w:tc>
        <w:tc>
          <w:tcPr>
            <w:tcW w:w="780" w:type="dxa"/>
            <w:shd w:val="clear" w:color="auto" w:fill="auto"/>
          </w:tcPr>
          <w:p w14:paraId="06E6CDD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10.10</w:t>
            </w:r>
          </w:p>
        </w:tc>
      </w:tr>
      <w:tr w:rsidR="009968E0" w:rsidRPr="009968E0" w14:paraId="3C45E6D9" w14:textId="77777777" w:rsidTr="009968E0">
        <w:trPr>
          <w:trHeight w:val="360"/>
        </w:trPr>
        <w:tc>
          <w:tcPr>
            <w:tcW w:w="1615" w:type="dxa"/>
            <w:vMerge/>
            <w:shd w:val="clear" w:color="auto" w:fill="FDE9D9"/>
          </w:tcPr>
          <w:p w14:paraId="47341DE8"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842" w:type="dxa"/>
            <w:vMerge w:val="restart"/>
            <w:shd w:val="clear" w:color="auto" w:fill="auto"/>
          </w:tcPr>
          <w:p w14:paraId="356C34FC"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 for Mean</w:t>
            </w:r>
          </w:p>
        </w:tc>
        <w:tc>
          <w:tcPr>
            <w:tcW w:w="1310" w:type="dxa"/>
            <w:shd w:val="clear" w:color="auto" w:fill="auto"/>
          </w:tcPr>
          <w:p w14:paraId="13396A03"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839" w:type="dxa"/>
            <w:shd w:val="clear" w:color="auto" w:fill="auto"/>
          </w:tcPr>
          <w:p w14:paraId="1CA4ACF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9.02</w:t>
            </w:r>
          </w:p>
        </w:tc>
        <w:tc>
          <w:tcPr>
            <w:tcW w:w="785" w:type="dxa"/>
            <w:shd w:val="clear" w:color="auto" w:fill="auto"/>
          </w:tcPr>
          <w:p w14:paraId="748D2CB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9.47</w:t>
            </w:r>
          </w:p>
        </w:tc>
        <w:tc>
          <w:tcPr>
            <w:tcW w:w="883" w:type="dxa"/>
            <w:shd w:val="clear" w:color="auto" w:fill="auto"/>
          </w:tcPr>
          <w:p w14:paraId="66F95B45"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9.22</w:t>
            </w:r>
          </w:p>
        </w:tc>
        <w:tc>
          <w:tcPr>
            <w:tcW w:w="780" w:type="dxa"/>
            <w:shd w:val="clear" w:color="auto" w:fill="auto"/>
          </w:tcPr>
          <w:p w14:paraId="072F4A6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9.67</w:t>
            </w:r>
          </w:p>
        </w:tc>
      </w:tr>
      <w:tr w:rsidR="009968E0" w:rsidRPr="009968E0" w14:paraId="2F4E1B84" w14:textId="77777777" w:rsidTr="009968E0">
        <w:trPr>
          <w:trHeight w:val="360"/>
        </w:trPr>
        <w:tc>
          <w:tcPr>
            <w:tcW w:w="1615" w:type="dxa"/>
            <w:vMerge/>
            <w:shd w:val="clear" w:color="auto" w:fill="FDE9D9"/>
          </w:tcPr>
          <w:p w14:paraId="60B5EAB9"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842" w:type="dxa"/>
            <w:vMerge/>
            <w:shd w:val="clear" w:color="auto" w:fill="auto"/>
          </w:tcPr>
          <w:p w14:paraId="3DFA9785"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310" w:type="dxa"/>
            <w:shd w:val="clear" w:color="auto" w:fill="auto"/>
          </w:tcPr>
          <w:p w14:paraId="51939AC3"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839" w:type="dxa"/>
            <w:shd w:val="clear" w:color="auto" w:fill="auto"/>
          </w:tcPr>
          <w:p w14:paraId="26A515B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9.94</w:t>
            </w:r>
          </w:p>
        </w:tc>
        <w:tc>
          <w:tcPr>
            <w:tcW w:w="785" w:type="dxa"/>
            <w:shd w:val="clear" w:color="auto" w:fill="auto"/>
          </w:tcPr>
          <w:p w14:paraId="263DDB8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10.18</w:t>
            </w:r>
          </w:p>
        </w:tc>
        <w:tc>
          <w:tcPr>
            <w:tcW w:w="883" w:type="dxa"/>
            <w:shd w:val="clear" w:color="auto" w:fill="auto"/>
          </w:tcPr>
          <w:p w14:paraId="2E1B94A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10.13</w:t>
            </w:r>
          </w:p>
        </w:tc>
        <w:tc>
          <w:tcPr>
            <w:tcW w:w="780" w:type="dxa"/>
            <w:shd w:val="clear" w:color="auto" w:fill="auto"/>
          </w:tcPr>
          <w:p w14:paraId="7323610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10.53</w:t>
            </w:r>
          </w:p>
        </w:tc>
      </w:tr>
      <w:tr w:rsidR="009968E0" w:rsidRPr="009968E0" w14:paraId="3F90000B" w14:textId="77777777" w:rsidTr="009968E0">
        <w:trPr>
          <w:trHeight w:val="360"/>
        </w:trPr>
        <w:tc>
          <w:tcPr>
            <w:tcW w:w="9054" w:type="dxa"/>
            <w:gridSpan w:val="7"/>
            <w:shd w:val="clear" w:color="auto" w:fill="auto"/>
            <w:vAlign w:val="center"/>
          </w:tcPr>
          <w:p w14:paraId="62826600"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p=0.169</w:t>
            </w:r>
          </w:p>
        </w:tc>
      </w:tr>
    </w:tbl>
    <w:p w14:paraId="125E6B02" w14:textId="77777777" w:rsidR="009968E0" w:rsidRPr="009968E0" w:rsidRDefault="009968E0" w:rsidP="009968E0">
      <w:pPr>
        <w:rPr>
          <w:rFonts w:ascii="Calibri" w:eastAsia="Times New Roman" w:hAnsi="Calibri" w:cs="Calibri"/>
          <w:i/>
          <w:iCs/>
          <w:color w:val="808080"/>
          <w:sz w:val="21"/>
          <w:szCs w:val="21"/>
          <w:lang w:eastAsia="en-GB"/>
        </w:rPr>
      </w:pPr>
      <w:r w:rsidRPr="009968E0">
        <w:rPr>
          <w:rFonts w:ascii="Calibri" w:eastAsia="Times New Roman" w:hAnsi="Calibri" w:cs="Calibri"/>
          <w:i/>
          <w:iCs/>
          <w:color w:val="808080"/>
          <w:sz w:val="21"/>
          <w:szCs w:val="21"/>
          <w:lang w:eastAsia="en-GB"/>
        </w:rPr>
        <w:t xml:space="preserve">TTP=Time to Peak, 2=second visit, L=left, R=right, </w:t>
      </w:r>
      <w:proofErr w:type="spellStart"/>
      <w:r w:rsidRPr="009968E0">
        <w:rPr>
          <w:rFonts w:ascii="Calibri" w:eastAsia="Times New Roman" w:hAnsi="Calibri" w:cs="Calibri"/>
          <w:i/>
          <w:iCs/>
          <w:color w:val="808080"/>
          <w:sz w:val="21"/>
          <w:szCs w:val="21"/>
          <w:lang w:eastAsia="en-GB"/>
        </w:rPr>
        <w:t>thal</w:t>
      </w:r>
      <w:proofErr w:type="spellEnd"/>
      <w:r w:rsidRPr="009968E0">
        <w:rPr>
          <w:rFonts w:ascii="Calibri" w:eastAsia="Times New Roman" w:hAnsi="Calibri" w:cs="Calibri"/>
          <w:i/>
          <w:iCs/>
          <w:color w:val="808080"/>
          <w:sz w:val="21"/>
          <w:szCs w:val="21"/>
          <w:lang w:eastAsia="en-GB"/>
        </w:rPr>
        <w:t>= thalamus, INS=Insula, ACC= anterior cingulate gyrus, POWM=parieto-</w:t>
      </w:r>
      <w:proofErr w:type="spellStart"/>
      <w:r w:rsidRPr="009968E0">
        <w:rPr>
          <w:rFonts w:ascii="Calibri" w:eastAsia="Times New Roman" w:hAnsi="Calibri" w:cs="Calibri"/>
          <w:i/>
          <w:iCs/>
          <w:color w:val="808080"/>
          <w:sz w:val="21"/>
          <w:szCs w:val="21"/>
          <w:lang w:eastAsia="en-GB"/>
        </w:rPr>
        <w:t>occiptal</w:t>
      </w:r>
      <w:proofErr w:type="spellEnd"/>
      <w:r w:rsidRPr="009968E0">
        <w:rPr>
          <w:rFonts w:ascii="Calibri" w:eastAsia="Times New Roman" w:hAnsi="Calibri" w:cs="Calibri"/>
          <w:i/>
          <w:iCs/>
          <w:color w:val="808080"/>
          <w:sz w:val="21"/>
          <w:szCs w:val="21"/>
          <w:lang w:eastAsia="en-GB"/>
        </w:rPr>
        <w:t xml:space="preserve"> white matter, PSC=primary sensory cortex, N=number in group</w:t>
      </w:r>
    </w:p>
    <w:p w14:paraId="4B3BEA5E" w14:textId="77777777" w:rsidR="009968E0" w:rsidRPr="009968E0" w:rsidRDefault="009968E0" w:rsidP="009968E0">
      <w:pPr>
        <w:rPr>
          <w:rFonts w:eastAsia="MS Mincho"/>
          <w:i/>
          <w:iCs/>
          <w:color w:val="1F497D"/>
          <w:lang w:eastAsia="en-GB"/>
        </w:rPr>
      </w:pPr>
      <w:bookmarkStart w:id="607" w:name="_Toc48406144"/>
    </w:p>
    <w:p w14:paraId="549AEC4B" w14:textId="4373F8B2" w:rsidR="009968E0" w:rsidRPr="009968E0" w:rsidRDefault="009968E0" w:rsidP="007A2ECE">
      <w:pPr>
        <w:pStyle w:val="Quote"/>
      </w:pPr>
      <w:bookmarkStart w:id="608" w:name="_Toc49273354"/>
      <w:bookmarkStart w:id="609" w:name="_Toc64724107"/>
      <w:bookmarkEnd w:id="607"/>
      <w:r w:rsidRPr="009968E0">
        <w:t>Table C.9 Baseline demographic statistics, measurements comparing the groups P+ and P-</w:t>
      </w:r>
      <w:r w:rsidR="007A2ECE">
        <w:t xml:space="preserve">,  </w:t>
      </w:r>
      <w:r w:rsidRPr="009968E0">
        <w:t>DPN, DM-NN and HV by ANOVA</w:t>
      </w:r>
      <w:bookmarkEnd w:id="608"/>
      <w:bookmarkEnd w:id="609"/>
      <w:r w:rsidRPr="009968E0">
        <w:t xml:space="preserve">  </w:t>
      </w:r>
    </w:p>
    <w:p w14:paraId="5667D269" w14:textId="77777777" w:rsidR="009968E0" w:rsidRPr="009968E0" w:rsidRDefault="009968E0" w:rsidP="009968E0">
      <w:pPr>
        <w:rPr>
          <w:rFonts w:ascii="Times New Roman" w:eastAsia="Times New Roman" w:hAnsi="Times New Roman" w:cs="Times New Roman"/>
          <w:lang w:eastAsia="en-GB"/>
        </w:rPr>
      </w:pPr>
    </w:p>
    <w:tbl>
      <w:tblPr>
        <w:tblStyle w:val="GridTable2-Accent611"/>
        <w:tblW w:w="5000" w:type="pct"/>
        <w:tblLook w:val="04A0" w:firstRow="1" w:lastRow="0" w:firstColumn="1" w:lastColumn="0" w:noHBand="0" w:noVBand="1"/>
      </w:tblPr>
      <w:tblGrid>
        <w:gridCol w:w="2412"/>
        <w:gridCol w:w="1436"/>
        <w:gridCol w:w="1386"/>
        <w:gridCol w:w="718"/>
        <w:gridCol w:w="718"/>
        <w:gridCol w:w="718"/>
        <w:gridCol w:w="904"/>
        <w:gridCol w:w="718"/>
      </w:tblGrid>
      <w:tr w:rsidR="009968E0" w:rsidRPr="009968E0" w14:paraId="09DD4625" w14:textId="77777777" w:rsidTr="009968E0">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073" w:type="pct"/>
            <w:tcBorders>
              <w:top w:val="single" w:sz="4" w:space="0" w:color="auto"/>
              <w:left w:val="single" w:sz="4" w:space="0" w:color="auto"/>
            </w:tcBorders>
            <w:noWrap/>
            <w:hideMark/>
          </w:tcPr>
          <w:p w14:paraId="67FFE5D3" w14:textId="77777777" w:rsidR="009968E0" w:rsidRPr="009968E0" w:rsidRDefault="009968E0" w:rsidP="009968E0">
            <w:pPr>
              <w:jc w:val="right"/>
              <w:rPr>
                <w:rFonts w:asciiTheme="minorHAnsi" w:eastAsia="Times New Roman" w:hAnsiTheme="minorHAnsi" w:cstheme="minorHAnsi"/>
                <w:i/>
                <w:iCs/>
                <w:sz w:val="22"/>
                <w:szCs w:val="22"/>
                <w:lang w:eastAsia="en-GB"/>
              </w:rPr>
            </w:pPr>
          </w:p>
        </w:tc>
        <w:tc>
          <w:tcPr>
            <w:tcW w:w="953" w:type="pct"/>
            <w:tcBorders>
              <w:top w:val="single" w:sz="4" w:space="0" w:color="auto"/>
            </w:tcBorders>
            <w:noWrap/>
            <w:hideMark/>
          </w:tcPr>
          <w:p w14:paraId="5F20CE21" w14:textId="77777777" w:rsidR="009968E0" w:rsidRPr="009968E0" w:rsidRDefault="009968E0" w:rsidP="009968E0">
            <w:pPr>
              <w:jc w:val="righ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i/>
                <w:iCs/>
                <w:sz w:val="22"/>
                <w:szCs w:val="22"/>
                <w:lang w:eastAsia="en-GB"/>
              </w:rPr>
            </w:pPr>
          </w:p>
        </w:tc>
        <w:tc>
          <w:tcPr>
            <w:tcW w:w="719" w:type="pct"/>
            <w:tcBorders>
              <w:top w:val="single" w:sz="4" w:space="0" w:color="auto"/>
            </w:tcBorders>
            <w:noWrap/>
            <w:hideMark/>
          </w:tcPr>
          <w:p w14:paraId="0890B935" w14:textId="77777777" w:rsidR="009968E0" w:rsidRPr="009968E0" w:rsidRDefault="009968E0" w:rsidP="009968E0">
            <w:pPr>
              <w:jc w:val="righ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i/>
                <w:iCs/>
                <w:sz w:val="22"/>
                <w:szCs w:val="22"/>
                <w:lang w:eastAsia="en-GB"/>
              </w:rPr>
            </w:pPr>
          </w:p>
        </w:tc>
        <w:tc>
          <w:tcPr>
            <w:tcW w:w="476" w:type="pct"/>
            <w:tcBorders>
              <w:top w:val="single" w:sz="4" w:space="0" w:color="auto"/>
            </w:tcBorders>
            <w:noWrap/>
            <w:hideMark/>
          </w:tcPr>
          <w:p w14:paraId="331DEB57" w14:textId="77777777" w:rsidR="009968E0" w:rsidRPr="009968E0" w:rsidRDefault="009968E0" w:rsidP="009968E0">
            <w:pPr>
              <w:jc w:val="righ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P+</w:t>
            </w:r>
          </w:p>
        </w:tc>
        <w:tc>
          <w:tcPr>
            <w:tcW w:w="481" w:type="pct"/>
            <w:tcBorders>
              <w:top w:val="single" w:sz="4" w:space="0" w:color="auto"/>
            </w:tcBorders>
            <w:noWrap/>
            <w:hideMark/>
          </w:tcPr>
          <w:p w14:paraId="1DDA2E37" w14:textId="77777777" w:rsidR="009968E0" w:rsidRPr="009968E0" w:rsidRDefault="009968E0" w:rsidP="009968E0">
            <w:pPr>
              <w:jc w:val="righ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P-</w:t>
            </w:r>
          </w:p>
        </w:tc>
        <w:tc>
          <w:tcPr>
            <w:tcW w:w="398" w:type="pct"/>
            <w:tcBorders>
              <w:top w:val="single" w:sz="4" w:space="0" w:color="auto"/>
            </w:tcBorders>
            <w:noWrap/>
            <w:hideMark/>
          </w:tcPr>
          <w:p w14:paraId="562BC401" w14:textId="77777777" w:rsidR="009968E0" w:rsidRPr="009968E0" w:rsidRDefault="009968E0" w:rsidP="009968E0">
            <w:pPr>
              <w:jc w:val="righ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DPN</w:t>
            </w:r>
          </w:p>
        </w:tc>
        <w:tc>
          <w:tcPr>
            <w:tcW w:w="460" w:type="pct"/>
            <w:tcBorders>
              <w:top w:val="single" w:sz="4" w:space="0" w:color="auto"/>
            </w:tcBorders>
            <w:noWrap/>
            <w:hideMark/>
          </w:tcPr>
          <w:p w14:paraId="680B33E7" w14:textId="77777777" w:rsidR="009968E0" w:rsidRPr="009968E0" w:rsidRDefault="009968E0" w:rsidP="009968E0">
            <w:pPr>
              <w:jc w:val="righ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DM-NN</w:t>
            </w:r>
          </w:p>
        </w:tc>
        <w:tc>
          <w:tcPr>
            <w:tcW w:w="440" w:type="pct"/>
            <w:tcBorders>
              <w:top w:val="single" w:sz="4" w:space="0" w:color="auto"/>
              <w:right w:val="single" w:sz="4" w:space="0" w:color="auto"/>
            </w:tcBorders>
            <w:noWrap/>
            <w:hideMark/>
          </w:tcPr>
          <w:p w14:paraId="10D30115" w14:textId="77777777" w:rsidR="009968E0" w:rsidRPr="009968E0" w:rsidRDefault="009968E0" w:rsidP="009968E0">
            <w:pPr>
              <w:jc w:val="righ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HV</w:t>
            </w:r>
          </w:p>
        </w:tc>
      </w:tr>
      <w:tr w:rsidR="009968E0" w:rsidRPr="009968E0" w14:paraId="533E52E7"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073" w:type="pct"/>
            <w:vMerge w:val="restart"/>
            <w:tcBorders>
              <w:left w:val="single" w:sz="4" w:space="0" w:color="auto"/>
            </w:tcBorders>
            <w:noWrap/>
            <w:hideMark/>
          </w:tcPr>
          <w:p w14:paraId="08D89FCF" w14:textId="77777777" w:rsidR="009968E0" w:rsidRPr="009968E0" w:rsidRDefault="009968E0" w:rsidP="009968E0">
            <w:pPr>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 xml:space="preserve">Age </w:t>
            </w:r>
          </w:p>
          <w:p w14:paraId="79777BAC" w14:textId="77777777" w:rsidR="009968E0" w:rsidRPr="009968E0" w:rsidRDefault="009968E0" w:rsidP="009968E0">
            <w:pPr>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w:t>
            </w:r>
            <w:proofErr w:type="spellStart"/>
            <w:r w:rsidRPr="009968E0">
              <w:rPr>
                <w:rFonts w:asciiTheme="minorHAnsi" w:eastAsia="Times New Roman" w:hAnsiTheme="minorHAnsi" w:cstheme="minorHAnsi"/>
                <w:i/>
                <w:iCs/>
                <w:color w:val="000000"/>
                <w:sz w:val="22"/>
                <w:szCs w:val="22"/>
                <w:lang w:eastAsia="en-GB"/>
              </w:rPr>
              <w:t>yrs</w:t>
            </w:r>
            <w:proofErr w:type="spellEnd"/>
            <w:r w:rsidRPr="009968E0">
              <w:rPr>
                <w:rFonts w:asciiTheme="minorHAnsi" w:eastAsia="Times New Roman" w:hAnsiTheme="minorHAnsi" w:cstheme="minorHAnsi"/>
                <w:i/>
                <w:iCs/>
                <w:color w:val="000000"/>
                <w:sz w:val="22"/>
                <w:szCs w:val="22"/>
                <w:lang w:eastAsia="en-GB"/>
              </w:rPr>
              <w:t>)</w:t>
            </w:r>
          </w:p>
        </w:tc>
        <w:tc>
          <w:tcPr>
            <w:tcW w:w="953" w:type="pct"/>
            <w:noWrap/>
            <w:hideMark/>
          </w:tcPr>
          <w:p w14:paraId="77D06D84"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N</w:t>
            </w:r>
          </w:p>
        </w:tc>
        <w:tc>
          <w:tcPr>
            <w:tcW w:w="719" w:type="pct"/>
            <w:noWrap/>
            <w:hideMark/>
          </w:tcPr>
          <w:p w14:paraId="120660DC"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p>
        </w:tc>
        <w:tc>
          <w:tcPr>
            <w:tcW w:w="476" w:type="pct"/>
            <w:noWrap/>
            <w:hideMark/>
          </w:tcPr>
          <w:p w14:paraId="19BE8DCC"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10</w:t>
            </w:r>
          </w:p>
        </w:tc>
        <w:tc>
          <w:tcPr>
            <w:tcW w:w="481" w:type="pct"/>
            <w:noWrap/>
            <w:hideMark/>
          </w:tcPr>
          <w:p w14:paraId="3E529597"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9</w:t>
            </w:r>
          </w:p>
        </w:tc>
        <w:tc>
          <w:tcPr>
            <w:tcW w:w="398" w:type="pct"/>
            <w:noWrap/>
            <w:hideMark/>
          </w:tcPr>
          <w:p w14:paraId="01418A77"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23</w:t>
            </w:r>
          </w:p>
        </w:tc>
        <w:tc>
          <w:tcPr>
            <w:tcW w:w="460" w:type="pct"/>
            <w:noWrap/>
            <w:hideMark/>
          </w:tcPr>
          <w:p w14:paraId="4A69AB15"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13</w:t>
            </w:r>
          </w:p>
        </w:tc>
        <w:tc>
          <w:tcPr>
            <w:tcW w:w="440" w:type="pct"/>
            <w:tcBorders>
              <w:right w:val="single" w:sz="4" w:space="0" w:color="auto"/>
            </w:tcBorders>
            <w:noWrap/>
            <w:hideMark/>
          </w:tcPr>
          <w:p w14:paraId="52D512C8"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19</w:t>
            </w:r>
          </w:p>
        </w:tc>
      </w:tr>
      <w:tr w:rsidR="009968E0" w:rsidRPr="009968E0" w14:paraId="0C4BA9EA"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073" w:type="pct"/>
            <w:vMerge/>
            <w:tcBorders>
              <w:left w:val="single" w:sz="4" w:space="0" w:color="auto"/>
            </w:tcBorders>
            <w:noWrap/>
            <w:hideMark/>
          </w:tcPr>
          <w:p w14:paraId="18FF565D" w14:textId="77777777" w:rsidR="009968E0" w:rsidRPr="009968E0" w:rsidRDefault="009968E0" w:rsidP="009968E0">
            <w:pPr>
              <w:jc w:val="right"/>
              <w:rPr>
                <w:rFonts w:asciiTheme="minorHAnsi" w:eastAsia="Times New Roman" w:hAnsiTheme="minorHAnsi" w:cstheme="minorHAnsi"/>
                <w:i/>
                <w:iCs/>
                <w:color w:val="000000"/>
                <w:sz w:val="22"/>
                <w:szCs w:val="22"/>
                <w:lang w:eastAsia="en-GB"/>
              </w:rPr>
            </w:pPr>
          </w:p>
        </w:tc>
        <w:tc>
          <w:tcPr>
            <w:tcW w:w="953" w:type="pct"/>
            <w:noWrap/>
            <w:hideMark/>
          </w:tcPr>
          <w:p w14:paraId="16A0FD96"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Mean</w:t>
            </w:r>
          </w:p>
        </w:tc>
        <w:tc>
          <w:tcPr>
            <w:tcW w:w="719" w:type="pct"/>
            <w:noWrap/>
            <w:hideMark/>
          </w:tcPr>
          <w:p w14:paraId="392D2821"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p>
        </w:tc>
        <w:tc>
          <w:tcPr>
            <w:tcW w:w="476" w:type="pct"/>
            <w:noWrap/>
            <w:hideMark/>
          </w:tcPr>
          <w:p w14:paraId="14693C27"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52.2</w:t>
            </w:r>
          </w:p>
        </w:tc>
        <w:tc>
          <w:tcPr>
            <w:tcW w:w="481" w:type="pct"/>
            <w:noWrap/>
            <w:hideMark/>
          </w:tcPr>
          <w:p w14:paraId="2435668E"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50.4</w:t>
            </w:r>
          </w:p>
        </w:tc>
        <w:tc>
          <w:tcPr>
            <w:tcW w:w="398" w:type="pct"/>
            <w:noWrap/>
            <w:hideMark/>
          </w:tcPr>
          <w:p w14:paraId="2FAC2CE1"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60.8</w:t>
            </w:r>
          </w:p>
        </w:tc>
        <w:tc>
          <w:tcPr>
            <w:tcW w:w="460" w:type="pct"/>
            <w:noWrap/>
            <w:hideMark/>
          </w:tcPr>
          <w:p w14:paraId="7B427EAA"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52.9</w:t>
            </w:r>
          </w:p>
        </w:tc>
        <w:tc>
          <w:tcPr>
            <w:tcW w:w="440" w:type="pct"/>
            <w:tcBorders>
              <w:right w:val="single" w:sz="4" w:space="0" w:color="auto"/>
            </w:tcBorders>
            <w:noWrap/>
            <w:hideMark/>
          </w:tcPr>
          <w:p w14:paraId="4102322C"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54.3</w:t>
            </w:r>
          </w:p>
        </w:tc>
      </w:tr>
      <w:tr w:rsidR="009968E0" w:rsidRPr="009968E0" w14:paraId="53D92ABC"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073" w:type="pct"/>
            <w:vMerge/>
            <w:tcBorders>
              <w:left w:val="single" w:sz="4" w:space="0" w:color="auto"/>
            </w:tcBorders>
            <w:noWrap/>
            <w:hideMark/>
          </w:tcPr>
          <w:p w14:paraId="4DC22703" w14:textId="77777777" w:rsidR="009968E0" w:rsidRPr="009968E0" w:rsidRDefault="009968E0" w:rsidP="009968E0">
            <w:pPr>
              <w:jc w:val="right"/>
              <w:rPr>
                <w:rFonts w:asciiTheme="minorHAnsi" w:eastAsia="Times New Roman" w:hAnsiTheme="minorHAnsi" w:cstheme="minorHAnsi"/>
                <w:i/>
                <w:iCs/>
                <w:color w:val="000000"/>
                <w:sz w:val="22"/>
                <w:szCs w:val="22"/>
                <w:lang w:eastAsia="en-GB"/>
              </w:rPr>
            </w:pPr>
          </w:p>
        </w:tc>
        <w:tc>
          <w:tcPr>
            <w:tcW w:w="953" w:type="pct"/>
            <w:noWrap/>
            <w:hideMark/>
          </w:tcPr>
          <w:p w14:paraId="2C5F6FFD"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 xml:space="preserve">95% CI </w:t>
            </w:r>
          </w:p>
          <w:p w14:paraId="645804D7"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for Mean</w:t>
            </w:r>
          </w:p>
        </w:tc>
        <w:tc>
          <w:tcPr>
            <w:tcW w:w="719" w:type="pct"/>
            <w:noWrap/>
            <w:hideMark/>
          </w:tcPr>
          <w:p w14:paraId="1FBE9455"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Lower Bound</w:t>
            </w:r>
          </w:p>
        </w:tc>
        <w:tc>
          <w:tcPr>
            <w:tcW w:w="476" w:type="pct"/>
            <w:noWrap/>
            <w:hideMark/>
          </w:tcPr>
          <w:p w14:paraId="6D4D4DC1"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45.5</w:t>
            </w:r>
          </w:p>
        </w:tc>
        <w:tc>
          <w:tcPr>
            <w:tcW w:w="481" w:type="pct"/>
            <w:noWrap/>
            <w:hideMark/>
          </w:tcPr>
          <w:p w14:paraId="49ACCCE4"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43.6</w:t>
            </w:r>
          </w:p>
        </w:tc>
        <w:tc>
          <w:tcPr>
            <w:tcW w:w="398" w:type="pct"/>
            <w:noWrap/>
            <w:hideMark/>
          </w:tcPr>
          <w:p w14:paraId="053D1056"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57.2</w:t>
            </w:r>
          </w:p>
        </w:tc>
        <w:tc>
          <w:tcPr>
            <w:tcW w:w="460" w:type="pct"/>
            <w:noWrap/>
            <w:hideMark/>
          </w:tcPr>
          <w:p w14:paraId="12A86DFD"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45</w:t>
            </w:r>
          </w:p>
        </w:tc>
        <w:tc>
          <w:tcPr>
            <w:tcW w:w="440" w:type="pct"/>
            <w:tcBorders>
              <w:right w:val="single" w:sz="4" w:space="0" w:color="auto"/>
            </w:tcBorders>
            <w:noWrap/>
            <w:hideMark/>
          </w:tcPr>
          <w:p w14:paraId="629045F8"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49.7</w:t>
            </w:r>
          </w:p>
        </w:tc>
      </w:tr>
      <w:tr w:rsidR="009968E0" w:rsidRPr="009968E0" w14:paraId="1A3633ED"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073" w:type="pct"/>
            <w:vMerge/>
            <w:tcBorders>
              <w:left w:val="single" w:sz="4" w:space="0" w:color="auto"/>
            </w:tcBorders>
            <w:noWrap/>
            <w:hideMark/>
          </w:tcPr>
          <w:p w14:paraId="4D4960DD" w14:textId="77777777" w:rsidR="009968E0" w:rsidRPr="009968E0" w:rsidRDefault="009968E0" w:rsidP="009968E0">
            <w:pPr>
              <w:jc w:val="right"/>
              <w:rPr>
                <w:rFonts w:asciiTheme="minorHAnsi" w:eastAsia="Times New Roman" w:hAnsiTheme="minorHAnsi" w:cstheme="minorHAnsi"/>
                <w:i/>
                <w:iCs/>
                <w:color w:val="000000"/>
                <w:sz w:val="22"/>
                <w:szCs w:val="22"/>
                <w:lang w:eastAsia="en-GB"/>
              </w:rPr>
            </w:pPr>
          </w:p>
        </w:tc>
        <w:tc>
          <w:tcPr>
            <w:tcW w:w="953" w:type="pct"/>
            <w:noWrap/>
            <w:hideMark/>
          </w:tcPr>
          <w:p w14:paraId="1315CDB6"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sz w:val="22"/>
                <w:szCs w:val="22"/>
                <w:lang w:eastAsia="en-GB"/>
              </w:rPr>
            </w:pPr>
          </w:p>
        </w:tc>
        <w:tc>
          <w:tcPr>
            <w:tcW w:w="719" w:type="pct"/>
            <w:noWrap/>
            <w:hideMark/>
          </w:tcPr>
          <w:p w14:paraId="46818746"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Upper Bound</w:t>
            </w:r>
          </w:p>
        </w:tc>
        <w:tc>
          <w:tcPr>
            <w:tcW w:w="476" w:type="pct"/>
            <w:noWrap/>
            <w:hideMark/>
          </w:tcPr>
          <w:p w14:paraId="722F5F32"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58.9</w:t>
            </w:r>
          </w:p>
        </w:tc>
        <w:tc>
          <w:tcPr>
            <w:tcW w:w="481" w:type="pct"/>
            <w:noWrap/>
            <w:hideMark/>
          </w:tcPr>
          <w:p w14:paraId="1E63E80B"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57.2</w:t>
            </w:r>
          </w:p>
        </w:tc>
        <w:tc>
          <w:tcPr>
            <w:tcW w:w="398" w:type="pct"/>
            <w:noWrap/>
            <w:hideMark/>
          </w:tcPr>
          <w:p w14:paraId="79C9B09B"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64.3</w:t>
            </w:r>
          </w:p>
        </w:tc>
        <w:tc>
          <w:tcPr>
            <w:tcW w:w="460" w:type="pct"/>
            <w:noWrap/>
            <w:hideMark/>
          </w:tcPr>
          <w:p w14:paraId="49891681"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60.9</w:t>
            </w:r>
          </w:p>
        </w:tc>
        <w:tc>
          <w:tcPr>
            <w:tcW w:w="440" w:type="pct"/>
            <w:tcBorders>
              <w:right w:val="single" w:sz="4" w:space="0" w:color="auto"/>
            </w:tcBorders>
            <w:noWrap/>
            <w:hideMark/>
          </w:tcPr>
          <w:p w14:paraId="2B3137CB"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58.9</w:t>
            </w:r>
          </w:p>
        </w:tc>
      </w:tr>
      <w:tr w:rsidR="009968E0" w:rsidRPr="009968E0" w14:paraId="498A1920"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000" w:type="pct"/>
            <w:gridSpan w:val="8"/>
            <w:tcBorders>
              <w:left w:val="single" w:sz="4" w:space="0" w:color="auto"/>
              <w:right w:val="single" w:sz="4" w:space="0" w:color="auto"/>
            </w:tcBorders>
            <w:noWrap/>
            <w:hideMark/>
          </w:tcPr>
          <w:p w14:paraId="2C72C206" w14:textId="77777777" w:rsidR="009968E0" w:rsidRPr="009968E0" w:rsidRDefault="009968E0" w:rsidP="009968E0">
            <w:pPr>
              <w:jc w:val="center"/>
              <w:rPr>
                <w:rFonts w:asciiTheme="minorHAnsi" w:eastAsia="Times New Roman" w:hAnsiTheme="minorHAnsi" w:cstheme="minorHAnsi"/>
                <w:i/>
                <w:iCs/>
                <w:sz w:val="22"/>
                <w:szCs w:val="22"/>
                <w:vertAlign w:val="superscript"/>
                <w:lang w:eastAsia="en-GB"/>
              </w:rPr>
            </w:pPr>
            <w:r w:rsidRPr="009968E0">
              <w:rPr>
                <w:rFonts w:asciiTheme="minorHAnsi" w:eastAsia="Times New Roman" w:hAnsiTheme="minorHAnsi" w:cstheme="minorHAnsi"/>
                <w:i/>
                <w:iCs/>
                <w:sz w:val="22"/>
                <w:szCs w:val="22"/>
                <w:lang w:eastAsia="en-GB"/>
              </w:rPr>
              <w:t>p=.031</w:t>
            </w:r>
            <w:r w:rsidRPr="009968E0">
              <w:rPr>
                <w:rFonts w:asciiTheme="minorHAnsi" w:eastAsia="Times New Roman" w:hAnsiTheme="minorHAnsi" w:cstheme="minorHAnsi"/>
                <w:i/>
                <w:iCs/>
                <w:sz w:val="22"/>
                <w:szCs w:val="22"/>
                <w:vertAlign w:val="superscript"/>
                <w:lang w:eastAsia="en-GB"/>
              </w:rPr>
              <w:t>a</w:t>
            </w:r>
          </w:p>
        </w:tc>
      </w:tr>
      <w:tr w:rsidR="009968E0" w:rsidRPr="009968E0" w14:paraId="46C330A0"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073" w:type="pct"/>
            <w:vMerge w:val="restart"/>
            <w:tcBorders>
              <w:left w:val="single" w:sz="4" w:space="0" w:color="auto"/>
            </w:tcBorders>
            <w:noWrap/>
            <w:hideMark/>
          </w:tcPr>
          <w:p w14:paraId="51F2BC43" w14:textId="77777777" w:rsidR="009968E0" w:rsidRPr="009968E0" w:rsidRDefault="009968E0" w:rsidP="009968E0">
            <w:pPr>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 xml:space="preserve">BMI </w:t>
            </w:r>
          </w:p>
          <w:p w14:paraId="682D35CC" w14:textId="77777777" w:rsidR="009968E0" w:rsidRPr="009968E0" w:rsidRDefault="009968E0" w:rsidP="009968E0">
            <w:pPr>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(kg/m</w:t>
            </w:r>
            <w:r w:rsidRPr="009968E0">
              <w:rPr>
                <w:rFonts w:asciiTheme="minorHAnsi" w:eastAsia="Times New Roman" w:hAnsiTheme="minorHAnsi" w:cstheme="minorHAnsi"/>
                <w:i/>
                <w:iCs/>
                <w:color w:val="000000"/>
                <w:sz w:val="22"/>
                <w:szCs w:val="22"/>
                <w:vertAlign w:val="superscript"/>
                <w:lang w:eastAsia="en-GB"/>
              </w:rPr>
              <w:t>2</w:t>
            </w:r>
            <w:r w:rsidRPr="009968E0">
              <w:rPr>
                <w:rFonts w:asciiTheme="minorHAnsi" w:eastAsia="Times New Roman" w:hAnsiTheme="minorHAnsi" w:cstheme="minorHAnsi"/>
                <w:i/>
                <w:iCs/>
                <w:color w:val="000000"/>
                <w:sz w:val="22"/>
                <w:szCs w:val="22"/>
                <w:lang w:eastAsia="en-GB"/>
              </w:rPr>
              <w:t>)</w:t>
            </w:r>
          </w:p>
        </w:tc>
        <w:tc>
          <w:tcPr>
            <w:tcW w:w="953" w:type="pct"/>
            <w:noWrap/>
            <w:hideMark/>
          </w:tcPr>
          <w:p w14:paraId="2975BCAF"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N</w:t>
            </w:r>
          </w:p>
        </w:tc>
        <w:tc>
          <w:tcPr>
            <w:tcW w:w="719" w:type="pct"/>
            <w:noWrap/>
            <w:hideMark/>
          </w:tcPr>
          <w:p w14:paraId="24D45CCB"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p>
        </w:tc>
        <w:tc>
          <w:tcPr>
            <w:tcW w:w="476" w:type="pct"/>
            <w:noWrap/>
            <w:hideMark/>
          </w:tcPr>
          <w:p w14:paraId="01F89BB6"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10</w:t>
            </w:r>
          </w:p>
        </w:tc>
        <w:tc>
          <w:tcPr>
            <w:tcW w:w="481" w:type="pct"/>
            <w:noWrap/>
            <w:hideMark/>
          </w:tcPr>
          <w:p w14:paraId="397A3EEE"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9</w:t>
            </w:r>
          </w:p>
        </w:tc>
        <w:tc>
          <w:tcPr>
            <w:tcW w:w="398" w:type="pct"/>
            <w:noWrap/>
            <w:hideMark/>
          </w:tcPr>
          <w:p w14:paraId="21CCF194"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23</w:t>
            </w:r>
          </w:p>
        </w:tc>
        <w:tc>
          <w:tcPr>
            <w:tcW w:w="460" w:type="pct"/>
            <w:noWrap/>
            <w:hideMark/>
          </w:tcPr>
          <w:p w14:paraId="4E5C7F53"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13</w:t>
            </w:r>
          </w:p>
        </w:tc>
        <w:tc>
          <w:tcPr>
            <w:tcW w:w="440" w:type="pct"/>
            <w:tcBorders>
              <w:right w:val="single" w:sz="4" w:space="0" w:color="auto"/>
            </w:tcBorders>
            <w:noWrap/>
            <w:hideMark/>
          </w:tcPr>
          <w:p w14:paraId="4D8D74B5"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19</w:t>
            </w:r>
          </w:p>
        </w:tc>
      </w:tr>
      <w:tr w:rsidR="009968E0" w:rsidRPr="009968E0" w14:paraId="7F33C004"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073" w:type="pct"/>
            <w:vMerge/>
            <w:tcBorders>
              <w:left w:val="single" w:sz="4" w:space="0" w:color="auto"/>
            </w:tcBorders>
            <w:noWrap/>
            <w:hideMark/>
          </w:tcPr>
          <w:p w14:paraId="492D410B" w14:textId="77777777" w:rsidR="009968E0" w:rsidRPr="009968E0" w:rsidRDefault="009968E0" w:rsidP="009968E0">
            <w:pPr>
              <w:jc w:val="right"/>
              <w:rPr>
                <w:rFonts w:asciiTheme="minorHAnsi" w:eastAsia="Times New Roman" w:hAnsiTheme="minorHAnsi" w:cstheme="minorHAnsi"/>
                <w:i/>
                <w:iCs/>
                <w:color w:val="000000"/>
                <w:sz w:val="22"/>
                <w:szCs w:val="22"/>
                <w:lang w:eastAsia="en-GB"/>
              </w:rPr>
            </w:pPr>
          </w:p>
        </w:tc>
        <w:tc>
          <w:tcPr>
            <w:tcW w:w="953" w:type="pct"/>
            <w:noWrap/>
            <w:hideMark/>
          </w:tcPr>
          <w:p w14:paraId="68251172"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Mean</w:t>
            </w:r>
          </w:p>
        </w:tc>
        <w:tc>
          <w:tcPr>
            <w:tcW w:w="719" w:type="pct"/>
            <w:noWrap/>
            <w:hideMark/>
          </w:tcPr>
          <w:p w14:paraId="711B2312"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p>
        </w:tc>
        <w:tc>
          <w:tcPr>
            <w:tcW w:w="476" w:type="pct"/>
            <w:noWrap/>
            <w:hideMark/>
          </w:tcPr>
          <w:p w14:paraId="391D4F84"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26.8</w:t>
            </w:r>
          </w:p>
        </w:tc>
        <w:tc>
          <w:tcPr>
            <w:tcW w:w="481" w:type="pct"/>
            <w:noWrap/>
            <w:hideMark/>
          </w:tcPr>
          <w:p w14:paraId="34805D09"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26.7</w:t>
            </w:r>
          </w:p>
        </w:tc>
        <w:tc>
          <w:tcPr>
            <w:tcW w:w="398" w:type="pct"/>
            <w:noWrap/>
            <w:hideMark/>
          </w:tcPr>
          <w:p w14:paraId="3B7DF331"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27</w:t>
            </w:r>
          </w:p>
        </w:tc>
        <w:tc>
          <w:tcPr>
            <w:tcW w:w="460" w:type="pct"/>
            <w:noWrap/>
            <w:hideMark/>
          </w:tcPr>
          <w:p w14:paraId="69E77F3B"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23.7</w:t>
            </w:r>
          </w:p>
        </w:tc>
        <w:tc>
          <w:tcPr>
            <w:tcW w:w="440" w:type="pct"/>
            <w:tcBorders>
              <w:right w:val="single" w:sz="4" w:space="0" w:color="auto"/>
            </w:tcBorders>
            <w:noWrap/>
            <w:hideMark/>
          </w:tcPr>
          <w:p w14:paraId="7108F1DE"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27</w:t>
            </w:r>
          </w:p>
        </w:tc>
      </w:tr>
      <w:tr w:rsidR="009968E0" w:rsidRPr="009968E0" w14:paraId="3E11EAFC"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073" w:type="pct"/>
            <w:vMerge/>
            <w:tcBorders>
              <w:left w:val="single" w:sz="4" w:space="0" w:color="auto"/>
            </w:tcBorders>
            <w:noWrap/>
            <w:hideMark/>
          </w:tcPr>
          <w:p w14:paraId="7F5A48B8" w14:textId="77777777" w:rsidR="009968E0" w:rsidRPr="009968E0" w:rsidRDefault="009968E0" w:rsidP="009968E0">
            <w:pPr>
              <w:jc w:val="right"/>
              <w:rPr>
                <w:rFonts w:asciiTheme="minorHAnsi" w:eastAsia="Times New Roman" w:hAnsiTheme="minorHAnsi" w:cstheme="minorHAnsi"/>
                <w:i/>
                <w:iCs/>
                <w:color w:val="000000"/>
                <w:sz w:val="22"/>
                <w:szCs w:val="22"/>
                <w:lang w:eastAsia="en-GB"/>
              </w:rPr>
            </w:pPr>
          </w:p>
        </w:tc>
        <w:tc>
          <w:tcPr>
            <w:tcW w:w="953" w:type="pct"/>
            <w:noWrap/>
            <w:hideMark/>
          </w:tcPr>
          <w:p w14:paraId="45A4B101"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 xml:space="preserve">95% CI </w:t>
            </w:r>
          </w:p>
          <w:p w14:paraId="5A275E6F"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for Mean</w:t>
            </w:r>
          </w:p>
        </w:tc>
        <w:tc>
          <w:tcPr>
            <w:tcW w:w="719" w:type="pct"/>
            <w:noWrap/>
            <w:hideMark/>
          </w:tcPr>
          <w:p w14:paraId="335EB7D2"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Lower Bound</w:t>
            </w:r>
          </w:p>
        </w:tc>
        <w:tc>
          <w:tcPr>
            <w:tcW w:w="476" w:type="pct"/>
            <w:noWrap/>
            <w:hideMark/>
          </w:tcPr>
          <w:p w14:paraId="53BEB18E"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24.3</w:t>
            </w:r>
          </w:p>
        </w:tc>
        <w:tc>
          <w:tcPr>
            <w:tcW w:w="481" w:type="pct"/>
            <w:noWrap/>
            <w:hideMark/>
          </w:tcPr>
          <w:p w14:paraId="55AE6C40"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22.4</w:t>
            </w:r>
          </w:p>
        </w:tc>
        <w:tc>
          <w:tcPr>
            <w:tcW w:w="398" w:type="pct"/>
            <w:noWrap/>
            <w:hideMark/>
          </w:tcPr>
          <w:p w14:paraId="1F7BC106"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24.5</w:t>
            </w:r>
          </w:p>
        </w:tc>
        <w:tc>
          <w:tcPr>
            <w:tcW w:w="460" w:type="pct"/>
            <w:noWrap/>
            <w:hideMark/>
          </w:tcPr>
          <w:p w14:paraId="69A8BAA0"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21.1</w:t>
            </w:r>
          </w:p>
        </w:tc>
        <w:tc>
          <w:tcPr>
            <w:tcW w:w="440" w:type="pct"/>
            <w:tcBorders>
              <w:right w:val="single" w:sz="4" w:space="0" w:color="auto"/>
            </w:tcBorders>
            <w:noWrap/>
            <w:hideMark/>
          </w:tcPr>
          <w:p w14:paraId="090C75DA"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24.9</w:t>
            </w:r>
          </w:p>
        </w:tc>
      </w:tr>
      <w:tr w:rsidR="009968E0" w:rsidRPr="009968E0" w14:paraId="69B04772"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073" w:type="pct"/>
            <w:vMerge/>
            <w:tcBorders>
              <w:left w:val="single" w:sz="4" w:space="0" w:color="auto"/>
            </w:tcBorders>
            <w:noWrap/>
            <w:hideMark/>
          </w:tcPr>
          <w:p w14:paraId="5070A7A1" w14:textId="77777777" w:rsidR="009968E0" w:rsidRPr="009968E0" w:rsidRDefault="009968E0" w:rsidP="009968E0">
            <w:pPr>
              <w:jc w:val="right"/>
              <w:rPr>
                <w:rFonts w:asciiTheme="minorHAnsi" w:eastAsia="Times New Roman" w:hAnsiTheme="minorHAnsi" w:cstheme="minorHAnsi"/>
                <w:i/>
                <w:iCs/>
                <w:color w:val="000000"/>
                <w:sz w:val="22"/>
                <w:szCs w:val="22"/>
                <w:lang w:eastAsia="en-GB"/>
              </w:rPr>
            </w:pPr>
          </w:p>
        </w:tc>
        <w:tc>
          <w:tcPr>
            <w:tcW w:w="953" w:type="pct"/>
            <w:noWrap/>
            <w:hideMark/>
          </w:tcPr>
          <w:p w14:paraId="0CDB9C6A"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sz w:val="22"/>
                <w:szCs w:val="22"/>
                <w:lang w:eastAsia="en-GB"/>
              </w:rPr>
            </w:pPr>
          </w:p>
        </w:tc>
        <w:tc>
          <w:tcPr>
            <w:tcW w:w="719" w:type="pct"/>
            <w:noWrap/>
            <w:hideMark/>
          </w:tcPr>
          <w:p w14:paraId="600C4893"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Upper Bound</w:t>
            </w:r>
          </w:p>
        </w:tc>
        <w:tc>
          <w:tcPr>
            <w:tcW w:w="476" w:type="pct"/>
            <w:noWrap/>
            <w:hideMark/>
          </w:tcPr>
          <w:p w14:paraId="524926D6"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29.3</w:t>
            </w:r>
          </w:p>
        </w:tc>
        <w:tc>
          <w:tcPr>
            <w:tcW w:w="481" w:type="pct"/>
            <w:noWrap/>
            <w:hideMark/>
          </w:tcPr>
          <w:p w14:paraId="5B63CE1C"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31.1</w:t>
            </w:r>
          </w:p>
        </w:tc>
        <w:tc>
          <w:tcPr>
            <w:tcW w:w="398" w:type="pct"/>
            <w:noWrap/>
            <w:hideMark/>
          </w:tcPr>
          <w:p w14:paraId="1EE6F75E"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29.4</w:t>
            </w:r>
          </w:p>
        </w:tc>
        <w:tc>
          <w:tcPr>
            <w:tcW w:w="460" w:type="pct"/>
            <w:noWrap/>
            <w:hideMark/>
          </w:tcPr>
          <w:p w14:paraId="1DAC99E8"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26.3</w:t>
            </w:r>
          </w:p>
        </w:tc>
        <w:tc>
          <w:tcPr>
            <w:tcW w:w="440" w:type="pct"/>
            <w:tcBorders>
              <w:right w:val="single" w:sz="4" w:space="0" w:color="auto"/>
            </w:tcBorders>
            <w:noWrap/>
            <w:hideMark/>
          </w:tcPr>
          <w:p w14:paraId="01991B13"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29.1</w:t>
            </w:r>
          </w:p>
        </w:tc>
      </w:tr>
      <w:tr w:rsidR="009968E0" w:rsidRPr="009968E0" w14:paraId="01F7ED96"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5000" w:type="pct"/>
            <w:gridSpan w:val="8"/>
            <w:tcBorders>
              <w:left w:val="single" w:sz="4" w:space="0" w:color="auto"/>
              <w:right w:val="single" w:sz="4" w:space="0" w:color="auto"/>
            </w:tcBorders>
            <w:noWrap/>
            <w:hideMark/>
          </w:tcPr>
          <w:p w14:paraId="2AB1CC50" w14:textId="77777777" w:rsidR="009968E0" w:rsidRPr="009968E0" w:rsidRDefault="009968E0" w:rsidP="009968E0">
            <w:pPr>
              <w:jc w:val="center"/>
              <w:rPr>
                <w:rFonts w:asciiTheme="minorHAnsi" w:eastAsia="Times New Roman" w:hAnsiTheme="minorHAnsi" w:cstheme="minorHAnsi"/>
                <w:i/>
                <w:iCs/>
                <w:sz w:val="22"/>
                <w:szCs w:val="22"/>
                <w:lang w:eastAsia="en-GB"/>
              </w:rPr>
            </w:pPr>
            <w:r w:rsidRPr="009968E0">
              <w:rPr>
                <w:rFonts w:asciiTheme="minorHAnsi" w:eastAsia="Times New Roman" w:hAnsiTheme="minorHAnsi" w:cstheme="minorHAnsi"/>
                <w:i/>
                <w:iCs/>
                <w:sz w:val="22"/>
                <w:szCs w:val="22"/>
                <w:lang w:eastAsia="en-GB"/>
              </w:rPr>
              <w:t>p=.324</w:t>
            </w:r>
          </w:p>
        </w:tc>
      </w:tr>
      <w:tr w:rsidR="009968E0" w:rsidRPr="009968E0" w14:paraId="059DE08B"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073" w:type="pct"/>
            <w:vMerge w:val="restart"/>
            <w:tcBorders>
              <w:left w:val="single" w:sz="4" w:space="0" w:color="auto"/>
            </w:tcBorders>
            <w:noWrap/>
            <w:hideMark/>
          </w:tcPr>
          <w:p w14:paraId="1F6242C6" w14:textId="2395BEC2" w:rsidR="009968E0" w:rsidRPr="009968E0" w:rsidRDefault="00233478" w:rsidP="009968E0">
            <w:pPr>
              <w:rPr>
                <w:rFonts w:asciiTheme="minorHAnsi" w:eastAsia="Times New Roman" w:hAnsiTheme="minorHAnsi" w:cstheme="minorHAnsi"/>
                <w:i/>
                <w:iCs/>
                <w:color w:val="000000"/>
                <w:sz w:val="22"/>
                <w:szCs w:val="22"/>
                <w:lang w:eastAsia="en-GB"/>
              </w:rPr>
            </w:pPr>
            <w:r>
              <w:rPr>
                <w:rFonts w:asciiTheme="minorHAnsi" w:eastAsia="Times New Roman" w:hAnsiTheme="minorHAnsi" w:cstheme="minorHAnsi"/>
                <w:i/>
                <w:iCs/>
                <w:color w:val="000000"/>
                <w:sz w:val="22"/>
                <w:szCs w:val="22"/>
                <w:lang w:eastAsia="en-GB"/>
              </w:rPr>
              <w:t>eGFR</w:t>
            </w:r>
          </w:p>
          <w:p w14:paraId="17A87103" w14:textId="77777777" w:rsidR="009968E0" w:rsidRPr="009968E0" w:rsidRDefault="009968E0" w:rsidP="009968E0">
            <w:pPr>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 xml:space="preserve"> (ml/min/1.73m</w:t>
            </w:r>
            <w:r w:rsidRPr="009968E0">
              <w:rPr>
                <w:rFonts w:asciiTheme="minorHAnsi" w:eastAsia="Times New Roman" w:hAnsiTheme="minorHAnsi" w:cstheme="minorHAnsi"/>
                <w:i/>
                <w:iCs/>
                <w:color w:val="000000"/>
                <w:sz w:val="22"/>
                <w:szCs w:val="22"/>
                <w:vertAlign w:val="superscript"/>
                <w:lang w:eastAsia="en-GB"/>
              </w:rPr>
              <w:t>2</w:t>
            </w:r>
            <w:r w:rsidRPr="009968E0">
              <w:rPr>
                <w:rFonts w:asciiTheme="minorHAnsi" w:eastAsia="Times New Roman" w:hAnsiTheme="minorHAnsi" w:cstheme="minorHAnsi"/>
                <w:i/>
                <w:iCs/>
                <w:color w:val="000000"/>
                <w:sz w:val="22"/>
                <w:szCs w:val="22"/>
                <w:lang w:eastAsia="en-GB"/>
              </w:rPr>
              <w:t>)</w:t>
            </w:r>
          </w:p>
        </w:tc>
        <w:tc>
          <w:tcPr>
            <w:tcW w:w="953" w:type="pct"/>
            <w:noWrap/>
            <w:hideMark/>
          </w:tcPr>
          <w:p w14:paraId="34044AB8"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N</w:t>
            </w:r>
          </w:p>
        </w:tc>
        <w:tc>
          <w:tcPr>
            <w:tcW w:w="719" w:type="pct"/>
            <w:noWrap/>
            <w:hideMark/>
          </w:tcPr>
          <w:p w14:paraId="23B34B63"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p>
        </w:tc>
        <w:tc>
          <w:tcPr>
            <w:tcW w:w="476" w:type="pct"/>
            <w:noWrap/>
            <w:hideMark/>
          </w:tcPr>
          <w:p w14:paraId="305FE6F0"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10</w:t>
            </w:r>
          </w:p>
        </w:tc>
        <w:tc>
          <w:tcPr>
            <w:tcW w:w="481" w:type="pct"/>
            <w:noWrap/>
            <w:hideMark/>
          </w:tcPr>
          <w:p w14:paraId="6A2B5416"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9</w:t>
            </w:r>
          </w:p>
        </w:tc>
        <w:tc>
          <w:tcPr>
            <w:tcW w:w="398" w:type="pct"/>
            <w:noWrap/>
            <w:hideMark/>
          </w:tcPr>
          <w:p w14:paraId="1B45B419"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23</w:t>
            </w:r>
          </w:p>
        </w:tc>
        <w:tc>
          <w:tcPr>
            <w:tcW w:w="460" w:type="pct"/>
            <w:noWrap/>
            <w:hideMark/>
          </w:tcPr>
          <w:p w14:paraId="5C1AF055"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13</w:t>
            </w:r>
          </w:p>
        </w:tc>
        <w:tc>
          <w:tcPr>
            <w:tcW w:w="440" w:type="pct"/>
            <w:tcBorders>
              <w:right w:val="single" w:sz="4" w:space="0" w:color="auto"/>
            </w:tcBorders>
            <w:noWrap/>
            <w:hideMark/>
          </w:tcPr>
          <w:p w14:paraId="1082D123"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19</w:t>
            </w:r>
          </w:p>
        </w:tc>
      </w:tr>
      <w:tr w:rsidR="009968E0" w:rsidRPr="009968E0" w14:paraId="1308C829"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073" w:type="pct"/>
            <w:vMerge/>
            <w:tcBorders>
              <w:left w:val="single" w:sz="4" w:space="0" w:color="auto"/>
            </w:tcBorders>
            <w:noWrap/>
            <w:hideMark/>
          </w:tcPr>
          <w:p w14:paraId="14BBEA26" w14:textId="77777777" w:rsidR="009968E0" w:rsidRPr="009968E0" w:rsidRDefault="009968E0" w:rsidP="009968E0">
            <w:pPr>
              <w:jc w:val="right"/>
              <w:rPr>
                <w:rFonts w:asciiTheme="minorHAnsi" w:eastAsia="Times New Roman" w:hAnsiTheme="minorHAnsi" w:cstheme="minorHAnsi"/>
                <w:i/>
                <w:iCs/>
                <w:color w:val="000000"/>
                <w:sz w:val="22"/>
                <w:szCs w:val="22"/>
                <w:lang w:eastAsia="en-GB"/>
              </w:rPr>
            </w:pPr>
          </w:p>
        </w:tc>
        <w:tc>
          <w:tcPr>
            <w:tcW w:w="953" w:type="pct"/>
            <w:noWrap/>
            <w:hideMark/>
          </w:tcPr>
          <w:p w14:paraId="08126962"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Mean</w:t>
            </w:r>
          </w:p>
        </w:tc>
        <w:tc>
          <w:tcPr>
            <w:tcW w:w="719" w:type="pct"/>
            <w:noWrap/>
            <w:hideMark/>
          </w:tcPr>
          <w:p w14:paraId="45618335"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p>
        </w:tc>
        <w:tc>
          <w:tcPr>
            <w:tcW w:w="476" w:type="pct"/>
            <w:noWrap/>
            <w:hideMark/>
          </w:tcPr>
          <w:p w14:paraId="48F36158"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80.2</w:t>
            </w:r>
          </w:p>
        </w:tc>
        <w:tc>
          <w:tcPr>
            <w:tcW w:w="481" w:type="pct"/>
            <w:noWrap/>
            <w:hideMark/>
          </w:tcPr>
          <w:p w14:paraId="3BEA45AF"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84.6</w:t>
            </w:r>
          </w:p>
        </w:tc>
        <w:tc>
          <w:tcPr>
            <w:tcW w:w="398" w:type="pct"/>
            <w:noWrap/>
            <w:hideMark/>
          </w:tcPr>
          <w:p w14:paraId="258026D0"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84.2</w:t>
            </w:r>
          </w:p>
        </w:tc>
        <w:tc>
          <w:tcPr>
            <w:tcW w:w="460" w:type="pct"/>
            <w:noWrap/>
            <w:hideMark/>
          </w:tcPr>
          <w:p w14:paraId="405DC40B"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84.6</w:t>
            </w:r>
          </w:p>
        </w:tc>
        <w:tc>
          <w:tcPr>
            <w:tcW w:w="440" w:type="pct"/>
            <w:tcBorders>
              <w:right w:val="single" w:sz="4" w:space="0" w:color="auto"/>
            </w:tcBorders>
            <w:noWrap/>
            <w:hideMark/>
          </w:tcPr>
          <w:p w14:paraId="6836A299"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84.1</w:t>
            </w:r>
          </w:p>
        </w:tc>
      </w:tr>
      <w:tr w:rsidR="009968E0" w:rsidRPr="009968E0" w14:paraId="1339C450"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073" w:type="pct"/>
            <w:vMerge/>
            <w:tcBorders>
              <w:left w:val="single" w:sz="4" w:space="0" w:color="auto"/>
            </w:tcBorders>
            <w:noWrap/>
            <w:hideMark/>
          </w:tcPr>
          <w:p w14:paraId="52F39B0B" w14:textId="77777777" w:rsidR="009968E0" w:rsidRPr="009968E0" w:rsidRDefault="009968E0" w:rsidP="009968E0">
            <w:pPr>
              <w:jc w:val="right"/>
              <w:rPr>
                <w:rFonts w:asciiTheme="minorHAnsi" w:eastAsia="Times New Roman" w:hAnsiTheme="minorHAnsi" w:cstheme="minorHAnsi"/>
                <w:i/>
                <w:iCs/>
                <w:color w:val="000000"/>
                <w:sz w:val="22"/>
                <w:szCs w:val="22"/>
                <w:lang w:eastAsia="en-GB"/>
              </w:rPr>
            </w:pPr>
          </w:p>
        </w:tc>
        <w:tc>
          <w:tcPr>
            <w:tcW w:w="953" w:type="pct"/>
            <w:noWrap/>
            <w:hideMark/>
          </w:tcPr>
          <w:p w14:paraId="668FE024"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95% CI</w:t>
            </w:r>
          </w:p>
          <w:p w14:paraId="3896BB8A"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 xml:space="preserve"> for Mean</w:t>
            </w:r>
          </w:p>
        </w:tc>
        <w:tc>
          <w:tcPr>
            <w:tcW w:w="719" w:type="pct"/>
            <w:noWrap/>
            <w:hideMark/>
          </w:tcPr>
          <w:p w14:paraId="09A57DA5"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Lower Bound</w:t>
            </w:r>
          </w:p>
        </w:tc>
        <w:tc>
          <w:tcPr>
            <w:tcW w:w="476" w:type="pct"/>
            <w:noWrap/>
            <w:hideMark/>
          </w:tcPr>
          <w:p w14:paraId="2CD1D49F"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69.9</w:t>
            </w:r>
          </w:p>
        </w:tc>
        <w:tc>
          <w:tcPr>
            <w:tcW w:w="481" w:type="pct"/>
            <w:noWrap/>
            <w:hideMark/>
          </w:tcPr>
          <w:p w14:paraId="08D69BA7"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78.4</w:t>
            </w:r>
          </w:p>
        </w:tc>
        <w:tc>
          <w:tcPr>
            <w:tcW w:w="398" w:type="pct"/>
            <w:noWrap/>
            <w:hideMark/>
          </w:tcPr>
          <w:p w14:paraId="2C1DF883"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80.1</w:t>
            </w:r>
          </w:p>
        </w:tc>
        <w:tc>
          <w:tcPr>
            <w:tcW w:w="460" w:type="pct"/>
            <w:noWrap/>
            <w:hideMark/>
          </w:tcPr>
          <w:p w14:paraId="14D37ED4"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79.5</w:t>
            </w:r>
          </w:p>
        </w:tc>
        <w:tc>
          <w:tcPr>
            <w:tcW w:w="440" w:type="pct"/>
            <w:tcBorders>
              <w:right w:val="single" w:sz="4" w:space="0" w:color="auto"/>
            </w:tcBorders>
            <w:noWrap/>
            <w:hideMark/>
          </w:tcPr>
          <w:p w14:paraId="10B53833"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80</w:t>
            </w:r>
          </w:p>
        </w:tc>
      </w:tr>
      <w:tr w:rsidR="009968E0" w:rsidRPr="009968E0" w14:paraId="114531E0"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073" w:type="pct"/>
            <w:vMerge/>
            <w:tcBorders>
              <w:left w:val="single" w:sz="4" w:space="0" w:color="auto"/>
            </w:tcBorders>
            <w:noWrap/>
            <w:hideMark/>
          </w:tcPr>
          <w:p w14:paraId="2A2CE4FD" w14:textId="77777777" w:rsidR="009968E0" w:rsidRPr="009968E0" w:rsidRDefault="009968E0" w:rsidP="009968E0">
            <w:pPr>
              <w:jc w:val="right"/>
              <w:rPr>
                <w:rFonts w:asciiTheme="minorHAnsi" w:eastAsia="Times New Roman" w:hAnsiTheme="minorHAnsi" w:cstheme="minorHAnsi"/>
                <w:i/>
                <w:iCs/>
                <w:color w:val="000000"/>
                <w:sz w:val="22"/>
                <w:szCs w:val="22"/>
                <w:lang w:eastAsia="en-GB"/>
              </w:rPr>
            </w:pPr>
          </w:p>
        </w:tc>
        <w:tc>
          <w:tcPr>
            <w:tcW w:w="953" w:type="pct"/>
            <w:noWrap/>
            <w:hideMark/>
          </w:tcPr>
          <w:p w14:paraId="17599308"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sz w:val="22"/>
                <w:szCs w:val="22"/>
                <w:lang w:eastAsia="en-GB"/>
              </w:rPr>
            </w:pPr>
          </w:p>
        </w:tc>
        <w:tc>
          <w:tcPr>
            <w:tcW w:w="719" w:type="pct"/>
            <w:noWrap/>
            <w:hideMark/>
          </w:tcPr>
          <w:p w14:paraId="626A5A91"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Upper Bound</w:t>
            </w:r>
          </w:p>
        </w:tc>
        <w:tc>
          <w:tcPr>
            <w:tcW w:w="476" w:type="pct"/>
            <w:noWrap/>
            <w:hideMark/>
          </w:tcPr>
          <w:p w14:paraId="25216384"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90.5</w:t>
            </w:r>
          </w:p>
        </w:tc>
        <w:tc>
          <w:tcPr>
            <w:tcW w:w="481" w:type="pct"/>
            <w:noWrap/>
            <w:hideMark/>
          </w:tcPr>
          <w:p w14:paraId="0CF37594"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90.7</w:t>
            </w:r>
          </w:p>
        </w:tc>
        <w:tc>
          <w:tcPr>
            <w:tcW w:w="398" w:type="pct"/>
            <w:noWrap/>
            <w:hideMark/>
          </w:tcPr>
          <w:p w14:paraId="72F27233"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88.3</w:t>
            </w:r>
          </w:p>
        </w:tc>
        <w:tc>
          <w:tcPr>
            <w:tcW w:w="460" w:type="pct"/>
            <w:noWrap/>
            <w:hideMark/>
          </w:tcPr>
          <w:p w14:paraId="5A13FAA6"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89.8</w:t>
            </w:r>
          </w:p>
        </w:tc>
        <w:tc>
          <w:tcPr>
            <w:tcW w:w="440" w:type="pct"/>
            <w:tcBorders>
              <w:right w:val="single" w:sz="4" w:space="0" w:color="auto"/>
            </w:tcBorders>
            <w:noWrap/>
            <w:hideMark/>
          </w:tcPr>
          <w:p w14:paraId="4B839057"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88.2</w:t>
            </w:r>
          </w:p>
        </w:tc>
      </w:tr>
      <w:tr w:rsidR="009968E0" w:rsidRPr="009968E0" w14:paraId="0C6C6BAE"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000" w:type="pct"/>
            <w:gridSpan w:val="8"/>
            <w:tcBorders>
              <w:left w:val="single" w:sz="4" w:space="0" w:color="auto"/>
              <w:right w:val="single" w:sz="4" w:space="0" w:color="auto"/>
            </w:tcBorders>
            <w:noWrap/>
            <w:hideMark/>
          </w:tcPr>
          <w:p w14:paraId="269710CE" w14:textId="77777777" w:rsidR="009968E0" w:rsidRPr="009968E0" w:rsidRDefault="009968E0" w:rsidP="009968E0">
            <w:pPr>
              <w:jc w:val="center"/>
              <w:rPr>
                <w:rFonts w:asciiTheme="minorHAnsi" w:eastAsia="Times New Roman" w:hAnsiTheme="minorHAnsi" w:cstheme="minorHAnsi"/>
                <w:i/>
                <w:iCs/>
                <w:sz w:val="22"/>
                <w:szCs w:val="22"/>
                <w:lang w:eastAsia="en-GB"/>
              </w:rPr>
            </w:pPr>
            <w:r w:rsidRPr="009968E0">
              <w:rPr>
                <w:rFonts w:asciiTheme="minorHAnsi" w:eastAsia="Times New Roman" w:hAnsiTheme="minorHAnsi" w:cstheme="minorHAnsi"/>
                <w:i/>
                <w:iCs/>
                <w:sz w:val="22"/>
                <w:szCs w:val="22"/>
                <w:lang w:eastAsia="en-GB"/>
              </w:rPr>
              <w:t>p=.814</w:t>
            </w:r>
          </w:p>
        </w:tc>
      </w:tr>
      <w:tr w:rsidR="009968E0" w:rsidRPr="009968E0" w14:paraId="109A63A4"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073" w:type="pct"/>
            <w:vMerge w:val="restart"/>
            <w:tcBorders>
              <w:left w:val="single" w:sz="4" w:space="0" w:color="auto"/>
            </w:tcBorders>
            <w:noWrap/>
            <w:hideMark/>
          </w:tcPr>
          <w:p w14:paraId="366BB892" w14:textId="77777777" w:rsidR="009968E0" w:rsidRPr="009968E0" w:rsidRDefault="009968E0" w:rsidP="009968E0">
            <w:pPr>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 xml:space="preserve">Hba1c </w:t>
            </w:r>
          </w:p>
          <w:p w14:paraId="5D948205" w14:textId="77777777" w:rsidR="009968E0" w:rsidRPr="009968E0" w:rsidRDefault="009968E0" w:rsidP="009968E0">
            <w:pPr>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(mmol/mol)</w:t>
            </w:r>
          </w:p>
        </w:tc>
        <w:tc>
          <w:tcPr>
            <w:tcW w:w="953" w:type="pct"/>
            <w:noWrap/>
            <w:hideMark/>
          </w:tcPr>
          <w:p w14:paraId="254CD083"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N</w:t>
            </w:r>
          </w:p>
        </w:tc>
        <w:tc>
          <w:tcPr>
            <w:tcW w:w="719" w:type="pct"/>
            <w:noWrap/>
            <w:hideMark/>
          </w:tcPr>
          <w:p w14:paraId="0EE7EB23"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p>
        </w:tc>
        <w:tc>
          <w:tcPr>
            <w:tcW w:w="476" w:type="pct"/>
            <w:noWrap/>
            <w:hideMark/>
          </w:tcPr>
          <w:p w14:paraId="7234645F"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10</w:t>
            </w:r>
          </w:p>
        </w:tc>
        <w:tc>
          <w:tcPr>
            <w:tcW w:w="481" w:type="pct"/>
            <w:noWrap/>
            <w:hideMark/>
          </w:tcPr>
          <w:p w14:paraId="5EFB755D"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9</w:t>
            </w:r>
          </w:p>
        </w:tc>
        <w:tc>
          <w:tcPr>
            <w:tcW w:w="398" w:type="pct"/>
            <w:noWrap/>
            <w:hideMark/>
          </w:tcPr>
          <w:p w14:paraId="6FD25D81"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23</w:t>
            </w:r>
          </w:p>
        </w:tc>
        <w:tc>
          <w:tcPr>
            <w:tcW w:w="460" w:type="pct"/>
            <w:noWrap/>
            <w:hideMark/>
          </w:tcPr>
          <w:p w14:paraId="745A0D34"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13</w:t>
            </w:r>
          </w:p>
        </w:tc>
        <w:tc>
          <w:tcPr>
            <w:tcW w:w="440" w:type="pct"/>
            <w:tcBorders>
              <w:right w:val="single" w:sz="4" w:space="0" w:color="auto"/>
            </w:tcBorders>
            <w:noWrap/>
            <w:hideMark/>
          </w:tcPr>
          <w:p w14:paraId="3DB98119"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0</w:t>
            </w:r>
          </w:p>
        </w:tc>
      </w:tr>
      <w:tr w:rsidR="009968E0" w:rsidRPr="009968E0" w14:paraId="66D3FC47"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073" w:type="pct"/>
            <w:vMerge/>
            <w:tcBorders>
              <w:left w:val="single" w:sz="4" w:space="0" w:color="auto"/>
            </w:tcBorders>
            <w:noWrap/>
            <w:hideMark/>
          </w:tcPr>
          <w:p w14:paraId="0DED4FF7" w14:textId="77777777" w:rsidR="009968E0" w:rsidRPr="009968E0" w:rsidRDefault="009968E0" w:rsidP="009968E0">
            <w:pPr>
              <w:jc w:val="right"/>
              <w:rPr>
                <w:rFonts w:asciiTheme="minorHAnsi" w:eastAsia="Times New Roman" w:hAnsiTheme="minorHAnsi" w:cstheme="minorHAnsi"/>
                <w:i/>
                <w:iCs/>
                <w:color w:val="000000"/>
                <w:sz w:val="22"/>
                <w:szCs w:val="22"/>
                <w:lang w:eastAsia="en-GB"/>
              </w:rPr>
            </w:pPr>
          </w:p>
        </w:tc>
        <w:tc>
          <w:tcPr>
            <w:tcW w:w="953" w:type="pct"/>
            <w:noWrap/>
            <w:hideMark/>
          </w:tcPr>
          <w:p w14:paraId="642171D9"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Mean</w:t>
            </w:r>
          </w:p>
        </w:tc>
        <w:tc>
          <w:tcPr>
            <w:tcW w:w="719" w:type="pct"/>
            <w:noWrap/>
            <w:hideMark/>
          </w:tcPr>
          <w:p w14:paraId="721977BB"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p>
        </w:tc>
        <w:tc>
          <w:tcPr>
            <w:tcW w:w="476" w:type="pct"/>
            <w:noWrap/>
            <w:hideMark/>
          </w:tcPr>
          <w:p w14:paraId="56134255"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79.9</w:t>
            </w:r>
          </w:p>
        </w:tc>
        <w:tc>
          <w:tcPr>
            <w:tcW w:w="481" w:type="pct"/>
            <w:noWrap/>
            <w:hideMark/>
          </w:tcPr>
          <w:p w14:paraId="3BE4AB65"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75.1</w:t>
            </w:r>
          </w:p>
        </w:tc>
        <w:tc>
          <w:tcPr>
            <w:tcW w:w="398" w:type="pct"/>
            <w:noWrap/>
            <w:hideMark/>
          </w:tcPr>
          <w:p w14:paraId="4E90067A"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67</w:t>
            </w:r>
          </w:p>
        </w:tc>
        <w:tc>
          <w:tcPr>
            <w:tcW w:w="460" w:type="pct"/>
            <w:noWrap/>
            <w:hideMark/>
          </w:tcPr>
          <w:p w14:paraId="0655466C"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58.7</w:t>
            </w:r>
          </w:p>
        </w:tc>
        <w:tc>
          <w:tcPr>
            <w:tcW w:w="440" w:type="pct"/>
            <w:tcBorders>
              <w:right w:val="single" w:sz="4" w:space="0" w:color="auto"/>
            </w:tcBorders>
            <w:noWrap/>
            <w:hideMark/>
          </w:tcPr>
          <w:p w14:paraId="107B5762"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w:t>
            </w:r>
          </w:p>
        </w:tc>
      </w:tr>
      <w:tr w:rsidR="009968E0" w:rsidRPr="009968E0" w14:paraId="7CC7F80A"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073" w:type="pct"/>
            <w:vMerge/>
            <w:tcBorders>
              <w:left w:val="single" w:sz="4" w:space="0" w:color="auto"/>
            </w:tcBorders>
            <w:noWrap/>
            <w:hideMark/>
          </w:tcPr>
          <w:p w14:paraId="6D821A0A" w14:textId="77777777" w:rsidR="009968E0" w:rsidRPr="009968E0" w:rsidRDefault="009968E0" w:rsidP="009968E0">
            <w:pPr>
              <w:rPr>
                <w:rFonts w:asciiTheme="minorHAnsi" w:eastAsia="Times New Roman" w:hAnsiTheme="minorHAnsi" w:cstheme="minorHAnsi"/>
                <w:i/>
                <w:iCs/>
                <w:color w:val="000000"/>
                <w:sz w:val="22"/>
                <w:szCs w:val="22"/>
                <w:lang w:eastAsia="en-GB"/>
              </w:rPr>
            </w:pPr>
          </w:p>
        </w:tc>
        <w:tc>
          <w:tcPr>
            <w:tcW w:w="953" w:type="pct"/>
            <w:noWrap/>
            <w:hideMark/>
          </w:tcPr>
          <w:p w14:paraId="332DE134"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95% CI</w:t>
            </w:r>
          </w:p>
          <w:p w14:paraId="02254D34"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 xml:space="preserve"> for Mean</w:t>
            </w:r>
          </w:p>
        </w:tc>
        <w:tc>
          <w:tcPr>
            <w:tcW w:w="719" w:type="pct"/>
            <w:noWrap/>
            <w:hideMark/>
          </w:tcPr>
          <w:p w14:paraId="6C0F780A"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Lower Bound</w:t>
            </w:r>
          </w:p>
        </w:tc>
        <w:tc>
          <w:tcPr>
            <w:tcW w:w="476" w:type="pct"/>
            <w:noWrap/>
            <w:hideMark/>
          </w:tcPr>
          <w:p w14:paraId="287D01A9"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65</w:t>
            </w:r>
          </w:p>
        </w:tc>
        <w:tc>
          <w:tcPr>
            <w:tcW w:w="481" w:type="pct"/>
            <w:noWrap/>
            <w:hideMark/>
          </w:tcPr>
          <w:p w14:paraId="5EB57BB2"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56.4</w:t>
            </w:r>
          </w:p>
        </w:tc>
        <w:tc>
          <w:tcPr>
            <w:tcW w:w="398" w:type="pct"/>
            <w:noWrap/>
            <w:hideMark/>
          </w:tcPr>
          <w:p w14:paraId="73574A8E"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61.8</w:t>
            </w:r>
          </w:p>
        </w:tc>
        <w:tc>
          <w:tcPr>
            <w:tcW w:w="460" w:type="pct"/>
            <w:noWrap/>
            <w:hideMark/>
          </w:tcPr>
          <w:p w14:paraId="76D42331"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53.2</w:t>
            </w:r>
          </w:p>
        </w:tc>
        <w:tc>
          <w:tcPr>
            <w:tcW w:w="440" w:type="pct"/>
            <w:tcBorders>
              <w:right w:val="single" w:sz="4" w:space="0" w:color="auto"/>
            </w:tcBorders>
            <w:noWrap/>
            <w:hideMark/>
          </w:tcPr>
          <w:p w14:paraId="43570783"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w:t>
            </w:r>
          </w:p>
        </w:tc>
      </w:tr>
      <w:tr w:rsidR="009968E0" w:rsidRPr="009968E0" w14:paraId="281AC6F5"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073" w:type="pct"/>
            <w:vMerge/>
            <w:tcBorders>
              <w:left w:val="single" w:sz="4" w:space="0" w:color="auto"/>
            </w:tcBorders>
            <w:noWrap/>
            <w:hideMark/>
          </w:tcPr>
          <w:p w14:paraId="1E839477" w14:textId="77777777" w:rsidR="009968E0" w:rsidRPr="009968E0" w:rsidRDefault="009968E0" w:rsidP="009968E0">
            <w:pPr>
              <w:rPr>
                <w:rFonts w:asciiTheme="minorHAnsi" w:eastAsia="Times New Roman" w:hAnsiTheme="minorHAnsi" w:cstheme="minorHAnsi"/>
                <w:i/>
                <w:iCs/>
                <w:color w:val="000000"/>
                <w:sz w:val="22"/>
                <w:szCs w:val="22"/>
                <w:lang w:eastAsia="en-GB"/>
              </w:rPr>
            </w:pPr>
          </w:p>
        </w:tc>
        <w:tc>
          <w:tcPr>
            <w:tcW w:w="953" w:type="pct"/>
            <w:noWrap/>
            <w:hideMark/>
          </w:tcPr>
          <w:p w14:paraId="38E36462"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sz w:val="22"/>
                <w:szCs w:val="22"/>
                <w:lang w:eastAsia="en-GB"/>
              </w:rPr>
            </w:pPr>
          </w:p>
        </w:tc>
        <w:tc>
          <w:tcPr>
            <w:tcW w:w="719" w:type="pct"/>
            <w:noWrap/>
            <w:hideMark/>
          </w:tcPr>
          <w:p w14:paraId="068EE490"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Upper Bound</w:t>
            </w:r>
          </w:p>
        </w:tc>
        <w:tc>
          <w:tcPr>
            <w:tcW w:w="476" w:type="pct"/>
            <w:noWrap/>
            <w:hideMark/>
          </w:tcPr>
          <w:p w14:paraId="32E31D70"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94.8</w:t>
            </w:r>
          </w:p>
        </w:tc>
        <w:tc>
          <w:tcPr>
            <w:tcW w:w="481" w:type="pct"/>
            <w:noWrap/>
            <w:hideMark/>
          </w:tcPr>
          <w:p w14:paraId="4DED2335"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93.8</w:t>
            </w:r>
          </w:p>
        </w:tc>
        <w:tc>
          <w:tcPr>
            <w:tcW w:w="398" w:type="pct"/>
            <w:noWrap/>
            <w:hideMark/>
          </w:tcPr>
          <w:p w14:paraId="1D6C9A13"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72.3</w:t>
            </w:r>
          </w:p>
        </w:tc>
        <w:tc>
          <w:tcPr>
            <w:tcW w:w="460" w:type="pct"/>
            <w:noWrap/>
            <w:hideMark/>
          </w:tcPr>
          <w:p w14:paraId="6A5F7B01"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64.2</w:t>
            </w:r>
          </w:p>
        </w:tc>
        <w:tc>
          <w:tcPr>
            <w:tcW w:w="440" w:type="pct"/>
            <w:tcBorders>
              <w:right w:val="single" w:sz="4" w:space="0" w:color="auto"/>
            </w:tcBorders>
            <w:noWrap/>
            <w:hideMark/>
          </w:tcPr>
          <w:p w14:paraId="6BFEC6BA"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w:t>
            </w:r>
          </w:p>
        </w:tc>
      </w:tr>
      <w:tr w:rsidR="009968E0" w:rsidRPr="009968E0" w14:paraId="4E7DA749"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5000" w:type="pct"/>
            <w:gridSpan w:val="8"/>
            <w:tcBorders>
              <w:left w:val="single" w:sz="4" w:space="0" w:color="auto"/>
              <w:right w:val="single" w:sz="4" w:space="0" w:color="auto"/>
            </w:tcBorders>
            <w:noWrap/>
            <w:hideMark/>
          </w:tcPr>
          <w:p w14:paraId="264F625F" w14:textId="77777777" w:rsidR="009968E0" w:rsidRPr="009968E0" w:rsidRDefault="009968E0" w:rsidP="009968E0">
            <w:pPr>
              <w:jc w:val="center"/>
              <w:rPr>
                <w:rFonts w:asciiTheme="minorHAnsi" w:eastAsia="Times New Roman" w:hAnsiTheme="minorHAnsi" w:cstheme="minorHAnsi"/>
                <w:i/>
                <w:iCs/>
                <w:sz w:val="22"/>
                <w:szCs w:val="22"/>
                <w:vertAlign w:val="superscript"/>
                <w:lang w:eastAsia="en-GB"/>
              </w:rPr>
            </w:pPr>
            <w:r w:rsidRPr="009968E0">
              <w:rPr>
                <w:rFonts w:asciiTheme="minorHAnsi" w:eastAsia="Times New Roman" w:hAnsiTheme="minorHAnsi" w:cstheme="minorHAnsi"/>
                <w:i/>
                <w:iCs/>
                <w:sz w:val="22"/>
                <w:szCs w:val="22"/>
                <w:lang w:eastAsia="en-GB"/>
              </w:rPr>
              <w:t>p=.020</w:t>
            </w:r>
            <w:r w:rsidRPr="009968E0">
              <w:rPr>
                <w:rFonts w:asciiTheme="minorHAnsi" w:eastAsia="Times New Roman" w:hAnsiTheme="minorHAnsi" w:cstheme="minorHAnsi"/>
                <w:i/>
                <w:iCs/>
                <w:sz w:val="22"/>
                <w:szCs w:val="22"/>
                <w:vertAlign w:val="superscript"/>
                <w:lang w:eastAsia="en-GB"/>
              </w:rPr>
              <w:t>b</w:t>
            </w:r>
          </w:p>
        </w:tc>
      </w:tr>
      <w:tr w:rsidR="009968E0" w:rsidRPr="009968E0" w14:paraId="59137E00"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073" w:type="pct"/>
            <w:vMerge w:val="restart"/>
            <w:tcBorders>
              <w:left w:val="single" w:sz="4" w:space="0" w:color="auto"/>
            </w:tcBorders>
            <w:noWrap/>
            <w:hideMark/>
          </w:tcPr>
          <w:p w14:paraId="45876E04" w14:textId="77777777" w:rsidR="009968E0" w:rsidRPr="009968E0" w:rsidRDefault="009968E0" w:rsidP="009968E0">
            <w:pPr>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DN4</w:t>
            </w:r>
          </w:p>
        </w:tc>
        <w:tc>
          <w:tcPr>
            <w:tcW w:w="953" w:type="pct"/>
            <w:noWrap/>
            <w:hideMark/>
          </w:tcPr>
          <w:p w14:paraId="779468C4"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N</w:t>
            </w:r>
          </w:p>
        </w:tc>
        <w:tc>
          <w:tcPr>
            <w:tcW w:w="719" w:type="pct"/>
            <w:noWrap/>
            <w:hideMark/>
          </w:tcPr>
          <w:p w14:paraId="138414D4"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p>
        </w:tc>
        <w:tc>
          <w:tcPr>
            <w:tcW w:w="476" w:type="pct"/>
            <w:noWrap/>
            <w:hideMark/>
          </w:tcPr>
          <w:p w14:paraId="4D1FB29A"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10</w:t>
            </w:r>
          </w:p>
        </w:tc>
        <w:tc>
          <w:tcPr>
            <w:tcW w:w="481" w:type="pct"/>
            <w:noWrap/>
            <w:hideMark/>
          </w:tcPr>
          <w:p w14:paraId="54139084"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9</w:t>
            </w:r>
          </w:p>
        </w:tc>
        <w:tc>
          <w:tcPr>
            <w:tcW w:w="398" w:type="pct"/>
            <w:noWrap/>
            <w:hideMark/>
          </w:tcPr>
          <w:p w14:paraId="0D9BF83D"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23</w:t>
            </w:r>
          </w:p>
        </w:tc>
        <w:tc>
          <w:tcPr>
            <w:tcW w:w="460" w:type="pct"/>
            <w:noWrap/>
            <w:hideMark/>
          </w:tcPr>
          <w:p w14:paraId="338EFF4C"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13</w:t>
            </w:r>
          </w:p>
        </w:tc>
        <w:tc>
          <w:tcPr>
            <w:tcW w:w="440" w:type="pct"/>
            <w:tcBorders>
              <w:right w:val="single" w:sz="4" w:space="0" w:color="auto"/>
            </w:tcBorders>
            <w:noWrap/>
            <w:hideMark/>
          </w:tcPr>
          <w:p w14:paraId="0FE4D6DC"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19</w:t>
            </w:r>
          </w:p>
        </w:tc>
      </w:tr>
      <w:tr w:rsidR="009968E0" w:rsidRPr="009968E0" w14:paraId="0F6DB0F6"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073" w:type="pct"/>
            <w:vMerge/>
            <w:tcBorders>
              <w:left w:val="single" w:sz="4" w:space="0" w:color="auto"/>
            </w:tcBorders>
            <w:noWrap/>
            <w:hideMark/>
          </w:tcPr>
          <w:p w14:paraId="5BD5BC29" w14:textId="77777777" w:rsidR="009968E0" w:rsidRPr="009968E0" w:rsidRDefault="009968E0" w:rsidP="009968E0">
            <w:pPr>
              <w:jc w:val="right"/>
              <w:rPr>
                <w:rFonts w:asciiTheme="minorHAnsi" w:eastAsia="Times New Roman" w:hAnsiTheme="minorHAnsi" w:cstheme="minorHAnsi"/>
                <w:i/>
                <w:iCs/>
                <w:color w:val="000000"/>
                <w:sz w:val="22"/>
                <w:szCs w:val="22"/>
                <w:lang w:eastAsia="en-GB"/>
              </w:rPr>
            </w:pPr>
          </w:p>
        </w:tc>
        <w:tc>
          <w:tcPr>
            <w:tcW w:w="953" w:type="pct"/>
            <w:noWrap/>
            <w:hideMark/>
          </w:tcPr>
          <w:p w14:paraId="31A05BE5"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Mean</w:t>
            </w:r>
          </w:p>
        </w:tc>
        <w:tc>
          <w:tcPr>
            <w:tcW w:w="719" w:type="pct"/>
            <w:noWrap/>
            <w:hideMark/>
          </w:tcPr>
          <w:p w14:paraId="6FF2225A"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p>
        </w:tc>
        <w:tc>
          <w:tcPr>
            <w:tcW w:w="476" w:type="pct"/>
            <w:noWrap/>
            <w:hideMark/>
          </w:tcPr>
          <w:p w14:paraId="371CBF72"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6.2</w:t>
            </w:r>
          </w:p>
        </w:tc>
        <w:tc>
          <w:tcPr>
            <w:tcW w:w="481" w:type="pct"/>
            <w:noWrap/>
            <w:hideMark/>
          </w:tcPr>
          <w:p w14:paraId="64E94FDA"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6.7</w:t>
            </w:r>
          </w:p>
        </w:tc>
        <w:tc>
          <w:tcPr>
            <w:tcW w:w="398" w:type="pct"/>
            <w:noWrap/>
            <w:hideMark/>
          </w:tcPr>
          <w:p w14:paraId="65A95D6C"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0.3</w:t>
            </w:r>
          </w:p>
        </w:tc>
        <w:tc>
          <w:tcPr>
            <w:tcW w:w="460" w:type="pct"/>
            <w:noWrap/>
            <w:hideMark/>
          </w:tcPr>
          <w:p w14:paraId="2D71E269"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0</w:t>
            </w:r>
          </w:p>
        </w:tc>
        <w:tc>
          <w:tcPr>
            <w:tcW w:w="440" w:type="pct"/>
            <w:tcBorders>
              <w:right w:val="single" w:sz="4" w:space="0" w:color="auto"/>
            </w:tcBorders>
            <w:noWrap/>
            <w:hideMark/>
          </w:tcPr>
          <w:p w14:paraId="05079863"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0</w:t>
            </w:r>
          </w:p>
        </w:tc>
      </w:tr>
      <w:tr w:rsidR="009968E0" w:rsidRPr="009968E0" w14:paraId="1C4D14C2"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073" w:type="pct"/>
            <w:vMerge/>
            <w:tcBorders>
              <w:left w:val="single" w:sz="4" w:space="0" w:color="auto"/>
            </w:tcBorders>
            <w:noWrap/>
            <w:hideMark/>
          </w:tcPr>
          <w:p w14:paraId="7E2A7A2C" w14:textId="77777777" w:rsidR="009968E0" w:rsidRPr="009968E0" w:rsidRDefault="009968E0" w:rsidP="009968E0">
            <w:pPr>
              <w:jc w:val="right"/>
              <w:rPr>
                <w:rFonts w:asciiTheme="minorHAnsi" w:eastAsia="Times New Roman" w:hAnsiTheme="minorHAnsi" w:cstheme="minorHAnsi"/>
                <w:i/>
                <w:iCs/>
                <w:color w:val="000000"/>
                <w:sz w:val="22"/>
                <w:szCs w:val="22"/>
                <w:lang w:eastAsia="en-GB"/>
              </w:rPr>
            </w:pPr>
          </w:p>
        </w:tc>
        <w:tc>
          <w:tcPr>
            <w:tcW w:w="953" w:type="pct"/>
            <w:noWrap/>
            <w:hideMark/>
          </w:tcPr>
          <w:p w14:paraId="3E9DDBA7"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 xml:space="preserve">95% CI </w:t>
            </w:r>
          </w:p>
          <w:p w14:paraId="49005E46"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for Mean</w:t>
            </w:r>
          </w:p>
        </w:tc>
        <w:tc>
          <w:tcPr>
            <w:tcW w:w="719" w:type="pct"/>
            <w:noWrap/>
            <w:hideMark/>
          </w:tcPr>
          <w:p w14:paraId="2E2D7DA5"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Lower Bound</w:t>
            </w:r>
          </w:p>
        </w:tc>
        <w:tc>
          <w:tcPr>
            <w:tcW w:w="476" w:type="pct"/>
            <w:noWrap/>
            <w:hideMark/>
          </w:tcPr>
          <w:p w14:paraId="2239F118"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5.3</w:t>
            </w:r>
          </w:p>
        </w:tc>
        <w:tc>
          <w:tcPr>
            <w:tcW w:w="481" w:type="pct"/>
            <w:noWrap/>
            <w:hideMark/>
          </w:tcPr>
          <w:p w14:paraId="23E2EA81"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5.5</w:t>
            </w:r>
          </w:p>
        </w:tc>
        <w:tc>
          <w:tcPr>
            <w:tcW w:w="398" w:type="pct"/>
            <w:noWrap/>
            <w:hideMark/>
          </w:tcPr>
          <w:p w14:paraId="534B26F6"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0</w:t>
            </w:r>
          </w:p>
        </w:tc>
        <w:tc>
          <w:tcPr>
            <w:tcW w:w="460" w:type="pct"/>
            <w:noWrap/>
            <w:hideMark/>
          </w:tcPr>
          <w:p w14:paraId="05228BE1"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0</w:t>
            </w:r>
          </w:p>
        </w:tc>
        <w:tc>
          <w:tcPr>
            <w:tcW w:w="440" w:type="pct"/>
            <w:tcBorders>
              <w:right w:val="single" w:sz="4" w:space="0" w:color="auto"/>
            </w:tcBorders>
            <w:noWrap/>
            <w:hideMark/>
          </w:tcPr>
          <w:p w14:paraId="195CE86B"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0</w:t>
            </w:r>
          </w:p>
        </w:tc>
      </w:tr>
      <w:tr w:rsidR="009968E0" w:rsidRPr="009968E0" w14:paraId="2E358874"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073" w:type="pct"/>
            <w:vMerge/>
            <w:tcBorders>
              <w:left w:val="single" w:sz="4" w:space="0" w:color="auto"/>
            </w:tcBorders>
            <w:noWrap/>
            <w:hideMark/>
          </w:tcPr>
          <w:p w14:paraId="54221FAE" w14:textId="77777777" w:rsidR="009968E0" w:rsidRPr="009968E0" w:rsidRDefault="009968E0" w:rsidP="009968E0">
            <w:pPr>
              <w:jc w:val="right"/>
              <w:rPr>
                <w:rFonts w:asciiTheme="minorHAnsi" w:eastAsia="Times New Roman" w:hAnsiTheme="minorHAnsi" w:cstheme="minorHAnsi"/>
                <w:i/>
                <w:iCs/>
                <w:color w:val="000000"/>
                <w:sz w:val="22"/>
                <w:szCs w:val="22"/>
                <w:lang w:eastAsia="en-GB"/>
              </w:rPr>
            </w:pPr>
          </w:p>
        </w:tc>
        <w:tc>
          <w:tcPr>
            <w:tcW w:w="953" w:type="pct"/>
            <w:noWrap/>
            <w:hideMark/>
          </w:tcPr>
          <w:p w14:paraId="3C2641CF"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sz w:val="22"/>
                <w:szCs w:val="22"/>
                <w:lang w:eastAsia="en-GB"/>
              </w:rPr>
            </w:pPr>
          </w:p>
        </w:tc>
        <w:tc>
          <w:tcPr>
            <w:tcW w:w="719" w:type="pct"/>
            <w:noWrap/>
            <w:hideMark/>
          </w:tcPr>
          <w:p w14:paraId="22B775BF"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Upper Bound</w:t>
            </w:r>
          </w:p>
        </w:tc>
        <w:tc>
          <w:tcPr>
            <w:tcW w:w="476" w:type="pct"/>
            <w:noWrap/>
            <w:hideMark/>
          </w:tcPr>
          <w:p w14:paraId="732CE82A"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7.1</w:t>
            </w:r>
          </w:p>
        </w:tc>
        <w:tc>
          <w:tcPr>
            <w:tcW w:w="481" w:type="pct"/>
            <w:noWrap/>
            <w:hideMark/>
          </w:tcPr>
          <w:p w14:paraId="1CD393EA"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7.9</w:t>
            </w:r>
          </w:p>
        </w:tc>
        <w:tc>
          <w:tcPr>
            <w:tcW w:w="398" w:type="pct"/>
            <w:noWrap/>
            <w:hideMark/>
          </w:tcPr>
          <w:p w14:paraId="7BDE26D6"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0.7</w:t>
            </w:r>
          </w:p>
        </w:tc>
        <w:tc>
          <w:tcPr>
            <w:tcW w:w="460" w:type="pct"/>
            <w:noWrap/>
            <w:hideMark/>
          </w:tcPr>
          <w:p w14:paraId="1484CDBD"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0</w:t>
            </w:r>
          </w:p>
        </w:tc>
        <w:tc>
          <w:tcPr>
            <w:tcW w:w="440" w:type="pct"/>
            <w:tcBorders>
              <w:right w:val="single" w:sz="4" w:space="0" w:color="auto"/>
            </w:tcBorders>
            <w:noWrap/>
            <w:hideMark/>
          </w:tcPr>
          <w:p w14:paraId="45D59803"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0</w:t>
            </w:r>
          </w:p>
        </w:tc>
      </w:tr>
      <w:tr w:rsidR="009968E0" w:rsidRPr="009968E0" w14:paraId="337D129A"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000" w:type="pct"/>
            <w:gridSpan w:val="8"/>
            <w:tcBorders>
              <w:left w:val="single" w:sz="4" w:space="0" w:color="auto"/>
              <w:right w:val="single" w:sz="4" w:space="0" w:color="auto"/>
            </w:tcBorders>
            <w:noWrap/>
            <w:hideMark/>
          </w:tcPr>
          <w:p w14:paraId="56C08A0E" w14:textId="77777777" w:rsidR="009968E0" w:rsidRPr="009968E0" w:rsidRDefault="009968E0" w:rsidP="009968E0">
            <w:pPr>
              <w:jc w:val="center"/>
              <w:rPr>
                <w:rFonts w:asciiTheme="minorHAnsi" w:eastAsia="Times New Roman" w:hAnsiTheme="minorHAnsi" w:cstheme="minorHAnsi"/>
                <w:i/>
                <w:iCs/>
                <w:sz w:val="22"/>
                <w:szCs w:val="22"/>
                <w:vertAlign w:val="superscript"/>
                <w:lang w:eastAsia="en-GB"/>
              </w:rPr>
            </w:pPr>
            <w:r w:rsidRPr="009968E0">
              <w:rPr>
                <w:rFonts w:asciiTheme="minorHAnsi" w:eastAsia="Times New Roman" w:hAnsiTheme="minorHAnsi" w:cstheme="minorHAnsi"/>
                <w:i/>
                <w:iCs/>
                <w:sz w:val="22"/>
                <w:szCs w:val="22"/>
                <w:lang w:eastAsia="en-GB"/>
              </w:rPr>
              <w:t>p&lt;.001</w:t>
            </w:r>
            <w:r w:rsidRPr="009968E0">
              <w:rPr>
                <w:rFonts w:asciiTheme="minorHAnsi" w:eastAsia="Times New Roman" w:hAnsiTheme="minorHAnsi" w:cstheme="minorHAnsi"/>
                <w:i/>
                <w:iCs/>
                <w:sz w:val="22"/>
                <w:szCs w:val="22"/>
                <w:vertAlign w:val="superscript"/>
                <w:lang w:eastAsia="en-GB"/>
              </w:rPr>
              <w:t>c</w:t>
            </w:r>
          </w:p>
        </w:tc>
      </w:tr>
      <w:tr w:rsidR="009968E0" w:rsidRPr="009968E0" w14:paraId="6455C491"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073" w:type="pct"/>
            <w:vMerge w:val="restart"/>
            <w:tcBorders>
              <w:left w:val="single" w:sz="4" w:space="0" w:color="auto"/>
            </w:tcBorders>
            <w:noWrap/>
            <w:hideMark/>
          </w:tcPr>
          <w:p w14:paraId="603F7DC7" w14:textId="77777777" w:rsidR="009968E0" w:rsidRPr="009968E0" w:rsidRDefault="009968E0" w:rsidP="009968E0">
            <w:pPr>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NISLL+7</w:t>
            </w:r>
          </w:p>
        </w:tc>
        <w:tc>
          <w:tcPr>
            <w:tcW w:w="953" w:type="pct"/>
            <w:noWrap/>
            <w:hideMark/>
          </w:tcPr>
          <w:p w14:paraId="7EC92157"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N</w:t>
            </w:r>
          </w:p>
        </w:tc>
        <w:tc>
          <w:tcPr>
            <w:tcW w:w="719" w:type="pct"/>
            <w:noWrap/>
            <w:hideMark/>
          </w:tcPr>
          <w:p w14:paraId="051115F2"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p>
        </w:tc>
        <w:tc>
          <w:tcPr>
            <w:tcW w:w="476" w:type="pct"/>
            <w:noWrap/>
            <w:hideMark/>
          </w:tcPr>
          <w:p w14:paraId="7B83AAD2"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10</w:t>
            </w:r>
          </w:p>
        </w:tc>
        <w:tc>
          <w:tcPr>
            <w:tcW w:w="481" w:type="pct"/>
            <w:noWrap/>
            <w:hideMark/>
          </w:tcPr>
          <w:p w14:paraId="053D2631"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9</w:t>
            </w:r>
          </w:p>
        </w:tc>
        <w:tc>
          <w:tcPr>
            <w:tcW w:w="398" w:type="pct"/>
            <w:noWrap/>
            <w:hideMark/>
          </w:tcPr>
          <w:p w14:paraId="15EEC87F"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23</w:t>
            </w:r>
          </w:p>
        </w:tc>
        <w:tc>
          <w:tcPr>
            <w:tcW w:w="460" w:type="pct"/>
            <w:noWrap/>
            <w:hideMark/>
          </w:tcPr>
          <w:p w14:paraId="048E6770"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13</w:t>
            </w:r>
          </w:p>
        </w:tc>
        <w:tc>
          <w:tcPr>
            <w:tcW w:w="440" w:type="pct"/>
            <w:tcBorders>
              <w:right w:val="single" w:sz="4" w:space="0" w:color="auto"/>
            </w:tcBorders>
            <w:noWrap/>
            <w:hideMark/>
          </w:tcPr>
          <w:p w14:paraId="6622E91C"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19</w:t>
            </w:r>
          </w:p>
        </w:tc>
      </w:tr>
      <w:tr w:rsidR="009968E0" w:rsidRPr="009968E0" w14:paraId="6CEE4620"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073" w:type="pct"/>
            <w:vMerge/>
            <w:tcBorders>
              <w:left w:val="single" w:sz="4" w:space="0" w:color="auto"/>
            </w:tcBorders>
            <w:noWrap/>
            <w:hideMark/>
          </w:tcPr>
          <w:p w14:paraId="4962D002" w14:textId="77777777" w:rsidR="009968E0" w:rsidRPr="009968E0" w:rsidRDefault="009968E0" w:rsidP="009968E0">
            <w:pPr>
              <w:jc w:val="right"/>
              <w:rPr>
                <w:rFonts w:asciiTheme="minorHAnsi" w:eastAsia="Times New Roman" w:hAnsiTheme="minorHAnsi" w:cstheme="minorHAnsi"/>
                <w:i/>
                <w:iCs/>
                <w:color w:val="000000"/>
                <w:sz w:val="22"/>
                <w:szCs w:val="22"/>
                <w:lang w:eastAsia="en-GB"/>
              </w:rPr>
            </w:pPr>
          </w:p>
        </w:tc>
        <w:tc>
          <w:tcPr>
            <w:tcW w:w="953" w:type="pct"/>
            <w:noWrap/>
            <w:hideMark/>
          </w:tcPr>
          <w:p w14:paraId="6ED2B4B1"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Mean</w:t>
            </w:r>
          </w:p>
        </w:tc>
        <w:tc>
          <w:tcPr>
            <w:tcW w:w="719" w:type="pct"/>
            <w:noWrap/>
            <w:hideMark/>
          </w:tcPr>
          <w:p w14:paraId="246ACD95"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p>
        </w:tc>
        <w:tc>
          <w:tcPr>
            <w:tcW w:w="476" w:type="pct"/>
            <w:noWrap/>
            <w:hideMark/>
          </w:tcPr>
          <w:p w14:paraId="305D9A88"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36.7</w:t>
            </w:r>
          </w:p>
        </w:tc>
        <w:tc>
          <w:tcPr>
            <w:tcW w:w="481" w:type="pct"/>
            <w:noWrap/>
            <w:hideMark/>
          </w:tcPr>
          <w:p w14:paraId="11FE1F3D"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38.1</w:t>
            </w:r>
          </w:p>
        </w:tc>
        <w:tc>
          <w:tcPr>
            <w:tcW w:w="398" w:type="pct"/>
            <w:noWrap/>
            <w:hideMark/>
          </w:tcPr>
          <w:p w14:paraId="5D0113BE"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25.9</w:t>
            </w:r>
          </w:p>
        </w:tc>
        <w:tc>
          <w:tcPr>
            <w:tcW w:w="460" w:type="pct"/>
            <w:noWrap/>
            <w:hideMark/>
          </w:tcPr>
          <w:p w14:paraId="0D5F3CCA"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1.5</w:t>
            </w:r>
          </w:p>
        </w:tc>
        <w:tc>
          <w:tcPr>
            <w:tcW w:w="440" w:type="pct"/>
            <w:tcBorders>
              <w:right w:val="single" w:sz="4" w:space="0" w:color="auto"/>
            </w:tcBorders>
            <w:noWrap/>
            <w:hideMark/>
          </w:tcPr>
          <w:p w14:paraId="19ABBFEA"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w:t>
            </w:r>
          </w:p>
        </w:tc>
      </w:tr>
      <w:tr w:rsidR="009968E0" w:rsidRPr="009968E0" w14:paraId="68D24A01"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073" w:type="pct"/>
            <w:vMerge/>
            <w:tcBorders>
              <w:left w:val="single" w:sz="4" w:space="0" w:color="auto"/>
            </w:tcBorders>
            <w:noWrap/>
            <w:hideMark/>
          </w:tcPr>
          <w:p w14:paraId="0C053CD4" w14:textId="77777777" w:rsidR="009968E0" w:rsidRPr="009968E0" w:rsidRDefault="009968E0" w:rsidP="009968E0">
            <w:pPr>
              <w:jc w:val="right"/>
              <w:rPr>
                <w:rFonts w:asciiTheme="minorHAnsi" w:eastAsia="Times New Roman" w:hAnsiTheme="minorHAnsi" w:cstheme="minorHAnsi"/>
                <w:i/>
                <w:iCs/>
                <w:color w:val="000000"/>
                <w:sz w:val="22"/>
                <w:szCs w:val="22"/>
                <w:lang w:eastAsia="en-GB"/>
              </w:rPr>
            </w:pPr>
          </w:p>
        </w:tc>
        <w:tc>
          <w:tcPr>
            <w:tcW w:w="953" w:type="pct"/>
            <w:noWrap/>
            <w:hideMark/>
          </w:tcPr>
          <w:p w14:paraId="3FFB4697"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 xml:space="preserve">95% CI </w:t>
            </w:r>
          </w:p>
          <w:p w14:paraId="25CFE3D3"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for Mean</w:t>
            </w:r>
          </w:p>
        </w:tc>
        <w:tc>
          <w:tcPr>
            <w:tcW w:w="719" w:type="pct"/>
            <w:noWrap/>
            <w:hideMark/>
          </w:tcPr>
          <w:p w14:paraId="3363EEBE"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Lower Bound</w:t>
            </w:r>
          </w:p>
        </w:tc>
        <w:tc>
          <w:tcPr>
            <w:tcW w:w="476" w:type="pct"/>
            <w:noWrap/>
            <w:hideMark/>
          </w:tcPr>
          <w:p w14:paraId="1BCAC7BE"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20.7</w:t>
            </w:r>
          </w:p>
        </w:tc>
        <w:tc>
          <w:tcPr>
            <w:tcW w:w="481" w:type="pct"/>
            <w:noWrap/>
            <w:hideMark/>
          </w:tcPr>
          <w:p w14:paraId="4D5D79E5"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24.1</w:t>
            </w:r>
          </w:p>
        </w:tc>
        <w:tc>
          <w:tcPr>
            <w:tcW w:w="398" w:type="pct"/>
            <w:noWrap/>
            <w:hideMark/>
          </w:tcPr>
          <w:p w14:paraId="161A3709"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18.2</w:t>
            </w:r>
          </w:p>
        </w:tc>
        <w:tc>
          <w:tcPr>
            <w:tcW w:w="460" w:type="pct"/>
            <w:noWrap/>
            <w:hideMark/>
          </w:tcPr>
          <w:p w14:paraId="06BE1CE1"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0.5</w:t>
            </w:r>
          </w:p>
        </w:tc>
        <w:tc>
          <w:tcPr>
            <w:tcW w:w="440" w:type="pct"/>
            <w:tcBorders>
              <w:right w:val="single" w:sz="4" w:space="0" w:color="auto"/>
            </w:tcBorders>
            <w:noWrap/>
            <w:hideMark/>
          </w:tcPr>
          <w:p w14:paraId="46669797"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0.3</w:t>
            </w:r>
          </w:p>
        </w:tc>
      </w:tr>
      <w:tr w:rsidR="009968E0" w:rsidRPr="009968E0" w14:paraId="7BE9427F"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073" w:type="pct"/>
            <w:vMerge/>
            <w:tcBorders>
              <w:left w:val="single" w:sz="4" w:space="0" w:color="auto"/>
            </w:tcBorders>
            <w:noWrap/>
            <w:hideMark/>
          </w:tcPr>
          <w:p w14:paraId="666DF382" w14:textId="77777777" w:rsidR="009968E0" w:rsidRPr="009968E0" w:rsidRDefault="009968E0" w:rsidP="009968E0">
            <w:pPr>
              <w:jc w:val="right"/>
              <w:rPr>
                <w:rFonts w:asciiTheme="minorHAnsi" w:eastAsia="Times New Roman" w:hAnsiTheme="minorHAnsi" w:cstheme="minorHAnsi"/>
                <w:i/>
                <w:iCs/>
                <w:color w:val="000000"/>
                <w:sz w:val="22"/>
                <w:szCs w:val="22"/>
                <w:lang w:eastAsia="en-GB"/>
              </w:rPr>
            </w:pPr>
          </w:p>
        </w:tc>
        <w:tc>
          <w:tcPr>
            <w:tcW w:w="953" w:type="pct"/>
            <w:noWrap/>
            <w:hideMark/>
          </w:tcPr>
          <w:p w14:paraId="2323B8B1"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sz w:val="22"/>
                <w:szCs w:val="22"/>
                <w:lang w:eastAsia="en-GB"/>
              </w:rPr>
            </w:pPr>
          </w:p>
        </w:tc>
        <w:tc>
          <w:tcPr>
            <w:tcW w:w="719" w:type="pct"/>
            <w:noWrap/>
            <w:hideMark/>
          </w:tcPr>
          <w:p w14:paraId="2C711872"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Upper Bound</w:t>
            </w:r>
          </w:p>
        </w:tc>
        <w:tc>
          <w:tcPr>
            <w:tcW w:w="476" w:type="pct"/>
            <w:noWrap/>
            <w:hideMark/>
          </w:tcPr>
          <w:p w14:paraId="09C3A575"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52.7</w:t>
            </w:r>
          </w:p>
        </w:tc>
        <w:tc>
          <w:tcPr>
            <w:tcW w:w="481" w:type="pct"/>
            <w:noWrap/>
            <w:hideMark/>
          </w:tcPr>
          <w:p w14:paraId="31AF3D64"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52</w:t>
            </w:r>
          </w:p>
        </w:tc>
        <w:tc>
          <w:tcPr>
            <w:tcW w:w="398" w:type="pct"/>
            <w:noWrap/>
            <w:hideMark/>
          </w:tcPr>
          <w:p w14:paraId="2AD2EE89"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33.6</w:t>
            </w:r>
          </w:p>
        </w:tc>
        <w:tc>
          <w:tcPr>
            <w:tcW w:w="460" w:type="pct"/>
            <w:noWrap/>
            <w:hideMark/>
          </w:tcPr>
          <w:p w14:paraId="7915C300"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2.6</w:t>
            </w:r>
          </w:p>
        </w:tc>
        <w:tc>
          <w:tcPr>
            <w:tcW w:w="440" w:type="pct"/>
            <w:tcBorders>
              <w:right w:val="single" w:sz="4" w:space="0" w:color="auto"/>
            </w:tcBorders>
            <w:noWrap/>
            <w:hideMark/>
          </w:tcPr>
          <w:p w14:paraId="52E6D0E8"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1.7</w:t>
            </w:r>
          </w:p>
        </w:tc>
      </w:tr>
      <w:tr w:rsidR="009968E0" w:rsidRPr="009968E0" w14:paraId="75E8289F"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5000" w:type="pct"/>
            <w:gridSpan w:val="8"/>
            <w:tcBorders>
              <w:left w:val="single" w:sz="4" w:space="0" w:color="auto"/>
              <w:right w:val="single" w:sz="4" w:space="0" w:color="auto"/>
            </w:tcBorders>
            <w:noWrap/>
            <w:hideMark/>
          </w:tcPr>
          <w:p w14:paraId="3EA909C2" w14:textId="77777777" w:rsidR="009968E0" w:rsidRPr="009968E0" w:rsidRDefault="009968E0" w:rsidP="009968E0">
            <w:pPr>
              <w:jc w:val="center"/>
              <w:rPr>
                <w:rFonts w:asciiTheme="minorHAnsi" w:eastAsia="Times New Roman" w:hAnsiTheme="minorHAnsi" w:cstheme="minorHAnsi"/>
                <w:i/>
                <w:iCs/>
                <w:sz w:val="22"/>
                <w:szCs w:val="22"/>
                <w:vertAlign w:val="superscript"/>
                <w:lang w:eastAsia="en-GB"/>
              </w:rPr>
            </w:pPr>
            <w:r w:rsidRPr="009968E0">
              <w:rPr>
                <w:rFonts w:asciiTheme="minorHAnsi" w:eastAsia="Times New Roman" w:hAnsiTheme="minorHAnsi" w:cstheme="minorHAnsi"/>
                <w:i/>
                <w:iCs/>
                <w:sz w:val="22"/>
                <w:szCs w:val="22"/>
                <w:lang w:eastAsia="en-GB"/>
              </w:rPr>
              <w:t>p&lt;.001</w:t>
            </w:r>
            <w:r w:rsidRPr="009968E0">
              <w:rPr>
                <w:rFonts w:asciiTheme="minorHAnsi" w:eastAsia="Times New Roman" w:hAnsiTheme="minorHAnsi" w:cstheme="minorHAnsi"/>
                <w:i/>
                <w:iCs/>
                <w:sz w:val="22"/>
                <w:szCs w:val="22"/>
                <w:vertAlign w:val="superscript"/>
                <w:lang w:eastAsia="en-GB"/>
              </w:rPr>
              <w:t>d</w:t>
            </w:r>
          </w:p>
        </w:tc>
      </w:tr>
      <w:tr w:rsidR="009968E0" w:rsidRPr="009968E0" w14:paraId="04A321DA"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073" w:type="pct"/>
            <w:vMerge w:val="restart"/>
            <w:tcBorders>
              <w:left w:val="single" w:sz="4" w:space="0" w:color="auto"/>
            </w:tcBorders>
            <w:noWrap/>
            <w:hideMark/>
          </w:tcPr>
          <w:p w14:paraId="666B5119" w14:textId="77777777" w:rsidR="009968E0" w:rsidRPr="009968E0" w:rsidRDefault="009968E0" w:rsidP="009968E0">
            <w:pPr>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 xml:space="preserve">Diabetes duration </w:t>
            </w:r>
          </w:p>
          <w:p w14:paraId="3E13174E" w14:textId="77777777" w:rsidR="009968E0" w:rsidRPr="009968E0" w:rsidRDefault="009968E0" w:rsidP="009968E0">
            <w:pPr>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w:t>
            </w:r>
            <w:proofErr w:type="spellStart"/>
            <w:r w:rsidRPr="009968E0">
              <w:rPr>
                <w:rFonts w:asciiTheme="minorHAnsi" w:eastAsia="Times New Roman" w:hAnsiTheme="minorHAnsi" w:cstheme="minorHAnsi"/>
                <w:i/>
                <w:iCs/>
                <w:color w:val="000000"/>
                <w:sz w:val="22"/>
                <w:szCs w:val="22"/>
                <w:lang w:eastAsia="en-GB"/>
              </w:rPr>
              <w:t>yrs</w:t>
            </w:r>
            <w:proofErr w:type="spellEnd"/>
            <w:r w:rsidRPr="009968E0">
              <w:rPr>
                <w:rFonts w:asciiTheme="minorHAnsi" w:eastAsia="Times New Roman" w:hAnsiTheme="minorHAnsi" w:cstheme="minorHAnsi"/>
                <w:i/>
                <w:iCs/>
                <w:color w:val="000000"/>
                <w:sz w:val="22"/>
                <w:szCs w:val="22"/>
                <w:lang w:eastAsia="en-GB"/>
              </w:rPr>
              <w:t>)</w:t>
            </w:r>
          </w:p>
        </w:tc>
        <w:tc>
          <w:tcPr>
            <w:tcW w:w="953" w:type="pct"/>
            <w:noWrap/>
            <w:hideMark/>
          </w:tcPr>
          <w:p w14:paraId="7D71E266"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N</w:t>
            </w:r>
          </w:p>
        </w:tc>
        <w:tc>
          <w:tcPr>
            <w:tcW w:w="719" w:type="pct"/>
            <w:noWrap/>
            <w:hideMark/>
          </w:tcPr>
          <w:p w14:paraId="150765CF"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p>
        </w:tc>
        <w:tc>
          <w:tcPr>
            <w:tcW w:w="476" w:type="pct"/>
            <w:noWrap/>
            <w:hideMark/>
          </w:tcPr>
          <w:p w14:paraId="57D96853"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10</w:t>
            </w:r>
          </w:p>
        </w:tc>
        <w:tc>
          <w:tcPr>
            <w:tcW w:w="481" w:type="pct"/>
            <w:noWrap/>
            <w:hideMark/>
          </w:tcPr>
          <w:p w14:paraId="4A8425D9"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9</w:t>
            </w:r>
          </w:p>
        </w:tc>
        <w:tc>
          <w:tcPr>
            <w:tcW w:w="398" w:type="pct"/>
            <w:noWrap/>
            <w:hideMark/>
          </w:tcPr>
          <w:p w14:paraId="4AACCCAC"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23</w:t>
            </w:r>
          </w:p>
        </w:tc>
        <w:tc>
          <w:tcPr>
            <w:tcW w:w="460" w:type="pct"/>
            <w:noWrap/>
            <w:hideMark/>
          </w:tcPr>
          <w:p w14:paraId="6234D054"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13</w:t>
            </w:r>
          </w:p>
        </w:tc>
        <w:tc>
          <w:tcPr>
            <w:tcW w:w="440" w:type="pct"/>
            <w:tcBorders>
              <w:right w:val="single" w:sz="4" w:space="0" w:color="auto"/>
            </w:tcBorders>
            <w:noWrap/>
            <w:hideMark/>
          </w:tcPr>
          <w:p w14:paraId="1F290B4C"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p>
        </w:tc>
      </w:tr>
      <w:tr w:rsidR="009968E0" w:rsidRPr="009968E0" w14:paraId="78E520D9"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073" w:type="pct"/>
            <w:vMerge/>
            <w:tcBorders>
              <w:left w:val="single" w:sz="4" w:space="0" w:color="auto"/>
            </w:tcBorders>
            <w:noWrap/>
            <w:hideMark/>
          </w:tcPr>
          <w:p w14:paraId="0156675D" w14:textId="77777777" w:rsidR="009968E0" w:rsidRPr="009968E0" w:rsidRDefault="009968E0" w:rsidP="009968E0">
            <w:pPr>
              <w:jc w:val="right"/>
              <w:rPr>
                <w:rFonts w:asciiTheme="minorHAnsi" w:eastAsia="Times New Roman" w:hAnsiTheme="minorHAnsi" w:cstheme="minorHAnsi"/>
                <w:i/>
                <w:iCs/>
                <w:color w:val="000000"/>
                <w:sz w:val="22"/>
                <w:szCs w:val="22"/>
                <w:lang w:eastAsia="en-GB"/>
              </w:rPr>
            </w:pPr>
          </w:p>
        </w:tc>
        <w:tc>
          <w:tcPr>
            <w:tcW w:w="953" w:type="pct"/>
            <w:noWrap/>
            <w:hideMark/>
          </w:tcPr>
          <w:p w14:paraId="6AC812FB"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Mean</w:t>
            </w:r>
          </w:p>
        </w:tc>
        <w:tc>
          <w:tcPr>
            <w:tcW w:w="719" w:type="pct"/>
            <w:noWrap/>
            <w:hideMark/>
          </w:tcPr>
          <w:p w14:paraId="188D09DE"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p>
        </w:tc>
        <w:tc>
          <w:tcPr>
            <w:tcW w:w="476" w:type="pct"/>
            <w:noWrap/>
            <w:hideMark/>
          </w:tcPr>
          <w:p w14:paraId="75C05134"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25.8</w:t>
            </w:r>
          </w:p>
        </w:tc>
        <w:tc>
          <w:tcPr>
            <w:tcW w:w="481" w:type="pct"/>
            <w:noWrap/>
            <w:hideMark/>
          </w:tcPr>
          <w:p w14:paraId="6DF823A3"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25.1</w:t>
            </w:r>
          </w:p>
        </w:tc>
        <w:tc>
          <w:tcPr>
            <w:tcW w:w="398" w:type="pct"/>
            <w:noWrap/>
            <w:hideMark/>
          </w:tcPr>
          <w:p w14:paraId="637C05D8"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35.7</w:t>
            </w:r>
          </w:p>
        </w:tc>
        <w:tc>
          <w:tcPr>
            <w:tcW w:w="460" w:type="pct"/>
            <w:noWrap/>
            <w:hideMark/>
          </w:tcPr>
          <w:p w14:paraId="27F92362"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29.3</w:t>
            </w:r>
          </w:p>
        </w:tc>
        <w:tc>
          <w:tcPr>
            <w:tcW w:w="440" w:type="pct"/>
            <w:tcBorders>
              <w:right w:val="single" w:sz="4" w:space="0" w:color="auto"/>
            </w:tcBorders>
            <w:noWrap/>
            <w:hideMark/>
          </w:tcPr>
          <w:p w14:paraId="1BCF405E"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p>
        </w:tc>
      </w:tr>
      <w:tr w:rsidR="009968E0" w:rsidRPr="009968E0" w14:paraId="69E4E55D"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073" w:type="pct"/>
            <w:vMerge/>
            <w:tcBorders>
              <w:left w:val="single" w:sz="4" w:space="0" w:color="auto"/>
            </w:tcBorders>
            <w:noWrap/>
            <w:hideMark/>
          </w:tcPr>
          <w:p w14:paraId="092A28B6" w14:textId="77777777" w:rsidR="009968E0" w:rsidRPr="009968E0" w:rsidRDefault="009968E0" w:rsidP="009968E0">
            <w:pPr>
              <w:jc w:val="right"/>
              <w:rPr>
                <w:rFonts w:asciiTheme="minorHAnsi" w:eastAsia="Times New Roman" w:hAnsiTheme="minorHAnsi" w:cstheme="minorHAnsi"/>
                <w:i/>
                <w:iCs/>
                <w:color w:val="000000"/>
                <w:sz w:val="22"/>
                <w:szCs w:val="22"/>
                <w:lang w:eastAsia="en-GB"/>
              </w:rPr>
            </w:pPr>
          </w:p>
        </w:tc>
        <w:tc>
          <w:tcPr>
            <w:tcW w:w="953" w:type="pct"/>
            <w:noWrap/>
            <w:hideMark/>
          </w:tcPr>
          <w:p w14:paraId="3168759B"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 xml:space="preserve">95% CI </w:t>
            </w:r>
          </w:p>
          <w:p w14:paraId="0F748A96"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for Mean</w:t>
            </w:r>
          </w:p>
        </w:tc>
        <w:tc>
          <w:tcPr>
            <w:tcW w:w="719" w:type="pct"/>
            <w:noWrap/>
            <w:hideMark/>
          </w:tcPr>
          <w:p w14:paraId="04F556B7"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Lower Bound</w:t>
            </w:r>
          </w:p>
        </w:tc>
        <w:tc>
          <w:tcPr>
            <w:tcW w:w="476" w:type="pct"/>
            <w:noWrap/>
            <w:hideMark/>
          </w:tcPr>
          <w:p w14:paraId="530C6320"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17.4</w:t>
            </w:r>
          </w:p>
        </w:tc>
        <w:tc>
          <w:tcPr>
            <w:tcW w:w="481" w:type="pct"/>
            <w:noWrap/>
            <w:hideMark/>
          </w:tcPr>
          <w:p w14:paraId="1D43A8C1"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16.5</w:t>
            </w:r>
          </w:p>
        </w:tc>
        <w:tc>
          <w:tcPr>
            <w:tcW w:w="398" w:type="pct"/>
            <w:noWrap/>
            <w:hideMark/>
          </w:tcPr>
          <w:p w14:paraId="47ADBDB1"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31.2</w:t>
            </w:r>
          </w:p>
        </w:tc>
        <w:tc>
          <w:tcPr>
            <w:tcW w:w="460" w:type="pct"/>
            <w:noWrap/>
            <w:hideMark/>
          </w:tcPr>
          <w:p w14:paraId="6F531760"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18.6</w:t>
            </w:r>
          </w:p>
        </w:tc>
        <w:tc>
          <w:tcPr>
            <w:tcW w:w="440" w:type="pct"/>
            <w:tcBorders>
              <w:right w:val="single" w:sz="4" w:space="0" w:color="auto"/>
            </w:tcBorders>
            <w:noWrap/>
            <w:hideMark/>
          </w:tcPr>
          <w:p w14:paraId="61B4A32D"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p>
        </w:tc>
      </w:tr>
      <w:tr w:rsidR="009968E0" w:rsidRPr="009968E0" w14:paraId="35B14334"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073" w:type="pct"/>
            <w:vMerge/>
            <w:tcBorders>
              <w:left w:val="single" w:sz="4" w:space="0" w:color="auto"/>
            </w:tcBorders>
            <w:noWrap/>
            <w:hideMark/>
          </w:tcPr>
          <w:p w14:paraId="0D400FD5" w14:textId="77777777" w:rsidR="009968E0" w:rsidRPr="009968E0" w:rsidRDefault="009968E0" w:rsidP="009968E0">
            <w:pPr>
              <w:jc w:val="right"/>
              <w:rPr>
                <w:rFonts w:asciiTheme="minorHAnsi" w:eastAsia="Times New Roman" w:hAnsiTheme="minorHAnsi" w:cstheme="minorHAnsi"/>
                <w:i/>
                <w:iCs/>
                <w:color w:val="000000"/>
                <w:sz w:val="22"/>
                <w:szCs w:val="22"/>
                <w:lang w:eastAsia="en-GB"/>
              </w:rPr>
            </w:pPr>
          </w:p>
        </w:tc>
        <w:tc>
          <w:tcPr>
            <w:tcW w:w="953" w:type="pct"/>
            <w:noWrap/>
            <w:hideMark/>
          </w:tcPr>
          <w:p w14:paraId="6DAC1932"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sz w:val="22"/>
                <w:szCs w:val="22"/>
                <w:lang w:eastAsia="en-GB"/>
              </w:rPr>
            </w:pPr>
          </w:p>
        </w:tc>
        <w:tc>
          <w:tcPr>
            <w:tcW w:w="719" w:type="pct"/>
            <w:noWrap/>
            <w:hideMark/>
          </w:tcPr>
          <w:p w14:paraId="7E4F838E"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Upper Bound</w:t>
            </w:r>
          </w:p>
        </w:tc>
        <w:tc>
          <w:tcPr>
            <w:tcW w:w="476" w:type="pct"/>
            <w:noWrap/>
            <w:hideMark/>
          </w:tcPr>
          <w:p w14:paraId="4B76CA1C"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34.2</w:t>
            </w:r>
          </w:p>
        </w:tc>
        <w:tc>
          <w:tcPr>
            <w:tcW w:w="481" w:type="pct"/>
            <w:noWrap/>
            <w:hideMark/>
          </w:tcPr>
          <w:p w14:paraId="273460D3"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33.8</w:t>
            </w:r>
          </w:p>
        </w:tc>
        <w:tc>
          <w:tcPr>
            <w:tcW w:w="398" w:type="pct"/>
            <w:noWrap/>
            <w:hideMark/>
          </w:tcPr>
          <w:p w14:paraId="1F735186"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40.2</w:t>
            </w:r>
          </w:p>
        </w:tc>
        <w:tc>
          <w:tcPr>
            <w:tcW w:w="460" w:type="pct"/>
            <w:noWrap/>
            <w:hideMark/>
          </w:tcPr>
          <w:p w14:paraId="260B5779"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39.9</w:t>
            </w:r>
          </w:p>
        </w:tc>
        <w:tc>
          <w:tcPr>
            <w:tcW w:w="440" w:type="pct"/>
            <w:tcBorders>
              <w:right w:val="single" w:sz="4" w:space="0" w:color="auto"/>
            </w:tcBorders>
            <w:noWrap/>
            <w:hideMark/>
          </w:tcPr>
          <w:p w14:paraId="1C2795F9"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p>
        </w:tc>
      </w:tr>
      <w:tr w:rsidR="009968E0" w:rsidRPr="009968E0" w14:paraId="069F1B5C"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000" w:type="pct"/>
            <w:gridSpan w:val="8"/>
            <w:tcBorders>
              <w:left w:val="single" w:sz="4" w:space="0" w:color="auto"/>
              <w:right w:val="single" w:sz="4" w:space="0" w:color="auto"/>
            </w:tcBorders>
            <w:noWrap/>
            <w:hideMark/>
          </w:tcPr>
          <w:p w14:paraId="6C6C023F" w14:textId="77777777" w:rsidR="009968E0" w:rsidRPr="009968E0" w:rsidRDefault="009968E0" w:rsidP="009968E0">
            <w:pPr>
              <w:jc w:val="center"/>
              <w:rPr>
                <w:rFonts w:asciiTheme="minorHAnsi" w:eastAsia="Times New Roman" w:hAnsiTheme="minorHAnsi" w:cstheme="minorHAnsi"/>
                <w:i/>
                <w:iCs/>
                <w:sz w:val="22"/>
                <w:szCs w:val="22"/>
                <w:lang w:eastAsia="en-GB"/>
              </w:rPr>
            </w:pPr>
            <w:r w:rsidRPr="009968E0">
              <w:rPr>
                <w:rFonts w:asciiTheme="minorHAnsi" w:eastAsia="Times New Roman" w:hAnsiTheme="minorHAnsi" w:cstheme="minorHAnsi"/>
                <w:i/>
                <w:iCs/>
                <w:sz w:val="22"/>
                <w:szCs w:val="22"/>
                <w:lang w:eastAsia="en-GB"/>
              </w:rPr>
              <w:t>p=.124</w:t>
            </w:r>
          </w:p>
        </w:tc>
      </w:tr>
      <w:tr w:rsidR="009968E0" w:rsidRPr="009968E0" w14:paraId="2C379588"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073" w:type="pct"/>
            <w:vMerge w:val="restart"/>
            <w:tcBorders>
              <w:left w:val="single" w:sz="4" w:space="0" w:color="auto"/>
            </w:tcBorders>
            <w:noWrap/>
            <w:hideMark/>
          </w:tcPr>
          <w:p w14:paraId="20E93E43" w14:textId="77777777" w:rsidR="009968E0" w:rsidRPr="009968E0" w:rsidRDefault="009968E0" w:rsidP="009968E0">
            <w:pPr>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 xml:space="preserve">V2 Pulse </w:t>
            </w:r>
          </w:p>
          <w:p w14:paraId="2F065FC4" w14:textId="77777777" w:rsidR="009968E0" w:rsidRPr="009968E0" w:rsidRDefault="009968E0" w:rsidP="009968E0">
            <w:pPr>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(beats/min)</w:t>
            </w:r>
          </w:p>
        </w:tc>
        <w:tc>
          <w:tcPr>
            <w:tcW w:w="953" w:type="pct"/>
            <w:noWrap/>
            <w:hideMark/>
          </w:tcPr>
          <w:p w14:paraId="2294AA5C"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N</w:t>
            </w:r>
          </w:p>
        </w:tc>
        <w:tc>
          <w:tcPr>
            <w:tcW w:w="719" w:type="pct"/>
            <w:noWrap/>
            <w:hideMark/>
          </w:tcPr>
          <w:p w14:paraId="3C586230"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p>
        </w:tc>
        <w:tc>
          <w:tcPr>
            <w:tcW w:w="476" w:type="pct"/>
            <w:noWrap/>
            <w:hideMark/>
          </w:tcPr>
          <w:p w14:paraId="25BBB251"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10</w:t>
            </w:r>
          </w:p>
        </w:tc>
        <w:tc>
          <w:tcPr>
            <w:tcW w:w="481" w:type="pct"/>
            <w:noWrap/>
            <w:hideMark/>
          </w:tcPr>
          <w:p w14:paraId="2CB48FF7"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9</w:t>
            </w:r>
          </w:p>
        </w:tc>
        <w:tc>
          <w:tcPr>
            <w:tcW w:w="398" w:type="pct"/>
            <w:noWrap/>
            <w:hideMark/>
          </w:tcPr>
          <w:p w14:paraId="2603B599"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23</w:t>
            </w:r>
          </w:p>
        </w:tc>
        <w:tc>
          <w:tcPr>
            <w:tcW w:w="460" w:type="pct"/>
            <w:noWrap/>
            <w:hideMark/>
          </w:tcPr>
          <w:p w14:paraId="775A7144"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13</w:t>
            </w:r>
          </w:p>
        </w:tc>
        <w:tc>
          <w:tcPr>
            <w:tcW w:w="440" w:type="pct"/>
            <w:tcBorders>
              <w:right w:val="single" w:sz="4" w:space="0" w:color="auto"/>
            </w:tcBorders>
            <w:noWrap/>
            <w:hideMark/>
          </w:tcPr>
          <w:p w14:paraId="63B830DE"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18</w:t>
            </w:r>
          </w:p>
        </w:tc>
      </w:tr>
      <w:tr w:rsidR="009968E0" w:rsidRPr="009968E0" w14:paraId="39C4D480"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073" w:type="pct"/>
            <w:vMerge/>
            <w:tcBorders>
              <w:left w:val="single" w:sz="4" w:space="0" w:color="auto"/>
            </w:tcBorders>
            <w:noWrap/>
            <w:hideMark/>
          </w:tcPr>
          <w:p w14:paraId="6B7056EC" w14:textId="77777777" w:rsidR="009968E0" w:rsidRPr="009968E0" w:rsidRDefault="009968E0" w:rsidP="009968E0">
            <w:pPr>
              <w:jc w:val="right"/>
              <w:rPr>
                <w:rFonts w:asciiTheme="minorHAnsi" w:eastAsia="Times New Roman" w:hAnsiTheme="minorHAnsi" w:cstheme="minorHAnsi"/>
                <w:i/>
                <w:iCs/>
                <w:color w:val="000000"/>
                <w:sz w:val="22"/>
                <w:szCs w:val="22"/>
                <w:lang w:eastAsia="en-GB"/>
              </w:rPr>
            </w:pPr>
          </w:p>
        </w:tc>
        <w:tc>
          <w:tcPr>
            <w:tcW w:w="953" w:type="pct"/>
            <w:noWrap/>
            <w:hideMark/>
          </w:tcPr>
          <w:p w14:paraId="4FC397BD"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Mean</w:t>
            </w:r>
          </w:p>
        </w:tc>
        <w:tc>
          <w:tcPr>
            <w:tcW w:w="719" w:type="pct"/>
            <w:noWrap/>
            <w:hideMark/>
          </w:tcPr>
          <w:p w14:paraId="1DA11F2E"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p>
        </w:tc>
        <w:tc>
          <w:tcPr>
            <w:tcW w:w="476" w:type="pct"/>
            <w:noWrap/>
            <w:hideMark/>
          </w:tcPr>
          <w:p w14:paraId="4935E24E"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78.5</w:t>
            </w:r>
          </w:p>
        </w:tc>
        <w:tc>
          <w:tcPr>
            <w:tcW w:w="481" w:type="pct"/>
            <w:noWrap/>
            <w:hideMark/>
          </w:tcPr>
          <w:p w14:paraId="3337A5D3"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74.8</w:t>
            </w:r>
          </w:p>
        </w:tc>
        <w:tc>
          <w:tcPr>
            <w:tcW w:w="398" w:type="pct"/>
            <w:noWrap/>
            <w:hideMark/>
          </w:tcPr>
          <w:p w14:paraId="78E1612C"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74.5</w:t>
            </w:r>
          </w:p>
        </w:tc>
        <w:tc>
          <w:tcPr>
            <w:tcW w:w="460" w:type="pct"/>
            <w:noWrap/>
            <w:hideMark/>
          </w:tcPr>
          <w:p w14:paraId="7959C6CC"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67.7</w:t>
            </w:r>
          </w:p>
        </w:tc>
        <w:tc>
          <w:tcPr>
            <w:tcW w:w="440" w:type="pct"/>
            <w:tcBorders>
              <w:right w:val="single" w:sz="4" w:space="0" w:color="auto"/>
            </w:tcBorders>
            <w:noWrap/>
            <w:hideMark/>
          </w:tcPr>
          <w:p w14:paraId="042C7D05"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73.2</w:t>
            </w:r>
          </w:p>
        </w:tc>
      </w:tr>
      <w:tr w:rsidR="009968E0" w:rsidRPr="009968E0" w14:paraId="7740A522"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073" w:type="pct"/>
            <w:vMerge/>
            <w:tcBorders>
              <w:left w:val="single" w:sz="4" w:space="0" w:color="auto"/>
            </w:tcBorders>
            <w:noWrap/>
            <w:hideMark/>
          </w:tcPr>
          <w:p w14:paraId="4F19085E" w14:textId="77777777" w:rsidR="009968E0" w:rsidRPr="009968E0" w:rsidRDefault="009968E0" w:rsidP="009968E0">
            <w:pPr>
              <w:jc w:val="right"/>
              <w:rPr>
                <w:rFonts w:asciiTheme="minorHAnsi" w:eastAsia="Times New Roman" w:hAnsiTheme="minorHAnsi" w:cstheme="minorHAnsi"/>
                <w:i/>
                <w:iCs/>
                <w:color w:val="000000"/>
                <w:sz w:val="22"/>
                <w:szCs w:val="22"/>
                <w:lang w:eastAsia="en-GB"/>
              </w:rPr>
            </w:pPr>
          </w:p>
        </w:tc>
        <w:tc>
          <w:tcPr>
            <w:tcW w:w="953" w:type="pct"/>
            <w:noWrap/>
            <w:hideMark/>
          </w:tcPr>
          <w:p w14:paraId="0E62DE23"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 xml:space="preserve">95% CI </w:t>
            </w:r>
          </w:p>
          <w:p w14:paraId="01F08BFB"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for Mean</w:t>
            </w:r>
          </w:p>
        </w:tc>
        <w:tc>
          <w:tcPr>
            <w:tcW w:w="719" w:type="pct"/>
            <w:noWrap/>
            <w:hideMark/>
          </w:tcPr>
          <w:p w14:paraId="0436D68F"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Lower Bound</w:t>
            </w:r>
          </w:p>
        </w:tc>
        <w:tc>
          <w:tcPr>
            <w:tcW w:w="476" w:type="pct"/>
            <w:noWrap/>
            <w:hideMark/>
          </w:tcPr>
          <w:p w14:paraId="46D1CC2C"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68.3</w:t>
            </w:r>
          </w:p>
        </w:tc>
        <w:tc>
          <w:tcPr>
            <w:tcW w:w="481" w:type="pct"/>
            <w:noWrap/>
            <w:hideMark/>
          </w:tcPr>
          <w:p w14:paraId="7992827F"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65.8</w:t>
            </w:r>
          </w:p>
        </w:tc>
        <w:tc>
          <w:tcPr>
            <w:tcW w:w="398" w:type="pct"/>
            <w:noWrap/>
            <w:hideMark/>
          </w:tcPr>
          <w:p w14:paraId="04A540D8"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68.5</w:t>
            </w:r>
          </w:p>
        </w:tc>
        <w:tc>
          <w:tcPr>
            <w:tcW w:w="460" w:type="pct"/>
            <w:noWrap/>
            <w:hideMark/>
          </w:tcPr>
          <w:p w14:paraId="52B557F0"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63.3</w:t>
            </w:r>
          </w:p>
        </w:tc>
        <w:tc>
          <w:tcPr>
            <w:tcW w:w="440" w:type="pct"/>
            <w:tcBorders>
              <w:right w:val="single" w:sz="4" w:space="0" w:color="auto"/>
            </w:tcBorders>
            <w:noWrap/>
            <w:hideMark/>
          </w:tcPr>
          <w:p w14:paraId="11FB783E"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68.5</w:t>
            </w:r>
          </w:p>
        </w:tc>
      </w:tr>
      <w:tr w:rsidR="009968E0" w:rsidRPr="009968E0" w14:paraId="7F26EAB5"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073" w:type="pct"/>
            <w:vMerge/>
            <w:tcBorders>
              <w:left w:val="single" w:sz="4" w:space="0" w:color="auto"/>
            </w:tcBorders>
            <w:noWrap/>
            <w:hideMark/>
          </w:tcPr>
          <w:p w14:paraId="060BF58D" w14:textId="77777777" w:rsidR="009968E0" w:rsidRPr="009968E0" w:rsidRDefault="009968E0" w:rsidP="009968E0">
            <w:pPr>
              <w:jc w:val="right"/>
              <w:rPr>
                <w:rFonts w:asciiTheme="minorHAnsi" w:eastAsia="Times New Roman" w:hAnsiTheme="minorHAnsi" w:cstheme="minorHAnsi"/>
                <w:i/>
                <w:iCs/>
                <w:color w:val="000000"/>
                <w:sz w:val="22"/>
                <w:szCs w:val="22"/>
                <w:lang w:eastAsia="en-GB"/>
              </w:rPr>
            </w:pPr>
          </w:p>
        </w:tc>
        <w:tc>
          <w:tcPr>
            <w:tcW w:w="953" w:type="pct"/>
            <w:noWrap/>
            <w:hideMark/>
          </w:tcPr>
          <w:p w14:paraId="13D7E0CA"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sz w:val="22"/>
                <w:szCs w:val="22"/>
                <w:lang w:eastAsia="en-GB"/>
              </w:rPr>
            </w:pPr>
          </w:p>
        </w:tc>
        <w:tc>
          <w:tcPr>
            <w:tcW w:w="719" w:type="pct"/>
            <w:noWrap/>
            <w:hideMark/>
          </w:tcPr>
          <w:p w14:paraId="5BD7728F"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Upper Bound</w:t>
            </w:r>
          </w:p>
        </w:tc>
        <w:tc>
          <w:tcPr>
            <w:tcW w:w="476" w:type="pct"/>
            <w:noWrap/>
            <w:hideMark/>
          </w:tcPr>
          <w:p w14:paraId="7352B53B"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88.7</w:t>
            </w:r>
          </w:p>
        </w:tc>
        <w:tc>
          <w:tcPr>
            <w:tcW w:w="481" w:type="pct"/>
            <w:noWrap/>
            <w:hideMark/>
          </w:tcPr>
          <w:p w14:paraId="46FF9E1B"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83.8</w:t>
            </w:r>
          </w:p>
        </w:tc>
        <w:tc>
          <w:tcPr>
            <w:tcW w:w="398" w:type="pct"/>
            <w:noWrap/>
            <w:hideMark/>
          </w:tcPr>
          <w:p w14:paraId="57614D72"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80.6</w:t>
            </w:r>
          </w:p>
        </w:tc>
        <w:tc>
          <w:tcPr>
            <w:tcW w:w="460" w:type="pct"/>
            <w:noWrap/>
            <w:hideMark/>
          </w:tcPr>
          <w:p w14:paraId="4AE4EDDF"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72.1</w:t>
            </w:r>
          </w:p>
        </w:tc>
        <w:tc>
          <w:tcPr>
            <w:tcW w:w="440" w:type="pct"/>
            <w:tcBorders>
              <w:right w:val="single" w:sz="4" w:space="0" w:color="auto"/>
            </w:tcBorders>
            <w:noWrap/>
            <w:hideMark/>
          </w:tcPr>
          <w:p w14:paraId="4B866D96"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77.8</w:t>
            </w:r>
          </w:p>
        </w:tc>
      </w:tr>
      <w:tr w:rsidR="009968E0" w:rsidRPr="009968E0" w14:paraId="10672B84"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5000" w:type="pct"/>
            <w:gridSpan w:val="8"/>
            <w:tcBorders>
              <w:left w:val="single" w:sz="4" w:space="0" w:color="auto"/>
              <w:right w:val="single" w:sz="4" w:space="0" w:color="auto"/>
            </w:tcBorders>
            <w:noWrap/>
            <w:hideMark/>
          </w:tcPr>
          <w:p w14:paraId="13070C15" w14:textId="77777777" w:rsidR="009968E0" w:rsidRPr="009968E0" w:rsidRDefault="009968E0" w:rsidP="009968E0">
            <w:pPr>
              <w:jc w:val="center"/>
              <w:rPr>
                <w:rFonts w:asciiTheme="minorHAnsi" w:eastAsia="Times New Roman" w:hAnsiTheme="minorHAnsi" w:cstheme="minorHAnsi"/>
                <w:i/>
                <w:iCs/>
                <w:sz w:val="22"/>
                <w:szCs w:val="22"/>
                <w:lang w:eastAsia="en-GB"/>
              </w:rPr>
            </w:pPr>
            <w:r w:rsidRPr="009968E0">
              <w:rPr>
                <w:rFonts w:asciiTheme="minorHAnsi" w:eastAsia="Times New Roman" w:hAnsiTheme="minorHAnsi" w:cstheme="minorHAnsi"/>
                <w:i/>
                <w:iCs/>
                <w:sz w:val="22"/>
                <w:szCs w:val="22"/>
                <w:lang w:eastAsia="en-GB"/>
              </w:rPr>
              <w:t>p=.271</w:t>
            </w:r>
          </w:p>
        </w:tc>
      </w:tr>
      <w:tr w:rsidR="009968E0" w:rsidRPr="009968E0" w14:paraId="56FDE1DD"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073" w:type="pct"/>
            <w:vMerge w:val="restart"/>
            <w:tcBorders>
              <w:left w:val="single" w:sz="4" w:space="0" w:color="auto"/>
            </w:tcBorders>
            <w:noWrap/>
            <w:hideMark/>
          </w:tcPr>
          <w:p w14:paraId="60FD2F08" w14:textId="77777777" w:rsidR="009968E0" w:rsidRPr="009968E0" w:rsidRDefault="009968E0" w:rsidP="009968E0">
            <w:pPr>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 xml:space="preserve">V2 Blood pressure </w:t>
            </w:r>
          </w:p>
          <w:p w14:paraId="6C023C11" w14:textId="77777777" w:rsidR="009968E0" w:rsidRPr="009968E0" w:rsidRDefault="009968E0" w:rsidP="009968E0">
            <w:pPr>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systolic (mmHg)</w:t>
            </w:r>
          </w:p>
        </w:tc>
        <w:tc>
          <w:tcPr>
            <w:tcW w:w="953" w:type="pct"/>
            <w:noWrap/>
            <w:hideMark/>
          </w:tcPr>
          <w:p w14:paraId="2CC7432D"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N</w:t>
            </w:r>
          </w:p>
        </w:tc>
        <w:tc>
          <w:tcPr>
            <w:tcW w:w="719" w:type="pct"/>
            <w:noWrap/>
            <w:hideMark/>
          </w:tcPr>
          <w:p w14:paraId="7368D782"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p>
        </w:tc>
        <w:tc>
          <w:tcPr>
            <w:tcW w:w="476" w:type="pct"/>
            <w:noWrap/>
            <w:hideMark/>
          </w:tcPr>
          <w:p w14:paraId="18207EFB"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10</w:t>
            </w:r>
          </w:p>
        </w:tc>
        <w:tc>
          <w:tcPr>
            <w:tcW w:w="481" w:type="pct"/>
            <w:noWrap/>
            <w:hideMark/>
          </w:tcPr>
          <w:p w14:paraId="31B41443"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9</w:t>
            </w:r>
          </w:p>
        </w:tc>
        <w:tc>
          <w:tcPr>
            <w:tcW w:w="398" w:type="pct"/>
            <w:noWrap/>
            <w:hideMark/>
          </w:tcPr>
          <w:p w14:paraId="647A2734"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23</w:t>
            </w:r>
          </w:p>
        </w:tc>
        <w:tc>
          <w:tcPr>
            <w:tcW w:w="460" w:type="pct"/>
            <w:noWrap/>
            <w:hideMark/>
          </w:tcPr>
          <w:p w14:paraId="3D3EE011"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13</w:t>
            </w:r>
          </w:p>
        </w:tc>
        <w:tc>
          <w:tcPr>
            <w:tcW w:w="440" w:type="pct"/>
            <w:tcBorders>
              <w:right w:val="single" w:sz="4" w:space="0" w:color="auto"/>
            </w:tcBorders>
            <w:noWrap/>
            <w:hideMark/>
          </w:tcPr>
          <w:p w14:paraId="3026AE6A"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19</w:t>
            </w:r>
          </w:p>
        </w:tc>
      </w:tr>
      <w:tr w:rsidR="009968E0" w:rsidRPr="009968E0" w14:paraId="1190D3D8"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073" w:type="pct"/>
            <w:vMerge/>
            <w:tcBorders>
              <w:left w:val="single" w:sz="4" w:space="0" w:color="auto"/>
            </w:tcBorders>
            <w:noWrap/>
            <w:hideMark/>
          </w:tcPr>
          <w:p w14:paraId="64CEAE74" w14:textId="77777777" w:rsidR="009968E0" w:rsidRPr="009968E0" w:rsidRDefault="009968E0" w:rsidP="009968E0">
            <w:pPr>
              <w:jc w:val="right"/>
              <w:rPr>
                <w:rFonts w:asciiTheme="minorHAnsi" w:eastAsia="Times New Roman" w:hAnsiTheme="minorHAnsi" w:cstheme="minorHAnsi"/>
                <w:i/>
                <w:iCs/>
                <w:color w:val="000000"/>
                <w:sz w:val="22"/>
                <w:szCs w:val="22"/>
                <w:lang w:eastAsia="en-GB"/>
              </w:rPr>
            </w:pPr>
          </w:p>
        </w:tc>
        <w:tc>
          <w:tcPr>
            <w:tcW w:w="953" w:type="pct"/>
            <w:noWrap/>
            <w:hideMark/>
          </w:tcPr>
          <w:p w14:paraId="680789CE"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Mean</w:t>
            </w:r>
          </w:p>
        </w:tc>
        <w:tc>
          <w:tcPr>
            <w:tcW w:w="719" w:type="pct"/>
            <w:noWrap/>
            <w:hideMark/>
          </w:tcPr>
          <w:p w14:paraId="043E92BC"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p>
        </w:tc>
        <w:tc>
          <w:tcPr>
            <w:tcW w:w="476" w:type="pct"/>
            <w:noWrap/>
            <w:hideMark/>
          </w:tcPr>
          <w:p w14:paraId="6F8FE32D"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129.2</w:t>
            </w:r>
          </w:p>
        </w:tc>
        <w:tc>
          <w:tcPr>
            <w:tcW w:w="481" w:type="pct"/>
            <w:noWrap/>
            <w:hideMark/>
          </w:tcPr>
          <w:p w14:paraId="7E0B2DFB"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121.6</w:t>
            </w:r>
          </w:p>
        </w:tc>
        <w:tc>
          <w:tcPr>
            <w:tcW w:w="398" w:type="pct"/>
            <w:noWrap/>
            <w:hideMark/>
          </w:tcPr>
          <w:p w14:paraId="0DEFE11C"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137.3</w:t>
            </w:r>
          </w:p>
        </w:tc>
        <w:tc>
          <w:tcPr>
            <w:tcW w:w="460" w:type="pct"/>
            <w:noWrap/>
            <w:hideMark/>
          </w:tcPr>
          <w:p w14:paraId="469BAA71"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137.5</w:t>
            </w:r>
          </w:p>
        </w:tc>
        <w:tc>
          <w:tcPr>
            <w:tcW w:w="440" w:type="pct"/>
            <w:tcBorders>
              <w:right w:val="single" w:sz="4" w:space="0" w:color="auto"/>
            </w:tcBorders>
            <w:noWrap/>
            <w:hideMark/>
          </w:tcPr>
          <w:p w14:paraId="5CE67E86"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131.7</w:t>
            </w:r>
          </w:p>
        </w:tc>
      </w:tr>
      <w:tr w:rsidR="009968E0" w:rsidRPr="009968E0" w14:paraId="634BDF4C"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073" w:type="pct"/>
            <w:vMerge/>
            <w:tcBorders>
              <w:left w:val="single" w:sz="4" w:space="0" w:color="auto"/>
            </w:tcBorders>
            <w:noWrap/>
            <w:hideMark/>
          </w:tcPr>
          <w:p w14:paraId="7C1BADED" w14:textId="77777777" w:rsidR="009968E0" w:rsidRPr="009968E0" w:rsidRDefault="009968E0" w:rsidP="009968E0">
            <w:pPr>
              <w:jc w:val="right"/>
              <w:rPr>
                <w:rFonts w:asciiTheme="minorHAnsi" w:eastAsia="Times New Roman" w:hAnsiTheme="minorHAnsi" w:cstheme="minorHAnsi"/>
                <w:i/>
                <w:iCs/>
                <w:color w:val="000000"/>
                <w:sz w:val="22"/>
                <w:szCs w:val="22"/>
                <w:lang w:eastAsia="en-GB"/>
              </w:rPr>
            </w:pPr>
          </w:p>
        </w:tc>
        <w:tc>
          <w:tcPr>
            <w:tcW w:w="953" w:type="pct"/>
            <w:noWrap/>
            <w:hideMark/>
          </w:tcPr>
          <w:p w14:paraId="4CEC6099"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 xml:space="preserve">95% CI </w:t>
            </w:r>
          </w:p>
          <w:p w14:paraId="23429F08"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for Mean</w:t>
            </w:r>
          </w:p>
        </w:tc>
        <w:tc>
          <w:tcPr>
            <w:tcW w:w="719" w:type="pct"/>
            <w:noWrap/>
            <w:hideMark/>
          </w:tcPr>
          <w:p w14:paraId="4DDBBA64"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Lower Bound</w:t>
            </w:r>
          </w:p>
        </w:tc>
        <w:tc>
          <w:tcPr>
            <w:tcW w:w="476" w:type="pct"/>
            <w:noWrap/>
            <w:hideMark/>
          </w:tcPr>
          <w:p w14:paraId="018A68EC"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117.6</w:t>
            </w:r>
          </w:p>
        </w:tc>
        <w:tc>
          <w:tcPr>
            <w:tcW w:w="481" w:type="pct"/>
            <w:noWrap/>
            <w:hideMark/>
          </w:tcPr>
          <w:p w14:paraId="35E7CA00"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107.4</w:t>
            </w:r>
          </w:p>
        </w:tc>
        <w:tc>
          <w:tcPr>
            <w:tcW w:w="398" w:type="pct"/>
            <w:noWrap/>
            <w:hideMark/>
          </w:tcPr>
          <w:p w14:paraId="183D388C"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130.4</w:t>
            </w:r>
          </w:p>
        </w:tc>
        <w:tc>
          <w:tcPr>
            <w:tcW w:w="460" w:type="pct"/>
            <w:noWrap/>
            <w:hideMark/>
          </w:tcPr>
          <w:p w14:paraId="7FAF09EE"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123.2</w:t>
            </w:r>
          </w:p>
        </w:tc>
        <w:tc>
          <w:tcPr>
            <w:tcW w:w="440" w:type="pct"/>
            <w:tcBorders>
              <w:right w:val="single" w:sz="4" w:space="0" w:color="auto"/>
            </w:tcBorders>
            <w:noWrap/>
            <w:hideMark/>
          </w:tcPr>
          <w:p w14:paraId="791CDCB4"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124.5</w:t>
            </w:r>
          </w:p>
        </w:tc>
      </w:tr>
      <w:tr w:rsidR="009968E0" w:rsidRPr="009968E0" w14:paraId="6C6EFE37"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073" w:type="pct"/>
            <w:vMerge/>
            <w:tcBorders>
              <w:left w:val="single" w:sz="4" w:space="0" w:color="auto"/>
            </w:tcBorders>
            <w:noWrap/>
            <w:hideMark/>
          </w:tcPr>
          <w:p w14:paraId="70C254D4" w14:textId="77777777" w:rsidR="009968E0" w:rsidRPr="009968E0" w:rsidRDefault="009968E0" w:rsidP="009968E0">
            <w:pPr>
              <w:jc w:val="right"/>
              <w:rPr>
                <w:rFonts w:asciiTheme="minorHAnsi" w:eastAsia="Times New Roman" w:hAnsiTheme="minorHAnsi" w:cstheme="minorHAnsi"/>
                <w:i/>
                <w:iCs/>
                <w:color w:val="000000"/>
                <w:sz w:val="22"/>
                <w:szCs w:val="22"/>
                <w:lang w:eastAsia="en-GB"/>
              </w:rPr>
            </w:pPr>
          </w:p>
        </w:tc>
        <w:tc>
          <w:tcPr>
            <w:tcW w:w="953" w:type="pct"/>
            <w:noWrap/>
            <w:hideMark/>
          </w:tcPr>
          <w:p w14:paraId="6A3D2A45"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sz w:val="22"/>
                <w:szCs w:val="22"/>
                <w:lang w:eastAsia="en-GB"/>
              </w:rPr>
            </w:pPr>
          </w:p>
        </w:tc>
        <w:tc>
          <w:tcPr>
            <w:tcW w:w="719" w:type="pct"/>
            <w:noWrap/>
            <w:hideMark/>
          </w:tcPr>
          <w:p w14:paraId="478B9094"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Upper Bound</w:t>
            </w:r>
          </w:p>
        </w:tc>
        <w:tc>
          <w:tcPr>
            <w:tcW w:w="476" w:type="pct"/>
            <w:noWrap/>
            <w:hideMark/>
          </w:tcPr>
          <w:p w14:paraId="50364CBD"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140.8</w:t>
            </w:r>
          </w:p>
        </w:tc>
        <w:tc>
          <w:tcPr>
            <w:tcW w:w="481" w:type="pct"/>
            <w:noWrap/>
            <w:hideMark/>
          </w:tcPr>
          <w:p w14:paraId="4E2AD9BB"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135.7</w:t>
            </w:r>
          </w:p>
        </w:tc>
        <w:tc>
          <w:tcPr>
            <w:tcW w:w="398" w:type="pct"/>
            <w:noWrap/>
            <w:hideMark/>
          </w:tcPr>
          <w:p w14:paraId="5CEFCA6D"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144.3</w:t>
            </w:r>
          </w:p>
        </w:tc>
        <w:tc>
          <w:tcPr>
            <w:tcW w:w="460" w:type="pct"/>
            <w:noWrap/>
            <w:hideMark/>
          </w:tcPr>
          <w:p w14:paraId="76359C39"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151.9</w:t>
            </w:r>
          </w:p>
        </w:tc>
        <w:tc>
          <w:tcPr>
            <w:tcW w:w="440" w:type="pct"/>
            <w:tcBorders>
              <w:right w:val="single" w:sz="4" w:space="0" w:color="auto"/>
            </w:tcBorders>
            <w:noWrap/>
            <w:hideMark/>
          </w:tcPr>
          <w:p w14:paraId="01B734BE"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138.8</w:t>
            </w:r>
          </w:p>
        </w:tc>
      </w:tr>
      <w:tr w:rsidR="009968E0" w:rsidRPr="009968E0" w14:paraId="2C9A2B22"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000" w:type="pct"/>
            <w:gridSpan w:val="8"/>
            <w:tcBorders>
              <w:left w:val="single" w:sz="4" w:space="0" w:color="auto"/>
              <w:right w:val="single" w:sz="4" w:space="0" w:color="auto"/>
            </w:tcBorders>
            <w:noWrap/>
            <w:hideMark/>
          </w:tcPr>
          <w:p w14:paraId="791B6FBA" w14:textId="77777777" w:rsidR="009968E0" w:rsidRPr="009968E0" w:rsidRDefault="009968E0" w:rsidP="009968E0">
            <w:pPr>
              <w:jc w:val="center"/>
              <w:rPr>
                <w:rFonts w:asciiTheme="minorHAnsi" w:eastAsia="Times New Roman" w:hAnsiTheme="minorHAnsi" w:cstheme="minorHAnsi"/>
                <w:i/>
                <w:iCs/>
                <w:sz w:val="22"/>
                <w:szCs w:val="22"/>
                <w:lang w:eastAsia="en-GB"/>
              </w:rPr>
            </w:pPr>
            <w:r w:rsidRPr="009968E0">
              <w:rPr>
                <w:rFonts w:asciiTheme="minorHAnsi" w:eastAsia="Times New Roman" w:hAnsiTheme="minorHAnsi" w:cstheme="minorHAnsi"/>
                <w:i/>
                <w:iCs/>
                <w:sz w:val="22"/>
                <w:szCs w:val="22"/>
                <w:lang w:eastAsia="en-GB"/>
              </w:rPr>
              <w:t>p=.171</w:t>
            </w:r>
          </w:p>
        </w:tc>
      </w:tr>
      <w:tr w:rsidR="009968E0" w:rsidRPr="009968E0" w14:paraId="5618A4D2"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073" w:type="pct"/>
            <w:vMerge w:val="restart"/>
            <w:tcBorders>
              <w:left w:val="single" w:sz="4" w:space="0" w:color="auto"/>
            </w:tcBorders>
            <w:noWrap/>
            <w:hideMark/>
          </w:tcPr>
          <w:p w14:paraId="317574DE" w14:textId="77777777" w:rsidR="009968E0" w:rsidRPr="009968E0" w:rsidRDefault="009968E0" w:rsidP="009968E0">
            <w:pPr>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 xml:space="preserve">V2 blood pressure </w:t>
            </w:r>
          </w:p>
          <w:p w14:paraId="0211475D" w14:textId="77777777" w:rsidR="009968E0" w:rsidRPr="009968E0" w:rsidRDefault="009968E0" w:rsidP="009968E0">
            <w:pPr>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diastolic (mmHg)</w:t>
            </w:r>
          </w:p>
        </w:tc>
        <w:tc>
          <w:tcPr>
            <w:tcW w:w="953" w:type="pct"/>
            <w:noWrap/>
            <w:hideMark/>
          </w:tcPr>
          <w:p w14:paraId="6BEB5EAC"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N</w:t>
            </w:r>
          </w:p>
        </w:tc>
        <w:tc>
          <w:tcPr>
            <w:tcW w:w="719" w:type="pct"/>
            <w:noWrap/>
            <w:hideMark/>
          </w:tcPr>
          <w:p w14:paraId="3F9BECEA"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p>
        </w:tc>
        <w:tc>
          <w:tcPr>
            <w:tcW w:w="476" w:type="pct"/>
            <w:noWrap/>
            <w:hideMark/>
          </w:tcPr>
          <w:p w14:paraId="5BDCA44C"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10</w:t>
            </w:r>
          </w:p>
        </w:tc>
        <w:tc>
          <w:tcPr>
            <w:tcW w:w="481" w:type="pct"/>
            <w:noWrap/>
            <w:hideMark/>
          </w:tcPr>
          <w:p w14:paraId="3A97E8E7"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9</w:t>
            </w:r>
          </w:p>
        </w:tc>
        <w:tc>
          <w:tcPr>
            <w:tcW w:w="398" w:type="pct"/>
            <w:noWrap/>
            <w:hideMark/>
          </w:tcPr>
          <w:p w14:paraId="70CEB1F8"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23</w:t>
            </w:r>
          </w:p>
        </w:tc>
        <w:tc>
          <w:tcPr>
            <w:tcW w:w="460" w:type="pct"/>
            <w:noWrap/>
            <w:hideMark/>
          </w:tcPr>
          <w:p w14:paraId="448E5EF2"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13</w:t>
            </w:r>
          </w:p>
        </w:tc>
        <w:tc>
          <w:tcPr>
            <w:tcW w:w="440" w:type="pct"/>
            <w:tcBorders>
              <w:right w:val="single" w:sz="4" w:space="0" w:color="auto"/>
            </w:tcBorders>
            <w:noWrap/>
            <w:hideMark/>
          </w:tcPr>
          <w:p w14:paraId="24DD3A77"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19</w:t>
            </w:r>
          </w:p>
        </w:tc>
      </w:tr>
      <w:tr w:rsidR="009968E0" w:rsidRPr="009968E0" w14:paraId="36419411"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073" w:type="pct"/>
            <w:vMerge/>
            <w:tcBorders>
              <w:left w:val="single" w:sz="4" w:space="0" w:color="auto"/>
            </w:tcBorders>
            <w:noWrap/>
            <w:hideMark/>
          </w:tcPr>
          <w:p w14:paraId="0A77F1F8" w14:textId="77777777" w:rsidR="009968E0" w:rsidRPr="009968E0" w:rsidRDefault="009968E0" w:rsidP="009968E0">
            <w:pPr>
              <w:jc w:val="right"/>
              <w:rPr>
                <w:rFonts w:asciiTheme="minorHAnsi" w:eastAsia="Times New Roman" w:hAnsiTheme="minorHAnsi" w:cstheme="minorHAnsi"/>
                <w:i/>
                <w:iCs/>
                <w:color w:val="000000"/>
                <w:sz w:val="22"/>
                <w:szCs w:val="22"/>
                <w:lang w:eastAsia="en-GB"/>
              </w:rPr>
            </w:pPr>
          </w:p>
        </w:tc>
        <w:tc>
          <w:tcPr>
            <w:tcW w:w="953" w:type="pct"/>
            <w:noWrap/>
            <w:hideMark/>
          </w:tcPr>
          <w:p w14:paraId="368A7D3A"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Mean</w:t>
            </w:r>
          </w:p>
        </w:tc>
        <w:tc>
          <w:tcPr>
            <w:tcW w:w="719" w:type="pct"/>
            <w:noWrap/>
            <w:hideMark/>
          </w:tcPr>
          <w:p w14:paraId="79F2F481"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p>
        </w:tc>
        <w:tc>
          <w:tcPr>
            <w:tcW w:w="476" w:type="pct"/>
            <w:noWrap/>
            <w:hideMark/>
          </w:tcPr>
          <w:p w14:paraId="789B0247"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84.8</w:t>
            </w:r>
          </w:p>
        </w:tc>
        <w:tc>
          <w:tcPr>
            <w:tcW w:w="481" w:type="pct"/>
            <w:noWrap/>
            <w:hideMark/>
          </w:tcPr>
          <w:p w14:paraId="6DB36317"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79.4</w:t>
            </w:r>
          </w:p>
        </w:tc>
        <w:tc>
          <w:tcPr>
            <w:tcW w:w="398" w:type="pct"/>
            <w:noWrap/>
            <w:hideMark/>
          </w:tcPr>
          <w:p w14:paraId="15ED4898"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82.1</w:t>
            </w:r>
          </w:p>
        </w:tc>
        <w:tc>
          <w:tcPr>
            <w:tcW w:w="460" w:type="pct"/>
            <w:noWrap/>
            <w:hideMark/>
          </w:tcPr>
          <w:p w14:paraId="4B069D99"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83</w:t>
            </w:r>
          </w:p>
        </w:tc>
        <w:tc>
          <w:tcPr>
            <w:tcW w:w="440" w:type="pct"/>
            <w:tcBorders>
              <w:right w:val="single" w:sz="4" w:space="0" w:color="auto"/>
            </w:tcBorders>
            <w:noWrap/>
            <w:hideMark/>
          </w:tcPr>
          <w:p w14:paraId="57D8E121"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90.4</w:t>
            </w:r>
          </w:p>
        </w:tc>
      </w:tr>
      <w:tr w:rsidR="009968E0" w:rsidRPr="009968E0" w14:paraId="17A81CEB"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073" w:type="pct"/>
            <w:vMerge/>
            <w:tcBorders>
              <w:left w:val="single" w:sz="4" w:space="0" w:color="auto"/>
            </w:tcBorders>
            <w:noWrap/>
            <w:hideMark/>
          </w:tcPr>
          <w:p w14:paraId="0CDA2B4B" w14:textId="77777777" w:rsidR="009968E0" w:rsidRPr="009968E0" w:rsidRDefault="009968E0" w:rsidP="009968E0">
            <w:pPr>
              <w:jc w:val="right"/>
              <w:rPr>
                <w:rFonts w:asciiTheme="minorHAnsi" w:eastAsia="Times New Roman" w:hAnsiTheme="minorHAnsi" w:cstheme="minorHAnsi"/>
                <w:i/>
                <w:iCs/>
                <w:color w:val="000000"/>
                <w:sz w:val="22"/>
                <w:szCs w:val="22"/>
                <w:lang w:eastAsia="en-GB"/>
              </w:rPr>
            </w:pPr>
          </w:p>
        </w:tc>
        <w:tc>
          <w:tcPr>
            <w:tcW w:w="953" w:type="pct"/>
            <w:noWrap/>
            <w:hideMark/>
          </w:tcPr>
          <w:p w14:paraId="28BB8AEE"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 xml:space="preserve">95% CI </w:t>
            </w:r>
          </w:p>
          <w:p w14:paraId="3DCD8628"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for Mean</w:t>
            </w:r>
          </w:p>
        </w:tc>
        <w:tc>
          <w:tcPr>
            <w:tcW w:w="719" w:type="pct"/>
            <w:noWrap/>
            <w:hideMark/>
          </w:tcPr>
          <w:p w14:paraId="10A08121"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Lower Bound</w:t>
            </w:r>
          </w:p>
        </w:tc>
        <w:tc>
          <w:tcPr>
            <w:tcW w:w="476" w:type="pct"/>
            <w:noWrap/>
            <w:hideMark/>
          </w:tcPr>
          <w:p w14:paraId="7886853C"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77.3</w:t>
            </w:r>
          </w:p>
        </w:tc>
        <w:tc>
          <w:tcPr>
            <w:tcW w:w="481" w:type="pct"/>
            <w:noWrap/>
            <w:hideMark/>
          </w:tcPr>
          <w:p w14:paraId="5BB23C1E"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72.2</w:t>
            </w:r>
          </w:p>
        </w:tc>
        <w:tc>
          <w:tcPr>
            <w:tcW w:w="398" w:type="pct"/>
            <w:noWrap/>
            <w:hideMark/>
          </w:tcPr>
          <w:p w14:paraId="5FB92556"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77.8</w:t>
            </w:r>
          </w:p>
        </w:tc>
        <w:tc>
          <w:tcPr>
            <w:tcW w:w="460" w:type="pct"/>
            <w:noWrap/>
            <w:hideMark/>
          </w:tcPr>
          <w:p w14:paraId="5CDA374C"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77.2</w:t>
            </w:r>
          </w:p>
        </w:tc>
        <w:tc>
          <w:tcPr>
            <w:tcW w:w="440" w:type="pct"/>
            <w:tcBorders>
              <w:right w:val="single" w:sz="4" w:space="0" w:color="auto"/>
            </w:tcBorders>
            <w:noWrap/>
            <w:hideMark/>
          </w:tcPr>
          <w:p w14:paraId="3A883D65"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82.7</w:t>
            </w:r>
          </w:p>
        </w:tc>
      </w:tr>
      <w:tr w:rsidR="009968E0" w:rsidRPr="009968E0" w14:paraId="009C8D6B"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073" w:type="pct"/>
            <w:vMerge/>
            <w:tcBorders>
              <w:left w:val="single" w:sz="4" w:space="0" w:color="auto"/>
            </w:tcBorders>
            <w:noWrap/>
            <w:hideMark/>
          </w:tcPr>
          <w:p w14:paraId="276A12F4" w14:textId="77777777" w:rsidR="009968E0" w:rsidRPr="009968E0" w:rsidRDefault="009968E0" w:rsidP="009968E0">
            <w:pPr>
              <w:jc w:val="right"/>
              <w:rPr>
                <w:rFonts w:asciiTheme="minorHAnsi" w:eastAsia="Times New Roman" w:hAnsiTheme="minorHAnsi" w:cstheme="minorHAnsi"/>
                <w:i/>
                <w:iCs/>
                <w:color w:val="000000"/>
                <w:sz w:val="22"/>
                <w:szCs w:val="22"/>
                <w:lang w:eastAsia="en-GB"/>
              </w:rPr>
            </w:pPr>
          </w:p>
        </w:tc>
        <w:tc>
          <w:tcPr>
            <w:tcW w:w="953" w:type="pct"/>
            <w:noWrap/>
            <w:hideMark/>
          </w:tcPr>
          <w:p w14:paraId="2B65DB3B"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sz w:val="22"/>
                <w:szCs w:val="22"/>
                <w:lang w:eastAsia="en-GB"/>
              </w:rPr>
            </w:pPr>
          </w:p>
        </w:tc>
        <w:tc>
          <w:tcPr>
            <w:tcW w:w="719" w:type="pct"/>
            <w:noWrap/>
            <w:hideMark/>
          </w:tcPr>
          <w:p w14:paraId="7D982FEF"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Upper Bound</w:t>
            </w:r>
          </w:p>
        </w:tc>
        <w:tc>
          <w:tcPr>
            <w:tcW w:w="476" w:type="pct"/>
            <w:noWrap/>
            <w:hideMark/>
          </w:tcPr>
          <w:p w14:paraId="5273EB4B"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92.3</w:t>
            </w:r>
          </w:p>
        </w:tc>
        <w:tc>
          <w:tcPr>
            <w:tcW w:w="481" w:type="pct"/>
            <w:noWrap/>
            <w:hideMark/>
          </w:tcPr>
          <w:p w14:paraId="441685AC"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86.7</w:t>
            </w:r>
          </w:p>
        </w:tc>
        <w:tc>
          <w:tcPr>
            <w:tcW w:w="398" w:type="pct"/>
            <w:noWrap/>
            <w:hideMark/>
          </w:tcPr>
          <w:p w14:paraId="2F12E0C4"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86.5</w:t>
            </w:r>
          </w:p>
        </w:tc>
        <w:tc>
          <w:tcPr>
            <w:tcW w:w="460" w:type="pct"/>
            <w:noWrap/>
            <w:hideMark/>
          </w:tcPr>
          <w:p w14:paraId="02458B69"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88.8</w:t>
            </w:r>
          </w:p>
        </w:tc>
        <w:tc>
          <w:tcPr>
            <w:tcW w:w="440" w:type="pct"/>
            <w:tcBorders>
              <w:right w:val="single" w:sz="4" w:space="0" w:color="auto"/>
            </w:tcBorders>
            <w:noWrap/>
            <w:hideMark/>
          </w:tcPr>
          <w:p w14:paraId="4101E435"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98.2</w:t>
            </w:r>
          </w:p>
        </w:tc>
      </w:tr>
      <w:tr w:rsidR="009968E0" w:rsidRPr="009968E0" w14:paraId="77B308D1"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5000" w:type="pct"/>
            <w:gridSpan w:val="8"/>
            <w:tcBorders>
              <w:left w:val="single" w:sz="4" w:space="0" w:color="auto"/>
              <w:right w:val="single" w:sz="4" w:space="0" w:color="auto"/>
            </w:tcBorders>
            <w:noWrap/>
            <w:hideMark/>
          </w:tcPr>
          <w:p w14:paraId="10E9E2EB" w14:textId="77777777" w:rsidR="009968E0" w:rsidRPr="009968E0" w:rsidRDefault="009968E0" w:rsidP="009968E0">
            <w:pPr>
              <w:jc w:val="center"/>
              <w:rPr>
                <w:rFonts w:asciiTheme="minorHAnsi" w:eastAsia="Times New Roman" w:hAnsiTheme="minorHAnsi" w:cstheme="minorHAnsi"/>
                <w:i/>
                <w:iCs/>
                <w:sz w:val="22"/>
                <w:szCs w:val="22"/>
                <w:lang w:eastAsia="en-GB"/>
              </w:rPr>
            </w:pPr>
            <w:r w:rsidRPr="009968E0">
              <w:rPr>
                <w:rFonts w:asciiTheme="minorHAnsi" w:eastAsia="Times New Roman" w:hAnsiTheme="minorHAnsi" w:cstheme="minorHAnsi"/>
                <w:i/>
                <w:iCs/>
                <w:sz w:val="22"/>
                <w:szCs w:val="22"/>
                <w:lang w:eastAsia="en-GB"/>
              </w:rPr>
              <w:t>p=.124</w:t>
            </w:r>
          </w:p>
        </w:tc>
      </w:tr>
      <w:tr w:rsidR="009968E0" w:rsidRPr="009968E0" w14:paraId="61BBB2A9"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073" w:type="pct"/>
            <w:vMerge w:val="restart"/>
            <w:tcBorders>
              <w:left w:val="single" w:sz="4" w:space="0" w:color="auto"/>
            </w:tcBorders>
            <w:noWrap/>
            <w:hideMark/>
          </w:tcPr>
          <w:p w14:paraId="2A662F27" w14:textId="77777777" w:rsidR="009968E0" w:rsidRPr="009968E0" w:rsidRDefault="009968E0" w:rsidP="009968E0">
            <w:pPr>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V2 blood glucose arrival</w:t>
            </w:r>
          </w:p>
          <w:p w14:paraId="2D2BB8B8" w14:textId="77777777" w:rsidR="009968E0" w:rsidRPr="009968E0" w:rsidRDefault="009968E0" w:rsidP="009968E0">
            <w:pPr>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lastRenderedPageBreak/>
              <w:t>(mmol)</w:t>
            </w:r>
          </w:p>
        </w:tc>
        <w:tc>
          <w:tcPr>
            <w:tcW w:w="953" w:type="pct"/>
            <w:noWrap/>
            <w:hideMark/>
          </w:tcPr>
          <w:p w14:paraId="015A449D"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lastRenderedPageBreak/>
              <w:t>N</w:t>
            </w:r>
          </w:p>
        </w:tc>
        <w:tc>
          <w:tcPr>
            <w:tcW w:w="719" w:type="pct"/>
            <w:noWrap/>
            <w:hideMark/>
          </w:tcPr>
          <w:p w14:paraId="7F06DF5F"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p>
        </w:tc>
        <w:tc>
          <w:tcPr>
            <w:tcW w:w="476" w:type="pct"/>
            <w:noWrap/>
            <w:hideMark/>
          </w:tcPr>
          <w:p w14:paraId="45B44363"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10</w:t>
            </w:r>
          </w:p>
        </w:tc>
        <w:tc>
          <w:tcPr>
            <w:tcW w:w="481" w:type="pct"/>
            <w:noWrap/>
            <w:hideMark/>
          </w:tcPr>
          <w:p w14:paraId="2F8A065B"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9</w:t>
            </w:r>
          </w:p>
        </w:tc>
        <w:tc>
          <w:tcPr>
            <w:tcW w:w="398" w:type="pct"/>
            <w:noWrap/>
            <w:hideMark/>
          </w:tcPr>
          <w:p w14:paraId="5D229F48"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23</w:t>
            </w:r>
          </w:p>
        </w:tc>
        <w:tc>
          <w:tcPr>
            <w:tcW w:w="460" w:type="pct"/>
            <w:noWrap/>
            <w:hideMark/>
          </w:tcPr>
          <w:p w14:paraId="14457F46"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13</w:t>
            </w:r>
          </w:p>
        </w:tc>
        <w:tc>
          <w:tcPr>
            <w:tcW w:w="440" w:type="pct"/>
            <w:tcBorders>
              <w:right w:val="single" w:sz="4" w:space="0" w:color="auto"/>
            </w:tcBorders>
            <w:noWrap/>
            <w:hideMark/>
          </w:tcPr>
          <w:p w14:paraId="49306C68"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w:t>
            </w:r>
          </w:p>
        </w:tc>
      </w:tr>
      <w:tr w:rsidR="009968E0" w:rsidRPr="009968E0" w14:paraId="05C80CE6"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073" w:type="pct"/>
            <w:vMerge/>
            <w:tcBorders>
              <w:left w:val="single" w:sz="4" w:space="0" w:color="auto"/>
            </w:tcBorders>
            <w:noWrap/>
            <w:hideMark/>
          </w:tcPr>
          <w:p w14:paraId="78C1F846" w14:textId="77777777" w:rsidR="009968E0" w:rsidRPr="009968E0" w:rsidRDefault="009968E0" w:rsidP="009968E0">
            <w:pPr>
              <w:jc w:val="right"/>
              <w:rPr>
                <w:rFonts w:asciiTheme="minorHAnsi" w:eastAsia="Times New Roman" w:hAnsiTheme="minorHAnsi" w:cstheme="minorHAnsi"/>
                <w:i/>
                <w:iCs/>
                <w:color w:val="000000"/>
                <w:sz w:val="22"/>
                <w:szCs w:val="22"/>
                <w:lang w:eastAsia="en-GB"/>
              </w:rPr>
            </w:pPr>
          </w:p>
        </w:tc>
        <w:tc>
          <w:tcPr>
            <w:tcW w:w="953" w:type="pct"/>
            <w:noWrap/>
            <w:hideMark/>
          </w:tcPr>
          <w:p w14:paraId="445E9170"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Mean</w:t>
            </w:r>
          </w:p>
        </w:tc>
        <w:tc>
          <w:tcPr>
            <w:tcW w:w="719" w:type="pct"/>
            <w:noWrap/>
            <w:hideMark/>
          </w:tcPr>
          <w:p w14:paraId="7AFE40D6"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p>
        </w:tc>
        <w:tc>
          <w:tcPr>
            <w:tcW w:w="476" w:type="pct"/>
            <w:noWrap/>
            <w:hideMark/>
          </w:tcPr>
          <w:p w14:paraId="070A5911"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13.1</w:t>
            </w:r>
          </w:p>
        </w:tc>
        <w:tc>
          <w:tcPr>
            <w:tcW w:w="481" w:type="pct"/>
            <w:noWrap/>
            <w:hideMark/>
          </w:tcPr>
          <w:p w14:paraId="33079673"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13.4</w:t>
            </w:r>
          </w:p>
        </w:tc>
        <w:tc>
          <w:tcPr>
            <w:tcW w:w="398" w:type="pct"/>
            <w:noWrap/>
            <w:hideMark/>
          </w:tcPr>
          <w:p w14:paraId="4523993C"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13.2</w:t>
            </w:r>
          </w:p>
        </w:tc>
        <w:tc>
          <w:tcPr>
            <w:tcW w:w="460" w:type="pct"/>
            <w:noWrap/>
            <w:hideMark/>
          </w:tcPr>
          <w:p w14:paraId="01BA7C60"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13.3</w:t>
            </w:r>
          </w:p>
        </w:tc>
        <w:tc>
          <w:tcPr>
            <w:tcW w:w="440" w:type="pct"/>
            <w:tcBorders>
              <w:right w:val="single" w:sz="4" w:space="0" w:color="auto"/>
            </w:tcBorders>
            <w:noWrap/>
            <w:hideMark/>
          </w:tcPr>
          <w:p w14:paraId="6A421FBA"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w:t>
            </w:r>
          </w:p>
        </w:tc>
      </w:tr>
      <w:tr w:rsidR="009968E0" w:rsidRPr="009968E0" w14:paraId="2E503035"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073" w:type="pct"/>
            <w:vMerge/>
            <w:tcBorders>
              <w:left w:val="single" w:sz="4" w:space="0" w:color="auto"/>
            </w:tcBorders>
            <w:noWrap/>
            <w:hideMark/>
          </w:tcPr>
          <w:p w14:paraId="66A3945E" w14:textId="77777777" w:rsidR="009968E0" w:rsidRPr="009968E0" w:rsidRDefault="009968E0" w:rsidP="009968E0">
            <w:pPr>
              <w:rPr>
                <w:rFonts w:asciiTheme="minorHAnsi" w:eastAsia="Times New Roman" w:hAnsiTheme="minorHAnsi" w:cstheme="minorHAnsi"/>
                <w:i/>
                <w:iCs/>
                <w:color w:val="000000"/>
                <w:sz w:val="22"/>
                <w:szCs w:val="22"/>
                <w:lang w:eastAsia="en-GB"/>
              </w:rPr>
            </w:pPr>
          </w:p>
        </w:tc>
        <w:tc>
          <w:tcPr>
            <w:tcW w:w="953" w:type="pct"/>
            <w:noWrap/>
            <w:hideMark/>
          </w:tcPr>
          <w:p w14:paraId="2C7FB88F"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 xml:space="preserve">95% CI </w:t>
            </w:r>
          </w:p>
          <w:p w14:paraId="3AD81AB2"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for Mean</w:t>
            </w:r>
          </w:p>
        </w:tc>
        <w:tc>
          <w:tcPr>
            <w:tcW w:w="719" w:type="pct"/>
            <w:noWrap/>
            <w:hideMark/>
          </w:tcPr>
          <w:p w14:paraId="0F84E2DA"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Lower Bound</w:t>
            </w:r>
          </w:p>
        </w:tc>
        <w:tc>
          <w:tcPr>
            <w:tcW w:w="476" w:type="pct"/>
            <w:noWrap/>
            <w:hideMark/>
          </w:tcPr>
          <w:p w14:paraId="77FF83E8"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10.2</w:t>
            </w:r>
          </w:p>
        </w:tc>
        <w:tc>
          <w:tcPr>
            <w:tcW w:w="481" w:type="pct"/>
            <w:noWrap/>
            <w:hideMark/>
          </w:tcPr>
          <w:p w14:paraId="20745CC2"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10.3</w:t>
            </w:r>
          </w:p>
        </w:tc>
        <w:tc>
          <w:tcPr>
            <w:tcW w:w="398" w:type="pct"/>
            <w:noWrap/>
            <w:hideMark/>
          </w:tcPr>
          <w:p w14:paraId="2B175386"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10.7</w:t>
            </w:r>
          </w:p>
        </w:tc>
        <w:tc>
          <w:tcPr>
            <w:tcW w:w="460" w:type="pct"/>
            <w:noWrap/>
            <w:hideMark/>
          </w:tcPr>
          <w:p w14:paraId="38EBF560"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9.7</w:t>
            </w:r>
          </w:p>
        </w:tc>
        <w:tc>
          <w:tcPr>
            <w:tcW w:w="440" w:type="pct"/>
            <w:tcBorders>
              <w:right w:val="single" w:sz="4" w:space="0" w:color="auto"/>
            </w:tcBorders>
            <w:noWrap/>
            <w:hideMark/>
          </w:tcPr>
          <w:p w14:paraId="4F313878"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w:t>
            </w:r>
          </w:p>
        </w:tc>
      </w:tr>
      <w:tr w:rsidR="009968E0" w:rsidRPr="009968E0" w14:paraId="478C27B7"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073" w:type="pct"/>
            <w:vMerge/>
            <w:tcBorders>
              <w:left w:val="single" w:sz="4" w:space="0" w:color="auto"/>
            </w:tcBorders>
            <w:noWrap/>
            <w:hideMark/>
          </w:tcPr>
          <w:p w14:paraId="55562836" w14:textId="77777777" w:rsidR="009968E0" w:rsidRPr="009968E0" w:rsidRDefault="009968E0" w:rsidP="009968E0">
            <w:pPr>
              <w:rPr>
                <w:rFonts w:asciiTheme="minorHAnsi" w:eastAsia="Times New Roman" w:hAnsiTheme="minorHAnsi" w:cstheme="minorHAnsi"/>
                <w:i/>
                <w:iCs/>
                <w:color w:val="000000"/>
                <w:sz w:val="22"/>
                <w:szCs w:val="22"/>
                <w:lang w:eastAsia="en-GB"/>
              </w:rPr>
            </w:pPr>
          </w:p>
        </w:tc>
        <w:tc>
          <w:tcPr>
            <w:tcW w:w="953" w:type="pct"/>
            <w:noWrap/>
            <w:hideMark/>
          </w:tcPr>
          <w:p w14:paraId="655179FB"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sz w:val="22"/>
                <w:szCs w:val="22"/>
                <w:lang w:eastAsia="en-GB"/>
              </w:rPr>
            </w:pPr>
          </w:p>
        </w:tc>
        <w:tc>
          <w:tcPr>
            <w:tcW w:w="719" w:type="pct"/>
            <w:noWrap/>
            <w:hideMark/>
          </w:tcPr>
          <w:p w14:paraId="01C16E46"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Upper Bound</w:t>
            </w:r>
          </w:p>
        </w:tc>
        <w:tc>
          <w:tcPr>
            <w:tcW w:w="476" w:type="pct"/>
            <w:noWrap/>
            <w:hideMark/>
          </w:tcPr>
          <w:p w14:paraId="74B02FF8"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16.1</w:t>
            </w:r>
          </w:p>
        </w:tc>
        <w:tc>
          <w:tcPr>
            <w:tcW w:w="481" w:type="pct"/>
            <w:noWrap/>
            <w:hideMark/>
          </w:tcPr>
          <w:p w14:paraId="262D344F"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16.4</w:t>
            </w:r>
          </w:p>
        </w:tc>
        <w:tc>
          <w:tcPr>
            <w:tcW w:w="398" w:type="pct"/>
            <w:noWrap/>
            <w:hideMark/>
          </w:tcPr>
          <w:p w14:paraId="2F3C84CE"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15.6</w:t>
            </w:r>
          </w:p>
        </w:tc>
        <w:tc>
          <w:tcPr>
            <w:tcW w:w="460" w:type="pct"/>
            <w:noWrap/>
            <w:hideMark/>
          </w:tcPr>
          <w:p w14:paraId="3FBF9EF7"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16.9</w:t>
            </w:r>
          </w:p>
        </w:tc>
        <w:tc>
          <w:tcPr>
            <w:tcW w:w="440" w:type="pct"/>
            <w:tcBorders>
              <w:right w:val="single" w:sz="4" w:space="0" w:color="auto"/>
            </w:tcBorders>
            <w:noWrap/>
            <w:hideMark/>
          </w:tcPr>
          <w:p w14:paraId="35423230"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w:t>
            </w:r>
          </w:p>
        </w:tc>
      </w:tr>
      <w:tr w:rsidR="009968E0" w:rsidRPr="009968E0" w14:paraId="316FEE69"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000" w:type="pct"/>
            <w:gridSpan w:val="8"/>
            <w:tcBorders>
              <w:left w:val="single" w:sz="4" w:space="0" w:color="auto"/>
              <w:right w:val="single" w:sz="4" w:space="0" w:color="auto"/>
            </w:tcBorders>
            <w:noWrap/>
            <w:hideMark/>
          </w:tcPr>
          <w:p w14:paraId="66DC6DDF" w14:textId="77777777" w:rsidR="009968E0" w:rsidRPr="009968E0" w:rsidRDefault="009968E0" w:rsidP="009968E0">
            <w:pPr>
              <w:jc w:val="center"/>
              <w:rPr>
                <w:rFonts w:asciiTheme="minorHAnsi" w:eastAsia="Times New Roman" w:hAnsiTheme="minorHAnsi" w:cstheme="minorHAnsi"/>
                <w:i/>
                <w:iCs/>
                <w:sz w:val="22"/>
                <w:szCs w:val="22"/>
                <w:lang w:eastAsia="en-GB"/>
              </w:rPr>
            </w:pPr>
            <w:r w:rsidRPr="009968E0">
              <w:rPr>
                <w:rFonts w:asciiTheme="minorHAnsi" w:eastAsia="Times New Roman" w:hAnsiTheme="minorHAnsi" w:cstheme="minorHAnsi"/>
                <w:i/>
                <w:iCs/>
                <w:sz w:val="22"/>
                <w:szCs w:val="22"/>
                <w:lang w:eastAsia="en-GB"/>
              </w:rPr>
              <w:t>p=.999</w:t>
            </w:r>
          </w:p>
        </w:tc>
      </w:tr>
      <w:tr w:rsidR="009968E0" w:rsidRPr="009968E0" w14:paraId="4077AE17"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073" w:type="pct"/>
            <w:vMerge w:val="restart"/>
            <w:tcBorders>
              <w:left w:val="single" w:sz="4" w:space="0" w:color="auto"/>
            </w:tcBorders>
            <w:noWrap/>
            <w:hideMark/>
          </w:tcPr>
          <w:p w14:paraId="2E1A094A" w14:textId="77777777" w:rsidR="009968E0" w:rsidRPr="009968E0" w:rsidRDefault="009968E0" w:rsidP="009968E0">
            <w:pPr>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 xml:space="preserve">V2 blood glucose </w:t>
            </w:r>
          </w:p>
          <w:p w14:paraId="37E318E0" w14:textId="77777777" w:rsidR="009968E0" w:rsidRPr="009968E0" w:rsidRDefault="009968E0" w:rsidP="009968E0">
            <w:pPr>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departure (mmol)</w:t>
            </w:r>
          </w:p>
        </w:tc>
        <w:tc>
          <w:tcPr>
            <w:tcW w:w="953" w:type="pct"/>
            <w:noWrap/>
            <w:hideMark/>
          </w:tcPr>
          <w:p w14:paraId="1E3E1DAC"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N</w:t>
            </w:r>
          </w:p>
        </w:tc>
        <w:tc>
          <w:tcPr>
            <w:tcW w:w="719" w:type="pct"/>
            <w:noWrap/>
            <w:hideMark/>
          </w:tcPr>
          <w:p w14:paraId="50051039"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p>
        </w:tc>
        <w:tc>
          <w:tcPr>
            <w:tcW w:w="476" w:type="pct"/>
            <w:noWrap/>
            <w:hideMark/>
          </w:tcPr>
          <w:p w14:paraId="6D4C3225"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9</w:t>
            </w:r>
          </w:p>
        </w:tc>
        <w:tc>
          <w:tcPr>
            <w:tcW w:w="481" w:type="pct"/>
            <w:noWrap/>
            <w:hideMark/>
          </w:tcPr>
          <w:p w14:paraId="1F2CB4AC"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8</w:t>
            </w:r>
          </w:p>
        </w:tc>
        <w:tc>
          <w:tcPr>
            <w:tcW w:w="398" w:type="pct"/>
            <w:noWrap/>
            <w:hideMark/>
          </w:tcPr>
          <w:p w14:paraId="111BEE73"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20</w:t>
            </w:r>
          </w:p>
        </w:tc>
        <w:tc>
          <w:tcPr>
            <w:tcW w:w="460" w:type="pct"/>
            <w:noWrap/>
            <w:hideMark/>
          </w:tcPr>
          <w:p w14:paraId="77975B96"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12</w:t>
            </w:r>
          </w:p>
        </w:tc>
        <w:tc>
          <w:tcPr>
            <w:tcW w:w="440" w:type="pct"/>
            <w:tcBorders>
              <w:right w:val="single" w:sz="4" w:space="0" w:color="auto"/>
            </w:tcBorders>
            <w:noWrap/>
            <w:hideMark/>
          </w:tcPr>
          <w:p w14:paraId="04A170F9"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w:t>
            </w:r>
          </w:p>
        </w:tc>
      </w:tr>
      <w:tr w:rsidR="009968E0" w:rsidRPr="009968E0" w14:paraId="33F3CB5E"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073" w:type="pct"/>
            <w:vMerge/>
            <w:tcBorders>
              <w:left w:val="single" w:sz="4" w:space="0" w:color="auto"/>
            </w:tcBorders>
            <w:noWrap/>
            <w:hideMark/>
          </w:tcPr>
          <w:p w14:paraId="4A5E7395" w14:textId="77777777" w:rsidR="009968E0" w:rsidRPr="009968E0" w:rsidRDefault="009968E0" w:rsidP="009968E0">
            <w:pPr>
              <w:jc w:val="right"/>
              <w:rPr>
                <w:rFonts w:asciiTheme="minorHAnsi" w:eastAsia="Times New Roman" w:hAnsiTheme="minorHAnsi" w:cstheme="minorHAnsi"/>
                <w:i/>
                <w:iCs/>
                <w:color w:val="000000"/>
                <w:sz w:val="22"/>
                <w:szCs w:val="22"/>
                <w:lang w:eastAsia="en-GB"/>
              </w:rPr>
            </w:pPr>
          </w:p>
        </w:tc>
        <w:tc>
          <w:tcPr>
            <w:tcW w:w="953" w:type="pct"/>
            <w:noWrap/>
            <w:hideMark/>
          </w:tcPr>
          <w:p w14:paraId="2485030E"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Mean</w:t>
            </w:r>
          </w:p>
        </w:tc>
        <w:tc>
          <w:tcPr>
            <w:tcW w:w="719" w:type="pct"/>
            <w:noWrap/>
            <w:hideMark/>
          </w:tcPr>
          <w:p w14:paraId="1DD30774"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p>
        </w:tc>
        <w:tc>
          <w:tcPr>
            <w:tcW w:w="476" w:type="pct"/>
            <w:noWrap/>
            <w:hideMark/>
          </w:tcPr>
          <w:p w14:paraId="43D1BF0A"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12.7</w:t>
            </w:r>
          </w:p>
        </w:tc>
        <w:tc>
          <w:tcPr>
            <w:tcW w:w="481" w:type="pct"/>
            <w:noWrap/>
            <w:hideMark/>
          </w:tcPr>
          <w:p w14:paraId="609AAA90"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12</w:t>
            </w:r>
          </w:p>
        </w:tc>
        <w:tc>
          <w:tcPr>
            <w:tcW w:w="398" w:type="pct"/>
            <w:noWrap/>
            <w:hideMark/>
          </w:tcPr>
          <w:p w14:paraId="288E3E8A"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11.3</w:t>
            </w:r>
          </w:p>
        </w:tc>
        <w:tc>
          <w:tcPr>
            <w:tcW w:w="460" w:type="pct"/>
            <w:noWrap/>
            <w:hideMark/>
          </w:tcPr>
          <w:p w14:paraId="74020102"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10.2</w:t>
            </w:r>
          </w:p>
        </w:tc>
        <w:tc>
          <w:tcPr>
            <w:tcW w:w="440" w:type="pct"/>
            <w:tcBorders>
              <w:right w:val="single" w:sz="4" w:space="0" w:color="auto"/>
            </w:tcBorders>
            <w:noWrap/>
            <w:hideMark/>
          </w:tcPr>
          <w:p w14:paraId="0BED9181"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w:t>
            </w:r>
          </w:p>
        </w:tc>
      </w:tr>
      <w:tr w:rsidR="009968E0" w:rsidRPr="009968E0" w14:paraId="65A6C887"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073" w:type="pct"/>
            <w:vMerge/>
            <w:tcBorders>
              <w:left w:val="single" w:sz="4" w:space="0" w:color="auto"/>
            </w:tcBorders>
            <w:noWrap/>
            <w:hideMark/>
          </w:tcPr>
          <w:p w14:paraId="2ACDB642" w14:textId="77777777" w:rsidR="009968E0" w:rsidRPr="009968E0" w:rsidRDefault="009968E0" w:rsidP="009968E0">
            <w:pPr>
              <w:rPr>
                <w:rFonts w:asciiTheme="minorHAnsi" w:eastAsia="Times New Roman" w:hAnsiTheme="minorHAnsi" w:cstheme="minorHAnsi"/>
                <w:i/>
                <w:iCs/>
                <w:color w:val="000000"/>
                <w:sz w:val="22"/>
                <w:szCs w:val="22"/>
                <w:lang w:eastAsia="en-GB"/>
              </w:rPr>
            </w:pPr>
          </w:p>
        </w:tc>
        <w:tc>
          <w:tcPr>
            <w:tcW w:w="953" w:type="pct"/>
            <w:noWrap/>
            <w:hideMark/>
          </w:tcPr>
          <w:p w14:paraId="30D5C50A"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 xml:space="preserve">95% CI </w:t>
            </w:r>
          </w:p>
          <w:p w14:paraId="13F4D9EA"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for Mean</w:t>
            </w:r>
          </w:p>
        </w:tc>
        <w:tc>
          <w:tcPr>
            <w:tcW w:w="719" w:type="pct"/>
            <w:noWrap/>
            <w:hideMark/>
          </w:tcPr>
          <w:p w14:paraId="3358B236"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Lower Bound</w:t>
            </w:r>
          </w:p>
        </w:tc>
        <w:tc>
          <w:tcPr>
            <w:tcW w:w="476" w:type="pct"/>
            <w:noWrap/>
            <w:hideMark/>
          </w:tcPr>
          <w:p w14:paraId="6CB9910A"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8.5</w:t>
            </w:r>
          </w:p>
        </w:tc>
        <w:tc>
          <w:tcPr>
            <w:tcW w:w="481" w:type="pct"/>
            <w:noWrap/>
            <w:hideMark/>
          </w:tcPr>
          <w:p w14:paraId="25FE1B27"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8.3</w:t>
            </w:r>
          </w:p>
        </w:tc>
        <w:tc>
          <w:tcPr>
            <w:tcW w:w="398" w:type="pct"/>
            <w:noWrap/>
            <w:hideMark/>
          </w:tcPr>
          <w:p w14:paraId="20647E03"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9</w:t>
            </w:r>
          </w:p>
        </w:tc>
        <w:tc>
          <w:tcPr>
            <w:tcW w:w="460" w:type="pct"/>
            <w:noWrap/>
            <w:hideMark/>
          </w:tcPr>
          <w:p w14:paraId="4A430092"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7.3</w:t>
            </w:r>
          </w:p>
        </w:tc>
        <w:tc>
          <w:tcPr>
            <w:tcW w:w="440" w:type="pct"/>
            <w:tcBorders>
              <w:right w:val="single" w:sz="4" w:space="0" w:color="auto"/>
            </w:tcBorders>
            <w:noWrap/>
            <w:hideMark/>
          </w:tcPr>
          <w:p w14:paraId="0779C5D2"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w:t>
            </w:r>
          </w:p>
        </w:tc>
      </w:tr>
      <w:tr w:rsidR="009968E0" w:rsidRPr="009968E0" w14:paraId="21D54705"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073" w:type="pct"/>
            <w:vMerge/>
            <w:tcBorders>
              <w:left w:val="single" w:sz="4" w:space="0" w:color="auto"/>
            </w:tcBorders>
            <w:noWrap/>
            <w:hideMark/>
          </w:tcPr>
          <w:p w14:paraId="4A67C892" w14:textId="77777777" w:rsidR="009968E0" w:rsidRPr="009968E0" w:rsidRDefault="009968E0" w:rsidP="009968E0">
            <w:pPr>
              <w:rPr>
                <w:rFonts w:asciiTheme="minorHAnsi" w:eastAsia="Times New Roman" w:hAnsiTheme="minorHAnsi" w:cstheme="minorHAnsi"/>
                <w:i/>
                <w:iCs/>
                <w:color w:val="000000"/>
                <w:sz w:val="22"/>
                <w:szCs w:val="22"/>
                <w:lang w:eastAsia="en-GB"/>
              </w:rPr>
            </w:pPr>
          </w:p>
        </w:tc>
        <w:tc>
          <w:tcPr>
            <w:tcW w:w="953" w:type="pct"/>
            <w:noWrap/>
            <w:hideMark/>
          </w:tcPr>
          <w:p w14:paraId="0A86679A"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sz w:val="22"/>
                <w:szCs w:val="22"/>
                <w:lang w:eastAsia="en-GB"/>
              </w:rPr>
            </w:pPr>
          </w:p>
        </w:tc>
        <w:tc>
          <w:tcPr>
            <w:tcW w:w="719" w:type="pct"/>
            <w:noWrap/>
            <w:hideMark/>
          </w:tcPr>
          <w:p w14:paraId="61413B43"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Upper Bound</w:t>
            </w:r>
          </w:p>
        </w:tc>
        <w:tc>
          <w:tcPr>
            <w:tcW w:w="476" w:type="pct"/>
            <w:noWrap/>
            <w:hideMark/>
          </w:tcPr>
          <w:p w14:paraId="1E8B5BA6"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16.9</w:t>
            </w:r>
          </w:p>
        </w:tc>
        <w:tc>
          <w:tcPr>
            <w:tcW w:w="481" w:type="pct"/>
            <w:noWrap/>
            <w:hideMark/>
          </w:tcPr>
          <w:p w14:paraId="6347AEC4"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15.8</w:t>
            </w:r>
          </w:p>
        </w:tc>
        <w:tc>
          <w:tcPr>
            <w:tcW w:w="398" w:type="pct"/>
            <w:noWrap/>
            <w:hideMark/>
          </w:tcPr>
          <w:p w14:paraId="50088FA3"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13.5</w:t>
            </w:r>
          </w:p>
        </w:tc>
        <w:tc>
          <w:tcPr>
            <w:tcW w:w="460" w:type="pct"/>
            <w:noWrap/>
            <w:hideMark/>
          </w:tcPr>
          <w:p w14:paraId="737B3269"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13</w:t>
            </w:r>
          </w:p>
        </w:tc>
        <w:tc>
          <w:tcPr>
            <w:tcW w:w="440" w:type="pct"/>
            <w:tcBorders>
              <w:right w:val="single" w:sz="4" w:space="0" w:color="auto"/>
            </w:tcBorders>
            <w:noWrap/>
            <w:hideMark/>
          </w:tcPr>
          <w:p w14:paraId="5849C9F3"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w:t>
            </w:r>
          </w:p>
        </w:tc>
      </w:tr>
      <w:tr w:rsidR="009968E0" w:rsidRPr="009968E0" w14:paraId="70F4867D"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5000" w:type="pct"/>
            <w:gridSpan w:val="8"/>
            <w:tcBorders>
              <w:left w:val="single" w:sz="4" w:space="0" w:color="auto"/>
              <w:bottom w:val="single" w:sz="4" w:space="0" w:color="auto"/>
              <w:right w:val="single" w:sz="4" w:space="0" w:color="auto"/>
            </w:tcBorders>
            <w:noWrap/>
          </w:tcPr>
          <w:p w14:paraId="0E125932" w14:textId="77777777" w:rsidR="009968E0" w:rsidRPr="009968E0" w:rsidRDefault="009968E0" w:rsidP="009968E0">
            <w:pPr>
              <w:jc w:val="center"/>
              <w:rPr>
                <w:rFonts w:asciiTheme="minorHAnsi" w:eastAsia="Times New Roman" w:hAnsiTheme="minorHAnsi" w:cstheme="minorHAnsi"/>
                <w:i/>
                <w:iCs/>
                <w:color w:val="000000"/>
                <w:sz w:val="22"/>
                <w:szCs w:val="22"/>
                <w:lang w:eastAsia="en-GB"/>
              </w:rPr>
            </w:pPr>
            <w:r w:rsidRPr="009968E0">
              <w:rPr>
                <w:rFonts w:asciiTheme="minorHAnsi" w:eastAsia="Times New Roman" w:hAnsiTheme="minorHAnsi" w:cstheme="minorHAnsi"/>
                <w:i/>
                <w:iCs/>
                <w:color w:val="000000"/>
                <w:sz w:val="22"/>
                <w:szCs w:val="22"/>
                <w:lang w:eastAsia="en-GB"/>
              </w:rPr>
              <w:t>p=.662</w:t>
            </w:r>
          </w:p>
        </w:tc>
      </w:tr>
    </w:tbl>
    <w:p w14:paraId="6FD85382" w14:textId="77777777" w:rsidR="009968E0" w:rsidRPr="007A2ECE" w:rsidRDefault="009968E0" w:rsidP="007A2ECE">
      <w:pPr>
        <w:numPr>
          <w:ilvl w:val="0"/>
          <w:numId w:val="24"/>
        </w:numPr>
        <w:spacing w:line="360" w:lineRule="auto"/>
        <w:contextualSpacing/>
        <w:rPr>
          <w:rStyle w:val="SubtleEmphasis"/>
        </w:rPr>
      </w:pPr>
      <w:r w:rsidRPr="007A2ECE">
        <w:rPr>
          <w:rStyle w:val="SubtleEmphasis"/>
        </w:rPr>
        <w:t xml:space="preserve">Age No post hoc significance, </w:t>
      </w:r>
    </w:p>
    <w:p w14:paraId="590883DB" w14:textId="77777777" w:rsidR="009968E0" w:rsidRPr="007A2ECE" w:rsidRDefault="009968E0" w:rsidP="007A2ECE">
      <w:pPr>
        <w:numPr>
          <w:ilvl w:val="0"/>
          <w:numId w:val="24"/>
        </w:numPr>
        <w:spacing w:line="360" w:lineRule="auto"/>
        <w:contextualSpacing/>
        <w:rPr>
          <w:rStyle w:val="SubtleEmphasis"/>
        </w:rPr>
      </w:pPr>
      <w:r w:rsidRPr="007A2ECE">
        <w:rPr>
          <w:rStyle w:val="SubtleEmphasis"/>
        </w:rPr>
        <w:t>b. P+ vs DM-NN p=.003, P- vs DM-NN p=.037</w:t>
      </w:r>
    </w:p>
    <w:p w14:paraId="36B75C79" w14:textId="77777777" w:rsidR="009968E0" w:rsidRPr="007A2ECE" w:rsidRDefault="009968E0" w:rsidP="007A2ECE">
      <w:pPr>
        <w:numPr>
          <w:ilvl w:val="0"/>
          <w:numId w:val="24"/>
        </w:numPr>
        <w:spacing w:line="360" w:lineRule="auto"/>
        <w:contextualSpacing/>
        <w:rPr>
          <w:rStyle w:val="SubtleEmphasis"/>
        </w:rPr>
      </w:pPr>
      <w:r w:rsidRPr="007A2ECE">
        <w:rPr>
          <w:rStyle w:val="SubtleEmphasis"/>
        </w:rPr>
        <w:t>, c. P+ and P- vs DPN, DM-NN, HV p&lt;.001,</w:t>
      </w:r>
    </w:p>
    <w:p w14:paraId="336367B9" w14:textId="77777777" w:rsidR="009968E0" w:rsidRPr="007A2ECE" w:rsidRDefault="009968E0" w:rsidP="007A2ECE">
      <w:pPr>
        <w:numPr>
          <w:ilvl w:val="0"/>
          <w:numId w:val="24"/>
        </w:numPr>
        <w:spacing w:line="360" w:lineRule="auto"/>
        <w:contextualSpacing/>
        <w:rPr>
          <w:rStyle w:val="SubtleEmphasis"/>
        </w:rPr>
      </w:pPr>
      <w:r w:rsidRPr="007A2ECE">
        <w:rPr>
          <w:rStyle w:val="SubtleEmphasis"/>
        </w:rPr>
        <w:t xml:space="preserve">d. P+, P-, and DPN were significantly different from HV and DM-NN p&lt;.001 but not different from each other, </w:t>
      </w:r>
    </w:p>
    <w:p w14:paraId="078EEEEA" w14:textId="35066EC2" w:rsidR="009968E0" w:rsidRDefault="00233478" w:rsidP="007A2ECE">
      <w:pPr>
        <w:numPr>
          <w:ilvl w:val="1"/>
          <w:numId w:val="0"/>
        </w:numPr>
        <w:spacing w:after="160" w:line="360" w:lineRule="auto"/>
        <w:rPr>
          <w:rStyle w:val="SubtleEmphasis"/>
        </w:rPr>
      </w:pPr>
      <w:r>
        <w:rPr>
          <w:rStyle w:val="SubtleEmphasis"/>
        </w:rPr>
        <w:t>eGFR</w:t>
      </w:r>
      <w:r w:rsidR="009968E0" w:rsidRPr="007A2ECE">
        <w:rPr>
          <w:rStyle w:val="SubtleEmphasis"/>
        </w:rPr>
        <w:t xml:space="preserve">- estimated glomerular filtration rate by MDRD (reported at values &lt; 90), V2-Visit 2, DN4- </w:t>
      </w:r>
      <w:proofErr w:type="spellStart"/>
      <w:r w:rsidR="009968E0" w:rsidRPr="007A2ECE">
        <w:rPr>
          <w:rStyle w:val="SubtleEmphasis"/>
        </w:rPr>
        <w:t>Douleur</w:t>
      </w:r>
      <w:proofErr w:type="spellEnd"/>
      <w:r w:rsidR="009968E0" w:rsidRPr="007A2ECE">
        <w:rPr>
          <w:rStyle w:val="SubtleEmphasis"/>
        </w:rPr>
        <w:t xml:space="preserve"> </w:t>
      </w:r>
      <w:proofErr w:type="spellStart"/>
      <w:r w:rsidR="009968E0" w:rsidRPr="007A2ECE">
        <w:rPr>
          <w:rStyle w:val="SubtleEmphasis"/>
        </w:rPr>
        <w:t>Neuropathique</w:t>
      </w:r>
      <w:proofErr w:type="spellEnd"/>
      <w:r w:rsidR="009968E0" w:rsidRPr="007A2ECE">
        <w:rPr>
          <w:rStyle w:val="SubtleEmphasis"/>
        </w:rPr>
        <w:t xml:space="preserve"> 4, NISLL+7= Neuropathy Impairment Score of the Lower Limbs Plus Seven Tests,. </w:t>
      </w:r>
    </w:p>
    <w:p w14:paraId="2E147977" w14:textId="11E7A336" w:rsidR="00A47BE5" w:rsidRPr="007A2ECE" w:rsidRDefault="00A47BE5" w:rsidP="00A47BE5">
      <w:pPr>
        <w:rPr>
          <w:rStyle w:val="SubtleEmphasis"/>
        </w:rPr>
      </w:pPr>
      <w:r>
        <w:rPr>
          <w:rStyle w:val="SubtleEmphasis"/>
        </w:rPr>
        <w:br w:type="page"/>
      </w:r>
    </w:p>
    <w:p w14:paraId="11703E29" w14:textId="220E5DF4" w:rsidR="009968E0" w:rsidRPr="007A2ECE" w:rsidRDefault="009968E0" w:rsidP="007A2ECE">
      <w:pPr>
        <w:pStyle w:val="Quote"/>
      </w:pPr>
      <w:bookmarkStart w:id="610" w:name="_Toc49273355"/>
      <w:bookmarkStart w:id="611" w:name="_Toc64724108"/>
      <w:r w:rsidRPr="007A2ECE">
        <w:lastRenderedPageBreak/>
        <w:t>Table C.10 Baseline demographic statistics, measurements comparing the groups P+ and P- by Students T test</w:t>
      </w:r>
      <w:bookmarkEnd w:id="610"/>
      <w:bookmarkEnd w:id="611"/>
      <w:r w:rsidRPr="007A2ECE">
        <w:t xml:space="preserve">  </w:t>
      </w:r>
    </w:p>
    <w:tbl>
      <w:tblPr>
        <w:tblStyle w:val="GridTable2-Accent63"/>
        <w:tblW w:w="0" w:type="auto"/>
        <w:tblLayout w:type="fixed"/>
        <w:tblLook w:val="04A0" w:firstRow="1" w:lastRow="0" w:firstColumn="1" w:lastColumn="0" w:noHBand="0" w:noVBand="1"/>
      </w:tblPr>
      <w:tblGrid>
        <w:gridCol w:w="4395"/>
        <w:gridCol w:w="593"/>
        <w:gridCol w:w="716"/>
        <w:gridCol w:w="722"/>
        <w:gridCol w:w="352"/>
        <w:gridCol w:w="716"/>
        <w:gridCol w:w="586"/>
        <w:gridCol w:w="940"/>
      </w:tblGrid>
      <w:tr w:rsidR="009968E0" w:rsidRPr="009968E0" w14:paraId="050FF839" w14:textId="77777777" w:rsidTr="009968E0">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395" w:type="dxa"/>
            <w:tcBorders>
              <w:top w:val="single" w:sz="4" w:space="0" w:color="auto"/>
              <w:left w:val="single" w:sz="4" w:space="0" w:color="auto"/>
              <w:right w:val="single" w:sz="4" w:space="0" w:color="auto"/>
            </w:tcBorders>
            <w:noWrap/>
            <w:hideMark/>
          </w:tcPr>
          <w:p w14:paraId="1A0D5262" w14:textId="77777777" w:rsidR="009968E0" w:rsidRPr="009968E0" w:rsidRDefault="009968E0" w:rsidP="009968E0">
            <w:pPr>
              <w:spacing w:line="360" w:lineRule="auto"/>
              <w:jc w:val="right"/>
              <w:rPr>
                <w:rFonts w:ascii="Calibri" w:eastAsia="Times New Roman" w:hAnsi="Calibri" w:cs="Calibri"/>
                <w:i/>
                <w:iCs/>
                <w:sz w:val="22"/>
                <w:szCs w:val="22"/>
                <w:lang w:eastAsia="en-GB"/>
              </w:rPr>
            </w:pPr>
          </w:p>
        </w:tc>
        <w:tc>
          <w:tcPr>
            <w:tcW w:w="2031" w:type="dxa"/>
            <w:gridSpan w:val="3"/>
            <w:tcBorders>
              <w:top w:val="single" w:sz="4" w:space="0" w:color="auto"/>
              <w:left w:val="single" w:sz="4" w:space="0" w:color="auto"/>
              <w:right w:val="single" w:sz="4" w:space="0" w:color="auto"/>
            </w:tcBorders>
            <w:noWrap/>
            <w:hideMark/>
          </w:tcPr>
          <w:p w14:paraId="0C1E48E1" w14:textId="77777777" w:rsidR="009968E0" w:rsidRPr="009968E0" w:rsidRDefault="009968E0" w:rsidP="009968E0">
            <w:pPr>
              <w:spacing w:line="36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color w:val="000000"/>
                <w:sz w:val="22"/>
                <w:szCs w:val="22"/>
                <w:lang w:eastAsia="en-GB"/>
              </w:rPr>
              <w:t>P+</w:t>
            </w:r>
          </w:p>
        </w:tc>
        <w:tc>
          <w:tcPr>
            <w:tcW w:w="1654" w:type="dxa"/>
            <w:gridSpan w:val="3"/>
            <w:tcBorders>
              <w:top w:val="single" w:sz="4" w:space="0" w:color="auto"/>
              <w:left w:val="single" w:sz="4" w:space="0" w:color="auto"/>
              <w:right w:val="single" w:sz="4" w:space="0" w:color="auto"/>
            </w:tcBorders>
            <w:noWrap/>
            <w:hideMark/>
          </w:tcPr>
          <w:p w14:paraId="00DE99F6" w14:textId="77777777" w:rsidR="009968E0" w:rsidRPr="009968E0" w:rsidRDefault="009968E0" w:rsidP="009968E0">
            <w:pPr>
              <w:spacing w:line="36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color w:val="000000"/>
                <w:sz w:val="22"/>
                <w:szCs w:val="22"/>
                <w:lang w:eastAsia="en-GB"/>
              </w:rPr>
              <w:t>P-</w:t>
            </w:r>
          </w:p>
        </w:tc>
        <w:tc>
          <w:tcPr>
            <w:tcW w:w="940" w:type="dxa"/>
            <w:tcBorders>
              <w:top w:val="single" w:sz="4" w:space="0" w:color="auto"/>
              <w:left w:val="single" w:sz="4" w:space="0" w:color="auto"/>
              <w:right w:val="single" w:sz="4" w:space="0" w:color="auto"/>
            </w:tcBorders>
          </w:tcPr>
          <w:p w14:paraId="76C52B03" w14:textId="77777777" w:rsidR="009968E0" w:rsidRPr="009968E0" w:rsidRDefault="009968E0" w:rsidP="009968E0">
            <w:pPr>
              <w:spacing w:line="36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p>
        </w:tc>
      </w:tr>
      <w:tr w:rsidR="009968E0" w:rsidRPr="009968E0" w14:paraId="67C1F884"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395" w:type="dxa"/>
            <w:tcBorders>
              <w:left w:val="single" w:sz="4" w:space="0" w:color="auto"/>
            </w:tcBorders>
            <w:noWrap/>
            <w:hideMark/>
          </w:tcPr>
          <w:p w14:paraId="50B25189" w14:textId="77777777" w:rsidR="009968E0" w:rsidRPr="009968E0" w:rsidRDefault="009968E0" w:rsidP="009968E0">
            <w:pPr>
              <w:spacing w:line="360" w:lineRule="auto"/>
              <w:jc w:val="right"/>
              <w:rPr>
                <w:rFonts w:ascii="Calibri" w:eastAsia="Times New Roman" w:hAnsi="Calibri" w:cs="Calibri"/>
                <w:i/>
                <w:iCs/>
                <w:sz w:val="22"/>
                <w:szCs w:val="22"/>
                <w:lang w:eastAsia="en-GB"/>
              </w:rPr>
            </w:pPr>
          </w:p>
        </w:tc>
        <w:tc>
          <w:tcPr>
            <w:tcW w:w="593" w:type="dxa"/>
            <w:noWrap/>
            <w:hideMark/>
          </w:tcPr>
          <w:p w14:paraId="63EEE2C3" w14:textId="77777777" w:rsidR="009968E0" w:rsidRPr="009968E0" w:rsidRDefault="009968E0" w:rsidP="009968E0">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w:t>
            </w:r>
          </w:p>
        </w:tc>
        <w:tc>
          <w:tcPr>
            <w:tcW w:w="716" w:type="dxa"/>
            <w:noWrap/>
            <w:hideMark/>
          </w:tcPr>
          <w:p w14:paraId="5E7E458E" w14:textId="77777777" w:rsidR="009968E0" w:rsidRPr="009968E0" w:rsidRDefault="009968E0" w:rsidP="009968E0">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722" w:type="dxa"/>
            <w:noWrap/>
            <w:hideMark/>
          </w:tcPr>
          <w:p w14:paraId="2D3F35F3" w14:textId="77777777" w:rsidR="009968E0" w:rsidRPr="009968E0" w:rsidRDefault="009968E0" w:rsidP="009968E0">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Std. D</w:t>
            </w:r>
          </w:p>
        </w:tc>
        <w:tc>
          <w:tcPr>
            <w:tcW w:w="352" w:type="dxa"/>
            <w:noWrap/>
            <w:hideMark/>
          </w:tcPr>
          <w:p w14:paraId="6D056B30" w14:textId="77777777" w:rsidR="009968E0" w:rsidRPr="009968E0" w:rsidRDefault="009968E0" w:rsidP="009968E0">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w:t>
            </w:r>
          </w:p>
        </w:tc>
        <w:tc>
          <w:tcPr>
            <w:tcW w:w="716" w:type="dxa"/>
            <w:noWrap/>
            <w:hideMark/>
          </w:tcPr>
          <w:p w14:paraId="03EE0E52" w14:textId="77777777" w:rsidR="009968E0" w:rsidRPr="009968E0" w:rsidRDefault="009968E0" w:rsidP="009968E0">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586" w:type="dxa"/>
            <w:noWrap/>
            <w:hideMark/>
          </w:tcPr>
          <w:p w14:paraId="5EA81942" w14:textId="77777777" w:rsidR="009968E0" w:rsidRPr="009968E0" w:rsidRDefault="009968E0" w:rsidP="009968E0">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Std. D</w:t>
            </w:r>
          </w:p>
        </w:tc>
        <w:tc>
          <w:tcPr>
            <w:tcW w:w="940" w:type="dxa"/>
            <w:tcBorders>
              <w:right w:val="single" w:sz="4" w:space="0" w:color="auto"/>
            </w:tcBorders>
          </w:tcPr>
          <w:p w14:paraId="71DDDF07" w14:textId="77777777" w:rsidR="009968E0" w:rsidRPr="009968E0" w:rsidRDefault="009968E0" w:rsidP="009968E0">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Sig p=</w:t>
            </w:r>
          </w:p>
        </w:tc>
      </w:tr>
      <w:tr w:rsidR="009968E0" w:rsidRPr="009968E0" w14:paraId="40E1B75C"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4395" w:type="dxa"/>
            <w:tcBorders>
              <w:left w:val="single" w:sz="4" w:space="0" w:color="auto"/>
            </w:tcBorders>
            <w:noWrap/>
            <w:hideMark/>
          </w:tcPr>
          <w:p w14:paraId="1767CC3A"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Age (</w:t>
            </w:r>
            <w:proofErr w:type="spellStart"/>
            <w:r w:rsidRPr="009968E0">
              <w:rPr>
                <w:rFonts w:ascii="Calibri" w:eastAsia="Times New Roman" w:hAnsi="Calibri" w:cs="Calibri"/>
                <w:i/>
                <w:iCs/>
                <w:color w:val="000000"/>
                <w:sz w:val="22"/>
                <w:szCs w:val="22"/>
                <w:lang w:eastAsia="en-GB"/>
              </w:rPr>
              <w:t>yrs</w:t>
            </w:r>
            <w:proofErr w:type="spellEnd"/>
            <w:r w:rsidRPr="009968E0">
              <w:rPr>
                <w:rFonts w:ascii="Calibri" w:eastAsia="Times New Roman" w:hAnsi="Calibri" w:cs="Calibri"/>
                <w:i/>
                <w:iCs/>
                <w:color w:val="000000"/>
                <w:sz w:val="22"/>
                <w:szCs w:val="22"/>
                <w:lang w:eastAsia="en-GB"/>
              </w:rPr>
              <w:t>)</w:t>
            </w:r>
          </w:p>
        </w:tc>
        <w:tc>
          <w:tcPr>
            <w:tcW w:w="593" w:type="dxa"/>
            <w:noWrap/>
            <w:hideMark/>
          </w:tcPr>
          <w:p w14:paraId="0412929C"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w:t>
            </w:r>
          </w:p>
        </w:tc>
        <w:tc>
          <w:tcPr>
            <w:tcW w:w="716" w:type="dxa"/>
            <w:noWrap/>
            <w:hideMark/>
          </w:tcPr>
          <w:p w14:paraId="578F0D5D"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52.2</w:t>
            </w:r>
          </w:p>
        </w:tc>
        <w:tc>
          <w:tcPr>
            <w:tcW w:w="722" w:type="dxa"/>
            <w:noWrap/>
            <w:hideMark/>
          </w:tcPr>
          <w:p w14:paraId="26008673"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9.4</w:t>
            </w:r>
          </w:p>
        </w:tc>
        <w:tc>
          <w:tcPr>
            <w:tcW w:w="352" w:type="dxa"/>
            <w:noWrap/>
            <w:hideMark/>
          </w:tcPr>
          <w:p w14:paraId="7D329F33"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w:t>
            </w:r>
          </w:p>
        </w:tc>
        <w:tc>
          <w:tcPr>
            <w:tcW w:w="716" w:type="dxa"/>
            <w:noWrap/>
            <w:hideMark/>
          </w:tcPr>
          <w:p w14:paraId="1A1254ED"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50.4</w:t>
            </w:r>
          </w:p>
        </w:tc>
        <w:tc>
          <w:tcPr>
            <w:tcW w:w="586" w:type="dxa"/>
            <w:noWrap/>
            <w:hideMark/>
          </w:tcPr>
          <w:p w14:paraId="4C50C311"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8.9</w:t>
            </w:r>
          </w:p>
        </w:tc>
        <w:tc>
          <w:tcPr>
            <w:tcW w:w="940" w:type="dxa"/>
            <w:tcBorders>
              <w:right w:val="single" w:sz="4" w:space="0" w:color="auto"/>
            </w:tcBorders>
          </w:tcPr>
          <w:p w14:paraId="51583B24"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.68</w:t>
            </w:r>
          </w:p>
        </w:tc>
      </w:tr>
      <w:tr w:rsidR="009968E0" w:rsidRPr="009968E0" w14:paraId="3E1B6C53"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395" w:type="dxa"/>
            <w:tcBorders>
              <w:left w:val="single" w:sz="4" w:space="0" w:color="auto"/>
            </w:tcBorders>
            <w:noWrap/>
            <w:hideMark/>
          </w:tcPr>
          <w:p w14:paraId="2E4411C0"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BMI</w:t>
            </w:r>
          </w:p>
        </w:tc>
        <w:tc>
          <w:tcPr>
            <w:tcW w:w="593" w:type="dxa"/>
            <w:noWrap/>
            <w:hideMark/>
          </w:tcPr>
          <w:p w14:paraId="0469B79D"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w:t>
            </w:r>
          </w:p>
        </w:tc>
        <w:tc>
          <w:tcPr>
            <w:tcW w:w="716" w:type="dxa"/>
            <w:noWrap/>
            <w:hideMark/>
          </w:tcPr>
          <w:p w14:paraId="66B5B2BD"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26.8</w:t>
            </w:r>
          </w:p>
        </w:tc>
        <w:tc>
          <w:tcPr>
            <w:tcW w:w="722" w:type="dxa"/>
            <w:noWrap/>
            <w:hideMark/>
          </w:tcPr>
          <w:p w14:paraId="6396D90B"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3.5</w:t>
            </w:r>
          </w:p>
        </w:tc>
        <w:tc>
          <w:tcPr>
            <w:tcW w:w="352" w:type="dxa"/>
            <w:noWrap/>
            <w:hideMark/>
          </w:tcPr>
          <w:p w14:paraId="2D1179C7"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w:t>
            </w:r>
          </w:p>
        </w:tc>
        <w:tc>
          <w:tcPr>
            <w:tcW w:w="716" w:type="dxa"/>
            <w:noWrap/>
            <w:hideMark/>
          </w:tcPr>
          <w:p w14:paraId="127987A9"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26.7</w:t>
            </w:r>
          </w:p>
        </w:tc>
        <w:tc>
          <w:tcPr>
            <w:tcW w:w="586" w:type="dxa"/>
            <w:noWrap/>
            <w:hideMark/>
          </w:tcPr>
          <w:p w14:paraId="5B5612FE"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5.7</w:t>
            </w:r>
          </w:p>
        </w:tc>
        <w:tc>
          <w:tcPr>
            <w:tcW w:w="940" w:type="dxa"/>
            <w:tcBorders>
              <w:right w:val="single" w:sz="4" w:space="0" w:color="auto"/>
            </w:tcBorders>
          </w:tcPr>
          <w:p w14:paraId="102387BF"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.98</w:t>
            </w:r>
          </w:p>
        </w:tc>
      </w:tr>
      <w:tr w:rsidR="009968E0" w:rsidRPr="009968E0" w14:paraId="49B75D1F"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4395" w:type="dxa"/>
            <w:tcBorders>
              <w:left w:val="single" w:sz="4" w:space="0" w:color="auto"/>
            </w:tcBorders>
            <w:noWrap/>
            <w:hideMark/>
          </w:tcPr>
          <w:p w14:paraId="3D177FFF"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pain duration (</w:t>
            </w:r>
            <w:proofErr w:type="spellStart"/>
            <w:r w:rsidRPr="009968E0">
              <w:rPr>
                <w:rFonts w:ascii="Calibri" w:eastAsia="Times New Roman" w:hAnsi="Calibri" w:cs="Calibri"/>
                <w:i/>
                <w:iCs/>
                <w:color w:val="000000"/>
                <w:sz w:val="22"/>
                <w:szCs w:val="22"/>
                <w:lang w:eastAsia="en-GB"/>
              </w:rPr>
              <w:t>yrs</w:t>
            </w:r>
            <w:proofErr w:type="spellEnd"/>
            <w:r w:rsidRPr="009968E0">
              <w:rPr>
                <w:rFonts w:ascii="Calibri" w:eastAsia="Times New Roman" w:hAnsi="Calibri" w:cs="Calibri"/>
                <w:i/>
                <w:iCs/>
                <w:color w:val="000000"/>
                <w:sz w:val="22"/>
                <w:szCs w:val="22"/>
                <w:lang w:eastAsia="en-GB"/>
              </w:rPr>
              <w:t>)</w:t>
            </w:r>
          </w:p>
        </w:tc>
        <w:tc>
          <w:tcPr>
            <w:tcW w:w="593" w:type="dxa"/>
            <w:noWrap/>
            <w:hideMark/>
          </w:tcPr>
          <w:p w14:paraId="49963D4B"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w:t>
            </w:r>
          </w:p>
        </w:tc>
        <w:tc>
          <w:tcPr>
            <w:tcW w:w="716" w:type="dxa"/>
            <w:noWrap/>
            <w:hideMark/>
          </w:tcPr>
          <w:p w14:paraId="23BA300D"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12.4</w:t>
            </w:r>
          </w:p>
        </w:tc>
        <w:tc>
          <w:tcPr>
            <w:tcW w:w="722" w:type="dxa"/>
            <w:noWrap/>
            <w:hideMark/>
          </w:tcPr>
          <w:p w14:paraId="38D23957"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7.5</w:t>
            </w:r>
          </w:p>
        </w:tc>
        <w:tc>
          <w:tcPr>
            <w:tcW w:w="352" w:type="dxa"/>
            <w:noWrap/>
            <w:hideMark/>
          </w:tcPr>
          <w:p w14:paraId="73EE978B"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w:t>
            </w:r>
          </w:p>
        </w:tc>
        <w:tc>
          <w:tcPr>
            <w:tcW w:w="716" w:type="dxa"/>
            <w:noWrap/>
            <w:hideMark/>
          </w:tcPr>
          <w:p w14:paraId="2338A0A4"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9.8</w:t>
            </w:r>
          </w:p>
        </w:tc>
        <w:tc>
          <w:tcPr>
            <w:tcW w:w="586" w:type="dxa"/>
            <w:noWrap/>
            <w:hideMark/>
          </w:tcPr>
          <w:p w14:paraId="4E7771D8"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7.2</w:t>
            </w:r>
          </w:p>
        </w:tc>
        <w:tc>
          <w:tcPr>
            <w:tcW w:w="940" w:type="dxa"/>
            <w:tcBorders>
              <w:right w:val="single" w:sz="4" w:space="0" w:color="auto"/>
            </w:tcBorders>
          </w:tcPr>
          <w:p w14:paraId="57574322"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.46</w:t>
            </w:r>
          </w:p>
        </w:tc>
      </w:tr>
      <w:tr w:rsidR="009968E0" w:rsidRPr="009968E0" w14:paraId="354FA010"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395" w:type="dxa"/>
            <w:tcBorders>
              <w:left w:val="single" w:sz="4" w:space="0" w:color="auto"/>
            </w:tcBorders>
            <w:noWrap/>
            <w:hideMark/>
          </w:tcPr>
          <w:p w14:paraId="1A7C4C13" w14:textId="197733BE" w:rsidR="009968E0" w:rsidRPr="009968E0" w:rsidRDefault="00233478" w:rsidP="009968E0">
            <w:pPr>
              <w:spacing w:line="360" w:lineRule="auto"/>
              <w:jc w:val="right"/>
              <w:rPr>
                <w:rFonts w:ascii="Calibri" w:eastAsia="Times New Roman" w:hAnsi="Calibri" w:cs="Calibri"/>
                <w:i/>
                <w:iCs/>
                <w:color w:val="000000"/>
                <w:sz w:val="22"/>
                <w:szCs w:val="22"/>
                <w:lang w:eastAsia="en-GB"/>
              </w:rPr>
            </w:pPr>
            <w:r>
              <w:rPr>
                <w:rFonts w:ascii="Calibri" w:eastAsia="Times New Roman" w:hAnsi="Calibri" w:cs="Calibri"/>
                <w:i/>
                <w:iCs/>
                <w:color w:val="000000"/>
                <w:sz w:val="22"/>
                <w:szCs w:val="22"/>
                <w:lang w:eastAsia="en-GB"/>
              </w:rPr>
              <w:t>eGFR</w:t>
            </w:r>
            <w:r w:rsidR="009968E0" w:rsidRPr="009968E0">
              <w:rPr>
                <w:rFonts w:ascii="Calibri" w:eastAsia="Times New Roman" w:hAnsi="Calibri" w:cs="Calibri"/>
                <w:i/>
                <w:iCs/>
                <w:color w:val="000000"/>
                <w:sz w:val="22"/>
                <w:szCs w:val="22"/>
                <w:lang w:eastAsia="en-GB"/>
              </w:rPr>
              <w:t xml:space="preserve"> (ml/min/1.73m</w:t>
            </w:r>
            <w:r w:rsidR="009968E0" w:rsidRPr="009968E0">
              <w:rPr>
                <w:rFonts w:ascii="Calibri" w:eastAsia="Times New Roman" w:hAnsi="Calibri" w:cs="Calibri"/>
                <w:i/>
                <w:iCs/>
                <w:color w:val="000000"/>
                <w:sz w:val="22"/>
                <w:szCs w:val="22"/>
                <w:vertAlign w:val="superscript"/>
                <w:lang w:eastAsia="en-GB"/>
              </w:rPr>
              <w:t>2</w:t>
            </w:r>
            <w:r w:rsidR="009968E0" w:rsidRPr="009968E0">
              <w:rPr>
                <w:rFonts w:ascii="Calibri" w:eastAsia="Times New Roman" w:hAnsi="Calibri" w:cs="Calibri"/>
                <w:i/>
                <w:iCs/>
                <w:color w:val="000000"/>
                <w:sz w:val="22"/>
                <w:szCs w:val="22"/>
                <w:lang w:eastAsia="en-GB"/>
              </w:rPr>
              <w:t>)</w:t>
            </w:r>
          </w:p>
        </w:tc>
        <w:tc>
          <w:tcPr>
            <w:tcW w:w="593" w:type="dxa"/>
            <w:noWrap/>
            <w:hideMark/>
          </w:tcPr>
          <w:p w14:paraId="2D7F3844"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w:t>
            </w:r>
          </w:p>
        </w:tc>
        <w:tc>
          <w:tcPr>
            <w:tcW w:w="716" w:type="dxa"/>
            <w:noWrap/>
            <w:hideMark/>
          </w:tcPr>
          <w:p w14:paraId="049E477F"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80.2</w:t>
            </w:r>
          </w:p>
        </w:tc>
        <w:tc>
          <w:tcPr>
            <w:tcW w:w="722" w:type="dxa"/>
            <w:noWrap/>
            <w:hideMark/>
          </w:tcPr>
          <w:p w14:paraId="47298EDB"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14.3</w:t>
            </w:r>
          </w:p>
        </w:tc>
        <w:tc>
          <w:tcPr>
            <w:tcW w:w="352" w:type="dxa"/>
            <w:noWrap/>
            <w:hideMark/>
          </w:tcPr>
          <w:p w14:paraId="205A387C"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w:t>
            </w:r>
          </w:p>
        </w:tc>
        <w:tc>
          <w:tcPr>
            <w:tcW w:w="716" w:type="dxa"/>
            <w:noWrap/>
            <w:hideMark/>
          </w:tcPr>
          <w:p w14:paraId="4035A71E"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84.6</w:t>
            </w:r>
          </w:p>
        </w:tc>
        <w:tc>
          <w:tcPr>
            <w:tcW w:w="586" w:type="dxa"/>
            <w:noWrap/>
            <w:hideMark/>
          </w:tcPr>
          <w:p w14:paraId="6558FAF8"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8.0</w:t>
            </w:r>
          </w:p>
        </w:tc>
        <w:tc>
          <w:tcPr>
            <w:tcW w:w="940" w:type="dxa"/>
            <w:tcBorders>
              <w:right w:val="single" w:sz="4" w:space="0" w:color="auto"/>
            </w:tcBorders>
          </w:tcPr>
          <w:p w14:paraId="21A0EA77"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.43</w:t>
            </w:r>
          </w:p>
        </w:tc>
      </w:tr>
      <w:tr w:rsidR="009968E0" w:rsidRPr="009968E0" w14:paraId="7C532541"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4395" w:type="dxa"/>
            <w:tcBorders>
              <w:left w:val="single" w:sz="4" w:space="0" w:color="auto"/>
            </w:tcBorders>
            <w:noWrap/>
            <w:hideMark/>
          </w:tcPr>
          <w:p w14:paraId="4ABC4E91"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Urinary Microalbumin ratio (mg/min)</w:t>
            </w:r>
          </w:p>
        </w:tc>
        <w:tc>
          <w:tcPr>
            <w:tcW w:w="593" w:type="dxa"/>
            <w:noWrap/>
            <w:hideMark/>
          </w:tcPr>
          <w:p w14:paraId="351EF8D4"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w:t>
            </w:r>
          </w:p>
        </w:tc>
        <w:tc>
          <w:tcPr>
            <w:tcW w:w="716" w:type="dxa"/>
            <w:noWrap/>
            <w:hideMark/>
          </w:tcPr>
          <w:p w14:paraId="003CA2EE"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1.3</w:t>
            </w:r>
          </w:p>
        </w:tc>
        <w:tc>
          <w:tcPr>
            <w:tcW w:w="722" w:type="dxa"/>
            <w:noWrap/>
            <w:hideMark/>
          </w:tcPr>
          <w:p w14:paraId="314323A2"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1.4</w:t>
            </w:r>
          </w:p>
        </w:tc>
        <w:tc>
          <w:tcPr>
            <w:tcW w:w="352" w:type="dxa"/>
            <w:noWrap/>
            <w:hideMark/>
          </w:tcPr>
          <w:p w14:paraId="77BAC6E8"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w:t>
            </w:r>
          </w:p>
        </w:tc>
        <w:tc>
          <w:tcPr>
            <w:tcW w:w="716" w:type="dxa"/>
            <w:noWrap/>
            <w:hideMark/>
          </w:tcPr>
          <w:p w14:paraId="536D9E54"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w:t>
            </w:r>
          </w:p>
        </w:tc>
        <w:tc>
          <w:tcPr>
            <w:tcW w:w="586" w:type="dxa"/>
            <w:noWrap/>
            <w:hideMark/>
          </w:tcPr>
          <w:p w14:paraId="2F5FD3A9"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0.8</w:t>
            </w:r>
          </w:p>
        </w:tc>
        <w:tc>
          <w:tcPr>
            <w:tcW w:w="940" w:type="dxa"/>
            <w:tcBorders>
              <w:right w:val="single" w:sz="4" w:space="0" w:color="auto"/>
            </w:tcBorders>
          </w:tcPr>
          <w:p w14:paraId="0A47B764"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.58</w:t>
            </w:r>
          </w:p>
        </w:tc>
      </w:tr>
      <w:tr w:rsidR="009968E0" w:rsidRPr="009968E0" w14:paraId="4A346E57"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395" w:type="dxa"/>
            <w:tcBorders>
              <w:left w:val="single" w:sz="4" w:space="0" w:color="auto"/>
            </w:tcBorders>
            <w:noWrap/>
            <w:hideMark/>
          </w:tcPr>
          <w:p w14:paraId="1CC93C15"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Hba1c (mmol/mol)</w:t>
            </w:r>
          </w:p>
        </w:tc>
        <w:tc>
          <w:tcPr>
            <w:tcW w:w="593" w:type="dxa"/>
            <w:noWrap/>
            <w:hideMark/>
          </w:tcPr>
          <w:p w14:paraId="6F12A2B4"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w:t>
            </w:r>
          </w:p>
        </w:tc>
        <w:tc>
          <w:tcPr>
            <w:tcW w:w="716" w:type="dxa"/>
            <w:noWrap/>
            <w:hideMark/>
          </w:tcPr>
          <w:p w14:paraId="38F8D29F"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79.9</w:t>
            </w:r>
          </w:p>
        </w:tc>
        <w:tc>
          <w:tcPr>
            <w:tcW w:w="722" w:type="dxa"/>
            <w:noWrap/>
            <w:hideMark/>
          </w:tcPr>
          <w:p w14:paraId="3CB4E1B9"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20.9</w:t>
            </w:r>
          </w:p>
        </w:tc>
        <w:tc>
          <w:tcPr>
            <w:tcW w:w="352" w:type="dxa"/>
            <w:noWrap/>
            <w:hideMark/>
          </w:tcPr>
          <w:p w14:paraId="02444662"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w:t>
            </w:r>
          </w:p>
        </w:tc>
        <w:tc>
          <w:tcPr>
            <w:tcW w:w="716" w:type="dxa"/>
            <w:noWrap/>
            <w:hideMark/>
          </w:tcPr>
          <w:p w14:paraId="104CDEB8"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75.1</w:t>
            </w:r>
          </w:p>
        </w:tc>
        <w:tc>
          <w:tcPr>
            <w:tcW w:w="586" w:type="dxa"/>
            <w:noWrap/>
            <w:hideMark/>
          </w:tcPr>
          <w:p w14:paraId="7008E666"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24.3</w:t>
            </w:r>
          </w:p>
        </w:tc>
        <w:tc>
          <w:tcPr>
            <w:tcW w:w="940" w:type="dxa"/>
            <w:tcBorders>
              <w:right w:val="single" w:sz="4" w:space="0" w:color="auto"/>
            </w:tcBorders>
          </w:tcPr>
          <w:p w14:paraId="207BD8AF"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.65</w:t>
            </w:r>
          </w:p>
        </w:tc>
      </w:tr>
      <w:tr w:rsidR="009968E0" w:rsidRPr="009968E0" w14:paraId="6A796EF9"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4395" w:type="dxa"/>
            <w:tcBorders>
              <w:left w:val="single" w:sz="4" w:space="0" w:color="auto"/>
            </w:tcBorders>
            <w:noWrap/>
            <w:hideMark/>
          </w:tcPr>
          <w:p w14:paraId="5879E55B"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DN4</w:t>
            </w:r>
          </w:p>
        </w:tc>
        <w:tc>
          <w:tcPr>
            <w:tcW w:w="593" w:type="dxa"/>
            <w:noWrap/>
            <w:hideMark/>
          </w:tcPr>
          <w:p w14:paraId="5760C786"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w:t>
            </w:r>
          </w:p>
        </w:tc>
        <w:tc>
          <w:tcPr>
            <w:tcW w:w="716" w:type="dxa"/>
            <w:noWrap/>
            <w:hideMark/>
          </w:tcPr>
          <w:p w14:paraId="36D335FF"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6.2</w:t>
            </w:r>
          </w:p>
        </w:tc>
        <w:tc>
          <w:tcPr>
            <w:tcW w:w="722" w:type="dxa"/>
            <w:noWrap/>
            <w:hideMark/>
          </w:tcPr>
          <w:p w14:paraId="5FCB5B11"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1.3</w:t>
            </w:r>
          </w:p>
        </w:tc>
        <w:tc>
          <w:tcPr>
            <w:tcW w:w="352" w:type="dxa"/>
            <w:noWrap/>
            <w:hideMark/>
          </w:tcPr>
          <w:p w14:paraId="17717671"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w:t>
            </w:r>
          </w:p>
        </w:tc>
        <w:tc>
          <w:tcPr>
            <w:tcW w:w="716" w:type="dxa"/>
            <w:noWrap/>
            <w:hideMark/>
          </w:tcPr>
          <w:p w14:paraId="76D989AA"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6.7</w:t>
            </w:r>
          </w:p>
        </w:tc>
        <w:tc>
          <w:tcPr>
            <w:tcW w:w="586" w:type="dxa"/>
            <w:noWrap/>
            <w:hideMark/>
          </w:tcPr>
          <w:p w14:paraId="12833CF1"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1.6</w:t>
            </w:r>
          </w:p>
        </w:tc>
        <w:tc>
          <w:tcPr>
            <w:tcW w:w="940" w:type="dxa"/>
            <w:tcBorders>
              <w:right w:val="single" w:sz="4" w:space="0" w:color="auto"/>
            </w:tcBorders>
          </w:tcPr>
          <w:p w14:paraId="4FC59888"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.50</w:t>
            </w:r>
          </w:p>
        </w:tc>
      </w:tr>
      <w:tr w:rsidR="009968E0" w:rsidRPr="009968E0" w14:paraId="2E796A5D"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395" w:type="dxa"/>
            <w:tcBorders>
              <w:left w:val="single" w:sz="4" w:space="0" w:color="auto"/>
            </w:tcBorders>
            <w:noWrap/>
            <w:hideMark/>
          </w:tcPr>
          <w:p w14:paraId="4FA330EE"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NISLL+7</w:t>
            </w:r>
          </w:p>
        </w:tc>
        <w:tc>
          <w:tcPr>
            <w:tcW w:w="593" w:type="dxa"/>
            <w:noWrap/>
            <w:hideMark/>
          </w:tcPr>
          <w:p w14:paraId="4298F892"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w:t>
            </w:r>
          </w:p>
        </w:tc>
        <w:tc>
          <w:tcPr>
            <w:tcW w:w="716" w:type="dxa"/>
            <w:noWrap/>
            <w:hideMark/>
          </w:tcPr>
          <w:p w14:paraId="0184D847"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36.7</w:t>
            </w:r>
          </w:p>
        </w:tc>
        <w:tc>
          <w:tcPr>
            <w:tcW w:w="722" w:type="dxa"/>
            <w:noWrap/>
            <w:hideMark/>
          </w:tcPr>
          <w:p w14:paraId="6069CA19"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22.4</w:t>
            </w:r>
          </w:p>
        </w:tc>
        <w:tc>
          <w:tcPr>
            <w:tcW w:w="352" w:type="dxa"/>
            <w:noWrap/>
            <w:hideMark/>
          </w:tcPr>
          <w:p w14:paraId="557B04A9"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w:t>
            </w:r>
          </w:p>
        </w:tc>
        <w:tc>
          <w:tcPr>
            <w:tcW w:w="716" w:type="dxa"/>
            <w:noWrap/>
            <w:hideMark/>
          </w:tcPr>
          <w:p w14:paraId="6B6EBC0E"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38.1</w:t>
            </w:r>
          </w:p>
        </w:tc>
        <w:tc>
          <w:tcPr>
            <w:tcW w:w="586" w:type="dxa"/>
            <w:noWrap/>
            <w:hideMark/>
          </w:tcPr>
          <w:p w14:paraId="12315E2C"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18.1</w:t>
            </w:r>
          </w:p>
        </w:tc>
        <w:tc>
          <w:tcPr>
            <w:tcW w:w="940" w:type="dxa"/>
            <w:tcBorders>
              <w:right w:val="single" w:sz="4" w:space="0" w:color="auto"/>
            </w:tcBorders>
          </w:tcPr>
          <w:p w14:paraId="0AF685D8"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.89</w:t>
            </w:r>
          </w:p>
        </w:tc>
      </w:tr>
      <w:tr w:rsidR="009968E0" w:rsidRPr="009968E0" w14:paraId="7AB163EC"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4395" w:type="dxa"/>
            <w:tcBorders>
              <w:left w:val="single" w:sz="4" w:space="0" w:color="auto"/>
            </w:tcBorders>
            <w:noWrap/>
            <w:hideMark/>
          </w:tcPr>
          <w:p w14:paraId="02F242C9"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V2 spontaneous pain score/10</w:t>
            </w:r>
          </w:p>
        </w:tc>
        <w:tc>
          <w:tcPr>
            <w:tcW w:w="593" w:type="dxa"/>
            <w:noWrap/>
            <w:hideMark/>
          </w:tcPr>
          <w:p w14:paraId="22F8DA0F"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w:t>
            </w:r>
          </w:p>
        </w:tc>
        <w:tc>
          <w:tcPr>
            <w:tcW w:w="716" w:type="dxa"/>
            <w:noWrap/>
            <w:hideMark/>
          </w:tcPr>
          <w:p w14:paraId="3FD23E67"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7.2</w:t>
            </w:r>
          </w:p>
        </w:tc>
        <w:tc>
          <w:tcPr>
            <w:tcW w:w="722" w:type="dxa"/>
            <w:noWrap/>
            <w:hideMark/>
          </w:tcPr>
          <w:p w14:paraId="7FB0D4CC"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1.8</w:t>
            </w:r>
          </w:p>
        </w:tc>
        <w:tc>
          <w:tcPr>
            <w:tcW w:w="352" w:type="dxa"/>
            <w:noWrap/>
            <w:hideMark/>
          </w:tcPr>
          <w:p w14:paraId="3DE09F14"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w:t>
            </w:r>
          </w:p>
        </w:tc>
        <w:tc>
          <w:tcPr>
            <w:tcW w:w="716" w:type="dxa"/>
            <w:noWrap/>
            <w:hideMark/>
          </w:tcPr>
          <w:p w14:paraId="6D439D9A"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0.6</w:t>
            </w:r>
          </w:p>
        </w:tc>
        <w:tc>
          <w:tcPr>
            <w:tcW w:w="586" w:type="dxa"/>
            <w:noWrap/>
            <w:hideMark/>
          </w:tcPr>
          <w:p w14:paraId="560206E5"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1.2</w:t>
            </w:r>
          </w:p>
        </w:tc>
        <w:tc>
          <w:tcPr>
            <w:tcW w:w="940" w:type="dxa"/>
            <w:tcBorders>
              <w:right w:val="single" w:sz="4" w:space="0" w:color="auto"/>
            </w:tcBorders>
          </w:tcPr>
          <w:p w14:paraId="26CF530A"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&lt;.0001</w:t>
            </w:r>
          </w:p>
        </w:tc>
      </w:tr>
      <w:tr w:rsidR="009968E0" w:rsidRPr="009968E0" w14:paraId="0B977FD5"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395" w:type="dxa"/>
            <w:tcBorders>
              <w:left w:val="single" w:sz="4" w:space="0" w:color="auto"/>
            </w:tcBorders>
            <w:noWrap/>
            <w:hideMark/>
          </w:tcPr>
          <w:p w14:paraId="025344E8"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V2 pulse (beats/min)</w:t>
            </w:r>
          </w:p>
        </w:tc>
        <w:tc>
          <w:tcPr>
            <w:tcW w:w="593" w:type="dxa"/>
            <w:noWrap/>
            <w:hideMark/>
          </w:tcPr>
          <w:p w14:paraId="4F87289C"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w:t>
            </w:r>
          </w:p>
        </w:tc>
        <w:tc>
          <w:tcPr>
            <w:tcW w:w="716" w:type="dxa"/>
            <w:noWrap/>
            <w:hideMark/>
          </w:tcPr>
          <w:p w14:paraId="0F2DC896"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78.5</w:t>
            </w:r>
          </w:p>
        </w:tc>
        <w:tc>
          <w:tcPr>
            <w:tcW w:w="722" w:type="dxa"/>
            <w:noWrap/>
            <w:hideMark/>
          </w:tcPr>
          <w:p w14:paraId="6A74D9C9"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14.3</w:t>
            </w:r>
          </w:p>
        </w:tc>
        <w:tc>
          <w:tcPr>
            <w:tcW w:w="352" w:type="dxa"/>
            <w:noWrap/>
            <w:hideMark/>
          </w:tcPr>
          <w:p w14:paraId="1FD3F62C"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w:t>
            </w:r>
          </w:p>
        </w:tc>
        <w:tc>
          <w:tcPr>
            <w:tcW w:w="716" w:type="dxa"/>
            <w:noWrap/>
            <w:hideMark/>
          </w:tcPr>
          <w:p w14:paraId="2197BD05"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74.8</w:t>
            </w:r>
          </w:p>
        </w:tc>
        <w:tc>
          <w:tcPr>
            <w:tcW w:w="586" w:type="dxa"/>
            <w:noWrap/>
            <w:hideMark/>
          </w:tcPr>
          <w:p w14:paraId="553B23C9"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11.7</w:t>
            </w:r>
          </w:p>
        </w:tc>
        <w:tc>
          <w:tcPr>
            <w:tcW w:w="940" w:type="dxa"/>
            <w:tcBorders>
              <w:right w:val="single" w:sz="4" w:space="0" w:color="auto"/>
            </w:tcBorders>
          </w:tcPr>
          <w:p w14:paraId="58D8ADFC"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.55</w:t>
            </w:r>
          </w:p>
        </w:tc>
      </w:tr>
      <w:tr w:rsidR="009968E0" w:rsidRPr="009968E0" w14:paraId="570D8EEB"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4395" w:type="dxa"/>
            <w:tcBorders>
              <w:left w:val="single" w:sz="4" w:space="0" w:color="auto"/>
            </w:tcBorders>
            <w:noWrap/>
            <w:hideMark/>
          </w:tcPr>
          <w:p w14:paraId="4E0FB557"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V2 Systolic BP (mmHg)</w:t>
            </w:r>
          </w:p>
        </w:tc>
        <w:tc>
          <w:tcPr>
            <w:tcW w:w="593" w:type="dxa"/>
            <w:noWrap/>
            <w:hideMark/>
          </w:tcPr>
          <w:p w14:paraId="4BACB5D4"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w:t>
            </w:r>
          </w:p>
        </w:tc>
        <w:tc>
          <w:tcPr>
            <w:tcW w:w="716" w:type="dxa"/>
            <w:noWrap/>
            <w:hideMark/>
          </w:tcPr>
          <w:p w14:paraId="3BC85D15"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129.2</w:t>
            </w:r>
          </w:p>
        </w:tc>
        <w:tc>
          <w:tcPr>
            <w:tcW w:w="722" w:type="dxa"/>
            <w:noWrap/>
            <w:hideMark/>
          </w:tcPr>
          <w:p w14:paraId="10A7CB05"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16.2</w:t>
            </w:r>
          </w:p>
        </w:tc>
        <w:tc>
          <w:tcPr>
            <w:tcW w:w="352" w:type="dxa"/>
            <w:noWrap/>
            <w:hideMark/>
          </w:tcPr>
          <w:p w14:paraId="102430DF"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w:t>
            </w:r>
          </w:p>
        </w:tc>
        <w:tc>
          <w:tcPr>
            <w:tcW w:w="716" w:type="dxa"/>
            <w:noWrap/>
            <w:hideMark/>
          </w:tcPr>
          <w:p w14:paraId="57739B60"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121.6</w:t>
            </w:r>
          </w:p>
        </w:tc>
        <w:tc>
          <w:tcPr>
            <w:tcW w:w="586" w:type="dxa"/>
            <w:noWrap/>
            <w:hideMark/>
          </w:tcPr>
          <w:p w14:paraId="091C8CD7"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18.4</w:t>
            </w:r>
          </w:p>
        </w:tc>
        <w:tc>
          <w:tcPr>
            <w:tcW w:w="940" w:type="dxa"/>
            <w:tcBorders>
              <w:right w:val="single" w:sz="4" w:space="0" w:color="auto"/>
            </w:tcBorders>
          </w:tcPr>
          <w:p w14:paraId="2753DB37"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.35</w:t>
            </w:r>
          </w:p>
        </w:tc>
      </w:tr>
      <w:tr w:rsidR="009968E0" w:rsidRPr="009968E0" w14:paraId="03048158"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395" w:type="dxa"/>
            <w:tcBorders>
              <w:left w:val="single" w:sz="4" w:space="0" w:color="auto"/>
            </w:tcBorders>
            <w:noWrap/>
            <w:hideMark/>
          </w:tcPr>
          <w:p w14:paraId="3E30A137"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V2 Diastolic BP (mmHg)</w:t>
            </w:r>
          </w:p>
        </w:tc>
        <w:tc>
          <w:tcPr>
            <w:tcW w:w="593" w:type="dxa"/>
            <w:noWrap/>
            <w:hideMark/>
          </w:tcPr>
          <w:p w14:paraId="6AA59EA2"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w:t>
            </w:r>
          </w:p>
        </w:tc>
        <w:tc>
          <w:tcPr>
            <w:tcW w:w="716" w:type="dxa"/>
            <w:noWrap/>
            <w:hideMark/>
          </w:tcPr>
          <w:p w14:paraId="6EC39D04"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84.8</w:t>
            </w:r>
          </w:p>
        </w:tc>
        <w:tc>
          <w:tcPr>
            <w:tcW w:w="722" w:type="dxa"/>
            <w:noWrap/>
            <w:hideMark/>
          </w:tcPr>
          <w:p w14:paraId="616B9F6F"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10.6</w:t>
            </w:r>
          </w:p>
        </w:tc>
        <w:tc>
          <w:tcPr>
            <w:tcW w:w="352" w:type="dxa"/>
            <w:noWrap/>
            <w:hideMark/>
          </w:tcPr>
          <w:p w14:paraId="78D03E43"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w:t>
            </w:r>
          </w:p>
        </w:tc>
        <w:tc>
          <w:tcPr>
            <w:tcW w:w="716" w:type="dxa"/>
            <w:noWrap/>
            <w:hideMark/>
          </w:tcPr>
          <w:p w14:paraId="67F1817B"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79.4</w:t>
            </w:r>
          </w:p>
        </w:tc>
        <w:tc>
          <w:tcPr>
            <w:tcW w:w="586" w:type="dxa"/>
            <w:noWrap/>
            <w:hideMark/>
          </w:tcPr>
          <w:p w14:paraId="37013050"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9.4</w:t>
            </w:r>
          </w:p>
        </w:tc>
        <w:tc>
          <w:tcPr>
            <w:tcW w:w="940" w:type="dxa"/>
            <w:tcBorders>
              <w:right w:val="single" w:sz="4" w:space="0" w:color="auto"/>
            </w:tcBorders>
          </w:tcPr>
          <w:p w14:paraId="43A744BB"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.26</w:t>
            </w:r>
          </w:p>
        </w:tc>
      </w:tr>
      <w:tr w:rsidR="009968E0" w:rsidRPr="009968E0" w14:paraId="4B180ED7"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4395" w:type="dxa"/>
            <w:tcBorders>
              <w:left w:val="single" w:sz="4" w:space="0" w:color="auto"/>
            </w:tcBorders>
            <w:noWrap/>
            <w:hideMark/>
          </w:tcPr>
          <w:p w14:paraId="5EE2C46A"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V2 BG-A (mmol)</w:t>
            </w:r>
          </w:p>
        </w:tc>
        <w:tc>
          <w:tcPr>
            <w:tcW w:w="593" w:type="dxa"/>
            <w:noWrap/>
            <w:hideMark/>
          </w:tcPr>
          <w:p w14:paraId="3C96003C"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w:t>
            </w:r>
          </w:p>
        </w:tc>
        <w:tc>
          <w:tcPr>
            <w:tcW w:w="716" w:type="dxa"/>
            <w:noWrap/>
            <w:hideMark/>
          </w:tcPr>
          <w:p w14:paraId="6193D397"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13.1</w:t>
            </w:r>
          </w:p>
        </w:tc>
        <w:tc>
          <w:tcPr>
            <w:tcW w:w="722" w:type="dxa"/>
            <w:noWrap/>
            <w:hideMark/>
          </w:tcPr>
          <w:p w14:paraId="7F2920DE"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4.1</w:t>
            </w:r>
          </w:p>
        </w:tc>
        <w:tc>
          <w:tcPr>
            <w:tcW w:w="352" w:type="dxa"/>
            <w:noWrap/>
            <w:hideMark/>
          </w:tcPr>
          <w:p w14:paraId="67DEDCC2"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w:t>
            </w:r>
          </w:p>
        </w:tc>
        <w:tc>
          <w:tcPr>
            <w:tcW w:w="716" w:type="dxa"/>
            <w:noWrap/>
            <w:hideMark/>
          </w:tcPr>
          <w:p w14:paraId="6BC7DEE8"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13.4</w:t>
            </w:r>
          </w:p>
        </w:tc>
        <w:tc>
          <w:tcPr>
            <w:tcW w:w="586" w:type="dxa"/>
            <w:noWrap/>
            <w:hideMark/>
          </w:tcPr>
          <w:p w14:paraId="6DBF61B7"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4.0</w:t>
            </w:r>
          </w:p>
        </w:tc>
        <w:tc>
          <w:tcPr>
            <w:tcW w:w="940" w:type="dxa"/>
            <w:tcBorders>
              <w:right w:val="single" w:sz="4" w:space="0" w:color="auto"/>
            </w:tcBorders>
          </w:tcPr>
          <w:p w14:paraId="621497FF"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.90</w:t>
            </w:r>
          </w:p>
        </w:tc>
      </w:tr>
      <w:tr w:rsidR="009968E0" w:rsidRPr="009968E0" w14:paraId="08B35FAB"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395" w:type="dxa"/>
            <w:tcBorders>
              <w:left w:val="single" w:sz="4" w:space="0" w:color="auto"/>
            </w:tcBorders>
            <w:noWrap/>
            <w:hideMark/>
          </w:tcPr>
          <w:p w14:paraId="74FE3BF3"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V2 BG-D(mmol)</w:t>
            </w:r>
          </w:p>
        </w:tc>
        <w:tc>
          <w:tcPr>
            <w:tcW w:w="593" w:type="dxa"/>
            <w:noWrap/>
            <w:hideMark/>
          </w:tcPr>
          <w:p w14:paraId="584EBE0E"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w:t>
            </w:r>
          </w:p>
        </w:tc>
        <w:tc>
          <w:tcPr>
            <w:tcW w:w="716" w:type="dxa"/>
            <w:noWrap/>
            <w:hideMark/>
          </w:tcPr>
          <w:p w14:paraId="5FDE04C3"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12.7</w:t>
            </w:r>
          </w:p>
        </w:tc>
        <w:tc>
          <w:tcPr>
            <w:tcW w:w="722" w:type="dxa"/>
            <w:noWrap/>
            <w:hideMark/>
          </w:tcPr>
          <w:p w14:paraId="63699956"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5.5</w:t>
            </w:r>
          </w:p>
        </w:tc>
        <w:tc>
          <w:tcPr>
            <w:tcW w:w="352" w:type="dxa"/>
            <w:noWrap/>
            <w:hideMark/>
          </w:tcPr>
          <w:p w14:paraId="652C52AE"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w:t>
            </w:r>
          </w:p>
        </w:tc>
        <w:tc>
          <w:tcPr>
            <w:tcW w:w="716" w:type="dxa"/>
            <w:noWrap/>
            <w:hideMark/>
          </w:tcPr>
          <w:p w14:paraId="706CC043"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12.0</w:t>
            </w:r>
          </w:p>
        </w:tc>
        <w:tc>
          <w:tcPr>
            <w:tcW w:w="586" w:type="dxa"/>
            <w:noWrap/>
            <w:hideMark/>
          </w:tcPr>
          <w:p w14:paraId="1718CF7E"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4.5</w:t>
            </w:r>
          </w:p>
        </w:tc>
        <w:tc>
          <w:tcPr>
            <w:tcW w:w="940" w:type="dxa"/>
            <w:tcBorders>
              <w:right w:val="single" w:sz="4" w:space="0" w:color="auto"/>
            </w:tcBorders>
          </w:tcPr>
          <w:p w14:paraId="2DDCBFB5"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.78</w:t>
            </w:r>
          </w:p>
        </w:tc>
      </w:tr>
      <w:tr w:rsidR="009968E0" w:rsidRPr="009968E0" w14:paraId="6F688A62"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4395" w:type="dxa"/>
            <w:tcBorders>
              <w:left w:val="single" w:sz="4" w:space="0" w:color="auto"/>
            </w:tcBorders>
            <w:noWrap/>
            <w:hideMark/>
          </w:tcPr>
          <w:p w14:paraId="6469DF96"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AFT- Obrien</w:t>
            </w:r>
          </w:p>
        </w:tc>
        <w:tc>
          <w:tcPr>
            <w:tcW w:w="593" w:type="dxa"/>
            <w:noWrap/>
            <w:hideMark/>
          </w:tcPr>
          <w:p w14:paraId="4CB36DBC" w14:textId="77777777" w:rsidR="009968E0" w:rsidRPr="009968E0" w:rsidRDefault="009968E0" w:rsidP="009968E0">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w:t>
            </w:r>
          </w:p>
        </w:tc>
        <w:tc>
          <w:tcPr>
            <w:tcW w:w="716" w:type="dxa"/>
            <w:noWrap/>
            <w:hideMark/>
          </w:tcPr>
          <w:p w14:paraId="1A85A2E3" w14:textId="77777777" w:rsidR="009968E0" w:rsidRPr="009968E0" w:rsidRDefault="009968E0" w:rsidP="009968E0">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w:t>
            </w:r>
          </w:p>
        </w:tc>
        <w:tc>
          <w:tcPr>
            <w:tcW w:w="722" w:type="dxa"/>
            <w:noWrap/>
            <w:hideMark/>
          </w:tcPr>
          <w:p w14:paraId="13C68CEC" w14:textId="77777777" w:rsidR="009968E0" w:rsidRPr="009968E0" w:rsidRDefault="009968E0" w:rsidP="009968E0">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p>
        </w:tc>
        <w:tc>
          <w:tcPr>
            <w:tcW w:w="352" w:type="dxa"/>
            <w:noWrap/>
            <w:hideMark/>
          </w:tcPr>
          <w:p w14:paraId="431904E3" w14:textId="77777777" w:rsidR="009968E0" w:rsidRPr="009968E0" w:rsidRDefault="009968E0" w:rsidP="009968E0">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w:t>
            </w:r>
          </w:p>
        </w:tc>
        <w:tc>
          <w:tcPr>
            <w:tcW w:w="716" w:type="dxa"/>
            <w:noWrap/>
            <w:hideMark/>
          </w:tcPr>
          <w:p w14:paraId="31DD596C" w14:textId="77777777" w:rsidR="009968E0" w:rsidRPr="009968E0" w:rsidRDefault="009968E0" w:rsidP="009968E0">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w:t>
            </w:r>
          </w:p>
        </w:tc>
        <w:tc>
          <w:tcPr>
            <w:tcW w:w="586" w:type="dxa"/>
            <w:noWrap/>
            <w:hideMark/>
          </w:tcPr>
          <w:p w14:paraId="13BC5FBA" w14:textId="77777777" w:rsidR="009968E0" w:rsidRPr="009968E0" w:rsidRDefault="009968E0" w:rsidP="009968E0">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p>
        </w:tc>
        <w:tc>
          <w:tcPr>
            <w:tcW w:w="940" w:type="dxa"/>
            <w:tcBorders>
              <w:right w:val="single" w:sz="4" w:space="0" w:color="auto"/>
            </w:tcBorders>
          </w:tcPr>
          <w:p w14:paraId="3CB10DBB" w14:textId="77777777" w:rsidR="009968E0" w:rsidRPr="009968E0" w:rsidRDefault="009968E0" w:rsidP="009968E0">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p>
        </w:tc>
      </w:tr>
      <w:tr w:rsidR="009968E0" w:rsidRPr="009968E0" w14:paraId="21D2332A"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395" w:type="dxa"/>
            <w:tcBorders>
              <w:left w:val="single" w:sz="4" w:space="0" w:color="auto"/>
            </w:tcBorders>
            <w:noWrap/>
            <w:hideMark/>
          </w:tcPr>
          <w:p w14:paraId="1891CE6F"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w:t>
            </w:r>
          </w:p>
        </w:tc>
        <w:tc>
          <w:tcPr>
            <w:tcW w:w="593" w:type="dxa"/>
            <w:noWrap/>
            <w:hideMark/>
          </w:tcPr>
          <w:p w14:paraId="2CA9437B"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p>
        </w:tc>
        <w:tc>
          <w:tcPr>
            <w:tcW w:w="716" w:type="dxa"/>
            <w:noWrap/>
            <w:hideMark/>
          </w:tcPr>
          <w:p w14:paraId="748E8046"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w:t>
            </w:r>
          </w:p>
        </w:tc>
        <w:tc>
          <w:tcPr>
            <w:tcW w:w="722" w:type="dxa"/>
            <w:noWrap/>
            <w:hideMark/>
          </w:tcPr>
          <w:p w14:paraId="19DBFF48"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p>
        </w:tc>
        <w:tc>
          <w:tcPr>
            <w:tcW w:w="352" w:type="dxa"/>
            <w:noWrap/>
            <w:hideMark/>
          </w:tcPr>
          <w:p w14:paraId="27DD3EC1" w14:textId="77777777" w:rsidR="009968E0" w:rsidRPr="009968E0" w:rsidRDefault="009968E0" w:rsidP="009968E0">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p>
        </w:tc>
        <w:tc>
          <w:tcPr>
            <w:tcW w:w="716" w:type="dxa"/>
            <w:noWrap/>
            <w:hideMark/>
          </w:tcPr>
          <w:p w14:paraId="6DBD4488"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w:t>
            </w:r>
          </w:p>
        </w:tc>
        <w:tc>
          <w:tcPr>
            <w:tcW w:w="586" w:type="dxa"/>
            <w:noWrap/>
            <w:hideMark/>
          </w:tcPr>
          <w:p w14:paraId="10FB0E1E"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p>
        </w:tc>
        <w:tc>
          <w:tcPr>
            <w:tcW w:w="940" w:type="dxa"/>
            <w:tcBorders>
              <w:right w:val="single" w:sz="4" w:space="0" w:color="auto"/>
            </w:tcBorders>
          </w:tcPr>
          <w:p w14:paraId="0A59605B"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p>
        </w:tc>
      </w:tr>
      <w:tr w:rsidR="009968E0" w:rsidRPr="009968E0" w14:paraId="74245C2D"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4395" w:type="dxa"/>
            <w:tcBorders>
              <w:left w:val="single" w:sz="4" w:space="0" w:color="auto"/>
            </w:tcBorders>
            <w:noWrap/>
            <w:hideMark/>
          </w:tcPr>
          <w:p w14:paraId="18019D44"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w:t>
            </w:r>
          </w:p>
        </w:tc>
        <w:tc>
          <w:tcPr>
            <w:tcW w:w="593" w:type="dxa"/>
            <w:noWrap/>
            <w:hideMark/>
          </w:tcPr>
          <w:p w14:paraId="10FAE65D"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p>
        </w:tc>
        <w:tc>
          <w:tcPr>
            <w:tcW w:w="716" w:type="dxa"/>
            <w:noWrap/>
            <w:hideMark/>
          </w:tcPr>
          <w:p w14:paraId="04643B28"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w:t>
            </w:r>
          </w:p>
        </w:tc>
        <w:tc>
          <w:tcPr>
            <w:tcW w:w="722" w:type="dxa"/>
            <w:noWrap/>
            <w:hideMark/>
          </w:tcPr>
          <w:p w14:paraId="143E17F2"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p>
        </w:tc>
        <w:tc>
          <w:tcPr>
            <w:tcW w:w="352" w:type="dxa"/>
            <w:noWrap/>
            <w:hideMark/>
          </w:tcPr>
          <w:p w14:paraId="2D294B0C" w14:textId="77777777" w:rsidR="009968E0" w:rsidRPr="009968E0" w:rsidRDefault="009968E0" w:rsidP="009968E0">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p>
        </w:tc>
        <w:tc>
          <w:tcPr>
            <w:tcW w:w="716" w:type="dxa"/>
            <w:noWrap/>
            <w:hideMark/>
          </w:tcPr>
          <w:p w14:paraId="2430E4AD"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w:t>
            </w:r>
          </w:p>
        </w:tc>
        <w:tc>
          <w:tcPr>
            <w:tcW w:w="586" w:type="dxa"/>
            <w:noWrap/>
            <w:hideMark/>
          </w:tcPr>
          <w:p w14:paraId="02C1881C"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p>
        </w:tc>
        <w:tc>
          <w:tcPr>
            <w:tcW w:w="940" w:type="dxa"/>
            <w:tcBorders>
              <w:right w:val="single" w:sz="4" w:space="0" w:color="auto"/>
            </w:tcBorders>
          </w:tcPr>
          <w:p w14:paraId="558F43AE"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p>
        </w:tc>
      </w:tr>
      <w:tr w:rsidR="009968E0" w:rsidRPr="009968E0" w14:paraId="22E9B566"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395" w:type="dxa"/>
            <w:tcBorders>
              <w:left w:val="single" w:sz="4" w:space="0" w:color="auto"/>
            </w:tcBorders>
            <w:noWrap/>
            <w:hideMark/>
          </w:tcPr>
          <w:p w14:paraId="31F125C1"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w:t>
            </w:r>
          </w:p>
        </w:tc>
        <w:tc>
          <w:tcPr>
            <w:tcW w:w="593" w:type="dxa"/>
            <w:noWrap/>
            <w:hideMark/>
          </w:tcPr>
          <w:p w14:paraId="0B423D40"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p>
        </w:tc>
        <w:tc>
          <w:tcPr>
            <w:tcW w:w="716" w:type="dxa"/>
            <w:noWrap/>
            <w:hideMark/>
          </w:tcPr>
          <w:p w14:paraId="07347574"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3</w:t>
            </w:r>
          </w:p>
        </w:tc>
        <w:tc>
          <w:tcPr>
            <w:tcW w:w="722" w:type="dxa"/>
            <w:noWrap/>
            <w:hideMark/>
          </w:tcPr>
          <w:p w14:paraId="028A9546"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p>
        </w:tc>
        <w:tc>
          <w:tcPr>
            <w:tcW w:w="352" w:type="dxa"/>
            <w:noWrap/>
            <w:hideMark/>
          </w:tcPr>
          <w:p w14:paraId="198D3F67" w14:textId="77777777" w:rsidR="009968E0" w:rsidRPr="009968E0" w:rsidRDefault="009968E0" w:rsidP="009968E0">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p>
        </w:tc>
        <w:tc>
          <w:tcPr>
            <w:tcW w:w="716" w:type="dxa"/>
            <w:noWrap/>
            <w:hideMark/>
          </w:tcPr>
          <w:p w14:paraId="5AC602E6"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w:t>
            </w:r>
          </w:p>
        </w:tc>
        <w:tc>
          <w:tcPr>
            <w:tcW w:w="586" w:type="dxa"/>
            <w:noWrap/>
            <w:hideMark/>
          </w:tcPr>
          <w:p w14:paraId="796A1009"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p>
        </w:tc>
        <w:tc>
          <w:tcPr>
            <w:tcW w:w="940" w:type="dxa"/>
            <w:tcBorders>
              <w:right w:val="single" w:sz="4" w:space="0" w:color="auto"/>
            </w:tcBorders>
          </w:tcPr>
          <w:p w14:paraId="74F62B58"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p>
        </w:tc>
      </w:tr>
      <w:tr w:rsidR="009968E0" w:rsidRPr="009968E0" w14:paraId="6A28C23E"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4395" w:type="dxa"/>
            <w:tcBorders>
              <w:left w:val="single" w:sz="4" w:space="0" w:color="auto"/>
            </w:tcBorders>
            <w:noWrap/>
            <w:hideMark/>
          </w:tcPr>
          <w:p w14:paraId="7AE0C937"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3</w:t>
            </w:r>
          </w:p>
        </w:tc>
        <w:tc>
          <w:tcPr>
            <w:tcW w:w="593" w:type="dxa"/>
            <w:noWrap/>
            <w:hideMark/>
          </w:tcPr>
          <w:p w14:paraId="1C9447E8"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p>
        </w:tc>
        <w:tc>
          <w:tcPr>
            <w:tcW w:w="716" w:type="dxa"/>
            <w:noWrap/>
            <w:hideMark/>
          </w:tcPr>
          <w:p w14:paraId="7F974BBF"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w:t>
            </w:r>
          </w:p>
        </w:tc>
        <w:tc>
          <w:tcPr>
            <w:tcW w:w="722" w:type="dxa"/>
            <w:noWrap/>
            <w:hideMark/>
          </w:tcPr>
          <w:p w14:paraId="6A41CEA1"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p>
        </w:tc>
        <w:tc>
          <w:tcPr>
            <w:tcW w:w="352" w:type="dxa"/>
            <w:noWrap/>
            <w:hideMark/>
          </w:tcPr>
          <w:p w14:paraId="79A0D438" w14:textId="77777777" w:rsidR="009968E0" w:rsidRPr="009968E0" w:rsidRDefault="009968E0" w:rsidP="009968E0">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p>
        </w:tc>
        <w:tc>
          <w:tcPr>
            <w:tcW w:w="716" w:type="dxa"/>
            <w:noWrap/>
            <w:hideMark/>
          </w:tcPr>
          <w:p w14:paraId="29FA7177"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w:t>
            </w:r>
          </w:p>
        </w:tc>
        <w:tc>
          <w:tcPr>
            <w:tcW w:w="586" w:type="dxa"/>
            <w:noWrap/>
            <w:hideMark/>
          </w:tcPr>
          <w:p w14:paraId="07DFA54C"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p>
        </w:tc>
        <w:tc>
          <w:tcPr>
            <w:tcW w:w="940" w:type="dxa"/>
            <w:tcBorders>
              <w:right w:val="single" w:sz="4" w:space="0" w:color="auto"/>
            </w:tcBorders>
          </w:tcPr>
          <w:p w14:paraId="29D4F787"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p>
        </w:tc>
      </w:tr>
      <w:tr w:rsidR="009968E0" w:rsidRPr="009968E0" w14:paraId="7C392D63"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395" w:type="dxa"/>
            <w:tcBorders>
              <w:left w:val="single" w:sz="4" w:space="0" w:color="auto"/>
            </w:tcBorders>
            <w:noWrap/>
            <w:hideMark/>
          </w:tcPr>
          <w:p w14:paraId="38B0BA50"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w:t>
            </w:r>
          </w:p>
        </w:tc>
        <w:tc>
          <w:tcPr>
            <w:tcW w:w="593" w:type="dxa"/>
            <w:noWrap/>
            <w:hideMark/>
          </w:tcPr>
          <w:p w14:paraId="6EE85737"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p>
        </w:tc>
        <w:tc>
          <w:tcPr>
            <w:tcW w:w="716" w:type="dxa"/>
            <w:noWrap/>
            <w:hideMark/>
          </w:tcPr>
          <w:p w14:paraId="6266D61C"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w:t>
            </w:r>
          </w:p>
        </w:tc>
        <w:tc>
          <w:tcPr>
            <w:tcW w:w="722" w:type="dxa"/>
            <w:noWrap/>
            <w:hideMark/>
          </w:tcPr>
          <w:p w14:paraId="1E30D733"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p>
        </w:tc>
        <w:tc>
          <w:tcPr>
            <w:tcW w:w="352" w:type="dxa"/>
            <w:noWrap/>
            <w:hideMark/>
          </w:tcPr>
          <w:p w14:paraId="52BC9000" w14:textId="77777777" w:rsidR="009968E0" w:rsidRPr="009968E0" w:rsidRDefault="009968E0" w:rsidP="009968E0">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p>
        </w:tc>
        <w:tc>
          <w:tcPr>
            <w:tcW w:w="716" w:type="dxa"/>
            <w:noWrap/>
            <w:hideMark/>
          </w:tcPr>
          <w:p w14:paraId="26ED2CFD"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w:t>
            </w:r>
          </w:p>
        </w:tc>
        <w:tc>
          <w:tcPr>
            <w:tcW w:w="586" w:type="dxa"/>
            <w:noWrap/>
            <w:hideMark/>
          </w:tcPr>
          <w:p w14:paraId="73E3A958"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p>
        </w:tc>
        <w:tc>
          <w:tcPr>
            <w:tcW w:w="940" w:type="dxa"/>
            <w:tcBorders>
              <w:right w:val="single" w:sz="4" w:space="0" w:color="auto"/>
            </w:tcBorders>
          </w:tcPr>
          <w:p w14:paraId="7FE48116"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p>
        </w:tc>
      </w:tr>
      <w:tr w:rsidR="009968E0" w:rsidRPr="009968E0" w14:paraId="3CEAD97A"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4395" w:type="dxa"/>
            <w:tcBorders>
              <w:left w:val="single" w:sz="4" w:space="0" w:color="auto"/>
            </w:tcBorders>
            <w:noWrap/>
            <w:hideMark/>
          </w:tcPr>
          <w:p w14:paraId="388F2DAB"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w:t>
            </w:r>
          </w:p>
        </w:tc>
        <w:tc>
          <w:tcPr>
            <w:tcW w:w="593" w:type="dxa"/>
            <w:noWrap/>
            <w:hideMark/>
          </w:tcPr>
          <w:p w14:paraId="67D7D8F4"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p>
        </w:tc>
        <w:tc>
          <w:tcPr>
            <w:tcW w:w="716" w:type="dxa"/>
            <w:noWrap/>
            <w:hideMark/>
          </w:tcPr>
          <w:p w14:paraId="5EAAEEB1"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w:t>
            </w:r>
          </w:p>
        </w:tc>
        <w:tc>
          <w:tcPr>
            <w:tcW w:w="722" w:type="dxa"/>
            <w:noWrap/>
            <w:hideMark/>
          </w:tcPr>
          <w:p w14:paraId="5E93E546"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p>
        </w:tc>
        <w:tc>
          <w:tcPr>
            <w:tcW w:w="352" w:type="dxa"/>
            <w:noWrap/>
            <w:hideMark/>
          </w:tcPr>
          <w:p w14:paraId="6ACF9AA0" w14:textId="77777777" w:rsidR="009968E0" w:rsidRPr="009968E0" w:rsidRDefault="009968E0" w:rsidP="009968E0">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p>
        </w:tc>
        <w:tc>
          <w:tcPr>
            <w:tcW w:w="716" w:type="dxa"/>
            <w:noWrap/>
            <w:hideMark/>
          </w:tcPr>
          <w:p w14:paraId="396BD10E"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w:t>
            </w:r>
          </w:p>
        </w:tc>
        <w:tc>
          <w:tcPr>
            <w:tcW w:w="586" w:type="dxa"/>
            <w:noWrap/>
            <w:hideMark/>
          </w:tcPr>
          <w:p w14:paraId="783FD355"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p>
        </w:tc>
        <w:tc>
          <w:tcPr>
            <w:tcW w:w="940" w:type="dxa"/>
            <w:tcBorders>
              <w:right w:val="single" w:sz="4" w:space="0" w:color="auto"/>
            </w:tcBorders>
          </w:tcPr>
          <w:p w14:paraId="439B6E7F" w14:textId="77777777" w:rsidR="009968E0" w:rsidRPr="009968E0" w:rsidRDefault="009968E0" w:rsidP="009968E0">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p>
        </w:tc>
      </w:tr>
      <w:tr w:rsidR="009968E0" w:rsidRPr="009968E0" w14:paraId="1E13EA7F"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395" w:type="dxa"/>
            <w:tcBorders>
              <w:left w:val="single" w:sz="4" w:space="0" w:color="auto"/>
              <w:bottom w:val="single" w:sz="4" w:space="0" w:color="auto"/>
            </w:tcBorders>
            <w:noWrap/>
            <w:hideMark/>
          </w:tcPr>
          <w:p w14:paraId="18A5E0E9"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total</w:t>
            </w:r>
          </w:p>
        </w:tc>
        <w:tc>
          <w:tcPr>
            <w:tcW w:w="593" w:type="dxa"/>
            <w:tcBorders>
              <w:bottom w:val="single" w:sz="4" w:space="0" w:color="auto"/>
            </w:tcBorders>
            <w:noWrap/>
            <w:hideMark/>
          </w:tcPr>
          <w:p w14:paraId="2EB1F7FA" w14:textId="77777777" w:rsidR="009968E0" w:rsidRPr="009968E0" w:rsidRDefault="009968E0" w:rsidP="009968E0">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p>
        </w:tc>
        <w:tc>
          <w:tcPr>
            <w:tcW w:w="716" w:type="dxa"/>
            <w:tcBorders>
              <w:bottom w:val="single" w:sz="4" w:space="0" w:color="auto"/>
            </w:tcBorders>
            <w:noWrap/>
            <w:hideMark/>
          </w:tcPr>
          <w:p w14:paraId="7C830789"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w:t>
            </w:r>
          </w:p>
        </w:tc>
        <w:tc>
          <w:tcPr>
            <w:tcW w:w="722" w:type="dxa"/>
            <w:tcBorders>
              <w:bottom w:val="single" w:sz="4" w:space="0" w:color="auto"/>
            </w:tcBorders>
            <w:noWrap/>
            <w:hideMark/>
          </w:tcPr>
          <w:p w14:paraId="49C50B2E"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p>
        </w:tc>
        <w:tc>
          <w:tcPr>
            <w:tcW w:w="352" w:type="dxa"/>
            <w:tcBorders>
              <w:bottom w:val="single" w:sz="4" w:space="0" w:color="auto"/>
            </w:tcBorders>
            <w:noWrap/>
            <w:hideMark/>
          </w:tcPr>
          <w:p w14:paraId="274AB9A8" w14:textId="77777777" w:rsidR="009968E0" w:rsidRPr="009968E0" w:rsidRDefault="009968E0" w:rsidP="009968E0">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p>
        </w:tc>
        <w:tc>
          <w:tcPr>
            <w:tcW w:w="716" w:type="dxa"/>
            <w:tcBorders>
              <w:bottom w:val="single" w:sz="4" w:space="0" w:color="auto"/>
            </w:tcBorders>
            <w:noWrap/>
            <w:hideMark/>
          </w:tcPr>
          <w:p w14:paraId="78C1229E"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w:t>
            </w:r>
          </w:p>
        </w:tc>
        <w:tc>
          <w:tcPr>
            <w:tcW w:w="586" w:type="dxa"/>
            <w:tcBorders>
              <w:bottom w:val="single" w:sz="4" w:space="0" w:color="auto"/>
            </w:tcBorders>
            <w:noWrap/>
            <w:hideMark/>
          </w:tcPr>
          <w:p w14:paraId="2459F745"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p>
        </w:tc>
        <w:tc>
          <w:tcPr>
            <w:tcW w:w="940" w:type="dxa"/>
            <w:tcBorders>
              <w:bottom w:val="single" w:sz="4" w:space="0" w:color="auto"/>
              <w:right w:val="single" w:sz="4" w:space="0" w:color="auto"/>
            </w:tcBorders>
          </w:tcPr>
          <w:p w14:paraId="2A6FCCE3" w14:textId="77777777" w:rsidR="009968E0" w:rsidRPr="009968E0" w:rsidRDefault="009968E0" w:rsidP="009968E0">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.73</w:t>
            </w:r>
          </w:p>
        </w:tc>
      </w:tr>
    </w:tbl>
    <w:p w14:paraId="7D17CF4B" w14:textId="52AA6A19" w:rsidR="009968E0" w:rsidRDefault="00233478" w:rsidP="007A2ECE">
      <w:pPr>
        <w:numPr>
          <w:ilvl w:val="1"/>
          <w:numId w:val="0"/>
        </w:numPr>
        <w:spacing w:after="160" w:line="360" w:lineRule="auto"/>
        <w:rPr>
          <w:rStyle w:val="SubtleEmphasis"/>
        </w:rPr>
      </w:pPr>
      <w:r>
        <w:rPr>
          <w:rStyle w:val="SubtleEmphasis"/>
        </w:rPr>
        <w:t>eGFR</w:t>
      </w:r>
      <w:r w:rsidR="009968E0" w:rsidRPr="007A2ECE">
        <w:rPr>
          <w:rStyle w:val="SubtleEmphasis"/>
        </w:rPr>
        <w:t xml:space="preserve">- estimated glomerular filtration rate by MDRD (reported at values &lt; 90), V2-Visit 2, V3- visit 3, DN4- </w:t>
      </w:r>
      <w:proofErr w:type="spellStart"/>
      <w:r w:rsidR="009968E0" w:rsidRPr="007A2ECE">
        <w:rPr>
          <w:rStyle w:val="SubtleEmphasis"/>
        </w:rPr>
        <w:t>Douleur</w:t>
      </w:r>
      <w:proofErr w:type="spellEnd"/>
      <w:r w:rsidR="009968E0" w:rsidRPr="007A2ECE">
        <w:rPr>
          <w:rStyle w:val="SubtleEmphasis"/>
        </w:rPr>
        <w:t xml:space="preserve"> </w:t>
      </w:r>
      <w:proofErr w:type="spellStart"/>
      <w:r w:rsidR="009968E0" w:rsidRPr="007A2ECE">
        <w:rPr>
          <w:rStyle w:val="SubtleEmphasis"/>
        </w:rPr>
        <w:t>Neuropathique</w:t>
      </w:r>
      <w:proofErr w:type="spellEnd"/>
      <w:r w:rsidR="009968E0" w:rsidRPr="007A2ECE">
        <w:rPr>
          <w:rStyle w:val="SubtleEmphasis"/>
        </w:rPr>
        <w:t xml:space="preserve"> 4, NISLL+7= Neuropathy Impairment Score of the Lower Limbs Plus Seven Tests, BP= Blood pressure, BG= Blood glucose. </w:t>
      </w:r>
    </w:p>
    <w:p w14:paraId="7DADF5A1" w14:textId="77777777" w:rsidR="00A47BE5" w:rsidRPr="007A2ECE" w:rsidRDefault="00A47BE5" w:rsidP="007A2ECE">
      <w:pPr>
        <w:numPr>
          <w:ilvl w:val="1"/>
          <w:numId w:val="0"/>
        </w:numPr>
        <w:spacing w:after="160" w:line="360" w:lineRule="auto"/>
        <w:rPr>
          <w:rStyle w:val="SubtleEmphasis"/>
        </w:rPr>
      </w:pPr>
    </w:p>
    <w:p w14:paraId="15786330" w14:textId="064E2510" w:rsidR="009968E0" w:rsidRPr="009968E0" w:rsidRDefault="009968E0" w:rsidP="000F67B3">
      <w:pPr>
        <w:pStyle w:val="Subtitle"/>
      </w:pPr>
      <w:bookmarkStart w:id="612" w:name="_Toc49273248"/>
      <w:bookmarkStart w:id="613" w:name="_Toc64724237"/>
      <w:r w:rsidRPr="009968E0">
        <w:t>Figure C.1</w:t>
      </w:r>
      <w:r w:rsidR="001F5DB7">
        <w:t>1</w:t>
      </w:r>
      <w:r w:rsidRPr="009968E0">
        <w:t xml:space="preserve">  95% Confidence intervals for the Group means and Regions of Interest for TTP at visit 2 stratified for presence of spontaneous neuropathic pain.</w:t>
      </w:r>
      <w:bookmarkEnd w:id="612"/>
      <w:bookmarkEnd w:id="613"/>
      <w:r w:rsidRPr="009968E0">
        <w:t xml:space="preserve"> </w:t>
      </w:r>
    </w:p>
    <w:p w14:paraId="4681F47D" w14:textId="77777777" w:rsidR="009968E0" w:rsidRPr="009968E0" w:rsidRDefault="009968E0" w:rsidP="009968E0">
      <w:pPr>
        <w:rPr>
          <w:rFonts w:ascii="Times New Roman" w:eastAsia="Times New Roman" w:hAnsi="Times New Roman" w:cs="Times New Roman"/>
          <w:lang w:eastAsia="en-GB"/>
        </w:rPr>
      </w:pPr>
      <w:r w:rsidRPr="009968E0">
        <w:rPr>
          <w:rFonts w:ascii="Times New Roman" w:eastAsia="Times New Roman" w:hAnsi="Times New Roman" w:cs="Times New Roman"/>
          <w:noProof/>
          <w:lang w:eastAsia="en-GB"/>
        </w:rPr>
        <w:drawing>
          <wp:inline distT="0" distB="0" distL="0" distR="0" wp14:anchorId="52579FB3" wp14:editId="06966887">
            <wp:extent cx="4788101" cy="3523129"/>
            <wp:effectExtent l="0" t="0" r="0" b="0"/>
            <wp:docPr id="1073741883" name="Picture 107374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795826" cy="3528813"/>
                    </a:xfrm>
                    <a:prstGeom prst="rect">
                      <a:avLst/>
                    </a:prstGeom>
                  </pic:spPr>
                </pic:pic>
              </a:graphicData>
            </a:graphic>
          </wp:inline>
        </w:drawing>
      </w:r>
    </w:p>
    <w:p w14:paraId="028D4744" w14:textId="45DBB987" w:rsidR="009968E0" w:rsidRPr="009968E0" w:rsidRDefault="009968E0" w:rsidP="009968E0">
      <w:pPr>
        <w:spacing w:line="360" w:lineRule="auto"/>
        <w:rPr>
          <w:rFonts w:ascii="Times New Roman" w:eastAsia="Times New Roman" w:hAnsi="Times New Roman" w:cs="Times New Roman"/>
          <w:lang w:eastAsia="en-GB"/>
        </w:rPr>
      </w:pPr>
      <w:r w:rsidRPr="009968E0">
        <w:rPr>
          <w:i/>
          <w:iCs/>
          <w:color w:val="808080" w:themeColor="text1" w:themeTint="7F"/>
          <w:sz w:val="21"/>
        </w:rPr>
        <w:t xml:space="preserve">Y axis shows TTP in seconds (s).  X axis shows the ROI and groups are represented by colour. * = p&lt;.05, white significance bars indicate the groups which are significantly different in post HOC testing.  ANOVA showed a difference for the </w:t>
      </w:r>
      <w:proofErr w:type="spellStart"/>
      <w:r w:rsidR="00264184">
        <w:rPr>
          <w:i/>
          <w:iCs/>
          <w:color w:val="808080" w:themeColor="text1" w:themeTint="7F"/>
          <w:sz w:val="21"/>
        </w:rPr>
        <w:t>RThal</w:t>
      </w:r>
      <w:proofErr w:type="spellEnd"/>
      <w:r w:rsidRPr="009968E0">
        <w:rPr>
          <w:i/>
          <w:iCs/>
          <w:color w:val="808080" w:themeColor="text1" w:themeTint="7F"/>
          <w:sz w:val="21"/>
        </w:rPr>
        <w:t xml:space="preserve">: P+ vs DPN p=.017, P+ vs HV p=.033; the RINS: P+ vs DPN p=.048; and at the parieto-occipital white matter (POWM): P+ vs P- p=.009, P+ vs DPN p=.034, P+ vs HV p=0.011 . </w:t>
      </w:r>
    </w:p>
    <w:p w14:paraId="00C7B233" w14:textId="77777777" w:rsidR="006E28EB" w:rsidRDefault="006E28EB">
      <w:pPr>
        <w:rPr>
          <w:rFonts w:eastAsia="MS Gothic" w:cs="Arial"/>
          <w:b/>
          <w:bCs/>
          <w:color w:val="345A8A"/>
          <w:sz w:val="32"/>
          <w:szCs w:val="32"/>
        </w:rPr>
      </w:pPr>
      <w:bookmarkStart w:id="614" w:name="_Toc48540083"/>
      <w:bookmarkStart w:id="615" w:name="_Toc49272026"/>
      <w:r>
        <w:rPr>
          <w:rFonts w:eastAsia="MS Gothic" w:cs="Arial"/>
          <w:b/>
          <w:bCs/>
          <w:color w:val="345A8A"/>
          <w:sz w:val="32"/>
          <w:szCs w:val="32"/>
        </w:rPr>
        <w:br w:type="page"/>
      </w:r>
    </w:p>
    <w:p w14:paraId="00F3A5BE" w14:textId="3994764C" w:rsidR="009968E0" w:rsidRPr="009968E0" w:rsidRDefault="009968E0" w:rsidP="006E28EB">
      <w:pPr>
        <w:pStyle w:val="Heading1"/>
        <w:rPr>
          <w:rFonts w:eastAsia="MS Gothic"/>
        </w:rPr>
      </w:pPr>
      <w:bookmarkStart w:id="616" w:name="_Toc64723983"/>
      <w:r w:rsidRPr="009968E0">
        <w:rPr>
          <w:rFonts w:eastAsia="MS Gothic" w:cs="Arial"/>
        </w:rPr>
        <w:lastRenderedPageBreak/>
        <w:t xml:space="preserve">Appendix D: </w:t>
      </w:r>
      <w:r w:rsidRPr="009968E0">
        <w:rPr>
          <w:rFonts w:eastAsia="MS Gothic"/>
        </w:rPr>
        <w:t>Supplementary Results Tables for Chapter 5</w:t>
      </w:r>
      <w:bookmarkEnd w:id="614"/>
      <w:bookmarkEnd w:id="615"/>
      <w:bookmarkEnd w:id="616"/>
    </w:p>
    <w:p w14:paraId="1E2A19AF" w14:textId="77777777" w:rsidR="009968E0" w:rsidRPr="009968E0" w:rsidRDefault="009968E0" w:rsidP="009968E0">
      <w:pPr>
        <w:rPr>
          <w:rFonts w:ascii="Times New Roman" w:eastAsia="Times New Roman" w:hAnsi="Times New Roman" w:cs="Times New Roman"/>
          <w:lang w:eastAsia="en-GB"/>
        </w:rPr>
      </w:pPr>
    </w:p>
    <w:p w14:paraId="502806C4" w14:textId="494FCE1A" w:rsidR="009968E0" w:rsidRPr="009968E0" w:rsidRDefault="009968E0" w:rsidP="006E28EB">
      <w:pPr>
        <w:pStyle w:val="Quote"/>
      </w:pPr>
      <w:bookmarkStart w:id="617" w:name="_Toc48406145"/>
      <w:bookmarkStart w:id="618" w:name="_Toc49273356"/>
      <w:bookmarkStart w:id="619" w:name="_Toc64724109"/>
      <w:r w:rsidRPr="009968E0">
        <w:t>Table D.1 Age as a Covariant for Perfusion Factors</w:t>
      </w:r>
      <w:bookmarkEnd w:id="617"/>
      <w:bookmarkEnd w:id="618"/>
      <w:bookmarkEnd w:id="619"/>
    </w:p>
    <w:tbl>
      <w:tblPr>
        <w:tblStyle w:val="GridTable2-Accent63"/>
        <w:tblW w:w="5000" w:type="pct"/>
        <w:tblLook w:val="04A0" w:firstRow="1" w:lastRow="0" w:firstColumn="1" w:lastColumn="0" w:noHBand="0" w:noVBand="1"/>
      </w:tblPr>
      <w:tblGrid>
        <w:gridCol w:w="2818"/>
        <w:gridCol w:w="1690"/>
        <w:gridCol w:w="3289"/>
        <w:gridCol w:w="1195"/>
        <w:gridCol w:w="18"/>
      </w:tblGrid>
      <w:tr w:rsidR="009968E0" w:rsidRPr="009968E0" w14:paraId="322AA46A" w14:textId="77777777" w:rsidTr="009968E0">
        <w:trPr>
          <w:gridAfter w:val="1"/>
          <w:cnfStyle w:val="100000000000" w:firstRow="1" w:lastRow="0" w:firstColumn="0" w:lastColumn="0" w:oddVBand="0" w:evenVBand="0" w:oddHBand="0" w:evenHBand="0" w:firstRowFirstColumn="0" w:firstRowLastColumn="0" w:lastRowFirstColumn="0" w:lastRowLastColumn="0"/>
          <w:wAfter w:w="10" w:type="pct"/>
          <w:trHeight w:val="320"/>
        </w:trPr>
        <w:tc>
          <w:tcPr>
            <w:cnfStyle w:val="001000000000" w:firstRow="0" w:lastRow="0" w:firstColumn="1" w:lastColumn="0" w:oddVBand="0" w:evenVBand="0" w:oddHBand="0" w:evenHBand="0" w:firstRowFirstColumn="0" w:firstRowLastColumn="0" w:lastRowFirstColumn="0" w:lastRowLastColumn="0"/>
            <w:tcW w:w="4990" w:type="pct"/>
            <w:gridSpan w:val="4"/>
            <w:tcBorders>
              <w:top w:val="single" w:sz="4" w:space="0" w:color="auto"/>
              <w:left w:val="single" w:sz="4" w:space="0" w:color="auto"/>
              <w:right w:val="single" w:sz="4" w:space="0" w:color="auto"/>
            </w:tcBorders>
            <w:noWrap/>
            <w:hideMark/>
          </w:tcPr>
          <w:p w14:paraId="2A985CBE" w14:textId="77777777" w:rsidR="009968E0" w:rsidRPr="009968E0" w:rsidRDefault="009968E0" w:rsidP="009968E0">
            <w:pPr>
              <w:rPr>
                <w:rFonts w:eastAsia="MS Mincho" w:cs="Times New Roman"/>
                <w:i/>
                <w:iCs/>
                <w:color w:val="1F497D"/>
              </w:rPr>
            </w:pPr>
          </w:p>
        </w:tc>
      </w:tr>
      <w:tr w:rsidR="009968E0" w:rsidRPr="009968E0" w14:paraId="354F9180"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64" w:type="pct"/>
            <w:tcBorders>
              <w:left w:val="single" w:sz="4" w:space="0" w:color="auto"/>
            </w:tcBorders>
            <w:noWrap/>
            <w:hideMark/>
          </w:tcPr>
          <w:p w14:paraId="28F2439C"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ROI V3</w:t>
            </w:r>
          </w:p>
        </w:tc>
        <w:tc>
          <w:tcPr>
            <w:tcW w:w="938" w:type="pct"/>
            <w:noWrap/>
            <w:hideMark/>
          </w:tcPr>
          <w:p w14:paraId="71188DFD"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Sig.</w:t>
            </w:r>
          </w:p>
        </w:tc>
        <w:tc>
          <w:tcPr>
            <w:tcW w:w="1825" w:type="pct"/>
          </w:tcPr>
          <w:p w14:paraId="560C0657"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 xml:space="preserve">ROI Delta </w:t>
            </w:r>
          </w:p>
        </w:tc>
        <w:tc>
          <w:tcPr>
            <w:tcW w:w="673" w:type="pct"/>
            <w:gridSpan w:val="2"/>
            <w:tcBorders>
              <w:right w:val="single" w:sz="4" w:space="0" w:color="auto"/>
            </w:tcBorders>
          </w:tcPr>
          <w:p w14:paraId="265C12F2"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Sig.</w:t>
            </w:r>
          </w:p>
        </w:tc>
      </w:tr>
      <w:tr w:rsidR="009968E0" w:rsidRPr="009968E0" w14:paraId="3ED93F57"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564" w:type="pct"/>
            <w:tcBorders>
              <w:left w:val="single" w:sz="4" w:space="0" w:color="auto"/>
            </w:tcBorders>
            <w:noWrap/>
            <w:vAlign w:val="bottom"/>
            <w:hideMark/>
          </w:tcPr>
          <w:p w14:paraId="488DAF32" w14:textId="4C1E8BD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RBV-L</w:t>
            </w:r>
            <w:r w:rsidR="0068219A">
              <w:rPr>
                <w:rFonts w:ascii="Calibri" w:eastAsia="Times New Roman" w:hAnsi="Calibri" w:cs="Calibri"/>
                <w:i/>
                <w:iCs/>
                <w:color w:val="000000"/>
                <w:sz w:val="22"/>
                <w:szCs w:val="22"/>
                <w:lang w:eastAsia="en-GB"/>
              </w:rPr>
              <w:t>Thal</w:t>
            </w:r>
            <w:r w:rsidRPr="009968E0">
              <w:rPr>
                <w:rFonts w:ascii="Calibri" w:eastAsia="Times New Roman" w:hAnsi="Calibri" w:cs="Calibri"/>
                <w:i/>
                <w:iCs/>
                <w:color w:val="000000"/>
                <w:sz w:val="22"/>
                <w:szCs w:val="22"/>
                <w:lang w:eastAsia="en-GB"/>
              </w:rPr>
              <w:t>3</w:t>
            </w:r>
          </w:p>
        </w:tc>
        <w:tc>
          <w:tcPr>
            <w:tcW w:w="938" w:type="pct"/>
            <w:noWrap/>
            <w:vAlign w:val="bottom"/>
            <w:hideMark/>
          </w:tcPr>
          <w:p w14:paraId="7E86E6E1"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0.91</w:t>
            </w:r>
          </w:p>
        </w:tc>
        <w:tc>
          <w:tcPr>
            <w:tcW w:w="1825" w:type="pct"/>
          </w:tcPr>
          <w:p w14:paraId="18543E27" w14:textId="6CF934B6" w:rsidR="009968E0" w:rsidRPr="009968E0" w:rsidRDefault="0068219A"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Pr>
                <w:rFonts w:ascii="Calibri" w:eastAsia="Times New Roman" w:hAnsi="Calibri" w:cs="Calibri"/>
                <w:i/>
                <w:iCs/>
                <w:sz w:val="22"/>
                <w:szCs w:val="22"/>
                <w:lang w:eastAsia="en-GB"/>
              </w:rPr>
              <w:t>Δ</w:t>
            </w:r>
            <w:r w:rsidR="009968E0" w:rsidRPr="009968E0">
              <w:rPr>
                <w:rFonts w:ascii="Calibri" w:eastAsia="Times New Roman" w:hAnsi="Calibri" w:cs="Calibri"/>
                <w:i/>
                <w:iCs/>
                <w:sz w:val="22"/>
                <w:szCs w:val="22"/>
                <w:lang w:eastAsia="en-GB"/>
              </w:rPr>
              <w:t>_RBV_</w:t>
            </w:r>
            <w:r w:rsidRPr="009968E0">
              <w:rPr>
                <w:rFonts w:ascii="Calibri" w:eastAsia="Times New Roman" w:hAnsi="Calibri" w:cs="Calibri"/>
                <w:i/>
                <w:iCs/>
                <w:color w:val="000000"/>
                <w:sz w:val="22"/>
                <w:szCs w:val="22"/>
                <w:lang w:eastAsia="en-GB"/>
              </w:rPr>
              <w:t xml:space="preserve"> L</w:t>
            </w:r>
            <w:r>
              <w:rPr>
                <w:rFonts w:ascii="Calibri" w:eastAsia="Times New Roman" w:hAnsi="Calibri" w:cs="Calibri"/>
                <w:i/>
                <w:iCs/>
                <w:color w:val="000000"/>
                <w:sz w:val="22"/>
                <w:szCs w:val="22"/>
                <w:lang w:eastAsia="en-GB"/>
              </w:rPr>
              <w:t>Thal</w:t>
            </w:r>
          </w:p>
        </w:tc>
        <w:tc>
          <w:tcPr>
            <w:tcW w:w="673" w:type="pct"/>
            <w:gridSpan w:val="2"/>
            <w:tcBorders>
              <w:right w:val="single" w:sz="4" w:space="0" w:color="auto"/>
            </w:tcBorders>
          </w:tcPr>
          <w:p w14:paraId="72E10DBF"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0.37</w:t>
            </w:r>
          </w:p>
        </w:tc>
      </w:tr>
      <w:tr w:rsidR="009968E0" w:rsidRPr="009968E0" w14:paraId="75E77810"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64" w:type="pct"/>
            <w:tcBorders>
              <w:left w:val="single" w:sz="4" w:space="0" w:color="auto"/>
            </w:tcBorders>
            <w:noWrap/>
            <w:vAlign w:val="bottom"/>
            <w:hideMark/>
          </w:tcPr>
          <w:p w14:paraId="2F5FB643" w14:textId="64CD5970"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RBV-</w:t>
            </w:r>
            <w:r w:rsidR="0068219A">
              <w:rPr>
                <w:rFonts w:ascii="Calibri" w:eastAsia="Times New Roman" w:hAnsi="Calibri" w:cs="Calibri"/>
                <w:i/>
                <w:iCs/>
                <w:color w:val="000000"/>
                <w:sz w:val="22"/>
                <w:szCs w:val="22"/>
                <w:lang w:eastAsia="en-GB"/>
              </w:rPr>
              <w:t>RThal3</w:t>
            </w:r>
          </w:p>
        </w:tc>
        <w:tc>
          <w:tcPr>
            <w:tcW w:w="938" w:type="pct"/>
            <w:noWrap/>
            <w:vAlign w:val="bottom"/>
            <w:hideMark/>
          </w:tcPr>
          <w:p w14:paraId="05DFF106"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0.88</w:t>
            </w:r>
          </w:p>
        </w:tc>
        <w:tc>
          <w:tcPr>
            <w:tcW w:w="1825" w:type="pct"/>
          </w:tcPr>
          <w:p w14:paraId="7B2E2DFF" w14:textId="486BF1B6" w:rsidR="009968E0" w:rsidRPr="009968E0" w:rsidRDefault="0068219A"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proofErr w:type="spellStart"/>
            <w:r>
              <w:rPr>
                <w:rFonts w:ascii="Calibri" w:eastAsia="Times New Roman" w:hAnsi="Calibri" w:cs="Calibri"/>
                <w:i/>
                <w:iCs/>
                <w:sz w:val="22"/>
                <w:szCs w:val="22"/>
                <w:lang w:eastAsia="en-GB"/>
              </w:rPr>
              <w:t>Δ</w:t>
            </w:r>
            <w:r w:rsidR="009968E0" w:rsidRPr="009968E0">
              <w:rPr>
                <w:rFonts w:ascii="Calibri" w:eastAsia="Times New Roman" w:hAnsi="Calibri" w:cs="Calibri"/>
                <w:i/>
                <w:iCs/>
                <w:sz w:val="22"/>
                <w:szCs w:val="22"/>
                <w:lang w:eastAsia="en-GB"/>
              </w:rPr>
              <w:t>_RBV_</w:t>
            </w:r>
            <w:r>
              <w:rPr>
                <w:rFonts w:ascii="Calibri" w:eastAsia="Times New Roman" w:hAnsi="Calibri" w:cs="Calibri"/>
                <w:i/>
                <w:iCs/>
                <w:sz w:val="22"/>
                <w:szCs w:val="22"/>
                <w:lang w:eastAsia="en-GB"/>
              </w:rPr>
              <w:t>RThal</w:t>
            </w:r>
            <w:proofErr w:type="spellEnd"/>
          </w:p>
        </w:tc>
        <w:tc>
          <w:tcPr>
            <w:tcW w:w="673" w:type="pct"/>
            <w:gridSpan w:val="2"/>
            <w:tcBorders>
              <w:right w:val="single" w:sz="4" w:space="0" w:color="auto"/>
            </w:tcBorders>
          </w:tcPr>
          <w:p w14:paraId="35A78008"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0.40</w:t>
            </w:r>
          </w:p>
        </w:tc>
      </w:tr>
      <w:tr w:rsidR="009968E0" w:rsidRPr="009968E0" w14:paraId="31400422"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564" w:type="pct"/>
            <w:tcBorders>
              <w:left w:val="single" w:sz="4" w:space="0" w:color="auto"/>
            </w:tcBorders>
            <w:noWrap/>
            <w:vAlign w:val="bottom"/>
            <w:hideMark/>
          </w:tcPr>
          <w:p w14:paraId="4BF5F0C1" w14:textId="163E17A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RBV-</w:t>
            </w:r>
            <w:r w:rsidR="0068219A">
              <w:rPr>
                <w:rFonts w:ascii="Calibri" w:eastAsia="Times New Roman" w:hAnsi="Calibri" w:cs="Calibri"/>
                <w:i/>
                <w:iCs/>
                <w:color w:val="000000"/>
                <w:sz w:val="22"/>
                <w:szCs w:val="22"/>
                <w:lang w:eastAsia="en-GB"/>
              </w:rPr>
              <w:t>LINS3</w:t>
            </w:r>
          </w:p>
        </w:tc>
        <w:tc>
          <w:tcPr>
            <w:tcW w:w="938" w:type="pct"/>
            <w:noWrap/>
            <w:vAlign w:val="bottom"/>
            <w:hideMark/>
          </w:tcPr>
          <w:p w14:paraId="3521E82B"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0.57</w:t>
            </w:r>
          </w:p>
        </w:tc>
        <w:tc>
          <w:tcPr>
            <w:tcW w:w="1825" w:type="pct"/>
          </w:tcPr>
          <w:p w14:paraId="70D47B1B" w14:textId="49A1A976" w:rsidR="009968E0" w:rsidRPr="009968E0" w:rsidRDefault="0068219A"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Pr>
                <w:rFonts w:ascii="Calibri" w:eastAsia="Times New Roman" w:hAnsi="Calibri" w:cs="Calibri"/>
                <w:i/>
                <w:iCs/>
                <w:sz w:val="22"/>
                <w:szCs w:val="22"/>
                <w:lang w:eastAsia="en-GB"/>
              </w:rPr>
              <w:t>Δ</w:t>
            </w:r>
            <w:r w:rsidR="009968E0" w:rsidRPr="009968E0">
              <w:rPr>
                <w:rFonts w:ascii="Calibri" w:eastAsia="Times New Roman" w:hAnsi="Calibri" w:cs="Calibri"/>
                <w:i/>
                <w:iCs/>
                <w:sz w:val="22"/>
                <w:szCs w:val="22"/>
                <w:lang w:eastAsia="en-GB"/>
              </w:rPr>
              <w:t>_RBV_</w:t>
            </w:r>
            <w:r>
              <w:rPr>
                <w:rFonts w:ascii="Calibri" w:eastAsia="Times New Roman" w:hAnsi="Calibri" w:cs="Calibri"/>
                <w:i/>
                <w:iCs/>
                <w:sz w:val="22"/>
                <w:szCs w:val="22"/>
                <w:lang w:eastAsia="en-GB"/>
              </w:rPr>
              <w:t>LINS</w:t>
            </w:r>
          </w:p>
        </w:tc>
        <w:tc>
          <w:tcPr>
            <w:tcW w:w="673" w:type="pct"/>
            <w:gridSpan w:val="2"/>
            <w:tcBorders>
              <w:right w:val="single" w:sz="4" w:space="0" w:color="auto"/>
            </w:tcBorders>
          </w:tcPr>
          <w:p w14:paraId="2283B192"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0.24</w:t>
            </w:r>
          </w:p>
        </w:tc>
      </w:tr>
      <w:tr w:rsidR="009968E0" w:rsidRPr="009968E0" w14:paraId="41A7EBE1"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64" w:type="pct"/>
            <w:tcBorders>
              <w:left w:val="single" w:sz="4" w:space="0" w:color="auto"/>
            </w:tcBorders>
            <w:noWrap/>
            <w:vAlign w:val="bottom"/>
            <w:hideMark/>
          </w:tcPr>
          <w:p w14:paraId="7FEB5ADF" w14:textId="4DC5901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RBV-</w:t>
            </w:r>
            <w:r w:rsidR="0068219A">
              <w:rPr>
                <w:rFonts w:ascii="Calibri" w:eastAsia="Times New Roman" w:hAnsi="Calibri" w:cs="Calibri"/>
                <w:i/>
                <w:iCs/>
                <w:color w:val="000000"/>
                <w:sz w:val="22"/>
                <w:szCs w:val="22"/>
                <w:lang w:eastAsia="en-GB"/>
              </w:rPr>
              <w:t>RINS3</w:t>
            </w:r>
          </w:p>
        </w:tc>
        <w:tc>
          <w:tcPr>
            <w:tcW w:w="938" w:type="pct"/>
            <w:noWrap/>
            <w:vAlign w:val="bottom"/>
            <w:hideMark/>
          </w:tcPr>
          <w:p w14:paraId="030A2B01"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0.49</w:t>
            </w:r>
          </w:p>
        </w:tc>
        <w:tc>
          <w:tcPr>
            <w:tcW w:w="1825" w:type="pct"/>
          </w:tcPr>
          <w:p w14:paraId="382080EF" w14:textId="3DEE4CC1" w:rsidR="009968E0" w:rsidRPr="009968E0" w:rsidRDefault="0068219A"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Pr>
                <w:rFonts w:ascii="Calibri" w:eastAsia="Times New Roman" w:hAnsi="Calibri" w:cs="Calibri"/>
                <w:i/>
                <w:iCs/>
                <w:sz w:val="22"/>
                <w:szCs w:val="22"/>
                <w:lang w:eastAsia="en-GB"/>
              </w:rPr>
              <w:t>Δ</w:t>
            </w:r>
            <w:r w:rsidR="009968E0" w:rsidRPr="009968E0">
              <w:rPr>
                <w:rFonts w:ascii="Calibri" w:eastAsia="Times New Roman" w:hAnsi="Calibri" w:cs="Calibri"/>
                <w:i/>
                <w:iCs/>
                <w:sz w:val="22"/>
                <w:szCs w:val="22"/>
                <w:lang w:eastAsia="en-GB"/>
              </w:rPr>
              <w:t>_RBV_</w:t>
            </w:r>
            <w:r>
              <w:rPr>
                <w:rFonts w:ascii="Calibri" w:eastAsia="Times New Roman" w:hAnsi="Calibri" w:cs="Calibri"/>
                <w:i/>
                <w:iCs/>
                <w:sz w:val="22"/>
                <w:szCs w:val="22"/>
                <w:lang w:eastAsia="en-GB"/>
              </w:rPr>
              <w:t>RINS</w:t>
            </w:r>
          </w:p>
        </w:tc>
        <w:tc>
          <w:tcPr>
            <w:tcW w:w="673" w:type="pct"/>
            <w:gridSpan w:val="2"/>
            <w:tcBorders>
              <w:right w:val="single" w:sz="4" w:space="0" w:color="auto"/>
            </w:tcBorders>
          </w:tcPr>
          <w:p w14:paraId="51FF13D0"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0.23</w:t>
            </w:r>
          </w:p>
        </w:tc>
      </w:tr>
      <w:tr w:rsidR="009968E0" w:rsidRPr="009968E0" w14:paraId="51A3A004"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564" w:type="pct"/>
            <w:tcBorders>
              <w:left w:val="single" w:sz="4" w:space="0" w:color="auto"/>
            </w:tcBorders>
            <w:noWrap/>
            <w:vAlign w:val="bottom"/>
            <w:hideMark/>
          </w:tcPr>
          <w:p w14:paraId="6210DDFE" w14:textId="115F6382"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RBV-</w:t>
            </w:r>
            <w:r w:rsidR="0068219A">
              <w:rPr>
                <w:rFonts w:ascii="Calibri" w:eastAsia="Times New Roman" w:hAnsi="Calibri" w:cs="Calibri"/>
                <w:i/>
                <w:iCs/>
                <w:color w:val="000000"/>
                <w:sz w:val="22"/>
                <w:szCs w:val="22"/>
                <w:lang w:eastAsia="en-GB"/>
              </w:rPr>
              <w:t>ACC3</w:t>
            </w:r>
          </w:p>
        </w:tc>
        <w:tc>
          <w:tcPr>
            <w:tcW w:w="938" w:type="pct"/>
            <w:noWrap/>
            <w:vAlign w:val="bottom"/>
            <w:hideMark/>
          </w:tcPr>
          <w:p w14:paraId="3C214F83"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0.87</w:t>
            </w:r>
          </w:p>
        </w:tc>
        <w:tc>
          <w:tcPr>
            <w:tcW w:w="1825" w:type="pct"/>
          </w:tcPr>
          <w:p w14:paraId="64F42031" w14:textId="6E5EA47C" w:rsidR="009968E0" w:rsidRPr="009968E0" w:rsidRDefault="0068219A"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Pr>
                <w:rFonts w:ascii="Calibri" w:eastAsia="Times New Roman" w:hAnsi="Calibri" w:cs="Calibri"/>
                <w:i/>
                <w:iCs/>
                <w:sz w:val="22"/>
                <w:szCs w:val="22"/>
                <w:lang w:eastAsia="en-GB"/>
              </w:rPr>
              <w:t>Δ</w:t>
            </w:r>
            <w:r w:rsidR="009968E0" w:rsidRPr="009968E0">
              <w:rPr>
                <w:rFonts w:ascii="Calibri" w:eastAsia="Times New Roman" w:hAnsi="Calibri" w:cs="Calibri"/>
                <w:i/>
                <w:iCs/>
                <w:sz w:val="22"/>
                <w:szCs w:val="22"/>
                <w:lang w:eastAsia="en-GB"/>
              </w:rPr>
              <w:t>_RBV_</w:t>
            </w:r>
            <w:r>
              <w:rPr>
                <w:rFonts w:ascii="Calibri" w:eastAsia="Times New Roman" w:hAnsi="Calibri" w:cs="Calibri"/>
                <w:i/>
                <w:iCs/>
                <w:sz w:val="22"/>
                <w:szCs w:val="22"/>
                <w:lang w:eastAsia="en-GB"/>
              </w:rPr>
              <w:t>ACC</w:t>
            </w:r>
          </w:p>
        </w:tc>
        <w:tc>
          <w:tcPr>
            <w:tcW w:w="673" w:type="pct"/>
            <w:gridSpan w:val="2"/>
            <w:tcBorders>
              <w:right w:val="single" w:sz="4" w:space="0" w:color="auto"/>
            </w:tcBorders>
          </w:tcPr>
          <w:p w14:paraId="0483DC35"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0.43</w:t>
            </w:r>
          </w:p>
        </w:tc>
      </w:tr>
      <w:tr w:rsidR="009968E0" w:rsidRPr="009968E0" w14:paraId="1BA9970B"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64" w:type="pct"/>
            <w:tcBorders>
              <w:left w:val="single" w:sz="4" w:space="0" w:color="auto"/>
            </w:tcBorders>
            <w:noWrap/>
            <w:vAlign w:val="bottom"/>
            <w:hideMark/>
          </w:tcPr>
          <w:p w14:paraId="0D3E8D3A" w14:textId="07472955"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RBV-</w:t>
            </w:r>
            <w:r w:rsidR="0068219A">
              <w:rPr>
                <w:rFonts w:ascii="Calibri" w:eastAsia="Times New Roman" w:hAnsi="Calibri" w:cs="Calibri"/>
                <w:i/>
                <w:iCs/>
                <w:color w:val="000000"/>
                <w:sz w:val="22"/>
                <w:szCs w:val="22"/>
                <w:lang w:eastAsia="en-GB"/>
              </w:rPr>
              <w:t>POWM3</w:t>
            </w:r>
          </w:p>
        </w:tc>
        <w:tc>
          <w:tcPr>
            <w:tcW w:w="938" w:type="pct"/>
            <w:noWrap/>
            <w:vAlign w:val="bottom"/>
            <w:hideMark/>
          </w:tcPr>
          <w:p w14:paraId="33BCA065"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0.45</w:t>
            </w:r>
          </w:p>
        </w:tc>
        <w:tc>
          <w:tcPr>
            <w:tcW w:w="1825" w:type="pct"/>
          </w:tcPr>
          <w:p w14:paraId="6662109D" w14:textId="04F9FD13" w:rsidR="009968E0" w:rsidRPr="009968E0" w:rsidRDefault="0068219A"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Pr>
                <w:rFonts w:ascii="Calibri" w:eastAsia="Times New Roman" w:hAnsi="Calibri" w:cs="Calibri"/>
                <w:i/>
                <w:iCs/>
                <w:sz w:val="22"/>
                <w:szCs w:val="22"/>
                <w:lang w:eastAsia="en-GB"/>
              </w:rPr>
              <w:t>Δ</w:t>
            </w:r>
            <w:r w:rsidR="009968E0" w:rsidRPr="009968E0">
              <w:rPr>
                <w:rFonts w:ascii="Calibri" w:eastAsia="Times New Roman" w:hAnsi="Calibri" w:cs="Calibri"/>
                <w:i/>
                <w:iCs/>
                <w:sz w:val="22"/>
                <w:szCs w:val="22"/>
                <w:lang w:eastAsia="en-GB"/>
              </w:rPr>
              <w:t>_RBV_</w:t>
            </w:r>
            <w:r>
              <w:rPr>
                <w:rFonts w:ascii="Calibri" w:eastAsia="Times New Roman" w:hAnsi="Calibri" w:cs="Calibri"/>
                <w:i/>
                <w:iCs/>
                <w:sz w:val="22"/>
                <w:szCs w:val="22"/>
                <w:lang w:eastAsia="en-GB"/>
              </w:rPr>
              <w:t>POWM</w:t>
            </w:r>
          </w:p>
        </w:tc>
        <w:tc>
          <w:tcPr>
            <w:tcW w:w="673" w:type="pct"/>
            <w:gridSpan w:val="2"/>
            <w:tcBorders>
              <w:right w:val="single" w:sz="4" w:space="0" w:color="auto"/>
            </w:tcBorders>
          </w:tcPr>
          <w:p w14:paraId="5B2453A4"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0.48</w:t>
            </w:r>
          </w:p>
        </w:tc>
      </w:tr>
      <w:tr w:rsidR="009968E0" w:rsidRPr="009968E0" w14:paraId="740E15C9"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564" w:type="pct"/>
            <w:tcBorders>
              <w:left w:val="single" w:sz="4" w:space="0" w:color="auto"/>
            </w:tcBorders>
            <w:noWrap/>
            <w:vAlign w:val="bottom"/>
            <w:hideMark/>
          </w:tcPr>
          <w:p w14:paraId="54143A04" w14:textId="018556EA"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RBV_</w:t>
            </w:r>
            <w:r w:rsidR="0068219A">
              <w:rPr>
                <w:rFonts w:ascii="Calibri" w:eastAsia="Times New Roman" w:hAnsi="Calibri" w:cs="Calibri"/>
                <w:i/>
                <w:iCs/>
                <w:color w:val="000000"/>
                <w:sz w:val="22"/>
                <w:szCs w:val="22"/>
                <w:lang w:eastAsia="en-GB"/>
              </w:rPr>
              <w:t>LPSC3</w:t>
            </w:r>
          </w:p>
        </w:tc>
        <w:tc>
          <w:tcPr>
            <w:tcW w:w="938" w:type="pct"/>
            <w:noWrap/>
            <w:vAlign w:val="bottom"/>
            <w:hideMark/>
          </w:tcPr>
          <w:p w14:paraId="27028E10"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0.66</w:t>
            </w:r>
          </w:p>
        </w:tc>
        <w:tc>
          <w:tcPr>
            <w:tcW w:w="1825" w:type="pct"/>
          </w:tcPr>
          <w:p w14:paraId="2810B0CA" w14:textId="7B2969EE" w:rsidR="009968E0" w:rsidRPr="009968E0" w:rsidRDefault="0068219A"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Pr>
                <w:rFonts w:ascii="Calibri" w:eastAsia="Times New Roman" w:hAnsi="Calibri" w:cs="Calibri"/>
                <w:i/>
                <w:iCs/>
                <w:sz w:val="22"/>
                <w:szCs w:val="22"/>
                <w:lang w:eastAsia="en-GB"/>
              </w:rPr>
              <w:t>Δ</w:t>
            </w:r>
            <w:r w:rsidR="009968E0" w:rsidRPr="009968E0">
              <w:rPr>
                <w:rFonts w:ascii="Calibri" w:eastAsia="Times New Roman" w:hAnsi="Calibri" w:cs="Calibri"/>
                <w:i/>
                <w:iCs/>
                <w:sz w:val="22"/>
                <w:szCs w:val="22"/>
                <w:lang w:eastAsia="en-GB"/>
              </w:rPr>
              <w:t>_RBV_</w:t>
            </w:r>
            <w:r>
              <w:rPr>
                <w:rFonts w:ascii="Calibri" w:eastAsia="Times New Roman" w:hAnsi="Calibri" w:cs="Calibri"/>
                <w:i/>
                <w:iCs/>
                <w:sz w:val="22"/>
                <w:szCs w:val="22"/>
                <w:lang w:eastAsia="en-GB"/>
              </w:rPr>
              <w:t>LPSC</w:t>
            </w:r>
          </w:p>
        </w:tc>
        <w:tc>
          <w:tcPr>
            <w:tcW w:w="673" w:type="pct"/>
            <w:gridSpan w:val="2"/>
            <w:tcBorders>
              <w:right w:val="single" w:sz="4" w:space="0" w:color="auto"/>
            </w:tcBorders>
          </w:tcPr>
          <w:p w14:paraId="235AF8F8"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0.63</w:t>
            </w:r>
          </w:p>
        </w:tc>
      </w:tr>
      <w:tr w:rsidR="009968E0" w:rsidRPr="009968E0" w14:paraId="259FE6F1"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64" w:type="pct"/>
            <w:tcBorders>
              <w:left w:val="single" w:sz="4" w:space="0" w:color="auto"/>
            </w:tcBorders>
            <w:noWrap/>
            <w:vAlign w:val="bottom"/>
            <w:hideMark/>
          </w:tcPr>
          <w:p w14:paraId="5B66BC19" w14:textId="58F1FADD"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RBV-</w:t>
            </w:r>
            <w:r w:rsidR="0068219A">
              <w:rPr>
                <w:rFonts w:ascii="Calibri" w:eastAsia="Times New Roman" w:hAnsi="Calibri" w:cs="Calibri"/>
                <w:i/>
                <w:iCs/>
                <w:color w:val="000000"/>
                <w:sz w:val="22"/>
                <w:szCs w:val="22"/>
                <w:lang w:eastAsia="en-GB"/>
              </w:rPr>
              <w:t>RPSC3</w:t>
            </w:r>
          </w:p>
        </w:tc>
        <w:tc>
          <w:tcPr>
            <w:tcW w:w="938" w:type="pct"/>
            <w:noWrap/>
            <w:vAlign w:val="bottom"/>
            <w:hideMark/>
          </w:tcPr>
          <w:p w14:paraId="0F4B037F"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0.37</w:t>
            </w:r>
          </w:p>
        </w:tc>
        <w:tc>
          <w:tcPr>
            <w:tcW w:w="1825" w:type="pct"/>
          </w:tcPr>
          <w:p w14:paraId="4BD1CEA4" w14:textId="526BDAAE" w:rsidR="009968E0" w:rsidRPr="009968E0" w:rsidRDefault="0068219A"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Pr>
                <w:rFonts w:ascii="Calibri" w:eastAsia="Times New Roman" w:hAnsi="Calibri" w:cs="Calibri"/>
                <w:i/>
                <w:iCs/>
                <w:sz w:val="22"/>
                <w:szCs w:val="22"/>
                <w:lang w:eastAsia="en-GB"/>
              </w:rPr>
              <w:t>Δ</w:t>
            </w:r>
            <w:r w:rsidR="009968E0" w:rsidRPr="009968E0">
              <w:rPr>
                <w:rFonts w:ascii="Calibri" w:eastAsia="Times New Roman" w:hAnsi="Calibri" w:cs="Calibri"/>
                <w:i/>
                <w:iCs/>
                <w:sz w:val="22"/>
                <w:szCs w:val="22"/>
                <w:lang w:eastAsia="en-GB"/>
              </w:rPr>
              <w:t>_RBV_</w:t>
            </w:r>
            <w:r>
              <w:rPr>
                <w:rFonts w:ascii="Calibri" w:eastAsia="Times New Roman" w:hAnsi="Calibri" w:cs="Calibri"/>
                <w:i/>
                <w:iCs/>
                <w:sz w:val="22"/>
                <w:szCs w:val="22"/>
                <w:lang w:eastAsia="en-GB"/>
              </w:rPr>
              <w:t>RPSC</w:t>
            </w:r>
          </w:p>
        </w:tc>
        <w:tc>
          <w:tcPr>
            <w:tcW w:w="673" w:type="pct"/>
            <w:gridSpan w:val="2"/>
            <w:tcBorders>
              <w:right w:val="single" w:sz="4" w:space="0" w:color="auto"/>
            </w:tcBorders>
          </w:tcPr>
          <w:p w14:paraId="4AF14990"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0.35</w:t>
            </w:r>
          </w:p>
        </w:tc>
      </w:tr>
      <w:tr w:rsidR="009968E0" w:rsidRPr="009968E0" w14:paraId="3ED892A8"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564" w:type="pct"/>
            <w:tcBorders>
              <w:left w:val="single" w:sz="4" w:space="0" w:color="auto"/>
            </w:tcBorders>
            <w:noWrap/>
            <w:vAlign w:val="bottom"/>
            <w:hideMark/>
          </w:tcPr>
          <w:p w14:paraId="026B65ED" w14:textId="2E748123"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RBF-</w:t>
            </w:r>
            <w:r w:rsidR="0068219A" w:rsidRPr="009968E0">
              <w:rPr>
                <w:rFonts w:ascii="Calibri" w:eastAsia="Times New Roman" w:hAnsi="Calibri" w:cs="Calibri"/>
                <w:i/>
                <w:iCs/>
                <w:color w:val="000000"/>
                <w:sz w:val="22"/>
                <w:szCs w:val="22"/>
                <w:lang w:eastAsia="en-GB"/>
              </w:rPr>
              <w:t xml:space="preserve"> L</w:t>
            </w:r>
            <w:r w:rsidR="0068219A">
              <w:rPr>
                <w:rFonts w:ascii="Calibri" w:eastAsia="Times New Roman" w:hAnsi="Calibri" w:cs="Calibri"/>
                <w:i/>
                <w:iCs/>
                <w:color w:val="000000"/>
                <w:sz w:val="22"/>
                <w:szCs w:val="22"/>
                <w:lang w:eastAsia="en-GB"/>
              </w:rPr>
              <w:t>Thal</w:t>
            </w:r>
            <w:r w:rsidR="0068219A" w:rsidRPr="009968E0">
              <w:rPr>
                <w:rFonts w:ascii="Calibri" w:eastAsia="Times New Roman" w:hAnsi="Calibri" w:cs="Calibri"/>
                <w:i/>
                <w:iCs/>
                <w:color w:val="000000"/>
                <w:sz w:val="22"/>
                <w:szCs w:val="22"/>
                <w:lang w:eastAsia="en-GB"/>
              </w:rPr>
              <w:t>3</w:t>
            </w:r>
          </w:p>
        </w:tc>
        <w:tc>
          <w:tcPr>
            <w:tcW w:w="938" w:type="pct"/>
            <w:noWrap/>
            <w:vAlign w:val="bottom"/>
            <w:hideMark/>
          </w:tcPr>
          <w:p w14:paraId="6D31D550"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0.78</w:t>
            </w:r>
          </w:p>
        </w:tc>
        <w:tc>
          <w:tcPr>
            <w:tcW w:w="1825" w:type="pct"/>
          </w:tcPr>
          <w:p w14:paraId="2BD16251" w14:textId="3B490FAC" w:rsidR="009968E0" w:rsidRPr="009968E0" w:rsidRDefault="0068219A"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proofErr w:type="spellStart"/>
            <w:r>
              <w:rPr>
                <w:rFonts w:ascii="Calibri" w:eastAsia="Times New Roman" w:hAnsi="Calibri" w:cs="Calibri"/>
                <w:i/>
                <w:iCs/>
                <w:sz w:val="22"/>
                <w:szCs w:val="22"/>
                <w:lang w:eastAsia="en-GB"/>
              </w:rPr>
              <w:t>Δ</w:t>
            </w:r>
            <w:r w:rsidR="009968E0" w:rsidRPr="009968E0">
              <w:rPr>
                <w:rFonts w:ascii="Calibri" w:eastAsia="Times New Roman" w:hAnsi="Calibri" w:cs="Calibri"/>
                <w:i/>
                <w:iCs/>
                <w:sz w:val="22"/>
                <w:szCs w:val="22"/>
                <w:lang w:eastAsia="en-GB"/>
              </w:rPr>
              <w:t>_RBf_</w:t>
            </w:r>
            <w:r w:rsidRPr="009968E0">
              <w:rPr>
                <w:rFonts w:ascii="Calibri" w:eastAsia="Times New Roman" w:hAnsi="Calibri" w:cs="Calibri"/>
                <w:i/>
                <w:iCs/>
                <w:color w:val="000000"/>
                <w:sz w:val="22"/>
                <w:szCs w:val="22"/>
                <w:lang w:eastAsia="en-GB"/>
              </w:rPr>
              <w:t>L</w:t>
            </w:r>
            <w:r>
              <w:rPr>
                <w:rFonts w:ascii="Calibri" w:eastAsia="Times New Roman" w:hAnsi="Calibri" w:cs="Calibri"/>
                <w:i/>
                <w:iCs/>
                <w:color w:val="000000"/>
                <w:sz w:val="22"/>
                <w:szCs w:val="22"/>
                <w:lang w:eastAsia="en-GB"/>
              </w:rPr>
              <w:t>Thal</w:t>
            </w:r>
            <w:proofErr w:type="spellEnd"/>
          </w:p>
        </w:tc>
        <w:tc>
          <w:tcPr>
            <w:tcW w:w="673" w:type="pct"/>
            <w:gridSpan w:val="2"/>
            <w:tcBorders>
              <w:right w:val="single" w:sz="4" w:space="0" w:color="auto"/>
            </w:tcBorders>
          </w:tcPr>
          <w:p w14:paraId="1AB57866"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0.34</w:t>
            </w:r>
          </w:p>
        </w:tc>
      </w:tr>
      <w:tr w:rsidR="009968E0" w:rsidRPr="009968E0" w14:paraId="0364CE41"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64" w:type="pct"/>
            <w:tcBorders>
              <w:left w:val="single" w:sz="4" w:space="0" w:color="auto"/>
            </w:tcBorders>
            <w:noWrap/>
            <w:vAlign w:val="bottom"/>
            <w:hideMark/>
          </w:tcPr>
          <w:p w14:paraId="157F1A50" w14:textId="04284D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RBF-</w:t>
            </w:r>
            <w:r w:rsidR="0068219A">
              <w:rPr>
                <w:rFonts w:ascii="Calibri" w:eastAsia="Times New Roman" w:hAnsi="Calibri" w:cs="Calibri"/>
                <w:i/>
                <w:iCs/>
                <w:color w:val="000000"/>
                <w:sz w:val="22"/>
                <w:szCs w:val="22"/>
                <w:lang w:eastAsia="en-GB"/>
              </w:rPr>
              <w:t>RThal3</w:t>
            </w:r>
          </w:p>
        </w:tc>
        <w:tc>
          <w:tcPr>
            <w:tcW w:w="938" w:type="pct"/>
            <w:noWrap/>
            <w:vAlign w:val="bottom"/>
            <w:hideMark/>
          </w:tcPr>
          <w:p w14:paraId="48213C63"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0.99</w:t>
            </w:r>
          </w:p>
        </w:tc>
        <w:tc>
          <w:tcPr>
            <w:tcW w:w="1825" w:type="pct"/>
          </w:tcPr>
          <w:p w14:paraId="3E168D30" w14:textId="6087F1E0" w:rsidR="009968E0" w:rsidRPr="009968E0" w:rsidRDefault="0068219A"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proofErr w:type="spellStart"/>
            <w:r>
              <w:rPr>
                <w:rFonts w:ascii="Calibri" w:eastAsia="Times New Roman" w:hAnsi="Calibri" w:cs="Calibri"/>
                <w:i/>
                <w:iCs/>
                <w:sz w:val="22"/>
                <w:szCs w:val="22"/>
                <w:lang w:eastAsia="en-GB"/>
              </w:rPr>
              <w:t>Δ</w:t>
            </w:r>
            <w:r w:rsidR="009968E0" w:rsidRPr="009968E0">
              <w:rPr>
                <w:rFonts w:ascii="Calibri" w:eastAsia="Times New Roman" w:hAnsi="Calibri" w:cs="Calibri"/>
                <w:i/>
                <w:iCs/>
                <w:sz w:val="22"/>
                <w:szCs w:val="22"/>
                <w:lang w:eastAsia="en-GB"/>
              </w:rPr>
              <w:t>_RBf_</w:t>
            </w:r>
            <w:r>
              <w:rPr>
                <w:rFonts w:ascii="Calibri" w:eastAsia="Times New Roman" w:hAnsi="Calibri" w:cs="Calibri"/>
                <w:i/>
                <w:iCs/>
                <w:sz w:val="22"/>
                <w:szCs w:val="22"/>
                <w:lang w:eastAsia="en-GB"/>
              </w:rPr>
              <w:t>RThal</w:t>
            </w:r>
            <w:proofErr w:type="spellEnd"/>
          </w:p>
        </w:tc>
        <w:tc>
          <w:tcPr>
            <w:tcW w:w="673" w:type="pct"/>
            <w:gridSpan w:val="2"/>
            <w:tcBorders>
              <w:right w:val="single" w:sz="4" w:space="0" w:color="auto"/>
            </w:tcBorders>
          </w:tcPr>
          <w:p w14:paraId="02334182"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0.44</w:t>
            </w:r>
          </w:p>
        </w:tc>
      </w:tr>
      <w:tr w:rsidR="009968E0" w:rsidRPr="009968E0" w14:paraId="47F1D9FB"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564" w:type="pct"/>
            <w:tcBorders>
              <w:left w:val="single" w:sz="4" w:space="0" w:color="auto"/>
            </w:tcBorders>
            <w:noWrap/>
            <w:vAlign w:val="bottom"/>
            <w:hideMark/>
          </w:tcPr>
          <w:p w14:paraId="4D4945AB" w14:textId="0C652CD8"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RBF-</w:t>
            </w:r>
            <w:r w:rsidR="0068219A">
              <w:rPr>
                <w:rFonts w:ascii="Calibri" w:eastAsia="Times New Roman" w:hAnsi="Calibri" w:cs="Calibri"/>
                <w:i/>
                <w:iCs/>
                <w:color w:val="000000"/>
                <w:sz w:val="22"/>
                <w:szCs w:val="22"/>
                <w:lang w:eastAsia="en-GB"/>
              </w:rPr>
              <w:t>LINS3</w:t>
            </w:r>
          </w:p>
        </w:tc>
        <w:tc>
          <w:tcPr>
            <w:tcW w:w="938" w:type="pct"/>
            <w:noWrap/>
            <w:vAlign w:val="bottom"/>
            <w:hideMark/>
          </w:tcPr>
          <w:p w14:paraId="0F02887B"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0.49</w:t>
            </w:r>
          </w:p>
        </w:tc>
        <w:tc>
          <w:tcPr>
            <w:tcW w:w="1825" w:type="pct"/>
          </w:tcPr>
          <w:p w14:paraId="6F3A994B" w14:textId="58688607" w:rsidR="009968E0" w:rsidRPr="009968E0" w:rsidRDefault="0068219A"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proofErr w:type="spellStart"/>
            <w:r>
              <w:rPr>
                <w:rFonts w:ascii="Calibri" w:eastAsia="Times New Roman" w:hAnsi="Calibri" w:cs="Calibri"/>
                <w:i/>
                <w:iCs/>
                <w:sz w:val="22"/>
                <w:szCs w:val="22"/>
                <w:lang w:eastAsia="en-GB"/>
              </w:rPr>
              <w:t>Δ</w:t>
            </w:r>
            <w:r w:rsidR="009968E0" w:rsidRPr="009968E0">
              <w:rPr>
                <w:rFonts w:ascii="Calibri" w:eastAsia="Times New Roman" w:hAnsi="Calibri" w:cs="Calibri"/>
                <w:i/>
                <w:iCs/>
                <w:sz w:val="22"/>
                <w:szCs w:val="22"/>
                <w:lang w:eastAsia="en-GB"/>
              </w:rPr>
              <w:t>_RBf_</w:t>
            </w:r>
            <w:r>
              <w:rPr>
                <w:rFonts w:ascii="Calibri" w:eastAsia="Times New Roman" w:hAnsi="Calibri" w:cs="Calibri"/>
                <w:i/>
                <w:iCs/>
                <w:sz w:val="22"/>
                <w:szCs w:val="22"/>
                <w:lang w:eastAsia="en-GB"/>
              </w:rPr>
              <w:t>LINS</w:t>
            </w:r>
            <w:proofErr w:type="spellEnd"/>
          </w:p>
        </w:tc>
        <w:tc>
          <w:tcPr>
            <w:tcW w:w="673" w:type="pct"/>
            <w:gridSpan w:val="2"/>
            <w:tcBorders>
              <w:right w:val="single" w:sz="4" w:space="0" w:color="auto"/>
            </w:tcBorders>
          </w:tcPr>
          <w:p w14:paraId="3617BE72"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0.11</w:t>
            </w:r>
          </w:p>
        </w:tc>
      </w:tr>
      <w:tr w:rsidR="009968E0" w:rsidRPr="009968E0" w14:paraId="6A3E9C3C"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64" w:type="pct"/>
            <w:tcBorders>
              <w:left w:val="single" w:sz="4" w:space="0" w:color="auto"/>
            </w:tcBorders>
            <w:noWrap/>
            <w:vAlign w:val="bottom"/>
            <w:hideMark/>
          </w:tcPr>
          <w:p w14:paraId="24443F5D" w14:textId="3565AAF8"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RBF-</w:t>
            </w:r>
            <w:r w:rsidR="0068219A">
              <w:rPr>
                <w:rFonts w:ascii="Calibri" w:eastAsia="Times New Roman" w:hAnsi="Calibri" w:cs="Calibri"/>
                <w:i/>
                <w:iCs/>
                <w:color w:val="000000"/>
                <w:sz w:val="22"/>
                <w:szCs w:val="22"/>
                <w:lang w:eastAsia="en-GB"/>
              </w:rPr>
              <w:t>RINS3</w:t>
            </w:r>
          </w:p>
        </w:tc>
        <w:tc>
          <w:tcPr>
            <w:tcW w:w="938" w:type="pct"/>
            <w:noWrap/>
            <w:vAlign w:val="bottom"/>
            <w:hideMark/>
          </w:tcPr>
          <w:p w14:paraId="693F89B5"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0.48</w:t>
            </w:r>
          </w:p>
        </w:tc>
        <w:tc>
          <w:tcPr>
            <w:tcW w:w="1825" w:type="pct"/>
          </w:tcPr>
          <w:p w14:paraId="4592C410" w14:textId="0EA18166" w:rsidR="009968E0" w:rsidRPr="009968E0" w:rsidRDefault="0068219A"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proofErr w:type="spellStart"/>
            <w:r>
              <w:rPr>
                <w:rFonts w:ascii="Calibri" w:eastAsia="Times New Roman" w:hAnsi="Calibri" w:cs="Calibri"/>
                <w:i/>
                <w:iCs/>
                <w:sz w:val="22"/>
                <w:szCs w:val="22"/>
                <w:lang w:eastAsia="en-GB"/>
              </w:rPr>
              <w:t>Δ</w:t>
            </w:r>
            <w:r w:rsidR="009968E0" w:rsidRPr="009968E0">
              <w:rPr>
                <w:rFonts w:ascii="Calibri" w:eastAsia="Times New Roman" w:hAnsi="Calibri" w:cs="Calibri"/>
                <w:i/>
                <w:iCs/>
                <w:sz w:val="22"/>
                <w:szCs w:val="22"/>
                <w:lang w:eastAsia="en-GB"/>
              </w:rPr>
              <w:t>_RBf_</w:t>
            </w:r>
            <w:r>
              <w:rPr>
                <w:rFonts w:ascii="Calibri" w:eastAsia="Times New Roman" w:hAnsi="Calibri" w:cs="Calibri"/>
                <w:i/>
                <w:iCs/>
                <w:sz w:val="22"/>
                <w:szCs w:val="22"/>
                <w:lang w:eastAsia="en-GB"/>
              </w:rPr>
              <w:t>RINS</w:t>
            </w:r>
            <w:proofErr w:type="spellEnd"/>
          </w:p>
        </w:tc>
        <w:tc>
          <w:tcPr>
            <w:tcW w:w="673" w:type="pct"/>
            <w:gridSpan w:val="2"/>
            <w:tcBorders>
              <w:right w:val="single" w:sz="4" w:space="0" w:color="auto"/>
            </w:tcBorders>
          </w:tcPr>
          <w:p w14:paraId="2A787574"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0.14</w:t>
            </w:r>
          </w:p>
        </w:tc>
      </w:tr>
      <w:tr w:rsidR="009968E0" w:rsidRPr="009968E0" w14:paraId="63430742"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564" w:type="pct"/>
            <w:tcBorders>
              <w:left w:val="single" w:sz="4" w:space="0" w:color="auto"/>
            </w:tcBorders>
            <w:noWrap/>
            <w:vAlign w:val="bottom"/>
            <w:hideMark/>
          </w:tcPr>
          <w:p w14:paraId="7EFC935E" w14:textId="2A3AD578"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RBF-</w:t>
            </w:r>
            <w:r w:rsidR="0068219A">
              <w:rPr>
                <w:rFonts w:ascii="Calibri" w:eastAsia="Times New Roman" w:hAnsi="Calibri" w:cs="Calibri"/>
                <w:i/>
                <w:iCs/>
                <w:color w:val="000000"/>
                <w:sz w:val="22"/>
                <w:szCs w:val="22"/>
                <w:lang w:eastAsia="en-GB"/>
              </w:rPr>
              <w:t>ACC3</w:t>
            </w:r>
          </w:p>
        </w:tc>
        <w:tc>
          <w:tcPr>
            <w:tcW w:w="938" w:type="pct"/>
            <w:noWrap/>
            <w:vAlign w:val="bottom"/>
            <w:hideMark/>
          </w:tcPr>
          <w:p w14:paraId="3AAE7ABB"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0.70</w:t>
            </w:r>
          </w:p>
        </w:tc>
        <w:tc>
          <w:tcPr>
            <w:tcW w:w="1825" w:type="pct"/>
          </w:tcPr>
          <w:p w14:paraId="52A71BE5" w14:textId="1266179A" w:rsidR="009968E0" w:rsidRPr="009968E0" w:rsidRDefault="0068219A"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proofErr w:type="spellStart"/>
            <w:r>
              <w:rPr>
                <w:rFonts w:ascii="Calibri" w:eastAsia="Times New Roman" w:hAnsi="Calibri" w:cs="Calibri"/>
                <w:i/>
                <w:iCs/>
                <w:sz w:val="22"/>
                <w:szCs w:val="22"/>
                <w:lang w:eastAsia="en-GB"/>
              </w:rPr>
              <w:t>Δ</w:t>
            </w:r>
            <w:r w:rsidR="009968E0" w:rsidRPr="009968E0">
              <w:rPr>
                <w:rFonts w:ascii="Calibri" w:eastAsia="Times New Roman" w:hAnsi="Calibri" w:cs="Calibri"/>
                <w:i/>
                <w:iCs/>
                <w:sz w:val="22"/>
                <w:szCs w:val="22"/>
                <w:lang w:eastAsia="en-GB"/>
              </w:rPr>
              <w:t>_RBf_</w:t>
            </w:r>
            <w:r>
              <w:rPr>
                <w:rFonts w:ascii="Calibri" w:eastAsia="Times New Roman" w:hAnsi="Calibri" w:cs="Calibri"/>
                <w:i/>
                <w:iCs/>
                <w:sz w:val="22"/>
                <w:szCs w:val="22"/>
                <w:lang w:eastAsia="en-GB"/>
              </w:rPr>
              <w:t>ACC</w:t>
            </w:r>
            <w:proofErr w:type="spellEnd"/>
          </w:p>
        </w:tc>
        <w:tc>
          <w:tcPr>
            <w:tcW w:w="673" w:type="pct"/>
            <w:gridSpan w:val="2"/>
            <w:tcBorders>
              <w:right w:val="single" w:sz="4" w:space="0" w:color="auto"/>
            </w:tcBorders>
          </w:tcPr>
          <w:p w14:paraId="6FE5F05D"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0.43</w:t>
            </w:r>
          </w:p>
        </w:tc>
      </w:tr>
      <w:tr w:rsidR="009968E0" w:rsidRPr="009968E0" w14:paraId="3BC5D658"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64" w:type="pct"/>
            <w:tcBorders>
              <w:left w:val="single" w:sz="4" w:space="0" w:color="auto"/>
            </w:tcBorders>
            <w:noWrap/>
            <w:vAlign w:val="bottom"/>
            <w:hideMark/>
          </w:tcPr>
          <w:p w14:paraId="1D7A6956" w14:textId="088F9276"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RBF-</w:t>
            </w:r>
            <w:r w:rsidR="0068219A">
              <w:rPr>
                <w:rFonts w:ascii="Calibri" w:eastAsia="Times New Roman" w:hAnsi="Calibri" w:cs="Calibri"/>
                <w:i/>
                <w:iCs/>
                <w:color w:val="000000"/>
                <w:sz w:val="22"/>
                <w:szCs w:val="22"/>
                <w:lang w:eastAsia="en-GB"/>
              </w:rPr>
              <w:t>POWM3</w:t>
            </w:r>
          </w:p>
        </w:tc>
        <w:tc>
          <w:tcPr>
            <w:tcW w:w="938" w:type="pct"/>
            <w:noWrap/>
            <w:vAlign w:val="bottom"/>
            <w:hideMark/>
          </w:tcPr>
          <w:p w14:paraId="7C27D378"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0.47</w:t>
            </w:r>
          </w:p>
        </w:tc>
        <w:tc>
          <w:tcPr>
            <w:tcW w:w="1825" w:type="pct"/>
          </w:tcPr>
          <w:p w14:paraId="1EE88A86" w14:textId="401722ED" w:rsidR="009968E0" w:rsidRPr="009968E0" w:rsidRDefault="0068219A"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proofErr w:type="spellStart"/>
            <w:r>
              <w:rPr>
                <w:rFonts w:ascii="Calibri" w:eastAsia="Times New Roman" w:hAnsi="Calibri" w:cs="Calibri"/>
                <w:i/>
                <w:iCs/>
                <w:sz w:val="22"/>
                <w:szCs w:val="22"/>
                <w:lang w:eastAsia="en-GB"/>
              </w:rPr>
              <w:t>Δ</w:t>
            </w:r>
            <w:r w:rsidR="009968E0" w:rsidRPr="009968E0">
              <w:rPr>
                <w:rFonts w:ascii="Calibri" w:eastAsia="Times New Roman" w:hAnsi="Calibri" w:cs="Calibri"/>
                <w:i/>
                <w:iCs/>
                <w:sz w:val="22"/>
                <w:szCs w:val="22"/>
                <w:lang w:eastAsia="en-GB"/>
              </w:rPr>
              <w:t>_RBf_</w:t>
            </w:r>
            <w:r>
              <w:rPr>
                <w:rFonts w:ascii="Calibri" w:eastAsia="Times New Roman" w:hAnsi="Calibri" w:cs="Calibri"/>
                <w:i/>
                <w:iCs/>
                <w:sz w:val="22"/>
                <w:szCs w:val="22"/>
                <w:lang w:eastAsia="en-GB"/>
              </w:rPr>
              <w:t>POWM</w:t>
            </w:r>
            <w:proofErr w:type="spellEnd"/>
          </w:p>
        </w:tc>
        <w:tc>
          <w:tcPr>
            <w:tcW w:w="673" w:type="pct"/>
            <w:gridSpan w:val="2"/>
            <w:tcBorders>
              <w:right w:val="single" w:sz="4" w:space="0" w:color="auto"/>
            </w:tcBorders>
          </w:tcPr>
          <w:p w14:paraId="5A16E7C2"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0.55</w:t>
            </w:r>
          </w:p>
        </w:tc>
      </w:tr>
      <w:tr w:rsidR="009968E0" w:rsidRPr="009968E0" w14:paraId="3A834115"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564" w:type="pct"/>
            <w:tcBorders>
              <w:left w:val="single" w:sz="4" w:space="0" w:color="auto"/>
            </w:tcBorders>
            <w:noWrap/>
            <w:vAlign w:val="bottom"/>
            <w:hideMark/>
          </w:tcPr>
          <w:p w14:paraId="2FBCB1C8" w14:textId="11643280"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RBF-</w:t>
            </w:r>
            <w:r w:rsidR="0068219A">
              <w:rPr>
                <w:rFonts w:ascii="Calibri" w:eastAsia="Times New Roman" w:hAnsi="Calibri" w:cs="Calibri"/>
                <w:i/>
                <w:iCs/>
                <w:color w:val="000000"/>
                <w:sz w:val="22"/>
                <w:szCs w:val="22"/>
                <w:lang w:eastAsia="en-GB"/>
              </w:rPr>
              <w:t>LPSC3</w:t>
            </w:r>
          </w:p>
        </w:tc>
        <w:tc>
          <w:tcPr>
            <w:tcW w:w="938" w:type="pct"/>
            <w:noWrap/>
            <w:vAlign w:val="bottom"/>
            <w:hideMark/>
          </w:tcPr>
          <w:p w14:paraId="74FD07E4"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0.49</w:t>
            </w:r>
          </w:p>
        </w:tc>
        <w:tc>
          <w:tcPr>
            <w:tcW w:w="1825" w:type="pct"/>
          </w:tcPr>
          <w:p w14:paraId="2A24A58C" w14:textId="6BCEDB23" w:rsidR="009968E0" w:rsidRPr="009968E0" w:rsidRDefault="0068219A"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proofErr w:type="spellStart"/>
            <w:r>
              <w:rPr>
                <w:rFonts w:ascii="Calibri" w:eastAsia="Times New Roman" w:hAnsi="Calibri" w:cs="Calibri"/>
                <w:i/>
                <w:iCs/>
                <w:sz w:val="22"/>
                <w:szCs w:val="22"/>
                <w:lang w:eastAsia="en-GB"/>
              </w:rPr>
              <w:t>Δ</w:t>
            </w:r>
            <w:r w:rsidR="009968E0" w:rsidRPr="009968E0">
              <w:rPr>
                <w:rFonts w:ascii="Calibri" w:eastAsia="Times New Roman" w:hAnsi="Calibri" w:cs="Calibri"/>
                <w:i/>
                <w:iCs/>
                <w:sz w:val="22"/>
                <w:szCs w:val="22"/>
                <w:lang w:eastAsia="en-GB"/>
              </w:rPr>
              <w:t>_RBf_</w:t>
            </w:r>
            <w:r>
              <w:rPr>
                <w:rFonts w:ascii="Calibri" w:eastAsia="Times New Roman" w:hAnsi="Calibri" w:cs="Calibri"/>
                <w:i/>
                <w:iCs/>
                <w:sz w:val="22"/>
                <w:szCs w:val="22"/>
                <w:lang w:eastAsia="en-GB"/>
              </w:rPr>
              <w:t>LPSC</w:t>
            </w:r>
            <w:proofErr w:type="spellEnd"/>
          </w:p>
        </w:tc>
        <w:tc>
          <w:tcPr>
            <w:tcW w:w="673" w:type="pct"/>
            <w:gridSpan w:val="2"/>
            <w:tcBorders>
              <w:right w:val="single" w:sz="4" w:space="0" w:color="auto"/>
            </w:tcBorders>
          </w:tcPr>
          <w:p w14:paraId="5AEFBF1A"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0.53</w:t>
            </w:r>
          </w:p>
        </w:tc>
      </w:tr>
      <w:tr w:rsidR="009968E0" w:rsidRPr="009968E0" w14:paraId="68BBB922"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64" w:type="pct"/>
            <w:tcBorders>
              <w:left w:val="single" w:sz="4" w:space="0" w:color="auto"/>
            </w:tcBorders>
            <w:noWrap/>
            <w:vAlign w:val="bottom"/>
            <w:hideMark/>
          </w:tcPr>
          <w:p w14:paraId="5864870A" w14:textId="4C2DE644"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RBF-RPS3</w:t>
            </w:r>
          </w:p>
        </w:tc>
        <w:tc>
          <w:tcPr>
            <w:tcW w:w="938" w:type="pct"/>
            <w:noWrap/>
            <w:vAlign w:val="bottom"/>
            <w:hideMark/>
          </w:tcPr>
          <w:p w14:paraId="239D5E41"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0.18</w:t>
            </w:r>
          </w:p>
        </w:tc>
        <w:tc>
          <w:tcPr>
            <w:tcW w:w="1825" w:type="pct"/>
          </w:tcPr>
          <w:p w14:paraId="6735B25C" w14:textId="643AEEDD" w:rsidR="009968E0" w:rsidRPr="009968E0" w:rsidRDefault="0068219A"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proofErr w:type="spellStart"/>
            <w:r>
              <w:rPr>
                <w:rFonts w:ascii="Calibri" w:eastAsia="Times New Roman" w:hAnsi="Calibri" w:cs="Calibri"/>
                <w:i/>
                <w:iCs/>
                <w:sz w:val="22"/>
                <w:szCs w:val="22"/>
                <w:lang w:eastAsia="en-GB"/>
              </w:rPr>
              <w:t>Δ</w:t>
            </w:r>
            <w:r w:rsidR="009968E0" w:rsidRPr="009968E0">
              <w:rPr>
                <w:rFonts w:ascii="Calibri" w:eastAsia="Times New Roman" w:hAnsi="Calibri" w:cs="Calibri"/>
                <w:i/>
                <w:iCs/>
                <w:sz w:val="22"/>
                <w:szCs w:val="22"/>
                <w:lang w:eastAsia="en-GB"/>
              </w:rPr>
              <w:t>_RBf_</w:t>
            </w:r>
            <w:r>
              <w:rPr>
                <w:rFonts w:ascii="Calibri" w:eastAsia="Times New Roman" w:hAnsi="Calibri" w:cs="Calibri"/>
                <w:i/>
                <w:iCs/>
                <w:sz w:val="22"/>
                <w:szCs w:val="22"/>
                <w:lang w:eastAsia="en-GB"/>
              </w:rPr>
              <w:t>RPSC</w:t>
            </w:r>
            <w:proofErr w:type="spellEnd"/>
          </w:p>
        </w:tc>
        <w:tc>
          <w:tcPr>
            <w:tcW w:w="673" w:type="pct"/>
            <w:gridSpan w:val="2"/>
            <w:tcBorders>
              <w:right w:val="single" w:sz="4" w:space="0" w:color="auto"/>
            </w:tcBorders>
          </w:tcPr>
          <w:p w14:paraId="12086FF5"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0.26</w:t>
            </w:r>
          </w:p>
        </w:tc>
      </w:tr>
      <w:tr w:rsidR="009968E0" w:rsidRPr="009968E0" w14:paraId="4FC54B0B"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564" w:type="pct"/>
            <w:tcBorders>
              <w:left w:val="single" w:sz="4" w:space="0" w:color="auto"/>
            </w:tcBorders>
            <w:noWrap/>
            <w:vAlign w:val="bottom"/>
            <w:hideMark/>
          </w:tcPr>
          <w:p w14:paraId="04BA30DC" w14:textId="0E0585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MTT-</w:t>
            </w:r>
            <w:r w:rsidR="0068219A" w:rsidRPr="009968E0">
              <w:rPr>
                <w:rFonts w:ascii="Calibri" w:eastAsia="Times New Roman" w:hAnsi="Calibri" w:cs="Calibri"/>
                <w:i/>
                <w:iCs/>
                <w:color w:val="000000"/>
                <w:sz w:val="22"/>
                <w:szCs w:val="22"/>
                <w:lang w:eastAsia="en-GB"/>
              </w:rPr>
              <w:t xml:space="preserve"> L</w:t>
            </w:r>
            <w:r w:rsidR="0068219A">
              <w:rPr>
                <w:rFonts w:ascii="Calibri" w:eastAsia="Times New Roman" w:hAnsi="Calibri" w:cs="Calibri"/>
                <w:i/>
                <w:iCs/>
                <w:color w:val="000000"/>
                <w:sz w:val="22"/>
                <w:szCs w:val="22"/>
                <w:lang w:eastAsia="en-GB"/>
              </w:rPr>
              <w:t>Thal</w:t>
            </w:r>
            <w:r w:rsidR="0068219A" w:rsidRPr="009968E0">
              <w:rPr>
                <w:rFonts w:ascii="Calibri" w:eastAsia="Times New Roman" w:hAnsi="Calibri" w:cs="Calibri"/>
                <w:i/>
                <w:iCs/>
                <w:color w:val="000000"/>
                <w:sz w:val="22"/>
                <w:szCs w:val="22"/>
                <w:lang w:eastAsia="en-GB"/>
              </w:rPr>
              <w:t>3</w:t>
            </w:r>
          </w:p>
        </w:tc>
        <w:tc>
          <w:tcPr>
            <w:tcW w:w="938" w:type="pct"/>
            <w:noWrap/>
            <w:vAlign w:val="bottom"/>
            <w:hideMark/>
          </w:tcPr>
          <w:p w14:paraId="75F123C9"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0.42</w:t>
            </w:r>
          </w:p>
        </w:tc>
        <w:tc>
          <w:tcPr>
            <w:tcW w:w="1825" w:type="pct"/>
          </w:tcPr>
          <w:p w14:paraId="3EF6DB3E" w14:textId="1583BCCC" w:rsidR="009968E0" w:rsidRPr="009968E0" w:rsidRDefault="0068219A"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proofErr w:type="spellStart"/>
            <w:r>
              <w:rPr>
                <w:rFonts w:ascii="Calibri" w:eastAsia="Times New Roman" w:hAnsi="Calibri" w:cs="Calibri"/>
                <w:i/>
                <w:iCs/>
                <w:sz w:val="22"/>
                <w:szCs w:val="22"/>
                <w:lang w:eastAsia="en-GB"/>
              </w:rPr>
              <w:t>Δ</w:t>
            </w:r>
            <w:r w:rsidR="009968E0" w:rsidRPr="009968E0">
              <w:rPr>
                <w:rFonts w:ascii="Calibri" w:eastAsia="Times New Roman" w:hAnsi="Calibri" w:cs="Calibri"/>
                <w:i/>
                <w:iCs/>
                <w:sz w:val="22"/>
                <w:szCs w:val="22"/>
                <w:lang w:eastAsia="en-GB"/>
              </w:rPr>
              <w:t>_MTT_</w:t>
            </w:r>
            <w:r w:rsidR="00264184">
              <w:rPr>
                <w:rFonts w:ascii="Calibri" w:eastAsia="Times New Roman" w:hAnsi="Calibri" w:cs="Calibri"/>
                <w:i/>
                <w:iCs/>
                <w:sz w:val="22"/>
                <w:szCs w:val="22"/>
                <w:lang w:eastAsia="en-GB"/>
              </w:rPr>
              <w:t>LThal</w:t>
            </w:r>
            <w:proofErr w:type="spellEnd"/>
          </w:p>
        </w:tc>
        <w:tc>
          <w:tcPr>
            <w:tcW w:w="673" w:type="pct"/>
            <w:gridSpan w:val="2"/>
            <w:tcBorders>
              <w:right w:val="single" w:sz="4" w:space="0" w:color="auto"/>
            </w:tcBorders>
          </w:tcPr>
          <w:p w14:paraId="1F45B1DE"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0.97</w:t>
            </w:r>
          </w:p>
        </w:tc>
      </w:tr>
      <w:tr w:rsidR="009968E0" w:rsidRPr="009968E0" w14:paraId="090F193E"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64" w:type="pct"/>
            <w:tcBorders>
              <w:left w:val="single" w:sz="4" w:space="0" w:color="auto"/>
            </w:tcBorders>
            <w:noWrap/>
            <w:vAlign w:val="bottom"/>
            <w:hideMark/>
          </w:tcPr>
          <w:p w14:paraId="5EDCC414" w14:textId="69F4B6E3"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MTT-</w:t>
            </w:r>
            <w:r w:rsidR="0068219A">
              <w:rPr>
                <w:rFonts w:ascii="Calibri" w:eastAsia="Times New Roman" w:hAnsi="Calibri" w:cs="Calibri"/>
                <w:i/>
                <w:iCs/>
                <w:color w:val="000000"/>
                <w:sz w:val="22"/>
                <w:szCs w:val="22"/>
                <w:lang w:eastAsia="en-GB"/>
              </w:rPr>
              <w:t>RThal3</w:t>
            </w:r>
          </w:p>
        </w:tc>
        <w:tc>
          <w:tcPr>
            <w:tcW w:w="938" w:type="pct"/>
            <w:noWrap/>
            <w:vAlign w:val="bottom"/>
            <w:hideMark/>
          </w:tcPr>
          <w:p w14:paraId="565B205C"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0.48</w:t>
            </w:r>
          </w:p>
        </w:tc>
        <w:tc>
          <w:tcPr>
            <w:tcW w:w="1825" w:type="pct"/>
          </w:tcPr>
          <w:p w14:paraId="00F5553F" w14:textId="5208E581" w:rsidR="009968E0" w:rsidRPr="009968E0" w:rsidRDefault="0068219A"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proofErr w:type="spellStart"/>
            <w:r>
              <w:rPr>
                <w:rFonts w:ascii="Calibri" w:eastAsia="Times New Roman" w:hAnsi="Calibri" w:cs="Calibri"/>
                <w:i/>
                <w:iCs/>
                <w:sz w:val="22"/>
                <w:szCs w:val="22"/>
                <w:lang w:eastAsia="en-GB"/>
              </w:rPr>
              <w:t>Δ</w:t>
            </w:r>
            <w:r w:rsidR="009968E0" w:rsidRPr="009968E0">
              <w:rPr>
                <w:rFonts w:ascii="Calibri" w:eastAsia="Times New Roman" w:hAnsi="Calibri" w:cs="Calibri"/>
                <w:i/>
                <w:iCs/>
                <w:sz w:val="22"/>
                <w:szCs w:val="22"/>
                <w:lang w:eastAsia="en-GB"/>
              </w:rPr>
              <w:t>_MTT_</w:t>
            </w:r>
            <w:r w:rsidR="00264184">
              <w:rPr>
                <w:rFonts w:ascii="Calibri" w:eastAsia="Times New Roman" w:hAnsi="Calibri" w:cs="Calibri"/>
                <w:i/>
                <w:iCs/>
                <w:sz w:val="22"/>
                <w:szCs w:val="22"/>
                <w:lang w:eastAsia="en-GB"/>
              </w:rPr>
              <w:t>RThal</w:t>
            </w:r>
            <w:proofErr w:type="spellEnd"/>
          </w:p>
        </w:tc>
        <w:tc>
          <w:tcPr>
            <w:tcW w:w="673" w:type="pct"/>
            <w:gridSpan w:val="2"/>
            <w:tcBorders>
              <w:right w:val="single" w:sz="4" w:space="0" w:color="auto"/>
            </w:tcBorders>
          </w:tcPr>
          <w:p w14:paraId="5ED413F9"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0.89</w:t>
            </w:r>
          </w:p>
        </w:tc>
      </w:tr>
      <w:tr w:rsidR="009968E0" w:rsidRPr="009968E0" w14:paraId="4F2333E7"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564" w:type="pct"/>
            <w:tcBorders>
              <w:left w:val="single" w:sz="4" w:space="0" w:color="auto"/>
            </w:tcBorders>
            <w:noWrap/>
            <w:vAlign w:val="bottom"/>
            <w:hideMark/>
          </w:tcPr>
          <w:p w14:paraId="2348200A" w14:textId="75F82265"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MTT-</w:t>
            </w:r>
            <w:r w:rsidR="0068219A">
              <w:rPr>
                <w:rFonts w:ascii="Calibri" w:eastAsia="Times New Roman" w:hAnsi="Calibri" w:cs="Calibri"/>
                <w:i/>
                <w:iCs/>
                <w:color w:val="000000"/>
                <w:sz w:val="22"/>
                <w:szCs w:val="22"/>
                <w:lang w:eastAsia="en-GB"/>
              </w:rPr>
              <w:t>LINS3</w:t>
            </w:r>
          </w:p>
        </w:tc>
        <w:tc>
          <w:tcPr>
            <w:tcW w:w="938" w:type="pct"/>
            <w:noWrap/>
            <w:vAlign w:val="bottom"/>
            <w:hideMark/>
          </w:tcPr>
          <w:p w14:paraId="2101E22C"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0.70</w:t>
            </w:r>
          </w:p>
        </w:tc>
        <w:tc>
          <w:tcPr>
            <w:tcW w:w="1825" w:type="pct"/>
          </w:tcPr>
          <w:p w14:paraId="604E70D9" w14:textId="158AA218" w:rsidR="009968E0" w:rsidRPr="009968E0" w:rsidRDefault="0068219A"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Pr>
                <w:rFonts w:ascii="Calibri" w:eastAsia="Times New Roman" w:hAnsi="Calibri" w:cs="Calibri"/>
                <w:i/>
                <w:iCs/>
                <w:sz w:val="22"/>
                <w:szCs w:val="22"/>
                <w:lang w:eastAsia="en-GB"/>
              </w:rPr>
              <w:t>Δ</w:t>
            </w:r>
            <w:r w:rsidR="009968E0" w:rsidRPr="009968E0">
              <w:rPr>
                <w:rFonts w:ascii="Calibri" w:eastAsia="Times New Roman" w:hAnsi="Calibri" w:cs="Calibri"/>
                <w:i/>
                <w:iCs/>
                <w:sz w:val="22"/>
                <w:szCs w:val="22"/>
                <w:lang w:eastAsia="en-GB"/>
              </w:rPr>
              <w:t>_MTT_</w:t>
            </w:r>
            <w:r>
              <w:rPr>
                <w:rFonts w:ascii="Calibri" w:eastAsia="Times New Roman" w:hAnsi="Calibri" w:cs="Calibri"/>
                <w:i/>
                <w:iCs/>
                <w:sz w:val="22"/>
                <w:szCs w:val="22"/>
                <w:lang w:eastAsia="en-GB"/>
              </w:rPr>
              <w:t>LINS</w:t>
            </w:r>
          </w:p>
        </w:tc>
        <w:tc>
          <w:tcPr>
            <w:tcW w:w="673" w:type="pct"/>
            <w:gridSpan w:val="2"/>
            <w:tcBorders>
              <w:right w:val="single" w:sz="4" w:space="0" w:color="auto"/>
            </w:tcBorders>
          </w:tcPr>
          <w:p w14:paraId="3C4C1DE2"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0.55</w:t>
            </w:r>
          </w:p>
        </w:tc>
      </w:tr>
      <w:tr w:rsidR="009968E0" w:rsidRPr="009968E0" w14:paraId="23FC9667"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64" w:type="pct"/>
            <w:tcBorders>
              <w:left w:val="single" w:sz="4" w:space="0" w:color="auto"/>
            </w:tcBorders>
            <w:noWrap/>
            <w:vAlign w:val="bottom"/>
            <w:hideMark/>
          </w:tcPr>
          <w:p w14:paraId="148B05BA" w14:textId="6C5AEA93"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MTT-</w:t>
            </w:r>
            <w:r w:rsidR="0068219A">
              <w:rPr>
                <w:rFonts w:ascii="Calibri" w:eastAsia="Times New Roman" w:hAnsi="Calibri" w:cs="Calibri"/>
                <w:i/>
                <w:iCs/>
                <w:color w:val="000000"/>
                <w:sz w:val="22"/>
                <w:szCs w:val="22"/>
                <w:lang w:eastAsia="en-GB"/>
              </w:rPr>
              <w:t>RINS3</w:t>
            </w:r>
          </w:p>
        </w:tc>
        <w:tc>
          <w:tcPr>
            <w:tcW w:w="938" w:type="pct"/>
            <w:noWrap/>
            <w:vAlign w:val="bottom"/>
            <w:hideMark/>
          </w:tcPr>
          <w:p w14:paraId="34677E1F"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0.40</w:t>
            </w:r>
          </w:p>
        </w:tc>
        <w:tc>
          <w:tcPr>
            <w:tcW w:w="1825" w:type="pct"/>
          </w:tcPr>
          <w:p w14:paraId="015E4508" w14:textId="7F673F0E" w:rsidR="009968E0" w:rsidRPr="009968E0" w:rsidRDefault="0068219A"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Pr>
                <w:rFonts w:ascii="Calibri" w:eastAsia="Times New Roman" w:hAnsi="Calibri" w:cs="Calibri"/>
                <w:i/>
                <w:iCs/>
                <w:sz w:val="22"/>
                <w:szCs w:val="22"/>
                <w:lang w:eastAsia="en-GB"/>
              </w:rPr>
              <w:t>Δ</w:t>
            </w:r>
            <w:r w:rsidR="009968E0" w:rsidRPr="009968E0">
              <w:rPr>
                <w:rFonts w:ascii="Calibri" w:eastAsia="Times New Roman" w:hAnsi="Calibri" w:cs="Calibri"/>
                <w:i/>
                <w:iCs/>
                <w:sz w:val="22"/>
                <w:szCs w:val="22"/>
                <w:lang w:eastAsia="en-GB"/>
              </w:rPr>
              <w:t>_MTT_</w:t>
            </w:r>
            <w:r>
              <w:rPr>
                <w:rFonts w:ascii="Calibri" w:eastAsia="Times New Roman" w:hAnsi="Calibri" w:cs="Calibri"/>
                <w:i/>
                <w:iCs/>
                <w:sz w:val="22"/>
                <w:szCs w:val="22"/>
                <w:lang w:eastAsia="en-GB"/>
              </w:rPr>
              <w:t>RINS</w:t>
            </w:r>
          </w:p>
        </w:tc>
        <w:tc>
          <w:tcPr>
            <w:tcW w:w="673" w:type="pct"/>
            <w:gridSpan w:val="2"/>
            <w:tcBorders>
              <w:right w:val="single" w:sz="4" w:space="0" w:color="auto"/>
            </w:tcBorders>
          </w:tcPr>
          <w:p w14:paraId="188AE840"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0.65</w:t>
            </w:r>
          </w:p>
        </w:tc>
      </w:tr>
      <w:tr w:rsidR="009968E0" w:rsidRPr="009968E0" w14:paraId="7361C4B0"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564" w:type="pct"/>
            <w:tcBorders>
              <w:left w:val="single" w:sz="4" w:space="0" w:color="auto"/>
            </w:tcBorders>
            <w:noWrap/>
            <w:vAlign w:val="bottom"/>
            <w:hideMark/>
          </w:tcPr>
          <w:p w14:paraId="2C22A069" w14:textId="3795B0DB"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MTT-</w:t>
            </w:r>
            <w:r w:rsidR="0068219A">
              <w:rPr>
                <w:rFonts w:ascii="Calibri" w:eastAsia="Times New Roman" w:hAnsi="Calibri" w:cs="Calibri"/>
                <w:i/>
                <w:iCs/>
                <w:color w:val="000000"/>
                <w:sz w:val="22"/>
                <w:szCs w:val="22"/>
                <w:lang w:eastAsia="en-GB"/>
              </w:rPr>
              <w:t>ACC3</w:t>
            </w:r>
          </w:p>
        </w:tc>
        <w:tc>
          <w:tcPr>
            <w:tcW w:w="938" w:type="pct"/>
            <w:noWrap/>
            <w:vAlign w:val="bottom"/>
            <w:hideMark/>
          </w:tcPr>
          <w:p w14:paraId="477093B4"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0.39</w:t>
            </w:r>
          </w:p>
        </w:tc>
        <w:tc>
          <w:tcPr>
            <w:tcW w:w="1825" w:type="pct"/>
          </w:tcPr>
          <w:p w14:paraId="44DF4163" w14:textId="6C8AB1D6" w:rsidR="009968E0" w:rsidRPr="009968E0" w:rsidRDefault="0068219A"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Pr>
                <w:rFonts w:ascii="Calibri" w:eastAsia="Times New Roman" w:hAnsi="Calibri" w:cs="Calibri"/>
                <w:i/>
                <w:iCs/>
                <w:sz w:val="22"/>
                <w:szCs w:val="22"/>
                <w:lang w:eastAsia="en-GB"/>
              </w:rPr>
              <w:t>Δ</w:t>
            </w:r>
            <w:r w:rsidR="009968E0" w:rsidRPr="009968E0">
              <w:rPr>
                <w:rFonts w:ascii="Calibri" w:eastAsia="Times New Roman" w:hAnsi="Calibri" w:cs="Calibri"/>
                <w:i/>
                <w:iCs/>
                <w:sz w:val="22"/>
                <w:szCs w:val="22"/>
                <w:lang w:eastAsia="en-GB"/>
              </w:rPr>
              <w:t>_MTT_ACC</w:t>
            </w:r>
          </w:p>
        </w:tc>
        <w:tc>
          <w:tcPr>
            <w:tcW w:w="673" w:type="pct"/>
            <w:gridSpan w:val="2"/>
            <w:tcBorders>
              <w:right w:val="single" w:sz="4" w:space="0" w:color="auto"/>
            </w:tcBorders>
          </w:tcPr>
          <w:p w14:paraId="43DC3ECB"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0.56</w:t>
            </w:r>
          </w:p>
        </w:tc>
      </w:tr>
      <w:tr w:rsidR="009968E0" w:rsidRPr="009968E0" w14:paraId="78342BE2"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64" w:type="pct"/>
            <w:tcBorders>
              <w:left w:val="single" w:sz="4" w:space="0" w:color="auto"/>
            </w:tcBorders>
            <w:noWrap/>
            <w:vAlign w:val="bottom"/>
            <w:hideMark/>
          </w:tcPr>
          <w:p w14:paraId="08C39711" w14:textId="1CEB60E0"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MTT-</w:t>
            </w:r>
            <w:r w:rsidR="0068219A">
              <w:rPr>
                <w:rFonts w:ascii="Calibri" w:eastAsia="Times New Roman" w:hAnsi="Calibri" w:cs="Calibri"/>
                <w:i/>
                <w:iCs/>
                <w:color w:val="000000"/>
                <w:sz w:val="22"/>
                <w:szCs w:val="22"/>
                <w:lang w:eastAsia="en-GB"/>
              </w:rPr>
              <w:t>POWM3</w:t>
            </w:r>
          </w:p>
        </w:tc>
        <w:tc>
          <w:tcPr>
            <w:tcW w:w="938" w:type="pct"/>
            <w:noWrap/>
            <w:vAlign w:val="bottom"/>
            <w:hideMark/>
          </w:tcPr>
          <w:p w14:paraId="528715DB"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0.23</w:t>
            </w:r>
          </w:p>
        </w:tc>
        <w:tc>
          <w:tcPr>
            <w:tcW w:w="1825" w:type="pct"/>
          </w:tcPr>
          <w:p w14:paraId="235E529E" w14:textId="55103976" w:rsidR="009968E0" w:rsidRPr="009968E0" w:rsidRDefault="0068219A"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Pr>
                <w:rFonts w:ascii="Calibri" w:eastAsia="Times New Roman" w:hAnsi="Calibri" w:cs="Calibri"/>
                <w:i/>
                <w:iCs/>
                <w:sz w:val="22"/>
                <w:szCs w:val="22"/>
                <w:lang w:eastAsia="en-GB"/>
              </w:rPr>
              <w:t>Δ</w:t>
            </w:r>
            <w:r w:rsidR="009968E0" w:rsidRPr="009968E0">
              <w:rPr>
                <w:rFonts w:ascii="Calibri" w:eastAsia="Times New Roman" w:hAnsi="Calibri" w:cs="Calibri"/>
                <w:i/>
                <w:iCs/>
                <w:sz w:val="22"/>
                <w:szCs w:val="22"/>
                <w:lang w:eastAsia="en-GB"/>
              </w:rPr>
              <w:t>_MTT_</w:t>
            </w:r>
            <w:r>
              <w:rPr>
                <w:rFonts w:ascii="Calibri" w:eastAsia="Times New Roman" w:hAnsi="Calibri" w:cs="Calibri"/>
                <w:i/>
                <w:iCs/>
                <w:sz w:val="22"/>
                <w:szCs w:val="22"/>
                <w:lang w:eastAsia="en-GB"/>
              </w:rPr>
              <w:t>POWM</w:t>
            </w:r>
          </w:p>
        </w:tc>
        <w:tc>
          <w:tcPr>
            <w:tcW w:w="673" w:type="pct"/>
            <w:gridSpan w:val="2"/>
            <w:tcBorders>
              <w:right w:val="single" w:sz="4" w:space="0" w:color="auto"/>
            </w:tcBorders>
          </w:tcPr>
          <w:p w14:paraId="74944BFD"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0.48</w:t>
            </w:r>
          </w:p>
        </w:tc>
      </w:tr>
      <w:tr w:rsidR="009968E0" w:rsidRPr="009968E0" w14:paraId="3CA14C98"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564" w:type="pct"/>
            <w:tcBorders>
              <w:left w:val="single" w:sz="4" w:space="0" w:color="auto"/>
            </w:tcBorders>
            <w:noWrap/>
            <w:vAlign w:val="bottom"/>
            <w:hideMark/>
          </w:tcPr>
          <w:p w14:paraId="04846A6D" w14:textId="5475ACCD"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MTT-LPS3</w:t>
            </w:r>
          </w:p>
        </w:tc>
        <w:tc>
          <w:tcPr>
            <w:tcW w:w="938" w:type="pct"/>
            <w:noWrap/>
            <w:vAlign w:val="bottom"/>
            <w:hideMark/>
          </w:tcPr>
          <w:p w14:paraId="66F38BAC"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0.71</w:t>
            </w:r>
          </w:p>
        </w:tc>
        <w:tc>
          <w:tcPr>
            <w:tcW w:w="1825" w:type="pct"/>
          </w:tcPr>
          <w:p w14:paraId="2842288B" w14:textId="471EC77D" w:rsidR="009968E0" w:rsidRPr="009968E0" w:rsidRDefault="0068219A"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Pr>
                <w:rFonts w:ascii="Calibri" w:eastAsia="Times New Roman" w:hAnsi="Calibri" w:cs="Calibri"/>
                <w:i/>
                <w:iCs/>
                <w:sz w:val="22"/>
                <w:szCs w:val="22"/>
                <w:lang w:eastAsia="en-GB"/>
              </w:rPr>
              <w:t>Δ</w:t>
            </w:r>
            <w:r w:rsidR="009968E0" w:rsidRPr="009968E0">
              <w:rPr>
                <w:rFonts w:ascii="Calibri" w:eastAsia="Times New Roman" w:hAnsi="Calibri" w:cs="Calibri"/>
                <w:i/>
                <w:iCs/>
                <w:sz w:val="22"/>
                <w:szCs w:val="22"/>
                <w:lang w:eastAsia="en-GB"/>
              </w:rPr>
              <w:t>_MTT_</w:t>
            </w:r>
            <w:r>
              <w:rPr>
                <w:rFonts w:ascii="Calibri" w:eastAsia="Times New Roman" w:hAnsi="Calibri" w:cs="Calibri"/>
                <w:i/>
                <w:iCs/>
                <w:sz w:val="22"/>
                <w:szCs w:val="22"/>
                <w:lang w:eastAsia="en-GB"/>
              </w:rPr>
              <w:t>LPSC</w:t>
            </w:r>
          </w:p>
        </w:tc>
        <w:tc>
          <w:tcPr>
            <w:tcW w:w="673" w:type="pct"/>
            <w:gridSpan w:val="2"/>
            <w:tcBorders>
              <w:right w:val="single" w:sz="4" w:space="0" w:color="auto"/>
            </w:tcBorders>
          </w:tcPr>
          <w:p w14:paraId="0D1A14EC"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0.64</w:t>
            </w:r>
          </w:p>
        </w:tc>
      </w:tr>
      <w:tr w:rsidR="009968E0" w:rsidRPr="009968E0" w14:paraId="140F71C2"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64" w:type="pct"/>
            <w:tcBorders>
              <w:left w:val="single" w:sz="4" w:space="0" w:color="auto"/>
            </w:tcBorders>
            <w:noWrap/>
            <w:vAlign w:val="bottom"/>
            <w:hideMark/>
          </w:tcPr>
          <w:p w14:paraId="1304392A" w14:textId="611325F3"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MTT-</w:t>
            </w:r>
            <w:r w:rsidR="0068219A">
              <w:rPr>
                <w:rFonts w:ascii="Calibri" w:eastAsia="Times New Roman" w:hAnsi="Calibri" w:cs="Calibri"/>
                <w:i/>
                <w:iCs/>
                <w:color w:val="000000"/>
                <w:sz w:val="22"/>
                <w:szCs w:val="22"/>
                <w:lang w:eastAsia="en-GB"/>
              </w:rPr>
              <w:t>RPSC3</w:t>
            </w:r>
          </w:p>
        </w:tc>
        <w:tc>
          <w:tcPr>
            <w:tcW w:w="938" w:type="pct"/>
            <w:noWrap/>
            <w:vAlign w:val="bottom"/>
            <w:hideMark/>
          </w:tcPr>
          <w:p w14:paraId="2411C0D9"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0.63</w:t>
            </w:r>
          </w:p>
        </w:tc>
        <w:tc>
          <w:tcPr>
            <w:tcW w:w="1825" w:type="pct"/>
          </w:tcPr>
          <w:p w14:paraId="58200E56" w14:textId="2DD433A8" w:rsidR="009968E0" w:rsidRPr="009968E0" w:rsidRDefault="0068219A"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Pr>
                <w:rFonts w:ascii="Calibri" w:eastAsia="Times New Roman" w:hAnsi="Calibri" w:cs="Calibri"/>
                <w:i/>
                <w:iCs/>
                <w:sz w:val="22"/>
                <w:szCs w:val="22"/>
                <w:lang w:eastAsia="en-GB"/>
              </w:rPr>
              <w:t>Δ</w:t>
            </w:r>
            <w:r w:rsidR="009968E0" w:rsidRPr="009968E0">
              <w:rPr>
                <w:rFonts w:ascii="Calibri" w:eastAsia="Times New Roman" w:hAnsi="Calibri" w:cs="Calibri"/>
                <w:i/>
                <w:iCs/>
                <w:sz w:val="22"/>
                <w:szCs w:val="22"/>
                <w:lang w:eastAsia="en-GB"/>
              </w:rPr>
              <w:t>_MTT_</w:t>
            </w:r>
            <w:r>
              <w:rPr>
                <w:rFonts w:ascii="Calibri" w:eastAsia="Times New Roman" w:hAnsi="Calibri" w:cs="Calibri"/>
                <w:i/>
                <w:iCs/>
                <w:sz w:val="22"/>
                <w:szCs w:val="22"/>
                <w:lang w:eastAsia="en-GB"/>
              </w:rPr>
              <w:t>RPSC</w:t>
            </w:r>
          </w:p>
        </w:tc>
        <w:tc>
          <w:tcPr>
            <w:tcW w:w="673" w:type="pct"/>
            <w:gridSpan w:val="2"/>
            <w:tcBorders>
              <w:right w:val="single" w:sz="4" w:space="0" w:color="auto"/>
            </w:tcBorders>
          </w:tcPr>
          <w:p w14:paraId="60D2DA59"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0.71</w:t>
            </w:r>
          </w:p>
        </w:tc>
      </w:tr>
      <w:tr w:rsidR="009968E0" w:rsidRPr="009968E0" w14:paraId="74B08447"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564" w:type="pct"/>
            <w:tcBorders>
              <w:left w:val="single" w:sz="4" w:space="0" w:color="auto"/>
            </w:tcBorders>
            <w:noWrap/>
            <w:vAlign w:val="bottom"/>
            <w:hideMark/>
          </w:tcPr>
          <w:p w14:paraId="2F8BE8C2" w14:textId="726BAE69"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TTP-</w:t>
            </w:r>
            <w:r w:rsidR="0068219A" w:rsidRPr="009968E0">
              <w:rPr>
                <w:rFonts w:ascii="Calibri" w:eastAsia="Times New Roman" w:hAnsi="Calibri" w:cs="Calibri"/>
                <w:i/>
                <w:iCs/>
                <w:color w:val="000000"/>
                <w:sz w:val="22"/>
                <w:szCs w:val="22"/>
                <w:lang w:eastAsia="en-GB"/>
              </w:rPr>
              <w:t xml:space="preserve"> L</w:t>
            </w:r>
            <w:r w:rsidR="0068219A">
              <w:rPr>
                <w:rFonts w:ascii="Calibri" w:eastAsia="Times New Roman" w:hAnsi="Calibri" w:cs="Calibri"/>
                <w:i/>
                <w:iCs/>
                <w:color w:val="000000"/>
                <w:sz w:val="22"/>
                <w:szCs w:val="22"/>
                <w:lang w:eastAsia="en-GB"/>
              </w:rPr>
              <w:t>Thal</w:t>
            </w:r>
            <w:r w:rsidR="0068219A" w:rsidRPr="009968E0">
              <w:rPr>
                <w:rFonts w:ascii="Calibri" w:eastAsia="Times New Roman" w:hAnsi="Calibri" w:cs="Calibri"/>
                <w:i/>
                <w:iCs/>
                <w:color w:val="000000"/>
                <w:sz w:val="22"/>
                <w:szCs w:val="22"/>
                <w:lang w:eastAsia="en-GB"/>
              </w:rPr>
              <w:t>3</w:t>
            </w:r>
          </w:p>
        </w:tc>
        <w:tc>
          <w:tcPr>
            <w:tcW w:w="938" w:type="pct"/>
            <w:noWrap/>
            <w:vAlign w:val="bottom"/>
            <w:hideMark/>
          </w:tcPr>
          <w:p w14:paraId="256D26AE"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0.28</w:t>
            </w:r>
          </w:p>
        </w:tc>
        <w:tc>
          <w:tcPr>
            <w:tcW w:w="1825" w:type="pct"/>
          </w:tcPr>
          <w:p w14:paraId="6771B0A2" w14:textId="4E98B306" w:rsidR="009968E0" w:rsidRPr="009968E0" w:rsidRDefault="0068219A"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proofErr w:type="spellStart"/>
            <w:r>
              <w:rPr>
                <w:rFonts w:ascii="Calibri" w:eastAsia="Times New Roman" w:hAnsi="Calibri" w:cs="Calibri"/>
                <w:i/>
                <w:iCs/>
                <w:sz w:val="22"/>
                <w:szCs w:val="22"/>
                <w:lang w:eastAsia="en-GB"/>
              </w:rPr>
              <w:t>Δ</w:t>
            </w:r>
            <w:r w:rsidR="009968E0" w:rsidRPr="009968E0">
              <w:rPr>
                <w:rFonts w:ascii="Calibri" w:eastAsia="Times New Roman" w:hAnsi="Calibri" w:cs="Calibri"/>
                <w:i/>
                <w:iCs/>
                <w:sz w:val="22"/>
                <w:szCs w:val="22"/>
                <w:lang w:eastAsia="en-GB"/>
              </w:rPr>
              <w:t>_TTP_</w:t>
            </w:r>
            <w:r w:rsidR="00264184">
              <w:rPr>
                <w:rFonts w:ascii="Calibri" w:eastAsia="Times New Roman" w:hAnsi="Calibri" w:cs="Calibri"/>
                <w:i/>
                <w:iCs/>
                <w:sz w:val="22"/>
                <w:szCs w:val="22"/>
                <w:lang w:eastAsia="en-GB"/>
              </w:rPr>
              <w:t>LThal</w:t>
            </w:r>
            <w:proofErr w:type="spellEnd"/>
          </w:p>
        </w:tc>
        <w:tc>
          <w:tcPr>
            <w:tcW w:w="673" w:type="pct"/>
            <w:gridSpan w:val="2"/>
            <w:tcBorders>
              <w:right w:val="single" w:sz="4" w:space="0" w:color="auto"/>
            </w:tcBorders>
          </w:tcPr>
          <w:p w14:paraId="0F922560"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0.84</w:t>
            </w:r>
          </w:p>
        </w:tc>
      </w:tr>
      <w:tr w:rsidR="009968E0" w:rsidRPr="009968E0" w14:paraId="4C46F45D"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64" w:type="pct"/>
            <w:tcBorders>
              <w:left w:val="single" w:sz="4" w:space="0" w:color="auto"/>
            </w:tcBorders>
            <w:noWrap/>
            <w:vAlign w:val="bottom"/>
            <w:hideMark/>
          </w:tcPr>
          <w:p w14:paraId="32CF7EAC" w14:textId="1970E186"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TTP-</w:t>
            </w:r>
            <w:r w:rsidR="0068219A">
              <w:rPr>
                <w:rFonts w:ascii="Calibri" w:eastAsia="Times New Roman" w:hAnsi="Calibri" w:cs="Calibri"/>
                <w:i/>
                <w:iCs/>
                <w:color w:val="000000"/>
                <w:sz w:val="22"/>
                <w:szCs w:val="22"/>
                <w:lang w:eastAsia="en-GB"/>
              </w:rPr>
              <w:t>RThal3</w:t>
            </w:r>
          </w:p>
        </w:tc>
        <w:tc>
          <w:tcPr>
            <w:tcW w:w="938" w:type="pct"/>
            <w:noWrap/>
            <w:vAlign w:val="bottom"/>
            <w:hideMark/>
          </w:tcPr>
          <w:p w14:paraId="5D3B4F18"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0.39</w:t>
            </w:r>
          </w:p>
        </w:tc>
        <w:tc>
          <w:tcPr>
            <w:tcW w:w="1825" w:type="pct"/>
          </w:tcPr>
          <w:p w14:paraId="475637EA" w14:textId="78AEDB73" w:rsidR="009968E0" w:rsidRPr="009968E0" w:rsidRDefault="0068219A"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proofErr w:type="spellStart"/>
            <w:r>
              <w:rPr>
                <w:rFonts w:ascii="Calibri" w:eastAsia="Times New Roman" w:hAnsi="Calibri" w:cs="Calibri"/>
                <w:i/>
                <w:iCs/>
                <w:sz w:val="22"/>
                <w:szCs w:val="22"/>
                <w:lang w:eastAsia="en-GB"/>
              </w:rPr>
              <w:t>Δ</w:t>
            </w:r>
            <w:r w:rsidR="009968E0" w:rsidRPr="009968E0">
              <w:rPr>
                <w:rFonts w:ascii="Calibri" w:eastAsia="Times New Roman" w:hAnsi="Calibri" w:cs="Calibri"/>
                <w:i/>
                <w:iCs/>
                <w:sz w:val="22"/>
                <w:szCs w:val="22"/>
                <w:lang w:eastAsia="en-GB"/>
              </w:rPr>
              <w:t>_TTP_</w:t>
            </w:r>
            <w:r w:rsidR="00264184">
              <w:rPr>
                <w:rFonts w:ascii="Calibri" w:eastAsia="Times New Roman" w:hAnsi="Calibri" w:cs="Calibri"/>
                <w:i/>
                <w:iCs/>
                <w:sz w:val="22"/>
                <w:szCs w:val="22"/>
                <w:lang w:eastAsia="en-GB"/>
              </w:rPr>
              <w:t>RThal</w:t>
            </w:r>
            <w:proofErr w:type="spellEnd"/>
          </w:p>
        </w:tc>
        <w:tc>
          <w:tcPr>
            <w:tcW w:w="673" w:type="pct"/>
            <w:gridSpan w:val="2"/>
            <w:tcBorders>
              <w:right w:val="single" w:sz="4" w:space="0" w:color="auto"/>
            </w:tcBorders>
          </w:tcPr>
          <w:p w14:paraId="51ABF0EF"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0.85</w:t>
            </w:r>
          </w:p>
        </w:tc>
      </w:tr>
      <w:tr w:rsidR="009968E0" w:rsidRPr="009968E0" w14:paraId="4E18E14C"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564" w:type="pct"/>
            <w:tcBorders>
              <w:left w:val="single" w:sz="4" w:space="0" w:color="auto"/>
            </w:tcBorders>
            <w:noWrap/>
            <w:vAlign w:val="bottom"/>
            <w:hideMark/>
          </w:tcPr>
          <w:p w14:paraId="59197112" w14:textId="12213B13"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TTP-</w:t>
            </w:r>
            <w:r w:rsidR="0068219A">
              <w:rPr>
                <w:rFonts w:ascii="Calibri" w:eastAsia="Times New Roman" w:hAnsi="Calibri" w:cs="Calibri"/>
                <w:i/>
                <w:iCs/>
                <w:color w:val="000000"/>
                <w:sz w:val="22"/>
                <w:szCs w:val="22"/>
                <w:lang w:eastAsia="en-GB"/>
              </w:rPr>
              <w:t>LINS</w:t>
            </w:r>
            <w:r w:rsidRPr="009968E0">
              <w:rPr>
                <w:rFonts w:ascii="Calibri" w:eastAsia="Times New Roman" w:hAnsi="Calibri" w:cs="Calibri"/>
                <w:i/>
                <w:iCs/>
                <w:color w:val="000000"/>
                <w:sz w:val="22"/>
                <w:szCs w:val="22"/>
                <w:lang w:eastAsia="en-GB"/>
              </w:rPr>
              <w:t>3</w:t>
            </w:r>
          </w:p>
        </w:tc>
        <w:tc>
          <w:tcPr>
            <w:tcW w:w="938" w:type="pct"/>
            <w:noWrap/>
            <w:vAlign w:val="bottom"/>
            <w:hideMark/>
          </w:tcPr>
          <w:p w14:paraId="40139ED9"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0.38</w:t>
            </w:r>
          </w:p>
        </w:tc>
        <w:tc>
          <w:tcPr>
            <w:tcW w:w="1825" w:type="pct"/>
          </w:tcPr>
          <w:p w14:paraId="4BC1C678" w14:textId="30A68865" w:rsidR="009968E0" w:rsidRPr="009968E0" w:rsidRDefault="0068219A"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Pr>
                <w:rFonts w:ascii="Calibri" w:eastAsia="Times New Roman" w:hAnsi="Calibri" w:cs="Calibri"/>
                <w:i/>
                <w:iCs/>
                <w:sz w:val="22"/>
                <w:szCs w:val="22"/>
                <w:lang w:eastAsia="en-GB"/>
              </w:rPr>
              <w:t>Δ</w:t>
            </w:r>
            <w:r w:rsidR="009968E0" w:rsidRPr="009968E0">
              <w:rPr>
                <w:rFonts w:ascii="Calibri" w:eastAsia="Times New Roman" w:hAnsi="Calibri" w:cs="Calibri"/>
                <w:i/>
                <w:iCs/>
                <w:sz w:val="22"/>
                <w:szCs w:val="22"/>
                <w:lang w:eastAsia="en-GB"/>
              </w:rPr>
              <w:t>_TTP_</w:t>
            </w:r>
            <w:r>
              <w:rPr>
                <w:rFonts w:ascii="Calibri" w:eastAsia="Times New Roman" w:hAnsi="Calibri" w:cs="Calibri"/>
                <w:i/>
                <w:iCs/>
                <w:sz w:val="22"/>
                <w:szCs w:val="22"/>
                <w:lang w:eastAsia="en-GB"/>
              </w:rPr>
              <w:t>LINS</w:t>
            </w:r>
          </w:p>
        </w:tc>
        <w:tc>
          <w:tcPr>
            <w:tcW w:w="673" w:type="pct"/>
            <w:gridSpan w:val="2"/>
            <w:tcBorders>
              <w:right w:val="single" w:sz="4" w:space="0" w:color="auto"/>
            </w:tcBorders>
          </w:tcPr>
          <w:p w14:paraId="63E7C90D"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0.72</w:t>
            </w:r>
          </w:p>
        </w:tc>
      </w:tr>
      <w:tr w:rsidR="009968E0" w:rsidRPr="009968E0" w14:paraId="47FE99BF"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64" w:type="pct"/>
            <w:tcBorders>
              <w:left w:val="single" w:sz="4" w:space="0" w:color="auto"/>
            </w:tcBorders>
            <w:noWrap/>
            <w:vAlign w:val="bottom"/>
            <w:hideMark/>
          </w:tcPr>
          <w:p w14:paraId="2B87F7D4" w14:textId="0BE1074D"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TTP-</w:t>
            </w:r>
            <w:r w:rsidR="0068219A">
              <w:rPr>
                <w:rFonts w:ascii="Calibri" w:eastAsia="Times New Roman" w:hAnsi="Calibri" w:cs="Calibri"/>
                <w:i/>
                <w:iCs/>
                <w:color w:val="000000"/>
                <w:sz w:val="22"/>
                <w:szCs w:val="22"/>
                <w:lang w:eastAsia="en-GB"/>
              </w:rPr>
              <w:t>RINS</w:t>
            </w:r>
            <w:r w:rsidRPr="009968E0">
              <w:rPr>
                <w:rFonts w:ascii="Calibri" w:eastAsia="Times New Roman" w:hAnsi="Calibri" w:cs="Calibri"/>
                <w:i/>
                <w:iCs/>
                <w:color w:val="000000"/>
                <w:sz w:val="22"/>
                <w:szCs w:val="22"/>
                <w:lang w:eastAsia="en-GB"/>
              </w:rPr>
              <w:t>3</w:t>
            </w:r>
          </w:p>
        </w:tc>
        <w:tc>
          <w:tcPr>
            <w:tcW w:w="938" w:type="pct"/>
            <w:noWrap/>
            <w:vAlign w:val="bottom"/>
            <w:hideMark/>
          </w:tcPr>
          <w:p w14:paraId="1A3B43FA"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0.24</w:t>
            </w:r>
          </w:p>
        </w:tc>
        <w:tc>
          <w:tcPr>
            <w:tcW w:w="1825" w:type="pct"/>
          </w:tcPr>
          <w:p w14:paraId="6EAB9DFE" w14:textId="395261C7" w:rsidR="009968E0" w:rsidRPr="009968E0" w:rsidRDefault="0068219A"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Pr>
                <w:rFonts w:ascii="Calibri" w:eastAsia="Times New Roman" w:hAnsi="Calibri" w:cs="Calibri"/>
                <w:i/>
                <w:iCs/>
                <w:sz w:val="22"/>
                <w:szCs w:val="22"/>
                <w:lang w:eastAsia="en-GB"/>
              </w:rPr>
              <w:t>Δ</w:t>
            </w:r>
            <w:r w:rsidR="009968E0" w:rsidRPr="009968E0">
              <w:rPr>
                <w:rFonts w:ascii="Calibri" w:eastAsia="Times New Roman" w:hAnsi="Calibri" w:cs="Calibri"/>
                <w:i/>
                <w:iCs/>
                <w:sz w:val="22"/>
                <w:szCs w:val="22"/>
                <w:lang w:eastAsia="en-GB"/>
              </w:rPr>
              <w:t>_TTP_</w:t>
            </w:r>
            <w:r>
              <w:rPr>
                <w:rFonts w:ascii="Calibri" w:eastAsia="Times New Roman" w:hAnsi="Calibri" w:cs="Calibri"/>
                <w:i/>
                <w:iCs/>
                <w:sz w:val="22"/>
                <w:szCs w:val="22"/>
                <w:lang w:eastAsia="en-GB"/>
              </w:rPr>
              <w:t>RINS</w:t>
            </w:r>
          </w:p>
        </w:tc>
        <w:tc>
          <w:tcPr>
            <w:tcW w:w="673" w:type="pct"/>
            <w:gridSpan w:val="2"/>
            <w:tcBorders>
              <w:right w:val="single" w:sz="4" w:space="0" w:color="auto"/>
            </w:tcBorders>
          </w:tcPr>
          <w:p w14:paraId="48D900C0"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0.69</w:t>
            </w:r>
          </w:p>
        </w:tc>
      </w:tr>
      <w:tr w:rsidR="009968E0" w:rsidRPr="009968E0" w14:paraId="41C23518"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564" w:type="pct"/>
            <w:tcBorders>
              <w:left w:val="single" w:sz="4" w:space="0" w:color="auto"/>
            </w:tcBorders>
            <w:noWrap/>
            <w:vAlign w:val="bottom"/>
            <w:hideMark/>
          </w:tcPr>
          <w:p w14:paraId="0D5CFF9E" w14:textId="32575E7E"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TTP-ACC3</w:t>
            </w:r>
          </w:p>
        </w:tc>
        <w:tc>
          <w:tcPr>
            <w:tcW w:w="938" w:type="pct"/>
            <w:noWrap/>
            <w:vAlign w:val="bottom"/>
            <w:hideMark/>
          </w:tcPr>
          <w:p w14:paraId="43C711F6"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0.61</w:t>
            </w:r>
          </w:p>
        </w:tc>
        <w:tc>
          <w:tcPr>
            <w:tcW w:w="1825" w:type="pct"/>
          </w:tcPr>
          <w:p w14:paraId="4708E1BC" w14:textId="7F042A70" w:rsidR="009968E0" w:rsidRPr="009968E0" w:rsidRDefault="0068219A"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Pr>
                <w:rFonts w:ascii="Calibri" w:eastAsia="Times New Roman" w:hAnsi="Calibri" w:cs="Calibri"/>
                <w:i/>
                <w:iCs/>
                <w:sz w:val="22"/>
                <w:szCs w:val="22"/>
                <w:lang w:eastAsia="en-GB"/>
              </w:rPr>
              <w:t>Δ</w:t>
            </w:r>
            <w:r w:rsidR="009968E0" w:rsidRPr="009968E0">
              <w:rPr>
                <w:rFonts w:ascii="Calibri" w:eastAsia="Times New Roman" w:hAnsi="Calibri" w:cs="Calibri"/>
                <w:i/>
                <w:iCs/>
                <w:sz w:val="22"/>
                <w:szCs w:val="22"/>
                <w:lang w:eastAsia="en-GB"/>
              </w:rPr>
              <w:t>_TTP_</w:t>
            </w:r>
            <w:r>
              <w:rPr>
                <w:rFonts w:ascii="Calibri" w:eastAsia="Times New Roman" w:hAnsi="Calibri" w:cs="Calibri"/>
                <w:i/>
                <w:iCs/>
                <w:sz w:val="22"/>
                <w:szCs w:val="22"/>
                <w:lang w:eastAsia="en-GB"/>
              </w:rPr>
              <w:t>ACC</w:t>
            </w:r>
          </w:p>
        </w:tc>
        <w:tc>
          <w:tcPr>
            <w:tcW w:w="673" w:type="pct"/>
            <w:gridSpan w:val="2"/>
            <w:tcBorders>
              <w:right w:val="single" w:sz="4" w:space="0" w:color="auto"/>
            </w:tcBorders>
          </w:tcPr>
          <w:p w14:paraId="3AC8BB32"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0.64</w:t>
            </w:r>
          </w:p>
        </w:tc>
      </w:tr>
      <w:tr w:rsidR="009968E0" w:rsidRPr="009968E0" w14:paraId="5694D629"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64" w:type="pct"/>
            <w:tcBorders>
              <w:left w:val="single" w:sz="4" w:space="0" w:color="auto"/>
            </w:tcBorders>
            <w:noWrap/>
            <w:vAlign w:val="bottom"/>
            <w:hideMark/>
          </w:tcPr>
          <w:p w14:paraId="527BC1F1" w14:textId="77A2443F"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TTP-</w:t>
            </w:r>
            <w:r w:rsidR="0068219A">
              <w:rPr>
                <w:rFonts w:ascii="Calibri" w:eastAsia="Times New Roman" w:hAnsi="Calibri" w:cs="Calibri"/>
                <w:i/>
                <w:iCs/>
                <w:color w:val="000000"/>
                <w:sz w:val="22"/>
                <w:szCs w:val="22"/>
                <w:lang w:eastAsia="en-GB"/>
              </w:rPr>
              <w:t>POWM3</w:t>
            </w:r>
          </w:p>
        </w:tc>
        <w:tc>
          <w:tcPr>
            <w:tcW w:w="938" w:type="pct"/>
            <w:noWrap/>
            <w:vAlign w:val="bottom"/>
            <w:hideMark/>
          </w:tcPr>
          <w:p w14:paraId="70CC2DCA"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0.45</w:t>
            </w:r>
          </w:p>
        </w:tc>
        <w:tc>
          <w:tcPr>
            <w:tcW w:w="1825" w:type="pct"/>
          </w:tcPr>
          <w:p w14:paraId="64058628" w14:textId="0298EE5B" w:rsidR="009968E0" w:rsidRPr="009968E0" w:rsidRDefault="0068219A"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Pr>
                <w:rFonts w:ascii="Calibri" w:eastAsia="Times New Roman" w:hAnsi="Calibri" w:cs="Calibri"/>
                <w:i/>
                <w:iCs/>
                <w:sz w:val="22"/>
                <w:szCs w:val="22"/>
                <w:lang w:eastAsia="en-GB"/>
              </w:rPr>
              <w:t>Δ</w:t>
            </w:r>
            <w:r w:rsidR="009968E0" w:rsidRPr="009968E0">
              <w:rPr>
                <w:rFonts w:ascii="Calibri" w:eastAsia="Times New Roman" w:hAnsi="Calibri" w:cs="Calibri"/>
                <w:i/>
                <w:iCs/>
                <w:sz w:val="22"/>
                <w:szCs w:val="22"/>
                <w:lang w:eastAsia="en-GB"/>
              </w:rPr>
              <w:t>_TTP_</w:t>
            </w:r>
            <w:r>
              <w:rPr>
                <w:rFonts w:ascii="Calibri" w:eastAsia="Times New Roman" w:hAnsi="Calibri" w:cs="Calibri"/>
                <w:i/>
                <w:iCs/>
                <w:sz w:val="22"/>
                <w:szCs w:val="22"/>
                <w:lang w:eastAsia="en-GB"/>
              </w:rPr>
              <w:t>POWM</w:t>
            </w:r>
          </w:p>
        </w:tc>
        <w:tc>
          <w:tcPr>
            <w:tcW w:w="673" w:type="pct"/>
            <w:gridSpan w:val="2"/>
            <w:tcBorders>
              <w:right w:val="single" w:sz="4" w:space="0" w:color="auto"/>
            </w:tcBorders>
          </w:tcPr>
          <w:p w14:paraId="42F89C66"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0.97</w:t>
            </w:r>
          </w:p>
        </w:tc>
      </w:tr>
      <w:tr w:rsidR="009968E0" w:rsidRPr="009968E0" w14:paraId="007504F0"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564" w:type="pct"/>
            <w:tcBorders>
              <w:left w:val="single" w:sz="4" w:space="0" w:color="auto"/>
            </w:tcBorders>
            <w:noWrap/>
            <w:vAlign w:val="bottom"/>
            <w:hideMark/>
          </w:tcPr>
          <w:p w14:paraId="26E8CC52" w14:textId="217FD373"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TTP-</w:t>
            </w:r>
            <w:r w:rsidR="0068219A">
              <w:rPr>
                <w:rFonts w:ascii="Calibri" w:eastAsia="Times New Roman" w:hAnsi="Calibri" w:cs="Calibri"/>
                <w:i/>
                <w:iCs/>
                <w:color w:val="000000"/>
                <w:sz w:val="22"/>
                <w:szCs w:val="22"/>
                <w:lang w:eastAsia="en-GB"/>
              </w:rPr>
              <w:t>LPSC3</w:t>
            </w:r>
          </w:p>
        </w:tc>
        <w:tc>
          <w:tcPr>
            <w:tcW w:w="938" w:type="pct"/>
            <w:noWrap/>
            <w:vAlign w:val="bottom"/>
            <w:hideMark/>
          </w:tcPr>
          <w:p w14:paraId="4BF32F12"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0.55</w:t>
            </w:r>
          </w:p>
        </w:tc>
        <w:tc>
          <w:tcPr>
            <w:tcW w:w="1825" w:type="pct"/>
          </w:tcPr>
          <w:p w14:paraId="4B6191BE" w14:textId="61D4C335" w:rsidR="009968E0" w:rsidRPr="009968E0" w:rsidRDefault="0068219A"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Pr>
                <w:rFonts w:ascii="Calibri" w:eastAsia="Times New Roman" w:hAnsi="Calibri" w:cs="Calibri"/>
                <w:i/>
                <w:iCs/>
                <w:sz w:val="22"/>
                <w:szCs w:val="22"/>
                <w:lang w:eastAsia="en-GB"/>
              </w:rPr>
              <w:t>Δ</w:t>
            </w:r>
            <w:r w:rsidR="009968E0" w:rsidRPr="009968E0">
              <w:rPr>
                <w:rFonts w:ascii="Calibri" w:eastAsia="Times New Roman" w:hAnsi="Calibri" w:cs="Calibri"/>
                <w:i/>
                <w:iCs/>
                <w:sz w:val="22"/>
                <w:szCs w:val="22"/>
                <w:lang w:eastAsia="en-GB"/>
              </w:rPr>
              <w:t>_TTP_</w:t>
            </w:r>
            <w:r>
              <w:rPr>
                <w:rFonts w:ascii="Calibri" w:eastAsia="Times New Roman" w:hAnsi="Calibri" w:cs="Calibri"/>
                <w:i/>
                <w:iCs/>
                <w:sz w:val="22"/>
                <w:szCs w:val="22"/>
                <w:lang w:eastAsia="en-GB"/>
              </w:rPr>
              <w:t>LPSC</w:t>
            </w:r>
          </w:p>
        </w:tc>
        <w:tc>
          <w:tcPr>
            <w:tcW w:w="673" w:type="pct"/>
            <w:gridSpan w:val="2"/>
            <w:tcBorders>
              <w:right w:val="single" w:sz="4" w:space="0" w:color="auto"/>
            </w:tcBorders>
          </w:tcPr>
          <w:p w14:paraId="7920F572"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0.51</w:t>
            </w:r>
          </w:p>
        </w:tc>
      </w:tr>
      <w:tr w:rsidR="009968E0" w:rsidRPr="009968E0" w14:paraId="2B59E4C0"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64" w:type="pct"/>
            <w:tcBorders>
              <w:left w:val="single" w:sz="4" w:space="0" w:color="auto"/>
              <w:bottom w:val="single" w:sz="4" w:space="0" w:color="auto"/>
            </w:tcBorders>
            <w:noWrap/>
            <w:vAlign w:val="bottom"/>
            <w:hideMark/>
          </w:tcPr>
          <w:p w14:paraId="244B1BAB" w14:textId="41B88DF3"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TTP-</w:t>
            </w:r>
            <w:r w:rsidR="0068219A">
              <w:rPr>
                <w:rFonts w:ascii="Calibri" w:eastAsia="Times New Roman" w:hAnsi="Calibri" w:cs="Calibri"/>
                <w:i/>
                <w:iCs/>
                <w:color w:val="000000"/>
                <w:sz w:val="22"/>
                <w:szCs w:val="22"/>
                <w:lang w:eastAsia="en-GB"/>
              </w:rPr>
              <w:t>RPSC3</w:t>
            </w:r>
          </w:p>
        </w:tc>
        <w:tc>
          <w:tcPr>
            <w:tcW w:w="938" w:type="pct"/>
            <w:tcBorders>
              <w:bottom w:val="single" w:sz="4" w:space="0" w:color="auto"/>
            </w:tcBorders>
            <w:noWrap/>
            <w:vAlign w:val="bottom"/>
            <w:hideMark/>
          </w:tcPr>
          <w:p w14:paraId="7071369A"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0.27</w:t>
            </w:r>
          </w:p>
        </w:tc>
        <w:tc>
          <w:tcPr>
            <w:tcW w:w="1825" w:type="pct"/>
            <w:tcBorders>
              <w:bottom w:val="single" w:sz="4" w:space="0" w:color="auto"/>
            </w:tcBorders>
          </w:tcPr>
          <w:p w14:paraId="4248A23A" w14:textId="6B4DE729" w:rsidR="009968E0" w:rsidRPr="009968E0" w:rsidRDefault="0068219A"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Pr>
                <w:rFonts w:ascii="Calibri" w:eastAsia="Times New Roman" w:hAnsi="Calibri" w:cs="Calibri"/>
                <w:i/>
                <w:iCs/>
                <w:sz w:val="22"/>
                <w:szCs w:val="22"/>
                <w:lang w:eastAsia="en-GB"/>
              </w:rPr>
              <w:t>Δ</w:t>
            </w:r>
            <w:r w:rsidR="009968E0" w:rsidRPr="009968E0">
              <w:rPr>
                <w:rFonts w:ascii="Calibri" w:eastAsia="Times New Roman" w:hAnsi="Calibri" w:cs="Calibri"/>
                <w:i/>
                <w:iCs/>
                <w:sz w:val="22"/>
                <w:szCs w:val="22"/>
                <w:lang w:eastAsia="en-GB"/>
              </w:rPr>
              <w:t>_TTP_</w:t>
            </w:r>
            <w:r>
              <w:rPr>
                <w:rFonts w:ascii="Calibri" w:eastAsia="Times New Roman" w:hAnsi="Calibri" w:cs="Calibri"/>
                <w:i/>
                <w:iCs/>
                <w:sz w:val="22"/>
                <w:szCs w:val="22"/>
                <w:lang w:eastAsia="en-GB"/>
              </w:rPr>
              <w:t>RPSC</w:t>
            </w:r>
          </w:p>
        </w:tc>
        <w:tc>
          <w:tcPr>
            <w:tcW w:w="673" w:type="pct"/>
            <w:gridSpan w:val="2"/>
            <w:tcBorders>
              <w:bottom w:val="single" w:sz="4" w:space="0" w:color="auto"/>
              <w:right w:val="single" w:sz="4" w:space="0" w:color="auto"/>
            </w:tcBorders>
          </w:tcPr>
          <w:p w14:paraId="77845911"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0.32</w:t>
            </w:r>
          </w:p>
        </w:tc>
      </w:tr>
    </w:tbl>
    <w:p w14:paraId="32A97217" w14:textId="77777777" w:rsidR="009968E0" w:rsidRPr="009968E0" w:rsidRDefault="009968E0" w:rsidP="009968E0">
      <w:pPr>
        <w:rPr>
          <w:rFonts w:ascii="Times New Roman" w:eastAsia="Times New Roman" w:hAnsi="Times New Roman" w:cs="Times New Roman"/>
          <w:lang w:eastAsia="en-GB"/>
        </w:rPr>
      </w:pPr>
    </w:p>
    <w:p w14:paraId="298ABC1E" w14:textId="56515532" w:rsidR="009968E0" w:rsidRDefault="009968E0" w:rsidP="009968E0">
      <w:pPr>
        <w:rPr>
          <w:rFonts w:ascii="Times New Roman" w:eastAsia="Times New Roman" w:hAnsi="Times New Roman" w:cs="Times New Roman"/>
          <w:lang w:eastAsia="en-GB"/>
        </w:rPr>
      </w:pPr>
    </w:p>
    <w:p w14:paraId="093E4FA3" w14:textId="3681C5FB" w:rsidR="006E28EB" w:rsidRDefault="006E28EB" w:rsidP="009968E0">
      <w:pPr>
        <w:rPr>
          <w:rFonts w:ascii="Times New Roman" w:eastAsia="Times New Roman" w:hAnsi="Times New Roman" w:cs="Times New Roman"/>
          <w:lang w:eastAsia="en-GB"/>
        </w:rPr>
      </w:pPr>
    </w:p>
    <w:p w14:paraId="2B94F6A4" w14:textId="77777777" w:rsidR="006E28EB" w:rsidRPr="009968E0" w:rsidRDefault="006E28EB" w:rsidP="009968E0">
      <w:pPr>
        <w:rPr>
          <w:rFonts w:ascii="Times New Roman" w:eastAsia="Times New Roman" w:hAnsi="Times New Roman" w:cs="Times New Roman"/>
          <w:lang w:eastAsia="en-GB"/>
        </w:rPr>
      </w:pPr>
    </w:p>
    <w:p w14:paraId="4A5F839E" w14:textId="5F4CB1DC" w:rsidR="009968E0" w:rsidRPr="006E28EB" w:rsidRDefault="009968E0" w:rsidP="006E28EB">
      <w:pPr>
        <w:pStyle w:val="Quote"/>
      </w:pPr>
      <w:bookmarkStart w:id="620" w:name="_Toc48406146"/>
      <w:bookmarkStart w:id="621" w:name="_Toc49273357"/>
      <w:bookmarkStart w:id="622" w:name="_Toc64724110"/>
      <w:r w:rsidRPr="006E28EB">
        <w:lastRenderedPageBreak/>
        <w:t>Table D.2 differences between metabolic and cardiovascular parameters between groups</w:t>
      </w:r>
      <w:bookmarkEnd w:id="620"/>
      <w:bookmarkEnd w:id="621"/>
      <w:bookmarkEnd w:id="622"/>
    </w:p>
    <w:tbl>
      <w:tblPr>
        <w:tblStyle w:val="GridTable2-Accent63"/>
        <w:tblW w:w="9360" w:type="dxa"/>
        <w:tblLook w:val="04A0" w:firstRow="1" w:lastRow="0" w:firstColumn="1" w:lastColumn="0" w:noHBand="0" w:noVBand="1"/>
      </w:tblPr>
      <w:tblGrid>
        <w:gridCol w:w="2809"/>
        <w:gridCol w:w="1300"/>
        <w:gridCol w:w="1300"/>
        <w:gridCol w:w="1300"/>
        <w:gridCol w:w="1322"/>
        <w:gridCol w:w="1329"/>
      </w:tblGrid>
      <w:tr w:rsidR="009968E0" w:rsidRPr="009968E0" w14:paraId="5563CA4D" w14:textId="77777777" w:rsidTr="009968E0">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809" w:type="dxa"/>
            <w:tcBorders>
              <w:top w:val="single" w:sz="4" w:space="0" w:color="auto"/>
              <w:left w:val="single" w:sz="4" w:space="0" w:color="auto"/>
            </w:tcBorders>
            <w:noWrap/>
            <w:hideMark/>
          </w:tcPr>
          <w:p w14:paraId="4D49317E" w14:textId="77777777" w:rsidR="009968E0" w:rsidRPr="009968E0" w:rsidRDefault="009968E0" w:rsidP="009968E0">
            <w:pPr>
              <w:rPr>
                <w:rFonts w:ascii="Calibri" w:eastAsia="Times New Roman" w:hAnsi="Calibri" w:cs="Calibri"/>
                <w:i/>
                <w:iCs/>
                <w:sz w:val="22"/>
                <w:szCs w:val="22"/>
                <w:lang w:eastAsia="en-GB"/>
              </w:rPr>
            </w:pPr>
          </w:p>
        </w:tc>
        <w:tc>
          <w:tcPr>
            <w:tcW w:w="1300" w:type="dxa"/>
            <w:tcBorders>
              <w:top w:val="single" w:sz="4" w:space="0" w:color="auto"/>
            </w:tcBorders>
            <w:noWrap/>
            <w:hideMark/>
          </w:tcPr>
          <w:p w14:paraId="0BFC9A99" w14:textId="77777777" w:rsidR="009968E0" w:rsidRPr="009968E0" w:rsidRDefault="009968E0" w:rsidP="009968E0">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p>
        </w:tc>
        <w:tc>
          <w:tcPr>
            <w:tcW w:w="1300" w:type="dxa"/>
            <w:tcBorders>
              <w:top w:val="single" w:sz="4" w:space="0" w:color="auto"/>
            </w:tcBorders>
            <w:noWrap/>
            <w:hideMark/>
          </w:tcPr>
          <w:p w14:paraId="74C3A1AA" w14:textId="77777777" w:rsidR="009968E0" w:rsidRPr="009968E0" w:rsidRDefault="009968E0" w:rsidP="009968E0">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N</w:t>
            </w:r>
          </w:p>
        </w:tc>
        <w:tc>
          <w:tcPr>
            <w:tcW w:w="1300" w:type="dxa"/>
            <w:tcBorders>
              <w:top w:val="single" w:sz="4" w:space="0" w:color="auto"/>
            </w:tcBorders>
            <w:noWrap/>
            <w:hideMark/>
          </w:tcPr>
          <w:p w14:paraId="101DFEE8" w14:textId="77777777" w:rsidR="009968E0" w:rsidRPr="009968E0" w:rsidRDefault="009968E0" w:rsidP="009968E0">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Mean</w:t>
            </w:r>
          </w:p>
        </w:tc>
        <w:tc>
          <w:tcPr>
            <w:tcW w:w="2651" w:type="dxa"/>
            <w:gridSpan w:val="2"/>
            <w:tcBorders>
              <w:top w:val="single" w:sz="4" w:space="0" w:color="auto"/>
              <w:right w:val="single" w:sz="4" w:space="0" w:color="auto"/>
            </w:tcBorders>
            <w:noWrap/>
            <w:hideMark/>
          </w:tcPr>
          <w:p w14:paraId="69C8BF67" w14:textId="77777777" w:rsidR="009968E0" w:rsidRPr="009968E0" w:rsidRDefault="009968E0" w:rsidP="009968E0">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95% Confidence Interval for Mean</w:t>
            </w:r>
          </w:p>
        </w:tc>
      </w:tr>
      <w:tr w:rsidR="009968E0" w:rsidRPr="009968E0" w14:paraId="2F863628"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809" w:type="dxa"/>
            <w:tcBorders>
              <w:left w:val="single" w:sz="4" w:space="0" w:color="auto"/>
            </w:tcBorders>
            <w:noWrap/>
            <w:hideMark/>
          </w:tcPr>
          <w:p w14:paraId="7054DDC9" w14:textId="77777777" w:rsidR="009968E0" w:rsidRPr="009968E0" w:rsidRDefault="009968E0" w:rsidP="009968E0">
            <w:pPr>
              <w:rPr>
                <w:rFonts w:ascii="Calibri" w:eastAsia="Times New Roman" w:hAnsi="Calibri" w:cs="Calibri"/>
                <w:i/>
                <w:iCs/>
                <w:sz w:val="22"/>
                <w:szCs w:val="22"/>
                <w:lang w:eastAsia="en-GB"/>
              </w:rPr>
            </w:pPr>
          </w:p>
        </w:tc>
        <w:tc>
          <w:tcPr>
            <w:tcW w:w="1300" w:type="dxa"/>
            <w:noWrap/>
            <w:hideMark/>
          </w:tcPr>
          <w:p w14:paraId="02CD64DB"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p>
        </w:tc>
        <w:tc>
          <w:tcPr>
            <w:tcW w:w="1300" w:type="dxa"/>
            <w:noWrap/>
            <w:hideMark/>
          </w:tcPr>
          <w:p w14:paraId="1CA2CA5A"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p>
        </w:tc>
        <w:tc>
          <w:tcPr>
            <w:tcW w:w="1300" w:type="dxa"/>
            <w:noWrap/>
            <w:hideMark/>
          </w:tcPr>
          <w:p w14:paraId="2C39994B"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p>
        </w:tc>
        <w:tc>
          <w:tcPr>
            <w:tcW w:w="1322" w:type="dxa"/>
            <w:noWrap/>
            <w:hideMark/>
          </w:tcPr>
          <w:p w14:paraId="38BA9E60"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Lower Bound</w:t>
            </w:r>
          </w:p>
        </w:tc>
        <w:tc>
          <w:tcPr>
            <w:tcW w:w="1329" w:type="dxa"/>
            <w:tcBorders>
              <w:right w:val="single" w:sz="4" w:space="0" w:color="auto"/>
            </w:tcBorders>
            <w:noWrap/>
            <w:hideMark/>
          </w:tcPr>
          <w:p w14:paraId="6A5A9154"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Upper Bound</w:t>
            </w:r>
          </w:p>
        </w:tc>
      </w:tr>
      <w:tr w:rsidR="009968E0" w:rsidRPr="009968E0" w14:paraId="7410909E"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2809" w:type="dxa"/>
            <w:tcBorders>
              <w:left w:val="single" w:sz="4" w:space="0" w:color="auto"/>
            </w:tcBorders>
            <w:noWrap/>
            <w:hideMark/>
          </w:tcPr>
          <w:p w14:paraId="4AD872EC"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sz w:val="22"/>
                <w:szCs w:val="22"/>
                <w:lang w:eastAsia="en-GB"/>
              </w:rPr>
              <w:t xml:space="preserve">V2 </w:t>
            </w:r>
            <w:r w:rsidRPr="009968E0">
              <w:rPr>
                <w:rFonts w:ascii="Calibri" w:eastAsia="Times New Roman" w:hAnsi="Calibri" w:cs="Calibri"/>
                <w:i/>
                <w:iCs/>
                <w:sz w:val="22"/>
                <w:szCs w:val="22"/>
                <w:lang w:eastAsia="en-GB"/>
              </w:rPr>
              <w:t>blood glucose arrival</w:t>
            </w:r>
          </w:p>
        </w:tc>
        <w:tc>
          <w:tcPr>
            <w:tcW w:w="1300" w:type="dxa"/>
            <w:noWrap/>
            <w:hideMark/>
          </w:tcPr>
          <w:p w14:paraId="6CBDB221"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P-DPN</w:t>
            </w:r>
          </w:p>
        </w:tc>
        <w:tc>
          <w:tcPr>
            <w:tcW w:w="1300" w:type="dxa"/>
            <w:noWrap/>
            <w:hideMark/>
          </w:tcPr>
          <w:p w14:paraId="4467997E"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w:t>
            </w:r>
          </w:p>
        </w:tc>
        <w:tc>
          <w:tcPr>
            <w:tcW w:w="1300" w:type="dxa"/>
            <w:noWrap/>
            <w:hideMark/>
          </w:tcPr>
          <w:p w14:paraId="55785A34"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13.25</w:t>
            </w:r>
          </w:p>
        </w:tc>
        <w:tc>
          <w:tcPr>
            <w:tcW w:w="1322" w:type="dxa"/>
            <w:noWrap/>
            <w:hideMark/>
          </w:tcPr>
          <w:p w14:paraId="05295828"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11.35</w:t>
            </w:r>
          </w:p>
        </w:tc>
        <w:tc>
          <w:tcPr>
            <w:tcW w:w="1329" w:type="dxa"/>
            <w:tcBorders>
              <w:right w:val="single" w:sz="4" w:space="0" w:color="auto"/>
            </w:tcBorders>
            <w:noWrap/>
            <w:hideMark/>
          </w:tcPr>
          <w:p w14:paraId="1E27B327"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15.15</w:t>
            </w:r>
          </w:p>
        </w:tc>
      </w:tr>
      <w:tr w:rsidR="009968E0" w:rsidRPr="009968E0" w14:paraId="19CC2600"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809" w:type="dxa"/>
            <w:tcBorders>
              <w:left w:val="single" w:sz="4" w:space="0" w:color="auto"/>
            </w:tcBorders>
            <w:noWrap/>
            <w:hideMark/>
          </w:tcPr>
          <w:p w14:paraId="3A88F91B" w14:textId="77777777" w:rsidR="009968E0" w:rsidRPr="009968E0" w:rsidRDefault="009968E0" w:rsidP="009968E0">
            <w:pPr>
              <w:rPr>
                <w:rFonts w:ascii="Calibri" w:eastAsia="Times New Roman" w:hAnsi="Calibri" w:cs="Calibri"/>
                <w:i/>
                <w:iCs/>
                <w:sz w:val="22"/>
                <w:szCs w:val="22"/>
                <w:lang w:eastAsia="en-GB"/>
              </w:rPr>
            </w:pPr>
          </w:p>
        </w:tc>
        <w:tc>
          <w:tcPr>
            <w:tcW w:w="1300" w:type="dxa"/>
            <w:noWrap/>
            <w:hideMark/>
          </w:tcPr>
          <w:p w14:paraId="33C95674"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DPN</w:t>
            </w:r>
          </w:p>
        </w:tc>
        <w:tc>
          <w:tcPr>
            <w:tcW w:w="1300" w:type="dxa"/>
            <w:noWrap/>
            <w:hideMark/>
          </w:tcPr>
          <w:p w14:paraId="4E066B38"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23</w:t>
            </w:r>
          </w:p>
        </w:tc>
        <w:tc>
          <w:tcPr>
            <w:tcW w:w="1300" w:type="dxa"/>
            <w:noWrap/>
            <w:hideMark/>
          </w:tcPr>
          <w:p w14:paraId="674C1D55"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13.16</w:t>
            </w:r>
          </w:p>
        </w:tc>
        <w:tc>
          <w:tcPr>
            <w:tcW w:w="1322" w:type="dxa"/>
            <w:noWrap/>
            <w:hideMark/>
          </w:tcPr>
          <w:p w14:paraId="6E0E257C"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10.73</w:t>
            </w:r>
          </w:p>
        </w:tc>
        <w:tc>
          <w:tcPr>
            <w:tcW w:w="1329" w:type="dxa"/>
            <w:tcBorders>
              <w:right w:val="single" w:sz="4" w:space="0" w:color="auto"/>
            </w:tcBorders>
            <w:noWrap/>
            <w:hideMark/>
          </w:tcPr>
          <w:p w14:paraId="2FC0FD8F"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15.6</w:t>
            </w:r>
          </w:p>
        </w:tc>
      </w:tr>
      <w:tr w:rsidR="009968E0" w:rsidRPr="009968E0" w14:paraId="00ED3F21"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2809" w:type="dxa"/>
            <w:tcBorders>
              <w:left w:val="single" w:sz="4" w:space="0" w:color="auto"/>
            </w:tcBorders>
            <w:noWrap/>
            <w:hideMark/>
          </w:tcPr>
          <w:p w14:paraId="47DA99AD" w14:textId="77777777" w:rsidR="009968E0" w:rsidRPr="009968E0" w:rsidRDefault="009968E0" w:rsidP="009968E0">
            <w:pPr>
              <w:rPr>
                <w:rFonts w:ascii="Calibri" w:eastAsia="Times New Roman" w:hAnsi="Calibri" w:cs="Calibri"/>
                <w:i/>
                <w:iCs/>
                <w:sz w:val="22"/>
                <w:szCs w:val="22"/>
                <w:lang w:eastAsia="en-GB"/>
              </w:rPr>
            </w:pPr>
          </w:p>
        </w:tc>
        <w:tc>
          <w:tcPr>
            <w:tcW w:w="1300" w:type="dxa"/>
            <w:noWrap/>
            <w:hideMark/>
          </w:tcPr>
          <w:p w14:paraId="28466D39"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DM-NN</w:t>
            </w:r>
          </w:p>
        </w:tc>
        <w:tc>
          <w:tcPr>
            <w:tcW w:w="1300" w:type="dxa"/>
            <w:noWrap/>
            <w:hideMark/>
          </w:tcPr>
          <w:p w14:paraId="30D8E259"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w:t>
            </w:r>
          </w:p>
        </w:tc>
        <w:tc>
          <w:tcPr>
            <w:tcW w:w="1300" w:type="dxa"/>
            <w:noWrap/>
            <w:hideMark/>
          </w:tcPr>
          <w:p w14:paraId="0B70447B"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13.32</w:t>
            </w:r>
          </w:p>
        </w:tc>
        <w:tc>
          <w:tcPr>
            <w:tcW w:w="1322" w:type="dxa"/>
            <w:noWrap/>
            <w:hideMark/>
          </w:tcPr>
          <w:p w14:paraId="6CFFD57C"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9.74</w:t>
            </w:r>
          </w:p>
        </w:tc>
        <w:tc>
          <w:tcPr>
            <w:tcW w:w="1329" w:type="dxa"/>
            <w:tcBorders>
              <w:right w:val="single" w:sz="4" w:space="0" w:color="auto"/>
            </w:tcBorders>
            <w:noWrap/>
            <w:hideMark/>
          </w:tcPr>
          <w:p w14:paraId="2DADD5BB"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16.89</w:t>
            </w:r>
          </w:p>
        </w:tc>
      </w:tr>
      <w:tr w:rsidR="009968E0" w:rsidRPr="009968E0" w14:paraId="05220696"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809" w:type="dxa"/>
            <w:tcBorders>
              <w:left w:val="single" w:sz="4" w:space="0" w:color="auto"/>
            </w:tcBorders>
            <w:noWrap/>
            <w:hideMark/>
          </w:tcPr>
          <w:p w14:paraId="289B8073" w14:textId="77777777" w:rsidR="009968E0" w:rsidRPr="009968E0" w:rsidRDefault="009968E0" w:rsidP="009968E0">
            <w:pPr>
              <w:rPr>
                <w:rFonts w:ascii="Calibri" w:eastAsia="Times New Roman" w:hAnsi="Calibri" w:cs="Calibri"/>
                <w:i/>
                <w:iCs/>
                <w:sz w:val="22"/>
                <w:szCs w:val="22"/>
                <w:lang w:eastAsia="en-GB"/>
              </w:rPr>
            </w:pPr>
          </w:p>
        </w:tc>
        <w:tc>
          <w:tcPr>
            <w:tcW w:w="1300" w:type="dxa"/>
            <w:noWrap/>
            <w:hideMark/>
          </w:tcPr>
          <w:p w14:paraId="709B7CBD"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HV</w:t>
            </w:r>
          </w:p>
        </w:tc>
        <w:tc>
          <w:tcPr>
            <w:tcW w:w="1300" w:type="dxa"/>
            <w:noWrap/>
            <w:hideMark/>
          </w:tcPr>
          <w:p w14:paraId="180D5683"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w:t>
            </w:r>
          </w:p>
        </w:tc>
        <w:tc>
          <w:tcPr>
            <w:tcW w:w="1300" w:type="dxa"/>
            <w:noWrap/>
            <w:hideMark/>
          </w:tcPr>
          <w:p w14:paraId="52BC946A"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w:t>
            </w:r>
          </w:p>
        </w:tc>
        <w:tc>
          <w:tcPr>
            <w:tcW w:w="1322" w:type="dxa"/>
            <w:noWrap/>
            <w:hideMark/>
          </w:tcPr>
          <w:p w14:paraId="27968286"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w:t>
            </w:r>
          </w:p>
        </w:tc>
        <w:tc>
          <w:tcPr>
            <w:tcW w:w="1329" w:type="dxa"/>
            <w:tcBorders>
              <w:right w:val="single" w:sz="4" w:space="0" w:color="auto"/>
            </w:tcBorders>
            <w:noWrap/>
            <w:hideMark/>
          </w:tcPr>
          <w:p w14:paraId="541A0441"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w:t>
            </w:r>
          </w:p>
        </w:tc>
      </w:tr>
      <w:tr w:rsidR="009968E0" w:rsidRPr="009968E0" w14:paraId="064901EC"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2809" w:type="dxa"/>
            <w:tcBorders>
              <w:left w:val="single" w:sz="4" w:space="0" w:color="auto"/>
            </w:tcBorders>
            <w:noWrap/>
            <w:hideMark/>
          </w:tcPr>
          <w:p w14:paraId="05635B39"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sz w:val="22"/>
                <w:szCs w:val="22"/>
                <w:lang w:eastAsia="en-GB"/>
              </w:rPr>
              <w:t xml:space="preserve">V2 </w:t>
            </w:r>
            <w:r w:rsidRPr="009968E0">
              <w:rPr>
                <w:rFonts w:ascii="Calibri" w:eastAsia="Times New Roman" w:hAnsi="Calibri" w:cs="Calibri"/>
                <w:i/>
                <w:iCs/>
                <w:sz w:val="22"/>
                <w:szCs w:val="22"/>
                <w:lang w:eastAsia="en-GB"/>
              </w:rPr>
              <w:t>blood glucose departure</w:t>
            </w:r>
          </w:p>
        </w:tc>
        <w:tc>
          <w:tcPr>
            <w:tcW w:w="1300" w:type="dxa"/>
            <w:noWrap/>
            <w:hideMark/>
          </w:tcPr>
          <w:p w14:paraId="4FAF4C0F"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P-DPN</w:t>
            </w:r>
          </w:p>
        </w:tc>
        <w:tc>
          <w:tcPr>
            <w:tcW w:w="1300" w:type="dxa"/>
            <w:noWrap/>
            <w:hideMark/>
          </w:tcPr>
          <w:p w14:paraId="1305B7B0"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17</w:t>
            </w:r>
          </w:p>
        </w:tc>
        <w:tc>
          <w:tcPr>
            <w:tcW w:w="1300" w:type="dxa"/>
            <w:noWrap/>
            <w:hideMark/>
          </w:tcPr>
          <w:p w14:paraId="5D64A56A"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12.4</w:t>
            </w:r>
          </w:p>
        </w:tc>
        <w:tc>
          <w:tcPr>
            <w:tcW w:w="1322" w:type="dxa"/>
            <w:noWrap/>
            <w:hideMark/>
          </w:tcPr>
          <w:p w14:paraId="792AC279"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9.89</w:t>
            </w:r>
          </w:p>
        </w:tc>
        <w:tc>
          <w:tcPr>
            <w:tcW w:w="1329" w:type="dxa"/>
            <w:tcBorders>
              <w:right w:val="single" w:sz="4" w:space="0" w:color="auto"/>
            </w:tcBorders>
            <w:noWrap/>
            <w:hideMark/>
          </w:tcPr>
          <w:p w14:paraId="78739C88"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14.91</w:t>
            </w:r>
          </w:p>
        </w:tc>
      </w:tr>
      <w:tr w:rsidR="009968E0" w:rsidRPr="009968E0" w14:paraId="70A8CF5A"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809" w:type="dxa"/>
            <w:tcBorders>
              <w:left w:val="single" w:sz="4" w:space="0" w:color="auto"/>
            </w:tcBorders>
            <w:noWrap/>
            <w:hideMark/>
          </w:tcPr>
          <w:p w14:paraId="39DB7F98" w14:textId="77777777" w:rsidR="009968E0" w:rsidRPr="009968E0" w:rsidRDefault="009968E0" w:rsidP="009968E0">
            <w:pPr>
              <w:rPr>
                <w:rFonts w:ascii="Calibri" w:eastAsia="Times New Roman" w:hAnsi="Calibri" w:cs="Calibri"/>
                <w:i/>
                <w:iCs/>
                <w:sz w:val="22"/>
                <w:szCs w:val="22"/>
                <w:lang w:eastAsia="en-GB"/>
              </w:rPr>
            </w:pPr>
          </w:p>
        </w:tc>
        <w:tc>
          <w:tcPr>
            <w:tcW w:w="1300" w:type="dxa"/>
            <w:noWrap/>
            <w:hideMark/>
          </w:tcPr>
          <w:p w14:paraId="34BAC149"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DPN</w:t>
            </w:r>
          </w:p>
        </w:tc>
        <w:tc>
          <w:tcPr>
            <w:tcW w:w="1300" w:type="dxa"/>
            <w:noWrap/>
            <w:hideMark/>
          </w:tcPr>
          <w:p w14:paraId="7B95E9E7"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20</w:t>
            </w:r>
          </w:p>
        </w:tc>
        <w:tc>
          <w:tcPr>
            <w:tcW w:w="1300" w:type="dxa"/>
            <w:noWrap/>
            <w:hideMark/>
          </w:tcPr>
          <w:p w14:paraId="413B41B2"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11.27</w:t>
            </w:r>
          </w:p>
        </w:tc>
        <w:tc>
          <w:tcPr>
            <w:tcW w:w="1322" w:type="dxa"/>
            <w:noWrap/>
            <w:hideMark/>
          </w:tcPr>
          <w:p w14:paraId="19543065"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9.02</w:t>
            </w:r>
          </w:p>
        </w:tc>
        <w:tc>
          <w:tcPr>
            <w:tcW w:w="1329" w:type="dxa"/>
            <w:tcBorders>
              <w:right w:val="single" w:sz="4" w:space="0" w:color="auto"/>
            </w:tcBorders>
            <w:noWrap/>
            <w:hideMark/>
          </w:tcPr>
          <w:p w14:paraId="4DD1474A"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13.52</w:t>
            </w:r>
          </w:p>
        </w:tc>
      </w:tr>
      <w:tr w:rsidR="009968E0" w:rsidRPr="009968E0" w14:paraId="7940A46E"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2809" w:type="dxa"/>
            <w:tcBorders>
              <w:left w:val="single" w:sz="4" w:space="0" w:color="auto"/>
            </w:tcBorders>
            <w:noWrap/>
            <w:hideMark/>
          </w:tcPr>
          <w:p w14:paraId="17279800" w14:textId="77777777" w:rsidR="009968E0" w:rsidRPr="009968E0" w:rsidRDefault="009968E0" w:rsidP="009968E0">
            <w:pPr>
              <w:rPr>
                <w:rFonts w:ascii="Calibri" w:eastAsia="Times New Roman" w:hAnsi="Calibri" w:cs="Calibri"/>
                <w:i/>
                <w:iCs/>
                <w:sz w:val="22"/>
                <w:szCs w:val="22"/>
                <w:lang w:eastAsia="en-GB"/>
              </w:rPr>
            </w:pPr>
          </w:p>
        </w:tc>
        <w:tc>
          <w:tcPr>
            <w:tcW w:w="1300" w:type="dxa"/>
            <w:noWrap/>
            <w:hideMark/>
          </w:tcPr>
          <w:p w14:paraId="64FEE57B"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DM-NN</w:t>
            </w:r>
          </w:p>
        </w:tc>
        <w:tc>
          <w:tcPr>
            <w:tcW w:w="1300" w:type="dxa"/>
            <w:noWrap/>
            <w:hideMark/>
          </w:tcPr>
          <w:p w14:paraId="21B68357"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12</w:t>
            </w:r>
          </w:p>
        </w:tc>
        <w:tc>
          <w:tcPr>
            <w:tcW w:w="1300" w:type="dxa"/>
            <w:noWrap/>
            <w:hideMark/>
          </w:tcPr>
          <w:p w14:paraId="71D96A68"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10.19</w:t>
            </w:r>
          </w:p>
        </w:tc>
        <w:tc>
          <w:tcPr>
            <w:tcW w:w="1322" w:type="dxa"/>
            <w:noWrap/>
            <w:hideMark/>
          </w:tcPr>
          <w:p w14:paraId="3CD414C3"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7.35</w:t>
            </w:r>
          </w:p>
        </w:tc>
        <w:tc>
          <w:tcPr>
            <w:tcW w:w="1329" w:type="dxa"/>
            <w:tcBorders>
              <w:right w:val="single" w:sz="4" w:space="0" w:color="auto"/>
            </w:tcBorders>
            <w:noWrap/>
            <w:hideMark/>
          </w:tcPr>
          <w:p w14:paraId="2F2D55C8"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13.04</w:t>
            </w:r>
          </w:p>
        </w:tc>
      </w:tr>
      <w:tr w:rsidR="009968E0" w:rsidRPr="009968E0" w14:paraId="334054EE"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809" w:type="dxa"/>
            <w:tcBorders>
              <w:left w:val="single" w:sz="4" w:space="0" w:color="auto"/>
            </w:tcBorders>
            <w:noWrap/>
            <w:hideMark/>
          </w:tcPr>
          <w:p w14:paraId="3FF11ACE" w14:textId="77777777" w:rsidR="009968E0" w:rsidRPr="009968E0" w:rsidRDefault="009968E0" w:rsidP="009968E0">
            <w:pPr>
              <w:rPr>
                <w:rFonts w:ascii="Calibri" w:eastAsia="Times New Roman" w:hAnsi="Calibri" w:cs="Calibri"/>
                <w:i/>
                <w:iCs/>
                <w:sz w:val="22"/>
                <w:szCs w:val="22"/>
                <w:lang w:eastAsia="en-GB"/>
              </w:rPr>
            </w:pPr>
          </w:p>
        </w:tc>
        <w:tc>
          <w:tcPr>
            <w:tcW w:w="1300" w:type="dxa"/>
            <w:noWrap/>
            <w:hideMark/>
          </w:tcPr>
          <w:p w14:paraId="1F9E1AA5"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HV</w:t>
            </w:r>
          </w:p>
        </w:tc>
        <w:tc>
          <w:tcPr>
            <w:tcW w:w="1300" w:type="dxa"/>
            <w:noWrap/>
            <w:hideMark/>
          </w:tcPr>
          <w:p w14:paraId="0F70DC33"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w:t>
            </w:r>
          </w:p>
        </w:tc>
        <w:tc>
          <w:tcPr>
            <w:tcW w:w="1300" w:type="dxa"/>
            <w:noWrap/>
            <w:hideMark/>
          </w:tcPr>
          <w:p w14:paraId="77BC431A"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w:t>
            </w:r>
          </w:p>
        </w:tc>
        <w:tc>
          <w:tcPr>
            <w:tcW w:w="1322" w:type="dxa"/>
            <w:noWrap/>
            <w:hideMark/>
          </w:tcPr>
          <w:p w14:paraId="0C672D97"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w:t>
            </w:r>
          </w:p>
        </w:tc>
        <w:tc>
          <w:tcPr>
            <w:tcW w:w="1329" w:type="dxa"/>
            <w:tcBorders>
              <w:right w:val="single" w:sz="4" w:space="0" w:color="auto"/>
            </w:tcBorders>
            <w:noWrap/>
            <w:hideMark/>
          </w:tcPr>
          <w:p w14:paraId="6D4CB81E"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w:t>
            </w:r>
          </w:p>
        </w:tc>
      </w:tr>
      <w:tr w:rsidR="009968E0" w:rsidRPr="009968E0" w14:paraId="157B4D8B"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2809" w:type="dxa"/>
            <w:tcBorders>
              <w:left w:val="single" w:sz="4" w:space="0" w:color="auto"/>
            </w:tcBorders>
            <w:noWrap/>
            <w:hideMark/>
          </w:tcPr>
          <w:p w14:paraId="4606F604"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V2 Blood glucose delta</w:t>
            </w:r>
          </w:p>
        </w:tc>
        <w:tc>
          <w:tcPr>
            <w:tcW w:w="1300" w:type="dxa"/>
            <w:noWrap/>
            <w:hideMark/>
          </w:tcPr>
          <w:p w14:paraId="1418E334"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P-DPN</w:t>
            </w:r>
          </w:p>
        </w:tc>
        <w:tc>
          <w:tcPr>
            <w:tcW w:w="1300" w:type="dxa"/>
            <w:noWrap/>
            <w:hideMark/>
          </w:tcPr>
          <w:p w14:paraId="19D0FD03"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17</w:t>
            </w:r>
          </w:p>
        </w:tc>
        <w:tc>
          <w:tcPr>
            <w:tcW w:w="1300" w:type="dxa"/>
            <w:noWrap/>
            <w:hideMark/>
          </w:tcPr>
          <w:p w14:paraId="01871BA2"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1.3294</w:t>
            </w:r>
          </w:p>
        </w:tc>
        <w:tc>
          <w:tcPr>
            <w:tcW w:w="1322" w:type="dxa"/>
            <w:noWrap/>
            <w:hideMark/>
          </w:tcPr>
          <w:p w14:paraId="373BCA87"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0.2394</w:t>
            </w:r>
          </w:p>
        </w:tc>
        <w:tc>
          <w:tcPr>
            <w:tcW w:w="1329" w:type="dxa"/>
            <w:tcBorders>
              <w:right w:val="single" w:sz="4" w:space="0" w:color="auto"/>
            </w:tcBorders>
            <w:noWrap/>
            <w:hideMark/>
          </w:tcPr>
          <w:p w14:paraId="0BD56B1F"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2.4195</w:t>
            </w:r>
          </w:p>
        </w:tc>
      </w:tr>
      <w:tr w:rsidR="009968E0" w:rsidRPr="009968E0" w14:paraId="1990A389"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809" w:type="dxa"/>
            <w:tcBorders>
              <w:left w:val="single" w:sz="4" w:space="0" w:color="auto"/>
            </w:tcBorders>
            <w:noWrap/>
            <w:hideMark/>
          </w:tcPr>
          <w:p w14:paraId="365A99B3" w14:textId="77777777" w:rsidR="009968E0" w:rsidRPr="009968E0" w:rsidRDefault="009968E0" w:rsidP="009968E0">
            <w:pPr>
              <w:rPr>
                <w:rFonts w:ascii="Calibri" w:eastAsia="Times New Roman" w:hAnsi="Calibri" w:cs="Calibri"/>
                <w:i/>
                <w:iCs/>
                <w:sz w:val="22"/>
                <w:szCs w:val="22"/>
                <w:lang w:eastAsia="en-GB"/>
              </w:rPr>
            </w:pPr>
          </w:p>
        </w:tc>
        <w:tc>
          <w:tcPr>
            <w:tcW w:w="1300" w:type="dxa"/>
            <w:noWrap/>
            <w:hideMark/>
          </w:tcPr>
          <w:p w14:paraId="4CC73773"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DPN</w:t>
            </w:r>
          </w:p>
        </w:tc>
        <w:tc>
          <w:tcPr>
            <w:tcW w:w="1300" w:type="dxa"/>
            <w:noWrap/>
            <w:hideMark/>
          </w:tcPr>
          <w:p w14:paraId="11A7254D"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20</w:t>
            </w:r>
          </w:p>
        </w:tc>
        <w:tc>
          <w:tcPr>
            <w:tcW w:w="1300" w:type="dxa"/>
            <w:noWrap/>
            <w:hideMark/>
          </w:tcPr>
          <w:p w14:paraId="544EAB60"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1.9555</w:t>
            </w:r>
          </w:p>
        </w:tc>
        <w:tc>
          <w:tcPr>
            <w:tcW w:w="1322" w:type="dxa"/>
            <w:noWrap/>
            <w:hideMark/>
          </w:tcPr>
          <w:p w14:paraId="691168C0"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0.4004</w:t>
            </w:r>
          </w:p>
        </w:tc>
        <w:tc>
          <w:tcPr>
            <w:tcW w:w="1329" w:type="dxa"/>
            <w:tcBorders>
              <w:right w:val="single" w:sz="4" w:space="0" w:color="auto"/>
            </w:tcBorders>
            <w:noWrap/>
            <w:hideMark/>
          </w:tcPr>
          <w:p w14:paraId="5BEC76A6"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3.5106</w:t>
            </w:r>
          </w:p>
        </w:tc>
      </w:tr>
      <w:tr w:rsidR="009968E0" w:rsidRPr="009968E0" w14:paraId="228EBFC2"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2809" w:type="dxa"/>
            <w:tcBorders>
              <w:left w:val="single" w:sz="4" w:space="0" w:color="auto"/>
            </w:tcBorders>
            <w:noWrap/>
            <w:hideMark/>
          </w:tcPr>
          <w:p w14:paraId="5CDE8174" w14:textId="77777777" w:rsidR="009968E0" w:rsidRPr="009968E0" w:rsidRDefault="009968E0" w:rsidP="009968E0">
            <w:pPr>
              <w:rPr>
                <w:rFonts w:ascii="Calibri" w:eastAsia="Times New Roman" w:hAnsi="Calibri" w:cs="Calibri"/>
                <w:i/>
                <w:iCs/>
                <w:sz w:val="22"/>
                <w:szCs w:val="22"/>
                <w:lang w:eastAsia="en-GB"/>
              </w:rPr>
            </w:pPr>
          </w:p>
        </w:tc>
        <w:tc>
          <w:tcPr>
            <w:tcW w:w="1300" w:type="dxa"/>
            <w:noWrap/>
            <w:hideMark/>
          </w:tcPr>
          <w:p w14:paraId="5F19324E"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DM-NN</w:t>
            </w:r>
          </w:p>
        </w:tc>
        <w:tc>
          <w:tcPr>
            <w:tcW w:w="1300" w:type="dxa"/>
            <w:noWrap/>
            <w:hideMark/>
          </w:tcPr>
          <w:p w14:paraId="64ABBB24"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12</w:t>
            </w:r>
          </w:p>
        </w:tc>
        <w:tc>
          <w:tcPr>
            <w:tcW w:w="1300" w:type="dxa"/>
            <w:noWrap/>
            <w:hideMark/>
          </w:tcPr>
          <w:p w14:paraId="2B3747FE"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3.6917</w:t>
            </w:r>
          </w:p>
        </w:tc>
        <w:tc>
          <w:tcPr>
            <w:tcW w:w="1322" w:type="dxa"/>
            <w:noWrap/>
            <w:hideMark/>
          </w:tcPr>
          <w:p w14:paraId="02D1B50B"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0.9355</w:t>
            </w:r>
          </w:p>
        </w:tc>
        <w:tc>
          <w:tcPr>
            <w:tcW w:w="1329" w:type="dxa"/>
            <w:tcBorders>
              <w:right w:val="single" w:sz="4" w:space="0" w:color="auto"/>
            </w:tcBorders>
            <w:noWrap/>
            <w:hideMark/>
          </w:tcPr>
          <w:p w14:paraId="421B0B56"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6.4478</w:t>
            </w:r>
          </w:p>
        </w:tc>
      </w:tr>
      <w:tr w:rsidR="009968E0" w:rsidRPr="009968E0" w14:paraId="1B12B5C9"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809" w:type="dxa"/>
            <w:tcBorders>
              <w:left w:val="single" w:sz="4" w:space="0" w:color="auto"/>
            </w:tcBorders>
            <w:noWrap/>
            <w:hideMark/>
          </w:tcPr>
          <w:p w14:paraId="595F33F7" w14:textId="77777777" w:rsidR="009968E0" w:rsidRPr="009968E0" w:rsidRDefault="009968E0" w:rsidP="009968E0">
            <w:pPr>
              <w:rPr>
                <w:rFonts w:ascii="Calibri" w:eastAsia="Times New Roman" w:hAnsi="Calibri" w:cs="Calibri"/>
                <w:i/>
                <w:iCs/>
                <w:sz w:val="22"/>
                <w:szCs w:val="22"/>
                <w:lang w:eastAsia="en-GB"/>
              </w:rPr>
            </w:pPr>
          </w:p>
        </w:tc>
        <w:tc>
          <w:tcPr>
            <w:tcW w:w="1300" w:type="dxa"/>
            <w:noWrap/>
            <w:hideMark/>
          </w:tcPr>
          <w:p w14:paraId="3459774D"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HV</w:t>
            </w:r>
          </w:p>
        </w:tc>
        <w:tc>
          <w:tcPr>
            <w:tcW w:w="1300" w:type="dxa"/>
            <w:noWrap/>
            <w:hideMark/>
          </w:tcPr>
          <w:p w14:paraId="6742A661"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w:t>
            </w:r>
          </w:p>
        </w:tc>
        <w:tc>
          <w:tcPr>
            <w:tcW w:w="1300" w:type="dxa"/>
            <w:noWrap/>
            <w:hideMark/>
          </w:tcPr>
          <w:p w14:paraId="02F5B62D"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w:t>
            </w:r>
          </w:p>
        </w:tc>
        <w:tc>
          <w:tcPr>
            <w:tcW w:w="1322" w:type="dxa"/>
            <w:noWrap/>
            <w:hideMark/>
          </w:tcPr>
          <w:p w14:paraId="275A9525"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w:t>
            </w:r>
          </w:p>
        </w:tc>
        <w:tc>
          <w:tcPr>
            <w:tcW w:w="1329" w:type="dxa"/>
            <w:tcBorders>
              <w:right w:val="single" w:sz="4" w:space="0" w:color="auto"/>
            </w:tcBorders>
            <w:noWrap/>
            <w:hideMark/>
          </w:tcPr>
          <w:p w14:paraId="59187A25"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w:t>
            </w:r>
          </w:p>
        </w:tc>
      </w:tr>
      <w:tr w:rsidR="009968E0" w:rsidRPr="009968E0" w14:paraId="27CEEBDA"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2809" w:type="dxa"/>
            <w:tcBorders>
              <w:left w:val="single" w:sz="4" w:space="0" w:color="auto"/>
            </w:tcBorders>
            <w:noWrap/>
            <w:hideMark/>
          </w:tcPr>
          <w:p w14:paraId="37D4996A" w14:textId="6FF5E10B"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V3 blood gl</w:t>
            </w:r>
            <w:r w:rsidR="001C41BA">
              <w:rPr>
                <w:rFonts w:ascii="Calibri" w:eastAsia="Times New Roman" w:hAnsi="Calibri" w:cs="Calibri"/>
                <w:i/>
                <w:iCs/>
                <w:sz w:val="22"/>
                <w:szCs w:val="22"/>
                <w:lang w:eastAsia="en-GB"/>
              </w:rPr>
              <w:t>uc</w:t>
            </w:r>
            <w:r w:rsidRPr="009968E0">
              <w:rPr>
                <w:rFonts w:ascii="Calibri" w:eastAsia="Times New Roman" w:hAnsi="Calibri" w:cs="Calibri"/>
                <w:i/>
                <w:iCs/>
                <w:sz w:val="22"/>
                <w:szCs w:val="22"/>
                <w:lang w:eastAsia="en-GB"/>
              </w:rPr>
              <w:t>ose arrival</w:t>
            </w:r>
          </w:p>
        </w:tc>
        <w:tc>
          <w:tcPr>
            <w:tcW w:w="1300" w:type="dxa"/>
            <w:noWrap/>
            <w:hideMark/>
          </w:tcPr>
          <w:p w14:paraId="720E5697"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P-DPN</w:t>
            </w:r>
          </w:p>
        </w:tc>
        <w:tc>
          <w:tcPr>
            <w:tcW w:w="1300" w:type="dxa"/>
            <w:noWrap/>
            <w:hideMark/>
          </w:tcPr>
          <w:p w14:paraId="2B1CCBF4"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w:t>
            </w:r>
          </w:p>
        </w:tc>
        <w:tc>
          <w:tcPr>
            <w:tcW w:w="1300" w:type="dxa"/>
            <w:noWrap/>
            <w:hideMark/>
          </w:tcPr>
          <w:p w14:paraId="0AC9151A"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12.79</w:t>
            </w:r>
          </w:p>
        </w:tc>
        <w:tc>
          <w:tcPr>
            <w:tcW w:w="1322" w:type="dxa"/>
            <w:noWrap/>
            <w:hideMark/>
          </w:tcPr>
          <w:p w14:paraId="5F3B4888"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10.71</w:t>
            </w:r>
          </w:p>
        </w:tc>
        <w:tc>
          <w:tcPr>
            <w:tcW w:w="1329" w:type="dxa"/>
            <w:tcBorders>
              <w:right w:val="single" w:sz="4" w:space="0" w:color="auto"/>
            </w:tcBorders>
            <w:noWrap/>
            <w:hideMark/>
          </w:tcPr>
          <w:p w14:paraId="005A6B31"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14.88</w:t>
            </w:r>
          </w:p>
        </w:tc>
      </w:tr>
      <w:tr w:rsidR="009968E0" w:rsidRPr="009968E0" w14:paraId="6FB0ABA6"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809" w:type="dxa"/>
            <w:tcBorders>
              <w:left w:val="single" w:sz="4" w:space="0" w:color="auto"/>
            </w:tcBorders>
            <w:noWrap/>
            <w:hideMark/>
          </w:tcPr>
          <w:p w14:paraId="483AD4C0" w14:textId="77777777" w:rsidR="009968E0" w:rsidRPr="009968E0" w:rsidRDefault="009968E0" w:rsidP="009968E0">
            <w:pPr>
              <w:rPr>
                <w:rFonts w:ascii="Calibri" w:eastAsia="Times New Roman" w:hAnsi="Calibri" w:cs="Calibri"/>
                <w:i/>
                <w:iCs/>
                <w:sz w:val="22"/>
                <w:szCs w:val="22"/>
                <w:lang w:eastAsia="en-GB"/>
              </w:rPr>
            </w:pPr>
          </w:p>
        </w:tc>
        <w:tc>
          <w:tcPr>
            <w:tcW w:w="1300" w:type="dxa"/>
            <w:noWrap/>
            <w:hideMark/>
          </w:tcPr>
          <w:p w14:paraId="1400A7B7"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DPN</w:t>
            </w:r>
          </w:p>
        </w:tc>
        <w:tc>
          <w:tcPr>
            <w:tcW w:w="1300" w:type="dxa"/>
            <w:noWrap/>
            <w:hideMark/>
          </w:tcPr>
          <w:p w14:paraId="782EC269"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23</w:t>
            </w:r>
          </w:p>
        </w:tc>
        <w:tc>
          <w:tcPr>
            <w:tcW w:w="1300" w:type="dxa"/>
            <w:noWrap/>
            <w:hideMark/>
          </w:tcPr>
          <w:p w14:paraId="34E5396B"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11.36</w:t>
            </w:r>
          </w:p>
        </w:tc>
        <w:tc>
          <w:tcPr>
            <w:tcW w:w="1322" w:type="dxa"/>
            <w:noWrap/>
            <w:hideMark/>
          </w:tcPr>
          <w:p w14:paraId="58D8A0B3"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9.56</w:t>
            </w:r>
          </w:p>
        </w:tc>
        <w:tc>
          <w:tcPr>
            <w:tcW w:w="1329" w:type="dxa"/>
            <w:tcBorders>
              <w:right w:val="single" w:sz="4" w:space="0" w:color="auto"/>
            </w:tcBorders>
            <w:noWrap/>
            <w:hideMark/>
          </w:tcPr>
          <w:p w14:paraId="0999E346"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13.16</w:t>
            </w:r>
          </w:p>
        </w:tc>
      </w:tr>
      <w:tr w:rsidR="009968E0" w:rsidRPr="009968E0" w14:paraId="3A94BB7C"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2809" w:type="dxa"/>
            <w:tcBorders>
              <w:left w:val="single" w:sz="4" w:space="0" w:color="auto"/>
            </w:tcBorders>
            <w:noWrap/>
            <w:hideMark/>
          </w:tcPr>
          <w:p w14:paraId="67B5FA7C" w14:textId="77777777" w:rsidR="009968E0" w:rsidRPr="009968E0" w:rsidRDefault="009968E0" w:rsidP="009968E0">
            <w:pPr>
              <w:rPr>
                <w:rFonts w:ascii="Calibri" w:eastAsia="Times New Roman" w:hAnsi="Calibri" w:cs="Calibri"/>
                <w:i/>
                <w:iCs/>
                <w:sz w:val="22"/>
                <w:szCs w:val="22"/>
                <w:lang w:eastAsia="en-GB"/>
              </w:rPr>
            </w:pPr>
          </w:p>
        </w:tc>
        <w:tc>
          <w:tcPr>
            <w:tcW w:w="1300" w:type="dxa"/>
            <w:noWrap/>
            <w:hideMark/>
          </w:tcPr>
          <w:p w14:paraId="4B575890"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DM-NN</w:t>
            </w:r>
          </w:p>
        </w:tc>
        <w:tc>
          <w:tcPr>
            <w:tcW w:w="1300" w:type="dxa"/>
            <w:noWrap/>
            <w:hideMark/>
          </w:tcPr>
          <w:p w14:paraId="70ED6D44"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w:t>
            </w:r>
          </w:p>
        </w:tc>
        <w:tc>
          <w:tcPr>
            <w:tcW w:w="1300" w:type="dxa"/>
            <w:noWrap/>
            <w:hideMark/>
          </w:tcPr>
          <w:p w14:paraId="5F85CB8D"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13.62</w:t>
            </w:r>
          </w:p>
        </w:tc>
        <w:tc>
          <w:tcPr>
            <w:tcW w:w="1322" w:type="dxa"/>
            <w:noWrap/>
            <w:hideMark/>
          </w:tcPr>
          <w:p w14:paraId="2ADED82F"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10.82</w:t>
            </w:r>
          </w:p>
        </w:tc>
        <w:tc>
          <w:tcPr>
            <w:tcW w:w="1329" w:type="dxa"/>
            <w:tcBorders>
              <w:right w:val="single" w:sz="4" w:space="0" w:color="auto"/>
            </w:tcBorders>
            <w:noWrap/>
            <w:hideMark/>
          </w:tcPr>
          <w:p w14:paraId="4218557F"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16.43</w:t>
            </w:r>
          </w:p>
        </w:tc>
      </w:tr>
      <w:tr w:rsidR="009968E0" w:rsidRPr="009968E0" w14:paraId="4F1CED40"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809" w:type="dxa"/>
            <w:tcBorders>
              <w:left w:val="single" w:sz="4" w:space="0" w:color="auto"/>
            </w:tcBorders>
            <w:noWrap/>
            <w:hideMark/>
          </w:tcPr>
          <w:p w14:paraId="76E94F6C" w14:textId="77777777" w:rsidR="009968E0" w:rsidRPr="009968E0" w:rsidRDefault="009968E0" w:rsidP="009968E0">
            <w:pPr>
              <w:rPr>
                <w:rFonts w:ascii="Calibri" w:eastAsia="Times New Roman" w:hAnsi="Calibri" w:cs="Calibri"/>
                <w:i/>
                <w:iCs/>
                <w:sz w:val="22"/>
                <w:szCs w:val="22"/>
                <w:lang w:eastAsia="en-GB"/>
              </w:rPr>
            </w:pPr>
          </w:p>
        </w:tc>
        <w:tc>
          <w:tcPr>
            <w:tcW w:w="1300" w:type="dxa"/>
            <w:noWrap/>
            <w:hideMark/>
          </w:tcPr>
          <w:p w14:paraId="6F98D818"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HV</w:t>
            </w:r>
          </w:p>
        </w:tc>
        <w:tc>
          <w:tcPr>
            <w:tcW w:w="1300" w:type="dxa"/>
            <w:noWrap/>
            <w:hideMark/>
          </w:tcPr>
          <w:p w14:paraId="55A70648"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w:t>
            </w:r>
          </w:p>
        </w:tc>
        <w:tc>
          <w:tcPr>
            <w:tcW w:w="1300" w:type="dxa"/>
            <w:noWrap/>
            <w:hideMark/>
          </w:tcPr>
          <w:p w14:paraId="03A8D1D9"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w:t>
            </w:r>
          </w:p>
        </w:tc>
        <w:tc>
          <w:tcPr>
            <w:tcW w:w="1322" w:type="dxa"/>
            <w:noWrap/>
            <w:hideMark/>
          </w:tcPr>
          <w:p w14:paraId="7E873590"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w:t>
            </w:r>
          </w:p>
        </w:tc>
        <w:tc>
          <w:tcPr>
            <w:tcW w:w="1329" w:type="dxa"/>
            <w:tcBorders>
              <w:right w:val="single" w:sz="4" w:space="0" w:color="auto"/>
            </w:tcBorders>
            <w:noWrap/>
            <w:hideMark/>
          </w:tcPr>
          <w:p w14:paraId="241EDD4F"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w:t>
            </w:r>
          </w:p>
        </w:tc>
      </w:tr>
      <w:tr w:rsidR="009968E0" w:rsidRPr="009968E0" w14:paraId="11477457"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2809" w:type="dxa"/>
            <w:tcBorders>
              <w:left w:val="single" w:sz="4" w:space="0" w:color="auto"/>
            </w:tcBorders>
            <w:noWrap/>
            <w:hideMark/>
          </w:tcPr>
          <w:p w14:paraId="23C68A04"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blood glucose departure</w:t>
            </w:r>
          </w:p>
        </w:tc>
        <w:tc>
          <w:tcPr>
            <w:tcW w:w="1300" w:type="dxa"/>
            <w:noWrap/>
            <w:hideMark/>
          </w:tcPr>
          <w:p w14:paraId="12A98629"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P-DPN</w:t>
            </w:r>
          </w:p>
        </w:tc>
        <w:tc>
          <w:tcPr>
            <w:tcW w:w="1300" w:type="dxa"/>
            <w:noWrap/>
            <w:hideMark/>
          </w:tcPr>
          <w:p w14:paraId="0C8C8A0C"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15</w:t>
            </w:r>
          </w:p>
        </w:tc>
        <w:tc>
          <w:tcPr>
            <w:tcW w:w="1300" w:type="dxa"/>
            <w:noWrap/>
            <w:hideMark/>
          </w:tcPr>
          <w:p w14:paraId="069895DA"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10.32</w:t>
            </w:r>
          </w:p>
        </w:tc>
        <w:tc>
          <w:tcPr>
            <w:tcW w:w="1322" w:type="dxa"/>
            <w:noWrap/>
            <w:hideMark/>
          </w:tcPr>
          <w:p w14:paraId="26B9751C"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8.07</w:t>
            </w:r>
          </w:p>
        </w:tc>
        <w:tc>
          <w:tcPr>
            <w:tcW w:w="1329" w:type="dxa"/>
            <w:tcBorders>
              <w:right w:val="single" w:sz="4" w:space="0" w:color="auto"/>
            </w:tcBorders>
            <w:noWrap/>
            <w:hideMark/>
          </w:tcPr>
          <w:p w14:paraId="33CE6D64"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12.57</w:t>
            </w:r>
          </w:p>
        </w:tc>
      </w:tr>
      <w:tr w:rsidR="009968E0" w:rsidRPr="009968E0" w14:paraId="1115DB5E"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809" w:type="dxa"/>
            <w:tcBorders>
              <w:left w:val="single" w:sz="4" w:space="0" w:color="auto"/>
            </w:tcBorders>
            <w:noWrap/>
            <w:hideMark/>
          </w:tcPr>
          <w:p w14:paraId="7D46ED5E" w14:textId="77777777" w:rsidR="009968E0" w:rsidRPr="009968E0" w:rsidRDefault="009968E0" w:rsidP="009968E0">
            <w:pPr>
              <w:rPr>
                <w:rFonts w:ascii="Calibri" w:eastAsia="Times New Roman" w:hAnsi="Calibri" w:cs="Calibri"/>
                <w:i/>
                <w:iCs/>
                <w:sz w:val="22"/>
                <w:szCs w:val="22"/>
                <w:lang w:eastAsia="en-GB"/>
              </w:rPr>
            </w:pPr>
          </w:p>
        </w:tc>
        <w:tc>
          <w:tcPr>
            <w:tcW w:w="1300" w:type="dxa"/>
            <w:noWrap/>
            <w:hideMark/>
          </w:tcPr>
          <w:p w14:paraId="250D1F18"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DPN</w:t>
            </w:r>
          </w:p>
        </w:tc>
        <w:tc>
          <w:tcPr>
            <w:tcW w:w="1300" w:type="dxa"/>
            <w:noWrap/>
            <w:hideMark/>
          </w:tcPr>
          <w:p w14:paraId="036E9D96"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w:t>
            </w:r>
          </w:p>
        </w:tc>
        <w:tc>
          <w:tcPr>
            <w:tcW w:w="1300" w:type="dxa"/>
            <w:noWrap/>
            <w:hideMark/>
          </w:tcPr>
          <w:p w14:paraId="45A02A01"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9.37</w:t>
            </w:r>
          </w:p>
        </w:tc>
        <w:tc>
          <w:tcPr>
            <w:tcW w:w="1322" w:type="dxa"/>
            <w:noWrap/>
            <w:hideMark/>
          </w:tcPr>
          <w:p w14:paraId="2C785024"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7.05</w:t>
            </w:r>
          </w:p>
        </w:tc>
        <w:tc>
          <w:tcPr>
            <w:tcW w:w="1329" w:type="dxa"/>
            <w:tcBorders>
              <w:right w:val="single" w:sz="4" w:space="0" w:color="auto"/>
            </w:tcBorders>
            <w:noWrap/>
            <w:hideMark/>
          </w:tcPr>
          <w:p w14:paraId="1EA73E83"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11.69</w:t>
            </w:r>
          </w:p>
        </w:tc>
      </w:tr>
      <w:tr w:rsidR="009968E0" w:rsidRPr="009968E0" w14:paraId="6D19D83B"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2809" w:type="dxa"/>
            <w:tcBorders>
              <w:left w:val="single" w:sz="4" w:space="0" w:color="auto"/>
            </w:tcBorders>
            <w:noWrap/>
            <w:hideMark/>
          </w:tcPr>
          <w:p w14:paraId="0E8D6C55" w14:textId="77777777" w:rsidR="009968E0" w:rsidRPr="009968E0" w:rsidRDefault="009968E0" w:rsidP="009968E0">
            <w:pPr>
              <w:rPr>
                <w:rFonts w:ascii="Calibri" w:eastAsia="Times New Roman" w:hAnsi="Calibri" w:cs="Calibri"/>
                <w:i/>
                <w:iCs/>
                <w:sz w:val="22"/>
                <w:szCs w:val="22"/>
                <w:lang w:eastAsia="en-GB"/>
              </w:rPr>
            </w:pPr>
          </w:p>
        </w:tc>
        <w:tc>
          <w:tcPr>
            <w:tcW w:w="1300" w:type="dxa"/>
            <w:noWrap/>
            <w:hideMark/>
          </w:tcPr>
          <w:p w14:paraId="6281C1C8"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DM-NN</w:t>
            </w:r>
          </w:p>
        </w:tc>
        <w:tc>
          <w:tcPr>
            <w:tcW w:w="1300" w:type="dxa"/>
            <w:noWrap/>
            <w:hideMark/>
          </w:tcPr>
          <w:p w14:paraId="26F40BBF"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w:t>
            </w:r>
          </w:p>
        </w:tc>
        <w:tc>
          <w:tcPr>
            <w:tcW w:w="1300" w:type="dxa"/>
            <w:noWrap/>
            <w:hideMark/>
          </w:tcPr>
          <w:p w14:paraId="7B735C0D"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10.28</w:t>
            </w:r>
          </w:p>
        </w:tc>
        <w:tc>
          <w:tcPr>
            <w:tcW w:w="1322" w:type="dxa"/>
            <w:noWrap/>
            <w:hideMark/>
          </w:tcPr>
          <w:p w14:paraId="139F4B5F"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8.19</w:t>
            </w:r>
          </w:p>
        </w:tc>
        <w:tc>
          <w:tcPr>
            <w:tcW w:w="1329" w:type="dxa"/>
            <w:tcBorders>
              <w:right w:val="single" w:sz="4" w:space="0" w:color="auto"/>
            </w:tcBorders>
            <w:noWrap/>
            <w:hideMark/>
          </w:tcPr>
          <w:p w14:paraId="611B3DAC"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12.36</w:t>
            </w:r>
          </w:p>
        </w:tc>
      </w:tr>
      <w:tr w:rsidR="009968E0" w:rsidRPr="009968E0" w14:paraId="59FBC908"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809" w:type="dxa"/>
            <w:tcBorders>
              <w:left w:val="single" w:sz="4" w:space="0" w:color="auto"/>
            </w:tcBorders>
            <w:noWrap/>
            <w:hideMark/>
          </w:tcPr>
          <w:p w14:paraId="13894D17" w14:textId="77777777" w:rsidR="009968E0" w:rsidRPr="009968E0" w:rsidRDefault="009968E0" w:rsidP="009968E0">
            <w:pPr>
              <w:rPr>
                <w:rFonts w:ascii="Calibri" w:eastAsia="Times New Roman" w:hAnsi="Calibri" w:cs="Calibri"/>
                <w:i/>
                <w:iCs/>
                <w:sz w:val="22"/>
                <w:szCs w:val="22"/>
                <w:lang w:eastAsia="en-GB"/>
              </w:rPr>
            </w:pPr>
          </w:p>
        </w:tc>
        <w:tc>
          <w:tcPr>
            <w:tcW w:w="1300" w:type="dxa"/>
            <w:noWrap/>
            <w:hideMark/>
          </w:tcPr>
          <w:p w14:paraId="155F365D"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HV</w:t>
            </w:r>
          </w:p>
        </w:tc>
        <w:tc>
          <w:tcPr>
            <w:tcW w:w="1300" w:type="dxa"/>
            <w:noWrap/>
            <w:hideMark/>
          </w:tcPr>
          <w:p w14:paraId="00B53A72"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w:t>
            </w:r>
          </w:p>
        </w:tc>
        <w:tc>
          <w:tcPr>
            <w:tcW w:w="1300" w:type="dxa"/>
            <w:noWrap/>
            <w:hideMark/>
          </w:tcPr>
          <w:p w14:paraId="438FE4C8"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w:t>
            </w:r>
          </w:p>
        </w:tc>
        <w:tc>
          <w:tcPr>
            <w:tcW w:w="1322" w:type="dxa"/>
            <w:noWrap/>
            <w:hideMark/>
          </w:tcPr>
          <w:p w14:paraId="02489D6F"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w:t>
            </w:r>
          </w:p>
        </w:tc>
        <w:tc>
          <w:tcPr>
            <w:tcW w:w="1329" w:type="dxa"/>
            <w:tcBorders>
              <w:right w:val="single" w:sz="4" w:space="0" w:color="auto"/>
            </w:tcBorders>
            <w:noWrap/>
            <w:hideMark/>
          </w:tcPr>
          <w:p w14:paraId="36CC62EC"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w:t>
            </w:r>
          </w:p>
        </w:tc>
      </w:tr>
      <w:tr w:rsidR="009968E0" w:rsidRPr="009968E0" w14:paraId="72AC29A5"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2809" w:type="dxa"/>
            <w:tcBorders>
              <w:left w:val="single" w:sz="4" w:space="0" w:color="auto"/>
            </w:tcBorders>
            <w:noWrap/>
            <w:hideMark/>
          </w:tcPr>
          <w:p w14:paraId="2B5C2BD2"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V3 blood glucose delta</w:t>
            </w:r>
          </w:p>
        </w:tc>
        <w:tc>
          <w:tcPr>
            <w:tcW w:w="1300" w:type="dxa"/>
            <w:noWrap/>
            <w:hideMark/>
          </w:tcPr>
          <w:p w14:paraId="0A09F10F"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P-DPN</w:t>
            </w:r>
          </w:p>
        </w:tc>
        <w:tc>
          <w:tcPr>
            <w:tcW w:w="1300" w:type="dxa"/>
            <w:noWrap/>
            <w:hideMark/>
          </w:tcPr>
          <w:p w14:paraId="3A7170CA"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15</w:t>
            </w:r>
          </w:p>
        </w:tc>
        <w:tc>
          <w:tcPr>
            <w:tcW w:w="1300" w:type="dxa"/>
            <w:noWrap/>
            <w:hideMark/>
          </w:tcPr>
          <w:p w14:paraId="2D00D2E5"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2.6</w:t>
            </w:r>
          </w:p>
        </w:tc>
        <w:tc>
          <w:tcPr>
            <w:tcW w:w="1322" w:type="dxa"/>
            <w:noWrap/>
            <w:hideMark/>
          </w:tcPr>
          <w:p w14:paraId="13A7690C"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0.1755</w:t>
            </w:r>
          </w:p>
        </w:tc>
        <w:tc>
          <w:tcPr>
            <w:tcW w:w="1329" w:type="dxa"/>
            <w:tcBorders>
              <w:right w:val="single" w:sz="4" w:space="0" w:color="auto"/>
            </w:tcBorders>
            <w:noWrap/>
            <w:hideMark/>
          </w:tcPr>
          <w:p w14:paraId="18759A46"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5.0245</w:t>
            </w:r>
          </w:p>
        </w:tc>
      </w:tr>
      <w:tr w:rsidR="009968E0" w:rsidRPr="009968E0" w14:paraId="60576D84"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809" w:type="dxa"/>
            <w:tcBorders>
              <w:left w:val="single" w:sz="4" w:space="0" w:color="auto"/>
            </w:tcBorders>
            <w:noWrap/>
            <w:hideMark/>
          </w:tcPr>
          <w:p w14:paraId="51C6A450" w14:textId="77777777" w:rsidR="009968E0" w:rsidRPr="009968E0" w:rsidRDefault="009968E0" w:rsidP="009968E0">
            <w:pPr>
              <w:rPr>
                <w:rFonts w:ascii="Calibri" w:eastAsia="Times New Roman" w:hAnsi="Calibri" w:cs="Calibri"/>
                <w:i/>
                <w:iCs/>
                <w:sz w:val="22"/>
                <w:szCs w:val="22"/>
                <w:lang w:eastAsia="en-GB"/>
              </w:rPr>
            </w:pPr>
          </w:p>
        </w:tc>
        <w:tc>
          <w:tcPr>
            <w:tcW w:w="1300" w:type="dxa"/>
            <w:noWrap/>
            <w:hideMark/>
          </w:tcPr>
          <w:p w14:paraId="4C9A7730"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DPN</w:t>
            </w:r>
          </w:p>
        </w:tc>
        <w:tc>
          <w:tcPr>
            <w:tcW w:w="1300" w:type="dxa"/>
            <w:noWrap/>
            <w:hideMark/>
          </w:tcPr>
          <w:p w14:paraId="5CDB5C61"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w:t>
            </w:r>
          </w:p>
        </w:tc>
        <w:tc>
          <w:tcPr>
            <w:tcW w:w="1300" w:type="dxa"/>
            <w:noWrap/>
            <w:hideMark/>
          </w:tcPr>
          <w:p w14:paraId="6673DD50"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2.0437</w:t>
            </w:r>
          </w:p>
        </w:tc>
        <w:tc>
          <w:tcPr>
            <w:tcW w:w="1322" w:type="dxa"/>
            <w:noWrap/>
            <w:hideMark/>
          </w:tcPr>
          <w:p w14:paraId="05FE2B5F"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0.4268</w:t>
            </w:r>
          </w:p>
        </w:tc>
        <w:tc>
          <w:tcPr>
            <w:tcW w:w="1329" w:type="dxa"/>
            <w:tcBorders>
              <w:right w:val="single" w:sz="4" w:space="0" w:color="auto"/>
            </w:tcBorders>
            <w:noWrap/>
            <w:hideMark/>
          </w:tcPr>
          <w:p w14:paraId="02D27ECF"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3.6606</w:t>
            </w:r>
          </w:p>
        </w:tc>
      </w:tr>
      <w:tr w:rsidR="009968E0" w:rsidRPr="009968E0" w14:paraId="7A51817B"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2809" w:type="dxa"/>
            <w:tcBorders>
              <w:left w:val="single" w:sz="4" w:space="0" w:color="auto"/>
            </w:tcBorders>
            <w:noWrap/>
            <w:hideMark/>
          </w:tcPr>
          <w:p w14:paraId="15114224" w14:textId="77777777" w:rsidR="009968E0" w:rsidRPr="009968E0" w:rsidRDefault="009968E0" w:rsidP="009968E0">
            <w:pPr>
              <w:rPr>
                <w:rFonts w:ascii="Calibri" w:eastAsia="Times New Roman" w:hAnsi="Calibri" w:cs="Calibri"/>
                <w:i/>
                <w:iCs/>
                <w:sz w:val="22"/>
                <w:szCs w:val="22"/>
                <w:lang w:eastAsia="en-GB"/>
              </w:rPr>
            </w:pPr>
          </w:p>
        </w:tc>
        <w:tc>
          <w:tcPr>
            <w:tcW w:w="1300" w:type="dxa"/>
            <w:noWrap/>
            <w:hideMark/>
          </w:tcPr>
          <w:p w14:paraId="522319BF"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DM-NN</w:t>
            </w:r>
          </w:p>
        </w:tc>
        <w:tc>
          <w:tcPr>
            <w:tcW w:w="1300" w:type="dxa"/>
            <w:noWrap/>
            <w:hideMark/>
          </w:tcPr>
          <w:p w14:paraId="279F96D8"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w:t>
            </w:r>
          </w:p>
        </w:tc>
        <w:tc>
          <w:tcPr>
            <w:tcW w:w="1300" w:type="dxa"/>
            <w:noWrap/>
            <w:hideMark/>
          </w:tcPr>
          <w:p w14:paraId="306AA9DF"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3.7244</w:t>
            </w:r>
          </w:p>
        </w:tc>
        <w:tc>
          <w:tcPr>
            <w:tcW w:w="1322" w:type="dxa"/>
            <w:noWrap/>
            <w:hideMark/>
          </w:tcPr>
          <w:p w14:paraId="07039BD8"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1.3918</w:t>
            </w:r>
          </w:p>
        </w:tc>
        <w:tc>
          <w:tcPr>
            <w:tcW w:w="1329" w:type="dxa"/>
            <w:tcBorders>
              <w:right w:val="single" w:sz="4" w:space="0" w:color="auto"/>
            </w:tcBorders>
            <w:noWrap/>
            <w:hideMark/>
          </w:tcPr>
          <w:p w14:paraId="307E5A0D"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6.0571</w:t>
            </w:r>
          </w:p>
        </w:tc>
      </w:tr>
      <w:tr w:rsidR="009968E0" w:rsidRPr="009968E0" w14:paraId="06BE0405"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809" w:type="dxa"/>
            <w:tcBorders>
              <w:left w:val="single" w:sz="4" w:space="0" w:color="auto"/>
            </w:tcBorders>
            <w:noWrap/>
            <w:hideMark/>
          </w:tcPr>
          <w:p w14:paraId="23E146F1" w14:textId="77777777" w:rsidR="009968E0" w:rsidRPr="009968E0" w:rsidRDefault="009968E0" w:rsidP="009968E0">
            <w:pPr>
              <w:rPr>
                <w:rFonts w:ascii="Calibri" w:eastAsia="Times New Roman" w:hAnsi="Calibri" w:cs="Calibri"/>
                <w:i/>
                <w:iCs/>
                <w:sz w:val="22"/>
                <w:szCs w:val="22"/>
                <w:lang w:eastAsia="en-GB"/>
              </w:rPr>
            </w:pPr>
          </w:p>
        </w:tc>
        <w:tc>
          <w:tcPr>
            <w:tcW w:w="1300" w:type="dxa"/>
            <w:noWrap/>
            <w:hideMark/>
          </w:tcPr>
          <w:p w14:paraId="146B5DC0"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HV</w:t>
            </w:r>
          </w:p>
        </w:tc>
        <w:tc>
          <w:tcPr>
            <w:tcW w:w="1300" w:type="dxa"/>
            <w:noWrap/>
            <w:hideMark/>
          </w:tcPr>
          <w:p w14:paraId="75F84C30"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w:t>
            </w:r>
          </w:p>
        </w:tc>
        <w:tc>
          <w:tcPr>
            <w:tcW w:w="1300" w:type="dxa"/>
            <w:noWrap/>
            <w:hideMark/>
          </w:tcPr>
          <w:p w14:paraId="518FCB8B"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w:t>
            </w:r>
          </w:p>
        </w:tc>
        <w:tc>
          <w:tcPr>
            <w:tcW w:w="1322" w:type="dxa"/>
            <w:noWrap/>
            <w:hideMark/>
          </w:tcPr>
          <w:p w14:paraId="148061F3"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w:t>
            </w:r>
          </w:p>
        </w:tc>
        <w:tc>
          <w:tcPr>
            <w:tcW w:w="1329" w:type="dxa"/>
            <w:tcBorders>
              <w:right w:val="single" w:sz="4" w:space="0" w:color="auto"/>
            </w:tcBorders>
            <w:noWrap/>
            <w:hideMark/>
          </w:tcPr>
          <w:p w14:paraId="1C3A6193"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w:t>
            </w:r>
          </w:p>
        </w:tc>
      </w:tr>
      <w:tr w:rsidR="009968E0" w:rsidRPr="009968E0" w14:paraId="0707FFD1"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2809" w:type="dxa"/>
            <w:tcBorders>
              <w:left w:val="single" w:sz="4" w:space="0" w:color="auto"/>
            </w:tcBorders>
            <w:noWrap/>
            <w:hideMark/>
          </w:tcPr>
          <w:p w14:paraId="42ACEF76"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 xml:space="preserve">V2 vs V3 blood glucose delta </w:t>
            </w:r>
          </w:p>
        </w:tc>
        <w:tc>
          <w:tcPr>
            <w:tcW w:w="1300" w:type="dxa"/>
            <w:noWrap/>
            <w:hideMark/>
          </w:tcPr>
          <w:p w14:paraId="7F6B4BD1"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P-DPN</w:t>
            </w:r>
          </w:p>
        </w:tc>
        <w:tc>
          <w:tcPr>
            <w:tcW w:w="1300" w:type="dxa"/>
            <w:noWrap/>
            <w:hideMark/>
          </w:tcPr>
          <w:p w14:paraId="52489BD8"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w:t>
            </w:r>
          </w:p>
        </w:tc>
        <w:tc>
          <w:tcPr>
            <w:tcW w:w="1300" w:type="dxa"/>
            <w:noWrap/>
            <w:hideMark/>
          </w:tcPr>
          <w:p w14:paraId="468F7E51"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-0.4769</w:t>
            </w:r>
          </w:p>
        </w:tc>
        <w:tc>
          <w:tcPr>
            <w:tcW w:w="1322" w:type="dxa"/>
            <w:noWrap/>
            <w:hideMark/>
          </w:tcPr>
          <w:p w14:paraId="09EDC2E5"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-3.373</w:t>
            </w:r>
          </w:p>
        </w:tc>
        <w:tc>
          <w:tcPr>
            <w:tcW w:w="1329" w:type="dxa"/>
            <w:tcBorders>
              <w:right w:val="single" w:sz="4" w:space="0" w:color="auto"/>
            </w:tcBorders>
            <w:noWrap/>
            <w:hideMark/>
          </w:tcPr>
          <w:p w14:paraId="015A7A07"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2.4192</w:t>
            </w:r>
          </w:p>
        </w:tc>
      </w:tr>
      <w:tr w:rsidR="009968E0" w:rsidRPr="009968E0" w14:paraId="60C8C0F4"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809" w:type="dxa"/>
            <w:tcBorders>
              <w:left w:val="single" w:sz="4" w:space="0" w:color="auto"/>
            </w:tcBorders>
            <w:noWrap/>
            <w:hideMark/>
          </w:tcPr>
          <w:p w14:paraId="58ED9AEA" w14:textId="77777777" w:rsidR="009968E0" w:rsidRPr="009968E0" w:rsidRDefault="009968E0" w:rsidP="009968E0">
            <w:pPr>
              <w:rPr>
                <w:rFonts w:ascii="Calibri" w:eastAsia="Times New Roman" w:hAnsi="Calibri" w:cs="Calibri"/>
                <w:i/>
                <w:iCs/>
                <w:sz w:val="22"/>
                <w:szCs w:val="22"/>
                <w:lang w:eastAsia="en-GB"/>
              </w:rPr>
            </w:pPr>
          </w:p>
        </w:tc>
        <w:tc>
          <w:tcPr>
            <w:tcW w:w="1300" w:type="dxa"/>
            <w:noWrap/>
            <w:hideMark/>
          </w:tcPr>
          <w:p w14:paraId="2E5CEBDF"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DPN</w:t>
            </w:r>
          </w:p>
        </w:tc>
        <w:tc>
          <w:tcPr>
            <w:tcW w:w="1300" w:type="dxa"/>
            <w:noWrap/>
            <w:hideMark/>
          </w:tcPr>
          <w:p w14:paraId="3DD19889"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16</w:t>
            </w:r>
          </w:p>
        </w:tc>
        <w:tc>
          <w:tcPr>
            <w:tcW w:w="1300" w:type="dxa"/>
            <w:noWrap/>
            <w:hideMark/>
          </w:tcPr>
          <w:p w14:paraId="2CD5A766"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-0.1706</w:t>
            </w:r>
          </w:p>
        </w:tc>
        <w:tc>
          <w:tcPr>
            <w:tcW w:w="1322" w:type="dxa"/>
            <w:noWrap/>
            <w:hideMark/>
          </w:tcPr>
          <w:p w14:paraId="1B83AF8D"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-2.1096</w:t>
            </w:r>
          </w:p>
        </w:tc>
        <w:tc>
          <w:tcPr>
            <w:tcW w:w="1329" w:type="dxa"/>
            <w:tcBorders>
              <w:right w:val="single" w:sz="4" w:space="0" w:color="auto"/>
            </w:tcBorders>
            <w:noWrap/>
            <w:hideMark/>
          </w:tcPr>
          <w:p w14:paraId="25F2703E"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1.7684</w:t>
            </w:r>
          </w:p>
        </w:tc>
      </w:tr>
      <w:tr w:rsidR="009968E0" w:rsidRPr="009968E0" w14:paraId="669658F3"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2809" w:type="dxa"/>
            <w:tcBorders>
              <w:left w:val="single" w:sz="4" w:space="0" w:color="auto"/>
            </w:tcBorders>
            <w:noWrap/>
            <w:hideMark/>
          </w:tcPr>
          <w:p w14:paraId="109F46F5" w14:textId="77777777" w:rsidR="009968E0" w:rsidRPr="009968E0" w:rsidRDefault="009968E0" w:rsidP="009968E0">
            <w:pPr>
              <w:rPr>
                <w:rFonts w:ascii="Calibri" w:eastAsia="Times New Roman" w:hAnsi="Calibri" w:cs="Calibri"/>
                <w:i/>
                <w:iCs/>
                <w:sz w:val="22"/>
                <w:szCs w:val="22"/>
                <w:lang w:eastAsia="en-GB"/>
              </w:rPr>
            </w:pPr>
          </w:p>
        </w:tc>
        <w:tc>
          <w:tcPr>
            <w:tcW w:w="1300" w:type="dxa"/>
            <w:noWrap/>
            <w:hideMark/>
          </w:tcPr>
          <w:p w14:paraId="4971D136"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DM-NN</w:t>
            </w:r>
          </w:p>
        </w:tc>
        <w:tc>
          <w:tcPr>
            <w:tcW w:w="1300" w:type="dxa"/>
            <w:noWrap/>
            <w:hideMark/>
          </w:tcPr>
          <w:p w14:paraId="2E73E4E7"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w:t>
            </w:r>
          </w:p>
        </w:tc>
        <w:tc>
          <w:tcPr>
            <w:tcW w:w="1300" w:type="dxa"/>
            <w:noWrap/>
            <w:hideMark/>
          </w:tcPr>
          <w:p w14:paraId="2F21350E"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-0.6025</w:t>
            </w:r>
          </w:p>
        </w:tc>
        <w:tc>
          <w:tcPr>
            <w:tcW w:w="1322" w:type="dxa"/>
            <w:noWrap/>
            <w:hideMark/>
          </w:tcPr>
          <w:p w14:paraId="27FD2A56"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-4.4471</w:t>
            </w:r>
          </w:p>
        </w:tc>
        <w:tc>
          <w:tcPr>
            <w:tcW w:w="1329" w:type="dxa"/>
            <w:tcBorders>
              <w:right w:val="single" w:sz="4" w:space="0" w:color="auto"/>
            </w:tcBorders>
            <w:noWrap/>
            <w:hideMark/>
          </w:tcPr>
          <w:p w14:paraId="364DED53"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3.2421</w:t>
            </w:r>
          </w:p>
        </w:tc>
      </w:tr>
      <w:tr w:rsidR="009968E0" w:rsidRPr="009968E0" w14:paraId="2ED6A8C4"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809" w:type="dxa"/>
            <w:tcBorders>
              <w:left w:val="single" w:sz="4" w:space="0" w:color="auto"/>
            </w:tcBorders>
            <w:noWrap/>
            <w:hideMark/>
          </w:tcPr>
          <w:p w14:paraId="30DF4D47" w14:textId="77777777" w:rsidR="009968E0" w:rsidRPr="009968E0" w:rsidRDefault="009968E0" w:rsidP="009968E0">
            <w:pPr>
              <w:rPr>
                <w:rFonts w:ascii="Calibri" w:eastAsia="Times New Roman" w:hAnsi="Calibri" w:cs="Calibri"/>
                <w:i/>
                <w:iCs/>
                <w:sz w:val="22"/>
                <w:szCs w:val="22"/>
                <w:lang w:eastAsia="en-GB"/>
              </w:rPr>
            </w:pPr>
          </w:p>
        </w:tc>
        <w:tc>
          <w:tcPr>
            <w:tcW w:w="1300" w:type="dxa"/>
            <w:noWrap/>
            <w:hideMark/>
          </w:tcPr>
          <w:p w14:paraId="01A45EF5"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HV</w:t>
            </w:r>
          </w:p>
        </w:tc>
        <w:tc>
          <w:tcPr>
            <w:tcW w:w="1300" w:type="dxa"/>
            <w:noWrap/>
            <w:hideMark/>
          </w:tcPr>
          <w:p w14:paraId="19DB9F65"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w:t>
            </w:r>
          </w:p>
        </w:tc>
        <w:tc>
          <w:tcPr>
            <w:tcW w:w="1300" w:type="dxa"/>
            <w:noWrap/>
            <w:hideMark/>
          </w:tcPr>
          <w:p w14:paraId="197E96A0"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w:t>
            </w:r>
          </w:p>
        </w:tc>
        <w:tc>
          <w:tcPr>
            <w:tcW w:w="1322" w:type="dxa"/>
            <w:noWrap/>
            <w:hideMark/>
          </w:tcPr>
          <w:p w14:paraId="28652831"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w:t>
            </w:r>
          </w:p>
        </w:tc>
        <w:tc>
          <w:tcPr>
            <w:tcW w:w="1329" w:type="dxa"/>
            <w:tcBorders>
              <w:right w:val="single" w:sz="4" w:space="0" w:color="auto"/>
            </w:tcBorders>
            <w:noWrap/>
            <w:hideMark/>
          </w:tcPr>
          <w:p w14:paraId="4BC3BA80"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w:t>
            </w:r>
          </w:p>
        </w:tc>
      </w:tr>
      <w:tr w:rsidR="009968E0" w:rsidRPr="009968E0" w14:paraId="000BAE89"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2809" w:type="dxa"/>
            <w:tcBorders>
              <w:left w:val="single" w:sz="4" w:space="0" w:color="auto"/>
            </w:tcBorders>
            <w:noWrap/>
            <w:hideMark/>
          </w:tcPr>
          <w:p w14:paraId="7C152457"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V2 vs V3 BP systolic delta</w:t>
            </w:r>
          </w:p>
        </w:tc>
        <w:tc>
          <w:tcPr>
            <w:tcW w:w="1300" w:type="dxa"/>
            <w:noWrap/>
            <w:hideMark/>
          </w:tcPr>
          <w:p w14:paraId="52202633"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P-DPN</w:t>
            </w:r>
          </w:p>
        </w:tc>
        <w:tc>
          <w:tcPr>
            <w:tcW w:w="1300" w:type="dxa"/>
            <w:noWrap/>
            <w:hideMark/>
          </w:tcPr>
          <w:p w14:paraId="36665176"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w:t>
            </w:r>
          </w:p>
        </w:tc>
        <w:tc>
          <w:tcPr>
            <w:tcW w:w="1300" w:type="dxa"/>
            <w:noWrap/>
            <w:hideMark/>
          </w:tcPr>
          <w:p w14:paraId="0E4FFB08"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-1.1579</w:t>
            </w:r>
          </w:p>
        </w:tc>
        <w:tc>
          <w:tcPr>
            <w:tcW w:w="1322" w:type="dxa"/>
            <w:noWrap/>
            <w:hideMark/>
          </w:tcPr>
          <w:p w14:paraId="2D5E093F"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-8.9533</w:t>
            </w:r>
          </w:p>
        </w:tc>
        <w:tc>
          <w:tcPr>
            <w:tcW w:w="1329" w:type="dxa"/>
            <w:tcBorders>
              <w:right w:val="single" w:sz="4" w:space="0" w:color="auto"/>
            </w:tcBorders>
            <w:noWrap/>
            <w:hideMark/>
          </w:tcPr>
          <w:p w14:paraId="0B95773A"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6.6375</w:t>
            </w:r>
          </w:p>
        </w:tc>
      </w:tr>
      <w:tr w:rsidR="009968E0" w:rsidRPr="009968E0" w14:paraId="7DB8ADAA"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809" w:type="dxa"/>
            <w:tcBorders>
              <w:left w:val="single" w:sz="4" w:space="0" w:color="auto"/>
            </w:tcBorders>
            <w:noWrap/>
            <w:hideMark/>
          </w:tcPr>
          <w:p w14:paraId="5B3375AA" w14:textId="77777777" w:rsidR="009968E0" w:rsidRPr="009968E0" w:rsidRDefault="009968E0" w:rsidP="009968E0">
            <w:pPr>
              <w:rPr>
                <w:rFonts w:ascii="Calibri" w:eastAsia="Times New Roman" w:hAnsi="Calibri" w:cs="Calibri"/>
                <w:i/>
                <w:iCs/>
                <w:sz w:val="22"/>
                <w:szCs w:val="22"/>
                <w:lang w:eastAsia="en-GB"/>
              </w:rPr>
            </w:pPr>
          </w:p>
        </w:tc>
        <w:tc>
          <w:tcPr>
            <w:tcW w:w="1300" w:type="dxa"/>
            <w:noWrap/>
            <w:hideMark/>
          </w:tcPr>
          <w:p w14:paraId="6035E7EE"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DPN</w:t>
            </w:r>
          </w:p>
        </w:tc>
        <w:tc>
          <w:tcPr>
            <w:tcW w:w="1300" w:type="dxa"/>
            <w:noWrap/>
            <w:hideMark/>
          </w:tcPr>
          <w:p w14:paraId="0F0F6F87"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23</w:t>
            </w:r>
          </w:p>
        </w:tc>
        <w:tc>
          <w:tcPr>
            <w:tcW w:w="1300" w:type="dxa"/>
            <w:noWrap/>
            <w:hideMark/>
          </w:tcPr>
          <w:p w14:paraId="5E364E41"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3.1304</w:t>
            </w:r>
          </w:p>
        </w:tc>
        <w:tc>
          <w:tcPr>
            <w:tcW w:w="1322" w:type="dxa"/>
            <w:noWrap/>
            <w:hideMark/>
          </w:tcPr>
          <w:p w14:paraId="64650700"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-5.15</w:t>
            </w:r>
          </w:p>
        </w:tc>
        <w:tc>
          <w:tcPr>
            <w:tcW w:w="1329" w:type="dxa"/>
            <w:tcBorders>
              <w:right w:val="single" w:sz="4" w:space="0" w:color="auto"/>
            </w:tcBorders>
            <w:noWrap/>
            <w:hideMark/>
          </w:tcPr>
          <w:p w14:paraId="12CA80B7"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11.4109</w:t>
            </w:r>
          </w:p>
        </w:tc>
      </w:tr>
      <w:tr w:rsidR="009968E0" w:rsidRPr="009968E0" w14:paraId="4B8CC756"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2809" w:type="dxa"/>
            <w:tcBorders>
              <w:left w:val="single" w:sz="4" w:space="0" w:color="auto"/>
            </w:tcBorders>
            <w:noWrap/>
            <w:hideMark/>
          </w:tcPr>
          <w:p w14:paraId="30EB5403" w14:textId="77777777" w:rsidR="009968E0" w:rsidRPr="009968E0" w:rsidRDefault="009968E0" w:rsidP="009968E0">
            <w:pPr>
              <w:rPr>
                <w:rFonts w:ascii="Calibri" w:eastAsia="Times New Roman" w:hAnsi="Calibri" w:cs="Calibri"/>
                <w:i/>
                <w:iCs/>
                <w:sz w:val="22"/>
                <w:szCs w:val="22"/>
                <w:lang w:eastAsia="en-GB"/>
              </w:rPr>
            </w:pPr>
          </w:p>
        </w:tc>
        <w:tc>
          <w:tcPr>
            <w:tcW w:w="1300" w:type="dxa"/>
            <w:noWrap/>
            <w:hideMark/>
          </w:tcPr>
          <w:p w14:paraId="4F02B74E"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DM-NN</w:t>
            </w:r>
          </w:p>
        </w:tc>
        <w:tc>
          <w:tcPr>
            <w:tcW w:w="1300" w:type="dxa"/>
            <w:noWrap/>
            <w:hideMark/>
          </w:tcPr>
          <w:p w14:paraId="363EF85D"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w:t>
            </w:r>
          </w:p>
        </w:tc>
        <w:tc>
          <w:tcPr>
            <w:tcW w:w="1300" w:type="dxa"/>
            <w:noWrap/>
            <w:hideMark/>
          </w:tcPr>
          <w:p w14:paraId="28CAD723"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0.2308</w:t>
            </w:r>
          </w:p>
        </w:tc>
        <w:tc>
          <w:tcPr>
            <w:tcW w:w="1322" w:type="dxa"/>
            <w:noWrap/>
            <w:hideMark/>
          </w:tcPr>
          <w:p w14:paraId="08AC1AE8"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-9.2155</w:t>
            </w:r>
          </w:p>
        </w:tc>
        <w:tc>
          <w:tcPr>
            <w:tcW w:w="1329" w:type="dxa"/>
            <w:tcBorders>
              <w:right w:val="single" w:sz="4" w:space="0" w:color="auto"/>
            </w:tcBorders>
            <w:noWrap/>
            <w:hideMark/>
          </w:tcPr>
          <w:p w14:paraId="4D90EACE"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9.6771</w:t>
            </w:r>
          </w:p>
        </w:tc>
      </w:tr>
      <w:tr w:rsidR="009968E0" w:rsidRPr="009968E0" w14:paraId="5EA2B3C6"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809" w:type="dxa"/>
            <w:tcBorders>
              <w:left w:val="single" w:sz="4" w:space="0" w:color="auto"/>
            </w:tcBorders>
            <w:noWrap/>
            <w:hideMark/>
          </w:tcPr>
          <w:p w14:paraId="72C81AA9" w14:textId="77777777" w:rsidR="009968E0" w:rsidRPr="009968E0" w:rsidRDefault="009968E0" w:rsidP="009968E0">
            <w:pPr>
              <w:rPr>
                <w:rFonts w:ascii="Calibri" w:eastAsia="Times New Roman" w:hAnsi="Calibri" w:cs="Calibri"/>
                <w:i/>
                <w:iCs/>
                <w:sz w:val="22"/>
                <w:szCs w:val="22"/>
                <w:lang w:eastAsia="en-GB"/>
              </w:rPr>
            </w:pPr>
          </w:p>
        </w:tc>
        <w:tc>
          <w:tcPr>
            <w:tcW w:w="1300" w:type="dxa"/>
            <w:noWrap/>
            <w:hideMark/>
          </w:tcPr>
          <w:p w14:paraId="01B3BF3B"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HV</w:t>
            </w:r>
          </w:p>
        </w:tc>
        <w:tc>
          <w:tcPr>
            <w:tcW w:w="1300" w:type="dxa"/>
            <w:noWrap/>
            <w:hideMark/>
          </w:tcPr>
          <w:p w14:paraId="67BBFB65"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w:t>
            </w:r>
          </w:p>
        </w:tc>
        <w:tc>
          <w:tcPr>
            <w:tcW w:w="1300" w:type="dxa"/>
            <w:noWrap/>
            <w:hideMark/>
          </w:tcPr>
          <w:p w14:paraId="31A83E0B"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4.7368</w:t>
            </w:r>
          </w:p>
        </w:tc>
        <w:tc>
          <w:tcPr>
            <w:tcW w:w="1322" w:type="dxa"/>
            <w:noWrap/>
            <w:hideMark/>
          </w:tcPr>
          <w:p w14:paraId="1E60E924"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-2.4461</w:t>
            </w:r>
          </w:p>
        </w:tc>
        <w:tc>
          <w:tcPr>
            <w:tcW w:w="1329" w:type="dxa"/>
            <w:tcBorders>
              <w:right w:val="single" w:sz="4" w:space="0" w:color="auto"/>
            </w:tcBorders>
            <w:noWrap/>
            <w:hideMark/>
          </w:tcPr>
          <w:p w14:paraId="06DCC5F3"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11.9198</w:t>
            </w:r>
          </w:p>
        </w:tc>
      </w:tr>
      <w:tr w:rsidR="009968E0" w:rsidRPr="009968E0" w14:paraId="3FD05416"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2809" w:type="dxa"/>
            <w:tcBorders>
              <w:left w:val="single" w:sz="4" w:space="0" w:color="auto"/>
            </w:tcBorders>
            <w:noWrap/>
            <w:hideMark/>
          </w:tcPr>
          <w:p w14:paraId="22D78B1F"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V2 vs V3 BP diastolic delta</w:t>
            </w:r>
          </w:p>
        </w:tc>
        <w:tc>
          <w:tcPr>
            <w:tcW w:w="1300" w:type="dxa"/>
            <w:noWrap/>
            <w:hideMark/>
          </w:tcPr>
          <w:p w14:paraId="4200F615"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P-DPN</w:t>
            </w:r>
          </w:p>
        </w:tc>
        <w:tc>
          <w:tcPr>
            <w:tcW w:w="1300" w:type="dxa"/>
            <w:noWrap/>
            <w:hideMark/>
          </w:tcPr>
          <w:p w14:paraId="39ED6AF5"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w:t>
            </w:r>
          </w:p>
        </w:tc>
        <w:tc>
          <w:tcPr>
            <w:tcW w:w="1300" w:type="dxa"/>
            <w:noWrap/>
            <w:hideMark/>
          </w:tcPr>
          <w:p w14:paraId="642CFEFC"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2.4211</w:t>
            </w:r>
          </w:p>
        </w:tc>
        <w:tc>
          <w:tcPr>
            <w:tcW w:w="1322" w:type="dxa"/>
            <w:noWrap/>
            <w:hideMark/>
          </w:tcPr>
          <w:p w14:paraId="2D3EFC6A"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0.58</w:t>
            </w:r>
          </w:p>
        </w:tc>
        <w:tc>
          <w:tcPr>
            <w:tcW w:w="1329" w:type="dxa"/>
            <w:tcBorders>
              <w:right w:val="single" w:sz="4" w:space="0" w:color="auto"/>
            </w:tcBorders>
            <w:noWrap/>
            <w:hideMark/>
          </w:tcPr>
          <w:p w14:paraId="64663371"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4.2621</w:t>
            </w:r>
          </w:p>
        </w:tc>
      </w:tr>
      <w:tr w:rsidR="009968E0" w:rsidRPr="009968E0" w14:paraId="401BEAE1"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809" w:type="dxa"/>
            <w:tcBorders>
              <w:left w:val="single" w:sz="4" w:space="0" w:color="auto"/>
            </w:tcBorders>
            <w:noWrap/>
            <w:hideMark/>
          </w:tcPr>
          <w:p w14:paraId="3636A842" w14:textId="77777777" w:rsidR="009968E0" w:rsidRPr="009968E0" w:rsidRDefault="009968E0" w:rsidP="009968E0">
            <w:pPr>
              <w:rPr>
                <w:rFonts w:ascii="Calibri" w:eastAsia="Times New Roman" w:hAnsi="Calibri" w:cs="Calibri"/>
                <w:i/>
                <w:iCs/>
                <w:sz w:val="22"/>
                <w:szCs w:val="22"/>
                <w:lang w:eastAsia="en-GB"/>
              </w:rPr>
            </w:pPr>
          </w:p>
        </w:tc>
        <w:tc>
          <w:tcPr>
            <w:tcW w:w="1300" w:type="dxa"/>
            <w:noWrap/>
            <w:hideMark/>
          </w:tcPr>
          <w:p w14:paraId="69E1C4C4"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DPN</w:t>
            </w:r>
          </w:p>
        </w:tc>
        <w:tc>
          <w:tcPr>
            <w:tcW w:w="1300" w:type="dxa"/>
            <w:noWrap/>
            <w:hideMark/>
          </w:tcPr>
          <w:p w14:paraId="15467669"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23</w:t>
            </w:r>
          </w:p>
        </w:tc>
        <w:tc>
          <w:tcPr>
            <w:tcW w:w="1300" w:type="dxa"/>
            <w:noWrap/>
            <w:hideMark/>
          </w:tcPr>
          <w:p w14:paraId="4B396080"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1.3043</w:t>
            </w:r>
          </w:p>
        </w:tc>
        <w:tc>
          <w:tcPr>
            <w:tcW w:w="1322" w:type="dxa"/>
            <w:noWrap/>
            <w:hideMark/>
          </w:tcPr>
          <w:p w14:paraId="7337FDD7"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-2.4529</w:t>
            </w:r>
          </w:p>
        </w:tc>
        <w:tc>
          <w:tcPr>
            <w:tcW w:w="1329" w:type="dxa"/>
            <w:tcBorders>
              <w:right w:val="single" w:sz="4" w:space="0" w:color="auto"/>
            </w:tcBorders>
            <w:noWrap/>
            <w:hideMark/>
          </w:tcPr>
          <w:p w14:paraId="46121E29"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5.0616</w:t>
            </w:r>
          </w:p>
        </w:tc>
      </w:tr>
      <w:tr w:rsidR="009968E0" w:rsidRPr="009968E0" w14:paraId="3CD55886"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2809" w:type="dxa"/>
            <w:tcBorders>
              <w:left w:val="single" w:sz="4" w:space="0" w:color="auto"/>
            </w:tcBorders>
            <w:noWrap/>
            <w:hideMark/>
          </w:tcPr>
          <w:p w14:paraId="0A0E875E" w14:textId="77777777" w:rsidR="009968E0" w:rsidRPr="009968E0" w:rsidRDefault="009968E0" w:rsidP="009968E0">
            <w:pPr>
              <w:rPr>
                <w:rFonts w:ascii="Calibri" w:eastAsia="Times New Roman" w:hAnsi="Calibri" w:cs="Calibri"/>
                <w:i/>
                <w:iCs/>
                <w:sz w:val="22"/>
                <w:szCs w:val="22"/>
                <w:lang w:eastAsia="en-GB"/>
              </w:rPr>
            </w:pPr>
          </w:p>
        </w:tc>
        <w:tc>
          <w:tcPr>
            <w:tcW w:w="1300" w:type="dxa"/>
            <w:noWrap/>
            <w:hideMark/>
          </w:tcPr>
          <w:p w14:paraId="6A6BDB84"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DM-NN</w:t>
            </w:r>
          </w:p>
        </w:tc>
        <w:tc>
          <w:tcPr>
            <w:tcW w:w="1300" w:type="dxa"/>
            <w:noWrap/>
            <w:hideMark/>
          </w:tcPr>
          <w:p w14:paraId="46D143E6"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w:t>
            </w:r>
          </w:p>
        </w:tc>
        <w:tc>
          <w:tcPr>
            <w:tcW w:w="1300" w:type="dxa"/>
            <w:noWrap/>
            <w:hideMark/>
          </w:tcPr>
          <w:p w14:paraId="6526AC70"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-4.2308</w:t>
            </w:r>
          </w:p>
        </w:tc>
        <w:tc>
          <w:tcPr>
            <w:tcW w:w="1322" w:type="dxa"/>
            <w:noWrap/>
            <w:hideMark/>
          </w:tcPr>
          <w:p w14:paraId="17B23562"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-11.6816</w:t>
            </w:r>
          </w:p>
        </w:tc>
        <w:tc>
          <w:tcPr>
            <w:tcW w:w="1329" w:type="dxa"/>
            <w:tcBorders>
              <w:right w:val="single" w:sz="4" w:space="0" w:color="auto"/>
            </w:tcBorders>
            <w:noWrap/>
            <w:hideMark/>
          </w:tcPr>
          <w:p w14:paraId="2AB6AB46"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3.2201</w:t>
            </w:r>
          </w:p>
        </w:tc>
      </w:tr>
      <w:tr w:rsidR="009968E0" w:rsidRPr="009968E0" w14:paraId="7F230197"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809" w:type="dxa"/>
            <w:tcBorders>
              <w:left w:val="single" w:sz="4" w:space="0" w:color="auto"/>
            </w:tcBorders>
            <w:noWrap/>
            <w:hideMark/>
          </w:tcPr>
          <w:p w14:paraId="5FB1DA14" w14:textId="77777777" w:rsidR="009968E0" w:rsidRPr="009968E0" w:rsidRDefault="009968E0" w:rsidP="009968E0">
            <w:pPr>
              <w:rPr>
                <w:rFonts w:ascii="Calibri" w:eastAsia="Times New Roman" w:hAnsi="Calibri" w:cs="Calibri"/>
                <w:i/>
                <w:iCs/>
                <w:sz w:val="22"/>
                <w:szCs w:val="22"/>
                <w:lang w:eastAsia="en-GB"/>
              </w:rPr>
            </w:pPr>
          </w:p>
        </w:tc>
        <w:tc>
          <w:tcPr>
            <w:tcW w:w="1300" w:type="dxa"/>
            <w:noWrap/>
            <w:hideMark/>
          </w:tcPr>
          <w:p w14:paraId="45082375"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HV</w:t>
            </w:r>
          </w:p>
        </w:tc>
        <w:tc>
          <w:tcPr>
            <w:tcW w:w="1300" w:type="dxa"/>
            <w:noWrap/>
            <w:hideMark/>
          </w:tcPr>
          <w:p w14:paraId="64451273"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w:t>
            </w:r>
          </w:p>
        </w:tc>
        <w:tc>
          <w:tcPr>
            <w:tcW w:w="1300" w:type="dxa"/>
            <w:noWrap/>
            <w:hideMark/>
          </w:tcPr>
          <w:p w14:paraId="48E1A28A"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2.5263</w:t>
            </w:r>
          </w:p>
        </w:tc>
        <w:tc>
          <w:tcPr>
            <w:tcW w:w="1322" w:type="dxa"/>
            <w:noWrap/>
            <w:hideMark/>
          </w:tcPr>
          <w:p w14:paraId="13255D08"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-2.8369</w:t>
            </w:r>
          </w:p>
        </w:tc>
        <w:tc>
          <w:tcPr>
            <w:tcW w:w="1329" w:type="dxa"/>
            <w:tcBorders>
              <w:right w:val="single" w:sz="4" w:space="0" w:color="auto"/>
            </w:tcBorders>
            <w:noWrap/>
            <w:hideMark/>
          </w:tcPr>
          <w:p w14:paraId="1B6EA7AB"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7.8895</w:t>
            </w:r>
          </w:p>
        </w:tc>
      </w:tr>
      <w:tr w:rsidR="009968E0" w:rsidRPr="009968E0" w14:paraId="33C0A910"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2809" w:type="dxa"/>
            <w:tcBorders>
              <w:left w:val="single" w:sz="4" w:space="0" w:color="auto"/>
            </w:tcBorders>
            <w:noWrap/>
            <w:hideMark/>
          </w:tcPr>
          <w:p w14:paraId="7D010014"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lastRenderedPageBreak/>
              <w:t>V2 vs V3 pulse delta</w:t>
            </w:r>
          </w:p>
        </w:tc>
        <w:tc>
          <w:tcPr>
            <w:tcW w:w="1300" w:type="dxa"/>
            <w:noWrap/>
            <w:hideMark/>
          </w:tcPr>
          <w:p w14:paraId="2A6CF3C8"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P-DPN</w:t>
            </w:r>
          </w:p>
        </w:tc>
        <w:tc>
          <w:tcPr>
            <w:tcW w:w="1300" w:type="dxa"/>
            <w:noWrap/>
            <w:hideMark/>
          </w:tcPr>
          <w:p w14:paraId="30D10484"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w:t>
            </w:r>
          </w:p>
        </w:tc>
        <w:tc>
          <w:tcPr>
            <w:tcW w:w="1300" w:type="dxa"/>
            <w:noWrap/>
            <w:hideMark/>
          </w:tcPr>
          <w:p w14:paraId="5DA71305"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-2.9474</w:t>
            </w:r>
          </w:p>
        </w:tc>
        <w:tc>
          <w:tcPr>
            <w:tcW w:w="1322" w:type="dxa"/>
            <w:noWrap/>
            <w:hideMark/>
          </w:tcPr>
          <w:p w14:paraId="6D918333"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-7.8587</w:t>
            </w:r>
          </w:p>
        </w:tc>
        <w:tc>
          <w:tcPr>
            <w:tcW w:w="1329" w:type="dxa"/>
            <w:tcBorders>
              <w:right w:val="single" w:sz="4" w:space="0" w:color="auto"/>
            </w:tcBorders>
            <w:noWrap/>
            <w:hideMark/>
          </w:tcPr>
          <w:p w14:paraId="02633A4F"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1.9639</w:t>
            </w:r>
          </w:p>
        </w:tc>
      </w:tr>
      <w:tr w:rsidR="009968E0" w:rsidRPr="009968E0" w14:paraId="18B82D55"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809" w:type="dxa"/>
            <w:tcBorders>
              <w:left w:val="single" w:sz="4" w:space="0" w:color="auto"/>
            </w:tcBorders>
            <w:noWrap/>
            <w:hideMark/>
          </w:tcPr>
          <w:p w14:paraId="0122A5C8" w14:textId="77777777" w:rsidR="009968E0" w:rsidRPr="009968E0" w:rsidRDefault="009968E0" w:rsidP="009968E0">
            <w:pPr>
              <w:rPr>
                <w:rFonts w:ascii="Calibri" w:eastAsia="Times New Roman" w:hAnsi="Calibri" w:cs="Calibri"/>
                <w:i/>
                <w:iCs/>
                <w:sz w:val="22"/>
                <w:szCs w:val="22"/>
                <w:lang w:eastAsia="en-GB"/>
              </w:rPr>
            </w:pPr>
          </w:p>
        </w:tc>
        <w:tc>
          <w:tcPr>
            <w:tcW w:w="1300" w:type="dxa"/>
            <w:noWrap/>
            <w:hideMark/>
          </w:tcPr>
          <w:p w14:paraId="293EA168"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DPN</w:t>
            </w:r>
          </w:p>
        </w:tc>
        <w:tc>
          <w:tcPr>
            <w:tcW w:w="1300" w:type="dxa"/>
            <w:noWrap/>
            <w:hideMark/>
          </w:tcPr>
          <w:p w14:paraId="62C2CBA7"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23</w:t>
            </w:r>
          </w:p>
        </w:tc>
        <w:tc>
          <w:tcPr>
            <w:tcW w:w="1300" w:type="dxa"/>
            <w:noWrap/>
            <w:hideMark/>
          </w:tcPr>
          <w:p w14:paraId="660BA5D6"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-2.2174</w:t>
            </w:r>
          </w:p>
        </w:tc>
        <w:tc>
          <w:tcPr>
            <w:tcW w:w="1322" w:type="dxa"/>
            <w:noWrap/>
            <w:hideMark/>
          </w:tcPr>
          <w:p w14:paraId="67E5F4EE"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-6.3527</w:t>
            </w:r>
          </w:p>
        </w:tc>
        <w:tc>
          <w:tcPr>
            <w:tcW w:w="1329" w:type="dxa"/>
            <w:tcBorders>
              <w:right w:val="single" w:sz="4" w:space="0" w:color="auto"/>
            </w:tcBorders>
            <w:noWrap/>
            <w:hideMark/>
          </w:tcPr>
          <w:p w14:paraId="7BF247C4"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1.918</w:t>
            </w:r>
          </w:p>
        </w:tc>
      </w:tr>
      <w:tr w:rsidR="009968E0" w:rsidRPr="009968E0" w14:paraId="04F046FD"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2809" w:type="dxa"/>
            <w:tcBorders>
              <w:left w:val="single" w:sz="4" w:space="0" w:color="auto"/>
            </w:tcBorders>
            <w:noWrap/>
            <w:hideMark/>
          </w:tcPr>
          <w:p w14:paraId="6CAFC48F" w14:textId="77777777" w:rsidR="009968E0" w:rsidRPr="009968E0" w:rsidRDefault="009968E0" w:rsidP="009968E0">
            <w:pPr>
              <w:rPr>
                <w:rFonts w:ascii="Calibri" w:eastAsia="Times New Roman" w:hAnsi="Calibri" w:cs="Calibri"/>
                <w:i/>
                <w:iCs/>
                <w:sz w:val="22"/>
                <w:szCs w:val="22"/>
                <w:lang w:eastAsia="en-GB"/>
              </w:rPr>
            </w:pPr>
          </w:p>
        </w:tc>
        <w:tc>
          <w:tcPr>
            <w:tcW w:w="1300" w:type="dxa"/>
            <w:noWrap/>
            <w:hideMark/>
          </w:tcPr>
          <w:p w14:paraId="2E148202"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DM-NN</w:t>
            </w:r>
          </w:p>
        </w:tc>
        <w:tc>
          <w:tcPr>
            <w:tcW w:w="1300" w:type="dxa"/>
            <w:noWrap/>
            <w:hideMark/>
          </w:tcPr>
          <w:p w14:paraId="63CC5B78"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w:t>
            </w:r>
          </w:p>
        </w:tc>
        <w:tc>
          <w:tcPr>
            <w:tcW w:w="1300" w:type="dxa"/>
            <w:noWrap/>
            <w:hideMark/>
          </w:tcPr>
          <w:p w14:paraId="31DDF525"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-1.3077</w:t>
            </w:r>
          </w:p>
        </w:tc>
        <w:tc>
          <w:tcPr>
            <w:tcW w:w="1322" w:type="dxa"/>
            <w:noWrap/>
            <w:hideMark/>
          </w:tcPr>
          <w:p w14:paraId="2B124B28"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-5.9058</w:t>
            </w:r>
          </w:p>
        </w:tc>
        <w:tc>
          <w:tcPr>
            <w:tcW w:w="1329" w:type="dxa"/>
            <w:tcBorders>
              <w:right w:val="single" w:sz="4" w:space="0" w:color="auto"/>
            </w:tcBorders>
            <w:noWrap/>
            <w:hideMark/>
          </w:tcPr>
          <w:p w14:paraId="77DA18A4"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3.2904</w:t>
            </w:r>
          </w:p>
        </w:tc>
      </w:tr>
      <w:tr w:rsidR="009968E0" w:rsidRPr="009968E0" w14:paraId="0F7EF218"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809" w:type="dxa"/>
            <w:tcBorders>
              <w:left w:val="single" w:sz="4" w:space="0" w:color="auto"/>
              <w:bottom w:val="single" w:sz="4" w:space="0" w:color="auto"/>
            </w:tcBorders>
            <w:noWrap/>
            <w:hideMark/>
          </w:tcPr>
          <w:p w14:paraId="10E011AF" w14:textId="77777777" w:rsidR="009968E0" w:rsidRPr="009968E0" w:rsidRDefault="009968E0" w:rsidP="009968E0">
            <w:pPr>
              <w:rPr>
                <w:rFonts w:ascii="Calibri" w:eastAsia="Times New Roman" w:hAnsi="Calibri" w:cs="Calibri"/>
                <w:i/>
                <w:iCs/>
                <w:sz w:val="22"/>
                <w:szCs w:val="22"/>
                <w:lang w:eastAsia="en-GB"/>
              </w:rPr>
            </w:pPr>
          </w:p>
        </w:tc>
        <w:tc>
          <w:tcPr>
            <w:tcW w:w="1300" w:type="dxa"/>
            <w:tcBorders>
              <w:bottom w:val="single" w:sz="4" w:space="0" w:color="auto"/>
            </w:tcBorders>
            <w:noWrap/>
            <w:hideMark/>
          </w:tcPr>
          <w:p w14:paraId="7F131BC5"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HV</w:t>
            </w:r>
          </w:p>
        </w:tc>
        <w:tc>
          <w:tcPr>
            <w:tcW w:w="1300" w:type="dxa"/>
            <w:tcBorders>
              <w:bottom w:val="single" w:sz="4" w:space="0" w:color="auto"/>
            </w:tcBorders>
            <w:noWrap/>
            <w:hideMark/>
          </w:tcPr>
          <w:p w14:paraId="1B1D536C"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18</w:t>
            </w:r>
          </w:p>
        </w:tc>
        <w:tc>
          <w:tcPr>
            <w:tcW w:w="1300" w:type="dxa"/>
            <w:tcBorders>
              <w:bottom w:val="single" w:sz="4" w:space="0" w:color="auto"/>
            </w:tcBorders>
            <w:noWrap/>
            <w:hideMark/>
          </w:tcPr>
          <w:p w14:paraId="4F161DA4"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-3.2778</w:t>
            </w:r>
          </w:p>
        </w:tc>
        <w:tc>
          <w:tcPr>
            <w:tcW w:w="1322" w:type="dxa"/>
            <w:tcBorders>
              <w:bottom w:val="single" w:sz="4" w:space="0" w:color="auto"/>
            </w:tcBorders>
            <w:noWrap/>
            <w:hideMark/>
          </w:tcPr>
          <w:p w14:paraId="1E7BFA64"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-9.1266</w:t>
            </w:r>
          </w:p>
        </w:tc>
        <w:tc>
          <w:tcPr>
            <w:tcW w:w="1329" w:type="dxa"/>
            <w:tcBorders>
              <w:bottom w:val="single" w:sz="4" w:space="0" w:color="auto"/>
              <w:right w:val="single" w:sz="4" w:space="0" w:color="auto"/>
            </w:tcBorders>
            <w:noWrap/>
            <w:hideMark/>
          </w:tcPr>
          <w:p w14:paraId="154191B1"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2.571</w:t>
            </w:r>
          </w:p>
        </w:tc>
      </w:tr>
    </w:tbl>
    <w:p w14:paraId="141A3E71" w14:textId="77777777" w:rsidR="009968E0" w:rsidRPr="009968E0" w:rsidRDefault="009968E0" w:rsidP="009968E0">
      <w:pPr>
        <w:rPr>
          <w:rFonts w:ascii="Calibri" w:eastAsia="Times New Roman" w:hAnsi="Calibri" w:cs="Calibri"/>
          <w:i/>
          <w:color w:val="808080"/>
          <w:sz w:val="21"/>
          <w:lang w:eastAsia="en-GB"/>
        </w:rPr>
      </w:pPr>
      <w:r w:rsidRPr="009968E0">
        <w:rPr>
          <w:rFonts w:ascii="Calibri" w:eastAsia="Times New Roman" w:hAnsi="Calibri" w:cs="Calibri"/>
          <w:i/>
          <w:color w:val="808080"/>
          <w:sz w:val="21"/>
          <w:lang w:eastAsia="en-GB"/>
        </w:rPr>
        <w:t>As can be seen in this table none of the differences are statistically significant between groups.</w:t>
      </w:r>
    </w:p>
    <w:p w14:paraId="4DDA1F9C" w14:textId="77777777" w:rsidR="009968E0" w:rsidRPr="009968E0" w:rsidRDefault="009968E0" w:rsidP="009968E0">
      <w:pPr>
        <w:rPr>
          <w:rFonts w:ascii="Times New Roman" w:eastAsia="Times New Roman" w:hAnsi="Times New Roman" w:cs="Times New Roman"/>
          <w:lang w:eastAsia="en-GB"/>
        </w:rPr>
      </w:pPr>
    </w:p>
    <w:p w14:paraId="43FB841B" w14:textId="3096CA8C" w:rsidR="009968E0" w:rsidRPr="009968E0" w:rsidRDefault="009968E0" w:rsidP="006E28EB">
      <w:pPr>
        <w:pStyle w:val="Quote"/>
      </w:pPr>
      <w:bookmarkStart w:id="623" w:name="_Toc48406147"/>
      <w:bookmarkStart w:id="624" w:name="_Toc49273358"/>
      <w:bookmarkStart w:id="625" w:name="_Toc64724111"/>
      <w:r w:rsidRPr="009968E0">
        <w:t>Table D.3 Descriptive statistics for thermal thresholds and pain perception by group</w:t>
      </w:r>
      <w:bookmarkEnd w:id="623"/>
      <w:bookmarkEnd w:id="624"/>
      <w:bookmarkEnd w:id="625"/>
    </w:p>
    <w:tbl>
      <w:tblPr>
        <w:tblW w:w="9546" w:type="dxa"/>
        <w:tblInd w:w="78" w:type="dxa"/>
        <w:shd w:val="clear" w:color="auto" w:fill="FFFFFF"/>
        <w:tblLayout w:type="fixed"/>
        <w:tblCellMar>
          <w:left w:w="115" w:type="dxa"/>
          <w:right w:w="115" w:type="dxa"/>
        </w:tblCellMar>
        <w:tblLook w:val="0400" w:firstRow="0" w:lastRow="0" w:firstColumn="0" w:lastColumn="0" w:noHBand="0" w:noVBand="1"/>
      </w:tblPr>
      <w:tblGrid>
        <w:gridCol w:w="1999"/>
        <w:gridCol w:w="1983"/>
        <w:gridCol w:w="992"/>
        <w:gridCol w:w="1170"/>
        <w:gridCol w:w="1134"/>
        <w:gridCol w:w="1276"/>
        <w:gridCol w:w="992"/>
      </w:tblGrid>
      <w:tr w:rsidR="009968E0" w:rsidRPr="009968E0" w14:paraId="0D8DC7A2" w14:textId="77777777" w:rsidTr="009968E0">
        <w:trPr>
          <w:trHeight w:val="360"/>
        </w:trPr>
        <w:tc>
          <w:tcPr>
            <w:tcW w:w="4974" w:type="dxa"/>
            <w:gridSpan w:val="3"/>
            <w:tcBorders>
              <w:top w:val="single" w:sz="12" w:space="0" w:color="000000"/>
              <w:left w:val="single" w:sz="12" w:space="0" w:color="000000"/>
              <w:bottom w:val="single" w:sz="12" w:space="0" w:color="000000"/>
              <w:right w:val="single" w:sz="12" w:space="0" w:color="000000"/>
            </w:tcBorders>
            <w:shd w:val="clear" w:color="auto" w:fill="FFFFFF"/>
            <w:vAlign w:val="bottom"/>
          </w:tcPr>
          <w:p w14:paraId="2307D0E2"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 </w:t>
            </w:r>
          </w:p>
        </w:tc>
        <w:tc>
          <w:tcPr>
            <w:tcW w:w="1170" w:type="dxa"/>
            <w:tcBorders>
              <w:top w:val="single" w:sz="12" w:space="0" w:color="000000"/>
              <w:left w:val="nil"/>
              <w:bottom w:val="single" w:sz="12" w:space="0" w:color="000000"/>
              <w:right w:val="single" w:sz="4" w:space="0" w:color="000000"/>
            </w:tcBorders>
            <w:shd w:val="clear" w:color="auto" w:fill="FFFFFF"/>
            <w:vAlign w:val="bottom"/>
          </w:tcPr>
          <w:p w14:paraId="7DE5361B"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P-DPN</w:t>
            </w:r>
          </w:p>
        </w:tc>
        <w:tc>
          <w:tcPr>
            <w:tcW w:w="1134" w:type="dxa"/>
            <w:tcBorders>
              <w:top w:val="single" w:sz="12" w:space="0" w:color="000000"/>
              <w:left w:val="nil"/>
              <w:bottom w:val="single" w:sz="12" w:space="0" w:color="000000"/>
              <w:right w:val="single" w:sz="4" w:space="0" w:color="000000"/>
            </w:tcBorders>
            <w:shd w:val="clear" w:color="auto" w:fill="FFFFFF"/>
            <w:vAlign w:val="bottom"/>
          </w:tcPr>
          <w:p w14:paraId="5D599900"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DPN</w:t>
            </w:r>
          </w:p>
        </w:tc>
        <w:tc>
          <w:tcPr>
            <w:tcW w:w="1276" w:type="dxa"/>
            <w:tcBorders>
              <w:top w:val="single" w:sz="12" w:space="0" w:color="000000"/>
              <w:left w:val="nil"/>
              <w:bottom w:val="single" w:sz="12" w:space="0" w:color="000000"/>
              <w:right w:val="single" w:sz="4" w:space="0" w:color="auto"/>
            </w:tcBorders>
            <w:shd w:val="clear" w:color="auto" w:fill="FFFFFF"/>
            <w:vAlign w:val="bottom"/>
          </w:tcPr>
          <w:p w14:paraId="514F841E" w14:textId="77777777" w:rsidR="009968E0" w:rsidRPr="009968E0" w:rsidRDefault="009968E0" w:rsidP="009968E0">
            <w:pPr>
              <w:jc w:val="center"/>
              <w:rPr>
                <w:rFonts w:ascii="Calibri" w:eastAsia="Arial" w:hAnsi="Calibri" w:cs="Calibri"/>
                <w:i/>
                <w:iCs/>
                <w:color w:val="000000"/>
                <w:sz w:val="22"/>
                <w:szCs w:val="22"/>
                <w:lang w:eastAsia="en-GB"/>
              </w:rPr>
            </w:pPr>
            <w:r w:rsidRPr="009968E0">
              <w:rPr>
                <w:rFonts w:ascii="Calibri" w:eastAsia="Arial" w:hAnsi="Calibri" w:cs="Calibri"/>
                <w:i/>
                <w:iCs/>
                <w:color w:val="000000"/>
                <w:sz w:val="22"/>
                <w:szCs w:val="22"/>
                <w:lang w:eastAsia="en-GB"/>
              </w:rPr>
              <w:t>DM-NN</w:t>
            </w:r>
          </w:p>
        </w:tc>
        <w:tc>
          <w:tcPr>
            <w:tcW w:w="992" w:type="dxa"/>
            <w:tcBorders>
              <w:top w:val="single" w:sz="12" w:space="0" w:color="000000"/>
              <w:left w:val="single" w:sz="4" w:space="0" w:color="auto"/>
              <w:bottom w:val="single" w:sz="12" w:space="0" w:color="000000"/>
              <w:right w:val="single" w:sz="12" w:space="0" w:color="000000"/>
            </w:tcBorders>
            <w:shd w:val="clear" w:color="auto" w:fill="FFFFFF"/>
            <w:vAlign w:val="bottom"/>
          </w:tcPr>
          <w:p w14:paraId="728C5B0C"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Arial" w:hAnsi="Calibri" w:cs="Calibri"/>
                <w:i/>
                <w:iCs/>
                <w:color w:val="000000"/>
                <w:sz w:val="22"/>
                <w:szCs w:val="22"/>
                <w:lang w:eastAsia="en-GB"/>
              </w:rPr>
              <w:t>HV</w:t>
            </w:r>
          </w:p>
        </w:tc>
      </w:tr>
      <w:tr w:rsidR="009968E0" w:rsidRPr="009968E0" w14:paraId="121FB2D5" w14:textId="77777777" w:rsidTr="009968E0">
        <w:trPr>
          <w:trHeight w:val="360"/>
        </w:trPr>
        <w:tc>
          <w:tcPr>
            <w:tcW w:w="1999" w:type="dxa"/>
            <w:vMerge w:val="restart"/>
            <w:tcBorders>
              <w:top w:val="nil"/>
              <w:left w:val="single" w:sz="12" w:space="0" w:color="000000"/>
              <w:bottom w:val="single" w:sz="4" w:space="0" w:color="000000"/>
              <w:right w:val="nil"/>
            </w:tcBorders>
            <w:shd w:val="clear" w:color="auto" w:fill="FDE9D9"/>
          </w:tcPr>
          <w:p w14:paraId="13305777"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Thigh thermal pain threshold (</w:t>
            </w:r>
            <w:r w:rsidRPr="009968E0">
              <w:rPr>
                <w:rFonts w:ascii="Calibri" w:eastAsia="Times New Roman" w:hAnsi="Calibri" w:cs="Calibri"/>
                <w:i/>
                <w:iCs/>
                <w:color w:val="000000"/>
                <w:sz w:val="22"/>
                <w:szCs w:val="22"/>
                <w:lang w:eastAsia="en-GB"/>
              </w:rPr>
              <w:sym w:font="Symbol" w:char="F0B0"/>
            </w:r>
            <w:r w:rsidRPr="009968E0">
              <w:rPr>
                <w:rFonts w:ascii="Calibri" w:eastAsia="Times New Roman" w:hAnsi="Calibri" w:cs="Calibri"/>
                <w:i/>
                <w:iCs/>
                <w:color w:val="000000"/>
                <w:sz w:val="22"/>
                <w:szCs w:val="22"/>
                <w:lang w:eastAsia="en-GB"/>
              </w:rPr>
              <w:t>C)</w:t>
            </w:r>
          </w:p>
        </w:tc>
        <w:tc>
          <w:tcPr>
            <w:tcW w:w="2975" w:type="dxa"/>
            <w:gridSpan w:val="2"/>
            <w:tcBorders>
              <w:top w:val="nil"/>
              <w:left w:val="nil"/>
              <w:bottom w:val="single" w:sz="4" w:space="0" w:color="000000"/>
              <w:right w:val="single" w:sz="12" w:space="0" w:color="000000"/>
            </w:tcBorders>
            <w:shd w:val="clear" w:color="auto" w:fill="FFFFFF"/>
          </w:tcPr>
          <w:p w14:paraId="409819E4"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w:t>
            </w:r>
          </w:p>
        </w:tc>
        <w:tc>
          <w:tcPr>
            <w:tcW w:w="1170" w:type="dxa"/>
            <w:tcBorders>
              <w:top w:val="nil"/>
              <w:left w:val="nil"/>
              <w:bottom w:val="single" w:sz="4" w:space="0" w:color="000000"/>
              <w:right w:val="single" w:sz="4" w:space="0" w:color="000000"/>
            </w:tcBorders>
            <w:shd w:val="clear" w:color="auto" w:fill="FFFFFF"/>
            <w:vAlign w:val="center"/>
          </w:tcPr>
          <w:p w14:paraId="2626195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19</w:t>
            </w:r>
          </w:p>
        </w:tc>
        <w:tc>
          <w:tcPr>
            <w:tcW w:w="1134" w:type="dxa"/>
            <w:tcBorders>
              <w:top w:val="nil"/>
              <w:left w:val="nil"/>
              <w:bottom w:val="single" w:sz="4" w:space="0" w:color="000000"/>
              <w:right w:val="single" w:sz="4" w:space="0" w:color="000000"/>
            </w:tcBorders>
            <w:shd w:val="clear" w:color="auto" w:fill="FFFFFF"/>
            <w:vAlign w:val="center"/>
          </w:tcPr>
          <w:p w14:paraId="1EA80750"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23</w:t>
            </w:r>
          </w:p>
        </w:tc>
        <w:tc>
          <w:tcPr>
            <w:tcW w:w="1276" w:type="dxa"/>
            <w:tcBorders>
              <w:top w:val="nil"/>
              <w:left w:val="nil"/>
              <w:bottom w:val="single" w:sz="4" w:space="0" w:color="000000"/>
              <w:right w:val="single" w:sz="4" w:space="0" w:color="auto"/>
            </w:tcBorders>
            <w:shd w:val="clear" w:color="auto" w:fill="FFFFFF"/>
            <w:vAlign w:val="center"/>
          </w:tcPr>
          <w:p w14:paraId="2F2D4B93"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13</w:t>
            </w:r>
          </w:p>
        </w:tc>
        <w:tc>
          <w:tcPr>
            <w:tcW w:w="992" w:type="dxa"/>
            <w:tcBorders>
              <w:top w:val="nil"/>
              <w:left w:val="single" w:sz="4" w:space="0" w:color="auto"/>
              <w:bottom w:val="single" w:sz="4" w:space="0" w:color="000000"/>
              <w:right w:val="single" w:sz="12" w:space="0" w:color="000000"/>
            </w:tcBorders>
            <w:shd w:val="clear" w:color="auto" w:fill="FFFFFF"/>
            <w:vAlign w:val="center"/>
          </w:tcPr>
          <w:p w14:paraId="77B91320"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19</w:t>
            </w:r>
          </w:p>
        </w:tc>
      </w:tr>
      <w:tr w:rsidR="009968E0" w:rsidRPr="009968E0" w14:paraId="77CE04F3" w14:textId="77777777" w:rsidTr="009968E0">
        <w:trPr>
          <w:trHeight w:val="360"/>
        </w:trPr>
        <w:tc>
          <w:tcPr>
            <w:tcW w:w="1999" w:type="dxa"/>
            <w:vMerge/>
            <w:tcBorders>
              <w:top w:val="nil"/>
              <w:left w:val="single" w:sz="12" w:space="0" w:color="000000"/>
              <w:bottom w:val="single" w:sz="4" w:space="0" w:color="000000"/>
              <w:right w:val="nil"/>
            </w:tcBorders>
            <w:shd w:val="clear" w:color="auto" w:fill="FDE9D9"/>
          </w:tcPr>
          <w:p w14:paraId="651C40C3"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975" w:type="dxa"/>
            <w:gridSpan w:val="2"/>
            <w:tcBorders>
              <w:top w:val="nil"/>
              <w:left w:val="nil"/>
              <w:bottom w:val="single" w:sz="4" w:space="0" w:color="000000"/>
              <w:right w:val="single" w:sz="12" w:space="0" w:color="000000"/>
            </w:tcBorders>
            <w:shd w:val="clear" w:color="auto" w:fill="FFFFFF"/>
          </w:tcPr>
          <w:p w14:paraId="07ED5934"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1170" w:type="dxa"/>
            <w:tcBorders>
              <w:top w:val="nil"/>
              <w:left w:val="nil"/>
              <w:bottom w:val="single" w:sz="4" w:space="0" w:color="000000"/>
              <w:right w:val="single" w:sz="4" w:space="0" w:color="000000"/>
            </w:tcBorders>
            <w:shd w:val="clear" w:color="auto" w:fill="FFFFFF"/>
            <w:vAlign w:val="center"/>
          </w:tcPr>
          <w:p w14:paraId="3783C3A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43.60</w:t>
            </w:r>
          </w:p>
        </w:tc>
        <w:tc>
          <w:tcPr>
            <w:tcW w:w="1134" w:type="dxa"/>
            <w:tcBorders>
              <w:top w:val="nil"/>
              <w:left w:val="nil"/>
              <w:bottom w:val="single" w:sz="4" w:space="0" w:color="000000"/>
              <w:right w:val="single" w:sz="4" w:space="0" w:color="000000"/>
            </w:tcBorders>
            <w:shd w:val="clear" w:color="auto" w:fill="FFFFFF"/>
            <w:vAlign w:val="center"/>
          </w:tcPr>
          <w:p w14:paraId="54F4E9F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41.56</w:t>
            </w:r>
          </w:p>
        </w:tc>
        <w:tc>
          <w:tcPr>
            <w:tcW w:w="1276" w:type="dxa"/>
            <w:tcBorders>
              <w:top w:val="nil"/>
              <w:left w:val="nil"/>
              <w:bottom w:val="single" w:sz="4" w:space="0" w:color="000000"/>
              <w:right w:val="single" w:sz="4" w:space="0" w:color="auto"/>
            </w:tcBorders>
            <w:shd w:val="clear" w:color="auto" w:fill="FFFFFF"/>
            <w:vAlign w:val="center"/>
          </w:tcPr>
          <w:p w14:paraId="52C10AA3"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41.81</w:t>
            </w:r>
          </w:p>
        </w:tc>
        <w:tc>
          <w:tcPr>
            <w:tcW w:w="992" w:type="dxa"/>
            <w:tcBorders>
              <w:top w:val="nil"/>
              <w:left w:val="single" w:sz="4" w:space="0" w:color="auto"/>
              <w:bottom w:val="single" w:sz="4" w:space="0" w:color="000000"/>
              <w:right w:val="single" w:sz="12" w:space="0" w:color="000000"/>
            </w:tcBorders>
            <w:shd w:val="clear" w:color="auto" w:fill="FFFFFF"/>
            <w:vAlign w:val="center"/>
          </w:tcPr>
          <w:p w14:paraId="52C201D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41.55</w:t>
            </w:r>
          </w:p>
        </w:tc>
      </w:tr>
      <w:tr w:rsidR="009968E0" w:rsidRPr="009968E0" w14:paraId="6C475464" w14:textId="77777777" w:rsidTr="009968E0">
        <w:trPr>
          <w:trHeight w:val="360"/>
        </w:trPr>
        <w:tc>
          <w:tcPr>
            <w:tcW w:w="1999" w:type="dxa"/>
            <w:vMerge/>
            <w:tcBorders>
              <w:top w:val="nil"/>
              <w:left w:val="single" w:sz="12" w:space="0" w:color="000000"/>
              <w:bottom w:val="single" w:sz="4" w:space="0" w:color="000000"/>
              <w:right w:val="nil"/>
            </w:tcBorders>
            <w:shd w:val="clear" w:color="auto" w:fill="FDE9D9"/>
          </w:tcPr>
          <w:p w14:paraId="35A0C8AD"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983" w:type="dxa"/>
            <w:vMerge w:val="restart"/>
            <w:tcBorders>
              <w:top w:val="nil"/>
              <w:left w:val="nil"/>
              <w:bottom w:val="single" w:sz="4" w:space="0" w:color="000000"/>
              <w:right w:val="nil"/>
            </w:tcBorders>
            <w:shd w:val="clear" w:color="auto" w:fill="FFFFFF"/>
          </w:tcPr>
          <w:p w14:paraId="743F6BFD"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 for Mean</w:t>
            </w:r>
          </w:p>
        </w:tc>
        <w:tc>
          <w:tcPr>
            <w:tcW w:w="992" w:type="dxa"/>
            <w:tcBorders>
              <w:top w:val="nil"/>
              <w:left w:val="nil"/>
              <w:bottom w:val="nil"/>
              <w:right w:val="single" w:sz="12" w:space="0" w:color="000000"/>
            </w:tcBorders>
            <w:shd w:val="clear" w:color="auto" w:fill="FFFFFF"/>
          </w:tcPr>
          <w:p w14:paraId="401EAC44"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1170" w:type="dxa"/>
            <w:tcBorders>
              <w:top w:val="nil"/>
              <w:left w:val="nil"/>
              <w:bottom w:val="nil"/>
              <w:right w:val="single" w:sz="4" w:space="0" w:color="000000"/>
            </w:tcBorders>
            <w:shd w:val="clear" w:color="auto" w:fill="FFFFFF"/>
            <w:vAlign w:val="center"/>
          </w:tcPr>
          <w:p w14:paraId="73C38125"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41.55</w:t>
            </w:r>
          </w:p>
        </w:tc>
        <w:tc>
          <w:tcPr>
            <w:tcW w:w="1134" w:type="dxa"/>
            <w:tcBorders>
              <w:top w:val="nil"/>
              <w:left w:val="nil"/>
              <w:bottom w:val="nil"/>
              <w:right w:val="single" w:sz="4" w:space="0" w:color="000000"/>
            </w:tcBorders>
            <w:shd w:val="clear" w:color="auto" w:fill="FFFFFF"/>
            <w:vAlign w:val="center"/>
          </w:tcPr>
          <w:p w14:paraId="2E3E5D7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39.50</w:t>
            </w:r>
          </w:p>
        </w:tc>
        <w:tc>
          <w:tcPr>
            <w:tcW w:w="1276" w:type="dxa"/>
            <w:tcBorders>
              <w:top w:val="nil"/>
              <w:left w:val="nil"/>
              <w:bottom w:val="nil"/>
              <w:right w:val="single" w:sz="4" w:space="0" w:color="auto"/>
            </w:tcBorders>
            <w:shd w:val="clear" w:color="auto" w:fill="FFFFFF"/>
            <w:vAlign w:val="center"/>
          </w:tcPr>
          <w:p w14:paraId="29950709"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39.76</w:t>
            </w:r>
          </w:p>
        </w:tc>
        <w:tc>
          <w:tcPr>
            <w:tcW w:w="992" w:type="dxa"/>
            <w:tcBorders>
              <w:top w:val="nil"/>
              <w:left w:val="single" w:sz="4" w:space="0" w:color="auto"/>
              <w:bottom w:val="nil"/>
              <w:right w:val="single" w:sz="12" w:space="0" w:color="000000"/>
            </w:tcBorders>
            <w:shd w:val="clear" w:color="auto" w:fill="FFFFFF"/>
            <w:vAlign w:val="center"/>
          </w:tcPr>
          <w:p w14:paraId="553BA575"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39.48</w:t>
            </w:r>
          </w:p>
        </w:tc>
      </w:tr>
      <w:tr w:rsidR="009968E0" w:rsidRPr="009968E0" w14:paraId="15B66255" w14:textId="77777777" w:rsidTr="009968E0">
        <w:trPr>
          <w:trHeight w:val="360"/>
        </w:trPr>
        <w:tc>
          <w:tcPr>
            <w:tcW w:w="1999" w:type="dxa"/>
            <w:vMerge/>
            <w:tcBorders>
              <w:top w:val="nil"/>
              <w:left w:val="single" w:sz="12" w:space="0" w:color="000000"/>
              <w:bottom w:val="single" w:sz="4" w:space="0" w:color="000000"/>
              <w:right w:val="nil"/>
            </w:tcBorders>
            <w:shd w:val="clear" w:color="auto" w:fill="FDE9D9"/>
          </w:tcPr>
          <w:p w14:paraId="077D66D5"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983" w:type="dxa"/>
            <w:vMerge/>
            <w:tcBorders>
              <w:top w:val="nil"/>
              <w:left w:val="nil"/>
              <w:bottom w:val="single" w:sz="4" w:space="0" w:color="000000"/>
              <w:right w:val="nil"/>
            </w:tcBorders>
            <w:shd w:val="clear" w:color="auto" w:fill="FFFFFF"/>
          </w:tcPr>
          <w:p w14:paraId="70DEBF6F"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992" w:type="dxa"/>
            <w:tcBorders>
              <w:top w:val="nil"/>
              <w:left w:val="nil"/>
              <w:bottom w:val="single" w:sz="4" w:space="0" w:color="000000"/>
              <w:right w:val="single" w:sz="12" w:space="0" w:color="000000"/>
            </w:tcBorders>
            <w:shd w:val="clear" w:color="auto" w:fill="FFFFFF"/>
          </w:tcPr>
          <w:p w14:paraId="2C62FF29"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1170" w:type="dxa"/>
            <w:tcBorders>
              <w:top w:val="nil"/>
              <w:left w:val="nil"/>
              <w:bottom w:val="single" w:sz="4" w:space="0" w:color="000000"/>
              <w:right w:val="single" w:sz="4" w:space="0" w:color="000000"/>
            </w:tcBorders>
            <w:shd w:val="clear" w:color="auto" w:fill="FFFFFF"/>
            <w:vAlign w:val="center"/>
          </w:tcPr>
          <w:p w14:paraId="6CE388D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45.65</w:t>
            </w:r>
          </w:p>
        </w:tc>
        <w:tc>
          <w:tcPr>
            <w:tcW w:w="1134" w:type="dxa"/>
            <w:tcBorders>
              <w:top w:val="nil"/>
              <w:left w:val="nil"/>
              <w:bottom w:val="single" w:sz="4" w:space="0" w:color="000000"/>
              <w:right w:val="single" w:sz="4" w:space="0" w:color="000000"/>
            </w:tcBorders>
            <w:shd w:val="clear" w:color="auto" w:fill="FFFFFF"/>
            <w:vAlign w:val="center"/>
          </w:tcPr>
          <w:p w14:paraId="700625E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43.63</w:t>
            </w:r>
          </w:p>
        </w:tc>
        <w:tc>
          <w:tcPr>
            <w:tcW w:w="1276" w:type="dxa"/>
            <w:tcBorders>
              <w:top w:val="nil"/>
              <w:left w:val="nil"/>
              <w:bottom w:val="single" w:sz="4" w:space="0" w:color="000000"/>
              <w:right w:val="single" w:sz="4" w:space="0" w:color="auto"/>
            </w:tcBorders>
            <w:shd w:val="clear" w:color="auto" w:fill="FFFFFF"/>
            <w:vAlign w:val="center"/>
          </w:tcPr>
          <w:p w14:paraId="36E901EF"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43.86</w:t>
            </w:r>
          </w:p>
        </w:tc>
        <w:tc>
          <w:tcPr>
            <w:tcW w:w="992" w:type="dxa"/>
            <w:tcBorders>
              <w:top w:val="nil"/>
              <w:left w:val="single" w:sz="4" w:space="0" w:color="auto"/>
              <w:bottom w:val="single" w:sz="4" w:space="0" w:color="000000"/>
              <w:right w:val="single" w:sz="12" w:space="0" w:color="000000"/>
            </w:tcBorders>
            <w:shd w:val="clear" w:color="auto" w:fill="FFFFFF"/>
            <w:vAlign w:val="center"/>
          </w:tcPr>
          <w:p w14:paraId="23FC00C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43.62</w:t>
            </w:r>
          </w:p>
        </w:tc>
      </w:tr>
      <w:tr w:rsidR="009968E0" w:rsidRPr="009968E0" w14:paraId="09C75F45" w14:textId="77777777" w:rsidTr="009968E0">
        <w:trPr>
          <w:trHeight w:val="360"/>
        </w:trPr>
        <w:tc>
          <w:tcPr>
            <w:tcW w:w="9546" w:type="dxa"/>
            <w:gridSpan w:val="7"/>
            <w:tcBorders>
              <w:top w:val="nil"/>
              <w:left w:val="single" w:sz="12" w:space="0" w:color="000000"/>
              <w:bottom w:val="single" w:sz="4" w:space="0" w:color="000000"/>
              <w:right w:val="single" w:sz="12" w:space="0" w:color="000000"/>
            </w:tcBorders>
            <w:shd w:val="clear" w:color="auto" w:fill="FFFFFF"/>
            <w:vAlign w:val="center"/>
          </w:tcPr>
          <w:p w14:paraId="10E7056A"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p=0.391</w:t>
            </w:r>
          </w:p>
        </w:tc>
      </w:tr>
      <w:tr w:rsidR="009968E0" w:rsidRPr="009968E0" w14:paraId="56C4D0FF" w14:textId="77777777" w:rsidTr="009968E0">
        <w:trPr>
          <w:trHeight w:val="360"/>
        </w:trPr>
        <w:tc>
          <w:tcPr>
            <w:tcW w:w="1999" w:type="dxa"/>
            <w:vMerge w:val="restart"/>
            <w:tcBorders>
              <w:top w:val="nil"/>
              <w:left w:val="single" w:sz="12" w:space="0" w:color="000000"/>
              <w:bottom w:val="single" w:sz="4" w:space="0" w:color="000000"/>
              <w:right w:val="nil"/>
            </w:tcBorders>
            <w:shd w:val="clear" w:color="auto" w:fill="FDE9D9"/>
          </w:tcPr>
          <w:p w14:paraId="409E908A"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thermal temp 7/10 (</w:t>
            </w:r>
            <w:r w:rsidRPr="009968E0">
              <w:rPr>
                <w:rFonts w:ascii="Calibri" w:eastAsia="Times New Roman" w:hAnsi="Calibri" w:cs="Calibri"/>
                <w:i/>
                <w:iCs/>
                <w:color w:val="000000"/>
                <w:sz w:val="22"/>
                <w:szCs w:val="22"/>
                <w:lang w:eastAsia="en-GB"/>
              </w:rPr>
              <w:sym w:font="Symbol" w:char="F0B0"/>
            </w:r>
            <w:r w:rsidRPr="009968E0">
              <w:rPr>
                <w:rFonts w:ascii="Calibri" w:eastAsia="Times New Roman" w:hAnsi="Calibri" w:cs="Calibri"/>
                <w:i/>
                <w:iCs/>
                <w:color w:val="000000"/>
                <w:sz w:val="22"/>
                <w:szCs w:val="22"/>
                <w:lang w:eastAsia="en-GB"/>
              </w:rPr>
              <w:t>C)</w:t>
            </w:r>
          </w:p>
        </w:tc>
        <w:tc>
          <w:tcPr>
            <w:tcW w:w="2975" w:type="dxa"/>
            <w:gridSpan w:val="2"/>
            <w:tcBorders>
              <w:top w:val="nil"/>
              <w:left w:val="nil"/>
              <w:bottom w:val="single" w:sz="4" w:space="0" w:color="000000"/>
              <w:right w:val="single" w:sz="12" w:space="0" w:color="000000"/>
            </w:tcBorders>
            <w:shd w:val="clear" w:color="auto" w:fill="FFFFFF"/>
          </w:tcPr>
          <w:p w14:paraId="1E1BD9FF"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w:t>
            </w:r>
          </w:p>
        </w:tc>
        <w:tc>
          <w:tcPr>
            <w:tcW w:w="1170" w:type="dxa"/>
            <w:tcBorders>
              <w:top w:val="nil"/>
              <w:left w:val="nil"/>
              <w:bottom w:val="single" w:sz="4" w:space="0" w:color="000000"/>
              <w:right w:val="single" w:sz="4" w:space="0" w:color="000000"/>
            </w:tcBorders>
            <w:shd w:val="clear" w:color="auto" w:fill="FFFFFF"/>
            <w:vAlign w:val="center"/>
          </w:tcPr>
          <w:p w14:paraId="2D86D9A3"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19</w:t>
            </w:r>
          </w:p>
        </w:tc>
        <w:tc>
          <w:tcPr>
            <w:tcW w:w="1134" w:type="dxa"/>
            <w:tcBorders>
              <w:top w:val="nil"/>
              <w:left w:val="nil"/>
              <w:bottom w:val="single" w:sz="4" w:space="0" w:color="000000"/>
              <w:right w:val="single" w:sz="4" w:space="0" w:color="000000"/>
            </w:tcBorders>
            <w:shd w:val="clear" w:color="auto" w:fill="FFFFFF"/>
            <w:vAlign w:val="center"/>
          </w:tcPr>
          <w:p w14:paraId="29581F6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23</w:t>
            </w:r>
          </w:p>
        </w:tc>
        <w:tc>
          <w:tcPr>
            <w:tcW w:w="1276" w:type="dxa"/>
            <w:tcBorders>
              <w:top w:val="nil"/>
              <w:left w:val="nil"/>
              <w:bottom w:val="single" w:sz="4" w:space="0" w:color="000000"/>
              <w:right w:val="single" w:sz="4" w:space="0" w:color="auto"/>
            </w:tcBorders>
            <w:shd w:val="clear" w:color="auto" w:fill="FFFFFF"/>
            <w:vAlign w:val="center"/>
          </w:tcPr>
          <w:p w14:paraId="34BA70F0"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13</w:t>
            </w:r>
          </w:p>
        </w:tc>
        <w:tc>
          <w:tcPr>
            <w:tcW w:w="992" w:type="dxa"/>
            <w:tcBorders>
              <w:top w:val="nil"/>
              <w:left w:val="single" w:sz="4" w:space="0" w:color="auto"/>
              <w:bottom w:val="single" w:sz="4" w:space="0" w:color="000000"/>
              <w:right w:val="single" w:sz="12" w:space="0" w:color="000000"/>
            </w:tcBorders>
            <w:shd w:val="clear" w:color="auto" w:fill="FFFFFF"/>
            <w:vAlign w:val="center"/>
          </w:tcPr>
          <w:p w14:paraId="6F8B86F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19</w:t>
            </w:r>
          </w:p>
        </w:tc>
      </w:tr>
      <w:tr w:rsidR="009968E0" w:rsidRPr="009968E0" w14:paraId="7DD37C02" w14:textId="77777777" w:rsidTr="009968E0">
        <w:trPr>
          <w:trHeight w:val="360"/>
        </w:trPr>
        <w:tc>
          <w:tcPr>
            <w:tcW w:w="1999" w:type="dxa"/>
            <w:vMerge/>
            <w:tcBorders>
              <w:top w:val="nil"/>
              <w:left w:val="single" w:sz="12" w:space="0" w:color="000000"/>
              <w:bottom w:val="single" w:sz="4" w:space="0" w:color="000000"/>
              <w:right w:val="nil"/>
            </w:tcBorders>
            <w:shd w:val="clear" w:color="auto" w:fill="FDE9D9"/>
          </w:tcPr>
          <w:p w14:paraId="5792B3CE"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975" w:type="dxa"/>
            <w:gridSpan w:val="2"/>
            <w:tcBorders>
              <w:top w:val="nil"/>
              <w:left w:val="nil"/>
              <w:bottom w:val="single" w:sz="4" w:space="0" w:color="000000"/>
              <w:right w:val="single" w:sz="12" w:space="0" w:color="000000"/>
            </w:tcBorders>
            <w:shd w:val="clear" w:color="auto" w:fill="FFFFFF"/>
          </w:tcPr>
          <w:p w14:paraId="3208D8A1"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1170" w:type="dxa"/>
            <w:tcBorders>
              <w:top w:val="nil"/>
              <w:left w:val="nil"/>
              <w:bottom w:val="single" w:sz="4" w:space="0" w:color="000000"/>
              <w:right w:val="single" w:sz="4" w:space="0" w:color="000000"/>
            </w:tcBorders>
            <w:shd w:val="clear" w:color="auto" w:fill="FFFFFF"/>
            <w:vAlign w:val="center"/>
          </w:tcPr>
          <w:p w14:paraId="186B5675"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46.21</w:t>
            </w:r>
          </w:p>
        </w:tc>
        <w:tc>
          <w:tcPr>
            <w:tcW w:w="1134" w:type="dxa"/>
            <w:tcBorders>
              <w:top w:val="nil"/>
              <w:left w:val="nil"/>
              <w:bottom w:val="single" w:sz="4" w:space="0" w:color="000000"/>
              <w:right w:val="single" w:sz="4" w:space="0" w:color="000000"/>
            </w:tcBorders>
            <w:shd w:val="clear" w:color="auto" w:fill="FFFFFF"/>
            <w:vAlign w:val="center"/>
          </w:tcPr>
          <w:p w14:paraId="68E0824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45.10</w:t>
            </w:r>
          </w:p>
        </w:tc>
        <w:tc>
          <w:tcPr>
            <w:tcW w:w="1276" w:type="dxa"/>
            <w:tcBorders>
              <w:top w:val="nil"/>
              <w:left w:val="nil"/>
              <w:bottom w:val="single" w:sz="4" w:space="0" w:color="000000"/>
              <w:right w:val="single" w:sz="4" w:space="0" w:color="auto"/>
            </w:tcBorders>
            <w:shd w:val="clear" w:color="auto" w:fill="FFFFFF"/>
            <w:vAlign w:val="center"/>
          </w:tcPr>
          <w:p w14:paraId="07F37581"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45.66</w:t>
            </w:r>
          </w:p>
        </w:tc>
        <w:tc>
          <w:tcPr>
            <w:tcW w:w="992" w:type="dxa"/>
            <w:tcBorders>
              <w:top w:val="nil"/>
              <w:left w:val="single" w:sz="4" w:space="0" w:color="auto"/>
              <w:bottom w:val="single" w:sz="4" w:space="0" w:color="000000"/>
              <w:right w:val="single" w:sz="12" w:space="0" w:color="000000"/>
            </w:tcBorders>
            <w:shd w:val="clear" w:color="auto" w:fill="FFFFFF"/>
            <w:vAlign w:val="center"/>
          </w:tcPr>
          <w:p w14:paraId="21EF8BD0"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46.65</w:t>
            </w:r>
          </w:p>
        </w:tc>
      </w:tr>
      <w:tr w:rsidR="009968E0" w:rsidRPr="009968E0" w14:paraId="561BE827" w14:textId="77777777" w:rsidTr="009968E0">
        <w:trPr>
          <w:trHeight w:val="360"/>
        </w:trPr>
        <w:tc>
          <w:tcPr>
            <w:tcW w:w="1999" w:type="dxa"/>
            <w:vMerge/>
            <w:tcBorders>
              <w:top w:val="nil"/>
              <w:left w:val="single" w:sz="12" w:space="0" w:color="000000"/>
              <w:bottom w:val="single" w:sz="4" w:space="0" w:color="000000"/>
              <w:right w:val="nil"/>
            </w:tcBorders>
            <w:shd w:val="clear" w:color="auto" w:fill="FDE9D9"/>
          </w:tcPr>
          <w:p w14:paraId="35494393"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983" w:type="dxa"/>
            <w:vMerge w:val="restart"/>
            <w:tcBorders>
              <w:top w:val="nil"/>
              <w:left w:val="nil"/>
              <w:bottom w:val="single" w:sz="4" w:space="0" w:color="000000"/>
              <w:right w:val="nil"/>
            </w:tcBorders>
            <w:shd w:val="clear" w:color="auto" w:fill="FFFFFF"/>
          </w:tcPr>
          <w:p w14:paraId="56B23924"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 for Mean</w:t>
            </w:r>
          </w:p>
        </w:tc>
        <w:tc>
          <w:tcPr>
            <w:tcW w:w="992" w:type="dxa"/>
            <w:tcBorders>
              <w:top w:val="nil"/>
              <w:left w:val="nil"/>
              <w:bottom w:val="nil"/>
              <w:right w:val="single" w:sz="12" w:space="0" w:color="000000"/>
            </w:tcBorders>
            <w:shd w:val="clear" w:color="auto" w:fill="FFFFFF"/>
          </w:tcPr>
          <w:p w14:paraId="0E46F2A6"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1170" w:type="dxa"/>
            <w:tcBorders>
              <w:top w:val="nil"/>
              <w:left w:val="nil"/>
              <w:bottom w:val="nil"/>
              <w:right w:val="single" w:sz="4" w:space="0" w:color="000000"/>
            </w:tcBorders>
            <w:shd w:val="clear" w:color="auto" w:fill="FFFFFF"/>
            <w:vAlign w:val="center"/>
          </w:tcPr>
          <w:p w14:paraId="52D7723E"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45.52</w:t>
            </w:r>
          </w:p>
        </w:tc>
        <w:tc>
          <w:tcPr>
            <w:tcW w:w="1134" w:type="dxa"/>
            <w:tcBorders>
              <w:top w:val="nil"/>
              <w:left w:val="nil"/>
              <w:bottom w:val="nil"/>
              <w:right w:val="single" w:sz="4" w:space="0" w:color="000000"/>
            </w:tcBorders>
            <w:shd w:val="clear" w:color="auto" w:fill="FFFFFF"/>
            <w:vAlign w:val="center"/>
          </w:tcPr>
          <w:p w14:paraId="2E46873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44.12</w:t>
            </w:r>
          </w:p>
        </w:tc>
        <w:tc>
          <w:tcPr>
            <w:tcW w:w="1276" w:type="dxa"/>
            <w:tcBorders>
              <w:top w:val="nil"/>
              <w:left w:val="nil"/>
              <w:bottom w:val="nil"/>
              <w:right w:val="single" w:sz="4" w:space="0" w:color="auto"/>
            </w:tcBorders>
            <w:shd w:val="clear" w:color="auto" w:fill="FFFFFF"/>
            <w:vAlign w:val="center"/>
          </w:tcPr>
          <w:p w14:paraId="62BF43BE"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44.73</w:t>
            </w:r>
          </w:p>
        </w:tc>
        <w:tc>
          <w:tcPr>
            <w:tcW w:w="992" w:type="dxa"/>
            <w:tcBorders>
              <w:top w:val="nil"/>
              <w:left w:val="single" w:sz="4" w:space="0" w:color="auto"/>
              <w:bottom w:val="nil"/>
              <w:right w:val="single" w:sz="12" w:space="0" w:color="000000"/>
            </w:tcBorders>
            <w:shd w:val="clear" w:color="auto" w:fill="FFFFFF"/>
            <w:vAlign w:val="center"/>
          </w:tcPr>
          <w:p w14:paraId="5E96B14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46.08</w:t>
            </w:r>
          </w:p>
        </w:tc>
      </w:tr>
      <w:tr w:rsidR="009968E0" w:rsidRPr="009968E0" w14:paraId="17C990CE" w14:textId="77777777" w:rsidTr="009968E0">
        <w:trPr>
          <w:trHeight w:val="360"/>
        </w:trPr>
        <w:tc>
          <w:tcPr>
            <w:tcW w:w="1999" w:type="dxa"/>
            <w:vMerge/>
            <w:tcBorders>
              <w:top w:val="nil"/>
              <w:left w:val="single" w:sz="12" w:space="0" w:color="000000"/>
              <w:bottom w:val="single" w:sz="4" w:space="0" w:color="000000"/>
              <w:right w:val="nil"/>
            </w:tcBorders>
            <w:shd w:val="clear" w:color="auto" w:fill="FDE9D9"/>
          </w:tcPr>
          <w:p w14:paraId="07A60793"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983" w:type="dxa"/>
            <w:vMerge/>
            <w:tcBorders>
              <w:top w:val="nil"/>
              <w:left w:val="nil"/>
              <w:bottom w:val="single" w:sz="4" w:space="0" w:color="000000"/>
              <w:right w:val="nil"/>
            </w:tcBorders>
            <w:shd w:val="clear" w:color="auto" w:fill="FFFFFF"/>
          </w:tcPr>
          <w:p w14:paraId="077D38FF"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992" w:type="dxa"/>
            <w:tcBorders>
              <w:top w:val="nil"/>
              <w:left w:val="nil"/>
              <w:bottom w:val="single" w:sz="4" w:space="0" w:color="000000"/>
              <w:right w:val="single" w:sz="12" w:space="0" w:color="000000"/>
            </w:tcBorders>
            <w:shd w:val="clear" w:color="auto" w:fill="FFFFFF"/>
          </w:tcPr>
          <w:p w14:paraId="6A0030A7"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1170" w:type="dxa"/>
            <w:tcBorders>
              <w:top w:val="nil"/>
              <w:left w:val="nil"/>
              <w:bottom w:val="single" w:sz="4" w:space="0" w:color="000000"/>
              <w:right w:val="single" w:sz="4" w:space="0" w:color="000000"/>
            </w:tcBorders>
            <w:shd w:val="clear" w:color="auto" w:fill="FFFFFF"/>
            <w:vAlign w:val="center"/>
          </w:tcPr>
          <w:p w14:paraId="24576258"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46.90</w:t>
            </w:r>
          </w:p>
        </w:tc>
        <w:tc>
          <w:tcPr>
            <w:tcW w:w="1134" w:type="dxa"/>
            <w:tcBorders>
              <w:top w:val="nil"/>
              <w:left w:val="nil"/>
              <w:bottom w:val="single" w:sz="4" w:space="0" w:color="000000"/>
              <w:right w:val="single" w:sz="4" w:space="0" w:color="000000"/>
            </w:tcBorders>
            <w:shd w:val="clear" w:color="auto" w:fill="FFFFFF"/>
            <w:vAlign w:val="center"/>
          </w:tcPr>
          <w:p w14:paraId="47647E1E"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46.08</w:t>
            </w:r>
          </w:p>
        </w:tc>
        <w:tc>
          <w:tcPr>
            <w:tcW w:w="1276" w:type="dxa"/>
            <w:tcBorders>
              <w:top w:val="nil"/>
              <w:left w:val="nil"/>
              <w:bottom w:val="single" w:sz="4" w:space="0" w:color="000000"/>
              <w:right w:val="single" w:sz="4" w:space="0" w:color="auto"/>
            </w:tcBorders>
            <w:shd w:val="clear" w:color="auto" w:fill="FFFFFF"/>
            <w:vAlign w:val="center"/>
          </w:tcPr>
          <w:p w14:paraId="75472EEB"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46.60</w:t>
            </w:r>
          </w:p>
        </w:tc>
        <w:tc>
          <w:tcPr>
            <w:tcW w:w="992" w:type="dxa"/>
            <w:tcBorders>
              <w:top w:val="nil"/>
              <w:left w:val="single" w:sz="4" w:space="0" w:color="auto"/>
              <w:bottom w:val="single" w:sz="4" w:space="0" w:color="000000"/>
              <w:right w:val="single" w:sz="12" w:space="0" w:color="000000"/>
            </w:tcBorders>
            <w:shd w:val="clear" w:color="auto" w:fill="FFFFFF"/>
            <w:vAlign w:val="center"/>
          </w:tcPr>
          <w:p w14:paraId="46DFEE6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47.23</w:t>
            </w:r>
          </w:p>
        </w:tc>
      </w:tr>
      <w:tr w:rsidR="009968E0" w:rsidRPr="009968E0" w14:paraId="5F24FD7B" w14:textId="77777777" w:rsidTr="009968E0">
        <w:trPr>
          <w:trHeight w:val="360"/>
        </w:trPr>
        <w:tc>
          <w:tcPr>
            <w:tcW w:w="9546" w:type="dxa"/>
            <w:gridSpan w:val="7"/>
            <w:tcBorders>
              <w:top w:val="nil"/>
              <w:left w:val="single" w:sz="12" w:space="0" w:color="000000"/>
              <w:bottom w:val="single" w:sz="4" w:space="0" w:color="000000"/>
              <w:right w:val="single" w:sz="12" w:space="0" w:color="000000"/>
            </w:tcBorders>
            <w:shd w:val="clear" w:color="auto" w:fill="FFFFFF"/>
            <w:vAlign w:val="center"/>
          </w:tcPr>
          <w:p w14:paraId="2AC4E8D5"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p=0.028</w:t>
            </w:r>
            <w:r w:rsidRPr="009968E0">
              <w:rPr>
                <w:rFonts w:ascii="Calibri" w:eastAsia="Times New Roman" w:hAnsi="Calibri" w:cs="Calibri"/>
                <w:i/>
                <w:iCs/>
                <w:color w:val="000000"/>
                <w:sz w:val="22"/>
                <w:szCs w:val="22"/>
                <w:vertAlign w:val="superscript"/>
                <w:lang w:eastAsia="en-GB"/>
              </w:rPr>
              <w:t>b</w:t>
            </w:r>
          </w:p>
        </w:tc>
      </w:tr>
      <w:tr w:rsidR="009968E0" w:rsidRPr="009968E0" w14:paraId="06791B0B" w14:textId="77777777" w:rsidTr="009968E0">
        <w:trPr>
          <w:trHeight w:val="360"/>
        </w:trPr>
        <w:tc>
          <w:tcPr>
            <w:tcW w:w="1999" w:type="dxa"/>
            <w:vMerge w:val="restart"/>
            <w:tcBorders>
              <w:top w:val="nil"/>
              <w:left w:val="single" w:sz="12" w:space="0" w:color="000000"/>
              <w:bottom w:val="single" w:sz="4" w:space="0" w:color="000000"/>
              <w:right w:val="nil"/>
            </w:tcBorders>
            <w:shd w:val="clear" w:color="auto" w:fill="FDE9D9"/>
          </w:tcPr>
          <w:p w14:paraId="291D4A2D"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Scan thermal temperature (</w:t>
            </w:r>
            <w:r w:rsidRPr="009968E0">
              <w:rPr>
                <w:rFonts w:ascii="Calibri" w:eastAsia="Times New Roman" w:hAnsi="Calibri" w:cs="Calibri"/>
                <w:i/>
                <w:iCs/>
                <w:color w:val="000000"/>
                <w:sz w:val="22"/>
                <w:szCs w:val="22"/>
                <w:lang w:eastAsia="en-GB"/>
              </w:rPr>
              <w:sym w:font="Symbol" w:char="F0B0"/>
            </w:r>
            <w:r w:rsidRPr="009968E0">
              <w:rPr>
                <w:rFonts w:ascii="Calibri" w:eastAsia="Times New Roman" w:hAnsi="Calibri" w:cs="Calibri"/>
                <w:i/>
                <w:iCs/>
                <w:color w:val="000000"/>
                <w:sz w:val="22"/>
                <w:szCs w:val="22"/>
                <w:lang w:eastAsia="en-GB"/>
              </w:rPr>
              <w:t>C)</w:t>
            </w:r>
          </w:p>
        </w:tc>
        <w:tc>
          <w:tcPr>
            <w:tcW w:w="2975" w:type="dxa"/>
            <w:gridSpan w:val="2"/>
            <w:tcBorders>
              <w:top w:val="nil"/>
              <w:left w:val="nil"/>
              <w:bottom w:val="single" w:sz="4" w:space="0" w:color="000000"/>
              <w:right w:val="single" w:sz="12" w:space="0" w:color="000000"/>
            </w:tcBorders>
            <w:shd w:val="clear" w:color="auto" w:fill="FFFFFF"/>
          </w:tcPr>
          <w:p w14:paraId="63B368CD"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w:t>
            </w:r>
          </w:p>
        </w:tc>
        <w:tc>
          <w:tcPr>
            <w:tcW w:w="1170" w:type="dxa"/>
            <w:tcBorders>
              <w:top w:val="nil"/>
              <w:left w:val="nil"/>
              <w:bottom w:val="single" w:sz="4" w:space="0" w:color="000000"/>
              <w:right w:val="single" w:sz="4" w:space="0" w:color="000000"/>
            </w:tcBorders>
            <w:shd w:val="clear" w:color="auto" w:fill="FFFFFF"/>
            <w:vAlign w:val="center"/>
          </w:tcPr>
          <w:p w14:paraId="74C8731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19</w:t>
            </w:r>
          </w:p>
        </w:tc>
        <w:tc>
          <w:tcPr>
            <w:tcW w:w="1134" w:type="dxa"/>
            <w:tcBorders>
              <w:top w:val="nil"/>
              <w:left w:val="nil"/>
              <w:bottom w:val="single" w:sz="4" w:space="0" w:color="000000"/>
              <w:right w:val="single" w:sz="4" w:space="0" w:color="000000"/>
            </w:tcBorders>
            <w:shd w:val="clear" w:color="auto" w:fill="FFFFFF"/>
            <w:vAlign w:val="center"/>
          </w:tcPr>
          <w:p w14:paraId="48F4F5E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23</w:t>
            </w:r>
          </w:p>
        </w:tc>
        <w:tc>
          <w:tcPr>
            <w:tcW w:w="1276" w:type="dxa"/>
            <w:tcBorders>
              <w:top w:val="nil"/>
              <w:left w:val="nil"/>
              <w:bottom w:val="single" w:sz="4" w:space="0" w:color="000000"/>
              <w:right w:val="single" w:sz="4" w:space="0" w:color="auto"/>
            </w:tcBorders>
            <w:shd w:val="clear" w:color="auto" w:fill="FFFFFF"/>
            <w:vAlign w:val="center"/>
          </w:tcPr>
          <w:p w14:paraId="788B6F91"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13</w:t>
            </w:r>
          </w:p>
        </w:tc>
        <w:tc>
          <w:tcPr>
            <w:tcW w:w="992" w:type="dxa"/>
            <w:tcBorders>
              <w:top w:val="nil"/>
              <w:left w:val="single" w:sz="4" w:space="0" w:color="auto"/>
              <w:bottom w:val="single" w:sz="4" w:space="0" w:color="000000"/>
              <w:right w:val="single" w:sz="12" w:space="0" w:color="000000"/>
            </w:tcBorders>
            <w:shd w:val="clear" w:color="auto" w:fill="FFFFFF"/>
            <w:vAlign w:val="center"/>
          </w:tcPr>
          <w:p w14:paraId="1844122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13</w:t>
            </w:r>
          </w:p>
        </w:tc>
      </w:tr>
      <w:tr w:rsidR="009968E0" w:rsidRPr="009968E0" w14:paraId="221938A5" w14:textId="77777777" w:rsidTr="009968E0">
        <w:trPr>
          <w:trHeight w:val="360"/>
        </w:trPr>
        <w:tc>
          <w:tcPr>
            <w:tcW w:w="1999" w:type="dxa"/>
            <w:vMerge/>
            <w:tcBorders>
              <w:top w:val="nil"/>
              <w:left w:val="single" w:sz="12" w:space="0" w:color="000000"/>
              <w:bottom w:val="single" w:sz="4" w:space="0" w:color="000000"/>
              <w:right w:val="nil"/>
            </w:tcBorders>
            <w:shd w:val="clear" w:color="auto" w:fill="FDE9D9"/>
          </w:tcPr>
          <w:p w14:paraId="6F0F234D"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975" w:type="dxa"/>
            <w:gridSpan w:val="2"/>
            <w:tcBorders>
              <w:top w:val="nil"/>
              <w:left w:val="nil"/>
              <w:bottom w:val="single" w:sz="4" w:space="0" w:color="000000"/>
              <w:right w:val="single" w:sz="12" w:space="0" w:color="000000"/>
            </w:tcBorders>
            <w:shd w:val="clear" w:color="auto" w:fill="FFFFFF"/>
          </w:tcPr>
          <w:p w14:paraId="32CA248E"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1170" w:type="dxa"/>
            <w:tcBorders>
              <w:top w:val="nil"/>
              <w:left w:val="nil"/>
              <w:bottom w:val="single" w:sz="4" w:space="0" w:color="000000"/>
              <w:right w:val="single" w:sz="4" w:space="0" w:color="000000"/>
            </w:tcBorders>
            <w:shd w:val="clear" w:color="auto" w:fill="FFFFFF"/>
            <w:vAlign w:val="center"/>
          </w:tcPr>
          <w:p w14:paraId="0FE91E80"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45.76</w:t>
            </w:r>
          </w:p>
        </w:tc>
        <w:tc>
          <w:tcPr>
            <w:tcW w:w="1134" w:type="dxa"/>
            <w:tcBorders>
              <w:top w:val="nil"/>
              <w:left w:val="nil"/>
              <w:bottom w:val="single" w:sz="4" w:space="0" w:color="000000"/>
              <w:right w:val="single" w:sz="4" w:space="0" w:color="000000"/>
            </w:tcBorders>
            <w:shd w:val="clear" w:color="auto" w:fill="FFFFFF"/>
            <w:vAlign w:val="center"/>
          </w:tcPr>
          <w:p w14:paraId="7D43CFD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45.41</w:t>
            </w:r>
          </w:p>
        </w:tc>
        <w:tc>
          <w:tcPr>
            <w:tcW w:w="1276" w:type="dxa"/>
            <w:tcBorders>
              <w:top w:val="nil"/>
              <w:left w:val="nil"/>
              <w:bottom w:val="single" w:sz="4" w:space="0" w:color="000000"/>
              <w:right w:val="single" w:sz="4" w:space="0" w:color="auto"/>
            </w:tcBorders>
            <w:shd w:val="clear" w:color="auto" w:fill="FFFFFF"/>
            <w:vAlign w:val="center"/>
          </w:tcPr>
          <w:p w14:paraId="2D8965EA"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45.50</w:t>
            </w:r>
          </w:p>
        </w:tc>
        <w:tc>
          <w:tcPr>
            <w:tcW w:w="992" w:type="dxa"/>
            <w:tcBorders>
              <w:top w:val="nil"/>
              <w:left w:val="single" w:sz="4" w:space="0" w:color="auto"/>
              <w:bottom w:val="single" w:sz="4" w:space="0" w:color="000000"/>
              <w:right w:val="single" w:sz="12" w:space="0" w:color="000000"/>
            </w:tcBorders>
            <w:shd w:val="clear" w:color="auto" w:fill="FFFFFF"/>
            <w:vAlign w:val="center"/>
          </w:tcPr>
          <w:p w14:paraId="0B1790C3"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46.03</w:t>
            </w:r>
          </w:p>
        </w:tc>
      </w:tr>
      <w:tr w:rsidR="009968E0" w:rsidRPr="009968E0" w14:paraId="482F0F46" w14:textId="77777777" w:rsidTr="009968E0">
        <w:trPr>
          <w:trHeight w:val="360"/>
        </w:trPr>
        <w:tc>
          <w:tcPr>
            <w:tcW w:w="1999" w:type="dxa"/>
            <w:vMerge/>
            <w:tcBorders>
              <w:top w:val="nil"/>
              <w:left w:val="single" w:sz="12" w:space="0" w:color="000000"/>
              <w:bottom w:val="single" w:sz="4" w:space="0" w:color="000000"/>
              <w:right w:val="nil"/>
            </w:tcBorders>
            <w:shd w:val="clear" w:color="auto" w:fill="FDE9D9"/>
          </w:tcPr>
          <w:p w14:paraId="3C9EE76F"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983" w:type="dxa"/>
            <w:vMerge w:val="restart"/>
            <w:tcBorders>
              <w:top w:val="nil"/>
              <w:left w:val="nil"/>
              <w:bottom w:val="single" w:sz="4" w:space="0" w:color="000000"/>
              <w:right w:val="nil"/>
            </w:tcBorders>
            <w:shd w:val="clear" w:color="auto" w:fill="FFFFFF"/>
          </w:tcPr>
          <w:p w14:paraId="372170D4"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 for Mean</w:t>
            </w:r>
          </w:p>
        </w:tc>
        <w:tc>
          <w:tcPr>
            <w:tcW w:w="992" w:type="dxa"/>
            <w:tcBorders>
              <w:top w:val="nil"/>
              <w:left w:val="nil"/>
              <w:bottom w:val="nil"/>
              <w:right w:val="single" w:sz="12" w:space="0" w:color="000000"/>
            </w:tcBorders>
            <w:shd w:val="clear" w:color="auto" w:fill="FFFFFF"/>
          </w:tcPr>
          <w:p w14:paraId="18F25740"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1170" w:type="dxa"/>
            <w:tcBorders>
              <w:top w:val="nil"/>
              <w:left w:val="nil"/>
              <w:bottom w:val="nil"/>
              <w:right w:val="single" w:sz="4" w:space="0" w:color="000000"/>
            </w:tcBorders>
            <w:shd w:val="clear" w:color="auto" w:fill="FFFFFF"/>
            <w:vAlign w:val="center"/>
          </w:tcPr>
          <w:p w14:paraId="2409EAB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45.29</w:t>
            </w:r>
          </w:p>
        </w:tc>
        <w:tc>
          <w:tcPr>
            <w:tcW w:w="1134" w:type="dxa"/>
            <w:tcBorders>
              <w:top w:val="nil"/>
              <w:left w:val="nil"/>
              <w:bottom w:val="nil"/>
              <w:right w:val="single" w:sz="4" w:space="0" w:color="000000"/>
            </w:tcBorders>
            <w:shd w:val="clear" w:color="auto" w:fill="FFFFFF"/>
            <w:vAlign w:val="center"/>
          </w:tcPr>
          <w:p w14:paraId="2B7F7994"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44.83</w:t>
            </w:r>
          </w:p>
        </w:tc>
        <w:tc>
          <w:tcPr>
            <w:tcW w:w="1276" w:type="dxa"/>
            <w:tcBorders>
              <w:top w:val="nil"/>
              <w:left w:val="nil"/>
              <w:bottom w:val="nil"/>
              <w:right w:val="single" w:sz="4" w:space="0" w:color="auto"/>
            </w:tcBorders>
            <w:shd w:val="clear" w:color="auto" w:fill="FFFFFF"/>
            <w:vAlign w:val="center"/>
          </w:tcPr>
          <w:p w14:paraId="5467F496"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44.78</w:t>
            </w:r>
          </w:p>
        </w:tc>
        <w:tc>
          <w:tcPr>
            <w:tcW w:w="992" w:type="dxa"/>
            <w:tcBorders>
              <w:top w:val="nil"/>
              <w:left w:val="single" w:sz="4" w:space="0" w:color="auto"/>
              <w:bottom w:val="nil"/>
              <w:right w:val="single" w:sz="12" w:space="0" w:color="000000"/>
            </w:tcBorders>
            <w:shd w:val="clear" w:color="auto" w:fill="FFFFFF"/>
            <w:vAlign w:val="center"/>
          </w:tcPr>
          <w:p w14:paraId="331F05D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45.66</w:t>
            </w:r>
          </w:p>
        </w:tc>
      </w:tr>
      <w:tr w:rsidR="009968E0" w:rsidRPr="009968E0" w14:paraId="16A2D3C2" w14:textId="77777777" w:rsidTr="009968E0">
        <w:trPr>
          <w:trHeight w:val="360"/>
        </w:trPr>
        <w:tc>
          <w:tcPr>
            <w:tcW w:w="1999" w:type="dxa"/>
            <w:vMerge/>
            <w:tcBorders>
              <w:top w:val="nil"/>
              <w:left w:val="single" w:sz="12" w:space="0" w:color="000000"/>
              <w:bottom w:val="single" w:sz="4" w:space="0" w:color="000000"/>
              <w:right w:val="nil"/>
            </w:tcBorders>
            <w:shd w:val="clear" w:color="auto" w:fill="FDE9D9"/>
          </w:tcPr>
          <w:p w14:paraId="5069BCEE"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983" w:type="dxa"/>
            <w:vMerge/>
            <w:tcBorders>
              <w:top w:val="nil"/>
              <w:left w:val="nil"/>
              <w:bottom w:val="single" w:sz="4" w:space="0" w:color="000000"/>
              <w:right w:val="nil"/>
            </w:tcBorders>
            <w:shd w:val="clear" w:color="auto" w:fill="FFFFFF"/>
          </w:tcPr>
          <w:p w14:paraId="0381E1C3"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992" w:type="dxa"/>
            <w:tcBorders>
              <w:top w:val="nil"/>
              <w:left w:val="nil"/>
              <w:bottom w:val="single" w:sz="4" w:space="0" w:color="000000"/>
              <w:right w:val="single" w:sz="12" w:space="0" w:color="000000"/>
            </w:tcBorders>
            <w:shd w:val="clear" w:color="auto" w:fill="FFFFFF"/>
          </w:tcPr>
          <w:p w14:paraId="28BEAD83"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1170" w:type="dxa"/>
            <w:tcBorders>
              <w:top w:val="nil"/>
              <w:left w:val="nil"/>
              <w:bottom w:val="single" w:sz="4" w:space="0" w:color="000000"/>
              <w:right w:val="single" w:sz="4" w:space="0" w:color="000000"/>
            </w:tcBorders>
            <w:shd w:val="clear" w:color="auto" w:fill="FFFFFF"/>
            <w:vAlign w:val="center"/>
          </w:tcPr>
          <w:p w14:paraId="361352D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46.23</w:t>
            </w:r>
          </w:p>
        </w:tc>
        <w:tc>
          <w:tcPr>
            <w:tcW w:w="1134" w:type="dxa"/>
            <w:tcBorders>
              <w:top w:val="nil"/>
              <w:left w:val="nil"/>
              <w:bottom w:val="single" w:sz="4" w:space="0" w:color="000000"/>
              <w:right w:val="single" w:sz="4" w:space="0" w:color="000000"/>
            </w:tcBorders>
            <w:shd w:val="clear" w:color="auto" w:fill="FFFFFF"/>
            <w:vAlign w:val="center"/>
          </w:tcPr>
          <w:p w14:paraId="1E5E745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46.00</w:t>
            </w:r>
          </w:p>
        </w:tc>
        <w:tc>
          <w:tcPr>
            <w:tcW w:w="1276" w:type="dxa"/>
            <w:tcBorders>
              <w:top w:val="nil"/>
              <w:left w:val="nil"/>
              <w:bottom w:val="single" w:sz="4" w:space="0" w:color="000000"/>
              <w:right w:val="single" w:sz="4" w:space="0" w:color="auto"/>
            </w:tcBorders>
            <w:shd w:val="clear" w:color="auto" w:fill="FFFFFF"/>
            <w:vAlign w:val="center"/>
          </w:tcPr>
          <w:p w14:paraId="28A25D8A"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46.22</w:t>
            </w:r>
          </w:p>
        </w:tc>
        <w:tc>
          <w:tcPr>
            <w:tcW w:w="992" w:type="dxa"/>
            <w:tcBorders>
              <w:top w:val="nil"/>
              <w:left w:val="single" w:sz="4" w:space="0" w:color="auto"/>
              <w:bottom w:val="single" w:sz="4" w:space="0" w:color="000000"/>
              <w:right w:val="single" w:sz="12" w:space="0" w:color="000000"/>
            </w:tcBorders>
            <w:shd w:val="clear" w:color="auto" w:fill="FFFFFF"/>
            <w:vAlign w:val="center"/>
          </w:tcPr>
          <w:p w14:paraId="77EB3D7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46.39</w:t>
            </w:r>
          </w:p>
        </w:tc>
      </w:tr>
      <w:tr w:rsidR="009968E0" w:rsidRPr="009968E0" w14:paraId="14C7A37D" w14:textId="77777777" w:rsidTr="009968E0">
        <w:trPr>
          <w:trHeight w:val="360"/>
        </w:trPr>
        <w:tc>
          <w:tcPr>
            <w:tcW w:w="9546" w:type="dxa"/>
            <w:gridSpan w:val="7"/>
            <w:tcBorders>
              <w:top w:val="nil"/>
              <w:left w:val="single" w:sz="12" w:space="0" w:color="000000"/>
              <w:bottom w:val="single" w:sz="4" w:space="0" w:color="000000"/>
              <w:right w:val="single" w:sz="12" w:space="0" w:color="000000"/>
            </w:tcBorders>
            <w:shd w:val="clear" w:color="auto" w:fill="FFFFFF"/>
            <w:vAlign w:val="center"/>
          </w:tcPr>
          <w:p w14:paraId="7FA269F4"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p=0.305</w:t>
            </w:r>
          </w:p>
        </w:tc>
      </w:tr>
      <w:tr w:rsidR="009968E0" w:rsidRPr="009968E0" w14:paraId="452B7C5E" w14:textId="77777777" w:rsidTr="009968E0">
        <w:trPr>
          <w:trHeight w:val="360"/>
        </w:trPr>
        <w:tc>
          <w:tcPr>
            <w:tcW w:w="1999" w:type="dxa"/>
            <w:vMerge w:val="restart"/>
            <w:tcBorders>
              <w:top w:val="nil"/>
              <w:left w:val="single" w:sz="12" w:space="0" w:color="000000"/>
              <w:bottom w:val="single" w:sz="12" w:space="0" w:color="000000"/>
              <w:right w:val="nil"/>
            </w:tcBorders>
            <w:shd w:val="clear" w:color="auto" w:fill="FDE9D9"/>
          </w:tcPr>
          <w:p w14:paraId="49D7B0FA"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Likert scale scores reported during scan</w:t>
            </w:r>
          </w:p>
        </w:tc>
        <w:tc>
          <w:tcPr>
            <w:tcW w:w="2975" w:type="dxa"/>
            <w:gridSpan w:val="2"/>
            <w:tcBorders>
              <w:top w:val="nil"/>
              <w:left w:val="nil"/>
              <w:bottom w:val="single" w:sz="4" w:space="0" w:color="000000"/>
              <w:right w:val="single" w:sz="12" w:space="0" w:color="000000"/>
            </w:tcBorders>
            <w:shd w:val="clear" w:color="auto" w:fill="FFFFFF"/>
          </w:tcPr>
          <w:p w14:paraId="72AD33FE"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w:t>
            </w:r>
          </w:p>
        </w:tc>
        <w:tc>
          <w:tcPr>
            <w:tcW w:w="1170" w:type="dxa"/>
            <w:tcBorders>
              <w:top w:val="nil"/>
              <w:left w:val="nil"/>
              <w:bottom w:val="single" w:sz="4" w:space="0" w:color="000000"/>
              <w:right w:val="single" w:sz="4" w:space="0" w:color="000000"/>
            </w:tcBorders>
            <w:shd w:val="clear" w:color="auto" w:fill="FFFFFF"/>
            <w:vAlign w:val="center"/>
          </w:tcPr>
          <w:p w14:paraId="79B09AE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19</w:t>
            </w:r>
          </w:p>
        </w:tc>
        <w:tc>
          <w:tcPr>
            <w:tcW w:w="1134" w:type="dxa"/>
            <w:tcBorders>
              <w:top w:val="nil"/>
              <w:left w:val="nil"/>
              <w:bottom w:val="single" w:sz="4" w:space="0" w:color="000000"/>
              <w:right w:val="single" w:sz="4" w:space="0" w:color="000000"/>
            </w:tcBorders>
            <w:shd w:val="clear" w:color="auto" w:fill="FFFFFF"/>
            <w:vAlign w:val="center"/>
          </w:tcPr>
          <w:p w14:paraId="07342F1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23</w:t>
            </w:r>
          </w:p>
        </w:tc>
        <w:tc>
          <w:tcPr>
            <w:tcW w:w="1276" w:type="dxa"/>
            <w:tcBorders>
              <w:top w:val="nil"/>
              <w:left w:val="nil"/>
              <w:bottom w:val="single" w:sz="4" w:space="0" w:color="000000"/>
              <w:right w:val="single" w:sz="4" w:space="0" w:color="auto"/>
            </w:tcBorders>
            <w:shd w:val="clear" w:color="auto" w:fill="FFFFFF"/>
            <w:vAlign w:val="center"/>
          </w:tcPr>
          <w:p w14:paraId="78007493"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13</w:t>
            </w:r>
          </w:p>
        </w:tc>
        <w:tc>
          <w:tcPr>
            <w:tcW w:w="992" w:type="dxa"/>
            <w:tcBorders>
              <w:top w:val="nil"/>
              <w:left w:val="single" w:sz="4" w:space="0" w:color="auto"/>
              <w:bottom w:val="single" w:sz="4" w:space="0" w:color="000000"/>
              <w:right w:val="single" w:sz="12" w:space="0" w:color="000000"/>
            </w:tcBorders>
            <w:shd w:val="clear" w:color="auto" w:fill="FFFFFF"/>
            <w:vAlign w:val="center"/>
          </w:tcPr>
          <w:p w14:paraId="4485341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19</w:t>
            </w:r>
          </w:p>
        </w:tc>
      </w:tr>
      <w:tr w:rsidR="009968E0" w:rsidRPr="009968E0" w14:paraId="117A6810" w14:textId="77777777" w:rsidTr="009968E0">
        <w:trPr>
          <w:trHeight w:val="360"/>
        </w:trPr>
        <w:tc>
          <w:tcPr>
            <w:tcW w:w="1999" w:type="dxa"/>
            <w:vMerge/>
            <w:tcBorders>
              <w:top w:val="nil"/>
              <w:left w:val="single" w:sz="12" w:space="0" w:color="000000"/>
              <w:bottom w:val="single" w:sz="12" w:space="0" w:color="000000"/>
              <w:right w:val="nil"/>
            </w:tcBorders>
            <w:shd w:val="clear" w:color="auto" w:fill="FDE9D9"/>
          </w:tcPr>
          <w:p w14:paraId="304EF638"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975" w:type="dxa"/>
            <w:gridSpan w:val="2"/>
            <w:tcBorders>
              <w:top w:val="nil"/>
              <w:left w:val="nil"/>
              <w:bottom w:val="single" w:sz="4" w:space="0" w:color="000000"/>
              <w:right w:val="single" w:sz="12" w:space="0" w:color="000000"/>
            </w:tcBorders>
            <w:shd w:val="clear" w:color="auto" w:fill="FFFFFF"/>
          </w:tcPr>
          <w:p w14:paraId="6048948A"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1170" w:type="dxa"/>
            <w:tcBorders>
              <w:top w:val="nil"/>
              <w:left w:val="nil"/>
              <w:bottom w:val="single" w:sz="4" w:space="0" w:color="000000"/>
              <w:right w:val="single" w:sz="4" w:space="0" w:color="000000"/>
            </w:tcBorders>
            <w:shd w:val="clear" w:color="auto" w:fill="FFFFFF"/>
            <w:vAlign w:val="center"/>
          </w:tcPr>
          <w:p w14:paraId="5B7755F0"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7.11</w:t>
            </w:r>
          </w:p>
        </w:tc>
        <w:tc>
          <w:tcPr>
            <w:tcW w:w="1134" w:type="dxa"/>
            <w:tcBorders>
              <w:top w:val="nil"/>
              <w:left w:val="nil"/>
              <w:bottom w:val="single" w:sz="4" w:space="0" w:color="000000"/>
              <w:right w:val="single" w:sz="4" w:space="0" w:color="000000"/>
            </w:tcBorders>
            <w:shd w:val="clear" w:color="auto" w:fill="FFFFFF"/>
            <w:vAlign w:val="center"/>
          </w:tcPr>
          <w:p w14:paraId="0C28AFE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7.11</w:t>
            </w:r>
          </w:p>
        </w:tc>
        <w:tc>
          <w:tcPr>
            <w:tcW w:w="1276" w:type="dxa"/>
            <w:tcBorders>
              <w:top w:val="nil"/>
              <w:left w:val="nil"/>
              <w:bottom w:val="single" w:sz="4" w:space="0" w:color="000000"/>
              <w:right w:val="single" w:sz="4" w:space="0" w:color="auto"/>
            </w:tcBorders>
            <w:shd w:val="clear" w:color="auto" w:fill="FFFFFF"/>
            <w:vAlign w:val="center"/>
          </w:tcPr>
          <w:p w14:paraId="0FF20BD7"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7.50</w:t>
            </w:r>
          </w:p>
        </w:tc>
        <w:tc>
          <w:tcPr>
            <w:tcW w:w="992" w:type="dxa"/>
            <w:tcBorders>
              <w:top w:val="nil"/>
              <w:left w:val="single" w:sz="4" w:space="0" w:color="auto"/>
              <w:bottom w:val="single" w:sz="4" w:space="0" w:color="000000"/>
              <w:right w:val="single" w:sz="12" w:space="0" w:color="000000"/>
            </w:tcBorders>
            <w:shd w:val="clear" w:color="auto" w:fill="FFFFFF"/>
            <w:vAlign w:val="center"/>
          </w:tcPr>
          <w:p w14:paraId="53BCEA6E"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6.84</w:t>
            </w:r>
          </w:p>
        </w:tc>
      </w:tr>
      <w:tr w:rsidR="009968E0" w:rsidRPr="009968E0" w14:paraId="261A7E39" w14:textId="77777777" w:rsidTr="009968E0">
        <w:trPr>
          <w:trHeight w:val="360"/>
        </w:trPr>
        <w:tc>
          <w:tcPr>
            <w:tcW w:w="1999" w:type="dxa"/>
            <w:vMerge/>
            <w:tcBorders>
              <w:top w:val="nil"/>
              <w:left w:val="single" w:sz="12" w:space="0" w:color="000000"/>
              <w:bottom w:val="single" w:sz="12" w:space="0" w:color="000000"/>
              <w:right w:val="nil"/>
            </w:tcBorders>
            <w:shd w:val="clear" w:color="auto" w:fill="FDE9D9"/>
          </w:tcPr>
          <w:p w14:paraId="1FF6E915"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983" w:type="dxa"/>
            <w:vMerge w:val="restart"/>
            <w:tcBorders>
              <w:top w:val="nil"/>
              <w:left w:val="nil"/>
              <w:bottom w:val="single" w:sz="12" w:space="0" w:color="000000"/>
              <w:right w:val="nil"/>
            </w:tcBorders>
            <w:shd w:val="clear" w:color="auto" w:fill="FFFFFF"/>
          </w:tcPr>
          <w:p w14:paraId="5E58981A"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 for Mean</w:t>
            </w:r>
          </w:p>
        </w:tc>
        <w:tc>
          <w:tcPr>
            <w:tcW w:w="992" w:type="dxa"/>
            <w:tcBorders>
              <w:top w:val="nil"/>
              <w:left w:val="nil"/>
              <w:bottom w:val="nil"/>
              <w:right w:val="single" w:sz="12" w:space="0" w:color="000000"/>
            </w:tcBorders>
            <w:shd w:val="clear" w:color="auto" w:fill="FFFFFF"/>
          </w:tcPr>
          <w:p w14:paraId="07D0169C"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1170" w:type="dxa"/>
            <w:tcBorders>
              <w:top w:val="nil"/>
              <w:left w:val="nil"/>
              <w:bottom w:val="nil"/>
              <w:right w:val="single" w:sz="4" w:space="0" w:color="000000"/>
            </w:tcBorders>
            <w:shd w:val="clear" w:color="auto" w:fill="FFFFFF"/>
            <w:vAlign w:val="center"/>
          </w:tcPr>
          <w:p w14:paraId="5500072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6.24</w:t>
            </w:r>
          </w:p>
        </w:tc>
        <w:tc>
          <w:tcPr>
            <w:tcW w:w="1134" w:type="dxa"/>
            <w:tcBorders>
              <w:top w:val="nil"/>
              <w:left w:val="nil"/>
              <w:bottom w:val="nil"/>
              <w:right w:val="single" w:sz="4" w:space="0" w:color="000000"/>
            </w:tcBorders>
            <w:shd w:val="clear" w:color="auto" w:fill="FFFFFF"/>
            <w:vAlign w:val="center"/>
          </w:tcPr>
          <w:p w14:paraId="7D1E807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6.44</w:t>
            </w:r>
          </w:p>
        </w:tc>
        <w:tc>
          <w:tcPr>
            <w:tcW w:w="1276" w:type="dxa"/>
            <w:tcBorders>
              <w:top w:val="nil"/>
              <w:left w:val="nil"/>
              <w:bottom w:val="nil"/>
              <w:right w:val="single" w:sz="4" w:space="0" w:color="auto"/>
            </w:tcBorders>
            <w:shd w:val="clear" w:color="auto" w:fill="FFFFFF"/>
            <w:vAlign w:val="center"/>
          </w:tcPr>
          <w:p w14:paraId="16340CC9"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6.95</w:t>
            </w:r>
          </w:p>
        </w:tc>
        <w:tc>
          <w:tcPr>
            <w:tcW w:w="992" w:type="dxa"/>
            <w:tcBorders>
              <w:top w:val="nil"/>
              <w:left w:val="single" w:sz="4" w:space="0" w:color="auto"/>
              <w:bottom w:val="nil"/>
              <w:right w:val="single" w:sz="12" w:space="0" w:color="000000"/>
            </w:tcBorders>
            <w:shd w:val="clear" w:color="auto" w:fill="FFFFFF"/>
            <w:vAlign w:val="center"/>
          </w:tcPr>
          <w:p w14:paraId="65DB38A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6.25</w:t>
            </w:r>
          </w:p>
        </w:tc>
      </w:tr>
      <w:tr w:rsidR="009968E0" w:rsidRPr="009968E0" w14:paraId="351AFB83" w14:textId="77777777" w:rsidTr="009968E0">
        <w:trPr>
          <w:trHeight w:val="360"/>
        </w:trPr>
        <w:tc>
          <w:tcPr>
            <w:tcW w:w="1999" w:type="dxa"/>
            <w:vMerge/>
            <w:tcBorders>
              <w:top w:val="nil"/>
              <w:left w:val="single" w:sz="12" w:space="0" w:color="000000"/>
              <w:bottom w:val="single" w:sz="12" w:space="0" w:color="000000"/>
              <w:right w:val="nil"/>
            </w:tcBorders>
            <w:shd w:val="clear" w:color="auto" w:fill="FDE9D9"/>
          </w:tcPr>
          <w:p w14:paraId="616912B8"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983" w:type="dxa"/>
            <w:vMerge/>
            <w:tcBorders>
              <w:top w:val="nil"/>
              <w:left w:val="nil"/>
              <w:bottom w:val="single" w:sz="12" w:space="0" w:color="000000"/>
              <w:right w:val="nil"/>
            </w:tcBorders>
            <w:shd w:val="clear" w:color="auto" w:fill="FFFFFF"/>
          </w:tcPr>
          <w:p w14:paraId="16FFF7A9"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992" w:type="dxa"/>
            <w:tcBorders>
              <w:top w:val="nil"/>
              <w:left w:val="nil"/>
              <w:bottom w:val="nil"/>
              <w:right w:val="single" w:sz="12" w:space="0" w:color="000000"/>
            </w:tcBorders>
            <w:shd w:val="clear" w:color="auto" w:fill="FFFFFF"/>
          </w:tcPr>
          <w:p w14:paraId="74CCC790"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1170" w:type="dxa"/>
            <w:tcBorders>
              <w:top w:val="nil"/>
              <w:left w:val="nil"/>
              <w:bottom w:val="nil"/>
              <w:right w:val="single" w:sz="4" w:space="0" w:color="000000"/>
            </w:tcBorders>
            <w:shd w:val="clear" w:color="auto" w:fill="FFFFFF"/>
            <w:vAlign w:val="center"/>
          </w:tcPr>
          <w:p w14:paraId="6F10CFD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7.97</w:t>
            </w:r>
          </w:p>
        </w:tc>
        <w:tc>
          <w:tcPr>
            <w:tcW w:w="1134" w:type="dxa"/>
            <w:tcBorders>
              <w:top w:val="nil"/>
              <w:left w:val="nil"/>
              <w:bottom w:val="nil"/>
              <w:right w:val="single" w:sz="4" w:space="0" w:color="000000"/>
            </w:tcBorders>
            <w:shd w:val="clear" w:color="auto" w:fill="FFFFFF"/>
            <w:vAlign w:val="center"/>
          </w:tcPr>
          <w:p w14:paraId="7302D7C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7.78</w:t>
            </w:r>
          </w:p>
        </w:tc>
        <w:tc>
          <w:tcPr>
            <w:tcW w:w="1276" w:type="dxa"/>
            <w:tcBorders>
              <w:top w:val="nil"/>
              <w:left w:val="nil"/>
              <w:bottom w:val="nil"/>
              <w:right w:val="single" w:sz="4" w:space="0" w:color="auto"/>
            </w:tcBorders>
            <w:shd w:val="clear" w:color="auto" w:fill="FFFFFF"/>
            <w:vAlign w:val="center"/>
          </w:tcPr>
          <w:p w14:paraId="4F1DCC2E"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8.05</w:t>
            </w:r>
          </w:p>
        </w:tc>
        <w:tc>
          <w:tcPr>
            <w:tcW w:w="992" w:type="dxa"/>
            <w:tcBorders>
              <w:top w:val="nil"/>
              <w:left w:val="single" w:sz="4" w:space="0" w:color="auto"/>
              <w:bottom w:val="nil"/>
              <w:right w:val="single" w:sz="12" w:space="0" w:color="000000"/>
            </w:tcBorders>
            <w:shd w:val="clear" w:color="auto" w:fill="FFFFFF"/>
            <w:vAlign w:val="center"/>
          </w:tcPr>
          <w:p w14:paraId="452EF28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7.43</w:t>
            </w:r>
          </w:p>
        </w:tc>
      </w:tr>
      <w:tr w:rsidR="009968E0" w:rsidRPr="009968E0" w14:paraId="4D515BA8" w14:textId="77777777" w:rsidTr="009968E0">
        <w:trPr>
          <w:trHeight w:val="360"/>
        </w:trPr>
        <w:tc>
          <w:tcPr>
            <w:tcW w:w="1999" w:type="dxa"/>
            <w:vMerge/>
            <w:tcBorders>
              <w:top w:val="nil"/>
              <w:left w:val="single" w:sz="12" w:space="0" w:color="000000"/>
              <w:bottom w:val="single" w:sz="12" w:space="0" w:color="000000"/>
              <w:right w:val="nil"/>
            </w:tcBorders>
            <w:shd w:val="clear" w:color="auto" w:fill="FDE9D9"/>
          </w:tcPr>
          <w:p w14:paraId="672F9B97"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983" w:type="dxa"/>
            <w:vMerge/>
            <w:tcBorders>
              <w:top w:val="nil"/>
              <w:left w:val="nil"/>
              <w:bottom w:val="single" w:sz="12" w:space="0" w:color="000000"/>
              <w:right w:val="nil"/>
            </w:tcBorders>
            <w:shd w:val="clear" w:color="auto" w:fill="FFFFFF"/>
          </w:tcPr>
          <w:p w14:paraId="2870E93E"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992" w:type="dxa"/>
            <w:tcBorders>
              <w:top w:val="nil"/>
              <w:left w:val="nil"/>
              <w:bottom w:val="single" w:sz="4" w:space="0" w:color="000000"/>
              <w:right w:val="single" w:sz="12" w:space="0" w:color="000000"/>
            </w:tcBorders>
            <w:shd w:val="clear" w:color="auto" w:fill="FFFFFF"/>
          </w:tcPr>
          <w:p w14:paraId="0EB0ACE5"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 </w:t>
            </w:r>
          </w:p>
        </w:tc>
        <w:tc>
          <w:tcPr>
            <w:tcW w:w="1170" w:type="dxa"/>
            <w:tcBorders>
              <w:top w:val="nil"/>
              <w:left w:val="nil"/>
              <w:bottom w:val="single" w:sz="4" w:space="0" w:color="000000"/>
              <w:right w:val="single" w:sz="4" w:space="0" w:color="000000"/>
            </w:tcBorders>
            <w:shd w:val="clear" w:color="auto" w:fill="FFFFFF"/>
            <w:vAlign w:val="center"/>
          </w:tcPr>
          <w:p w14:paraId="2AE5779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 </w:t>
            </w:r>
          </w:p>
        </w:tc>
        <w:tc>
          <w:tcPr>
            <w:tcW w:w="1134" w:type="dxa"/>
            <w:tcBorders>
              <w:top w:val="nil"/>
              <w:left w:val="nil"/>
              <w:bottom w:val="single" w:sz="4" w:space="0" w:color="000000"/>
              <w:right w:val="single" w:sz="4" w:space="0" w:color="000000"/>
            </w:tcBorders>
            <w:shd w:val="clear" w:color="auto" w:fill="FFFFFF"/>
            <w:vAlign w:val="center"/>
          </w:tcPr>
          <w:p w14:paraId="402A217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 </w:t>
            </w:r>
          </w:p>
        </w:tc>
        <w:tc>
          <w:tcPr>
            <w:tcW w:w="1276" w:type="dxa"/>
            <w:tcBorders>
              <w:top w:val="nil"/>
              <w:left w:val="nil"/>
              <w:bottom w:val="single" w:sz="4" w:space="0" w:color="000000"/>
              <w:right w:val="single" w:sz="4" w:space="0" w:color="auto"/>
            </w:tcBorders>
            <w:shd w:val="clear" w:color="auto" w:fill="FFFFFF"/>
            <w:vAlign w:val="center"/>
          </w:tcPr>
          <w:p w14:paraId="2B51C55E" w14:textId="77777777" w:rsidR="009968E0" w:rsidRPr="009968E0" w:rsidRDefault="009968E0" w:rsidP="009968E0">
            <w:pPr>
              <w:jc w:val="center"/>
              <w:rPr>
                <w:rFonts w:ascii="Calibri" w:eastAsia="Times New Roman" w:hAnsi="Calibri" w:cs="Calibri"/>
                <w:i/>
                <w:iCs/>
                <w:color w:val="000000"/>
                <w:sz w:val="22"/>
                <w:szCs w:val="22"/>
                <w:lang w:eastAsia="en-GB"/>
              </w:rPr>
            </w:pPr>
          </w:p>
        </w:tc>
        <w:tc>
          <w:tcPr>
            <w:tcW w:w="992" w:type="dxa"/>
            <w:tcBorders>
              <w:top w:val="nil"/>
              <w:left w:val="single" w:sz="4" w:space="0" w:color="auto"/>
              <w:bottom w:val="single" w:sz="4" w:space="0" w:color="000000"/>
              <w:right w:val="single" w:sz="12" w:space="0" w:color="000000"/>
            </w:tcBorders>
            <w:shd w:val="clear" w:color="auto" w:fill="FFFFFF"/>
            <w:vAlign w:val="center"/>
          </w:tcPr>
          <w:p w14:paraId="7B0D6E6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 </w:t>
            </w:r>
          </w:p>
        </w:tc>
      </w:tr>
      <w:tr w:rsidR="009968E0" w:rsidRPr="009968E0" w14:paraId="44D575FF" w14:textId="77777777" w:rsidTr="009968E0">
        <w:trPr>
          <w:trHeight w:val="360"/>
        </w:trPr>
        <w:tc>
          <w:tcPr>
            <w:tcW w:w="9546" w:type="dxa"/>
            <w:gridSpan w:val="7"/>
            <w:tcBorders>
              <w:top w:val="single" w:sz="4" w:space="0" w:color="000000"/>
              <w:left w:val="single" w:sz="12" w:space="0" w:color="000000"/>
              <w:bottom w:val="single" w:sz="12" w:space="0" w:color="000000"/>
              <w:right w:val="single" w:sz="12" w:space="0" w:color="000000"/>
            </w:tcBorders>
            <w:shd w:val="clear" w:color="auto" w:fill="FFFFFF"/>
            <w:vAlign w:val="center"/>
          </w:tcPr>
          <w:p w14:paraId="453607C9"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p=0.665</w:t>
            </w:r>
          </w:p>
        </w:tc>
      </w:tr>
    </w:tbl>
    <w:p w14:paraId="4C1C9885" w14:textId="3CFCFA63" w:rsidR="009968E0" w:rsidRPr="009968E0" w:rsidRDefault="009968E0" w:rsidP="009968E0">
      <w:pPr>
        <w:spacing w:line="360" w:lineRule="auto"/>
        <w:rPr>
          <w:rFonts w:ascii="Calibri" w:eastAsia="Times New Roman" w:hAnsi="Calibri" w:cs="Calibri"/>
          <w:i/>
          <w:iCs/>
          <w:color w:val="808080"/>
          <w:sz w:val="21"/>
          <w:szCs w:val="21"/>
          <w:lang w:eastAsia="en-GB"/>
        </w:rPr>
      </w:pPr>
      <w:r w:rsidRPr="009968E0">
        <w:rPr>
          <w:rFonts w:ascii="Calibri" w:eastAsia="Times New Roman" w:hAnsi="Calibri" w:cs="Calibri"/>
          <w:i/>
          <w:iCs/>
          <w:color w:val="808080"/>
          <w:sz w:val="21"/>
          <w:szCs w:val="21"/>
          <w:lang w:eastAsia="en-GB"/>
        </w:rPr>
        <w:t xml:space="preserve">Level of significance p&lt;0.05.  Difference in post hoc Multiple Comparisons by </w:t>
      </w:r>
      <w:r w:rsidR="00DD217A">
        <w:rPr>
          <w:rFonts w:ascii="Calibri" w:eastAsia="Times New Roman" w:hAnsi="Calibri" w:cs="Calibri"/>
          <w:i/>
          <w:iCs/>
          <w:color w:val="808080"/>
          <w:sz w:val="21"/>
          <w:szCs w:val="21"/>
          <w:lang w:eastAsia="en-GB"/>
        </w:rPr>
        <w:t>Šidak</w:t>
      </w:r>
      <w:r w:rsidRPr="009968E0">
        <w:rPr>
          <w:rFonts w:ascii="Calibri" w:eastAsia="Times New Roman" w:hAnsi="Calibri" w:cs="Calibri"/>
          <w:i/>
          <w:iCs/>
          <w:color w:val="808080"/>
          <w:sz w:val="21"/>
          <w:szCs w:val="21"/>
          <w:lang w:eastAsia="en-GB"/>
        </w:rPr>
        <w:t xml:space="preserve"> method a. Hand thermal pain threshold: DM-NN vs HV p=0.026, DM-NN vs P-DPN 0.002, DM-NN vs DPN p=0.005, b. Thermal temp 7/10 DPN vs HV p=0.026</w:t>
      </w:r>
    </w:p>
    <w:p w14:paraId="0013FAD7" w14:textId="77777777" w:rsidR="009968E0" w:rsidRPr="009968E0" w:rsidRDefault="009968E0" w:rsidP="009968E0">
      <w:pPr>
        <w:spacing w:line="360" w:lineRule="auto"/>
        <w:rPr>
          <w:rFonts w:ascii="Calibri" w:eastAsia="Times New Roman" w:hAnsi="Calibri" w:cs="Calibri"/>
          <w:i/>
          <w:iCs/>
          <w:color w:val="808080"/>
          <w:sz w:val="21"/>
          <w:szCs w:val="21"/>
          <w:lang w:eastAsia="en-GB"/>
        </w:rPr>
      </w:pPr>
    </w:p>
    <w:p w14:paraId="198AB963" w14:textId="77777777" w:rsidR="009968E0" w:rsidRPr="009968E0" w:rsidRDefault="009968E0" w:rsidP="009968E0">
      <w:pPr>
        <w:spacing w:line="360" w:lineRule="auto"/>
        <w:rPr>
          <w:rFonts w:ascii="Calibri" w:eastAsia="Times New Roman" w:hAnsi="Calibri" w:cs="Calibri"/>
          <w:i/>
          <w:iCs/>
          <w:color w:val="808080"/>
          <w:sz w:val="21"/>
          <w:szCs w:val="21"/>
          <w:lang w:eastAsia="en-GB"/>
        </w:rPr>
      </w:pPr>
    </w:p>
    <w:p w14:paraId="79F6D60B" w14:textId="70B446BF" w:rsidR="009968E0" w:rsidRPr="009968E0" w:rsidRDefault="009968E0" w:rsidP="006E28EB">
      <w:pPr>
        <w:pStyle w:val="Subtitle"/>
      </w:pPr>
      <w:bookmarkStart w:id="626" w:name="_Toc48406101"/>
      <w:bookmarkStart w:id="627" w:name="_Toc49273249"/>
      <w:bookmarkStart w:id="628" w:name="_Toc64724238"/>
      <w:r w:rsidRPr="009968E0">
        <w:lastRenderedPageBreak/>
        <w:t>Figure D.1. Discriminant Function RBV ROI and LIKERT as predictors of group at visit 3</w:t>
      </w:r>
      <w:bookmarkEnd w:id="626"/>
      <w:bookmarkEnd w:id="627"/>
      <w:bookmarkEnd w:id="628"/>
    </w:p>
    <w:p w14:paraId="0D7E4BA5" w14:textId="77777777" w:rsidR="009968E0" w:rsidRPr="009968E0" w:rsidRDefault="009968E0" w:rsidP="009968E0">
      <w:pPr>
        <w:spacing w:line="360" w:lineRule="auto"/>
        <w:rPr>
          <w:rFonts w:ascii="Times New Roman" w:eastAsia="Times New Roman" w:hAnsi="Times New Roman" w:cs="Arial"/>
          <w:lang w:eastAsia="en-GB"/>
        </w:rPr>
      </w:pPr>
      <w:r w:rsidRPr="009968E0">
        <w:rPr>
          <w:rFonts w:ascii="Times New Roman" w:eastAsia="Times New Roman" w:hAnsi="Times New Roman" w:cs="Arial"/>
          <w:noProof/>
          <w:lang w:eastAsia="en-GB"/>
        </w:rPr>
        <w:drawing>
          <wp:inline distT="0" distB="0" distL="0" distR="0" wp14:anchorId="5334B5FE" wp14:editId="2836BEE5">
            <wp:extent cx="5268168" cy="4223584"/>
            <wp:effectExtent l="0" t="0" r="0" b="0"/>
            <wp:docPr id="2082" name="image22.png" descr="A screenshot of a computer screen&#10;&#10;Description automatically generated"/>
            <wp:cNvGraphicFramePr/>
            <a:graphic xmlns:a="http://schemas.openxmlformats.org/drawingml/2006/main">
              <a:graphicData uri="http://schemas.openxmlformats.org/drawingml/2006/picture">
                <pic:pic xmlns:pic="http://schemas.openxmlformats.org/drawingml/2006/picture">
                  <pic:nvPicPr>
                    <pic:cNvPr id="2082" name="image22.png" descr="A screenshot of a computer screen&#10;&#10;Description automatically generated"/>
                    <pic:cNvPicPr preferRelativeResize="0"/>
                  </pic:nvPicPr>
                  <pic:blipFill>
                    <a:blip r:embed="rId89"/>
                    <a:srcRect/>
                    <a:stretch>
                      <a:fillRect/>
                    </a:stretch>
                  </pic:blipFill>
                  <pic:spPr>
                    <a:xfrm>
                      <a:off x="0" y="0"/>
                      <a:ext cx="5268168" cy="4223584"/>
                    </a:xfrm>
                    <a:prstGeom prst="rect">
                      <a:avLst/>
                    </a:prstGeom>
                    <a:ln/>
                  </pic:spPr>
                </pic:pic>
              </a:graphicData>
            </a:graphic>
          </wp:inline>
        </w:drawing>
      </w:r>
    </w:p>
    <w:p w14:paraId="4128ACB8" w14:textId="77777777" w:rsidR="009968E0" w:rsidRPr="006E28EB" w:rsidRDefault="009968E0" w:rsidP="006E28EB">
      <w:pPr>
        <w:spacing w:line="360" w:lineRule="auto"/>
        <w:rPr>
          <w:rStyle w:val="SubtleEmphasis"/>
        </w:rPr>
      </w:pPr>
      <w:r w:rsidRPr="006E28EB">
        <w:rPr>
          <w:rStyle w:val="SubtleEmphasis"/>
        </w:rPr>
        <w:t>Figure shows Function 1 and 2 of the discriminant function.  The first function explains 57.5% of the variance, canonical R2 = 0.22, the second 30.3% of the variance R2=0.16, the third explained 12.1% of the variance, R2 =0.06.  These functions did not significantly differentiate between the groups Wilks Λ= 0.584, Χ2 =35.2; p=0.132</w:t>
      </w:r>
    </w:p>
    <w:p w14:paraId="5076D606" w14:textId="77777777" w:rsidR="009968E0" w:rsidRPr="009968E0" w:rsidRDefault="009968E0" w:rsidP="009968E0">
      <w:pPr>
        <w:rPr>
          <w:rFonts w:ascii="Calibri" w:eastAsia="MS Mincho" w:hAnsi="Calibri" w:cs="Calibri"/>
          <w:i/>
          <w:color w:val="808080"/>
          <w:sz w:val="21"/>
          <w:szCs w:val="21"/>
        </w:rPr>
      </w:pPr>
    </w:p>
    <w:tbl>
      <w:tblPr>
        <w:tblW w:w="10028" w:type="dxa"/>
        <w:tblLayout w:type="fixed"/>
        <w:tblCellMar>
          <w:left w:w="115" w:type="dxa"/>
          <w:right w:w="115" w:type="dxa"/>
        </w:tblCellMar>
        <w:tblLook w:val="0400" w:firstRow="0" w:lastRow="0" w:firstColumn="0" w:lastColumn="0" w:noHBand="0" w:noVBand="1"/>
      </w:tblPr>
      <w:tblGrid>
        <w:gridCol w:w="93"/>
        <w:gridCol w:w="1593"/>
        <w:gridCol w:w="394"/>
        <w:gridCol w:w="2046"/>
        <w:gridCol w:w="25"/>
        <w:gridCol w:w="1230"/>
        <w:gridCol w:w="206"/>
        <w:gridCol w:w="737"/>
        <w:gridCol w:w="126"/>
        <w:gridCol w:w="762"/>
        <w:gridCol w:w="90"/>
        <w:gridCol w:w="874"/>
        <w:gridCol w:w="44"/>
        <w:gridCol w:w="852"/>
        <w:gridCol w:w="956"/>
      </w:tblGrid>
      <w:tr w:rsidR="009968E0" w:rsidRPr="009968E0" w14:paraId="154B7C88" w14:textId="77777777" w:rsidTr="009968E0">
        <w:trPr>
          <w:gridBefore w:val="1"/>
          <w:wBefore w:w="93" w:type="dxa"/>
          <w:trHeight w:val="480"/>
        </w:trPr>
        <w:tc>
          <w:tcPr>
            <w:tcW w:w="8979" w:type="dxa"/>
            <w:gridSpan w:val="13"/>
            <w:tcBorders>
              <w:top w:val="nil"/>
              <w:left w:val="nil"/>
              <w:bottom w:val="nil"/>
              <w:right w:val="nil"/>
            </w:tcBorders>
            <w:shd w:val="clear" w:color="auto" w:fill="auto"/>
            <w:vAlign w:val="center"/>
          </w:tcPr>
          <w:p w14:paraId="79FD9372" w14:textId="2AE99F8E" w:rsidR="009968E0" w:rsidRPr="009968E0" w:rsidRDefault="009968E0" w:rsidP="006E28EB">
            <w:pPr>
              <w:pStyle w:val="Quote"/>
            </w:pPr>
            <w:bookmarkStart w:id="629" w:name="_Toc48406148"/>
            <w:bookmarkStart w:id="630" w:name="_Toc49273359"/>
            <w:bookmarkStart w:id="631" w:name="_Toc64724112"/>
            <w:r w:rsidRPr="009968E0">
              <w:t xml:space="preserve">Table D.4 Multivariate ANCOVA comparing group RBV during a pain condition adjusted by pain </w:t>
            </w:r>
            <w:proofErr w:type="spellStart"/>
            <w:r w:rsidRPr="009968E0">
              <w:t>perception</w:t>
            </w:r>
            <w:r w:rsidRPr="009968E0">
              <w:rPr>
                <w:vertAlign w:val="superscript"/>
              </w:rPr>
              <w:t>a</w:t>
            </w:r>
            <w:proofErr w:type="spellEnd"/>
            <w:r w:rsidRPr="009968E0">
              <w:t xml:space="preserve"> by region of interest.</w:t>
            </w:r>
            <w:bookmarkEnd w:id="629"/>
            <w:bookmarkEnd w:id="630"/>
            <w:bookmarkEnd w:id="631"/>
          </w:p>
        </w:tc>
        <w:tc>
          <w:tcPr>
            <w:tcW w:w="956" w:type="dxa"/>
            <w:tcBorders>
              <w:top w:val="nil"/>
              <w:left w:val="nil"/>
              <w:bottom w:val="nil"/>
              <w:right w:val="nil"/>
            </w:tcBorders>
          </w:tcPr>
          <w:p w14:paraId="100E7281" w14:textId="77777777" w:rsidR="009968E0" w:rsidRPr="009968E0" w:rsidRDefault="009968E0" w:rsidP="006E28EB">
            <w:pPr>
              <w:pStyle w:val="Quote"/>
            </w:pPr>
          </w:p>
        </w:tc>
      </w:tr>
      <w:tr w:rsidR="009968E0" w:rsidRPr="009968E0" w14:paraId="443A0AE0" w14:textId="77777777" w:rsidTr="009968E0">
        <w:trPr>
          <w:gridBefore w:val="1"/>
          <w:gridAfter w:val="1"/>
          <w:wBefore w:w="93" w:type="dxa"/>
          <w:wAfter w:w="956" w:type="dxa"/>
          <w:trHeight w:val="360"/>
        </w:trPr>
        <w:tc>
          <w:tcPr>
            <w:tcW w:w="5288" w:type="dxa"/>
            <w:gridSpan w:val="5"/>
            <w:vMerge w:val="restart"/>
            <w:tcBorders>
              <w:top w:val="single" w:sz="12" w:space="0" w:color="000000"/>
              <w:left w:val="single" w:sz="12" w:space="0" w:color="000000"/>
              <w:bottom w:val="single" w:sz="12" w:space="0" w:color="000000"/>
              <w:right w:val="single" w:sz="12" w:space="0" w:color="000000"/>
            </w:tcBorders>
            <w:shd w:val="clear" w:color="auto" w:fill="auto"/>
            <w:vAlign w:val="bottom"/>
          </w:tcPr>
          <w:p w14:paraId="0BF533B1"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Dependent Variable</w:t>
            </w:r>
          </w:p>
        </w:tc>
        <w:tc>
          <w:tcPr>
            <w:tcW w:w="3691" w:type="dxa"/>
            <w:gridSpan w:val="8"/>
            <w:tcBorders>
              <w:top w:val="single" w:sz="12" w:space="0" w:color="000000"/>
              <w:left w:val="nil"/>
              <w:bottom w:val="single" w:sz="4" w:space="0" w:color="000000"/>
              <w:right w:val="single" w:sz="12" w:space="0" w:color="000000"/>
            </w:tcBorders>
            <w:shd w:val="clear" w:color="auto" w:fill="auto"/>
            <w:vAlign w:val="bottom"/>
          </w:tcPr>
          <w:p w14:paraId="58CCCF50"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GROUP</w:t>
            </w:r>
          </w:p>
        </w:tc>
      </w:tr>
      <w:tr w:rsidR="009968E0" w:rsidRPr="009968E0" w14:paraId="350B6E3F" w14:textId="77777777" w:rsidTr="009968E0">
        <w:trPr>
          <w:gridBefore w:val="1"/>
          <w:gridAfter w:val="1"/>
          <w:wBefore w:w="93" w:type="dxa"/>
          <w:wAfter w:w="956" w:type="dxa"/>
          <w:trHeight w:val="360"/>
        </w:trPr>
        <w:tc>
          <w:tcPr>
            <w:tcW w:w="5288" w:type="dxa"/>
            <w:gridSpan w:val="5"/>
            <w:vMerge/>
            <w:tcBorders>
              <w:top w:val="single" w:sz="12" w:space="0" w:color="000000"/>
              <w:left w:val="single" w:sz="12" w:space="0" w:color="000000"/>
              <w:bottom w:val="single" w:sz="12" w:space="0" w:color="000000"/>
              <w:right w:val="single" w:sz="12" w:space="0" w:color="000000"/>
            </w:tcBorders>
            <w:shd w:val="clear" w:color="auto" w:fill="auto"/>
            <w:vAlign w:val="bottom"/>
          </w:tcPr>
          <w:p w14:paraId="01C012EA"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943" w:type="dxa"/>
            <w:gridSpan w:val="2"/>
            <w:tcBorders>
              <w:top w:val="nil"/>
              <w:left w:val="nil"/>
              <w:bottom w:val="single" w:sz="12" w:space="0" w:color="000000"/>
              <w:right w:val="single" w:sz="4" w:space="0" w:color="000000"/>
            </w:tcBorders>
            <w:shd w:val="clear" w:color="auto" w:fill="auto"/>
            <w:vAlign w:val="bottom"/>
          </w:tcPr>
          <w:p w14:paraId="40A23ED3"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P-DPN</w:t>
            </w:r>
          </w:p>
        </w:tc>
        <w:tc>
          <w:tcPr>
            <w:tcW w:w="888" w:type="dxa"/>
            <w:gridSpan w:val="2"/>
            <w:tcBorders>
              <w:top w:val="nil"/>
              <w:left w:val="nil"/>
              <w:bottom w:val="single" w:sz="12" w:space="0" w:color="000000"/>
              <w:right w:val="single" w:sz="4" w:space="0" w:color="000000"/>
            </w:tcBorders>
            <w:shd w:val="clear" w:color="auto" w:fill="auto"/>
            <w:vAlign w:val="bottom"/>
          </w:tcPr>
          <w:p w14:paraId="2B50F7C0"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DPN</w:t>
            </w:r>
          </w:p>
        </w:tc>
        <w:tc>
          <w:tcPr>
            <w:tcW w:w="964" w:type="dxa"/>
            <w:gridSpan w:val="2"/>
            <w:tcBorders>
              <w:top w:val="nil"/>
              <w:left w:val="nil"/>
              <w:bottom w:val="single" w:sz="12" w:space="0" w:color="000000"/>
              <w:right w:val="single" w:sz="12" w:space="0" w:color="000000"/>
            </w:tcBorders>
            <w:shd w:val="clear" w:color="auto" w:fill="auto"/>
            <w:vAlign w:val="bottom"/>
          </w:tcPr>
          <w:p w14:paraId="5C3D5C16"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Arial" w:hAnsi="Calibri" w:cs="Calibri"/>
                <w:i/>
                <w:color w:val="000000"/>
                <w:sz w:val="22"/>
                <w:szCs w:val="22"/>
                <w:lang w:eastAsia="en-GB"/>
              </w:rPr>
              <w:t>DM-NN</w:t>
            </w:r>
          </w:p>
        </w:tc>
        <w:tc>
          <w:tcPr>
            <w:tcW w:w="896" w:type="dxa"/>
            <w:gridSpan w:val="2"/>
            <w:tcBorders>
              <w:top w:val="nil"/>
              <w:left w:val="nil"/>
              <w:bottom w:val="single" w:sz="12" w:space="0" w:color="000000"/>
              <w:right w:val="single" w:sz="12" w:space="0" w:color="000000"/>
            </w:tcBorders>
            <w:vAlign w:val="bottom"/>
          </w:tcPr>
          <w:p w14:paraId="3902A1F1" w14:textId="77777777" w:rsidR="009968E0" w:rsidRPr="009968E0" w:rsidRDefault="009968E0" w:rsidP="009968E0">
            <w:pPr>
              <w:jc w:val="center"/>
              <w:rPr>
                <w:rFonts w:ascii="Calibri" w:eastAsia="Arial" w:hAnsi="Calibri" w:cs="Calibri"/>
                <w:i/>
                <w:color w:val="000000"/>
                <w:sz w:val="22"/>
                <w:szCs w:val="22"/>
                <w:lang w:eastAsia="en-GB"/>
              </w:rPr>
            </w:pPr>
            <w:r w:rsidRPr="009968E0">
              <w:rPr>
                <w:rFonts w:ascii="Calibri" w:eastAsia="Arial" w:hAnsi="Calibri" w:cs="Calibri"/>
                <w:i/>
                <w:color w:val="000000"/>
                <w:sz w:val="22"/>
                <w:szCs w:val="22"/>
                <w:lang w:eastAsia="en-GB"/>
              </w:rPr>
              <w:t>HV</w:t>
            </w:r>
          </w:p>
        </w:tc>
      </w:tr>
      <w:tr w:rsidR="009968E0" w:rsidRPr="009968E0" w14:paraId="3975BBE5" w14:textId="77777777" w:rsidTr="009968E0">
        <w:trPr>
          <w:gridBefore w:val="1"/>
          <w:gridAfter w:val="1"/>
          <w:wBefore w:w="93" w:type="dxa"/>
          <w:wAfter w:w="956" w:type="dxa"/>
          <w:trHeight w:val="360"/>
        </w:trPr>
        <w:tc>
          <w:tcPr>
            <w:tcW w:w="1987" w:type="dxa"/>
            <w:gridSpan w:val="2"/>
            <w:vMerge w:val="restart"/>
            <w:tcBorders>
              <w:top w:val="nil"/>
              <w:left w:val="single" w:sz="12" w:space="0" w:color="000000"/>
              <w:bottom w:val="single" w:sz="4" w:space="0" w:color="000000"/>
              <w:right w:val="nil"/>
            </w:tcBorders>
            <w:shd w:val="clear" w:color="auto" w:fill="FDE9D9"/>
          </w:tcPr>
          <w:p w14:paraId="12913C9C" w14:textId="34DF881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RBV-</w:t>
            </w:r>
            <w:r w:rsidR="00264184">
              <w:rPr>
                <w:rFonts w:ascii="Calibri" w:eastAsia="Times New Roman" w:hAnsi="Calibri" w:cs="Calibri"/>
                <w:i/>
                <w:color w:val="000000"/>
                <w:sz w:val="22"/>
                <w:szCs w:val="22"/>
                <w:lang w:eastAsia="en-GB"/>
              </w:rPr>
              <w:t>LThal</w:t>
            </w:r>
            <w:r w:rsidRPr="009968E0">
              <w:rPr>
                <w:rFonts w:ascii="Calibri" w:eastAsia="Times New Roman" w:hAnsi="Calibri" w:cs="Calibri"/>
                <w:i/>
                <w:color w:val="000000"/>
                <w:sz w:val="22"/>
                <w:szCs w:val="22"/>
                <w:lang w:eastAsia="en-GB"/>
              </w:rPr>
              <w:t>3</w:t>
            </w:r>
          </w:p>
          <w:p w14:paraId="68CED85A" w14:textId="77777777" w:rsidR="009968E0" w:rsidRPr="009968E0" w:rsidRDefault="009968E0" w:rsidP="009968E0">
            <w:pPr>
              <w:jc w:val="center"/>
              <w:rPr>
                <w:rFonts w:ascii="Calibri" w:eastAsia="Times New Roman" w:hAnsi="Calibri" w:cs="Calibri"/>
                <w:i/>
                <w:sz w:val="22"/>
                <w:szCs w:val="22"/>
                <w:lang w:eastAsia="en-GB"/>
              </w:rPr>
            </w:pPr>
          </w:p>
        </w:tc>
        <w:tc>
          <w:tcPr>
            <w:tcW w:w="3301" w:type="dxa"/>
            <w:gridSpan w:val="3"/>
            <w:tcBorders>
              <w:top w:val="single" w:sz="12" w:space="0" w:color="000000"/>
              <w:left w:val="nil"/>
              <w:bottom w:val="single" w:sz="4" w:space="0" w:color="000000"/>
              <w:right w:val="single" w:sz="12" w:space="0" w:color="000000"/>
            </w:tcBorders>
            <w:shd w:val="clear" w:color="auto" w:fill="auto"/>
          </w:tcPr>
          <w:p w14:paraId="624EF0ED"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Mean</w:t>
            </w:r>
          </w:p>
        </w:tc>
        <w:tc>
          <w:tcPr>
            <w:tcW w:w="943" w:type="dxa"/>
            <w:gridSpan w:val="2"/>
            <w:tcBorders>
              <w:top w:val="nil"/>
              <w:left w:val="nil"/>
              <w:bottom w:val="single" w:sz="4" w:space="0" w:color="000000"/>
              <w:right w:val="single" w:sz="4" w:space="0" w:color="000000"/>
            </w:tcBorders>
            <w:shd w:val="clear" w:color="auto" w:fill="auto"/>
            <w:vAlign w:val="center"/>
          </w:tcPr>
          <w:p w14:paraId="097D9416"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11.55</w:t>
            </w:r>
          </w:p>
        </w:tc>
        <w:tc>
          <w:tcPr>
            <w:tcW w:w="888" w:type="dxa"/>
            <w:gridSpan w:val="2"/>
            <w:tcBorders>
              <w:top w:val="nil"/>
              <w:left w:val="nil"/>
              <w:bottom w:val="single" w:sz="4" w:space="0" w:color="000000"/>
              <w:right w:val="single" w:sz="4" w:space="0" w:color="000000"/>
            </w:tcBorders>
            <w:shd w:val="clear" w:color="auto" w:fill="auto"/>
            <w:vAlign w:val="center"/>
          </w:tcPr>
          <w:p w14:paraId="31A6B741"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11.42</w:t>
            </w:r>
          </w:p>
        </w:tc>
        <w:tc>
          <w:tcPr>
            <w:tcW w:w="964" w:type="dxa"/>
            <w:gridSpan w:val="2"/>
            <w:tcBorders>
              <w:top w:val="nil"/>
              <w:left w:val="nil"/>
              <w:bottom w:val="single" w:sz="4" w:space="0" w:color="000000"/>
              <w:right w:val="single" w:sz="12" w:space="0" w:color="000000"/>
            </w:tcBorders>
            <w:shd w:val="clear" w:color="auto" w:fill="auto"/>
            <w:vAlign w:val="center"/>
          </w:tcPr>
          <w:p w14:paraId="63D11958"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9.31</w:t>
            </w:r>
          </w:p>
        </w:tc>
        <w:tc>
          <w:tcPr>
            <w:tcW w:w="896" w:type="dxa"/>
            <w:gridSpan w:val="2"/>
            <w:tcBorders>
              <w:top w:val="nil"/>
              <w:left w:val="nil"/>
              <w:bottom w:val="single" w:sz="4" w:space="0" w:color="000000"/>
              <w:right w:val="single" w:sz="12" w:space="0" w:color="000000"/>
            </w:tcBorders>
            <w:vAlign w:val="center"/>
          </w:tcPr>
          <w:p w14:paraId="67C631EA"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11.33</w:t>
            </w:r>
          </w:p>
        </w:tc>
      </w:tr>
      <w:tr w:rsidR="009968E0" w:rsidRPr="009968E0" w14:paraId="01A237E4" w14:textId="77777777" w:rsidTr="009968E0">
        <w:trPr>
          <w:gridBefore w:val="1"/>
          <w:gridAfter w:val="1"/>
          <w:wBefore w:w="93" w:type="dxa"/>
          <w:wAfter w:w="956" w:type="dxa"/>
          <w:trHeight w:val="360"/>
        </w:trPr>
        <w:tc>
          <w:tcPr>
            <w:tcW w:w="1987" w:type="dxa"/>
            <w:gridSpan w:val="2"/>
            <w:vMerge/>
            <w:tcBorders>
              <w:top w:val="nil"/>
              <w:left w:val="single" w:sz="12" w:space="0" w:color="000000"/>
              <w:bottom w:val="single" w:sz="4" w:space="0" w:color="000000"/>
              <w:right w:val="nil"/>
            </w:tcBorders>
            <w:shd w:val="clear" w:color="auto" w:fill="FDE9D9"/>
          </w:tcPr>
          <w:p w14:paraId="74B60A84"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2046" w:type="dxa"/>
            <w:vMerge w:val="restart"/>
            <w:tcBorders>
              <w:top w:val="nil"/>
              <w:left w:val="nil"/>
              <w:bottom w:val="single" w:sz="4" w:space="0" w:color="000000"/>
              <w:right w:val="nil"/>
            </w:tcBorders>
            <w:shd w:val="clear" w:color="auto" w:fill="auto"/>
          </w:tcPr>
          <w:p w14:paraId="06BE715A"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95% Confidence Interval</w:t>
            </w:r>
          </w:p>
        </w:tc>
        <w:tc>
          <w:tcPr>
            <w:tcW w:w="1255" w:type="dxa"/>
            <w:gridSpan w:val="2"/>
            <w:tcBorders>
              <w:top w:val="nil"/>
              <w:left w:val="nil"/>
              <w:bottom w:val="nil"/>
              <w:right w:val="single" w:sz="12" w:space="0" w:color="000000"/>
            </w:tcBorders>
            <w:shd w:val="clear" w:color="auto" w:fill="auto"/>
          </w:tcPr>
          <w:p w14:paraId="530F45DD"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Lower Bound</w:t>
            </w:r>
          </w:p>
        </w:tc>
        <w:tc>
          <w:tcPr>
            <w:tcW w:w="943" w:type="dxa"/>
            <w:gridSpan w:val="2"/>
            <w:tcBorders>
              <w:top w:val="nil"/>
              <w:left w:val="nil"/>
              <w:bottom w:val="nil"/>
              <w:right w:val="single" w:sz="4" w:space="0" w:color="000000"/>
            </w:tcBorders>
            <w:shd w:val="clear" w:color="auto" w:fill="auto"/>
            <w:vAlign w:val="center"/>
          </w:tcPr>
          <w:p w14:paraId="0BF803A8"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9.72</w:t>
            </w:r>
          </w:p>
        </w:tc>
        <w:tc>
          <w:tcPr>
            <w:tcW w:w="888" w:type="dxa"/>
            <w:gridSpan w:val="2"/>
            <w:tcBorders>
              <w:top w:val="nil"/>
              <w:left w:val="nil"/>
              <w:bottom w:val="nil"/>
              <w:right w:val="single" w:sz="4" w:space="0" w:color="000000"/>
            </w:tcBorders>
            <w:shd w:val="clear" w:color="auto" w:fill="auto"/>
            <w:vAlign w:val="center"/>
          </w:tcPr>
          <w:p w14:paraId="44B10BBD"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9.81</w:t>
            </w:r>
          </w:p>
        </w:tc>
        <w:tc>
          <w:tcPr>
            <w:tcW w:w="964" w:type="dxa"/>
            <w:gridSpan w:val="2"/>
            <w:tcBorders>
              <w:top w:val="nil"/>
              <w:left w:val="nil"/>
              <w:bottom w:val="nil"/>
              <w:right w:val="single" w:sz="12" w:space="0" w:color="000000"/>
            </w:tcBorders>
            <w:shd w:val="clear" w:color="auto" w:fill="auto"/>
            <w:vAlign w:val="center"/>
          </w:tcPr>
          <w:p w14:paraId="571C24FB"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7.02</w:t>
            </w:r>
          </w:p>
        </w:tc>
        <w:tc>
          <w:tcPr>
            <w:tcW w:w="896" w:type="dxa"/>
            <w:gridSpan w:val="2"/>
            <w:tcBorders>
              <w:top w:val="nil"/>
              <w:left w:val="nil"/>
              <w:bottom w:val="nil"/>
              <w:right w:val="single" w:sz="12" w:space="0" w:color="000000"/>
            </w:tcBorders>
            <w:vAlign w:val="center"/>
          </w:tcPr>
          <w:p w14:paraId="6DC38A6C"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9.49</w:t>
            </w:r>
          </w:p>
        </w:tc>
      </w:tr>
      <w:tr w:rsidR="009968E0" w:rsidRPr="009968E0" w14:paraId="2C05F5DA" w14:textId="77777777" w:rsidTr="009968E0">
        <w:trPr>
          <w:gridBefore w:val="1"/>
          <w:gridAfter w:val="1"/>
          <w:wBefore w:w="93" w:type="dxa"/>
          <w:wAfter w:w="956" w:type="dxa"/>
          <w:trHeight w:val="360"/>
        </w:trPr>
        <w:tc>
          <w:tcPr>
            <w:tcW w:w="1987" w:type="dxa"/>
            <w:gridSpan w:val="2"/>
            <w:vMerge/>
            <w:tcBorders>
              <w:top w:val="nil"/>
              <w:left w:val="single" w:sz="12" w:space="0" w:color="000000"/>
              <w:bottom w:val="single" w:sz="4" w:space="0" w:color="000000"/>
              <w:right w:val="nil"/>
            </w:tcBorders>
            <w:shd w:val="clear" w:color="auto" w:fill="FDE9D9"/>
          </w:tcPr>
          <w:p w14:paraId="4746D39C"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2046" w:type="dxa"/>
            <w:vMerge/>
            <w:tcBorders>
              <w:top w:val="nil"/>
              <w:left w:val="nil"/>
              <w:bottom w:val="single" w:sz="4" w:space="0" w:color="000000"/>
              <w:right w:val="nil"/>
            </w:tcBorders>
            <w:shd w:val="clear" w:color="auto" w:fill="auto"/>
          </w:tcPr>
          <w:p w14:paraId="0330E0D7"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1255" w:type="dxa"/>
            <w:gridSpan w:val="2"/>
            <w:tcBorders>
              <w:top w:val="nil"/>
              <w:left w:val="nil"/>
              <w:bottom w:val="single" w:sz="4" w:space="0" w:color="000000"/>
              <w:right w:val="single" w:sz="12" w:space="0" w:color="000000"/>
            </w:tcBorders>
            <w:shd w:val="clear" w:color="auto" w:fill="auto"/>
          </w:tcPr>
          <w:p w14:paraId="052E5CE5"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Upper Bound</w:t>
            </w:r>
          </w:p>
        </w:tc>
        <w:tc>
          <w:tcPr>
            <w:tcW w:w="943" w:type="dxa"/>
            <w:gridSpan w:val="2"/>
            <w:tcBorders>
              <w:top w:val="nil"/>
              <w:left w:val="nil"/>
              <w:bottom w:val="single" w:sz="4" w:space="0" w:color="000000"/>
              <w:right w:val="single" w:sz="4" w:space="0" w:color="000000"/>
            </w:tcBorders>
            <w:shd w:val="clear" w:color="auto" w:fill="auto"/>
            <w:vAlign w:val="center"/>
          </w:tcPr>
          <w:p w14:paraId="5EAE66ED"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13.38</w:t>
            </w:r>
          </w:p>
        </w:tc>
        <w:tc>
          <w:tcPr>
            <w:tcW w:w="888" w:type="dxa"/>
            <w:gridSpan w:val="2"/>
            <w:tcBorders>
              <w:top w:val="nil"/>
              <w:left w:val="nil"/>
              <w:bottom w:val="single" w:sz="4" w:space="0" w:color="000000"/>
              <w:right w:val="single" w:sz="4" w:space="0" w:color="000000"/>
            </w:tcBorders>
            <w:shd w:val="clear" w:color="auto" w:fill="auto"/>
            <w:vAlign w:val="center"/>
          </w:tcPr>
          <w:p w14:paraId="63AF8999"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13.03</w:t>
            </w:r>
          </w:p>
        </w:tc>
        <w:tc>
          <w:tcPr>
            <w:tcW w:w="964" w:type="dxa"/>
            <w:gridSpan w:val="2"/>
            <w:tcBorders>
              <w:top w:val="nil"/>
              <w:left w:val="nil"/>
              <w:bottom w:val="single" w:sz="4" w:space="0" w:color="000000"/>
              <w:right w:val="single" w:sz="12" w:space="0" w:color="000000"/>
            </w:tcBorders>
            <w:shd w:val="clear" w:color="auto" w:fill="auto"/>
            <w:vAlign w:val="center"/>
          </w:tcPr>
          <w:p w14:paraId="603E98A2"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11.61</w:t>
            </w:r>
          </w:p>
        </w:tc>
        <w:tc>
          <w:tcPr>
            <w:tcW w:w="896" w:type="dxa"/>
            <w:gridSpan w:val="2"/>
            <w:tcBorders>
              <w:top w:val="nil"/>
              <w:left w:val="nil"/>
              <w:bottom w:val="single" w:sz="4" w:space="0" w:color="000000"/>
              <w:right w:val="single" w:sz="12" w:space="0" w:color="000000"/>
            </w:tcBorders>
            <w:vAlign w:val="center"/>
          </w:tcPr>
          <w:p w14:paraId="5C7267D3"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13.16</w:t>
            </w:r>
          </w:p>
        </w:tc>
      </w:tr>
      <w:tr w:rsidR="009968E0" w:rsidRPr="009968E0" w14:paraId="79CD8803" w14:textId="77777777" w:rsidTr="009968E0">
        <w:trPr>
          <w:gridBefore w:val="1"/>
          <w:gridAfter w:val="1"/>
          <w:wBefore w:w="93" w:type="dxa"/>
          <w:wAfter w:w="956" w:type="dxa"/>
          <w:trHeight w:val="360"/>
        </w:trPr>
        <w:tc>
          <w:tcPr>
            <w:tcW w:w="8979" w:type="dxa"/>
            <w:gridSpan w:val="13"/>
            <w:tcBorders>
              <w:top w:val="nil"/>
              <w:left w:val="single" w:sz="12" w:space="0" w:color="000000"/>
              <w:bottom w:val="single" w:sz="4" w:space="0" w:color="000000"/>
              <w:right w:val="single" w:sz="12" w:space="0" w:color="000000"/>
            </w:tcBorders>
            <w:shd w:val="clear" w:color="auto" w:fill="auto"/>
          </w:tcPr>
          <w:p w14:paraId="7BB56AC2"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p=0.45</w:t>
            </w:r>
          </w:p>
        </w:tc>
      </w:tr>
      <w:tr w:rsidR="009968E0" w:rsidRPr="009968E0" w14:paraId="2EE5ACE4" w14:textId="77777777" w:rsidTr="009968E0">
        <w:trPr>
          <w:gridBefore w:val="1"/>
          <w:gridAfter w:val="1"/>
          <w:wBefore w:w="93" w:type="dxa"/>
          <w:wAfter w:w="956" w:type="dxa"/>
          <w:trHeight w:val="360"/>
        </w:trPr>
        <w:tc>
          <w:tcPr>
            <w:tcW w:w="1987" w:type="dxa"/>
            <w:gridSpan w:val="2"/>
            <w:vMerge w:val="restart"/>
            <w:tcBorders>
              <w:top w:val="nil"/>
              <w:left w:val="single" w:sz="12" w:space="0" w:color="000000"/>
              <w:bottom w:val="single" w:sz="4" w:space="0" w:color="000000"/>
              <w:right w:val="nil"/>
            </w:tcBorders>
            <w:shd w:val="clear" w:color="auto" w:fill="FDE9D9"/>
          </w:tcPr>
          <w:p w14:paraId="5CE7DEE3" w14:textId="66DF37C6"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RBV-</w:t>
            </w:r>
            <w:r w:rsidR="00264184">
              <w:rPr>
                <w:rFonts w:ascii="Calibri" w:eastAsia="Times New Roman" w:hAnsi="Calibri" w:cs="Calibri"/>
                <w:i/>
                <w:color w:val="000000"/>
                <w:sz w:val="22"/>
                <w:szCs w:val="22"/>
                <w:lang w:eastAsia="en-GB"/>
              </w:rPr>
              <w:t>RThal</w:t>
            </w:r>
            <w:r w:rsidRPr="009968E0">
              <w:rPr>
                <w:rFonts w:ascii="Calibri" w:eastAsia="Times New Roman" w:hAnsi="Calibri" w:cs="Calibri"/>
                <w:i/>
                <w:color w:val="000000"/>
                <w:sz w:val="22"/>
                <w:szCs w:val="22"/>
                <w:lang w:eastAsia="en-GB"/>
              </w:rPr>
              <w:t>3</w:t>
            </w:r>
          </w:p>
        </w:tc>
        <w:tc>
          <w:tcPr>
            <w:tcW w:w="3301" w:type="dxa"/>
            <w:gridSpan w:val="3"/>
            <w:tcBorders>
              <w:top w:val="nil"/>
              <w:left w:val="nil"/>
              <w:bottom w:val="single" w:sz="4" w:space="0" w:color="000000"/>
              <w:right w:val="single" w:sz="12" w:space="0" w:color="000000"/>
            </w:tcBorders>
            <w:shd w:val="clear" w:color="auto" w:fill="auto"/>
          </w:tcPr>
          <w:p w14:paraId="465E97C9"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Mean</w:t>
            </w:r>
          </w:p>
        </w:tc>
        <w:tc>
          <w:tcPr>
            <w:tcW w:w="943" w:type="dxa"/>
            <w:gridSpan w:val="2"/>
            <w:tcBorders>
              <w:top w:val="nil"/>
              <w:left w:val="nil"/>
              <w:bottom w:val="single" w:sz="4" w:space="0" w:color="000000"/>
              <w:right w:val="single" w:sz="4" w:space="0" w:color="000000"/>
            </w:tcBorders>
            <w:shd w:val="clear" w:color="auto" w:fill="auto"/>
            <w:vAlign w:val="center"/>
          </w:tcPr>
          <w:p w14:paraId="35F1D462"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11.40</w:t>
            </w:r>
          </w:p>
        </w:tc>
        <w:tc>
          <w:tcPr>
            <w:tcW w:w="888" w:type="dxa"/>
            <w:gridSpan w:val="2"/>
            <w:tcBorders>
              <w:top w:val="nil"/>
              <w:left w:val="nil"/>
              <w:bottom w:val="single" w:sz="4" w:space="0" w:color="000000"/>
              <w:right w:val="single" w:sz="4" w:space="0" w:color="000000"/>
            </w:tcBorders>
            <w:shd w:val="clear" w:color="auto" w:fill="auto"/>
            <w:vAlign w:val="center"/>
          </w:tcPr>
          <w:p w14:paraId="196D8FB1"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11.13</w:t>
            </w:r>
          </w:p>
        </w:tc>
        <w:tc>
          <w:tcPr>
            <w:tcW w:w="964" w:type="dxa"/>
            <w:gridSpan w:val="2"/>
            <w:tcBorders>
              <w:top w:val="nil"/>
              <w:left w:val="nil"/>
              <w:bottom w:val="single" w:sz="4" w:space="0" w:color="000000"/>
              <w:right w:val="single" w:sz="12" w:space="0" w:color="000000"/>
            </w:tcBorders>
            <w:shd w:val="clear" w:color="auto" w:fill="auto"/>
            <w:vAlign w:val="center"/>
          </w:tcPr>
          <w:p w14:paraId="1B2E35D8"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9.20</w:t>
            </w:r>
          </w:p>
        </w:tc>
        <w:tc>
          <w:tcPr>
            <w:tcW w:w="896" w:type="dxa"/>
            <w:gridSpan w:val="2"/>
            <w:tcBorders>
              <w:top w:val="nil"/>
              <w:left w:val="nil"/>
              <w:bottom w:val="single" w:sz="4" w:space="0" w:color="000000"/>
              <w:right w:val="single" w:sz="12" w:space="0" w:color="000000"/>
            </w:tcBorders>
            <w:vAlign w:val="center"/>
          </w:tcPr>
          <w:p w14:paraId="56D47051"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10.89</w:t>
            </w:r>
          </w:p>
        </w:tc>
      </w:tr>
      <w:tr w:rsidR="009968E0" w:rsidRPr="009968E0" w14:paraId="35819F34" w14:textId="77777777" w:rsidTr="009968E0">
        <w:trPr>
          <w:gridBefore w:val="1"/>
          <w:gridAfter w:val="1"/>
          <w:wBefore w:w="93" w:type="dxa"/>
          <w:wAfter w:w="956" w:type="dxa"/>
          <w:trHeight w:val="360"/>
        </w:trPr>
        <w:tc>
          <w:tcPr>
            <w:tcW w:w="1987" w:type="dxa"/>
            <w:gridSpan w:val="2"/>
            <w:vMerge/>
            <w:tcBorders>
              <w:top w:val="nil"/>
              <w:left w:val="single" w:sz="12" w:space="0" w:color="000000"/>
              <w:bottom w:val="single" w:sz="4" w:space="0" w:color="000000"/>
              <w:right w:val="nil"/>
            </w:tcBorders>
            <w:shd w:val="clear" w:color="auto" w:fill="FDE9D9"/>
          </w:tcPr>
          <w:p w14:paraId="3C267C06"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2046" w:type="dxa"/>
            <w:vMerge w:val="restart"/>
            <w:tcBorders>
              <w:top w:val="nil"/>
              <w:left w:val="nil"/>
              <w:bottom w:val="single" w:sz="4" w:space="0" w:color="000000"/>
              <w:right w:val="nil"/>
            </w:tcBorders>
            <w:shd w:val="clear" w:color="auto" w:fill="auto"/>
          </w:tcPr>
          <w:p w14:paraId="2B70B9D0"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95% Confidence Interval</w:t>
            </w:r>
          </w:p>
        </w:tc>
        <w:tc>
          <w:tcPr>
            <w:tcW w:w="1255" w:type="dxa"/>
            <w:gridSpan w:val="2"/>
            <w:tcBorders>
              <w:top w:val="nil"/>
              <w:left w:val="nil"/>
              <w:bottom w:val="nil"/>
              <w:right w:val="single" w:sz="12" w:space="0" w:color="000000"/>
            </w:tcBorders>
            <w:shd w:val="clear" w:color="auto" w:fill="auto"/>
          </w:tcPr>
          <w:p w14:paraId="1E952CEB"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Lower Bound</w:t>
            </w:r>
          </w:p>
        </w:tc>
        <w:tc>
          <w:tcPr>
            <w:tcW w:w="943" w:type="dxa"/>
            <w:gridSpan w:val="2"/>
            <w:tcBorders>
              <w:top w:val="nil"/>
              <w:left w:val="nil"/>
              <w:bottom w:val="nil"/>
              <w:right w:val="single" w:sz="4" w:space="0" w:color="000000"/>
            </w:tcBorders>
            <w:shd w:val="clear" w:color="auto" w:fill="auto"/>
            <w:vAlign w:val="center"/>
          </w:tcPr>
          <w:p w14:paraId="5BE8EA5E"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9.48</w:t>
            </w:r>
          </w:p>
        </w:tc>
        <w:tc>
          <w:tcPr>
            <w:tcW w:w="888" w:type="dxa"/>
            <w:gridSpan w:val="2"/>
            <w:tcBorders>
              <w:top w:val="nil"/>
              <w:left w:val="nil"/>
              <w:bottom w:val="nil"/>
              <w:right w:val="single" w:sz="4" w:space="0" w:color="000000"/>
            </w:tcBorders>
            <w:shd w:val="clear" w:color="auto" w:fill="auto"/>
            <w:vAlign w:val="center"/>
          </w:tcPr>
          <w:p w14:paraId="1173FE6E"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9.45</w:t>
            </w:r>
          </w:p>
        </w:tc>
        <w:tc>
          <w:tcPr>
            <w:tcW w:w="964" w:type="dxa"/>
            <w:gridSpan w:val="2"/>
            <w:tcBorders>
              <w:top w:val="nil"/>
              <w:left w:val="nil"/>
              <w:bottom w:val="nil"/>
              <w:right w:val="single" w:sz="12" w:space="0" w:color="000000"/>
            </w:tcBorders>
            <w:shd w:val="clear" w:color="auto" w:fill="auto"/>
            <w:vAlign w:val="center"/>
          </w:tcPr>
          <w:p w14:paraId="29F4731E"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6.80</w:t>
            </w:r>
          </w:p>
        </w:tc>
        <w:tc>
          <w:tcPr>
            <w:tcW w:w="896" w:type="dxa"/>
            <w:gridSpan w:val="2"/>
            <w:tcBorders>
              <w:top w:val="nil"/>
              <w:left w:val="nil"/>
              <w:bottom w:val="nil"/>
              <w:right w:val="single" w:sz="12" w:space="0" w:color="000000"/>
            </w:tcBorders>
            <w:vAlign w:val="center"/>
          </w:tcPr>
          <w:p w14:paraId="21F0FF5F"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8.97</w:t>
            </w:r>
          </w:p>
        </w:tc>
      </w:tr>
      <w:tr w:rsidR="009968E0" w:rsidRPr="009968E0" w14:paraId="28A8FE96" w14:textId="77777777" w:rsidTr="009968E0">
        <w:trPr>
          <w:gridBefore w:val="1"/>
          <w:gridAfter w:val="1"/>
          <w:wBefore w:w="93" w:type="dxa"/>
          <w:wAfter w:w="956" w:type="dxa"/>
          <w:trHeight w:val="360"/>
        </w:trPr>
        <w:tc>
          <w:tcPr>
            <w:tcW w:w="1987" w:type="dxa"/>
            <w:gridSpan w:val="2"/>
            <w:vMerge/>
            <w:tcBorders>
              <w:top w:val="nil"/>
              <w:left w:val="single" w:sz="12" w:space="0" w:color="000000"/>
              <w:bottom w:val="single" w:sz="4" w:space="0" w:color="000000"/>
              <w:right w:val="nil"/>
            </w:tcBorders>
            <w:shd w:val="clear" w:color="auto" w:fill="FDE9D9"/>
          </w:tcPr>
          <w:p w14:paraId="48C55080"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2046" w:type="dxa"/>
            <w:vMerge/>
            <w:tcBorders>
              <w:top w:val="nil"/>
              <w:left w:val="nil"/>
              <w:bottom w:val="single" w:sz="4" w:space="0" w:color="000000"/>
              <w:right w:val="nil"/>
            </w:tcBorders>
            <w:shd w:val="clear" w:color="auto" w:fill="auto"/>
          </w:tcPr>
          <w:p w14:paraId="54AE2AB2"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1255" w:type="dxa"/>
            <w:gridSpan w:val="2"/>
            <w:tcBorders>
              <w:top w:val="nil"/>
              <w:left w:val="nil"/>
              <w:bottom w:val="single" w:sz="4" w:space="0" w:color="000000"/>
              <w:right w:val="single" w:sz="12" w:space="0" w:color="000000"/>
            </w:tcBorders>
            <w:shd w:val="clear" w:color="auto" w:fill="auto"/>
          </w:tcPr>
          <w:p w14:paraId="38A8D398"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Upper Bound</w:t>
            </w:r>
          </w:p>
        </w:tc>
        <w:tc>
          <w:tcPr>
            <w:tcW w:w="943" w:type="dxa"/>
            <w:gridSpan w:val="2"/>
            <w:tcBorders>
              <w:top w:val="nil"/>
              <w:left w:val="nil"/>
              <w:bottom w:val="single" w:sz="4" w:space="0" w:color="000000"/>
              <w:right w:val="single" w:sz="4" w:space="0" w:color="000000"/>
            </w:tcBorders>
            <w:shd w:val="clear" w:color="auto" w:fill="auto"/>
            <w:vAlign w:val="center"/>
          </w:tcPr>
          <w:p w14:paraId="3FCA3B65"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13.31</w:t>
            </w:r>
          </w:p>
        </w:tc>
        <w:tc>
          <w:tcPr>
            <w:tcW w:w="888" w:type="dxa"/>
            <w:gridSpan w:val="2"/>
            <w:tcBorders>
              <w:top w:val="nil"/>
              <w:left w:val="nil"/>
              <w:bottom w:val="single" w:sz="4" w:space="0" w:color="000000"/>
              <w:right w:val="single" w:sz="4" w:space="0" w:color="000000"/>
            </w:tcBorders>
            <w:shd w:val="clear" w:color="auto" w:fill="auto"/>
            <w:vAlign w:val="center"/>
          </w:tcPr>
          <w:p w14:paraId="4C556EFA"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12.81</w:t>
            </w:r>
          </w:p>
        </w:tc>
        <w:tc>
          <w:tcPr>
            <w:tcW w:w="964" w:type="dxa"/>
            <w:gridSpan w:val="2"/>
            <w:tcBorders>
              <w:top w:val="nil"/>
              <w:left w:val="nil"/>
              <w:bottom w:val="single" w:sz="4" w:space="0" w:color="000000"/>
              <w:right w:val="single" w:sz="12" w:space="0" w:color="000000"/>
            </w:tcBorders>
            <w:shd w:val="clear" w:color="auto" w:fill="auto"/>
            <w:vAlign w:val="center"/>
          </w:tcPr>
          <w:p w14:paraId="048F4C22"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11.60</w:t>
            </w:r>
          </w:p>
        </w:tc>
        <w:tc>
          <w:tcPr>
            <w:tcW w:w="896" w:type="dxa"/>
            <w:gridSpan w:val="2"/>
            <w:tcBorders>
              <w:top w:val="nil"/>
              <w:left w:val="nil"/>
              <w:bottom w:val="single" w:sz="4" w:space="0" w:color="000000"/>
              <w:right w:val="single" w:sz="12" w:space="0" w:color="000000"/>
            </w:tcBorders>
            <w:vAlign w:val="center"/>
          </w:tcPr>
          <w:p w14:paraId="086869A1"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12.81</w:t>
            </w:r>
          </w:p>
        </w:tc>
      </w:tr>
      <w:tr w:rsidR="009968E0" w:rsidRPr="009968E0" w14:paraId="6438679B" w14:textId="77777777" w:rsidTr="009968E0">
        <w:trPr>
          <w:gridBefore w:val="1"/>
          <w:gridAfter w:val="1"/>
          <w:wBefore w:w="93" w:type="dxa"/>
          <w:wAfter w:w="956" w:type="dxa"/>
          <w:trHeight w:val="360"/>
        </w:trPr>
        <w:tc>
          <w:tcPr>
            <w:tcW w:w="8979" w:type="dxa"/>
            <w:gridSpan w:val="13"/>
            <w:tcBorders>
              <w:top w:val="nil"/>
              <w:left w:val="single" w:sz="12" w:space="0" w:color="000000"/>
              <w:bottom w:val="single" w:sz="4" w:space="0" w:color="000000"/>
              <w:right w:val="single" w:sz="12" w:space="0" w:color="000000"/>
            </w:tcBorders>
            <w:shd w:val="clear" w:color="auto" w:fill="auto"/>
            <w:vAlign w:val="center"/>
          </w:tcPr>
          <w:p w14:paraId="763B83B3"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p=0.51</w:t>
            </w:r>
          </w:p>
        </w:tc>
      </w:tr>
      <w:tr w:rsidR="009968E0" w:rsidRPr="009968E0" w14:paraId="07257160" w14:textId="77777777" w:rsidTr="009968E0">
        <w:trPr>
          <w:gridBefore w:val="1"/>
          <w:gridAfter w:val="1"/>
          <w:wBefore w:w="93" w:type="dxa"/>
          <w:wAfter w:w="956" w:type="dxa"/>
          <w:trHeight w:val="360"/>
        </w:trPr>
        <w:tc>
          <w:tcPr>
            <w:tcW w:w="1987" w:type="dxa"/>
            <w:gridSpan w:val="2"/>
            <w:vMerge w:val="restart"/>
            <w:tcBorders>
              <w:top w:val="nil"/>
              <w:left w:val="single" w:sz="12" w:space="0" w:color="000000"/>
              <w:bottom w:val="single" w:sz="4" w:space="0" w:color="000000"/>
              <w:right w:val="nil"/>
            </w:tcBorders>
            <w:shd w:val="clear" w:color="auto" w:fill="FDE9D9"/>
          </w:tcPr>
          <w:p w14:paraId="62EB8FA1"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RBV-LINS3</w:t>
            </w:r>
          </w:p>
        </w:tc>
        <w:tc>
          <w:tcPr>
            <w:tcW w:w="3301" w:type="dxa"/>
            <w:gridSpan w:val="3"/>
            <w:tcBorders>
              <w:top w:val="nil"/>
              <w:left w:val="nil"/>
              <w:bottom w:val="single" w:sz="4" w:space="0" w:color="000000"/>
              <w:right w:val="single" w:sz="12" w:space="0" w:color="000000"/>
            </w:tcBorders>
            <w:shd w:val="clear" w:color="auto" w:fill="auto"/>
          </w:tcPr>
          <w:p w14:paraId="01F20A07"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Mean</w:t>
            </w:r>
          </w:p>
        </w:tc>
        <w:tc>
          <w:tcPr>
            <w:tcW w:w="943" w:type="dxa"/>
            <w:gridSpan w:val="2"/>
            <w:tcBorders>
              <w:top w:val="nil"/>
              <w:left w:val="nil"/>
              <w:bottom w:val="single" w:sz="4" w:space="0" w:color="000000"/>
              <w:right w:val="single" w:sz="4" w:space="0" w:color="000000"/>
            </w:tcBorders>
            <w:shd w:val="clear" w:color="auto" w:fill="auto"/>
            <w:vAlign w:val="center"/>
          </w:tcPr>
          <w:p w14:paraId="3D776FA8"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19.55</w:t>
            </w:r>
          </w:p>
        </w:tc>
        <w:tc>
          <w:tcPr>
            <w:tcW w:w="888" w:type="dxa"/>
            <w:gridSpan w:val="2"/>
            <w:tcBorders>
              <w:top w:val="nil"/>
              <w:left w:val="nil"/>
              <w:bottom w:val="single" w:sz="4" w:space="0" w:color="000000"/>
              <w:right w:val="single" w:sz="4" w:space="0" w:color="000000"/>
            </w:tcBorders>
            <w:shd w:val="clear" w:color="auto" w:fill="auto"/>
            <w:vAlign w:val="center"/>
          </w:tcPr>
          <w:p w14:paraId="2A0353F4"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14.90</w:t>
            </w:r>
          </w:p>
        </w:tc>
        <w:tc>
          <w:tcPr>
            <w:tcW w:w="964" w:type="dxa"/>
            <w:gridSpan w:val="2"/>
            <w:tcBorders>
              <w:top w:val="nil"/>
              <w:left w:val="nil"/>
              <w:bottom w:val="single" w:sz="4" w:space="0" w:color="000000"/>
              <w:right w:val="single" w:sz="12" w:space="0" w:color="000000"/>
            </w:tcBorders>
            <w:shd w:val="clear" w:color="auto" w:fill="auto"/>
            <w:vAlign w:val="center"/>
          </w:tcPr>
          <w:p w14:paraId="5CB892E7"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14.76</w:t>
            </w:r>
          </w:p>
        </w:tc>
        <w:tc>
          <w:tcPr>
            <w:tcW w:w="896" w:type="dxa"/>
            <w:gridSpan w:val="2"/>
            <w:tcBorders>
              <w:top w:val="nil"/>
              <w:left w:val="nil"/>
              <w:bottom w:val="single" w:sz="4" w:space="0" w:color="000000"/>
              <w:right w:val="single" w:sz="12" w:space="0" w:color="000000"/>
            </w:tcBorders>
            <w:vAlign w:val="center"/>
          </w:tcPr>
          <w:p w14:paraId="2FE88AE6"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18.90</w:t>
            </w:r>
          </w:p>
        </w:tc>
      </w:tr>
      <w:tr w:rsidR="009968E0" w:rsidRPr="009968E0" w14:paraId="3B8F9C2A" w14:textId="77777777" w:rsidTr="009968E0">
        <w:trPr>
          <w:gridBefore w:val="1"/>
          <w:gridAfter w:val="1"/>
          <w:wBefore w:w="93" w:type="dxa"/>
          <w:wAfter w:w="956" w:type="dxa"/>
          <w:trHeight w:val="360"/>
        </w:trPr>
        <w:tc>
          <w:tcPr>
            <w:tcW w:w="1987" w:type="dxa"/>
            <w:gridSpan w:val="2"/>
            <w:vMerge/>
            <w:tcBorders>
              <w:top w:val="nil"/>
              <w:left w:val="single" w:sz="12" w:space="0" w:color="000000"/>
              <w:bottom w:val="single" w:sz="4" w:space="0" w:color="000000"/>
              <w:right w:val="nil"/>
            </w:tcBorders>
            <w:shd w:val="clear" w:color="auto" w:fill="FDE9D9"/>
          </w:tcPr>
          <w:p w14:paraId="427B1EDB"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2046" w:type="dxa"/>
            <w:vMerge w:val="restart"/>
            <w:tcBorders>
              <w:top w:val="nil"/>
              <w:left w:val="nil"/>
              <w:bottom w:val="single" w:sz="4" w:space="0" w:color="000000"/>
              <w:right w:val="nil"/>
            </w:tcBorders>
            <w:shd w:val="clear" w:color="auto" w:fill="auto"/>
          </w:tcPr>
          <w:p w14:paraId="085B8D21"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95% Confidence Interval</w:t>
            </w:r>
          </w:p>
        </w:tc>
        <w:tc>
          <w:tcPr>
            <w:tcW w:w="1255" w:type="dxa"/>
            <w:gridSpan w:val="2"/>
            <w:tcBorders>
              <w:top w:val="nil"/>
              <w:left w:val="nil"/>
              <w:bottom w:val="nil"/>
              <w:right w:val="single" w:sz="12" w:space="0" w:color="000000"/>
            </w:tcBorders>
            <w:shd w:val="clear" w:color="auto" w:fill="auto"/>
          </w:tcPr>
          <w:p w14:paraId="3B41EF19"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Lower Bound</w:t>
            </w:r>
          </w:p>
        </w:tc>
        <w:tc>
          <w:tcPr>
            <w:tcW w:w="943" w:type="dxa"/>
            <w:gridSpan w:val="2"/>
            <w:tcBorders>
              <w:top w:val="nil"/>
              <w:left w:val="nil"/>
              <w:bottom w:val="nil"/>
              <w:right w:val="single" w:sz="4" w:space="0" w:color="000000"/>
            </w:tcBorders>
            <w:shd w:val="clear" w:color="auto" w:fill="auto"/>
            <w:vAlign w:val="center"/>
          </w:tcPr>
          <w:p w14:paraId="6B7E7031"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16.80</w:t>
            </w:r>
          </w:p>
        </w:tc>
        <w:tc>
          <w:tcPr>
            <w:tcW w:w="888" w:type="dxa"/>
            <w:gridSpan w:val="2"/>
            <w:tcBorders>
              <w:top w:val="nil"/>
              <w:left w:val="nil"/>
              <w:bottom w:val="nil"/>
              <w:right w:val="single" w:sz="4" w:space="0" w:color="000000"/>
            </w:tcBorders>
            <w:shd w:val="clear" w:color="auto" w:fill="auto"/>
            <w:vAlign w:val="center"/>
          </w:tcPr>
          <w:p w14:paraId="6CA2E708"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12.47</w:t>
            </w:r>
          </w:p>
        </w:tc>
        <w:tc>
          <w:tcPr>
            <w:tcW w:w="964" w:type="dxa"/>
            <w:gridSpan w:val="2"/>
            <w:tcBorders>
              <w:top w:val="nil"/>
              <w:left w:val="nil"/>
              <w:bottom w:val="nil"/>
              <w:right w:val="single" w:sz="12" w:space="0" w:color="000000"/>
            </w:tcBorders>
            <w:shd w:val="clear" w:color="auto" w:fill="auto"/>
            <w:vAlign w:val="center"/>
          </w:tcPr>
          <w:p w14:paraId="40861904"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11.31</w:t>
            </w:r>
          </w:p>
        </w:tc>
        <w:tc>
          <w:tcPr>
            <w:tcW w:w="896" w:type="dxa"/>
            <w:gridSpan w:val="2"/>
            <w:tcBorders>
              <w:top w:val="nil"/>
              <w:left w:val="nil"/>
              <w:bottom w:val="nil"/>
              <w:right w:val="single" w:sz="12" w:space="0" w:color="000000"/>
            </w:tcBorders>
            <w:vAlign w:val="center"/>
          </w:tcPr>
          <w:p w14:paraId="737A72B6"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16.14</w:t>
            </w:r>
          </w:p>
        </w:tc>
      </w:tr>
      <w:tr w:rsidR="009968E0" w:rsidRPr="009968E0" w14:paraId="5DD29198" w14:textId="77777777" w:rsidTr="009968E0">
        <w:trPr>
          <w:gridBefore w:val="1"/>
          <w:gridAfter w:val="1"/>
          <w:wBefore w:w="93" w:type="dxa"/>
          <w:wAfter w:w="956" w:type="dxa"/>
          <w:trHeight w:val="360"/>
        </w:trPr>
        <w:tc>
          <w:tcPr>
            <w:tcW w:w="1987" w:type="dxa"/>
            <w:gridSpan w:val="2"/>
            <w:vMerge/>
            <w:tcBorders>
              <w:top w:val="nil"/>
              <w:left w:val="single" w:sz="12" w:space="0" w:color="000000"/>
              <w:bottom w:val="single" w:sz="4" w:space="0" w:color="000000"/>
              <w:right w:val="nil"/>
            </w:tcBorders>
            <w:shd w:val="clear" w:color="auto" w:fill="FDE9D9"/>
          </w:tcPr>
          <w:p w14:paraId="0F66CE67"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2046" w:type="dxa"/>
            <w:vMerge/>
            <w:tcBorders>
              <w:top w:val="nil"/>
              <w:left w:val="nil"/>
              <w:bottom w:val="single" w:sz="4" w:space="0" w:color="000000"/>
              <w:right w:val="nil"/>
            </w:tcBorders>
            <w:shd w:val="clear" w:color="auto" w:fill="auto"/>
          </w:tcPr>
          <w:p w14:paraId="76090268"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1255" w:type="dxa"/>
            <w:gridSpan w:val="2"/>
            <w:tcBorders>
              <w:top w:val="nil"/>
              <w:left w:val="nil"/>
              <w:bottom w:val="single" w:sz="4" w:space="0" w:color="000000"/>
              <w:right w:val="single" w:sz="12" w:space="0" w:color="000000"/>
            </w:tcBorders>
            <w:shd w:val="clear" w:color="auto" w:fill="auto"/>
          </w:tcPr>
          <w:p w14:paraId="52AE4A70"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Upper Bound</w:t>
            </w:r>
          </w:p>
        </w:tc>
        <w:tc>
          <w:tcPr>
            <w:tcW w:w="943" w:type="dxa"/>
            <w:gridSpan w:val="2"/>
            <w:tcBorders>
              <w:top w:val="nil"/>
              <w:left w:val="nil"/>
              <w:bottom w:val="single" w:sz="4" w:space="0" w:color="000000"/>
              <w:right w:val="single" w:sz="4" w:space="0" w:color="000000"/>
            </w:tcBorders>
            <w:shd w:val="clear" w:color="auto" w:fill="auto"/>
            <w:vAlign w:val="center"/>
          </w:tcPr>
          <w:p w14:paraId="036A91DE"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22.31</w:t>
            </w:r>
          </w:p>
        </w:tc>
        <w:tc>
          <w:tcPr>
            <w:tcW w:w="888" w:type="dxa"/>
            <w:gridSpan w:val="2"/>
            <w:tcBorders>
              <w:top w:val="nil"/>
              <w:left w:val="nil"/>
              <w:bottom w:val="single" w:sz="4" w:space="0" w:color="000000"/>
              <w:right w:val="single" w:sz="4" w:space="0" w:color="000000"/>
            </w:tcBorders>
            <w:shd w:val="clear" w:color="auto" w:fill="auto"/>
            <w:vAlign w:val="center"/>
          </w:tcPr>
          <w:p w14:paraId="2A6AA9B2"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17.32</w:t>
            </w:r>
          </w:p>
        </w:tc>
        <w:tc>
          <w:tcPr>
            <w:tcW w:w="964" w:type="dxa"/>
            <w:gridSpan w:val="2"/>
            <w:tcBorders>
              <w:top w:val="nil"/>
              <w:left w:val="nil"/>
              <w:bottom w:val="single" w:sz="4" w:space="0" w:color="000000"/>
              <w:right w:val="single" w:sz="12" w:space="0" w:color="000000"/>
            </w:tcBorders>
            <w:shd w:val="clear" w:color="auto" w:fill="auto"/>
            <w:vAlign w:val="center"/>
          </w:tcPr>
          <w:p w14:paraId="58FCE668"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18.21</w:t>
            </w:r>
          </w:p>
        </w:tc>
        <w:tc>
          <w:tcPr>
            <w:tcW w:w="896" w:type="dxa"/>
            <w:gridSpan w:val="2"/>
            <w:tcBorders>
              <w:top w:val="nil"/>
              <w:left w:val="nil"/>
              <w:bottom w:val="single" w:sz="4" w:space="0" w:color="000000"/>
              <w:right w:val="single" w:sz="12" w:space="0" w:color="000000"/>
            </w:tcBorders>
            <w:vAlign w:val="center"/>
          </w:tcPr>
          <w:p w14:paraId="79200E53"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21.66</w:t>
            </w:r>
          </w:p>
        </w:tc>
      </w:tr>
      <w:tr w:rsidR="009968E0" w:rsidRPr="009968E0" w14:paraId="0F7B24CC" w14:textId="77777777" w:rsidTr="009968E0">
        <w:trPr>
          <w:gridBefore w:val="1"/>
          <w:gridAfter w:val="1"/>
          <w:wBefore w:w="93" w:type="dxa"/>
          <w:wAfter w:w="956" w:type="dxa"/>
          <w:trHeight w:val="360"/>
        </w:trPr>
        <w:tc>
          <w:tcPr>
            <w:tcW w:w="8979" w:type="dxa"/>
            <w:gridSpan w:val="13"/>
            <w:tcBorders>
              <w:top w:val="nil"/>
              <w:left w:val="single" w:sz="12" w:space="0" w:color="000000"/>
              <w:bottom w:val="single" w:sz="4" w:space="0" w:color="000000"/>
              <w:right w:val="single" w:sz="12" w:space="0" w:color="000000"/>
            </w:tcBorders>
            <w:shd w:val="clear" w:color="auto" w:fill="auto"/>
            <w:vAlign w:val="center"/>
          </w:tcPr>
          <w:p w14:paraId="72284F67"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p=0.04</w:t>
            </w:r>
            <w:r w:rsidRPr="009968E0">
              <w:rPr>
                <w:rFonts w:ascii="Calibri" w:eastAsia="Times New Roman" w:hAnsi="Calibri" w:cs="Calibri"/>
                <w:i/>
                <w:color w:val="000000"/>
                <w:sz w:val="22"/>
                <w:szCs w:val="22"/>
                <w:vertAlign w:val="superscript"/>
                <w:lang w:eastAsia="en-GB"/>
              </w:rPr>
              <w:t>*</w:t>
            </w:r>
          </w:p>
        </w:tc>
      </w:tr>
      <w:tr w:rsidR="009968E0" w:rsidRPr="009968E0" w14:paraId="5A83DA77" w14:textId="77777777" w:rsidTr="009968E0">
        <w:trPr>
          <w:gridBefore w:val="1"/>
          <w:gridAfter w:val="1"/>
          <w:wBefore w:w="93" w:type="dxa"/>
          <w:wAfter w:w="956" w:type="dxa"/>
          <w:trHeight w:val="360"/>
        </w:trPr>
        <w:tc>
          <w:tcPr>
            <w:tcW w:w="1987" w:type="dxa"/>
            <w:gridSpan w:val="2"/>
            <w:vMerge w:val="restart"/>
            <w:tcBorders>
              <w:top w:val="nil"/>
              <w:left w:val="single" w:sz="12" w:space="0" w:color="000000"/>
              <w:bottom w:val="single" w:sz="4" w:space="0" w:color="000000"/>
              <w:right w:val="nil"/>
            </w:tcBorders>
            <w:shd w:val="clear" w:color="auto" w:fill="FDE9D9"/>
          </w:tcPr>
          <w:p w14:paraId="023F5BB0"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RBV-RINS3</w:t>
            </w:r>
          </w:p>
        </w:tc>
        <w:tc>
          <w:tcPr>
            <w:tcW w:w="3301" w:type="dxa"/>
            <w:gridSpan w:val="3"/>
            <w:tcBorders>
              <w:top w:val="nil"/>
              <w:left w:val="nil"/>
              <w:bottom w:val="single" w:sz="4" w:space="0" w:color="000000"/>
              <w:right w:val="single" w:sz="12" w:space="0" w:color="000000"/>
            </w:tcBorders>
            <w:shd w:val="clear" w:color="auto" w:fill="auto"/>
          </w:tcPr>
          <w:p w14:paraId="53AD1D8B"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Mean</w:t>
            </w:r>
          </w:p>
        </w:tc>
        <w:tc>
          <w:tcPr>
            <w:tcW w:w="943" w:type="dxa"/>
            <w:gridSpan w:val="2"/>
            <w:tcBorders>
              <w:top w:val="nil"/>
              <w:left w:val="nil"/>
              <w:bottom w:val="single" w:sz="4" w:space="0" w:color="000000"/>
              <w:right w:val="single" w:sz="4" w:space="0" w:color="000000"/>
            </w:tcBorders>
            <w:shd w:val="clear" w:color="auto" w:fill="auto"/>
            <w:vAlign w:val="center"/>
          </w:tcPr>
          <w:p w14:paraId="33533697"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20.35</w:t>
            </w:r>
          </w:p>
        </w:tc>
        <w:tc>
          <w:tcPr>
            <w:tcW w:w="888" w:type="dxa"/>
            <w:gridSpan w:val="2"/>
            <w:tcBorders>
              <w:top w:val="nil"/>
              <w:left w:val="nil"/>
              <w:bottom w:val="single" w:sz="4" w:space="0" w:color="000000"/>
              <w:right w:val="single" w:sz="4" w:space="0" w:color="000000"/>
            </w:tcBorders>
            <w:shd w:val="clear" w:color="auto" w:fill="auto"/>
            <w:vAlign w:val="center"/>
          </w:tcPr>
          <w:p w14:paraId="1A620836"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15.71</w:t>
            </w:r>
          </w:p>
        </w:tc>
        <w:tc>
          <w:tcPr>
            <w:tcW w:w="964" w:type="dxa"/>
            <w:gridSpan w:val="2"/>
            <w:tcBorders>
              <w:top w:val="nil"/>
              <w:left w:val="nil"/>
              <w:bottom w:val="single" w:sz="4" w:space="0" w:color="000000"/>
              <w:right w:val="single" w:sz="12" w:space="0" w:color="000000"/>
            </w:tcBorders>
            <w:shd w:val="clear" w:color="auto" w:fill="auto"/>
            <w:vAlign w:val="center"/>
          </w:tcPr>
          <w:p w14:paraId="3DE1D2CA"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17.05</w:t>
            </w:r>
          </w:p>
        </w:tc>
        <w:tc>
          <w:tcPr>
            <w:tcW w:w="896" w:type="dxa"/>
            <w:gridSpan w:val="2"/>
            <w:tcBorders>
              <w:top w:val="nil"/>
              <w:left w:val="nil"/>
              <w:bottom w:val="single" w:sz="4" w:space="0" w:color="000000"/>
              <w:right w:val="single" w:sz="12" w:space="0" w:color="000000"/>
            </w:tcBorders>
            <w:vAlign w:val="center"/>
          </w:tcPr>
          <w:p w14:paraId="1B605AB0"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18.49</w:t>
            </w:r>
          </w:p>
        </w:tc>
      </w:tr>
      <w:tr w:rsidR="009968E0" w:rsidRPr="009968E0" w14:paraId="3F535905" w14:textId="77777777" w:rsidTr="009968E0">
        <w:trPr>
          <w:gridBefore w:val="1"/>
          <w:gridAfter w:val="1"/>
          <w:wBefore w:w="93" w:type="dxa"/>
          <w:wAfter w:w="956" w:type="dxa"/>
          <w:trHeight w:val="360"/>
        </w:trPr>
        <w:tc>
          <w:tcPr>
            <w:tcW w:w="1987" w:type="dxa"/>
            <w:gridSpan w:val="2"/>
            <w:vMerge/>
            <w:tcBorders>
              <w:top w:val="nil"/>
              <w:left w:val="single" w:sz="12" w:space="0" w:color="000000"/>
              <w:bottom w:val="single" w:sz="4" w:space="0" w:color="000000"/>
              <w:right w:val="nil"/>
            </w:tcBorders>
            <w:shd w:val="clear" w:color="auto" w:fill="FDE9D9"/>
          </w:tcPr>
          <w:p w14:paraId="0F6100D8"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2046" w:type="dxa"/>
            <w:vMerge w:val="restart"/>
            <w:tcBorders>
              <w:top w:val="nil"/>
              <w:left w:val="nil"/>
              <w:bottom w:val="single" w:sz="4" w:space="0" w:color="000000"/>
              <w:right w:val="nil"/>
            </w:tcBorders>
            <w:shd w:val="clear" w:color="auto" w:fill="auto"/>
          </w:tcPr>
          <w:p w14:paraId="176A0A61"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95% Confidence Interval</w:t>
            </w:r>
          </w:p>
        </w:tc>
        <w:tc>
          <w:tcPr>
            <w:tcW w:w="1255" w:type="dxa"/>
            <w:gridSpan w:val="2"/>
            <w:tcBorders>
              <w:top w:val="nil"/>
              <w:left w:val="nil"/>
              <w:bottom w:val="nil"/>
              <w:right w:val="single" w:sz="12" w:space="0" w:color="000000"/>
            </w:tcBorders>
            <w:shd w:val="clear" w:color="auto" w:fill="auto"/>
          </w:tcPr>
          <w:p w14:paraId="5A1CEFA6"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Lower Bound</w:t>
            </w:r>
          </w:p>
        </w:tc>
        <w:tc>
          <w:tcPr>
            <w:tcW w:w="943" w:type="dxa"/>
            <w:gridSpan w:val="2"/>
            <w:tcBorders>
              <w:top w:val="nil"/>
              <w:left w:val="nil"/>
              <w:bottom w:val="nil"/>
              <w:right w:val="single" w:sz="4" w:space="0" w:color="000000"/>
            </w:tcBorders>
            <w:shd w:val="clear" w:color="auto" w:fill="auto"/>
            <w:vAlign w:val="center"/>
          </w:tcPr>
          <w:p w14:paraId="232286ED"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17.30</w:t>
            </w:r>
          </w:p>
        </w:tc>
        <w:tc>
          <w:tcPr>
            <w:tcW w:w="888" w:type="dxa"/>
            <w:gridSpan w:val="2"/>
            <w:tcBorders>
              <w:top w:val="nil"/>
              <w:left w:val="nil"/>
              <w:bottom w:val="nil"/>
              <w:right w:val="single" w:sz="4" w:space="0" w:color="000000"/>
            </w:tcBorders>
            <w:shd w:val="clear" w:color="auto" w:fill="auto"/>
            <w:vAlign w:val="center"/>
          </w:tcPr>
          <w:p w14:paraId="7E9F00D8"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13.02</w:t>
            </w:r>
          </w:p>
        </w:tc>
        <w:tc>
          <w:tcPr>
            <w:tcW w:w="964" w:type="dxa"/>
            <w:gridSpan w:val="2"/>
            <w:tcBorders>
              <w:top w:val="nil"/>
              <w:left w:val="nil"/>
              <w:bottom w:val="nil"/>
              <w:right w:val="single" w:sz="12" w:space="0" w:color="000000"/>
            </w:tcBorders>
            <w:shd w:val="clear" w:color="auto" w:fill="auto"/>
            <w:vAlign w:val="center"/>
          </w:tcPr>
          <w:p w14:paraId="34F05B00"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13.24</w:t>
            </w:r>
          </w:p>
        </w:tc>
        <w:tc>
          <w:tcPr>
            <w:tcW w:w="896" w:type="dxa"/>
            <w:gridSpan w:val="2"/>
            <w:tcBorders>
              <w:top w:val="nil"/>
              <w:left w:val="nil"/>
              <w:bottom w:val="nil"/>
              <w:right w:val="single" w:sz="12" w:space="0" w:color="000000"/>
            </w:tcBorders>
            <w:vAlign w:val="center"/>
          </w:tcPr>
          <w:p w14:paraId="03DFE4A6"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15.44</w:t>
            </w:r>
          </w:p>
        </w:tc>
      </w:tr>
      <w:tr w:rsidR="009968E0" w:rsidRPr="009968E0" w14:paraId="2E1AF309" w14:textId="77777777" w:rsidTr="009968E0">
        <w:trPr>
          <w:gridBefore w:val="1"/>
          <w:gridAfter w:val="1"/>
          <w:wBefore w:w="93" w:type="dxa"/>
          <w:wAfter w:w="956" w:type="dxa"/>
          <w:trHeight w:val="360"/>
        </w:trPr>
        <w:tc>
          <w:tcPr>
            <w:tcW w:w="1987" w:type="dxa"/>
            <w:gridSpan w:val="2"/>
            <w:vMerge/>
            <w:tcBorders>
              <w:top w:val="nil"/>
              <w:left w:val="single" w:sz="12" w:space="0" w:color="000000"/>
              <w:bottom w:val="single" w:sz="4" w:space="0" w:color="000000"/>
              <w:right w:val="nil"/>
            </w:tcBorders>
            <w:shd w:val="clear" w:color="auto" w:fill="FDE9D9"/>
          </w:tcPr>
          <w:p w14:paraId="7B8AEECD"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2046" w:type="dxa"/>
            <w:vMerge/>
            <w:tcBorders>
              <w:top w:val="nil"/>
              <w:left w:val="nil"/>
              <w:bottom w:val="single" w:sz="4" w:space="0" w:color="000000"/>
              <w:right w:val="nil"/>
            </w:tcBorders>
            <w:shd w:val="clear" w:color="auto" w:fill="auto"/>
          </w:tcPr>
          <w:p w14:paraId="1BF83472"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1255" w:type="dxa"/>
            <w:gridSpan w:val="2"/>
            <w:tcBorders>
              <w:top w:val="nil"/>
              <w:left w:val="nil"/>
              <w:bottom w:val="single" w:sz="4" w:space="0" w:color="000000"/>
              <w:right w:val="single" w:sz="12" w:space="0" w:color="000000"/>
            </w:tcBorders>
            <w:shd w:val="clear" w:color="auto" w:fill="auto"/>
          </w:tcPr>
          <w:p w14:paraId="1C00CA90"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Upper Bound</w:t>
            </w:r>
          </w:p>
        </w:tc>
        <w:tc>
          <w:tcPr>
            <w:tcW w:w="943" w:type="dxa"/>
            <w:gridSpan w:val="2"/>
            <w:tcBorders>
              <w:top w:val="nil"/>
              <w:left w:val="nil"/>
              <w:bottom w:val="single" w:sz="4" w:space="0" w:color="000000"/>
              <w:right w:val="single" w:sz="4" w:space="0" w:color="000000"/>
            </w:tcBorders>
            <w:shd w:val="clear" w:color="auto" w:fill="auto"/>
            <w:vAlign w:val="center"/>
          </w:tcPr>
          <w:p w14:paraId="6567C549"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23.40</w:t>
            </w:r>
          </w:p>
        </w:tc>
        <w:tc>
          <w:tcPr>
            <w:tcW w:w="888" w:type="dxa"/>
            <w:gridSpan w:val="2"/>
            <w:tcBorders>
              <w:top w:val="nil"/>
              <w:left w:val="nil"/>
              <w:bottom w:val="single" w:sz="4" w:space="0" w:color="000000"/>
              <w:right w:val="single" w:sz="4" w:space="0" w:color="000000"/>
            </w:tcBorders>
            <w:shd w:val="clear" w:color="auto" w:fill="auto"/>
            <w:vAlign w:val="center"/>
          </w:tcPr>
          <w:p w14:paraId="59086C97"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18.39</w:t>
            </w:r>
          </w:p>
        </w:tc>
        <w:tc>
          <w:tcPr>
            <w:tcW w:w="964" w:type="dxa"/>
            <w:gridSpan w:val="2"/>
            <w:tcBorders>
              <w:top w:val="nil"/>
              <w:left w:val="nil"/>
              <w:bottom w:val="single" w:sz="4" w:space="0" w:color="000000"/>
              <w:right w:val="single" w:sz="12" w:space="0" w:color="000000"/>
            </w:tcBorders>
            <w:shd w:val="clear" w:color="auto" w:fill="auto"/>
            <w:vAlign w:val="center"/>
          </w:tcPr>
          <w:p w14:paraId="333ACC5A"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20.87</w:t>
            </w:r>
          </w:p>
        </w:tc>
        <w:tc>
          <w:tcPr>
            <w:tcW w:w="896" w:type="dxa"/>
            <w:gridSpan w:val="2"/>
            <w:tcBorders>
              <w:top w:val="nil"/>
              <w:left w:val="nil"/>
              <w:bottom w:val="single" w:sz="4" w:space="0" w:color="000000"/>
              <w:right w:val="single" w:sz="12" w:space="0" w:color="000000"/>
            </w:tcBorders>
            <w:vAlign w:val="center"/>
          </w:tcPr>
          <w:p w14:paraId="71BE56F5"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21.55</w:t>
            </w:r>
          </w:p>
        </w:tc>
      </w:tr>
      <w:tr w:rsidR="009968E0" w:rsidRPr="009968E0" w14:paraId="6D9DF566" w14:textId="77777777" w:rsidTr="009968E0">
        <w:trPr>
          <w:gridBefore w:val="1"/>
          <w:gridAfter w:val="1"/>
          <w:wBefore w:w="93" w:type="dxa"/>
          <w:wAfter w:w="956" w:type="dxa"/>
          <w:trHeight w:val="360"/>
        </w:trPr>
        <w:tc>
          <w:tcPr>
            <w:tcW w:w="8979" w:type="dxa"/>
            <w:gridSpan w:val="13"/>
            <w:tcBorders>
              <w:top w:val="nil"/>
              <w:left w:val="single" w:sz="12" w:space="0" w:color="000000"/>
              <w:bottom w:val="single" w:sz="4" w:space="0" w:color="000000"/>
              <w:right w:val="single" w:sz="12" w:space="0" w:color="000000"/>
            </w:tcBorders>
            <w:shd w:val="clear" w:color="auto" w:fill="auto"/>
            <w:vAlign w:val="center"/>
          </w:tcPr>
          <w:p w14:paraId="5AEA67D3"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p=0.07</w:t>
            </w:r>
          </w:p>
        </w:tc>
      </w:tr>
      <w:tr w:rsidR="009968E0" w:rsidRPr="009968E0" w14:paraId="5A206C45" w14:textId="77777777" w:rsidTr="009968E0">
        <w:trPr>
          <w:gridBefore w:val="1"/>
          <w:gridAfter w:val="1"/>
          <w:wBefore w:w="93" w:type="dxa"/>
          <w:wAfter w:w="956" w:type="dxa"/>
          <w:trHeight w:val="360"/>
        </w:trPr>
        <w:tc>
          <w:tcPr>
            <w:tcW w:w="1987" w:type="dxa"/>
            <w:gridSpan w:val="2"/>
            <w:vMerge w:val="restart"/>
            <w:tcBorders>
              <w:top w:val="nil"/>
              <w:left w:val="single" w:sz="12" w:space="0" w:color="000000"/>
              <w:bottom w:val="single" w:sz="4" w:space="0" w:color="000000"/>
              <w:right w:val="nil"/>
            </w:tcBorders>
            <w:shd w:val="clear" w:color="auto" w:fill="FDE9D9"/>
          </w:tcPr>
          <w:p w14:paraId="5FDC2B89"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RBV-ACC3</w:t>
            </w:r>
          </w:p>
        </w:tc>
        <w:tc>
          <w:tcPr>
            <w:tcW w:w="3301" w:type="dxa"/>
            <w:gridSpan w:val="3"/>
            <w:tcBorders>
              <w:top w:val="nil"/>
              <w:left w:val="nil"/>
              <w:bottom w:val="single" w:sz="4" w:space="0" w:color="000000"/>
              <w:right w:val="single" w:sz="12" w:space="0" w:color="000000"/>
            </w:tcBorders>
            <w:shd w:val="clear" w:color="auto" w:fill="auto"/>
          </w:tcPr>
          <w:p w14:paraId="1C7F0CC0"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Mean</w:t>
            </w:r>
          </w:p>
        </w:tc>
        <w:tc>
          <w:tcPr>
            <w:tcW w:w="943" w:type="dxa"/>
            <w:gridSpan w:val="2"/>
            <w:tcBorders>
              <w:top w:val="nil"/>
              <w:left w:val="nil"/>
              <w:bottom w:val="single" w:sz="4" w:space="0" w:color="000000"/>
              <w:right w:val="single" w:sz="4" w:space="0" w:color="000000"/>
            </w:tcBorders>
            <w:shd w:val="clear" w:color="auto" w:fill="auto"/>
            <w:vAlign w:val="center"/>
          </w:tcPr>
          <w:p w14:paraId="5118DD64"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15.72</w:t>
            </w:r>
          </w:p>
        </w:tc>
        <w:tc>
          <w:tcPr>
            <w:tcW w:w="888" w:type="dxa"/>
            <w:gridSpan w:val="2"/>
            <w:tcBorders>
              <w:top w:val="nil"/>
              <w:left w:val="nil"/>
              <w:bottom w:val="single" w:sz="4" w:space="0" w:color="000000"/>
              <w:right w:val="single" w:sz="4" w:space="0" w:color="000000"/>
            </w:tcBorders>
            <w:shd w:val="clear" w:color="auto" w:fill="auto"/>
            <w:vAlign w:val="center"/>
          </w:tcPr>
          <w:p w14:paraId="41F235A5"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14.29</w:t>
            </w:r>
          </w:p>
        </w:tc>
        <w:tc>
          <w:tcPr>
            <w:tcW w:w="964" w:type="dxa"/>
            <w:gridSpan w:val="2"/>
            <w:tcBorders>
              <w:top w:val="nil"/>
              <w:left w:val="nil"/>
              <w:bottom w:val="single" w:sz="4" w:space="0" w:color="000000"/>
              <w:right w:val="single" w:sz="12" w:space="0" w:color="000000"/>
            </w:tcBorders>
            <w:shd w:val="clear" w:color="auto" w:fill="auto"/>
            <w:vAlign w:val="center"/>
          </w:tcPr>
          <w:p w14:paraId="0400DF80"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12.21</w:t>
            </w:r>
          </w:p>
        </w:tc>
        <w:tc>
          <w:tcPr>
            <w:tcW w:w="896" w:type="dxa"/>
            <w:gridSpan w:val="2"/>
            <w:tcBorders>
              <w:top w:val="nil"/>
              <w:left w:val="nil"/>
              <w:bottom w:val="single" w:sz="4" w:space="0" w:color="000000"/>
              <w:right w:val="single" w:sz="12" w:space="0" w:color="000000"/>
            </w:tcBorders>
            <w:vAlign w:val="center"/>
          </w:tcPr>
          <w:p w14:paraId="308ADBD6"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13.95</w:t>
            </w:r>
          </w:p>
        </w:tc>
      </w:tr>
      <w:tr w:rsidR="009968E0" w:rsidRPr="009968E0" w14:paraId="7F6320D1" w14:textId="77777777" w:rsidTr="009968E0">
        <w:trPr>
          <w:gridBefore w:val="1"/>
          <w:gridAfter w:val="1"/>
          <w:wBefore w:w="93" w:type="dxa"/>
          <w:wAfter w:w="956" w:type="dxa"/>
          <w:trHeight w:val="360"/>
        </w:trPr>
        <w:tc>
          <w:tcPr>
            <w:tcW w:w="1987" w:type="dxa"/>
            <w:gridSpan w:val="2"/>
            <w:vMerge/>
            <w:tcBorders>
              <w:top w:val="nil"/>
              <w:left w:val="single" w:sz="12" w:space="0" w:color="000000"/>
              <w:bottom w:val="single" w:sz="4" w:space="0" w:color="000000"/>
              <w:right w:val="nil"/>
            </w:tcBorders>
            <w:shd w:val="clear" w:color="auto" w:fill="FDE9D9"/>
          </w:tcPr>
          <w:p w14:paraId="28E67081"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2046" w:type="dxa"/>
            <w:vMerge w:val="restart"/>
            <w:tcBorders>
              <w:top w:val="nil"/>
              <w:left w:val="nil"/>
              <w:bottom w:val="single" w:sz="4" w:space="0" w:color="000000"/>
              <w:right w:val="nil"/>
            </w:tcBorders>
            <w:shd w:val="clear" w:color="auto" w:fill="auto"/>
          </w:tcPr>
          <w:p w14:paraId="2B76CBBF"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95% Confidence Interval</w:t>
            </w:r>
          </w:p>
        </w:tc>
        <w:tc>
          <w:tcPr>
            <w:tcW w:w="1255" w:type="dxa"/>
            <w:gridSpan w:val="2"/>
            <w:tcBorders>
              <w:top w:val="nil"/>
              <w:left w:val="nil"/>
              <w:bottom w:val="nil"/>
              <w:right w:val="single" w:sz="12" w:space="0" w:color="000000"/>
            </w:tcBorders>
            <w:shd w:val="clear" w:color="auto" w:fill="auto"/>
          </w:tcPr>
          <w:p w14:paraId="077331C9"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Lower Bound</w:t>
            </w:r>
          </w:p>
        </w:tc>
        <w:tc>
          <w:tcPr>
            <w:tcW w:w="943" w:type="dxa"/>
            <w:gridSpan w:val="2"/>
            <w:tcBorders>
              <w:top w:val="nil"/>
              <w:left w:val="nil"/>
              <w:bottom w:val="nil"/>
              <w:right w:val="single" w:sz="4" w:space="0" w:color="000000"/>
            </w:tcBorders>
            <w:shd w:val="clear" w:color="auto" w:fill="auto"/>
            <w:vAlign w:val="center"/>
          </w:tcPr>
          <w:p w14:paraId="6949A5DD"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13.28</w:t>
            </w:r>
          </w:p>
        </w:tc>
        <w:tc>
          <w:tcPr>
            <w:tcW w:w="888" w:type="dxa"/>
            <w:gridSpan w:val="2"/>
            <w:tcBorders>
              <w:top w:val="nil"/>
              <w:left w:val="nil"/>
              <w:bottom w:val="nil"/>
              <w:right w:val="single" w:sz="4" w:space="0" w:color="000000"/>
            </w:tcBorders>
            <w:shd w:val="clear" w:color="auto" w:fill="auto"/>
            <w:vAlign w:val="center"/>
          </w:tcPr>
          <w:p w14:paraId="496CF1D1"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12.14</w:t>
            </w:r>
          </w:p>
        </w:tc>
        <w:tc>
          <w:tcPr>
            <w:tcW w:w="964" w:type="dxa"/>
            <w:gridSpan w:val="2"/>
            <w:tcBorders>
              <w:top w:val="nil"/>
              <w:left w:val="nil"/>
              <w:bottom w:val="nil"/>
              <w:right w:val="single" w:sz="12" w:space="0" w:color="000000"/>
            </w:tcBorders>
            <w:shd w:val="clear" w:color="auto" w:fill="auto"/>
            <w:vAlign w:val="center"/>
          </w:tcPr>
          <w:p w14:paraId="7385B34B"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9.16</w:t>
            </w:r>
          </w:p>
        </w:tc>
        <w:tc>
          <w:tcPr>
            <w:tcW w:w="896" w:type="dxa"/>
            <w:gridSpan w:val="2"/>
            <w:tcBorders>
              <w:top w:val="nil"/>
              <w:left w:val="nil"/>
              <w:bottom w:val="nil"/>
              <w:right w:val="single" w:sz="12" w:space="0" w:color="000000"/>
            </w:tcBorders>
            <w:vAlign w:val="center"/>
          </w:tcPr>
          <w:p w14:paraId="6B3C3250"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11.51</w:t>
            </w:r>
          </w:p>
        </w:tc>
      </w:tr>
      <w:tr w:rsidR="009968E0" w:rsidRPr="009968E0" w14:paraId="2E1B10A8" w14:textId="77777777" w:rsidTr="009968E0">
        <w:trPr>
          <w:gridBefore w:val="1"/>
          <w:gridAfter w:val="1"/>
          <w:wBefore w:w="93" w:type="dxa"/>
          <w:wAfter w:w="956" w:type="dxa"/>
          <w:trHeight w:val="360"/>
        </w:trPr>
        <w:tc>
          <w:tcPr>
            <w:tcW w:w="1987" w:type="dxa"/>
            <w:gridSpan w:val="2"/>
            <w:vMerge/>
            <w:tcBorders>
              <w:top w:val="nil"/>
              <w:left w:val="single" w:sz="12" w:space="0" w:color="000000"/>
              <w:bottom w:val="single" w:sz="4" w:space="0" w:color="000000"/>
              <w:right w:val="nil"/>
            </w:tcBorders>
            <w:shd w:val="clear" w:color="auto" w:fill="FDE9D9"/>
          </w:tcPr>
          <w:p w14:paraId="18EEF893"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2046" w:type="dxa"/>
            <w:vMerge/>
            <w:tcBorders>
              <w:top w:val="nil"/>
              <w:left w:val="nil"/>
              <w:bottom w:val="single" w:sz="4" w:space="0" w:color="000000"/>
              <w:right w:val="nil"/>
            </w:tcBorders>
            <w:shd w:val="clear" w:color="auto" w:fill="auto"/>
          </w:tcPr>
          <w:p w14:paraId="22C2E29D"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1255" w:type="dxa"/>
            <w:gridSpan w:val="2"/>
            <w:tcBorders>
              <w:top w:val="nil"/>
              <w:left w:val="nil"/>
              <w:bottom w:val="single" w:sz="4" w:space="0" w:color="000000"/>
              <w:right w:val="single" w:sz="12" w:space="0" w:color="000000"/>
            </w:tcBorders>
            <w:shd w:val="clear" w:color="auto" w:fill="auto"/>
          </w:tcPr>
          <w:p w14:paraId="297C7841"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Upper Bound</w:t>
            </w:r>
          </w:p>
        </w:tc>
        <w:tc>
          <w:tcPr>
            <w:tcW w:w="943" w:type="dxa"/>
            <w:gridSpan w:val="2"/>
            <w:tcBorders>
              <w:top w:val="nil"/>
              <w:left w:val="nil"/>
              <w:bottom w:val="single" w:sz="4" w:space="0" w:color="000000"/>
              <w:right w:val="single" w:sz="4" w:space="0" w:color="000000"/>
            </w:tcBorders>
            <w:shd w:val="clear" w:color="auto" w:fill="auto"/>
            <w:vAlign w:val="center"/>
          </w:tcPr>
          <w:p w14:paraId="271E1993"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18.16</w:t>
            </w:r>
          </w:p>
        </w:tc>
        <w:tc>
          <w:tcPr>
            <w:tcW w:w="888" w:type="dxa"/>
            <w:gridSpan w:val="2"/>
            <w:tcBorders>
              <w:top w:val="nil"/>
              <w:left w:val="nil"/>
              <w:bottom w:val="single" w:sz="4" w:space="0" w:color="000000"/>
              <w:right w:val="single" w:sz="4" w:space="0" w:color="000000"/>
            </w:tcBorders>
            <w:shd w:val="clear" w:color="auto" w:fill="auto"/>
            <w:vAlign w:val="center"/>
          </w:tcPr>
          <w:p w14:paraId="48C7EC93"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16.44</w:t>
            </w:r>
          </w:p>
        </w:tc>
        <w:tc>
          <w:tcPr>
            <w:tcW w:w="964" w:type="dxa"/>
            <w:gridSpan w:val="2"/>
            <w:tcBorders>
              <w:top w:val="nil"/>
              <w:left w:val="nil"/>
              <w:bottom w:val="single" w:sz="4" w:space="0" w:color="000000"/>
              <w:right w:val="single" w:sz="12" w:space="0" w:color="000000"/>
            </w:tcBorders>
            <w:shd w:val="clear" w:color="auto" w:fill="auto"/>
            <w:vAlign w:val="center"/>
          </w:tcPr>
          <w:p w14:paraId="38CBAAE1"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15.27</w:t>
            </w:r>
          </w:p>
        </w:tc>
        <w:tc>
          <w:tcPr>
            <w:tcW w:w="896" w:type="dxa"/>
            <w:gridSpan w:val="2"/>
            <w:tcBorders>
              <w:top w:val="nil"/>
              <w:left w:val="nil"/>
              <w:bottom w:val="single" w:sz="4" w:space="0" w:color="000000"/>
              <w:right w:val="single" w:sz="12" w:space="0" w:color="000000"/>
            </w:tcBorders>
            <w:vAlign w:val="center"/>
          </w:tcPr>
          <w:p w14:paraId="78674DA8"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16.4</w:t>
            </w:r>
          </w:p>
        </w:tc>
      </w:tr>
      <w:tr w:rsidR="009968E0" w:rsidRPr="009968E0" w14:paraId="37EF9D58" w14:textId="77777777" w:rsidTr="009968E0">
        <w:trPr>
          <w:gridBefore w:val="1"/>
          <w:gridAfter w:val="1"/>
          <w:wBefore w:w="93" w:type="dxa"/>
          <w:wAfter w:w="956" w:type="dxa"/>
          <w:trHeight w:val="360"/>
        </w:trPr>
        <w:tc>
          <w:tcPr>
            <w:tcW w:w="8979" w:type="dxa"/>
            <w:gridSpan w:val="13"/>
            <w:tcBorders>
              <w:top w:val="nil"/>
              <w:left w:val="single" w:sz="12" w:space="0" w:color="000000"/>
              <w:bottom w:val="single" w:sz="4" w:space="0" w:color="000000"/>
              <w:right w:val="single" w:sz="12" w:space="0" w:color="000000"/>
            </w:tcBorders>
            <w:shd w:val="clear" w:color="auto" w:fill="auto"/>
            <w:vAlign w:val="center"/>
          </w:tcPr>
          <w:p w14:paraId="5F5AC2CA"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p=0.67</w:t>
            </w:r>
          </w:p>
        </w:tc>
      </w:tr>
      <w:tr w:rsidR="009968E0" w:rsidRPr="009968E0" w14:paraId="3EBE7CDA" w14:textId="77777777" w:rsidTr="009968E0">
        <w:trPr>
          <w:gridBefore w:val="1"/>
          <w:gridAfter w:val="1"/>
          <w:wBefore w:w="93" w:type="dxa"/>
          <w:wAfter w:w="956" w:type="dxa"/>
          <w:trHeight w:val="360"/>
        </w:trPr>
        <w:tc>
          <w:tcPr>
            <w:tcW w:w="1987" w:type="dxa"/>
            <w:gridSpan w:val="2"/>
            <w:vMerge w:val="restart"/>
            <w:tcBorders>
              <w:top w:val="nil"/>
              <w:left w:val="single" w:sz="12" w:space="0" w:color="000000"/>
              <w:bottom w:val="single" w:sz="4" w:space="0" w:color="000000"/>
              <w:right w:val="nil"/>
            </w:tcBorders>
            <w:shd w:val="clear" w:color="auto" w:fill="FDE9D9"/>
          </w:tcPr>
          <w:p w14:paraId="7E740A43"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RBV-POWM3</w:t>
            </w:r>
          </w:p>
        </w:tc>
        <w:tc>
          <w:tcPr>
            <w:tcW w:w="3301" w:type="dxa"/>
            <w:gridSpan w:val="3"/>
            <w:tcBorders>
              <w:top w:val="nil"/>
              <w:left w:val="nil"/>
              <w:bottom w:val="single" w:sz="4" w:space="0" w:color="000000"/>
              <w:right w:val="single" w:sz="12" w:space="0" w:color="000000"/>
            </w:tcBorders>
            <w:shd w:val="clear" w:color="auto" w:fill="auto"/>
          </w:tcPr>
          <w:p w14:paraId="44BAAF9D"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Mean</w:t>
            </w:r>
          </w:p>
        </w:tc>
        <w:tc>
          <w:tcPr>
            <w:tcW w:w="943" w:type="dxa"/>
            <w:gridSpan w:val="2"/>
            <w:tcBorders>
              <w:top w:val="nil"/>
              <w:left w:val="nil"/>
              <w:bottom w:val="single" w:sz="4" w:space="0" w:color="000000"/>
              <w:right w:val="single" w:sz="4" w:space="0" w:color="000000"/>
            </w:tcBorders>
            <w:shd w:val="clear" w:color="auto" w:fill="auto"/>
            <w:vAlign w:val="center"/>
          </w:tcPr>
          <w:p w14:paraId="48EFFCDE"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5.68</w:t>
            </w:r>
          </w:p>
        </w:tc>
        <w:tc>
          <w:tcPr>
            <w:tcW w:w="888" w:type="dxa"/>
            <w:gridSpan w:val="2"/>
            <w:tcBorders>
              <w:top w:val="nil"/>
              <w:left w:val="nil"/>
              <w:bottom w:val="single" w:sz="4" w:space="0" w:color="000000"/>
              <w:right w:val="single" w:sz="4" w:space="0" w:color="000000"/>
            </w:tcBorders>
            <w:shd w:val="clear" w:color="auto" w:fill="auto"/>
            <w:vAlign w:val="center"/>
          </w:tcPr>
          <w:p w14:paraId="39C49A87"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5.09</w:t>
            </w:r>
          </w:p>
        </w:tc>
        <w:tc>
          <w:tcPr>
            <w:tcW w:w="964" w:type="dxa"/>
            <w:gridSpan w:val="2"/>
            <w:tcBorders>
              <w:top w:val="nil"/>
              <w:left w:val="nil"/>
              <w:bottom w:val="single" w:sz="4" w:space="0" w:color="000000"/>
              <w:right w:val="single" w:sz="12" w:space="0" w:color="000000"/>
            </w:tcBorders>
            <w:shd w:val="clear" w:color="auto" w:fill="auto"/>
            <w:vAlign w:val="center"/>
          </w:tcPr>
          <w:p w14:paraId="46690AA1"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5.21</w:t>
            </w:r>
          </w:p>
        </w:tc>
        <w:tc>
          <w:tcPr>
            <w:tcW w:w="896" w:type="dxa"/>
            <w:gridSpan w:val="2"/>
            <w:tcBorders>
              <w:top w:val="nil"/>
              <w:left w:val="nil"/>
              <w:bottom w:val="single" w:sz="4" w:space="0" w:color="000000"/>
              <w:right w:val="single" w:sz="12" w:space="0" w:color="000000"/>
            </w:tcBorders>
            <w:vAlign w:val="center"/>
          </w:tcPr>
          <w:p w14:paraId="46C9974F"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5.41</w:t>
            </w:r>
          </w:p>
        </w:tc>
      </w:tr>
      <w:tr w:rsidR="009968E0" w:rsidRPr="009968E0" w14:paraId="3B7705D7" w14:textId="77777777" w:rsidTr="009968E0">
        <w:trPr>
          <w:gridBefore w:val="1"/>
          <w:gridAfter w:val="1"/>
          <w:wBefore w:w="93" w:type="dxa"/>
          <w:wAfter w:w="956" w:type="dxa"/>
          <w:trHeight w:val="360"/>
        </w:trPr>
        <w:tc>
          <w:tcPr>
            <w:tcW w:w="1987" w:type="dxa"/>
            <w:gridSpan w:val="2"/>
            <w:vMerge/>
            <w:tcBorders>
              <w:top w:val="nil"/>
              <w:left w:val="single" w:sz="12" w:space="0" w:color="000000"/>
              <w:bottom w:val="single" w:sz="4" w:space="0" w:color="000000"/>
              <w:right w:val="nil"/>
            </w:tcBorders>
            <w:shd w:val="clear" w:color="auto" w:fill="FDE9D9"/>
          </w:tcPr>
          <w:p w14:paraId="2CC89827"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2046" w:type="dxa"/>
            <w:vMerge w:val="restart"/>
            <w:tcBorders>
              <w:top w:val="nil"/>
              <w:left w:val="nil"/>
              <w:bottom w:val="single" w:sz="4" w:space="0" w:color="000000"/>
              <w:right w:val="nil"/>
            </w:tcBorders>
            <w:shd w:val="clear" w:color="auto" w:fill="auto"/>
          </w:tcPr>
          <w:p w14:paraId="2681EBA8"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95% Confidence Interval</w:t>
            </w:r>
          </w:p>
        </w:tc>
        <w:tc>
          <w:tcPr>
            <w:tcW w:w="1255" w:type="dxa"/>
            <w:gridSpan w:val="2"/>
            <w:tcBorders>
              <w:top w:val="nil"/>
              <w:left w:val="nil"/>
              <w:bottom w:val="nil"/>
              <w:right w:val="single" w:sz="12" w:space="0" w:color="000000"/>
            </w:tcBorders>
            <w:shd w:val="clear" w:color="auto" w:fill="auto"/>
          </w:tcPr>
          <w:p w14:paraId="613A5D8D"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Lower Bound</w:t>
            </w:r>
          </w:p>
        </w:tc>
        <w:tc>
          <w:tcPr>
            <w:tcW w:w="943" w:type="dxa"/>
            <w:gridSpan w:val="2"/>
            <w:tcBorders>
              <w:top w:val="nil"/>
              <w:left w:val="nil"/>
              <w:bottom w:val="nil"/>
              <w:right w:val="single" w:sz="4" w:space="0" w:color="000000"/>
            </w:tcBorders>
            <w:shd w:val="clear" w:color="auto" w:fill="auto"/>
            <w:vAlign w:val="center"/>
          </w:tcPr>
          <w:p w14:paraId="1723DC0B"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4.93</w:t>
            </w:r>
          </w:p>
        </w:tc>
        <w:tc>
          <w:tcPr>
            <w:tcW w:w="888" w:type="dxa"/>
            <w:gridSpan w:val="2"/>
            <w:tcBorders>
              <w:top w:val="nil"/>
              <w:left w:val="nil"/>
              <w:bottom w:val="nil"/>
              <w:right w:val="single" w:sz="4" w:space="0" w:color="000000"/>
            </w:tcBorders>
            <w:shd w:val="clear" w:color="auto" w:fill="auto"/>
            <w:vAlign w:val="center"/>
          </w:tcPr>
          <w:p w14:paraId="55BD4219"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4.43</w:t>
            </w:r>
          </w:p>
        </w:tc>
        <w:tc>
          <w:tcPr>
            <w:tcW w:w="964" w:type="dxa"/>
            <w:gridSpan w:val="2"/>
            <w:tcBorders>
              <w:top w:val="nil"/>
              <w:left w:val="nil"/>
              <w:bottom w:val="nil"/>
              <w:right w:val="single" w:sz="12" w:space="0" w:color="000000"/>
            </w:tcBorders>
            <w:shd w:val="clear" w:color="auto" w:fill="auto"/>
            <w:vAlign w:val="center"/>
          </w:tcPr>
          <w:p w14:paraId="589DAA73"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4.27</w:t>
            </w:r>
          </w:p>
        </w:tc>
        <w:tc>
          <w:tcPr>
            <w:tcW w:w="896" w:type="dxa"/>
            <w:gridSpan w:val="2"/>
            <w:tcBorders>
              <w:top w:val="nil"/>
              <w:left w:val="nil"/>
              <w:bottom w:val="nil"/>
              <w:right w:val="single" w:sz="12" w:space="0" w:color="000000"/>
            </w:tcBorders>
            <w:vAlign w:val="center"/>
          </w:tcPr>
          <w:p w14:paraId="33A0D0CD"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4.66</w:t>
            </w:r>
          </w:p>
        </w:tc>
      </w:tr>
      <w:tr w:rsidR="009968E0" w:rsidRPr="009968E0" w14:paraId="4CD5BD90" w14:textId="77777777" w:rsidTr="009968E0">
        <w:trPr>
          <w:gridBefore w:val="1"/>
          <w:gridAfter w:val="1"/>
          <w:wBefore w:w="93" w:type="dxa"/>
          <w:wAfter w:w="956" w:type="dxa"/>
          <w:trHeight w:val="360"/>
        </w:trPr>
        <w:tc>
          <w:tcPr>
            <w:tcW w:w="1987" w:type="dxa"/>
            <w:gridSpan w:val="2"/>
            <w:vMerge/>
            <w:tcBorders>
              <w:top w:val="nil"/>
              <w:left w:val="single" w:sz="12" w:space="0" w:color="000000"/>
              <w:bottom w:val="single" w:sz="4" w:space="0" w:color="000000"/>
              <w:right w:val="nil"/>
            </w:tcBorders>
            <w:shd w:val="clear" w:color="auto" w:fill="FDE9D9"/>
          </w:tcPr>
          <w:p w14:paraId="6027D9E0"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2046" w:type="dxa"/>
            <w:vMerge/>
            <w:tcBorders>
              <w:top w:val="nil"/>
              <w:left w:val="nil"/>
              <w:bottom w:val="single" w:sz="4" w:space="0" w:color="000000"/>
              <w:right w:val="nil"/>
            </w:tcBorders>
            <w:shd w:val="clear" w:color="auto" w:fill="auto"/>
          </w:tcPr>
          <w:p w14:paraId="73DE5F3B"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1255" w:type="dxa"/>
            <w:gridSpan w:val="2"/>
            <w:tcBorders>
              <w:top w:val="nil"/>
              <w:left w:val="nil"/>
              <w:bottom w:val="single" w:sz="4" w:space="0" w:color="000000"/>
              <w:right w:val="single" w:sz="12" w:space="0" w:color="000000"/>
            </w:tcBorders>
            <w:shd w:val="clear" w:color="auto" w:fill="auto"/>
          </w:tcPr>
          <w:p w14:paraId="34F85A1D"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Upper Bound</w:t>
            </w:r>
          </w:p>
        </w:tc>
        <w:tc>
          <w:tcPr>
            <w:tcW w:w="943" w:type="dxa"/>
            <w:gridSpan w:val="2"/>
            <w:tcBorders>
              <w:top w:val="nil"/>
              <w:left w:val="nil"/>
              <w:bottom w:val="single" w:sz="4" w:space="0" w:color="000000"/>
              <w:right w:val="single" w:sz="4" w:space="0" w:color="000000"/>
            </w:tcBorders>
            <w:shd w:val="clear" w:color="auto" w:fill="auto"/>
            <w:vAlign w:val="center"/>
          </w:tcPr>
          <w:p w14:paraId="36A5D1CB"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6.43</w:t>
            </w:r>
          </w:p>
        </w:tc>
        <w:tc>
          <w:tcPr>
            <w:tcW w:w="888" w:type="dxa"/>
            <w:gridSpan w:val="2"/>
            <w:tcBorders>
              <w:top w:val="nil"/>
              <w:left w:val="nil"/>
              <w:bottom w:val="single" w:sz="4" w:space="0" w:color="000000"/>
              <w:right w:val="single" w:sz="4" w:space="0" w:color="000000"/>
            </w:tcBorders>
            <w:shd w:val="clear" w:color="auto" w:fill="auto"/>
            <w:vAlign w:val="center"/>
          </w:tcPr>
          <w:p w14:paraId="126E289F"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5.75</w:t>
            </w:r>
          </w:p>
        </w:tc>
        <w:tc>
          <w:tcPr>
            <w:tcW w:w="964" w:type="dxa"/>
            <w:gridSpan w:val="2"/>
            <w:tcBorders>
              <w:top w:val="nil"/>
              <w:left w:val="nil"/>
              <w:bottom w:val="single" w:sz="4" w:space="0" w:color="000000"/>
              <w:right w:val="single" w:sz="12" w:space="0" w:color="000000"/>
            </w:tcBorders>
            <w:shd w:val="clear" w:color="auto" w:fill="auto"/>
            <w:vAlign w:val="center"/>
          </w:tcPr>
          <w:p w14:paraId="2719275E"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6.15</w:t>
            </w:r>
          </w:p>
        </w:tc>
        <w:tc>
          <w:tcPr>
            <w:tcW w:w="896" w:type="dxa"/>
            <w:gridSpan w:val="2"/>
            <w:tcBorders>
              <w:top w:val="nil"/>
              <w:left w:val="nil"/>
              <w:bottom w:val="single" w:sz="4" w:space="0" w:color="000000"/>
              <w:right w:val="single" w:sz="12" w:space="0" w:color="000000"/>
            </w:tcBorders>
            <w:vAlign w:val="center"/>
          </w:tcPr>
          <w:p w14:paraId="0B07FF31"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6.16</w:t>
            </w:r>
          </w:p>
        </w:tc>
      </w:tr>
      <w:tr w:rsidR="009968E0" w:rsidRPr="009968E0" w14:paraId="355A2F51" w14:textId="77777777" w:rsidTr="009968E0">
        <w:trPr>
          <w:gridBefore w:val="1"/>
          <w:gridAfter w:val="1"/>
          <w:wBefore w:w="93" w:type="dxa"/>
          <w:wAfter w:w="956" w:type="dxa"/>
          <w:trHeight w:val="360"/>
        </w:trPr>
        <w:tc>
          <w:tcPr>
            <w:tcW w:w="8979" w:type="dxa"/>
            <w:gridSpan w:val="13"/>
            <w:tcBorders>
              <w:top w:val="nil"/>
              <w:left w:val="single" w:sz="12" w:space="0" w:color="000000"/>
              <w:bottom w:val="single" w:sz="4" w:space="0" w:color="000000"/>
              <w:right w:val="single" w:sz="12" w:space="0" w:color="000000"/>
            </w:tcBorders>
            <w:shd w:val="clear" w:color="auto" w:fill="auto"/>
            <w:vAlign w:val="center"/>
          </w:tcPr>
          <w:p w14:paraId="3ED61115"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p=0.35</w:t>
            </w:r>
          </w:p>
        </w:tc>
      </w:tr>
      <w:tr w:rsidR="009968E0" w:rsidRPr="009968E0" w14:paraId="26628668" w14:textId="77777777" w:rsidTr="009968E0">
        <w:trPr>
          <w:gridBefore w:val="1"/>
          <w:gridAfter w:val="1"/>
          <w:wBefore w:w="93" w:type="dxa"/>
          <w:wAfter w:w="956" w:type="dxa"/>
          <w:trHeight w:val="360"/>
        </w:trPr>
        <w:tc>
          <w:tcPr>
            <w:tcW w:w="1987" w:type="dxa"/>
            <w:gridSpan w:val="2"/>
            <w:vMerge w:val="restart"/>
            <w:tcBorders>
              <w:top w:val="nil"/>
              <w:left w:val="single" w:sz="12" w:space="0" w:color="000000"/>
              <w:bottom w:val="single" w:sz="4" w:space="0" w:color="000000"/>
              <w:right w:val="nil"/>
            </w:tcBorders>
            <w:shd w:val="clear" w:color="auto" w:fill="FDE9D9"/>
          </w:tcPr>
          <w:p w14:paraId="5FD60459"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RBV-LPSC3</w:t>
            </w:r>
          </w:p>
        </w:tc>
        <w:tc>
          <w:tcPr>
            <w:tcW w:w="3301" w:type="dxa"/>
            <w:gridSpan w:val="3"/>
            <w:tcBorders>
              <w:top w:val="nil"/>
              <w:left w:val="nil"/>
              <w:bottom w:val="single" w:sz="4" w:space="0" w:color="000000"/>
              <w:right w:val="single" w:sz="12" w:space="0" w:color="000000"/>
            </w:tcBorders>
            <w:shd w:val="clear" w:color="auto" w:fill="auto"/>
          </w:tcPr>
          <w:p w14:paraId="3071C6F0"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Mean</w:t>
            </w:r>
          </w:p>
        </w:tc>
        <w:tc>
          <w:tcPr>
            <w:tcW w:w="943" w:type="dxa"/>
            <w:gridSpan w:val="2"/>
            <w:tcBorders>
              <w:top w:val="nil"/>
              <w:left w:val="nil"/>
              <w:bottom w:val="single" w:sz="4" w:space="0" w:color="000000"/>
              <w:right w:val="single" w:sz="4" w:space="0" w:color="000000"/>
            </w:tcBorders>
            <w:shd w:val="clear" w:color="auto" w:fill="auto"/>
            <w:vAlign w:val="center"/>
          </w:tcPr>
          <w:p w14:paraId="17E9C1A7"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10.40</w:t>
            </w:r>
          </w:p>
        </w:tc>
        <w:tc>
          <w:tcPr>
            <w:tcW w:w="888" w:type="dxa"/>
            <w:gridSpan w:val="2"/>
            <w:tcBorders>
              <w:top w:val="nil"/>
              <w:left w:val="nil"/>
              <w:bottom w:val="single" w:sz="4" w:space="0" w:color="000000"/>
              <w:right w:val="single" w:sz="4" w:space="0" w:color="000000"/>
            </w:tcBorders>
            <w:shd w:val="clear" w:color="auto" w:fill="auto"/>
            <w:vAlign w:val="center"/>
          </w:tcPr>
          <w:p w14:paraId="7DB6DCAF"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8.33</w:t>
            </w:r>
          </w:p>
        </w:tc>
        <w:tc>
          <w:tcPr>
            <w:tcW w:w="964" w:type="dxa"/>
            <w:gridSpan w:val="2"/>
            <w:tcBorders>
              <w:top w:val="nil"/>
              <w:left w:val="nil"/>
              <w:bottom w:val="single" w:sz="4" w:space="0" w:color="000000"/>
              <w:right w:val="single" w:sz="12" w:space="0" w:color="000000"/>
            </w:tcBorders>
            <w:shd w:val="clear" w:color="auto" w:fill="auto"/>
            <w:vAlign w:val="center"/>
          </w:tcPr>
          <w:p w14:paraId="6B3D2E8A"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8.09</w:t>
            </w:r>
          </w:p>
        </w:tc>
        <w:tc>
          <w:tcPr>
            <w:tcW w:w="896" w:type="dxa"/>
            <w:gridSpan w:val="2"/>
            <w:tcBorders>
              <w:top w:val="nil"/>
              <w:left w:val="nil"/>
              <w:bottom w:val="single" w:sz="4" w:space="0" w:color="000000"/>
              <w:right w:val="single" w:sz="12" w:space="0" w:color="000000"/>
            </w:tcBorders>
            <w:vAlign w:val="center"/>
          </w:tcPr>
          <w:p w14:paraId="252F65D6"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9.15</w:t>
            </w:r>
          </w:p>
        </w:tc>
      </w:tr>
      <w:tr w:rsidR="009968E0" w:rsidRPr="009968E0" w14:paraId="0E2C3100" w14:textId="77777777" w:rsidTr="009968E0">
        <w:trPr>
          <w:gridBefore w:val="1"/>
          <w:gridAfter w:val="1"/>
          <w:wBefore w:w="93" w:type="dxa"/>
          <w:wAfter w:w="956" w:type="dxa"/>
          <w:trHeight w:val="360"/>
        </w:trPr>
        <w:tc>
          <w:tcPr>
            <w:tcW w:w="1987" w:type="dxa"/>
            <w:gridSpan w:val="2"/>
            <w:vMerge/>
            <w:tcBorders>
              <w:top w:val="nil"/>
              <w:left w:val="single" w:sz="12" w:space="0" w:color="000000"/>
              <w:bottom w:val="single" w:sz="4" w:space="0" w:color="000000"/>
              <w:right w:val="nil"/>
            </w:tcBorders>
            <w:shd w:val="clear" w:color="auto" w:fill="FDE9D9"/>
          </w:tcPr>
          <w:p w14:paraId="2CCAF815"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2046" w:type="dxa"/>
            <w:vMerge w:val="restart"/>
            <w:tcBorders>
              <w:top w:val="nil"/>
              <w:left w:val="nil"/>
              <w:bottom w:val="single" w:sz="4" w:space="0" w:color="000000"/>
              <w:right w:val="nil"/>
            </w:tcBorders>
            <w:shd w:val="clear" w:color="auto" w:fill="auto"/>
          </w:tcPr>
          <w:p w14:paraId="019C0F3B"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95% Confidence Interval</w:t>
            </w:r>
          </w:p>
        </w:tc>
        <w:tc>
          <w:tcPr>
            <w:tcW w:w="1255" w:type="dxa"/>
            <w:gridSpan w:val="2"/>
            <w:tcBorders>
              <w:top w:val="nil"/>
              <w:left w:val="nil"/>
              <w:bottom w:val="nil"/>
              <w:right w:val="single" w:sz="12" w:space="0" w:color="000000"/>
            </w:tcBorders>
            <w:shd w:val="clear" w:color="auto" w:fill="auto"/>
          </w:tcPr>
          <w:p w14:paraId="5B00F67D"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Lower Bound</w:t>
            </w:r>
          </w:p>
        </w:tc>
        <w:tc>
          <w:tcPr>
            <w:tcW w:w="943" w:type="dxa"/>
            <w:gridSpan w:val="2"/>
            <w:tcBorders>
              <w:top w:val="nil"/>
              <w:left w:val="nil"/>
              <w:bottom w:val="nil"/>
              <w:right w:val="single" w:sz="4" w:space="0" w:color="000000"/>
            </w:tcBorders>
            <w:shd w:val="clear" w:color="auto" w:fill="auto"/>
            <w:vAlign w:val="center"/>
          </w:tcPr>
          <w:p w14:paraId="4EFD121F"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8.97</w:t>
            </w:r>
          </w:p>
        </w:tc>
        <w:tc>
          <w:tcPr>
            <w:tcW w:w="888" w:type="dxa"/>
            <w:gridSpan w:val="2"/>
            <w:tcBorders>
              <w:top w:val="nil"/>
              <w:left w:val="nil"/>
              <w:bottom w:val="nil"/>
              <w:right w:val="single" w:sz="4" w:space="0" w:color="000000"/>
            </w:tcBorders>
            <w:shd w:val="clear" w:color="auto" w:fill="auto"/>
            <w:vAlign w:val="center"/>
          </w:tcPr>
          <w:p w14:paraId="5DAD061A"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7.08</w:t>
            </w:r>
          </w:p>
        </w:tc>
        <w:tc>
          <w:tcPr>
            <w:tcW w:w="964" w:type="dxa"/>
            <w:gridSpan w:val="2"/>
            <w:tcBorders>
              <w:top w:val="nil"/>
              <w:left w:val="nil"/>
              <w:bottom w:val="nil"/>
              <w:right w:val="single" w:sz="12" w:space="0" w:color="000000"/>
            </w:tcBorders>
            <w:shd w:val="clear" w:color="auto" w:fill="auto"/>
            <w:vAlign w:val="center"/>
          </w:tcPr>
          <w:p w14:paraId="51D0014A"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6.31</w:t>
            </w:r>
          </w:p>
        </w:tc>
        <w:tc>
          <w:tcPr>
            <w:tcW w:w="896" w:type="dxa"/>
            <w:gridSpan w:val="2"/>
            <w:tcBorders>
              <w:top w:val="nil"/>
              <w:left w:val="nil"/>
              <w:bottom w:val="nil"/>
              <w:right w:val="single" w:sz="12" w:space="0" w:color="000000"/>
            </w:tcBorders>
            <w:vAlign w:val="center"/>
          </w:tcPr>
          <w:p w14:paraId="33CE58AA"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7.72</w:t>
            </w:r>
          </w:p>
        </w:tc>
      </w:tr>
      <w:tr w:rsidR="009968E0" w:rsidRPr="009968E0" w14:paraId="2C54274F" w14:textId="77777777" w:rsidTr="009968E0">
        <w:trPr>
          <w:gridBefore w:val="1"/>
          <w:gridAfter w:val="1"/>
          <w:wBefore w:w="93" w:type="dxa"/>
          <w:wAfter w:w="956" w:type="dxa"/>
          <w:trHeight w:val="360"/>
        </w:trPr>
        <w:tc>
          <w:tcPr>
            <w:tcW w:w="1987" w:type="dxa"/>
            <w:gridSpan w:val="2"/>
            <w:vMerge/>
            <w:tcBorders>
              <w:top w:val="nil"/>
              <w:left w:val="single" w:sz="12" w:space="0" w:color="000000"/>
              <w:bottom w:val="single" w:sz="4" w:space="0" w:color="000000"/>
              <w:right w:val="nil"/>
            </w:tcBorders>
            <w:shd w:val="clear" w:color="auto" w:fill="FDE9D9"/>
          </w:tcPr>
          <w:p w14:paraId="50608C2A"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2046" w:type="dxa"/>
            <w:vMerge/>
            <w:tcBorders>
              <w:top w:val="nil"/>
              <w:left w:val="nil"/>
              <w:bottom w:val="single" w:sz="4" w:space="0" w:color="000000"/>
              <w:right w:val="nil"/>
            </w:tcBorders>
            <w:shd w:val="clear" w:color="auto" w:fill="auto"/>
          </w:tcPr>
          <w:p w14:paraId="22EE05D2"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1255" w:type="dxa"/>
            <w:gridSpan w:val="2"/>
            <w:tcBorders>
              <w:top w:val="nil"/>
              <w:left w:val="nil"/>
              <w:bottom w:val="single" w:sz="4" w:space="0" w:color="000000"/>
              <w:right w:val="single" w:sz="12" w:space="0" w:color="000000"/>
            </w:tcBorders>
            <w:shd w:val="clear" w:color="auto" w:fill="auto"/>
          </w:tcPr>
          <w:p w14:paraId="2062059C"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Upper Bound</w:t>
            </w:r>
          </w:p>
        </w:tc>
        <w:tc>
          <w:tcPr>
            <w:tcW w:w="943" w:type="dxa"/>
            <w:gridSpan w:val="2"/>
            <w:tcBorders>
              <w:top w:val="nil"/>
              <w:left w:val="nil"/>
              <w:bottom w:val="single" w:sz="4" w:space="0" w:color="000000"/>
              <w:right w:val="single" w:sz="4" w:space="0" w:color="000000"/>
            </w:tcBorders>
            <w:shd w:val="clear" w:color="auto" w:fill="auto"/>
            <w:vAlign w:val="center"/>
          </w:tcPr>
          <w:p w14:paraId="6B7DED9D"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11.82</w:t>
            </w:r>
          </w:p>
        </w:tc>
        <w:tc>
          <w:tcPr>
            <w:tcW w:w="888" w:type="dxa"/>
            <w:gridSpan w:val="2"/>
            <w:tcBorders>
              <w:top w:val="nil"/>
              <w:left w:val="nil"/>
              <w:bottom w:val="single" w:sz="4" w:space="0" w:color="000000"/>
              <w:right w:val="single" w:sz="4" w:space="0" w:color="000000"/>
            </w:tcBorders>
            <w:shd w:val="clear" w:color="auto" w:fill="auto"/>
            <w:vAlign w:val="center"/>
          </w:tcPr>
          <w:p w14:paraId="591185DD"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9.58</w:t>
            </w:r>
          </w:p>
        </w:tc>
        <w:tc>
          <w:tcPr>
            <w:tcW w:w="964" w:type="dxa"/>
            <w:gridSpan w:val="2"/>
            <w:tcBorders>
              <w:top w:val="nil"/>
              <w:left w:val="nil"/>
              <w:bottom w:val="single" w:sz="4" w:space="0" w:color="000000"/>
              <w:right w:val="single" w:sz="12" w:space="0" w:color="000000"/>
            </w:tcBorders>
            <w:shd w:val="clear" w:color="auto" w:fill="auto"/>
            <w:vAlign w:val="center"/>
          </w:tcPr>
          <w:p w14:paraId="1049436F"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9.87</w:t>
            </w:r>
          </w:p>
        </w:tc>
        <w:tc>
          <w:tcPr>
            <w:tcW w:w="896" w:type="dxa"/>
            <w:gridSpan w:val="2"/>
            <w:tcBorders>
              <w:top w:val="nil"/>
              <w:left w:val="nil"/>
              <w:bottom w:val="single" w:sz="4" w:space="0" w:color="000000"/>
              <w:right w:val="single" w:sz="12" w:space="0" w:color="000000"/>
            </w:tcBorders>
            <w:vAlign w:val="center"/>
          </w:tcPr>
          <w:p w14:paraId="65ACAC20"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10.57</w:t>
            </w:r>
          </w:p>
        </w:tc>
      </w:tr>
      <w:tr w:rsidR="009968E0" w:rsidRPr="009968E0" w14:paraId="24D4F1C8" w14:textId="77777777" w:rsidTr="009968E0">
        <w:trPr>
          <w:gridBefore w:val="1"/>
          <w:gridAfter w:val="1"/>
          <w:wBefore w:w="93" w:type="dxa"/>
          <w:wAfter w:w="956" w:type="dxa"/>
          <w:trHeight w:val="360"/>
        </w:trPr>
        <w:tc>
          <w:tcPr>
            <w:tcW w:w="8979" w:type="dxa"/>
            <w:gridSpan w:val="13"/>
            <w:tcBorders>
              <w:top w:val="nil"/>
              <w:left w:val="single" w:sz="12" w:space="0" w:color="000000"/>
              <w:bottom w:val="single" w:sz="4" w:space="0" w:color="000000"/>
              <w:right w:val="single" w:sz="12" w:space="0" w:color="000000"/>
            </w:tcBorders>
            <w:shd w:val="clear" w:color="auto" w:fill="auto"/>
            <w:vAlign w:val="center"/>
          </w:tcPr>
          <w:p w14:paraId="3374D9D1"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p=0.16</w:t>
            </w:r>
          </w:p>
        </w:tc>
      </w:tr>
      <w:tr w:rsidR="009968E0" w:rsidRPr="009968E0" w14:paraId="3C66A0DD" w14:textId="77777777" w:rsidTr="009968E0">
        <w:trPr>
          <w:gridBefore w:val="1"/>
          <w:gridAfter w:val="1"/>
          <w:wBefore w:w="93" w:type="dxa"/>
          <w:wAfter w:w="956" w:type="dxa"/>
          <w:trHeight w:val="360"/>
        </w:trPr>
        <w:tc>
          <w:tcPr>
            <w:tcW w:w="1987" w:type="dxa"/>
            <w:gridSpan w:val="2"/>
            <w:vMerge w:val="restart"/>
            <w:tcBorders>
              <w:top w:val="nil"/>
              <w:left w:val="single" w:sz="12" w:space="0" w:color="000000"/>
              <w:bottom w:val="single" w:sz="4" w:space="0" w:color="000000"/>
              <w:right w:val="nil"/>
            </w:tcBorders>
            <w:shd w:val="clear" w:color="auto" w:fill="FDE9D9"/>
          </w:tcPr>
          <w:p w14:paraId="184C4ABE"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RBV-RPSC3</w:t>
            </w:r>
          </w:p>
        </w:tc>
        <w:tc>
          <w:tcPr>
            <w:tcW w:w="3301" w:type="dxa"/>
            <w:gridSpan w:val="3"/>
            <w:tcBorders>
              <w:top w:val="nil"/>
              <w:left w:val="nil"/>
              <w:bottom w:val="single" w:sz="4" w:space="0" w:color="000000"/>
              <w:right w:val="single" w:sz="12" w:space="0" w:color="000000"/>
            </w:tcBorders>
            <w:shd w:val="clear" w:color="auto" w:fill="auto"/>
          </w:tcPr>
          <w:p w14:paraId="41DC20A2"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Mean</w:t>
            </w:r>
          </w:p>
        </w:tc>
        <w:tc>
          <w:tcPr>
            <w:tcW w:w="943" w:type="dxa"/>
            <w:gridSpan w:val="2"/>
            <w:tcBorders>
              <w:top w:val="nil"/>
              <w:left w:val="nil"/>
              <w:bottom w:val="single" w:sz="4" w:space="0" w:color="000000"/>
              <w:right w:val="single" w:sz="4" w:space="0" w:color="000000"/>
            </w:tcBorders>
            <w:shd w:val="clear" w:color="auto" w:fill="auto"/>
            <w:vAlign w:val="center"/>
          </w:tcPr>
          <w:p w14:paraId="34DCB6E0"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10.29</w:t>
            </w:r>
          </w:p>
        </w:tc>
        <w:tc>
          <w:tcPr>
            <w:tcW w:w="888" w:type="dxa"/>
            <w:gridSpan w:val="2"/>
            <w:tcBorders>
              <w:top w:val="nil"/>
              <w:left w:val="nil"/>
              <w:bottom w:val="single" w:sz="4" w:space="0" w:color="000000"/>
              <w:right w:val="single" w:sz="4" w:space="0" w:color="000000"/>
            </w:tcBorders>
            <w:shd w:val="clear" w:color="auto" w:fill="auto"/>
            <w:vAlign w:val="center"/>
          </w:tcPr>
          <w:p w14:paraId="126088EB"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8.62</w:t>
            </w:r>
          </w:p>
        </w:tc>
        <w:tc>
          <w:tcPr>
            <w:tcW w:w="964" w:type="dxa"/>
            <w:gridSpan w:val="2"/>
            <w:tcBorders>
              <w:top w:val="nil"/>
              <w:left w:val="nil"/>
              <w:bottom w:val="single" w:sz="4" w:space="0" w:color="000000"/>
              <w:right w:val="single" w:sz="12" w:space="0" w:color="000000"/>
            </w:tcBorders>
            <w:shd w:val="clear" w:color="auto" w:fill="auto"/>
            <w:vAlign w:val="center"/>
          </w:tcPr>
          <w:p w14:paraId="1C71552C"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7.54</w:t>
            </w:r>
          </w:p>
        </w:tc>
        <w:tc>
          <w:tcPr>
            <w:tcW w:w="896" w:type="dxa"/>
            <w:gridSpan w:val="2"/>
            <w:tcBorders>
              <w:top w:val="nil"/>
              <w:left w:val="nil"/>
              <w:bottom w:val="single" w:sz="4" w:space="0" w:color="000000"/>
              <w:right w:val="single" w:sz="12" w:space="0" w:color="000000"/>
            </w:tcBorders>
            <w:vAlign w:val="center"/>
          </w:tcPr>
          <w:p w14:paraId="42DD3C7F"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9.19</w:t>
            </w:r>
          </w:p>
        </w:tc>
      </w:tr>
      <w:tr w:rsidR="009968E0" w:rsidRPr="009968E0" w14:paraId="27D7C7D9" w14:textId="77777777" w:rsidTr="009968E0">
        <w:trPr>
          <w:gridBefore w:val="1"/>
          <w:gridAfter w:val="1"/>
          <w:wBefore w:w="93" w:type="dxa"/>
          <w:wAfter w:w="956" w:type="dxa"/>
          <w:trHeight w:val="360"/>
        </w:trPr>
        <w:tc>
          <w:tcPr>
            <w:tcW w:w="1987" w:type="dxa"/>
            <w:gridSpan w:val="2"/>
            <w:vMerge/>
            <w:tcBorders>
              <w:top w:val="nil"/>
              <w:left w:val="single" w:sz="12" w:space="0" w:color="000000"/>
              <w:bottom w:val="single" w:sz="4" w:space="0" w:color="000000"/>
              <w:right w:val="nil"/>
            </w:tcBorders>
            <w:shd w:val="clear" w:color="auto" w:fill="FDE9D9"/>
          </w:tcPr>
          <w:p w14:paraId="48361820"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2046" w:type="dxa"/>
            <w:vMerge w:val="restart"/>
            <w:tcBorders>
              <w:top w:val="nil"/>
              <w:left w:val="nil"/>
              <w:bottom w:val="single" w:sz="4" w:space="0" w:color="000000"/>
              <w:right w:val="nil"/>
            </w:tcBorders>
            <w:shd w:val="clear" w:color="auto" w:fill="auto"/>
          </w:tcPr>
          <w:p w14:paraId="5E48554C"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95% Confidence Interval</w:t>
            </w:r>
          </w:p>
        </w:tc>
        <w:tc>
          <w:tcPr>
            <w:tcW w:w="1255" w:type="dxa"/>
            <w:gridSpan w:val="2"/>
            <w:tcBorders>
              <w:top w:val="nil"/>
              <w:left w:val="nil"/>
              <w:bottom w:val="nil"/>
              <w:right w:val="single" w:sz="12" w:space="0" w:color="000000"/>
            </w:tcBorders>
            <w:shd w:val="clear" w:color="auto" w:fill="auto"/>
          </w:tcPr>
          <w:p w14:paraId="17FD1E00"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Lower Bound</w:t>
            </w:r>
          </w:p>
        </w:tc>
        <w:tc>
          <w:tcPr>
            <w:tcW w:w="943" w:type="dxa"/>
            <w:gridSpan w:val="2"/>
            <w:tcBorders>
              <w:top w:val="nil"/>
              <w:left w:val="nil"/>
              <w:bottom w:val="nil"/>
              <w:right w:val="single" w:sz="4" w:space="0" w:color="000000"/>
            </w:tcBorders>
            <w:shd w:val="clear" w:color="auto" w:fill="auto"/>
            <w:vAlign w:val="center"/>
          </w:tcPr>
          <w:p w14:paraId="6474B439"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8.91</w:t>
            </w:r>
          </w:p>
        </w:tc>
        <w:tc>
          <w:tcPr>
            <w:tcW w:w="888" w:type="dxa"/>
            <w:gridSpan w:val="2"/>
            <w:tcBorders>
              <w:top w:val="nil"/>
              <w:left w:val="nil"/>
              <w:bottom w:val="nil"/>
              <w:right w:val="single" w:sz="4" w:space="0" w:color="000000"/>
            </w:tcBorders>
            <w:shd w:val="clear" w:color="auto" w:fill="auto"/>
            <w:vAlign w:val="center"/>
          </w:tcPr>
          <w:p w14:paraId="6C32E0D2"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7.41</w:t>
            </w:r>
          </w:p>
        </w:tc>
        <w:tc>
          <w:tcPr>
            <w:tcW w:w="964" w:type="dxa"/>
            <w:gridSpan w:val="2"/>
            <w:tcBorders>
              <w:top w:val="nil"/>
              <w:left w:val="nil"/>
              <w:bottom w:val="nil"/>
              <w:right w:val="single" w:sz="12" w:space="0" w:color="000000"/>
            </w:tcBorders>
            <w:shd w:val="clear" w:color="auto" w:fill="auto"/>
            <w:vAlign w:val="center"/>
          </w:tcPr>
          <w:p w14:paraId="76E7CAA0"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5.82</w:t>
            </w:r>
          </w:p>
        </w:tc>
        <w:tc>
          <w:tcPr>
            <w:tcW w:w="896" w:type="dxa"/>
            <w:gridSpan w:val="2"/>
            <w:tcBorders>
              <w:top w:val="nil"/>
              <w:left w:val="nil"/>
              <w:bottom w:val="nil"/>
              <w:right w:val="single" w:sz="12" w:space="0" w:color="000000"/>
            </w:tcBorders>
            <w:vAlign w:val="center"/>
          </w:tcPr>
          <w:p w14:paraId="35556385"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7.81</w:t>
            </w:r>
          </w:p>
        </w:tc>
      </w:tr>
      <w:tr w:rsidR="009968E0" w:rsidRPr="009968E0" w14:paraId="5D03DD21" w14:textId="77777777" w:rsidTr="009968E0">
        <w:trPr>
          <w:gridBefore w:val="1"/>
          <w:gridAfter w:val="1"/>
          <w:wBefore w:w="93" w:type="dxa"/>
          <w:wAfter w:w="956" w:type="dxa"/>
          <w:trHeight w:val="360"/>
        </w:trPr>
        <w:tc>
          <w:tcPr>
            <w:tcW w:w="1987" w:type="dxa"/>
            <w:gridSpan w:val="2"/>
            <w:vMerge/>
            <w:tcBorders>
              <w:top w:val="nil"/>
              <w:left w:val="single" w:sz="12" w:space="0" w:color="000000"/>
              <w:bottom w:val="single" w:sz="4" w:space="0" w:color="000000"/>
              <w:right w:val="nil"/>
            </w:tcBorders>
            <w:shd w:val="clear" w:color="auto" w:fill="FDE9D9"/>
          </w:tcPr>
          <w:p w14:paraId="1C1AA434"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2046" w:type="dxa"/>
            <w:vMerge/>
            <w:tcBorders>
              <w:top w:val="nil"/>
              <w:left w:val="nil"/>
              <w:bottom w:val="single" w:sz="4" w:space="0" w:color="000000"/>
              <w:right w:val="nil"/>
            </w:tcBorders>
            <w:shd w:val="clear" w:color="auto" w:fill="auto"/>
          </w:tcPr>
          <w:p w14:paraId="451A2699"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1255" w:type="dxa"/>
            <w:gridSpan w:val="2"/>
            <w:tcBorders>
              <w:top w:val="nil"/>
              <w:left w:val="nil"/>
              <w:bottom w:val="single" w:sz="4" w:space="0" w:color="000000"/>
              <w:right w:val="single" w:sz="12" w:space="0" w:color="000000"/>
            </w:tcBorders>
            <w:shd w:val="clear" w:color="auto" w:fill="auto"/>
          </w:tcPr>
          <w:p w14:paraId="17478EE8"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Upper Bound</w:t>
            </w:r>
          </w:p>
        </w:tc>
        <w:tc>
          <w:tcPr>
            <w:tcW w:w="943" w:type="dxa"/>
            <w:gridSpan w:val="2"/>
            <w:tcBorders>
              <w:top w:val="nil"/>
              <w:left w:val="nil"/>
              <w:bottom w:val="single" w:sz="4" w:space="0" w:color="000000"/>
              <w:right w:val="single" w:sz="4" w:space="0" w:color="000000"/>
            </w:tcBorders>
            <w:shd w:val="clear" w:color="auto" w:fill="auto"/>
            <w:vAlign w:val="center"/>
          </w:tcPr>
          <w:p w14:paraId="2F420D29"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11.67</w:t>
            </w:r>
          </w:p>
        </w:tc>
        <w:tc>
          <w:tcPr>
            <w:tcW w:w="888" w:type="dxa"/>
            <w:gridSpan w:val="2"/>
            <w:tcBorders>
              <w:top w:val="nil"/>
              <w:left w:val="nil"/>
              <w:bottom w:val="single" w:sz="4" w:space="0" w:color="000000"/>
              <w:right w:val="single" w:sz="4" w:space="0" w:color="000000"/>
            </w:tcBorders>
            <w:shd w:val="clear" w:color="auto" w:fill="auto"/>
            <w:vAlign w:val="center"/>
          </w:tcPr>
          <w:p w14:paraId="13FF9E30"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9.83</w:t>
            </w:r>
          </w:p>
        </w:tc>
        <w:tc>
          <w:tcPr>
            <w:tcW w:w="964" w:type="dxa"/>
            <w:gridSpan w:val="2"/>
            <w:tcBorders>
              <w:top w:val="nil"/>
              <w:left w:val="nil"/>
              <w:bottom w:val="single" w:sz="4" w:space="0" w:color="000000"/>
              <w:right w:val="single" w:sz="12" w:space="0" w:color="000000"/>
            </w:tcBorders>
            <w:shd w:val="clear" w:color="auto" w:fill="auto"/>
            <w:vAlign w:val="center"/>
          </w:tcPr>
          <w:p w14:paraId="50644511"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9.27</w:t>
            </w:r>
          </w:p>
        </w:tc>
        <w:tc>
          <w:tcPr>
            <w:tcW w:w="896" w:type="dxa"/>
            <w:gridSpan w:val="2"/>
            <w:tcBorders>
              <w:top w:val="nil"/>
              <w:left w:val="nil"/>
              <w:bottom w:val="single" w:sz="4" w:space="0" w:color="000000"/>
              <w:right w:val="single" w:sz="12" w:space="0" w:color="000000"/>
            </w:tcBorders>
            <w:vAlign w:val="center"/>
          </w:tcPr>
          <w:p w14:paraId="31BA8EC5"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10.57</w:t>
            </w:r>
          </w:p>
        </w:tc>
      </w:tr>
      <w:tr w:rsidR="009968E0" w:rsidRPr="009968E0" w14:paraId="5997FEF4" w14:textId="77777777" w:rsidTr="009968E0">
        <w:trPr>
          <w:gridBefore w:val="1"/>
          <w:gridAfter w:val="1"/>
          <w:wBefore w:w="93" w:type="dxa"/>
          <w:wAfter w:w="956" w:type="dxa"/>
          <w:trHeight w:val="360"/>
        </w:trPr>
        <w:tc>
          <w:tcPr>
            <w:tcW w:w="8979" w:type="dxa"/>
            <w:gridSpan w:val="13"/>
            <w:tcBorders>
              <w:top w:val="single" w:sz="4" w:space="0" w:color="000000"/>
              <w:left w:val="single" w:sz="12" w:space="0" w:color="000000"/>
              <w:bottom w:val="single" w:sz="12" w:space="0" w:color="000000"/>
              <w:right w:val="single" w:sz="12" w:space="0" w:color="000000"/>
            </w:tcBorders>
            <w:shd w:val="clear" w:color="auto" w:fill="auto"/>
            <w:vAlign w:val="center"/>
          </w:tcPr>
          <w:p w14:paraId="7847125A"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p=0.014</w:t>
            </w:r>
            <w:r w:rsidRPr="009968E0">
              <w:rPr>
                <w:rFonts w:ascii="Calibri" w:eastAsia="Times New Roman" w:hAnsi="Calibri" w:cs="Calibri"/>
                <w:i/>
                <w:color w:val="000000"/>
                <w:sz w:val="22"/>
                <w:szCs w:val="22"/>
                <w:vertAlign w:val="superscript"/>
                <w:lang w:eastAsia="en-GB"/>
              </w:rPr>
              <w:t>*</w:t>
            </w:r>
          </w:p>
        </w:tc>
      </w:tr>
      <w:tr w:rsidR="009968E0" w:rsidRPr="009968E0" w14:paraId="2093473E" w14:textId="77777777" w:rsidTr="009968E0">
        <w:trPr>
          <w:gridBefore w:val="1"/>
          <w:wBefore w:w="93" w:type="dxa"/>
          <w:trHeight w:val="380"/>
        </w:trPr>
        <w:tc>
          <w:tcPr>
            <w:tcW w:w="8979" w:type="dxa"/>
            <w:gridSpan w:val="13"/>
            <w:tcBorders>
              <w:top w:val="nil"/>
              <w:left w:val="nil"/>
              <w:bottom w:val="nil"/>
              <w:right w:val="nil"/>
            </w:tcBorders>
            <w:shd w:val="clear" w:color="auto" w:fill="auto"/>
          </w:tcPr>
          <w:p w14:paraId="371CC503" w14:textId="77777777" w:rsidR="009968E0" w:rsidRPr="009968E0" w:rsidRDefault="009968E0" w:rsidP="006E28EB">
            <w:pPr>
              <w:pBdr>
                <w:top w:val="nil"/>
                <w:left w:val="nil"/>
                <w:bottom w:val="nil"/>
                <w:right w:val="nil"/>
                <w:between w:val="nil"/>
              </w:pBdr>
              <w:spacing w:line="360" w:lineRule="auto"/>
              <w:rPr>
                <w:rFonts w:ascii="Calibri" w:eastAsia="Times New Roman" w:hAnsi="Calibri" w:cs="Calibri"/>
                <w:i/>
                <w:color w:val="808080"/>
                <w:sz w:val="21"/>
                <w:szCs w:val="21"/>
                <w:lang w:eastAsia="en-GB"/>
              </w:rPr>
            </w:pPr>
            <w:r w:rsidRPr="009968E0">
              <w:rPr>
                <w:rFonts w:ascii="Calibri" w:eastAsia="Times New Roman" w:hAnsi="Calibri" w:cs="Calibri"/>
                <w:i/>
                <w:color w:val="808080"/>
                <w:sz w:val="21"/>
                <w:szCs w:val="21"/>
                <w:lang w:eastAsia="en-GB"/>
              </w:rPr>
              <w:t xml:space="preserve">a. Covariates appearing in the model are evaluated at the following values: </w:t>
            </w:r>
            <w:proofErr w:type="spellStart"/>
            <w:r w:rsidRPr="009968E0">
              <w:rPr>
                <w:rFonts w:ascii="Calibri" w:eastAsia="Times New Roman" w:hAnsi="Calibri" w:cs="Calibri"/>
                <w:i/>
                <w:color w:val="808080"/>
                <w:sz w:val="21"/>
                <w:szCs w:val="21"/>
                <w:lang w:eastAsia="en-GB"/>
              </w:rPr>
              <w:t>likertscale_gad</w:t>
            </w:r>
            <w:proofErr w:type="spellEnd"/>
            <w:r w:rsidRPr="009968E0">
              <w:rPr>
                <w:rFonts w:ascii="Calibri" w:eastAsia="Times New Roman" w:hAnsi="Calibri" w:cs="Calibri"/>
                <w:i/>
                <w:color w:val="808080"/>
                <w:sz w:val="21"/>
                <w:szCs w:val="21"/>
                <w:lang w:eastAsia="en-GB"/>
              </w:rPr>
              <w:t xml:space="preserve"> = 7.16. Significance at p&lt;0.05.  There was no post Hoc significance at the LINS or RPSC</w:t>
            </w:r>
          </w:p>
          <w:p w14:paraId="65BECCEB" w14:textId="77777777" w:rsidR="009968E0" w:rsidRPr="009968E0" w:rsidRDefault="009968E0" w:rsidP="006E28EB">
            <w:pPr>
              <w:pBdr>
                <w:top w:val="nil"/>
                <w:left w:val="nil"/>
                <w:bottom w:val="nil"/>
                <w:right w:val="nil"/>
                <w:between w:val="nil"/>
              </w:pBdr>
              <w:spacing w:line="360" w:lineRule="auto"/>
              <w:rPr>
                <w:rFonts w:ascii="Calibri" w:eastAsia="Times New Roman" w:hAnsi="Calibri" w:cs="Calibri"/>
                <w:i/>
                <w:color w:val="808080"/>
                <w:sz w:val="21"/>
                <w:szCs w:val="21"/>
                <w:lang w:eastAsia="en-GB"/>
              </w:rPr>
            </w:pPr>
          </w:p>
          <w:p w14:paraId="63C8427D" w14:textId="77777777" w:rsidR="009968E0" w:rsidRPr="009968E0" w:rsidRDefault="009968E0" w:rsidP="006E28EB">
            <w:pPr>
              <w:pBdr>
                <w:top w:val="nil"/>
                <w:left w:val="nil"/>
                <w:bottom w:val="nil"/>
                <w:right w:val="nil"/>
                <w:between w:val="nil"/>
              </w:pBdr>
              <w:spacing w:line="360" w:lineRule="auto"/>
              <w:ind w:left="720"/>
              <w:rPr>
                <w:rFonts w:ascii="Calibri" w:eastAsia="Times New Roman" w:hAnsi="Calibri" w:cs="Calibri"/>
                <w:i/>
                <w:color w:val="808080"/>
                <w:sz w:val="21"/>
                <w:szCs w:val="21"/>
                <w:lang w:eastAsia="en-GB"/>
              </w:rPr>
            </w:pPr>
          </w:p>
          <w:p w14:paraId="14AB9D90" w14:textId="77777777" w:rsidR="009968E0" w:rsidRPr="009968E0" w:rsidRDefault="009968E0" w:rsidP="006E28EB">
            <w:pPr>
              <w:pBdr>
                <w:top w:val="nil"/>
                <w:left w:val="nil"/>
                <w:bottom w:val="nil"/>
                <w:right w:val="nil"/>
                <w:between w:val="nil"/>
              </w:pBdr>
              <w:spacing w:line="360" w:lineRule="auto"/>
              <w:ind w:left="720"/>
              <w:rPr>
                <w:rFonts w:ascii="Calibri" w:eastAsia="Times New Roman" w:hAnsi="Calibri" w:cs="Calibri"/>
                <w:i/>
                <w:color w:val="808080"/>
                <w:sz w:val="21"/>
                <w:szCs w:val="21"/>
                <w:lang w:eastAsia="en-GB"/>
              </w:rPr>
            </w:pPr>
          </w:p>
        </w:tc>
        <w:tc>
          <w:tcPr>
            <w:tcW w:w="956" w:type="dxa"/>
            <w:tcBorders>
              <w:top w:val="nil"/>
              <w:left w:val="nil"/>
              <w:bottom w:val="nil"/>
              <w:right w:val="nil"/>
            </w:tcBorders>
          </w:tcPr>
          <w:p w14:paraId="16C86339" w14:textId="77777777" w:rsidR="009968E0" w:rsidRPr="009968E0" w:rsidRDefault="009968E0" w:rsidP="006E28EB">
            <w:pPr>
              <w:pBdr>
                <w:top w:val="nil"/>
                <w:left w:val="nil"/>
                <w:bottom w:val="nil"/>
                <w:right w:val="nil"/>
                <w:between w:val="nil"/>
              </w:pBdr>
              <w:spacing w:line="360" w:lineRule="auto"/>
              <w:rPr>
                <w:rFonts w:ascii="Calibri" w:eastAsia="Times New Roman" w:hAnsi="Calibri" w:cs="Calibri"/>
                <w:i/>
                <w:color w:val="808080"/>
                <w:sz w:val="21"/>
                <w:szCs w:val="21"/>
                <w:lang w:eastAsia="en-GB"/>
              </w:rPr>
            </w:pPr>
          </w:p>
        </w:tc>
      </w:tr>
      <w:tr w:rsidR="009968E0" w:rsidRPr="006E28EB" w14:paraId="1F2E7E63" w14:textId="77777777" w:rsidTr="009968E0">
        <w:trPr>
          <w:trHeight w:val="323"/>
        </w:trPr>
        <w:tc>
          <w:tcPr>
            <w:tcW w:w="9072" w:type="dxa"/>
            <w:gridSpan w:val="14"/>
            <w:tcBorders>
              <w:top w:val="nil"/>
              <w:left w:val="nil"/>
              <w:bottom w:val="nil"/>
              <w:right w:val="nil"/>
            </w:tcBorders>
            <w:shd w:val="clear" w:color="auto" w:fill="auto"/>
            <w:vAlign w:val="center"/>
          </w:tcPr>
          <w:p w14:paraId="4D20DE94" w14:textId="1FB91F2A" w:rsidR="009968E0" w:rsidRPr="006E28EB" w:rsidRDefault="009968E0" w:rsidP="006E28EB">
            <w:pPr>
              <w:pStyle w:val="Quote"/>
            </w:pPr>
            <w:bookmarkStart w:id="632" w:name="_Toc48406149"/>
            <w:bookmarkStart w:id="633" w:name="_Toc49273360"/>
            <w:bookmarkStart w:id="634" w:name="_Toc64724113"/>
            <w:r w:rsidRPr="006E28EB">
              <w:lastRenderedPageBreak/>
              <w:t>Table D.5: Univariate ANCOVA comparing group RBF during a pain condition adjusted by LIKERT by ROI.</w:t>
            </w:r>
            <w:bookmarkEnd w:id="632"/>
            <w:bookmarkEnd w:id="633"/>
            <w:bookmarkEnd w:id="634"/>
          </w:p>
        </w:tc>
        <w:tc>
          <w:tcPr>
            <w:tcW w:w="956" w:type="dxa"/>
            <w:tcBorders>
              <w:top w:val="nil"/>
              <w:left w:val="nil"/>
              <w:bottom w:val="nil"/>
              <w:right w:val="nil"/>
            </w:tcBorders>
          </w:tcPr>
          <w:p w14:paraId="0107B16E" w14:textId="77777777" w:rsidR="009968E0" w:rsidRPr="006E28EB" w:rsidRDefault="009968E0" w:rsidP="006E28EB">
            <w:pPr>
              <w:pStyle w:val="Quote"/>
            </w:pPr>
          </w:p>
        </w:tc>
      </w:tr>
      <w:tr w:rsidR="009968E0" w:rsidRPr="009968E0" w14:paraId="6B168B3E" w14:textId="77777777" w:rsidTr="009968E0">
        <w:tblPrEx>
          <w:shd w:val="clear" w:color="auto" w:fill="FFFFFF"/>
        </w:tblPrEx>
        <w:trPr>
          <w:gridAfter w:val="1"/>
          <w:wAfter w:w="956" w:type="dxa"/>
          <w:trHeight w:val="360"/>
        </w:trPr>
        <w:tc>
          <w:tcPr>
            <w:tcW w:w="5587" w:type="dxa"/>
            <w:gridSpan w:val="7"/>
            <w:vMerge w:val="restart"/>
            <w:tcBorders>
              <w:top w:val="single" w:sz="12" w:space="0" w:color="000000"/>
              <w:left w:val="single" w:sz="12" w:space="0" w:color="000000"/>
              <w:bottom w:val="single" w:sz="12" w:space="0" w:color="000000"/>
              <w:right w:val="single" w:sz="12" w:space="0" w:color="000000"/>
            </w:tcBorders>
            <w:shd w:val="clear" w:color="auto" w:fill="FFFFFF"/>
            <w:vAlign w:val="bottom"/>
          </w:tcPr>
          <w:p w14:paraId="55B362FF"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Dependent Variable</w:t>
            </w:r>
          </w:p>
        </w:tc>
        <w:tc>
          <w:tcPr>
            <w:tcW w:w="3485" w:type="dxa"/>
            <w:gridSpan w:val="7"/>
            <w:tcBorders>
              <w:top w:val="single" w:sz="12" w:space="0" w:color="000000"/>
              <w:left w:val="nil"/>
              <w:bottom w:val="single" w:sz="4" w:space="0" w:color="000000"/>
              <w:right w:val="single" w:sz="12" w:space="0" w:color="000000"/>
            </w:tcBorders>
            <w:shd w:val="clear" w:color="auto" w:fill="FFFFFF"/>
            <w:vAlign w:val="bottom"/>
          </w:tcPr>
          <w:p w14:paraId="5DE9BD78"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GROUP</w:t>
            </w:r>
          </w:p>
        </w:tc>
      </w:tr>
      <w:tr w:rsidR="009968E0" w:rsidRPr="009968E0" w14:paraId="48E7C2DE" w14:textId="77777777" w:rsidTr="009968E0">
        <w:tblPrEx>
          <w:shd w:val="clear" w:color="auto" w:fill="FFFFFF"/>
        </w:tblPrEx>
        <w:trPr>
          <w:gridAfter w:val="1"/>
          <w:wAfter w:w="956" w:type="dxa"/>
          <w:trHeight w:val="360"/>
        </w:trPr>
        <w:tc>
          <w:tcPr>
            <w:tcW w:w="5587" w:type="dxa"/>
            <w:gridSpan w:val="7"/>
            <w:vMerge/>
            <w:tcBorders>
              <w:top w:val="single" w:sz="12" w:space="0" w:color="000000"/>
              <w:left w:val="single" w:sz="12" w:space="0" w:color="000000"/>
              <w:bottom w:val="single" w:sz="12" w:space="0" w:color="000000"/>
              <w:right w:val="single" w:sz="12" w:space="0" w:color="000000"/>
            </w:tcBorders>
            <w:shd w:val="clear" w:color="auto" w:fill="FFFFFF"/>
            <w:vAlign w:val="bottom"/>
          </w:tcPr>
          <w:p w14:paraId="5AE8C3E1"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863" w:type="dxa"/>
            <w:gridSpan w:val="2"/>
            <w:tcBorders>
              <w:top w:val="nil"/>
              <w:left w:val="nil"/>
              <w:bottom w:val="single" w:sz="12" w:space="0" w:color="000000"/>
              <w:right w:val="single" w:sz="4" w:space="0" w:color="000000"/>
            </w:tcBorders>
            <w:shd w:val="clear" w:color="auto" w:fill="FFFFFF"/>
            <w:vAlign w:val="bottom"/>
          </w:tcPr>
          <w:p w14:paraId="2EAF8068"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P-DPN</w:t>
            </w:r>
          </w:p>
        </w:tc>
        <w:tc>
          <w:tcPr>
            <w:tcW w:w="852" w:type="dxa"/>
            <w:gridSpan w:val="2"/>
            <w:tcBorders>
              <w:top w:val="nil"/>
              <w:left w:val="nil"/>
              <w:bottom w:val="single" w:sz="12" w:space="0" w:color="000000"/>
              <w:right w:val="single" w:sz="4" w:space="0" w:color="000000"/>
            </w:tcBorders>
            <w:shd w:val="clear" w:color="auto" w:fill="FFFFFF"/>
            <w:vAlign w:val="bottom"/>
          </w:tcPr>
          <w:p w14:paraId="1DDDDE50"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DPN</w:t>
            </w:r>
          </w:p>
        </w:tc>
        <w:tc>
          <w:tcPr>
            <w:tcW w:w="918" w:type="dxa"/>
            <w:gridSpan w:val="2"/>
            <w:tcBorders>
              <w:top w:val="nil"/>
              <w:left w:val="nil"/>
              <w:bottom w:val="single" w:sz="12" w:space="0" w:color="000000"/>
              <w:right w:val="single" w:sz="12" w:space="0" w:color="000000"/>
            </w:tcBorders>
            <w:shd w:val="clear" w:color="auto" w:fill="FFFFFF"/>
            <w:vAlign w:val="bottom"/>
          </w:tcPr>
          <w:p w14:paraId="63A6764E"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Arial" w:hAnsi="Calibri" w:cs="Calibri"/>
                <w:i/>
                <w:iCs/>
                <w:color w:val="000000"/>
                <w:sz w:val="22"/>
                <w:szCs w:val="22"/>
                <w:lang w:eastAsia="en-GB"/>
              </w:rPr>
              <w:t>DM-NN</w:t>
            </w:r>
          </w:p>
        </w:tc>
        <w:tc>
          <w:tcPr>
            <w:tcW w:w="852" w:type="dxa"/>
            <w:tcBorders>
              <w:top w:val="nil"/>
              <w:left w:val="nil"/>
              <w:bottom w:val="single" w:sz="12" w:space="0" w:color="000000"/>
              <w:right w:val="single" w:sz="12" w:space="0" w:color="000000"/>
            </w:tcBorders>
            <w:shd w:val="clear" w:color="auto" w:fill="FFFFFF"/>
            <w:vAlign w:val="bottom"/>
          </w:tcPr>
          <w:p w14:paraId="041586F9" w14:textId="77777777" w:rsidR="009968E0" w:rsidRPr="009968E0" w:rsidRDefault="009968E0" w:rsidP="009968E0">
            <w:pPr>
              <w:jc w:val="center"/>
              <w:rPr>
                <w:rFonts w:ascii="Calibri" w:eastAsia="Arial" w:hAnsi="Calibri" w:cs="Calibri"/>
                <w:i/>
                <w:iCs/>
                <w:color w:val="000000"/>
                <w:sz w:val="22"/>
                <w:szCs w:val="22"/>
                <w:lang w:eastAsia="en-GB"/>
              </w:rPr>
            </w:pPr>
            <w:r w:rsidRPr="009968E0">
              <w:rPr>
                <w:rFonts w:ascii="Calibri" w:eastAsia="Arial" w:hAnsi="Calibri" w:cs="Calibri"/>
                <w:i/>
                <w:iCs/>
                <w:color w:val="000000"/>
                <w:sz w:val="22"/>
                <w:szCs w:val="22"/>
                <w:lang w:eastAsia="en-GB"/>
              </w:rPr>
              <w:t>HV</w:t>
            </w:r>
          </w:p>
        </w:tc>
      </w:tr>
      <w:tr w:rsidR="009968E0" w:rsidRPr="009968E0" w14:paraId="5DD20700" w14:textId="77777777" w:rsidTr="009968E0">
        <w:tblPrEx>
          <w:shd w:val="clear" w:color="auto" w:fill="FFFFFF"/>
        </w:tblPrEx>
        <w:trPr>
          <w:gridAfter w:val="1"/>
          <w:wAfter w:w="956" w:type="dxa"/>
          <w:trHeight w:val="360"/>
        </w:trPr>
        <w:tc>
          <w:tcPr>
            <w:tcW w:w="1686" w:type="dxa"/>
            <w:gridSpan w:val="2"/>
            <w:vMerge w:val="restart"/>
            <w:tcBorders>
              <w:top w:val="nil"/>
              <w:left w:val="single" w:sz="12" w:space="0" w:color="000000"/>
              <w:bottom w:val="single" w:sz="4" w:space="0" w:color="000000"/>
              <w:right w:val="nil"/>
            </w:tcBorders>
            <w:shd w:val="clear" w:color="auto" w:fill="FBE4D5"/>
          </w:tcPr>
          <w:p w14:paraId="7E2B9244"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RBF-Lth3</w:t>
            </w:r>
          </w:p>
        </w:tc>
        <w:tc>
          <w:tcPr>
            <w:tcW w:w="3901" w:type="dxa"/>
            <w:gridSpan w:val="5"/>
            <w:tcBorders>
              <w:top w:val="single" w:sz="12" w:space="0" w:color="000000"/>
              <w:left w:val="nil"/>
              <w:bottom w:val="single" w:sz="4" w:space="0" w:color="000000"/>
              <w:right w:val="single" w:sz="12" w:space="0" w:color="000000"/>
            </w:tcBorders>
            <w:shd w:val="clear" w:color="auto" w:fill="FFFFFF"/>
          </w:tcPr>
          <w:p w14:paraId="68972FD0"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863" w:type="dxa"/>
            <w:gridSpan w:val="2"/>
            <w:tcBorders>
              <w:top w:val="nil"/>
              <w:left w:val="nil"/>
              <w:bottom w:val="single" w:sz="4" w:space="0" w:color="000000"/>
              <w:right w:val="single" w:sz="4" w:space="0" w:color="000000"/>
            </w:tcBorders>
            <w:shd w:val="clear" w:color="auto" w:fill="FFFFFF"/>
            <w:vAlign w:val="center"/>
          </w:tcPr>
          <w:p w14:paraId="0B123B2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132.62</w:t>
            </w:r>
          </w:p>
        </w:tc>
        <w:tc>
          <w:tcPr>
            <w:tcW w:w="852" w:type="dxa"/>
            <w:gridSpan w:val="2"/>
            <w:tcBorders>
              <w:top w:val="nil"/>
              <w:left w:val="nil"/>
              <w:bottom w:val="single" w:sz="4" w:space="0" w:color="000000"/>
              <w:right w:val="single" w:sz="4" w:space="0" w:color="000000"/>
            </w:tcBorders>
            <w:shd w:val="clear" w:color="auto" w:fill="FFFFFF"/>
            <w:vAlign w:val="center"/>
          </w:tcPr>
          <w:p w14:paraId="5574BD15"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125.77</w:t>
            </w:r>
          </w:p>
        </w:tc>
        <w:tc>
          <w:tcPr>
            <w:tcW w:w="918" w:type="dxa"/>
            <w:gridSpan w:val="2"/>
            <w:tcBorders>
              <w:top w:val="nil"/>
              <w:left w:val="nil"/>
              <w:bottom w:val="single" w:sz="4" w:space="0" w:color="000000"/>
              <w:right w:val="single" w:sz="12" w:space="0" w:color="000000"/>
            </w:tcBorders>
            <w:shd w:val="clear" w:color="auto" w:fill="FFFFFF"/>
            <w:vAlign w:val="center"/>
          </w:tcPr>
          <w:p w14:paraId="7A86AE0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99.43</w:t>
            </w:r>
          </w:p>
        </w:tc>
        <w:tc>
          <w:tcPr>
            <w:tcW w:w="852" w:type="dxa"/>
            <w:tcBorders>
              <w:top w:val="nil"/>
              <w:left w:val="nil"/>
              <w:bottom w:val="single" w:sz="4" w:space="0" w:color="000000"/>
              <w:right w:val="single" w:sz="12" w:space="0" w:color="000000"/>
            </w:tcBorders>
            <w:shd w:val="clear" w:color="auto" w:fill="FFFFFF"/>
          </w:tcPr>
          <w:p w14:paraId="1BCE8BB3"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123.12</w:t>
            </w:r>
          </w:p>
        </w:tc>
      </w:tr>
      <w:tr w:rsidR="009968E0" w:rsidRPr="009968E0" w14:paraId="13E00683" w14:textId="77777777" w:rsidTr="009968E0">
        <w:tblPrEx>
          <w:shd w:val="clear" w:color="auto" w:fill="FFFFFF"/>
        </w:tblPrEx>
        <w:trPr>
          <w:gridAfter w:val="1"/>
          <w:wAfter w:w="956" w:type="dxa"/>
          <w:trHeight w:val="360"/>
        </w:trPr>
        <w:tc>
          <w:tcPr>
            <w:tcW w:w="1686" w:type="dxa"/>
            <w:gridSpan w:val="2"/>
            <w:vMerge/>
            <w:tcBorders>
              <w:top w:val="nil"/>
              <w:left w:val="single" w:sz="12" w:space="0" w:color="000000"/>
              <w:bottom w:val="single" w:sz="4" w:space="0" w:color="000000"/>
              <w:right w:val="nil"/>
            </w:tcBorders>
            <w:shd w:val="clear" w:color="auto" w:fill="FBE4D5"/>
          </w:tcPr>
          <w:p w14:paraId="5D6374F2"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465" w:type="dxa"/>
            <w:gridSpan w:val="3"/>
            <w:vMerge w:val="restart"/>
            <w:tcBorders>
              <w:top w:val="nil"/>
              <w:left w:val="nil"/>
              <w:bottom w:val="single" w:sz="4" w:space="0" w:color="000000"/>
              <w:right w:val="nil"/>
            </w:tcBorders>
            <w:shd w:val="clear" w:color="auto" w:fill="FFFFFF"/>
          </w:tcPr>
          <w:p w14:paraId="4B8A61F9"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w:t>
            </w:r>
          </w:p>
        </w:tc>
        <w:tc>
          <w:tcPr>
            <w:tcW w:w="1436" w:type="dxa"/>
            <w:gridSpan w:val="2"/>
            <w:tcBorders>
              <w:top w:val="nil"/>
              <w:left w:val="nil"/>
              <w:bottom w:val="nil"/>
              <w:right w:val="single" w:sz="12" w:space="0" w:color="000000"/>
            </w:tcBorders>
            <w:shd w:val="clear" w:color="auto" w:fill="FFFFFF"/>
          </w:tcPr>
          <w:p w14:paraId="16DD632E"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863" w:type="dxa"/>
            <w:gridSpan w:val="2"/>
            <w:tcBorders>
              <w:top w:val="nil"/>
              <w:left w:val="nil"/>
              <w:bottom w:val="nil"/>
              <w:right w:val="single" w:sz="4" w:space="0" w:color="000000"/>
            </w:tcBorders>
            <w:shd w:val="clear" w:color="auto" w:fill="FFFFFF"/>
            <w:vAlign w:val="center"/>
          </w:tcPr>
          <w:p w14:paraId="46328765"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155.47</w:t>
            </w:r>
          </w:p>
        </w:tc>
        <w:tc>
          <w:tcPr>
            <w:tcW w:w="852" w:type="dxa"/>
            <w:gridSpan w:val="2"/>
            <w:tcBorders>
              <w:top w:val="nil"/>
              <w:left w:val="nil"/>
              <w:bottom w:val="nil"/>
              <w:right w:val="single" w:sz="4" w:space="0" w:color="000000"/>
            </w:tcBorders>
            <w:shd w:val="clear" w:color="auto" w:fill="FFFFFF"/>
            <w:vAlign w:val="center"/>
          </w:tcPr>
          <w:p w14:paraId="1B810390"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145.87</w:t>
            </w:r>
          </w:p>
        </w:tc>
        <w:tc>
          <w:tcPr>
            <w:tcW w:w="918" w:type="dxa"/>
            <w:gridSpan w:val="2"/>
            <w:tcBorders>
              <w:top w:val="nil"/>
              <w:left w:val="nil"/>
              <w:bottom w:val="nil"/>
              <w:right w:val="single" w:sz="12" w:space="0" w:color="000000"/>
            </w:tcBorders>
            <w:shd w:val="clear" w:color="auto" w:fill="FFFFFF"/>
            <w:vAlign w:val="center"/>
          </w:tcPr>
          <w:p w14:paraId="3F7264E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128.04</w:t>
            </w:r>
          </w:p>
        </w:tc>
        <w:tc>
          <w:tcPr>
            <w:tcW w:w="852" w:type="dxa"/>
            <w:tcBorders>
              <w:top w:val="nil"/>
              <w:left w:val="nil"/>
              <w:bottom w:val="nil"/>
              <w:right w:val="single" w:sz="12" w:space="0" w:color="000000"/>
            </w:tcBorders>
            <w:shd w:val="clear" w:color="auto" w:fill="FFFFFF"/>
            <w:vAlign w:val="center"/>
          </w:tcPr>
          <w:p w14:paraId="2296F274"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146.01</w:t>
            </w:r>
          </w:p>
        </w:tc>
      </w:tr>
      <w:tr w:rsidR="009968E0" w:rsidRPr="009968E0" w14:paraId="207B264A" w14:textId="77777777" w:rsidTr="009968E0">
        <w:tblPrEx>
          <w:shd w:val="clear" w:color="auto" w:fill="FFFFFF"/>
        </w:tblPrEx>
        <w:trPr>
          <w:gridAfter w:val="1"/>
          <w:wAfter w:w="956" w:type="dxa"/>
          <w:trHeight w:val="360"/>
        </w:trPr>
        <w:tc>
          <w:tcPr>
            <w:tcW w:w="1686" w:type="dxa"/>
            <w:gridSpan w:val="2"/>
            <w:vMerge/>
            <w:tcBorders>
              <w:top w:val="nil"/>
              <w:left w:val="single" w:sz="12" w:space="0" w:color="000000"/>
              <w:bottom w:val="single" w:sz="4" w:space="0" w:color="000000"/>
              <w:right w:val="nil"/>
            </w:tcBorders>
            <w:shd w:val="clear" w:color="auto" w:fill="FBE4D5"/>
          </w:tcPr>
          <w:p w14:paraId="1466962D"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465" w:type="dxa"/>
            <w:gridSpan w:val="3"/>
            <w:vMerge/>
            <w:tcBorders>
              <w:top w:val="nil"/>
              <w:left w:val="nil"/>
              <w:bottom w:val="single" w:sz="4" w:space="0" w:color="000000"/>
              <w:right w:val="nil"/>
            </w:tcBorders>
            <w:shd w:val="clear" w:color="auto" w:fill="FFFFFF"/>
          </w:tcPr>
          <w:p w14:paraId="3E9BF3DF"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436" w:type="dxa"/>
            <w:gridSpan w:val="2"/>
            <w:tcBorders>
              <w:top w:val="nil"/>
              <w:left w:val="nil"/>
              <w:bottom w:val="single" w:sz="4" w:space="0" w:color="000000"/>
              <w:right w:val="single" w:sz="12" w:space="0" w:color="000000"/>
            </w:tcBorders>
            <w:shd w:val="clear" w:color="auto" w:fill="FFFFFF"/>
          </w:tcPr>
          <w:p w14:paraId="7FE77C56"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863" w:type="dxa"/>
            <w:gridSpan w:val="2"/>
            <w:tcBorders>
              <w:top w:val="nil"/>
              <w:left w:val="nil"/>
              <w:bottom w:val="single" w:sz="4" w:space="0" w:color="000000"/>
              <w:right w:val="single" w:sz="4" w:space="0" w:color="000000"/>
            </w:tcBorders>
            <w:shd w:val="clear" w:color="auto" w:fill="FFFFFF"/>
            <w:vAlign w:val="center"/>
          </w:tcPr>
          <w:p w14:paraId="6E99F6A3"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109.76</w:t>
            </w:r>
          </w:p>
        </w:tc>
        <w:tc>
          <w:tcPr>
            <w:tcW w:w="852" w:type="dxa"/>
            <w:gridSpan w:val="2"/>
            <w:tcBorders>
              <w:top w:val="nil"/>
              <w:left w:val="nil"/>
              <w:bottom w:val="single" w:sz="4" w:space="0" w:color="000000"/>
              <w:right w:val="single" w:sz="4" w:space="0" w:color="000000"/>
            </w:tcBorders>
            <w:shd w:val="clear" w:color="auto" w:fill="FFFFFF"/>
            <w:vAlign w:val="center"/>
          </w:tcPr>
          <w:p w14:paraId="2397ADB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105.67</w:t>
            </w:r>
          </w:p>
        </w:tc>
        <w:tc>
          <w:tcPr>
            <w:tcW w:w="918" w:type="dxa"/>
            <w:gridSpan w:val="2"/>
            <w:tcBorders>
              <w:top w:val="nil"/>
              <w:left w:val="nil"/>
              <w:bottom w:val="single" w:sz="4" w:space="0" w:color="000000"/>
              <w:right w:val="single" w:sz="12" w:space="0" w:color="000000"/>
            </w:tcBorders>
            <w:shd w:val="clear" w:color="auto" w:fill="FFFFFF"/>
            <w:vAlign w:val="center"/>
          </w:tcPr>
          <w:p w14:paraId="0CF14CD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70.82</w:t>
            </w:r>
          </w:p>
        </w:tc>
        <w:tc>
          <w:tcPr>
            <w:tcW w:w="852" w:type="dxa"/>
            <w:tcBorders>
              <w:top w:val="nil"/>
              <w:left w:val="nil"/>
              <w:bottom w:val="single" w:sz="4" w:space="0" w:color="000000"/>
              <w:right w:val="single" w:sz="12" w:space="0" w:color="000000"/>
            </w:tcBorders>
            <w:shd w:val="clear" w:color="auto" w:fill="FFFFFF"/>
            <w:vAlign w:val="center"/>
          </w:tcPr>
          <w:p w14:paraId="201D560E"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100.22</w:t>
            </w:r>
          </w:p>
        </w:tc>
      </w:tr>
      <w:tr w:rsidR="009968E0" w:rsidRPr="009968E0" w14:paraId="4071337B" w14:textId="77777777" w:rsidTr="009968E0">
        <w:tblPrEx>
          <w:shd w:val="clear" w:color="auto" w:fill="FFFFFF"/>
        </w:tblPrEx>
        <w:trPr>
          <w:gridAfter w:val="1"/>
          <w:wAfter w:w="956" w:type="dxa"/>
          <w:trHeight w:val="360"/>
        </w:trPr>
        <w:tc>
          <w:tcPr>
            <w:tcW w:w="9072" w:type="dxa"/>
            <w:gridSpan w:val="14"/>
            <w:tcBorders>
              <w:top w:val="nil"/>
              <w:left w:val="single" w:sz="12" w:space="0" w:color="000000"/>
              <w:bottom w:val="single" w:sz="4" w:space="0" w:color="000000"/>
              <w:right w:val="single" w:sz="12" w:space="0" w:color="000000"/>
            </w:tcBorders>
            <w:shd w:val="clear" w:color="auto" w:fill="FFFFFF"/>
            <w:vAlign w:val="center"/>
          </w:tcPr>
          <w:p w14:paraId="2F789823"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p=0.65</w:t>
            </w:r>
          </w:p>
        </w:tc>
      </w:tr>
      <w:tr w:rsidR="009968E0" w:rsidRPr="009968E0" w14:paraId="5C5B44A1" w14:textId="77777777" w:rsidTr="009968E0">
        <w:tblPrEx>
          <w:shd w:val="clear" w:color="auto" w:fill="FFFFFF"/>
        </w:tblPrEx>
        <w:trPr>
          <w:gridAfter w:val="1"/>
          <w:wAfter w:w="956" w:type="dxa"/>
          <w:trHeight w:val="360"/>
        </w:trPr>
        <w:tc>
          <w:tcPr>
            <w:tcW w:w="1686" w:type="dxa"/>
            <w:gridSpan w:val="2"/>
            <w:vMerge w:val="restart"/>
            <w:tcBorders>
              <w:top w:val="nil"/>
              <w:left w:val="single" w:sz="12" w:space="0" w:color="000000"/>
              <w:bottom w:val="single" w:sz="4" w:space="0" w:color="000000"/>
              <w:right w:val="nil"/>
            </w:tcBorders>
            <w:shd w:val="clear" w:color="auto" w:fill="FBE4D5"/>
          </w:tcPr>
          <w:p w14:paraId="51D0DB6F" w14:textId="02A29E9F"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RBF-</w:t>
            </w:r>
            <w:r w:rsidR="0068219A">
              <w:rPr>
                <w:rFonts w:ascii="Calibri" w:eastAsia="Times New Roman" w:hAnsi="Calibri" w:cs="Calibri"/>
                <w:i/>
                <w:iCs/>
                <w:color w:val="000000"/>
                <w:sz w:val="22"/>
                <w:szCs w:val="22"/>
                <w:lang w:eastAsia="en-GB"/>
              </w:rPr>
              <w:t>RThal3</w:t>
            </w:r>
          </w:p>
        </w:tc>
        <w:tc>
          <w:tcPr>
            <w:tcW w:w="3901" w:type="dxa"/>
            <w:gridSpan w:val="5"/>
            <w:tcBorders>
              <w:top w:val="nil"/>
              <w:left w:val="nil"/>
              <w:bottom w:val="single" w:sz="4" w:space="0" w:color="000000"/>
              <w:right w:val="single" w:sz="12" w:space="0" w:color="000000"/>
            </w:tcBorders>
            <w:shd w:val="clear" w:color="auto" w:fill="FFFFFF"/>
          </w:tcPr>
          <w:p w14:paraId="547F24CA"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863" w:type="dxa"/>
            <w:gridSpan w:val="2"/>
            <w:tcBorders>
              <w:top w:val="nil"/>
              <w:left w:val="nil"/>
              <w:bottom w:val="single" w:sz="4" w:space="0" w:color="000000"/>
              <w:right w:val="single" w:sz="4" w:space="0" w:color="000000"/>
            </w:tcBorders>
            <w:shd w:val="clear" w:color="auto" w:fill="FFFFFF"/>
            <w:vAlign w:val="center"/>
          </w:tcPr>
          <w:p w14:paraId="2CB32FB4"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130.03</w:t>
            </w:r>
          </w:p>
        </w:tc>
        <w:tc>
          <w:tcPr>
            <w:tcW w:w="852" w:type="dxa"/>
            <w:gridSpan w:val="2"/>
            <w:tcBorders>
              <w:top w:val="nil"/>
              <w:left w:val="nil"/>
              <w:bottom w:val="single" w:sz="4" w:space="0" w:color="000000"/>
              <w:right w:val="single" w:sz="4" w:space="0" w:color="000000"/>
            </w:tcBorders>
            <w:shd w:val="clear" w:color="auto" w:fill="FFFFFF"/>
            <w:vAlign w:val="center"/>
          </w:tcPr>
          <w:p w14:paraId="7139C974"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123.75</w:t>
            </w:r>
          </w:p>
        </w:tc>
        <w:tc>
          <w:tcPr>
            <w:tcW w:w="918" w:type="dxa"/>
            <w:gridSpan w:val="2"/>
            <w:tcBorders>
              <w:top w:val="nil"/>
              <w:left w:val="nil"/>
              <w:bottom w:val="single" w:sz="4" w:space="0" w:color="000000"/>
              <w:right w:val="single" w:sz="12" w:space="0" w:color="000000"/>
            </w:tcBorders>
            <w:shd w:val="clear" w:color="auto" w:fill="FFFFFF"/>
            <w:vAlign w:val="center"/>
          </w:tcPr>
          <w:p w14:paraId="50F268C4"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96.10</w:t>
            </w:r>
          </w:p>
        </w:tc>
        <w:tc>
          <w:tcPr>
            <w:tcW w:w="852" w:type="dxa"/>
            <w:tcBorders>
              <w:top w:val="nil"/>
              <w:left w:val="nil"/>
              <w:bottom w:val="single" w:sz="4" w:space="0" w:color="000000"/>
              <w:right w:val="single" w:sz="12" w:space="0" w:color="000000"/>
            </w:tcBorders>
            <w:shd w:val="clear" w:color="auto" w:fill="FFFFFF"/>
          </w:tcPr>
          <w:p w14:paraId="7EAA0A54"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120.60</w:t>
            </w:r>
          </w:p>
        </w:tc>
      </w:tr>
      <w:tr w:rsidR="009968E0" w:rsidRPr="009968E0" w14:paraId="330EC3D8" w14:textId="77777777" w:rsidTr="009968E0">
        <w:tblPrEx>
          <w:shd w:val="clear" w:color="auto" w:fill="FFFFFF"/>
        </w:tblPrEx>
        <w:trPr>
          <w:gridAfter w:val="1"/>
          <w:wAfter w:w="956" w:type="dxa"/>
          <w:trHeight w:val="360"/>
        </w:trPr>
        <w:tc>
          <w:tcPr>
            <w:tcW w:w="1686" w:type="dxa"/>
            <w:gridSpan w:val="2"/>
            <w:vMerge/>
            <w:tcBorders>
              <w:top w:val="nil"/>
              <w:left w:val="single" w:sz="12" w:space="0" w:color="000000"/>
              <w:bottom w:val="single" w:sz="4" w:space="0" w:color="000000"/>
              <w:right w:val="nil"/>
            </w:tcBorders>
            <w:shd w:val="clear" w:color="auto" w:fill="FBE4D5"/>
          </w:tcPr>
          <w:p w14:paraId="3464C81B"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465" w:type="dxa"/>
            <w:gridSpan w:val="3"/>
            <w:vMerge w:val="restart"/>
            <w:tcBorders>
              <w:top w:val="nil"/>
              <w:left w:val="nil"/>
              <w:bottom w:val="single" w:sz="4" w:space="0" w:color="000000"/>
              <w:right w:val="nil"/>
            </w:tcBorders>
            <w:shd w:val="clear" w:color="auto" w:fill="FFFFFF"/>
          </w:tcPr>
          <w:p w14:paraId="195D71B4"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w:t>
            </w:r>
          </w:p>
        </w:tc>
        <w:tc>
          <w:tcPr>
            <w:tcW w:w="1436" w:type="dxa"/>
            <w:gridSpan w:val="2"/>
            <w:tcBorders>
              <w:top w:val="nil"/>
              <w:left w:val="nil"/>
              <w:bottom w:val="nil"/>
              <w:right w:val="single" w:sz="12" w:space="0" w:color="000000"/>
            </w:tcBorders>
            <w:shd w:val="clear" w:color="auto" w:fill="FFFFFF"/>
          </w:tcPr>
          <w:p w14:paraId="30DFBB37"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863" w:type="dxa"/>
            <w:gridSpan w:val="2"/>
            <w:tcBorders>
              <w:top w:val="nil"/>
              <w:left w:val="nil"/>
              <w:bottom w:val="nil"/>
              <w:right w:val="single" w:sz="4" w:space="0" w:color="000000"/>
            </w:tcBorders>
            <w:shd w:val="clear" w:color="auto" w:fill="FFFFFF"/>
            <w:vAlign w:val="center"/>
          </w:tcPr>
          <w:p w14:paraId="121E08F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154.07</w:t>
            </w:r>
          </w:p>
        </w:tc>
        <w:tc>
          <w:tcPr>
            <w:tcW w:w="852" w:type="dxa"/>
            <w:gridSpan w:val="2"/>
            <w:tcBorders>
              <w:top w:val="nil"/>
              <w:left w:val="nil"/>
              <w:bottom w:val="nil"/>
              <w:right w:val="single" w:sz="4" w:space="0" w:color="000000"/>
            </w:tcBorders>
            <w:shd w:val="clear" w:color="auto" w:fill="FFFFFF"/>
            <w:vAlign w:val="center"/>
          </w:tcPr>
          <w:p w14:paraId="254BD43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144.90</w:t>
            </w:r>
          </w:p>
        </w:tc>
        <w:tc>
          <w:tcPr>
            <w:tcW w:w="918" w:type="dxa"/>
            <w:gridSpan w:val="2"/>
            <w:tcBorders>
              <w:top w:val="nil"/>
              <w:left w:val="nil"/>
              <w:bottom w:val="nil"/>
              <w:right w:val="single" w:sz="12" w:space="0" w:color="000000"/>
            </w:tcBorders>
            <w:shd w:val="clear" w:color="auto" w:fill="FFFFFF"/>
            <w:vAlign w:val="center"/>
          </w:tcPr>
          <w:p w14:paraId="6918F095"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126.20</w:t>
            </w:r>
          </w:p>
        </w:tc>
        <w:tc>
          <w:tcPr>
            <w:tcW w:w="852" w:type="dxa"/>
            <w:tcBorders>
              <w:top w:val="nil"/>
              <w:left w:val="nil"/>
              <w:bottom w:val="nil"/>
              <w:right w:val="single" w:sz="12" w:space="0" w:color="000000"/>
            </w:tcBorders>
            <w:shd w:val="clear" w:color="auto" w:fill="FFFFFF"/>
            <w:vAlign w:val="center"/>
          </w:tcPr>
          <w:p w14:paraId="7CD28394"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144.69</w:t>
            </w:r>
          </w:p>
        </w:tc>
      </w:tr>
      <w:tr w:rsidR="009968E0" w:rsidRPr="009968E0" w14:paraId="154C6D6E" w14:textId="77777777" w:rsidTr="009968E0">
        <w:tblPrEx>
          <w:shd w:val="clear" w:color="auto" w:fill="FFFFFF"/>
        </w:tblPrEx>
        <w:trPr>
          <w:gridAfter w:val="1"/>
          <w:wAfter w:w="956" w:type="dxa"/>
          <w:trHeight w:val="360"/>
        </w:trPr>
        <w:tc>
          <w:tcPr>
            <w:tcW w:w="1686" w:type="dxa"/>
            <w:gridSpan w:val="2"/>
            <w:vMerge/>
            <w:tcBorders>
              <w:top w:val="nil"/>
              <w:left w:val="single" w:sz="12" w:space="0" w:color="000000"/>
              <w:bottom w:val="single" w:sz="4" w:space="0" w:color="000000"/>
              <w:right w:val="nil"/>
            </w:tcBorders>
            <w:shd w:val="clear" w:color="auto" w:fill="FBE4D5"/>
          </w:tcPr>
          <w:p w14:paraId="587C11B4"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465" w:type="dxa"/>
            <w:gridSpan w:val="3"/>
            <w:vMerge/>
            <w:tcBorders>
              <w:top w:val="nil"/>
              <w:left w:val="nil"/>
              <w:bottom w:val="single" w:sz="4" w:space="0" w:color="000000"/>
              <w:right w:val="nil"/>
            </w:tcBorders>
            <w:shd w:val="clear" w:color="auto" w:fill="FFFFFF"/>
          </w:tcPr>
          <w:p w14:paraId="2AC0173C"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436" w:type="dxa"/>
            <w:gridSpan w:val="2"/>
            <w:tcBorders>
              <w:top w:val="nil"/>
              <w:left w:val="nil"/>
              <w:bottom w:val="single" w:sz="4" w:space="0" w:color="000000"/>
              <w:right w:val="single" w:sz="12" w:space="0" w:color="000000"/>
            </w:tcBorders>
            <w:shd w:val="clear" w:color="auto" w:fill="FFFFFF"/>
          </w:tcPr>
          <w:p w14:paraId="26482167"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863" w:type="dxa"/>
            <w:gridSpan w:val="2"/>
            <w:tcBorders>
              <w:top w:val="nil"/>
              <w:left w:val="nil"/>
              <w:bottom w:val="single" w:sz="4" w:space="0" w:color="000000"/>
              <w:right w:val="single" w:sz="4" w:space="0" w:color="000000"/>
            </w:tcBorders>
            <w:shd w:val="clear" w:color="auto" w:fill="FFFFFF"/>
            <w:vAlign w:val="center"/>
          </w:tcPr>
          <w:p w14:paraId="383646A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105.99</w:t>
            </w:r>
          </w:p>
        </w:tc>
        <w:tc>
          <w:tcPr>
            <w:tcW w:w="852" w:type="dxa"/>
            <w:gridSpan w:val="2"/>
            <w:tcBorders>
              <w:top w:val="nil"/>
              <w:left w:val="nil"/>
              <w:bottom w:val="single" w:sz="4" w:space="0" w:color="000000"/>
              <w:right w:val="single" w:sz="4" w:space="0" w:color="000000"/>
            </w:tcBorders>
            <w:shd w:val="clear" w:color="auto" w:fill="FFFFFF"/>
            <w:vAlign w:val="center"/>
          </w:tcPr>
          <w:p w14:paraId="1540830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102.60</w:t>
            </w:r>
          </w:p>
        </w:tc>
        <w:tc>
          <w:tcPr>
            <w:tcW w:w="918" w:type="dxa"/>
            <w:gridSpan w:val="2"/>
            <w:tcBorders>
              <w:top w:val="nil"/>
              <w:left w:val="nil"/>
              <w:bottom w:val="single" w:sz="4" w:space="0" w:color="000000"/>
              <w:right w:val="single" w:sz="12" w:space="0" w:color="000000"/>
            </w:tcBorders>
            <w:shd w:val="clear" w:color="auto" w:fill="FFFFFF"/>
            <w:vAlign w:val="center"/>
          </w:tcPr>
          <w:p w14:paraId="66EE8225"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66.00</w:t>
            </w:r>
          </w:p>
        </w:tc>
        <w:tc>
          <w:tcPr>
            <w:tcW w:w="852" w:type="dxa"/>
            <w:tcBorders>
              <w:top w:val="nil"/>
              <w:left w:val="nil"/>
              <w:bottom w:val="single" w:sz="4" w:space="0" w:color="000000"/>
              <w:right w:val="single" w:sz="12" w:space="0" w:color="000000"/>
            </w:tcBorders>
            <w:shd w:val="clear" w:color="auto" w:fill="FFFFFF"/>
            <w:vAlign w:val="center"/>
          </w:tcPr>
          <w:p w14:paraId="6703BBE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96.52</w:t>
            </w:r>
          </w:p>
        </w:tc>
      </w:tr>
      <w:tr w:rsidR="009968E0" w:rsidRPr="009968E0" w14:paraId="41E74577" w14:textId="77777777" w:rsidTr="009968E0">
        <w:tblPrEx>
          <w:shd w:val="clear" w:color="auto" w:fill="FFFFFF"/>
        </w:tblPrEx>
        <w:trPr>
          <w:gridAfter w:val="1"/>
          <w:wAfter w:w="956" w:type="dxa"/>
          <w:trHeight w:val="360"/>
        </w:trPr>
        <w:tc>
          <w:tcPr>
            <w:tcW w:w="9072" w:type="dxa"/>
            <w:gridSpan w:val="14"/>
            <w:tcBorders>
              <w:top w:val="nil"/>
              <w:left w:val="single" w:sz="12" w:space="0" w:color="000000"/>
              <w:bottom w:val="single" w:sz="4" w:space="0" w:color="000000"/>
              <w:right w:val="single" w:sz="12" w:space="0" w:color="000000"/>
            </w:tcBorders>
            <w:shd w:val="clear" w:color="auto" w:fill="FFFFFF"/>
            <w:vAlign w:val="center"/>
          </w:tcPr>
          <w:p w14:paraId="300EC6A4"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p=0.69</w:t>
            </w:r>
          </w:p>
        </w:tc>
      </w:tr>
      <w:tr w:rsidR="009968E0" w:rsidRPr="009968E0" w14:paraId="084281D0" w14:textId="77777777" w:rsidTr="009968E0">
        <w:tblPrEx>
          <w:shd w:val="clear" w:color="auto" w:fill="FFFFFF"/>
        </w:tblPrEx>
        <w:trPr>
          <w:gridAfter w:val="1"/>
          <w:wAfter w:w="956" w:type="dxa"/>
          <w:trHeight w:val="360"/>
        </w:trPr>
        <w:tc>
          <w:tcPr>
            <w:tcW w:w="1686" w:type="dxa"/>
            <w:gridSpan w:val="2"/>
            <w:vMerge w:val="restart"/>
            <w:tcBorders>
              <w:top w:val="nil"/>
              <w:left w:val="single" w:sz="12" w:space="0" w:color="000000"/>
              <w:bottom w:val="single" w:sz="4" w:space="0" w:color="000000"/>
              <w:right w:val="nil"/>
            </w:tcBorders>
            <w:shd w:val="clear" w:color="auto" w:fill="FBE4D5"/>
          </w:tcPr>
          <w:p w14:paraId="6060AF6F" w14:textId="505D4F24"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RBF-</w:t>
            </w:r>
            <w:r w:rsidR="0068219A">
              <w:rPr>
                <w:rFonts w:ascii="Calibri" w:eastAsia="Times New Roman" w:hAnsi="Calibri" w:cs="Calibri"/>
                <w:i/>
                <w:iCs/>
                <w:color w:val="000000"/>
                <w:sz w:val="22"/>
                <w:szCs w:val="22"/>
                <w:lang w:eastAsia="en-GB"/>
              </w:rPr>
              <w:t>LINS3</w:t>
            </w:r>
          </w:p>
        </w:tc>
        <w:tc>
          <w:tcPr>
            <w:tcW w:w="3901" w:type="dxa"/>
            <w:gridSpan w:val="5"/>
            <w:tcBorders>
              <w:top w:val="nil"/>
              <w:left w:val="nil"/>
              <w:bottom w:val="single" w:sz="4" w:space="0" w:color="000000"/>
              <w:right w:val="single" w:sz="12" w:space="0" w:color="000000"/>
            </w:tcBorders>
            <w:shd w:val="clear" w:color="auto" w:fill="FFFFFF"/>
          </w:tcPr>
          <w:p w14:paraId="783720EB"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863" w:type="dxa"/>
            <w:gridSpan w:val="2"/>
            <w:tcBorders>
              <w:top w:val="nil"/>
              <w:left w:val="nil"/>
              <w:bottom w:val="single" w:sz="4" w:space="0" w:color="000000"/>
              <w:right w:val="single" w:sz="4" w:space="0" w:color="000000"/>
            </w:tcBorders>
            <w:shd w:val="clear" w:color="auto" w:fill="FFFFFF"/>
            <w:vAlign w:val="center"/>
          </w:tcPr>
          <w:p w14:paraId="75F6D14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259.62</w:t>
            </w:r>
          </w:p>
        </w:tc>
        <w:tc>
          <w:tcPr>
            <w:tcW w:w="852" w:type="dxa"/>
            <w:gridSpan w:val="2"/>
            <w:tcBorders>
              <w:top w:val="nil"/>
              <w:left w:val="nil"/>
              <w:bottom w:val="single" w:sz="4" w:space="0" w:color="000000"/>
              <w:right w:val="single" w:sz="4" w:space="0" w:color="000000"/>
            </w:tcBorders>
            <w:shd w:val="clear" w:color="auto" w:fill="FFFFFF"/>
            <w:vAlign w:val="center"/>
          </w:tcPr>
          <w:p w14:paraId="18C77F04"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198.29</w:t>
            </w:r>
          </w:p>
        </w:tc>
        <w:tc>
          <w:tcPr>
            <w:tcW w:w="918" w:type="dxa"/>
            <w:gridSpan w:val="2"/>
            <w:tcBorders>
              <w:top w:val="nil"/>
              <w:left w:val="nil"/>
              <w:bottom w:val="single" w:sz="4" w:space="0" w:color="000000"/>
              <w:right w:val="single" w:sz="12" w:space="0" w:color="000000"/>
            </w:tcBorders>
            <w:shd w:val="clear" w:color="auto" w:fill="FFFFFF"/>
            <w:vAlign w:val="center"/>
          </w:tcPr>
          <w:p w14:paraId="3860776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193.12</w:t>
            </w:r>
          </w:p>
        </w:tc>
        <w:tc>
          <w:tcPr>
            <w:tcW w:w="852" w:type="dxa"/>
            <w:tcBorders>
              <w:top w:val="nil"/>
              <w:left w:val="nil"/>
              <w:bottom w:val="single" w:sz="4" w:space="0" w:color="000000"/>
              <w:right w:val="single" w:sz="12" w:space="0" w:color="000000"/>
            </w:tcBorders>
            <w:shd w:val="clear" w:color="auto" w:fill="FFFFFF"/>
          </w:tcPr>
          <w:p w14:paraId="67D24233"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244.06</w:t>
            </w:r>
          </w:p>
        </w:tc>
      </w:tr>
      <w:tr w:rsidR="009968E0" w:rsidRPr="009968E0" w14:paraId="247B8EDE" w14:textId="77777777" w:rsidTr="009968E0">
        <w:tblPrEx>
          <w:shd w:val="clear" w:color="auto" w:fill="FFFFFF"/>
        </w:tblPrEx>
        <w:trPr>
          <w:gridAfter w:val="1"/>
          <w:wAfter w:w="956" w:type="dxa"/>
          <w:trHeight w:val="360"/>
        </w:trPr>
        <w:tc>
          <w:tcPr>
            <w:tcW w:w="1686" w:type="dxa"/>
            <w:gridSpan w:val="2"/>
            <w:vMerge/>
            <w:tcBorders>
              <w:top w:val="nil"/>
              <w:left w:val="single" w:sz="12" w:space="0" w:color="000000"/>
              <w:bottom w:val="single" w:sz="4" w:space="0" w:color="000000"/>
              <w:right w:val="nil"/>
            </w:tcBorders>
            <w:shd w:val="clear" w:color="auto" w:fill="FBE4D5"/>
          </w:tcPr>
          <w:p w14:paraId="7A7AAF86"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465" w:type="dxa"/>
            <w:gridSpan w:val="3"/>
            <w:vMerge w:val="restart"/>
            <w:tcBorders>
              <w:top w:val="nil"/>
              <w:left w:val="nil"/>
              <w:bottom w:val="single" w:sz="4" w:space="0" w:color="000000"/>
              <w:right w:val="nil"/>
            </w:tcBorders>
            <w:shd w:val="clear" w:color="auto" w:fill="FFFFFF"/>
          </w:tcPr>
          <w:p w14:paraId="4FAC92E7"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w:t>
            </w:r>
          </w:p>
        </w:tc>
        <w:tc>
          <w:tcPr>
            <w:tcW w:w="1436" w:type="dxa"/>
            <w:gridSpan w:val="2"/>
            <w:tcBorders>
              <w:top w:val="nil"/>
              <w:left w:val="nil"/>
              <w:bottom w:val="nil"/>
              <w:right w:val="single" w:sz="12" w:space="0" w:color="000000"/>
            </w:tcBorders>
            <w:shd w:val="clear" w:color="auto" w:fill="FFFFFF"/>
          </w:tcPr>
          <w:p w14:paraId="2A8C7F10"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863" w:type="dxa"/>
            <w:gridSpan w:val="2"/>
            <w:tcBorders>
              <w:top w:val="nil"/>
              <w:left w:val="nil"/>
              <w:bottom w:val="nil"/>
              <w:right w:val="single" w:sz="4" w:space="0" w:color="000000"/>
            </w:tcBorders>
            <w:shd w:val="clear" w:color="auto" w:fill="FFFFFF"/>
            <w:vAlign w:val="center"/>
          </w:tcPr>
          <w:p w14:paraId="6AF345C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304.91</w:t>
            </w:r>
          </w:p>
        </w:tc>
        <w:tc>
          <w:tcPr>
            <w:tcW w:w="852" w:type="dxa"/>
            <w:gridSpan w:val="2"/>
            <w:tcBorders>
              <w:top w:val="nil"/>
              <w:left w:val="nil"/>
              <w:bottom w:val="nil"/>
              <w:right w:val="single" w:sz="4" w:space="0" w:color="000000"/>
            </w:tcBorders>
            <w:shd w:val="clear" w:color="auto" w:fill="FFFFFF"/>
            <w:vAlign w:val="center"/>
          </w:tcPr>
          <w:p w14:paraId="11C9C42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238.13</w:t>
            </w:r>
          </w:p>
        </w:tc>
        <w:tc>
          <w:tcPr>
            <w:tcW w:w="918" w:type="dxa"/>
            <w:gridSpan w:val="2"/>
            <w:tcBorders>
              <w:top w:val="nil"/>
              <w:left w:val="nil"/>
              <w:bottom w:val="nil"/>
              <w:right w:val="single" w:sz="12" w:space="0" w:color="000000"/>
            </w:tcBorders>
            <w:shd w:val="clear" w:color="auto" w:fill="FFFFFF"/>
            <w:vAlign w:val="center"/>
          </w:tcPr>
          <w:p w14:paraId="04760D2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249.82</w:t>
            </w:r>
          </w:p>
        </w:tc>
        <w:tc>
          <w:tcPr>
            <w:tcW w:w="852" w:type="dxa"/>
            <w:tcBorders>
              <w:top w:val="nil"/>
              <w:left w:val="nil"/>
              <w:bottom w:val="nil"/>
              <w:right w:val="single" w:sz="12" w:space="0" w:color="000000"/>
            </w:tcBorders>
            <w:shd w:val="clear" w:color="auto" w:fill="FFFFFF"/>
            <w:vAlign w:val="center"/>
          </w:tcPr>
          <w:p w14:paraId="3FE3E2A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289.43</w:t>
            </w:r>
          </w:p>
        </w:tc>
      </w:tr>
      <w:tr w:rsidR="009968E0" w:rsidRPr="009968E0" w14:paraId="667357E2" w14:textId="77777777" w:rsidTr="009968E0">
        <w:tblPrEx>
          <w:shd w:val="clear" w:color="auto" w:fill="FFFFFF"/>
        </w:tblPrEx>
        <w:trPr>
          <w:gridAfter w:val="1"/>
          <w:wAfter w:w="956" w:type="dxa"/>
          <w:trHeight w:val="360"/>
        </w:trPr>
        <w:tc>
          <w:tcPr>
            <w:tcW w:w="1686" w:type="dxa"/>
            <w:gridSpan w:val="2"/>
            <w:vMerge/>
            <w:tcBorders>
              <w:top w:val="nil"/>
              <w:left w:val="single" w:sz="12" w:space="0" w:color="000000"/>
              <w:bottom w:val="single" w:sz="4" w:space="0" w:color="000000"/>
              <w:right w:val="nil"/>
            </w:tcBorders>
            <w:shd w:val="clear" w:color="auto" w:fill="FBE4D5"/>
          </w:tcPr>
          <w:p w14:paraId="33249ED6"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465" w:type="dxa"/>
            <w:gridSpan w:val="3"/>
            <w:vMerge/>
            <w:tcBorders>
              <w:top w:val="nil"/>
              <w:left w:val="nil"/>
              <w:bottom w:val="single" w:sz="4" w:space="0" w:color="000000"/>
              <w:right w:val="nil"/>
            </w:tcBorders>
            <w:shd w:val="clear" w:color="auto" w:fill="FFFFFF"/>
          </w:tcPr>
          <w:p w14:paraId="1EEE3676"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436" w:type="dxa"/>
            <w:gridSpan w:val="2"/>
            <w:tcBorders>
              <w:top w:val="nil"/>
              <w:left w:val="nil"/>
              <w:bottom w:val="single" w:sz="4" w:space="0" w:color="000000"/>
              <w:right w:val="single" w:sz="12" w:space="0" w:color="000000"/>
            </w:tcBorders>
            <w:shd w:val="clear" w:color="auto" w:fill="FFFFFF"/>
          </w:tcPr>
          <w:p w14:paraId="33AC019E"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863" w:type="dxa"/>
            <w:gridSpan w:val="2"/>
            <w:tcBorders>
              <w:top w:val="nil"/>
              <w:left w:val="nil"/>
              <w:bottom w:val="single" w:sz="4" w:space="0" w:color="000000"/>
              <w:right w:val="single" w:sz="4" w:space="0" w:color="000000"/>
            </w:tcBorders>
            <w:shd w:val="clear" w:color="auto" w:fill="FFFFFF"/>
            <w:vAlign w:val="center"/>
          </w:tcPr>
          <w:p w14:paraId="68C6DF7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214.33</w:t>
            </w:r>
          </w:p>
        </w:tc>
        <w:tc>
          <w:tcPr>
            <w:tcW w:w="852" w:type="dxa"/>
            <w:gridSpan w:val="2"/>
            <w:tcBorders>
              <w:top w:val="nil"/>
              <w:left w:val="nil"/>
              <w:bottom w:val="single" w:sz="4" w:space="0" w:color="000000"/>
              <w:right w:val="single" w:sz="4" w:space="0" w:color="000000"/>
            </w:tcBorders>
            <w:shd w:val="clear" w:color="auto" w:fill="FFFFFF"/>
            <w:vAlign w:val="center"/>
          </w:tcPr>
          <w:p w14:paraId="3076D21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158.46</w:t>
            </w:r>
          </w:p>
        </w:tc>
        <w:tc>
          <w:tcPr>
            <w:tcW w:w="918" w:type="dxa"/>
            <w:gridSpan w:val="2"/>
            <w:tcBorders>
              <w:top w:val="nil"/>
              <w:left w:val="nil"/>
              <w:bottom w:val="single" w:sz="4" w:space="0" w:color="000000"/>
              <w:right w:val="single" w:sz="12" w:space="0" w:color="000000"/>
            </w:tcBorders>
            <w:shd w:val="clear" w:color="auto" w:fill="FFFFFF"/>
            <w:vAlign w:val="center"/>
          </w:tcPr>
          <w:p w14:paraId="596750C4"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136.43</w:t>
            </w:r>
          </w:p>
        </w:tc>
        <w:tc>
          <w:tcPr>
            <w:tcW w:w="852" w:type="dxa"/>
            <w:tcBorders>
              <w:top w:val="nil"/>
              <w:left w:val="nil"/>
              <w:bottom w:val="single" w:sz="4" w:space="0" w:color="000000"/>
              <w:right w:val="single" w:sz="12" w:space="0" w:color="000000"/>
            </w:tcBorders>
            <w:shd w:val="clear" w:color="auto" w:fill="FFFFFF"/>
            <w:vAlign w:val="center"/>
          </w:tcPr>
          <w:p w14:paraId="6B924BD0"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198.69</w:t>
            </w:r>
          </w:p>
        </w:tc>
      </w:tr>
      <w:tr w:rsidR="009968E0" w:rsidRPr="009968E0" w14:paraId="6B34B830" w14:textId="77777777" w:rsidTr="009968E0">
        <w:tblPrEx>
          <w:shd w:val="clear" w:color="auto" w:fill="FFFFFF"/>
        </w:tblPrEx>
        <w:trPr>
          <w:gridAfter w:val="1"/>
          <w:wAfter w:w="956" w:type="dxa"/>
          <w:trHeight w:val="360"/>
        </w:trPr>
        <w:tc>
          <w:tcPr>
            <w:tcW w:w="9072" w:type="dxa"/>
            <w:gridSpan w:val="14"/>
            <w:tcBorders>
              <w:top w:val="nil"/>
              <w:left w:val="single" w:sz="12" w:space="0" w:color="000000"/>
              <w:bottom w:val="single" w:sz="4" w:space="0" w:color="000000"/>
              <w:right w:val="single" w:sz="12" w:space="0" w:color="000000"/>
            </w:tcBorders>
            <w:shd w:val="clear" w:color="auto" w:fill="FFFFFF"/>
            <w:vAlign w:val="center"/>
          </w:tcPr>
          <w:p w14:paraId="71FF538A"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p=0.45</w:t>
            </w:r>
          </w:p>
        </w:tc>
      </w:tr>
      <w:tr w:rsidR="009968E0" w:rsidRPr="009968E0" w14:paraId="021FA17C" w14:textId="77777777" w:rsidTr="009968E0">
        <w:tblPrEx>
          <w:shd w:val="clear" w:color="auto" w:fill="FFFFFF"/>
        </w:tblPrEx>
        <w:trPr>
          <w:gridAfter w:val="1"/>
          <w:wAfter w:w="956" w:type="dxa"/>
          <w:trHeight w:val="360"/>
        </w:trPr>
        <w:tc>
          <w:tcPr>
            <w:tcW w:w="1686" w:type="dxa"/>
            <w:gridSpan w:val="2"/>
            <w:vMerge w:val="restart"/>
            <w:tcBorders>
              <w:top w:val="nil"/>
              <w:left w:val="single" w:sz="12" w:space="0" w:color="000000"/>
              <w:bottom w:val="single" w:sz="4" w:space="0" w:color="000000"/>
              <w:right w:val="nil"/>
            </w:tcBorders>
            <w:shd w:val="clear" w:color="auto" w:fill="FBE4D5"/>
          </w:tcPr>
          <w:p w14:paraId="608AE85F" w14:textId="7014479C"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RBF-</w:t>
            </w:r>
            <w:r w:rsidR="0068219A">
              <w:rPr>
                <w:rFonts w:ascii="Calibri" w:eastAsia="Times New Roman" w:hAnsi="Calibri" w:cs="Calibri"/>
                <w:i/>
                <w:iCs/>
                <w:color w:val="000000"/>
                <w:sz w:val="22"/>
                <w:szCs w:val="22"/>
                <w:lang w:eastAsia="en-GB"/>
              </w:rPr>
              <w:t>RINS3</w:t>
            </w:r>
          </w:p>
        </w:tc>
        <w:tc>
          <w:tcPr>
            <w:tcW w:w="3901" w:type="dxa"/>
            <w:gridSpan w:val="5"/>
            <w:tcBorders>
              <w:top w:val="nil"/>
              <w:left w:val="nil"/>
              <w:bottom w:val="single" w:sz="4" w:space="0" w:color="000000"/>
              <w:right w:val="single" w:sz="12" w:space="0" w:color="000000"/>
            </w:tcBorders>
            <w:shd w:val="clear" w:color="auto" w:fill="FFFFFF"/>
          </w:tcPr>
          <w:p w14:paraId="4C0163BF"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863" w:type="dxa"/>
            <w:gridSpan w:val="2"/>
            <w:tcBorders>
              <w:top w:val="nil"/>
              <w:left w:val="nil"/>
              <w:bottom w:val="single" w:sz="4" w:space="0" w:color="000000"/>
              <w:right w:val="single" w:sz="4" w:space="0" w:color="000000"/>
            </w:tcBorders>
            <w:shd w:val="clear" w:color="auto" w:fill="FFFFFF"/>
            <w:vAlign w:val="center"/>
          </w:tcPr>
          <w:p w14:paraId="6C5C6B0E"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265.05</w:t>
            </w:r>
          </w:p>
        </w:tc>
        <w:tc>
          <w:tcPr>
            <w:tcW w:w="852" w:type="dxa"/>
            <w:gridSpan w:val="2"/>
            <w:tcBorders>
              <w:top w:val="nil"/>
              <w:left w:val="nil"/>
              <w:bottom w:val="single" w:sz="4" w:space="0" w:color="000000"/>
              <w:right w:val="single" w:sz="4" w:space="0" w:color="000000"/>
            </w:tcBorders>
            <w:shd w:val="clear" w:color="auto" w:fill="FFFFFF"/>
            <w:vAlign w:val="center"/>
          </w:tcPr>
          <w:p w14:paraId="3083DBA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215.01</w:t>
            </w:r>
          </w:p>
        </w:tc>
        <w:tc>
          <w:tcPr>
            <w:tcW w:w="918" w:type="dxa"/>
            <w:gridSpan w:val="2"/>
            <w:tcBorders>
              <w:top w:val="nil"/>
              <w:left w:val="nil"/>
              <w:bottom w:val="single" w:sz="4" w:space="0" w:color="000000"/>
              <w:right w:val="single" w:sz="12" w:space="0" w:color="000000"/>
            </w:tcBorders>
            <w:shd w:val="clear" w:color="auto" w:fill="FFFFFF"/>
            <w:vAlign w:val="center"/>
          </w:tcPr>
          <w:p w14:paraId="4D8EF208"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204.14</w:t>
            </w:r>
          </w:p>
        </w:tc>
        <w:tc>
          <w:tcPr>
            <w:tcW w:w="852" w:type="dxa"/>
            <w:tcBorders>
              <w:top w:val="nil"/>
              <w:left w:val="nil"/>
              <w:bottom w:val="single" w:sz="4" w:space="0" w:color="000000"/>
              <w:right w:val="single" w:sz="12" w:space="0" w:color="000000"/>
            </w:tcBorders>
            <w:shd w:val="clear" w:color="auto" w:fill="FFFFFF"/>
            <w:vAlign w:val="center"/>
          </w:tcPr>
          <w:p w14:paraId="7FE7FE9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226.69</w:t>
            </w:r>
          </w:p>
        </w:tc>
      </w:tr>
      <w:tr w:rsidR="009968E0" w:rsidRPr="009968E0" w14:paraId="6030FF0E" w14:textId="77777777" w:rsidTr="009968E0">
        <w:tblPrEx>
          <w:shd w:val="clear" w:color="auto" w:fill="FFFFFF"/>
        </w:tblPrEx>
        <w:trPr>
          <w:gridAfter w:val="1"/>
          <w:wAfter w:w="956" w:type="dxa"/>
          <w:trHeight w:val="360"/>
        </w:trPr>
        <w:tc>
          <w:tcPr>
            <w:tcW w:w="1686" w:type="dxa"/>
            <w:gridSpan w:val="2"/>
            <w:vMerge/>
            <w:tcBorders>
              <w:top w:val="nil"/>
              <w:left w:val="single" w:sz="12" w:space="0" w:color="000000"/>
              <w:bottom w:val="single" w:sz="4" w:space="0" w:color="000000"/>
              <w:right w:val="nil"/>
            </w:tcBorders>
            <w:shd w:val="clear" w:color="auto" w:fill="FBE4D5"/>
          </w:tcPr>
          <w:p w14:paraId="1282BA70"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465" w:type="dxa"/>
            <w:gridSpan w:val="3"/>
            <w:vMerge w:val="restart"/>
            <w:tcBorders>
              <w:top w:val="nil"/>
              <w:left w:val="nil"/>
              <w:bottom w:val="single" w:sz="4" w:space="0" w:color="000000"/>
              <w:right w:val="nil"/>
            </w:tcBorders>
            <w:shd w:val="clear" w:color="auto" w:fill="FFFFFF"/>
          </w:tcPr>
          <w:p w14:paraId="3C370A7F"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w:t>
            </w:r>
          </w:p>
        </w:tc>
        <w:tc>
          <w:tcPr>
            <w:tcW w:w="1436" w:type="dxa"/>
            <w:gridSpan w:val="2"/>
            <w:tcBorders>
              <w:top w:val="nil"/>
              <w:left w:val="nil"/>
              <w:bottom w:val="nil"/>
              <w:right w:val="single" w:sz="12" w:space="0" w:color="000000"/>
            </w:tcBorders>
            <w:shd w:val="clear" w:color="auto" w:fill="FFFFFF"/>
          </w:tcPr>
          <w:p w14:paraId="269A7045"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863" w:type="dxa"/>
            <w:gridSpan w:val="2"/>
            <w:tcBorders>
              <w:top w:val="nil"/>
              <w:left w:val="nil"/>
              <w:bottom w:val="nil"/>
              <w:right w:val="single" w:sz="4" w:space="0" w:color="000000"/>
            </w:tcBorders>
            <w:shd w:val="clear" w:color="auto" w:fill="FFFFFF"/>
            <w:vAlign w:val="center"/>
          </w:tcPr>
          <w:p w14:paraId="0DD1E18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310.02</w:t>
            </w:r>
          </w:p>
        </w:tc>
        <w:tc>
          <w:tcPr>
            <w:tcW w:w="852" w:type="dxa"/>
            <w:gridSpan w:val="2"/>
            <w:tcBorders>
              <w:top w:val="nil"/>
              <w:left w:val="nil"/>
              <w:bottom w:val="nil"/>
              <w:right w:val="single" w:sz="4" w:space="0" w:color="000000"/>
            </w:tcBorders>
            <w:shd w:val="clear" w:color="auto" w:fill="FFFFFF"/>
            <w:vAlign w:val="center"/>
          </w:tcPr>
          <w:p w14:paraId="47C4F4E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254.56</w:t>
            </w:r>
          </w:p>
        </w:tc>
        <w:tc>
          <w:tcPr>
            <w:tcW w:w="918" w:type="dxa"/>
            <w:gridSpan w:val="2"/>
            <w:tcBorders>
              <w:top w:val="nil"/>
              <w:left w:val="nil"/>
              <w:bottom w:val="nil"/>
              <w:right w:val="single" w:sz="12" w:space="0" w:color="000000"/>
            </w:tcBorders>
            <w:shd w:val="clear" w:color="auto" w:fill="FFFFFF"/>
            <w:vAlign w:val="center"/>
          </w:tcPr>
          <w:p w14:paraId="69F4BA2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260.43</w:t>
            </w:r>
          </w:p>
        </w:tc>
        <w:tc>
          <w:tcPr>
            <w:tcW w:w="852" w:type="dxa"/>
            <w:tcBorders>
              <w:top w:val="nil"/>
              <w:left w:val="nil"/>
              <w:bottom w:val="nil"/>
              <w:right w:val="single" w:sz="12" w:space="0" w:color="000000"/>
            </w:tcBorders>
            <w:shd w:val="clear" w:color="auto" w:fill="FFFFFF"/>
            <w:vAlign w:val="center"/>
          </w:tcPr>
          <w:p w14:paraId="6C9661C0"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271.74</w:t>
            </w:r>
          </w:p>
        </w:tc>
      </w:tr>
      <w:tr w:rsidR="009968E0" w:rsidRPr="009968E0" w14:paraId="32607F51" w14:textId="77777777" w:rsidTr="009968E0">
        <w:tblPrEx>
          <w:shd w:val="clear" w:color="auto" w:fill="FFFFFF"/>
        </w:tblPrEx>
        <w:trPr>
          <w:gridAfter w:val="1"/>
          <w:wAfter w:w="956" w:type="dxa"/>
          <w:trHeight w:val="360"/>
        </w:trPr>
        <w:tc>
          <w:tcPr>
            <w:tcW w:w="1686" w:type="dxa"/>
            <w:gridSpan w:val="2"/>
            <w:vMerge/>
            <w:tcBorders>
              <w:top w:val="nil"/>
              <w:left w:val="single" w:sz="12" w:space="0" w:color="000000"/>
              <w:bottom w:val="single" w:sz="4" w:space="0" w:color="000000"/>
              <w:right w:val="nil"/>
            </w:tcBorders>
            <w:shd w:val="clear" w:color="auto" w:fill="FBE4D5"/>
          </w:tcPr>
          <w:p w14:paraId="52B5A31D"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465" w:type="dxa"/>
            <w:gridSpan w:val="3"/>
            <w:vMerge/>
            <w:tcBorders>
              <w:top w:val="nil"/>
              <w:left w:val="nil"/>
              <w:bottom w:val="single" w:sz="4" w:space="0" w:color="000000"/>
              <w:right w:val="nil"/>
            </w:tcBorders>
            <w:shd w:val="clear" w:color="auto" w:fill="FFFFFF"/>
          </w:tcPr>
          <w:p w14:paraId="1D3F6003"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436" w:type="dxa"/>
            <w:gridSpan w:val="2"/>
            <w:tcBorders>
              <w:top w:val="nil"/>
              <w:left w:val="nil"/>
              <w:bottom w:val="single" w:sz="4" w:space="0" w:color="000000"/>
              <w:right w:val="single" w:sz="12" w:space="0" w:color="000000"/>
            </w:tcBorders>
            <w:shd w:val="clear" w:color="auto" w:fill="FFFFFF"/>
          </w:tcPr>
          <w:p w14:paraId="235309B7"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863" w:type="dxa"/>
            <w:gridSpan w:val="2"/>
            <w:tcBorders>
              <w:top w:val="nil"/>
              <w:left w:val="nil"/>
              <w:bottom w:val="single" w:sz="4" w:space="0" w:color="000000"/>
              <w:right w:val="single" w:sz="4" w:space="0" w:color="000000"/>
            </w:tcBorders>
            <w:shd w:val="clear" w:color="auto" w:fill="FFFFFF"/>
            <w:vAlign w:val="center"/>
          </w:tcPr>
          <w:p w14:paraId="43A874E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220.08</w:t>
            </w:r>
          </w:p>
        </w:tc>
        <w:tc>
          <w:tcPr>
            <w:tcW w:w="852" w:type="dxa"/>
            <w:gridSpan w:val="2"/>
            <w:tcBorders>
              <w:top w:val="nil"/>
              <w:left w:val="nil"/>
              <w:bottom w:val="single" w:sz="4" w:space="0" w:color="000000"/>
              <w:right w:val="single" w:sz="4" w:space="0" w:color="000000"/>
            </w:tcBorders>
            <w:shd w:val="clear" w:color="auto" w:fill="FFFFFF"/>
            <w:vAlign w:val="center"/>
          </w:tcPr>
          <w:p w14:paraId="309A212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175.45</w:t>
            </w:r>
          </w:p>
        </w:tc>
        <w:tc>
          <w:tcPr>
            <w:tcW w:w="918" w:type="dxa"/>
            <w:gridSpan w:val="2"/>
            <w:tcBorders>
              <w:top w:val="nil"/>
              <w:left w:val="nil"/>
              <w:bottom w:val="single" w:sz="4" w:space="0" w:color="000000"/>
              <w:right w:val="single" w:sz="12" w:space="0" w:color="000000"/>
            </w:tcBorders>
            <w:shd w:val="clear" w:color="auto" w:fill="FFFFFF"/>
            <w:vAlign w:val="center"/>
          </w:tcPr>
          <w:p w14:paraId="23F5CCF3"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147.85</w:t>
            </w:r>
          </w:p>
        </w:tc>
        <w:tc>
          <w:tcPr>
            <w:tcW w:w="852" w:type="dxa"/>
            <w:tcBorders>
              <w:top w:val="nil"/>
              <w:left w:val="nil"/>
              <w:bottom w:val="single" w:sz="4" w:space="0" w:color="000000"/>
              <w:right w:val="single" w:sz="12" w:space="0" w:color="000000"/>
            </w:tcBorders>
            <w:shd w:val="clear" w:color="auto" w:fill="FFFFFF"/>
            <w:vAlign w:val="center"/>
          </w:tcPr>
          <w:p w14:paraId="27C45794"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181.64</w:t>
            </w:r>
          </w:p>
        </w:tc>
      </w:tr>
      <w:tr w:rsidR="009968E0" w:rsidRPr="009968E0" w14:paraId="30D8D512" w14:textId="77777777" w:rsidTr="009968E0">
        <w:tblPrEx>
          <w:shd w:val="clear" w:color="auto" w:fill="FFFFFF"/>
        </w:tblPrEx>
        <w:trPr>
          <w:gridAfter w:val="1"/>
          <w:wAfter w:w="956" w:type="dxa"/>
          <w:trHeight w:val="360"/>
        </w:trPr>
        <w:tc>
          <w:tcPr>
            <w:tcW w:w="9072" w:type="dxa"/>
            <w:gridSpan w:val="14"/>
            <w:tcBorders>
              <w:top w:val="nil"/>
              <w:left w:val="single" w:sz="12" w:space="0" w:color="000000"/>
              <w:bottom w:val="single" w:sz="4" w:space="0" w:color="000000"/>
              <w:right w:val="single" w:sz="12" w:space="0" w:color="000000"/>
            </w:tcBorders>
            <w:shd w:val="clear" w:color="auto" w:fill="FFFFFF"/>
            <w:vAlign w:val="center"/>
          </w:tcPr>
          <w:p w14:paraId="3B0102E5"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p=0.39</w:t>
            </w:r>
          </w:p>
        </w:tc>
      </w:tr>
      <w:tr w:rsidR="009968E0" w:rsidRPr="009968E0" w14:paraId="225D8E71" w14:textId="77777777" w:rsidTr="009968E0">
        <w:tblPrEx>
          <w:shd w:val="clear" w:color="auto" w:fill="FFFFFF"/>
        </w:tblPrEx>
        <w:trPr>
          <w:gridAfter w:val="1"/>
          <w:wAfter w:w="956" w:type="dxa"/>
          <w:trHeight w:val="360"/>
        </w:trPr>
        <w:tc>
          <w:tcPr>
            <w:tcW w:w="1686" w:type="dxa"/>
            <w:gridSpan w:val="2"/>
            <w:vMerge w:val="restart"/>
            <w:tcBorders>
              <w:top w:val="nil"/>
              <w:left w:val="single" w:sz="12" w:space="0" w:color="000000"/>
              <w:bottom w:val="single" w:sz="4" w:space="0" w:color="000000"/>
              <w:right w:val="nil"/>
            </w:tcBorders>
            <w:shd w:val="clear" w:color="auto" w:fill="FBE4D5"/>
          </w:tcPr>
          <w:p w14:paraId="0972F121" w14:textId="35F1B33E"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RBF-</w:t>
            </w:r>
            <w:r w:rsidR="0068219A">
              <w:rPr>
                <w:rFonts w:ascii="Calibri" w:eastAsia="Times New Roman" w:hAnsi="Calibri" w:cs="Calibri"/>
                <w:i/>
                <w:iCs/>
                <w:color w:val="000000"/>
                <w:sz w:val="22"/>
                <w:szCs w:val="22"/>
                <w:lang w:eastAsia="en-GB"/>
              </w:rPr>
              <w:t>ACC3</w:t>
            </w:r>
          </w:p>
        </w:tc>
        <w:tc>
          <w:tcPr>
            <w:tcW w:w="3901" w:type="dxa"/>
            <w:gridSpan w:val="5"/>
            <w:tcBorders>
              <w:top w:val="nil"/>
              <w:left w:val="nil"/>
              <w:bottom w:val="single" w:sz="4" w:space="0" w:color="000000"/>
              <w:right w:val="single" w:sz="12" w:space="0" w:color="000000"/>
            </w:tcBorders>
            <w:shd w:val="clear" w:color="auto" w:fill="FFFFFF"/>
          </w:tcPr>
          <w:p w14:paraId="19992D72"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863" w:type="dxa"/>
            <w:gridSpan w:val="2"/>
            <w:tcBorders>
              <w:top w:val="nil"/>
              <w:left w:val="nil"/>
              <w:bottom w:val="single" w:sz="4" w:space="0" w:color="000000"/>
              <w:right w:val="single" w:sz="4" w:space="0" w:color="000000"/>
            </w:tcBorders>
            <w:shd w:val="clear" w:color="auto" w:fill="FFFFFF"/>
            <w:vAlign w:val="center"/>
          </w:tcPr>
          <w:p w14:paraId="2471399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195.81</w:t>
            </w:r>
          </w:p>
        </w:tc>
        <w:tc>
          <w:tcPr>
            <w:tcW w:w="852" w:type="dxa"/>
            <w:gridSpan w:val="2"/>
            <w:tcBorders>
              <w:top w:val="nil"/>
              <w:left w:val="nil"/>
              <w:bottom w:val="single" w:sz="4" w:space="0" w:color="000000"/>
              <w:right w:val="single" w:sz="4" w:space="0" w:color="000000"/>
            </w:tcBorders>
            <w:shd w:val="clear" w:color="auto" w:fill="FFFFFF"/>
            <w:vAlign w:val="center"/>
          </w:tcPr>
          <w:p w14:paraId="26BA50A3"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184.80</w:t>
            </w:r>
          </w:p>
        </w:tc>
        <w:tc>
          <w:tcPr>
            <w:tcW w:w="918" w:type="dxa"/>
            <w:gridSpan w:val="2"/>
            <w:tcBorders>
              <w:top w:val="nil"/>
              <w:left w:val="nil"/>
              <w:bottom w:val="single" w:sz="4" w:space="0" w:color="000000"/>
              <w:right w:val="single" w:sz="12" w:space="0" w:color="000000"/>
            </w:tcBorders>
            <w:shd w:val="clear" w:color="auto" w:fill="FFFFFF"/>
            <w:vAlign w:val="center"/>
          </w:tcPr>
          <w:p w14:paraId="54B4325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152.93</w:t>
            </w:r>
          </w:p>
        </w:tc>
        <w:tc>
          <w:tcPr>
            <w:tcW w:w="852" w:type="dxa"/>
            <w:tcBorders>
              <w:top w:val="nil"/>
              <w:left w:val="nil"/>
              <w:bottom w:val="single" w:sz="4" w:space="0" w:color="000000"/>
              <w:right w:val="single" w:sz="12" w:space="0" w:color="000000"/>
            </w:tcBorders>
            <w:shd w:val="clear" w:color="auto" w:fill="FFFFFF"/>
          </w:tcPr>
          <w:p w14:paraId="1FFC052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161.58</w:t>
            </w:r>
          </w:p>
        </w:tc>
      </w:tr>
      <w:tr w:rsidR="009968E0" w:rsidRPr="009968E0" w14:paraId="3BB0EF38" w14:textId="77777777" w:rsidTr="009968E0">
        <w:tblPrEx>
          <w:shd w:val="clear" w:color="auto" w:fill="FFFFFF"/>
        </w:tblPrEx>
        <w:trPr>
          <w:gridAfter w:val="1"/>
          <w:wAfter w:w="956" w:type="dxa"/>
          <w:trHeight w:val="360"/>
        </w:trPr>
        <w:tc>
          <w:tcPr>
            <w:tcW w:w="1686" w:type="dxa"/>
            <w:gridSpan w:val="2"/>
            <w:vMerge/>
            <w:tcBorders>
              <w:top w:val="nil"/>
              <w:left w:val="single" w:sz="12" w:space="0" w:color="000000"/>
              <w:bottom w:val="single" w:sz="4" w:space="0" w:color="000000"/>
              <w:right w:val="nil"/>
            </w:tcBorders>
            <w:shd w:val="clear" w:color="auto" w:fill="FBE4D5"/>
          </w:tcPr>
          <w:p w14:paraId="7A2E5B84"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465" w:type="dxa"/>
            <w:gridSpan w:val="3"/>
            <w:vMerge w:val="restart"/>
            <w:tcBorders>
              <w:top w:val="nil"/>
              <w:left w:val="nil"/>
              <w:bottom w:val="single" w:sz="4" w:space="0" w:color="000000"/>
              <w:right w:val="nil"/>
            </w:tcBorders>
            <w:shd w:val="clear" w:color="auto" w:fill="FFFFFF"/>
          </w:tcPr>
          <w:p w14:paraId="5F79C851"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w:t>
            </w:r>
          </w:p>
        </w:tc>
        <w:tc>
          <w:tcPr>
            <w:tcW w:w="1436" w:type="dxa"/>
            <w:gridSpan w:val="2"/>
            <w:tcBorders>
              <w:top w:val="nil"/>
              <w:left w:val="nil"/>
              <w:bottom w:val="nil"/>
              <w:right w:val="single" w:sz="12" w:space="0" w:color="000000"/>
            </w:tcBorders>
            <w:shd w:val="clear" w:color="auto" w:fill="FFFFFF"/>
          </w:tcPr>
          <w:p w14:paraId="5E06C4E2"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863" w:type="dxa"/>
            <w:gridSpan w:val="2"/>
            <w:tcBorders>
              <w:top w:val="nil"/>
              <w:left w:val="nil"/>
              <w:bottom w:val="nil"/>
              <w:right w:val="single" w:sz="4" w:space="0" w:color="000000"/>
            </w:tcBorders>
            <w:shd w:val="clear" w:color="auto" w:fill="FFFFFF"/>
            <w:vAlign w:val="center"/>
          </w:tcPr>
          <w:p w14:paraId="44BBFCC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232.97</w:t>
            </w:r>
          </w:p>
        </w:tc>
        <w:tc>
          <w:tcPr>
            <w:tcW w:w="852" w:type="dxa"/>
            <w:gridSpan w:val="2"/>
            <w:tcBorders>
              <w:top w:val="nil"/>
              <w:left w:val="nil"/>
              <w:bottom w:val="nil"/>
              <w:right w:val="single" w:sz="4" w:space="0" w:color="000000"/>
            </w:tcBorders>
            <w:shd w:val="clear" w:color="auto" w:fill="FFFFFF"/>
            <w:vAlign w:val="center"/>
          </w:tcPr>
          <w:p w14:paraId="7ADE111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217.49</w:t>
            </w:r>
          </w:p>
        </w:tc>
        <w:tc>
          <w:tcPr>
            <w:tcW w:w="918" w:type="dxa"/>
            <w:gridSpan w:val="2"/>
            <w:tcBorders>
              <w:top w:val="nil"/>
              <w:left w:val="nil"/>
              <w:bottom w:val="nil"/>
              <w:right w:val="single" w:sz="12" w:space="0" w:color="000000"/>
            </w:tcBorders>
            <w:shd w:val="clear" w:color="auto" w:fill="FFFFFF"/>
            <w:vAlign w:val="center"/>
          </w:tcPr>
          <w:p w14:paraId="3443CB7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199.44</w:t>
            </w:r>
          </w:p>
        </w:tc>
        <w:tc>
          <w:tcPr>
            <w:tcW w:w="852" w:type="dxa"/>
            <w:tcBorders>
              <w:top w:val="nil"/>
              <w:left w:val="nil"/>
              <w:bottom w:val="nil"/>
              <w:right w:val="single" w:sz="12" w:space="0" w:color="000000"/>
            </w:tcBorders>
            <w:shd w:val="clear" w:color="auto" w:fill="FFFFFF"/>
            <w:vAlign w:val="center"/>
          </w:tcPr>
          <w:p w14:paraId="27E29D15"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198.81</w:t>
            </w:r>
          </w:p>
        </w:tc>
      </w:tr>
      <w:tr w:rsidR="009968E0" w:rsidRPr="009968E0" w14:paraId="3EF3D606" w14:textId="77777777" w:rsidTr="009968E0">
        <w:tblPrEx>
          <w:shd w:val="clear" w:color="auto" w:fill="FFFFFF"/>
        </w:tblPrEx>
        <w:trPr>
          <w:gridAfter w:val="1"/>
          <w:wAfter w:w="956" w:type="dxa"/>
          <w:trHeight w:val="360"/>
        </w:trPr>
        <w:tc>
          <w:tcPr>
            <w:tcW w:w="1686" w:type="dxa"/>
            <w:gridSpan w:val="2"/>
            <w:vMerge/>
            <w:tcBorders>
              <w:top w:val="nil"/>
              <w:left w:val="single" w:sz="12" w:space="0" w:color="000000"/>
              <w:bottom w:val="single" w:sz="4" w:space="0" w:color="000000"/>
              <w:right w:val="nil"/>
            </w:tcBorders>
            <w:shd w:val="clear" w:color="auto" w:fill="FBE4D5"/>
          </w:tcPr>
          <w:p w14:paraId="0DD600DA"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465" w:type="dxa"/>
            <w:gridSpan w:val="3"/>
            <w:vMerge/>
            <w:tcBorders>
              <w:top w:val="nil"/>
              <w:left w:val="nil"/>
              <w:bottom w:val="single" w:sz="4" w:space="0" w:color="000000"/>
              <w:right w:val="nil"/>
            </w:tcBorders>
            <w:shd w:val="clear" w:color="auto" w:fill="FFFFFF"/>
          </w:tcPr>
          <w:p w14:paraId="65EB65F0"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436" w:type="dxa"/>
            <w:gridSpan w:val="2"/>
            <w:tcBorders>
              <w:top w:val="nil"/>
              <w:left w:val="nil"/>
              <w:bottom w:val="single" w:sz="4" w:space="0" w:color="000000"/>
              <w:right w:val="single" w:sz="12" w:space="0" w:color="000000"/>
            </w:tcBorders>
            <w:shd w:val="clear" w:color="auto" w:fill="FFFFFF"/>
          </w:tcPr>
          <w:p w14:paraId="12B2919D"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863" w:type="dxa"/>
            <w:gridSpan w:val="2"/>
            <w:tcBorders>
              <w:top w:val="nil"/>
              <w:left w:val="nil"/>
              <w:bottom w:val="single" w:sz="4" w:space="0" w:color="000000"/>
              <w:right w:val="single" w:sz="4" w:space="0" w:color="000000"/>
            </w:tcBorders>
            <w:shd w:val="clear" w:color="auto" w:fill="FFFFFF"/>
            <w:vAlign w:val="center"/>
          </w:tcPr>
          <w:p w14:paraId="6788FD50"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158.65</w:t>
            </w:r>
          </w:p>
        </w:tc>
        <w:tc>
          <w:tcPr>
            <w:tcW w:w="852" w:type="dxa"/>
            <w:gridSpan w:val="2"/>
            <w:tcBorders>
              <w:top w:val="nil"/>
              <w:left w:val="nil"/>
              <w:bottom w:val="single" w:sz="4" w:space="0" w:color="000000"/>
              <w:right w:val="single" w:sz="4" w:space="0" w:color="000000"/>
            </w:tcBorders>
            <w:shd w:val="clear" w:color="auto" w:fill="FFFFFF"/>
            <w:vAlign w:val="center"/>
          </w:tcPr>
          <w:p w14:paraId="0D6AD8A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152.12</w:t>
            </w:r>
          </w:p>
        </w:tc>
        <w:tc>
          <w:tcPr>
            <w:tcW w:w="918" w:type="dxa"/>
            <w:gridSpan w:val="2"/>
            <w:tcBorders>
              <w:top w:val="nil"/>
              <w:left w:val="nil"/>
              <w:bottom w:val="single" w:sz="4" w:space="0" w:color="000000"/>
              <w:right w:val="single" w:sz="12" w:space="0" w:color="000000"/>
            </w:tcBorders>
            <w:shd w:val="clear" w:color="auto" w:fill="FFFFFF"/>
            <w:vAlign w:val="center"/>
          </w:tcPr>
          <w:p w14:paraId="570567E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106.41</w:t>
            </w:r>
          </w:p>
        </w:tc>
        <w:tc>
          <w:tcPr>
            <w:tcW w:w="852" w:type="dxa"/>
            <w:tcBorders>
              <w:top w:val="nil"/>
              <w:left w:val="nil"/>
              <w:bottom w:val="single" w:sz="4" w:space="0" w:color="000000"/>
              <w:right w:val="single" w:sz="12" w:space="0" w:color="000000"/>
            </w:tcBorders>
            <w:shd w:val="clear" w:color="auto" w:fill="FFFFFF"/>
            <w:vAlign w:val="center"/>
          </w:tcPr>
          <w:p w14:paraId="0570442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124.35</w:t>
            </w:r>
          </w:p>
        </w:tc>
      </w:tr>
      <w:tr w:rsidR="009968E0" w:rsidRPr="009968E0" w14:paraId="17F180FD" w14:textId="77777777" w:rsidTr="009968E0">
        <w:tblPrEx>
          <w:shd w:val="clear" w:color="auto" w:fill="FFFFFF"/>
        </w:tblPrEx>
        <w:trPr>
          <w:gridAfter w:val="1"/>
          <w:wAfter w:w="956" w:type="dxa"/>
          <w:trHeight w:val="360"/>
        </w:trPr>
        <w:tc>
          <w:tcPr>
            <w:tcW w:w="9072" w:type="dxa"/>
            <w:gridSpan w:val="14"/>
            <w:tcBorders>
              <w:top w:val="nil"/>
              <w:left w:val="single" w:sz="12" w:space="0" w:color="000000"/>
              <w:bottom w:val="single" w:sz="4" w:space="0" w:color="000000"/>
              <w:right w:val="single" w:sz="12" w:space="0" w:color="000000"/>
            </w:tcBorders>
            <w:shd w:val="clear" w:color="auto" w:fill="FFFFFF"/>
            <w:vAlign w:val="center"/>
          </w:tcPr>
          <w:p w14:paraId="2B668B0F"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p=0.56</w:t>
            </w:r>
          </w:p>
        </w:tc>
      </w:tr>
      <w:tr w:rsidR="009968E0" w:rsidRPr="009968E0" w14:paraId="2DB84E43" w14:textId="77777777" w:rsidTr="009968E0">
        <w:tblPrEx>
          <w:shd w:val="clear" w:color="auto" w:fill="FFFFFF"/>
        </w:tblPrEx>
        <w:trPr>
          <w:gridAfter w:val="1"/>
          <w:wAfter w:w="956" w:type="dxa"/>
          <w:trHeight w:val="360"/>
        </w:trPr>
        <w:tc>
          <w:tcPr>
            <w:tcW w:w="1686" w:type="dxa"/>
            <w:gridSpan w:val="2"/>
            <w:vMerge w:val="restart"/>
            <w:tcBorders>
              <w:top w:val="nil"/>
              <w:left w:val="single" w:sz="12" w:space="0" w:color="000000"/>
              <w:bottom w:val="single" w:sz="4" w:space="0" w:color="000000"/>
              <w:right w:val="nil"/>
            </w:tcBorders>
            <w:shd w:val="clear" w:color="auto" w:fill="FBE4D5"/>
          </w:tcPr>
          <w:p w14:paraId="26EE28C7" w14:textId="3D2E59F6"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RBF-</w:t>
            </w:r>
            <w:r w:rsidR="0068219A">
              <w:rPr>
                <w:rFonts w:ascii="Calibri" w:eastAsia="Times New Roman" w:hAnsi="Calibri" w:cs="Calibri"/>
                <w:i/>
                <w:iCs/>
                <w:color w:val="000000"/>
                <w:sz w:val="22"/>
                <w:szCs w:val="22"/>
                <w:lang w:eastAsia="en-GB"/>
              </w:rPr>
              <w:t>POWM3</w:t>
            </w:r>
          </w:p>
        </w:tc>
        <w:tc>
          <w:tcPr>
            <w:tcW w:w="3901" w:type="dxa"/>
            <w:gridSpan w:val="5"/>
            <w:tcBorders>
              <w:top w:val="nil"/>
              <w:left w:val="nil"/>
              <w:bottom w:val="single" w:sz="4" w:space="0" w:color="000000"/>
              <w:right w:val="single" w:sz="12" w:space="0" w:color="000000"/>
            </w:tcBorders>
            <w:shd w:val="clear" w:color="auto" w:fill="FFFFFF"/>
          </w:tcPr>
          <w:p w14:paraId="199F1CFB"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863" w:type="dxa"/>
            <w:gridSpan w:val="2"/>
            <w:tcBorders>
              <w:top w:val="nil"/>
              <w:left w:val="nil"/>
              <w:bottom w:val="single" w:sz="4" w:space="0" w:color="000000"/>
              <w:right w:val="single" w:sz="4" w:space="0" w:color="000000"/>
            </w:tcBorders>
            <w:shd w:val="clear" w:color="auto" w:fill="FFFFFF"/>
            <w:vAlign w:val="center"/>
          </w:tcPr>
          <w:p w14:paraId="082795F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46.12</w:t>
            </w:r>
          </w:p>
        </w:tc>
        <w:tc>
          <w:tcPr>
            <w:tcW w:w="852" w:type="dxa"/>
            <w:gridSpan w:val="2"/>
            <w:tcBorders>
              <w:top w:val="nil"/>
              <w:left w:val="nil"/>
              <w:bottom w:val="single" w:sz="4" w:space="0" w:color="000000"/>
              <w:right w:val="single" w:sz="4" w:space="0" w:color="000000"/>
            </w:tcBorders>
            <w:shd w:val="clear" w:color="auto" w:fill="FFFFFF"/>
            <w:vAlign w:val="center"/>
          </w:tcPr>
          <w:p w14:paraId="71B1C55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45.32</w:t>
            </w:r>
          </w:p>
        </w:tc>
        <w:tc>
          <w:tcPr>
            <w:tcW w:w="918" w:type="dxa"/>
            <w:gridSpan w:val="2"/>
            <w:tcBorders>
              <w:top w:val="nil"/>
              <w:left w:val="nil"/>
              <w:bottom w:val="single" w:sz="4" w:space="0" w:color="000000"/>
              <w:right w:val="single" w:sz="12" w:space="0" w:color="000000"/>
            </w:tcBorders>
            <w:shd w:val="clear" w:color="auto" w:fill="FFFFFF"/>
            <w:vAlign w:val="center"/>
          </w:tcPr>
          <w:p w14:paraId="4BED019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36.45</w:t>
            </w:r>
          </w:p>
        </w:tc>
        <w:tc>
          <w:tcPr>
            <w:tcW w:w="852" w:type="dxa"/>
            <w:tcBorders>
              <w:top w:val="nil"/>
              <w:left w:val="nil"/>
              <w:bottom w:val="single" w:sz="4" w:space="0" w:color="000000"/>
              <w:right w:val="single" w:sz="12" w:space="0" w:color="000000"/>
            </w:tcBorders>
            <w:shd w:val="clear" w:color="auto" w:fill="FFFFFF"/>
          </w:tcPr>
          <w:p w14:paraId="5E63978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43.29</w:t>
            </w:r>
          </w:p>
        </w:tc>
      </w:tr>
      <w:tr w:rsidR="009968E0" w:rsidRPr="009968E0" w14:paraId="2F3206AA" w14:textId="77777777" w:rsidTr="009968E0">
        <w:tblPrEx>
          <w:shd w:val="clear" w:color="auto" w:fill="FFFFFF"/>
        </w:tblPrEx>
        <w:trPr>
          <w:gridAfter w:val="1"/>
          <w:wAfter w:w="956" w:type="dxa"/>
          <w:trHeight w:val="360"/>
        </w:trPr>
        <w:tc>
          <w:tcPr>
            <w:tcW w:w="1686" w:type="dxa"/>
            <w:gridSpan w:val="2"/>
            <w:vMerge/>
            <w:tcBorders>
              <w:top w:val="nil"/>
              <w:left w:val="single" w:sz="12" w:space="0" w:color="000000"/>
              <w:bottom w:val="single" w:sz="4" w:space="0" w:color="000000"/>
              <w:right w:val="nil"/>
            </w:tcBorders>
            <w:shd w:val="clear" w:color="auto" w:fill="FBE4D5"/>
          </w:tcPr>
          <w:p w14:paraId="129F39BB"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465" w:type="dxa"/>
            <w:gridSpan w:val="3"/>
            <w:vMerge w:val="restart"/>
            <w:tcBorders>
              <w:top w:val="nil"/>
              <w:left w:val="nil"/>
              <w:bottom w:val="single" w:sz="4" w:space="0" w:color="000000"/>
              <w:right w:val="nil"/>
            </w:tcBorders>
            <w:shd w:val="clear" w:color="auto" w:fill="FFFFFF"/>
          </w:tcPr>
          <w:p w14:paraId="0176892A"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w:t>
            </w:r>
          </w:p>
        </w:tc>
        <w:tc>
          <w:tcPr>
            <w:tcW w:w="1436" w:type="dxa"/>
            <w:gridSpan w:val="2"/>
            <w:tcBorders>
              <w:top w:val="nil"/>
              <w:left w:val="nil"/>
              <w:bottom w:val="nil"/>
              <w:right w:val="single" w:sz="12" w:space="0" w:color="000000"/>
            </w:tcBorders>
            <w:shd w:val="clear" w:color="auto" w:fill="FFFFFF"/>
          </w:tcPr>
          <w:p w14:paraId="3B78B5A6"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863" w:type="dxa"/>
            <w:gridSpan w:val="2"/>
            <w:tcBorders>
              <w:top w:val="nil"/>
              <w:left w:val="nil"/>
              <w:bottom w:val="nil"/>
              <w:right w:val="single" w:sz="4" w:space="0" w:color="000000"/>
            </w:tcBorders>
            <w:shd w:val="clear" w:color="auto" w:fill="FFFFFF"/>
            <w:vAlign w:val="center"/>
          </w:tcPr>
          <w:p w14:paraId="20DD6D4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53.90</w:t>
            </w:r>
          </w:p>
        </w:tc>
        <w:tc>
          <w:tcPr>
            <w:tcW w:w="852" w:type="dxa"/>
            <w:gridSpan w:val="2"/>
            <w:tcBorders>
              <w:top w:val="nil"/>
              <w:left w:val="nil"/>
              <w:bottom w:val="nil"/>
              <w:right w:val="single" w:sz="4" w:space="0" w:color="000000"/>
            </w:tcBorders>
            <w:shd w:val="clear" w:color="auto" w:fill="FFFFFF"/>
            <w:vAlign w:val="center"/>
          </w:tcPr>
          <w:p w14:paraId="69B64F80"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52.16</w:t>
            </w:r>
          </w:p>
        </w:tc>
        <w:tc>
          <w:tcPr>
            <w:tcW w:w="918" w:type="dxa"/>
            <w:gridSpan w:val="2"/>
            <w:tcBorders>
              <w:top w:val="nil"/>
              <w:left w:val="nil"/>
              <w:bottom w:val="nil"/>
              <w:right w:val="single" w:sz="12" w:space="0" w:color="000000"/>
            </w:tcBorders>
            <w:shd w:val="clear" w:color="auto" w:fill="FFFFFF"/>
            <w:vAlign w:val="center"/>
          </w:tcPr>
          <w:p w14:paraId="1214D45E"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46.19</w:t>
            </w:r>
          </w:p>
        </w:tc>
        <w:tc>
          <w:tcPr>
            <w:tcW w:w="852" w:type="dxa"/>
            <w:tcBorders>
              <w:top w:val="nil"/>
              <w:left w:val="nil"/>
              <w:bottom w:val="nil"/>
              <w:right w:val="single" w:sz="12" w:space="0" w:color="000000"/>
            </w:tcBorders>
            <w:shd w:val="clear" w:color="auto" w:fill="FFFFFF"/>
            <w:vAlign w:val="center"/>
          </w:tcPr>
          <w:p w14:paraId="4423DF15"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51.08</w:t>
            </w:r>
          </w:p>
        </w:tc>
      </w:tr>
      <w:tr w:rsidR="009968E0" w:rsidRPr="009968E0" w14:paraId="069DD693" w14:textId="77777777" w:rsidTr="009968E0">
        <w:tblPrEx>
          <w:shd w:val="clear" w:color="auto" w:fill="FFFFFF"/>
        </w:tblPrEx>
        <w:trPr>
          <w:gridAfter w:val="1"/>
          <w:wAfter w:w="956" w:type="dxa"/>
          <w:trHeight w:val="360"/>
        </w:trPr>
        <w:tc>
          <w:tcPr>
            <w:tcW w:w="1686" w:type="dxa"/>
            <w:gridSpan w:val="2"/>
            <w:vMerge/>
            <w:tcBorders>
              <w:top w:val="nil"/>
              <w:left w:val="single" w:sz="12" w:space="0" w:color="000000"/>
              <w:bottom w:val="single" w:sz="4" w:space="0" w:color="000000"/>
              <w:right w:val="nil"/>
            </w:tcBorders>
            <w:shd w:val="clear" w:color="auto" w:fill="FBE4D5"/>
          </w:tcPr>
          <w:p w14:paraId="2D368006"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465" w:type="dxa"/>
            <w:gridSpan w:val="3"/>
            <w:vMerge/>
            <w:tcBorders>
              <w:top w:val="nil"/>
              <w:left w:val="nil"/>
              <w:bottom w:val="single" w:sz="4" w:space="0" w:color="000000"/>
              <w:right w:val="nil"/>
            </w:tcBorders>
            <w:shd w:val="clear" w:color="auto" w:fill="FFFFFF"/>
          </w:tcPr>
          <w:p w14:paraId="1EDA3EF9"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436" w:type="dxa"/>
            <w:gridSpan w:val="2"/>
            <w:tcBorders>
              <w:top w:val="nil"/>
              <w:left w:val="nil"/>
              <w:bottom w:val="single" w:sz="4" w:space="0" w:color="000000"/>
              <w:right w:val="single" w:sz="12" w:space="0" w:color="000000"/>
            </w:tcBorders>
            <w:shd w:val="clear" w:color="auto" w:fill="FFFFFF"/>
          </w:tcPr>
          <w:p w14:paraId="35AE934D"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863" w:type="dxa"/>
            <w:gridSpan w:val="2"/>
            <w:tcBorders>
              <w:top w:val="nil"/>
              <w:left w:val="nil"/>
              <w:bottom w:val="single" w:sz="4" w:space="0" w:color="000000"/>
              <w:right w:val="single" w:sz="4" w:space="0" w:color="000000"/>
            </w:tcBorders>
            <w:shd w:val="clear" w:color="auto" w:fill="FFFFFF"/>
            <w:vAlign w:val="center"/>
          </w:tcPr>
          <w:p w14:paraId="0555B75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38.34</w:t>
            </w:r>
          </w:p>
        </w:tc>
        <w:tc>
          <w:tcPr>
            <w:tcW w:w="852" w:type="dxa"/>
            <w:gridSpan w:val="2"/>
            <w:tcBorders>
              <w:top w:val="nil"/>
              <w:left w:val="nil"/>
              <w:bottom w:val="single" w:sz="4" w:space="0" w:color="000000"/>
              <w:right w:val="single" w:sz="4" w:space="0" w:color="000000"/>
            </w:tcBorders>
            <w:shd w:val="clear" w:color="auto" w:fill="FFFFFF"/>
            <w:vAlign w:val="center"/>
          </w:tcPr>
          <w:p w14:paraId="446700D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38.47</w:t>
            </w:r>
          </w:p>
        </w:tc>
        <w:tc>
          <w:tcPr>
            <w:tcW w:w="918" w:type="dxa"/>
            <w:gridSpan w:val="2"/>
            <w:tcBorders>
              <w:top w:val="nil"/>
              <w:left w:val="nil"/>
              <w:bottom w:val="single" w:sz="4" w:space="0" w:color="000000"/>
              <w:right w:val="single" w:sz="12" w:space="0" w:color="000000"/>
            </w:tcBorders>
            <w:shd w:val="clear" w:color="auto" w:fill="FFFFFF"/>
            <w:vAlign w:val="center"/>
          </w:tcPr>
          <w:p w14:paraId="3E98CE9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26.71</w:t>
            </w:r>
          </w:p>
        </w:tc>
        <w:tc>
          <w:tcPr>
            <w:tcW w:w="852" w:type="dxa"/>
            <w:tcBorders>
              <w:top w:val="nil"/>
              <w:left w:val="nil"/>
              <w:bottom w:val="single" w:sz="4" w:space="0" w:color="000000"/>
              <w:right w:val="single" w:sz="12" w:space="0" w:color="000000"/>
            </w:tcBorders>
            <w:shd w:val="clear" w:color="auto" w:fill="FFFFFF"/>
            <w:vAlign w:val="center"/>
          </w:tcPr>
          <w:p w14:paraId="073B3CF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35.50</w:t>
            </w:r>
          </w:p>
        </w:tc>
      </w:tr>
      <w:tr w:rsidR="009968E0" w:rsidRPr="009968E0" w14:paraId="02F9AE67" w14:textId="77777777" w:rsidTr="009968E0">
        <w:tblPrEx>
          <w:shd w:val="clear" w:color="auto" w:fill="FFFFFF"/>
        </w:tblPrEx>
        <w:trPr>
          <w:gridAfter w:val="1"/>
          <w:wAfter w:w="956" w:type="dxa"/>
          <w:trHeight w:val="360"/>
        </w:trPr>
        <w:tc>
          <w:tcPr>
            <w:tcW w:w="9072" w:type="dxa"/>
            <w:gridSpan w:val="14"/>
            <w:tcBorders>
              <w:top w:val="nil"/>
              <w:left w:val="single" w:sz="12" w:space="0" w:color="000000"/>
              <w:bottom w:val="single" w:sz="4" w:space="0" w:color="000000"/>
              <w:right w:val="single" w:sz="12" w:space="0" w:color="000000"/>
            </w:tcBorders>
            <w:shd w:val="clear" w:color="auto" w:fill="FFFFFF"/>
            <w:vAlign w:val="center"/>
          </w:tcPr>
          <w:p w14:paraId="703D83E4"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p=0.65</w:t>
            </w:r>
          </w:p>
        </w:tc>
      </w:tr>
      <w:tr w:rsidR="009968E0" w:rsidRPr="009968E0" w14:paraId="13399CA6" w14:textId="77777777" w:rsidTr="009968E0">
        <w:tblPrEx>
          <w:shd w:val="clear" w:color="auto" w:fill="FFFFFF"/>
        </w:tblPrEx>
        <w:trPr>
          <w:gridAfter w:val="1"/>
          <w:wAfter w:w="956" w:type="dxa"/>
          <w:trHeight w:val="360"/>
        </w:trPr>
        <w:tc>
          <w:tcPr>
            <w:tcW w:w="1686" w:type="dxa"/>
            <w:gridSpan w:val="2"/>
            <w:vMerge w:val="restart"/>
            <w:tcBorders>
              <w:top w:val="nil"/>
              <w:left w:val="single" w:sz="12" w:space="0" w:color="000000"/>
              <w:bottom w:val="single" w:sz="4" w:space="0" w:color="000000"/>
              <w:right w:val="nil"/>
            </w:tcBorders>
            <w:shd w:val="clear" w:color="auto" w:fill="FBE4D5"/>
          </w:tcPr>
          <w:p w14:paraId="3FA46089"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RBF-LPSC3</w:t>
            </w:r>
          </w:p>
        </w:tc>
        <w:tc>
          <w:tcPr>
            <w:tcW w:w="3901" w:type="dxa"/>
            <w:gridSpan w:val="5"/>
            <w:tcBorders>
              <w:top w:val="nil"/>
              <w:left w:val="nil"/>
              <w:bottom w:val="single" w:sz="4" w:space="0" w:color="000000"/>
              <w:right w:val="single" w:sz="12" w:space="0" w:color="000000"/>
            </w:tcBorders>
            <w:shd w:val="clear" w:color="auto" w:fill="FFFFFF"/>
          </w:tcPr>
          <w:p w14:paraId="20184DAD"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863" w:type="dxa"/>
            <w:gridSpan w:val="2"/>
            <w:tcBorders>
              <w:top w:val="nil"/>
              <w:left w:val="nil"/>
              <w:bottom w:val="single" w:sz="4" w:space="0" w:color="000000"/>
              <w:right w:val="single" w:sz="4" w:space="0" w:color="000000"/>
            </w:tcBorders>
            <w:shd w:val="clear" w:color="auto" w:fill="FFFFFF"/>
            <w:vAlign w:val="center"/>
          </w:tcPr>
          <w:p w14:paraId="5F68B18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112.99</w:t>
            </w:r>
          </w:p>
        </w:tc>
        <w:tc>
          <w:tcPr>
            <w:tcW w:w="852" w:type="dxa"/>
            <w:gridSpan w:val="2"/>
            <w:tcBorders>
              <w:top w:val="nil"/>
              <w:left w:val="nil"/>
              <w:bottom w:val="single" w:sz="4" w:space="0" w:color="000000"/>
              <w:right w:val="single" w:sz="4" w:space="0" w:color="000000"/>
            </w:tcBorders>
            <w:shd w:val="clear" w:color="auto" w:fill="FFFFFF"/>
            <w:vAlign w:val="center"/>
          </w:tcPr>
          <w:p w14:paraId="4E6F4D0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97.36</w:t>
            </w:r>
          </w:p>
        </w:tc>
        <w:tc>
          <w:tcPr>
            <w:tcW w:w="918" w:type="dxa"/>
            <w:gridSpan w:val="2"/>
            <w:tcBorders>
              <w:top w:val="nil"/>
              <w:left w:val="nil"/>
              <w:bottom w:val="single" w:sz="4" w:space="0" w:color="000000"/>
              <w:right w:val="single" w:sz="12" w:space="0" w:color="000000"/>
            </w:tcBorders>
            <w:shd w:val="clear" w:color="auto" w:fill="FFFFFF"/>
            <w:vAlign w:val="center"/>
          </w:tcPr>
          <w:p w14:paraId="1EEBD0B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86.92</w:t>
            </w:r>
          </w:p>
        </w:tc>
        <w:tc>
          <w:tcPr>
            <w:tcW w:w="852" w:type="dxa"/>
            <w:tcBorders>
              <w:top w:val="nil"/>
              <w:left w:val="nil"/>
              <w:bottom w:val="single" w:sz="4" w:space="0" w:color="000000"/>
              <w:right w:val="single" w:sz="12" w:space="0" w:color="000000"/>
            </w:tcBorders>
            <w:shd w:val="clear" w:color="auto" w:fill="FFFFFF"/>
          </w:tcPr>
          <w:p w14:paraId="57B343B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96.69</w:t>
            </w:r>
          </w:p>
        </w:tc>
      </w:tr>
      <w:tr w:rsidR="009968E0" w:rsidRPr="009968E0" w14:paraId="6641D0D0" w14:textId="77777777" w:rsidTr="009968E0">
        <w:tblPrEx>
          <w:shd w:val="clear" w:color="auto" w:fill="FFFFFF"/>
        </w:tblPrEx>
        <w:trPr>
          <w:gridAfter w:val="1"/>
          <w:wAfter w:w="956" w:type="dxa"/>
          <w:trHeight w:val="360"/>
        </w:trPr>
        <w:tc>
          <w:tcPr>
            <w:tcW w:w="1686" w:type="dxa"/>
            <w:gridSpan w:val="2"/>
            <w:vMerge/>
            <w:tcBorders>
              <w:top w:val="nil"/>
              <w:left w:val="single" w:sz="12" w:space="0" w:color="000000"/>
              <w:bottom w:val="single" w:sz="4" w:space="0" w:color="000000"/>
              <w:right w:val="nil"/>
            </w:tcBorders>
            <w:shd w:val="clear" w:color="auto" w:fill="FBE4D5"/>
          </w:tcPr>
          <w:p w14:paraId="243B45A0"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465" w:type="dxa"/>
            <w:gridSpan w:val="3"/>
            <w:vMerge w:val="restart"/>
            <w:tcBorders>
              <w:top w:val="nil"/>
              <w:left w:val="nil"/>
              <w:bottom w:val="single" w:sz="4" w:space="0" w:color="000000"/>
              <w:right w:val="nil"/>
            </w:tcBorders>
            <w:shd w:val="clear" w:color="auto" w:fill="FFFFFF"/>
          </w:tcPr>
          <w:p w14:paraId="10EAE33E"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w:t>
            </w:r>
          </w:p>
        </w:tc>
        <w:tc>
          <w:tcPr>
            <w:tcW w:w="1436" w:type="dxa"/>
            <w:gridSpan w:val="2"/>
            <w:tcBorders>
              <w:top w:val="nil"/>
              <w:left w:val="nil"/>
              <w:bottom w:val="nil"/>
              <w:right w:val="single" w:sz="12" w:space="0" w:color="000000"/>
            </w:tcBorders>
            <w:shd w:val="clear" w:color="auto" w:fill="FFFFFF"/>
          </w:tcPr>
          <w:p w14:paraId="1E1C8C61"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863" w:type="dxa"/>
            <w:gridSpan w:val="2"/>
            <w:tcBorders>
              <w:top w:val="nil"/>
              <w:left w:val="nil"/>
              <w:bottom w:val="nil"/>
              <w:right w:val="single" w:sz="4" w:space="0" w:color="000000"/>
            </w:tcBorders>
            <w:shd w:val="clear" w:color="auto" w:fill="FFFFFF"/>
            <w:vAlign w:val="center"/>
          </w:tcPr>
          <w:p w14:paraId="48422A5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130.54</w:t>
            </w:r>
          </w:p>
        </w:tc>
        <w:tc>
          <w:tcPr>
            <w:tcW w:w="852" w:type="dxa"/>
            <w:gridSpan w:val="2"/>
            <w:tcBorders>
              <w:top w:val="nil"/>
              <w:left w:val="nil"/>
              <w:bottom w:val="nil"/>
              <w:right w:val="single" w:sz="4" w:space="0" w:color="000000"/>
            </w:tcBorders>
            <w:shd w:val="clear" w:color="auto" w:fill="FFFFFF"/>
            <w:vAlign w:val="center"/>
          </w:tcPr>
          <w:p w14:paraId="2D5E77C3"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112.79</w:t>
            </w:r>
          </w:p>
        </w:tc>
        <w:tc>
          <w:tcPr>
            <w:tcW w:w="918" w:type="dxa"/>
            <w:gridSpan w:val="2"/>
            <w:tcBorders>
              <w:top w:val="nil"/>
              <w:left w:val="nil"/>
              <w:bottom w:val="nil"/>
              <w:right w:val="single" w:sz="12" w:space="0" w:color="000000"/>
            </w:tcBorders>
            <w:shd w:val="clear" w:color="auto" w:fill="FFFFFF"/>
            <w:vAlign w:val="center"/>
          </w:tcPr>
          <w:p w14:paraId="1C2543DE"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108.88</w:t>
            </w:r>
          </w:p>
        </w:tc>
        <w:tc>
          <w:tcPr>
            <w:tcW w:w="852" w:type="dxa"/>
            <w:tcBorders>
              <w:top w:val="nil"/>
              <w:left w:val="nil"/>
              <w:bottom w:val="nil"/>
              <w:right w:val="single" w:sz="12" w:space="0" w:color="000000"/>
            </w:tcBorders>
            <w:shd w:val="clear" w:color="auto" w:fill="FFFFFF"/>
            <w:vAlign w:val="center"/>
          </w:tcPr>
          <w:p w14:paraId="5CA94ED3"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114.27</w:t>
            </w:r>
          </w:p>
        </w:tc>
      </w:tr>
      <w:tr w:rsidR="009968E0" w:rsidRPr="009968E0" w14:paraId="42B5C566" w14:textId="77777777" w:rsidTr="009968E0">
        <w:tblPrEx>
          <w:shd w:val="clear" w:color="auto" w:fill="FFFFFF"/>
        </w:tblPrEx>
        <w:trPr>
          <w:gridAfter w:val="1"/>
          <w:wAfter w:w="956" w:type="dxa"/>
          <w:trHeight w:val="360"/>
        </w:trPr>
        <w:tc>
          <w:tcPr>
            <w:tcW w:w="1686" w:type="dxa"/>
            <w:gridSpan w:val="2"/>
            <w:vMerge/>
            <w:tcBorders>
              <w:top w:val="nil"/>
              <w:left w:val="single" w:sz="12" w:space="0" w:color="000000"/>
              <w:bottom w:val="single" w:sz="4" w:space="0" w:color="000000"/>
              <w:right w:val="nil"/>
            </w:tcBorders>
            <w:shd w:val="clear" w:color="auto" w:fill="FBE4D5"/>
          </w:tcPr>
          <w:p w14:paraId="05F4A571"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465" w:type="dxa"/>
            <w:gridSpan w:val="3"/>
            <w:vMerge/>
            <w:tcBorders>
              <w:top w:val="nil"/>
              <w:left w:val="nil"/>
              <w:bottom w:val="single" w:sz="4" w:space="0" w:color="000000"/>
              <w:right w:val="nil"/>
            </w:tcBorders>
            <w:shd w:val="clear" w:color="auto" w:fill="FFFFFF"/>
          </w:tcPr>
          <w:p w14:paraId="157B866B"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436" w:type="dxa"/>
            <w:gridSpan w:val="2"/>
            <w:tcBorders>
              <w:top w:val="nil"/>
              <w:left w:val="nil"/>
              <w:bottom w:val="single" w:sz="4" w:space="0" w:color="000000"/>
              <w:right w:val="single" w:sz="12" w:space="0" w:color="000000"/>
            </w:tcBorders>
            <w:shd w:val="clear" w:color="auto" w:fill="FFFFFF"/>
          </w:tcPr>
          <w:p w14:paraId="3EE06A59"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863" w:type="dxa"/>
            <w:gridSpan w:val="2"/>
            <w:tcBorders>
              <w:top w:val="nil"/>
              <w:left w:val="nil"/>
              <w:bottom w:val="single" w:sz="4" w:space="0" w:color="000000"/>
              <w:right w:val="single" w:sz="4" w:space="0" w:color="000000"/>
            </w:tcBorders>
            <w:shd w:val="clear" w:color="auto" w:fill="FFFFFF"/>
            <w:vAlign w:val="center"/>
          </w:tcPr>
          <w:p w14:paraId="425CAA0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95.45</w:t>
            </w:r>
          </w:p>
        </w:tc>
        <w:tc>
          <w:tcPr>
            <w:tcW w:w="852" w:type="dxa"/>
            <w:gridSpan w:val="2"/>
            <w:tcBorders>
              <w:top w:val="nil"/>
              <w:left w:val="nil"/>
              <w:bottom w:val="single" w:sz="4" w:space="0" w:color="000000"/>
              <w:right w:val="single" w:sz="4" w:space="0" w:color="000000"/>
            </w:tcBorders>
            <w:shd w:val="clear" w:color="auto" w:fill="FFFFFF"/>
            <w:vAlign w:val="center"/>
          </w:tcPr>
          <w:p w14:paraId="77F2C1C0"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81.93</w:t>
            </w:r>
          </w:p>
        </w:tc>
        <w:tc>
          <w:tcPr>
            <w:tcW w:w="918" w:type="dxa"/>
            <w:gridSpan w:val="2"/>
            <w:tcBorders>
              <w:top w:val="nil"/>
              <w:left w:val="nil"/>
              <w:bottom w:val="single" w:sz="4" w:space="0" w:color="000000"/>
              <w:right w:val="single" w:sz="12" w:space="0" w:color="000000"/>
            </w:tcBorders>
            <w:shd w:val="clear" w:color="auto" w:fill="FFFFFF"/>
            <w:vAlign w:val="center"/>
          </w:tcPr>
          <w:p w14:paraId="36FFD75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64.96</w:t>
            </w:r>
          </w:p>
        </w:tc>
        <w:tc>
          <w:tcPr>
            <w:tcW w:w="852" w:type="dxa"/>
            <w:tcBorders>
              <w:top w:val="nil"/>
              <w:left w:val="nil"/>
              <w:bottom w:val="single" w:sz="4" w:space="0" w:color="000000"/>
              <w:right w:val="single" w:sz="12" w:space="0" w:color="000000"/>
            </w:tcBorders>
            <w:shd w:val="clear" w:color="auto" w:fill="FFFFFF"/>
            <w:vAlign w:val="center"/>
          </w:tcPr>
          <w:p w14:paraId="0FF4F05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79.11</w:t>
            </w:r>
          </w:p>
        </w:tc>
      </w:tr>
      <w:tr w:rsidR="009968E0" w:rsidRPr="009968E0" w14:paraId="30AA5DB5" w14:textId="77777777" w:rsidTr="009968E0">
        <w:tblPrEx>
          <w:shd w:val="clear" w:color="auto" w:fill="FFFFFF"/>
        </w:tblPrEx>
        <w:trPr>
          <w:gridAfter w:val="1"/>
          <w:wAfter w:w="956" w:type="dxa"/>
          <w:trHeight w:val="360"/>
        </w:trPr>
        <w:tc>
          <w:tcPr>
            <w:tcW w:w="9072" w:type="dxa"/>
            <w:gridSpan w:val="14"/>
            <w:tcBorders>
              <w:top w:val="nil"/>
              <w:left w:val="single" w:sz="12" w:space="0" w:color="000000"/>
              <w:bottom w:val="single" w:sz="4" w:space="0" w:color="000000"/>
              <w:right w:val="single" w:sz="12" w:space="0" w:color="000000"/>
            </w:tcBorders>
            <w:shd w:val="clear" w:color="auto" w:fill="FFFFFF"/>
            <w:vAlign w:val="center"/>
          </w:tcPr>
          <w:p w14:paraId="5262BAF0"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p=0.71</w:t>
            </w:r>
          </w:p>
        </w:tc>
      </w:tr>
      <w:tr w:rsidR="009968E0" w:rsidRPr="009968E0" w14:paraId="3DA08071" w14:textId="77777777" w:rsidTr="009968E0">
        <w:tblPrEx>
          <w:shd w:val="clear" w:color="auto" w:fill="FFFFFF"/>
        </w:tblPrEx>
        <w:trPr>
          <w:gridAfter w:val="1"/>
          <w:wAfter w:w="956" w:type="dxa"/>
          <w:trHeight w:val="360"/>
        </w:trPr>
        <w:tc>
          <w:tcPr>
            <w:tcW w:w="1686" w:type="dxa"/>
            <w:gridSpan w:val="2"/>
            <w:vMerge w:val="restart"/>
            <w:tcBorders>
              <w:top w:val="nil"/>
              <w:left w:val="single" w:sz="12" w:space="0" w:color="000000"/>
              <w:bottom w:val="single" w:sz="4" w:space="0" w:color="000000"/>
              <w:right w:val="nil"/>
            </w:tcBorders>
            <w:shd w:val="clear" w:color="auto" w:fill="FBE4D5"/>
          </w:tcPr>
          <w:p w14:paraId="12D9BE66"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RBF-RPSC3</w:t>
            </w:r>
          </w:p>
        </w:tc>
        <w:tc>
          <w:tcPr>
            <w:tcW w:w="3901" w:type="dxa"/>
            <w:gridSpan w:val="5"/>
            <w:tcBorders>
              <w:top w:val="nil"/>
              <w:left w:val="nil"/>
              <w:bottom w:val="single" w:sz="4" w:space="0" w:color="000000"/>
              <w:right w:val="single" w:sz="12" w:space="0" w:color="000000"/>
            </w:tcBorders>
            <w:shd w:val="clear" w:color="auto" w:fill="FFFFFF"/>
          </w:tcPr>
          <w:p w14:paraId="466A1A22"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863" w:type="dxa"/>
            <w:gridSpan w:val="2"/>
            <w:tcBorders>
              <w:top w:val="nil"/>
              <w:left w:val="nil"/>
              <w:bottom w:val="single" w:sz="4" w:space="0" w:color="000000"/>
              <w:right w:val="single" w:sz="4" w:space="0" w:color="000000"/>
            </w:tcBorders>
            <w:shd w:val="clear" w:color="auto" w:fill="FFFFFF"/>
            <w:vAlign w:val="center"/>
          </w:tcPr>
          <w:p w14:paraId="6F79645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109.84</w:t>
            </w:r>
          </w:p>
        </w:tc>
        <w:tc>
          <w:tcPr>
            <w:tcW w:w="852" w:type="dxa"/>
            <w:gridSpan w:val="2"/>
            <w:tcBorders>
              <w:top w:val="nil"/>
              <w:left w:val="nil"/>
              <w:bottom w:val="single" w:sz="4" w:space="0" w:color="000000"/>
              <w:right w:val="single" w:sz="4" w:space="0" w:color="000000"/>
            </w:tcBorders>
            <w:shd w:val="clear" w:color="auto" w:fill="FFFFFF"/>
            <w:vAlign w:val="center"/>
          </w:tcPr>
          <w:p w14:paraId="1F0B3D3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97.78</w:t>
            </w:r>
          </w:p>
        </w:tc>
        <w:tc>
          <w:tcPr>
            <w:tcW w:w="918" w:type="dxa"/>
            <w:gridSpan w:val="2"/>
            <w:tcBorders>
              <w:top w:val="nil"/>
              <w:left w:val="nil"/>
              <w:bottom w:val="single" w:sz="4" w:space="0" w:color="000000"/>
              <w:right w:val="single" w:sz="12" w:space="0" w:color="000000"/>
            </w:tcBorders>
            <w:shd w:val="clear" w:color="auto" w:fill="FFFFFF"/>
            <w:vAlign w:val="center"/>
          </w:tcPr>
          <w:p w14:paraId="0D38382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81.22</w:t>
            </w:r>
          </w:p>
        </w:tc>
        <w:tc>
          <w:tcPr>
            <w:tcW w:w="852" w:type="dxa"/>
            <w:tcBorders>
              <w:top w:val="nil"/>
              <w:left w:val="nil"/>
              <w:bottom w:val="single" w:sz="4" w:space="0" w:color="000000"/>
              <w:right w:val="single" w:sz="12" w:space="0" w:color="000000"/>
            </w:tcBorders>
            <w:shd w:val="clear" w:color="auto" w:fill="FFFFFF"/>
          </w:tcPr>
          <w:p w14:paraId="40CE18F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96.33</w:t>
            </w:r>
          </w:p>
        </w:tc>
      </w:tr>
      <w:tr w:rsidR="009968E0" w:rsidRPr="009968E0" w14:paraId="08F53277" w14:textId="77777777" w:rsidTr="009968E0">
        <w:tblPrEx>
          <w:shd w:val="clear" w:color="auto" w:fill="FFFFFF"/>
        </w:tblPrEx>
        <w:trPr>
          <w:gridAfter w:val="1"/>
          <w:wAfter w:w="956" w:type="dxa"/>
          <w:trHeight w:val="360"/>
        </w:trPr>
        <w:tc>
          <w:tcPr>
            <w:tcW w:w="1686" w:type="dxa"/>
            <w:gridSpan w:val="2"/>
            <w:vMerge/>
            <w:tcBorders>
              <w:top w:val="nil"/>
              <w:left w:val="single" w:sz="12" w:space="0" w:color="000000"/>
              <w:bottom w:val="single" w:sz="4" w:space="0" w:color="000000"/>
              <w:right w:val="nil"/>
            </w:tcBorders>
            <w:shd w:val="clear" w:color="auto" w:fill="FBE4D5"/>
          </w:tcPr>
          <w:p w14:paraId="516C382E"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465" w:type="dxa"/>
            <w:gridSpan w:val="3"/>
            <w:vMerge w:val="restart"/>
            <w:tcBorders>
              <w:top w:val="nil"/>
              <w:left w:val="nil"/>
              <w:bottom w:val="single" w:sz="4" w:space="0" w:color="000000"/>
              <w:right w:val="nil"/>
            </w:tcBorders>
            <w:shd w:val="clear" w:color="auto" w:fill="FFFFFF"/>
          </w:tcPr>
          <w:p w14:paraId="3FB42157"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w:t>
            </w:r>
          </w:p>
        </w:tc>
        <w:tc>
          <w:tcPr>
            <w:tcW w:w="1436" w:type="dxa"/>
            <w:gridSpan w:val="2"/>
            <w:tcBorders>
              <w:top w:val="nil"/>
              <w:left w:val="nil"/>
              <w:bottom w:val="nil"/>
              <w:right w:val="single" w:sz="12" w:space="0" w:color="000000"/>
            </w:tcBorders>
            <w:shd w:val="clear" w:color="auto" w:fill="FFFFFF"/>
          </w:tcPr>
          <w:p w14:paraId="7C6FDE45"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863" w:type="dxa"/>
            <w:gridSpan w:val="2"/>
            <w:tcBorders>
              <w:top w:val="nil"/>
              <w:left w:val="nil"/>
              <w:bottom w:val="nil"/>
              <w:right w:val="single" w:sz="4" w:space="0" w:color="000000"/>
            </w:tcBorders>
            <w:shd w:val="clear" w:color="auto" w:fill="FFFFFF"/>
            <w:vAlign w:val="center"/>
          </w:tcPr>
          <w:p w14:paraId="6AAEEAD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126.74</w:t>
            </w:r>
          </w:p>
        </w:tc>
        <w:tc>
          <w:tcPr>
            <w:tcW w:w="852" w:type="dxa"/>
            <w:gridSpan w:val="2"/>
            <w:tcBorders>
              <w:top w:val="nil"/>
              <w:left w:val="nil"/>
              <w:bottom w:val="nil"/>
              <w:right w:val="single" w:sz="4" w:space="0" w:color="000000"/>
            </w:tcBorders>
            <w:shd w:val="clear" w:color="auto" w:fill="FFFFFF"/>
            <w:vAlign w:val="center"/>
          </w:tcPr>
          <w:p w14:paraId="5373F1A0"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112.65</w:t>
            </w:r>
          </w:p>
        </w:tc>
        <w:tc>
          <w:tcPr>
            <w:tcW w:w="918" w:type="dxa"/>
            <w:gridSpan w:val="2"/>
            <w:tcBorders>
              <w:top w:val="nil"/>
              <w:left w:val="nil"/>
              <w:bottom w:val="nil"/>
              <w:right w:val="single" w:sz="12" w:space="0" w:color="000000"/>
            </w:tcBorders>
            <w:shd w:val="clear" w:color="auto" w:fill="FFFFFF"/>
            <w:vAlign w:val="center"/>
          </w:tcPr>
          <w:p w14:paraId="220977D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102.38</w:t>
            </w:r>
          </w:p>
        </w:tc>
        <w:tc>
          <w:tcPr>
            <w:tcW w:w="852" w:type="dxa"/>
            <w:tcBorders>
              <w:top w:val="nil"/>
              <w:left w:val="nil"/>
              <w:bottom w:val="nil"/>
              <w:right w:val="single" w:sz="12" w:space="0" w:color="000000"/>
            </w:tcBorders>
            <w:shd w:val="clear" w:color="auto" w:fill="FFFFFF"/>
            <w:vAlign w:val="center"/>
          </w:tcPr>
          <w:p w14:paraId="60466DF5"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113.27</w:t>
            </w:r>
          </w:p>
        </w:tc>
      </w:tr>
      <w:tr w:rsidR="009968E0" w:rsidRPr="009968E0" w14:paraId="7FA210E9" w14:textId="77777777" w:rsidTr="009968E0">
        <w:tblPrEx>
          <w:shd w:val="clear" w:color="auto" w:fill="FFFFFF"/>
        </w:tblPrEx>
        <w:trPr>
          <w:gridAfter w:val="1"/>
          <w:wAfter w:w="956" w:type="dxa"/>
          <w:trHeight w:val="360"/>
        </w:trPr>
        <w:tc>
          <w:tcPr>
            <w:tcW w:w="1686" w:type="dxa"/>
            <w:gridSpan w:val="2"/>
            <w:vMerge/>
            <w:tcBorders>
              <w:top w:val="nil"/>
              <w:left w:val="single" w:sz="12" w:space="0" w:color="000000"/>
              <w:bottom w:val="single" w:sz="4" w:space="0" w:color="000000"/>
              <w:right w:val="nil"/>
            </w:tcBorders>
            <w:shd w:val="clear" w:color="auto" w:fill="FBE4D5"/>
          </w:tcPr>
          <w:p w14:paraId="419DA645"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465" w:type="dxa"/>
            <w:gridSpan w:val="3"/>
            <w:vMerge/>
            <w:tcBorders>
              <w:top w:val="nil"/>
              <w:left w:val="nil"/>
              <w:bottom w:val="single" w:sz="4" w:space="0" w:color="000000"/>
              <w:right w:val="nil"/>
            </w:tcBorders>
            <w:shd w:val="clear" w:color="auto" w:fill="FFFFFF"/>
          </w:tcPr>
          <w:p w14:paraId="580070E5"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436" w:type="dxa"/>
            <w:gridSpan w:val="2"/>
            <w:tcBorders>
              <w:top w:val="nil"/>
              <w:left w:val="nil"/>
              <w:bottom w:val="single" w:sz="4" w:space="0" w:color="000000"/>
              <w:right w:val="single" w:sz="12" w:space="0" w:color="000000"/>
            </w:tcBorders>
            <w:shd w:val="clear" w:color="auto" w:fill="FFFFFF"/>
          </w:tcPr>
          <w:p w14:paraId="23F7D424"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863" w:type="dxa"/>
            <w:gridSpan w:val="2"/>
            <w:tcBorders>
              <w:top w:val="nil"/>
              <w:left w:val="nil"/>
              <w:bottom w:val="single" w:sz="4" w:space="0" w:color="000000"/>
              <w:right w:val="single" w:sz="4" w:space="0" w:color="000000"/>
            </w:tcBorders>
            <w:shd w:val="clear" w:color="auto" w:fill="FFFFFF"/>
            <w:vAlign w:val="center"/>
          </w:tcPr>
          <w:p w14:paraId="75921F7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92.93</w:t>
            </w:r>
          </w:p>
        </w:tc>
        <w:tc>
          <w:tcPr>
            <w:tcW w:w="852" w:type="dxa"/>
            <w:gridSpan w:val="2"/>
            <w:tcBorders>
              <w:top w:val="nil"/>
              <w:left w:val="nil"/>
              <w:bottom w:val="single" w:sz="4" w:space="0" w:color="000000"/>
              <w:right w:val="single" w:sz="4" w:space="0" w:color="000000"/>
            </w:tcBorders>
            <w:shd w:val="clear" w:color="auto" w:fill="FFFFFF"/>
            <w:vAlign w:val="center"/>
          </w:tcPr>
          <w:p w14:paraId="01CE6038"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82.90</w:t>
            </w:r>
          </w:p>
        </w:tc>
        <w:tc>
          <w:tcPr>
            <w:tcW w:w="918" w:type="dxa"/>
            <w:gridSpan w:val="2"/>
            <w:tcBorders>
              <w:top w:val="nil"/>
              <w:left w:val="nil"/>
              <w:bottom w:val="single" w:sz="4" w:space="0" w:color="000000"/>
              <w:right w:val="single" w:sz="12" w:space="0" w:color="000000"/>
            </w:tcBorders>
            <w:shd w:val="clear" w:color="auto" w:fill="FFFFFF"/>
            <w:vAlign w:val="center"/>
          </w:tcPr>
          <w:p w14:paraId="654DF02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60.05</w:t>
            </w:r>
          </w:p>
        </w:tc>
        <w:tc>
          <w:tcPr>
            <w:tcW w:w="852" w:type="dxa"/>
            <w:tcBorders>
              <w:top w:val="nil"/>
              <w:left w:val="nil"/>
              <w:bottom w:val="single" w:sz="4" w:space="0" w:color="000000"/>
              <w:right w:val="single" w:sz="12" w:space="0" w:color="000000"/>
            </w:tcBorders>
            <w:shd w:val="clear" w:color="auto" w:fill="FFFFFF"/>
            <w:vAlign w:val="center"/>
          </w:tcPr>
          <w:p w14:paraId="7A03D22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79.39</w:t>
            </w:r>
          </w:p>
        </w:tc>
      </w:tr>
      <w:tr w:rsidR="009968E0" w:rsidRPr="009968E0" w14:paraId="61520BC1" w14:textId="77777777" w:rsidTr="009968E0">
        <w:tblPrEx>
          <w:shd w:val="clear" w:color="auto" w:fill="FFFFFF"/>
        </w:tblPrEx>
        <w:trPr>
          <w:gridAfter w:val="1"/>
          <w:wAfter w:w="956" w:type="dxa"/>
          <w:trHeight w:val="360"/>
        </w:trPr>
        <w:tc>
          <w:tcPr>
            <w:tcW w:w="9072" w:type="dxa"/>
            <w:gridSpan w:val="14"/>
            <w:tcBorders>
              <w:top w:val="single" w:sz="4" w:space="0" w:color="000000"/>
              <w:left w:val="single" w:sz="12" w:space="0" w:color="000000"/>
              <w:bottom w:val="single" w:sz="12" w:space="0" w:color="000000"/>
              <w:right w:val="single" w:sz="12" w:space="0" w:color="000000"/>
            </w:tcBorders>
            <w:shd w:val="clear" w:color="auto" w:fill="FFFFFF"/>
            <w:vAlign w:val="center"/>
          </w:tcPr>
          <w:p w14:paraId="076FA678"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p=0.45</w:t>
            </w:r>
          </w:p>
        </w:tc>
      </w:tr>
    </w:tbl>
    <w:p w14:paraId="2399D3DD" w14:textId="77777777" w:rsidR="009968E0" w:rsidRPr="009968E0" w:rsidRDefault="009968E0" w:rsidP="008271BA">
      <w:pPr>
        <w:numPr>
          <w:ilvl w:val="1"/>
          <w:numId w:val="22"/>
        </w:numPr>
        <w:spacing w:after="200" w:line="360" w:lineRule="auto"/>
        <w:contextualSpacing/>
        <w:rPr>
          <w:rFonts w:ascii="Calibri" w:eastAsia="Times New Roman" w:hAnsi="Calibri" w:cs="Calibri"/>
          <w:i/>
          <w:iCs/>
          <w:color w:val="808080"/>
          <w:sz w:val="21"/>
          <w:szCs w:val="21"/>
        </w:rPr>
      </w:pPr>
      <w:r w:rsidRPr="009968E0">
        <w:rPr>
          <w:rFonts w:ascii="Calibri" w:eastAsia="Times New Roman" w:hAnsi="Calibri" w:cs="Calibri"/>
          <w:i/>
          <w:iCs/>
          <w:color w:val="808080"/>
          <w:sz w:val="21"/>
          <w:szCs w:val="21"/>
        </w:rPr>
        <w:lastRenderedPageBreak/>
        <w:t xml:space="preserve">Covariates appearing in the model are evaluated at the following values: </w:t>
      </w:r>
      <w:proofErr w:type="spellStart"/>
      <w:r w:rsidRPr="009968E0">
        <w:rPr>
          <w:rFonts w:ascii="Calibri" w:eastAsia="Times New Roman" w:hAnsi="Calibri" w:cs="Calibri"/>
          <w:i/>
          <w:iCs/>
          <w:color w:val="808080"/>
          <w:sz w:val="21"/>
          <w:szCs w:val="21"/>
        </w:rPr>
        <w:t>likertscale_gad</w:t>
      </w:r>
      <w:proofErr w:type="spellEnd"/>
      <w:r w:rsidRPr="009968E0">
        <w:rPr>
          <w:rFonts w:ascii="Calibri" w:eastAsia="Times New Roman" w:hAnsi="Calibri" w:cs="Calibri"/>
          <w:i/>
          <w:iCs/>
          <w:color w:val="808080"/>
          <w:sz w:val="21"/>
          <w:szCs w:val="21"/>
        </w:rPr>
        <w:t xml:space="preserve"> = 7.16. Significance at p&lt;0.05. No significance demonstrated</w:t>
      </w:r>
    </w:p>
    <w:tbl>
      <w:tblPr>
        <w:tblW w:w="9064" w:type="dxa"/>
        <w:tblLayout w:type="fixed"/>
        <w:tblCellMar>
          <w:left w:w="115" w:type="dxa"/>
          <w:right w:w="115" w:type="dxa"/>
        </w:tblCellMar>
        <w:tblLook w:val="0400" w:firstRow="0" w:lastRow="0" w:firstColumn="0" w:lastColumn="0" w:noHBand="0" w:noVBand="1"/>
      </w:tblPr>
      <w:tblGrid>
        <w:gridCol w:w="9064"/>
      </w:tblGrid>
      <w:tr w:rsidR="009968E0" w:rsidRPr="006E28EB" w14:paraId="3EC0A4B2" w14:textId="77777777" w:rsidTr="009968E0">
        <w:trPr>
          <w:trHeight w:val="480"/>
        </w:trPr>
        <w:tc>
          <w:tcPr>
            <w:tcW w:w="9064" w:type="dxa"/>
            <w:tcBorders>
              <w:top w:val="nil"/>
              <w:left w:val="nil"/>
              <w:bottom w:val="nil"/>
              <w:right w:val="nil"/>
            </w:tcBorders>
            <w:shd w:val="clear" w:color="auto" w:fill="auto"/>
            <w:vAlign w:val="center"/>
          </w:tcPr>
          <w:p w14:paraId="5F619C93" w14:textId="3CF381CB" w:rsidR="009968E0" w:rsidRPr="006E28EB" w:rsidRDefault="009968E0" w:rsidP="006E28EB">
            <w:pPr>
              <w:pStyle w:val="Quote"/>
            </w:pPr>
            <w:bookmarkStart w:id="635" w:name="_Toc48406150"/>
            <w:bookmarkStart w:id="636" w:name="_Toc49273361"/>
            <w:bookmarkStart w:id="637" w:name="_Toc64724114"/>
            <w:r w:rsidRPr="006E28EB">
              <w:t>Table D.6. Multivariate ANCOVA comparing group MTT during a pain condition adjusted by pain perception by region of interest.</w:t>
            </w:r>
            <w:bookmarkEnd w:id="635"/>
            <w:bookmarkEnd w:id="636"/>
            <w:bookmarkEnd w:id="637"/>
          </w:p>
        </w:tc>
      </w:tr>
    </w:tbl>
    <w:p w14:paraId="7F7B0CB6" w14:textId="77777777" w:rsidR="009968E0" w:rsidRPr="009968E0" w:rsidRDefault="009968E0" w:rsidP="009968E0">
      <w:pPr>
        <w:pBdr>
          <w:top w:val="nil"/>
          <w:left w:val="nil"/>
          <w:bottom w:val="nil"/>
          <w:right w:val="nil"/>
          <w:between w:val="nil"/>
        </w:pBdr>
        <w:rPr>
          <w:rFonts w:ascii="Times New Roman" w:eastAsia="Times New Roman" w:hAnsi="Times New Roman" w:cs="Arial"/>
          <w:color w:val="000000"/>
          <w:lang w:eastAsia="en-GB"/>
        </w:rPr>
      </w:pPr>
    </w:p>
    <w:tbl>
      <w:tblPr>
        <w:tblW w:w="5000" w:type="pct"/>
        <w:tblCellMar>
          <w:left w:w="115" w:type="dxa"/>
          <w:right w:w="115" w:type="dxa"/>
        </w:tblCellMar>
        <w:tblLook w:val="0400" w:firstRow="0" w:lastRow="0" w:firstColumn="0" w:lastColumn="0" w:noHBand="0" w:noVBand="1"/>
      </w:tblPr>
      <w:tblGrid>
        <w:gridCol w:w="1598"/>
        <w:gridCol w:w="2616"/>
        <w:gridCol w:w="1537"/>
        <w:gridCol w:w="881"/>
        <w:gridCol w:w="681"/>
        <w:gridCol w:w="994"/>
        <w:gridCol w:w="683"/>
      </w:tblGrid>
      <w:tr w:rsidR="009968E0" w:rsidRPr="009968E0" w14:paraId="05C8A28E" w14:textId="77777777" w:rsidTr="009968E0">
        <w:trPr>
          <w:trHeight w:val="360"/>
        </w:trPr>
        <w:tc>
          <w:tcPr>
            <w:tcW w:w="3198" w:type="pct"/>
            <w:gridSpan w:val="3"/>
            <w:vMerge w:val="restart"/>
            <w:tcBorders>
              <w:top w:val="single" w:sz="12" w:space="0" w:color="000000"/>
              <w:left w:val="single" w:sz="12" w:space="0" w:color="000000"/>
              <w:bottom w:val="single" w:sz="12" w:space="0" w:color="000000"/>
              <w:right w:val="single" w:sz="12" w:space="0" w:color="000000"/>
            </w:tcBorders>
            <w:shd w:val="clear" w:color="auto" w:fill="auto"/>
            <w:vAlign w:val="bottom"/>
          </w:tcPr>
          <w:p w14:paraId="2EA3B055"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Dependent Variable</w:t>
            </w:r>
          </w:p>
        </w:tc>
        <w:tc>
          <w:tcPr>
            <w:tcW w:w="1802" w:type="pct"/>
            <w:gridSpan w:val="4"/>
            <w:tcBorders>
              <w:top w:val="single" w:sz="12" w:space="0" w:color="000000"/>
              <w:left w:val="nil"/>
              <w:bottom w:val="single" w:sz="4" w:space="0" w:color="000000"/>
              <w:right w:val="single" w:sz="12" w:space="0" w:color="000000"/>
            </w:tcBorders>
            <w:shd w:val="clear" w:color="auto" w:fill="auto"/>
            <w:vAlign w:val="bottom"/>
          </w:tcPr>
          <w:p w14:paraId="58B07D6D"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GROUP</w:t>
            </w:r>
          </w:p>
        </w:tc>
      </w:tr>
      <w:tr w:rsidR="009968E0" w:rsidRPr="009968E0" w14:paraId="1266400A" w14:textId="77777777" w:rsidTr="009968E0">
        <w:trPr>
          <w:trHeight w:val="360"/>
        </w:trPr>
        <w:tc>
          <w:tcPr>
            <w:tcW w:w="3198" w:type="pct"/>
            <w:gridSpan w:val="3"/>
            <w:vMerge/>
            <w:tcBorders>
              <w:top w:val="single" w:sz="12" w:space="0" w:color="000000"/>
              <w:left w:val="single" w:sz="12" w:space="0" w:color="000000"/>
              <w:bottom w:val="single" w:sz="12" w:space="0" w:color="000000"/>
              <w:right w:val="single" w:sz="12" w:space="0" w:color="000000"/>
            </w:tcBorders>
            <w:shd w:val="clear" w:color="auto" w:fill="auto"/>
            <w:vAlign w:val="bottom"/>
          </w:tcPr>
          <w:p w14:paraId="7D10E0E6"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490" w:type="pct"/>
            <w:tcBorders>
              <w:top w:val="nil"/>
              <w:left w:val="nil"/>
              <w:bottom w:val="single" w:sz="12" w:space="0" w:color="000000"/>
              <w:right w:val="single" w:sz="4" w:space="0" w:color="000000"/>
            </w:tcBorders>
            <w:shd w:val="clear" w:color="auto" w:fill="auto"/>
            <w:vAlign w:val="bottom"/>
          </w:tcPr>
          <w:p w14:paraId="0B90C40E"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P-DPN</w:t>
            </w:r>
          </w:p>
        </w:tc>
        <w:tc>
          <w:tcPr>
            <w:tcW w:w="379" w:type="pct"/>
            <w:tcBorders>
              <w:top w:val="nil"/>
              <w:left w:val="nil"/>
              <w:bottom w:val="single" w:sz="12" w:space="0" w:color="000000"/>
              <w:right w:val="single" w:sz="4" w:space="0" w:color="000000"/>
            </w:tcBorders>
            <w:shd w:val="clear" w:color="auto" w:fill="auto"/>
            <w:vAlign w:val="bottom"/>
          </w:tcPr>
          <w:p w14:paraId="4BBE0129"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DPN</w:t>
            </w:r>
          </w:p>
        </w:tc>
        <w:tc>
          <w:tcPr>
            <w:tcW w:w="553" w:type="pct"/>
            <w:tcBorders>
              <w:top w:val="nil"/>
              <w:left w:val="nil"/>
              <w:bottom w:val="single" w:sz="12" w:space="0" w:color="000000"/>
              <w:right w:val="single" w:sz="12" w:space="0" w:color="000000"/>
            </w:tcBorders>
            <w:shd w:val="clear" w:color="auto" w:fill="auto"/>
            <w:vAlign w:val="bottom"/>
          </w:tcPr>
          <w:p w14:paraId="533F64F3"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Arial" w:hAnsi="Calibri" w:cs="Calibri"/>
                <w:i/>
                <w:iCs/>
                <w:color w:val="000000"/>
                <w:sz w:val="22"/>
                <w:szCs w:val="22"/>
                <w:lang w:eastAsia="en-GB"/>
              </w:rPr>
              <w:t>DM-NN</w:t>
            </w:r>
          </w:p>
        </w:tc>
        <w:tc>
          <w:tcPr>
            <w:tcW w:w="379" w:type="pct"/>
            <w:tcBorders>
              <w:top w:val="nil"/>
              <w:left w:val="nil"/>
              <w:bottom w:val="single" w:sz="12" w:space="0" w:color="000000"/>
              <w:right w:val="single" w:sz="12" w:space="0" w:color="000000"/>
            </w:tcBorders>
            <w:vAlign w:val="center"/>
          </w:tcPr>
          <w:p w14:paraId="42109D10" w14:textId="77777777" w:rsidR="009968E0" w:rsidRPr="009968E0" w:rsidRDefault="009968E0" w:rsidP="009968E0">
            <w:pPr>
              <w:jc w:val="center"/>
              <w:rPr>
                <w:rFonts w:ascii="Calibri" w:eastAsia="Arial" w:hAnsi="Calibri" w:cs="Calibri"/>
                <w:i/>
                <w:iCs/>
                <w:color w:val="000000"/>
                <w:sz w:val="22"/>
                <w:szCs w:val="22"/>
                <w:lang w:eastAsia="en-GB"/>
              </w:rPr>
            </w:pPr>
            <w:r w:rsidRPr="009968E0">
              <w:rPr>
                <w:rFonts w:ascii="Calibri" w:eastAsia="Arial" w:hAnsi="Calibri" w:cs="Calibri"/>
                <w:i/>
                <w:iCs/>
                <w:color w:val="000000"/>
                <w:sz w:val="22"/>
                <w:szCs w:val="22"/>
                <w:lang w:eastAsia="en-GB"/>
              </w:rPr>
              <w:t>HV</w:t>
            </w:r>
          </w:p>
        </w:tc>
      </w:tr>
      <w:tr w:rsidR="009968E0" w:rsidRPr="009968E0" w14:paraId="5476ACAF" w14:textId="77777777" w:rsidTr="009968E0">
        <w:trPr>
          <w:trHeight w:val="360"/>
        </w:trPr>
        <w:tc>
          <w:tcPr>
            <w:tcW w:w="888" w:type="pct"/>
            <w:vMerge w:val="restart"/>
            <w:tcBorders>
              <w:top w:val="nil"/>
              <w:left w:val="single" w:sz="12" w:space="0" w:color="000000"/>
              <w:bottom w:val="single" w:sz="4" w:space="0" w:color="000000"/>
              <w:right w:val="nil"/>
            </w:tcBorders>
            <w:shd w:val="clear" w:color="auto" w:fill="FDE9D9"/>
          </w:tcPr>
          <w:p w14:paraId="77B36F36" w14:textId="59D38624"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MTT-</w:t>
            </w:r>
            <w:r w:rsidR="00264184">
              <w:rPr>
                <w:rFonts w:ascii="Calibri" w:eastAsia="Times New Roman" w:hAnsi="Calibri" w:cs="Calibri"/>
                <w:i/>
                <w:iCs/>
                <w:color w:val="000000"/>
                <w:sz w:val="22"/>
                <w:szCs w:val="22"/>
                <w:lang w:eastAsia="en-GB"/>
              </w:rPr>
              <w:t>LThal</w:t>
            </w:r>
            <w:r w:rsidRPr="009968E0">
              <w:rPr>
                <w:rFonts w:ascii="Calibri" w:eastAsia="Times New Roman" w:hAnsi="Calibri" w:cs="Calibri"/>
                <w:i/>
                <w:iCs/>
                <w:color w:val="000000"/>
                <w:sz w:val="22"/>
                <w:szCs w:val="22"/>
                <w:lang w:eastAsia="en-GB"/>
              </w:rPr>
              <w:t>3</w:t>
            </w:r>
          </w:p>
        </w:tc>
        <w:tc>
          <w:tcPr>
            <w:tcW w:w="2310" w:type="pct"/>
            <w:gridSpan w:val="2"/>
            <w:tcBorders>
              <w:top w:val="single" w:sz="12" w:space="0" w:color="000000"/>
              <w:left w:val="nil"/>
              <w:bottom w:val="single" w:sz="4" w:space="0" w:color="000000"/>
              <w:right w:val="single" w:sz="12" w:space="0" w:color="000000"/>
            </w:tcBorders>
            <w:shd w:val="clear" w:color="auto" w:fill="auto"/>
          </w:tcPr>
          <w:p w14:paraId="39BE5192"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490" w:type="pct"/>
            <w:tcBorders>
              <w:top w:val="nil"/>
              <w:left w:val="nil"/>
              <w:bottom w:val="single" w:sz="4" w:space="0" w:color="000000"/>
              <w:right w:val="single" w:sz="4" w:space="0" w:color="000000"/>
            </w:tcBorders>
            <w:shd w:val="clear" w:color="auto" w:fill="auto"/>
            <w:vAlign w:val="center"/>
          </w:tcPr>
          <w:p w14:paraId="554C17B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5.40</w:t>
            </w:r>
          </w:p>
        </w:tc>
        <w:tc>
          <w:tcPr>
            <w:tcW w:w="379" w:type="pct"/>
            <w:tcBorders>
              <w:top w:val="nil"/>
              <w:left w:val="nil"/>
              <w:bottom w:val="single" w:sz="4" w:space="0" w:color="000000"/>
              <w:right w:val="single" w:sz="4" w:space="0" w:color="000000"/>
            </w:tcBorders>
            <w:shd w:val="clear" w:color="auto" w:fill="auto"/>
            <w:vAlign w:val="center"/>
          </w:tcPr>
          <w:p w14:paraId="6335D058"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5.34</w:t>
            </w:r>
          </w:p>
        </w:tc>
        <w:tc>
          <w:tcPr>
            <w:tcW w:w="553" w:type="pct"/>
            <w:tcBorders>
              <w:top w:val="nil"/>
              <w:left w:val="nil"/>
              <w:bottom w:val="single" w:sz="4" w:space="0" w:color="000000"/>
              <w:right w:val="single" w:sz="12" w:space="0" w:color="000000"/>
            </w:tcBorders>
            <w:shd w:val="clear" w:color="auto" w:fill="auto"/>
            <w:vAlign w:val="center"/>
          </w:tcPr>
          <w:p w14:paraId="2286A12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5.63</w:t>
            </w:r>
          </w:p>
        </w:tc>
        <w:tc>
          <w:tcPr>
            <w:tcW w:w="379" w:type="pct"/>
            <w:tcBorders>
              <w:top w:val="nil"/>
              <w:left w:val="nil"/>
              <w:bottom w:val="single" w:sz="4" w:space="0" w:color="000000"/>
              <w:right w:val="single" w:sz="12" w:space="0" w:color="000000"/>
            </w:tcBorders>
            <w:vAlign w:val="center"/>
          </w:tcPr>
          <w:p w14:paraId="21E11F33"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5.69</w:t>
            </w:r>
          </w:p>
        </w:tc>
      </w:tr>
      <w:tr w:rsidR="009968E0" w:rsidRPr="009968E0" w14:paraId="1AB4578D" w14:textId="77777777" w:rsidTr="009968E0">
        <w:trPr>
          <w:trHeight w:val="360"/>
        </w:trPr>
        <w:tc>
          <w:tcPr>
            <w:tcW w:w="888" w:type="pct"/>
            <w:vMerge/>
            <w:tcBorders>
              <w:top w:val="nil"/>
              <w:left w:val="single" w:sz="12" w:space="0" w:color="000000"/>
              <w:bottom w:val="single" w:sz="4" w:space="0" w:color="000000"/>
              <w:right w:val="nil"/>
            </w:tcBorders>
            <w:shd w:val="clear" w:color="auto" w:fill="FDE9D9"/>
          </w:tcPr>
          <w:p w14:paraId="67CBA883"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455" w:type="pct"/>
            <w:vMerge w:val="restart"/>
            <w:tcBorders>
              <w:top w:val="nil"/>
              <w:left w:val="nil"/>
              <w:bottom w:val="single" w:sz="4" w:space="0" w:color="000000"/>
              <w:right w:val="nil"/>
            </w:tcBorders>
            <w:shd w:val="clear" w:color="auto" w:fill="auto"/>
          </w:tcPr>
          <w:p w14:paraId="0B0C9BDC"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w:t>
            </w:r>
          </w:p>
        </w:tc>
        <w:tc>
          <w:tcPr>
            <w:tcW w:w="855" w:type="pct"/>
            <w:tcBorders>
              <w:top w:val="nil"/>
              <w:left w:val="nil"/>
              <w:bottom w:val="nil"/>
              <w:right w:val="single" w:sz="12" w:space="0" w:color="000000"/>
            </w:tcBorders>
            <w:shd w:val="clear" w:color="auto" w:fill="auto"/>
          </w:tcPr>
          <w:p w14:paraId="7DC3FA78"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490" w:type="pct"/>
            <w:tcBorders>
              <w:top w:val="nil"/>
              <w:left w:val="nil"/>
              <w:bottom w:val="nil"/>
              <w:right w:val="single" w:sz="4" w:space="0" w:color="000000"/>
            </w:tcBorders>
            <w:shd w:val="clear" w:color="auto" w:fill="auto"/>
            <w:vAlign w:val="center"/>
          </w:tcPr>
          <w:p w14:paraId="626CCC98"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4.85</w:t>
            </w:r>
          </w:p>
        </w:tc>
        <w:tc>
          <w:tcPr>
            <w:tcW w:w="379" w:type="pct"/>
            <w:tcBorders>
              <w:top w:val="nil"/>
              <w:left w:val="nil"/>
              <w:bottom w:val="nil"/>
              <w:right w:val="single" w:sz="4" w:space="0" w:color="000000"/>
            </w:tcBorders>
            <w:shd w:val="clear" w:color="auto" w:fill="auto"/>
            <w:vAlign w:val="center"/>
          </w:tcPr>
          <w:p w14:paraId="02F1DEEE"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4.85</w:t>
            </w:r>
          </w:p>
        </w:tc>
        <w:tc>
          <w:tcPr>
            <w:tcW w:w="553" w:type="pct"/>
            <w:tcBorders>
              <w:top w:val="nil"/>
              <w:left w:val="nil"/>
              <w:bottom w:val="nil"/>
              <w:right w:val="single" w:sz="12" w:space="0" w:color="000000"/>
            </w:tcBorders>
            <w:shd w:val="clear" w:color="auto" w:fill="auto"/>
            <w:vAlign w:val="center"/>
          </w:tcPr>
          <w:p w14:paraId="1401FFA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4.94</w:t>
            </w:r>
          </w:p>
        </w:tc>
        <w:tc>
          <w:tcPr>
            <w:tcW w:w="379" w:type="pct"/>
            <w:tcBorders>
              <w:top w:val="nil"/>
              <w:left w:val="nil"/>
              <w:bottom w:val="nil"/>
              <w:right w:val="single" w:sz="12" w:space="0" w:color="000000"/>
            </w:tcBorders>
            <w:vAlign w:val="center"/>
          </w:tcPr>
          <w:p w14:paraId="2BBA073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5.14</w:t>
            </w:r>
          </w:p>
        </w:tc>
      </w:tr>
      <w:tr w:rsidR="009968E0" w:rsidRPr="009968E0" w14:paraId="57E8A1CA" w14:textId="77777777" w:rsidTr="009968E0">
        <w:trPr>
          <w:trHeight w:val="360"/>
        </w:trPr>
        <w:tc>
          <w:tcPr>
            <w:tcW w:w="888" w:type="pct"/>
            <w:vMerge/>
            <w:tcBorders>
              <w:top w:val="nil"/>
              <w:left w:val="single" w:sz="12" w:space="0" w:color="000000"/>
              <w:bottom w:val="single" w:sz="4" w:space="0" w:color="000000"/>
              <w:right w:val="nil"/>
            </w:tcBorders>
            <w:shd w:val="clear" w:color="auto" w:fill="FDE9D9"/>
          </w:tcPr>
          <w:p w14:paraId="138F6C08"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455" w:type="pct"/>
            <w:vMerge/>
            <w:tcBorders>
              <w:top w:val="nil"/>
              <w:left w:val="nil"/>
              <w:bottom w:val="single" w:sz="4" w:space="0" w:color="000000"/>
              <w:right w:val="nil"/>
            </w:tcBorders>
            <w:shd w:val="clear" w:color="auto" w:fill="auto"/>
          </w:tcPr>
          <w:p w14:paraId="00301E0A"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855" w:type="pct"/>
            <w:tcBorders>
              <w:top w:val="nil"/>
              <w:left w:val="nil"/>
              <w:bottom w:val="single" w:sz="4" w:space="0" w:color="000000"/>
              <w:right w:val="single" w:sz="12" w:space="0" w:color="000000"/>
            </w:tcBorders>
            <w:shd w:val="clear" w:color="auto" w:fill="auto"/>
          </w:tcPr>
          <w:p w14:paraId="50FD22C6"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490" w:type="pct"/>
            <w:tcBorders>
              <w:top w:val="nil"/>
              <w:left w:val="nil"/>
              <w:bottom w:val="single" w:sz="4" w:space="0" w:color="000000"/>
              <w:right w:val="single" w:sz="4" w:space="0" w:color="000000"/>
            </w:tcBorders>
            <w:shd w:val="clear" w:color="auto" w:fill="auto"/>
            <w:vAlign w:val="center"/>
          </w:tcPr>
          <w:p w14:paraId="1A2BE82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5.96</w:t>
            </w:r>
          </w:p>
        </w:tc>
        <w:tc>
          <w:tcPr>
            <w:tcW w:w="379" w:type="pct"/>
            <w:tcBorders>
              <w:top w:val="nil"/>
              <w:left w:val="nil"/>
              <w:bottom w:val="single" w:sz="4" w:space="0" w:color="000000"/>
              <w:right w:val="single" w:sz="4" w:space="0" w:color="000000"/>
            </w:tcBorders>
            <w:shd w:val="clear" w:color="auto" w:fill="auto"/>
            <w:vAlign w:val="center"/>
          </w:tcPr>
          <w:p w14:paraId="21765A24"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5.82</w:t>
            </w:r>
          </w:p>
        </w:tc>
        <w:tc>
          <w:tcPr>
            <w:tcW w:w="553" w:type="pct"/>
            <w:tcBorders>
              <w:top w:val="nil"/>
              <w:left w:val="nil"/>
              <w:bottom w:val="single" w:sz="4" w:space="0" w:color="000000"/>
              <w:right w:val="single" w:sz="12" w:space="0" w:color="000000"/>
            </w:tcBorders>
            <w:shd w:val="clear" w:color="auto" w:fill="auto"/>
            <w:vAlign w:val="center"/>
          </w:tcPr>
          <w:p w14:paraId="546CEA7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6.32</w:t>
            </w:r>
          </w:p>
        </w:tc>
        <w:tc>
          <w:tcPr>
            <w:tcW w:w="379" w:type="pct"/>
            <w:tcBorders>
              <w:top w:val="nil"/>
              <w:left w:val="nil"/>
              <w:bottom w:val="single" w:sz="4" w:space="0" w:color="000000"/>
              <w:right w:val="single" w:sz="12" w:space="0" w:color="000000"/>
            </w:tcBorders>
            <w:vAlign w:val="center"/>
          </w:tcPr>
          <w:p w14:paraId="716C042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6.24</w:t>
            </w:r>
          </w:p>
        </w:tc>
      </w:tr>
      <w:tr w:rsidR="009968E0" w:rsidRPr="009968E0" w14:paraId="430E11B1" w14:textId="77777777" w:rsidTr="009968E0">
        <w:trPr>
          <w:trHeight w:val="360"/>
        </w:trPr>
        <w:tc>
          <w:tcPr>
            <w:tcW w:w="5000" w:type="pct"/>
            <w:gridSpan w:val="7"/>
            <w:tcBorders>
              <w:top w:val="nil"/>
              <w:left w:val="single" w:sz="12" w:space="0" w:color="000000"/>
              <w:bottom w:val="single" w:sz="4" w:space="0" w:color="000000"/>
              <w:right w:val="single" w:sz="12" w:space="0" w:color="000000"/>
            </w:tcBorders>
            <w:shd w:val="clear" w:color="auto" w:fill="auto"/>
            <w:vAlign w:val="center"/>
          </w:tcPr>
          <w:p w14:paraId="129396D5"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p=0.77</w:t>
            </w:r>
          </w:p>
        </w:tc>
      </w:tr>
      <w:tr w:rsidR="009968E0" w:rsidRPr="009968E0" w14:paraId="05607AD5" w14:textId="77777777" w:rsidTr="009968E0">
        <w:trPr>
          <w:trHeight w:val="360"/>
        </w:trPr>
        <w:tc>
          <w:tcPr>
            <w:tcW w:w="888" w:type="pct"/>
            <w:vMerge w:val="restart"/>
            <w:tcBorders>
              <w:top w:val="nil"/>
              <w:left w:val="single" w:sz="12" w:space="0" w:color="000000"/>
              <w:bottom w:val="single" w:sz="4" w:space="0" w:color="000000"/>
              <w:right w:val="nil"/>
            </w:tcBorders>
            <w:shd w:val="clear" w:color="auto" w:fill="FDE9D9"/>
          </w:tcPr>
          <w:p w14:paraId="0DC98281" w14:textId="661D75DF"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MTT-</w:t>
            </w:r>
            <w:r w:rsidR="00264184">
              <w:rPr>
                <w:rFonts w:ascii="Calibri" w:eastAsia="Times New Roman" w:hAnsi="Calibri" w:cs="Calibri"/>
                <w:i/>
                <w:iCs/>
                <w:color w:val="000000"/>
                <w:sz w:val="22"/>
                <w:szCs w:val="22"/>
                <w:lang w:eastAsia="en-GB"/>
              </w:rPr>
              <w:t>RThal</w:t>
            </w:r>
            <w:r w:rsidRPr="009968E0">
              <w:rPr>
                <w:rFonts w:ascii="Calibri" w:eastAsia="Times New Roman" w:hAnsi="Calibri" w:cs="Calibri"/>
                <w:i/>
                <w:iCs/>
                <w:color w:val="000000"/>
                <w:sz w:val="22"/>
                <w:szCs w:val="22"/>
                <w:lang w:eastAsia="en-GB"/>
              </w:rPr>
              <w:t>3</w:t>
            </w:r>
          </w:p>
        </w:tc>
        <w:tc>
          <w:tcPr>
            <w:tcW w:w="2310" w:type="pct"/>
            <w:gridSpan w:val="2"/>
            <w:tcBorders>
              <w:top w:val="nil"/>
              <w:left w:val="nil"/>
              <w:bottom w:val="single" w:sz="4" w:space="0" w:color="000000"/>
              <w:right w:val="single" w:sz="12" w:space="0" w:color="000000"/>
            </w:tcBorders>
            <w:shd w:val="clear" w:color="auto" w:fill="auto"/>
          </w:tcPr>
          <w:p w14:paraId="06A0421E"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490" w:type="pct"/>
            <w:tcBorders>
              <w:top w:val="nil"/>
              <w:left w:val="nil"/>
              <w:bottom w:val="single" w:sz="4" w:space="0" w:color="000000"/>
              <w:right w:val="single" w:sz="4" w:space="0" w:color="000000"/>
            </w:tcBorders>
            <w:shd w:val="clear" w:color="auto" w:fill="auto"/>
            <w:vAlign w:val="center"/>
          </w:tcPr>
          <w:p w14:paraId="4D1535A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5.57</w:t>
            </w:r>
          </w:p>
        </w:tc>
        <w:tc>
          <w:tcPr>
            <w:tcW w:w="379" w:type="pct"/>
            <w:tcBorders>
              <w:top w:val="nil"/>
              <w:left w:val="nil"/>
              <w:bottom w:val="single" w:sz="4" w:space="0" w:color="000000"/>
              <w:right w:val="single" w:sz="4" w:space="0" w:color="000000"/>
            </w:tcBorders>
            <w:shd w:val="clear" w:color="auto" w:fill="auto"/>
            <w:vAlign w:val="center"/>
          </w:tcPr>
          <w:p w14:paraId="41B8A083"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5.41</w:t>
            </w:r>
          </w:p>
        </w:tc>
        <w:tc>
          <w:tcPr>
            <w:tcW w:w="553" w:type="pct"/>
            <w:tcBorders>
              <w:top w:val="nil"/>
              <w:left w:val="nil"/>
              <w:bottom w:val="single" w:sz="4" w:space="0" w:color="000000"/>
              <w:right w:val="single" w:sz="12" w:space="0" w:color="000000"/>
            </w:tcBorders>
            <w:shd w:val="clear" w:color="auto" w:fill="auto"/>
            <w:vAlign w:val="center"/>
          </w:tcPr>
          <w:p w14:paraId="62F28EB0"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5.76</w:t>
            </w:r>
          </w:p>
        </w:tc>
        <w:tc>
          <w:tcPr>
            <w:tcW w:w="379" w:type="pct"/>
            <w:tcBorders>
              <w:top w:val="nil"/>
              <w:left w:val="nil"/>
              <w:bottom w:val="single" w:sz="4" w:space="0" w:color="000000"/>
              <w:right w:val="single" w:sz="12" w:space="0" w:color="000000"/>
            </w:tcBorders>
          </w:tcPr>
          <w:p w14:paraId="0E58F29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5.69</w:t>
            </w:r>
          </w:p>
        </w:tc>
      </w:tr>
      <w:tr w:rsidR="009968E0" w:rsidRPr="009968E0" w14:paraId="1EE559E9" w14:textId="77777777" w:rsidTr="009968E0">
        <w:trPr>
          <w:trHeight w:val="360"/>
        </w:trPr>
        <w:tc>
          <w:tcPr>
            <w:tcW w:w="888" w:type="pct"/>
            <w:vMerge/>
            <w:tcBorders>
              <w:top w:val="nil"/>
              <w:left w:val="single" w:sz="12" w:space="0" w:color="000000"/>
              <w:bottom w:val="single" w:sz="4" w:space="0" w:color="000000"/>
              <w:right w:val="nil"/>
            </w:tcBorders>
            <w:shd w:val="clear" w:color="auto" w:fill="FDE9D9"/>
          </w:tcPr>
          <w:p w14:paraId="6154F247"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455" w:type="pct"/>
            <w:vMerge w:val="restart"/>
            <w:tcBorders>
              <w:top w:val="nil"/>
              <w:left w:val="nil"/>
              <w:bottom w:val="single" w:sz="4" w:space="0" w:color="000000"/>
              <w:right w:val="nil"/>
            </w:tcBorders>
            <w:shd w:val="clear" w:color="auto" w:fill="auto"/>
          </w:tcPr>
          <w:p w14:paraId="12DF70C7"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w:t>
            </w:r>
          </w:p>
        </w:tc>
        <w:tc>
          <w:tcPr>
            <w:tcW w:w="855" w:type="pct"/>
            <w:tcBorders>
              <w:top w:val="nil"/>
              <w:left w:val="nil"/>
              <w:bottom w:val="nil"/>
              <w:right w:val="single" w:sz="12" w:space="0" w:color="000000"/>
            </w:tcBorders>
            <w:shd w:val="clear" w:color="auto" w:fill="auto"/>
          </w:tcPr>
          <w:p w14:paraId="20F633BF"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490" w:type="pct"/>
            <w:tcBorders>
              <w:top w:val="nil"/>
              <w:left w:val="nil"/>
              <w:bottom w:val="nil"/>
              <w:right w:val="single" w:sz="4" w:space="0" w:color="000000"/>
            </w:tcBorders>
            <w:shd w:val="clear" w:color="auto" w:fill="auto"/>
            <w:vAlign w:val="center"/>
          </w:tcPr>
          <w:p w14:paraId="202BFBB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4.96</w:t>
            </w:r>
          </w:p>
        </w:tc>
        <w:tc>
          <w:tcPr>
            <w:tcW w:w="379" w:type="pct"/>
            <w:tcBorders>
              <w:top w:val="nil"/>
              <w:left w:val="nil"/>
              <w:bottom w:val="nil"/>
              <w:right w:val="single" w:sz="4" w:space="0" w:color="000000"/>
            </w:tcBorders>
            <w:shd w:val="clear" w:color="auto" w:fill="auto"/>
            <w:vAlign w:val="center"/>
          </w:tcPr>
          <w:p w14:paraId="52650A80"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4.88</w:t>
            </w:r>
          </w:p>
        </w:tc>
        <w:tc>
          <w:tcPr>
            <w:tcW w:w="553" w:type="pct"/>
            <w:tcBorders>
              <w:top w:val="nil"/>
              <w:left w:val="nil"/>
              <w:bottom w:val="nil"/>
              <w:right w:val="single" w:sz="12" w:space="0" w:color="000000"/>
            </w:tcBorders>
            <w:shd w:val="clear" w:color="auto" w:fill="auto"/>
            <w:vAlign w:val="center"/>
          </w:tcPr>
          <w:p w14:paraId="0950BAF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4.99</w:t>
            </w:r>
          </w:p>
        </w:tc>
        <w:tc>
          <w:tcPr>
            <w:tcW w:w="379" w:type="pct"/>
            <w:tcBorders>
              <w:top w:val="nil"/>
              <w:left w:val="nil"/>
              <w:bottom w:val="nil"/>
              <w:right w:val="single" w:sz="12" w:space="0" w:color="000000"/>
            </w:tcBorders>
            <w:vAlign w:val="center"/>
          </w:tcPr>
          <w:p w14:paraId="7921C090"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5.08</w:t>
            </w:r>
          </w:p>
        </w:tc>
      </w:tr>
      <w:tr w:rsidR="009968E0" w:rsidRPr="009968E0" w14:paraId="5EA899CE" w14:textId="77777777" w:rsidTr="009968E0">
        <w:trPr>
          <w:trHeight w:val="360"/>
        </w:trPr>
        <w:tc>
          <w:tcPr>
            <w:tcW w:w="888" w:type="pct"/>
            <w:vMerge/>
            <w:tcBorders>
              <w:top w:val="nil"/>
              <w:left w:val="single" w:sz="12" w:space="0" w:color="000000"/>
              <w:bottom w:val="single" w:sz="4" w:space="0" w:color="000000"/>
              <w:right w:val="nil"/>
            </w:tcBorders>
            <w:shd w:val="clear" w:color="auto" w:fill="FDE9D9"/>
          </w:tcPr>
          <w:p w14:paraId="5FB71463"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455" w:type="pct"/>
            <w:vMerge/>
            <w:tcBorders>
              <w:top w:val="nil"/>
              <w:left w:val="nil"/>
              <w:bottom w:val="single" w:sz="4" w:space="0" w:color="000000"/>
              <w:right w:val="nil"/>
            </w:tcBorders>
            <w:shd w:val="clear" w:color="auto" w:fill="auto"/>
          </w:tcPr>
          <w:p w14:paraId="0D960484"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855" w:type="pct"/>
            <w:tcBorders>
              <w:top w:val="nil"/>
              <w:left w:val="nil"/>
              <w:bottom w:val="single" w:sz="4" w:space="0" w:color="000000"/>
              <w:right w:val="single" w:sz="12" w:space="0" w:color="000000"/>
            </w:tcBorders>
            <w:shd w:val="clear" w:color="auto" w:fill="auto"/>
          </w:tcPr>
          <w:p w14:paraId="4F37FAAB"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490" w:type="pct"/>
            <w:tcBorders>
              <w:top w:val="nil"/>
              <w:left w:val="nil"/>
              <w:bottom w:val="single" w:sz="4" w:space="0" w:color="000000"/>
              <w:right w:val="single" w:sz="4" w:space="0" w:color="000000"/>
            </w:tcBorders>
            <w:shd w:val="clear" w:color="auto" w:fill="auto"/>
            <w:vAlign w:val="center"/>
          </w:tcPr>
          <w:p w14:paraId="31984D3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6.18</w:t>
            </w:r>
          </w:p>
        </w:tc>
        <w:tc>
          <w:tcPr>
            <w:tcW w:w="379" w:type="pct"/>
            <w:tcBorders>
              <w:top w:val="nil"/>
              <w:left w:val="nil"/>
              <w:bottom w:val="single" w:sz="4" w:space="0" w:color="000000"/>
              <w:right w:val="single" w:sz="4" w:space="0" w:color="000000"/>
            </w:tcBorders>
            <w:shd w:val="clear" w:color="auto" w:fill="auto"/>
            <w:vAlign w:val="center"/>
          </w:tcPr>
          <w:p w14:paraId="3AD7CBD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5.94</w:t>
            </w:r>
          </w:p>
        </w:tc>
        <w:tc>
          <w:tcPr>
            <w:tcW w:w="553" w:type="pct"/>
            <w:tcBorders>
              <w:top w:val="nil"/>
              <w:left w:val="nil"/>
              <w:bottom w:val="single" w:sz="4" w:space="0" w:color="000000"/>
              <w:right w:val="single" w:sz="12" w:space="0" w:color="000000"/>
            </w:tcBorders>
            <w:shd w:val="clear" w:color="auto" w:fill="auto"/>
            <w:vAlign w:val="center"/>
          </w:tcPr>
          <w:p w14:paraId="03B3D72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6.52</w:t>
            </w:r>
          </w:p>
        </w:tc>
        <w:tc>
          <w:tcPr>
            <w:tcW w:w="379" w:type="pct"/>
            <w:tcBorders>
              <w:top w:val="nil"/>
              <w:left w:val="nil"/>
              <w:bottom w:val="single" w:sz="4" w:space="0" w:color="000000"/>
              <w:right w:val="single" w:sz="12" w:space="0" w:color="000000"/>
            </w:tcBorders>
            <w:vAlign w:val="center"/>
          </w:tcPr>
          <w:p w14:paraId="25523AD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6.30</w:t>
            </w:r>
          </w:p>
        </w:tc>
      </w:tr>
      <w:tr w:rsidR="009968E0" w:rsidRPr="009968E0" w14:paraId="6C9915E4" w14:textId="77777777" w:rsidTr="009968E0">
        <w:trPr>
          <w:trHeight w:val="360"/>
        </w:trPr>
        <w:tc>
          <w:tcPr>
            <w:tcW w:w="5000" w:type="pct"/>
            <w:gridSpan w:val="7"/>
            <w:tcBorders>
              <w:top w:val="nil"/>
              <w:left w:val="single" w:sz="12" w:space="0" w:color="000000"/>
              <w:bottom w:val="single" w:sz="4" w:space="0" w:color="000000"/>
              <w:right w:val="single" w:sz="12" w:space="0" w:color="000000"/>
            </w:tcBorders>
            <w:shd w:val="clear" w:color="auto" w:fill="auto"/>
            <w:vAlign w:val="center"/>
          </w:tcPr>
          <w:p w14:paraId="05216129"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p=0.68</w:t>
            </w:r>
          </w:p>
        </w:tc>
      </w:tr>
      <w:tr w:rsidR="009968E0" w:rsidRPr="009968E0" w14:paraId="3C6B3CA4" w14:textId="77777777" w:rsidTr="009968E0">
        <w:trPr>
          <w:trHeight w:val="360"/>
        </w:trPr>
        <w:tc>
          <w:tcPr>
            <w:tcW w:w="888" w:type="pct"/>
            <w:vMerge w:val="restart"/>
            <w:tcBorders>
              <w:top w:val="nil"/>
              <w:left w:val="single" w:sz="12" w:space="0" w:color="000000"/>
              <w:bottom w:val="single" w:sz="4" w:space="0" w:color="000000"/>
              <w:right w:val="nil"/>
            </w:tcBorders>
            <w:shd w:val="clear" w:color="auto" w:fill="FDE9D9"/>
          </w:tcPr>
          <w:p w14:paraId="47E9CE47"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MTT-LINS3</w:t>
            </w:r>
          </w:p>
        </w:tc>
        <w:tc>
          <w:tcPr>
            <w:tcW w:w="2310" w:type="pct"/>
            <w:gridSpan w:val="2"/>
            <w:tcBorders>
              <w:top w:val="nil"/>
              <w:left w:val="nil"/>
              <w:bottom w:val="single" w:sz="4" w:space="0" w:color="000000"/>
              <w:right w:val="single" w:sz="12" w:space="0" w:color="000000"/>
            </w:tcBorders>
            <w:shd w:val="clear" w:color="auto" w:fill="auto"/>
          </w:tcPr>
          <w:p w14:paraId="6F9B5CC5"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490" w:type="pct"/>
            <w:tcBorders>
              <w:top w:val="nil"/>
              <w:left w:val="nil"/>
              <w:bottom w:val="single" w:sz="4" w:space="0" w:color="000000"/>
              <w:right w:val="single" w:sz="4" w:space="0" w:color="000000"/>
            </w:tcBorders>
            <w:shd w:val="clear" w:color="auto" w:fill="auto"/>
            <w:vAlign w:val="center"/>
          </w:tcPr>
          <w:p w14:paraId="3642EFB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4.95</w:t>
            </w:r>
          </w:p>
        </w:tc>
        <w:tc>
          <w:tcPr>
            <w:tcW w:w="379" w:type="pct"/>
            <w:tcBorders>
              <w:top w:val="nil"/>
              <w:left w:val="nil"/>
              <w:bottom w:val="single" w:sz="4" w:space="0" w:color="000000"/>
              <w:right w:val="single" w:sz="4" w:space="0" w:color="000000"/>
            </w:tcBorders>
            <w:shd w:val="clear" w:color="auto" w:fill="auto"/>
            <w:vAlign w:val="center"/>
          </w:tcPr>
          <w:p w14:paraId="40F447B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4.56</w:t>
            </w:r>
          </w:p>
        </w:tc>
        <w:tc>
          <w:tcPr>
            <w:tcW w:w="553" w:type="pct"/>
            <w:tcBorders>
              <w:top w:val="nil"/>
              <w:left w:val="nil"/>
              <w:bottom w:val="single" w:sz="4" w:space="0" w:color="000000"/>
              <w:right w:val="single" w:sz="12" w:space="0" w:color="000000"/>
            </w:tcBorders>
            <w:shd w:val="clear" w:color="auto" w:fill="auto"/>
            <w:vAlign w:val="center"/>
          </w:tcPr>
          <w:p w14:paraId="7670A680"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4.82</w:t>
            </w:r>
          </w:p>
        </w:tc>
        <w:tc>
          <w:tcPr>
            <w:tcW w:w="379" w:type="pct"/>
            <w:tcBorders>
              <w:top w:val="nil"/>
              <w:left w:val="nil"/>
              <w:bottom w:val="single" w:sz="4" w:space="0" w:color="000000"/>
              <w:right w:val="single" w:sz="12" w:space="0" w:color="000000"/>
            </w:tcBorders>
          </w:tcPr>
          <w:p w14:paraId="5AB066F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4.94</w:t>
            </w:r>
          </w:p>
        </w:tc>
      </w:tr>
      <w:tr w:rsidR="009968E0" w:rsidRPr="009968E0" w14:paraId="7F75FF8C" w14:textId="77777777" w:rsidTr="009968E0">
        <w:trPr>
          <w:trHeight w:val="360"/>
        </w:trPr>
        <w:tc>
          <w:tcPr>
            <w:tcW w:w="888" w:type="pct"/>
            <w:vMerge/>
            <w:tcBorders>
              <w:top w:val="nil"/>
              <w:left w:val="single" w:sz="12" w:space="0" w:color="000000"/>
              <w:bottom w:val="single" w:sz="4" w:space="0" w:color="000000"/>
              <w:right w:val="nil"/>
            </w:tcBorders>
            <w:shd w:val="clear" w:color="auto" w:fill="FDE9D9"/>
          </w:tcPr>
          <w:p w14:paraId="790245C7"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455" w:type="pct"/>
            <w:vMerge w:val="restart"/>
            <w:tcBorders>
              <w:top w:val="nil"/>
              <w:left w:val="nil"/>
              <w:bottom w:val="single" w:sz="4" w:space="0" w:color="000000"/>
              <w:right w:val="nil"/>
            </w:tcBorders>
            <w:shd w:val="clear" w:color="auto" w:fill="auto"/>
          </w:tcPr>
          <w:p w14:paraId="673BDA34"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w:t>
            </w:r>
          </w:p>
        </w:tc>
        <w:tc>
          <w:tcPr>
            <w:tcW w:w="855" w:type="pct"/>
            <w:tcBorders>
              <w:top w:val="nil"/>
              <w:left w:val="nil"/>
              <w:bottom w:val="nil"/>
              <w:right w:val="single" w:sz="12" w:space="0" w:color="000000"/>
            </w:tcBorders>
            <w:shd w:val="clear" w:color="auto" w:fill="auto"/>
          </w:tcPr>
          <w:p w14:paraId="7E2EE0EB"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490" w:type="pct"/>
            <w:tcBorders>
              <w:top w:val="nil"/>
              <w:left w:val="nil"/>
              <w:bottom w:val="nil"/>
              <w:right w:val="single" w:sz="4" w:space="0" w:color="000000"/>
            </w:tcBorders>
            <w:shd w:val="clear" w:color="auto" w:fill="auto"/>
            <w:vAlign w:val="center"/>
          </w:tcPr>
          <w:p w14:paraId="67778404"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4.45</w:t>
            </w:r>
          </w:p>
        </w:tc>
        <w:tc>
          <w:tcPr>
            <w:tcW w:w="379" w:type="pct"/>
            <w:tcBorders>
              <w:top w:val="nil"/>
              <w:left w:val="nil"/>
              <w:bottom w:val="nil"/>
              <w:right w:val="single" w:sz="4" w:space="0" w:color="000000"/>
            </w:tcBorders>
            <w:shd w:val="clear" w:color="auto" w:fill="auto"/>
            <w:vAlign w:val="center"/>
          </w:tcPr>
          <w:p w14:paraId="6F1075F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4.13</w:t>
            </w:r>
          </w:p>
        </w:tc>
        <w:tc>
          <w:tcPr>
            <w:tcW w:w="553" w:type="pct"/>
            <w:tcBorders>
              <w:top w:val="nil"/>
              <w:left w:val="nil"/>
              <w:bottom w:val="nil"/>
              <w:right w:val="single" w:sz="12" w:space="0" w:color="000000"/>
            </w:tcBorders>
            <w:shd w:val="clear" w:color="auto" w:fill="auto"/>
            <w:vAlign w:val="center"/>
          </w:tcPr>
          <w:p w14:paraId="658AE09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4.20</w:t>
            </w:r>
          </w:p>
        </w:tc>
        <w:tc>
          <w:tcPr>
            <w:tcW w:w="379" w:type="pct"/>
            <w:tcBorders>
              <w:top w:val="nil"/>
              <w:left w:val="nil"/>
              <w:bottom w:val="nil"/>
              <w:right w:val="single" w:sz="12" w:space="0" w:color="000000"/>
            </w:tcBorders>
            <w:vAlign w:val="center"/>
          </w:tcPr>
          <w:p w14:paraId="1BD6187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4.45</w:t>
            </w:r>
          </w:p>
        </w:tc>
      </w:tr>
      <w:tr w:rsidR="009968E0" w:rsidRPr="009968E0" w14:paraId="1DAC57C2" w14:textId="77777777" w:rsidTr="009968E0">
        <w:trPr>
          <w:trHeight w:val="360"/>
        </w:trPr>
        <w:tc>
          <w:tcPr>
            <w:tcW w:w="888" w:type="pct"/>
            <w:vMerge/>
            <w:tcBorders>
              <w:top w:val="nil"/>
              <w:left w:val="single" w:sz="12" w:space="0" w:color="000000"/>
              <w:bottom w:val="single" w:sz="4" w:space="0" w:color="000000"/>
              <w:right w:val="nil"/>
            </w:tcBorders>
            <w:shd w:val="clear" w:color="auto" w:fill="FDE9D9"/>
          </w:tcPr>
          <w:p w14:paraId="6CD98808"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455" w:type="pct"/>
            <w:vMerge/>
            <w:tcBorders>
              <w:top w:val="nil"/>
              <w:left w:val="nil"/>
              <w:bottom w:val="single" w:sz="4" w:space="0" w:color="000000"/>
              <w:right w:val="nil"/>
            </w:tcBorders>
            <w:shd w:val="clear" w:color="auto" w:fill="auto"/>
          </w:tcPr>
          <w:p w14:paraId="70448394"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855" w:type="pct"/>
            <w:tcBorders>
              <w:top w:val="nil"/>
              <w:left w:val="nil"/>
              <w:bottom w:val="single" w:sz="4" w:space="0" w:color="000000"/>
              <w:right w:val="single" w:sz="12" w:space="0" w:color="000000"/>
            </w:tcBorders>
            <w:shd w:val="clear" w:color="auto" w:fill="auto"/>
          </w:tcPr>
          <w:p w14:paraId="0F78BB88"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490" w:type="pct"/>
            <w:tcBorders>
              <w:top w:val="nil"/>
              <w:left w:val="nil"/>
              <w:bottom w:val="single" w:sz="4" w:space="0" w:color="000000"/>
              <w:right w:val="single" w:sz="4" w:space="0" w:color="000000"/>
            </w:tcBorders>
            <w:shd w:val="clear" w:color="auto" w:fill="auto"/>
            <w:vAlign w:val="center"/>
          </w:tcPr>
          <w:p w14:paraId="25BF0023"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5.44</w:t>
            </w:r>
          </w:p>
        </w:tc>
        <w:tc>
          <w:tcPr>
            <w:tcW w:w="379" w:type="pct"/>
            <w:tcBorders>
              <w:top w:val="nil"/>
              <w:left w:val="nil"/>
              <w:bottom w:val="single" w:sz="4" w:space="0" w:color="000000"/>
              <w:right w:val="single" w:sz="4" w:space="0" w:color="000000"/>
            </w:tcBorders>
            <w:shd w:val="clear" w:color="auto" w:fill="auto"/>
            <w:vAlign w:val="center"/>
          </w:tcPr>
          <w:p w14:paraId="2B750D3E"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5.00</w:t>
            </w:r>
          </w:p>
        </w:tc>
        <w:tc>
          <w:tcPr>
            <w:tcW w:w="553" w:type="pct"/>
            <w:tcBorders>
              <w:top w:val="nil"/>
              <w:left w:val="nil"/>
              <w:bottom w:val="single" w:sz="4" w:space="0" w:color="000000"/>
              <w:right w:val="single" w:sz="12" w:space="0" w:color="000000"/>
            </w:tcBorders>
            <w:shd w:val="clear" w:color="auto" w:fill="auto"/>
            <w:vAlign w:val="center"/>
          </w:tcPr>
          <w:p w14:paraId="4489C4C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5.44</w:t>
            </w:r>
          </w:p>
        </w:tc>
        <w:tc>
          <w:tcPr>
            <w:tcW w:w="379" w:type="pct"/>
            <w:tcBorders>
              <w:top w:val="nil"/>
              <w:left w:val="nil"/>
              <w:bottom w:val="single" w:sz="4" w:space="0" w:color="000000"/>
              <w:right w:val="single" w:sz="12" w:space="0" w:color="000000"/>
            </w:tcBorders>
            <w:vAlign w:val="center"/>
          </w:tcPr>
          <w:p w14:paraId="744F34D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5.44</w:t>
            </w:r>
          </w:p>
        </w:tc>
      </w:tr>
      <w:tr w:rsidR="009968E0" w:rsidRPr="009968E0" w14:paraId="21016177" w14:textId="77777777" w:rsidTr="009968E0">
        <w:trPr>
          <w:trHeight w:val="360"/>
        </w:trPr>
        <w:tc>
          <w:tcPr>
            <w:tcW w:w="5000" w:type="pct"/>
            <w:gridSpan w:val="7"/>
            <w:tcBorders>
              <w:top w:val="nil"/>
              <w:left w:val="single" w:sz="12" w:space="0" w:color="000000"/>
              <w:bottom w:val="single" w:sz="4" w:space="0" w:color="000000"/>
              <w:right w:val="single" w:sz="12" w:space="0" w:color="000000"/>
            </w:tcBorders>
            <w:shd w:val="clear" w:color="auto" w:fill="auto"/>
            <w:vAlign w:val="center"/>
          </w:tcPr>
          <w:p w14:paraId="77AF73FB"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p=0.22</w:t>
            </w:r>
          </w:p>
        </w:tc>
      </w:tr>
      <w:tr w:rsidR="009968E0" w:rsidRPr="009968E0" w14:paraId="1A249E87" w14:textId="77777777" w:rsidTr="009968E0">
        <w:trPr>
          <w:trHeight w:val="360"/>
        </w:trPr>
        <w:tc>
          <w:tcPr>
            <w:tcW w:w="888" w:type="pct"/>
            <w:vMerge w:val="restart"/>
            <w:tcBorders>
              <w:top w:val="nil"/>
              <w:left w:val="single" w:sz="12" w:space="0" w:color="000000"/>
              <w:bottom w:val="single" w:sz="4" w:space="0" w:color="000000"/>
              <w:right w:val="nil"/>
            </w:tcBorders>
            <w:shd w:val="clear" w:color="auto" w:fill="FDE9D9"/>
          </w:tcPr>
          <w:p w14:paraId="4D04E0AE"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MTT-RINS3</w:t>
            </w:r>
          </w:p>
        </w:tc>
        <w:tc>
          <w:tcPr>
            <w:tcW w:w="2310" w:type="pct"/>
            <w:gridSpan w:val="2"/>
            <w:tcBorders>
              <w:top w:val="nil"/>
              <w:left w:val="nil"/>
              <w:bottom w:val="single" w:sz="4" w:space="0" w:color="000000"/>
              <w:right w:val="single" w:sz="12" w:space="0" w:color="000000"/>
            </w:tcBorders>
            <w:shd w:val="clear" w:color="auto" w:fill="auto"/>
          </w:tcPr>
          <w:p w14:paraId="4F2C53DE"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490" w:type="pct"/>
            <w:tcBorders>
              <w:top w:val="nil"/>
              <w:left w:val="nil"/>
              <w:bottom w:val="single" w:sz="4" w:space="0" w:color="000000"/>
              <w:right w:val="single" w:sz="4" w:space="0" w:color="000000"/>
            </w:tcBorders>
            <w:shd w:val="clear" w:color="auto" w:fill="auto"/>
            <w:vAlign w:val="center"/>
          </w:tcPr>
          <w:p w14:paraId="729A51A0"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4.99</w:t>
            </w:r>
          </w:p>
        </w:tc>
        <w:tc>
          <w:tcPr>
            <w:tcW w:w="379" w:type="pct"/>
            <w:tcBorders>
              <w:top w:val="nil"/>
              <w:left w:val="nil"/>
              <w:bottom w:val="single" w:sz="4" w:space="0" w:color="000000"/>
              <w:right w:val="single" w:sz="4" w:space="0" w:color="000000"/>
            </w:tcBorders>
            <w:shd w:val="clear" w:color="auto" w:fill="auto"/>
            <w:vAlign w:val="center"/>
          </w:tcPr>
          <w:p w14:paraId="253A492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4.60</w:t>
            </w:r>
          </w:p>
        </w:tc>
        <w:tc>
          <w:tcPr>
            <w:tcW w:w="553" w:type="pct"/>
            <w:tcBorders>
              <w:top w:val="nil"/>
              <w:left w:val="nil"/>
              <w:bottom w:val="single" w:sz="4" w:space="0" w:color="000000"/>
              <w:right w:val="single" w:sz="12" w:space="0" w:color="000000"/>
            </w:tcBorders>
            <w:shd w:val="clear" w:color="auto" w:fill="auto"/>
            <w:vAlign w:val="center"/>
          </w:tcPr>
          <w:p w14:paraId="4814674E"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5.22</w:t>
            </w:r>
          </w:p>
        </w:tc>
        <w:tc>
          <w:tcPr>
            <w:tcW w:w="379" w:type="pct"/>
            <w:tcBorders>
              <w:top w:val="nil"/>
              <w:left w:val="nil"/>
              <w:bottom w:val="single" w:sz="4" w:space="0" w:color="000000"/>
              <w:right w:val="single" w:sz="12" w:space="0" w:color="000000"/>
            </w:tcBorders>
          </w:tcPr>
          <w:p w14:paraId="51CBFFE4"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5.22</w:t>
            </w:r>
          </w:p>
        </w:tc>
      </w:tr>
      <w:tr w:rsidR="009968E0" w:rsidRPr="009968E0" w14:paraId="2FBDFBA2" w14:textId="77777777" w:rsidTr="009968E0">
        <w:trPr>
          <w:trHeight w:val="360"/>
        </w:trPr>
        <w:tc>
          <w:tcPr>
            <w:tcW w:w="888" w:type="pct"/>
            <w:vMerge/>
            <w:tcBorders>
              <w:top w:val="nil"/>
              <w:left w:val="single" w:sz="12" w:space="0" w:color="000000"/>
              <w:bottom w:val="single" w:sz="4" w:space="0" w:color="000000"/>
              <w:right w:val="nil"/>
            </w:tcBorders>
            <w:shd w:val="clear" w:color="auto" w:fill="FDE9D9"/>
          </w:tcPr>
          <w:p w14:paraId="09E26C93"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455" w:type="pct"/>
            <w:vMerge w:val="restart"/>
            <w:tcBorders>
              <w:top w:val="nil"/>
              <w:left w:val="nil"/>
              <w:bottom w:val="single" w:sz="4" w:space="0" w:color="000000"/>
              <w:right w:val="nil"/>
            </w:tcBorders>
            <w:shd w:val="clear" w:color="auto" w:fill="auto"/>
          </w:tcPr>
          <w:p w14:paraId="4E6BFA79"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w:t>
            </w:r>
          </w:p>
        </w:tc>
        <w:tc>
          <w:tcPr>
            <w:tcW w:w="855" w:type="pct"/>
            <w:tcBorders>
              <w:top w:val="nil"/>
              <w:left w:val="nil"/>
              <w:bottom w:val="nil"/>
              <w:right w:val="single" w:sz="12" w:space="0" w:color="000000"/>
            </w:tcBorders>
            <w:shd w:val="clear" w:color="auto" w:fill="auto"/>
          </w:tcPr>
          <w:p w14:paraId="1F74E134"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490" w:type="pct"/>
            <w:tcBorders>
              <w:top w:val="nil"/>
              <w:left w:val="nil"/>
              <w:bottom w:val="nil"/>
              <w:right w:val="single" w:sz="4" w:space="0" w:color="000000"/>
            </w:tcBorders>
            <w:shd w:val="clear" w:color="auto" w:fill="auto"/>
            <w:vAlign w:val="center"/>
          </w:tcPr>
          <w:p w14:paraId="61F05B4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4.49</w:t>
            </w:r>
          </w:p>
        </w:tc>
        <w:tc>
          <w:tcPr>
            <w:tcW w:w="379" w:type="pct"/>
            <w:tcBorders>
              <w:top w:val="nil"/>
              <w:left w:val="nil"/>
              <w:bottom w:val="nil"/>
              <w:right w:val="single" w:sz="4" w:space="0" w:color="000000"/>
            </w:tcBorders>
            <w:shd w:val="clear" w:color="auto" w:fill="auto"/>
            <w:vAlign w:val="center"/>
          </w:tcPr>
          <w:p w14:paraId="5CEADFB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4.16</w:t>
            </w:r>
          </w:p>
        </w:tc>
        <w:tc>
          <w:tcPr>
            <w:tcW w:w="553" w:type="pct"/>
            <w:tcBorders>
              <w:top w:val="nil"/>
              <w:left w:val="nil"/>
              <w:bottom w:val="nil"/>
              <w:right w:val="single" w:sz="12" w:space="0" w:color="000000"/>
            </w:tcBorders>
            <w:shd w:val="clear" w:color="auto" w:fill="auto"/>
            <w:vAlign w:val="center"/>
          </w:tcPr>
          <w:p w14:paraId="3995C51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4.60</w:t>
            </w:r>
          </w:p>
        </w:tc>
        <w:tc>
          <w:tcPr>
            <w:tcW w:w="379" w:type="pct"/>
            <w:tcBorders>
              <w:top w:val="nil"/>
              <w:left w:val="nil"/>
              <w:bottom w:val="nil"/>
              <w:right w:val="single" w:sz="12" w:space="0" w:color="000000"/>
            </w:tcBorders>
            <w:vAlign w:val="center"/>
          </w:tcPr>
          <w:p w14:paraId="41B74AD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4.72</w:t>
            </w:r>
          </w:p>
        </w:tc>
      </w:tr>
      <w:tr w:rsidR="009968E0" w:rsidRPr="009968E0" w14:paraId="5AC3405A" w14:textId="77777777" w:rsidTr="009968E0">
        <w:trPr>
          <w:trHeight w:val="360"/>
        </w:trPr>
        <w:tc>
          <w:tcPr>
            <w:tcW w:w="888" w:type="pct"/>
            <w:vMerge/>
            <w:tcBorders>
              <w:top w:val="nil"/>
              <w:left w:val="single" w:sz="12" w:space="0" w:color="000000"/>
              <w:bottom w:val="single" w:sz="4" w:space="0" w:color="000000"/>
              <w:right w:val="nil"/>
            </w:tcBorders>
            <w:shd w:val="clear" w:color="auto" w:fill="FDE9D9"/>
          </w:tcPr>
          <w:p w14:paraId="266B492C"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455" w:type="pct"/>
            <w:vMerge/>
            <w:tcBorders>
              <w:top w:val="nil"/>
              <w:left w:val="nil"/>
              <w:bottom w:val="single" w:sz="4" w:space="0" w:color="000000"/>
              <w:right w:val="nil"/>
            </w:tcBorders>
            <w:shd w:val="clear" w:color="auto" w:fill="auto"/>
          </w:tcPr>
          <w:p w14:paraId="7CE2F638"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855" w:type="pct"/>
            <w:tcBorders>
              <w:top w:val="nil"/>
              <w:left w:val="nil"/>
              <w:bottom w:val="single" w:sz="4" w:space="0" w:color="000000"/>
              <w:right w:val="single" w:sz="12" w:space="0" w:color="000000"/>
            </w:tcBorders>
            <w:shd w:val="clear" w:color="auto" w:fill="auto"/>
          </w:tcPr>
          <w:p w14:paraId="2A0CCF5C"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490" w:type="pct"/>
            <w:tcBorders>
              <w:top w:val="nil"/>
              <w:left w:val="nil"/>
              <w:bottom w:val="single" w:sz="4" w:space="0" w:color="000000"/>
              <w:right w:val="single" w:sz="4" w:space="0" w:color="000000"/>
            </w:tcBorders>
            <w:shd w:val="clear" w:color="auto" w:fill="auto"/>
            <w:vAlign w:val="center"/>
          </w:tcPr>
          <w:p w14:paraId="487BD09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5.49</w:t>
            </w:r>
          </w:p>
        </w:tc>
        <w:tc>
          <w:tcPr>
            <w:tcW w:w="379" w:type="pct"/>
            <w:tcBorders>
              <w:top w:val="nil"/>
              <w:left w:val="nil"/>
              <w:bottom w:val="single" w:sz="4" w:space="0" w:color="000000"/>
              <w:right w:val="single" w:sz="4" w:space="0" w:color="000000"/>
            </w:tcBorders>
            <w:shd w:val="clear" w:color="auto" w:fill="auto"/>
            <w:vAlign w:val="center"/>
          </w:tcPr>
          <w:p w14:paraId="50FD23D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5.04</w:t>
            </w:r>
          </w:p>
        </w:tc>
        <w:tc>
          <w:tcPr>
            <w:tcW w:w="553" w:type="pct"/>
            <w:tcBorders>
              <w:top w:val="nil"/>
              <w:left w:val="nil"/>
              <w:bottom w:val="single" w:sz="4" w:space="0" w:color="000000"/>
              <w:right w:val="single" w:sz="12" w:space="0" w:color="000000"/>
            </w:tcBorders>
            <w:shd w:val="clear" w:color="auto" w:fill="auto"/>
            <w:vAlign w:val="center"/>
          </w:tcPr>
          <w:p w14:paraId="1A54CEC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5.85</w:t>
            </w:r>
          </w:p>
        </w:tc>
        <w:tc>
          <w:tcPr>
            <w:tcW w:w="379" w:type="pct"/>
            <w:tcBorders>
              <w:top w:val="nil"/>
              <w:left w:val="nil"/>
              <w:bottom w:val="single" w:sz="4" w:space="0" w:color="000000"/>
              <w:right w:val="single" w:sz="12" w:space="0" w:color="000000"/>
            </w:tcBorders>
            <w:vAlign w:val="center"/>
          </w:tcPr>
          <w:p w14:paraId="428DF380"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5.72</w:t>
            </w:r>
          </w:p>
        </w:tc>
      </w:tr>
      <w:tr w:rsidR="009968E0" w:rsidRPr="009968E0" w14:paraId="08A7590E" w14:textId="77777777" w:rsidTr="009968E0">
        <w:trPr>
          <w:trHeight w:val="360"/>
        </w:trPr>
        <w:tc>
          <w:tcPr>
            <w:tcW w:w="5000" w:type="pct"/>
            <w:gridSpan w:val="7"/>
            <w:tcBorders>
              <w:top w:val="nil"/>
              <w:left w:val="single" w:sz="12" w:space="0" w:color="000000"/>
              <w:bottom w:val="single" w:sz="4" w:space="0" w:color="000000"/>
              <w:right w:val="single" w:sz="12" w:space="0" w:color="000000"/>
            </w:tcBorders>
            <w:shd w:val="clear" w:color="auto" w:fill="auto"/>
            <w:vAlign w:val="center"/>
          </w:tcPr>
          <w:p w14:paraId="0F88A825"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p=0.20</w:t>
            </w:r>
          </w:p>
        </w:tc>
      </w:tr>
      <w:tr w:rsidR="009968E0" w:rsidRPr="009968E0" w14:paraId="3BDCFB13" w14:textId="77777777" w:rsidTr="009968E0">
        <w:trPr>
          <w:trHeight w:val="360"/>
        </w:trPr>
        <w:tc>
          <w:tcPr>
            <w:tcW w:w="888" w:type="pct"/>
            <w:vMerge w:val="restart"/>
            <w:tcBorders>
              <w:top w:val="nil"/>
              <w:left w:val="single" w:sz="12" w:space="0" w:color="000000"/>
              <w:bottom w:val="single" w:sz="4" w:space="0" w:color="000000"/>
              <w:right w:val="nil"/>
            </w:tcBorders>
            <w:shd w:val="clear" w:color="auto" w:fill="FDE9D9"/>
          </w:tcPr>
          <w:p w14:paraId="171017C0"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MTT-ACC3</w:t>
            </w:r>
          </w:p>
        </w:tc>
        <w:tc>
          <w:tcPr>
            <w:tcW w:w="2310" w:type="pct"/>
            <w:gridSpan w:val="2"/>
            <w:tcBorders>
              <w:top w:val="nil"/>
              <w:left w:val="nil"/>
              <w:bottom w:val="single" w:sz="4" w:space="0" w:color="000000"/>
              <w:right w:val="single" w:sz="12" w:space="0" w:color="000000"/>
            </w:tcBorders>
            <w:shd w:val="clear" w:color="auto" w:fill="auto"/>
          </w:tcPr>
          <w:p w14:paraId="5F6BD3ED"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490" w:type="pct"/>
            <w:tcBorders>
              <w:top w:val="nil"/>
              <w:left w:val="nil"/>
              <w:bottom w:val="single" w:sz="4" w:space="0" w:color="000000"/>
              <w:right w:val="single" w:sz="4" w:space="0" w:color="000000"/>
            </w:tcBorders>
            <w:shd w:val="clear" w:color="auto" w:fill="auto"/>
            <w:vAlign w:val="center"/>
          </w:tcPr>
          <w:p w14:paraId="46AE074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5.25</w:t>
            </w:r>
          </w:p>
        </w:tc>
        <w:tc>
          <w:tcPr>
            <w:tcW w:w="379" w:type="pct"/>
            <w:tcBorders>
              <w:top w:val="nil"/>
              <w:left w:val="nil"/>
              <w:bottom w:val="single" w:sz="4" w:space="0" w:color="000000"/>
              <w:right w:val="single" w:sz="4" w:space="0" w:color="000000"/>
            </w:tcBorders>
            <w:shd w:val="clear" w:color="auto" w:fill="auto"/>
            <w:vAlign w:val="center"/>
          </w:tcPr>
          <w:p w14:paraId="1D5958D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4.72</w:t>
            </w:r>
          </w:p>
        </w:tc>
        <w:tc>
          <w:tcPr>
            <w:tcW w:w="553" w:type="pct"/>
            <w:tcBorders>
              <w:top w:val="nil"/>
              <w:left w:val="nil"/>
              <w:bottom w:val="single" w:sz="4" w:space="0" w:color="000000"/>
              <w:right w:val="single" w:sz="12" w:space="0" w:color="000000"/>
            </w:tcBorders>
            <w:shd w:val="clear" w:color="auto" w:fill="auto"/>
            <w:vAlign w:val="center"/>
          </w:tcPr>
          <w:p w14:paraId="07B26FE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5.16</w:t>
            </w:r>
          </w:p>
        </w:tc>
        <w:tc>
          <w:tcPr>
            <w:tcW w:w="379" w:type="pct"/>
            <w:tcBorders>
              <w:top w:val="nil"/>
              <w:left w:val="nil"/>
              <w:bottom w:val="single" w:sz="4" w:space="0" w:color="000000"/>
              <w:right w:val="single" w:sz="12" w:space="0" w:color="000000"/>
            </w:tcBorders>
          </w:tcPr>
          <w:p w14:paraId="637C8A9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5.24</w:t>
            </w:r>
          </w:p>
        </w:tc>
      </w:tr>
      <w:tr w:rsidR="009968E0" w:rsidRPr="009968E0" w14:paraId="400CB058" w14:textId="77777777" w:rsidTr="009968E0">
        <w:trPr>
          <w:trHeight w:val="360"/>
        </w:trPr>
        <w:tc>
          <w:tcPr>
            <w:tcW w:w="888" w:type="pct"/>
            <w:vMerge/>
            <w:tcBorders>
              <w:top w:val="nil"/>
              <w:left w:val="single" w:sz="12" w:space="0" w:color="000000"/>
              <w:bottom w:val="single" w:sz="4" w:space="0" w:color="000000"/>
              <w:right w:val="nil"/>
            </w:tcBorders>
            <w:shd w:val="clear" w:color="auto" w:fill="FDE9D9"/>
          </w:tcPr>
          <w:p w14:paraId="2798E14B"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455" w:type="pct"/>
            <w:vMerge w:val="restart"/>
            <w:tcBorders>
              <w:top w:val="nil"/>
              <w:left w:val="nil"/>
              <w:bottom w:val="single" w:sz="4" w:space="0" w:color="000000"/>
              <w:right w:val="nil"/>
            </w:tcBorders>
            <w:shd w:val="clear" w:color="auto" w:fill="auto"/>
          </w:tcPr>
          <w:p w14:paraId="2F07C879"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w:t>
            </w:r>
          </w:p>
        </w:tc>
        <w:tc>
          <w:tcPr>
            <w:tcW w:w="855" w:type="pct"/>
            <w:tcBorders>
              <w:top w:val="nil"/>
              <w:left w:val="nil"/>
              <w:bottom w:val="nil"/>
              <w:right w:val="single" w:sz="12" w:space="0" w:color="000000"/>
            </w:tcBorders>
            <w:shd w:val="clear" w:color="auto" w:fill="auto"/>
          </w:tcPr>
          <w:p w14:paraId="58A295B5"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490" w:type="pct"/>
            <w:tcBorders>
              <w:top w:val="nil"/>
              <w:left w:val="nil"/>
              <w:bottom w:val="nil"/>
              <w:right w:val="single" w:sz="4" w:space="0" w:color="000000"/>
            </w:tcBorders>
            <w:shd w:val="clear" w:color="auto" w:fill="auto"/>
            <w:vAlign w:val="center"/>
          </w:tcPr>
          <w:p w14:paraId="70563318"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4.71</w:t>
            </w:r>
          </w:p>
        </w:tc>
        <w:tc>
          <w:tcPr>
            <w:tcW w:w="379" w:type="pct"/>
            <w:tcBorders>
              <w:top w:val="nil"/>
              <w:left w:val="nil"/>
              <w:bottom w:val="nil"/>
              <w:right w:val="single" w:sz="4" w:space="0" w:color="000000"/>
            </w:tcBorders>
            <w:shd w:val="clear" w:color="auto" w:fill="auto"/>
            <w:vAlign w:val="center"/>
          </w:tcPr>
          <w:p w14:paraId="35F3009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4.26</w:t>
            </w:r>
          </w:p>
        </w:tc>
        <w:tc>
          <w:tcPr>
            <w:tcW w:w="553" w:type="pct"/>
            <w:tcBorders>
              <w:top w:val="nil"/>
              <w:left w:val="nil"/>
              <w:bottom w:val="nil"/>
              <w:right w:val="single" w:sz="12" w:space="0" w:color="000000"/>
            </w:tcBorders>
            <w:shd w:val="clear" w:color="auto" w:fill="auto"/>
            <w:vAlign w:val="center"/>
          </w:tcPr>
          <w:p w14:paraId="466AE88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4.50</w:t>
            </w:r>
          </w:p>
        </w:tc>
        <w:tc>
          <w:tcPr>
            <w:tcW w:w="379" w:type="pct"/>
            <w:tcBorders>
              <w:top w:val="nil"/>
              <w:left w:val="nil"/>
              <w:bottom w:val="nil"/>
              <w:right w:val="single" w:sz="12" w:space="0" w:color="000000"/>
            </w:tcBorders>
            <w:vAlign w:val="center"/>
          </w:tcPr>
          <w:p w14:paraId="0E67D2B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4.70</w:t>
            </w:r>
          </w:p>
        </w:tc>
      </w:tr>
      <w:tr w:rsidR="009968E0" w:rsidRPr="009968E0" w14:paraId="561500F1" w14:textId="77777777" w:rsidTr="009968E0">
        <w:trPr>
          <w:trHeight w:val="360"/>
        </w:trPr>
        <w:tc>
          <w:tcPr>
            <w:tcW w:w="888" w:type="pct"/>
            <w:vMerge/>
            <w:tcBorders>
              <w:top w:val="nil"/>
              <w:left w:val="single" w:sz="12" w:space="0" w:color="000000"/>
              <w:bottom w:val="single" w:sz="4" w:space="0" w:color="000000"/>
              <w:right w:val="nil"/>
            </w:tcBorders>
            <w:shd w:val="clear" w:color="auto" w:fill="FDE9D9"/>
          </w:tcPr>
          <w:p w14:paraId="41D5FA55"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455" w:type="pct"/>
            <w:vMerge/>
            <w:tcBorders>
              <w:top w:val="nil"/>
              <w:left w:val="nil"/>
              <w:bottom w:val="single" w:sz="4" w:space="0" w:color="000000"/>
              <w:right w:val="nil"/>
            </w:tcBorders>
            <w:shd w:val="clear" w:color="auto" w:fill="auto"/>
          </w:tcPr>
          <w:p w14:paraId="48F16AF7"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855" w:type="pct"/>
            <w:tcBorders>
              <w:top w:val="nil"/>
              <w:left w:val="nil"/>
              <w:bottom w:val="single" w:sz="4" w:space="0" w:color="000000"/>
              <w:right w:val="single" w:sz="12" w:space="0" w:color="000000"/>
            </w:tcBorders>
            <w:shd w:val="clear" w:color="auto" w:fill="auto"/>
          </w:tcPr>
          <w:p w14:paraId="70A168A2"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490" w:type="pct"/>
            <w:tcBorders>
              <w:top w:val="nil"/>
              <w:left w:val="nil"/>
              <w:bottom w:val="single" w:sz="4" w:space="0" w:color="000000"/>
              <w:right w:val="single" w:sz="4" w:space="0" w:color="000000"/>
            </w:tcBorders>
            <w:shd w:val="clear" w:color="auto" w:fill="auto"/>
            <w:vAlign w:val="center"/>
          </w:tcPr>
          <w:p w14:paraId="7B38060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5.78</w:t>
            </w:r>
          </w:p>
        </w:tc>
        <w:tc>
          <w:tcPr>
            <w:tcW w:w="379" w:type="pct"/>
            <w:tcBorders>
              <w:top w:val="nil"/>
              <w:left w:val="nil"/>
              <w:bottom w:val="single" w:sz="4" w:space="0" w:color="000000"/>
              <w:right w:val="single" w:sz="4" w:space="0" w:color="000000"/>
            </w:tcBorders>
            <w:shd w:val="clear" w:color="auto" w:fill="auto"/>
            <w:vAlign w:val="center"/>
          </w:tcPr>
          <w:p w14:paraId="2F4D6D5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5.19</w:t>
            </w:r>
          </w:p>
        </w:tc>
        <w:tc>
          <w:tcPr>
            <w:tcW w:w="553" w:type="pct"/>
            <w:tcBorders>
              <w:top w:val="nil"/>
              <w:left w:val="nil"/>
              <w:bottom w:val="single" w:sz="4" w:space="0" w:color="000000"/>
              <w:right w:val="single" w:sz="12" w:space="0" w:color="000000"/>
            </w:tcBorders>
            <w:shd w:val="clear" w:color="auto" w:fill="auto"/>
            <w:vAlign w:val="center"/>
          </w:tcPr>
          <w:p w14:paraId="4868F1E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5.83</w:t>
            </w:r>
          </w:p>
        </w:tc>
        <w:tc>
          <w:tcPr>
            <w:tcW w:w="379" w:type="pct"/>
            <w:tcBorders>
              <w:top w:val="nil"/>
              <w:left w:val="nil"/>
              <w:bottom w:val="single" w:sz="4" w:space="0" w:color="000000"/>
              <w:right w:val="single" w:sz="12" w:space="0" w:color="000000"/>
            </w:tcBorders>
            <w:vAlign w:val="center"/>
          </w:tcPr>
          <w:p w14:paraId="7D16284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5.77</w:t>
            </w:r>
          </w:p>
        </w:tc>
      </w:tr>
      <w:tr w:rsidR="009968E0" w:rsidRPr="009968E0" w14:paraId="581DC839" w14:textId="77777777" w:rsidTr="009968E0">
        <w:trPr>
          <w:trHeight w:val="360"/>
        </w:trPr>
        <w:tc>
          <w:tcPr>
            <w:tcW w:w="5000" w:type="pct"/>
            <w:gridSpan w:val="7"/>
            <w:tcBorders>
              <w:top w:val="nil"/>
              <w:left w:val="single" w:sz="12" w:space="0" w:color="000000"/>
              <w:bottom w:val="single" w:sz="4" w:space="0" w:color="000000"/>
              <w:right w:val="single" w:sz="12" w:space="0" w:color="000000"/>
            </w:tcBorders>
            <w:shd w:val="clear" w:color="auto" w:fill="auto"/>
            <w:vAlign w:val="center"/>
          </w:tcPr>
          <w:p w14:paraId="7ED1F7D6"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p=0.40</w:t>
            </w:r>
          </w:p>
        </w:tc>
      </w:tr>
      <w:tr w:rsidR="009968E0" w:rsidRPr="009968E0" w14:paraId="08C51D1B" w14:textId="77777777" w:rsidTr="009968E0">
        <w:trPr>
          <w:trHeight w:val="360"/>
        </w:trPr>
        <w:tc>
          <w:tcPr>
            <w:tcW w:w="888" w:type="pct"/>
            <w:vMerge w:val="restart"/>
            <w:tcBorders>
              <w:top w:val="nil"/>
              <w:left w:val="single" w:sz="12" w:space="0" w:color="000000"/>
              <w:bottom w:val="single" w:sz="4" w:space="0" w:color="000000"/>
              <w:right w:val="nil"/>
            </w:tcBorders>
            <w:shd w:val="clear" w:color="auto" w:fill="FDE9D9"/>
          </w:tcPr>
          <w:p w14:paraId="099719BD"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MTT-POWM3</w:t>
            </w:r>
          </w:p>
        </w:tc>
        <w:tc>
          <w:tcPr>
            <w:tcW w:w="2310" w:type="pct"/>
            <w:gridSpan w:val="2"/>
            <w:tcBorders>
              <w:top w:val="nil"/>
              <w:left w:val="nil"/>
              <w:bottom w:val="single" w:sz="4" w:space="0" w:color="000000"/>
              <w:right w:val="single" w:sz="12" w:space="0" w:color="000000"/>
            </w:tcBorders>
            <w:shd w:val="clear" w:color="auto" w:fill="auto"/>
          </w:tcPr>
          <w:p w14:paraId="04C311C6"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490" w:type="pct"/>
            <w:tcBorders>
              <w:top w:val="nil"/>
              <w:left w:val="nil"/>
              <w:bottom w:val="single" w:sz="4" w:space="0" w:color="000000"/>
              <w:right w:val="single" w:sz="4" w:space="0" w:color="000000"/>
            </w:tcBorders>
            <w:shd w:val="clear" w:color="auto" w:fill="auto"/>
            <w:vAlign w:val="center"/>
          </w:tcPr>
          <w:p w14:paraId="4A8D8F8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7.96</w:t>
            </w:r>
          </w:p>
        </w:tc>
        <w:tc>
          <w:tcPr>
            <w:tcW w:w="379" w:type="pct"/>
            <w:tcBorders>
              <w:top w:val="nil"/>
              <w:left w:val="nil"/>
              <w:bottom w:val="single" w:sz="4" w:space="0" w:color="000000"/>
              <w:right w:val="single" w:sz="4" w:space="0" w:color="000000"/>
            </w:tcBorders>
            <w:shd w:val="clear" w:color="auto" w:fill="auto"/>
            <w:vAlign w:val="center"/>
          </w:tcPr>
          <w:p w14:paraId="33C8FE0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7.40</w:t>
            </w:r>
          </w:p>
        </w:tc>
        <w:tc>
          <w:tcPr>
            <w:tcW w:w="553" w:type="pct"/>
            <w:tcBorders>
              <w:top w:val="nil"/>
              <w:left w:val="nil"/>
              <w:bottom w:val="single" w:sz="4" w:space="0" w:color="000000"/>
              <w:right w:val="single" w:sz="12" w:space="0" w:color="000000"/>
            </w:tcBorders>
            <w:shd w:val="clear" w:color="auto" w:fill="auto"/>
            <w:vAlign w:val="center"/>
          </w:tcPr>
          <w:p w14:paraId="40C5F1F0"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8.76</w:t>
            </w:r>
          </w:p>
        </w:tc>
        <w:tc>
          <w:tcPr>
            <w:tcW w:w="379" w:type="pct"/>
            <w:tcBorders>
              <w:top w:val="nil"/>
              <w:left w:val="nil"/>
              <w:bottom w:val="single" w:sz="4" w:space="0" w:color="000000"/>
              <w:right w:val="single" w:sz="12" w:space="0" w:color="000000"/>
            </w:tcBorders>
          </w:tcPr>
          <w:p w14:paraId="04DF622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8.02</w:t>
            </w:r>
          </w:p>
        </w:tc>
      </w:tr>
      <w:tr w:rsidR="009968E0" w:rsidRPr="009968E0" w14:paraId="0F0B0E72" w14:textId="77777777" w:rsidTr="009968E0">
        <w:trPr>
          <w:trHeight w:val="360"/>
        </w:trPr>
        <w:tc>
          <w:tcPr>
            <w:tcW w:w="888" w:type="pct"/>
            <w:vMerge/>
            <w:tcBorders>
              <w:top w:val="nil"/>
              <w:left w:val="single" w:sz="12" w:space="0" w:color="000000"/>
              <w:bottom w:val="single" w:sz="4" w:space="0" w:color="000000"/>
              <w:right w:val="nil"/>
            </w:tcBorders>
            <w:shd w:val="clear" w:color="auto" w:fill="FDE9D9"/>
          </w:tcPr>
          <w:p w14:paraId="0CFA4B5C"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455" w:type="pct"/>
            <w:vMerge w:val="restart"/>
            <w:tcBorders>
              <w:top w:val="nil"/>
              <w:left w:val="nil"/>
              <w:bottom w:val="single" w:sz="4" w:space="0" w:color="000000"/>
              <w:right w:val="nil"/>
            </w:tcBorders>
            <w:shd w:val="clear" w:color="auto" w:fill="auto"/>
          </w:tcPr>
          <w:p w14:paraId="7929C4E3"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w:t>
            </w:r>
          </w:p>
        </w:tc>
        <w:tc>
          <w:tcPr>
            <w:tcW w:w="855" w:type="pct"/>
            <w:tcBorders>
              <w:top w:val="nil"/>
              <w:left w:val="nil"/>
              <w:bottom w:val="nil"/>
              <w:right w:val="single" w:sz="12" w:space="0" w:color="000000"/>
            </w:tcBorders>
            <w:shd w:val="clear" w:color="auto" w:fill="auto"/>
          </w:tcPr>
          <w:p w14:paraId="527328B5"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490" w:type="pct"/>
            <w:tcBorders>
              <w:top w:val="nil"/>
              <w:left w:val="nil"/>
              <w:bottom w:val="nil"/>
              <w:right w:val="single" w:sz="4" w:space="0" w:color="000000"/>
            </w:tcBorders>
            <w:shd w:val="clear" w:color="auto" w:fill="auto"/>
            <w:vAlign w:val="center"/>
          </w:tcPr>
          <w:p w14:paraId="26ED857E"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7.07</w:t>
            </w:r>
          </w:p>
        </w:tc>
        <w:tc>
          <w:tcPr>
            <w:tcW w:w="379" w:type="pct"/>
            <w:tcBorders>
              <w:top w:val="nil"/>
              <w:left w:val="nil"/>
              <w:bottom w:val="nil"/>
              <w:right w:val="single" w:sz="4" w:space="0" w:color="000000"/>
            </w:tcBorders>
            <w:shd w:val="clear" w:color="auto" w:fill="auto"/>
            <w:vAlign w:val="center"/>
          </w:tcPr>
          <w:p w14:paraId="0126EF2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6.61</w:t>
            </w:r>
          </w:p>
        </w:tc>
        <w:tc>
          <w:tcPr>
            <w:tcW w:w="553" w:type="pct"/>
            <w:tcBorders>
              <w:top w:val="nil"/>
              <w:left w:val="nil"/>
              <w:bottom w:val="nil"/>
              <w:right w:val="single" w:sz="12" w:space="0" w:color="000000"/>
            </w:tcBorders>
            <w:shd w:val="clear" w:color="auto" w:fill="auto"/>
            <w:vAlign w:val="center"/>
          </w:tcPr>
          <w:p w14:paraId="4DB20788"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7.64</w:t>
            </w:r>
          </w:p>
        </w:tc>
        <w:tc>
          <w:tcPr>
            <w:tcW w:w="379" w:type="pct"/>
            <w:tcBorders>
              <w:top w:val="nil"/>
              <w:left w:val="nil"/>
              <w:bottom w:val="nil"/>
              <w:right w:val="single" w:sz="12" w:space="0" w:color="000000"/>
            </w:tcBorders>
            <w:vAlign w:val="center"/>
          </w:tcPr>
          <w:p w14:paraId="41D7CE1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7.12</w:t>
            </w:r>
          </w:p>
        </w:tc>
      </w:tr>
      <w:tr w:rsidR="009968E0" w:rsidRPr="009968E0" w14:paraId="71D0BE6C" w14:textId="77777777" w:rsidTr="009968E0">
        <w:trPr>
          <w:trHeight w:val="360"/>
        </w:trPr>
        <w:tc>
          <w:tcPr>
            <w:tcW w:w="888" w:type="pct"/>
            <w:vMerge/>
            <w:tcBorders>
              <w:top w:val="nil"/>
              <w:left w:val="single" w:sz="12" w:space="0" w:color="000000"/>
              <w:bottom w:val="single" w:sz="4" w:space="0" w:color="000000"/>
              <w:right w:val="nil"/>
            </w:tcBorders>
            <w:shd w:val="clear" w:color="auto" w:fill="FDE9D9"/>
          </w:tcPr>
          <w:p w14:paraId="3635F213"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455" w:type="pct"/>
            <w:vMerge/>
            <w:tcBorders>
              <w:top w:val="nil"/>
              <w:left w:val="nil"/>
              <w:bottom w:val="single" w:sz="4" w:space="0" w:color="000000"/>
              <w:right w:val="nil"/>
            </w:tcBorders>
            <w:shd w:val="clear" w:color="auto" w:fill="auto"/>
          </w:tcPr>
          <w:p w14:paraId="4E948164"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855" w:type="pct"/>
            <w:tcBorders>
              <w:top w:val="nil"/>
              <w:left w:val="nil"/>
              <w:bottom w:val="single" w:sz="4" w:space="0" w:color="000000"/>
              <w:right w:val="single" w:sz="12" w:space="0" w:color="000000"/>
            </w:tcBorders>
            <w:shd w:val="clear" w:color="auto" w:fill="auto"/>
          </w:tcPr>
          <w:p w14:paraId="3234C5E6"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490" w:type="pct"/>
            <w:tcBorders>
              <w:top w:val="nil"/>
              <w:left w:val="nil"/>
              <w:bottom w:val="single" w:sz="4" w:space="0" w:color="000000"/>
              <w:right w:val="single" w:sz="4" w:space="0" w:color="000000"/>
            </w:tcBorders>
            <w:shd w:val="clear" w:color="auto" w:fill="auto"/>
            <w:vAlign w:val="center"/>
          </w:tcPr>
          <w:p w14:paraId="2D98E9F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8.86</w:t>
            </w:r>
          </w:p>
        </w:tc>
        <w:tc>
          <w:tcPr>
            <w:tcW w:w="379" w:type="pct"/>
            <w:tcBorders>
              <w:top w:val="nil"/>
              <w:left w:val="nil"/>
              <w:bottom w:val="single" w:sz="4" w:space="0" w:color="000000"/>
              <w:right w:val="single" w:sz="4" w:space="0" w:color="000000"/>
            </w:tcBorders>
            <w:shd w:val="clear" w:color="auto" w:fill="auto"/>
            <w:vAlign w:val="center"/>
          </w:tcPr>
          <w:p w14:paraId="5E54614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8.19</w:t>
            </w:r>
          </w:p>
        </w:tc>
        <w:tc>
          <w:tcPr>
            <w:tcW w:w="553" w:type="pct"/>
            <w:tcBorders>
              <w:top w:val="nil"/>
              <w:left w:val="nil"/>
              <w:bottom w:val="single" w:sz="4" w:space="0" w:color="000000"/>
              <w:right w:val="single" w:sz="12" w:space="0" w:color="000000"/>
            </w:tcBorders>
            <w:shd w:val="clear" w:color="auto" w:fill="auto"/>
            <w:vAlign w:val="center"/>
          </w:tcPr>
          <w:p w14:paraId="6625A62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9.89</w:t>
            </w:r>
          </w:p>
        </w:tc>
        <w:tc>
          <w:tcPr>
            <w:tcW w:w="379" w:type="pct"/>
            <w:tcBorders>
              <w:top w:val="nil"/>
              <w:left w:val="nil"/>
              <w:bottom w:val="single" w:sz="4" w:space="0" w:color="000000"/>
              <w:right w:val="single" w:sz="12" w:space="0" w:color="000000"/>
            </w:tcBorders>
            <w:vAlign w:val="center"/>
          </w:tcPr>
          <w:p w14:paraId="4D63340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8.92</w:t>
            </w:r>
          </w:p>
        </w:tc>
      </w:tr>
      <w:tr w:rsidR="009968E0" w:rsidRPr="009968E0" w14:paraId="015C03CA" w14:textId="77777777" w:rsidTr="009968E0">
        <w:trPr>
          <w:trHeight w:val="360"/>
        </w:trPr>
        <w:tc>
          <w:tcPr>
            <w:tcW w:w="5000" w:type="pct"/>
            <w:gridSpan w:val="7"/>
            <w:tcBorders>
              <w:top w:val="nil"/>
              <w:left w:val="single" w:sz="12" w:space="0" w:color="000000"/>
              <w:bottom w:val="single" w:sz="4" w:space="0" w:color="000000"/>
              <w:right w:val="single" w:sz="12" w:space="0" w:color="000000"/>
            </w:tcBorders>
            <w:shd w:val="clear" w:color="auto" w:fill="auto"/>
            <w:vAlign w:val="center"/>
          </w:tcPr>
          <w:p w14:paraId="70261E0E"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p=0.68</w:t>
            </w:r>
          </w:p>
        </w:tc>
      </w:tr>
      <w:tr w:rsidR="009968E0" w:rsidRPr="009968E0" w14:paraId="6225F379" w14:textId="77777777" w:rsidTr="009968E0">
        <w:trPr>
          <w:trHeight w:val="360"/>
        </w:trPr>
        <w:tc>
          <w:tcPr>
            <w:tcW w:w="888" w:type="pct"/>
            <w:vMerge w:val="restart"/>
            <w:tcBorders>
              <w:top w:val="nil"/>
              <w:left w:val="single" w:sz="12" w:space="0" w:color="000000"/>
              <w:bottom w:val="single" w:sz="4" w:space="0" w:color="000000"/>
              <w:right w:val="nil"/>
            </w:tcBorders>
            <w:shd w:val="clear" w:color="auto" w:fill="FDE9D9"/>
          </w:tcPr>
          <w:p w14:paraId="420A03DF"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MTT-LPSC3</w:t>
            </w:r>
          </w:p>
        </w:tc>
        <w:tc>
          <w:tcPr>
            <w:tcW w:w="2310" w:type="pct"/>
            <w:gridSpan w:val="2"/>
            <w:tcBorders>
              <w:top w:val="nil"/>
              <w:left w:val="nil"/>
              <w:bottom w:val="single" w:sz="4" w:space="0" w:color="000000"/>
              <w:right w:val="single" w:sz="12" w:space="0" w:color="000000"/>
            </w:tcBorders>
            <w:shd w:val="clear" w:color="auto" w:fill="auto"/>
          </w:tcPr>
          <w:p w14:paraId="1543514A"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490" w:type="pct"/>
            <w:tcBorders>
              <w:top w:val="nil"/>
              <w:left w:val="nil"/>
              <w:bottom w:val="single" w:sz="4" w:space="0" w:color="000000"/>
              <w:right w:val="single" w:sz="4" w:space="0" w:color="000000"/>
            </w:tcBorders>
            <w:shd w:val="clear" w:color="auto" w:fill="auto"/>
            <w:vAlign w:val="center"/>
          </w:tcPr>
          <w:p w14:paraId="5292499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5.78</w:t>
            </w:r>
          </w:p>
        </w:tc>
        <w:tc>
          <w:tcPr>
            <w:tcW w:w="379" w:type="pct"/>
            <w:tcBorders>
              <w:top w:val="nil"/>
              <w:left w:val="nil"/>
              <w:bottom w:val="single" w:sz="4" w:space="0" w:color="000000"/>
              <w:right w:val="single" w:sz="4" w:space="0" w:color="000000"/>
            </w:tcBorders>
            <w:shd w:val="clear" w:color="auto" w:fill="auto"/>
            <w:vAlign w:val="center"/>
          </w:tcPr>
          <w:p w14:paraId="511D16A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5.24</w:t>
            </w:r>
          </w:p>
        </w:tc>
        <w:tc>
          <w:tcPr>
            <w:tcW w:w="553" w:type="pct"/>
            <w:tcBorders>
              <w:top w:val="nil"/>
              <w:left w:val="nil"/>
              <w:bottom w:val="single" w:sz="4" w:space="0" w:color="000000"/>
              <w:right w:val="single" w:sz="12" w:space="0" w:color="000000"/>
            </w:tcBorders>
            <w:shd w:val="clear" w:color="auto" w:fill="auto"/>
            <w:vAlign w:val="center"/>
          </w:tcPr>
          <w:p w14:paraId="63FB738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5.80</w:t>
            </w:r>
          </w:p>
        </w:tc>
        <w:tc>
          <w:tcPr>
            <w:tcW w:w="379" w:type="pct"/>
            <w:tcBorders>
              <w:top w:val="nil"/>
              <w:left w:val="nil"/>
              <w:bottom w:val="single" w:sz="4" w:space="0" w:color="000000"/>
              <w:right w:val="single" w:sz="12" w:space="0" w:color="000000"/>
            </w:tcBorders>
          </w:tcPr>
          <w:p w14:paraId="408C51A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6.04</w:t>
            </w:r>
          </w:p>
        </w:tc>
      </w:tr>
      <w:tr w:rsidR="009968E0" w:rsidRPr="009968E0" w14:paraId="238154BE" w14:textId="77777777" w:rsidTr="009968E0">
        <w:trPr>
          <w:trHeight w:val="360"/>
        </w:trPr>
        <w:tc>
          <w:tcPr>
            <w:tcW w:w="888" w:type="pct"/>
            <w:vMerge/>
            <w:tcBorders>
              <w:top w:val="nil"/>
              <w:left w:val="single" w:sz="12" w:space="0" w:color="000000"/>
              <w:bottom w:val="single" w:sz="4" w:space="0" w:color="000000"/>
              <w:right w:val="nil"/>
            </w:tcBorders>
            <w:shd w:val="clear" w:color="auto" w:fill="FDE9D9"/>
          </w:tcPr>
          <w:p w14:paraId="64FA4771"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455" w:type="pct"/>
            <w:vMerge w:val="restart"/>
            <w:tcBorders>
              <w:top w:val="nil"/>
              <w:left w:val="nil"/>
              <w:bottom w:val="single" w:sz="4" w:space="0" w:color="000000"/>
              <w:right w:val="nil"/>
            </w:tcBorders>
            <w:shd w:val="clear" w:color="auto" w:fill="auto"/>
          </w:tcPr>
          <w:p w14:paraId="709395C3"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w:t>
            </w:r>
          </w:p>
        </w:tc>
        <w:tc>
          <w:tcPr>
            <w:tcW w:w="855" w:type="pct"/>
            <w:tcBorders>
              <w:top w:val="nil"/>
              <w:left w:val="nil"/>
              <w:bottom w:val="nil"/>
              <w:right w:val="single" w:sz="12" w:space="0" w:color="000000"/>
            </w:tcBorders>
            <w:shd w:val="clear" w:color="auto" w:fill="auto"/>
          </w:tcPr>
          <w:p w14:paraId="68E54044"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490" w:type="pct"/>
            <w:tcBorders>
              <w:top w:val="nil"/>
              <w:left w:val="nil"/>
              <w:bottom w:val="nil"/>
              <w:right w:val="single" w:sz="4" w:space="0" w:color="000000"/>
            </w:tcBorders>
            <w:shd w:val="clear" w:color="auto" w:fill="auto"/>
            <w:vAlign w:val="center"/>
          </w:tcPr>
          <w:p w14:paraId="3DDF563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5.24</w:t>
            </w:r>
          </w:p>
        </w:tc>
        <w:tc>
          <w:tcPr>
            <w:tcW w:w="379" w:type="pct"/>
            <w:tcBorders>
              <w:top w:val="nil"/>
              <w:left w:val="nil"/>
              <w:bottom w:val="nil"/>
              <w:right w:val="single" w:sz="4" w:space="0" w:color="000000"/>
            </w:tcBorders>
            <w:shd w:val="clear" w:color="auto" w:fill="auto"/>
            <w:vAlign w:val="center"/>
          </w:tcPr>
          <w:p w14:paraId="3BFBF3FE"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4.77</w:t>
            </w:r>
          </w:p>
        </w:tc>
        <w:tc>
          <w:tcPr>
            <w:tcW w:w="553" w:type="pct"/>
            <w:tcBorders>
              <w:top w:val="nil"/>
              <w:left w:val="nil"/>
              <w:bottom w:val="nil"/>
              <w:right w:val="single" w:sz="12" w:space="0" w:color="000000"/>
            </w:tcBorders>
            <w:shd w:val="clear" w:color="auto" w:fill="auto"/>
            <w:vAlign w:val="center"/>
          </w:tcPr>
          <w:p w14:paraId="4BCC39F4"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5.13</w:t>
            </w:r>
          </w:p>
        </w:tc>
        <w:tc>
          <w:tcPr>
            <w:tcW w:w="379" w:type="pct"/>
            <w:tcBorders>
              <w:top w:val="nil"/>
              <w:left w:val="nil"/>
              <w:bottom w:val="nil"/>
              <w:right w:val="single" w:sz="12" w:space="0" w:color="000000"/>
            </w:tcBorders>
            <w:vAlign w:val="center"/>
          </w:tcPr>
          <w:p w14:paraId="74D827F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5.51</w:t>
            </w:r>
          </w:p>
        </w:tc>
      </w:tr>
      <w:tr w:rsidR="009968E0" w:rsidRPr="009968E0" w14:paraId="06F4AA75" w14:textId="77777777" w:rsidTr="009968E0">
        <w:trPr>
          <w:trHeight w:val="360"/>
        </w:trPr>
        <w:tc>
          <w:tcPr>
            <w:tcW w:w="888" w:type="pct"/>
            <w:vMerge/>
            <w:tcBorders>
              <w:top w:val="nil"/>
              <w:left w:val="single" w:sz="12" w:space="0" w:color="000000"/>
              <w:bottom w:val="single" w:sz="4" w:space="0" w:color="000000"/>
              <w:right w:val="nil"/>
            </w:tcBorders>
            <w:shd w:val="clear" w:color="auto" w:fill="FDE9D9"/>
          </w:tcPr>
          <w:p w14:paraId="339CD12B"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455" w:type="pct"/>
            <w:vMerge/>
            <w:tcBorders>
              <w:top w:val="nil"/>
              <w:left w:val="nil"/>
              <w:bottom w:val="single" w:sz="4" w:space="0" w:color="000000"/>
              <w:right w:val="nil"/>
            </w:tcBorders>
            <w:shd w:val="clear" w:color="auto" w:fill="auto"/>
          </w:tcPr>
          <w:p w14:paraId="221137CA"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855" w:type="pct"/>
            <w:tcBorders>
              <w:top w:val="nil"/>
              <w:left w:val="nil"/>
              <w:bottom w:val="single" w:sz="4" w:space="0" w:color="000000"/>
              <w:right w:val="single" w:sz="12" w:space="0" w:color="000000"/>
            </w:tcBorders>
            <w:shd w:val="clear" w:color="auto" w:fill="auto"/>
          </w:tcPr>
          <w:p w14:paraId="0995F9B5"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490" w:type="pct"/>
            <w:tcBorders>
              <w:top w:val="nil"/>
              <w:left w:val="nil"/>
              <w:bottom w:val="single" w:sz="4" w:space="0" w:color="000000"/>
              <w:right w:val="single" w:sz="4" w:space="0" w:color="000000"/>
            </w:tcBorders>
            <w:shd w:val="clear" w:color="auto" w:fill="auto"/>
            <w:vAlign w:val="center"/>
          </w:tcPr>
          <w:p w14:paraId="5999468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6.31</w:t>
            </w:r>
          </w:p>
        </w:tc>
        <w:tc>
          <w:tcPr>
            <w:tcW w:w="379" w:type="pct"/>
            <w:tcBorders>
              <w:top w:val="nil"/>
              <w:left w:val="nil"/>
              <w:bottom w:val="single" w:sz="4" w:space="0" w:color="000000"/>
              <w:right w:val="single" w:sz="4" w:space="0" w:color="000000"/>
            </w:tcBorders>
            <w:shd w:val="clear" w:color="auto" w:fill="auto"/>
            <w:vAlign w:val="center"/>
          </w:tcPr>
          <w:p w14:paraId="6832B414"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5.71</w:t>
            </w:r>
          </w:p>
        </w:tc>
        <w:tc>
          <w:tcPr>
            <w:tcW w:w="553" w:type="pct"/>
            <w:tcBorders>
              <w:top w:val="nil"/>
              <w:left w:val="nil"/>
              <w:bottom w:val="single" w:sz="4" w:space="0" w:color="000000"/>
              <w:right w:val="single" w:sz="12" w:space="0" w:color="000000"/>
            </w:tcBorders>
            <w:shd w:val="clear" w:color="auto" w:fill="auto"/>
            <w:vAlign w:val="center"/>
          </w:tcPr>
          <w:p w14:paraId="7C334EB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6.47</w:t>
            </w:r>
          </w:p>
        </w:tc>
        <w:tc>
          <w:tcPr>
            <w:tcW w:w="379" w:type="pct"/>
            <w:tcBorders>
              <w:top w:val="nil"/>
              <w:left w:val="nil"/>
              <w:bottom w:val="single" w:sz="4" w:space="0" w:color="000000"/>
              <w:right w:val="single" w:sz="12" w:space="0" w:color="000000"/>
            </w:tcBorders>
            <w:vAlign w:val="center"/>
          </w:tcPr>
          <w:p w14:paraId="575F881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6.58</w:t>
            </w:r>
          </w:p>
        </w:tc>
      </w:tr>
      <w:tr w:rsidR="009968E0" w:rsidRPr="009968E0" w14:paraId="608B2C58" w14:textId="77777777" w:rsidTr="009968E0">
        <w:trPr>
          <w:trHeight w:val="360"/>
        </w:trPr>
        <w:tc>
          <w:tcPr>
            <w:tcW w:w="5000" w:type="pct"/>
            <w:gridSpan w:val="7"/>
            <w:tcBorders>
              <w:top w:val="single" w:sz="4" w:space="0" w:color="000000"/>
              <w:left w:val="single" w:sz="12" w:space="0" w:color="000000"/>
              <w:bottom w:val="single" w:sz="4" w:space="0" w:color="000000"/>
              <w:right w:val="single" w:sz="12" w:space="0" w:color="000000"/>
            </w:tcBorders>
            <w:shd w:val="clear" w:color="auto" w:fill="auto"/>
            <w:vAlign w:val="center"/>
          </w:tcPr>
          <w:p w14:paraId="733C04A5"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p=0.21</w:t>
            </w:r>
          </w:p>
        </w:tc>
      </w:tr>
      <w:tr w:rsidR="009968E0" w:rsidRPr="009968E0" w14:paraId="29B4EB98" w14:textId="77777777" w:rsidTr="009968E0">
        <w:trPr>
          <w:trHeight w:val="360"/>
        </w:trPr>
        <w:tc>
          <w:tcPr>
            <w:tcW w:w="888" w:type="pct"/>
            <w:vMerge w:val="restart"/>
            <w:tcBorders>
              <w:top w:val="single" w:sz="4" w:space="0" w:color="000000"/>
              <w:left w:val="single" w:sz="12" w:space="0" w:color="000000"/>
              <w:right w:val="nil"/>
            </w:tcBorders>
            <w:shd w:val="clear" w:color="auto" w:fill="FDE9D9"/>
          </w:tcPr>
          <w:p w14:paraId="5631164A"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MTT-RPSC3</w:t>
            </w:r>
          </w:p>
        </w:tc>
        <w:tc>
          <w:tcPr>
            <w:tcW w:w="2310" w:type="pct"/>
            <w:gridSpan w:val="2"/>
            <w:tcBorders>
              <w:top w:val="single" w:sz="4" w:space="0" w:color="000000"/>
              <w:left w:val="nil"/>
              <w:bottom w:val="single" w:sz="4" w:space="0" w:color="000000"/>
              <w:right w:val="single" w:sz="12" w:space="0" w:color="000000"/>
            </w:tcBorders>
            <w:shd w:val="clear" w:color="auto" w:fill="auto"/>
          </w:tcPr>
          <w:p w14:paraId="34310B6C"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490" w:type="pct"/>
            <w:tcBorders>
              <w:top w:val="single" w:sz="4" w:space="0" w:color="000000"/>
              <w:left w:val="nil"/>
              <w:bottom w:val="single" w:sz="4" w:space="0" w:color="000000"/>
              <w:right w:val="single" w:sz="4" w:space="0" w:color="000000"/>
            </w:tcBorders>
            <w:shd w:val="clear" w:color="auto" w:fill="auto"/>
            <w:vAlign w:val="center"/>
          </w:tcPr>
          <w:p w14:paraId="588FEF5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5.93</w:t>
            </w:r>
          </w:p>
        </w:tc>
        <w:tc>
          <w:tcPr>
            <w:tcW w:w="379" w:type="pct"/>
            <w:tcBorders>
              <w:top w:val="single" w:sz="4" w:space="0" w:color="000000"/>
              <w:left w:val="nil"/>
              <w:bottom w:val="single" w:sz="4" w:space="0" w:color="000000"/>
              <w:right w:val="single" w:sz="4" w:space="0" w:color="000000"/>
            </w:tcBorders>
            <w:shd w:val="clear" w:color="auto" w:fill="auto"/>
            <w:vAlign w:val="center"/>
          </w:tcPr>
          <w:p w14:paraId="24DDFD4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5.40</w:t>
            </w:r>
          </w:p>
        </w:tc>
        <w:tc>
          <w:tcPr>
            <w:tcW w:w="553" w:type="pct"/>
            <w:tcBorders>
              <w:top w:val="single" w:sz="4" w:space="0" w:color="000000"/>
              <w:left w:val="nil"/>
              <w:bottom w:val="single" w:sz="4" w:space="0" w:color="000000"/>
              <w:right w:val="single" w:sz="12" w:space="0" w:color="000000"/>
            </w:tcBorders>
            <w:shd w:val="clear" w:color="auto" w:fill="auto"/>
            <w:vAlign w:val="center"/>
          </w:tcPr>
          <w:p w14:paraId="73496AD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5.99</w:t>
            </w:r>
          </w:p>
        </w:tc>
        <w:tc>
          <w:tcPr>
            <w:tcW w:w="379" w:type="pct"/>
            <w:tcBorders>
              <w:top w:val="single" w:sz="4" w:space="0" w:color="000000"/>
              <w:left w:val="nil"/>
              <w:bottom w:val="single" w:sz="4" w:space="0" w:color="000000"/>
              <w:right w:val="single" w:sz="12" w:space="0" w:color="000000"/>
            </w:tcBorders>
          </w:tcPr>
          <w:p w14:paraId="6295D90E"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6.25</w:t>
            </w:r>
          </w:p>
        </w:tc>
      </w:tr>
      <w:tr w:rsidR="009968E0" w:rsidRPr="009968E0" w14:paraId="328FA01D" w14:textId="77777777" w:rsidTr="009968E0">
        <w:trPr>
          <w:trHeight w:val="360"/>
        </w:trPr>
        <w:tc>
          <w:tcPr>
            <w:tcW w:w="888" w:type="pct"/>
            <w:vMerge/>
            <w:tcBorders>
              <w:left w:val="single" w:sz="12" w:space="0" w:color="000000"/>
              <w:right w:val="nil"/>
            </w:tcBorders>
            <w:shd w:val="clear" w:color="auto" w:fill="FDE9D9"/>
          </w:tcPr>
          <w:p w14:paraId="1CBEE336" w14:textId="77777777" w:rsidR="009968E0" w:rsidRPr="009968E0" w:rsidRDefault="009968E0" w:rsidP="009968E0">
            <w:pPr>
              <w:jc w:val="center"/>
              <w:rPr>
                <w:rFonts w:ascii="Calibri" w:eastAsia="Times New Roman" w:hAnsi="Calibri" w:cs="Calibri"/>
                <w:i/>
                <w:iCs/>
                <w:color w:val="000000"/>
                <w:sz w:val="22"/>
                <w:szCs w:val="22"/>
                <w:lang w:eastAsia="en-GB"/>
              </w:rPr>
            </w:pPr>
          </w:p>
        </w:tc>
        <w:tc>
          <w:tcPr>
            <w:tcW w:w="1455" w:type="pct"/>
            <w:tcBorders>
              <w:top w:val="nil"/>
              <w:left w:val="nil"/>
              <w:bottom w:val="nil"/>
              <w:right w:val="nil"/>
            </w:tcBorders>
            <w:shd w:val="clear" w:color="auto" w:fill="auto"/>
          </w:tcPr>
          <w:p w14:paraId="621F62E9"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w:t>
            </w:r>
          </w:p>
        </w:tc>
        <w:tc>
          <w:tcPr>
            <w:tcW w:w="855" w:type="pct"/>
            <w:tcBorders>
              <w:top w:val="nil"/>
              <w:left w:val="nil"/>
              <w:bottom w:val="nil"/>
              <w:right w:val="single" w:sz="12" w:space="0" w:color="000000"/>
            </w:tcBorders>
            <w:shd w:val="clear" w:color="auto" w:fill="auto"/>
          </w:tcPr>
          <w:p w14:paraId="69226BBE"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490" w:type="pct"/>
            <w:tcBorders>
              <w:top w:val="nil"/>
              <w:left w:val="nil"/>
              <w:bottom w:val="nil"/>
              <w:right w:val="single" w:sz="4" w:space="0" w:color="000000"/>
            </w:tcBorders>
            <w:shd w:val="clear" w:color="auto" w:fill="auto"/>
            <w:vAlign w:val="center"/>
          </w:tcPr>
          <w:p w14:paraId="688C55D3"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5.34</w:t>
            </w:r>
          </w:p>
        </w:tc>
        <w:tc>
          <w:tcPr>
            <w:tcW w:w="379" w:type="pct"/>
            <w:tcBorders>
              <w:top w:val="nil"/>
              <w:left w:val="nil"/>
              <w:bottom w:val="nil"/>
              <w:right w:val="single" w:sz="4" w:space="0" w:color="000000"/>
            </w:tcBorders>
            <w:shd w:val="clear" w:color="auto" w:fill="auto"/>
            <w:vAlign w:val="center"/>
          </w:tcPr>
          <w:p w14:paraId="6AC57EE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4.87</w:t>
            </w:r>
          </w:p>
        </w:tc>
        <w:tc>
          <w:tcPr>
            <w:tcW w:w="553" w:type="pct"/>
            <w:tcBorders>
              <w:top w:val="nil"/>
              <w:left w:val="nil"/>
              <w:bottom w:val="nil"/>
              <w:right w:val="single" w:sz="12" w:space="0" w:color="000000"/>
            </w:tcBorders>
            <w:shd w:val="clear" w:color="auto" w:fill="auto"/>
            <w:vAlign w:val="center"/>
          </w:tcPr>
          <w:p w14:paraId="35A167E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5.24</w:t>
            </w:r>
          </w:p>
        </w:tc>
        <w:tc>
          <w:tcPr>
            <w:tcW w:w="379" w:type="pct"/>
            <w:tcBorders>
              <w:top w:val="nil"/>
              <w:left w:val="nil"/>
              <w:bottom w:val="nil"/>
              <w:right w:val="single" w:sz="12" w:space="0" w:color="000000"/>
            </w:tcBorders>
            <w:vAlign w:val="center"/>
          </w:tcPr>
          <w:p w14:paraId="0C1C3E53"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5.66</w:t>
            </w:r>
          </w:p>
        </w:tc>
      </w:tr>
      <w:tr w:rsidR="009968E0" w:rsidRPr="009968E0" w14:paraId="536D0A18" w14:textId="77777777" w:rsidTr="009968E0">
        <w:trPr>
          <w:trHeight w:val="360"/>
        </w:trPr>
        <w:tc>
          <w:tcPr>
            <w:tcW w:w="888" w:type="pct"/>
            <w:vMerge/>
            <w:tcBorders>
              <w:left w:val="single" w:sz="12" w:space="0" w:color="000000"/>
              <w:bottom w:val="nil"/>
              <w:right w:val="nil"/>
            </w:tcBorders>
            <w:shd w:val="clear" w:color="auto" w:fill="FDE9D9"/>
          </w:tcPr>
          <w:p w14:paraId="4AFE4796" w14:textId="77777777" w:rsidR="009968E0" w:rsidRPr="009968E0" w:rsidRDefault="009968E0" w:rsidP="009968E0">
            <w:pPr>
              <w:jc w:val="center"/>
              <w:rPr>
                <w:rFonts w:ascii="Calibri" w:eastAsia="Times New Roman" w:hAnsi="Calibri" w:cs="Calibri"/>
                <w:i/>
                <w:iCs/>
                <w:color w:val="000000"/>
                <w:sz w:val="22"/>
                <w:szCs w:val="22"/>
                <w:lang w:eastAsia="en-GB"/>
              </w:rPr>
            </w:pPr>
          </w:p>
        </w:tc>
        <w:tc>
          <w:tcPr>
            <w:tcW w:w="1455" w:type="pct"/>
            <w:tcBorders>
              <w:top w:val="nil"/>
              <w:left w:val="nil"/>
              <w:bottom w:val="nil"/>
              <w:right w:val="nil"/>
            </w:tcBorders>
            <w:shd w:val="clear" w:color="auto" w:fill="auto"/>
          </w:tcPr>
          <w:p w14:paraId="180D112C"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 </w:t>
            </w:r>
          </w:p>
        </w:tc>
        <w:tc>
          <w:tcPr>
            <w:tcW w:w="855" w:type="pct"/>
            <w:tcBorders>
              <w:top w:val="nil"/>
              <w:left w:val="nil"/>
              <w:bottom w:val="nil"/>
              <w:right w:val="single" w:sz="12" w:space="0" w:color="000000"/>
            </w:tcBorders>
            <w:shd w:val="clear" w:color="auto" w:fill="auto"/>
          </w:tcPr>
          <w:p w14:paraId="485889FE"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490" w:type="pct"/>
            <w:tcBorders>
              <w:top w:val="nil"/>
              <w:left w:val="nil"/>
              <w:bottom w:val="nil"/>
              <w:right w:val="single" w:sz="4" w:space="0" w:color="000000"/>
            </w:tcBorders>
            <w:shd w:val="clear" w:color="auto" w:fill="auto"/>
            <w:vAlign w:val="center"/>
          </w:tcPr>
          <w:p w14:paraId="07B2BA48"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6.53</w:t>
            </w:r>
          </w:p>
        </w:tc>
        <w:tc>
          <w:tcPr>
            <w:tcW w:w="379" w:type="pct"/>
            <w:tcBorders>
              <w:top w:val="nil"/>
              <w:left w:val="nil"/>
              <w:bottom w:val="nil"/>
              <w:right w:val="single" w:sz="4" w:space="0" w:color="000000"/>
            </w:tcBorders>
            <w:shd w:val="clear" w:color="auto" w:fill="auto"/>
            <w:vAlign w:val="center"/>
          </w:tcPr>
          <w:p w14:paraId="6EA109E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5.92</w:t>
            </w:r>
          </w:p>
        </w:tc>
        <w:tc>
          <w:tcPr>
            <w:tcW w:w="553" w:type="pct"/>
            <w:tcBorders>
              <w:top w:val="nil"/>
              <w:left w:val="nil"/>
              <w:bottom w:val="nil"/>
              <w:right w:val="single" w:sz="12" w:space="0" w:color="000000"/>
            </w:tcBorders>
            <w:shd w:val="clear" w:color="auto" w:fill="auto"/>
            <w:vAlign w:val="center"/>
          </w:tcPr>
          <w:p w14:paraId="3307155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6.74</w:t>
            </w:r>
          </w:p>
        </w:tc>
        <w:tc>
          <w:tcPr>
            <w:tcW w:w="379" w:type="pct"/>
            <w:tcBorders>
              <w:top w:val="nil"/>
              <w:left w:val="nil"/>
              <w:bottom w:val="nil"/>
              <w:right w:val="single" w:sz="12" w:space="0" w:color="000000"/>
            </w:tcBorders>
            <w:vAlign w:val="center"/>
          </w:tcPr>
          <w:p w14:paraId="31CAFD88"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6.85</w:t>
            </w:r>
          </w:p>
        </w:tc>
      </w:tr>
      <w:tr w:rsidR="009968E0" w:rsidRPr="009968E0" w14:paraId="5A4B297F" w14:textId="77777777" w:rsidTr="009968E0">
        <w:trPr>
          <w:trHeight w:val="360"/>
        </w:trPr>
        <w:tc>
          <w:tcPr>
            <w:tcW w:w="5000" w:type="pct"/>
            <w:gridSpan w:val="7"/>
            <w:tcBorders>
              <w:top w:val="single" w:sz="4" w:space="0" w:color="000000"/>
              <w:left w:val="single" w:sz="12" w:space="0" w:color="000000"/>
              <w:bottom w:val="single" w:sz="12" w:space="0" w:color="000000"/>
              <w:right w:val="single" w:sz="12" w:space="0" w:color="000000"/>
            </w:tcBorders>
            <w:shd w:val="clear" w:color="auto" w:fill="auto"/>
            <w:vAlign w:val="center"/>
          </w:tcPr>
          <w:p w14:paraId="192923B2"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p=0.33</w:t>
            </w:r>
          </w:p>
        </w:tc>
      </w:tr>
    </w:tbl>
    <w:p w14:paraId="1083D211" w14:textId="77777777" w:rsidR="009968E0" w:rsidRPr="009968E0" w:rsidRDefault="009968E0" w:rsidP="009968E0">
      <w:pPr>
        <w:spacing w:line="360" w:lineRule="auto"/>
        <w:ind w:left="1080"/>
        <w:rPr>
          <w:rFonts w:ascii="Calibri" w:eastAsia="Times New Roman" w:hAnsi="Calibri" w:cs="Calibri"/>
          <w:i/>
          <w:iCs/>
          <w:color w:val="808080"/>
          <w:sz w:val="21"/>
          <w:szCs w:val="21"/>
          <w:lang w:eastAsia="en-GB"/>
        </w:rPr>
      </w:pPr>
      <w:r w:rsidRPr="009968E0">
        <w:rPr>
          <w:rFonts w:ascii="Calibri" w:eastAsia="Times New Roman" w:hAnsi="Calibri" w:cs="Calibri"/>
          <w:i/>
          <w:iCs/>
          <w:color w:val="808080"/>
          <w:sz w:val="21"/>
          <w:szCs w:val="21"/>
          <w:lang w:eastAsia="en-GB"/>
        </w:rPr>
        <w:t xml:space="preserve">a. Covariates appearing in the model are evaluated at the following values: </w:t>
      </w:r>
      <w:proofErr w:type="spellStart"/>
      <w:r w:rsidRPr="009968E0">
        <w:rPr>
          <w:rFonts w:ascii="Calibri" w:eastAsia="Times New Roman" w:hAnsi="Calibri" w:cs="Calibri"/>
          <w:i/>
          <w:iCs/>
          <w:color w:val="808080"/>
          <w:sz w:val="21"/>
          <w:szCs w:val="21"/>
          <w:lang w:eastAsia="en-GB"/>
        </w:rPr>
        <w:t>likertscale_gad</w:t>
      </w:r>
      <w:proofErr w:type="spellEnd"/>
      <w:r w:rsidRPr="009968E0">
        <w:rPr>
          <w:rFonts w:ascii="Calibri" w:eastAsia="Times New Roman" w:hAnsi="Calibri" w:cs="Calibri"/>
          <w:i/>
          <w:iCs/>
          <w:color w:val="808080"/>
          <w:sz w:val="21"/>
          <w:szCs w:val="21"/>
          <w:lang w:eastAsia="en-GB"/>
        </w:rPr>
        <w:t xml:space="preserve"> = 7.16. Significance at p&lt;0.05. No significance demonstrated</w:t>
      </w:r>
    </w:p>
    <w:p w14:paraId="2C1EA35A" w14:textId="77777777" w:rsidR="009968E0" w:rsidRPr="009968E0" w:rsidRDefault="009968E0" w:rsidP="009968E0">
      <w:pPr>
        <w:spacing w:line="360" w:lineRule="auto"/>
        <w:rPr>
          <w:rFonts w:ascii="Calibri" w:eastAsia="Times New Roman" w:hAnsi="Calibri" w:cs="Calibri"/>
          <w:i/>
          <w:iCs/>
          <w:color w:val="808080"/>
          <w:sz w:val="21"/>
          <w:szCs w:val="21"/>
          <w:lang w:eastAsia="en-GB"/>
        </w:rPr>
      </w:pPr>
    </w:p>
    <w:tbl>
      <w:tblPr>
        <w:tblW w:w="9064" w:type="dxa"/>
        <w:tblLayout w:type="fixed"/>
        <w:tblCellMar>
          <w:left w:w="115" w:type="dxa"/>
          <w:right w:w="115" w:type="dxa"/>
        </w:tblCellMar>
        <w:tblLook w:val="0400" w:firstRow="0" w:lastRow="0" w:firstColumn="0" w:lastColumn="0" w:noHBand="0" w:noVBand="1"/>
      </w:tblPr>
      <w:tblGrid>
        <w:gridCol w:w="9064"/>
      </w:tblGrid>
      <w:tr w:rsidR="009968E0" w:rsidRPr="009968E0" w14:paraId="3C5FCC7E" w14:textId="77777777" w:rsidTr="009968E0">
        <w:trPr>
          <w:trHeight w:val="480"/>
        </w:trPr>
        <w:tc>
          <w:tcPr>
            <w:tcW w:w="9064" w:type="dxa"/>
            <w:tcBorders>
              <w:top w:val="nil"/>
              <w:left w:val="nil"/>
              <w:bottom w:val="nil"/>
              <w:right w:val="nil"/>
            </w:tcBorders>
            <w:shd w:val="clear" w:color="auto" w:fill="auto"/>
            <w:vAlign w:val="center"/>
          </w:tcPr>
          <w:p w14:paraId="2E6D90FC" w14:textId="49A48ABF" w:rsidR="009968E0" w:rsidRPr="009968E0" w:rsidRDefault="009968E0" w:rsidP="006E28EB">
            <w:pPr>
              <w:pStyle w:val="Quote"/>
              <w:rPr>
                <w:rFonts w:ascii="Times New Roman" w:hAnsi="Times New Roman"/>
                <w:color w:val="000000"/>
              </w:rPr>
            </w:pPr>
            <w:bookmarkStart w:id="638" w:name="_Toc48406151"/>
            <w:bookmarkStart w:id="639" w:name="_Toc49273362"/>
            <w:bookmarkStart w:id="640" w:name="_Toc64724115"/>
            <w:r w:rsidRPr="009968E0">
              <w:t>Table D.7: Multivariate ANCOVA comparing TTP by group and ROI adjusted by LIKERT</w:t>
            </w:r>
            <w:bookmarkEnd w:id="638"/>
            <w:r w:rsidRPr="009968E0">
              <w:rPr>
                <w:rFonts w:ascii="Times New Roman" w:hAnsi="Times New Roman"/>
                <w:color w:val="000000"/>
              </w:rPr>
              <w:t>.</w:t>
            </w:r>
            <w:bookmarkEnd w:id="639"/>
            <w:bookmarkEnd w:id="640"/>
          </w:p>
        </w:tc>
      </w:tr>
    </w:tbl>
    <w:p w14:paraId="4234D969" w14:textId="77777777" w:rsidR="009968E0" w:rsidRPr="009968E0" w:rsidRDefault="009968E0" w:rsidP="009968E0">
      <w:pPr>
        <w:spacing w:line="360" w:lineRule="auto"/>
        <w:rPr>
          <w:rFonts w:ascii="Times New Roman" w:eastAsia="Times New Roman" w:hAnsi="Times New Roman" w:cs="Arial"/>
          <w:lang w:eastAsia="en-GB"/>
        </w:rPr>
      </w:pPr>
    </w:p>
    <w:tbl>
      <w:tblPr>
        <w:tblW w:w="4542" w:type="pct"/>
        <w:shd w:val="clear" w:color="auto" w:fill="FFFFFF"/>
        <w:tblCellMar>
          <w:left w:w="115" w:type="dxa"/>
          <w:right w:w="115" w:type="dxa"/>
        </w:tblCellMar>
        <w:tblLook w:val="0400" w:firstRow="0" w:lastRow="0" w:firstColumn="0" w:lastColumn="0" w:noHBand="0" w:noVBand="1"/>
      </w:tblPr>
      <w:tblGrid>
        <w:gridCol w:w="1525"/>
        <w:gridCol w:w="2254"/>
        <w:gridCol w:w="1315"/>
        <w:gridCol w:w="780"/>
        <w:gridCol w:w="732"/>
        <w:gridCol w:w="829"/>
        <w:gridCol w:w="732"/>
      </w:tblGrid>
      <w:tr w:rsidR="009968E0" w:rsidRPr="009968E0" w14:paraId="4B369E89" w14:textId="77777777" w:rsidTr="009968E0">
        <w:trPr>
          <w:trHeight w:val="360"/>
        </w:trPr>
        <w:tc>
          <w:tcPr>
            <w:tcW w:w="3121" w:type="pct"/>
            <w:gridSpan w:val="3"/>
            <w:vMerge w:val="restart"/>
            <w:tcBorders>
              <w:top w:val="single" w:sz="12" w:space="0" w:color="000000"/>
              <w:left w:val="single" w:sz="12" w:space="0" w:color="000000"/>
              <w:bottom w:val="single" w:sz="12" w:space="0" w:color="000000"/>
              <w:right w:val="single" w:sz="12" w:space="0" w:color="000000"/>
            </w:tcBorders>
            <w:shd w:val="clear" w:color="auto" w:fill="FFFFFF"/>
            <w:vAlign w:val="bottom"/>
          </w:tcPr>
          <w:p w14:paraId="0085709B"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Dependent Variable</w:t>
            </w:r>
          </w:p>
        </w:tc>
        <w:tc>
          <w:tcPr>
            <w:tcW w:w="1879" w:type="pct"/>
            <w:gridSpan w:val="4"/>
            <w:tcBorders>
              <w:top w:val="single" w:sz="12" w:space="0" w:color="000000"/>
              <w:left w:val="nil"/>
              <w:bottom w:val="single" w:sz="4" w:space="0" w:color="000000"/>
              <w:right w:val="single" w:sz="12" w:space="0" w:color="000000"/>
            </w:tcBorders>
            <w:shd w:val="clear" w:color="auto" w:fill="FFFFFF"/>
            <w:vAlign w:val="bottom"/>
          </w:tcPr>
          <w:p w14:paraId="1A3DAD86"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GROUP</w:t>
            </w:r>
          </w:p>
        </w:tc>
      </w:tr>
      <w:tr w:rsidR="009968E0" w:rsidRPr="009968E0" w14:paraId="19AC8992" w14:textId="77777777" w:rsidTr="009968E0">
        <w:trPr>
          <w:trHeight w:val="360"/>
        </w:trPr>
        <w:tc>
          <w:tcPr>
            <w:tcW w:w="3121" w:type="pct"/>
            <w:gridSpan w:val="3"/>
            <w:vMerge/>
            <w:tcBorders>
              <w:top w:val="single" w:sz="12" w:space="0" w:color="000000"/>
              <w:left w:val="single" w:sz="12" w:space="0" w:color="000000"/>
              <w:bottom w:val="single" w:sz="12" w:space="0" w:color="000000"/>
              <w:right w:val="single" w:sz="12" w:space="0" w:color="000000"/>
            </w:tcBorders>
            <w:shd w:val="clear" w:color="auto" w:fill="FFFFFF"/>
            <w:vAlign w:val="bottom"/>
          </w:tcPr>
          <w:p w14:paraId="096CBD3C"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478" w:type="pct"/>
            <w:tcBorders>
              <w:top w:val="nil"/>
              <w:left w:val="nil"/>
              <w:bottom w:val="single" w:sz="12" w:space="0" w:color="000000"/>
              <w:right w:val="single" w:sz="4" w:space="0" w:color="000000"/>
            </w:tcBorders>
            <w:shd w:val="clear" w:color="auto" w:fill="FFFFFF"/>
            <w:vAlign w:val="bottom"/>
          </w:tcPr>
          <w:p w14:paraId="2BA45F4B"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P-DPN</w:t>
            </w:r>
          </w:p>
        </w:tc>
        <w:tc>
          <w:tcPr>
            <w:tcW w:w="446" w:type="pct"/>
            <w:tcBorders>
              <w:top w:val="nil"/>
              <w:left w:val="nil"/>
              <w:bottom w:val="single" w:sz="12" w:space="0" w:color="000000"/>
              <w:right w:val="single" w:sz="4" w:space="0" w:color="000000"/>
            </w:tcBorders>
            <w:shd w:val="clear" w:color="auto" w:fill="FFFFFF"/>
            <w:vAlign w:val="bottom"/>
          </w:tcPr>
          <w:p w14:paraId="5BE8986F"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DPN</w:t>
            </w:r>
          </w:p>
        </w:tc>
        <w:tc>
          <w:tcPr>
            <w:tcW w:w="508" w:type="pct"/>
            <w:tcBorders>
              <w:top w:val="nil"/>
              <w:left w:val="nil"/>
              <w:bottom w:val="single" w:sz="12" w:space="0" w:color="000000"/>
              <w:right w:val="single" w:sz="12" w:space="0" w:color="000000"/>
            </w:tcBorders>
            <w:shd w:val="clear" w:color="auto" w:fill="FFFFFF"/>
            <w:vAlign w:val="bottom"/>
          </w:tcPr>
          <w:p w14:paraId="052CD283"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Arial" w:hAnsi="Calibri" w:cs="Calibri"/>
                <w:i/>
                <w:iCs/>
                <w:color w:val="000000"/>
                <w:sz w:val="22"/>
                <w:szCs w:val="22"/>
                <w:lang w:eastAsia="en-GB"/>
              </w:rPr>
              <w:t>DM-NN</w:t>
            </w:r>
          </w:p>
        </w:tc>
        <w:tc>
          <w:tcPr>
            <w:tcW w:w="446" w:type="pct"/>
            <w:tcBorders>
              <w:top w:val="nil"/>
              <w:left w:val="nil"/>
              <w:bottom w:val="single" w:sz="12" w:space="0" w:color="000000"/>
              <w:right w:val="single" w:sz="12" w:space="0" w:color="000000"/>
            </w:tcBorders>
            <w:shd w:val="clear" w:color="auto" w:fill="FFFFFF"/>
            <w:vAlign w:val="bottom"/>
          </w:tcPr>
          <w:p w14:paraId="2394AC8E" w14:textId="77777777" w:rsidR="009968E0" w:rsidRPr="009968E0" w:rsidRDefault="009968E0" w:rsidP="009968E0">
            <w:pPr>
              <w:jc w:val="center"/>
              <w:rPr>
                <w:rFonts w:ascii="Calibri" w:eastAsia="Arial"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HV</w:t>
            </w:r>
          </w:p>
        </w:tc>
      </w:tr>
      <w:tr w:rsidR="009968E0" w:rsidRPr="009968E0" w14:paraId="31F3B9BA" w14:textId="77777777" w:rsidTr="009968E0">
        <w:trPr>
          <w:trHeight w:val="360"/>
        </w:trPr>
        <w:tc>
          <w:tcPr>
            <w:tcW w:w="935" w:type="pct"/>
            <w:vMerge w:val="restart"/>
            <w:tcBorders>
              <w:top w:val="nil"/>
              <w:left w:val="single" w:sz="12" w:space="0" w:color="000000"/>
              <w:bottom w:val="single" w:sz="4" w:space="0" w:color="000000"/>
              <w:right w:val="nil"/>
            </w:tcBorders>
            <w:shd w:val="clear" w:color="auto" w:fill="FBE4D5"/>
          </w:tcPr>
          <w:p w14:paraId="0B26728B" w14:textId="557ED192"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 xml:space="preserve">TTP </w:t>
            </w:r>
            <w:r w:rsidR="00264184">
              <w:rPr>
                <w:rFonts w:ascii="Calibri" w:eastAsia="Times New Roman" w:hAnsi="Calibri" w:cs="Calibri"/>
                <w:i/>
                <w:iCs/>
                <w:color w:val="000000"/>
                <w:sz w:val="22"/>
                <w:szCs w:val="22"/>
                <w:lang w:eastAsia="en-GB"/>
              </w:rPr>
              <w:t>LThal</w:t>
            </w:r>
            <w:r w:rsidRPr="009968E0">
              <w:rPr>
                <w:rFonts w:ascii="Calibri" w:eastAsia="Times New Roman" w:hAnsi="Calibri" w:cs="Calibri"/>
                <w:i/>
                <w:iCs/>
                <w:color w:val="000000"/>
                <w:sz w:val="22"/>
                <w:szCs w:val="22"/>
                <w:lang w:eastAsia="en-GB"/>
              </w:rPr>
              <w:t>3</w:t>
            </w:r>
          </w:p>
        </w:tc>
        <w:tc>
          <w:tcPr>
            <w:tcW w:w="2186" w:type="pct"/>
            <w:gridSpan w:val="2"/>
            <w:tcBorders>
              <w:top w:val="single" w:sz="12" w:space="0" w:color="000000"/>
              <w:left w:val="nil"/>
              <w:bottom w:val="single" w:sz="4" w:space="0" w:color="000000"/>
              <w:right w:val="single" w:sz="12" w:space="0" w:color="000000"/>
            </w:tcBorders>
            <w:shd w:val="clear" w:color="auto" w:fill="FFFFFF"/>
          </w:tcPr>
          <w:p w14:paraId="5D05036E"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478" w:type="pct"/>
            <w:tcBorders>
              <w:top w:val="nil"/>
              <w:left w:val="nil"/>
              <w:bottom w:val="single" w:sz="4" w:space="0" w:color="000000"/>
              <w:right w:val="single" w:sz="4" w:space="0" w:color="000000"/>
            </w:tcBorders>
            <w:shd w:val="clear" w:color="auto" w:fill="FFFFFF"/>
            <w:vAlign w:val="center"/>
          </w:tcPr>
          <w:p w14:paraId="246170F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9.68</w:t>
            </w:r>
          </w:p>
        </w:tc>
        <w:tc>
          <w:tcPr>
            <w:tcW w:w="446" w:type="pct"/>
            <w:tcBorders>
              <w:top w:val="nil"/>
              <w:left w:val="nil"/>
              <w:bottom w:val="single" w:sz="4" w:space="0" w:color="000000"/>
              <w:right w:val="single" w:sz="4" w:space="0" w:color="000000"/>
            </w:tcBorders>
            <w:shd w:val="clear" w:color="auto" w:fill="FFFFFF"/>
            <w:vAlign w:val="center"/>
          </w:tcPr>
          <w:p w14:paraId="4938BEE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9.76</w:t>
            </w:r>
          </w:p>
        </w:tc>
        <w:tc>
          <w:tcPr>
            <w:tcW w:w="508" w:type="pct"/>
            <w:tcBorders>
              <w:top w:val="nil"/>
              <w:left w:val="nil"/>
              <w:bottom w:val="single" w:sz="4" w:space="0" w:color="000000"/>
              <w:right w:val="single" w:sz="12" w:space="0" w:color="000000"/>
            </w:tcBorders>
            <w:shd w:val="clear" w:color="auto" w:fill="FFFFFF"/>
            <w:vAlign w:val="center"/>
          </w:tcPr>
          <w:p w14:paraId="21007CB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9.47</w:t>
            </w:r>
          </w:p>
        </w:tc>
        <w:tc>
          <w:tcPr>
            <w:tcW w:w="446" w:type="pct"/>
            <w:tcBorders>
              <w:top w:val="nil"/>
              <w:left w:val="nil"/>
              <w:bottom w:val="single" w:sz="4" w:space="0" w:color="000000"/>
              <w:right w:val="single" w:sz="12" w:space="0" w:color="000000"/>
            </w:tcBorders>
            <w:shd w:val="clear" w:color="auto" w:fill="FFFFFF"/>
            <w:vAlign w:val="center"/>
          </w:tcPr>
          <w:p w14:paraId="2ABD0EF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9.43</w:t>
            </w:r>
          </w:p>
        </w:tc>
      </w:tr>
      <w:tr w:rsidR="009968E0" w:rsidRPr="009968E0" w14:paraId="4846B410" w14:textId="77777777" w:rsidTr="009968E0">
        <w:trPr>
          <w:trHeight w:val="360"/>
        </w:trPr>
        <w:tc>
          <w:tcPr>
            <w:tcW w:w="935" w:type="pct"/>
            <w:vMerge/>
            <w:tcBorders>
              <w:top w:val="nil"/>
              <w:left w:val="single" w:sz="12" w:space="0" w:color="000000"/>
              <w:bottom w:val="single" w:sz="4" w:space="0" w:color="000000"/>
              <w:right w:val="nil"/>
            </w:tcBorders>
            <w:shd w:val="clear" w:color="auto" w:fill="FBE4D5"/>
          </w:tcPr>
          <w:p w14:paraId="6E28DD8C"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381" w:type="pct"/>
            <w:vMerge w:val="restart"/>
            <w:tcBorders>
              <w:top w:val="nil"/>
              <w:left w:val="nil"/>
              <w:bottom w:val="single" w:sz="4" w:space="0" w:color="000000"/>
              <w:right w:val="nil"/>
            </w:tcBorders>
            <w:shd w:val="clear" w:color="auto" w:fill="FFFFFF"/>
          </w:tcPr>
          <w:p w14:paraId="30C840EA"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w:t>
            </w:r>
          </w:p>
        </w:tc>
        <w:tc>
          <w:tcPr>
            <w:tcW w:w="806" w:type="pct"/>
            <w:tcBorders>
              <w:top w:val="nil"/>
              <w:left w:val="nil"/>
              <w:bottom w:val="nil"/>
              <w:right w:val="single" w:sz="12" w:space="0" w:color="000000"/>
            </w:tcBorders>
            <w:shd w:val="clear" w:color="auto" w:fill="FFFFFF"/>
          </w:tcPr>
          <w:p w14:paraId="0D6F30FF"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478" w:type="pct"/>
            <w:tcBorders>
              <w:top w:val="nil"/>
              <w:left w:val="nil"/>
              <w:bottom w:val="nil"/>
              <w:right w:val="single" w:sz="4" w:space="0" w:color="000000"/>
            </w:tcBorders>
            <w:shd w:val="clear" w:color="auto" w:fill="FFFFFF"/>
            <w:vAlign w:val="center"/>
          </w:tcPr>
          <w:p w14:paraId="7DB74DE5"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9.18</w:t>
            </w:r>
          </w:p>
        </w:tc>
        <w:tc>
          <w:tcPr>
            <w:tcW w:w="446" w:type="pct"/>
            <w:tcBorders>
              <w:top w:val="nil"/>
              <w:left w:val="nil"/>
              <w:bottom w:val="nil"/>
              <w:right w:val="single" w:sz="4" w:space="0" w:color="000000"/>
            </w:tcBorders>
            <w:shd w:val="clear" w:color="auto" w:fill="FFFFFF"/>
            <w:vAlign w:val="center"/>
          </w:tcPr>
          <w:p w14:paraId="7C34514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9.33</w:t>
            </w:r>
          </w:p>
        </w:tc>
        <w:tc>
          <w:tcPr>
            <w:tcW w:w="508" w:type="pct"/>
            <w:tcBorders>
              <w:top w:val="nil"/>
              <w:left w:val="nil"/>
              <w:bottom w:val="nil"/>
              <w:right w:val="single" w:sz="12" w:space="0" w:color="000000"/>
            </w:tcBorders>
            <w:shd w:val="clear" w:color="auto" w:fill="FFFFFF"/>
            <w:vAlign w:val="center"/>
          </w:tcPr>
          <w:p w14:paraId="7E1F4A8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8.85</w:t>
            </w:r>
          </w:p>
        </w:tc>
        <w:tc>
          <w:tcPr>
            <w:tcW w:w="446" w:type="pct"/>
            <w:tcBorders>
              <w:top w:val="nil"/>
              <w:left w:val="nil"/>
              <w:bottom w:val="nil"/>
              <w:right w:val="single" w:sz="12" w:space="0" w:color="000000"/>
            </w:tcBorders>
            <w:shd w:val="clear" w:color="auto" w:fill="FFFFFF"/>
            <w:vAlign w:val="center"/>
          </w:tcPr>
          <w:p w14:paraId="117B7510"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8.94</w:t>
            </w:r>
          </w:p>
        </w:tc>
      </w:tr>
      <w:tr w:rsidR="009968E0" w:rsidRPr="009968E0" w14:paraId="4E7B579E" w14:textId="77777777" w:rsidTr="009968E0">
        <w:trPr>
          <w:trHeight w:val="360"/>
        </w:trPr>
        <w:tc>
          <w:tcPr>
            <w:tcW w:w="935" w:type="pct"/>
            <w:vMerge/>
            <w:tcBorders>
              <w:top w:val="nil"/>
              <w:left w:val="single" w:sz="12" w:space="0" w:color="000000"/>
              <w:bottom w:val="single" w:sz="4" w:space="0" w:color="000000"/>
              <w:right w:val="nil"/>
            </w:tcBorders>
            <w:shd w:val="clear" w:color="auto" w:fill="FBE4D5"/>
          </w:tcPr>
          <w:p w14:paraId="5B76AE11"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381" w:type="pct"/>
            <w:vMerge/>
            <w:tcBorders>
              <w:top w:val="nil"/>
              <w:left w:val="nil"/>
              <w:bottom w:val="single" w:sz="4" w:space="0" w:color="000000"/>
              <w:right w:val="nil"/>
            </w:tcBorders>
            <w:shd w:val="clear" w:color="auto" w:fill="FFFFFF"/>
          </w:tcPr>
          <w:p w14:paraId="73009D5C"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806" w:type="pct"/>
            <w:tcBorders>
              <w:top w:val="nil"/>
              <w:left w:val="nil"/>
              <w:bottom w:val="single" w:sz="4" w:space="0" w:color="000000"/>
              <w:right w:val="single" w:sz="12" w:space="0" w:color="000000"/>
            </w:tcBorders>
            <w:shd w:val="clear" w:color="auto" w:fill="FFFFFF"/>
          </w:tcPr>
          <w:p w14:paraId="79A1D4CB"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478" w:type="pct"/>
            <w:tcBorders>
              <w:top w:val="nil"/>
              <w:left w:val="nil"/>
              <w:bottom w:val="single" w:sz="4" w:space="0" w:color="000000"/>
              <w:right w:val="single" w:sz="4" w:space="0" w:color="000000"/>
            </w:tcBorders>
            <w:shd w:val="clear" w:color="auto" w:fill="FFFFFF"/>
            <w:vAlign w:val="center"/>
          </w:tcPr>
          <w:p w14:paraId="506D720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10.17</w:t>
            </w:r>
          </w:p>
        </w:tc>
        <w:tc>
          <w:tcPr>
            <w:tcW w:w="446" w:type="pct"/>
            <w:tcBorders>
              <w:top w:val="nil"/>
              <w:left w:val="nil"/>
              <w:bottom w:val="single" w:sz="4" w:space="0" w:color="000000"/>
              <w:right w:val="single" w:sz="4" w:space="0" w:color="000000"/>
            </w:tcBorders>
            <w:shd w:val="clear" w:color="auto" w:fill="FFFFFF"/>
            <w:vAlign w:val="center"/>
          </w:tcPr>
          <w:p w14:paraId="11BD0B68"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10.20</w:t>
            </w:r>
          </w:p>
        </w:tc>
        <w:tc>
          <w:tcPr>
            <w:tcW w:w="508" w:type="pct"/>
            <w:tcBorders>
              <w:top w:val="nil"/>
              <w:left w:val="nil"/>
              <w:bottom w:val="single" w:sz="4" w:space="0" w:color="000000"/>
              <w:right w:val="single" w:sz="12" w:space="0" w:color="000000"/>
            </w:tcBorders>
            <w:shd w:val="clear" w:color="auto" w:fill="FFFFFF"/>
            <w:vAlign w:val="center"/>
          </w:tcPr>
          <w:p w14:paraId="1C6B4E7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10.09</w:t>
            </w:r>
          </w:p>
        </w:tc>
        <w:tc>
          <w:tcPr>
            <w:tcW w:w="446" w:type="pct"/>
            <w:tcBorders>
              <w:top w:val="nil"/>
              <w:left w:val="nil"/>
              <w:bottom w:val="single" w:sz="4" w:space="0" w:color="000000"/>
              <w:right w:val="single" w:sz="12" w:space="0" w:color="000000"/>
            </w:tcBorders>
            <w:shd w:val="clear" w:color="auto" w:fill="FFFFFF"/>
            <w:vAlign w:val="center"/>
          </w:tcPr>
          <w:p w14:paraId="5BAE72E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9.93</w:t>
            </w:r>
          </w:p>
        </w:tc>
      </w:tr>
      <w:tr w:rsidR="009968E0" w:rsidRPr="009968E0" w14:paraId="7D62AE34" w14:textId="77777777" w:rsidTr="009968E0">
        <w:trPr>
          <w:trHeight w:val="360"/>
        </w:trPr>
        <w:tc>
          <w:tcPr>
            <w:tcW w:w="5000" w:type="pct"/>
            <w:gridSpan w:val="7"/>
            <w:tcBorders>
              <w:top w:val="nil"/>
              <w:left w:val="single" w:sz="12" w:space="0" w:color="000000"/>
              <w:bottom w:val="single" w:sz="4" w:space="0" w:color="000000"/>
              <w:right w:val="single" w:sz="12" w:space="0" w:color="000000"/>
            </w:tcBorders>
            <w:shd w:val="clear" w:color="auto" w:fill="FFFFFF"/>
            <w:vAlign w:val="center"/>
          </w:tcPr>
          <w:p w14:paraId="6CDD35B7"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p=0.32</w:t>
            </w:r>
          </w:p>
        </w:tc>
      </w:tr>
      <w:tr w:rsidR="009968E0" w:rsidRPr="009968E0" w14:paraId="411EEB83" w14:textId="77777777" w:rsidTr="009968E0">
        <w:trPr>
          <w:trHeight w:val="360"/>
        </w:trPr>
        <w:tc>
          <w:tcPr>
            <w:tcW w:w="935" w:type="pct"/>
            <w:vMerge w:val="restart"/>
            <w:tcBorders>
              <w:top w:val="nil"/>
              <w:left w:val="single" w:sz="12" w:space="0" w:color="000000"/>
              <w:bottom w:val="single" w:sz="4" w:space="0" w:color="000000"/>
              <w:right w:val="nil"/>
            </w:tcBorders>
            <w:shd w:val="clear" w:color="auto" w:fill="FBE4D5"/>
          </w:tcPr>
          <w:p w14:paraId="4DC2037D" w14:textId="12287BC4"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 xml:space="preserve">TTP </w:t>
            </w:r>
            <w:r w:rsidR="00264184">
              <w:rPr>
                <w:rFonts w:ascii="Calibri" w:eastAsia="Times New Roman" w:hAnsi="Calibri" w:cs="Calibri"/>
                <w:i/>
                <w:iCs/>
                <w:color w:val="000000"/>
                <w:sz w:val="22"/>
                <w:szCs w:val="22"/>
                <w:lang w:eastAsia="en-GB"/>
              </w:rPr>
              <w:t>RThal</w:t>
            </w:r>
            <w:r w:rsidRPr="009968E0">
              <w:rPr>
                <w:rFonts w:ascii="Calibri" w:eastAsia="Times New Roman" w:hAnsi="Calibri" w:cs="Calibri"/>
                <w:i/>
                <w:iCs/>
                <w:color w:val="000000"/>
                <w:sz w:val="22"/>
                <w:szCs w:val="22"/>
                <w:lang w:eastAsia="en-GB"/>
              </w:rPr>
              <w:t>3</w:t>
            </w:r>
          </w:p>
        </w:tc>
        <w:tc>
          <w:tcPr>
            <w:tcW w:w="2186" w:type="pct"/>
            <w:gridSpan w:val="2"/>
            <w:tcBorders>
              <w:top w:val="nil"/>
              <w:left w:val="nil"/>
              <w:bottom w:val="single" w:sz="4" w:space="0" w:color="000000"/>
              <w:right w:val="single" w:sz="12" w:space="0" w:color="000000"/>
            </w:tcBorders>
            <w:shd w:val="clear" w:color="auto" w:fill="FFFFFF"/>
          </w:tcPr>
          <w:p w14:paraId="270CC354"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478" w:type="pct"/>
            <w:tcBorders>
              <w:top w:val="nil"/>
              <w:left w:val="nil"/>
              <w:bottom w:val="single" w:sz="4" w:space="0" w:color="000000"/>
              <w:right w:val="single" w:sz="4" w:space="0" w:color="000000"/>
            </w:tcBorders>
            <w:shd w:val="clear" w:color="auto" w:fill="FFFFFF"/>
            <w:vAlign w:val="center"/>
          </w:tcPr>
          <w:p w14:paraId="2FAE3D1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9.74</w:t>
            </w:r>
          </w:p>
        </w:tc>
        <w:tc>
          <w:tcPr>
            <w:tcW w:w="446" w:type="pct"/>
            <w:tcBorders>
              <w:top w:val="nil"/>
              <w:left w:val="nil"/>
              <w:bottom w:val="single" w:sz="4" w:space="0" w:color="000000"/>
              <w:right w:val="single" w:sz="4" w:space="0" w:color="000000"/>
            </w:tcBorders>
            <w:shd w:val="clear" w:color="auto" w:fill="FFFFFF"/>
            <w:vAlign w:val="center"/>
          </w:tcPr>
          <w:p w14:paraId="4A6A7173"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9.73</w:t>
            </w:r>
          </w:p>
        </w:tc>
        <w:tc>
          <w:tcPr>
            <w:tcW w:w="508" w:type="pct"/>
            <w:tcBorders>
              <w:top w:val="nil"/>
              <w:left w:val="nil"/>
              <w:bottom w:val="single" w:sz="4" w:space="0" w:color="000000"/>
              <w:right w:val="single" w:sz="12" w:space="0" w:color="000000"/>
            </w:tcBorders>
            <w:shd w:val="clear" w:color="auto" w:fill="FFFFFF"/>
            <w:vAlign w:val="center"/>
          </w:tcPr>
          <w:p w14:paraId="708F174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9.49</w:t>
            </w:r>
          </w:p>
        </w:tc>
        <w:tc>
          <w:tcPr>
            <w:tcW w:w="446" w:type="pct"/>
            <w:tcBorders>
              <w:top w:val="nil"/>
              <w:left w:val="nil"/>
              <w:bottom w:val="single" w:sz="4" w:space="0" w:color="000000"/>
              <w:right w:val="single" w:sz="12" w:space="0" w:color="000000"/>
            </w:tcBorders>
            <w:shd w:val="clear" w:color="auto" w:fill="FFFFFF"/>
            <w:vAlign w:val="center"/>
          </w:tcPr>
          <w:p w14:paraId="3C7DCC9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9.38</w:t>
            </w:r>
          </w:p>
        </w:tc>
      </w:tr>
      <w:tr w:rsidR="009968E0" w:rsidRPr="009968E0" w14:paraId="5E17DD83" w14:textId="77777777" w:rsidTr="009968E0">
        <w:trPr>
          <w:trHeight w:val="360"/>
        </w:trPr>
        <w:tc>
          <w:tcPr>
            <w:tcW w:w="935" w:type="pct"/>
            <w:vMerge/>
            <w:tcBorders>
              <w:top w:val="nil"/>
              <w:left w:val="single" w:sz="12" w:space="0" w:color="000000"/>
              <w:bottom w:val="single" w:sz="4" w:space="0" w:color="000000"/>
              <w:right w:val="nil"/>
            </w:tcBorders>
            <w:shd w:val="clear" w:color="auto" w:fill="FBE4D5"/>
          </w:tcPr>
          <w:p w14:paraId="5A3DE9F0"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381" w:type="pct"/>
            <w:vMerge w:val="restart"/>
            <w:tcBorders>
              <w:top w:val="nil"/>
              <w:left w:val="nil"/>
              <w:bottom w:val="single" w:sz="4" w:space="0" w:color="000000"/>
              <w:right w:val="nil"/>
            </w:tcBorders>
            <w:shd w:val="clear" w:color="auto" w:fill="FFFFFF"/>
          </w:tcPr>
          <w:p w14:paraId="144484DE"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w:t>
            </w:r>
          </w:p>
        </w:tc>
        <w:tc>
          <w:tcPr>
            <w:tcW w:w="806" w:type="pct"/>
            <w:tcBorders>
              <w:top w:val="nil"/>
              <w:left w:val="nil"/>
              <w:bottom w:val="nil"/>
              <w:right w:val="single" w:sz="12" w:space="0" w:color="000000"/>
            </w:tcBorders>
            <w:shd w:val="clear" w:color="auto" w:fill="FFFFFF"/>
          </w:tcPr>
          <w:p w14:paraId="23A9E29C"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478" w:type="pct"/>
            <w:tcBorders>
              <w:top w:val="nil"/>
              <w:left w:val="nil"/>
              <w:bottom w:val="nil"/>
              <w:right w:val="single" w:sz="4" w:space="0" w:color="000000"/>
            </w:tcBorders>
            <w:shd w:val="clear" w:color="auto" w:fill="FFFFFF"/>
            <w:vAlign w:val="center"/>
          </w:tcPr>
          <w:p w14:paraId="476749B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9.22</w:t>
            </w:r>
          </w:p>
        </w:tc>
        <w:tc>
          <w:tcPr>
            <w:tcW w:w="446" w:type="pct"/>
            <w:tcBorders>
              <w:top w:val="nil"/>
              <w:left w:val="nil"/>
              <w:bottom w:val="nil"/>
              <w:right w:val="single" w:sz="4" w:space="0" w:color="000000"/>
            </w:tcBorders>
            <w:shd w:val="clear" w:color="auto" w:fill="FFFFFF"/>
            <w:vAlign w:val="center"/>
          </w:tcPr>
          <w:p w14:paraId="608409E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9.26</w:t>
            </w:r>
          </w:p>
        </w:tc>
        <w:tc>
          <w:tcPr>
            <w:tcW w:w="508" w:type="pct"/>
            <w:tcBorders>
              <w:top w:val="nil"/>
              <w:left w:val="nil"/>
              <w:bottom w:val="nil"/>
              <w:right w:val="single" w:sz="12" w:space="0" w:color="000000"/>
            </w:tcBorders>
            <w:shd w:val="clear" w:color="auto" w:fill="FFFFFF"/>
            <w:vAlign w:val="center"/>
          </w:tcPr>
          <w:p w14:paraId="447C0E7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8.83</w:t>
            </w:r>
          </w:p>
        </w:tc>
        <w:tc>
          <w:tcPr>
            <w:tcW w:w="446" w:type="pct"/>
            <w:tcBorders>
              <w:top w:val="nil"/>
              <w:left w:val="nil"/>
              <w:bottom w:val="nil"/>
              <w:right w:val="single" w:sz="12" w:space="0" w:color="000000"/>
            </w:tcBorders>
            <w:shd w:val="clear" w:color="auto" w:fill="FFFFFF"/>
            <w:vAlign w:val="center"/>
          </w:tcPr>
          <w:p w14:paraId="66441CF5"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8.85</w:t>
            </w:r>
          </w:p>
        </w:tc>
      </w:tr>
      <w:tr w:rsidR="009968E0" w:rsidRPr="009968E0" w14:paraId="6F9E281F" w14:textId="77777777" w:rsidTr="009968E0">
        <w:trPr>
          <w:trHeight w:val="360"/>
        </w:trPr>
        <w:tc>
          <w:tcPr>
            <w:tcW w:w="935" w:type="pct"/>
            <w:vMerge/>
            <w:tcBorders>
              <w:top w:val="nil"/>
              <w:left w:val="single" w:sz="12" w:space="0" w:color="000000"/>
              <w:bottom w:val="single" w:sz="4" w:space="0" w:color="000000"/>
              <w:right w:val="nil"/>
            </w:tcBorders>
            <w:shd w:val="clear" w:color="auto" w:fill="FBE4D5"/>
          </w:tcPr>
          <w:p w14:paraId="5499C3C1"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381" w:type="pct"/>
            <w:vMerge/>
            <w:tcBorders>
              <w:top w:val="nil"/>
              <w:left w:val="nil"/>
              <w:bottom w:val="single" w:sz="4" w:space="0" w:color="000000"/>
              <w:right w:val="nil"/>
            </w:tcBorders>
            <w:shd w:val="clear" w:color="auto" w:fill="FFFFFF"/>
          </w:tcPr>
          <w:p w14:paraId="29F7A2CC"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806" w:type="pct"/>
            <w:tcBorders>
              <w:top w:val="nil"/>
              <w:left w:val="nil"/>
              <w:bottom w:val="single" w:sz="4" w:space="0" w:color="000000"/>
              <w:right w:val="single" w:sz="12" w:space="0" w:color="000000"/>
            </w:tcBorders>
            <w:shd w:val="clear" w:color="auto" w:fill="FFFFFF"/>
          </w:tcPr>
          <w:p w14:paraId="1C2D443A"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478" w:type="pct"/>
            <w:tcBorders>
              <w:top w:val="nil"/>
              <w:left w:val="nil"/>
              <w:bottom w:val="single" w:sz="4" w:space="0" w:color="000000"/>
              <w:right w:val="single" w:sz="4" w:space="0" w:color="000000"/>
            </w:tcBorders>
            <w:shd w:val="clear" w:color="auto" w:fill="FFFFFF"/>
            <w:vAlign w:val="center"/>
          </w:tcPr>
          <w:p w14:paraId="0F9F2FE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10.27</w:t>
            </w:r>
          </w:p>
        </w:tc>
        <w:tc>
          <w:tcPr>
            <w:tcW w:w="446" w:type="pct"/>
            <w:tcBorders>
              <w:top w:val="nil"/>
              <w:left w:val="nil"/>
              <w:bottom w:val="single" w:sz="4" w:space="0" w:color="000000"/>
              <w:right w:val="single" w:sz="4" w:space="0" w:color="000000"/>
            </w:tcBorders>
            <w:shd w:val="clear" w:color="auto" w:fill="FFFFFF"/>
            <w:vAlign w:val="center"/>
          </w:tcPr>
          <w:p w14:paraId="68FE5C2E"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10.19</w:t>
            </w:r>
          </w:p>
        </w:tc>
        <w:tc>
          <w:tcPr>
            <w:tcW w:w="508" w:type="pct"/>
            <w:tcBorders>
              <w:top w:val="nil"/>
              <w:left w:val="nil"/>
              <w:bottom w:val="single" w:sz="4" w:space="0" w:color="000000"/>
              <w:right w:val="single" w:sz="12" w:space="0" w:color="000000"/>
            </w:tcBorders>
            <w:shd w:val="clear" w:color="auto" w:fill="FFFFFF"/>
            <w:vAlign w:val="center"/>
          </w:tcPr>
          <w:p w14:paraId="01233CB0"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10.15</w:t>
            </w:r>
          </w:p>
        </w:tc>
        <w:tc>
          <w:tcPr>
            <w:tcW w:w="446" w:type="pct"/>
            <w:tcBorders>
              <w:top w:val="nil"/>
              <w:left w:val="nil"/>
              <w:bottom w:val="single" w:sz="4" w:space="0" w:color="000000"/>
              <w:right w:val="single" w:sz="12" w:space="0" w:color="000000"/>
            </w:tcBorders>
            <w:shd w:val="clear" w:color="auto" w:fill="FFFFFF"/>
            <w:vAlign w:val="center"/>
          </w:tcPr>
          <w:p w14:paraId="3FDBD59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9.91</w:t>
            </w:r>
          </w:p>
        </w:tc>
      </w:tr>
      <w:tr w:rsidR="009968E0" w:rsidRPr="009968E0" w14:paraId="4A0C2A65" w14:textId="77777777" w:rsidTr="009968E0">
        <w:trPr>
          <w:trHeight w:val="360"/>
        </w:trPr>
        <w:tc>
          <w:tcPr>
            <w:tcW w:w="5000" w:type="pct"/>
            <w:gridSpan w:val="7"/>
            <w:tcBorders>
              <w:top w:val="nil"/>
              <w:left w:val="single" w:sz="12" w:space="0" w:color="000000"/>
              <w:bottom w:val="single" w:sz="4" w:space="0" w:color="000000"/>
              <w:right w:val="single" w:sz="12" w:space="0" w:color="000000"/>
            </w:tcBorders>
            <w:shd w:val="clear" w:color="auto" w:fill="FFFFFF"/>
            <w:vAlign w:val="center"/>
          </w:tcPr>
          <w:p w14:paraId="217614E4"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p=0.17</w:t>
            </w:r>
          </w:p>
        </w:tc>
      </w:tr>
      <w:tr w:rsidR="009968E0" w:rsidRPr="009968E0" w14:paraId="7B221A80" w14:textId="77777777" w:rsidTr="009968E0">
        <w:trPr>
          <w:trHeight w:val="360"/>
        </w:trPr>
        <w:tc>
          <w:tcPr>
            <w:tcW w:w="935" w:type="pct"/>
            <w:vMerge w:val="restart"/>
            <w:tcBorders>
              <w:top w:val="nil"/>
              <w:left w:val="single" w:sz="12" w:space="0" w:color="000000"/>
              <w:bottom w:val="single" w:sz="4" w:space="0" w:color="000000"/>
              <w:right w:val="nil"/>
            </w:tcBorders>
            <w:shd w:val="clear" w:color="auto" w:fill="FBE4D5"/>
          </w:tcPr>
          <w:p w14:paraId="4FC34E0A"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TTP LINS3</w:t>
            </w:r>
          </w:p>
        </w:tc>
        <w:tc>
          <w:tcPr>
            <w:tcW w:w="2186" w:type="pct"/>
            <w:gridSpan w:val="2"/>
            <w:tcBorders>
              <w:top w:val="nil"/>
              <w:left w:val="nil"/>
              <w:bottom w:val="single" w:sz="4" w:space="0" w:color="000000"/>
              <w:right w:val="single" w:sz="12" w:space="0" w:color="000000"/>
            </w:tcBorders>
            <w:shd w:val="clear" w:color="auto" w:fill="FFFFFF"/>
          </w:tcPr>
          <w:p w14:paraId="1295BE50"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478" w:type="pct"/>
            <w:tcBorders>
              <w:top w:val="nil"/>
              <w:left w:val="nil"/>
              <w:bottom w:val="single" w:sz="4" w:space="0" w:color="000000"/>
              <w:right w:val="single" w:sz="4" w:space="0" w:color="000000"/>
            </w:tcBorders>
            <w:shd w:val="clear" w:color="auto" w:fill="FFFFFF"/>
            <w:vAlign w:val="center"/>
          </w:tcPr>
          <w:p w14:paraId="15B2AD0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8.80</w:t>
            </w:r>
          </w:p>
        </w:tc>
        <w:tc>
          <w:tcPr>
            <w:tcW w:w="446" w:type="pct"/>
            <w:tcBorders>
              <w:top w:val="nil"/>
              <w:left w:val="nil"/>
              <w:bottom w:val="single" w:sz="4" w:space="0" w:color="000000"/>
              <w:right w:val="single" w:sz="4" w:space="0" w:color="000000"/>
            </w:tcBorders>
            <w:shd w:val="clear" w:color="auto" w:fill="FFFFFF"/>
            <w:vAlign w:val="center"/>
          </w:tcPr>
          <w:p w14:paraId="02A48E3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8.70</w:t>
            </w:r>
          </w:p>
        </w:tc>
        <w:tc>
          <w:tcPr>
            <w:tcW w:w="508" w:type="pct"/>
            <w:tcBorders>
              <w:top w:val="nil"/>
              <w:left w:val="nil"/>
              <w:bottom w:val="single" w:sz="4" w:space="0" w:color="000000"/>
              <w:right w:val="single" w:sz="12" w:space="0" w:color="000000"/>
            </w:tcBorders>
            <w:shd w:val="clear" w:color="auto" w:fill="FFFFFF"/>
            <w:vAlign w:val="center"/>
          </w:tcPr>
          <w:p w14:paraId="7DF1391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8.48</w:t>
            </w:r>
          </w:p>
        </w:tc>
        <w:tc>
          <w:tcPr>
            <w:tcW w:w="446" w:type="pct"/>
            <w:tcBorders>
              <w:top w:val="nil"/>
              <w:left w:val="nil"/>
              <w:bottom w:val="single" w:sz="4" w:space="0" w:color="000000"/>
              <w:right w:val="single" w:sz="12" w:space="0" w:color="000000"/>
            </w:tcBorders>
            <w:shd w:val="clear" w:color="auto" w:fill="FFFFFF"/>
            <w:vAlign w:val="center"/>
          </w:tcPr>
          <w:p w14:paraId="2A28D28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8.50</w:t>
            </w:r>
          </w:p>
        </w:tc>
      </w:tr>
      <w:tr w:rsidR="009968E0" w:rsidRPr="009968E0" w14:paraId="30BDE550" w14:textId="77777777" w:rsidTr="009968E0">
        <w:trPr>
          <w:trHeight w:val="360"/>
        </w:trPr>
        <w:tc>
          <w:tcPr>
            <w:tcW w:w="935" w:type="pct"/>
            <w:vMerge/>
            <w:tcBorders>
              <w:top w:val="nil"/>
              <w:left w:val="single" w:sz="12" w:space="0" w:color="000000"/>
              <w:bottom w:val="single" w:sz="4" w:space="0" w:color="000000"/>
              <w:right w:val="nil"/>
            </w:tcBorders>
            <w:shd w:val="clear" w:color="auto" w:fill="FBE4D5"/>
          </w:tcPr>
          <w:p w14:paraId="665F91F0"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381" w:type="pct"/>
            <w:vMerge w:val="restart"/>
            <w:tcBorders>
              <w:top w:val="nil"/>
              <w:left w:val="nil"/>
              <w:bottom w:val="single" w:sz="4" w:space="0" w:color="000000"/>
              <w:right w:val="nil"/>
            </w:tcBorders>
            <w:shd w:val="clear" w:color="auto" w:fill="FFFFFF"/>
          </w:tcPr>
          <w:p w14:paraId="7B6EA4B0"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w:t>
            </w:r>
          </w:p>
        </w:tc>
        <w:tc>
          <w:tcPr>
            <w:tcW w:w="806" w:type="pct"/>
            <w:tcBorders>
              <w:top w:val="nil"/>
              <w:left w:val="nil"/>
              <w:bottom w:val="nil"/>
              <w:right w:val="single" w:sz="12" w:space="0" w:color="000000"/>
            </w:tcBorders>
            <w:shd w:val="clear" w:color="auto" w:fill="FFFFFF"/>
          </w:tcPr>
          <w:p w14:paraId="5EB0E17B"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478" w:type="pct"/>
            <w:tcBorders>
              <w:top w:val="nil"/>
              <w:left w:val="nil"/>
              <w:bottom w:val="nil"/>
              <w:right w:val="single" w:sz="4" w:space="0" w:color="000000"/>
            </w:tcBorders>
            <w:shd w:val="clear" w:color="auto" w:fill="FFFFFF"/>
            <w:vAlign w:val="center"/>
          </w:tcPr>
          <w:p w14:paraId="42C71B1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8.34</w:t>
            </w:r>
          </w:p>
        </w:tc>
        <w:tc>
          <w:tcPr>
            <w:tcW w:w="446" w:type="pct"/>
            <w:tcBorders>
              <w:top w:val="nil"/>
              <w:left w:val="nil"/>
              <w:bottom w:val="nil"/>
              <w:right w:val="single" w:sz="4" w:space="0" w:color="000000"/>
            </w:tcBorders>
            <w:shd w:val="clear" w:color="auto" w:fill="FFFFFF"/>
            <w:vAlign w:val="center"/>
          </w:tcPr>
          <w:p w14:paraId="6B67921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8.29</w:t>
            </w:r>
          </w:p>
        </w:tc>
        <w:tc>
          <w:tcPr>
            <w:tcW w:w="508" w:type="pct"/>
            <w:tcBorders>
              <w:top w:val="nil"/>
              <w:left w:val="nil"/>
              <w:bottom w:val="nil"/>
              <w:right w:val="single" w:sz="12" w:space="0" w:color="000000"/>
            </w:tcBorders>
            <w:shd w:val="clear" w:color="auto" w:fill="FFFFFF"/>
            <w:vAlign w:val="center"/>
          </w:tcPr>
          <w:p w14:paraId="7F5CF198"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7.90</w:t>
            </w:r>
          </w:p>
        </w:tc>
        <w:tc>
          <w:tcPr>
            <w:tcW w:w="446" w:type="pct"/>
            <w:tcBorders>
              <w:top w:val="nil"/>
              <w:left w:val="nil"/>
              <w:bottom w:val="nil"/>
              <w:right w:val="single" w:sz="12" w:space="0" w:color="000000"/>
            </w:tcBorders>
            <w:shd w:val="clear" w:color="auto" w:fill="FFFFFF"/>
            <w:vAlign w:val="center"/>
          </w:tcPr>
          <w:p w14:paraId="2BAD41B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8.03</w:t>
            </w:r>
          </w:p>
        </w:tc>
      </w:tr>
      <w:tr w:rsidR="009968E0" w:rsidRPr="009968E0" w14:paraId="44230074" w14:textId="77777777" w:rsidTr="009968E0">
        <w:trPr>
          <w:trHeight w:val="360"/>
        </w:trPr>
        <w:tc>
          <w:tcPr>
            <w:tcW w:w="935" w:type="pct"/>
            <w:vMerge/>
            <w:tcBorders>
              <w:top w:val="nil"/>
              <w:left w:val="single" w:sz="12" w:space="0" w:color="000000"/>
              <w:bottom w:val="single" w:sz="4" w:space="0" w:color="000000"/>
              <w:right w:val="nil"/>
            </w:tcBorders>
            <w:shd w:val="clear" w:color="auto" w:fill="FBE4D5"/>
          </w:tcPr>
          <w:p w14:paraId="001308E1"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381" w:type="pct"/>
            <w:vMerge/>
            <w:tcBorders>
              <w:top w:val="nil"/>
              <w:left w:val="nil"/>
              <w:bottom w:val="single" w:sz="4" w:space="0" w:color="000000"/>
              <w:right w:val="nil"/>
            </w:tcBorders>
            <w:shd w:val="clear" w:color="auto" w:fill="FFFFFF"/>
          </w:tcPr>
          <w:p w14:paraId="754858E8"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806" w:type="pct"/>
            <w:tcBorders>
              <w:top w:val="nil"/>
              <w:left w:val="nil"/>
              <w:bottom w:val="single" w:sz="4" w:space="0" w:color="000000"/>
              <w:right w:val="single" w:sz="12" w:space="0" w:color="000000"/>
            </w:tcBorders>
            <w:shd w:val="clear" w:color="auto" w:fill="FFFFFF"/>
          </w:tcPr>
          <w:p w14:paraId="7387ACD2"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478" w:type="pct"/>
            <w:tcBorders>
              <w:top w:val="nil"/>
              <w:left w:val="nil"/>
              <w:bottom w:val="single" w:sz="4" w:space="0" w:color="000000"/>
              <w:right w:val="single" w:sz="4" w:space="0" w:color="000000"/>
            </w:tcBorders>
            <w:shd w:val="clear" w:color="auto" w:fill="FFFFFF"/>
            <w:vAlign w:val="center"/>
          </w:tcPr>
          <w:p w14:paraId="36FDFB8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9.26</w:t>
            </w:r>
          </w:p>
        </w:tc>
        <w:tc>
          <w:tcPr>
            <w:tcW w:w="446" w:type="pct"/>
            <w:tcBorders>
              <w:top w:val="nil"/>
              <w:left w:val="nil"/>
              <w:bottom w:val="single" w:sz="4" w:space="0" w:color="000000"/>
              <w:right w:val="single" w:sz="4" w:space="0" w:color="000000"/>
            </w:tcBorders>
            <w:shd w:val="clear" w:color="auto" w:fill="FFFFFF"/>
            <w:vAlign w:val="center"/>
          </w:tcPr>
          <w:p w14:paraId="48A78B5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9.11</w:t>
            </w:r>
          </w:p>
        </w:tc>
        <w:tc>
          <w:tcPr>
            <w:tcW w:w="508" w:type="pct"/>
            <w:tcBorders>
              <w:top w:val="nil"/>
              <w:left w:val="nil"/>
              <w:bottom w:val="single" w:sz="4" w:space="0" w:color="000000"/>
              <w:right w:val="single" w:sz="12" w:space="0" w:color="000000"/>
            </w:tcBorders>
            <w:shd w:val="clear" w:color="auto" w:fill="FFFFFF"/>
            <w:vAlign w:val="center"/>
          </w:tcPr>
          <w:p w14:paraId="5E9A4B65"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9.06</w:t>
            </w:r>
          </w:p>
        </w:tc>
        <w:tc>
          <w:tcPr>
            <w:tcW w:w="446" w:type="pct"/>
            <w:tcBorders>
              <w:top w:val="nil"/>
              <w:left w:val="nil"/>
              <w:bottom w:val="single" w:sz="4" w:space="0" w:color="000000"/>
              <w:right w:val="single" w:sz="12" w:space="0" w:color="000000"/>
            </w:tcBorders>
            <w:shd w:val="clear" w:color="auto" w:fill="FFFFFF"/>
            <w:vAlign w:val="center"/>
          </w:tcPr>
          <w:p w14:paraId="604B4F03"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8.96</w:t>
            </w:r>
          </w:p>
        </w:tc>
      </w:tr>
      <w:tr w:rsidR="009968E0" w:rsidRPr="009968E0" w14:paraId="48C119FA" w14:textId="77777777" w:rsidTr="009968E0">
        <w:trPr>
          <w:trHeight w:val="360"/>
        </w:trPr>
        <w:tc>
          <w:tcPr>
            <w:tcW w:w="5000" w:type="pct"/>
            <w:gridSpan w:val="7"/>
            <w:tcBorders>
              <w:top w:val="nil"/>
              <w:left w:val="single" w:sz="12" w:space="0" w:color="000000"/>
              <w:bottom w:val="single" w:sz="4" w:space="0" w:color="000000"/>
              <w:right w:val="single" w:sz="12" w:space="0" w:color="000000"/>
            </w:tcBorders>
            <w:shd w:val="clear" w:color="auto" w:fill="FFFFFF"/>
            <w:vAlign w:val="center"/>
          </w:tcPr>
          <w:p w14:paraId="0DD53E3B"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p=0.31</w:t>
            </w:r>
          </w:p>
        </w:tc>
      </w:tr>
      <w:tr w:rsidR="009968E0" w:rsidRPr="009968E0" w14:paraId="2959AB83" w14:textId="77777777" w:rsidTr="009968E0">
        <w:trPr>
          <w:trHeight w:val="360"/>
        </w:trPr>
        <w:tc>
          <w:tcPr>
            <w:tcW w:w="935" w:type="pct"/>
            <w:vMerge w:val="restart"/>
            <w:tcBorders>
              <w:top w:val="nil"/>
              <w:left w:val="single" w:sz="12" w:space="0" w:color="000000"/>
              <w:bottom w:val="single" w:sz="4" w:space="0" w:color="000000"/>
              <w:right w:val="nil"/>
            </w:tcBorders>
            <w:shd w:val="clear" w:color="auto" w:fill="FBE4D5"/>
          </w:tcPr>
          <w:p w14:paraId="330E5CAB"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TTP RINS3</w:t>
            </w:r>
          </w:p>
        </w:tc>
        <w:tc>
          <w:tcPr>
            <w:tcW w:w="2186" w:type="pct"/>
            <w:gridSpan w:val="2"/>
            <w:tcBorders>
              <w:top w:val="nil"/>
              <w:left w:val="nil"/>
              <w:bottom w:val="single" w:sz="4" w:space="0" w:color="000000"/>
              <w:right w:val="single" w:sz="12" w:space="0" w:color="000000"/>
            </w:tcBorders>
            <w:shd w:val="clear" w:color="auto" w:fill="FFFFFF"/>
          </w:tcPr>
          <w:p w14:paraId="4905E596"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478" w:type="pct"/>
            <w:tcBorders>
              <w:top w:val="nil"/>
              <w:left w:val="nil"/>
              <w:bottom w:val="single" w:sz="4" w:space="0" w:color="000000"/>
              <w:right w:val="single" w:sz="4" w:space="0" w:color="000000"/>
            </w:tcBorders>
            <w:shd w:val="clear" w:color="auto" w:fill="FFFFFF"/>
            <w:vAlign w:val="center"/>
          </w:tcPr>
          <w:p w14:paraId="024580B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8.99</w:t>
            </w:r>
          </w:p>
        </w:tc>
        <w:tc>
          <w:tcPr>
            <w:tcW w:w="446" w:type="pct"/>
            <w:tcBorders>
              <w:top w:val="nil"/>
              <w:left w:val="nil"/>
              <w:bottom w:val="single" w:sz="4" w:space="0" w:color="000000"/>
              <w:right w:val="single" w:sz="4" w:space="0" w:color="000000"/>
            </w:tcBorders>
            <w:shd w:val="clear" w:color="auto" w:fill="FFFFFF"/>
            <w:vAlign w:val="center"/>
          </w:tcPr>
          <w:p w14:paraId="3F66A79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8.89</w:t>
            </w:r>
          </w:p>
        </w:tc>
        <w:tc>
          <w:tcPr>
            <w:tcW w:w="508" w:type="pct"/>
            <w:tcBorders>
              <w:top w:val="nil"/>
              <w:left w:val="nil"/>
              <w:bottom w:val="single" w:sz="4" w:space="0" w:color="000000"/>
              <w:right w:val="single" w:sz="12" w:space="0" w:color="000000"/>
            </w:tcBorders>
            <w:shd w:val="clear" w:color="auto" w:fill="FFFFFF"/>
            <w:vAlign w:val="center"/>
          </w:tcPr>
          <w:p w14:paraId="60375864"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8.67</w:t>
            </w:r>
          </w:p>
        </w:tc>
        <w:tc>
          <w:tcPr>
            <w:tcW w:w="446" w:type="pct"/>
            <w:tcBorders>
              <w:top w:val="nil"/>
              <w:left w:val="nil"/>
              <w:bottom w:val="single" w:sz="4" w:space="0" w:color="000000"/>
              <w:right w:val="single" w:sz="12" w:space="0" w:color="000000"/>
            </w:tcBorders>
            <w:shd w:val="clear" w:color="auto" w:fill="FFFFFF"/>
            <w:vAlign w:val="center"/>
          </w:tcPr>
          <w:p w14:paraId="4646E8B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8.74</w:t>
            </w:r>
          </w:p>
        </w:tc>
      </w:tr>
      <w:tr w:rsidR="009968E0" w:rsidRPr="009968E0" w14:paraId="3EF0CDC8" w14:textId="77777777" w:rsidTr="009968E0">
        <w:trPr>
          <w:trHeight w:val="360"/>
        </w:trPr>
        <w:tc>
          <w:tcPr>
            <w:tcW w:w="935" w:type="pct"/>
            <w:vMerge/>
            <w:tcBorders>
              <w:top w:val="nil"/>
              <w:left w:val="single" w:sz="12" w:space="0" w:color="000000"/>
              <w:bottom w:val="single" w:sz="4" w:space="0" w:color="000000"/>
              <w:right w:val="nil"/>
            </w:tcBorders>
            <w:shd w:val="clear" w:color="auto" w:fill="FBE4D5"/>
          </w:tcPr>
          <w:p w14:paraId="701598ED"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381" w:type="pct"/>
            <w:vMerge w:val="restart"/>
            <w:tcBorders>
              <w:top w:val="nil"/>
              <w:left w:val="nil"/>
              <w:bottom w:val="single" w:sz="4" w:space="0" w:color="000000"/>
              <w:right w:val="nil"/>
            </w:tcBorders>
            <w:shd w:val="clear" w:color="auto" w:fill="FFFFFF"/>
          </w:tcPr>
          <w:p w14:paraId="0798C239"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w:t>
            </w:r>
          </w:p>
        </w:tc>
        <w:tc>
          <w:tcPr>
            <w:tcW w:w="806" w:type="pct"/>
            <w:tcBorders>
              <w:top w:val="nil"/>
              <w:left w:val="nil"/>
              <w:bottom w:val="nil"/>
              <w:right w:val="single" w:sz="12" w:space="0" w:color="000000"/>
            </w:tcBorders>
            <w:shd w:val="clear" w:color="auto" w:fill="FFFFFF"/>
          </w:tcPr>
          <w:p w14:paraId="0A5FBD95"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478" w:type="pct"/>
            <w:tcBorders>
              <w:top w:val="nil"/>
              <w:left w:val="nil"/>
              <w:bottom w:val="nil"/>
              <w:right w:val="single" w:sz="4" w:space="0" w:color="000000"/>
            </w:tcBorders>
            <w:shd w:val="clear" w:color="auto" w:fill="FFFFFF"/>
            <w:vAlign w:val="center"/>
          </w:tcPr>
          <w:p w14:paraId="15F8AB70"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8.52</w:t>
            </w:r>
          </w:p>
        </w:tc>
        <w:tc>
          <w:tcPr>
            <w:tcW w:w="446" w:type="pct"/>
            <w:tcBorders>
              <w:top w:val="nil"/>
              <w:left w:val="nil"/>
              <w:bottom w:val="nil"/>
              <w:right w:val="single" w:sz="4" w:space="0" w:color="000000"/>
            </w:tcBorders>
            <w:shd w:val="clear" w:color="auto" w:fill="FFFFFF"/>
            <w:vAlign w:val="center"/>
          </w:tcPr>
          <w:p w14:paraId="7FD5A4E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8.48</w:t>
            </w:r>
          </w:p>
        </w:tc>
        <w:tc>
          <w:tcPr>
            <w:tcW w:w="508" w:type="pct"/>
            <w:tcBorders>
              <w:top w:val="nil"/>
              <w:left w:val="nil"/>
              <w:bottom w:val="nil"/>
              <w:right w:val="single" w:sz="12" w:space="0" w:color="000000"/>
            </w:tcBorders>
            <w:shd w:val="clear" w:color="auto" w:fill="FFFFFF"/>
            <w:vAlign w:val="center"/>
          </w:tcPr>
          <w:p w14:paraId="42241B1E"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8.08</w:t>
            </w:r>
          </w:p>
        </w:tc>
        <w:tc>
          <w:tcPr>
            <w:tcW w:w="446" w:type="pct"/>
            <w:tcBorders>
              <w:top w:val="nil"/>
              <w:left w:val="nil"/>
              <w:bottom w:val="nil"/>
              <w:right w:val="single" w:sz="12" w:space="0" w:color="000000"/>
            </w:tcBorders>
            <w:shd w:val="clear" w:color="auto" w:fill="FFFFFF"/>
            <w:vAlign w:val="center"/>
          </w:tcPr>
          <w:p w14:paraId="7E3128A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8.27</w:t>
            </w:r>
          </w:p>
        </w:tc>
      </w:tr>
      <w:tr w:rsidR="009968E0" w:rsidRPr="009968E0" w14:paraId="5EA3D1E0" w14:textId="77777777" w:rsidTr="009968E0">
        <w:trPr>
          <w:trHeight w:val="360"/>
        </w:trPr>
        <w:tc>
          <w:tcPr>
            <w:tcW w:w="935" w:type="pct"/>
            <w:vMerge/>
            <w:tcBorders>
              <w:top w:val="nil"/>
              <w:left w:val="single" w:sz="12" w:space="0" w:color="000000"/>
              <w:bottom w:val="single" w:sz="4" w:space="0" w:color="000000"/>
              <w:right w:val="nil"/>
            </w:tcBorders>
            <w:shd w:val="clear" w:color="auto" w:fill="FBE4D5"/>
          </w:tcPr>
          <w:p w14:paraId="3713401B"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381" w:type="pct"/>
            <w:vMerge/>
            <w:tcBorders>
              <w:top w:val="nil"/>
              <w:left w:val="nil"/>
              <w:bottom w:val="single" w:sz="4" w:space="0" w:color="000000"/>
              <w:right w:val="nil"/>
            </w:tcBorders>
            <w:shd w:val="clear" w:color="auto" w:fill="FFFFFF"/>
          </w:tcPr>
          <w:p w14:paraId="788F2C77"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806" w:type="pct"/>
            <w:tcBorders>
              <w:top w:val="nil"/>
              <w:left w:val="nil"/>
              <w:bottom w:val="single" w:sz="4" w:space="0" w:color="000000"/>
              <w:right w:val="single" w:sz="12" w:space="0" w:color="000000"/>
            </w:tcBorders>
            <w:shd w:val="clear" w:color="auto" w:fill="FFFFFF"/>
          </w:tcPr>
          <w:p w14:paraId="27A9B736"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478" w:type="pct"/>
            <w:tcBorders>
              <w:top w:val="nil"/>
              <w:left w:val="nil"/>
              <w:bottom w:val="single" w:sz="4" w:space="0" w:color="000000"/>
              <w:right w:val="single" w:sz="4" w:space="0" w:color="000000"/>
            </w:tcBorders>
            <w:shd w:val="clear" w:color="auto" w:fill="FFFFFF"/>
            <w:vAlign w:val="center"/>
          </w:tcPr>
          <w:p w14:paraId="34E64E5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9.46</w:t>
            </w:r>
          </w:p>
        </w:tc>
        <w:tc>
          <w:tcPr>
            <w:tcW w:w="446" w:type="pct"/>
            <w:tcBorders>
              <w:top w:val="nil"/>
              <w:left w:val="nil"/>
              <w:bottom w:val="single" w:sz="4" w:space="0" w:color="000000"/>
              <w:right w:val="single" w:sz="4" w:space="0" w:color="000000"/>
            </w:tcBorders>
            <w:shd w:val="clear" w:color="auto" w:fill="FFFFFF"/>
            <w:vAlign w:val="center"/>
          </w:tcPr>
          <w:p w14:paraId="02580A2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9.30</w:t>
            </w:r>
          </w:p>
        </w:tc>
        <w:tc>
          <w:tcPr>
            <w:tcW w:w="508" w:type="pct"/>
            <w:tcBorders>
              <w:top w:val="nil"/>
              <w:left w:val="nil"/>
              <w:bottom w:val="single" w:sz="4" w:space="0" w:color="000000"/>
              <w:right w:val="single" w:sz="12" w:space="0" w:color="000000"/>
            </w:tcBorders>
            <w:shd w:val="clear" w:color="auto" w:fill="FFFFFF"/>
            <w:vAlign w:val="center"/>
          </w:tcPr>
          <w:p w14:paraId="068ACDB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9.26</w:t>
            </w:r>
          </w:p>
        </w:tc>
        <w:tc>
          <w:tcPr>
            <w:tcW w:w="446" w:type="pct"/>
            <w:tcBorders>
              <w:top w:val="nil"/>
              <w:left w:val="nil"/>
              <w:bottom w:val="single" w:sz="4" w:space="0" w:color="000000"/>
              <w:right w:val="single" w:sz="12" w:space="0" w:color="000000"/>
            </w:tcBorders>
            <w:shd w:val="clear" w:color="auto" w:fill="FFFFFF"/>
            <w:vAlign w:val="center"/>
          </w:tcPr>
          <w:p w14:paraId="1601D06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9.21</w:t>
            </w:r>
          </w:p>
        </w:tc>
      </w:tr>
      <w:tr w:rsidR="009968E0" w:rsidRPr="009968E0" w14:paraId="0D4E7CBA" w14:textId="77777777" w:rsidTr="009968E0">
        <w:trPr>
          <w:trHeight w:val="360"/>
        </w:trPr>
        <w:tc>
          <w:tcPr>
            <w:tcW w:w="5000" w:type="pct"/>
            <w:gridSpan w:val="7"/>
            <w:tcBorders>
              <w:top w:val="nil"/>
              <w:left w:val="single" w:sz="12" w:space="0" w:color="000000"/>
              <w:bottom w:val="single" w:sz="4" w:space="0" w:color="000000"/>
              <w:right w:val="single" w:sz="12" w:space="0" w:color="000000"/>
            </w:tcBorders>
            <w:shd w:val="clear" w:color="auto" w:fill="FFFFFF"/>
            <w:vAlign w:val="center"/>
          </w:tcPr>
          <w:p w14:paraId="4DB75541"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p=0.47</w:t>
            </w:r>
          </w:p>
        </w:tc>
      </w:tr>
      <w:tr w:rsidR="009968E0" w:rsidRPr="009968E0" w14:paraId="2D095B8A" w14:textId="77777777" w:rsidTr="009968E0">
        <w:trPr>
          <w:trHeight w:val="360"/>
        </w:trPr>
        <w:tc>
          <w:tcPr>
            <w:tcW w:w="935" w:type="pct"/>
            <w:vMerge w:val="restart"/>
            <w:tcBorders>
              <w:top w:val="nil"/>
              <w:left w:val="single" w:sz="12" w:space="0" w:color="000000"/>
              <w:bottom w:val="single" w:sz="4" w:space="0" w:color="000000"/>
              <w:right w:val="nil"/>
            </w:tcBorders>
            <w:shd w:val="clear" w:color="auto" w:fill="FBE4D5"/>
          </w:tcPr>
          <w:p w14:paraId="1713A472"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TTP ACC3</w:t>
            </w:r>
          </w:p>
        </w:tc>
        <w:tc>
          <w:tcPr>
            <w:tcW w:w="2186" w:type="pct"/>
            <w:gridSpan w:val="2"/>
            <w:tcBorders>
              <w:top w:val="nil"/>
              <w:left w:val="nil"/>
              <w:bottom w:val="single" w:sz="4" w:space="0" w:color="000000"/>
              <w:right w:val="single" w:sz="12" w:space="0" w:color="000000"/>
            </w:tcBorders>
            <w:shd w:val="clear" w:color="auto" w:fill="FFFFFF"/>
          </w:tcPr>
          <w:p w14:paraId="679857B8"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478" w:type="pct"/>
            <w:tcBorders>
              <w:top w:val="nil"/>
              <w:left w:val="nil"/>
              <w:bottom w:val="single" w:sz="4" w:space="0" w:color="000000"/>
              <w:right w:val="single" w:sz="4" w:space="0" w:color="000000"/>
            </w:tcBorders>
            <w:shd w:val="clear" w:color="auto" w:fill="FFFFFF"/>
            <w:vAlign w:val="center"/>
          </w:tcPr>
          <w:p w14:paraId="5A6A116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8.86</w:t>
            </w:r>
          </w:p>
        </w:tc>
        <w:tc>
          <w:tcPr>
            <w:tcW w:w="446" w:type="pct"/>
            <w:tcBorders>
              <w:top w:val="nil"/>
              <w:left w:val="nil"/>
              <w:bottom w:val="single" w:sz="4" w:space="0" w:color="000000"/>
              <w:right w:val="single" w:sz="4" w:space="0" w:color="000000"/>
            </w:tcBorders>
            <w:shd w:val="clear" w:color="auto" w:fill="FFFFFF"/>
            <w:vAlign w:val="center"/>
          </w:tcPr>
          <w:p w14:paraId="322B456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8.52</w:t>
            </w:r>
          </w:p>
        </w:tc>
        <w:tc>
          <w:tcPr>
            <w:tcW w:w="508" w:type="pct"/>
            <w:tcBorders>
              <w:top w:val="nil"/>
              <w:left w:val="nil"/>
              <w:bottom w:val="single" w:sz="4" w:space="0" w:color="000000"/>
              <w:right w:val="single" w:sz="12" w:space="0" w:color="000000"/>
            </w:tcBorders>
            <w:shd w:val="clear" w:color="auto" w:fill="FFFFFF"/>
            <w:vAlign w:val="center"/>
          </w:tcPr>
          <w:p w14:paraId="41138E10"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8.48</w:t>
            </w:r>
          </w:p>
        </w:tc>
        <w:tc>
          <w:tcPr>
            <w:tcW w:w="446" w:type="pct"/>
            <w:tcBorders>
              <w:top w:val="nil"/>
              <w:left w:val="nil"/>
              <w:bottom w:val="single" w:sz="4" w:space="0" w:color="000000"/>
              <w:right w:val="single" w:sz="12" w:space="0" w:color="000000"/>
            </w:tcBorders>
            <w:shd w:val="clear" w:color="auto" w:fill="FFFFFF"/>
            <w:vAlign w:val="center"/>
          </w:tcPr>
          <w:p w14:paraId="263DD46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8.60</w:t>
            </w:r>
          </w:p>
        </w:tc>
      </w:tr>
      <w:tr w:rsidR="009968E0" w:rsidRPr="009968E0" w14:paraId="3B91F53B" w14:textId="77777777" w:rsidTr="009968E0">
        <w:trPr>
          <w:trHeight w:val="360"/>
        </w:trPr>
        <w:tc>
          <w:tcPr>
            <w:tcW w:w="935" w:type="pct"/>
            <w:vMerge/>
            <w:tcBorders>
              <w:top w:val="nil"/>
              <w:left w:val="single" w:sz="12" w:space="0" w:color="000000"/>
              <w:bottom w:val="single" w:sz="4" w:space="0" w:color="000000"/>
              <w:right w:val="nil"/>
            </w:tcBorders>
            <w:shd w:val="clear" w:color="auto" w:fill="FBE4D5"/>
          </w:tcPr>
          <w:p w14:paraId="5B098FDA"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381" w:type="pct"/>
            <w:vMerge w:val="restart"/>
            <w:tcBorders>
              <w:top w:val="nil"/>
              <w:left w:val="nil"/>
              <w:bottom w:val="single" w:sz="4" w:space="0" w:color="000000"/>
              <w:right w:val="nil"/>
            </w:tcBorders>
            <w:shd w:val="clear" w:color="auto" w:fill="FFFFFF"/>
          </w:tcPr>
          <w:p w14:paraId="18E08C6B"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w:t>
            </w:r>
          </w:p>
        </w:tc>
        <w:tc>
          <w:tcPr>
            <w:tcW w:w="806" w:type="pct"/>
            <w:tcBorders>
              <w:top w:val="nil"/>
              <w:left w:val="nil"/>
              <w:bottom w:val="nil"/>
              <w:right w:val="single" w:sz="12" w:space="0" w:color="000000"/>
            </w:tcBorders>
            <w:shd w:val="clear" w:color="auto" w:fill="FFFFFF"/>
          </w:tcPr>
          <w:p w14:paraId="79779FC3"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478" w:type="pct"/>
            <w:tcBorders>
              <w:top w:val="nil"/>
              <w:left w:val="nil"/>
              <w:bottom w:val="nil"/>
              <w:right w:val="single" w:sz="4" w:space="0" w:color="000000"/>
            </w:tcBorders>
            <w:shd w:val="clear" w:color="auto" w:fill="FFFFFF"/>
            <w:vAlign w:val="center"/>
          </w:tcPr>
          <w:p w14:paraId="7D38F33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8.31</w:t>
            </w:r>
          </w:p>
        </w:tc>
        <w:tc>
          <w:tcPr>
            <w:tcW w:w="446" w:type="pct"/>
            <w:tcBorders>
              <w:top w:val="nil"/>
              <w:left w:val="nil"/>
              <w:bottom w:val="nil"/>
              <w:right w:val="single" w:sz="4" w:space="0" w:color="000000"/>
            </w:tcBorders>
            <w:shd w:val="clear" w:color="auto" w:fill="FFFFFF"/>
            <w:vAlign w:val="center"/>
          </w:tcPr>
          <w:p w14:paraId="0CD6D30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8.04</w:t>
            </w:r>
          </w:p>
        </w:tc>
        <w:tc>
          <w:tcPr>
            <w:tcW w:w="508" w:type="pct"/>
            <w:tcBorders>
              <w:top w:val="nil"/>
              <w:left w:val="nil"/>
              <w:bottom w:val="nil"/>
              <w:right w:val="single" w:sz="12" w:space="0" w:color="000000"/>
            </w:tcBorders>
            <w:shd w:val="clear" w:color="auto" w:fill="FFFFFF"/>
            <w:vAlign w:val="center"/>
          </w:tcPr>
          <w:p w14:paraId="2869A15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8.06</w:t>
            </w:r>
          </w:p>
        </w:tc>
        <w:tc>
          <w:tcPr>
            <w:tcW w:w="446" w:type="pct"/>
            <w:tcBorders>
              <w:top w:val="nil"/>
              <w:left w:val="nil"/>
              <w:bottom w:val="nil"/>
              <w:right w:val="single" w:sz="12" w:space="0" w:color="000000"/>
            </w:tcBorders>
            <w:shd w:val="clear" w:color="auto" w:fill="FFFFFF"/>
            <w:vAlign w:val="center"/>
          </w:tcPr>
          <w:p w14:paraId="776011A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8.06</w:t>
            </w:r>
          </w:p>
        </w:tc>
      </w:tr>
      <w:tr w:rsidR="009968E0" w:rsidRPr="009968E0" w14:paraId="0C9AA0FB" w14:textId="77777777" w:rsidTr="009968E0">
        <w:trPr>
          <w:trHeight w:val="360"/>
        </w:trPr>
        <w:tc>
          <w:tcPr>
            <w:tcW w:w="935" w:type="pct"/>
            <w:vMerge/>
            <w:tcBorders>
              <w:top w:val="nil"/>
              <w:left w:val="single" w:sz="12" w:space="0" w:color="000000"/>
              <w:bottom w:val="single" w:sz="4" w:space="0" w:color="000000"/>
              <w:right w:val="nil"/>
            </w:tcBorders>
            <w:shd w:val="clear" w:color="auto" w:fill="FBE4D5"/>
          </w:tcPr>
          <w:p w14:paraId="6979AFDF"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381" w:type="pct"/>
            <w:vMerge/>
            <w:tcBorders>
              <w:top w:val="nil"/>
              <w:left w:val="nil"/>
              <w:bottom w:val="single" w:sz="4" w:space="0" w:color="000000"/>
              <w:right w:val="nil"/>
            </w:tcBorders>
            <w:shd w:val="clear" w:color="auto" w:fill="FFFFFF"/>
          </w:tcPr>
          <w:p w14:paraId="7C5CFD3D"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806" w:type="pct"/>
            <w:tcBorders>
              <w:top w:val="nil"/>
              <w:left w:val="nil"/>
              <w:bottom w:val="single" w:sz="4" w:space="0" w:color="000000"/>
              <w:right w:val="single" w:sz="12" w:space="0" w:color="000000"/>
            </w:tcBorders>
            <w:shd w:val="clear" w:color="auto" w:fill="FFFFFF"/>
          </w:tcPr>
          <w:p w14:paraId="166BF756"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478" w:type="pct"/>
            <w:tcBorders>
              <w:top w:val="nil"/>
              <w:left w:val="nil"/>
              <w:bottom w:val="single" w:sz="4" w:space="0" w:color="000000"/>
              <w:right w:val="single" w:sz="4" w:space="0" w:color="000000"/>
            </w:tcBorders>
            <w:shd w:val="clear" w:color="auto" w:fill="FFFFFF"/>
            <w:vAlign w:val="center"/>
          </w:tcPr>
          <w:p w14:paraId="46FC608E"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9.40</w:t>
            </w:r>
          </w:p>
        </w:tc>
        <w:tc>
          <w:tcPr>
            <w:tcW w:w="446" w:type="pct"/>
            <w:tcBorders>
              <w:top w:val="nil"/>
              <w:left w:val="nil"/>
              <w:bottom w:val="single" w:sz="4" w:space="0" w:color="000000"/>
              <w:right w:val="single" w:sz="4" w:space="0" w:color="000000"/>
            </w:tcBorders>
            <w:shd w:val="clear" w:color="auto" w:fill="FFFFFF"/>
            <w:vAlign w:val="center"/>
          </w:tcPr>
          <w:p w14:paraId="5B10F7E8"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8.99</w:t>
            </w:r>
          </w:p>
        </w:tc>
        <w:tc>
          <w:tcPr>
            <w:tcW w:w="508" w:type="pct"/>
            <w:tcBorders>
              <w:top w:val="nil"/>
              <w:left w:val="nil"/>
              <w:bottom w:val="single" w:sz="4" w:space="0" w:color="000000"/>
              <w:right w:val="single" w:sz="12" w:space="0" w:color="000000"/>
            </w:tcBorders>
            <w:shd w:val="clear" w:color="auto" w:fill="FFFFFF"/>
            <w:vAlign w:val="center"/>
          </w:tcPr>
          <w:p w14:paraId="350374B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9.14</w:t>
            </w:r>
          </w:p>
        </w:tc>
        <w:tc>
          <w:tcPr>
            <w:tcW w:w="446" w:type="pct"/>
            <w:tcBorders>
              <w:top w:val="nil"/>
              <w:left w:val="nil"/>
              <w:bottom w:val="single" w:sz="4" w:space="0" w:color="000000"/>
              <w:right w:val="single" w:sz="12" w:space="0" w:color="000000"/>
            </w:tcBorders>
            <w:shd w:val="clear" w:color="auto" w:fill="FFFFFF"/>
            <w:vAlign w:val="center"/>
          </w:tcPr>
          <w:p w14:paraId="60A09C5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9.14</w:t>
            </w:r>
          </w:p>
        </w:tc>
      </w:tr>
      <w:tr w:rsidR="009968E0" w:rsidRPr="009968E0" w14:paraId="638121CC" w14:textId="77777777" w:rsidTr="009968E0">
        <w:trPr>
          <w:trHeight w:val="360"/>
        </w:trPr>
        <w:tc>
          <w:tcPr>
            <w:tcW w:w="5000" w:type="pct"/>
            <w:gridSpan w:val="7"/>
            <w:tcBorders>
              <w:top w:val="nil"/>
              <w:left w:val="single" w:sz="12" w:space="0" w:color="000000"/>
              <w:bottom w:val="single" w:sz="4" w:space="0" w:color="000000"/>
              <w:right w:val="single" w:sz="12" w:space="0" w:color="000000"/>
            </w:tcBorders>
            <w:shd w:val="clear" w:color="auto" w:fill="FFFFFF"/>
            <w:vAlign w:val="center"/>
          </w:tcPr>
          <w:p w14:paraId="231E7BD3"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p=0.19</w:t>
            </w:r>
          </w:p>
        </w:tc>
      </w:tr>
      <w:tr w:rsidR="009968E0" w:rsidRPr="009968E0" w14:paraId="28EBBC1C" w14:textId="77777777" w:rsidTr="009968E0">
        <w:trPr>
          <w:trHeight w:val="360"/>
        </w:trPr>
        <w:tc>
          <w:tcPr>
            <w:tcW w:w="935" w:type="pct"/>
            <w:vMerge w:val="restart"/>
            <w:tcBorders>
              <w:top w:val="nil"/>
              <w:left w:val="single" w:sz="12" w:space="0" w:color="000000"/>
              <w:bottom w:val="single" w:sz="4" w:space="0" w:color="000000"/>
              <w:right w:val="nil"/>
            </w:tcBorders>
            <w:shd w:val="clear" w:color="auto" w:fill="FBE4D5"/>
          </w:tcPr>
          <w:p w14:paraId="6BFA6846"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lastRenderedPageBreak/>
              <w:t>TTP POWM3</w:t>
            </w:r>
          </w:p>
        </w:tc>
        <w:tc>
          <w:tcPr>
            <w:tcW w:w="2186" w:type="pct"/>
            <w:gridSpan w:val="2"/>
            <w:tcBorders>
              <w:top w:val="nil"/>
              <w:left w:val="nil"/>
              <w:bottom w:val="single" w:sz="4" w:space="0" w:color="000000"/>
              <w:right w:val="single" w:sz="12" w:space="0" w:color="000000"/>
            </w:tcBorders>
            <w:shd w:val="clear" w:color="auto" w:fill="FFFFFF"/>
          </w:tcPr>
          <w:p w14:paraId="007F251E"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478" w:type="pct"/>
            <w:tcBorders>
              <w:top w:val="nil"/>
              <w:left w:val="nil"/>
              <w:bottom w:val="single" w:sz="4" w:space="0" w:color="000000"/>
              <w:right w:val="single" w:sz="4" w:space="0" w:color="000000"/>
            </w:tcBorders>
            <w:shd w:val="clear" w:color="auto" w:fill="FFFFFF"/>
            <w:vAlign w:val="center"/>
          </w:tcPr>
          <w:p w14:paraId="28BFA1B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11.49</w:t>
            </w:r>
          </w:p>
        </w:tc>
        <w:tc>
          <w:tcPr>
            <w:tcW w:w="446" w:type="pct"/>
            <w:tcBorders>
              <w:top w:val="nil"/>
              <w:left w:val="nil"/>
              <w:bottom w:val="single" w:sz="4" w:space="0" w:color="000000"/>
              <w:right w:val="single" w:sz="4" w:space="0" w:color="000000"/>
            </w:tcBorders>
            <w:shd w:val="clear" w:color="auto" w:fill="FFFFFF"/>
            <w:vAlign w:val="center"/>
          </w:tcPr>
          <w:p w14:paraId="5AAC2E64"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11.29</w:t>
            </w:r>
          </w:p>
        </w:tc>
        <w:tc>
          <w:tcPr>
            <w:tcW w:w="508" w:type="pct"/>
            <w:tcBorders>
              <w:top w:val="nil"/>
              <w:left w:val="nil"/>
              <w:bottom w:val="single" w:sz="4" w:space="0" w:color="000000"/>
              <w:right w:val="single" w:sz="12" w:space="0" w:color="000000"/>
            </w:tcBorders>
            <w:shd w:val="clear" w:color="auto" w:fill="FFFFFF"/>
            <w:vAlign w:val="center"/>
          </w:tcPr>
          <w:p w14:paraId="1A7CA52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11.58</w:t>
            </w:r>
          </w:p>
        </w:tc>
        <w:tc>
          <w:tcPr>
            <w:tcW w:w="446" w:type="pct"/>
            <w:tcBorders>
              <w:top w:val="nil"/>
              <w:left w:val="nil"/>
              <w:bottom w:val="single" w:sz="4" w:space="0" w:color="000000"/>
              <w:right w:val="single" w:sz="12" w:space="0" w:color="000000"/>
            </w:tcBorders>
            <w:shd w:val="clear" w:color="auto" w:fill="FFFFFF"/>
            <w:vAlign w:val="center"/>
          </w:tcPr>
          <w:p w14:paraId="3AD8C433"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11.11</w:t>
            </w:r>
          </w:p>
        </w:tc>
      </w:tr>
      <w:tr w:rsidR="009968E0" w:rsidRPr="009968E0" w14:paraId="1506362B" w14:textId="77777777" w:rsidTr="009968E0">
        <w:trPr>
          <w:trHeight w:val="360"/>
        </w:trPr>
        <w:tc>
          <w:tcPr>
            <w:tcW w:w="935" w:type="pct"/>
            <w:vMerge/>
            <w:tcBorders>
              <w:top w:val="nil"/>
              <w:left w:val="single" w:sz="12" w:space="0" w:color="000000"/>
              <w:bottom w:val="single" w:sz="4" w:space="0" w:color="000000"/>
              <w:right w:val="nil"/>
            </w:tcBorders>
            <w:shd w:val="clear" w:color="auto" w:fill="FBE4D5"/>
          </w:tcPr>
          <w:p w14:paraId="769C4101"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381" w:type="pct"/>
            <w:vMerge w:val="restart"/>
            <w:tcBorders>
              <w:top w:val="nil"/>
              <w:left w:val="nil"/>
              <w:bottom w:val="single" w:sz="4" w:space="0" w:color="000000"/>
              <w:right w:val="nil"/>
            </w:tcBorders>
            <w:shd w:val="clear" w:color="auto" w:fill="FFFFFF"/>
          </w:tcPr>
          <w:p w14:paraId="6376C477"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w:t>
            </w:r>
          </w:p>
        </w:tc>
        <w:tc>
          <w:tcPr>
            <w:tcW w:w="806" w:type="pct"/>
            <w:tcBorders>
              <w:top w:val="nil"/>
              <w:left w:val="nil"/>
              <w:bottom w:val="nil"/>
              <w:right w:val="single" w:sz="12" w:space="0" w:color="000000"/>
            </w:tcBorders>
            <w:shd w:val="clear" w:color="auto" w:fill="FFFFFF"/>
          </w:tcPr>
          <w:p w14:paraId="5E5BE1DE"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478" w:type="pct"/>
            <w:tcBorders>
              <w:top w:val="nil"/>
              <w:left w:val="nil"/>
              <w:bottom w:val="nil"/>
              <w:right w:val="single" w:sz="4" w:space="0" w:color="000000"/>
            </w:tcBorders>
            <w:shd w:val="clear" w:color="auto" w:fill="FFFFFF"/>
            <w:vAlign w:val="center"/>
          </w:tcPr>
          <w:p w14:paraId="05F4FD4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10.88</w:t>
            </w:r>
          </w:p>
        </w:tc>
        <w:tc>
          <w:tcPr>
            <w:tcW w:w="446" w:type="pct"/>
            <w:tcBorders>
              <w:top w:val="nil"/>
              <w:left w:val="nil"/>
              <w:bottom w:val="nil"/>
              <w:right w:val="single" w:sz="4" w:space="0" w:color="000000"/>
            </w:tcBorders>
            <w:shd w:val="clear" w:color="auto" w:fill="FFFFFF"/>
            <w:vAlign w:val="center"/>
          </w:tcPr>
          <w:p w14:paraId="22A581C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10.75</w:t>
            </w:r>
          </w:p>
        </w:tc>
        <w:tc>
          <w:tcPr>
            <w:tcW w:w="508" w:type="pct"/>
            <w:tcBorders>
              <w:top w:val="nil"/>
              <w:left w:val="nil"/>
              <w:bottom w:val="nil"/>
              <w:right w:val="single" w:sz="12" w:space="0" w:color="000000"/>
            </w:tcBorders>
            <w:shd w:val="clear" w:color="auto" w:fill="FFFFFF"/>
            <w:vAlign w:val="center"/>
          </w:tcPr>
          <w:p w14:paraId="426FB7B5"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10.81</w:t>
            </w:r>
          </w:p>
        </w:tc>
        <w:tc>
          <w:tcPr>
            <w:tcW w:w="446" w:type="pct"/>
            <w:tcBorders>
              <w:top w:val="nil"/>
              <w:left w:val="nil"/>
              <w:bottom w:val="nil"/>
              <w:right w:val="single" w:sz="12" w:space="0" w:color="000000"/>
            </w:tcBorders>
            <w:shd w:val="clear" w:color="auto" w:fill="FFFFFF"/>
            <w:vAlign w:val="center"/>
          </w:tcPr>
          <w:p w14:paraId="52E7787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10.50</w:t>
            </w:r>
          </w:p>
        </w:tc>
      </w:tr>
      <w:tr w:rsidR="009968E0" w:rsidRPr="009968E0" w14:paraId="2B8A0BB1" w14:textId="77777777" w:rsidTr="009968E0">
        <w:trPr>
          <w:trHeight w:val="360"/>
        </w:trPr>
        <w:tc>
          <w:tcPr>
            <w:tcW w:w="935" w:type="pct"/>
            <w:vMerge/>
            <w:tcBorders>
              <w:top w:val="nil"/>
              <w:left w:val="single" w:sz="12" w:space="0" w:color="000000"/>
              <w:bottom w:val="single" w:sz="4" w:space="0" w:color="000000"/>
              <w:right w:val="nil"/>
            </w:tcBorders>
            <w:shd w:val="clear" w:color="auto" w:fill="FBE4D5"/>
          </w:tcPr>
          <w:p w14:paraId="2A58D289"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381" w:type="pct"/>
            <w:vMerge/>
            <w:tcBorders>
              <w:top w:val="nil"/>
              <w:left w:val="nil"/>
              <w:bottom w:val="single" w:sz="4" w:space="0" w:color="000000"/>
              <w:right w:val="nil"/>
            </w:tcBorders>
            <w:shd w:val="clear" w:color="auto" w:fill="FFFFFF"/>
          </w:tcPr>
          <w:p w14:paraId="2C918D1D"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806" w:type="pct"/>
            <w:tcBorders>
              <w:top w:val="nil"/>
              <w:left w:val="nil"/>
              <w:bottom w:val="single" w:sz="4" w:space="0" w:color="000000"/>
              <w:right w:val="single" w:sz="12" w:space="0" w:color="000000"/>
            </w:tcBorders>
            <w:shd w:val="clear" w:color="auto" w:fill="FFFFFF"/>
          </w:tcPr>
          <w:p w14:paraId="66DF65FA"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478" w:type="pct"/>
            <w:tcBorders>
              <w:top w:val="nil"/>
              <w:left w:val="nil"/>
              <w:bottom w:val="single" w:sz="4" w:space="0" w:color="000000"/>
              <w:right w:val="single" w:sz="4" w:space="0" w:color="000000"/>
            </w:tcBorders>
            <w:shd w:val="clear" w:color="auto" w:fill="FFFFFF"/>
            <w:vAlign w:val="center"/>
          </w:tcPr>
          <w:p w14:paraId="23581CD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12.11</w:t>
            </w:r>
          </w:p>
        </w:tc>
        <w:tc>
          <w:tcPr>
            <w:tcW w:w="446" w:type="pct"/>
            <w:tcBorders>
              <w:top w:val="nil"/>
              <w:left w:val="nil"/>
              <w:bottom w:val="single" w:sz="4" w:space="0" w:color="000000"/>
              <w:right w:val="single" w:sz="4" w:space="0" w:color="000000"/>
            </w:tcBorders>
            <w:shd w:val="clear" w:color="auto" w:fill="FFFFFF"/>
            <w:vAlign w:val="center"/>
          </w:tcPr>
          <w:p w14:paraId="0657F320"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11.84</w:t>
            </w:r>
          </w:p>
        </w:tc>
        <w:tc>
          <w:tcPr>
            <w:tcW w:w="508" w:type="pct"/>
            <w:tcBorders>
              <w:top w:val="nil"/>
              <w:left w:val="nil"/>
              <w:bottom w:val="single" w:sz="4" w:space="0" w:color="000000"/>
              <w:right w:val="single" w:sz="12" w:space="0" w:color="000000"/>
            </w:tcBorders>
            <w:shd w:val="clear" w:color="auto" w:fill="FFFFFF"/>
            <w:vAlign w:val="center"/>
          </w:tcPr>
          <w:p w14:paraId="7716C5D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12.35</w:t>
            </w:r>
          </w:p>
        </w:tc>
        <w:tc>
          <w:tcPr>
            <w:tcW w:w="446" w:type="pct"/>
            <w:tcBorders>
              <w:top w:val="nil"/>
              <w:left w:val="nil"/>
              <w:bottom w:val="single" w:sz="4" w:space="0" w:color="000000"/>
              <w:right w:val="single" w:sz="12" w:space="0" w:color="000000"/>
            </w:tcBorders>
            <w:shd w:val="clear" w:color="auto" w:fill="FFFFFF"/>
            <w:vAlign w:val="center"/>
          </w:tcPr>
          <w:p w14:paraId="3FB2058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11.73</w:t>
            </w:r>
          </w:p>
        </w:tc>
      </w:tr>
      <w:tr w:rsidR="009968E0" w:rsidRPr="009968E0" w14:paraId="1E4463B6" w14:textId="77777777" w:rsidTr="009968E0">
        <w:trPr>
          <w:trHeight w:val="360"/>
        </w:trPr>
        <w:tc>
          <w:tcPr>
            <w:tcW w:w="5000" w:type="pct"/>
            <w:gridSpan w:val="7"/>
            <w:tcBorders>
              <w:top w:val="nil"/>
              <w:left w:val="single" w:sz="12" w:space="0" w:color="000000"/>
              <w:bottom w:val="single" w:sz="4" w:space="0" w:color="000000"/>
              <w:right w:val="single" w:sz="12" w:space="0" w:color="000000"/>
            </w:tcBorders>
            <w:shd w:val="clear" w:color="auto" w:fill="FFFFFF"/>
            <w:vAlign w:val="center"/>
          </w:tcPr>
          <w:p w14:paraId="69EF595E"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p=0.84</w:t>
            </w:r>
          </w:p>
        </w:tc>
      </w:tr>
      <w:tr w:rsidR="009968E0" w:rsidRPr="009968E0" w14:paraId="216EDBA2" w14:textId="77777777" w:rsidTr="009968E0">
        <w:trPr>
          <w:trHeight w:val="360"/>
        </w:trPr>
        <w:tc>
          <w:tcPr>
            <w:tcW w:w="935" w:type="pct"/>
            <w:vMerge w:val="restart"/>
            <w:tcBorders>
              <w:top w:val="nil"/>
              <w:left w:val="single" w:sz="12" w:space="0" w:color="000000"/>
              <w:bottom w:val="single" w:sz="4" w:space="0" w:color="000000"/>
              <w:right w:val="nil"/>
            </w:tcBorders>
            <w:shd w:val="clear" w:color="auto" w:fill="FBE4D5"/>
          </w:tcPr>
          <w:p w14:paraId="40B1FA8F"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TTP LPSC3</w:t>
            </w:r>
          </w:p>
        </w:tc>
        <w:tc>
          <w:tcPr>
            <w:tcW w:w="2186" w:type="pct"/>
            <w:gridSpan w:val="2"/>
            <w:tcBorders>
              <w:top w:val="nil"/>
              <w:left w:val="nil"/>
              <w:bottom w:val="single" w:sz="4" w:space="0" w:color="000000"/>
              <w:right w:val="single" w:sz="12" w:space="0" w:color="000000"/>
            </w:tcBorders>
            <w:shd w:val="clear" w:color="auto" w:fill="FFFFFF"/>
          </w:tcPr>
          <w:p w14:paraId="06E617B2"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478" w:type="pct"/>
            <w:tcBorders>
              <w:top w:val="nil"/>
              <w:left w:val="nil"/>
              <w:bottom w:val="single" w:sz="4" w:space="0" w:color="000000"/>
              <w:right w:val="single" w:sz="4" w:space="0" w:color="000000"/>
            </w:tcBorders>
            <w:shd w:val="clear" w:color="auto" w:fill="FFFFFF"/>
            <w:vAlign w:val="center"/>
          </w:tcPr>
          <w:p w14:paraId="4427AFA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9.91</w:t>
            </w:r>
          </w:p>
        </w:tc>
        <w:tc>
          <w:tcPr>
            <w:tcW w:w="446" w:type="pct"/>
            <w:tcBorders>
              <w:top w:val="nil"/>
              <w:left w:val="nil"/>
              <w:bottom w:val="single" w:sz="4" w:space="0" w:color="000000"/>
              <w:right w:val="single" w:sz="4" w:space="0" w:color="000000"/>
            </w:tcBorders>
            <w:shd w:val="clear" w:color="auto" w:fill="FFFFFF"/>
            <w:vAlign w:val="center"/>
          </w:tcPr>
          <w:p w14:paraId="418B598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9.69</w:t>
            </w:r>
          </w:p>
        </w:tc>
        <w:tc>
          <w:tcPr>
            <w:tcW w:w="508" w:type="pct"/>
            <w:tcBorders>
              <w:top w:val="nil"/>
              <w:left w:val="nil"/>
              <w:bottom w:val="single" w:sz="4" w:space="0" w:color="000000"/>
              <w:right w:val="single" w:sz="12" w:space="0" w:color="000000"/>
            </w:tcBorders>
            <w:shd w:val="clear" w:color="auto" w:fill="FFFFFF"/>
            <w:vAlign w:val="center"/>
          </w:tcPr>
          <w:p w14:paraId="19F6C6D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9.80</w:t>
            </w:r>
          </w:p>
        </w:tc>
        <w:tc>
          <w:tcPr>
            <w:tcW w:w="446" w:type="pct"/>
            <w:tcBorders>
              <w:top w:val="nil"/>
              <w:left w:val="nil"/>
              <w:bottom w:val="single" w:sz="4" w:space="0" w:color="000000"/>
              <w:right w:val="single" w:sz="12" w:space="0" w:color="000000"/>
            </w:tcBorders>
            <w:shd w:val="clear" w:color="auto" w:fill="FFFFFF"/>
            <w:vAlign w:val="center"/>
          </w:tcPr>
          <w:p w14:paraId="2B381448"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9.58</w:t>
            </w:r>
          </w:p>
        </w:tc>
      </w:tr>
      <w:tr w:rsidR="009968E0" w:rsidRPr="009968E0" w14:paraId="63F18E85" w14:textId="77777777" w:rsidTr="009968E0">
        <w:trPr>
          <w:trHeight w:val="360"/>
        </w:trPr>
        <w:tc>
          <w:tcPr>
            <w:tcW w:w="935" w:type="pct"/>
            <w:vMerge/>
            <w:tcBorders>
              <w:top w:val="nil"/>
              <w:left w:val="single" w:sz="12" w:space="0" w:color="000000"/>
              <w:bottom w:val="single" w:sz="4" w:space="0" w:color="000000"/>
              <w:right w:val="nil"/>
            </w:tcBorders>
            <w:shd w:val="clear" w:color="auto" w:fill="FBE4D5"/>
          </w:tcPr>
          <w:p w14:paraId="34ECA8A6"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381" w:type="pct"/>
            <w:vMerge w:val="restart"/>
            <w:tcBorders>
              <w:top w:val="nil"/>
              <w:left w:val="nil"/>
              <w:bottom w:val="single" w:sz="4" w:space="0" w:color="000000"/>
              <w:right w:val="nil"/>
            </w:tcBorders>
            <w:shd w:val="clear" w:color="auto" w:fill="FFFFFF"/>
          </w:tcPr>
          <w:p w14:paraId="760EB720"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w:t>
            </w:r>
          </w:p>
        </w:tc>
        <w:tc>
          <w:tcPr>
            <w:tcW w:w="806" w:type="pct"/>
            <w:tcBorders>
              <w:top w:val="nil"/>
              <w:left w:val="nil"/>
              <w:bottom w:val="nil"/>
              <w:right w:val="single" w:sz="12" w:space="0" w:color="000000"/>
            </w:tcBorders>
            <w:shd w:val="clear" w:color="auto" w:fill="FFFFFF"/>
          </w:tcPr>
          <w:p w14:paraId="2D944A20"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478" w:type="pct"/>
            <w:tcBorders>
              <w:top w:val="nil"/>
              <w:left w:val="nil"/>
              <w:bottom w:val="nil"/>
              <w:right w:val="single" w:sz="4" w:space="0" w:color="000000"/>
            </w:tcBorders>
            <w:shd w:val="clear" w:color="auto" w:fill="FFFFFF"/>
            <w:vAlign w:val="center"/>
          </w:tcPr>
          <w:p w14:paraId="2CEC7F13"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9.35</w:t>
            </w:r>
          </w:p>
        </w:tc>
        <w:tc>
          <w:tcPr>
            <w:tcW w:w="446" w:type="pct"/>
            <w:tcBorders>
              <w:top w:val="nil"/>
              <w:left w:val="nil"/>
              <w:bottom w:val="nil"/>
              <w:right w:val="single" w:sz="4" w:space="0" w:color="000000"/>
            </w:tcBorders>
            <w:shd w:val="clear" w:color="auto" w:fill="FFFFFF"/>
            <w:vAlign w:val="center"/>
          </w:tcPr>
          <w:p w14:paraId="07D3C064"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9.20</w:t>
            </w:r>
          </w:p>
        </w:tc>
        <w:tc>
          <w:tcPr>
            <w:tcW w:w="508" w:type="pct"/>
            <w:tcBorders>
              <w:top w:val="nil"/>
              <w:left w:val="nil"/>
              <w:bottom w:val="nil"/>
              <w:right w:val="single" w:sz="12" w:space="0" w:color="000000"/>
            </w:tcBorders>
            <w:shd w:val="clear" w:color="auto" w:fill="FFFFFF"/>
            <w:vAlign w:val="center"/>
          </w:tcPr>
          <w:p w14:paraId="6188708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9.10</w:t>
            </w:r>
          </w:p>
        </w:tc>
        <w:tc>
          <w:tcPr>
            <w:tcW w:w="446" w:type="pct"/>
            <w:tcBorders>
              <w:top w:val="nil"/>
              <w:left w:val="nil"/>
              <w:bottom w:val="nil"/>
              <w:right w:val="single" w:sz="12" w:space="0" w:color="000000"/>
            </w:tcBorders>
            <w:shd w:val="clear" w:color="auto" w:fill="FFFFFF"/>
            <w:vAlign w:val="center"/>
          </w:tcPr>
          <w:p w14:paraId="4A52C23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9.02</w:t>
            </w:r>
          </w:p>
        </w:tc>
      </w:tr>
      <w:tr w:rsidR="009968E0" w:rsidRPr="009968E0" w14:paraId="0F577A99" w14:textId="77777777" w:rsidTr="009968E0">
        <w:trPr>
          <w:trHeight w:val="360"/>
        </w:trPr>
        <w:tc>
          <w:tcPr>
            <w:tcW w:w="935" w:type="pct"/>
            <w:vMerge/>
            <w:tcBorders>
              <w:top w:val="nil"/>
              <w:left w:val="single" w:sz="12" w:space="0" w:color="000000"/>
              <w:bottom w:val="single" w:sz="4" w:space="0" w:color="000000"/>
              <w:right w:val="nil"/>
            </w:tcBorders>
            <w:shd w:val="clear" w:color="auto" w:fill="FBE4D5"/>
          </w:tcPr>
          <w:p w14:paraId="44F57CA7"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381" w:type="pct"/>
            <w:vMerge/>
            <w:tcBorders>
              <w:top w:val="nil"/>
              <w:left w:val="nil"/>
              <w:bottom w:val="single" w:sz="4" w:space="0" w:color="000000"/>
              <w:right w:val="nil"/>
            </w:tcBorders>
            <w:shd w:val="clear" w:color="auto" w:fill="FFFFFF"/>
          </w:tcPr>
          <w:p w14:paraId="18BBE192"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806" w:type="pct"/>
            <w:tcBorders>
              <w:top w:val="nil"/>
              <w:left w:val="nil"/>
              <w:bottom w:val="single" w:sz="4" w:space="0" w:color="000000"/>
              <w:right w:val="single" w:sz="12" w:space="0" w:color="000000"/>
            </w:tcBorders>
            <w:shd w:val="clear" w:color="auto" w:fill="FFFFFF"/>
          </w:tcPr>
          <w:p w14:paraId="7AC95BC7"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478" w:type="pct"/>
            <w:tcBorders>
              <w:top w:val="nil"/>
              <w:left w:val="nil"/>
              <w:bottom w:val="single" w:sz="4" w:space="0" w:color="000000"/>
              <w:right w:val="single" w:sz="4" w:space="0" w:color="000000"/>
            </w:tcBorders>
            <w:shd w:val="clear" w:color="auto" w:fill="FFFFFF"/>
            <w:vAlign w:val="center"/>
          </w:tcPr>
          <w:p w14:paraId="19D2D4E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10.46</w:t>
            </w:r>
          </w:p>
        </w:tc>
        <w:tc>
          <w:tcPr>
            <w:tcW w:w="446" w:type="pct"/>
            <w:tcBorders>
              <w:top w:val="nil"/>
              <w:left w:val="nil"/>
              <w:bottom w:val="single" w:sz="4" w:space="0" w:color="000000"/>
              <w:right w:val="single" w:sz="4" w:space="0" w:color="000000"/>
            </w:tcBorders>
            <w:shd w:val="clear" w:color="auto" w:fill="FFFFFF"/>
            <w:vAlign w:val="center"/>
          </w:tcPr>
          <w:p w14:paraId="483EAC9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10.18</w:t>
            </w:r>
          </w:p>
        </w:tc>
        <w:tc>
          <w:tcPr>
            <w:tcW w:w="508" w:type="pct"/>
            <w:tcBorders>
              <w:top w:val="nil"/>
              <w:left w:val="nil"/>
              <w:bottom w:val="single" w:sz="4" w:space="0" w:color="000000"/>
              <w:right w:val="single" w:sz="12" w:space="0" w:color="000000"/>
            </w:tcBorders>
            <w:shd w:val="clear" w:color="auto" w:fill="FFFFFF"/>
            <w:vAlign w:val="center"/>
          </w:tcPr>
          <w:p w14:paraId="2770BED4"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10.49</w:t>
            </w:r>
          </w:p>
        </w:tc>
        <w:tc>
          <w:tcPr>
            <w:tcW w:w="446" w:type="pct"/>
            <w:tcBorders>
              <w:top w:val="nil"/>
              <w:left w:val="nil"/>
              <w:bottom w:val="single" w:sz="4" w:space="0" w:color="000000"/>
              <w:right w:val="single" w:sz="12" w:space="0" w:color="000000"/>
            </w:tcBorders>
            <w:shd w:val="clear" w:color="auto" w:fill="FFFFFF"/>
            <w:vAlign w:val="center"/>
          </w:tcPr>
          <w:p w14:paraId="2B55A2E8"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10.14</w:t>
            </w:r>
          </w:p>
        </w:tc>
      </w:tr>
      <w:tr w:rsidR="009968E0" w:rsidRPr="009968E0" w14:paraId="6665669B" w14:textId="77777777" w:rsidTr="009968E0">
        <w:trPr>
          <w:trHeight w:val="360"/>
        </w:trPr>
        <w:tc>
          <w:tcPr>
            <w:tcW w:w="5000" w:type="pct"/>
            <w:gridSpan w:val="7"/>
            <w:tcBorders>
              <w:top w:val="nil"/>
              <w:left w:val="single" w:sz="12" w:space="0" w:color="000000"/>
              <w:bottom w:val="single" w:sz="4" w:space="0" w:color="000000"/>
              <w:right w:val="single" w:sz="12" w:space="0" w:color="000000"/>
            </w:tcBorders>
            <w:shd w:val="clear" w:color="auto" w:fill="FFFFFF"/>
            <w:vAlign w:val="center"/>
          </w:tcPr>
          <w:p w14:paraId="2A06EAAB"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p=0.53</w:t>
            </w:r>
          </w:p>
        </w:tc>
      </w:tr>
      <w:tr w:rsidR="009968E0" w:rsidRPr="009968E0" w14:paraId="6210BF80" w14:textId="77777777" w:rsidTr="009968E0">
        <w:trPr>
          <w:trHeight w:val="360"/>
        </w:trPr>
        <w:tc>
          <w:tcPr>
            <w:tcW w:w="935" w:type="pct"/>
            <w:vMerge w:val="restart"/>
            <w:tcBorders>
              <w:top w:val="nil"/>
              <w:left w:val="single" w:sz="12" w:space="0" w:color="000000"/>
              <w:bottom w:val="single" w:sz="4" w:space="0" w:color="000000"/>
              <w:right w:val="nil"/>
            </w:tcBorders>
            <w:shd w:val="clear" w:color="auto" w:fill="FBE4D5"/>
          </w:tcPr>
          <w:p w14:paraId="5B1E22E5"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TTP RPSC3</w:t>
            </w:r>
          </w:p>
        </w:tc>
        <w:tc>
          <w:tcPr>
            <w:tcW w:w="2186" w:type="pct"/>
            <w:gridSpan w:val="2"/>
            <w:tcBorders>
              <w:top w:val="nil"/>
              <w:left w:val="nil"/>
              <w:bottom w:val="single" w:sz="4" w:space="0" w:color="000000"/>
              <w:right w:val="single" w:sz="12" w:space="0" w:color="000000"/>
            </w:tcBorders>
            <w:shd w:val="clear" w:color="auto" w:fill="FFFFFF"/>
          </w:tcPr>
          <w:p w14:paraId="2E2D9C2F"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478" w:type="pct"/>
            <w:tcBorders>
              <w:top w:val="nil"/>
              <w:left w:val="nil"/>
              <w:bottom w:val="single" w:sz="4" w:space="0" w:color="000000"/>
              <w:right w:val="single" w:sz="4" w:space="0" w:color="000000"/>
            </w:tcBorders>
            <w:shd w:val="clear" w:color="auto" w:fill="FFFFFF"/>
            <w:vAlign w:val="center"/>
          </w:tcPr>
          <w:p w14:paraId="26CD8D9E"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10.08</w:t>
            </w:r>
          </w:p>
        </w:tc>
        <w:tc>
          <w:tcPr>
            <w:tcW w:w="446" w:type="pct"/>
            <w:tcBorders>
              <w:top w:val="nil"/>
              <w:left w:val="nil"/>
              <w:bottom w:val="single" w:sz="4" w:space="0" w:color="000000"/>
              <w:right w:val="single" w:sz="4" w:space="0" w:color="000000"/>
            </w:tcBorders>
            <w:shd w:val="clear" w:color="auto" w:fill="FFFFFF"/>
            <w:vAlign w:val="center"/>
          </w:tcPr>
          <w:p w14:paraId="36BEB85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9.92</w:t>
            </w:r>
          </w:p>
        </w:tc>
        <w:tc>
          <w:tcPr>
            <w:tcW w:w="508" w:type="pct"/>
            <w:tcBorders>
              <w:top w:val="nil"/>
              <w:left w:val="nil"/>
              <w:bottom w:val="single" w:sz="4" w:space="0" w:color="000000"/>
              <w:right w:val="single" w:sz="12" w:space="0" w:color="000000"/>
            </w:tcBorders>
            <w:shd w:val="clear" w:color="auto" w:fill="FFFFFF"/>
            <w:vAlign w:val="center"/>
          </w:tcPr>
          <w:p w14:paraId="4DB3E36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9.85</w:t>
            </w:r>
          </w:p>
        </w:tc>
        <w:tc>
          <w:tcPr>
            <w:tcW w:w="446" w:type="pct"/>
            <w:tcBorders>
              <w:top w:val="nil"/>
              <w:left w:val="nil"/>
              <w:bottom w:val="single" w:sz="4" w:space="0" w:color="000000"/>
              <w:right w:val="single" w:sz="12" w:space="0" w:color="000000"/>
            </w:tcBorders>
            <w:shd w:val="clear" w:color="auto" w:fill="FFFFFF"/>
            <w:vAlign w:val="center"/>
          </w:tcPr>
          <w:p w14:paraId="0928174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9.69</w:t>
            </w:r>
          </w:p>
        </w:tc>
      </w:tr>
      <w:tr w:rsidR="009968E0" w:rsidRPr="009968E0" w14:paraId="6EEC0233" w14:textId="77777777" w:rsidTr="009968E0">
        <w:trPr>
          <w:trHeight w:val="360"/>
        </w:trPr>
        <w:tc>
          <w:tcPr>
            <w:tcW w:w="935" w:type="pct"/>
            <w:vMerge/>
            <w:tcBorders>
              <w:top w:val="nil"/>
              <w:left w:val="single" w:sz="12" w:space="0" w:color="000000"/>
              <w:bottom w:val="single" w:sz="4" w:space="0" w:color="000000"/>
              <w:right w:val="nil"/>
            </w:tcBorders>
            <w:shd w:val="clear" w:color="auto" w:fill="FBE4D5"/>
          </w:tcPr>
          <w:p w14:paraId="378F75C1"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381" w:type="pct"/>
            <w:vMerge w:val="restart"/>
            <w:tcBorders>
              <w:top w:val="nil"/>
              <w:left w:val="nil"/>
              <w:bottom w:val="single" w:sz="4" w:space="0" w:color="000000"/>
              <w:right w:val="nil"/>
            </w:tcBorders>
            <w:shd w:val="clear" w:color="auto" w:fill="FFFFFF"/>
          </w:tcPr>
          <w:p w14:paraId="15A5484E"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w:t>
            </w:r>
          </w:p>
        </w:tc>
        <w:tc>
          <w:tcPr>
            <w:tcW w:w="806" w:type="pct"/>
            <w:tcBorders>
              <w:top w:val="nil"/>
              <w:left w:val="nil"/>
              <w:bottom w:val="nil"/>
              <w:right w:val="single" w:sz="12" w:space="0" w:color="000000"/>
            </w:tcBorders>
            <w:shd w:val="clear" w:color="auto" w:fill="FFFFFF"/>
          </w:tcPr>
          <w:p w14:paraId="00D38DFD"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478" w:type="pct"/>
            <w:tcBorders>
              <w:top w:val="nil"/>
              <w:left w:val="nil"/>
              <w:bottom w:val="nil"/>
              <w:right w:val="single" w:sz="4" w:space="0" w:color="000000"/>
            </w:tcBorders>
            <w:shd w:val="clear" w:color="auto" w:fill="FFFFFF"/>
            <w:vAlign w:val="center"/>
          </w:tcPr>
          <w:p w14:paraId="4EFAD87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9.54</w:t>
            </w:r>
          </w:p>
        </w:tc>
        <w:tc>
          <w:tcPr>
            <w:tcW w:w="446" w:type="pct"/>
            <w:tcBorders>
              <w:top w:val="nil"/>
              <w:left w:val="nil"/>
              <w:bottom w:val="nil"/>
              <w:right w:val="single" w:sz="4" w:space="0" w:color="000000"/>
            </w:tcBorders>
            <w:shd w:val="clear" w:color="auto" w:fill="FFFFFF"/>
            <w:vAlign w:val="center"/>
          </w:tcPr>
          <w:p w14:paraId="084FE205"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9.44</w:t>
            </w:r>
          </w:p>
        </w:tc>
        <w:tc>
          <w:tcPr>
            <w:tcW w:w="508" w:type="pct"/>
            <w:tcBorders>
              <w:top w:val="nil"/>
              <w:left w:val="nil"/>
              <w:bottom w:val="nil"/>
              <w:right w:val="single" w:sz="12" w:space="0" w:color="000000"/>
            </w:tcBorders>
            <w:shd w:val="clear" w:color="auto" w:fill="FFFFFF"/>
            <w:vAlign w:val="center"/>
          </w:tcPr>
          <w:p w14:paraId="7B9E980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9.16</w:t>
            </w:r>
          </w:p>
        </w:tc>
        <w:tc>
          <w:tcPr>
            <w:tcW w:w="446" w:type="pct"/>
            <w:tcBorders>
              <w:top w:val="nil"/>
              <w:left w:val="nil"/>
              <w:bottom w:val="nil"/>
              <w:right w:val="single" w:sz="12" w:space="0" w:color="000000"/>
            </w:tcBorders>
            <w:shd w:val="clear" w:color="auto" w:fill="FFFFFF"/>
            <w:vAlign w:val="center"/>
          </w:tcPr>
          <w:p w14:paraId="0E3A556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9.14</w:t>
            </w:r>
          </w:p>
        </w:tc>
      </w:tr>
      <w:tr w:rsidR="009968E0" w:rsidRPr="009968E0" w14:paraId="58C3502E" w14:textId="77777777" w:rsidTr="009968E0">
        <w:trPr>
          <w:trHeight w:val="360"/>
        </w:trPr>
        <w:tc>
          <w:tcPr>
            <w:tcW w:w="935" w:type="pct"/>
            <w:vMerge/>
            <w:tcBorders>
              <w:top w:val="nil"/>
              <w:left w:val="single" w:sz="12" w:space="0" w:color="000000"/>
              <w:bottom w:val="single" w:sz="4" w:space="0" w:color="000000"/>
              <w:right w:val="nil"/>
            </w:tcBorders>
            <w:shd w:val="clear" w:color="auto" w:fill="FBE4D5"/>
          </w:tcPr>
          <w:p w14:paraId="6F1D42EE"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381" w:type="pct"/>
            <w:vMerge/>
            <w:tcBorders>
              <w:top w:val="nil"/>
              <w:left w:val="nil"/>
              <w:bottom w:val="single" w:sz="4" w:space="0" w:color="000000"/>
              <w:right w:val="nil"/>
            </w:tcBorders>
            <w:shd w:val="clear" w:color="auto" w:fill="FFFFFF"/>
          </w:tcPr>
          <w:p w14:paraId="509D8D96"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806" w:type="pct"/>
            <w:tcBorders>
              <w:top w:val="nil"/>
              <w:left w:val="nil"/>
              <w:bottom w:val="single" w:sz="4" w:space="0" w:color="000000"/>
              <w:right w:val="single" w:sz="12" w:space="0" w:color="000000"/>
            </w:tcBorders>
            <w:shd w:val="clear" w:color="auto" w:fill="FFFFFF"/>
          </w:tcPr>
          <w:p w14:paraId="474D8756"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478" w:type="pct"/>
            <w:tcBorders>
              <w:top w:val="nil"/>
              <w:left w:val="nil"/>
              <w:bottom w:val="single" w:sz="4" w:space="0" w:color="000000"/>
              <w:right w:val="single" w:sz="4" w:space="0" w:color="000000"/>
            </w:tcBorders>
            <w:shd w:val="clear" w:color="auto" w:fill="FFFFFF"/>
            <w:vAlign w:val="center"/>
          </w:tcPr>
          <w:p w14:paraId="044DD1E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10.63</w:t>
            </w:r>
          </w:p>
        </w:tc>
        <w:tc>
          <w:tcPr>
            <w:tcW w:w="446" w:type="pct"/>
            <w:tcBorders>
              <w:top w:val="nil"/>
              <w:left w:val="nil"/>
              <w:bottom w:val="single" w:sz="4" w:space="0" w:color="000000"/>
              <w:right w:val="single" w:sz="4" w:space="0" w:color="000000"/>
            </w:tcBorders>
            <w:shd w:val="clear" w:color="auto" w:fill="FFFFFF"/>
            <w:vAlign w:val="center"/>
          </w:tcPr>
          <w:p w14:paraId="387A2E5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10.40</w:t>
            </w:r>
          </w:p>
        </w:tc>
        <w:tc>
          <w:tcPr>
            <w:tcW w:w="508" w:type="pct"/>
            <w:tcBorders>
              <w:top w:val="nil"/>
              <w:left w:val="nil"/>
              <w:bottom w:val="single" w:sz="4" w:space="0" w:color="000000"/>
              <w:right w:val="single" w:sz="12" w:space="0" w:color="000000"/>
            </w:tcBorders>
            <w:shd w:val="clear" w:color="auto" w:fill="FFFFFF"/>
            <w:vAlign w:val="center"/>
          </w:tcPr>
          <w:p w14:paraId="4251560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10.53</w:t>
            </w:r>
          </w:p>
        </w:tc>
        <w:tc>
          <w:tcPr>
            <w:tcW w:w="446" w:type="pct"/>
            <w:tcBorders>
              <w:top w:val="nil"/>
              <w:left w:val="nil"/>
              <w:bottom w:val="single" w:sz="4" w:space="0" w:color="000000"/>
              <w:right w:val="single" w:sz="12" w:space="0" w:color="000000"/>
            </w:tcBorders>
            <w:shd w:val="clear" w:color="auto" w:fill="FFFFFF"/>
            <w:vAlign w:val="center"/>
          </w:tcPr>
          <w:p w14:paraId="455E9693"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10.23</w:t>
            </w:r>
          </w:p>
        </w:tc>
      </w:tr>
      <w:tr w:rsidR="009968E0" w:rsidRPr="009968E0" w14:paraId="7483F687" w14:textId="77777777" w:rsidTr="009968E0">
        <w:trPr>
          <w:trHeight w:val="360"/>
        </w:trPr>
        <w:tc>
          <w:tcPr>
            <w:tcW w:w="5000" w:type="pct"/>
            <w:gridSpan w:val="7"/>
            <w:tcBorders>
              <w:top w:val="single" w:sz="4" w:space="0" w:color="000000"/>
              <w:left w:val="single" w:sz="12" w:space="0" w:color="000000"/>
              <w:bottom w:val="single" w:sz="12" w:space="0" w:color="000000"/>
              <w:right w:val="single" w:sz="12" w:space="0" w:color="000000"/>
            </w:tcBorders>
            <w:shd w:val="clear" w:color="auto" w:fill="FFFFFF"/>
            <w:vAlign w:val="center"/>
          </w:tcPr>
          <w:p w14:paraId="57E7D930"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p=0.8</w:t>
            </w:r>
          </w:p>
        </w:tc>
      </w:tr>
    </w:tbl>
    <w:p w14:paraId="05958F0F" w14:textId="77777777" w:rsidR="009968E0" w:rsidRPr="009968E0" w:rsidRDefault="009968E0" w:rsidP="009968E0">
      <w:pPr>
        <w:spacing w:line="360" w:lineRule="auto"/>
        <w:rPr>
          <w:rFonts w:ascii="Cambria" w:eastAsia="Times New Roman" w:hAnsi="Cambria" w:cs="Cambria"/>
          <w:i/>
          <w:iCs/>
          <w:sz w:val="21"/>
          <w:szCs w:val="21"/>
          <w:lang w:eastAsia="en-GB"/>
        </w:rPr>
      </w:pPr>
      <w:r w:rsidRPr="009968E0">
        <w:rPr>
          <w:rFonts w:ascii="Cambria" w:eastAsia="Times New Roman" w:hAnsi="Cambria" w:cs="Cambria"/>
          <w:i/>
          <w:iCs/>
          <w:color w:val="808080"/>
          <w:sz w:val="21"/>
          <w:szCs w:val="21"/>
          <w:lang w:eastAsia="en-GB"/>
        </w:rPr>
        <w:t xml:space="preserve">a. Covariates appearing in the model are evaluated at the following values: </w:t>
      </w:r>
      <w:proofErr w:type="spellStart"/>
      <w:r w:rsidRPr="009968E0">
        <w:rPr>
          <w:rFonts w:ascii="Cambria" w:eastAsia="Times New Roman" w:hAnsi="Cambria" w:cs="Cambria"/>
          <w:i/>
          <w:iCs/>
          <w:color w:val="808080"/>
          <w:sz w:val="21"/>
          <w:szCs w:val="21"/>
          <w:lang w:eastAsia="en-GB"/>
        </w:rPr>
        <w:t>likertscale_gad</w:t>
      </w:r>
      <w:proofErr w:type="spellEnd"/>
      <w:r w:rsidRPr="009968E0">
        <w:rPr>
          <w:rFonts w:ascii="Cambria" w:eastAsia="Times New Roman" w:hAnsi="Cambria" w:cs="Cambria"/>
          <w:i/>
          <w:iCs/>
          <w:color w:val="808080"/>
          <w:sz w:val="21"/>
          <w:szCs w:val="21"/>
          <w:lang w:eastAsia="en-GB"/>
        </w:rPr>
        <w:t xml:space="preserve"> = 7.16. Significance at p&lt;0.05. No significance demonstrated</w:t>
      </w:r>
    </w:p>
    <w:p w14:paraId="26090115" w14:textId="77777777" w:rsidR="009968E0" w:rsidRPr="009968E0" w:rsidRDefault="009968E0" w:rsidP="009968E0">
      <w:pPr>
        <w:rPr>
          <w:rFonts w:ascii="Times New Roman" w:eastAsia="Times New Roman" w:hAnsi="Times New Roman" w:cs="Times New Roman"/>
          <w:lang w:eastAsia="en-GB"/>
        </w:rPr>
      </w:pPr>
    </w:p>
    <w:p w14:paraId="427B4025" w14:textId="52E6BFD3" w:rsidR="009968E0" w:rsidRPr="009968E0" w:rsidRDefault="009968E0" w:rsidP="006E28EB">
      <w:pPr>
        <w:pStyle w:val="Quote"/>
      </w:pPr>
      <w:bookmarkStart w:id="641" w:name="_Toc48406152"/>
      <w:bookmarkStart w:id="642" w:name="_Toc49273363"/>
      <w:bookmarkStart w:id="643" w:name="_Toc64724116"/>
      <w:r w:rsidRPr="009968E0">
        <w:t>Table D.8: -Multivariate Tests for Delta RBV</w:t>
      </w:r>
      <w:bookmarkEnd w:id="641"/>
      <w:bookmarkEnd w:id="642"/>
      <w:bookmarkEnd w:id="643"/>
    </w:p>
    <w:tbl>
      <w:tblPr>
        <w:tblStyle w:val="GridTable2-Accent63"/>
        <w:tblW w:w="9064" w:type="dxa"/>
        <w:tblLayout w:type="fixed"/>
        <w:tblLook w:val="0400" w:firstRow="0" w:lastRow="0" w:firstColumn="0" w:lastColumn="0" w:noHBand="0" w:noVBand="1"/>
      </w:tblPr>
      <w:tblGrid>
        <w:gridCol w:w="1478"/>
        <w:gridCol w:w="1862"/>
        <w:gridCol w:w="1041"/>
        <w:gridCol w:w="1041"/>
        <w:gridCol w:w="1492"/>
        <w:gridCol w:w="1109"/>
        <w:gridCol w:w="1041"/>
      </w:tblGrid>
      <w:tr w:rsidR="009968E0" w:rsidRPr="009968E0" w14:paraId="1D84646D" w14:textId="77777777" w:rsidTr="009968E0">
        <w:trPr>
          <w:cnfStyle w:val="000000100000" w:firstRow="0" w:lastRow="0" w:firstColumn="0" w:lastColumn="0" w:oddVBand="0" w:evenVBand="0" w:oddHBand="1" w:evenHBand="0" w:firstRowFirstColumn="0" w:firstRowLastColumn="0" w:lastRowFirstColumn="0" w:lastRowLastColumn="0"/>
          <w:trHeight w:val="540"/>
        </w:trPr>
        <w:tc>
          <w:tcPr>
            <w:tcW w:w="9064" w:type="dxa"/>
            <w:gridSpan w:val="7"/>
          </w:tcPr>
          <w:p w14:paraId="0D58AA27" w14:textId="77777777" w:rsidR="009968E0" w:rsidRPr="009968E0" w:rsidRDefault="009968E0" w:rsidP="009968E0">
            <w:pPr>
              <w:rPr>
                <w:rFonts w:ascii="Calibri" w:eastAsia="Times New Roman" w:hAnsi="Calibri" w:cs="Calibri"/>
                <w:i/>
                <w:iCs/>
                <w:sz w:val="22"/>
                <w:szCs w:val="22"/>
                <w:lang w:eastAsia="en-GB"/>
              </w:rPr>
            </w:pPr>
          </w:p>
        </w:tc>
      </w:tr>
      <w:tr w:rsidR="009968E0" w:rsidRPr="009968E0" w14:paraId="027EA716" w14:textId="77777777" w:rsidTr="009968E0">
        <w:trPr>
          <w:trHeight w:val="680"/>
        </w:trPr>
        <w:tc>
          <w:tcPr>
            <w:tcW w:w="3340" w:type="dxa"/>
            <w:gridSpan w:val="2"/>
          </w:tcPr>
          <w:p w14:paraId="7B0D5D4B"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Effect</w:t>
            </w:r>
          </w:p>
        </w:tc>
        <w:tc>
          <w:tcPr>
            <w:tcW w:w="1041" w:type="dxa"/>
          </w:tcPr>
          <w:p w14:paraId="4AC11330"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Value</w:t>
            </w:r>
          </w:p>
        </w:tc>
        <w:tc>
          <w:tcPr>
            <w:tcW w:w="1041" w:type="dxa"/>
          </w:tcPr>
          <w:p w14:paraId="6C09E589"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F</w:t>
            </w:r>
          </w:p>
        </w:tc>
        <w:tc>
          <w:tcPr>
            <w:tcW w:w="1492" w:type="dxa"/>
          </w:tcPr>
          <w:p w14:paraId="52B7B573"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Hypothesis df</w:t>
            </w:r>
          </w:p>
        </w:tc>
        <w:tc>
          <w:tcPr>
            <w:tcW w:w="1109" w:type="dxa"/>
          </w:tcPr>
          <w:p w14:paraId="6CB8E034"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Error df</w:t>
            </w:r>
          </w:p>
        </w:tc>
        <w:tc>
          <w:tcPr>
            <w:tcW w:w="1041" w:type="dxa"/>
          </w:tcPr>
          <w:p w14:paraId="0B7E2C85"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Sig.</w:t>
            </w:r>
          </w:p>
        </w:tc>
      </w:tr>
      <w:tr w:rsidR="009968E0" w:rsidRPr="009968E0" w14:paraId="59E2DE98"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1478" w:type="dxa"/>
            <w:vMerge w:val="restart"/>
            <w:shd w:val="clear" w:color="auto" w:fill="FFFFFF"/>
          </w:tcPr>
          <w:p w14:paraId="4FDCB662"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Model 1</w:t>
            </w:r>
          </w:p>
        </w:tc>
        <w:tc>
          <w:tcPr>
            <w:tcW w:w="1862" w:type="dxa"/>
          </w:tcPr>
          <w:p w14:paraId="614D9AB4"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Intercept</w:t>
            </w:r>
          </w:p>
        </w:tc>
        <w:tc>
          <w:tcPr>
            <w:tcW w:w="1041" w:type="dxa"/>
          </w:tcPr>
          <w:p w14:paraId="7934D8B5"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.967</w:t>
            </w:r>
          </w:p>
        </w:tc>
        <w:tc>
          <w:tcPr>
            <w:tcW w:w="1041" w:type="dxa"/>
          </w:tcPr>
          <w:p w14:paraId="7B6A987A"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0.25</w:t>
            </w:r>
          </w:p>
        </w:tc>
        <w:tc>
          <w:tcPr>
            <w:tcW w:w="1492" w:type="dxa"/>
          </w:tcPr>
          <w:p w14:paraId="436882EC"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8.000</w:t>
            </w:r>
          </w:p>
        </w:tc>
        <w:tc>
          <w:tcPr>
            <w:tcW w:w="1109" w:type="dxa"/>
          </w:tcPr>
          <w:p w14:paraId="1B73624A"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58.000</w:t>
            </w:r>
          </w:p>
        </w:tc>
        <w:tc>
          <w:tcPr>
            <w:tcW w:w="1041" w:type="dxa"/>
          </w:tcPr>
          <w:p w14:paraId="348E8075"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.979</w:t>
            </w:r>
          </w:p>
        </w:tc>
      </w:tr>
      <w:tr w:rsidR="009968E0" w:rsidRPr="009968E0" w14:paraId="4A2F9627" w14:textId="77777777" w:rsidTr="009968E0">
        <w:trPr>
          <w:trHeight w:val="360"/>
        </w:trPr>
        <w:tc>
          <w:tcPr>
            <w:tcW w:w="1478" w:type="dxa"/>
            <w:vMerge/>
            <w:shd w:val="clear" w:color="auto" w:fill="FFFFFF"/>
          </w:tcPr>
          <w:p w14:paraId="6F82621B" w14:textId="77777777" w:rsidR="009968E0" w:rsidRPr="009968E0" w:rsidRDefault="009968E0" w:rsidP="009968E0">
            <w:pPr>
              <w:rPr>
                <w:rFonts w:ascii="Calibri" w:eastAsia="Times New Roman" w:hAnsi="Calibri" w:cs="Calibri"/>
                <w:i/>
                <w:iCs/>
                <w:sz w:val="22"/>
                <w:szCs w:val="22"/>
                <w:lang w:eastAsia="en-GB"/>
              </w:rPr>
            </w:pPr>
          </w:p>
        </w:tc>
        <w:tc>
          <w:tcPr>
            <w:tcW w:w="1862" w:type="dxa"/>
          </w:tcPr>
          <w:p w14:paraId="77FA8D6E"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 xml:space="preserve">group </w:t>
            </w:r>
          </w:p>
        </w:tc>
        <w:tc>
          <w:tcPr>
            <w:tcW w:w="1041" w:type="dxa"/>
          </w:tcPr>
          <w:p w14:paraId="6210BD41"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.508</w:t>
            </w:r>
          </w:p>
        </w:tc>
        <w:tc>
          <w:tcPr>
            <w:tcW w:w="1041" w:type="dxa"/>
          </w:tcPr>
          <w:p w14:paraId="3739500A"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1.851</w:t>
            </w:r>
          </w:p>
        </w:tc>
        <w:tc>
          <w:tcPr>
            <w:tcW w:w="1492" w:type="dxa"/>
          </w:tcPr>
          <w:p w14:paraId="2CC058EA"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24.000</w:t>
            </w:r>
          </w:p>
        </w:tc>
        <w:tc>
          <w:tcPr>
            <w:tcW w:w="1109" w:type="dxa"/>
          </w:tcPr>
          <w:p w14:paraId="6A1FD535"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168.819</w:t>
            </w:r>
          </w:p>
        </w:tc>
        <w:tc>
          <w:tcPr>
            <w:tcW w:w="1041" w:type="dxa"/>
          </w:tcPr>
          <w:p w14:paraId="6243480A"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.013</w:t>
            </w:r>
          </w:p>
        </w:tc>
      </w:tr>
      <w:tr w:rsidR="009968E0" w:rsidRPr="009968E0" w14:paraId="0DE637FA"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1478" w:type="dxa"/>
            <w:vMerge/>
            <w:shd w:val="clear" w:color="auto" w:fill="FFFFFF"/>
          </w:tcPr>
          <w:p w14:paraId="1EA02CF0" w14:textId="77777777" w:rsidR="009968E0" w:rsidRPr="009968E0" w:rsidRDefault="009968E0" w:rsidP="009968E0">
            <w:pPr>
              <w:rPr>
                <w:rFonts w:ascii="Calibri" w:eastAsia="Times New Roman" w:hAnsi="Calibri" w:cs="Calibri"/>
                <w:i/>
                <w:iCs/>
                <w:sz w:val="22"/>
                <w:szCs w:val="22"/>
                <w:lang w:eastAsia="en-GB"/>
              </w:rPr>
            </w:pPr>
          </w:p>
        </w:tc>
        <w:tc>
          <w:tcPr>
            <w:tcW w:w="1862" w:type="dxa"/>
          </w:tcPr>
          <w:p w14:paraId="01E8B3B4"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LIKERT</w:t>
            </w:r>
          </w:p>
        </w:tc>
        <w:tc>
          <w:tcPr>
            <w:tcW w:w="1041" w:type="dxa"/>
          </w:tcPr>
          <w:p w14:paraId="5742C2ED"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.966</w:t>
            </w:r>
          </w:p>
        </w:tc>
        <w:tc>
          <w:tcPr>
            <w:tcW w:w="1041" w:type="dxa"/>
          </w:tcPr>
          <w:p w14:paraId="373CE354"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0.257</w:t>
            </w:r>
          </w:p>
        </w:tc>
        <w:tc>
          <w:tcPr>
            <w:tcW w:w="1492" w:type="dxa"/>
          </w:tcPr>
          <w:p w14:paraId="35E9E735"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8.000</w:t>
            </w:r>
          </w:p>
        </w:tc>
        <w:tc>
          <w:tcPr>
            <w:tcW w:w="1109" w:type="dxa"/>
          </w:tcPr>
          <w:p w14:paraId="69579FFD"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58.000</w:t>
            </w:r>
          </w:p>
        </w:tc>
        <w:tc>
          <w:tcPr>
            <w:tcW w:w="1041" w:type="dxa"/>
          </w:tcPr>
          <w:p w14:paraId="61A18E8A"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.977</w:t>
            </w:r>
          </w:p>
        </w:tc>
      </w:tr>
      <w:tr w:rsidR="009968E0" w:rsidRPr="009968E0" w14:paraId="6D8A31DE" w14:textId="77777777" w:rsidTr="009968E0">
        <w:trPr>
          <w:trHeight w:val="400"/>
        </w:trPr>
        <w:tc>
          <w:tcPr>
            <w:tcW w:w="1478" w:type="dxa"/>
            <w:vMerge/>
            <w:shd w:val="clear" w:color="auto" w:fill="FFFFFF"/>
          </w:tcPr>
          <w:p w14:paraId="53FE1E40" w14:textId="77777777" w:rsidR="009968E0" w:rsidRPr="009968E0" w:rsidRDefault="009968E0" w:rsidP="009968E0">
            <w:pPr>
              <w:rPr>
                <w:rFonts w:ascii="Calibri" w:eastAsia="Times New Roman" w:hAnsi="Calibri" w:cs="Calibri"/>
                <w:i/>
                <w:iCs/>
                <w:sz w:val="22"/>
                <w:szCs w:val="22"/>
                <w:lang w:eastAsia="en-GB"/>
              </w:rPr>
            </w:pPr>
          </w:p>
        </w:tc>
        <w:tc>
          <w:tcPr>
            <w:tcW w:w="1862" w:type="dxa"/>
          </w:tcPr>
          <w:p w14:paraId="56DB7270"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group*LIKERT</w:t>
            </w:r>
          </w:p>
        </w:tc>
        <w:tc>
          <w:tcPr>
            <w:tcW w:w="1041" w:type="dxa"/>
          </w:tcPr>
          <w:p w14:paraId="3BC20FD3"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.531</w:t>
            </w:r>
          </w:p>
        </w:tc>
        <w:tc>
          <w:tcPr>
            <w:tcW w:w="1041" w:type="dxa"/>
          </w:tcPr>
          <w:p w14:paraId="1EE5E307"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1.717</w:t>
            </w:r>
          </w:p>
        </w:tc>
        <w:tc>
          <w:tcPr>
            <w:tcW w:w="1492" w:type="dxa"/>
          </w:tcPr>
          <w:p w14:paraId="7443410E"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24.000</w:t>
            </w:r>
          </w:p>
        </w:tc>
        <w:tc>
          <w:tcPr>
            <w:tcW w:w="1109" w:type="dxa"/>
          </w:tcPr>
          <w:p w14:paraId="5323BB28"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168.819</w:t>
            </w:r>
          </w:p>
        </w:tc>
        <w:tc>
          <w:tcPr>
            <w:tcW w:w="1041" w:type="dxa"/>
          </w:tcPr>
          <w:p w14:paraId="1CCFDE27"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.026</w:t>
            </w:r>
          </w:p>
        </w:tc>
      </w:tr>
      <w:tr w:rsidR="009968E0" w:rsidRPr="009968E0" w14:paraId="6D5FA6BD" w14:textId="77777777" w:rsidTr="009968E0">
        <w:trPr>
          <w:cnfStyle w:val="000000100000" w:firstRow="0" w:lastRow="0" w:firstColumn="0" w:lastColumn="0" w:oddVBand="0" w:evenVBand="0" w:oddHBand="1" w:evenHBand="0" w:firstRowFirstColumn="0" w:firstRowLastColumn="0" w:lastRowFirstColumn="0" w:lastRowLastColumn="0"/>
          <w:trHeight w:val="380"/>
        </w:trPr>
        <w:tc>
          <w:tcPr>
            <w:tcW w:w="1478" w:type="dxa"/>
            <w:vMerge w:val="restart"/>
            <w:shd w:val="clear" w:color="auto" w:fill="FFFFFF"/>
          </w:tcPr>
          <w:p w14:paraId="69A7F839"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Model 2</w:t>
            </w:r>
          </w:p>
        </w:tc>
        <w:tc>
          <w:tcPr>
            <w:tcW w:w="1862" w:type="dxa"/>
          </w:tcPr>
          <w:p w14:paraId="6BEA962B"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intercept</w:t>
            </w:r>
          </w:p>
        </w:tc>
        <w:tc>
          <w:tcPr>
            <w:tcW w:w="1041" w:type="dxa"/>
          </w:tcPr>
          <w:p w14:paraId="218FEC4E"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.868</w:t>
            </w:r>
          </w:p>
        </w:tc>
        <w:tc>
          <w:tcPr>
            <w:tcW w:w="1041" w:type="dxa"/>
          </w:tcPr>
          <w:p w14:paraId="29692967"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1.164</w:t>
            </w:r>
          </w:p>
        </w:tc>
        <w:tc>
          <w:tcPr>
            <w:tcW w:w="1492" w:type="dxa"/>
          </w:tcPr>
          <w:p w14:paraId="42662FAE"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8.000</w:t>
            </w:r>
          </w:p>
        </w:tc>
        <w:tc>
          <w:tcPr>
            <w:tcW w:w="1109" w:type="dxa"/>
          </w:tcPr>
          <w:p w14:paraId="65400930"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61.000</w:t>
            </w:r>
          </w:p>
        </w:tc>
        <w:tc>
          <w:tcPr>
            <w:tcW w:w="1041" w:type="dxa"/>
          </w:tcPr>
          <w:p w14:paraId="64AD749D"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.335</w:t>
            </w:r>
          </w:p>
        </w:tc>
      </w:tr>
      <w:tr w:rsidR="009968E0" w:rsidRPr="009968E0" w14:paraId="1A1DFB10" w14:textId="77777777" w:rsidTr="009968E0">
        <w:trPr>
          <w:trHeight w:val="460"/>
        </w:trPr>
        <w:tc>
          <w:tcPr>
            <w:tcW w:w="1478" w:type="dxa"/>
            <w:vMerge/>
            <w:shd w:val="clear" w:color="auto" w:fill="FFFFFF"/>
          </w:tcPr>
          <w:p w14:paraId="098C9C98" w14:textId="77777777" w:rsidR="009968E0" w:rsidRPr="009968E0" w:rsidRDefault="009968E0" w:rsidP="009968E0">
            <w:pPr>
              <w:rPr>
                <w:rFonts w:ascii="Calibri" w:eastAsia="Times New Roman" w:hAnsi="Calibri" w:cs="Calibri"/>
                <w:i/>
                <w:iCs/>
                <w:sz w:val="22"/>
                <w:szCs w:val="22"/>
                <w:lang w:eastAsia="en-GB"/>
              </w:rPr>
            </w:pPr>
          </w:p>
        </w:tc>
        <w:tc>
          <w:tcPr>
            <w:tcW w:w="1862" w:type="dxa"/>
          </w:tcPr>
          <w:p w14:paraId="7260377A"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 xml:space="preserve">group </w:t>
            </w:r>
          </w:p>
        </w:tc>
        <w:tc>
          <w:tcPr>
            <w:tcW w:w="1041" w:type="dxa"/>
          </w:tcPr>
          <w:p w14:paraId="703D2F5D"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.661</w:t>
            </w:r>
          </w:p>
        </w:tc>
        <w:tc>
          <w:tcPr>
            <w:tcW w:w="1041" w:type="dxa"/>
          </w:tcPr>
          <w:p w14:paraId="764F0049"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1.135</w:t>
            </w:r>
          </w:p>
        </w:tc>
        <w:tc>
          <w:tcPr>
            <w:tcW w:w="1492" w:type="dxa"/>
          </w:tcPr>
          <w:p w14:paraId="4FCAFA50"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24.000</w:t>
            </w:r>
          </w:p>
        </w:tc>
        <w:tc>
          <w:tcPr>
            <w:tcW w:w="1109" w:type="dxa"/>
          </w:tcPr>
          <w:p w14:paraId="38F1AA67"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177.520</w:t>
            </w:r>
          </w:p>
        </w:tc>
        <w:tc>
          <w:tcPr>
            <w:tcW w:w="1041" w:type="dxa"/>
          </w:tcPr>
          <w:p w14:paraId="2A22F501"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.311</w:t>
            </w:r>
          </w:p>
        </w:tc>
      </w:tr>
      <w:tr w:rsidR="009968E0" w:rsidRPr="009968E0" w14:paraId="153FCAB5" w14:textId="77777777" w:rsidTr="009968E0">
        <w:trPr>
          <w:cnfStyle w:val="000000100000" w:firstRow="0" w:lastRow="0" w:firstColumn="0" w:lastColumn="0" w:oddVBand="0" w:evenVBand="0" w:oddHBand="1" w:evenHBand="0" w:firstRowFirstColumn="0" w:firstRowLastColumn="0" w:lastRowFirstColumn="0" w:lastRowLastColumn="0"/>
          <w:trHeight w:val="420"/>
        </w:trPr>
        <w:tc>
          <w:tcPr>
            <w:tcW w:w="1478" w:type="dxa"/>
            <w:vMerge/>
            <w:shd w:val="clear" w:color="auto" w:fill="FFFFFF"/>
          </w:tcPr>
          <w:p w14:paraId="0B35442C" w14:textId="77777777" w:rsidR="009968E0" w:rsidRPr="009968E0" w:rsidRDefault="009968E0" w:rsidP="009968E0">
            <w:pPr>
              <w:rPr>
                <w:rFonts w:ascii="Calibri" w:eastAsia="Times New Roman" w:hAnsi="Calibri" w:cs="Calibri"/>
                <w:i/>
                <w:iCs/>
                <w:sz w:val="22"/>
                <w:szCs w:val="22"/>
                <w:lang w:eastAsia="en-GB"/>
              </w:rPr>
            </w:pPr>
          </w:p>
        </w:tc>
        <w:tc>
          <w:tcPr>
            <w:tcW w:w="1862" w:type="dxa"/>
          </w:tcPr>
          <w:p w14:paraId="1584F7AC"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LIKERT</w:t>
            </w:r>
          </w:p>
        </w:tc>
        <w:tc>
          <w:tcPr>
            <w:tcW w:w="1041" w:type="dxa"/>
          </w:tcPr>
          <w:p w14:paraId="291E30FE"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.869</w:t>
            </w:r>
          </w:p>
        </w:tc>
        <w:tc>
          <w:tcPr>
            <w:tcW w:w="1041" w:type="dxa"/>
          </w:tcPr>
          <w:p w14:paraId="064A39E6"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1.15</w:t>
            </w:r>
          </w:p>
        </w:tc>
        <w:tc>
          <w:tcPr>
            <w:tcW w:w="1492" w:type="dxa"/>
          </w:tcPr>
          <w:p w14:paraId="689BD3D1"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8.000</w:t>
            </w:r>
          </w:p>
        </w:tc>
        <w:tc>
          <w:tcPr>
            <w:tcW w:w="1109" w:type="dxa"/>
          </w:tcPr>
          <w:p w14:paraId="3D19D9A9"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61.000</w:t>
            </w:r>
          </w:p>
        </w:tc>
        <w:tc>
          <w:tcPr>
            <w:tcW w:w="1041" w:type="dxa"/>
          </w:tcPr>
          <w:p w14:paraId="23BFEEFB"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.344</w:t>
            </w:r>
          </w:p>
        </w:tc>
      </w:tr>
      <w:tr w:rsidR="009968E0" w:rsidRPr="009968E0" w14:paraId="496B15FF" w14:textId="77777777" w:rsidTr="009968E0">
        <w:trPr>
          <w:trHeight w:val="460"/>
        </w:trPr>
        <w:tc>
          <w:tcPr>
            <w:tcW w:w="1478" w:type="dxa"/>
            <w:vMerge w:val="restart"/>
          </w:tcPr>
          <w:p w14:paraId="4B504C15"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Model 3</w:t>
            </w:r>
          </w:p>
        </w:tc>
        <w:tc>
          <w:tcPr>
            <w:tcW w:w="1862" w:type="dxa"/>
          </w:tcPr>
          <w:p w14:paraId="6283A2A9"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intercept</w:t>
            </w:r>
          </w:p>
        </w:tc>
        <w:tc>
          <w:tcPr>
            <w:tcW w:w="1041" w:type="dxa"/>
          </w:tcPr>
          <w:p w14:paraId="6F040FD9"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.969</w:t>
            </w:r>
          </w:p>
        </w:tc>
        <w:tc>
          <w:tcPr>
            <w:tcW w:w="1041" w:type="dxa"/>
          </w:tcPr>
          <w:p w14:paraId="09E0EB9A"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0.248</w:t>
            </w:r>
          </w:p>
        </w:tc>
        <w:tc>
          <w:tcPr>
            <w:tcW w:w="1492" w:type="dxa"/>
          </w:tcPr>
          <w:p w14:paraId="14BB187D"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8.000</w:t>
            </w:r>
          </w:p>
        </w:tc>
        <w:tc>
          <w:tcPr>
            <w:tcW w:w="1109" w:type="dxa"/>
          </w:tcPr>
          <w:p w14:paraId="68A726F5"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62.000</w:t>
            </w:r>
          </w:p>
        </w:tc>
        <w:tc>
          <w:tcPr>
            <w:tcW w:w="1041" w:type="dxa"/>
          </w:tcPr>
          <w:p w14:paraId="6F8E8401"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.980</w:t>
            </w:r>
          </w:p>
        </w:tc>
      </w:tr>
      <w:tr w:rsidR="009968E0" w:rsidRPr="009968E0" w14:paraId="12D7412B" w14:textId="77777777" w:rsidTr="009968E0">
        <w:trPr>
          <w:cnfStyle w:val="000000100000" w:firstRow="0" w:lastRow="0" w:firstColumn="0" w:lastColumn="0" w:oddVBand="0" w:evenVBand="0" w:oddHBand="1" w:evenHBand="0" w:firstRowFirstColumn="0" w:firstRowLastColumn="0" w:lastRowFirstColumn="0" w:lastRowLastColumn="0"/>
          <w:trHeight w:val="420"/>
        </w:trPr>
        <w:tc>
          <w:tcPr>
            <w:tcW w:w="1478" w:type="dxa"/>
            <w:vMerge/>
          </w:tcPr>
          <w:p w14:paraId="2C37A663" w14:textId="77777777" w:rsidR="009968E0" w:rsidRPr="009968E0" w:rsidRDefault="009968E0" w:rsidP="009968E0">
            <w:pPr>
              <w:rPr>
                <w:rFonts w:ascii="Calibri" w:eastAsia="Times New Roman" w:hAnsi="Calibri" w:cs="Calibri"/>
                <w:i/>
                <w:iCs/>
                <w:sz w:val="22"/>
                <w:szCs w:val="22"/>
                <w:lang w:eastAsia="en-GB"/>
              </w:rPr>
            </w:pPr>
          </w:p>
        </w:tc>
        <w:tc>
          <w:tcPr>
            <w:tcW w:w="1862" w:type="dxa"/>
          </w:tcPr>
          <w:p w14:paraId="6DF6FA21"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group</w:t>
            </w:r>
          </w:p>
        </w:tc>
        <w:tc>
          <w:tcPr>
            <w:tcW w:w="1041" w:type="dxa"/>
          </w:tcPr>
          <w:p w14:paraId="36E6BFD8"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.667</w:t>
            </w:r>
          </w:p>
        </w:tc>
        <w:tc>
          <w:tcPr>
            <w:tcW w:w="1041" w:type="dxa"/>
          </w:tcPr>
          <w:p w14:paraId="4D5AA50C"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1.128</w:t>
            </w:r>
          </w:p>
        </w:tc>
        <w:tc>
          <w:tcPr>
            <w:tcW w:w="1492" w:type="dxa"/>
          </w:tcPr>
          <w:p w14:paraId="297AA68F"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24.000</w:t>
            </w:r>
          </w:p>
        </w:tc>
        <w:tc>
          <w:tcPr>
            <w:tcW w:w="1109" w:type="dxa"/>
          </w:tcPr>
          <w:p w14:paraId="615496B0"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180.420</w:t>
            </w:r>
          </w:p>
        </w:tc>
        <w:tc>
          <w:tcPr>
            <w:tcW w:w="1041" w:type="dxa"/>
          </w:tcPr>
          <w:p w14:paraId="0525B682"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.317</w:t>
            </w:r>
          </w:p>
        </w:tc>
      </w:tr>
      <w:tr w:rsidR="009968E0" w:rsidRPr="009968E0" w14:paraId="28AA2748" w14:textId="77777777" w:rsidTr="009968E0">
        <w:trPr>
          <w:trHeight w:val="360"/>
        </w:trPr>
        <w:tc>
          <w:tcPr>
            <w:tcW w:w="1478" w:type="dxa"/>
            <w:vMerge w:val="restart"/>
          </w:tcPr>
          <w:p w14:paraId="66EBBAFA"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Model 4</w:t>
            </w:r>
          </w:p>
        </w:tc>
        <w:tc>
          <w:tcPr>
            <w:tcW w:w="1862" w:type="dxa"/>
          </w:tcPr>
          <w:p w14:paraId="7C70F709"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intercept</w:t>
            </w:r>
          </w:p>
        </w:tc>
        <w:tc>
          <w:tcPr>
            <w:tcW w:w="1041" w:type="dxa"/>
          </w:tcPr>
          <w:p w14:paraId="14C21BE5"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.870</w:t>
            </w:r>
          </w:p>
        </w:tc>
        <w:tc>
          <w:tcPr>
            <w:tcW w:w="1041" w:type="dxa"/>
          </w:tcPr>
          <w:p w14:paraId="75B4CAF9"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1.200</w:t>
            </w:r>
          </w:p>
        </w:tc>
        <w:tc>
          <w:tcPr>
            <w:tcW w:w="1492" w:type="dxa"/>
          </w:tcPr>
          <w:p w14:paraId="33DBA7CC"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8.000</w:t>
            </w:r>
          </w:p>
        </w:tc>
        <w:tc>
          <w:tcPr>
            <w:tcW w:w="1109" w:type="dxa"/>
          </w:tcPr>
          <w:p w14:paraId="0CC101F9"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64.000</w:t>
            </w:r>
          </w:p>
        </w:tc>
        <w:tc>
          <w:tcPr>
            <w:tcW w:w="1041" w:type="dxa"/>
          </w:tcPr>
          <w:p w14:paraId="63755E29"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.314</w:t>
            </w:r>
          </w:p>
        </w:tc>
      </w:tr>
      <w:tr w:rsidR="009968E0" w:rsidRPr="009968E0" w14:paraId="55BD03C9"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1478" w:type="dxa"/>
            <w:vMerge/>
          </w:tcPr>
          <w:p w14:paraId="22B1CD93" w14:textId="77777777" w:rsidR="009968E0" w:rsidRPr="009968E0" w:rsidRDefault="009968E0" w:rsidP="009968E0">
            <w:pPr>
              <w:rPr>
                <w:rFonts w:ascii="Calibri" w:eastAsia="Times New Roman" w:hAnsi="Calibri" w:cs="Calibri"/>
                <w:i/>
                <w:iCs/>
                <w:sz w:val="22"/>
                <w:szCs w:val="22"/>
                <w:lang w:eastAsia="en-GB"/>
              </w:rPr>
            </w:pPr>
          </w:p>
        </w:tc>
        <w:tc>
          <w:tcPr>
            <w:tcW w:w="1862" w:type="dxa"/>
          </w:tcPr>
          <w:p w14:paraId="1A2840C5"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LIKERT</w:t>
            </w:r>
          </w:p>
        </w:tc>
        <w:tc>
          <w:tcPr>
            <w:tcW w:w="1041" w:type="dxa"/>
          </w:tcPr>
          <w:p w14:paraId="15497A2B"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.876</w:t>
            </w:r>
          </w:p>
        </w:tc>
        <w:tc>
          <w:tcPr>
            <w:tcW w:w="1041" w:type="dxa"/>
          </w:tcPr>
          <w:p w14:paraId="3EE08ABA"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1.131</w:t>
            </w:r>
          </w:p>
        </w:tc>
        <w:tc>
          <w:tcPr>
            <w:tcW w:w="1492" w:type="dxa"/>
          </w:tcPr>
          <w:p w14:paraId="4736E9DF"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8.000</w:t>
            </w:r>
          </w:p>
        </w:tc>
        <w:tc>
          <w:tcPr>
            <w:tcW w:w="1109" w:type="dxa"/>
          </w:tcPr>
          <w:p w14:paraId="20B6E3DC"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64.000</w:t>
            </w:r>
          </w:p>
        </w:tc>
        <w:tc>
          <w:tcPr>
            <w:tcW w:w="1041" w:type="dxa"/>
          </w:tcPr>
          <w:p w14:paraId="23502C37"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.355</w:t>
            </w:r>
          </w:p>
        </w:tc>
      </w:tr>
      <w:tr w:rsidR="009968E0" w:rsidRPr="009968E0" w14:paraId="6449017F" w14:textId="77777777" w:rsidTr="009968E0">
        <w:trPr>
          <w:trHeight w:val="200"/>
        </w:trPr>
        <w:tc>
          <w:tcPr>
            <w:tcW w:w="1478" w:type="dxa"/>
            <w:vMerge/>
          </w:tcPr>
          <w:p w14:paraId="4F470CA3" w14:textId="77777777" w:rsidR="009968E0" w:rsidRPr="009968E0" w:rsidRDefault="009968E0" w:rsidP="009968E0">
            <w:pPr>
              <w:rPr>
                <w:rFonts w:ascii="Calibri" w:eastAsia="Times New Roman" w:hAnsi="Calibri" w:cs="Calibri"/>
                <w:i/>
                <w:iCs/>
                <w:sz w:val="22"/>
                <w:szCs w:val="22"/>
                <w:lang w:eastAsia="en-GB"/>
              </w:rPr>
            </w:pPr>
          </w:p>
        </w:tc>
        <w:tc>
          <w:tcPr>
            <w:tcW w:w="1862" w:type="dxa"/>
          </w:tcPr>
          <w:p w14:paraId="73BCA227"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 </w:t>
            </w:r>
          </w:p>
        </w:tc>
        <w:tc>
          <w:tcPr>
            <w:tcW w:w="1041" w:type="dxa"/>
          </w:tcPr>
          <w:p w14:paraId="26A5A350"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 </w:t>
            </w:r>
          </w:p>
        </w:tc>
        <w:tc>
          <w:tcPr>
            <w:tcW w:w="1041" w:type="dxa"/>
          </w:tcPr>
          <w:p w14:paraId="3B76F254"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 </w:t>
            </w:r>
          </w:p>
        </w:tc>
        <w:tc>
          <w:tcPr>
            <w:tcW w:w="1492" w:type="dxa"/>
          </w:tcPr>
          <w:p w14:paraId="5D3B582E"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 </w:t>
            </w:r>
          </w:p>
        </w:tc>
        <w:tc>
          <w:tcPr>
            <w:tcW w:w="1109" w:type="dxa"/>
          </w:tcPr>
          <w:p w14:paraId="48B2CA7B"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 </w:t>
            </w:r>
          </w:p>
        </w:tc>
        <w:tc>
          <w:tcPr>
            <w:tcW w:w="1041" w:type="dxa"/>
          </w:tcPr>
          <w:p w14:paraId="0E0EAE7F"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 </w:t>
            </w:r>
          </w:p>
        </w:tc>
      </w:tr>
    </w:tbl>
    <w:p w14:paraId="3D3717FD" w14:textId="77777777" w:rsidR="006E28EB" w:rsidRDefault="006E28EB" w:rsidP="009968E0">
      <w:pPr>
        <w:rPr>
          <w:rFonts w:ascii="Times New Roman" w:eastAsia="Times New Roman" w:hAnsi="Times New Roman" w:cs="Times New Roman"/>
          <w:lang w:eastAsia="en-GB"/>
        </w:rPr>
      </w:pPr>
      <w:bookmarkStart w:id="644" w:name="_Toc48406153"/>
      <w:bookmarkStart w:id="645" w:name="_Toc49273364"/>
    </w:p>
    <w:p w14:paraId="6C358CFF" w14:textId="77777777" w:rsidR="006E28EB" w:rsidRDefault="006E28EB">
      <w:pPr>
        <w:rPr>
          <w:rFonts w:ascii="Times New Roman" w:eastAsia="Times New Roman" w:hAnsi="Times New Roman" w:cs="Times New Roman"/>
          <w:lang w:eastAsia="en-GB"/>
        </w:rPr>
      </w:pPr>
      <w:r>
        <w:rPr>
          <w:rFonts w:ascii="Times New Roman" w:eastAsia="Times New Roman" w:hAnsi="Times New Roman" w:cs="Times New Roman"/>
          <w:lang w:eastAsia="en-GB"/>
        </w:rPr>
        <w:br w:type="page"/>
      </w:r>
    </w:p>
    <w:p w14:paraId="03F606A8" w14:textId="3E5F52D6" w:rsidR="009968E0" w:rsidRPr="006E28EB" w:rsidRDefault="009968E0" w:rsidP="006E28EB">
      <w:pPr>
        <w:pStyle w:val="Quote"/>
      </w:pPr>
      <w:bookmarkStart w:id="646" w:name="_Toc64724117"/>
      <w:r w:rsidRPr="009968E0">
        <w:lastRenderedPageBreak/>
        <w:t>Table D.9 Delta RBV:  Univariate ANCOVA tests with group as the fixed factor and Likert as the covariant reported by region of interest- Model 1.</w:t>
      </w:r>
      <w:bookmarkEnd w:id="644"/>
      <w:bookmarkEnd w:id="645"/>
      <w:bookmarkEnd w:id="646"/>
    </w:p>
    <w:tbl>
      <w:tblPr>
        <w:tblW w:w="0" w:type="auto"/>
        <w:tblInd w:w="-15" w:type="dxa"/>
        <w:shd w:val="clear" w:color="auto" w:fill="FFFFFF"/>
        <w:tblCellMar>
          <w:left w:w="115" w:type="dxa"/>
          <w:right w:w="115" w:type="dxa"/>
        </w:tblCellMar>
        <w:tblLook w:val="0400" w:firstRow="0" w:lastRow="0" w:firstColumn="0" w:lastColumn="0" w:noHBand="0" w:noVBand="1"/>
      </w:tblPr>
      <w:tblGrid>
        <w:gridCol w:w="1813"/>
        <w:gridCol w:w="2381"/>
        <w:gridCol w:w="1400"/>
        <w:gridCol w:w="802"/>
        <w:gridCol w:w="688"/>
        <w:gridCol w:w="905"/>
        <w:gridCol w:w="688"/>
      </w:tblGrid>
      <w:tr w:rsidR="009968E0" w:rsidRPr="009968E0" w14:paraId="4B025152" w14:textId="77777777" w:rsidTr="009968E0">
        <w:trPr>
          <w:trHeight w:val="360"/>
        </w:trPr>
        <w:tc>
          <w:tcPr>
            <w:tcW w:w="0" w:type="auto"/>
            <w:gridSpan w:val="3"/>
            <w:vMerge w:val="restart"/>
            <w:tcBorders>
              <w:top w:val="single" w:sz="12" w:space="0" w:color="000000"/>
              <w:left w:val="single" w:sz="12" w:space="0" w:color="000000"/>
              <w:bottom w:val="single" w:sz="12" w:space="0" w:color="000000"/>
              <w:right w:val="single" w:sz="12" w:space="0" w:color="000000"/>
            </w:tcBorders>
            <w:shd w:val="clear" w:color="auto" w:fill="FFFFFF"/>
            <w:vAlign w:val="bottom"/>
          </w:tcPr>
          <w:p w14:paraId="106A151B"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Dependent Variable</w:t>
            </w:r>
          </w:p>
        </w:tc>
        <w:tc>
          <w:tcPr>
            <w:tcW w:w="0" w:type="auto"/>
            <w:gridSpan w:val="4"/>
            <w:tcBorders>
              <w:top w:val="single" w:sz="12" w:space="0" w:color="000000"/>
              <w:left w:val="nil"/>
              <w:bottom w:val="single" w:sz="4" w:space="0" w:color="000000"/>
              <w:right w:val="single" w:sz="12" w:space="0" w:color="000000"/>
            </w:tcBorders>
            <w:shd w:val="clear" w:color="auto" w:fill="FFFFFF"/>
            <w:vAlign w:val="bottom"/>
          </w:tcPr>
          <w:p w14:paraId="50B85784"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GROUP</w:t>
            </w:r>
          </w:p>
        </w:tc>
      </w:tr>
      <w:tr w:rsidR="009968E0" w:rsidRPr="009968E0" w14:paraId="661C9264" w14:textId="77777777" w:rsidTr="009968E0">
        <w:trPr>
          <w:trHeight w:val="360"/>
        </w:trPr>
        <w:tc>
          <w:tcPr>
            <w:tcW w:w="0" w:type="auto"/>
            <w:gridSpan w:val="3"/>
            <w:vMerge/>
            <w:tcBorders>
              <w:top w:val="single" w:sz="12" w:space="0" w:color="000000"/>
              <w:left w:val="single" w:sz="12" w:space="0" w:color="000000"/>
              <w:bottom w:val="single" w:sz="12" w:space="0" w:color="000000"/>
              <w:right w:val="single" w:sz="12" w:space="0" w:color="000000"/>
            </w:tcBorders>
            <w:shd w:val="clear" w:color="auto" w:fill="FFFFFF"/>
            <w:vAlign w:val="bottom"/>
          </w:tcPr>
          <w:p w14:paraId="32F6A5FC"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0" w:type="auto"/>
            <w:tcBorders>
              <w:top w:val="nil"/>
              <w:left w:val="nil"/>
              <w:bottom w:val="single" w:sz="12" w:space="0" w:color="000000"/>
              <w:right w:val="single" w:sz="4" w:space="0" w:color="000000"/>
            </w:tcBorders>
            <w:shd w:val="clear" w:color="auto" w:fill="FFFFFF"/>
            <w:vAlign w:val="bottom"/>
          </w:tcPr>
          <w:p w14:paraId="3B4A7D4E"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P-DPN</w:t>
            </w:r>
          </w:p>
        </w:tc>
        <w:tc>
          <w:tcPr>
            <w:tcW w:w="0" w:type="auto"/>
            <w:tcBorders>
              <w:top w:val="nil"/>
              <w:left w:val="nil"/>
              <w:bottom w:val="single" w:sz="12" w:space="0" w:color="000000"/>
              <w:right w:val="single" w:sz="4" w:space="0" w:color="000000"/>
            </w:tcBorders>
            <w:shd w:val="clear" w:color="auto" w:fill="FFFFFF"/>
            <w:vAlign w:val="bottom"/>
          </w:tcPr>
          <w:p w14:paraId="33B5DB20"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DPN</w:t>
            </w:r>
          </w:p>
        </w:tc>
        <w:tc>
          <w:tcPr>
            <w:tcW w:w="0" w:type="auto"/>
            <w:tcBorders>
              <w:top w:val="nil"/>
              <w:left w:val="nil"/>
              <w:bottom w:val="single" w:sz="12" w:space="0" w:color="000000"/>
              <w:right w:val="single" w:sz="8" w:space="0" w:color="000000"/>
            </w:tcBorders>
            <w:shd w:val="clear" w:color="auto" w:fill="FFFFFF"/>
            <w:vAlign w:val="bottom"/>
          </w:tcPr>
          <w:p w14:paraId="62A42088"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Arial" w:hAnsi="Calibri" w:cs="Calibri"/>
                <w:i/>
                <w:color w:val="000000"/>
                <w:sz w:val="22"/>
                <w:szCs w:val="22"/>
                <w:lang w:eastAsia="en-GB"/>
              </w:rPr>
              <w:t>DM-NN</w:t>
            </w:r>
          </w:p>
        </w:tc>
        <w:tc>
          <w:tcPr>
            <w:tcW w:w="0" w:type="auto"/>
            <w:tcBorders>
              <w:top w:val="nil"/>
              <w:left w:val="single" w:sz="8" w:space="0" w:color="000000"/>
              <w:bottom w:val="single" w:sz="12" w:space="0" w:color="000000"/>
              <w:right w:val="single" w:sz="12" w:space="0" w:color="000000"/>
            </w:tcBorders>
            <w:shd w:val="clear" w:color="auto" w:fill="FFFFFF"/>
            <w:vAlign w:val="bottom"/>
          </w:tcPr>
          <w:p w14:paraId="4D80ED4D"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HV</w:t>
            </w:r>
          </w:p>
        </w:tc>
      </w:tr>
      <w:tr w:rsidR="009968E0" w:rsidRPr="009968E0" w14:paraId="747D8BEA" w14:textId="77777777" w:rsidTr="009968E0">
        <w:trPr>
          <w:trHeight w:val="360"/>
        </w:trPr>
        <w:tc>
          <w:tcPr>
            <w:tcW w:w="0" w:type="auto"/>
            <w:vMerge w:val="restart"/>
            <w:tcBorders>
              <w:top w:val="nil"/>
              <w:left w:val="single" w:sz="12" w:space="0" w:color="000000"/>
              <w:bottom w:val="single" w:sz="4" w:space="0" w:color="000000"/>
              <w:right w:val="nil"/>
            </w:tcBorders>
            <w:shd w:val="clear" w:color="auto" w:fill="FBE4D5"/>
          </w:tcPr>
          <w:p w14:paraId="7128E3FC"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Delta RBV</w:t>
            </w:r>
          </w:p>
          <w:p w14:paraId="48BF3CB2"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xml:space="preserve"> LThal</w:t>
            </w:r>
          </w:p>
        </w:tc>
        <w:tc>
          <w:tcPr>
            <w:tcW w:w="0" w:type="auto"/>
            <w:gridSpan w:val="2"/>
            <w:tcBorders>
              <w:top w:val="single" w:sz="12" w:space="0" w:color="000000"/>
              <w:left w:val="nil"/>
              <w:bottom w:val="single" w:sz="4" w:space="0" w:color="000000"/>
              <w:right w:val="single" w:sz="12" w:space="0" w:color="000000"/>
            </w:tcBorders>
            <w:shd w:val="clear" w:color="auto" w:fill="FFFFFF"/>
          </w:tcPr>
          <w:p w14:paraId="6B886622"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Mean</w:t>
            </w:r>
          </w:p>
        </w:tc>
        <w:tc>
          <w:tcPr>
            <w:tcW w:w="0" w:type="auto"/>
            <w:tcBorders>
              <w:top w:val="nil"/>
              <w:left w:val="nil"/>
              <w:bottom w:val="single" w:sz="4" w:space="0" w:color="000000"/>
              <w:right w:val="single" w:sz="4" w:space="0" w:color="000000"/>
            </w:tcBorders>
            <w:shd w:val="clear" w:color="auto" w:fill="FFFFFF"/>
            <w:vAlign w:val="center"/>
          </w:tcPr>
          <w:p w14:paraId="6AC30EA6"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0.38</w:t>
            </w:r>
          </w:p>
        </w:tc>
        <w:tc>
          <w:tcPr>
            <w:tcW w:w="0" w:type="auto"/>
            <w:tcBorders>
              <w:top w:val="nil"/>
              <w:left w:val="nil"/>
              <w:bottom w:val="single" w:sz="4" w:space="0" w:color="000000"/>
              <w:right w:val="single" w:sz="4" w:space="0" w:color="000000"/>
            </w:tcBorders>
            <w:shd w:val="clear" w:color="auto" w:fill="FFFFFF"/>
            <w:vAlign w:val="center"/>
          </w:tcPr>
          <w:p w14:paraId="5815F083"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-0.23</w:t>
            </w:r>
          </w:p>
        </w:tc>
        <w:tc>
          <w:tcPr>
            <w:tcW w:w="0" w:type="auto"/>
            <w:tcBorders>
              <w:top w:val="nil"/>
              <w:left w:val="nil"/>
              <w:bottom w:val="single" w:sz="4" w:space="0" w:color="000000"/>
              <w:right w:val="single" w:sz="8" w:space="0" w:color="000000"/>
            </w:tcBorders>
            <w:shd w:val="clear" w:color="auto" w:fill="FFFFFF"/>
            <w:vAlign w:val="center"/>
          </w:tcPr>
          <w:p w14:paraId="5CB8B53E"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-0.63</w:t>
            </w:r>
          </w:p>
        </w:tc>
        <w:tc>
          <w:tcPr>
            <w:tcW w:w="0" w:type="auto"/>
            <w:tcBorders>
              <w:top w:val="nil"/>
              <w:left w:val="single" w:sz="8" w:space="0" w:color="000000"/>
              <w:bottom w:val="single" w:sz="4" w:space="0" w:color="000000"/>
              <w:right w:val="single" w:sz="12" w:space="0" w:color="000000"/>
            </w:tcBorders>
            <w:shd w:val="clear" w:color="auto" w:fill="FFFFFF"/>
            <w:vAlign w:val="center"/>
          </w:tcPr>
          <w:p w14:paraId="350DFBB1"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0.52</w:t>
            </w:r>
          </w:p>
        </w:tc>
      </w:tr>
      <w:tr w:rsidR="009968E0" w:rsidRPr="009968E0" w14:paraId="3207FFA7" w14:textId="77777777" w:rsidTr="009968E0">
        <w:trPr>
          <w:trHeight w:val="360"/>
        </w:trPr>
        <w:tc>
          <w:tcPr>
            <w:tcW w:w="0" w:type="auto"/>
            <w:vMerge/>
            <w:tcBorders>
              <w:top w:val="nil"/>
              <w:left w:val="single" w:sz="12" w:space="0" w:color="000000"/>
              <w:bottom w:val="single" w:sz="4" w:space="0" w:color="000000"/>
              <w:right w:val="nil"/>
            </w:tcBorders>
            <w:shd w:val="clear" w:color="auto" w:fill="FBE4D5"/>
          </w:tcPr>
          <w:p w14:paraId="0F6D8F50"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0" w:type="auto"/>
            <w:vMerge w:val="restart"/>
            <w:tcBorders>
              <w:top w:val="nil"/>
              <w:left w:val="nil"/>
              <w:bottom w:val="single" w:sz="4" w:space="0" w:color="000000"/>
              <w:right w:val="nil"/>
            </w:tcBorders>
            <w:shd w:val="clear" w:color="auto" w:fill="FFFFFF"/>
          </w:tcPr>
          <w:p w14:paraId="791FBAEA"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95% Confidence Interval</w:t>
            </w:r>
          </w:p>
        </w:tc>
        <w:tc>
          <w:tcPr>
            <w:tcW w:w="0" w:type="auto"/>
            <w:tcBorders>
              <w:top w:val="nil"/>
              <w:left w:val="nil"/>
              <w:bottom w:val="nil"/>
              <w:right w:val="single" w:sz="12" w:space="0" w:color="000000"/>
            </w:tcBorders>
            <w:shd w:val="clear" w:color="auto" w:fill="FFFFFF"/>
          </w:tcPr>
          <w:p w14:paraId="51528E74"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Lower Bound</w:t>
            </w:r>
          </w:p>
        </w:tc>
        <w:tc>
          <w:tcPr>
            <w:tcW w:w="0" w:type="auto"/>
            <w:tcBorders>
              <w:top w:val="nil"/>
              <w:left w:val="nil"/>
              <w:bottom w:val="nil"/>
              <w:right w:val="single" w:sz="4" w:space="0" w:color="000000"/>
            </w:tcBorders>
            <w:shd w:val="clear" w:color="auto" w:fill="FFFFFF"/>
            <w:vAlign w:val="center"/>
          </w:tcPr>
          <w:p w14:paraId="672FE443"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-1.66</w:t>
            </w:r>
          </w:p>
        </w:tc>
        <w:tc>
          <w:tcPr>
            <w:tcW w:w="0" w:type="auto"/>
            <w:tcBorders>
              <w:top w:val="nil"/>
              <w:left w:val="nil"/>
              <w:bottom w:val="nil"/>
              <w:right w:val="single" w:sz="4" w:space="0" w:color="000000"/>
            </w:tcBorders>
            <w:shd w:val="clear" w:color="auto" w:fill="FFFFFF"/>
            <w:vAlign w:val="center"/>
          </w:tcPr>
          <w:p w14:paraId="3354BC4D"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-2.03</w:t>
            </w:r>
          </w:p>
        </w:tc>
        <w:tc>
          <w:tcPr>
            <w:tcW w:w="0" w:type="auto"/>
            <w:tcBorders>
              <w:top w:val="nil"/>
              <w:left w:val="nil"/>
              <w:bottom w:val="nil"/>
              <w:right w:val="single" w:sz="8" w:space="0" w:color="000000"/>
            </w:tcBorders>
            <w:shd w:val="clear" w:color="auto" w:fill="FFFFFF"/>
            <w:vAlign w:val="center"/>
          </w:tcPr>
          <w:p w14:paraId="54C8A745"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-3.18</w:t>
            </w:r>
          </w:p>
        </w:tc>
        <w:tc>
          <w:tcPr>
            <w:tcW w:w="0" w:type="auto"/>
            <w:tcBorders>
              <w:top w:val="nil"/>
              <w:left w:val="single" w:sz="8" w:space="0" w:color="000000"/>
              <w:bottom w:val="nil"/>
              <w:right w:val="single" w:sz="12" w:space="0" w:color="000000"/>
            </w:tcBorders>
            <w:shd w:val="clear" w:color="auto" w:fill="FFFFFF"/>
            <w:vAlign w:val="center"/>
          </w:tcPr>
          <w:p w14:paraId="30C5DEFB"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-1.53</w:t>
            </w:r>
          </w:p>
        </w:tc>
      </w:tr>
      <w:tr w:rsidR="009968E0" w:rsidRPr="009968E0" w14:paraId="08E4371A" w14:textId="77777777" w:rsidTr="009968E0">
        <w:trPr>
          <w:trHeight w:val="360"/>
        </w:trPr>
        <w:tc>
          <w:tcPr>
            <w:tcW w:w="0" w:type="auto"/>
            <w:vMerge/>
            <w:tcBorders>
              <w:top w:val="nil"/>
              <w:left w:val="single" w:sz="12" w:space="0" w:color="000000"/>
              <w:bottom w:val="single" w:sz="4" w:space="0" w:color="000000"/>
              <w:right w:val="nil"/>
            </w:tcBorders>
            <w:shd w:val="clear" w:color="auto" w:fill="FBE4D5"/>
          </w:tcPr>
          <w:p w14:paraId="77E7738B"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0" w:type="auto"/>
            <w:vMerge/>
            <w:tcBorders>
              <w:top w:val="nil"/>
              <w:left w:val="nil"/>
              <w:bottom w:val="single" w:sz="4" w:space="0" w:color="000000"/>
              <w:right w:val="nil"/>
            </w:tcBorders>
            <w:shd w:val="clear" w:color="auto" w:fill="FFFFFF"/>
          </w:tcPr>
          <w:p w14:paraId="05489F73"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0" w:type="auto"/>
            <w:tcBorders>
              <w:top w:val="nil"/>
              <w:left w:val="nil"/>
              <w:bottom w:val="single" w:sz="4" w:space="0" w:color="000000"/>
              <w:right w:val="single" w:sz="12" w:space="0" w:color="000000"/>
            </w:tcBorders>
            <w:shd w:val="clear" w:color="auto" w:fill="FFFFFF"/>
          </w:tcPr>
          <w:p w14:paraId="4E19AD4F"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Upper Bound</w:t>
            </w:r>
          </w:p>
        </w:tc>
        <w:tc>
          <w:tcPr>
            <w:tcW w:w="0" w:type="auto"/>
            <w:tcBorders>
              <w:top w:val="nil"/>
              <w:left w:val="nil"/>
              <w:bottom w:val="single" w:sz="4" w:space="0" w:color="000000"/>
              <w:right w:val="single" w:sz="4" w:space="0" w:color="000000"/>
            </w:tcBorders>
            <w:shd w:val="clear" w:color="auto" w:fill="FFFFFF"/>
            <w:vAlign w:val="center"/>
          </w:tcPr>
          <w:p w14:paraId="4A1A81D2"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2.43</w:t>
            </w:r>
          </w:p>
        </w:tc>
        <w:tc>
          <w:tcPr>
            <w:tcW w:w="0" w:type="auto"/>
            <w:tcBorders>
              <w:top w:val="nil"/>
              <w:left w:val="nil"/>
              <w:bottom w:val="single" w:sz="4" w:space="0" w:color="000000"/>
              <w:right w:val="single" w:sz="4" w:space="0" w:color="000000"/>
            </w:tcBorders>
            <w:shd w:val="clear" w:color="auto" w:fill="FFFFFF"/>
            <w:vAlign w:val="center"/>
          </w:tcPr>
          <w:p w14:paraId="75F3321F"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1.56</w:t>
            </w:r>
          </w:p>
        </w:tc>
        <w:tc>
          <w:tcPr>
            <w:tcW w:w="0" w:type="auto"/>
            <w:tcBorders>
              <w:top w:val="nil"/>
              <w:left w:val="nil"/>
              <w:bottom w:val="single" w:sz="4" w:space="0" w:color="000000"/>
              <w:right w:val="single" w:sz="8" w:space="0" w:color="000000"/>
            </w:tcBorders>
            <w:shd w:val="clear" w:color="auto" w:fill="FFFFFF"/>
            <w:vAlign w:val="center"/>
          </w:tcPr>
          <w:p w14:paraId="0DD6D17E"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1.93</w:t>
            </w:r>
          </w:p>
        </w:tc>
        <w:tc>
          <w:tcPr>
            <w:tcW w:w="0" w:type="auto"/>
            <w:tcBorders>
              <w:top w:val="nil"/>
              <w:left w:val="single" w:sz="8" w:space="0" w:color="000000"/>
              <w:bottom w:val="single" w:sz="4" w:space="0" w:color="000000"/>
              <w:right w:val="single" w:sz="12" w:space="0" w:color="000000"/>
            </w:tcBorders>
            <w:shd w:val="clear" w:color="auto" w:fill="FFFFFF"/>
            <w:vAlign w:val="center"/>
          </w:tcPr>
          <w:p w14:paraId="052F7690"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2.56</w:t>
            </w:r>
          </w:p>
        </w:tc>
      </w:tr>
      <w:tr w:rsidR="009968E0" w:rsidRPr="009968E0" w14:paraId="661BE737" w14:textId="77777777" w:rsidTr="009968E0">
        <w:trPr>
          <w:trHeight w:val="360"/>
        </w:trPr>
        <w:tc>
          <w:tcPr>
            <w:tcW w:w="0" w:type="auto"/>
            <w:gridSpan w:val="7"/>
            <w:tcBorders>
              <w:top w:val="nil"/>
              <w:left w:val="single" w:sz="12" w:space="0" w:color="000000"/>
              <w:bottom w:val="single" w:sz="4" w:space="0" w:color="000000"/>
              <w:right w:val="single" w:sz="12" w:space="0" w:color="000000"/>
            </w:tcBorders>
            <w:shd w:val="clear" w:color="auto" w:fill="FFFFFF"/>
            <w:vAlign w:val="center"/>
          </w:tcPr>
          <w:p w14:paraId="36228A2E"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p=0.49</w:t>
            </w:r>
          </w:p>
        </w:tc>
      </w:tr>
      <w:tr w:rsidR="009968E0" w:rsidRPr="009968E0" w14:paraId="476098D9" w14:textId="77777777" w:rsidTr="009968E0">
        <w:trPr>
          <w:trHeight w:val="360"/>
        </w:trPr>
        <w:tc>
          <w:tcPr>
            <w:tcW w:w="0" w:type="auto"/>
            <w:vMerge w:val="restart"/>
            <w:tcBorders>
              <w:top w:val="nil"/>
              <w:left w:val="single" w:sz="12" w:space="0" w:color="000000"/>
              <w:bottom w:val="single" w:sz="4" w:space="0" w:color="000000"/>
              <w:right w:val="nil"/>
            </w:tcBorders>
            <w:shd w:val="clear" w:color="auto" w:fill="FBE4D5"/>
          </w:tcPr>
          <w:p w14:paraId="57822762"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xml:space="preserve">Delta RBV </w:t>
            </w:r>
          </w:p>
          <w:p w14:paraId="372DC4DA" w14:textId="2168453F" w:rsidR="009968E0" w:rsidRPr="009968E0" w:rsidRDefault="00264184" w:rsidP="009968E0">
            <w:pPr>
              <w:rPr>
                <w:rFonts w:ascii="Calibri" w:eastAsia="Times New Roman" w:hAnsi="Calibri" w:cs="Calibri"/>
                <w:i/>
                <w:color w:val="000000"/>
                <w:sz w:val="22"/>
                <w:szCs w:val="22"/>
                <w:lang w:eastAsia="en-GB"/>
              </w:rPr>
            </w:pPr>
            <w:proofErr w:type="spellStart"/>
            <w:r>
              <w:rPr>
                <w:rFonts w:ascii="Calibri" w:eastAsia="Times New Roman" w:hAnsi="Calibri" w:cs="Calibri"/>
                <w:i/>
                <w:color w:val="000000"/>
                <w:sz w:val="22"/>
                <w:szCs w:val="22"/>
                <w:lang w:eastAsia="en-GB"/>
              </w:rPr>
              <w:t>RThal</w:t>
            </w:r>
            <w:proofErr w:type="spellEnd"/>
          </w:p>
        </w:tc>
        <w:tc>
          <w:tcPr>
            <w:tcW w:w="0" w:type="auto"/>
            <w:gridSpan w:val="2"/>
            <w:tcBorders>
              <w:top w:val="nil"/>
              <w:left w:val="nil"/>
              <w:bottom w:val="single" w:sz="4" w:space="0" w:color="000000"/>
              <w:right w:val="single" w:sz="12" w:space="0" w:color="000000"/>
            </w:tcBorders>
            <w:shd w:val="clear" w:color="auto" w:fill="FFFFFF"/>
          </w:tcPr>
          <w:p w14:paraId="71E5A866"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Mean</w:t>
            </w:r>
          </w:p>
        </w:tc>
        <w:tc>
          <w:tcPr>
            <w:tcW w:w="0" w:type="auto"/>
            <w:tcBorders>
              <w:top w:val="nil"/>
              <w:left w:val="nil"/>
              <w:bottom w:val="single" w:sz="4" w:space="0" w:color="000000"/>
              <w:right w:val="single" w:sz="4" w:space="0" w:color="000000"/>
            </w:tcBorders>
            <w:shd w:val="clear" w:color="auto" w:fill="FFFFFF"/>
            <w:vAlign w:val="center"/>
          </w:tcPr>
          <w:p w14:paraId="127A3CA8"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0.17</w:t>
            </w:r>
          </w:p>
        </w:tc>
        <w:tc>
          <w:tcPr>
            <w:tcW w:w="0" w:type="auto"/>
            <w:tcBorders>
              <w:top w:val="nil"/>
              <w:left w:val="nil"/>
              <w:bottom w:val="single" w:sz="4" w:space="0" w:color="000000"/>
              <w:right w:val="single" w:sz="4" w:space="0" w:color="000000"/>
            </w:tcBorders>
            <w:shd w:val="clear" w:color="auto" w:fill="FFFFFF"/>
            <w:vAlign w:val="center"/>
          </w:tcPr>
          <w:p w14:paraId="7675A636"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0.14</w:t>
            </w:r>
          </w:p>
        </w:tc>
        <w:tc>
          <w:tcPr>
            <w:tcW w:w="0" w:type="auto"/>
            <w:tcBorders>
              <w:top w:val="nil"/>
              <w:left w:val="nil"/>
              <w:bottom w:val="single" w:sz="4" w:space="0" w:color="000000"/>
              <w:right w:val="single" w:sz="8" w:space="0" w:color="000000"/>
            </w:tcBorders>
            <w:shd w:val="clear" w:color="auto" w:fill="FFFFFF"/>
            <w:vAlign w:val="center"/>
          </w:tcPr>
          <w:p w14:paraId="1A7653C4"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-0.68</w:t>
            </w:r>
          </w:p>
        </w:tc>
        <w:tc>
          <w:tcPr>
            <w:tcW w:w="0" w:type="auto"/>
            <w:tcBorders>
              <w:top w:val="nil"/>
              <w:left w:val="single" w:sz="8" w:space="0" w:color="000000"/>
              <w:bottom w:val="single" w:sz="4" w:space="0" w:color="000000"/>
              <w:right w:val="single" w:sz="12" w:space="0" w:color="000000"/>
            </w:tcBorders>
            <w:shd w:val="clear" w:color="auto" w:fill="FFFFFF"/>
            <w:vAlign w:val="center"/>
          </w:tcPr>
          <w:p w14:paraId="48783A47"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0.22</w:t>
            </w:r>
          </w:p>
        </w:tc>
      </w:tr>
      <w:tr w:rsidR="009968E0" w:rsidRPr="009968E0" w14:paraId="138B09D0" w14:textId="77777777" w:rsidTr="009968E0">
        <w:trPr>
          <w:trHeight w:val="360"/>
        </w:trPr>
        <w:tc>
          <w:tcPr>
            <w:tcW w:w="0" w:type="auto"/>
            <w:vMerge/>
            <w:tcBorders>
              <w:top w:val="nil"/>
              <w:left w:val="single" w:sz="12" w:space="0" w:color="000000"/>
              <w:bottom w:val="single" w:sz="4" w:space="0" w:color="000000"/>
              <w:right w:val="nil"/>
            </w:tcBorders>
            <w:shd w:val="clear" w:color="auto" w:fill="FBE4D5"/>
          </w:tcPr>
          <w:p w14:paraId="5FD49B9D"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0" w:type="auto"/>
            <w:vMerge w:val="restart"/>
            <w:tcBorders>
              <w:top w:val="nil"/>
              <w:left w:val="nil"/>
              <w:bottom w:val="single" w:sz="4" w:space="0" w:color="000000"/>
              <w:right w:val="nil"/>
            </w:tcBorders>
            <w:shd w:val="clear" w:color="auto" w:fill="FFFFFF"/>
          </w:tcPr>
          <w:p w14:paraId="7A62CD9E"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95% Confidence Interval</w:t>
            </w:r>
          </w:p>
        </w:tc>
        <w:tc>
          <w:tcPr>
            <w:tcW w:w="0" w:type="auto"/>
            <w:tcBorders>
              <w:top w:val="nil"/>
              <w:left w:val="nil"/>
              <w:bottom w:val="nil"/>
              <w:right w:val="single" w:sz="12" w:space="0" w:color="000000"/>
            </w:tcBorders>
            <w:shd w:val="clear" w:color="auto" w:fill="FFFFFF"/>
          </w:tcPr>
          <w:p w14:paraId="3B7722B5"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Lower Bound</w:t>
            </w:r>
          </w:p>
        </w:tc>
        <w:tc>
          <w:tcPr>
            <w:tcW w:w="0" w:type="auto"/>
            <w:tcBorders>
              <w:top w:val="nil"/>
              <w:left w:val="nil"/>
              <w:bottom w:val="nil"/>
              <w:right w:val="single" w:sz="4" w:space="0" w:color="000000"/>
            </w:tcBorders>
            <w:shd w:val="clear" w:color="auto" w:fill="FFFFFF"/>
            <w:vAlign w:val="center"/>
          </w:tcPr>
          <w:p w14:paraId="647B3A6A"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-1.84</w:t>
            </w:r>
          </w:p>
        </w:tc>
        <w:tc>
          <w:tcPr>
            <w:tcW w:w="0" w:type="auto"/>
            <w:tcBorders>
              <w:top w:val="nil"/>
              <w:left w:val="nil"/>
              <w:bottom w:val="nil"/>
              <w:right w:val="single" w:sz="4" w:space="0" w:color="000000"/>
            </w:tcBorders>
            <w:shd w:val="clear" w:color="auto" w:fill="FFFFFF"/>
            <w:vAlign w:val="center"/>
          </w:tcPr>
          <w:p w14:paraId="667CEB58"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-1.63</w:t>
            </w:r>
          </w:p>
        </w:tc>
        <w:tc>
          <w:tcPr>
            <w:tcW w:w="0" w:type="auto"/>
            <w:tcBorders>
              <w:top w:val="nil"/>
              <w:left w:val="nil"/>
              <w:bottom w:val="nil"/>
              <w:right w:val="single" w:sz="8" w:space="0" w:color="000000"/>
            </w:tcBorders>
            <w:shd w:val="clear" w:color="auto" w:fill="FFFFFF"/>
            <w:vAlign w:val="center"/>
          </w:tcPr>
          <w:p w14:paraId="615D6BF4"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-3.19</w:t>
            </w:r>
          </w:p>
        </w:tc>
        <w:tc>
          <w:tcPr>
            <w:tcW w:w="0" w:type="auto"/>
            <w:tcBorders>
              <w:top w:val="nil"/>
              <w:left w:val="single" w:sz="8" w:space="0" w:color="000000"/>
              <w:bottom w:val="nil"/>
              <w:right w:val="single" w:sz="12" w:space="0" w:color="000000"/>
            </w:tcBorders>
            <w:shd w:val="clear" w:color="auto" w:fill="FFFFFF"/>
            <w:vAlign w:val="center"/>
          </w:tcPr>
          <w:p w14:paraId="58035970"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-1.79</w:t>
            </w:r>
          </w:p>
        </w:tc>
      </w:tr>
      <w:tr w:rsidR="009968E0" w:rsidRPr="009968E0" w14:paraId="18C45F00" w14:textId="77777777" w:rsidTr="009968E0">
        <w:trPr>
          <w:trHeight w:val="360"/>
        </w:trPr>
        <w:tc>
          <w:tcPr>
            <w:tcW w:w="0" w:type="auto"/>
            <w:vMerge/>
            <w:tcBorders>
              <w:top w:val="nil"/>
              <w:left w:val="single" w:sz="12" w:space="0" w:color="000000"/>
              <w:bottom w:val="single" w:sz="4" w:space="0" w:color="000000"/>
              <w:right w:val="nil"/>
            </w:tcBorders>
            <w:shd w:val="clear" w:color="auto" w:fill="FBE4D5"/>
          </w:tcPr>
          <w:p w14:paraId="58042828"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0" w:type="auto"/>
            <w:vMerge/>
            <w:tcBorders>
              <w:top w:val="nil"/>
              <w:left w:val="nil"/>
              <w:bottom w:val="single" w:sz="4" w:space="0" w:color="000000"/>
              <w:right w:val="nil"/>
            </w:tcBorders>
            <w:shd w:val="clear" w:color="auto" w:fill="FFFFFF"/>
          </w:tcPr>
          <w:p w14:paraId="32857E31"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0" w:type="auto"/>
            <w:tcBorders>
              <w:top w:val="nil"/>
              <w:left w:val="nil"/>
              <w:bottom w:val="single" w:sz="4" w:space="0" w:color="000000"/>
              <w:right w:val="single" w:sz="12" w:space="0" w:color="000000"/>
            </w:tcBorders>
            <w:shd w:val="clear" w:color="auto" w:fill="FFFFFF"/>
          </w:tcPr>
          <w:p w14:paraId="4646FAB6"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Upper Bound</w:t>
            </w:r>
          </w:p>
        </w:tc>
        <w:tc>
          <w:tcPr>
            <w:tcW w:w="0" w:type="auto"/>
            <w:tcBorders>
              <w:top w:val="nil"/>
              <w:left w:val="nil"/>
              <w:bottom w:val="single" w:sz="4" w:space="0" w:color="000000"/>
              <w:right w:val="single" w:sz="4" w:space="0" w:color="000000"/>
            </w:tcBorders>
            <w:shd w:val="clear" w:color="auto" w:fill="FFFFFF"/>
            <w:vAlign w:val="center"/>
          </w:tcPr>
          <w:p w14:paraId="2C0CFAF3"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2.18</w:t>
            </w:r>
          </w:p>
        </w:tc>
        <w:tc>
          <w:tcPr>
            <w:tcW w:w="0" w:type="auto"/>
            <w:tcBorders>
              <w:top w:val="nil"/>
              <w:left w:val="nil"/>
              <w:bottom w:val="single" w:sz="4" w:space="0" w:color="000000"/>
              <w:right w:val="single" w:sz="4" w:space="0" w:color="000000"/>
            </w:tcBorders>
            <w:shd w:val="clear" w:color="auto" w:fill="FFFFFF"/>
            <w:vAlign w:val="center"/>
          </w:tcPr>
          <w:p w14:paraId="09040629"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1.91</w:t>
            </w:r>
          </w:p>
        </w:tc>
        <w:tc>
          <w:tcPr>
            <w:tcW w:w="0" w:type="auto"/>
            <w:tcBorders>
              <w:top w:val="nil"/>
              <w:left w:val="nil"/>
              <w:bottom w:val="single" w:sz="4" w:space="0" w:color="000000"/>
              <w:right w:val="single" w:sz="8" w:space="0" w:color="000000"/>
            </w:tcBorders>
            <w:shd w:val="clear" w:color="auto" w:fill="FFFFFF"/>
            <w:vAlign w:val="center"/>
          </w:tcPr>
          <w:p w14:paraId="7A6D0A1D"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1.84</w:t>
            </w:r>
          </w:p>
        </w:tc>
        <w:tc>
          <w:tcPr>
            <w:tcW w:w="0" w:type="auto"/>
            <w:tcBorders>
              <w:top w:val="nil"/>
              <w:left w:val="single" w:sz="8" w:space="0" w:color="000000"/>
              <w:bottom w:val="single" w:sz="4" w:space="0" w:color="000000"/>
              <w:right w:val="single" w:sz="12" w:space="0" w:color="000000"/>
            </w:tcBorders>
            <w:shd w:val="clear" w:color="auto" w:fill="FFFFFF"/>
            <w:vAlign w:val="center"/>
          </w:tcPr>
          <w:p w14:paraId="4429F5B8"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2.23</w:t>
            </w:r>
          </w:p>
        </w:tc>
      </w:tr>
      <w:tr w:rsidR="009968E0" w:rsidRPr="009968E0" w14:paraId="1FB0CBB5" w14:textId="77777777" w:rsidTr="009968E0">
        <w:trPr>
          <w:trHeight w:val="360"/>
        </w:trPr>
        <w:tc>
          <w:tcPr>
            <w:tcW w:w="0" w:type="auto"/>
            <w:gridSpan w:val="7"/>
            <w:tcBorders>
              <w:top w:val="nil"/>
              <w:left w:val="single" w:sz="12" w:space="0" w:color="000000"/>
              <w:bottom w:val="single" w:sz="4" w:space="0" w:color="000000"/>
              <w:right w:val="single" w:sz="12" w:space="0" w:color="000000"/>
            </w:tcBorders>
            <w:shd w:val="clear" w:color="auto" w:fill="FFFFFF"/>
            <w:vAlign w:val="center"/>
          </w:tcPr>
          <w:p w14:paraId="407D3D98"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p=0.60</w:t>
            </w:r>
          </w:p>
        </w:tc>
      </w:tr>
      <w:tr w:rsidR="009968E0" w:rsidRPr="009968E0" w14:paraId="2EE93F69" w14:textId="77777777" w:rsidTr="009968E0">
        <w:trPr>
          <w:trHeight w:val="360"/>
        </w:trPr>
        <w:tc>
          <w:tcPr>
            <w:tcW w:w="0" w:type="auto"/>
            <w:vMerge w:val="restart"/>
            <w:tcBorders>
              <w:top w:val="nil"/>
              <w:left w:val="single" w:sz="12" w:space="0" w:color="000000"/>
              <w:bottom w:val="single" w:sz="4" w:space="0" w:color="000000"/>
              <w:right w:val="nil"/>
            </w:tcBorders>
            <w:shd w:val="clear" w:color="auto" w:fill="FBE4D5"/>
          </w:tcPr>
          <w:p w14:paraId="5C83B046"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Delta RBV</w:t>
            </w:r>
          </w:p>
          <w:p w14:paraId="430E5F3F"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xml:space="preserve"> LINS</w:t>
            </w:r>
          </w:p>
        </w:tc>
        <w:tc>
          <w:tcPr>
            <w:tcW w:w="0" w:type="auto"/>
            <w:gridSpan w:val="2"/>
            <w:tcBorders>
              <w:top w:val="nil"/>
              <w:left w:val="nil"/>
              <w:bottom w:val="single" w:sz="4" w:space="0" w:color="000000"/>
              <w:right w:val="single" w:sz="12" w:space="0" w:color="000000"/>
            </w:tcBorders>
            <w:shd w:val="clear" w:color="auto" w:fill="FFFFFF"/>
          </w:tcPr>
          <w:p w14:paraId="1968CA5B"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Mean</w:t>
            </w:r>
          </w:p>
        </w:tc>
        <w:tc>
          <w:tcPr>
            <w:tcW w:w="0" w:type="auto"/>
            <w:tcBorders>
              <w:top w:val="nil"/>
              <w:left w:val="nil"/>
              <w:bottom w:val="single" w:sz="4" w:space="0" w:color="000000"/>
              <w:right w:val="single" w:sz="4" w:space="0" w:color="000000"/>
            </w:tcBorders>
            <w:shd w:val="clear" w:color="auto" w:fill="FFFFFF"/>
            <w:vAlign w:val="center"/>
          </w:tcPr>
          <w:p w14:paraId="6427D00F"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1.18</w:t>
            </w:r>
          </w:p>
        </w:tc>
        <w:tc>
          <w:tcPr>
            <w:tcW w:w="0" w:type="auto"/>
            <w:tcBorders>
              <w:top w:val="nil"/>
              <w:left w:val="nil"/>
              <w:bottom w:val="single" w:sz="4" w:space="0" w:color="000000"/>
              <w:right w:val="single" w:sz="4" w:space="0" w:color="000000"/>
            </w:tcBorders>
            <w:shd w:val="clear" w:color="auto" w:fill="FFFFFF"/>
            <w:vAlign w:val="center"/>
          </w:tcPr>
          <w:p w14:paraId="6665C8D5"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-2.03</w:t>
            </w:r>
          </w:p>
        </w:tc>
        <w:tc>
          <w:tcPr>
            <w:tcW w:w="0" w:type="auto"/>
            <w:tcBorders>
              <w:top w:val="nil"/>
              <w:left w:val="nil"/>
              <w:bottom w:val="single" w:sz="4" w:space="0" w:color="000000"/>
              <w:right w:val="single" w:sz="8" w:space="0" w:color="000000"/>
            </w:tcBorders>
            <w:shd w:val="clear" w:color="auto" w:fill="FFFFFF"/>
            <w:vAlign w:val="center"/>
          </w:tcPr>
          <w:p w14:paraId="69D6771B"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-0.42</w:t>
            </w:r>
          </w:p>
        </w:tc>
        <w:tc>
          <w:tcPr>
            <w:tcW w:w="0" w:type="auto"/>
            <w:tcBorders>
              <w:top w:val="nil"/>
              <w:left w:val="single" w:sz="8" w:space="0" w:color="000000"/>
              <w:bottom w:val="single" w:sz="4" w:space="0" w:color="000000"/>
              <w:right w:val="single" w:sz="12" w:space="0" w:color="000000"/>
            </w:tcBorders>
            <w:shd w:val="clear" w:color="auto" w:fill="FFFFFF"/>
            <w:vAlign w:val="center"/>
          </w:tcPr>
          <w:p w14:paraId="63A43DF1"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1.24</w:t>
            </w:r>
          </w:p>
        </w:tc>
      </w:tr>
      <w:tr w:rsidR="009968E0" w:rsidRPr="009968E0" w14:paraId="66FF037C" w14:textId="77777777" w:rsidTr="009968E0">
        <w:trPr>
          <w:trHeight w:val="360"/>
        </w:trPr>
        <w:tc>
          <w:tcPr>
            <w:tcW w:w="0" w:type="auto"/>
            <w:vMerge/>
            <w:tcBorders>
              <w:top w:val="nil"/>
              <w:left w:val="single" w:sz="12" w:space="0" w:color="000000"/>
              <w:bottom w:val="single" w:sz="4" w:space="0" w:color="000000"/>
              <w:right w:val="nil"/>
            </w:tcBorders>
            <w:shd w:val="clear" w:color="auto" w:fill="FBE4D5"/>
          </w:tcPr>
          <w:p w14:paraId="45327876"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0" w:type="auto"/>
            <w:vMerge w:val="restart"/>
            <w:tcBorders>
              <w:top w:val="nil"/>
              <w:left w:val="nil"/>
              <w:bottom w:val="single" w:sz="4" w:space="0" w:color="000000"/>
              <w:right w:val="nil"/>
            </w:tcBorders>
            <w:shd w:val="clear" w:color="auto" w:fill="FFFFFF"/>
          </w:tcPr>
          <w:p w14:paraId="3C440E20"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95% Confidence Interval</w:t>
            </w:r>
          </w:p>
        </w:tc>
        <w:tc>
          <w:tcPr>
            <w:tcW w:w="0" w:type="auto"/>
            <w:tcBorders>
              <w:top w:val="nil"/>
              <w:left w:val="nil"/>
              <w:bottom w:val="nil"/>
              <w:right w:val="single" w:sz="12" w:space="0" w:color="000000"/>
            </w:tcBorders>
            <w:shd w:val="clear" w:color="auto" w:fill="FFFFFF"/>
          </w:tcPr>
          <w:p w14:paraId="19DEB180"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Lower Bound</w:t>
            </w:r>
          </w:p>
        </w:tc>
        <w:tc>
          <w:tcPr>
            <w:tcW w:w="0" w:type="auto"/>
            <w:tcBorders>
              <w:top w:val="nil"/>
              <w:left w:val="nil"/>
              <w:bottom w:val="nil"/>
              <w:right w:val="single" w:sz="4" w:space="0" w:color="000000"/>
            </w:tcBorders>
            <w:shd w:val="clear" w:color="auto" w:fill="FFFFFF"/>
            <w:vAlign w:val="center"/>
          </w:tcPr>
          <w:p w14:paraId="0F4C471B"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-1.46</w:t>
            </w:r>
          </w:p>
        </w:tc>
        <w:tc>
          <w:tcPr>
            <w:tcW w:w="0" w:type="auto"/>
            <w:tcBorders>
              <w:top w:val="nil"/>
              <w:left w:val="nil"/>
              <w:bottom w:val="nil"/>
              <w:right w:val="single" w:sz="4" w:space="0" w:color="000000"/>
            </w:tcBorders>
            <w:shd w:val="clear" w:color="auto" w:fill="FFFFFF"/>
            <w:vAlign w:val="center"/>
          </w:tcPr>
          <w:p w14:paraId="7C5094D9"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-4.35</w:t>
            </w:r>
          </w:p>
        </w:tc>
        <w:tc>
          <w:tcPr>
            <w:tcW w:w="0" w:type="auto"/>
            <w:tcBorders>
              <w:top w:val="nil"/>
              <w:left w:val="nil"/>
              <w:bottom w:val="nil"/>
              <w:right w:val="single" w:sz="8" w:space="0" w:color="000000"/>
            </w:tcBorders>
            <w:shd w:val="clear" w:color="auto" w:fill="FFFFFF"/>
            <w:vAlign w:val="center"/>
          </w:tcPr>
          <w:p w14:paraId="3A6B31F5"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-3.73</w:t>
            </w:r>
          </w:p>
        </w:tc>
        <w:tc>
          <w:tcPr>
            <w:tcW w:w="0" w:type="auto"/>
            <w:tcBorders>
              <w:top w:val="nil"/>
              <w:left w:val="single" w:sz="8" w:space="0" w:color="000000"/>
              <w:bottom w:val="nil"/>
              <w:right w:val="single" w:sz="12" w:space="0" w:color="000000"/>
            </w:tcBorders>
            <w:shd w:val="clear" w:color="auto" w:fill="FFFFFF"/>
            <w:vAlign w:val="center"/>
          </w:tcPr>
          <w:p w14:paraId="3D6857D9"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-1.40</w:t>
            </w:r>
          </w:p>
        </w:tc>
      </w:tr>
      <w:tr w:rsidR="009968E0" w:rsidRPr="009968E0" w14:paraId="6F64811C" w14:textId="77777777" w:rsidTr="009968E0">
        <w:trPr>
          <w:trHeight w:val="360"/>
        </w:trPr>
        <w:tc>
          <w:tcPr>
            <w:tcW w:w="0" w:type="auto"/>
            <w:vMerge/>
            <w:tcBorders>
              <w:top w:val="nil"/>
              <w:left w:val="single" w:sz="12" w:space="0" w:color="000000"/>
              <w:bottom w:val="single" w:sz="4" w:space="0" w:color="000000"/>
              <w:right w:val="nil"/>
            </w:tcBorders>
            <w:shd w:val="clear" w:color="auto" w:fill="FBE4D5"/>
          </w:tcPr>
          <w:p w14:paraId="60359C36"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0" w:type="auto"/>
            <w:vMerge/>
            <w:tcBorders>
              <w:top w:val="nil"/>
              <w:left w:val="nil"/>
              <w:bottom w:val="single" w:sz="4" w:space="0" w:color="000000"/>
              <w:right w:val="nil"/>
            </w:tcBorders>
            <w:shd w:val="clear" w:color="auto" w:fill="FFFFFF"/>
          </w:tcPr>
          <w:p w14:paraId="03B6C09A"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0" w:type="auto"/>
            <w:tcBorders>
              <w:top w:val="nil"/>
              <w:left w:val="nil"/>
              <w:bottom w:val="single" w:sz="4" w:space="0" w:color="000000"/>
              <w:right w:val="single" w:sz="12" w:space="0" w:color="000000"/>
            </w:tcBorders>
            <w:shd w:val="clear" w:color="auto" w:fill="FFFFFF"/>
          </w:tcPr>
          <w:p w14:paraId="15078686"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Upper Bound</w:t>
            </w:r>
          </w:p>
        </w:tc>
        <w:tc>
          <w:tcPr>
            <w:tcW w:w="0" w:type="auto"/>
            <w:tcBorders>
              <w:top w:val="nil"/>
              <w:left w:val="nil"/>
              <w:bottom w:val="single" w:sz="4" w:space="0" w:color="000000"/>
              <w:right w:val="single" w:sz="4" w:space="0" w:color="000000"/>
            </w:tcBorders>
            <w:shd w:val="clear" w:color="auto" w:fill="FFFFFF"/>
            <w:vAlign w:val="center"/>
          </w:tcPr>
          <w:p w14:paraId="5CC08D75"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3.82</w:t>
            </w:r>
          </w:p>
        </w:tc>
        <w:tc>
          <w:tcPr>
            <w:tcW w:w="0" w:type="auto"/>
            <w:tcBorders>
              <w:top w:val="nil"/>
              <w:left w:val="nil"/>
              <w:bottom w:val="single" w:sz="4" w:space="0" w:color="000000"/>
              <w:right w:val="single" w:sz="4" w:space="0" w:color="000000"/>
            </w:tcBorders>
            <w:shd w:val="clear" w:color="auto" w:fill="FFFFFF"/>
            <w:vAlign w:val="center"/>
          </w:tcPr>
          <w:p w14:paraId="61FFA5FB"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0.29</w:t>
            </w:r>
          </w:p>
        </w:tc>
        <w:tc>
          <w:tcPr>
            <w:tcW w:w="0" w:type="auto"/>
            <w:tcBorders>
              <w:top w:val="nil"/>
              <w:left w:val="nil"/>
              <w:bottom w:val="single" w:sz="4" w:space="0" w:color="000000"/>
              <w:right w:val="single" w:sz="8" w:space="0" w:color="000000"/>
            </w:tcBorders>
            <w:shd w:val="clear" w:color="auto" w:fill="FFFFFF"/>
            <w:vAlign w:val="center"/>
          </w:tcPr>
          <w:p w14:paraId="278F7E47"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2.89</w:t>
            </w:r>
          </w:p>
        </w:tc>
        <w:tc>
          <w:tcPr>
            <w:tcW w:w="0" w:type="auto"/>
            <w:tcBorders>
              <w:top w:val="nil"/>
              <w:left w:val="single" w:sz="8" w:space="0" w:color="000000"/>
              <w:bottom w:val="single" w:sz="4" w:space="0" w:color="000000"/>
              <w:right w:val="single" w:sz="12" w:space="0" w:color="000000"/>
            </w:tcBorders>
            <w:shd w:val="clear" w:color="auto" w:fill="FFFFFF"/>
            <w:vAlign w:val="center"/>
          </w:tcPr>
          <w:p w14:paraId="46EC3971"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3.89</w:t>
            </w:r>
          </w:p>
        </w:tc>
      </w:tr>
      <w:tr w:rsidR="009968E0" w:rsidRPr="009968E0" w14:paraId="639C8243" w14:textId="77777777" w:rsidTr="009968E0">
        <w:trPr>
          <w:trHeight w:val="360"/>
        </w:trPr>
        <w:tc>
          <w:tcPr>
            <w:tcW w:w="0" w:type="auto"/>
            <w:gridSpan w:val="7"/>
            <w:tcBorders>
              <w:top w:val="nil"/>
              <w:left w:val="single" w:sz="12" w:space="0" w:color="000000"/>
              <w:bottom w:val="single" w:sz="4" w:space="0" w:color="000000"/>
              <w:right w:val="single" w:sz="12" w:space="0" w:color="000000"/>
            </w:tcBorders>
            <w:shd w:val="clear" w:color="auto" w:fill="FFFFFF"/>
            <w:vAlign w:val="center"/>
          </w:tcPr>
          <w:p w14:paraId="7DB9FFEF"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p=0.27</w:t>
            </w:r>
          </w:p>
        </w:tc>
      </w:tr>
      <w:tr w:rsidR="009968E0" w:rsidRPr="009968E0" w14:paraId="267EAB8E" w14:textId="77777777" w:rsidTr="009968E0">
        <w:trPr>
          <w:trHeight w:val="360"/>
        </w:trPr>
        <w:tc>
          <w:tcPr>
            <w:tcW w:w="0" w:type="auto"/>
            <w:vMerge w:val="restart"/>
            <w:tcBorders>
              <w:top w:val="nil"/>
              <w:left w:val="single" w:sz="12" w:space="0" w:color="000000"/>
              <w:bottom w:val="single" w:sz="4" w:space="0" w:color="000000"/>
              <w:right w:val="nil"/>
            </w:tcBorders>
            <w:shd w:val="clear" w:color="auto" w:fill="FBE4D5"/>
          </w:tcPr>
          <w:p w14:paraId="063E29B9"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Delta RBV</w:t>
            </w:r>
          </w:p>
          <w:p w14:paraId="19D34878"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xml:space="preserve"> RINS</w:t>
            </w:r>
          </w:p>
        </w:tc>
        <w:tc>
          <w:tcPr>
            <w:tcW w:w="0" w:type="auto"/>
            <w:gridSpan w:val="2"/>
            <w:tcBorders>
              <w:top w:val="nil"/>
              <w:left w:val="nil"/>
              <w:bottom w:val="single" w:sz="4" w:space="0" w:color="000000"/>
              <w:right w:val="single" w:sz="12" w:space="0" w:color="000000"/>
            </w:tcBorders>
            <w:shd w:val="clear" w:color="auto" w:fill="FFFFFF"/>
          </w:tcPr>
          <w:p w14:paraId="598FE827"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Mean</w:t>
            </w:r>
          </w:p>
        </w:tc>
        <w:tc>
          <w:tcPr>
            <w:tcW w:w="0" w:type="auto"/>
            <w:tcBorders>
              <w:top w:val="nil"/>
              <w:left w:val="nil"/>
              <w:bottom w:val="single" w:sz="4" w:space="0" w:color="000000"/>
              <w:right w:val="single" w:sz="4" w:space="0" w:color="000000"/>
            </w:tcBorders>
            <w:shd w:val="clear" w:color="auto" w:fill="FFFFFF"/>
            <w:vAlign w:val="center"/>
          </w:tcPr>
          <w:p w14:paraId="00CA01BB"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0.99</w:t>
            </w:r>
          </w:p>
        </w:tc>
        <w:tc>
          <w:tcPr>
            <w:tcW w:w="0" w:type="auto"/>
            <w:tcBorders>
              <w:top w:val="nil"/>
              <w:left w:val="nil"/>
              <w:bottom w:val="single" w:sz="4" w:space="0" w:color="000000"/>
              <w:right w:val="single" w:sz="4" w:space="0" w:color="000000"/>
            </w:tcBorders>
            <w:shd w:val="clear" w:color="auto" w:fill="FFFFFF"/>
            <w:vAlign w:val="center"/>
          </w:tcPr>
          <w:p w14:paraId="60B10313"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-1.26</w:t>
            </w:r>
          </w:p>
        </w:tc>
        <w:tc>
          <w:tcPr>
            <w:tcW w:w="0" w:type="auto"/>
            <w:tcBorders>
              <w:top w:val="nil"/>
              <w:left w:val="nil"/>
              <w:bottom w:val="single" w:sz="4" w:space="0" w:color="000000"/>
              <w:right w:val="single" w:sz="8" w:space="0" w:color="000000"/>
            </w:tcBorders>
            <w:shd w:val="clear" w:color="auto" w:fill="FFFFFF"/>
            <w:vAlign w:val="center"/>
          </w:tcPr>
          <w:p w14:paraId="01CFED30"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0.58</w:t>
            </w:r>
          </w:p>
        </w:tc>
        <w:tc>
          <w:tcPr>
            <w:tcW w:w="0" w:type="auto"/>
            <w:tcBorders>
              <w:top w:val="nil"/>
              <w:left w:val="single" w:sz="8" w:space="0" w:color="000000"/>
              <w:bottom w:val="single" w:sz="4" w:space="0" w:color="000000"/>
              <w:right w:val="single" w:sz="12" w:space="0" w:color="000000"/>
            </w:tcBorders>
            <w:shd w:val="clear" w:color="auto" w:fill="FFFFFF"/>
            <w:vAlign w:val="center"/>
          </w:tcPr>
          <w:p w14:paraId="20CAFDFE"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-0.81</w:t>
            </w:r>
          </w:p>
        </w:tc>
      </w:tr>
      <w:tr w:rsidR="009968E0" w:rsidRPr="009968E0" w14:paraId="58CE0C35" w14:textId="77777777" w:rsidTr="009968E0">
        <w:trPr>
          <w:trHeight w:val="360"/>
        </w:trPr>
        <w:tc>
          <w:tcPr>
            <w:tcW w:w="0" w:type="auto"/>
            <w:vMerge/>
            <w:tcBorders>
              <w:top w:val="nil"/>
              <w:left w:val="single" w:sz="12" w:space="0" w:color="000000"/>
              <w:bottom w:val="single" w:sz="4" w:space="0" w:color="000000"/>
              <w:right w:val="nil"/>
            </w:tcBorders>
            <w:shd w:val="clear" w:color="auto" w:fill="FBE4D5"/>
          </w:tcPr>
          <w:p w14:paraId="64882C7E"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0" w:type="auto"/>
            <w:vMerge w:val="restart"/>
            <w:tcBorders>
              <w:top w:val="nil"/>
              <w:left w:val="nil"/>
              <w:bottom w:val="single" w:sz="4" w:space="0" w:color="000000"/>
              <w:right w:val="nil"/>
            </w:tcBorders>
            <w:shd w:val="clear" w:color="auto" w:fill="FFFFFF"/>
          </w:tcPr>
          <w:p w14:paraId="571FC9AB"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95% Confidence Interval</w:t>
            </w:r>
          </w:p>
        </w:tc>
        <w:tc>
          <w:tcPr>
            <w:tcW w:w="0" w:type="auto"/>
            <w:tcBorders>
              <w:top w:val="nil"/>
              <w:left w:val="nil"/>
              <w:bottom w:val="nil"/>
              <w:right w:val="single" w:sz="12" w:space="0" w:color="000000"/>
            </w:tcBorders>
            <w:shd w:val="clear" w:color="auto" w:fill="FFFFFF"/>
          </w:tcPr>
          <w:p w14:paraId="79889489"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Lower Bound</w:t>
            </w:r>
          </w:p>
        </w:tc>
        <w:tc>
          <w:tcPr>
            <w:tcW w:w="0" w:type="auto"/>
            <w:tcBorders>
              <w:top w:val="nil"/>
              <w:left w:val="nil"/>
              <w:bottom w:val="nil"/>
              <w:right w:val="single" w:sz="4" w:space="0" w:color="000000"/>
            </w:tcBorders>
            <w:shd w:val="clear" w:color="auto" w:fill="FFFFFF"/>
            <w:vAlign w:val="center"/>
          </w:tcPr>
          <w:p w14:paraId="07B74FCC"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-2.40</w:t>
            </w:r>
          </w:p>
        </w:tc>
        <w:tc>
          <w:tcPr>
            <w:tcW w:w="0" w:type="auto"/>
            <w:tcBorders>
              <w:top w:val="nil"/>
              <w:left w:val="nil"/>
              <w:bottom w:val="nil"/>
              <w:right w:val="single" w:sz="4" w:space="0" w:color="000000"/>
            </w:tcBorders>
            <w:shd w:val="clear" w:color="auto" w:fill="FFFFFF"/>
            <w:vAlign w:val="center"/>
          </w:tcPr>
          <w:p w14:paraId="1E7CFAAF"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-4.24</w:t>
            </w:r>
          </w:p>
        </w:tc>
        <w:tc>
          <w:tcPr>
            <w:tcW w:w="0" w:type="auto"/>
            <w:tcBorders>
              <w:top w:val="nil"/>
              <w:left w:val="nil"/>
              <w:bottom w:val="nil"/>
              <w:right w:val="single" w:sz="8" w:space="0" w:color="000000"/>
            </w:tcBorders>
            <w:shd w:val="clear" w:color="auto" w:fill="FFFFFF"/>
            <w:vAlign w:val="center"/>
          </w:tcPr>
          <w:p w14:paraId="3BA9E08B"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-3.66</w:t>
            </w:r>
          </w:p>
        </w:tc>
        <w:tc>
          <w:tcPr>
            <w:tcW w:w="0" w:type="auto"/>
            <w:tcBorders>
              <w:top w:val="nil"/>
              <w:left w:val="single" w:sz="8" w:space="0" w:color="000000"/>
              <w:bottom w:val="nil"/>
              <w:right w:val="single" w:sz="12" w:space="0" w:color="000000"/>
            </w:tcBorders>
            <w:shd w:val="clear" w:color="auto" w:fill="FFFFFF"/>
            <w:vAlign w:val="center"/>
          </w:tcPr>
          <w:p w14:paraId="7F180D95"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-4.21</w:t>
            </w:r>
          </w:p>
        </w:tc>
      </w:tr>
      <w:tr w:rsidR="009968E0" w:rsidRPr="009968E0" w14:paraId="220F579F" w14:textId="77777777" w:rsidTr="009968E0">
        <w:trPr>
          <w:trHeight w:val="360"/>
        </w:trPr>
        <w:tc>
          <w:tcPr>
            <w:tcW w:w="0" w:type="auto"/>
            <w:vMerge/>
            <w:tcBorders>
              <w:top w:val="nil"/>
              <w:left w:val="single" w:sz="12" w:space="0" w:color="000000"/>
              <w:bottom w:val="single" w:sz="4" w:space="0" w:color="000000"/>
              <w:right w:val="nil"/>
            </w:tcBorders>
            <w:shd w:val="clear" w:color="auto" w:fill="FBE4D5"/>
          </w:tcPr>
          <w:p w14:paraId="73B7297D"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0" w:type="auto"/>
            <w:vMerge/>
            <w:tcBorders>
              <w:top w:val="nil"/>
              <w:left w:val="nil"/>
              <w:bottom w:val="single" w:sz="4" w:space="0" w:color="000000"/>
              <w:right w:val="nil"/>
            </w:tcBorders>
            <w:shd w:val="clear" w:color="auto" w:fill="FFFFFF"/>
          </w:tcPr>
          <w:p w14:paraId="54BF9140"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0" w:type="auto"/>
            <w:tcBorders>
              <w:top w:val="nil"/>
              <w:left w:val="nil"/>
              <w:bottom w:val="single" w:sz="4" w:space="0" w:color="000000"/>
              <w:right w:val="single" w:sz="12" w:space="0" w:color="000000"/>
            </w:tcBorders>
            <w:shd w:val="clear" w:color="auto" w:fill="FFFFFF"/>
          </w:tcPr>
          <w:p w14:paraId="5434335E"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Upper Bound</w:t>
            </w:r>
          </w:p>
        </w:tc>
        <w:tc>
          <w:tcPr>
            <w:tcW w:w="0" w:type="auto"/>
            <w:tcBorders>
              <w:top w:val="nil"/>
              <w:left w:val="nil"/>
              <w:bottom w:val="single" w:sz="4" w:space="0" w:color="000000"/>
              <w:right w:val="single" w:sz="4" w:space="0" w:color="000000"/>
            </w:tcBorders>
            <w:shd w:val="clear" w:color="auto" w:fill="FFFFFF"/>
            <w:vAlign w:val="center"/>
          </w:tcPr>
          <w:p w14:paraId="71A3854C"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4.38</w:t>
            </w:r>
          </w:p>
        </w:tc>
        <w:tc>
          <w:tcPr>
            <w:tcW w:w="0" w:type="auto"/>
            <w:tcBorders>
              <w:top w:val="nil"/>
              <w:left w:val="nil"/>
              <w:bottom w:val="single" w:sz="4" w:space="0" w:color="000000"/>
              <w:right w:val="single" w:sz="4" w:space="0" w:color="000000"/>
            </w:tcBorders>
            <w:shd w:val="clear" w:color="auto" w:fill="FFFFFF"/>
            <w:vAlign w:val="center"/>
          </w:tcPr>
          <w:p w14:paraId="293DA0E2"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1.72</w:t>
            </w:r>
          </w:p>
        </w:tc>
        <w:tc>
          <w:tcPr>
            <w:tcW w:w="0" w:type="auto"/>
            <w:tcBorders>
              <w:top w:val="nil"/>
              <w:left w:val="nil"/>
              <w:bottom w:val="single" w:sz="4" w:space="0" w:color="000000"/>
              <w:right w:val="single" w:sz="8" w:space="0" w:color="000000"/>
            </w:tcBorders>
            <w:shd w:val="clear" w:color="auto" w:fill="FFFFFF"/>
            <w:vAlign w:val="center"/>
          </w:tcPr>
          <w:p w14:paraId="3C51C3B6"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4.83</w:t>
            </w:r>
          </w:p>
        </w:tc>
        <w:tc>
          <w:tcPr>
            <w:tcW w:w="0" w:type="auto"/>
            <w:tcBorders>
              <w:top w:val="nil"/>
              <w:left w:val="single" w:sz="8" w:space="0" w:color="000000"/>
              <w:bottom w:val="single" w:sz="4" w:space="0" w:color="000000"/>
              <w:right w:val="single" w:sz="12" w:space="0" w:color="000000"/>
            </w:tcBorders>
            <w:shd w:val="clear" w:color="auto" w:fill="FFFFFF"/>
            <w:vAlign w:val="center"/>
          </w:tcPr>
          <w:p w14:paraId="27CDED24"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2.59</w:t>
            </w:r>
          </w:p>
        </w:tc>
      </w:tr>
      <w:tr w:rsidR="009968E0" w:rsidRPr="009968E0" w14:paraId="5E046BD2" w14:textId="77777777" w:rsidTr="009968E0">
        <w:trPr>
          <w:trHeight w:val="360"/>
        </w:trPr>
        <w:tc>
          <w:tcPr>
            <w:tcW w:w="0" w:type="auto"/>
            <w:gridSpan w:val="7"/>
            <w:tcBorders>
              <w:top w:val="nil"/>
              <w:left w:val="single" w:sz="12" w:space="0" w:color="000000"/>
              <w:bottom w:val="single" w:sz="4" w:space="0" w:color="000000"/>
              <w:right w:val="single" w:sz="12" w:space="0" w:color="000000"/>
            </w:tcBorders>
            <w:shd w:val="clear" w:color="auto" w:fill="FFFFFF"/>
            <w:vAlign w:val="center"/>
          </w:tcPr>
          <w:p w14:paraId="41A1248F"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p=0.15</w:t>
            </w:r>
          </w:p>
        </w:tc>
      </w:tr>
      <w:tr w:rsidR="009968E0" w:rsidRPr="009968E0" w14:paraId="77F17007" w14:textId="77777777" w:rsidTr="009968E0">
        <w:trPr>
          <w:trHeight w:val="360"/>
        </w:trPr>
        <w:tc>
          <w:tcPr>
            <w:tcW w:w="0" w:type="auto"/>
            <w:vMerge w:val="restart"/>
            <w:tcBorders>
              <w:top w:val="nil"/>
              <w:left w:val="single" w:sz="12" w:space="0" w:color="000000"/>
              <w:bottom w:val="single" w:sz="4" w:space="0" w:color="000000"/>
              <w:right w:val="nil"/>
            </w:tcBorders>
            <w:shd w:val="clear" w:color="auto" w:fill="FBE4D5"/>
          </w:tcPr>
          <w:p w14:paraId="6AA94A60"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xml:space="preserve">Delta RBV </w:t>
            </w:r>
          </w:p>
          <w:p w14:paraId="7B974513"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ACC</w:t>
            </w:r>
          </w:p>
        </w:tc>
        <w:tc>
          <w:tcPr>
            <w:tcW w:w="0" w:type="auto"/>
            <w:gridSpan w:val="2"/>
            <w:tcBorders>
              <w:top w:val="nil"/>
              <w:left w:val="nil"/>
              <w:bottom w:val="single" w:sz="4" w:space="0" w:color="000000"/>
              <w:right w:val="single" w:sz="12" w:space="0" w:color="000000"/>
            </w:tcBorders>
            <w:shd w:val="clear" w:color="auto" w:fill="FFFFFF"/>
          </w:tcPr>
          <w:p w14:paraId="7541E1EF"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Mean</w:t>
            </w:r>
          </w:p>
        </w:tc>
        <w:tc>
          <w:tcPr>
            <w:tcW w:w="0" w:type="auto"/>
            <w:tcBorders>
              <w:top w:val="nil"/>
              <w:left w:val="nil"/>
              <w:bottom w:val="single" w:sz="4" w:space="0" w:color="000000"/>
              <w:right w:val="single" w:sz="4" w:space="0" w:color="000000"/>
            </w:tcBorders>
            <w:shd w:val="clear" w:color="auto" w:fill="FFFFFF"/>
            <w:vAlign w:val="center"/>
          </w:tcPr>
          <w:p w14:paraId="7B858DB9"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0.23</w:t>
            </w:r>
          </w:p>
        </w:tc>
        <w:tc>
          <w:tcPr>
            <w:tcW w:w="0" w:type="auto"/>
            <w:tcBorders>
              <w:top w:val="nil"/>
              <w:left w:val="nil"/>
              <w:bottom w:val="single" w:sz="4" w:space="0" w:color="000000"/>
              <w:right w:val="single" w:sz="4" w:space="0" w:color="000000"/>
            </w:tcBorders>
            <w:shd w:val="clear" w:color="auto" w:fill="FFFFFF"/>
            <w:vAlign w:val="center"/>
          </w:tcPr>
          <w:p w14:paraId="4D9AF4CE"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-0.63</w:t>
            </w:r>
          </w:p>
        </w:tc>
        <w:tc>
          <w:tcPr>
            <w:tcW w:w="0" w:type="auto"/>
            <w:tcBorders>
              <w:top w:val="nil"/>
              <w:left w:val="nil"/>
              <w:bottom w:val="single" w:sz="4" w:space="0" w:color="000000"/>
              <w:right w:val="single" w:sz="8" w:space="0" w:color="000000"/>
            </w:tcBorders>
            <w:shd w:val="clear" w:color="auto" w:fill="FFFFFF"/>
            <w:vAlign w:val="center"/>
          </w:tcPr>
          <w:p w14:paraId="4CAE73C1"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-0.09</w:t>
            </w:r>
          </w:p>
        </w:tc>
        <w:tc>
          <w:tcPr>
            <w:tcW w:w="0" w:type="auto"/>
            <w:tcBorders>
              <w:top w:val="nil"/>
              <w:left w:val="single" w:sz="8" w:space="0" w:color="000000"/>
              <w:bottom w:val="single" w:sz="4" w:space="0" w:color="000000"/>
              <w:right w:val="single" w:sz="12" w:space="0" w:color="000000"/>
            </w:tcBorders>
            <w:shd w:val="clear" w:color="auto" w:fill="FFFFFF"/>
            <w:vAlign w:val="center"/>
          </w:tcPr>
          <w:p w14:paraId="5B9B82B0"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-0.18</w:t>
            </w:r>
          </w:p>
        </w:tc>
      </w:tr>
      <w:tr w:rsidR="009968E0" w:rsidRPr="009968E0" w14:paraId="2C730385" w14:textId="77777777" w:rsidTr="009968E0">
        <w:trPr>
          <w:trHeight w:val="360"/>
        </w:trPr>
        <w:tc>
          <w:tcPr>
            <w:tcW w:w="0" w:type="auto"/>
            <w:vMerge/>
            <w:tcBorders>
              <w:top w:val="nil"/>
              <w:left w:val="single" w:sz="12" w:space="0" w:color="000000"/>
              <w:bottom w:val="single" w:sz="4" w:space="0" w:color="000000"/>
              <w:right w:val="nil"/>
            </w:tcBorders>
            <w:shd w:val="clear" w:color="auto" w:fill="FBE4D5"/>
          </w:tcPr>
          <w:p w14:paraId="0463B16F"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0" w:type="auto"/>
            <w:vMerge w:val="restart"/>
            <w:tcBorders>
              <w:top w:val="nil"/>
              <w:left w:val="nil"/>
              <w:bottom w:val="single" w:sz="4" w:space="0" w:color="000000"/>
              <w:right w:val="nil"/>
            </w:tcBorders>
            <w:shd w:val="clear" w:color="auto" w:fill="FFFFFF"/>
          </w:tcPr>
          <w:p w14:paraId="7F9AB095"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95% Confidence Interval</w:t>
            </w:r>
          </w:p>
        </w:tc>
        <w:tc>
          <w:tcPr>
            <w:tcW w:w="0" w:type="auto"/>
            <w:tcBorders>
              <w:top w:val="nil"/>
              <w:left w:val="nil"/>
              <w:bottom w:val="nil"/>
              <w:right w:val="single" w:sz="12" w:space="0" w:color="000000"/>
            </w:tcBorders>
            <w:shd w:val="clear" w:color="auto" w:fill="FFFFFF"/>
          </w:tcPr>
          <w:p w14:paraId="6C754C59"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Lower Bound</w:t>
            </w:r>
          </w:p>
        </w:tc>
        <w:tc>
          <w:tcPr>
            <w:tcW w:w="0" w:type="auto"/>
            <w:tcBorders>
              <w:top w:val="nil"/>
              <w:left w:val="nil"/>
              <w:bottom w:val="nil"/>
              <w:right w:val="single" w:sz="4" w:space="0" w:color="000000"/>
            </w:tcBorders>
            <w:shd w:val="clear" w:color="auto" w:fill="FFFFFF"/>
            <w:vAlign w:val="center"/>
          </w:tcPr>
          <w:p w14:paraId="6AFED4DC"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-2.31</w:t>
            </w:r>
          </w:p>
        </w:tc>
        <w:tc>
          <w:tcPr>
            <w:tcW w:w="0" w:type="auto"/>
            <w:tcBorders>
              <w:top w:val="nil"/>
              <w:left w:val="nil"/>
              <w:bottom w:val="nil"/>
              <w:right w:val="single" w:sz="4" w:space="0" w:color="000000"/>
            </w:tcBorders>
            <w:shd w:val="clear" w:color="auto" w:fill="FFFFFF"/>
            <w:vAlign w:val="center"/>
          </w:tcPr>
          <w:p w14:paraId="4D38F6BB"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-2.87</w:t>
            </w:r>
          </w:p>
        </w:tc>
        <w:tc>
          <w:tcPr>
            <w:tcW w:w="0" w:type="auto"/>
            <w:tcBorders>
              <w:top w:val="nil"/>
              <w:left w:val="nil"/>
              <w:bottom w:val="nil"/>
              <w:right w:val="single" w:sz="8" w:space="0" w:color="000000"/>
            </w:tcBorders>
            <w:shd w:val="clear" w:color="auto" w:fill="FFFFFF"/>
            <w:vAlign w:val="center"/>
          </w:tcPr>
          <w:p w14:paraId="1D5E32B0"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-3.27</w:t>
            </w:r>
          </w:p>
        </w:tc>
        <w:tc>
          <w:tcPr>
            <w:tcW w:w="0" w:type="auto"/>
            <w:tcBorders>
              <w:top w:val="nil"/>
              <w:left w:val="single" w:sz="8" w:space="0" w:color="000000"/>
              <w:bottom w:val="nil"/>
              <w:right w:val="single" w:sz="12" w:space="0" w:color="000000"/>
            </w:tcBorders>
            <w:shd w:val="clear" w:color="auto" w:fill="FFFFFF"/>
            <w:vAlign w:val="center"/>
          </w:tcPr>
          <w:p w14:paraId="41CB39BE"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-2.72</w:t>
            </w:r>
          </w:p>
        </w:tc>
      </w:tr>
      <w:tr w:rsidR="009968E0" w:rsidRPr="009968E0" w14:paraId="6ACE1E23" w14:textId="77777777" w:rsidTr="009968E0">
        <w:trPr>
          <w:trHeight w:val="360"/>
        </w:trPr>
        <w:tc>
          <w:tcPr>
            <w:tcW w:w="0" w:type="auto"/>
            <w:vMerge/>
            <w:tcBorders>
              <w:top w:val="nil"/>
              <w:left w:val="single" w:sz="12" w:space="0" w:color="000000"/>
              <w:bottom w:val="single" w:sz="4" w:space="0" w:color="000000"/>
              <w:right w:val="nil"/>
            </w:tcBorders>
            <w:shd w:val="clear" w:color="auto" w:fill="FBE4D5"/>
          </w:tcPr>
          <w:p w14:paraId="535AC275"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0" w:type="auto"/>
            <w:vMerge/>
            <w:tcBorders>
              <w:top w:val="nil"/>
              <w:left w:val="nil"/>
              <w:bottom w:val="single" w:sz="4" w:space="0" w:color="000000"/>
              <w:right w:val="nil"/>
            </w:tcBorders>
            <w:shd w:val="clear" w:color="auto" w:fill="FFFFFF"/>
          </w:tcPr>
          <w:p w14:paraId="5BE2E4BC"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0" w:type="auto"/>
            <w:tcBorders>
              <w:top w:val="nil"/>
              <w:left w:val="nil"/>
              <w:bottom w:val="single" w:sz="4" w:space="0" w:color="000000"/>
              <w:right w:val="single" w:sz="12" w:space="0" w:color="000000"/>
            </w:tcBorders>
            <w:shd w:val="clear" w:color="auto" w:fill="FFFFFF"/>
          </w:tcPr>
          <w:p w14:paraId="2A6DDF28"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Upper Bound</w:t>
            </w:r>
          </w:p>
        </w:tc>
        <w:tc>
          <w:tcPr>
            <w:tcW w:w="0" w:type="auto"/>
            <w:tcBorders>
              <w:top w:val="nil"/>
              <w:left w:val="nil"/>
              <w:bottom w:val="single" w:sz="4" w:space="0" w:color="000000"/>
              <w:right w:val="single" w:sz="4" w:space="0" w:color="000000"/>
            </w:tcBorders>
            <w:shd w:val="clear" w:color="auto" w:fill="FFFFFF"/>
            <w:vAlign w:val="center"/>
          </w:tcPr>
          <w:p w14:paraId="5416D9B9"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2.77</w:t>
            </w:r>
          </w:p>
        </w:tc>
        <w:tc>
          <w:tcPr>
            <w:tcW w:w="0" w:type="auto"/>
            <w:tcBorders>
              <w:top w:val="nil"/>
              <w:left w:val="nil"/>
              <w:bottom w:val="single" w:sz="4" w:space="0" w:color="000000"/>
              <w:right w:val="single" w:sz="4" w:space="0" w:color="000000"/>
            </w:tcBorders>
            <w:shd w:val="clear" w:color="auto" w:fill="FFFFFF"/>
            <w:vAlign w:val="center"/>
          </w:tcPr>
          <w:p w14:paraId="0BAB6008"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1.60</w:t>
            </w:r>
          </w:p>
        </w:tc>
        <w:tc>
          <w:tcPr>
            <w:tcW w:w="0" w:type="auto"/>
            <w:tcBorders>
              <w:top w:val="nil"/>
              <w:left w:val="nil"/>
              <w:bottom w:val="single" w:sz="4" w:space="0" w:color="000000"/>
              <w:right w:val="single" w:sz="8" w:space="0" w:color="000000"/>
            </w:tcBorders>
            <w:shd w:val="clear" w:color="auto" w:fill="FFFFFF"/>
            <w:vAlign w:val="center"/>
          </w:tcPr>
          <w:p w14:paraId="488FD3DE"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3.08</w:t>
            </w:r>
          </w:p>
        </w:tc>
        <w:tc>
          <w:tcPr>
            <w:tcW w:w="0" w:type="auto"/>
            <w:tcBorders>
              <w:top w:val="nil"/>
              <w:left w:val="single" w:sz="8" w:space="0" w:color="000000"/>
              <w:bottom w:val="single" w:sz="4" w:space="0" w:color="000000"/>
              <w:right w:val="single" w:sz="12" w:space="0" w:color="000000"/>
            </w:tcBorders>
            <w:shd w:val="clear" w:color="auto" w:fill="FFFFFF"/>
            <w:vAlign w:val="center"/>
          </w:tcPr>
          <w:p w14:paraId="50BFD7FE"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2.37</w:t>
            </w:r>
          </w:p>
        </w:tc>
      </w:tr>
      <w:tr w:rsidR="009968E0" w:rsidRPr="009968E0" w14:paraId="0CDE2121" w14:textId="77777777" w:rsidTr="009968E0">
        <w:trPr>
          <w:trHeight w:val="360"/>
        </w:trPr>
        <w:tc>
          <w:tcPr>
            <w:tcW w:w="0" w:type="auto"/>
            <w:gridSpan w:val="7"/>
            <w:tcBorders>
              <w:top w:val="nil"/>
              <w:left w:val="single" w:sz="12" w:space="0" w:color="000000"/>
              <w:bottom w:val="single" w:sz="4" w:space="0" w:color="000000"/>
              <w:right w:val="single" w:sz="12" w:space="0" w:color="000000"/>
            </w:tcBorders>
            <w:shd w:val="clear" w:color="auto" w:fill="FFFFFF"/>
            <w:vAlign w:val="center"/>
          </w:tcPr>
          <w:p w14:paraId="00671004"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p=0.60</w:t>
            </w:r>
          </w:p>
        </w:tc>
      </w:tr>
      <w:tr w:rsidR="009968E0" w:rsidRPr="009968E0" w14:paraId="74B2A745" w14:textId="77777777" w:rsidTr="009968E0">
        <w:trPr>
          <w:trHeight w:val="360"/>
        </w:trPr>
        <w:tc>
          <w:tcPr>
            <w:tcW w:w="0" w:type="auto"/>
            <w:vMerge w:val="restart"/>
            <w:tcBorders>
              <w:top w:val="nil"/>
              <w:left w:val="single" w:sz="12" w:space="0" w:color="000000"/>
              <w:bottom w:val="single" w:sz="4" w:space="0" w:color="000000"/>
              <w:right w:val="nil"/>
            </w:tcBorders>
            <w:shd w:val="clear" w:color="auto" w:fill="FBE4D5"/>
          </w:tcPr>
          <w:p w14:paraId="40A9A0E4"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Delta RBV POWM</w:t>
            </w:r>
          </w:p>
        </w:tc>
        <w:tc>
          <w:tcPr>
            <w:tcW w:w="0" w:type="auto"/>
            <w:gridSpan w:val="2"/>
            <w:tcBorders>
              <w:top w:val="nil"/>
              <w:left w:val="nil"/>
              <w:bottom w:val="single" w:sz="4" w:space="0" w:color="000000"/>
              <w:right w:val="single" w:sz="12" w:space="0" w:color="000000"/>
            </w:tcBorders>
            <w:shd w:val="clear" w:color="auto" w:fill="FFFFFF"/>
          </w:tcPr>
          <w:p w14:paraId="468E31FF"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Mean</w:t>
            </w:r>
          </w:p>
        </w:tc>
        <w:tc>
          <w:tcPr>
            <w:tcW w:w="0" w:type="auto"/>
            <w:tcBorders>
              <w:top w:val="nil"/>
              <w:left w:val="nil"/>
              <w:bottom w:val="single" w:sz="4" w:space="0" w:color="000000"/>
              <w:right w:val="single" w:sz="4" w:space="0" w:color="000000"/>
            </w:tcBorders>
            <w:shd w:val="clear" w:color="auto" w:fill="FFFFFF"/>
            <w:vAlign w:val="center"/>
          </w:tcPr>
          <w:p w14:paraId="5820D2C3"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0.36</w:t>
            </w:r>
          </w:p>
        </w:tc>
        <w:tc>
          <w:tcPr>
            <w:tcW w:w="0" w:type="auto"/>
            <w:tcBorders>
              <w:top w:val="nil"/>
              <w:left w:val="nil"/>
              <w:bottom w:val="single" w:sz="4" w:space="0" w:color="000000"/>
              <w:right w:val="single" w:sz="4" w:space="0" w:color="000000"/>
            </w:tcBorders>
            <w:shd w:val="clear" w:color="auto" w:fill="FFFFFF"/>
            <w:vAlign w:val="center"/>
          </w:tcPr>
          <w:p w14:paraId="7E42557B"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-0.71</w:t>
            </w:r>
          </w:p>
        </w:tc>
        <w:tc>
          <w:tcPr>
            <w:tcW w:w="0" w:type="auto"/>
            <w:tcBorders>
              <w:top w:val="nil"/>
              <w:left w:val="nil"/>
              <w:bottom w:val="single" w:sz="4" w:space="0" w:color="000000"/>
              <w:right w:val="single" w:sz="8" w:space="0" w:color="000000"/>
            </w:tcBorders>
            <w:shd w:val="clear" w:color="auto" w:fill="FFFFFF"/>
            <w:vAlign w:val="center"/>
          </w:tcPr>
          <w:p w14:paraId="51D65D4C"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-0.12</w:t>
            </w:r>
          </w:p>
        </w:tc>
        <w:tc>
          <w:tcPr>
            <w:tcW w:w="0" w:type="auto"/>
            <w:tcBorders>
              <w:top w:val="nil"/>
              <w:left w:val="single" w:sz="8" w:space="0" w:color="000000"/>
              <w:bottom w:val="single" w:sz="4" w:space="0" w:color="000000"/>
              <w:right w:val="single" w:sz="12" w:space="0" w:color="000000"/>
            </w:tcBorders>
            <w:shd w:val="clear" w:color="auto" w:fill="FFFFFF"/>
            <w:vAlign w:val="center"/>
          </w:tcPr>
          <w:p w14:paraId="27C61224"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0.20</w:t>
            </w:r>
          </w:p>
        </w:tc>
      </w:tr>
      <w:tr w:rsidR="009968E0" w:rsidRPr="009968E0" w14:paraId="3ADCFD05" w14:textId="77777777" w:rsidTr="009968E0">
        <w:trPr>
          <w:trHeight w:val="360"/>
        </w:trPr>
        <w:tc>
          <w:tcPr>
            <w:tcW w:w="0" w:type="auto"/>
            <w:vMerge/>
            <w:tcBorders>
              <w:top w:val="nil"/>
              <w:left w:val="single" w:sz="12" w:space="0" w:color="000000"/>
              <w:bottom w:val="single" w:sz="4" w:space="0" w:color="000000"/>
              <w:right w:val="nil"/>
            </w:tcBorders>
            <w:shd w:val="clear" w:color="auto" w:fill="FBE4D5"/>
          </w:tcPr>
          <w:p w14:paraId="04C80B1D"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0" w:type="auto"/>
            <w:vMerge w:val="restart"/>
            <w:tcBorders>
              <w:top w:val="nil"/>
              <w:left w:val="nil"/>
              <w:bottom w:val="single" w:sz="4" w:space="0" w:color="000000"/>
              <w:right w:val="nil"/>
            </w:tcBorders>
            <w:shd w:val="clear" w:color="auto" w:fill="FFFFFF"/>
          </w:tcPr>
          <w:p w14:paraId="095F138E"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95% Confidence Interval</w:t>
            </w:r>
          </w:p>
        </w:tc>
        <w:tc>
          <w:tcPr>
            <w:tcW w:w="0" w:type="auto"/>
            <w:tcBorders>
              <w:top w:val="nil"/>
              <w:left w:val="nil"/>
              <w:bottom w:val="nil"/>
              <w:right w:val="single" w:sz="12" w:space="0" w:color="000000"/>
            </w:tcBorders>
            <w:shd w:val="clear" w:color="auto" w:fill="FFFFFF"/>
          </w:tcPr>
          <w:p w14:paraId="1F7DF505"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Lower Bound</w:t>
            </w:r>
          </w:p>
        </w:tc>
        <w:tc>
          <w:tcPr>
            <w:tcW w:w="0" w:type="auto"/>
            <w:tcBorders>
              <w:top w:val="nil"/>
              <w:left w:val="nil"/>
              <w:bottom w:val="nil"/>
              <w:right w:val="single" w:sz="4" w:space="0" w:color="000000"/>
            </w:tcBorders>
            <w:shd w:val="clear" w:color="auto" w:fill="FFFFFF"/>
            <w:vAlign w:val="center"/>
          </w:tcPr>
          <w:p w14:paraId="3E2D90C4"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-0.47</w:t>
            </w:r>
          </w:p>
        </w:tc>
        <w:tc>
          <w:tcPr>
            <w:tcW w:w="0" w:type="auto"/>
            <w:tcBorders>
              <w:top w:val="nil"/>
              <w:left w:val="nil"/>
              <w:bottom w:val="nil"/>
              <w:right w:val="single" w:sz="4" w:space="0" w:color="000000"/>
            </w:tcBorders>
            <w:shd w:val="clear" w:color="auto" w:fill="FFFFFF"/>
            <w:vAlign w:val="center"/>
          </w:tcPr>
          <w:p w14:paraId="751781C5"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-1.45</w:t>
            </w:r>
          </w:p>
        </w:tc>
        <w:tc>
          <w:tcPr>
            <w:tcW w:w="0" w:type="auto"/>
            <w:tcBorders>
              <w:top w:val="nil"/>
              <w:left w:val="nil"/>
              <w:bottom w:val="nil"/>
              <w:right w:val="single" w:sz="8" w:space="0" w:color="000000"/>
            </w:tcBorders>
            <w:shd w:val="clear" w:color="auto" w:fill="FFFFFF"/>
            <w:vAlign w:val="center"/>
          </w:tcPr>
          <w:p w14:paraId="21DA6937"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-1.16</w:t>
            </w:r>
          </w:p>
        </w:tc>
        <w:tc>
          <w:tcPr>
            <w:tcW w:w="0" w:type="auto"/>
            <w:tcBorders>
              <w:top w:val="nil"/>
              <w:left w:val="single" w:sz="8" w:space="0" w:color="000000"/>
              <w:bottom w:val="nil"/>
              <w:right w:val="single" w:sz="12" w:space="0" w:color="000000"/>
            </w:tcBorders>
            <w:shd w:val="clear" w:color="auto" w:fill="FFFFFF"/>
            <w:vAlign w:val="center"/>
          </w:tcPr>
          <w:p w14:paraId="53032631"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-0.63</w:t>
            </w:r>
          </w:p>
        </w:tc>
      </w:tr>
      <w:tr w:rsidR="009968E0" w:rsidRPr="009968E0" w14:paraId="520A7FA4" w14:textId="77777777" w:rsidTr="009968E0">
        <w:trPr>
          <w:trHeight w:val="360"/>
        </w:trPr>
        <w:tc>
          <w:tcPr>
            <w:tcW w:w="0" w:type="auto"/>
            <w:vMerge/>
            <w:tcBorders>
              <w:top w:val="nil"/>
              <w:left w:val="single" w:sz="12" w:space="0" w:color="000000"/>
              <w:bottom w:val="single" w:sz="4" w:space="0" w:color="000000"/>
              <w:right w:val="nil"/>
            </w:tcBorders>
            <w:shd w:val="clear" w:color="auto" w:fill="FBE4D5"/>
          </w:tcPr>
          <w:p w14:paraId="4AE36CC7"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0" w:type="auto"/>
            <w:vMerge/>
            <w:tcBorders>
              <w:top w:val="nil"/>
              <w:left w:val="nil"/>
              <w:bottom w:val="single" w:sz="4" w:space="0" w:color="000000"/>
              <w:right w:val="nil"/>
            </w:tcBorders>
            <w:shd w:val="clear" w:color="auto" w:fill="FFFFFF"/>
          </w:tcPr>
          <w:p w14:paraId="11D0DE78"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0" w:type="auto"/>
            <w:tcBorders>
              <w:top w:val="nil"/>
              <w:left w:val="nil"/>
              <w:bottom w:val="single" w:sz="4" w:space="0" w:color="000000"/>
              <w:right w:val="single" w:sz="12" w:space="0" w:color="000000"/>
            </w:tcBorders>
            <w:shd w:val="clear" w:color="auto" w:fill="FFFFFF"/>
          </w:tcPr>
          <w:p w14:paraId="14F362B6"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Upper Bound</w:t>
            </w:r>
          </w:p>
        </w:tc>
        <w:tc>
          <w:tcPr>
            <w:tcW w:w="0" w:type="auto"/>
            <w:tcBorders>
              <w:top w:val="nil"/>
              <w:left w:val="nil"/>
              <w:bottom w:val="single" w:sz="4" w:space="0" w:color="000000"/>
              <w:right w:val="single" w:sz="4" w:space="0" w:color="000000"/>
            </w:tcBorders>
            <w:shd w:val="clear" w:color="auto" w:fill="FFFFFF"/>
            <w:vAlign w:val="center"/>
          </w:tcPr>
          <w:p w14:paraId="581E8DAC"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1.19</w:t>
            </w:r>
          </w:p>
        </w:tc>
        <w:tc>
          <w:tcPr>
            <w:tcW w:w="0" w:type="auto"/>
            <w:tcBorders>
              <w:top w:val="nil"/>
              <w:left w:val="nil"/>
              <w:bottom w:val="single" w:sz="4" w:space="0" w:color="000000"/>
              <w:right w:val="single" w:sz="4" w:space="0" w:color="000000"/>
            </w:tcBorders>
            <w:shd w:val="clear" w:color="auto" w:fill="FFFFFF"/>
            <w:vAlign w:val="center"/>
          </w:tcPr>
          <w:p w14:paraId="272DEA1C"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0.02</w:t>
            </w:r>
          </w:p>
        </w:tc>
        <w:tc>
          <w:tcPr>
            <w:tcW w:w="0" w:type="auto"/>
            <w:tcBorders>
              <w:top w:val="nil"/>
              <w:left w:val="nil"/>
              <w:bottom w:val="single" w:sz="4" w:space="0" w:color="000000"/>
              <w:right w:val="single" w:sz="8" w:space="0" w:color="000000"/>
            </w:tcBorders>
            <w:shd w:val="clear" w:color="auto" w:fill="FFFFFF"/>
            <w:vAlign w:val="center"/>
          </w:tcPr>
          <w:p w14:paraId="277AF9DB"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0.92</w:t>
            </w:r>
          </w:p>
        </w:tc>
        <w:tc>
          <w:tcPr>
            <w:tcW w:w="0" w:type="auto"/>
            <w:tcBorders>
              <w:top w:val="nil"/>
              <w:left w:val="single" w:sz="8" w:space="0" w:color="000000"/>
              <w:bottom w:val="single" w:sz="4" w:space="0" w:color="000000"/>
              <w:right w:val="single" w:sz="12" w:space="0" w:color="000000"/>
            </w:tcBorders>
            <w:shd w:val="clear" w:color="auto" w:fill="FFFFFF"/>
            <w:vAlign w:val="center"/>
          </w:tcPr>
          <w:p w14:paraId="33D01D8D"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1.04</w:t>
            </w:r>
          </w:p>
        </w:tc>
      </w:tr>
      <w:tr w:rsidR="009968E0" w:rsidRPr="009968E0" w14:paraId="714BA5E2" w14:textId="77777777" w:rsidTr="009968E0">
        <w:trPr>
          <w:trHeight w:val="360"/>
        </w:trPr>
        <w:tc>
          <w:tcPr>
            <w:tcW w:w="0" w:type="auto"/>
            <w:gridSpan w:val="7"/>
            <w:tcBorders>
              <w:top w:val="nil"/>
              <w:left w:val="single" w:sz="12" w:space="0" w:color="000000"/>
              <w:bottom w:val="single" w:sz="4" w:space="0" w:color="000000"/>
              <w:right w:val="single" w:sz="12" w:space="0" w:color="000000"/>
            </w:tcBorders>
            <w:shd w:val="clear" w:color="auto" w:fill="FFFFFF"/>
            <w:vAlign w:val="center"/>
          </w:tcPr>
          <w:p w14:paraId="77CF931D"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p=0.04*</w:t>
            </w:r>
          </w:p>
        </w:tc>
      </w:tr>
      <w:tr w:rsidR="009968E0" w:rsidRPr="009968E0" w14:paraId="28937EF2" w14:textId="77777777" w:rsidTr="009968E0">
        <w:trPr>
          <w:trHeight w:val="360"/>
        </w:trPr>
        <w:tc>
          <w:tcPr>
            <w:tcW w:w="0" w:type="auto"/>
            <w:vMerge w:val="restart"/>
            <w:tcBorders>
              <w:top w:val="nil"/>
              <w:left w:val="single" w:sz="12" w:space="0" w:color="000000"/>
              <w:bottom w:val="single" w:sz="4" w:space="0" w:color="000000"/>
              <w:right w:val="nil"/>
            </w:tcBorders>
            <w:shd w:val="clear" w:color="auto" w:fill="FBE4D5"/>
          </w:tcPr>
          <w:p w14:paraId="7E27D419"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Delta RBV</w:t>
            </w:r>
          </w:p>
          <w:p w14:paraId="5900ACCE"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xml:space="preserve"> LPSC</w:t>
            </w:r>
          </w:p>
        </w:tc>
        <w:tc>
          <w:tcPr>
            <w:tcW w:w="0" w:type="auto"/>
            <w:gridSpan w:val="2"/>
            <w:tcBorders>
              <w:top w:val="nil"/>
              <w:left w:val="nil"/>
              <w:bottom w:val="single" w:sz="4" w:space="0" w:color="000000"/>
              <w:right w:val="single" w:sz="12" w:space="0" w:color="000000"/>
            </w:tcBorders>
            <w:shd w:val="clear" w:color="auto" w:fill="FFFFFF"/>
          </w:tcPr>
          <w:p w14:paraId="09F24011"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Mean</w:t>
            </w:r>
          </w:p>
        </w:tc>
        <w:tc>
          <w:tcPr>
            <w:tcW w:w="0" w:type="auto"/>
            <w:tcBorders>
              <w:top w:val="nil"/>
              <w:left w:val="nil"/>
              <w:bottom w:val="single" w:sz="4" w:space="0" w:color="000000"/>
              <w:right w:val="single" w:sz="4" w:space="0" w:color="000000"/>
            </w:tcBorders>
            <w:shd w:val="clear" w:color="auto" w:fill="FFFFFF"/>
            <w:vAlign w:val="center"/>
          </w:tcPr>
          <w:p w14:paraId="2D908EDD"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0.29</w:t>
            </w:r>
          </w:p>
        </w:tc>
        <w:tc>
          <w:tcPr>
            <w:tcW w:w="0" w:type="auto"/>
            <w:tcBorders>
              <w:top w:val="nil"/>
              <w:left w:val="nil"/>
              <w:bottom w:val="single" w:sz="4" w:space="0" w:color="000000"/>
              <w:right w:val="single" w:sz="4" w:space="0" w:color="000000"/>
            </w:tcBorders>
            <w:shd w:val="clear" w:color="auto" w:fill="FFFFFF"/>
            <w:vAlign w:val="center"/>
          </w:tcPr>
          <w:p w14:paraId="1DC58117"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-0.86</w:t>
            </w:r>
          </w:p>
        </w:tc>
        <w:tc>
          <w:tcPr>
            <w:tcW w:w="0" w:type="auto"/>
            <w:tcBorders>
              <w:top w:val="nil"/>
              <w:left w:val="nil"/>
              <w:bottom w:val="single" w:sz="4" w:space="0" w:color="000000"/>
              <w:right w:val="single" w:sz="8" w:space="0" w:color="000000"/>
            </w:tcBorders>
            <w:shd w:val="clear" w:color="auto" w:fill="FFFFFF"/>
            <w:vAlign w:val="center"/>
          </w:tcPr>
          <w:p w14:paraId="3CF609CD"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0.35</w:t>
            </w:r>
          </w:p>
        </w:tc>
        <w:tc>
          <w:tcPr>
            <w:tcW w:w="0" w:type="auto"/>
            <w:tcBorders>
              <w:top w:val="nil"/>
              <w:left w:val="single" w:sz="8" w:space="0" w:color="000000"/>
              <w:bottom w:val="single" w:sz="4" w:space="0" w:color="000000"/>
              <w:right w:val="single" w:sz="12" w:space="0" w:color="000000"/>
            </w:tcBorders>
            <w:shd w:val="clear" w:color="auto" w:fill="FFFFFF"/>
            <w:vAlign w:val="center"/>
          </w:tcPr>
          <w:p w14:paraId="45E2CB06"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0.51</w:t>
            </w:r>
          </w:p>
        </w:tc>
      </w:tr>
      <w:tr w:rsidR="009968E0" w:rsidRPr="009968E0" w14:paraId="7FA062A8" w14:textId="77777777" w:rsidTr="009968E0">
        <w:trPr>
          <w:trHeight w:val="360"/>
        </w:trPr>
        <w:tc>
          <w:tcPr>
            <w:tcW w:w="0" w:type="auto"/>
            <w:vMerge/>
            <w:tcBorders>
              <w:top w:val="nil"/>
              <w:left w:val="single" w:sz="12" w:space="0" w:color="000000"/>
              <w:bottom w:val="single" w:sz="4" w:space="0" w:color="000000"/>
              <w:right w:val="nil"/>
            </w:tcBorders>
            <w:shd w:val="clear" w:color="auto" w:fill="FBE4D5"/>
          </w:tcPr>
          <w:p w14:paraId="3D79D49E"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0" w:type="auto"/>
            <w:vMerge w:val="restart"/>
            <w:tcBorders>
              <w:top w:val="nil"/>
              <w:left w:val="nil"/>
              <w:bottom w:val="single" w:sz="4" w:space="0" w:color="000000"/>
              <w:right w:val="nil"/>
            </w:tcBorders>
            <w:shd w:val="clear" w:color="auto" w:fill="FFFFFF"/>
          </w:tcPr>
          <w:p w14:paraId="05DE8EEA"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95% Confidence Interval</w:t>
            </w:r>
          </w:p>
        </w:tc>
        <w:tc>
          <w:tcPr>
            <w:tcW w:w="0" w:type="auto"/>
            <w:tcBorders>
              <w:top w:val="nil"/>
              <w:left w:val="nil"/>
              <w:bottom w:val="nil"/>
              <w:right w:val="single" w:sz="12" w:space="0" w:color="000000"/>
            </w:tcBorders>
            <w:shd w:val="clear" w:color="auto" w:fill="FFFFFF"/>
          </w:tcPr>
          <w:p w14:paraId="461D4E7F"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Lower Bound</w:t>
            </w:r>
          </w:p>
        </w:tc>
        <w:tc>
          <w:tcPr>
            <w:tcW w:w="0" w:type="auto"/>
            <w:tcBorders>
              <w:top w:val="nil"/>
              <w:left w:val="nil"/>
              <w:bottom w:val="nil"/>
              <w:right w:val="single" w:sz="4" w:space="0" w:color="000000"/>
            </w:tcBorders>
            <w:shd w:val="clear" w:color="auto" w:fill="FFFFFF"/>
            <w:vAlign w:val="center"/>
          </w:tcPr>
          <w:p w14:paraId="6D592D69"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-0.97</w:t>
            </w:r>
          </w:p>
        </w:tc>
        <w:tc>
          <w:tcPr>
            <w:tcW w:w="0" w:type="auto"/>
            <w:tcBorders>
              <w:top w:val="nil"/>
              <w:left w:val="nil"/>
              <w:bottom w:val="nil"/>
              <w:right w:val="single" w:sz="4" w:space="0" w:color="000000"/>
            </w:tcBorders>
            <w:shd w:val="clear" w:color="auto" w:fill="FFFFFF"/>
            <w:vAlign w:val="center"/>
          </w:tcPr>
          <w:p w14:paraId="112FF5BB"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-1.96</w:t>
            </w:r>
          </w:p>
        </w:tc>
        <w:tc>
          <w:tcPr>
            <w:tcW w:w="0" w:type="auto"/>
            <w:tcBorders>
              <w:top w:val="nil"/>
              <w:left w:val="nil"/>
              <w:bottom w:val="nil"/>
              <w:right w:val="single" w:sz="8" w:space="0" w:color="000000"/>
            </w:tcBorders>
            <w:shd w:val="clear" w:color="auto" w:fill="FFFFFF"/>
            <w:vAlign w:val="center"/>
          </w:tcPr>
          <w:p w14:paraId="77F2BFA7"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-1.23</w:t>
            </w:r>
          </w:p>
        </w:tc>
        <w:tc>
          <w:tcPr>
            <w:tcW w:w="0" w:type="auto"/>
            <w:tcBorders>
              <w:top w:val="nil"/>
              <w:left w:val="single" w:sz="8" w:space="0" w:color="000000"/>
              <w:bottom w:val="nil"/>
              <w:right w:val="single" w:sz="12" w:space="0" w:color="000000"/>
            </w:tcBorders>
            <w:shd w:val="clear" w:color="auto" w:fill="FFFFFF"/>
            <w:vAlign w:val="center"/>
          </w:tcPr>
          <w:p w14:paraId="36AF56C4"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-0.75</w:t>
            </w:r>
          </w:p>
        </w:tc>
      </w:tr>
      <w:tr w:rsidR="009968E0" w:rsidRPr="009968E0" w14:paraId="61AF41A4" w14:textId="77777777" w:rsidTr="009968E0">
        <w:trPr>
          <w:trHeight w:val="360"/>
        </w:trPr>
        <w:tc>
          <w:tcPr>
            <w:tcW w:w="0" w:type="auto"/>
            <w:vMerge/>
            <w:tcBorders>
              <w:top w:val="nil"/>
              <w:left w:val="single" w:sz="12" w:space="0" w:color="000000"/>
              <w:bottom w:val="single" w:sz="4" w:space="0" w:color="000000"/>
              <w:right w:val="nil"/>
            </w:tcBorders>
            <w:shd w:val="clear" w:color="auto" w:fill="FBE4D5"/>
          </w:tcPr>
          <w:p w14:paraId="46F5D5D8"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0" w:type="auto"/>
            <w:vMerge/>
            <w:tcBorders>
              <w:top w:val="nil"/>
              <w:left w:val="nil"/>
              <w:bottom w:val="single" w:sz="4" w:space="0" w:color="000000"/>
              <w:right w:val="nil"/>
            </w:tcBorders>
            <w:shd w:val="clear" w:color="auto" w:fill="FFFFFF"/>
          </w:tcPr>
          <w:p w14:paraId="6019A166"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0" w:type="auto"/>
            <w:tcBorders>
              <w:top w:val="nil"/>
              <w:left w:val="nil"/>
              <w:bottom w:val="single" w:sz="4" w:space="0" w:color="000000"/>
              <w:right w:val="single" w:sz="12" w:space="0" w:color="000000"/>
            </w:tcBorders>
            <w:shd w:val="clear" w:color="auto" w:fill="FFFFFF"/>
          </w:tcPr>
          <w:p w14:paraId="5251AF67"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Upper Bound</w:t>
            </w:r>
          </w:p>
        </w:tc>
        <w:tc>
          <w:tcPr>
            <w:tcW w:w="0" w:type="auto"/>
            <w:tcBorders>
              <w:top w:val="nil"/>
              <w:left w:val="nil"/>
              <w:bottom w:val="single" w:sz="4" w:space="0" w:color="000000"/>
              <w:right w:val="single" w:sz="4" w:space="0" w:color="000000"/>
            </w:tcBorders>
            <w:shd w:val="clear" w:color="auto" w:fill="FFFFFF"/>
            <w:vAlign w:val="center"/>
          </w:tcPr>
          <w:p w14:paraId="22C2EB18"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1.55</w:t>
            </w:r>
          </w:p>
        </w:tc>
        <w:tc>
          <w:tcPr>
            <w:tcW w:w="0" w:type="auto"/>
            <w:tcBorders>
              <w:top w:val="nil"/>
              <w:left w:val="nil"/>
              <w:bottom w:val="single" w:sz="4" w:space="0" w:color="000000"/>
              <w:right w:val="single" w:sz="4" w:space="0" w:color="000000"/>
            </w:tcBorders>
            <w:shd w:val="clear" w:color="auto" w:fill="FFFFFF"/>
            <w:vAlign w:val="center"/>
          </w:tcPr>
          <w:p w14:paraId="2AC1C80B"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0.25</w:t>
            </w:r>
          </w:p>
        </w:tc>
        <w:tc>
          <w:tcPr>
            <w:tcW w:w="0" w:type="auto"/>
            <w:tcBorders>
              <w:top w:val="nil"/>
              <w:left w:val="nil"/>
              <w:bottom w:val="single" w:sz="4" w:space="0" w:color="000000"/>
              <w:right w:val="single" w:sz="8" w:space="0" w:color="000000"/>
            </w:tcBorders>
            <w:shd w:val="clear" w:color="auto" w:fill="FFFFFF"/>
            <w:vAlign w:val="center"/>
          </w:tcPr>
          <w:p w14:paraId="67241D0B"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1.93</w:t>
            </w:r>
          </w:p>
        </w:tc>
        <w:tc>
          <w:tcPr>
            <w:tcW w:w="0" w:type="auto"/>
            <w:tcBorders>
              <w:top w:val="nil"/>
              <w:left w:val="single" w:sz="8" w:space="0" w:color="000000"/>
              <w:bottom w:val="single" w:sz="4" w:space="0" w:color="000000"/>
              <w:right w:val="single" w:sz="12" w:space="0" w:color="000000"/>
            </w:tcBorders>
            <w:shd w:val="clear" w:color="auto" w:fill="FFFFFF"/>
            <w:vAlign w:val="center"/>
          </w:tcPr>
          <w:p w14:paraId="6F7B2109"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1.78</w:t>
            </w:r>
          </w:p>
        </w:tc>
      </w:tr>
      <w:tr w:rsidR="009968E0" w:rsidRPr="009968E0" w14:paraId="1C29A926" w14:textId="77777777" w:rsidTr="009968E0">
        <w:trPr>
          <w:trHeight w:val="360"/>
        </w:trPr>
        <w:tc>
          <w:tcPr>
            <w:tcW w:w="0" w:type="auto"/>
            <w:gridSpan w:val="7"/>
            <w:tcBorders>
              <w:top w:val="nil"/>
              <w:left w:val="single" w:sz="12" w:space="0" w:color="000000"/>
              <w:bottom w:val="single" w:sz="4" w:space="0" w:color="000000"/>
              <w:right w:val="single" w:sz="12" w:space="0" w:color="000000"/>
            </w:tcBorders>
            <w:shd w:val="clear" w:color="auto" w:fill="FFFFFF"/>
            <w:vAlign w:val="center"/>
          </w:tcPr>
          <w:p w14:paraId="1B7615A9"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p=0.22</w:t>
            </w:r>
          </w:p>
        </w:tc>
      </w:tr>
      <w:tr w:rsidR="009968E0" w:rsidRPr="009968E0" w14:paraId="23E2BB68" w14:textId="77777777" w:rsidTr="009968E0">
        <w:trPr>
          <w:trHeight w:val="360"/>
        </w:trPr>
        <w:tc>
          <w:tcPr>
            <w:tcW w:w="0" w:type="auto"/>
            <w:vMerge w:val="restart"/>
            <w:tcBorders>
              <w:top w:val="nil"/>
              <w:left w:val="single" w:sz="12" w:space="0" w:color="000000"/>
              <w:right w:val="nil"/>
            </w:tcBorders>
            <w:shd w:val="clear" w:color="auto" w:fill="FBE4D5"/>
          </w:tcPr>
          <w:p w14:paraId="054AC57D"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Delta RBV</w:t>
            </w:r>
          </w:p>
          <w:p w14:paraId="2087061B"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xml:space="preserve"> RPSC</w:t>
            </w:r>
          </w:p>
          <w:p w14:paraId="77020E66"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w:t>
            </w:r>
          </w:p>
          <w:p w14:paraId="24EF6208"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w:t>
            </w:r>
          </w:p>
        </w:tc>
        <w:tc>
          <w:tcPr>
            <w:tcW w:w="0" w:type="auto"/>
            <w:gridSpan w:val="2"/>
            <w:tcBorders>
              <w:top w:val="nil"/>
              <w:left w:val="nil"/>
              <w:bottom w:val="single" w:sz="4" w:space="0" w:color="000000"/>
              <w:right w:val="single" w:sz="12" w:space="0" w:color="000000"/>
            </w:tcBorders>
            <w:shd w:val="clear" w:color="auto" w:fill="FFFFFF"/>
          </w:tcPr>
          <w:p w14:paraId="0E9093DE"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Mean</w:t>
            </w:r>
          </w:p>
        </w:tc>
        <w:tc>
          <w:tcPr>
            <w:tcW w:w="0" w:type="auto"/>
            <w:tcBorders>
              <w:top w:val="nil"/>
              <w:left w:val="nil"/>
              <w:bottom w:val="single" w:sz="4" w:space="0" w:color="000000"/>
              <w:right w:val="single" w:sz="4" w:space="0" w:color="000000"/>
            </w:tcBorders>
            <w:shd w:val="clear" w:color="auto" w:fill="FFFFFF"/>
            <w:vAlign w:val="center"/>
          </w:tcPr>
          <w:p w14:paraId="5B855FA6"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0.29</w:t>
            </w:r>
          </w:p>
        </w:tc>
        <w:tc>
          <w:tcPr>
            <w:tcW w:w="0" w:type="auto"/>
            <w:tcBorders>
              <w:top w:val="nil"/>
              <w:left w:val="nil"/>
              <w:bottom w:val="single" w:sz="4" w:space="0" w:color="000000"/>
              <w:right w:val="single" w:sz="4" w:space="0" w:color="000000"/>
            </w:tcBorders>
            <w:shd w:val="clear" w:color="auto" w:fill="FFFFFF"/>
            <w:vAlign w:val="center"/>
          </w:tcPr>
          <w:p w14:paraId="26B33F65"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-0.25</w:t>
            </w:r>
          </w:p>
        </w:tc>
        <w:tc>
          <w:tcPr>
            <w:tcW w:w="0" w:type="auto"/>
            <w:tcBorders>
              <w:top w:val="nil"/>
              <w:left w:val="nil"/>
              <w:bottom w:val="single" w:sz="4" w:space="0" w:color="000000"/>
              <w:right w:val="single" w:sz="8" w:space="0" w:color="000000"/>
            </w:tcBorders>
            <w:shd w:val="clear" w:color="auto" w:fill="FFFFFF"/>
            <w:vAlign w:val="center"/>
          </w:tcPr>
          <w:p w14:paraId="4593C23C"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0.14</w:t>
            </w:r>
          </w:p>
        </w:tc>
        <w:tc>
          <w:tcPr>
            <w:tcW w:w="0" w:type="auto"/>
            <w:tcBorders>
              <w:top w:val="nil"/>
              <w:left w:val="single" w:sz="8" w:space="0" w:color="000000"/>
              <w:bottom w:val="single" w:sz="4" w:space="0" w:color="000000"/>
              <w:right w:val="single" w:sz="12" w:space="0" w:color="000000"/>
            </w:tcBorders>
            <w:shd w:val="clear" w:color="auto" w:fill="FFFFFF"/>
            <w:vAlign w:val="center"/>
          </w:tcPr>
          <w:p w14:paraId="508F48A5"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0.39</w:t>
            </w:r>
          </w:p>
        </w:tc>
      </w:tr>
      <w:tr w:rsidR="009968E0" w:rsidRPr="009968E0" w14:paraId="54CB204A" w14:textId="77777777" w:rsidTr="009968E0">
        <w:trPr>
          <w:trHeight w:val="360"/>
        </w:trPr>
        <w:tc>
          <w:tcPr>
            <w:tcW w:w="0" w:type="auto"/>
            <w:vMerge/>
            <w:tcBorders>
              <w:left w:val="single" w:sz="12" w:space="0" w:color="000000"/>
              <w:right w:val="nil"/>
            </w:tcBorders>
            <w:shd w:val="clear" w:color="auto" w:fill="FBE4D5"/>
          </w:tcPr>
          <w:p w14:paraId="4C3C59F9" w14:textId="77777777" w:rsidR="009968E0" w:rsidRPr="009968E0" w:rsidRDefault="009968E0" w:rsidP="009968E0">
            <w:pPr>
              <w:rPr>
                <w:rFonts w:ascii="Calibri" w:eastAsia="Times New Roman" w:hAnsi="Calibri" w:cs="Calibri"/>
                <w:i/>
                <w:color w:val="000000"/>
                <w:sz w:val="22"/>
                <w:szCs w:val="22"/>
                <w:lang w:eastAsia="en-GB"/>
              </w:rPr>
            </w:pPr>
          </w:p>
        </w:tc>
        <w:tc>
          <w:tcPr>
            <w:tcW w:w="0" w:type="auto"/>
            <w:tcBorders>
              <w:top w:val="nil"/>
              <w:left w:val="nil"/>
              <w:bottom w:val="nil"/>
              <w:right w:val="nil"/>
            </w:tcBorders>
            <w:shd w:val="clear" w:color="auto" w:fill="FFFFFF"/>
          </w:tcPr>
          <w:p w14:paraId="42549374"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95% Confidence Interval</w:t>
            </w:r>
          </w:p>
        </w:tc>
        <w:tc>
          <w:tcPr>
            <w:tcW w:w="0" w:type="auto"/>
            <w:tcBorders>
              <w:top w:val="nil"/>
              <w:left w:val="nil"/>
              <w:bottom w:val="nil"/>
              <w:right w:val="single" w:sz="12" w:space="0" w:color="000000"/>
            </w:tcBorders>
            <w:shd w:val="clear" w:color="auto" w:fill="FFFFFF"/>
          </w:tcPr>
          <w:p w14:paraId="41A9957E"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Lower Bound</w:t>
            </w:r>
          </w:p>
        </w:tc>
        <w:tc>
          <w:tcPr>
            <w:tcW w:w="0" w:type="auto"/>
            <w:tcBorders>
              <w:top w:val="nil"/>
              <w:left w:val="nil"/>
              <w:bottom w:val="nil"/>
              <w:right w:val="single" w:sz="4" w:space="0" w:color="000000"/>
            </w:tcBorders>
            <w:shd w:val="clear" w:color="auto" w:fill="FFFFFF"/>
            <w:vAlign w:val="center"/>
          </w:tcPr>
          <w:p w14:paraId="21D8E023"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-1.04</w:t>
            </w:r>
          </w:p>
        </w:tc>
        <w:tc>
          <w:tcPr>
            <w:tcW w:w="0" w:type="auto"/>
            <w:tcBorders>
              <w:top w:val="nil"/>
              <w:left w:val="nil"/>
              <w:bottom w:val="nil"/>
              <w:right w:val="single" w:sz="4" w:space="0" w:color="000000"/>
            </w:tcBorders>
            <w:shd w:val="clear" w:color="auto" w:fill="FFFFFF"/>
            <w:vAlign w:val="center"/>
          </w:tcPr>
          <w:p w14:paraId="181B5EA2"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-1.42</w:t>
            </w:r>
          </w:p>
        </w:tc>
        <w:tc>
          <w:tcPr>
            <w:tcW w:w="0" w:type="auto"/>
            <w:tcBorders>
              <w:top w:val="nil"/>
              <w:left w:val="nil"/>
              <w:bottom w:val="nil"/>
              <w:right w:val="single" w:sz="8" w:space="0" w:color="000000"/>
            </w:tcBorders>
            <w:shd w:val="clear" w:color="auto" w:fill="FFFFFF"/>
            <w:vAlign w:val="center"/>
          </w:tcPr>
          <w:p w14:paraId="6D0A1E01"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-1.53</w:t>
            </w:r>
          </w:p>
        </w:tc>
        <w:tc>
          <w:tcPr>
            <w:tcW w:w="0" w:type="auto"/>
            <w:tcBorders>
              <w:top w:val="nil"/>
              <w:left w:val="single" w:sz="8" w:space="0" w:color="000000"/>
              <w:bottom w:val="nil"/>
              <w:right w:val="single" w:sz="12" w:space="0" w:color="000000"/>
            </w:tcBorders>
            <w:shd w:val="clear" w:color="auto" w:fill="FFFFFF"/>
            <w:vAlign w:val="center"/>
          </w:tcPr>
          <w:p w14:paraId="382DEC33"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-0.95</w:t>
            </w:r>
          </w:p>
        </w:tc>
      </w:tr>
      <w:tr w:rsidR="009968E0" w:rsidRPr="009968E0" w14:paraId="497F67E6" w14:textId="77777777" w:rsidTr="009968E0">
        <w:trPr>
          <w:trHeight w:val="360"/>
        </w:trPr>
        <w:tc>
          <w:tcPr>
            <w:tcW w:w="0" w:type="auto"/>
            <w:vMerge/>
            <w:tcBorders>
              <w:left w:val="single" w:sz="12" w:space="0" w:color="000000"/>
              <w:bottom w:val="nil"/>
              <w:right w:val="nil"/>
            </w:tcBorders>
            <w:shd w:val="clear" w:color="auto" w:fill="FBE4D5"/>
          </w:tcPr>
          <w:p w14:paraId="0FA2A6D4" w14:textId="77777777" w:rsidR="009968E0" w:rsidRPr="009968E0" w:rsidRDefault="009968E0" w:rsidP="009968E0">
            <w:pPr>
              <w:rPr>
                <w:rFonts w:ascii="Calibri" w:eastAsia="Times New Roman" w:hAnsi="Calibri" w:cs="Calibri"/>
                <w:i/>
                <w:color w:val="000000"/>
                <w:sz w:val="22"/>
                <w:szCs w:val="22"/>
                <w:lang w:eastAsia="en-GB"/>
              </w:rPr>
            </w:pPr>
          </w:p>
        </w:tc>
        <w:tc>
          <w:tcPr>
            <w:tcW w:w="0" w:type="auto"/>
            <w:tcBorders>
              <w:top w:val="nil"/>
              <w:left w:val="nil"/>
              <w:bottom w:val="nil"/>
              <w:right w:val="nil"/>
            </w:tcBorders>
            <w:shd w:val="clear" w:color="auto" w:fill="FFFFFF"/>
          </w:tcPr>
          <w:p w14:paraId="6DE6D4BA"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w:t>
            </w:r>
          </w:p>
        </w:tc>
        <w:tc>
          <w:tcPr>
            <w:tcW w:w="0" w:type="auto"/>
            <w:tcBorders>
              <w:top w:val="nil"/>
              <w:left w:val="nil"/>
              <w:bottom w:val="nil"/>
              <w:right w:val="single" w:sz="12" w:space="0" w:color="000000"/>
            </w:tcBorders>
            <w:shd w:val="clear" w:color="auto" w:fill="FFFFFF"/>
          </w:tcPr>
          <w:p w14:paraId="4B7BC8DF"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Upper Bound</w:t>
            </w:r>
          </w:p>
        </w:tc>
        <w:tc>
          <w:tcPr>
            <w:tcW w:w="0" w:type="auto"/>
            <w:tcBorders>
              <w:top w:val="nil"/>
              <w:left w:val="nil"/>
              <w:bottom w:val="nil"/>
              <w:right w:val="single" w:sz="4" w:space="0" w:color="000000"/>
            </w:tcBorders>
            <w:shd w:val="clear" w:color="auto" w:fill="FFFFFF"/>
            <w:vAlign w:val="center"/>
          </w:tcPr>
          <w:p w14:paraId="66D60307"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1.62</w:t>
            </w:r>
          </w:p>
        </w:tc>
        <w:tc>
          <w:tcPr>
            <w:tcW w:w="0" w:type="auto"/>
            <w:tcBorders>
              <w:top w:val="nil"/>
              <w:left w:val="nil"/>
              <w:bottom w:val="nil"/>
              <w:right w:val="single" w:sz="4" w:space="0" w:color="000000"/>
            </w:tcBorders>
            <w:shd w:val="clear" w:color="auto" w:fill="FFFFFF"/>
            <w:vAlign w:val="center"/>
          </w:tcPr>
          <w:p w14:paraId="3B3F1296"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0.92</w:t>
            </w:r>
          </w:p>
        </w:tc>
        <w:tc>
          <w:tcPr>
            <w:tcW w:w="0" w:type="auto"/>
            <w:tcBorders>
              <w:top w:val="nil"/>
              <w:left w:val="nil"/>
              <w:bottom w:val="nil"/>
              <w:right w:val="single" w:sz="8" w:space="0" w:color="000000"/>
            </w:tcBorders>
            <w:shd w:val="clear" w:color="auto" w:fill="FFFFFF"/>
            <w:vAlign w:val="center"/>
          </w:tcPr>
          <w:p w14:paraId="7DB8E5AC"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1.80</w:t>
            </w:r>
          </w:p>
        </w:tc>
        <w:tc>
          <w:tcPr>
            <w:tcW w:w="0" w:type="auto"/>
            <w:tcBorders>
              <w:top w:val="nil"/>
              <w:left w:val="single" w:sz="8" w:space="0" w:color="000000"/>
              <w:bottom w:val="nil"/>
              <w:right w:val="single" w:sz="12" w:space="0" w:color="000000"/>
            </w:tcBorders>
            <w:shd w:val="clear" w:color="auto" w:fill="FFFFFF"/>
            <w:vAlign w:val="center"/>
          </w:tcPr>
          <w:p w14:paraId="394FE7E1"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1.72</w:t>
            </w:r>
          </w:p>
        </w:tc>
      </w:tr>
      <w:tr w:rsidR="009968E0" w:rsidRPr="009968E0" w14:paraId="1C687742" w14:textId="77777777" w:rsidTr="009968E0">
        <w:trPr>
          <w:trHeight w:val="360"/>
        </w:trPr>
        <w:tc>
          <w:tcPr>
            <w:tcW w:w="0" w:type="auto"/>
            <w:gridSpan w:val="7"/>
            <w:tcBorders>
              <w:top w:val="single" w:sz="4" w:space="0" w:color="000000"/>
              <w:left w:val="single" w:sz="12" w:space="0" w:color="000000"/>
              <w:bottom w:val="single" w:sz="12" w:space="0" w:color="000000"/>
              <w:right w:val="single" w:sz="12" w:space="0" w:color="000000"/>
            </w:tcBorders>
            <w:shd w:val="clear" w:color="auto" w:fill="FFFFFF"/>
            <w:vAlign w:val="center"/>
          </w:tcPr>
          <w:p w14:paraId="37C1AF22"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p=0.01*</w:t>
            </w:r>
          </w:p>
        </w:tc>
      </w:tr>
    </w:tbl>
    <w:p w14:paraId="6EB3D286" w14:textId="77777777" w:rsidR="009968E0" w:rsidRPr="009968E0" w:rsidRDefault="009968E0" w:rsidP="009968E0">
      <w:pPr>
        <w:rPr>
          <w:rFonts w:ascii="Times New Roman" w:eastAsia="Times New Roman" w:hAnsi="Times New Roman" w:cs="Arial"/>
          <w:i/>
          <w:color w:val="808080"/>
          <w:sz w:val="21"/>
          <w:lang w:eastAsia="en-GB"/>
        </w:rPr>
      </w:pPr>
      <w:r w:rsidRPr="009968E0">
        <w:rPr>
          <w:rFonts w:ascii="Times New Roman" w:eastAsia="Times New Roman" w:hAnsi="Times New Roman" w:cs="Arial"/>
          <w:i/>
          <w:color w:val="808080"/>
          <w:sz w:val="21"/>
          <w:lang w:eastAsia="en-GB"/>
        </w:rPr>
        <w:lastRenderedPageBreak/>
        <w:t>*significance p&lt;0.05, no post Hoc significance. Model contains the following factors group, LIKERT and group vs LIKERT,</w:t>
      </w:r>
      <w:r w:rsidRPr="009968E0">
        <w:rPr>
          <w:rFonts w:ascii="Times New Roman" w:eastAsia="Times New Roman" w:hAnsi="Times New Roman" w:cs="Arial"/>
          <w:i/>
          <w:iCs/>
          <w:color w:val="808080"/>
          <w:sz w:val="21"/>
          <w:szCs w:val="21"/>
          <w:lang w:eastAsia="en-GB"/>
        </w:rPr>
        <w:t xml:space="preserve"> Covariates appearing in the model are evaluated at the following values: </w:t>
      </w:r>
      <w:proofErr w:type="spellStart"/>
      <w:r w:rsidRPr="009968E0">
        <w:rPr>
          <w:rFonts w:ascii="Times New Roman" w:eastAsia="Times New Roman" w:hAnsi="Times New Roman" w:cs="Arial"/>
          <w:i/>
          <w:iCs/>
          <w:color w:val="808080"/>
          <w:sz w:val="21"/>
          <w:szCs w:val="21"/>
          <w:lang w:eastAsia="en-GB"/>
        </w:rPr>
        <w:t>likertscale_gad</w:t>
      </w:r>
      <w:proofErr w:type="spellEnd"/>
      <w:r w:rsidRPr="009968E0">
        <w:rPr>
          <w:rFonts w:ascii="Times New Roman" w:eastAsia="Times New Roman" w:hAnsi="Times New Roman" w:cs="Arial"/>
          <w:i/>
          <w:iCs/>
          <w:color w:val="808080"/>
          <w:sz w:val="21"/>
          <w:szCs w:val="21"/>
          <w:lang w:eastAsia="en-GB"/>
        </w:rPr>
        <w:t xml:space="preserve"> = 7.16.</w:t>
      </w:r>
    </w:p>
    <w:p w14:paraId="03A05DB0" w14:textId="77777777" w:rsidR="009968E0" w:rsidRPr="009968E0" w:rsidRDefault="009968E0" w:rsidP="009968E0">
      <w:pPr>
        <w:rPr>
          <w:rFonts w:ascii="Times New Roman" w:eastAsia="Times New Roman" w:hAnsi="Times New Roman" w:cs="Times New Roman"/>
          <w:lang w:eastAsia="en-GB"/>
        </w:rPr>
      </w:pPr>
    </w:p>
    <w:tbl>
      <w:tblPr>
        <w:tblStyle w:val="GridTable2-Accent63"/>
        <w:tblW w:w="0" w:type="auto"/>
        <w:tblLook w:val="0400" w:firstRow="0" w:lastRow="0" w:firstColumn="0" w:lastColumn="0" w:noHBand="0" w:noVBand="1"/>
      </w:tblPr>
      <w:tblGrid>
        <w:gridCol w:w="1190"/>
        <w:gridCol w:w="297"/>
        <w:gridCol w:w="1536"/>
        <w:gridCol w:w="1158"/>
        <w:gridCol w:w="1556"/>
        <w:gridCol w:w="811"/>
        <w:gridCol w:w="959"/>
        <w:gridCol w:w="956"/>
      </w:tblGrid>
      <w:tr w:rsidR="009968E0" w:rsidRPr="009968E0" w14:paraId="650627F0" w14:textId="77777777" w:rsidTr="009968E0">
        <w:trPr>
          <w:cnfStyle w:val="000000100000" w:firstRow="0" w:lastRow="0" w:firstColumn="0" w:lastColumn="0" w:oddVBand="0" w:evenVBand="0" w:oddHBand="1" w:evenHBand="0" w:firstRowFirstColumn="0" w:firstRowLastColumn="0" w:lastRowFirstColumn="0" w:lastRowLastColumn="0"/>
          <w:trHeight w:val="540"/>
        </w:trPr>
        <w:tc>
          <w:tcPr>
            <w:tcW w:w="0" w:type="auto"/>
            <w:gridSpan w:val="8"/>
            <w:tcBorders>
              <w:top w:val="nil"/>
            </w:tcBorders>
            <w:shd w:val="clear" w:color="auto" w:fill="FFFFFF"/>
          </w:tcPr>
          <w:p w14:paraId="3A36D7EB" w14:textId="762111C8" w:rsidR="009968E0" w:rsidRPr="009968E0" w:rsidRDefault="009968E0" w:rsidP="006E28EB">
            <w:pPr>
              <w:pStyle w:val="Quote"/>
            </w:pPr>
            <w:bookmarkStart w:id="647" w:name="_Toc48406154"/>
            <w:bookmarkStart w:id="648" w:name="_Toc49273365"/>
            <w:bookmarkStart w:id="649" w:name="_Toc64724118"/>
            <w:r w:rsidRPr="009968E0">
              <w:t>Table D.10 Delta RBV:  Linear regression of LIKERT for GROUP at POWM</w:t>
            </w:r>
            <w:bookmarkEnd w:id="647"/>
            <w:bookmarkEnd w:id="648"/>
            <w:bookmarkEnd w:id="649"/>
          </w:p>
        </w:tc>
      </w:tr>
      <w:tr w:rsidR="009968E0" w:rsidRPr="009968E0" w14:paraId="1598F739" w14:textId="77777777" w:rsidTr="009968E0">
        <w:trPr>
          <w:trHeight w:val="680"/>
        </w:trPr>
        <w:tc>
          <w:tcPr>
            <w:tcW w:w="0" w:type="auto"/>
            <w:gridSpan w:val="3"/>
            <w:vMerge w:val="restart"/>
            <w:tcBorders>
              <w:top w:val="single" w:sz="4" w:space="0" w:color="000000"/>
            </w:tcBorders>
            <w:shd w:val="clear" w:color="auto" w:fill="FDE9D9"/>
          </w:tcPr>
          <w:p w14:paraId="38370CA9"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GROUP</w:t>
            </w:r>
          </w:p>
        </w:tc>
        <w:tc>
          <w:tcPr>
            <w:tcW w:w="0" w:type="auto"/>
            <w:gridSpan w:val="2"/>
            <w:tcBorders>
              <w:top w:val="single" w:sz="4" w:space="0" w:color="000000"/>
            </w:tcBorders>
            <w:shd w:val="clear" w:color="auto" w:fill="FDE9D9"/>
          </w:tcPr>
          <w:p w14:paraId="32ED8D81"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Unstandardized Coefficients</w:t>
            </w:r>
          </w:p>
        </w:tc>
        <w:tc>
          <w:tcPr>
            <w:tcW w:w="0" w:type="auto"/>
            <w:vMerge w:val="restart"/>
            <w:tcBorders>
              <w:top w:val="single" w:sz="4" w:space="0" w:color="000000"/>
            </w:tcBorders>
            <w:shd w:val="clear" w:color="auto" w:fill="FDE9D9"/>
          </w:tcPr>
          <w:p w14:paraId="5E5A6D18" w14:textId="77777777" w:rsidR="009968E0" w:rsidRPr="009968E0" w:rsidRDefault="009968E0" w:rsidP="009968E0">
            <w:pPr>
              <w:jc w:val="center"/>
              <w:rPr>
                <w:rFonts w:ascii="Calibri" w:eastAsia="Times New Roman" w:hAnsi="Calibri" w:cs="Calibri"/>
                <w:i/>
                <w:iCs/>
                <w:color w:val="000000"/>
                <w:sz w:val="22"/>
                <w:szCs w:val="22"/>
                <w:vertAlign w:val="superscript"/>
                <w:lang w:eastAsia="en-GB"/>
              </w:rPr>
            </w:pPr>
            <w:r w:rsidRPr="009968E0">
              <w:rPr>
                <w:rFonts w:ascii="Calibri" w:eastAsia="Times New Roman" w:hAnsi="Calibri" w:cs="Calibri"/>
                <w:i/>
                <w:iCs/>
                <w:color w:val="000000"/>
                <w:sz w:val="22"/>
                <w:szCs w:val="22"/>
                <w:lang w:eastAsia="en-GB"/>
              </w:rPr>
              <w:t>R</w:t>
            </w:r>
            <w:r w:rsidRPr="009968E0">
              <w:rPr>
                <w:rFonts w:ascii="Calibri" w:eastAsia="Times New Roman" w:hAnsi="Calibri" w:cs="Calibri"/>
                <w:i/>
                <w:iCs/>
                <w:color w:val="000000"/>
                <w:sz w:val="22"/>
                <w:szCs w:val="22"/>
                <w:vertAlign w:val="superscript"/>
                <w:lang w:eastAsia="en-GB"/>
              </w:rPr>
              <w:t>2</w:t>
            </w:r>
          </w:p>
          <w:p w14:paraId="4E182CC0" w14:textId="77777777" w:rsidR="009968E0" w:rsidRPr="009968E0" w:rsidRDefault="009968E0" w:rsidP="009968E0">
            <w:pPr>
              <w:jc w:val="center"/>
              <w:rPr>
                <w:rFonts w:ascii="Calibri" w:eastAsia="Times New Roman" w:hAnsi="Calibri" w:cs="Calibri"/>
                <w:i/>
                <w:iCs/>
                <w:color w:val="000000"/>
                <w:sz w:val="22"/>
                <w:szCs w:val="22"/>
                <w:vertAlign w:val="superscript"/>
                <w:lang w:eastAsia="en-GB"/>
              </w:rPr>
            </w:pPr>
          </w:p>
        </w:tc>
        <w:tc>
          <w:tcPr>
            <w:tcW w:w="0" w:type="auto"/>
            <w:vMerge w:val="restart"/>
            <w:tcBorders>
              <w:top w:val="single" w:sz="4" w:space="0" w:color="000000"/>
            </w:tcBorders>
            <w:shd w:val="clear" w:color="auto" w:fill="FDE9D9"/>
          </w:tcPr>
          <w:p w14:paraId="1079A555"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F</w:t>
            </w:r>
          </w:p>
        </w:tc>
        <w:tc>
          <w:tcPr>
            <w:tcW w:w="0" w:type="auto"/>
            <w:vMerge w:val="restart"/>
            <w:tcBorders>
              <w:top w:val="single" w:sz="4" w:space="0" w:color="000000"/>
            </w:tcBorders>
            <w:shd w:val="clear" w:color="auto" w:fill="FDE9D9"/>
          </w:tcPr>
          <w:p w14:paraId="25C870B8"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Sig.</w:t>
            </w:r>
          </w:p>
        </w:tc>
      </w:tr>
      <w:tr w:rsidR="009968E0" w:rsidRPr="009968E0" w14:paraId="233BCB36"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0" w:type="auto"/>
            <w:gridSpan w:val="3"/>
            <w:vMerge/>
            <w:tcBorders>
              <w:bottom w:val="single" w:sz="4" w:space="0" w:color="000000"/>
            </w:tcBorders>
          </w:tcPr>
          <w:p w14:paraId="2850F7E9"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0" w:type="auto"/>
            <w:tcBorders>
              <w:bottom w:val="single" w:sz="4" w:space="0" w:color="000000"/>
            </w:tcBorders>
          </w:tcPr>
          <w:p w14:paraId="454373F2"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B</w:t>
            </w:r>
          </w:p>
        </w:tc>
        <w:tc>
          <w:tcPr>
            <w:tcW w:w="0" w:type="auto"/>
            <w:tcBorders>
              <w:bottom w:val="single" w:sz="4" w:space="0" w:color="000000"/>
            </w:tcBorders>
          </w:tcPr>
          <w:p w14:paraId="47C3DDA2"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Std. Error</w:t>
            </w:r>
          </w:p>
        </w:tc>
        <w:tc>
          <w:tcPr>
            <w:tcW w:w="0" w:type="auto"/>
            <w:vMerge/>
            <w:tcBorders>
              <w:bottom w:val="single" w:sz="4" w:space="0" w:color="000000"/>
            </w:tcBorders>
          </w:tcPr>
          <w:p w14:paraId="401A7E12"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0" w:type="auto"/>
            <w:vMerge/>
            <w:tcBorders>
              <w:bottom w:val="single" w:sz="4" w:space="0" w:color="000000"/>
            </w:tcBorders>
          </w:tcPr>
          <w:p w14:paraId="536359CC"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0" w:type="auto"/>
            <w:vMerge/>
            <w:tcBorders>
              <w:bottom w:val="single" w:sz="4" w:space="0" w:color="000000"/>
            </w:tcBorders>
          </w:tcPr>
          <w:p w14:paraId="2578B81C"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r>
      <w:tr w:rsidR="009968E0" w:rsidRPr="009968E0" w14:paraId="0DF0F0A7" w14:textId="77777777" w:rsidTr="009968E0">
        <w:trPr>
          <w:trHeight w:val="360"/>
        </w:trPr>
        <w:tc>
          <w:tcPr>
            <w:tcW w:w="0" w:type="auto"/>
            <w:vMerge w:val="restart"/>
            <w:tcBorders>
              <w:top w:val="single" w:sz="4" w:space="0" w:color="000000"/>
            </w:tcBorders>
            <w:shd w:val="clear" w:color="auto" w:fill="FFFFFF"/>
          </w:tcPr>
          <w:p w14:paraId="47EFA392"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P-DPN</w:t>
            </w:r>
          </w:p>
        </w:tc>
        <w:tc>
          <w:tcPr>
            <w:tcW w:w="0" w:type="auto"/>
            <w:vMerge w:val="restart"/>
            <w:tcBorders>
              <w:top w:val="single" w:sz="4" w:space="0" w:color="000000"/>
            </w:tcBorders>
          </w:tcPr>
          <w:p w14:paraId="4F62E06B" w14:textId="77777777" w:rsidR="009968E0" w:rsidRPr="009968E0" w:rsidRDefault="009968E0" w:rsidP="009968E0">
            <w:pPr>
              <w:rPr>
                <w:rFonts w:ascii="Calibri" w:eastAsia="Times New Roman" w:hAnsi="Calibri" w:cs="Calibri"/>
                <w:i/>
                <w:iCs/>
                <w:color w:val="000000"/>
                <w:sz w:val="22"/>
                <w:szCs w:val="22"/>
                <w:lang w:eastAsia="en-GB"/>
              </w:rPr>
            </w:pPr>
          </w:p>
        </w:tc>
        <w:tc>
          <w:tcPr>
            <w:tcW w:w="0" w:type="auto"/>
            <w:tcBorders>
              <w:top w:val="single" w:sz="4" w:space="0" w:color="000000"/>
            </w:tcBorders>
            <w:shd w:val="clear" w:color="auto" w:fill="FFFFFF"/>
          </w:tcPr>
          <w:p w14:paraId="1F48548C"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(Constant)</w:t>
            </w:r>
          </w:p>
        </w:tc>
        <w:tc>
          <w:tcPr>
            <w:tcW w:w="0" w:type="auto"/>
            <w:tcBorders>
              <w:top w:val="single" w:sz="4" w:space="0" w:color="000000"/>
            </w:tcBorders>
            <w:shd w:val="clear" w:color="auto" w:fill="FFFFFF"/>
          </w:tcPr>
          <w:p w14:paraId="34E03303"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4.627</w:t>
            </w:r>
          </w:p>
        </w:tc>
        <w:tc>
          <w:tcPr>
            <w:tcW w:w="0" w:type="auto"/>
            <w:tcBorders>
              <w:top w:val="single" w:sz="4" w:space="0" w:color="000000"/>
            </w:tcBorders>
            <w:shd w:val="clear" w:color="auto" w:fill="FFFFFF"/>
          </w:tcPr>
          <w:p w14:paraId="1811BDC1"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1.859</w:t>
            </w:r>
          </w:p>
        </w:tc>
        <w:tc>
          <w:tcPr>
            <w:tcW w:w="0" w:type="auto"/>
            <w:tcBorders>
              <w:top w:val="single" w:sz="4" w:space="0" w:color="000000"/>
            </w:tcBorders>
            <w:shd w:val="clear" w:color="auto" w:fill="FFFFFF"/>
          </w:tcPr>
          <w:p w14:paraId="7BA94969"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 </w:t>
            </w:r>
          </w:p>
        </w:tc>
        <w:tc>
          <w:tcPr>
            <w:tcW w:w="0" w:type="auto"/>
            <w:tcBorders>
              <w:top w:val="single" w:sz="4" w:space="0" w:color="000000"/>
            </w:tcBorders>
            <w:shd w:val="clear" w:color="auto" w:fill="FFFFFF"/>
          </w:tcPr>
          <w:p w14:paraId="2872391B" w14:textId="77777777" w:rsidR="009968E0" w:rsidRPr="009968E0" w:rsidRDefault="009968E0" w:rsidP="009968E0">
            <w:pPr>
              <w:jc w:val="center"/>
              <w:rPr>
                <w:rFonts w:ascii="Calibri" w:eastAsia="Times New Roman" w:hAnsi="Calibri" w:cs="Calibri"/>
                <w:i/>
                <w:iCs/>
                <w:color w:val="000000"/>
                <w:sz w:val="22"/>
                <w:szCs w:val="22"/>
                <w:lang w:eastAsia="en-GB"/>
              </w:rPr>
            </w:pPr>
          </w:p>
        </w:tc>
        <w:tc>
          <w:tcPr>
            <w:tcW w:w="0" w:type="auto"/>
            <w:tcBorders>
              <w:top w:val="single" w:sz="4" w:space="0" w:color="000000"/>
            </w:tcBorders>
            <w:shd w:val="clear" w:color="auto" w:fill="FFFFFF"/>
          </w:tcPr>
          <w:p w14:paraId="4105934E"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.024</w:t>
            </w:r>
          </w:p>
        </w:tc>
      </w:tr>
      <w:tr w:rsidR="009968E0" w:rsidRPr="009968E0" w14:paraId="0179656E" w14:textId="77777777" w:rsidTr="009968E0">
        <w:trPr>
          <w:cnfStyle w:val="000000100000" w:firstRow="0" w:lastRow="0" w:firstColumn="0" w:lastColumn="0" w:oddVBand="0" w:evenVBand="0" w:oddHBand="1" w:evenHBand="0" w:firstRowFirstColumn="0" w:firstRowLastColumn="0" w:lastRowFirstColumn="0" w:lastRowLastColumn="0"/>
          <w:trHeight w:val="680"/>
        </w:trPr>
        <w:tc>
          <w:tcPr>
            <w:tcW w:w="0" w:type="auto"/>
            <w:vMerge/>
            <w:shd w:val="clear" w:color="auto" w:fill="FFFFFF"/>
          </w:tcPr>
          <w:p w14:paraId="6F4CFDEC"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0" w:type="auto"/>
            <w:vMerge/>
          </w:tcPr>
          <w:p w14:paraId="77B63CF8"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0" w:type="auto"/>
          </w:tcPr>
          <w:p w14:paraId="254DE836"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LIKERT</w:t>
            </w:r>
          </w:p>
        </w:tc>
        <w:tc>
          <w:tcPr>
            <w:tcW w:w="0" w:type="auto"/>
          </w:tcPr>
          <w:p w14:paraId="38D22BAC"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-.595</w:t>
            </w:r>
          </w:p>
        </w:tc>
        <w:tc>
          <w:tcPr>
            <w:tcW w:w="0" w:type="auto"/>
          </w:tcPr>
          <w:p w14:paraId="71E226F8"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.248</w:t>
            </w:r>
          </w:p>
        </w:tc>
        <w:tc>
          <w:tcPr>
            <w:tcW w:w="0" w:type="auto"/>
          </w:tcPr>
          <w:p w14:paraId="0BFDEEDC"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.264</w:t>
            </w:r>
          </w:p>
        </w:tc>
        <w:tc>
          <w:tcPr>
            <w:tcW w:w="0" w:type="auto"/>
          </w:tcPr>
          <w:p w14:paraId="27C11DA7"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5.744</w:t>
            </w:r>
          </w:p>
        </w:tc>
        <w:tc>
          <w:tcPr>
            <w:tcW w:w="0" w:type="auto"/>
          </w:tcPr>
          <w:p w14:paraId="369B5E3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.029*</w:t>
            </w:r>
          </w:p>
        </w:tc>
      </w:tr>
      <w:tr w:rsidR="009968E0" w:rsidRPr="009968E0" w14:paraId="3333A7C3" w14:textId="77777777" w:rsidTr="009968E0">
        <w:trPr>
          <w:trHeight w:val="360"/>
        </w:trPr>
        <w:tc>
          <w:tcPr>
            <w:tcW w:w="0" w:type="auto"/>
            <w:vMerge w:val="restart"/>
            <w:shd w:val="clear" w:color="auto" w:fill="FFFFFF"/>
          </w:tcPr>
          <w:p w14:paraId="2934E875"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DPN</w:t>
            </w:r>
          </w:p>
        </w:tc>
        <w:tc>
          <w:tcPr>
            <w:tcW w:w="0" w:type="auto"/>
            <w:vMerge w:val="restart"/>
          </w:tcPr>
          <w:p w14:paraId="6DC68C85" w14:textId="77777777" w:rsidR="009968E0" w:rsidRPr="009968E0" w:rsidRDefault="009968E0" w:rsidP="009968E0">
            <w:pPr>
              <w:rPr>
                <w:rFonts w:ascii="Calibri" w:eastAsia="Times New Roman" w:hAnsi="Calibri" w:cs="Calibri"/>
                <w:i/>
                <w:iCs/>
                <w:color w:val="000000"/>
                <w:sz w:val="22"/>
                <w:szCs w:val="22"/>
                <w:lang w:eastAsia="en-GB"/>
              </w:rPr>
            </w:pPr>
          </w:p>
        </w:tc>
        <w:tc>
          <w:tcPr>
            <w:tcW w:w="0" w:type="auto"/>
            <w:shd w:val="clear" w:color="auto" w:fill="FFFFFF"/>
          </w:tcPr>
          <w:p w14:paraId="7509C29C"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(Constant)</w:t>
            </w:r>
          </w:p>
        </w:tc>
        <w:tc>
          <w:tcPr>
            <w:tcW w:w="0" w:type="auto"/>
            <w:shd w:val="clear" w:color="auto" w:fill="FFFFFF"/>
          </w:tcPr>
          <w:p w14:paraId="127BDFAC"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-4.855</w:t>
            </w:r>
          </w:p>
        </w:tc>
        <w:tc>
          <w:tcPr>
            <w:tcW w:w="0" w:type="auto"/>
            <w:shd w:val="clear" w:color="auto" w:fill="FFFFFF"/>
          </w:tcPr>
          <w:p w14:paraId="35408CD9"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2.018</w:t>
            </w:r>
          </w:p>
        </w:tc>
        <w:tc>
          <w:tcPr>
            <w:tcW w:w="0" w:type="auto"/>
            <w:shd w:val="clear" w:color="auto" w:fill="FFFFFF"/>
          </w:tcPr>
          <w:p w14:paraId="08681FA0" w14:textId="77777777" w:rsidR="009968E0" w:rsidRPr="009968E0" w:rsidRDefault="009968E0" w:rsidP="009968E0">
            <w:pPr>
              <w:jc w:val="center"/>
              <w:rPr>
                <w:rFonts w:ascii="Calibri" w:eastAsia="Times New Roman" w:hAnsi="Calibri" w:cs="Calibri"/>
                <w:i/>
                <w:iCs/>
                <w:color w:val="000000"/>
                <w:sz w:val="22"/>
                <w:szCs w:val="22"/>
                <w:lang w:eastAsia="en-GB"/>
              </w:rPr>
            </w:pPr>
          </w:p>
        </w:tc>
        <w:tc>
          <w:tcPr>
            <w:tcW w:w="0" w:type="auto"/>
            <w:shd w:val="clear" w:color="auto" w:fill="FFFFFF"/>
          </w:tcPr>
          <w:p w14:paraId="1D91F8D8" w14:textId="77777777" w:rsidR="009968E0" w:rsidRPr="009968E0" w:rsidRDefault="009968E0" w:rsidP="009968E0">
            <w:pPr>
              <w:jc w:val="center"/>
              <w:rPr>
                <w:rFonts w:ascii="Calibri" w:eastAsia="Times New Roman" w:hAnsi="Calibri" w:cs="Calibri"/>
                <w:i/>
                <w:iCs/>
                <w:color w:val="000000"/>
                <w:sz w:val="22"/>
                <w:szCs w:val="22"/>
                <w:lang w:eastAsia="en-GB"/>
              </w:rPr>
            </w:pPr>
          </w:p>
        </w:tc>
        <w:tc>
          <w:tcPr>
            <w:tcW w:w="0" w:type="auto"/>
            <w:shd w:val="clear" w:color="auto" w:fill="FFFFFF"/>
          </w:tcPr>
          <w:p w14:paraId="04044765"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.025</w:t>
            </w:r>
          </w:p>
        </w:tc>
      </w:tr>
      <w:tr w:rsidR="009968E0" w:rsidRPr="009968E0" w14:paraId="09ACD883" w14:textId="77777777" w:rsidTr="009968E0">
        <w:trPr>
          <w:cnfStyle w:val="000000100000" w:firstRow="0" w:lastRow="0" w:firstColumn="0" w:lastColumn="0" w:oddVBand="0" w:evenVBand="0" w:oddHBand="1" w:evenHBand="0" w:firstRowFirstColumn="0" w:firstRowLastColumn="0" w:lastRowFirstColumn="0" w:lastRowLastColumn="0"/>
          <w:trHeight w:val="680"/>
        </w:trPr>
        <w:tc>
          <w:tcPr>
            <w:tcW w:w="0" w:type="auto"/>
            <w:vMerge/>
            <w:shd w:val="clear" w:color="auto" w:fill="FFFFFF"/>
          </w:tcPr>
          <w:p w14:paraId="5FB7B4E9"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0" w:type="auto"/>
            <w:vMerge/>
          </w:tcPr>
          <w:p w14:paraId="25A43D04"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0" w:type="auto"/>
          </w:tcPr>
          <w:p w14:paraId="28C58B49"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LIKERT</w:t>
            </w:r>
          </w:p>
        </w:tc>
        <w:tc>
          <w:tcPr>
            <w:tcW w:w="0" w:type="auto"/>
          </w:tcPr>
          <w:p w14:paraId="3D7D3846"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.578</w:t>
            </w:r>
          </w:p>
        </w:tc>
        <w:tc>
          <w:tcPr>
            <w:tcW w:w="0" w:type="auto"/>
          </w:tcPr>
          <w:p w14:paraId="07E4BD95"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.278</w:t>
            </w:r>
          </w:p>
        </w:tc>
        <w:tc>
          <w:tcPr>
            <w:tcW w:w="0" w:type="auto"/>
          </w:tcPr>
          <w:p w14:paraId="6D49C309"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.171</w:t>
            </w:r>
          </w:p>
        </w:tc>
        <w:tc>
          <w:tcPr>
            <w:tcW w:w="0" w:type="auto"/>
          </w:tcPr>
          <w:p w14:paraId="41CC1C2B"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4.335</w:t>
            </w:r>
          </w:p>
        </w:tc>
        <w:tc>
          <w:tcPr>
            <w:tcW w:w="0" w:type="auto"/>
          </w:tcPr>
          <w:p w14:paraId="4E6166A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.050</w:t>
            </w:r>
          </w:p>
        </w:tc>
      </w:tr>
      <w:tr w:rsidR="009968E0" w:rsidRPr="009968E0" w14:paraId="02246B03" w14:textId="77777777" w:rsidTr="009968E0">
        <w:trPr>
          <w:trHeight w:val="360"/>
        </w:trPr>
        <w:tc>
          <w:tcPr>
            <w:tcW w:w="0" w:type="auto"/>
            <w:vMerge w:val="restart"/>
            <w:shd w:val="clear" w:color="auto" w:fill="FFFFFF"/>
          </w:tcPr>
          <w:p w14:paraId="46FACF03"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Arial" w:hAnsi="Calibri" w:cs="Calibri"/>
                <w:i/>
                <w:iCs/>
                <w:color w:val="000000"/>
                <w:sz w:val="22"/>
                <w:szCs w:val="22"/>
                <w:lang w:eastAsia="en-GB"/>
              </w:rPr>
              <w:t>DM-NN</w:t>
            </w:r>
          </w:p>
        </w:tc>
        <w:tc>
          <w:tcPr>
            <w:tcW w:w="0" w:type="auto"/>
            <w:vMerge w:val="restart"/>
          </w:tcPr>
          <w:p w14:paraId="1EE4937D" w14:textId="77777777" w:rsidR="009968E0" w:rsidRPr="009968E0" w:rsidRDefault="009968E0" w:rsidP="009968E0">
            <w:pPr>
              <w:rPr>
                <w:rFonts w:ascii="Calibri" w:eastAsia="Times New Roman" w:hAnsi="Calibri" w:cs="Calibri"/>
                <w:i/>
                <w:iCs/>
                <w:color w:val="000000"/>
                <w:sz w:val="22"/>
                <w:szCs w:val="22"/>
                <w:lang w:eastAsia="en-GB"/>
              </w:rPr>
            </w:pPr>
          </w:p>
        </w:tc>
        <w:tc>
          <w:tcPr>
            <w:tcW w:w="0" w:type="auto"/>
            <w:shd w:val="clear" w:color="auto" w:fill="FFFFFF"/>
          </w:tcPr>
          <w:p w14:paraId="41FADD61"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(Constant)</w:t>
            </w:r>
          </w:p>
        </w:tc>
        <w:tc>
          <w:tcPr>
            <w:tcW w:w="0" w:type="auto"/>
            <w:shd w:val="clear" w:color="auto" w:fill="FFFFFF"/>
          </w:tcPr>
          <w:p w14:paraId="500BAA34"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1.525</w:t>
            </w:r>
          </w:p>
        </w:tc>
        <w:tc>
          <w:tcPr>
            <w:tcW w:w="0" w:type="auto"/>
            <w:shd w:val="clear" w:color="auto" w:fill="FFFFFF"/>
          </w:tcPr>
          <w:p w14:paraId="6A8D702B"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2.948</w:t>
            </w:r>
          </w:p>
        </w:tc>
        <w:tc>
          <w:tcPr>
            <w:tcW w:w="0" w:type="auto"/>
            <w:shd w:val="clear" w:color="auto" w:fill="FFFFFF"/>
          </w:tcPr>
          <w:p w14:paraId="4F15154F" w14:textId="77777777" w:rsidR="009968E0" w:rsidRPr="009968E0" w:rsidRDefault="009968E0" w:rsidP="009968E0">
            <w:pPr>
              <w:jc w:val="center"/>
              <w:rPr>
                <w:rFonts w:ascii="Calibri" w:eastAsia="Times New Roman" w:hAnsi="Calibri" w:cs="Calibri"/>
                <w:i/>
                <w:iCs/>
                <w:color w:val="000000"/>
                <w:sz w:val="22"/>
                <w:szCs w:val="22"/>
                <w:lang w:eastAsia="en-GB"/>
              </w:rPr>
            </w:pPr>
          </w:p>
        </w:tc>
        <w:tc>
          <w:tcPr>
            <w:tcW w:w="0" w:type="auto"/>
            <w:shd w:val="clear" w:color="auto" w:fill="FFFFFF"/>
          </w:tcPr>
          <w:p w14:paraId="76DF62EB" w14:textId="77777777" w:rsidR="009968E0" w:rsidRPr="009968E0" w:rsidRDefault="009968E0" w:rsidP="009968E0">
            <w:pPr>
              <w:jc w:val="center"/>
              <w:rPr>
                <w:rFonts w:ascii="Calibri" w:eastAsia="Times New Roman" w:hAnsi="Calibri" w:cs="Calibri"/>
                <w:i/>
                <w:iCs/>
                <w:color w:val="000000"/>
                <w:sz w:val="22"/>
                <w:szCs w:val="22"/>
                <w:lang w:eastAsia="en-GB"/>
              </w:rPr>
            </w:pPr>
          </w:p>
        </w:tc>
        <w:tc>
          <w:tcPr>
            <w:tcW w:w="0" w:type="auto"/>
            <w:shd w:val="clear" w:color="auto" w:fill="FFFFFF"/>
          </w:tcPr>
          <w:p w14:paraId="72E2CEC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.615</w:t>
            </w:r>
          </w:p>
        </w:tc>
      </w:tr>
      <w:tr w:rsidR="009968E0" w:rsidRPr="009968E0" w14:paraId="23109150" w14:textId="77777777" w:rsidTr="009968E0">
        <w:trPr>
          <w:cnfStyle w:val="000000100000" w:firstRow="0" w:lastRow="0" w:firstColumn="0" w:lastColumn="0" w:oddVBand="0" w:evenVBand="0" w:oddHBand="1" w:evenHBand="0" w:firstRowFirstColumn="0" w:firstRowLastColumn="0" w:lastRowFirstColumn="0" w:lastRowLastColumn="0"/>
          <w:trHeight w:val="680"/>
        </w:trPr>
        <w:tc>
          <w:tcPr>
            <w:tcW w:w="0" w:type="auto"/>
            <w:vMerge/>
            <w:shd w:val="clear" w:color="auto" w:fill="FFFFFF"/>
          </w:tcPr>
          <w:p w14:paraId="4A2A1227"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0" w:type="auto"/>
            <w:vMerge/>
          </w:tcPr>
          <w:p w14:paraId="4B07479F"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0" w:type="auto"/>
          </w:tcPr>
          <w:p w14:paraId="71538D5A"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LIKERT</w:t>
            </w:r>
          </w:p>
        </w:tc>
        <w:tc>
          <w:tcPr>
            <w:tcW w:w="0" w:type="auto"/>
          </w:tcPr>
          <w:p w14:paraId="2D62B9CC"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-.230</w:t>
            </w:r>
          </w:p>
        </w:tc>
        <w:tc>
          <w:tcPr>
            <w:tcW w:w="0" w:type="auto"/>
          </w:tcPr>
          <w:p w14:paraId="3F7E8394"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.390</w:t>
            </w:r>
          </w:p>
        </w:tc>
        <w:tc>
          <w:tcPr>
            <w:tcW w:w="0" w:type="auto"/>
          </w:tcPr>
          <w:p w14:paraId="738A8EA4"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.031</w:t>
            </w:r>
          </w:p>
        </w:tc>
        <w:tc>
          <w:tcPr>
            <w:tcW w:w="0" w:type="auto"/>
          </w:tcPr>
          <w:p w14:paraId="258F2D87"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.347</w:t>
            </w:r>
          </w:p>
        </w:tc>
        <w:tc>
          <w:tcPr>
            <w:tcW w:w="0" w:type="auto"/>
          </w:tcPr>
          <w:p w14:paraId="00D268F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.568</w:t>
            </w:r>
          </w:p>
        </w:tc>
      </w:tr>
      <w:tr w:rsidR="009968E0" w:rsidRPr="009968E0" w14:paraId="268EBFBF" w14:textId="77777777" w:rsidTr="009968E0">
        <w:trPr>
          <w:trHeight w:val="360"/>
        </w:trPr>
        <w:tc>
          <w:tcPr>
            <w:tcW w:w="0" w:type="auto"/>
            <w:vMerge w:val="restart"/>
            <w:shd w:val="clear" w:color="auto" w:fill="FFFFFF"/>
          </w:tcPr>
          <w:p w14:paraId="4DA36089"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HV</w:t>
            </w:r>
          </w:p>
        </w:tc>
        <w:tc>
          <w:tcPr>
            <w:tcW w:w="0" w:type="auto"/>
            <w:vMerge w:val="restart"/>
          </w:tcPr>
          <w:p w14:paraId="0FBB4F23" w14:textId="77777777" w:rsidR="009968E0" w:rsidRPr="009968E0" w:rsidRDefault="009968E0" w:rsidP="009968E0">
            <w:pPr>
              <w:rPr>
                <w:rFonts w:ascii="Calibri" w:eastAsia="Times New Roman" w:hAnsi="Calibri" w:cs="Calibri"/>
                <w:i/>
                <w:iCs/>
                <w:color w:val="000000"/>
                <w:sz w:val="22"/>
                <w:szCs w:val="22"/>
                <w:lang w:eastAsia="en-GB"/>
              </w:rPr>
            </w:pPr>
          </w:p>
        </w:tc>
        <w:tc>
          <w:tcPr>
            <w:tcW w:w="0" w:type="auto"/>
            <w:shd w:val="clear" w:color="auto" w:fill="FFFFFF"/>
          </w:tcPr>
          <w:p w14:paraId="1FD7A7F7"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(Constant)</w:t>
            </w:r>
          </w:p>
        </w:tc>
        <w:tc>
          <w:tcPr>
            <w:tcW w:w="0" w:type="auto"/>
            <w:shd w:val="clear" w:color="auto" w:fill="FFFFFF"/>
          </w:tcPr>
          <w:p w14:paraId="2F5375B0"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-2.473</w:t>
            </w:r>
          </w:p>
        </w:tc>
        <w:tc>
          <w:tcPr>
            <w:tcW w:w="0" w:type="auto"/>
            <w:shd w:val="clear" w:color="auto" w:fill="FFFFFF"/>
          </w:tcPr>
          <w:p w14:paraId="2FD6BB4D"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2.478</w:t>
            </w:r>
          </w:p>
        </w:tc>
        <w:tc>
          <w:tcPr>
            <w:tcW w:w="0" w:type="auto"/>
            <w:shd w:val="clear" w:color="auto" w:fill="FFFFFF"/>
          </w:tcPr>
          <w:p w14:paraId="5BDC550F" w14:textId="77777777" w:rsidR="009968E0" w:rsidRPr="009968E0" w:rsidRDefault="009968E0" w:rsidP="009968E0">
            <w:pPr>
              <w:jc w:val="center"/>
              <w:rPr>
                <w:rFonts w:ascii="Calibri" w:eastAsia="Times New Roman" w:hAnsi="Calibri" w:cs="Calibri"/>
                <w:i/>
                <w:iCs/>
                <w:color w:val="000000"/>
                <w:sz w:val="22"/>
                <w:szCs w:val="22"/>
                <w:lang w:eastAsia="en-GB"/>
              </w:rPr>
            </w:pPr>
          </w:p>
        </w:tc>
        <w:tc>
          <w:tcPr>
            <w:tcW w:w="0" w:type="auto"/>
            <w:shd w:val="clear" w:color="auto" w:fill="FFFFFF"/>
          </w:tcPr>
          <w:p w14:paraId="2EB8035B" w14:textId="77777777" w:rsidR="009968E0" w:rsidRPr="009968E0" w:rsidRDefault="009968E0" w:rsidP="009968E0">
            <w:pPr>
              <w:jc w:val="center"/>
              <w:rPr>
                <w:rFonts w:ascii="Calibri" w:eastAsia="Times New Roman" w:hAnsi="Calibri" w:cs="Calibri"/>
                <w:i/>
                <w:iCs/>
                <w:color w:val="000000"/>
                <w:sz w:val="22"/>
                <w:szCs w:val="22"/>
                <w:lang w:eastAsia="en-GB"/>
              </w:rPr>
            </w:pPr>
          </w:p>
        </w:tc>
        <w:tc>
          <w:tcPr>
            <w:tcW w:w="0" w:type="auto"/>
            <w:shd w:val="clear" w:color="auto" w:fill="FFFFFF"/>
          </w:tcPr>
          <w:p w14:paraId="64658AE8"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.332</w:t>
            </w:r>
          </w:p>
        </w:tc>
      </w:tr>
      <w:tr w:rsidR="009968E0" w:rsidRPr="009968E0" w14:paraId="502E8D6F" w14:textId="77777777" w:rsidTr="009968E0">
        <w:trPr>
          <w:cnfStyle w:val="000000100000" w:firstRow="0" w:lastRow="0" w:firstColumn="0" w:lastColumn="0" w:oddVBand="0" w:evenVBand="0" w:oddHBand="1" w:evenHBand="0" w:firstRowFirstColumn="0" w:firstRowLastColumn="0" w:lastRowFirstColumn="0" w:lastRowLastColumn="0"/>
          <w:trHeight w:val="680"/>
        </w:trPr>
        <w:tc>
          <w:tcPr>
            <w:tcW w:w="0" w:type="auto"/>
            <w:vMerge/>
            <w:shd w:val="clear" w:color="auto" w:fill="FFFFFF"/>
          </w:tcPr>
          <w:p w14:paraId="4D5ED794"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0" w:type="auto"/>
            <w:vMerge/>
          </w:tcPr>
          <w:p w14:paraId="4A8136C3"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0" w:type="auto"/>
          </w:tcPr>
          <w:p w14:paraId="5A1EA331"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LIKERT</w:t>
            </w:r>
          </w:p>
        </w:tc>
        <w:tc>
          <w:tcPr>
            <w:tcW w:w="0" w:type="auto"/>
          </w:tcPr>
          <w:p w14:paraId="64676C29"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.374</w:t>
            </w:r>
          </w:p>
        </w:tc>
        <w:tc>
          <w:tcPr>
            <w:tcW w:w="0" w:type="auto"/>
          </w:tcPr>
          <w:p w14:paraId="6EAD472B"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.357</w:t>
            </w:r>
          </w:p>
        </w:tc>
        <w:tc>
          <w:tcPr>
            <w:tcW w:w="0" w:type="auto"/>
          </w:tcPr>
          <w:p w14:paraId="08903A81"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.061</w:t>
            </w:r>
          </w:p>
        </w:tc>
        <w:tc>
          <w:tcPr>
            <w:tcW w:w="0" w:type="auto"/>
          </w:tcPr>
          <w:p w14:paraId="20212056"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1.098</w:t>
            </w:r>
          </w:p>
        </w:tc>
        <w:tc>
          <w:tcPr>
            <w:tcW w:w="0" w:type="auto"/>
          </w:tcPr>
          <w:p w14:paraId="31E242E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.309</w:t>
            </w:r>
          </w:p>
        </w:tc>
      </w:tr>
    </w:tbl>
    <w:p w14:paraId="24F4C786" w14:textId="77777777" w:rsidR="009968E0" w:rsidRPr="004E6428" w:rsidRDefault="009968E0" w:rsidP="004E6428">
      <w:pPr>
        <w:spacing w:line="360" w:lineRule="auto"/>
        <w:rPr>
          <w:rStyle w:val="SubtleEmphasis"/>
        </w:rPr>
      </w:pPr>
      <w:bookmarkStart w:id="650" w:name="_Toc431375336"/>
      <w:r w:rsidRPr="004E6428">
        <w:rPr>
          <w:rStyle w:val="SubtleEmphasis"/>
        </w:rPr>
        <w:t>*significance p&lt;0.05</w:t>
      </w:r>
    </w:p>
    <w:p w14:paraId="09702411" w14:textId="77777777" w:rsidR="009968E0" w:rsidRPr="004E6428" w:rsidRDefault="009968E0" w:rsidP="009968E0">
      <w:pPr>
        <w:rPr>
          <w:rFonts w:eastAsia="Times New Roman" w:cs="Arial"/>
          <w:lang w:eastAsia="en-GB"/>
        </w:rPr>
      </w:pPr>
      <w:r w:rsidRPr="004E6428">
        <w:rPr>
          <w:rFonts w:eastAsia="Times New Roman" w:cs="Arial"/>
          <w:lang w:eastAsia="en-GB"/>
        </w:rPr>
        <w:t xml:space="preserve">The regression slopes and their intercepts were compared by ANOVA for statistical significance. </w:t>
      </w:r>
    </w:p>
    <w:p w14:paraId="2E24571A" w14:textId="77777777" w:rsidR="009968E0" w:rsidRPr="009968E0" w:rsidRDefault="009968E0" w:rsidP="009968E0">
      <w:pPr>
        <w:rPr>
          <w:rFonts w:eastAsia="MS Mincho"/>
          <w:i/>
          <w:iCs/>
          <w:color w:val="1F497D"/>
          <w:lang w:eastAsia="en-GB"/>
        </w:rPr>
      </w:pPr>
    </w:p>
    <w:tbl>
      <w:tblPr>
        <w:tblStyle w:val="GridTable2-Accent63"/>
        <w:tblW w:w="9054" w:type="dxa"/>
        <w:tblLayout w:type="fixed"/>
        <w:tblLook w:val="0400" w:firstRow="0" w:lastRow="0" w:firstColumn="0" w:lastColumn="0" w:noHBand="0" w:noVBand="1"/>
      </w:tblPr>
      <w:tblGrid>
        <w:gridCol w:w="842"/>
        <w:gridCol w:w="3116"/>
        <w:gridCol w:w="654"/>
        <w:gridCol w:w="1590"/>
        <w:gridCol w:w="1184"/>
        <w:gridCol w:w="1668"/>
      </w:tblGrid>
      <w:tr w:rsidR="009968E0" w:rsidRPr="009968E0" w14:paraId="5F5C8CF7" w14:textId="77777777" w:rsidTr="009968E0">
        <w:trPr>
          <w:cnfStyle w:val="000000100000" w:firstRow="0" w:lastRow="0" w:firstColumn="0" w:lastColumn="0" w:oddVBand="0" w:evenVBand="0" w:oddHBand="1" w:evenHBand="0" w:firstRowFirstColumn="0" w:firstRowLastColumn="0" w:lastRowFirstColumn="0" w:lastRowLastColumn="0"/>
          <w:trHeight w:val="480"/>
        </w:trPr>
        <w:tc>
          <w:tcPr>
            <w:tcW w:w="9054" w:type="dxa"/>
            <w:gridSpan w:val="6"/>
          </w:tcPr>
          <w:p w14:paraId="432E3964" w14:textId="77777777" w:rsidR="009968E0" w:rsidRPr="009968E0" w:rsidRDefault="009968E0" w:rsidP="004E6428">
            <w:pPr>
              <w:pStyle w:val="Quote"/>
            </w:pPr>
            <w:bookmarkStart w:id="651" w:name="_Toc48406155"/>
            <w:bookmarkStart w:id="652" w:name="_Toc49273366"/>
            <w:bookmarkStart w:id="653" w:name="_Toc64724119"/>
            <w:r w:rsidRPr="009968E0">
              <w:t>Table D.11: ANOVA comparing regression slopes and intercepts for statistical significance for delta RBV-POWM and LIKERT by group</w:t>
            </w:r>
            <w:bookmarkEnd w:id="651"/>
            <w:bookmarkEnd w:id="652"/>
            <w:bookmarkEnd w:id="653"/>
          </w:p>
        </w:tc>
      </w:tr>
      <w:tr w:rsidR="009968E0" w:rsidRPr="009968E0" w14:paraId="4412EA75" w14:textId="77777777" w:rsidTr="009968E0">
        <w:trPr>
          <w:trHeight w:val="680"/>
        </w:trPr>
        <w:tc>
          <w:tcPr>
            <w:tcW w:w="842" w:type="dxa"/>
          </w:tcPr>
          <w:p w14:paraId="7C98BF30" w14:textId="77777777" w:rsidR="009968E0" w:rsidRPr="009968E0" w:rsidRDefault="009968E0" w:rsidP="009968E0">
            <w:pPr>
              <w:spacing w:line="360" w:lineRule="auto"/>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Model</w:t>
            </w:r>
          </w:p>
        </w:tc>
        <w:tc>
          <w:tcPr>
            <w:tcW w:w="3116" w:type="dxa"/>
          </w:tcPr>
          <w:p w14:paraId="0AEB7E04" w14:textId="77777777" w:rsidR="009968E0" w:rsidRPr="009968E0" w:rsidRDefault="009968E0" w:rsidP="009968E0">
            <w:pPr>
              <w:spacing w:line="360" w:lineRule="auto"/>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 </w:t>
            </w:r>
          </w:p>
        </w:tc>
        <w:tc>
          <w:tcPr>
            <w:tcW w:w="654" w:type="dxa"/>
          </w:tcPr>
          <w:p w14:paraId="074E1063" w14:textId="77777777" w:rsidR="009968E0" w:rsidRPr="009968E0" w:rsidRDefault="009968E0" w:rsidP="009968E0">
            <w:pPr>
              <w:spacing w:line="360" w:lineRule="auto"/>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df</w:t>
            </w:r>
          </w:p>
        </w:tc>
        <w:tc>
          <w:tcPr>
            <w:tcW w:w="1590" w:type="dxa"/>
          </w:tcPr>
          <w:p w14:paraId="58D74A87" w14:textId="77777777" w:rsidR="009968E0" w:rsidRPr="009968E0" w:rsidRDefault="009968E0" w:rsidP="009968E0">
            <w:pPr>
              <w:spacing w:line="360" w:lineRule="auto"/>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F</w:t>
            </w:r>
          </w:p>
        </w:tc>
        <w:tc>
          <w:tcPr>
            <w:tcW w:w="1184" w:type="dxa"/>
          </w:tcPr>
          <w:p w14:paraId="56530F75" w14:textId="77777777" w:rsidR="009968E0" w:rsidRPr="009968E0" w:rsidRDefault="009968E0" w:rsidP="009968E0">
            <w:pPr>
              <w:spacing w:line="360" w:lineRule="auto"/>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Sig.</w:t>
            </w:r>
          </w:p>
        </w:tc>
        <w:tc>
          <w:tcPr>
            <w:tcW w:w="1668" w:type="dxa"/>
          </w:tcPr>
          <w:p w14:paraId="4B84E35B" w14:textId="77777777" w:rsidR="009968E0" w:rsidRPr="009968E0" w:rsidRDefault="009968E0" w:rsidP="009968E0">
            <w:pPr>
              <w:spacing w:line="360" w:lineRule="auto"/>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R Square Change</w:t>
            </w:r>
          </w:p>
        </w:tc>
      </w:tr>
      <w:tr w:rsidR="009968E0" w:rsidRPr="009968E0" w14:paraId="26A3AD5F"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842" w:type="dxa"/>
          </w:tcPr>
          <w:p w14:paraId="24B96086" w14:textId="77777777" w:rsidR="009968E0" w:rsidRPr="009968E0" w:rsidRDefault="009968E0" w:rsidP="009968E0">
            <w:pPr>
              <w:spacing w:line="360" w:lineRule="auto"/>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 </w:t>
            </w:r>
          </w:p>
        </w:tc>
        <w:tc>
          <w:tcPr>
            <w:tcW w:w="3116" w:type="dxa"/>
          </w:tcPr>
          <w:p w14:paraId="76B8BC3C" w14:textId="77777777" w:rsidR="009968E0" w:rsidRPr="009968E0" w:rsidRDefault="009968E0" w:rsidP="009968E0">
            <w:pPr>
              <w:spacing w:line="360" w:lineRule="auto"/>
              <w:rPr>
                <w:rFonts w:ascii="Calibri" w:eastAsia="Times New Roman" w:hAnsi="Calibri" w:cs="Calibri"/>
                <w:i/>
                <w:iCs/>
                <w:sz w:val="22"/>
                <w:szCs w:val="22"/>
                <w:lang w:eastAsia="en-GB"/>
              </w:rPr>
            </w:pPr>
            <w:proofErr w:type="spellStart"/>
            <w:r w:rsidRPr="009968E0">
              <w:rPr>
                <w:rFonts w:ascii="Calibri" w:eastAsia="Times New Roman" w:hAnsi="Calibri" w:cs="Calibri"/>
                <w:i/>
                <w:iCs/>
                <w:sz w:val="22"/>
                <w:szCs w:val="22"/>
                <w:lang w:eastAsia="en-GB"/>
              </w:rPr>
              <w:t>LIKERT_centred</w:t>
            </w:r>
            <w:proofErr w:type="spellEnd"/>
          </w:p>
        </w:tc>
        <w:tc>
          <w:tcPr>
            <w:tcW w:w="654" w:type="dxa"/>
          </w:tcPr>
          <w:p w14:paraId="281A358C" w14:textId="77777777" w:rsidR="009968E0" w:rsidRPr="009968E0" w:rsidRDefault="009968E0" w:rsidP="009968E0">
            <w:pPr>
              <w:spacing w:line="360" w:lineRule="auto"/>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w:t>
            </w:r>
          </w:p>
        </w:tc>
        <w:tc>
          <w:tcPr>
            <w:tcW w:w="1590" w:type="dxa"/>
          </w:tcPr>
          <w:p w14:paraId="1084F722" w14:textId="77777777" w:rsidR="009968E0" w:rsidRPr="009968E0" w:rsidRDefault="009968E0" w:rsidP="009968E0">
            <w:pPr>
              <w:spacing w:line="360" w:lineRule="auto"/>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4.597</w:t>
            </w:r>
          </w:p>
        </w:tc>
        <w:tc>
          <w:tcPr>
            <w:tcW w:w="1184" w:type="dxa"/>
          </w:tcPr>
          <w:p w14:paraId="58097A77" w14:textId="77777777" w:rsidR="009968E0" w:rsidRPr="009968E0" w:rsidRDefault="009968E0" w:rsidP="009968E0">
            <w:pPr>
              <w:spacing w:line="360" w:lineRule="auto"/>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.036</w:t>
            </w:r>
          </w:p>
        </w:tc>
        <w:tc>
          <w:tcPr>
            <w:tcW w:w="1668" w:type="dxa"/>
          </w:tcPr>
          <w:p w14:paraId="7EABFA06" w14:textId="77777777" w:rsidR="009968E0" w:rsidRPr="009968E0" w:rsidRDefault="009968E0" w:rsidP="009968E0">
            <w:pPr>
              <w:spacing w:line="360" w:lineRule="auto"/>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.057</w:t>
            </w:r>
          </w:p>
        </w:tc>
      </w:tr>
      <w:tr w:rsidR="009968E0" w:rsidRPr="009968E0" w14:paraId="6185EE7C" w14:textId="77777777" w:rsidTr="009968E0">
        <w:trPr>
          <w:trHeight w:val="920"/>
        </w:trPr>
        <w:tc>
          <w:tcPr>
            <w:tcW w:w="842" w:type="dxa"/>
          </w:tcPr>
          <w:p w14:paraId="703ECC48" w14:textId="77777777" w:rsidR="009968E0" w:rsidRPr="009968E0" w:rsidRDefault="009968E0" w:rsidP="009968E0">
            <w:pPr>
              <w:spacing w:line="360" w:lineRule="auto"/>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 </w:t>
            </w:r>
          </w:p>
        </w:tc>
        <w:tc>
          <w:tcPr>
            <w:tcW w:w="3116" w:type="dxa"/>
          </w:tcPr>
          <w:p w14:paraId="342FDDE5" w14:textId="77777777" w:rsidR="009968E0" w:rsidRPr="009968E0" w:rsidRDefault="009968E0" w:rsidP="009968E0">
            <w:pPr>
              <w:spacing w:line="360" w:lineRule="auto"/>
              <w:rPr>
                <w:rFonts w:ascii="Calibri" w:eastAsia="Times New Roman" w:hAnsi="Calibri" w:cs="Calibri"/>
                <w:i/>
                <w:iCs/>
                <w:sz w:val="22"/>
                <w:szCs w:val="22"/>
                <w:lang w:eastAsia="en-GB"/>
              </w:rPr>
            </w:pPr>
            <w:proofErr w:type="spellStart"/>
            <w:r w:rsidRPr="009968E0">
              <w:rPr>
                <w:rFonts w:ascii="Calibri" w:eastAsia="Times New Roman" w:hAnsi="Calibri" w:cs="Calibri"/>
                <w:i/>
                <w:iCs/>
                <w:sz w:val="22"/>
                <w:szCs w:val="22"/>
                <w:lang w:eastAsia="en-GB"/>
              </w:rPr>
              <w:t>Intercept_P-DPN_vs_DPN</w:t>
            </w:r>
            <w:proofErr w:type="spellEnd"/>
            <w:r w:rsidRPr="009968E0">
              <w:rPr>
                <w:rFonts w:ascii="Calibri" w:eastAsia="Times New Roman" w:hAnsi="Calibri" w:cs="Calibri"/>
                <w:i/>
                <w:iCs/>
                <w:sz w:val="22"/>
                <w:szCs w:val="22"/>
                <w:lang w:eastAsia="en-GB"/>
              </w:rPr>
              <w:t xml:space="preserve">, </w:t>
            </w:r>
            <w:proofErr w:type="spellStart"/>
            <w:r w:rsidRPr="009968E0">
              <w:rPr>
                <w:rFonts w:ascii="Calibri" w:eastAsia="Times New Roman" w:hAnsi="Calibri" w:cs="Calibri"/>
                <w:i/>
                <w:iCs/>
                <w:sz w:val="22"/>
                <w:szCs w:val="22"/>
                <w:lang w:eastAsia="en-GB"/>
              </w:rPr>
              <w:t>Intercept_P-DPN_vs_DM_NN</w:t>
            </w:r>
            <w:proofErr w:type="spellEnd"/>
            <w:r w:rsidRPr="009968E0">
              <w:rPr>
                <w:rFonts w:ascii="Calibri" w:eastAsia="Times New Roman" w:hAnsi="Calibri" w:cs="Calibri"/>
                <w:i/>
                <w:iCs/>
                <w:sz w:val="22"/>
                <w:szCs w:val="22"/>
                <w:lang w:eastAsia="en-GB"/>
              </w:rPr>
              <w:t xml:space="preserve">, </w:t>
            </w:r>
            <w:proofErr w:type="spellStart"/>
            <w:r w:rsidRPr="009968E0">
              <w:rPr>
                <w:rFonts w:ascii="Calibri" w:eastAsia="Times New Roman" w:hAnsi="Calibri" w:cs="Calibri"/>
                <w:i/>
                <w:iCs/>
                <w:sz w:val="22"/>
                <w:szCs w:val="22"/>
                <w:lang w:eastAsia="en-GB"/>
              </w:rPr>
              <w:t>Intercept_P-DPN_vs_HV</w:t>
            </w:r>
            <w:proofErr w:type="spellEnd"/>
          </w:p>
        </w:tc>
        <w:tc>
          <w:tcPr>
            <w:tcW w:w="654" w:type="dxa"/>
          </w:tcPr>
          <w:p w14:paraId="2B6057DC" w14:textId="77777777" w:rsidR="009968E0" w:rsidRPr="009968E0" w:rsidRDefault="009968E0" w:rsidP="009968E0">
            <w:pPr>
              <w:spacing w:line="360" w:lineRule="auto"/>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3</w:t>
            </w:r>
          </w:p>
        </w:tc>
        <w:tc>
          <w:tcPr>
            <w:tcW w:w="1590" w:type="dxa"/>
          </w:tcPr>
          <w:p w14:paraId="2A175935" w14:textId="77777777" w:rsidR="009968E0" w:rsidRPr="009968E0" w:rsidRDefault="009968E0" w:rsidP="009968E0">
            <w:pPr>
              <w:spacing w:line="360" w:lineRule="auto"/>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1.660</w:t>
            </w:r>
          </w:p>
        </w:tc>
        <w:tc>
          <w:tcPr>
            <w:tcW w:w="1184" w:type="dxa"/>
          </w:tcPr>
          <w:p w14:paraId="5CC60844" w14:textId="77777777" w:rsidR="009968E0" w:rsidRPr="009968E0" w:rsidRDefault="009968E0" w:rsidP="009968E0">
            <w:pPr>
              <w:spacing w:line="360" w:lineRule="auto"/>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.184</w:t>
            </w:r>
          </w:p>
        </w:tc>
        <w:tc>
          <w:tcPr>
            <w:tcW w:w="1668" w:type="dxa"/>
          </w:tcPr>
          <w:p w14:paraId="3437F384" w14:textId="77777777" w:rsidR="009968E0" w:rsidRPr="009968E0" w:rsidRDefault="009968E0" w:rsidP="009968E0">
            <w:pPr>
              <w:spacing w:line="360" w:lineRule="auto"/>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.062</w:t>
            </w:r>
          </w:p>
        </w:tc>
      </w:tr>
      <w:tr w:rsidR="009968E0" w:rsidRPr="009968E0" w14:paraId="3FF33BEE" w14:textId="77777777" w:rsidTr="009968E0">
        <w:trPr>
          <w:cnfStyle w:val="000000100000" w:firstRow="0" w:lastRow="0" w:firstColumn="0" w:lastColumn="0" w:oddVBand="0" w:evenVBand="0" w:oddHBand="1" w:evenHBand="0" w:firstRowFirstColumn="0" w:firstRowLastColumn="0" w:lastRowFirstColumn="0" w:lastRowLastColumn="0"/>
          <w:trHeight w:val="840"/>
        </w:trPr>
        <w:tc>
          <w:tcPr>
            <w:tcW w:w="842" w:type="dxa"/>
          </w:tcPr>
          <w:p w14:paraId="6A1AFB96" w14:textId="77777777" w:rsidR="009968E0" w:rsidRPr="009968E0" w:rsidRDefault="009968E0" w:rsidP="009968E0">
            <w:pPr>
              <w:spacing w:line="360" w:lineRule="auto"/>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 </w:t>
            </w:r>
          </w:p>
        </w:tc>
        <w:tc>
          <w:tcPr>
            <w:tcW w:w="3116" w:type="dxa"/>
          </w:tcPr>
          <w:p w14:paraId="2832A2F4" w14:textId="77777777" w:rsidR="009968E0" w:rsidRPr="009968E0" w:rsidRDefault="009968E0" w:rsidP="009968E0">
            <w:pPr>
              <w:spacing w:line="360" w:lineRule="auto"/>
              <w:rPr>
                <w:rFonts w:ascii="Calibri" w:eastAsia="Times New Roman" w:hAnsi="Calibri" w:cs="Calibri"/>
                <w:i/>
                <w:iCs/>
                <w:sz w:val="22"/>
                <w:szCs w:val="22"/>
                <w:lang w:eastAsia="en-GB"/>
              </w:rPr>
            </w:pPr>
            <w:proofErr w:type="spellStart"/>
            <w:r w:rsidRPr="009968E0">
              <w:rPr>
                <w:rFonts w:ascii="Calibri" w:eastAsia="Times New Roman" w:hAnsi="Calibri" w:cs="Calibri"/>
                <w:i/>
                <w:iCs/>
                <w:sz w:val="22"/>
                <w:szCs w:val="22"/>
                <w:lang w:eastAsia="en-GB"/>
              </w:rPr>
              <w:t>Slope_P-DPN_vs_DPN</w:t>
            </w:r>
            <w:proofErr w:type="spellEnd"/>
            <w:r w:rsidRPr="009968E0">
              <w:rPr>
                <w:rFonts w:ascii="Calibri" w:eastAsia="Times New Roman" w:hAnsi="Calibri" w:cs="Calibri"/>
                <w:i/>
                <w:iCs/>
                <w:sz w:val="22"/>
                <w:szCs w:val="22"/>
                <w:lang w:eastAsia="en-GB"/>
              </w:rPr>
              <w:t>,</w:t>
            </w:r>
          </w:p>
          <w:p w14:paraId="39A22EFA" w14:textId="77777777" w:rsidR="009968E0" w:rsidRPr="009968E0" w:rsidRDefault="009968E0" w:rsidP="009968E0">
            <w:pPr>
              <w:spacing w:line="360" w:lineRule="auto"/>
              <w:rPr>
                <w:rFonts w:ascii="Calibri" w:eastAsia="Times New Roman" w:hAnsi="Calibri" w:cs="Calibri"/>
                <w:i/>
                <w:iCs/>
                <w:sz w:val="22"/>
                <w:szCs w:val="22"/>
                <w:lang w:eastAsia="en-GB"/>
              </w:rPr>
            </w:pPr>
            <w:proofErr w:type="spellStart"/>
            <w:r w:rsidRPr="009968E0">
              <w:rPr>
                <w:rFonts w:ascii="Calibri" w:eastAsia="Times New Roman" w:hAnsi="Calibri" w:cs="Calibri"/>
                <w:i/>
                <w:iCs/>
                <w:sz w:val="22"/>
                <w:szCs w:val="22"/>
                <w:lang w:eastAsia="en-GB"/>
              </w:rPr>
              <w:t>Slope_P-DPN_vs_DM_NN</w:t>
            </w:r>
            <w:proofErr w:type="spellEnd"/>
          </w:p>
          <w:p w14:paraId="1DF0F979" w14:textId="77777777" w:rsidR="009968E0" w:rsidRPr="009968E0" w:rsidRDefault="009968E0" w:rsidP="009968E0">
            <w:pPr>
              <w:spacing w:line="360" w:lineRule="auto"/>
              <w:rPr>
                <w:rFonts w:ascii="Calibri" w:eastAsia="Times New Roman" w:hAnsi="Calibri" w:cs="Calibri"/>
                <w:i/>
                <w:iCs/>
                <w:sz w:val="22"/>
                <w:szCs w:val="22"/>
                <w:lang w:eastAsia="en-GB"/>
              </w:rPr>
            </w:pPr>
            <w:proofErr w:type="spellStart"/>
            <w:r w:rsidRPr="009968E0">
              <w:rPr>
                <w:rFonts w:ascii="Calibri" w:eastAsia="Times New Roman" w:hAnsi="Calibri" w:cs="Calibri"/>
                <w:i/>
                <w:iCs/>
                <w:sz w:val="22"/>
                <w:szCs w:val="22"/>
                <w:lang w:eastAsia="en-GB"/>
              </w:rPr>
              <w:t>Slope_P-DPN_vs_HV</w:t>
            </w:r>
            <w:proofErr w:type="spellEnd"/>
          </w:p>
        </w:tc>
        <w:tc>
          <w:tcPr>
            <w:tcW w:w="654" w:type="dxa"/>
          </w:tcPr>
          <w:p w14:paraId="409F69D4" w14:textId="77777777" w:rsidR="009968E0" w:rsidRPr="009968E0" w:rsidRDefault="009968E0" w:rsidP="009968E0">
            <w:pPr>
              <w:spacing w:line="360" w:lineRule="auto"/>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3</w:t>
            </w:r>
          </w:p>
        </w:tc>
        <w:tc>
          <w:tcPr>
            <w:tcW w:w="1590" w:type="dxa"/>
          </w:tcPr>
          <w:p w14:paraId="3EABBFCF" w14:textId="77777777" w:rsidR="009968E0" w:rsidRPr="009968E0" w:rsidRDefault="009968E0" w:rsidP="009968E0">
            <w:pPr>
              <w:spacing w:line="360" w:lineRule="auto"/>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3.733</w:t>
            </w:r>
          </w:p>
        </w:tc>
        <w:tc>
          <w:tcPr>
            <w:tcW w:w="1184" w:type="dxa"/>
          </w:tcPr>
          <w:p w14:paraId="5DEA4136" w14:textId="77777777" w:rsidR="009968E0" w:rsidRPr="009968E0" w:rsidRDefault="009968E0" w:rsidP="009968E0">
            <w:pPr>
              <w:spacing w:line="360" w:lineRule="auto"/>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.015*</w:t>
            </w:r>
          </w:p>
        </w:tc>
        <w:tc>
          <w:tcPr>
            <w:tcW w:w="1668" w:type="dxa"/>
          </w:tcPr>
          <w:p w14:paraId="7ED4ACB9" w14:textId="77777777" w:rsidR="009968E0" w:rsidRPr="009968E0" w:rsidRDefault="009968E0" w:rsidP="009968E0">
            <w:pPr>
              <w:spacing w:line="360" w:lineRule="auto"/>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.139</w:t>
            </w:r>
          </w:p>
        </w:tc>
      </w:tr>
      <w:tr w:rsidR="009968E0" w:rsidRPr="009968E0" w14:paraId="7A82BD8B" w14:textId="77777777" w:rsidTr="009968E0">
        <w:trPr>
          <w:trHeight w:val="380"/>
        </w:trPr>
        <w:tc>
          <w:tcPr>
            <w:tcW w:w="9054" w:type="dxa"/>
            <w:gridSpan w:val="6"/>
          </w:tcPr>
          <w:p w14:paraId="714EE3B6" w14:textId="77777777" w:rsidR="009968E0" w:rsidRPr="009968E0" w:rsidRDefault="009968E0" w:rsidP="009968E0">
            <w:pPr>
              <w:spacing w:line="360" w:lineRule="auto"/>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*significance p&lt;0.05</w:t>
            </w:r>
          </w:p>
        </w:tc>
      </w:tr>
    </w:tbl>
    <w:p w14:paraId="04AE643A" w14:textId="77777777" w:rsidR="009968E0" w:rsidRPr="009968E0" w:rsidRDefault="009968E0" w:rsidP="009968E0">
      <w:pPr>
        <w:rPr>
          <w:rFonts w:ascii="Times New Roman" w:eastAsia="Times New Roman" w:hAnsi="Times New Roman" w:cs="Arial"/>
          <w:lang w:eastAsia="en-GB"/>
        </w:rPr>
      </w:pPr>
    </w:p>
    <w:p w14:paraId="3147B9BF" w14:textId="77777777" w:rsidR="009968E0" w:rsidRPr="009968E0" w:rsidRDefault="009968E0" w:rsidP="009968E0">
      <w:pPr>
        <w:rPr>
          <w:rFonts w:ascii="Times New Roman" w:eastAsia="Times New Roman" w:hAnsi="Times New Roman" w:cs="Arial"/>
          <w:lang w:eastAsia="en-GB"/>
        </w:rPr>
      </w:pPr>
      <w:r w:rsidRPr="009968E0">
        <w:rPr>
          <w:rFonts w:ascii="Times New Roman" w:eastAsia="Times New Roman" w:hAnsi="Times New Roman" w:cs="Arial"/>
          <w:lang w:eastAsia="en-GB"/>
        </w:rPr>
        <w:t>Then the regression slopes were compared individually to understand which interactions were of interest.</w:t>
      </w:r>
    </w:p>
    <w:p w14:paraId="27ADA277" w14:textId="77777777" w:rsidR="009968E0" w:rsidRPr="009968E0" w:rsidRDefault="009968E0" w:rsidP="009968E0">
      <w:pPr>
        <w:rPr>
          <w:rFonts w:ascii="Times New Roman" w:eastAsia="Times New Roman" w:hAnsi="Times New Roman" w:cs="Arial"/>
          <w:lang w:eastAsia="en-GB"/>
        </w:rPr>
      </w:pPr>
    </w:p>
    <w:tbl>
      <w:tblPr>
        <w:tblW w:w="9064" w:type="dxa"/>
        <w:shd w:val="clear" w:color="auto" w:fill="FFFFFF"/>
        <w:tblLayout w:type="fixed"/>
        <w:tblCellMar>
          <w:left w:w="115" w:type="dxa"/>
          <w:right w:w="115" w:type="dxa"/>
        </w:tblCellMar>
        <w:tblLook w:val="0400" w:firstRow="0" w:lastRow="0" w:firstColumn="0" w:lastColumn="0" w:noHBand="0" w:noVBand="1"/>
      </w:tblPr>
      <w:tblGrid>
        <w:gridCol w:w="328"/>
        <w:gridCol w:w="2795"/>
        <w:gridCol w:w="1314"/>
        <w:gridCol w:w="1301"/>
        <w:gridCol w:w="1414"/>
        <w:gridCol w:w="964"/>
        <w:gridCol w:w="948"/>
      </w:tblGrid>
      <w:tr w:rsidR="009968E0" w:rsidRPr="009968E0" w14:paraId="34EA3994" w14:textId="77777777" w:rsidTr="009968E0">
        <w:trPr>
          <w:trHeight w:val="540"/>
        </w:trPr>
        <w:tc>
          <w:tcPr>
            <w:tcW w:w="9064" w:type="dxa"/>
            <w:gridSpan w:val="7"/>
            <w:tcBorders>
              <w:top w:val="nil"/>
              <w:left w:val="nil"/>
              <w:bottom w:val="nil"/>
              <w:right w:val="nil"/>
            </w:tcBorders>
            <w:shd w:val="clear" w:color="auto" w:fill="FFFFFF"/>
            <w:vAlign w:val="center"/>
          </w:tcPr>
          <w:p w14:paraId="4B3E6D0C" w14:textId="77777777" w:rsidR="009968E0" w:rsidRPr="009968E0" w:rsidRDefault="009968E0" w:rsidP="004E6428">
            <w:pPr>
              <w:pStyle w:val="Quote"/>
            </w:pPr>
            <w:bookmarkStart w:id="654" w:name="_Toc48406156"/>
            <w:bookmarkStart w:id="655" w:name="_Toc49273367"/>
            <w:bookmarkStart w:id="656" w:name="_Toc64724120"/>
            <w:r w:rsidRPr="009968E0">
              <w:t>Table D.12 Post Hoc T-tests comparing Intercepts and Slopes of regression of RBV-POWM and pain perception as measured by LIKERT for groups</w:t>
            </w:r>
            <w:bookmarkEnd w:id="654"/>
            <w:bookmarkEnd w:id="655"/>
            <w:bookmarkEnd w:id="656"/>
          </w:p>
        </w:tc>
      </w:tr>
      <w:tr w:rsidR="009968E0" w:rsidRPr="009968E0" w14:paraId="147758A5" w14:textId="77777777" w:rsidTr="009968E0">
        <w:trPr>
          <w:trHeight w:val="680"/>
        </w:trPr>
        <w:tc>
          <w:tcPr>
            <w:tcW w:w="3123" w:type="dxa"/>
            <w:gridSpan w:val="2"/>
            <w:vMerge w:val="restart"/>
            <w:tcBorders>
              <w:top w:val="single" w:sz="12" w:space="0" w:color="000000"/>
              <w:left w:val="single" w:sz="12" w:space="0" w:color="000000"/>
              <w:bottom w:val="single" w:sz="12" w:space="0" w:color="000000"/>
              <w:right w:val="single" w:sz="12" w:space="0" w:color="000000"/>
            </w:tcBorders>
            <w:shd w:val="clear" w:color="auto" w:fill="FFFFFF"/>
            <w:vAlign w:val="bottom"/>
          </w:tcPr>
          <w:p w14:paraId="18AFC2E7"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Model</w:t>
            </w:r>
          </w:p>
        </w:tc>
        <w:tc>
          <w:tcPr>
            <w:tcW w:w="2615" w:type="dxa"/>
            <w:gridSpan w:val="2"/>
            <w:tcBorders>
              <w:top w:val="single" w:sz="12" w:space="0" w:color="000000"/>
              <w:left w:val="nil"/>
              <w:bottom w:val="single" w:sz="4" w:space="0" w:color="000000"/>
              <w:right w:val="single" w:sz="4" w:space="0" w:color="000000"/>
            </w:tcBorders>
            <w:shd w:val="clear" w:color="auto" w:fill="FFFFFF"/>
            <w:vAlign w:val="bottom"/>
          </w:tcPr>
          <w:p w14:paraId="29D4CD1E"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Unstandardized Coefficients</w:t>
            </w:r>
          </w:p>
        </w:tc>
        <w:tc>
          <w:tcPr>
            <w:tcW w:w="1414" w:type="dxa"/>
            <w:tcBorders>
              <w:top w:val="single" w:sz="12" w:space="0" w:color="000000"/>
              <w:left w:val="nil"/>
              <w:bottom w:val="single" w:sz="4" w:space="0" w:color="000000"/>
              <w:right w:val="single" w:sz="4" w:space="0" w:color="000000"/>
            </w:tcBorders>
            <w:shd w:val="clear" w:color="auto" w:fill="FFFFFF"/>
            <w:vAlign w:val="bottom"/>
          </w:tcPr>
          <w:p w14:paraId="63CDD063"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Standardized Coefficients</w:t>
            </w:r>
          </w:p>
        </w:tc>
        <w:tc>
          <w:tcPr>
            <w:tcW w:w="964" w:type="dxa"/>
            <w:vMerge w:val="restart"/>
            <w:tcBorders>
              <w:top w:val="single" w:sz="12" w:space="0" w:color="000000"/>
              <w:left w:val="single" w:sz="4" w:space="0" w:color="000000"/>
              <w:bottom w:val="single" w:sz="12" w:space="0" w:color="000000"/>
              <w:right w:val="single" w:sz="4" w:space="0" w:color="000000"/>
            </w:tcBorders>
            <w:shd w:val="clear" w:color="auto" w:fill="FFFFFF"/>
            <w:vAlign w:val="bottom"/>
          </w:tcPr>
          <w:p w14:paraId="69C053A8"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t</w:t>
            </w:r>
          </w:p>
        </w:tc>
        <w:tc>
          <w:tcPr>
            <w:tcW w:w="948" w:type="dxa"/>
            <w:vMerge w:val="restart"/>
            <w:tcBorders>
              <w:top w:val="single" w:sz="12" w:space="0" w:color="000000"/>
              <w:left w:val="single" w:sz="4" w:space="0" w:color="000000"/>
              <w:bottom w:val="single" w:sz="12" w:space="0" w:color="000000"/>
              <w:right w:val="single" w:sz="12" w:space="0" w:color="000000"/>
            </w:tcBorders>
            <w:shd w:val="clear" w:color="auto" w:fill="FFFFFF"/>
            <w:vAlign w:val="bottom"/>
          </w:tcPr>
          <w:p w14:paraId="1256513D"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Sig.</w:t>
            </w:r>
          </w:p>
        </w:tc>
      </w:tr>
      <w:tr w:rsidR="009968E0" w:rsidRPr="009968E0" w14:paraId="0BC07640" w14:textId="77777777" w:rsidTr="009968E0">
        <w:trPr>
          <w:trHeight w:val="360"/>
        </w:trPr>
        <w:tc>
          <w:tcPr>
            <w:tcW w:w="3123" w:type="dxa"/>
            <w:gridSpan w:val="2"/>
            <w:vMerge/>
            <w:tcBorders>
              <w:top w:val="single" w:sz="12" w:space="0" w:color="000000"/>
              <w:left w:val="single" w:sz="12" w:space="0" w:color="000000"/>
              <w:bottom w:val="single" w:sz="12" w:space="0" w:color="000000"/>
              <w:right w:val="single" w:sz="12" w:space="0" w:color="000000"/>
            </w:tcBorders>
            <w:shd w:val="clear" w:color="auto" w:fill="FFFFFF"/>
            <w:vAlign w:val="bottom"/>
          </w:tcPr>
          <w:p w14:paraId="4190705B" w14:textId="77777777" w:rsidR="009968E0" w:rsidRPr="009968E0" w:rsidRDefault="009968E0" w:rsidP="009968E0">
            <w:pPr>
              <w:rPr>
                <w:rFonts w:ascii="Calibri" w:eastAsia="Times New Roman" w:hAnsi="Calibri" w:cs="Calibri"/>
                <w:i/>
                <w:iCs/>
                <w:sz w:val="22"/>
                <w:szCs w:val="22"/>
                <w:lang w:eastAsia="en-GB"/>
              </w:rPr>
            </w:pPr>
          </w:p>
        </w:tc>
        <w:tc>
          <w:tcPr>
            <w:tcW w:w="1314" w:type="dxa"/>
            <w:tcBorders>
              <w:top w:val="nil"/>
              <w:left w:val="nil"/>
              <w:bottom w:val="single" w:sz="12" w:space="0" w:color="000000"/>
              <w:right w:val="single" w:sz="4" w:space="0" w:color="000000"/>
            </w:tcBorders>
            <w:shd w:val="clear" w:color="auto" w:fill="FFFFFF"/>
            <w:vAlign w:val="bottom"/>
          </w:tcPr>
          <w:p w14:paraId="5D3338A9"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B</w:t>
            </w:r>
          </w:p>
        </w:tc>
        <w:tc>
          <w:tcPr>
            <w:tcW w:w="1301" w:type="dxa"/>
            <w:tcBorders>
              <w:top w:val="nil"/>
              <w:left w:val="nil"/>
              <w:bottom w:val="single" w:sz="12" w:space="0" w:color="000000"/>
              <w:right w:val="single" w:sz="4" w:space="0" w:color="000000"/>
            </w:tcBorders>
            <w:shd w:val="clear" w:color="auto" w:fill="FFFFFF"/>
            <w:vAlign w:val="bottom"/>
          </w:tcPr>
          <w:p w14:paraId="111190ED"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Std. Error</w:t>
            </w:r>
          </w:p>
        </w:tc>
        <w:tc>
          <w:tcPr>
            <w:tcW w:w="1414" w:type="dxa"/>
            <w:tcBorders>
              <w:top w:val="nil"/>
              <w:left w:val="nil"/>
              <w:bottom w:val="single" w:sz="12" w:space="0" w:color="000000"/>
              <w:right w:val="single" w:sz="4" w:space="0" w:color="000000"/>
            </w:tcBorders>
            <w:shd w:val="clear" w:color="auto" w:fill="FFFFFF"/>
            <w:vAlign w:val="bottom"/>
          </w:tcPr>
          <w:p w14:paraId="69F18C4B"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Beta</w:t>
            </w:r>
          </w:p>
        </w:tc>
        <w:tc>
          <w:tcPr>
            <w:tcW w:w="964" w:type="dxa"/>
            <w:vMerge/>
            <w:tcBorders>
              <w:top w:val="single" w:sz="12" w:space="0" w:color="000000"/>
              <w:left w:val="single" w:sz="4" w:space="0" w:color="000000"/>
              <w:bottom w:val="single" w:sz="12" w:space="0" w:color="000000"/>
              <w:right w:val="single" w:sz="4" w:space="0" w:color="000000"/>
            </w:tcBorders>
            <w:shd w:val="clear" w:color="auto" w:fill="FFFFFF"/>
            <w:vAlign w:val="bottom"/>
          </w:tcPr>
          <w:p w14:paraId="729FFBED" w14:textId="77777777" w:rsidR="009968E0" w:rsidRPr="009968E0" w:rsidRDefault="009968E0" w:rsidP="009968E0">
            <w:pPr>
              <w:rPr>
                <w:rFonts w:ascii="Calibri" w:eastAsia="Times New Roman" w:hAnsi="Calibri" w:cs="Calibri"/>
                <w:i/>
                <w:iCs/>
                <w:sz w:val="22"/>
                <w:szCs w:val="22"/>
                <w:lang w:eastAsia="en-GB"/>
              </w:rPr>
            </w:pPr>
          </w:p>
        </w:tc>
        <w:tc>
          <w:tcPr>
            <w:tcW w:w="948" w:type="dxa"/>
            <w:vMerge/>
            <w:tcBorders>
              <w:top w:val="single" w:sz="12" w:space="0" w:color="000000"/>
              <w:left w:val="single" w:sz="4" w:space="0" w:color="000000"/>
              <w:bottom w:val="single" w:sz="12" w:space="0" w:color="000000"/>
              <w:right w:val="single" w:sz="12" w:space="0" w:color="000000"/>
            </w:tcBorders>
            <w:shd w:val="clear" w:color="auto" w:fill="FFFFFF"/>
            <w:vAlign w:val="bottom"/>
          </w:tcPr>
          <w:p w14:paraId="7E909566" w14:textId="77777777" w:rsidR="009968E0" w:rsidRPr="009968E0" w:rsidRDefault="009968E0" w:rsidP="009968E0">
            <w:pPr>
              <w:rPr>
                <w:rFonts w:ascii="Calibri" w:eastAsia="Times New Roman" w:hAnsi="Calibri" w:cs="Calibri"/>
                <w:i/>
                <w:iCs/>
                <w:sz w:val="22"/>
                <w:szCs w:val="22"/>
                <w:lang w:eastAsia="en-GB"/>
              </w:rPr>
            </w:pPr>
          </w:p>
        </w:tc>
      </w:tr>
      <w:tr w:rsidR="009968E0" w:rsidRPr="009968E0" w14:paraId="30931A52" w14:textId="77777777" w:rsidTr="009968E0">
        <w:trPr>
          <w:trHeight w:val="360"/>
        </w:trPr>
        <w:tc>
          <w:tcPr>
            <w:tcW w:w="328" w:type="dxa"/>
            <w:vMerge w:val="restart"/>
            <w:tcBorders>
              <w:top w:val="nil"/>
              <w:left w:val="single" w:sz="12" w:space="0" w:color="000000"/>
              <w:bottom w:val="single" w:sz="4" w:space="0" w:color="000000"/>
              <w:right w:val="nil"/>
            </w:tcBorders>
            <w:shd w:val="clear" w:color="auto" w:fill="FFFFFF"/>
          </w:tcPr>
          <w:p w14:paraId="71852307"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w:t>
            </w:r>
          </w:p>
        </w:tc>
        <w:tc>
          <w:tcPr>
            <w:tcW w:w="2795" w:type="dxa"/>
            <w:tcBorders>
              <w:top w:val="nil"/>
              <w:left w:val="nil"/>
              <w:bottom w:val="nil"/>
              <w:right w:val="single" w:sz="12" w:space="0" w:color="000000"/>
            </w:tcBorders>
            <w:shd w:val="clear" w:color="auto" w:fill="FDE9D9"/>
            <w:vAlign w:val="center"/>
          </w:tcPr>
          <w:p w14:paraId="1B9DC313"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(Constant)</w:t>
            </w:r>
          </w:p>
        </w:tc>
        <w:tc>
          <w:tcPr>
            <w:tcW w:w="1314" w:type="dxa"/>
            <w:tcBorders>
              <w:top w:val="nil"/>
              <w:left w:val="nil"/>
              <w:bottom w:val="nil"/>
              <w:right w:val="single" w:sz="4" w:space="0" w:color="000000"/>
            </w:tcBorders>
            <w:shd w:val="clear" w:color="auto" w:fill="FDE9D9"/>
            <w:vAlign w:val="center"/>
          </w:tcPr>
          <w:p w14:paraId="0E516960"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-.191</w:t>
            </w:r>
          </w:p>
        </w:tc>
        <w:tc>
          <w:tcPr>
            <w:tcW w:w="1301" w:type="dxa"/>
            <w:tcBorders>
              <w:top w:val="nil"/>
              <w:left w:val="nil"/>
              <w:bottom w:val="nil"/>
              <w:right w:val="single" w:sz="4" w:space="0" w:color="000000"/>
            </w:tcBorders>
            <w:shd w:val="clear" w:color="auto" w:fill="FDE9D9"/>
            <w:vAlign w:val="center"/>
          </w:tcPr>
          <w:p w14:paraId="64444790"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.219</w:t>
            </w:r>
          </w:p>
        </w:tc>
        <w:tc>
          <w:tcPr>
            <w:tcW w:w="1414" w:type="dxa"/>
            <w:tcBorders>
              <w:top w:val="nil"/>
              <w:left w:val="nil"/>
              <w:bottom w:val="nil"/>
              <w:right w:val="single" w:sz="4" w:space="0" w:color="000000"/>
            </w:tcBorders>
            <w:shd w:val="clear" w:color="auto" w:fill="FDE9D9"/>
            <w:vAlign w:val="center"/>
          </w:tcPr>
          <w:p w14:paraId="2A7A484A" w14:textId="77777777" w:rsidR="009968E0" w:rsidRPr="009968E0" w:rsidRDefault="009968E0" w:rsidP="009968E0">
            <w:pPr>
              <w:jc w:val="right"/>
              <w:rPr>
                <w:rFonts w:ascii="Calibri" w:eastAsia="Times New Roman" w:hAnsi="Calibri" w:cs="Calibri"/>
                <w:i/>
                <w:iCs/>
                <w:sz w:val="22"/>
                <w:szCs w:val="22"/>
                <w:lang w:eastAsia="en-GB"/>
              </w:rPr>
            </w:pPr>
          </w:p>
        </w:tc>
        <w:tc>
          <w:tcPr>
            <w:tcW w:w="964" w:type="dxa"/>
            <w:tcBorders>
              <w:top w:val="nil"/>
              <w:left w:val="nil"/>
              <w:bottom w:val="nil"/>
              <w:right w:val="single" w:sz="4" w:space="0" w:color="000000"/>
            </w:tcBorders>
            <w:shd w:val="clear" w:color="auto" w:fill="FDE9D9"/>
            <w:vAlign w:val="center"/>
          </w:tcPr>
          <w:p w14:paraId="303404B8"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-.872</w:t>
            </w:r>
          </w:p>
        </w:tc>
        <w:tc>
          <w:tcPr>
            <w:tcW w:w="948" w:type="dxa"/>
            <w:tcBorders>
              <w:top w:val="nil"/>
              <w:left w:val="nil"/>
              <w:bottom w:val="nil"/>
              <w:right w:val="single" w:sz="12" w:space="0" w:color="000000"/>
            </w:tcBorders>
            <w:shd w:val="clear" w:color="auto" w:fill="FDE9D9"/>
            <w:vAlign w:val="center"/>
          </w:tcPr>
          <w:p w14:paraId="56A5C568"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.386</w:t>
            </w:r>
          </w:p>
        </w:tc>
      </w:tr>
      <w:tr w:rsidR="009968E0" w:rsidRPr="009968E0" w14:paraId="1FC33514" w14:textId="77777777" w:rsidTr="009968E0">
        <w:trPr>
          <w:trHeight w:val="360"/>
        </w:trPr>
        <w:tc>
          <w:tcPr>
            <w:tcW w:w="328" w:type="dxa"/>
            <w:vMerge/>
            <w:tcBorders>
              <w:top w:val="nil"/>
              <w:left w:val="single" w:sz="12" w:space="0" w:color="000000"/>
              <w:bottom w:val="single" w:sz="4" w:space="0" w:color="000000"/>
              <w:right w:val="nil"/>
            </w:tcBorders>
            <w:shd w:val="clear" w:color="auto" w:fill="FFFFFF"/>
          </w:tcPr>
          <w:p w14:paraId="16659914" w14:textId="77777777" w:rsidR="009968E0" w:rsidRPr="009968E0" w:rsidRDefault="009968E0" w:rsidP="009968E0">
            <w:pPr>
              <w:rPr>
                <w:rFonts w:ascii="Calibri" w:eastAsia="Times New Roman" w:hAnsi="Calibri" w:cs="Calibri"/>
                <w:i/>
                <w:iCs/>
                <w:sz w:val="22"/>
                <w:szCs w:val="22"/>
                <w:lang w:eastAsia="en-GB"/>
              </w:rPr>
            </w:pPr>
          </w:p>
        </w:tc>
        <w:tc>
          <w:tcPr>
            <w:tcW w:w="2795" w:type="dxa"/>
            <w:tcBorders>
              <w:top w:val="nil"/>
              <w:left w:val="nil"/>
              <w:bottom w:val="single" w:sz="4" w:space="0" w:color="000000"/>
              <w:right w:val="single" w:sz="12" w:space="0" w:color="000000"/>
            </w:tcBorders>
            <w:shd w:val="clear" w:color="auto" w:fill="FFFFFF"/>
            <w:vAlign w:val="center"/>
          </w:tcPr>
          <w:p w14:paraId="52AE4D36" w14:textId="77777777" w:rsidR="009968E0" w:rsidRPr="009968E0" w:rsidRDefault="009968E0" w:rsidP="009968E0">
            <w:pPr>
              <w:jc w:val="right"/>
              <w:rPr>
                <w:rFonts w:ascii="Calibri" w:eastAsia="Times New Roman" w:hAnsi="Calibri" w:cs="Calibri"/>
                <w:i/>
                <w:iCs/>
                <w:sz w:val="22"/>
                <w:szCs w:val="22"/>
                <w:lang w:eastAsia="en-GB"/>
              </w:rPr>
            </w:pPr>
            <w:proofErr w:type="spellStart"/>
            <w:r w:rsidRPr="009968E0">
              <w:rPr>
                <w:rFonts w:ascii="Calibri" w:eastAsia="Times New Roman" w:hAnsi="Calibri" w:cs="Calibri"/>
                <w:i/>
                <w:iCs/>
                <w:sz w:val="22"/>
                <w:szCs w:val="22"/>
                <w:lang w:eastAsia="en-GB"/>
              </w:rPr>
              <w:t>likert_centred</w:t>
            </w:r>
            <w:proofErr w:type="spellEnd"/>
          </w:p>
        </w:tc>
        <w:tc>
          <w:tcPr>
            <w:tcW w:w="1314" w:type="dxa"/>
            <w:tcBorders>
              <w:top w:val="nil"/>
              <w:left w:val="nil"/>
              <w:bottom w:val="single" w:sz="4" w:space="0" w:color="000000"/>
              <w:right w:val="single" w:sz="4" w:space="0" w:color="000000"/>
            </w:tcBorders>
            <w:shd w:val="clear" w:color="auto" w:fill="FFFFFF"/>
            <w:vAlign w:val="center"/>
          </w:tcPr>
          <w:p w14:paraId="03D4EC42"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.112</w:t>
            </w:r>
          </w:p>
        </w:tc>
        <w:tc>
          <w:tcPr>
            <w:tcW w:w="1301" w:type="dxa"/>
            <w:tcBorders>
              <w:top w:val="nil"/>
              <w:left w:val="nil"/>
              <w:bottom w:val="single" w:sz="4" w:space="0" w:color="000000"/>
              <w:right w:val="single" w:sz="4" w:space="0" w:color="000000"/>
            </w:tcBorders>
            <w:shd w:val="clear" w:color="auto" w:fill="FFFFFF"/>
            <w:vAlign w:val="center"/>
          </w:tcPr>
          <w:p w14:paraId="1A785913"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.161</w:t>
            </w:r>
          </w:p>
        </w:tc>
        <w:tc>
          <w:tcPr>
            <w:tcW w:w="1414" w:type="dxa"/>
            <w:tcBorders>
              <w:top w:val="nil"/>
              <w:left w:val="nil"/>
              <w:bottom w:val="single" w:sz="4" w:space="0" w:color="000000"/>
              <w:right w:val="single" w:sz="4" w:space="0" w:color="000000"/>
            </w:tcBorders>
            <w:shd w:val="clear" w:color="auto" w:fill="FFFFFF"/>
            <w:vAlign w:val="center"/>
          </w:tcPr>
          <w:p w14:paraId="15FDF11E"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.082</w:t>
            </w:r>
          </w:p>
        </w:tc>
        <w:tc>
          <w:tcPr>
            <w:tcW w:w="964" w:type="dxa"/>
            <w:tcBorders>
              <w:top w:val="nil"/>
              <w:left w:val="nil"/>
              <w:bottom w:val="single" w:sz="4" w:space="0" w:color="000000"/>
              <w:right w:val="single" w:sz="4" w:space="0" w:color="000000"/>
            </w:tcBorders>
            <w:shd w:val="clear" w:color="auto" w:fill="FFFFFF"/>
            <w:vAlign w:val="center"/>
          </w:tcPr>
          <w:p w14:paraId="4A17BCC0"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.693</w:t>
            </w:r>
          </w:p>
        </w:tc>
        <w:tc>
          <w:tcPr>
            <w:tcW w:w="948" w:type="dxa"/>
            <w:tcBorders>
              <w:top w:val="nil"/>
              <w:left w:val="nil"/>
              <w:bottom w:val="single" w:sz="4" w:space="0" w:color="000000"/>
              <w:right w:val="single" w:sz="12" w:space="0" w:color="000000"/>
            </w:tcBorders>
            <w:shd w:val="clear" w:color="auto" w:fill="FFFFFF"/>
            <w:vAlign w:val="center"/>
          </w:tcPr>
          <w:p w14:paraId="0BB0FC14"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.491</w:t>
            </w:r>
          </w:p>
        </w:tc>
      </w:tr>
      <w:tr w:rsidR="009968E0" w:rsidRPr="009968E0" w14:paraId="369C5E67" w14:textId="77777777" w:rsidTr="009968E0">
        <w:trPr>
          <w:trHeight w:val="360"/>
        </w:trPr>
        <w:tc>
          <w:tcPr>
            <w:tcW w:w="328" w:type="dxa"/>
            <w:vMerge w:val="restart"/>
            <w:tcBorders>
              <w:top w:val="nil"/>
              <w:left w:val="single" w:sz="12" w:space="0" w:color="000000"/>
              <w:bottom w:val="single" w:sz="12" w:space="0" w:color="000000"/>
              <w:right w:val="nil"/>
            </w:tcBorders>
            <w:shd w:val="clear" w:color="auto" w:fill="FFFFFF"/>
          </w:tcPr>
          <w:p w14:paraId="1ED80161"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w:t>
            </w:r>
          </w:p>
        </w:tc>
        <w:tc>
          <w:tcPr>
            <w:tcW w:w="2795" w:type="dxa"/>
            <w:tcBorders>
              <w:top w:val="nil"/>
              <w:left w:val="nil"/>
              <w:bottom w:val="nil"/>
              <w:right w:val="single" w:sz="12" w:space="0" w:color="000000"/>
            </w:tcBorders>
            <w:shd w:val="clear" w:color="auto" w:fill="FDE9D9"/>
            <w:vAlign w:val="center"/>
          </w:tcPr>
          <w:p w14:paraId="5FB9BA28"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(Constant)</w:t>
            </w:r>
          </w:p>
        </w:tc>
        <w:tc>
          <w:tcPr>
            <w:tcW w:w="1314" w:type="dxa"/>
            <w:tcBorders>
              <w:top w:val="nil"/>
              <w:left w:val="nil"/>
              <w:bottom w:val="nil"/>
              <w:right w:val="single" w:sz="4" w:space="0" w:color="000000"/>
            </w:tcBorders>
            <w:shd w:val="clear" w:color="auto" w:fill="FDE9D9"/>
            <w:vAlign w:val="center"/>
          </w:tcPr>
          <w:p w14:paraId="73277B27"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.395</w:t>
            </w:r>
          </w:p>
        </w:tc>
        <w:tc>
          <w:tcPr>
            <w:tcW w:w="1301" w:type="dxa"/>
            <w:tcBorders>
              <w:top w:val="nil"/>
              <w:left w:val="nil"/>
              <w:bottom w:val="nil"/>
              <w:right w:val="single" w:sz="4" w:space="0" w:color="000000"/>
            </w:tcBorders>
            <w:shd w:val="clear" w:color="auto" w:fill="FDE9D9"/>
            <w:vAlign w:val="center"/>
          </w:tcPr>
          <w:p w14:paraId="4CAC7337"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.419</w:t>
            </w:r>
          </w:p>
        </w:tc>
        <w:tc>
          <w:tcPr>
            <w:tcW w:w="1414" w:type="dxa"/>
            <w:tcBorders>
              <w:top w:val="nil"/>
              <w:left w:val="nil"/>
              <w:bottom w:val="nil"/>
              <w:right w:val="single" w:sz="4" w:space="0" w:color="000000"/>
            </w:tcBorders>
            <w:shd w:val="clear" w:color="auto" w:fill="FDE9D9"/>
            <w:vAlign w:val="center"/>
          </w:tcPr>
          <w:p w14:paraId="0ECCDC20" w14:textId="77777777" w:rsidR="009968E0" w:rsidRPr="009968E0" w:rsidRDefault="009968E0" w:rsidP="009968E0">
            <w:pPr>
              <w:jc w:val="right"/>
              <w:rPr>
                <w:rFonts w:ascii="Calibri" w:eastAsia="Times New Roman" w:hAnsi="Calibri" w:cs="Calibri"/>
                <w:i/>
                <w:iCs/>
                <w:sz w:val="22"/>
                <w:szCs w:val="22"/>
                <w:lang w:eastAsia="en-GB"/>
              </w:rPr>
            </w:pPr>
          </w:p>
        </w:tc>
        <w:tc>
          <w:tcPr>
            <w:tcW w:w="964" w:type="dxa"/>
            <w:tcBorders>
              <w:top w:val="nil"/>
              <w:left w:val="nil"/>
              <w:bottom w:val="nil"/>
              <w:right w:val="single" w:sz="4" w:space="0" w:color="000000"/>
            </w:tcBorders>
            <w:shd w:val="clear" w:color="auto" w:fill="FDE9D9"/>
            <w:vAlign w:val="center"/>
          </w:tcPr>
          <w:p w14:paraId="6425749D"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.944</w:t>
            </w:r>
          </w:p>
        </w:tc>
        <w:tc>
          <w:tcPr>
            <w:tcW w:w="948" w:type="dxa"/>
            <w:tcBorders>
              <w:top w:val="nil"/>
              <w:left w:val="nil"/>
              <w:bottom w:val="nil"/>
              <w:right w:val="single" w:sz="12" w:space="0" w:color="000000"/>
            </w:tcBorders>
            <w:shd w:val="clear" w:color="auto" w:fill="FDE9D9"/>
            <w:vAlign w:val="center"/>
          </w:tcPr>
          <w:p w14:paraId="0BF7A5B2"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.349</w:t>
            </w:r>
          </w:p>
        </w:tc>
      </w:tr>
      <w:tr w:rsidR="009968E0" w:rsidRPr="009968E0" w14:paraId="148F0E5C" w14:textId="77777777" w:rsidTr="009968E0">
        <w:trPr>
          <w:trHeight w:val="360"/>
        </w:trPr>
        <w:tc>
          <w:tcPr>
            <w:tcW w:w="328" w:type="dxa"/>
            <w:vMerge/>
            <w:tcBorders>
              <w:top w:val="nil"/>
              <w:left w:val="single" w:sz="12" w:space="0" w:color="000000"/>
              <w:bottom w:val="single" w:sz="12" w:space="0" w:color="000000"/>
              <w:right w:val="nil"/>
            </w:tcBorders>
            <w:shd w:val="clear" w:color="auto" w:fill="FFFFFF"/>
          </w:tcPr>
          <w:p w14:paraId="27DE6CDC" w14:textId="77777777" w:rsidR="009968E0" w:rsidRPr="009968E0" w:rsidRDefault="009968E0" w:rsidP="009968E0">
            <w:pPr>
              <w:rPr>
                <w:rFonts w:ascii="Calibri" w:eastAsia="Times New Roman" w:hAnsi="Calibri" w:cs="Calibri"/>
                <w:i/>
                <w:iCs/>
                <w:sz w:val="22"/>
                <w:szCs w:val="22"/>
                <w:lang w:eastAsia="en-GB"/>
              </w:rPr>
            </w:pPr>
          </w:p>
        </w:tc>
        <w:tc>
          <w:tcPr>
            <w:tcW w:w="2795" w:type="dxa"/>
            <w:tcBorders>
              <w:top w:val="nil"/>
              <w:left w:val="nil"/>
              <w:bottom w:val="nil"/>
              <w:right w:val="single" w:sz="12" w:space="0" w:color="000000"/>
            </w:tcBorders>
            <w:shd w:val="clear" w:color="auto" w:fill="FFFFFF"/>
            <w:vAlign w:val="center"/>
          </w:tcPr>
          <w:p w14:paraId="1B030CCA" w14:textId="77777777" w:rsidR="009968E0" w:rsidRPr="009968E0" w:rsidRDefault="009968E0" w:rsidP="009968E0">
            <w:pPr>
              <w:jc w:val="right"/>
              <w:rPr>
                <w:rFonts w:ascii="Calibri" w:eastAsia="Times New Roman" w:hAnsi="Calibri" w:cs="Calibri"/>
                <w:i/>
                <w:iCs/>
                <w:sz w:val="22"/>
                <w:szCs w:val="22"/>
                <w:lang w:eastAsia="en-GB"/>
              </w:rPr>
            </w:pPr>
            <w:proofErr w:type="spellStart"/>
            <w:r w:rsidRPr="009968E0">
              <w:rPr>
                <w:rFonts w:ascii="Calibri" w:eastAsia="Times New Roman" w:hAnsi="Calibri" w:cs="Calibri"/>
                <w:i/>
                <w:iCs/>
                <w:sz w:val="22"/>
                <w:szCs w:val="22"/>
                <w:lang w:eastAsia="en-GB"/>
              </w:rPr>
              <w:t>likert_centred</w:t>
            </w:r>
            <w:proofErr w:type="spellEnd"/>
          </w:p>
        </w:tc>
        <w:tc>
          <w:tcPr>
            <w:tcW w:w="1314" w:type="dxa"/>
            <w:tcBorders>
              <w:top w:val="nil"/>
              <w:left w:val="nil"/>
              <w:bottom w:val="nil"/>
              <w:right w:val="single" w:sz="4" w:space="0" w:color="000000"/>
            </w:tcBorders>
            <w:shd w:val="clear" w:color="auto" w:fill="FFFFFF"/>
            <w:vAlign w:val="center"/>
          </w:tcPr>
          <w:p w14:paraId="5F0E6531"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-.595</w:t>
            </w:r>
          </w:p>
        </w:tc>
        <w:tc>
          <w:tcPr>
            <w:tcW w:w="1301" w:type="dxa"/>
            <w:tcBorders>
              <w:top w:val="nil"/>
              <w:left w:val="nil"/>
              <w:bottom w:val="nil"/>
              <w:right w:val="single" w:sz="4" w:space="0" w:color="000000"/>
            </w:tcBorders>
            <w:shd w:val="clear" w:color="auto" w:fill="FFFFFF"/>
            <w:vAlign w:val="center"/>
          </w:tcPr>
          <w:p w14:paraId="464CF167"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.278</w:t>
            </w:r>
          </w:p>
        </w:tc>
        <w:tc>
          <w:tcPr>
            <w:tcW w:w="1414" w:type="dxa"/>
            <w:tcBorders>
              <w:top w:val="nil"/>
              <w:left w:val="nil"/>
              <w:bottom w:val="nil"/>
              <w:right w:val="single" w:sz="4" w:space="0" w:color="000000"/>
            </w:tcBorders>
            <w:shd w:val="clear" w:color="auto" w:fill="FFFFFF"/>
            <w:vAlign w:val="center"/>
          </w:tcPr>
          <w:p w14:paraId="10D5C5C7"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-.437</w:t>
            </w:r>
          </w:p>
        </w:tc>
        <w:tc>
          <w:tcPr>
            <w:tcW w:w="964" w:type="dxa"/>
            <w:tcBorders>
              <w:top w:val="nil"/>
              <w:left w:val="nil"/>
              <w:bottom w:val="nil"/>
              <w:right w:val="single" w:sz="4" w:space="0" w:color="000000"/>
            </w:tcBorders>
            <w:shd w:val="clear" w:color="auto" w:fill="FFFFFF"/>
            <w:vAlign w:val="center"/>
          </w:tcPr>
          <w:p w14:paraId="74111019"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-2.144</w:t>
            </w:r>
          </w:p>
        </w:tc>
        <w:tc>
          <w:tcPr>
            <w:tcW w:w="948" w:type="dxa"/>
            <w:tcBorders>
              <w:top w:val="nil"/>
              <w:left w:val="nil"/>
              <w:bottom w:val="nil"/>
              <w:right w:val="single" w:sz="12" w:space="0" w:color="000000"/>
            </w:tcBorders>
            <w:shd w:val="clear" w:color="auto" w:fill="FFFFFF"/>
            <w:vAlign w:val="center"/>
          </w:tcPr>
          <w:p w14:paraId="4DA380BF"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.036</w:t>
            </w:r>
          </w:p>
        </w:tc>
      </w:tr>
      <w:tr w:rsidR="009968E0" w:rsidRPr="009968E0" w14:paraId="7FBD94E3" w14:textId="77777777" w:rsidTr="009968E0">
        <w:trPr>
          <w:trHeight w:val="680"/>
        </w:trPr>
        <w:tc>
          <w:tcPr>
            <w:tcW w:w="328" w:type="dxa"/>
            <w:vMerge/>
            <w:tcBorders>
              <w:top w:val="nil"/>
              <w:left w:val="single" w:sz="12" w:space="0" w:color="000000"/>
              <w:bottom w:val="single" w:sz="12" w:space="0" w:color="000000"/>
              <w:right w:val="nil"/>
            </w:tcBorders>
            <w:shd w:val="clear" w:color="auto" w:fill="FFFFFF"/>
          </w:tcPr>
          <w:p w14:paraId="4F269346" w14:textId="77777777" w:rsidR="009968E0" w:rsidRPr="009968E0" w:rsidRDefault="009968E0" w:rsidP="009968E0">
            <w:pPr>
              <w:rPr>
                <w:rFonts w:ascii="Calibri" w:eastAsia="Times New Roman" w:hAnsi="Calibri" w:cs="Calibri"/>
                <w:i/>
                <w:iCs/>
                <w:sz w:val="22"/>
                <w:szCs w:val="22"/>
                <w:lang w:eastAsia="en-GB"/>
              </w:rPr>
            </w:pPr>
          </w:p>
        </w:tc>
        <w:tc>
          <w:tcPr>
            <w:tcW w:w="2795" w:type="dxa"/>
            <w:tcBorders>
              <w:top w:val="nil"/>
              <w:left w:val="nil"/>
              <w:bottom w:val="nil"/>
              <w:right w:val="single" w:sz="12" w:space="0" w:color="000000"/>
            </w:tcBorders>
            <w:shd w:val="clear" w:color="auto" w:fill="FDE9D9"/>
            <w:vAlign w:val="center"/>
          </w:tcPr>
          <w:p w14:paraId="15ECB295" w14:textId="77777777" w:rsidR="009968E0" w:rsidRPr="009968E0" w:rsidRDefault="009968E0" w:rsidP="009968E0">
            <w:pPr>
              <w:jc w:val="right"/>
              <w:rPr>
                <w:rFonts w:ascii="Calibri" w:eastAsia="Times New Roman" w:hAnsi="Calibri" w:cs="Calibri"/>
                <w:i/>
                <w:iCs/>
                <w:sz w:val="22"/>
                <w:szCs w:val="22"/>
                <w:lang w:eastAsia="en-GB"/>
              </w:rPr>
            </w:pPr>
            <w:proofErr w:type="spellStart"/>
            <w:r w:rsidRPr="009968E0">
              <w:rPr>
                <w:rFonts w:ascii="Calibri" w:eastAsia="Times New Roman" w:hAnsi="Calibri" w:cs="Calibri"/>
                <w:i/>
                <w:iCs/>
                <w:sz w:val="22"/>
                <w:szCs w:val="22"/>
                <w:lang w:eastAsia="en-GB"/>
              </w:rPr>
              <w:t>Intercept_P-DPN_vs_DPN</w:t>
            </w:r>
            <w:proofErr w:type="spellEnd"/>
          </w:p>
        </w:tc>
        <w:tc>
          <w:tcPr>
            <w:tcW w:w="1314" w:type="dxa"/>
            <w:tcBorders>
              <w:top w:val="nil"/>
              <w:left w:val="nil"/>
              <w:bottom w:val="nil"/>
              <w:right w:val="single" w:sz="4" w:space="0" w:color="000000"/>
            </w:tcBorders>
            <w:shd w:val="clear" w:color="auto" w:fill="FDE9D9"/>
            <w:vAlign w:val="center"/>
          </w:tcPr>
          <w:p w14:paraId="348BC2EA"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-1.142</w:t>
            </w:r>
          </w:p>
        </w:tc>
        <w:tc>
          <w:tcPr>
            <w:tcW w:w="1301" w:type="dxa"/>
            <w:tcBorders>
              <w:top w:val="nil"/>
              <w:left w:val="nil"/>
              <w:bottom w:val="nil"/>
              <w:right w:val="single" w:sz="4" w:space="0" w:color="000000"/>
            </w:tcBorders>
            <w:shd w:val="clear" w:color="auto" w:fill="FDE9D9"/>
            <w:vAlign w:val="center"/>
          </w:tcPr>
          <w:p w14:paraId="70C15B1A"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.556</w:t>
            </w:r>
          </w:p>
        </w:tc>
        <w:tc>
          <w:tcPr>
            <w:tcW w:w="1414" w:type="dxa"/>
            <w:tcBorders>
              <w:top w:val="nil"/>
              <w:left w:val="nil"/>
              <w:bottom w:val="nil"/>
              <w:right w:val="single" w:sz="4" w:space="0" w:color="000000"/>
            </w:tcBorders>
            <w:shd w:val="clear" w:color="auto" w:fill="FDE9D9"/>
            <w:vAlign w:val="center"/>
          </w:tcPr>
          <w:p w14:paraId="44D0FB51"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-.287</w:t>
            </w:r>
          </w:p>
        </w:tc>
        <w:tc>
          <w:tcPr>
            <w:tcW w:w="964" w:type="dxa"/>
            <w:tcBorders>
              <w:top w:val="nil"/>
              <w:left w:val="nil"/>
              <w:bottom w:val="nil"/>
              <w:right w:val="single" w:sz="4" w:space="0" w:color="000000"/>
            </w:tcBorders>
            <w:shd w:val="clear" w:color="auto" w:fill="FDE9D9"/>
            <w:vAlign w:val="center"/>
          </w:tcPr>
          <w:p w14:paraId="20462A78"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-2.052</w:t>
            </w:r>
          </w:p>
        </w:tc>
        <w:tc>
          <w:tcPr>
            <w:tcW w:w="948" w:type="dxa"/>
            <w:tcBorders>
              <w:top w:val="nil"/>
              <w:left w:val="nil"/>
              <w:bottom w:val="nil"/>
              <w:right w:val="single" w:sz="12" w:space="0" w:color="000000"/>
            </w:tcBorders>
            <w:shd w:val="clear" w:color="auto" w:fill="FDE9D9"/>
            <w:vAlign w:val="center"/>
          </w:tcPr>
          <w:p w14:paraId="3ED8017B"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.044</w:t>
            </w:r>
          </w:p>
        </w:tc>
      </w:tr>
      <w:tr w:rsidR="009968E0" w:rsidRPr="009968E0" w14:paraId="6CFFA694" w14:textId="77777777" w:rsidTr="009968E0">
        <w:trPr>
          <w:trHeight w:val="680"/>
        </w:trPr>
        <w:tc>
          <w:tcPr>
            <w:tcW w:w="328" w:type="dxa"/>
            <w:vMerge/>
            <w:tcBorders>
              <w:top w:val="nil"/>
              <w:left w:val="single" w:sz="12" w:space="0" w:color="000000"/>
              <w:bottom w:val="single" w:sz="12" w:space="0" w:color="000000"/>
              <w:right w:val="nil"/>
            </w:tcBorders>
            <w:shd w:val="clear" w:color="auto" w:fill="FFFFFF"/>
          </w:tcPr>
          <w:p w14:paraId="2705B410" w14:textId="77777777" w:rsidR="009968E0" w:rsidRPr="009968E0" w:rsidRDefault="009968E0" w:rsidP="009968E0">
            <w:pPr>
              <w:rPr>
                <w:rFonts w:ascii="Calibri" w:eastAsia="Times New Roman" w:hAnsi="Calibri" w:cs="Calibri"/>
                <w:i/>
                <w:iCs/>
                <w:sz w:val="22"/>
                <w:szCs w:val="22"/>
                <w:lang w:eastAsia="en-GB"/>
              </w:rPr>
            </w:pPr>
          </w:p>
        </w:tc>
        <w:tc>
          <w:tcPr>
            <w:tcW w:w="2795" w:type="dxa"/>
            <w:tcBorders>
              <w:top w:val="nil"/>
              <w:left w:val="nil"/>
              <w:bottom w:val="nil"/>
              <w:right w:val="single" w:sz="12" w:space="0" w:color="000000"/>
            </w:tcBorders>
            <w:shd w:val="clear" w:color="auto" w:fill="FFFFFF"/>
            <w:vAlign w:val="center"/>
          </w:tcPr>
          <w:p w14:paraId="20D99D5C" w14:textId="77777777" w:rsidR="009968E0" w:rsidRPr="009968E0" w:rsidRDefault="009968E0" w:rsidP="009968E0">
            <w:pPr>
              <w:jc w:val="right"/>
              <w:rPr>
                <w:rFonts w:ascii="Calibri" w:eastAsia="Times New Roman" w:hAnsi="Calibri" w:cs="Calibri"/>
                <w:i/>
                <w:iCs/>
                <w:sz w:val="22"/>
                <w:szCs w:val="22"/>
                <w:lang w:eastAsia="en-GB"/>
              </w:rPr>
            </w:pPr>
            <w:proofErr w:type="spellStart"/>
            <w:r w:rsidRPr="009968E0">
              <w:rPr>
                <w:rFonts w:ascii="Calibri" w:eastAsia="Times New Roman" w:hAnsi="Calibri" w:cs="Calibri"/>
                <w:i/>
                <w:iCs/>
                <w:sz w:val="22"/>
                <w:szCs w:val="22"/>
                <w:lang w:eastAsia="en-GB"/>
              </w:rPr>
              <w:t>Intercept_P-DPN_vs_DM_NN</w:t>
            </w:r>
            <w:proofErr w:type="spellEnd"/>
          </w:p>
        </w:tc>
        <w:tc>
          <w:tcPr>
            <w:tcW w:w="1314" w:type="dxa"/>
            <w:tcBorders>
              <w:top w:val="nil"/>
              <w:left w:val="nil"/>
              <w:bottom w:val="nil"/>
              <w:right w:val="single" w:sz="4" w:space="0" w:color="000000"/>
            </w:tcBorders>
            <w:shd w:val="clear" w:color="auto" w:fill="FFFFFF"/>
            <w:vAlign w:val="center"/>
          </w:tcPr>
          <w:p w14:paraId="57769A34"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-.505</w:t>
            </w:r>
          </w:p>
        </w:tc>
        <w:tc>
          <w:tcPr>
            <w:tcW w:w="1301" w:type="dxa"/>
            <w:tcBorders>
              <w:top w:val="nil"/>
              <w:left w:val="nil"/>
              <w:bottom w:val="nil"/>
              <w:right w:val="single" w:sz="4" w:space="0" w:color="000000"/>
            </w:tcBorders>
            <w:shd w:val="clear" w:color="auto" w:fill="FFFFFF"/>
            <w:vAlign w:val="center"/>
          </w:tcPr>
          <w:p w14:paraId="7C06972D"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.678</w:t>
            </w:r>
          </w:p>
        </w:tc>
        <w:tc>
          <w:tcPr>
            <w:tcW w:w="1414" w:type="dxa"/>
            <w:tcBorders>
              <w:top w:val="nil"/>
              <w:left w:val="nil"/>
              <w:bottom w:val="nil"/>
              <w:right w:val="single" w:sz="4" w:space="0" w:color="000000"/>
            </w:tcBorders>
            <w:shd w:val="clear" w:color="auto" w:fill="FFFFFF"/>
            <w:vAlign w:val="center"/>
          </w:tcPr>
          <w:p w14:paraId="23E294D5"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-.105</w:t>
            </w:r>
          </w:p>
        </w:tc>
        <w:tc>
          <w:tcPr>
            <w:tcW w:w="964" w:type="dxa"/>
            <w:tcBorders>
              <w:top w:val="nil"/>
              <w:left w:val="nil"/>
              <w:bottom w:val="nil"/>
              <w:right w:val="single" w:sz="4" w:space="0" w:color="000000"/>
            </w:tcBorders>
            <w:shd w:val="clear" w:color="auto" w:fill="FFFFFF"/>
            <w:vAlign w:val="center"/>
          </w:tcPr>
          <w:p w14:paraId="4674700B"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-.745</w:t>
            </w:r>
          </w:p>
        </w:tc>
        <w:tc>
          <w:tcPr>
            <w:tcW w:w="948" w:type="dxa"/>
            <w:tcBorders>
              <w:top w:val="nil"/>
              <w:left w:val="nil"/>
              <w:bottom w:val="nil"/>
              <w:right w:val="single" w:sz="12" w:space="0" w:color="000000"/>
            </w:tcBorders>
            <w:shd w:val="clear" w:color="auto" w:fill="FFFFFF"/>
            <w:vAlign w:val="center"/>
          </w:tcPr>
          <w:p w14:paraId="7BFB2677"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.459</w:t>
            </w:r>
          </w:p>
        </w:tc>
      </w:tr>
      <w:tr w:rsidR="009968E0" w:rsidRPr="009968E0" w14:paraId="34AF55D2" w14:textId="77777777" w:rsidTr="009968E0">
        <w:trPr>
          <w:trHeight w:val="680"/>
        </w:trPr>
        <w:tc>
          <w:tcPr>
            <w:tcW w:w="328" w:type="dxa"/>
            <w:vMerge/>
            <w:tcBorders>
              <w:top w:val="nil"/>
              <w:left w:val="single" w:sz="12" w:space="0" w:color="000000"/>
              <w:bottom w:val="single" w:sz="12" w:space="0" w:color="000000"/>
              <w:right w:val="nil"/>
            </w:tcBorders>
            <w:shd w:val="clear" w:color="auto" w:fill="FFFFFF"/>
          </w:tcPr>
          <w:p w14:paraId="26A665A4" w14:textId="77777777" w:rsidR="009968E0" w:rsidRPr="009968E0" w:rsidRDefault="009968E0" w:rsidP="009968E0">
            <w:pPr>
              <w:rPr>
                <w:rFonts w:ascii="Calibri" w:eastAsia="Times New Roman" w:hAnsi="Calibri" w:cs="Calibri"/>
                <w:i/>
                <w:iCs/>
                <w:sz w:val="22"/>
                <w:szCs w:val="22"/>
                <w:lang w:eastAsia="en-GB"/>
              </w:rPr>
            </w:pPr>
          </w:p>
        </w:tc>
        <w:tc>
          <w:tcPr>
            <w:tcW w:w="2795" w:type="dxa"/>
            <w:tcBorders>
              <w:top w:val="nil"/>
              <w:left w:val="nil"/>
              <w:bottom w:val="nil"/>
              <w:right w:val="single" w:sz="12" w:space="0" w:color="000000"/>
            </w:tcBorders>
            <w:shd w:val="clear" w:color="auto" w:fill="FDE9D9"/>
            <w:vAlign w:val="center"/>
          </w:tcPr>
          <w:p w14:paraId="58961161" w14:textId="77777777" w:rsidR="009968E0" w:rsidRPr="009968E0" w:rsidRDefault="009968E0" w:rsidP="009968E0">
            <w:pPr>
              <w:jc w:val="right"/>
              <w:rPr>
                <w:rFonts w:ascii="Calibri" w:eastAsia="Times New Roman" w:hAnsi="Calibri" w:cs="Calibri"/>
                <w:i/>
                <w:iCs/>
                <w:sz w:val="22"/>
                <w:szCs w:val="22"/>
                <w:lang w:eastAsia="en-GB"/>
              </w:rPr>
            </w:pPr>
            <w:proofErr w:type="spellStart"/>
            <w:r w:rsidRPr="009968E0">
              <w:rPr>
                <w:rFonts w:ascii="Calibri" w:eastAsia="Times New Roman" w:hAnsi="Calibri" w:cs="Calibri"/>
                <w:i/>
                <w:iCs/>
                <w:sz w:val="22"/>
                <w:szCs w:val="22"/>
                <w:lang w:eastAsia="en-GB"/>
              </w:rPr>
              <w:t>Intercept_P-DPN_vs_HV</w:t>
            </w:r>
            <w:proofErr w:type="spellEnd"/>
          </w:p>
        </w:tc>
        <w:tc>
          <w:tcPr>
            <w:tcW w:w="1314" w:type="dxa"/>
            <w:tcBorders>
              <w:top w:val="nil"/>
              <w:left w:val="nil"/>
              <w:bottom w:val="nil"/>
              <w:right w:val="single" w:sz="4" w:space="0" w:color="000000"/>
            </w:tcBorders>
            <w:shd w:val="clear" w:color="auto" w:fill="FDE9D9"/>
            <w:vAlign w:val="center"/>
          </w:tcPr>
          <w:p w14:paraId="1025970D"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-.212</w:t>
            </w:r>
          </w:p>
        </w:tc>
        <w:tc>
          <w:tcPr>
            <w:tcW w:w="1301" w:type="dxa"/>
            <w:tcBorders>
              <w:top w:val="nil"/>
              <w:left w:val="nil"/>
              <w:bottom w:val="nil"/>
              <w:right w:val="single" w:sz="4" w:space="0" w:color="000000"/>
            </w:tcBorders>
            <w:shd w:val="clear" w:color="auto" w:fill="FDE9D9"/>
            <w:vAlign w:val="center"/>
          </w:tcPr>
          <w:p w14:paraId="0D2074EA"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.588</w:t>
            </w:r>
          </w:p>
        </w:tc>
        <w:tc>
          <w:tcPr>
            <w:tcW w:w="1414" w:type="dxa"/>
            <w:tcBorders>
              <w:top w:val="nil"/>
              <w:left w:val="nil"/>
              <w:bottom w:val="nil"/>
              <w:right w:val="single" w:sz="4" w:space="0" w:color="000000"/>
            </w:tcBorders>
            <w:shd w:val="clear" w:color="auto" w:fill="FDE9D9"/>
            <w:vAlign w:val="center"/>
          </w:tcPr>
          <w:p w14:paraId="3131E869"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-.050</w:t>
            </w:r>
          </w:p>
        </w:tc>
        <w:tc>
          <w:tcPr>
            <w:tcW w:w="964" w:type="dxa"/>
            <w:tcBorders>
              <w:top w:val="nil"/>
              <w:left w:val="nil"/>
              <w:bottom w:val="nil"/>
              <w:right w:val="single" w:sz="4" w:space="0" w:color="000000"/>
            </w:tcBorders>
            <w:shd w:val="clear" w:color="auto" w:fill="FDE9D9"/>
            <w:vAlign w:val="center"/>
          </w:tcPr>
          <w:p w14:paraId="62ADCED9"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-.360</w:t>
            </w:r>
          </w:p>
        </w:tc>
        <w:tc>
          <w:tcPr>
            <w:tcW w:w="948" w:type="dxa"/>
            <w:tcBorders>
              <w:top w:val="nil"/>
              <w:left w:val="nil"/>
              <w:bottom w:val="nil"/>
              <w:right w:val="single" w:sz="12" w:space="0" w:color="000000"/>
            </w:tcBorders>
            <w:shd w:val="clear" w:color="auto" w:fill="FDE9D9"/>
            <w:vAlign w:val="center"/>
          </w:tcPr>
          <w:p w14:paraId="40E53858"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.720</w:t>
            </w:r>
          </w:p>
        </w:tc>
      </w:tr>
      <w:tr w:rsidR="009968E0" w:rsidRPr="009968E0" w14:paraId="62C54FF4" w14:textId="77777777" w:rsidTr="009968E0">
        <w:trPr>
          <w:trHeight w:val="680"/>
        </w:trPr>
        <w:tc>
          <w:tcPr>
            <w:tcW w:w="328" w:type="dxa"/>
            <w:vMerge/>
            <w:tcBorders>
              <w:top w:val="nil"/>
              <w:left w:val="single" w:sz="12" w:space="0" w:color="000000"/>
              <w:bottom w:val="single" w:sz="12" w:space="0" w:color="000000"/>
              <w:right w:val="nil"/>
            </w:tcBorders>
            <w:shd w:val="clear" w:color="auto" w:fill="FFFFFF"/>
          </w:tcPr>
          <w:p w14:paraId="457C2890" w14:textId="77777777" w:rsidR="009968E0" w:rsidRPr="009968E0" w:rsidRDefault="009968E0" w:rsidP="009968E0">
            <w:pPr>
              <w:rPr>
                <w:rFonts w:ascii="Calibri" w:eastAsia="Times New Roman" w:hAnsi="Calibri" w:cs="Calibri"/>
                <w:i/>
                <w:iCs/>
                <w:sz w:val="22"/>
                <w:szCs w:val="22"/>
                <w:lang w:eastAsia="en-GB"/>
              </w:rPr>
            </w:pPr>
          </w:p>
        </w:tc>
        <w:tc>
          <w:tcPr>
            <w:tcW w:w="2795" w:type="dxa"/>
            <w:tcBorders>
              <w:top w:val="nil"/>
              <w:left w:val="nil"/>
              <w:bottom w:val="nil"/>
              <w:right w:val="single" w:sz="12" w:space="0" w:color="000000"/>
            </w:tcBorders>
            <w:shd w:val="clear" w:color="auto" w:fill="FFFFFF"/>
            <w:vAlign w:val="center"/>
          </w:tcPr>
          <w:p w14:paraId="472CFCE5" w14:textId="77777777" w:rsidR="009968E0" w:rsidRPr="009968E0" w:rsidRDefault="009968E0" w:rsidP="009968E0">
            <w:pPr>
              <w:jc w:val="right"/>
              <w:rPr>
                <w:rFonts w:ascii="Calibri" w:eastAsia="Times New Roman" w:hAnsi="Calibri" w:cs="Calibri"/>
                <w:i/>
                <w:iCs/>
                <w:sz w:val="22"/>
                <w:szCs w:val="22"/>
                <w:lang w:eastAsia="en-GB"/>
              </w:rPr>
            </w:pPr>
            <w:proofErr w:type="spellStart"/>
            <w:r w:rsidRPr="009968E0">
              <w:rPr>
                <w:rFonts w:ascii="Calibri" w:eastAsia="Times New Roman" w:hAnsi="Calibri" w:cs="Calibri"/>
                <w:i/>
                <w:iCs/>
                <w:sz w:val="22"/>
                <w:szCs w:val="22"/>
                <w:lang w:eastAsia="en-GB"/>
              </w:rPr>
              <w:t>Slope_P-DPN_vs_DPN</w:t>
            </w:r>
            <w:proofErr w:type="spellEnd"/>
          </w:p>
        </w:tc>
        <w:tc>
          <w:tcPr>
            <w:tcW w:w="1314" w:type="dxa"/>
            <w:tcBorders>
              <w:top w:val="nil"/>
              <w:left w:val="nil"/>
              <w:bottom w:val="nil"/>
              <w:right w:val="single" w:sz="4" w:space="0" w:color="000000"/>
            </w:tcBorders>
            <w:shd w:val="clear" w:color="auto" w:fill="FFFFFF"/>
            <w:vAlign w:val="center"/>
          </w:tcPr>
          <w:p w14:paraId="23EEBC34"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1.173</w:t>
            </w:r>
          </w:p>
        </w:tc>
        <w:tc>
          <w:tcPr>
            <w:tcW w:w="1301" w:type="dxa"/>
            <w:tcBorders>
              <w:top w:val="nil"/>
              <w:left w:val="nil"/>
              <w:bottom w:val="nil"/>
              <w:right w:val="single" w:sz="4" w:space="0" w:color="000000"/>
            </w:tcBorders>
            <w:shd w:val="clear" w:color="auto" w:fill="FFFFFF"/>
            <w:vAlign w:val="center"/>
          </w:tcPr>
          <w:p w14:paraId="18B6D6A8"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.368</w:t>
            </w:r>
          </w:p>
        </w:tc>
        <w:tc>
          <w:tcPr>
            <w:tcW w:w="1414" w:type="dxa"/>
            <w:tcBorders>
              <w:top w:val="nil"/>
              <w:left w:val="nil"/>
              <w:bottom w:val="nil"/>
              <w:right w:val="single" w:sz="4" w:space="0" w:color="000000"/>
            </w:tcBorders>
            <w:shd w:val="clear" w:color="auto" w:fill="FFFFFF"/>
            <w:vAlign w:val="center"/>
          </w:tcPr>
          <w:p w14:paraId="3955B49D"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.541</w:t>
            </w:r>
          </w:p>
        </w:tc>
        <w:tc>
          <w:tcPr>
            <w:tcW w:w="964" w:type="dxa"/>
            <w:tcBorders>
              <w:top w:val="nil"/>
              <w:left w:val="nil"/>
              <w:bottom w:val="nil"/>
              <w:right w:val="single" w:sz="4" w:space="0" w:color="000000"/>
            </w:tcBorders>
            <w:shd w:val="clear" w:color="auto" w:fill="FFFFFF"/>
            <w:vAlign w:val="center"/>
          </w:tcPr>
          <w:p w14:paraId="27FEACC0"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3.190</w:t>
            </w:r>
          </w:p>
        </w:tc>
        <w:tc>
          <w:tcPr>
            <w:tcW w:w="948" w:type="dxa"/>
            <w:tcBorders>
              <w:top w:val="nil"/>
              <w:left w:val="nil"/>
              <w:bottom w:val="nil"/>
              <w:right w:val="single" w:sz="12" w:space="0" w:color="000000"/>
            </w:tcBorders>
            <w:shd w:val="clear" w:color="auto" w:fill="FFFFFF"/>
            <w:vAlign w:val="center"/>
          </w:tcPr>
          <w:p w14:paraId="703600B0"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.002*</w:t>
            </w:r>
          </w:p>
        </w:tc>
      </w:tr>
      <w:tr w:rsidR="009968E0" w:rsidRPr="009968E0" w14:paraId="211D3B07" w14:textId="77777777" w:rsidTr="009968E0">
        <w:trPr>
          <w:trHeight w:val="680"/>
        </w:trPr>
        <w:tc>
          <w:tcPr>
            <w:tcW w:w="328" w:type="dxa"/>
            <w:vMerge/>
            <w:tcBorders>
              <w:top w:val="nil"/>
              <w:left w:val="single" w:sz="12" w:space="0" w:color="000000"/>
              <w:bottom w:val="single" w:sz="12" w:space="0" w:color="000000"/>
              <w:right w:val="nil"/>
            </w:tcBorders>
            <w:shd w:val="clear" w:color="auto" w:fill="FFFFFF"/>
          </w:tcPr>
          <w:p w14:paraId="469932C2" w14:textId="77777777" w:rsidR="009968E0" w:rsidRPr="009968E0" w:rsidRDefault="009968E0" w:rsidP="009968E0">
            <w:pPr>
              <w:rPr>
                <w:rFonts w:ascii="Calibri" w:eastAsia="Times New Roman" w:hAnsi="Calibri" w:cs="Calibri"/>
                <w:i/>
                <w:iCs/>
                <w:sz w:val="22"/>
                <w:szCs w:val="22"/>
                <w:lang w:eastAsia="en-GB"/>
              </w:rPr>
            </w:pPr>
          </w:p>
        </w:tc>
        <w:tc>
          <w:tcPr>
            <w:tcW w:w="2795" w:type="dxa"/>
            <w:tcBorders>
              <w:top w:val="nil"/>
              <w:left w:val="nil"/>
              <w:bottom w:val="nil"/>
              <w:right w:val="single" w:sz="12" w:space="0" w:color="000000"/>
            </w:tcBorders>
            <w:shd w:val="clear" w:color="auto" w:fill="FDE9D9"/>
            <w:vAlign w:val="center"/>
          </w:tcPr>
          <w:p w14:paraId="7E3D24A0" w14:textId="77777777" w:rsidR="009968E0" w:rsidRPr="009968E0" w:rsidRDefault="009968E0" w:rsidP="009968E0">
            <w:pPr>
              <w:jc w:val="right"/>
              <w:rPr>
                <w:rFonts w:ascii="Calibri" w:eastAsia="Times New Roman" w:hAnsi="Calibri" w:cs="Calibri"/>
                <w:i/>
                <w:iCs/>
                <w:sz w:val="22"/>
                <w:szCs w:val="22"/>
                <w:lang w:eastAsia="en-GB"/>
              </w:rPr>
            </w:pPr>
            <w:proofErr w:type="spellStart"/>
            <w:r w:rsidRPr="009968E0">
              <w:rPr>
                <w:rFonts w:ascii="Calibri" w:eastAsia="Times New Roman" w:hAnsi="Calibri" w:cs="Calibri"/>
                <w:i/>
                <w:iCs/>
                <w:sz w:val="22"/>
                <w:szCs w:val="22"/>
                <w:lang w:eastAsia="en-GB"/>
              </w:rPr>
              <w:t>Slope_P-DPN_vs_DM_NN</w:t>
            </w:r>
            <w:proofErr w:type="spellEnd"/>
          </w:p>
        </w:tc>
        <w:tc>
          <w:tcPr>
            <w:tcW w:w="1314" w:type="dxa"/>
            <w:tcBorders>
              <w:top w:val="nil"/>
              <w:left w:val="nil"/>
              <w:bottom w:val="nil"/>
              <w:right w:val="single" w:sz="4" w:space="0" w:color="000000"/>
            </w:tcBorders>
            <w:shd w:val="clear" w:color="auto" w:fill="FDE9D9"/>
            <w:vAlign w:val="center"/>
          </w:tcPr>
          <w:p w14:paraId="0AB2FA66"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.365</w:t>
            </w:r>
          </w:p>
        </w:tc>
        <w:tc>
          <w:tcPr>
            <w:tcW w:w="1301" w:type="dxa"/>
            <w:tcBorders>
              <w:top w:val="nil"/>
              <w:left w:val="nil"/>
              <w:bottom w:val="nil"/>
              <w:right w:val="single" w:sz="4" w:space="0" w:color="000000"/>
            </w:tcBorders>
            <w:shd w:val="clear" w:color="auto" w:fill="FDE9D9"/>
            <w:vAlign w:val="center"/>
          </w:tcPr>
          <w:p w14:paraId="0F3CE0AB"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.621</w:t>
            </w:r>
          </w:p>
        </w:tc>
        <w:tc>
          <w:tcPr>
            <w:tcW w:w="1414" w:type="dxa"/>
            <w:tcBorders>
              <w:top w:val="nil"/>
              <w:left w:val="nil"/>
              <w:bottom w:val="nil"/>
              <w:right w:val="single" w:sz="4" w:space="0" w:color="000000"/>
            </w:tcBorders>
            <w:shd w:val="clear" w:color="auto" w:fill="FDE9D9"/>
            <w:vAlign w:val="center"/>
          </w:tcPr>
          <w:p w14:paraId="2D83A9C8"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.079</w:t>
            </w:r>
          </w:p>
        </w:tc>
        <w:tc>
          <w:tcPr>
            <w:tcW w:w="964" w:type="dxa"/>
            <w:tcBorders>
              <w:top w:val="nil"/>
              <w:left w:val="nil"/>
              <w:bottom w:val="nil"/>
              <w:right w:val="single" w:sz="4" w:space="0" w:color="000000"/>
            </w:tcBorders>
            <w:shd w:val="clear" w:color="auto" w:fill="FDE9D9"/>
            <w:vAlign w:val="center"/>
          </w:tcPr>
          <w:p w14:paraId="2F153732"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.588</w:t>
            </w:r>
          </w:p>
        </w:tc>
        <w:tc>
          <w:tcPr>
            <w:tcW w:w="948" w:type="dxa"/>
            <w:tcBorders>
              <w:top w:val="nil"/>
              <w:left w:val="nil"/>
              <w:bottom w:val="nil"/>
              <w:right w:val="single" w:sz="12" w:space="0" w:color="000000"/>
            </w:tcBorders>
            <w:shd w:val="clear" w:color="auto" w:fill="FDE9D9"/>
            <w:vAlign w:val="center"/>
          </w:tcPr>
          <w:p w14:paraId="5BF35553"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.558</w:t>
            </w:r>
          </w:p>
        </w:tc>
      </w:tr>
      <w:tr w:rsidR="009968E0" w:rsidRPr="009968E0" w14:paraId="380579CF" w14:textId="77777777" w:rsidTr="009968E0">
        <w:trPr>
          <w:trHeight w:val="680"/>
        </w:trPr>
        <w:tc>
          <w:tcPr>
            <w:tcW w:w="328" w:type="dxa"/>
            <w:vMerge/>
            <w:tcBorders>
              <w:top w:val="nil"/>
              <w:left w:val="single" w:sz="12" w:space="0" w:color="000000"/>
              <w:bottom w:val="single" w:sz="12" w:space="0" w:color="000000"/>
              <w:right w:val="nil"/>
            </w:tcBorders>
            <w:shd w:val="clear" w:color="auto" w:fill="FFFFFF"/>
          </w:tcPr>
          <w:p w14:paraId="796E4844" w14:textId="77777777" w:rsidR="009968E0" w:rsidRPr="009968E0" w:rsidRDefault="009968E0" w:rsidP="009968E0">
            <w:pPr>
              <w:rPr>
                <w:rFonts w:ascii="Calibri" w:eastAsia="Times New Roman" w:hAnsi="Calibri" w:cs="Calibri"/>
                <w:i/>
                <w:iCs/>
                <w:sz w:val="22"/>
                <w:szCs w:val="22"/>
                <w:lang w:eastAsia="en-GB"/>
              </w:rPr>
            </w:pPr>
          </w:p>
        </w:tc>
        <w:tc>
          <w:tcPr>
            <w:tcW w:w="2795" w:type="dxa"/>
            <w:tcBorders>
              <w:top w:val="nil"/>
              <w:left w:val="nil"/>
              <w:bottom w:val="single" w:sz="12" w:space="0" w:color="000000"/>
              <w:right w:val="single" w:sz="12" w:space="0" w:color="000000"/>
            </w:tcBorders>
            <w:shd w:val="clear" w:color="auto" w:fill="FFFFFF"/>
            <w:vAlign w:val="center"/>
          </w:tcPr>
          <w:p w14:paraId="16D758E9" w14:textId="77777777" w:rsidR="009968E0" w:rsidRPr="009968E0" w:rsidRDefault="009968E0" w:rsidP="009968E0">
            <w:pPr>
              <w:jc w:val="right"/>
              <w:rPr>
                <w:rFonts w:ascii="Calibri" w:eastAsia="Times New Roman" w:hAnsi="Calibri" w:cs="Calibri"/>
                <w:i/>
                <w:iCs/>
                <w:sz w:val="22"/>
                <w:szCs w:val="22"/>
                <w:lang w:eastAsia="en-GB"/>
              </w:rPr>
            </w:pPr>
            <w:proofErr w:type="spellStart"/>
            <w:r w:rsidRPr="009968E0">
              <w:rPr>
                <w:rFonts w:ascii="Calibri" w:eastAsia="Times New Roman" w:hAnsi="Calibri" w:cs="Calibri"/>
                <w:i/>
                <w:iCs/>
                <w:sz w:val="22"/>
                <w:szCs w:val="22"/>
                <w:lang w:eastAsia="en-GB"/>
              </w:rPr>
              <w:t>Slope_P-DPN_vs_HV</w:t>
            </w:r>
            <w:proofErr w:type="spellEnd"/>
          </w:p>
        </w:tc>
        <w:tc>
          <w:tcPr>
            <w:tcW w:w="1314" w:type="dxa"/>
            <w:tcBorders>
              <w:top w:val="nil"/>
              <w:left w:val="nil"/>
              <w:bottom w:val="single" w:sz="12" w:space="0" w:color="000000"/>
              <w:right w:val="single" w:sz="4" w:space="0" w:color="000000"/>
            </w:tcBorders>
            <w:shd w:val="clear" w:color="auto" w:fill="FFFFFF"/>
            <w:vAlign w:val="center"/>
          </w:tcPr>
          <w:p w14:paraId="5E7A8E07"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.969</w:t>
            </w:r>
          </w:p>
        </w:tc>
        <w:tc>
          <w:tcPr>
            <w:tcW w:w="1301" w:type="dxa"/>
            <w:tcBorders>
              <w:top w:val="nil"/>
              <w:left w:val="nil"/>
              <w:bottom w:val="single" w:sz="12" w:space="0" w:color="000000"/>
              <w:right w:val="single" w:sz="4" w:space="0" w:color="000000"/>
            </w:tcBorders>
            <w:shd w:val="clear" w:color="auto" w:fill="FFFFFF"/>
            <w:vAlign w:val="center"/>
          </w:tcPr>
          <w:p w14:paraId="1EA782E7"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.437</w:t>
            </w:r>
          </w:p>
        </w:tc>
        <w:tc>
          <w:tcPr>
            <w:tcW w:w="1414" w:type="dxa"/>
            <w:tcBorders>
              <w:top w:val="nil"/>
              <w:left w:val="nil"/>
              <w:bottom w:val="single" w:sz="12" w:space="0" w:color="000000"/>
              <w:right w:val="single" w:sz="4" w:space="0" w:color="000000"/>
            </w:tcBorders>
            <w:shd w:val="clear" w:color="auto" w:fill="FFFFFF"/>
            <w:vAlign w:val="center"/>
          </w:tcPr>
          <w:p w14:paraId="1B55A206"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.325</w:t>
            </w:r>
          </w:p>
        </w:tc>
        <w:tc>
          <w:tcPr>
            <w:tcW w:w="964" w:type="dxa"/>
            <w:tcBorders>
              <w:top w:val="nil"/>
              <w:left w:val="nil"/>
              <w:bottom w:val="single" w:sz="12" w:space="0" w:color="000000"/>
              <w:right w:val="single" w:sz="4" w:space="0" w:color="000000"/>
            </w:tcBorders>
            <w:shd w:val="clear" w:color="auto" w:fill="FFFFFF"/>
            <w:vAlign w:val="center"/>
          </w:tcPr>
          <w:p w14:paraId="3F358C4F"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2.216</w:t>
            </w:r>
          </w:p>
        </w:tc>
        <w:tc>
          <w:tcPr>
            <w:tcW w:w="948" w:type="dxa"/>
            <w:tcBorders>
              <w:top w:val="nil"/>
              <w:left w:val="nil"/>
              <w:bottom w:val="single" w:sz="12" w:space="0" w:color="000000"/>
              <w:right w:val="single" w:sz="12" w:space="0" w:color="000000"/>
            </w:tcBorders>
            <w:shd w:val="clear" w:color="auto" w:fill="FFFFFF"/>
            <w:vAlign w:val="center"/>
          </w:tcPr>
          <w:p w14:paraId="04547B29"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.030*</w:t>
            </w:r>
          </w:p>
        </w:tc>
      </w:tr>
      <w:tr w:rsidR="009968E0" w:rsidRPr="009968E0" w14:paraId="4A351B41" w14:textId="77777777" w:rsidTr="009968E0">
        <w:trPr>
          <w:trHeight w:val="380"/>
        </w:trPr>
        <w:tc>
          <w:tcPr>
            <w:tcW w:w="9064" w:type="dxa"/>
            <w:gridSpan w:val="7"/>
            <w:tcBorders>
              <w:top w:val="nil"/>
              <w:left w:val="nil"/>
              <w:bottom w:val="nil"/>
              <w:right w:val="nil"/>
            </w:tcBorders>
            <w:shd w:val="clear" w:color="auto" w:fill="FFFFFF"/>
          </w:tcPr>
          <w:p w14:paraId="451ED097" w14:textId="77777777" w:rsidR="009968E0" w:rsidRPr="009968E0" w:rsidRDefault="009968E0" w:rsidP="009968E0">
            <w:pPr>
              <w:rPr>
                <w:rFonts w:ascii="Calibri" w:eastAsia="Times New Roman" w:hAnsi="Calibri" w:cs="Calibri"/>
                <w:i/>
                <w:iCs/>
                <w:lang w:eastAsia="en-GB"/>
              </w:rPr>
            </w:pPr>
            <w:r w:rsidRPr="009968E0">
              <w:rPr>
                <w:rFonts w:ascii="Calibri" w:eastAsia="Times New Roman" w:hAnsi="Calibri" w:cs="Calibri"/>
                <w:i/>
                <w:iCs/>
                <w:sz w:val="22"/>
                <w:szCs w:val="22"/>
                <w:lang w:eastAsia="en-GB"/>
              </w:rPr>
              <w:t>*significance p&lt;0.05</w:t>
            </w:r>
          </w:p>
        </w:tc>
      </w:tr>
    </w:tbl>
    <w:p w14:paraId="726363C1" w14:textId="77777777" w:rsidR="009968E0" w:rsidRPr="009968E0" w:rsidRDefault="009968E0" w:rsidP="009968E0">
      <w:pPr>
        <w:rPr>
          <w:rFonts w:ascii="Times New Roman" w:eastAsia="Times New Roman" w:hAnsi="Times New Roman" w:cs="Arial"/>
          <w:lang w:eastAsia="en-GB"/>
        </w:rPr>
      </w:pPr>
    </w:p>
    <w:tbl>
      <w:tblPr>
        <w:tblStyle w:val="TableGrid1"/>
        <w:tblW w:w="5000" w:type="pct"/>
        <w:tblLook w:val="0400" w:firstRow="0" w:lastRow="0" w:firstColumn="0" w:lastColumn="0" w:noHBand="0" w:noVBand="1"/>
      </w:tblPr>
      <w:tblGrid>
        <w:gridCol w:w="1003"/>
        <w:gridCol w:w="251"/>
        <w:gridCol w:w="1762"/>
        <w:gridCol w:w="1344"/>
        <w:gridCol w:w="1708"/>
        <w:gridCol w:w="683"/>
        <w:gridCol w:w="807"/>
        <w:gridCol w:w="1452"/>
      </w:tblGrid>
      <w:tr w:rsidR="009968E0" w:rsidRPr="009968E0" w14:paraId="3B28BE0A" w14:textId="77777777" w:rsidTr="009968E0">
        <w:trPr>
          <w:trHeight w:val="480"/>
        </w:trPr>
        <w:tc>
          <w:tcPr>
            <w:tcW w:w="5000" w:type="pct"/>
            <w:gridSpan w:val="8"/>
          </w:tcPr>
          <w:p w14:paraId="69F6C677" w14:textId="77777777" w:rsidR="009968E0" w:rsidRPr="009968E0" w:rsidRDefault="009968E0" w:rsidP="009968E0">
            <w:pPr>
              <w:rPr>
                <w:rFonts w:eastAsia="MS Mincho"/>
                <w:i/>
                <w:iCs/>
                <w:color w:val="1F497D"/>
              </w:rPr>
            </w:pPr>
            <w:bookmarkStart w:id="657" w:name="_Toc48406157"/>
            <w:bookmarkStart w:id="658" w:name="_Toc49273368"/>
            <w:r w:rsidRPr="009968E0">
              <w:rPr>
                <w:rFonts w:eastAsia="MS Mincho"/>
                <w:i/>
                <w:iCs/>
                <w:color w:val="1F497D"/>
              </w:rPr>
              <w:t>Table D.13. Regression- Dependent Variable: Delta RBV RPSC</w:t>
            </w:r>
            <w:bookmarkEnd w:id="657"/>
            <w:bookmarkEnd w:id="658"/>
          </w:p>
        </w:tc>
      </w:tr>
      <w:tr w:rsidR="009968E0" w:rsidRPr="009968E0" w14:paraId="706D42F6" w14:textId="77777777" w:rsidTr="009968E0">
        <w:trPr>
          <w:trHeight w:val="680"/>
        </w:trPr>
        <w:tc>
          <w:tcPr>
            <w:tcW w:w="1673" w:type="pct"/>
            <w:gridSpan w:val="3"/>
            <w:vMerge w:val="restart"/>
          </w:tcPr>
          <w:p w14:paraId="250F544F"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GROUP</w:t>
            </w:r>
          </w:p>
        </w:tc>
        <w:tc>
          <w:tcPr>
            <w:tcW w:w="1694" w:type="pct"/>
            <w:gridSpan w:val="2"/>
          </w:tcPr>
          <w:p w14:paraId="582229E6"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Unstandardized Coefficients</w:t>
            </w:r>
          </w:p>
        </w:tc>
        <w:tc>
          <w:tcPr>
            <w:tcW w:w="379" w:type="pct"/>
            <w:vMerge w:val="restart"/>
          </w:tcPr>
          <w:p w14:paraId="31AE362C" w14:textId="77777777" w:rsidR="009968E0" w:rsidRPr="009968E0" w:rsidRDefault="009968E0" w:rsidP="009968E0">
            <w:pPr>
              <w:rPr>
                <w:rFonts w:ascii="Calibri" w:eastAsia="Times New Roman" w:hAnsi="Calibri" w:cs="Calibri"/>
                <w:i/>
                <w:iCs/>
                <w:sz w:val="22"/>
                <w:szCs w:val="22"/>
                <w:vertAlign w:val="superscript"/>
                <w:lang w:eastAsia="en-GB"/>
              </w:rPr>
            </w:pPr>
            <w:r w:rsidRPr="009968E0">
              <w:rPr>
                <w:rFonts w:ascii="Calibri" w:eastAsia="Times New Roman" w:hAnsi="Calibri" w:cs="Calibri"/>
                <w:i/>
                <w:iCs/>
                <w:sz w:val="22"/>
                <w:szCs w:val="22"/>
                <w:lang w:eastAsia="en-GB"/>
              </w:rPr>
              <w:t>R</w:t>
            </w:r>
            <w:r w:rsidRPr="009968E0">
              <w:rPr>
                <w:rFonts w:ascii="Calibri" w:eastAsia="Times New Roman" w:hAnsi="Calibri" w:cs="Calibri"/>
                <w:i/>
                <w:iCs/>
                <w:sz w:val="22"/>
                <w:szCs w:val="22"/>
                <w:vertAlign w:val="superscript"/>
                <w:lang w:eastAsia="en-GB"/>
              </w:rPr>
              <w:t>2</w:t>
            </w:r>
          </w:p>
        </w:tc>
        <w:tc>
          <w:tcPr>
            <w:tcW w:w="448" w:type="pct"/>
            <w:vMerge w:val="restart"/>
          </w:tcPr>
          <w:p w14:paraId="0360F2C1"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F</w:t>
            </w:r>
          </w:p>
        </w:tc>
        <w:tc>
          <w:tcPr>
            <w:tcW w:w="806" w:type="pct"/>
            <w:vMerge w:val="restart"/>
          </w:tcPr>
          <w:p w14:paraId="394D9581"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Sig.</w:t>
            </w:r>
          </w:p>
        </w:tc>
      </w:tr>
      <w:tr w:rsidR="009968E0" w:rsidRPr="009968E0" w14:paraId="24176E3F" w14:textId="77777777" w:rsidTr="009968E0">
        <w:trPr>
          <w:trHeight w:val="360"/>
        </w:trPr>
        <w:tc>
          <w:tcPr>
            <w:tcW w:w="1673" w:type="pct"/>
            <w:gridSpan w:val="3"/>
            <w:vMerge/>
          </w:tcPr>
          <w:p w14:paraId="2AAED40D" w14:textId="77777777" w:rsidR="009968E0" w:rsidRPr="009968E0" w:rsidRDefault="009968E0" w:rsidP="009968E0">
            <w:pPr>
              <w:rPr>
                <w:rFonts w:ascii="Calibri" w:eastAsia="Times New Roman" w:hAnsi="Calibri" w:cs="Calibri"/>
                <w:i/>
                <w:iCs/>
                <w:sz w:val="22"/>
                <w:szCs w:val="22"/>
                <w:lang w:eastAsia="en-GB"/>
              </w:rPr>
            </w:pPr>
          </w:p>
        </w:tc>
        <w:tc>
          <w:tcPr>
            <w:tcW w:w="746" w:type="pct"/>
          </w:tcPr>
          <w:p w14:paraId="1009B3CB"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B</w:t>
            </w:r>
          </w:p>
        </w:tc>
        <w:tc>
          <w:tcPr>
            <w:tcW w:w="948" w:type="pct"/>
          </w:tcPr>
          <w:p w14:paraId="5F4327A5"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Std. Error</w:t>
            </w:r>
          </w:p>
        </w:tc>
        <w:tc>
          <w:tcPr>
            <w:tcW w:w="379" w:type="pct"/>
            <w:vMerge/>
          </w:tcPr>
          <w:p w14:paraId="2E54C7EC" w14:textId="77777777" w:rsidR="009968E0" w:rsidRPr="009968E0" w:rsidRDefault="009968E0" w:rsidP="009968E0">
            <w:pPr>
              <w:rPr>
                <w:rFonts w:ascii="Calibri" w:eastAsia="Times New Roman" w:hAnsi="Calibri" w:cs="Calibri"/>
                <w:i/>
                <w:iCs/>
                <w:sz w:val="22"/>
                <w:szCs w:val="22"/>
                <w:lang w:eastAsia="en-GB"/>
              </w:rPr>
            </w:pPr>
          </w:p>
        </w:tc>
        <w:tc>
          <w:tcPr>
            <w:tcW w:w="448" w:type="pct"/>
            <w:vMerge/>
          </w:tcPr>
          <w:p w14:paraId="0586808E" w14:textId="77777777" w:rsidR="009968E0" w:rsidRPr="009968E0" w:rsidRDefault="009968E0" w:rsidP="009968E0">
            <w:pPr>
              <w:rPr>
                <w:rFonts w:ascii="Calibri" w:eastAsia="Times New Roman" w:hAnsi="Calibri" w:cs="Calibri"/>
                <w:i/>
                <w:iCs/>
                <w:sz w:val="22"/>
                <w:szCs w:val="22"/>
                <w:lang w:eastAsia="en-GB"/>
              </w:rPr>
            </w:pPr>
          </w:p>
        </w:tc>
        <w:tc>
          <w:tcPr>
            <w:tcW w:w="806" w:type="pct"/>
            <w:vMerge/>
          </w:tcPr>
          <w:p w14:paraId="13FE7692" w14:textId="77777777" w:rsidR="009968E0" w:rsidRPr="009968E0" w:rsidRDefault="009968E0" w:rsidP="009968E0">
            <w:pPr>
              <w:rPr>
                <w:rFonts w:ascii="Calibri" w:eastAsia="Times New Roman" w:hAnsi="Calibri" w:cs="Calibri"/>
                <w:i/>
                <w:iCs/>
                <w:sz w:val="22"/>
                <w:szCs w:val="22"/>
                <w:lang w:eastAsia="en-GB"/>
              </w:rPr>
            </w:pPr>
          </w:p>
        </w:tc>
      </w:tr>
      <w:tr w:rsidR="009968E0" w:rsidRPr="009968E0" w14:paraId="3F4FBB16" w14:textId="77777777" w:rsidTr="009968E0">
        <w:trPr>
          <w:trHeight w:val="360"/>
        </w:trPr>
        <w:tc>
          <w:tcPr>
            <w:tcW w:w="556" w:type="pct"/>
            <w:vMerge w:val="restart"/>
          </w:tcPr>
          <w:p w14:paraId="31ED2AFF"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P-DPN</w:t>
            </w:r>
          </w:p>
        </w:tc>
        <w:tc>
          <w:tcPr>
            <w:tcW w:w="139" w:type="pct"/>
            <w:vMerge w:val="restart"/>
          </w:tcPr>
          <w:p w14:paraId="729756BE" w14:textId="77777777" w:rsidR="009968E0" w:rsidRPr="009968E0" w:rsidRDefault="009968E0" w:rsidP="009968E0">
            <w:pPr>
              <w:rPr>
                <w:rFonts w:ascii="Calibri" w:eastAsia="Times New Roman" w:hAnsi="Calibri" w:cs="Calibri"/>
                <w:i/>
                <w:iCs/>
                <w:sz w:val="22"/>
                <w:szCs w:val="22"/>
                <w:lang w:eastAsia="en-GB"/>
              </w:rPr>
            </w:pPr>
          </w:p>
        </w:tc>
        <w:tc>
          <w:tcPr>
            <w:tcW w:w="978" w:type="pct"/>
            <w:shd w:val="clear" w:color="auto" w:fill="FDE9D9"/>
          </w:tcPr>
          <w:p w14:paraId="32E7BC9F"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(Constant)</w:t>
            </w:r>
          </w:p>
        </w:tc>
        <w:tc>
          <w:tcPr>
            <w:tcW w:w="746" w:type="pct"/>
            <w:shd w:val="clear" w:color="auto" w:fill="FDE9D9"/>
          </w:tcPr>
          <w:p w14:paraId="7F3BF481"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10.662</w:t>
            </w:r>
          </w:p>
        </w:tc>
        <w:tc>
          <w:tcPr>
            <w:tcW w:w="948" w:type="pct"/>
            <w:shd w:val="clear" w:color="auto" w:fill="FDE9D9"/>
          </w:tcPr>
          <w:p w14:paraId="3A1FE369"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3.999</w:t>
            </w:r>
          </w:p>
        </w:tc>
        <w:tc>
          <w:tcPr>
            <w:tcW w:w="379" w:type="pct"/>
            <w:shd w:val="clear" w:color="auto" w:fill="FDE9D9"/>
          </w:tcPr>
          <w:p w14:paraId="7464185F"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 </w:t>
            </w:r>
          </w:p>
        </w:tc>
        <w:tc>
          <w:tcPr>
            <w:tcW w:w="448" w:type="pct"/>
            <w:shd w:val="clear" w:color="auto" w:fill="FDE9D9"/>
          </w:tcPr>
          <w:p w14:paraId="3F07DD90" w14:textId="77777777" w:rsidR="009968E0" w:rsidRPr="009968E0" w:rsidRDefault="009968E0" w:rsidP="009968E0">
            <w:pPr>
              <w:rPr>
                <w:rFonts w:ascii="Calibri" w:eastAsia="Times New Roman" w:hAnsi="Calibri" w:cs="Calibri"/>
                <w:i/>
                <w:iCs/>
                <w:sz w:val="22"/>
                <w:szCs w:val="22"/>
                <w:lang w:eastAsia="en-GB"/>
              </w:rPr>
            </w:pPr>
          </w:p>
        </w:tc>
        <w:tc>
          <w:tcPr>
            <w:tcW w:w="806" w:type="pct"/>
            <w:shd w:val="clear" w:color="auto" w:fill="FDE9D9"/>
          </w:tcPr>
          <w:p w14:paraId="2BCBAA44"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.017</w:t>
            </w:r>
          </w:p>
        </w:tc>
      </w:tr>
      <w:tr w:rsidR="009968E0" w:rsidRPr="009968E0" w14:paraId="7D6CDDE2" w14:textId="77777777" w:rsidTr="009968E0">
        <w:trPr>
          <w:trHeight w:val="680"/>
        </w:trPr>
        <w:tc>
          <w:tcPr>
            <w:tcW w:w="556" w:type="pct"/>
            <w:vMerge/>
          </w:tcPr>
          <w:p w14:paraId="70C9004C" w14:textId="77777777" w:rsidR="009968E0" w:rsidRPr="009968E0" w:rsidRDefault="009968E0" w:rsidP="009968E0">
            <w:pPr>
              <w:rPr>
                <w:rFonts w:ascii="Calibri" w:eastAsia="Times New Roman" w:hAnsi="Calibri" w:cs="Calibri"/>
                <w:i/>
                <w:iCs/>
                <w:sz w:val="22"/>
                <w:szCs w:val="22"/>
                <w:lang w:eastAsia="en-GB"/>
              </w:rPr>
            </w:pPr>
          </w:p>
        </w:tc>
        <w:tc>
          <w:tcPr>
            <w:tcW w:w="139" w:type="pct"/>
            <w:vMerge/>
          </w:tcPr>
          <w:p w14:paraId="6A1D647C" w14:textId="77777777" w:rsidR="009968E0" w:rsidRPr="009968E0" w:rsidRDefault="009968E0" w:rsidP="009968E0">
            <w:pPr>
              <w:rPr>
                <w:rFonts w:ascii="Calibri" w:eastAsia="Times New Roman" w:hAnsi="Calibri" w:cs="Calibri"/>
                <w:i/>
                <w:iCs/>
                <w:sz w:val="22"/>
                <w:szCs w:val="22"/>
                <w:lang w:eastAsia="en-GB"/>
              </w:rPr>
            </w:pPr>
          </w:p>
        </w:tc>
        <w:tc>
          <w:tcPr>
            <w:tcW w:w="978" w:type="pct"/>
          </w:tcPr>
          <w:p w14:paraId="04A4D313"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LIKERT</w:t>
            </w:r>
          </w:p>
        </w:tc>
        <w:tc>
          <w:tcPr>
            <w:tcW w:w="746" w:type="pct"/>
          </w:tcPr>
          <w:p w14:paraId="42423434"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-1.448</w:t>
            </w:r>
          </w:p>
        </w:tc>
        <w:tc>
          <w:tcPr>
            <w:tcW w:w="948" w:type="pct"/>
          </w:tcPr>
          <w:p w14:paraId="00D9807E"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.534</w:t>
            </w:r>
          </w:p>
        </w:tc>
        <w:tc>
          <w:tcPr>
            <w:tcW w:w="379" w:type="pct"/>
          </w:tcPr>
          <w:p w14:paraId="33230DD5"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.308</w:t>
            </w:r>
          </w:p>
        </w:tc>
        <w:tc>
          <w:tcPr>
            <w:tcW w:w="448" w:type="pct"/>
          </w:tcPr>
          <w:p w14:paraId="62D676B9"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7.340</w:t>
            </w:r>
          </w:p>
        </w:tc>
        <w:tc>
          <w:tcPr>
            <w:tcW w:w="806" w:type="pct"/>
          </w:tcPr>
          <w:p w14:paraId="58959473"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.015*</w:t>
            </w:r>
          </w:p>
        </w:tc>
      </w:tr>
      <w:tr w:rsidR="009968E0" w:rsidRPr="009968E0" w14:paraId="12C49AD9" w14:textId="77777777" w:rsidTr="009968E0">
        <w:trPr>
          <w:trHeight w:val="360"/>
        </w:trPr>
        <w:tc>
          <w:tcPr>
            <w:tcW w:w="556" w:type="pct"/>
            <w:vMerge w:val="restart"/>
          </w:tcPr>
          <w:p w14:paraId="54892CB3"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DPN</w:t>
            </w:r>
          </w:p>
        </w:tc>
        <w:tc>
          <w:tcPr>
            <w:tcW w:w="139" w:type="pct"/>
            <w:vMerge w:val="restart"/>
          </w:tcPr>
          <w:p w14:paraId="2D84A3C6" w14:textId="77777777" w:rsidR="009968E0" w:rsidRPr="009968E0" w:rsidRDefault="009968E0" w:rsidP="009968E0">
            <w:pPr>
              <w:rPr>
                <w:rFonts w:ascii="Calibri" w:eastAsia="Times New Roman" w:hAnsi="Calibri" w:cs="Calibri"/>
                <w:i/>
                <w:iCs/>
                <w:sz w:val="22"/>
                <w:szCs w:val="22"/>
                <w:lang w:eastAsia="en-GB"/>
              </w:rPr>
            </w:pPr>
          </w:p>
        </w:tc>
        <w:tc>
          <w:tcPr>
            <w:tcW w:w="978" w:type="pct"/>
            <w:shd w:val="clear" w:color="auto" w:fill="FDE9D9"/>
          </w:tcPr>
          <w:p w14:paraId="548BA71D"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(Constant)</w:t>
            </w:r>
          </w:p>
        </w:tc>
        <w:tc>
          <w:tcPr>
            <w:tcW w:w="746" w:type="pct"/>
            <w:shd w:val="clear" w:color="auto" w:fill="FDE9D9"/>
          </w:tcPr>
          <w:p w14:paraId="0C96E89E"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-7.470</w:t>
            </w:r>
          </w:p>
        </w:tc>
        <w:tc>
          <w:tcPr>
            <w:tcW w:w="948" w:type="pct"/>
            <w:shd w:val="clear" w:color="auto" w:fill="FDE9D9"/>
          </w:tcPr>
          <w:p w14:paraId="1466AA27"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2.768</w:t>
            </w:r>
          </w:p>
        </w:tc>
        <w:tc>
          <w:tcPr>
            <w:tcW w:w="379" w:type="pct"/>
            <w:shd w:val="clear" w:color="auto" w:fill="FDE9D9"/>
          </w:tcPr>
          <w:p w14:paraId="419A48D9" w14:textId="77777777" w:rsidR="009968E0" w:rsidRPr="009968E0" w:rsidRDefault="009968E0" w:rsidP="009968E0">
            <w:pPr>
              <w:rPr>
                <w:rFonts w:ascii="Calibri" w:eastAsia="Times New Roman" w:hAnsi="Calibri" w:cs="Calibri"/>
                <w:i/>
                <w:iCs/>
                <w:sz w:val="22"/>
                <w:szCs w:val="22"/>
                <w:lang w:eastAsia="en-GB"/>
              </w:rPr>
            </w:pPr>
          </w:p>
        </w:tc>
        <w:tc>
          <w:tcPr>
            <w:tcW w:w="448" w:type="pct"/>
            <w:shd w:val="clear" w:color="auto" w:fill="FDE9D9"/>
          </w:tcPr>
          <w:p w14:paraId="56E98CE4" w14:textId="77777777" w:rsidR="009968E0" w:rsidRPr="009968E0" w:rsidRDefault="009968E0" w:rsidP="009968E0">
            <w:pPr>
              <w:rPr>
                <w:rFonts w:ascii="Calibri" w:eastAsia="Times New Roman" w:hAnsi="Calibri" w:cs="Calibri"/>
                <w:i/>
                <w:iCs/>
                <w:sz w:val="22"/>
                <w:szCs w:val="22"/>
                <w:lang w:eastAsia="en-GB"/>
              </w:rPr>
            </w:pPr>
          </w:p>
        </w:tc>
        <w:tc>
          <w:tcPr>
            <w:tcW w:w="806" w:type="pct"/>
            <w:shd w:val="clear" w:color="auto" w:fill="FDE9D9"/>
          </w:tcPr>
          <w:p w14:paraId="58CEDB6C"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.013</w:t>
            </w:r>
          </w:p>
        </w:tc>
      </w:tr>
      <w:tr w:rsidR="009968E0" w:rsidRPr="009968E0" w14:paraId="543F9D79" w14:textId="77777777" w:rsidTr="009968E0">
        <w:trPr>
          <w:trHeight w:val="680"/>
        </w:trPr>
        <w:tc>
          <w:tcPr>
            <w:tcW w:w="556" w:type="pct"/>
            <w:vMerge/>
          </w:tcPr>
          <w:p w14:paraId="1B753DCB" w14:textId="77777777" w:rsidR="009968E0" w:rsidRPr="009968E0" w:rsidRDefault="009968E0" w:rsidP="009968E0">
            <w:pPr>
              <w:rPr>
                <w:rFonts w:ascii="Calibri" w:eastAsia="Times New Roman" w:hAnsi="Calibri" w:cs="Calibri"/>
                <w:i/>
                <w:iCs/>
                <w:sz w:val="22"/>
                <w:szCs w:val="22"/>
                <w:lang w:eastAsia="en-GB"/>
              </w:rPr>
            </w:pPr>
          </w:p>
        </w:tc>
        <w:tc>
          <w:tcPr>
            <w:tcW w:w="139" w:type="pct"/>
            <w:vMerge/>
          </w:tcPr>
          <w:p w14:paraId="7BD048BE" w14:textId="77777777" w:rsidR="009968E0" w:rsidRPr="009968E0" w:rsidRDefault="009968E0" w:rsidP="009968E0">
            <w:pPr>
              <w:rPr>
                <w:rFonts w:ascii="Calibri" w:eastAsia="Times New Roman" w:hAnsi="Calibri" w:cs="Calibri"/>
                <w:i/>
                <w:iCs/>
                <w:sz w:val="22"/>
                <w:szCs w:val="22"/>
                <w:lang w:eastAsia="en-GB"/>
              </w:rPr>
            </w:pPr>
          </w:p>
        </w:tc>
        <w:tc>
          <w:tcPr>
            <w:tcW w:w="978" w:type="pct"/>
          </w:tcPr>
          <w:p w14:paraId="0083A37A"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LIKERT</w:t>
            </w:r>
          </w:p>
        </w:tc>
        <w:tc>
          <w:tcPr>
            <w:tcW w:w="746" w:type="pct"/>
          </w:tcPr>
          <w:p w14:paraId="55233BF0"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1.007</w:t>
            </w:r>
          </w:p>
        </w:tc>
        <w:tc>
          <w:tcPr>
            <w:tcW w:w="948" w:type="pct"/>
          </w:tcPr>
          <w:p w14:paraId="43BF3E01"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.381</w:t>
            </w:r>
          </w:p>
        </w:tc>
        <w:tc>
          <w:tcPr>
            <w:tcW w:w="379" w:type="pct"/>
          </w:tcPr>
          <w:p w14:paraId="1ABA8D2C"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.268</w:t>
            </w:r>
          </w:p>
        </w:tc>
        <w:tc>
          <w:tcPr>
            <w:tcW w:w="448" w:type="pct"/>
          </w:tcPr>
          <w:p w14:paraId="01C69E8A"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7.000</w:t>
            </w:r>
          </w:p>
        </w:tc>
        <w:tc>
          <w:tcPr>
            <w:tcW w:w="806" w:type="pct"/>
          </w:tcPr>
          <w:p w14:paraId="3BBCC789"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.015*</w:t>
            </w:r>
          </w:p>
        </w:tc>
      </w:tr>
      <w:tr w:rsidR="009968E0" w:rsidRPr="009968E0" w14:paraId="275E78C0" w14:textId="77777777" w:rsidTr="009968E0">
        <w:trPr>
          <w:trHeight w:val="360"/>
        </w:trPr>
        <w:tc>
          <w:tcPr>
            <w:tcW w:w="556" w:type="pct"/>
            <w:vMerge w:val="restart"/>
          </w:tcPr>
          <w:p w14:paraId="27891F79"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DM-NN</w:t>
            </w:r>
          </w:p>
        </w:tc>
        <w:tc>
          <w:tcPr>
            <w:tcW w:w="139" w:type="pct"/>
            <w:vMerge w:val="restart"/>
          </w:tcPr>
          <w:p w14:paraId="528929BE" w14:textId="77777777" w:rsidR="009968E0" w:rsidRPr="009968E0" w:rsidRDefault="009968E0" w:rsidP="009968E0">
            <w:pPr>
              <w:rPr>
                <w:rFonts w:ascii="Calibri" w:eastAsia="Times New Roman" w:hAnsi="Calibri" w:cs="Calibri"/>
                <w:i/>
                <w:iCs/>
                <w:sz w:val="22"/>
                <w:szCs w:val="22"/>
                <w:lang w:eastAsia="en-GB"/>
              </w:rPr>
            </w:pPr>
          </w:p>
        </w:tc>
        <w:tc>
          <w:tcPr>
            <w:tcW w:w="978" w:type="pct"/>
            <w:shd w:val="clear" w:color="auto" w:fill="FDE9D9"/>
          </w:tcPr>
          <w:p w14:paraId="73132E1E"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(Constant)</w:t>
            </w:r>
          </w:p>
        </w:tc>
        <w:tc>
          <w:tcPr>
            <w:tcW w:w="746" w:type="pct"/>
            <w:shd w:val="clear" w:color="auto" w:fill="FDE9D9"/>
          </w:tcPr>
          <w:p w14:paraId="41DD3BC5"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2.533</w:t>
            </w:r>
          </w:p>
        </w:tc>
        <w:tc>
          <w:tcPr>
            <w:tcW w:w="948" w:type="pct"/>
            <w:shd w:val="clear" w:color="auto" w:fill="FDE9D9"/>
          </w:tcPr>
          <w:p w14:paraId="5F4ACC9B"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5.987</w:t>
            </w:r>
          </w:p>
        </w:tc>
        <w:tc>
          <w:tcPr>
            <w:tcW w:w="379" w:type="pct"/>
            <w:shd w:val="clear" w:color="auto" w:fill="FDE9D9"/>
          </w:tcPr>
          <w:p w14:paraId="5398408E" w14:textId="77777777" w:rsidR="009968E0" w:rsidRPr="009968E0" w:rsidRDefault="009968E0" w:rsidP="009968E0">
            <w:pPr>
              <w:rPr>
                <w:rFonts w:ascii="Calibri" w:eastAsia="Times New Roman" w:hAnsi="Calibri" w:cs="Calibri"/>
                <w:i/>
                <w:iCs/>
                <w:sz w:val="22"/>
                <w:szCs w:val="22"/>
                <w:lang w:eastAsia="en-GB"/>
              </w:rPr>
            </w:pPr>
          </w:p>
        </w:tc>
        <w:tc>
          <w:tcPr>
            <w:tcW w:w="448" w:type="pct"/>
            <w:shd w:val="clear" w:color="auto" w:fill="FDE9D9"/>
          </w:tcPr>
          <w:p w14:paraId="12F17728" w14:textId="77777777" w:rsidR="009968E0" w:rsidRPr="009968E0" w:rsidRDefault="009968E0" w:rsidP="009968E0">
            <w:pPr>
              <w:rPr>
                <w:rFonts w:ascii="Calibri" w:eastAsia="Times New Roman" w:hAnsi="Calibri" w:cs="Calibri"/>
                <w:i/>
                <w:iCs/>
                <w:sz w:val="22"/>
                <w:szCs w:val="22"/>
                <w:lang w:eastAsia="en-GB"/>
              </w:rPr>
            </w:pPr>
          </w:p>
        </w:tc>
        <w:tc>
          <w:tcPr>
            <w:tcW w:w="806" w:type="pct"/>
            <w:shd w:val="clear" w:color="auto" w:fill="FDE9D9"/>
          </w:tcPr>
          <w:p w14:paraId="5474FEC4"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.680</w:t>
            </w:r>
          </w:p>
        </w:tc>
      </w:tr>
      <w:tr w:rsidR="009968E0" w:rsidRPr="009968E0" w14:paraId="6A5F8D44" w14:textId="77777777" w:rsidTr="009968E0">
        <w:trPr>
          <w:trHeight w:val="680"/>
        </w:trPr>
        <w:tc>
          <w:tcPr>
            <w:tcW w:w="556" w:type="pct"/>
            <w:vMerge/>
          </w:tcPr>
          <w:p w14:paraId="6E4B2587" w14:textId="77777777" w:rsidR="009968E0" w:rsidRPr="009968E0" w:rsidRDefault="009968E0" w:rsidP="009968E0">
            <w:pPr>
              <w:rPr>
                <w:rFonts w:ascii="Calibri" w:eastAsia="Times New Roman" w:hAnsi="Calibri" w:cs="Calibri"/>
                <w:i/>
                <w:iCs/>
                <w:sz w:val="22"/>
                <w:szCs w:val="22"/>
                <w:lang w:eastAsia="en-GB"/>
              </w:rPr>
            </w:pPr>
          </w:p>
        </w:tc>
        <w:tc>
          <w:tcPr>
            <w:tcW w:w="139" w:type="pct"/>
            <w:vMerge/>
          </w:tcPr>
          <w:p w14:paraId="53EBACB2" w14:textId="77777777" w:rsidR="009968E0" w:rsidRPr="009968E0" w:rsidRDefault="009968E0" w:rsidP="009968E0">
            <w:pPr>
              <w:rPr>
                <w:rFonts w:ascii="Calibri" w:eastAsia="Times New Roman" w:hAnsi="Calibri" w:cs="Calibri"/>
                <w:i/>
                <w:iCs/>
                <w:sz w:val="22"/>
                <w:szCs w:val="22"/>
                <w:lang w:eastAsia="en-GB"/>
              </w:rPr>
            </w:pPr>
          </w:p>
        </w:tc>
        <w:tc>
          <w:tcPr>
            <w:tcW w:w="978" w:type="pct"/>
          </w:tcPr>
          <w:p w14:paraId="134CFDDC"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LIKERT</w:t>
            </w:r>
          </w:p>
        </w:tc>
        <w:tc>
          <w:tcPr>
            <w:tcW w:w="746" w:type="pct"/>
          </w:tcPr>
          <w:p w14:paraId="0BB3A88F"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-.334</w:t>
            </w:r>
          </w:p>
        </w:tc>
        <w:tc>
          <w:tcPr>
            <w:tcW w:w="948" w:type="pct"/>
          </w:tcPr>
          <w:p w14:paraId="06561BF1"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.793</w:t>
            </w:r>
          </w:p>
        </w:tc>
        <w:tc>
          <w:tcPr>
            <w:tcW w:w="379" w:type="pct"/>
          </w:tcPr>
          <w:p w14:paraId="307AA38D"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.018</w:t>
            </w:r>
          </w:p>
        </w:tc>
        <w:tc>
          <w:tcPr>
            <w:tcW w:w="448" w:type="pct"/>
          </w:tcPr>
          <w:p w14:paraId="6BE11822"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0.178</w:t>
            </w:r>
          </w:p>
        </w:tc>
        <w:tc>
          <w:tcPr>
            <w:tcW w:w="806" w:type="pct"/>
          </w:tcPr>
          <w:p w14:paraId="3567CE3B"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.681</w:t>
            </w:r>
          </w:p>
        </w:tc>
      </w:tr>
      <w:tr w:rsidR="009968E0" w:rsidRPr="009968E0" w14:paraId="615B980B" w14:textId="77777777" w:rsidTr="009968E0">
        <w:trPr>
          <w:trHeight w:val="360"/>
        </w:trPr>
        <w:tc>
          <w:tcPr>
            <w:tcW w:w="556" w:type="pct"/>
            <w:vMerge w:val="restart"/>
          </w:tcPr>
          <w:p w14:paraId="6EBB4FC1"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HV</w:t>
            </w:r>
          </w:p>
        </w:tc>
        <w:tc>
          <w:tcPr>
            <w:tcW w:w="139" w:type="pct"/>
            <w:vMerge w:val="restart"/>
          </w:tcPr>
          <w:p w14:paraId="22EF8817" w14:textId="77777777" w:rsidR="009968E0" w:rsidRPr="009968E0" w:rsidRDefault="009968E0" w:rsidP="009968E0">
            <w:pPr>
              <w:rPr>
                <w:rFonts w:ascii="Calibri" w:eastAsia="Times New Roman" w:hAnsi="Calibri" w:cs="Calibri"/>
                <w:i/>
                <w:iCs/>
                <w:sz w:val="22"/>
                <w:szCs w:val="22"/>
                <w:lang w:eastAsia="en-GB"/>
              </w:rPr>
            </w:pPr>
          </w:p>
        </w:tc>
        <w:tc>
          <w:tcPr>
            <w:tcW w:w="978" w:type="pct"/>
            <w:shd w:val="clear" w:color="auto" w:fill="FDE9D9"/>
          </w:tcPr>
          <w:p w14:paraId="5A44A043"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(Constant)</w:t>
            </w:r>
          </w:p>
        </w:tc>
        <w:tc>
          <w:tcPr>
            <w:tcW w:w="746" w:type="pct"/>
            <w:shd w:val="clear" w:color="auto" w:fill="FDE9D9"/>
          </w:tcPr>
          <w:p w14:paraId="15C5163D"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-5.566</w:t>
            </w:r>
          </w:p>
        </w:tc>
        <w:tc>
          <w:tcPr>
            <w:tcW w:w="948" w:type="pct"/>
            <w:shd w:val="clear" w:color="auto" w:fill="FDE9D9"/>
          </w:tcPr>
          <w:p w14:paraId="44F2EB37"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3.251</w:t>
            </w:r>
          </w:p>
        </w:tc>
        <w:tc>
          <w:tcPr>
            <w:tcW w:w="379" w:type="pct"/>
            <w:shd w:val="clear" w:color="auto" w:fill="FDE9D9"/>
          </w:tcPr>
          <w:p w14:paraId="36367AA4" w14:textId="77777777" w:rsidR="009968E0" w:rsidRPr="009968E0" w:rsidRDefault="009968E0" w:rsidP="009968E0">
            <w:pPr>
              <w:rPr>
                <w:rFonts w:ascii="Calibri" w:eastAsia="Times New Roman" w:hAnsi="Calibri" w:cs="Calibri"/>
                <w:i/>
                <w:iCs/>
                <w:sz w:val="22"/>
                <w:szCs w:val="22"/>
                <w:lang w:eastAsia="en-GB"/>
              </w:rPr>
            </w:pPr>
          </w:p>
        </w:tc>
        <w:tc>
          <w:tcPr>
            <w:tcW w:w="448" w:type="pct"/>
            <w:shd w:val="clear" w:color="auto" w:fill="FDE9D9"/>
          </w:tcPr>
          <w:p w14:paraId="630BC15D" w14:textId="77777777" w:rsidR="009968E0" w:rsidRPr="009968E0" w:rsidRDefault="009968E0" w:rsidP="009968E0">
            <w:pPr>
              <w:rPr>
                <w:rFonts w:ascii="Calibri" w:eastAsia="Times New Roman" w:hAnsi="Calibri" w:cs="Calibri"/>
                <w:i/>
                <w:iCs/>
                <w:sz w:val="22"/>
                <w:szCs w:val="22"/>
                <w:lang w:eastAsia="en-GB"/>
              </w:rPr>
            </w:pPr>
          </w:p>
        </w:tc>
        <w:tc>
          <w:tcPr>
            <w:tcW w:w="806" w:type="pct"/>
            <w:shd w:val="clear" w:color="auto" w:fill="FDE9D9"/>
          </w:tcPr>
          <w:p w14:paraId="5505FA2E"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.105</w:t>
            </w:r>
          </w:p>
        </w:tc>
      </w:tr>
      <w:tr w:rsidR="009968E0" w:rsidRPr="009968E0" w14:paraId="1C528111" w14:textId="77777777" w:rsidTr="009968E0">
        <w:trPr>
          <w:trHeight w:val="680"/>
        </w:trPr>
        <w:tc>
          <w:tcPr>
            <w:tcW w:w="556" w:type="pct"/>
            <w:vMerge/>
          </w:tcPr>
          <w:p w14:paraId="11E4B5F7" w14:textId="77777777" w:rsidR="009968E0" w:rsidRPr="009968E0" w:rsidRDefault="009968E0" w:rsidP="009968E0">
            <w:pPr>
              <w:rPr>
                <w:rFonts w:ascii="Calibri" w:eastAsia="Times New Roman" w:hAnsi="Calibri" w:cs="Calibri"/>
                <w:i/>
                <w:iCs/>
                <w:sz w:val="22"/>
                <w:szCs w:val="22"/>
                <w:lang w:eastAsia="en-GB"/>
              </w:rPr>
            </w:pPr>
          </w:p>
        </w:tc>
        <w:tc>
          <w:tcPr>
            <w:tcW w:w="139" w:type="pct"/>
            <w:vMerge/>
          </w:tcPr>
          <w:p w14:paraId="0E2581A7" w14:textId="77777777" w:rsidR="009968E0" w:rsidRPr="009968E0" w:rsidRDefault="009968E0" w:rsidP="009968E0">
            <w:pPr>
              <w:rPr>
                <w:rFonts w:ascii="Calibri" w:eastAsia="Times New Roman" w:hAnsi="Calibri" w:cs="Calibri"/>
                <w:i/>
                <w:iCs/>
                <w:sz w:val="22"/>
                <w:szCs w:val="22"/>
                <w:lang w:eastAsia="en-GB"/>
              </w:rPr>
            </w:pPr>
          </w:p>
        </w:tc>
        <w:tc>
          <w:tcPr>
            <w:tcW w:w="978" w:type="pct"/>
          </w:tcPr>
          <w:p w14:paraId="4FEB8AA1"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LIKERT</w:t>
            </w:r>
          </w:p>
        </w:tc>
        <w:tc>
          <w:tcPr>
            <w:tcW w:w="746" w:type="pct"/>
          </w:tcPr>
          <w:p w14:paraId="1A322DB7"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.831</w:t>
            </w:r>
          </w:p>
        </w:tc>
        <w:tc>
          <w:tcPr>
            <w:tcW w:w="948" w:type="pct"/>
          </w:tcPr>
          <w:p w14:paraId="12107630"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.468</w:t>
            </w:r>
          </w:p>
        </w:tc>
        <w:tc>
          <w:tcPr>
            <w:tcW w:w="379" w:type="pct"/>
          </w:tcPr>
          <w:p w14:paraId="1C92C577"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.148</w:t>
            </w:r>
          </w:p>
        </w:tc>
        <w:tc>
          <w:tcPr>
            <w:tcW w:w="448" w:type="pct"/>
          </w:tcPr>
          <w:p w14:paraId="45AE1848"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3.153</w:t>
            </w:r>
          </w:p>
        </w:tc>
        <w:tc>
          <w:tcPr>
            <w:tcW w:w="806" w:type="pct"/>
          </w:tcPr>
          <w:p w14:paraId="42E668E2"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.094</w:t>
            </w:r>
          </w:p>
        </w:tc>
      </w:tr>
    </w:tbl>
    <w:p w14:paraId="242E3049" w14:textId="77777777" w:rsidR="009968E0" w:rsidRPr="009968E0" w:rsidRDefault="009968E0" w:rsidP="009968E0">
      <w:pPr>
        <w:rPr>
          <w:rFonts w:ascii="Times New Roman" w:eastAsia="Times New Roman" w:hAnsi="Times New Roman" w:cs="Arial"/>
          <w:lang w:eastAsia="en-GB"/>
        </w:rPr>
      </w:pPr>
      <w:r w:rsidRPr="009968E0">
        <w:rPr>
          <w:rFonts w:ascii="Calibri" w:eastAsia="Times New Roman" w:hAnsi="Calibri" w:cs="Calibri"/>
          <w:i/>
          <w:iCs/>
          <w:sz w:val="22"/>
          <w:szCs w:val="22"/>
          <w:lang w:eastAsia="en-GB"/>
        </w:rPr>
        <w:t>*significance p&lt;0.05</w:t>
      </w:r>
    </w:p>
    <w:p w14:paraId="1AFF2276" w14:textId="77777777" w:rsidR="009968E0" w:rsidRPr="009968E0" w:rsidRDefault="009968E0" w:rsidP="009968E0">
      <w:pPr>
        <w:rPr>
          <w:rFonts w:ascii="Times New Roman" w:eastAsia="Times New Roman" w:hAnsi="Times New Roman" w:cs="Arial"/>
          <w:lang w:eastAsia="en-GB"/>
        </w:rPr>
      </w:pPr>
    </w:p>
    <w:tbl>
      <w:tblPr>
        <w:tblW w:w="9064" w:type="dxa"/>
        <w:shd w:val="clear" w:color="auto" w:fill="FFFFFF"/>
        <w:tblLayout w:type="fixed"/>
        <w:tblCellMar>
          <w:left w:w="115" w:type="dxa"/>
          <w:right w:w="115" w:type="dxa"/>
        </w:tblCellMar>
        <w:tblLook w:val="0400" w:firstRow="0" w:lastRow="0" w:firstColumn="0" w:lastColumn="0" w:noHBand="0" w:noVBand="1"/>
      </w:tblPr>
      <w:tblGrid>
        <w:gridCol w:w="3211"/>
        <w:gridCol w:w="1303"/>
        <w:gridCol w:w="1724"/>
        <w:gridCol w:w="1430"/>
        <w:gridCol w:w="1396"/>
      </w:tblGrid>
      <w:tr w:rsidR="009968E0" w:rsidRPr="009968E0" w14:paraId="633557FC" w14:textId="77777777" w:rsidTr="009968E0">
        <w:trPr>
          <w:trHeight w:val="480"/>
        </w:trPr>
        <w:tc>
          <w:tcPr>
            <w:tcW w:w="9064" w:type="dxa"/>
            <w:gridSpan w:val="5"/>
            <w:tcBorders>
              <w:top w:val="nil"/>
              <w:left w:val="nil"/>
              <w:bottom w:val="single" w:sz="12" w:space="0" w:color="000000"/>
              <w:right w:val="nil"/>
            </w:tcBorders>
            <w:shd w:val="clear" w:color="auto" w:fill="FDE9D9"/>
            <w:vAlign w:val="center"/>
          </w:tcPr>
          <w:p w14:paraId="48D9B659" w14:textId="77777777" w:rsidR="009968E0" w:rsidRPr="009968E0" w:rsidRDefault="009968E0" w:rsidP="004E6428">
            <w:pPr>
              <w:pStyle w:val="Quote"/>
            </w:pPr>
            <w:bookmarkStart w:id="659" w:name="_Toc48406158"/>
            <w:bookmarkStart w:id="660" w:name="_Toc49273369"/>
            <w:bookmarkStart w:id="661" w:name="_Toc64724121"/>
            <w:r w:rsidRPr="009968E0">
              <w:t>Table D.14: ANOVA comparing regression slopes and intercepts for statistical significance for delta RBV-RPSC</w:t>
            </w:r>
            <w:bookmarkEnd w:id="659"/>
            <w:bookmarkEnd w:id="660"/>
            <w:bookmarkEnd w:id="661"/>
          </w:p>
        </w:tc>
      </w:tr>
      <w:tr w:rsidR="009968E0" w:rsidRPr="009968E0" w14:paraId="5405BEDA" w14:textId="77777777" w:rsidTr="009968E0">
        <w:trPr>
          <w:trHeight w:val="680"/>
        </w:trPr>
        <w:tc>
          <w:tcPr>
            <w:tcW w:w="3211" w:type="dxa"/>
            <w:tcBorders>
              <w:top w:val="nil"/>
              <w:left w:val="single" w:sz="12" w:space="0" w:color="000000"/>
              <w:bottom w:val="single" w:sz="12" w:space="0" w:color="000000"/>
              <w:right w:val="nil"/>
            </w:tcBorders>
            <w:shd w:val="clear" w:color="auto" w:fill="FFFFFF"/>
            <w:vAlign w:val="bottom"/>
          </w:tcPr>
          <w:p w14:paraId="107D4EB8" w14:textId="77777777" w:rsidR="009968E0" w:rsidRPr="009968E0" w:rsidRDefault="009968E0" w:rsidP="009968E0">
            <w:pPr>
              <w:spacing w:line="360" w:lineRule="auto"/>
              <w:rPr>
                <w:rFonts w:ascii="Calibri" w:eastAsia="Times New Roman" w:hAnsi="Calibri" w:cs="Calibri"/>
                <w:i/>
                <w:color w:val="000000"/>
                <w:sz w:val="20"/>
                <w:szCs w:val="20"/>
                <w:lang w:eastAsia="en-GB"/>
              </w:rPr>
            </w:pPr>
            <w:r w:rsidRPr="009968E0">
              <w:rPr>
                <w:rFonts w:ascii="Calibri" w:eastAsia="Times New Roman" w:hAnsi="Calibri" w:cs="Calibri"/>
                <w:i/>
                <w:color w:val="000000"/>
                <w:sz w:val="20"/>
                <w:szCs w:val="20"/>
                <w:lang w:eastAsia="en-GB"/>
              </w:rPr>
              <w:t>Model</w:t>
            </w:r>
          </w:p>
        </w:tc>
        <w:tc>
          <w:tcPr>
            <w:tcW w:w="1303" w:type="dxa"/>
            <w:tcBorders>
              <w:top w:val="nil"/>
              <w:left w:val="single" w:sz="4" w:space="0" w:color="000000"/>
              <w:bottom w:val="single" w:sz="12" w:space="0" w:color="000000"/>
              <w:right w:val="single" w:sz="4" w:space="0" w:color="000000"/>
            </w:tcBorders>
            <w:shd w:val="clear" w:color="auto" w:fill="FFFFFF"/>
            <w:vAlign w:val="bottom"/>
          </w:tcPr>
          <w:p w14:paraId="32419919" w14:textId="77777777" w:rsidR="009968E0" w:rsidRPr="009968E0" w:rsidRDefault="009968E0" w:rsidP="009968E0">
            <w:pPr>
              <w:spacing w:line="360" w:lineRule="auto"/>
              <w:jc w:val="center"/>
              <w:rPr>
                <w:rFonts w:ascii="Calibri" w:eastAsia="Times New Roman" w:hAnsi="Calibri" w:cs="Calibri"/>
                <w:i/>
                <w:color w:val="000000"/>
                <w:sz w:val="20"/>
                <w:szCs w:val="20"/>
                <w:lang w:eastAsia="en-GB"/>
              </w:rPr>
            </w:pPr>
            <w:r w:rsidRPr="009968E0">
              <w:rPr>
                <w:rFonts w:ascii="Calibri" w:eastAsia="Times New Roman" w:hAnsi="Calibri" w:cs="Calibri"/>
                <w:i/>
                <w:color w:val="000000"/>
                <w:sz w:val="20"/>
                <w:szCs w:val="20"/>
                <w:lang w:eastAsia="en-GB"/>
              </w:rPr>
              <w:t>df</w:t>
            </w:r>
          </w:p>
        </w:tc>
        <w:tc>
          <w:tcPr>
            <w:tcW w:w="1724" w:type="dxa"/>
            <w:tcBorders>
              <w:top w:val="nil"/>
              <w:left w:val="nil"/>
              <w:bottom w:val="single" w:sz="12" w:space="0" w:color="000000"/>
              <w:right w:val="single" w:sz="4" w:space="0" w:color="000000"/>
            </w:tcBorders>
            <w:shd w:val="clear" w:color="auto" w:fill="FFFFFF"/>
            <w:vAlign w:val="bottom"/>
          </w:tcPr>
          <w:p w14:paraId="199B2D06" w14:textId="77777777" w:rsidR="009968E0" w:rsidRPr="009968E0" w:rsidRDefault="009968E0" w:rsidP="009968E0">
            <w:pPr>
              <w:spacing w:line="360" w:lineRule="auto"/>
              <w:jc w:val="center"/>
              <w:rPr>
                <w:rFonts w:ascii="Calibri" w:eastAsia="Times New Roman" w:hAnsi="Calibri" w:cs="Calibri"/>
                <w:i/>
                <w:color w:val="000000"/>
                <w:sz w:val="20"/>
                <w:szCs w:val="20"/>
                <w:lang w:eastAsia="en-GB"/>
              </w:rPr>
            </w:pPr>
            <w:r w:rsidRPr="009968E0">
              <w:rPr>
                <w:rFonts w:ascii="Calibri" w:eastAsia="Times New Roman" w:hAnsi="Calibri" w:cs="Calibri"/>
                <w:i/>
                <w:color w:val="000000"/>
                <w:sz w:val="20"/>
                <w:szCs w:val="20"/>
                <w:lang w:eastAsia="en-GB"/>
              </w:rPr>
              <w:t>F</w:t>
            </w:r>
          </w:p>
        </w:tc>
        <w:tc>
          <w:tcPr>
            <w:tcW w:w="1430" w:type="dxa"/>
            <w:tcBorders>
              <w:top w:val="nil"/>
              <w:left w:val="nil"/>
              <w:bottom w:val="single" w:sz="12" w:space="0" w:color="000000"/>
              <w:right w:val="single" w:sz="4" w:space="0" w:color="000000"/>
            </w:tcBorders>
            <w:shd w:val="clear" w:color="auto" w:fill="FFFFFF"/>
            <w:vAlign w:val="bottom"/>
          </w:tcPr>
          <w:p w14:paraId="711B09F5" w14:textId="77777777" w:rsidR="009968E0" w:rsidRPr="009968E0" w:rsidRDefault="009968E0" w:rsidP="009968E0">
            <w:pPr>
              <w:spacing w:line="360" w:lineRule="auto"/>
              <w:jc w:val="center"/>
              <w:rPr>
                <w:rFonts w:ascii="Calibri" w:eastAsia="Times New Roman" w:hAnsi="Calibri" w:cs="Calibri"/>
                <w:i/>
                <w:color w:val="000000"/>
                <w:sz w:val="20"/>
                <w:szCs w:val="20"/>
                <w:lang w:eastAsia="en-GB"/>
              </w:rPr>
            </w:pPr>
            <w:r w:rsidRPr="009968E0">
              <w:rPr>
                <w:rFonts w:ascii="Calibri" w:eastAsia="Times New Roman" w:hAnsi="Calibri" w:cs="Calibri"/>
                <w:i/>
                <w:color w:val="000000"/>
                <w:sz w:val="20"/>
                <w:szCs w:val="20"/>
                <w:lang w:eastAsia="en-GB"/>
              </w:rPr>
              <w:t>Sig.</w:t>
            </w:r>
          </w:p>
        </w:tc>
        <w:tc>
          <w:tcPr>
            <w:tcW w:w="1396" w:type="dxa"/>
            <w:tcBorders>
              <w:top w:val="nil"/>
              <w:left w:val="nil"/>
              <w:bottom w:val="single" w:sz="12" w:space="0" w:color="000000"/>
              <w:right w:val="single" w:sz="12" w:space="0" w:color="000000"/>
            </w:tcBorders>
            <w:shd w:val="clear" w:color="auto" w:fill="FFFFFF"/>
            <w:vAlign w:val="bottom"/>
          </w:tcPr>
          <w:p w14:paraId="3559E07C" w14:textId="77777777" w:rsidR="009968E0" w:rsidRPr="009968E0" w:rsidRDefault="009968E0" w:rsidP="009968E0">
            <w:pPr>
              <w:spacing w:line="360" w:lineRule="auto"/>
              <w:jc w:val="center"/>
              <w:rPr>
                <w:rFonts w:ascii="Calibri" w:eastAsia="Times New Roman" w:hAnsi="Calibri" w:cs="Calibri"/>
                <w:i/>
                <w:color w:val="000000"/>
                <w:sz w:val="20"/>
                <w:szCs w:val="20"/>
                <w:lang w:eastAsia="en-GB"/>
              </w:rPr>
            </w:pPr>
            <w:r w:rsidRPr="009968E0">
              <w:rPr>
                <w:rFonts w:ascii="Calibri" w:eastAsia="Times New Roman" w:hAnsi="Calibri" w:cs="Calibri"/>
                <w:i/>
                <w:color w:val="000000"/>
                <w:sz w:val="20"/>
                <w:szCs w:val="20"/>
                <w:lang w:eastAsia="en-GB"/>
              </w:rPr>
              <w:t>R Square Change</w:t>
            </w:r>
          </w:p>
        </w:tc>
      </w:tr>
      <w:tr w:rsidR="009968E0" w:rsidRPr="009968E0" w14:paraId="18651B4E" w14:textId="77777777" w:rsidTr="009968E0">
        <w:trPr>
          <w:trHeight w:val="360"/>
        </w:trPr>
        <w:tc>
          <w:tcPr>
            <w:tcW w:w="3211" w:type="dxa"/>
            <w:tcBorders>
              <w:top w:val="nil"/>
              <w:left w:val="single" w:sz="12" w:space="0" w:color="000000"/>
              <w:bottom w:val="nil"/>
              <w:right w:val="single" w:sz="12" w:space="0" w:color="000000"/>
            </w:tcBorders>
            <w:shd w:val="clear" w:color="auto" w:fill="FDE9D9"/>
          </w:tcPr>
          <w:p w14:paraId="7B7787CF" w14:textId="77777777" w:rsidR="009968E0" w:rsidRPr="009968E0" w:rsidRDefault="009968E0" w:rsidP="009968E0">
            <w:pPr>
              <w:spacing w:line="360" w:lineRule="auto"/>
              <w:rPr>
                <w:rFonts w:ascii="Calibri" w:eastAsia="Times New Roman" w:hAnsi="Calibri" w:cs="Calibri"/>
                <w:i/>
                <w:color w:val="000000"/>
                <w:sz w:val="20"/>
                <w:szCs w:val="20"/>
                <w:lang w:eastAsia="en-GB"/>
              </w:rPr>
            </w:pPr>
            <w:proofErr w:type="spellStart"/>
            <w:r w:rsidRPr="009968E0">
              <w:rPr>
                <w:rFonts w:ascii="Calibri" w:eastAsia="Times New Roman" w:hAnsi="Calibri" w:cs="Calibri"/>
                <w:i/>
                <w:color w:val="000000"/>
                <w:sz w:val="20"/>
                <w:szCs w:val="20"/>
                <w:lang w:eastAsia="en-GB"/>
              </w:rPr>
              <w:t>likert_centred</w:t>
            </w:r>
            <w:proofErr w:type="spellEnd"/>
          </w:p>
        </w:tc>
        <w:tc>
          <w:tcPr>
            <w:tcW w:w="1303" w:type="dxa"/>
            <w:tcBorders>
              <w:top w:val="nil"/>
              <w:left w:val="single" w:sz="4" w:space="0" w:color="000000"/>
              <w:bottom w:val="nil"/>
              <w:right w:val="single" w:sz="4" w:space="0" w:color="000000"/>
            </w:tcBorders>
            <w:shd w:val="clear" w:color="auto" w:fill="FDE9D9"/>
            <w:vAlign w:val="center"/>
          </w:tcPr>
          <w:p w14:paraId="33A20F81" w14:textId="77777777" w:rsidR="009968E0" w:rsidRPr="009968E0" w:rsidRDefault="009968E0" w:rsidP="009968E0">
            <w:pPr>
              <w:spacing w:line="360" w:lineRule="auto"/>
              <w:jc w:val="right"/>
              <w:rPr>
                <w:rFonts w:ascii="Calibri" w:eastAsia="Times New Roman" w:hAnsi="Calibri" w:cs="Calibri"/>
                <w:i/>
                <w:color w:val="000000"/>
                <w:sz w:val="20"/>
                <w:szCs w:val="20"/>
                <w:lang w:eastAsia="en-GB"/>
              </w:rPr>
            </w:pPr>
            <w:r w:rsidRPr="009968E0">
              <w:rPr>
                <w:rFonts w:ascii="Calibri" w:eastAsia="Times New Roman" w:hAnsi="Calibri" w:cs="Calibri"/>
                <w:i/>
                <w:color w:val="000000"/>
                <w:sz w:val="20"/>
                <w:szCs w:val="20"/>
                <w:lang w:eastAsia="en-GB"/>
              </w:rPr>
              <w:t>1</w:t>
            </w:r>
          </w:p>
        </w:tc>
        <w:tc>
          <w:tcPr>
            <w:tcW w:w="1724" w:type="dxa"/>
            <w:tcBorders>
              <w:top w:val="nil"/>
              <w:left w:val="nil"/>
              <w:bottom w:val="nil"/>
              <w:right w:val="single" w:sz="4" w:space="0" w:color="000000"/>
            </w:tcBorders>
            <w:shd w:val="clear" w:color="auto" w:fill="FDE9D9"/>
            <w:vAlign w:val="center"/>
          </w:tcPr>
          <w:p w14:paraId="6B3992B7" w14:textId="77777777" w:rsidR="009968E0" w:rsidRPr="009968E0" w:rsidRDefault="009968E0" w:rsidP="009968E0">
            <w:pPr>
              <w:spacing w:line="360" w:lineRule="auto"/>
              <w:jc w:val="right"/>
              <w:rPr>
                <w:rFonts w:ascii="Calibri" w:eastAsia="Times New Roman" w:hAnsi="Calibri" w:cs="Calibri"/>
                <w:i/>
                <w:color w:val="000000"/>
                <w:sz w:val="20"/>
                <w:szCs w:val="20"/>
                <w:lang w:eastAsia="en-GB"/>
              </w:rPr>
            </w:pPr>
            <w:r w:rsidRPr="009968E0">
              <w:rPr>
                <w:rFonts w:ascii="Calibri" w:eastAsia="Times New Roman" w:hAnsi="Calibri" w:cs="Calibri"/>
                <w:i/>
                <w:color w:val="000000"/>
                <w:sz w:val="20"/>
                <w:szCs w:val="20"/>
                <w:lang w:eastAsia="en-GB"/>
              </w:rPr>
              <w:t>10.606</w:t>
            </w:r>
          </w:p>
        </w:tc>
        <w:tc>
          <w:tcPr>
            <w:tcW w:w="1430" w:type="dxa"/>
            <w:tcBorders>
              <w:top w:val="nil"/>
              <w:left w:val="nil"/>
              <w:bottom w:val="nil"/>
              <w:right w:val="single" w:sz="4" w:space="0" w:color="000000"/>
            </w:tcBorders>
            <w:shd w:val="clear" w:color="auto" w:fill="FDE9D9"/>
            <w:vAlign w:val="center"/>
          </w:tcPr>
          <w:p w14:paraId="1ABE61EE" w14:textId="77777777" w:rsidR="009968E0" w:rsidRPr="009968E0" w:rsidRDefault="009968E0" w:rsidP="009968E0">
            <w:pPr>
              <w:spacing w:line="360" w:lineRule="auto"/>
              <w:jc w:val="right"/>
              <w:rPr>
                <w:rFonts w:ascii="Calibri" w:eastAsia="Times New Roman" w:hAnsi="Calibri" w:cs="Calibri"/>
                <w:i/>
                <w:color w:val="000000"/>
                <w:sz w:val="20"/>
                <w:szCs w:val="20"/>
                <w:lang w:eastAsia="en-GB"/>
              </w:rPr>
            </w:pPr>
            <w:r w:rsidRPr="009968E0">
              <w:rPr>
                <w:rFonts w:ascii="Calibri" w:eastAsia="Times New Roman" w:hAnsi="Calibri" w:cs="Calibri"/>
                <w:i/>
                <w:color w:val="000000"/>
                <w:sz w:val="20"/>
                <w:szCs w:val="20"/>
                <w:lang w:eastAsia="en-GB"/>
              </w:rPr>
              <w:t>.002</w:t>
            </w:r>
          </w:p>
        </w:tc>
        <w:tc>
          <w:tcPr>
            <w:tcW w:w="1396" w:type="dxa"/>
            <w:tcBorders>
              <w:top w:val="nil"/>
              <w:left w:val="nil"/>
              <w:bottom w:val="nil"/>
              <w:right w:val="single" w:sz="12" w:space="0" w:color="000000"/>
            </w:tcBorders>
            <w:shd w:val="clear" w:color="auto" w:fill="FDE9D9"/>
            <w:vAlign w:val="center"/>
          </w:tcPr>
          <w:p w14:paraId="14BFAD39" w14:textId="77777777" w:rsidR="009968E0" w:rsidRPr="009968E0" w:rsidRDefault="009968E0" w:rsidP="009968E0">
            <w:pPr>
              <w:spacing w:line="360" w:lineRule="auto"/>
              <w:jc w:val="right"/>
              <w:rPr>
                <w:rFonts w:ascii="Calibri" w:eastAsia="Times New Roman" w:hAnsi="Calibri" w:cs="Calibri"/>
                <w:i/>
                <w:color w:val="000000"/>
                <w:sz w:val="20"/>
                <w:szCs w:val="20"/>
                <w:lang w:eastAsia="en-GB"/>
              </w:rPr>
            </w:pPr>
            <w:r w:rsidRPr="009968E0">
              <w:rPr>
                <w:rFonts w:ascii="Calibri" w:eastAsia="Times New Roman" w:hAnsi="Calibri" w:cs="Calibri"/>
                <w:i/>
                <w:color w:val="000000"/>
                <w:sz w:val="20"/>
                <w:szCs w:val="20"/>
                <w:lang w:eastAsia="en-GB"/>
              </w:rPr>
              <w:t>.124</w:t>
            </w:r>
          </w:p>
        </w:tc>
      </w:tr>
      <w:tr w:rsidR="009968E0" w:rsidRPr="009968E0" w14:paraId="2168C455" w14:textId="77777777" w:rsidTr="009968E0">
        <w:trPr>
          <w:trHeight w:val="780"/>
        </w:trPr>
        <w:tc>
          <w:tcPr>
            <w:tcW w:w="3211" w:type="dxa"/>
            <w:tcBorders>
              <w:top w:val="nil"/>
              <w:left w:val="single" w:sz="12" w:space="0" w:color="000000"/>
              <w:bottom w:val="nil"/>
              <w:right w:val="single" w:sz="12" w:space="0" w:color="000000"/>
            </w:tcBorders>
            <w:shd w:val="clear" w:color="auto" w:fill="FFFFFF"/>
          </w:tcPr>
          <w:p w14:paraId="79D550A1" w14:textId="77777777" w:rsidR="009968E0" w:rsidRPr="009968E0" w:rsidRDefault="009968E0" w:rsidP="009968E0">
            <w:pPr>
              <w:spacing w:line="360" w:lineRule="auto"/>
              <w:rPr>
                <w:rFonts w:ascii="Calibri" w:eastAsia="Times New Roman" w:hAnsi="Calibri" w:cs="Calibri"/>
                <w:i/>
                <w:color w:val="000000"/>
                <w:sz w:val="20"/>
                <w:szCs w:val="20"/>
                <w:lang w:eastAsia="en-GB"/>
              </w:rPr>
            </w:pPr>
            <w:proofErr w:type="spellStart"/>
            <w:r w:rsidRPr="009968E0">
              <w:rPr>
                <w:rFonts w:ascii="Calibri" w:eastAsia="Times New Roman" w:hAnsi="Calibri" w:cs="Calibri"/>
                <w:i/>
                <w:color w:val="000000"/>
                <w:sz w:val="20"/>
                <w:szCs w:val="20"/>
                <w:lang w:eastAsia="en-GB"/>
              </w:rPr>
              <w:t>Intercept_</w:t>
            </w:r>
            <w:r w:rsidRPr="009968E0">
              <w:rPr>
                <w:rFonts w:ascii="Calibri" w:eastAsia="Arial" w:hAnsi="Calibri" w:cs="Calibri"/>
                <w:i/>
                <w:color w:val="000000"/>
                <w:sz w:val="20"/>
                <w:szCs w:val="20"/>
                <w:lang w:eastAsia="en-GB"/>
              </w:rPr>
              <w:t>P-DPN</w:t>
            </w:r>
            <w:r w:rsidRPr="009968E0">
              <w:rPr>
                <w:rFonts w:ascii="Calibri" w:eastAsia="Times New Roman" w:hAnsi="Calibri" w:cs="Calibri"/>
                <w:i/>
                <w:color w:val="000000"/>
                <w:sz w:val="20"/>
                <w:szCs w:val="20"/>
                <w:lang w:eastAsia="en-GB"/>
              </w:rPr>
              <w:t>_vs_DPN</w:t>
            </w:r>
            <w:proofErr w:type="spellEnd"/>
            <w:r w:rsidRPr="009968E0">
              <w:rPr>
                <w:rFonts w:ascii="Calibri" w:eastAsia="Times New Roman" w:hAnsi="Calibri" w:cs="Calibri"/>
                <w:i/>
                <w:color w:val="000000"/>
                <w:sz w:val="20"/>
                <w:szCs w:val="20"/>
                <w:lang w:eastAsia="en-GB"/>
              </w:rPr>
              <w:t xml:space="preserve">, </w:t>
            </w:r>
            <w:proofErr w:type="spellStart"/>
            <w:r w:rsidRPr="009968E0">
              <w:rPr>
                <w:rFonts w:ascii="Calibri" w:eastAsia="Times New Roman" w:hAnsi="Calibri" w:cs="Calibri"/>
                <w:i/>
                <w:color w:val="000000"/>
                <w:sz w:val="20"/>
                <w:szCs w:val="20"/>
                <w:lang w:eastAsia="en-GB"/>
              </w:rPr>
              <w:t>Intercept_</w:t>
            </w:r>
            <w:r w:rsidRPr="009968E0">
              <w:rPr>
                <w:rFonts w:ascii="Calibri" w:eastAsia="Arial" w:hAnsi="Calibri" w:cs="Calibri"/>
                <w:i/>
                <w:color w:val="000000"/>
                <w:sz w:val="20"/>
                <w:szCs w:val="20"/>
                <w:lang w:eastAsia="en-GB"/>
              </w:rPr>
              <w:t>P-DPN</w:t>
            </w:r>
            <w:r w:rsidRPr="009968E0">
              <w:rPr>
                <w:rFonts w:ascii="Calibri" w:eastAsia="Times New Roman" w:hAnsi="Calibri" w:cs="Calibri"/>
                <w:i/>
                <w:color w:val="000000"/>
                <w:sz w:val="20"/>
                <w:szCs w:val="20"/>
                <w:lang w:eastAsia="en-GB"/>
              </w:rPr>
              <w:t>_vs_DM_NN</w:t>
            </w:r>
            <w:proofErr w:type="spellEnd"/>
            <w:r w:rsidRPr="009968E0">
              <w:rPr>
                <w:rFonts w:ascii="Calibri" w:eastAsia="Times New Roman" w:hAnsi="Calibri" w:cs="Calibri"/>
                <w:i/>
                <w:color w:val="000000"/>
                <w:sz w:val="20"/>
                <w:szCs w:val="20"/>
                <w:lang w:eastAsia="en-GB"/>
              </w:rPr>
              <w:t xml:space="preserve">, </w:t>
            </w:r>
            <w:proofErr w:type="spellStart"/>
            <w:r w:rsidRPr="009968E0">
              <w:rPr>
                <w:rFonts w:ascii="Calibri" w:eastAsia="Times New Roman" w:hAnsi="Calibri" w:cs="Calibri"/>
                <w:i/>
                <w:color w:val="000000"/>
                <w:sz w:val="20"/>
                <w:szCs w:val="20"/>
                <w:lang w:eastAsia="en-GB"/>
              </w:rPr>
              <w:t>Intercept_</w:t>
            </w:r>
            <w:r w:rsidRPr="009968E0">
              <w:rPr>
                <w:rFonts w:ascii="Calibri" w:eastAsia="Arial" w:hAnsi="Calibri" w:cs="Calibri"/>
                <w:i/>
                <w:color w:val="000000"/>
                <w:sz w:val="20"/>
                <w:szCs w:val="20"/>
                <w:lang w:eastAsia="en-GB"/>
              </w:rPr>
              <w:t>P-DPN</w:t>
            </w:r>
            <w:r w:rsidRPr="009968E0">
              <w:rPr>
                <w:rFonts w:ascii="Calibri" w:eastAsia="Times New Roman" w:hAnsi="Calibri" w:cs="Calibri"/>
                <w:i/>
                <w:color w:val="000000"/>
                <w:sz w:val="20"/>
                <w:szCs w:val="20"/>
                <w:lang w:eastAsia="en-GB"/>
              </w:rPr>
              <w:t>_vs_HV</w:t>
            </w:r>
            <w:proofErr w:type="spellEnd"/>
          </w:p>
        </w:tc>
        <w:tc>
          <w:tcPr>
            <w:tcW w:w="1303" w:type="dxa"/>
            <w:tcBorders>
              <w:top w:val="nil"/>
              <w:left w:val="single" w:sz="4" w:space="0" w:color="000000"/>
              <w:bottom w:val="nil"/>
              <w:right w:val="single" w:sz="4" w:space="0" w:color="000000"/>
            </w:tcBorders>
            <w:shd w:val="clear" w:color="auto" w:fill="FFFFFF"/>
            <w:vAlign w:val="center"/>
          </w:tcPr>
          <w:p w14:paraId="078333C4" w14:textId="77777777" w:rsidR="009968E0" w:rsidRPr="009968E0" w:rsidRDefault="009968E0" w:rsidP="009968E0">
            <w:pPr>
              <w:spacing w:line="360" w:lineRule="auto"/>
              <w:jc w:val="right"/>
              <w:rPr>
                <w:rFonts w:ascii="Calibri" w:eastAsia="Times New Roman" w:hAnsi="Calibri" w:cs="Calibri"/>
                <w:i/>
                <w:color w:val="000000"/>
                <w:sz w:val="20"/>
                <w:szCs w:val="20"/>
                <w:lang w:eastAsia="en-GB"/>
              </w:rPr>
            </w:pPr>
            <w:r w:rsidRPr="009968E0">
              <w:rPr>
                <w:rFonts w:ascii="Calibri" w:eastAsia="Times New Roman" w:hAnsi="Calibri" w:cs="Calibri"/>
                <w:i/>
                <w:color w:val="000000"/>
                <w:sz w:val="20"/>
                <w:szCs w:val="20"/>
                <w:lang w:eastAsia="en-GB"/>
              </w:rPr>
              <w:t>3</w:t>
            </w:r>
          </w:p>
        </w:tc>
        <w:tc>
          <w:tcPr>
            <w:tcW w:w="1724" w:type="dxa"/>
            <w:tcBorders>
              <w:top w:val="nil"/>
              <w:left w:val="nil"/>
              <w:bottom w:val="nil"/>
              <w:right w:val="single" w:sz="4" w:space="0" w:color="000000"/>
            </w:tcBorders>
            <w:shd w:val="clear" w:color="auto" w:fill="FFFFFF"/>
            <w:vAlign w:val="center"/>
          </w:tcPr>
          <w:p w14:paraId="4F65A2AB" w14:textId="77777777" w:rsidR="009968E0" w:rsidRPr="009968E0" w:rsidRDefault="009968E0" w:rsidP="009968E0">
            <w:pPr>
              <w:spacing w:line="360" w:lineRule="auto"/>
              <w:jc w:val="right"/>
              <w:rPr>
                <w:rFonts w:ascii="Calibri" w:eastAsia="Times New Roman" w:hAnsi="Calibri" w:cs="Calibri"/>
                <w:i/>
                <w:color w:val="000000"/>
                <w:sz w:val="20"/>
                <w:szCs w:val="20"/>
                <w:lang w:eastAsia="en-GB"/>
              </w:rPr>
            </w:pPr>
            <w:r w:rsidRPr="009968E0">
              <w:rPr>
                <w:rFonts w:ascii="Calibri" w:eastAsia="Times New Roman" w:hAnsi="Calibri" w:cs="Calibri"/>
                <w:i/>
                <w:color w:val="000000"/>
                <w:sz w:val="20"/>
                <w:szCs w:val="20"/>
                <w:lang w:eastAsia="en-GB"/>
              </w:rPr>
              <w:t>.263</w:t>
            </w:r>
          </w:p>
        </w:tc>
        <w:tc>
          <w:tcPr>
            <w:tcW w:w="1430" w:type="dxa"/>
            <w:tcBorders>
              <w:top w:val="nil"/>
              <w:left w:val="nil"/>
              <w:bottom w:val="nil"/>
              <w:right w:val="single" w:sz="4" w:space="0" w:color="000000"/>
            </w:tcBorders>
            <w:shd w:val="clear" w:color="auto" w:fill="FFFFFF"/>
            <w:vAlign w:val="center"/>
          </w:tcPr>
          <w:p w14:paraId="091E6A5E" w14:textId="77777777" w:rsidR="009968E0" w:rsidRPr="009968E0" w:rsidRDefault="009968E0" w:rsidP="009968E0">
            <w:pPr>
              <w:spacing w:line="360" w:lineRule="auto"/>
              <w:jc w:val="right"/>
              <w:rPr>
                <w:rFonts w:ascii="Calibri" w:eastAsia="Times New Roman" w:hAnsi="Calibri" w:cs="Calibri"/>
                <w:i/>
                <w:color w:val="000000"/>
                <w:sz w:val="20"/>
                <w:szCs w:val="20"/>
                <w:lang w:eastAsia="en-GB"/>
              </w:rPr>
            </w:pPr>
            <w:r w:rsidRPr="009968E0">
              <w:rPr>
                <w:rFonts w:ascii="Calibri" w:eastAsia="Times New Roman" w:hAnsi="Calibri" w:cs="Calibri"/>
                <w:i/>
                <w:color w:val="000000"/>
                <w:sz w:val="20"/>
                <w:szCs w:val="20"/>
                <w:lang w:eastAsia="en-GB"/>
              </w:rPr>
              <w:t>.852</w:t>
            </w:r>
          </w:p>
        </w:tc>
        <w:tc>
          <w:tcPr>
            <w:tcW w:w="1396" w:type="dxa"/>
            <w:tcBorders>
              <w:top w:val="nil"/>
              <w:left w:val="nil"/>
              <w:bottom w:val="nil"/>
              <w:right w:val="single" w:sz="12" w:space="0" w:color="000000"/>
            </w:tcBorders>
            <w:shd w:val="clear" w:color="auto" w:fill="FFFFFF"/>
            <w:vAlign w:val="center"/>
          </w:tcPr>
          <w:p w14:paraId="6EE34F5E" w14:textId="77777777" w:rsidR="009968E0" w:rsidRPr="009968E0" w:rsidRDefault="009968E0" w:rsidP="009968E0">
            <w:pPr>
              <w:spacing w:line="360" w:lineRule="auto"/>
              <w:jc w:val="right"/>
              <w:rPr>
                <w:rFonts w:ascii="Calibri" w:eastAsia="Times New Roman" w:hAnsi="Calibri" w:cs="Calibri"/>
                <w:i/>
                <w:color w:val="000000"/>
                <w:sz w:val="20"/>
                <w:szCs w:val="20"/>
                <w:lang w:eastAsia="en-GB"/>
              </w:rPr>
            </w:pPr>
            <w:r w:rsidRPr="009968E0">
              <w:rPr>
                <w:rFonts w:ascii="Calibri" w:eastAsia="Times New Roman" w:hAnsi="Calibri" w:cs="Calibri"/>
                <w:i/>
                <w:color w:val="000000"/>
                <w:sz w:val="20"/>
                <w:szCs w:val="20"/>
                <w:lang w:eastAsia="en-GB"/>
              </w:rPr>
              <w:t>.009</w:t>
            </w:r>
          </w:p>
        </w:tc>
      </w:tr>
      <w:tr w:rsidR="009968E0" w:rsidRPr="009968E0" w14:paraId="2FFB87B0" w14:textId="77777777" w:rsidTr="009968E0">
        <w:trPr>
          <w:trHeight w:val="840"/>
        </w:trPr>
        <w:tc>
          <w:tcPr>
            <w:tcW w:w="3211" w:type="dxa"/>
            <w:tcBorders>
              <w:top w:val="nil"/>
              <w:left w:val="single" w:sz="12" w:space="0" w:color="000000"/>
              <w:bottom w:val="single" w:sz="12" w:space="0" w:color="000000"/>
              <w:right w:val="single" w:sz="12" w:space="0" w:color="000000"/>
            </w:tcBorders>
            <w:shd w:val="clear" w:color="auto" w:fill="FDE9D9"/>
          </w:tcPr>
          <w:p w14:paraId="4B40BC08" w14:textId="77777777" w:rsidR="009968E0" w:rsidRPr="009968E0" w:rsidRDefault="009968E0" w:rsidP="009968E0">
            <w:pPr>
              <w:spacing w:line="360" w:lineRule="auto"/>
              <w:rPr>
                <w:rFonts w:ascii="Calibri" w:eastAsia="Times New Roman" w:hAnsi="Calibri" w:cs="Calibri"/>
                <w:i/>
                <w:color w:val="000000"/>
                <w:sz w:val="20"/>
                <w:szCs w:val="20"/>
                <w:lang w:eastAsia="en-GB"/>
              </w:rPr>
            </w:pPr>
            <w:proofErr w:type="spellStart"/>
            <w:r w:rsidRPr="009968E0">
              <w:rPr>
                <w:rFonts w:ascii="Calibri" w:eastAsia="Times New Roman" w:hAnsi="Calibri" w:cs="Calibri"/>
                <w:i/>
                <w:color w:val="000000"/>
                <w:sz w:val="20"/>
                <w:szCs w:val="20"/>
                <w:lang w:eastAsia="en-GB"/>
              </w:rPr>
              <w:t>Slope_</w:t>
            </w:r>
            <w:r w:rsidRPr="009968E0">
              <w:rPr>
                <w:rFonts w:ascii="Calibri" w:eastAsia="Arial" w:hAnsi="Calibri" w:cs="Calibri"/>
                <w:i/>
                <w:color w:val="000000"/>
                <w:sz w:val="20"/>
                <w:szCs w:val="20"/>
                <w:lang w:eastAsia="en-GB"/>
              </w:rPr>
              <w:t>P-DPN</w:t>
            </w:r>
            <w:r w:rsidRPr="009968E0">
              <w:rPr>
                <w:rFonts w:ascii="Calibri" w:eastAsia="Times New Roman" w:hAnsi="Calibri" w:cs="Calibri"/>
                <w:i/>
                <w:color w:val="000000"/>
                <w:sz w:val="20"/>
                <w:szCs w:val="20"/>
                <w:lang w:eastAsia="en-GB"/>
              </w:rPr>
              <w:t>_vs_DPN</w:t>
            </w:r>
            <w:proofErr w:type="spellEnd"/>
            <w:r w:rsidRPr="009968E0">
              <w:rPr>
                <w:rFonts w:ascii="Calibri" w:eastAsia="Times New Roman" w:hAnsi="Calibri" w:cs="Calibri"/>
                <w:i/>
                <w:color w:val="000000"/>
                <w:sz w:val="20"/>
                <w:szCs w:val="20"/>
                <w:lang w:eastAsia="en-GB"/>
              </w:rPr>
              <w:t xml:space="preserve">, </w:t>
            </w:r>
            <w:proofErr w:type="spellStart"/>
            <w:r w:rsidRPr="009968E0">
              <w:rPr>
                <w:rFonts w:ascii="Calibri" w:eastAsia="Times New Roman" w:hAnsi="Calibri" w:cs="Calibri"/>
                <w:i/>
                <w:color w:val="000000"/>
                <w:sz w:val="20"/>
                <w:szCs w:val="20"/>
                <w:lang w:eastAsia="en-GB"/>
              </w:rPr>
              <w:t>Slope_</w:t>
            </w:r>
            <w:r w:rsidRPr="009968E0">
              <w:rPr>
                <w:rFonts w:ascii="Calibri" w:eastAsia="Arial" w:hAnsi="Calibri" w:cs="Calibri"/>
                <w:i/>
                <w:color w:val="000000"/>
                <w:sz w:val="20"/>
                <w:szCs w:val="20"/>
                <w:lang w:eastAsia="en-GB"/>
              </w:rPr>
              <w:t>P-DPN</w:t>
            </w:r>
            <w:r w:rsidRPr="009968E0">
              <w:rPr>
                <w:rFonts w:ascii="Calibri" w:eastAsia="Times New Roman" w:hAnsi="Calibri" w:cs="Calibri"/>
                <w:i/>
                <w:color w:val="000000"/>
                <w:sz w:val="20"/>
                <w:szCs w:val="20"/>
                <w:lang w:eastAsia="en-GB"/>
              </w:rPr>
              <w:t>_vs_DM_NN</w:t>
            </w:r>
            <w:proofErr w:type="spellEnd"/>
            <w:r w:rsidRPr="009968E0">
              <w:rPr>
                <w:rFonts w:ascii="Calibri" w:eastAsia="Times New Roman" w:hAnsi="Calibri" w:cs="Calibri"/>
                <w:i/>
                <w:color w:val="000000"/>
                <w:sz w:val="20"/>
                <w:szCs w:val="20"/>
                <w:lang w:eastAsia="en-GB"/>
              </w:rPr>
              <w:t xml:space="preserve">, </w:t>
            </w:r>
            <w:proofErr w:type="spellStart"/>
            <w:r w:rsidRPr="009968E0">
              <w:rPr>
                <w:rFonts w:ascii="Calibri" w:eastAsia="Times New Roman" w:hAnsi="Calibri" w:cs="Calibri"/>
                <w:i/>
                <w:color w:val="000000"/>
                <w:sz w:val="20"/>
                <w:szCs w:val="20"/>
                <w:lang w:eastAsia="en-GB"/>
              </w:rPr>
              <w:t>Slope_</w:t>
            </w:r>
            <w:r w:rsidRPr="009968E0">
              <w:rPr>
                <w:rFonts w:ascii="Calibri" w:eastAsia="Arial" w:hAnsi="Calibri" w:cs="Calibri"/>
                <w:i/>
                <w:color w:val="000000"/>
                <w:sz w:val="20"/>
                <w:szCs w:val="20"/>
                <w:lang w:eastAsia="en-GB"/>
              </w:rPr>
              <w:t>P-DPN</w:t>
            </w:r>
            <w:r w:rsidRPr="009968E0">
              <w:rPr>
                <w:rFonts w:ascii="Calibri" w:eastAsia="Times New Roman" w:hAnsi="Calibri" w:cs="Calibri"/>
                <w:i/>
                <w:color w:val="000000"/>
                <w:sz w:val="20"/>
                <w:szCs w:val="20"/>
                <w:lang w:eastAsia="en-GB"/>
              </w:rPr>
              <w:t>_vs_HV</w:t>
            </w:r>
            <w:proofErr w:type="spellEnd"/>
          </w:p>
        </w:tc>
        <w:tc>
          <w:tcPr>
            <w:tcW w:w="1303" w:type="dxa"/>
            <w:tcBorders>
              <w:top w:val="nil"/>
              <w:left w:val="single" w:sz="4" w:space="0" w:color="000000"/>
              <w:bottom w:val="single" w:sz="12" w:space="0" w:color="000000"/>
              <w:right w:val="single" w:sz="4" w:space="0" w:color="000000"/>
            </w:tcBorders>
            <w:shd w:val="clear" w:color="auto" w:fill="FDE9D9"/>
            <w:vAlign w:val="center"/>
          </w:tcPr>
          <w:p w14:paraId="0D7A5FDE" w14:textId="77777777" w:rsidR="009968E0" w:rsidRPr="009968E0" w:rsidRDefault="009968E0" w:rsidP="009968E0">
            <w:pPr>
              <w:spacing w:line="360" w:lineRule="auto"/>
              <w:jc w:val="right"/>
              <w:rPr>
                <w:rFonts w:ascii="Calibri" w:eastAsia="Times New Roman" w:hAnsi="Calibri" w:cs="Calibri"/>
                <w:i/>
                <w:color w:val="000000"/>
                <w:sz w:val="20"/>
                <w:szCs w:val="20"/>
                <w:lang w:eastAsia="en-GB"/>
              </w:rPr>
            </w:pPr>
            <w:r w:rsidRPr="009968E0">
              <w:rPr>
                <w:rFonts w:ascii="Calibri" w:eastAsia="Times New Roman" w:hAnsi="Calibri" w:cs="Calibri"/>
                <w:i/>
                <w:color w:val="000000"/>
                <w:sz w:val="20"/>
                <w:szCs w:val="20"/>
                <w:lang w:eastAsia="en-GB"/>
              </w:rPr>
              <w:t>3</w:t>
            </w:r>
          </w:p>
        </w:tc>
        <w:tc>
          <w:tcPr>
            <w:tcW w:w="1724" w:type="dxa"/>
            <w:tcBorders>
              <w:top w:val="nil"/>
              <w:left w:val="nil"/>
              <w:bottom w:val="single" w:sz="12" w:space="0" w:color="000000"/>
              <w:right w:val="single" w:sz="4" w:space="0" w:color="000000"/>
            </w:tcBorders>
            <w:shd w:val="clear" w:color="auto" w:fill="FDE9D9"/>
            <w:vAlign w:val="center"/>
          </w:tcPr>
          <w:p w14:paraId="2ABC7CC6" w14:textId="77777777" w:rsidR="009968E0" w:rsidRPr="009968E0" w:rsidRDefault="009968E0" w:rsidP="009968E0">
            <w:pPr>
              <w:spacing w:line="360" w:lineRule="auto"/>
              <w:jc w:val="right"/>
              <w:rPr>
                <w:rFonts w:ascii="Calibri" w:eastAsia="Times New Roman" w:hAnsi="Calibri" w:cs="Calibri"/>
                <w:i/>
                <w:color w:val="000000"/>
                <w:sz w:val="20"/>
                <w:szCs w:val="20"/>
                <w:lang w:eastAsia="en-GB"/>
              </w:rPr>
            </w:pPr>
            <w:r w:rsidRPr="009968E0">
              <w:rPr>
                <w:rFonts w:ascii="Calibri" w:eastAsia="Times New Roman" w:hAnsi="Calibri" w:cs="Calibri"/>
                <w:i/>
                <w:color w:val="000000"/>
                <w:sz w:val="20"/>
                <w:szCs w:val="20"/>
                <w:lang w:eastAsia="en-GB"/>
              </w:rPr>
              <w:t>6.567</w:t>
            </w:r>
          </w:p>
        </w:tc>
        <w:tc>
          <w:tcPr>
            <w:tcW w:w="1430" w:type="dxa"/>
            <w:tcBorders>
              <w:top w:val="nil"/>
              <w:left w:val="nil"/>
              <w:bottom w:val="single" w:sz="12" w:space="0" w:color="000000"/>
              <w:right w:val="single" w:sz="4" w:space="0" w:color="000000"/>
            </w:tcBorders>
            <w:shd w:val="clear" w:color="auto" w:fill="FDE9D9"/>
            <w:vAlign w:val="center"/>
          </w:tcPr>
          <w:p w14:paraId="1C0B8974" w14:textId="77777777" w:rsidR="009968E0" w:rsidRPr="009968E0" w:rsidRDefault="009968E0" w:rsidP="009968E0">
            <w:pPr>
              <w:spacing w:line="360" w:lineRule="auto"/>
              <w:jc w:val="right"/>
              <w:rPr>
                <w:rFonts w:ascii="Calibri" w:eastAsia="Times New Roman" w:hAnsi="Calibri" w:cs="Calibri"/>
                <w:i/>
                <w:color w:val="000000"/>
                <w:sz w:val="20"/>
                <w:szCs w:val="20"/>
                <w:lang w:eastAsia="en-GB"/>
              </w:rPr>
            </w:pPr>
            <w:r w:rsidRPr="009968E0">
              <w:rPr>
                <w:rFonts w:ascii="Calibri" w:eastAsia="Times New Roman" w:hAnsi="Calibri" w:cs="Calibri"/>
                <w:i/>
                <w:color w:val="000000"/>
                <w:sz w:val="20"/>
                <w:szCs w:val="20"/>
                <w:lang w:eastAsia="en-GB"/>
              </w:rPr>
              <w:t>.001</w:t>
            </w:r>
            <w:r w:rsidRPr="009968E0">
              <w:rPr>
                <w:rFonts w:ascii="Calibri" w:eastAsia="Times New Roman" w:hAnsi="Calibri" w:cs="Calibri"/>
                <w:i/>
                <w:color w:val="000000"/>
                <w:sz w:val="20"/>
                <w:szCs w:val="20"/>
                <w:vertAlign w:val="superscript"/>
                <w:lang w:eastAsia="en-GB"/>
              </w:rPr>
              <w:t>*</w:t>
            </w:r>
          </w:p>
        </w:tc>
        <w:tc>
          <w:tcPr>
            <w:tcW w:w="1396" w:type="dxa"/>
            <w:tcBorders>
              <w:top w:val="nil"/>
              <w:left w:val="nil"/>
              <w:bottom w:val="single" w:sz="12" w:space="0" w:color="000000"/>
              <w:right w:val="single" w:sz="12" w:space="0" w:color="000000"/>
            </w:tcBorders>
            <w:shd w:val="clear" w:color="auto" w:fill="FDE9D9"/>
            <w:vAlign w:val="center"/>
          </w:tcPr>
          <w:p w14:paraId="01A4F299" w14:textId="77777777" w:rsidR="009968E0" w:rsidRPr="009968E0" w:rsidRDefault="009968E0" w:rsidP="009968E0">
            <w:pPr>
              <w:spacing w:line="360" w:lineRule="auto"/>
              <w:jc w:val="right"/>
              <w:rPr>
                <w:rFonts w:ascii="Calibri" w:eastAsia="Times New Roman" w:hAnsi="Calibri" w:cs="Calibri"/>
                <w:i/>
                <w:color w:val="000000"/>
                <w:sz w:val="20"/>
                <w:szCs w:val="20"/>
                <w:lang w:eastAsia="en-GB"/>
              </w:rPr>
            </w:pPr>
            <w:r w:rsidRPr="009968E0">
              <w:rPr>
                <w:rFonts w:ascii="Calibri" w:eastAsia="Times New Roman" w:hAnsi="Calibri" w:cs="Calibri"/>
                <w:i/>
                <w:color w:val="000000"/>
                <w:sz w:val="20"/>
                <w:szCs w:val="20"/>
                <w:lang w:eastAsia="en-GB"/>
              </w:rPr>
              <w:t>.231</w:t>
            </w:r>
          </w:p>
        </w:tc>
      </w:tr>
      <w:tr w:rsidR="009968E0" w:rsidRPr="009968E0" w14:paraId="60CF3D12" w14:textId="77777777" w:rsidTr="009968E0">
        <w:trPr>
          <w:trHeight w:val="380"/>
        </w:trPr>
        <w:tc>
          <w:tcPr>
            <w:tcW w:w="9064" w:type="dxa"/>
            <w:gridSpan w:val="5"/>
            <w:tcBorders>
              <w:top w:val="single" w:sz="12" w:space="0" w:color="000000"/>
              <w:left w:val="nil"/>
              <w:bottom w:val="nil"/>
              <w:right w:val="nil"/>
            </w:tcBorders>
            <w:shd w:val="clear" w:color="auto" w:fill="FFFFFF"/>
          </w:tcPr>
          <w:p w14:paraId="5F9135F1" w14:textId="77777777" w:rsidR="009968E0" w:rsidRPr="009968E0" w:rsidRDefault="009968E0" w:rsidP="009968E0">
            <w:pPr>
              <w:spacing w:line="360" w:lineRule="auto"/>
              <w:rPr>
                <w:rFonts w:ascii="Calibri" w:eastAsia="Times New Roman" w:hAnsi="Calibri" w:cs="Calibri"/>
                <w:i/>
                <w:color w:val="000000"/>
                <w:sz w:val="20"/>
                <w:szCs w:val="20"/>
                <w:lang w:eastAsia="en-GB"/>
              </w:rPr>
            </w:pPr>
            <w:r w:rsidRPr="009968E0">
              <w:rPr>
                <w:rFonts w:ascii="Calibri" w:eastAsia="Times New Roman" w:hAnsi="Calibri" w:cs="Calibri"/>
                <w:i/>
                <w:iCs/>
                <w:sz w:val="22"/>
                <w:szCs w:val="22"/>
                <w:lang w:eastAsia="en-GB"/>
              </w:rPr>
              <w:t>*significance p&lt;0.05</w:t>
            </w:r>
          </w:p>
        </w:tc>
      </w:tr>
    </w:tbl>
    <w:p w14:paraId="0966CDE2" w14:textId="77777777" w:rsidR="009968E0" w:rsidRPr="009968E0" w:rsidRDefault="009968E0" w:rsidP="009968E0">
      <w:pPr>
        <w:rPr>
          <w:rFonts w:ascii="Times New Roman" w:eastAsia="Times New Roman" w:hAnsi="Times New Roman" w:cs="Arial"/>
          <w:lang w:eastAsia="en-GB"/>
        </w:rPr>
      </w:pPr>
    </w:p>
    <w:tbl>
      <w:tblPr>
        <w:tblW w:w="0" w:type="auto"/>
        <w:tblInd w:w="93" w:type="dxa"/>
        <w:shd w:val="clear" w:color="auto" w:fill="FFFFFF"/>
        <w:tblCellMar>
          <w:left w:w="115" w:type="dxa"/>
          <w:right w:w="115" w:type="dxa"/>
        </w:tblCellMar>
        <w:tblLook w:val="0400" w:firstRow="0" w:lastRow="0" w:firstColumn="0" w:lastColumn="0" w:noHBand="0" w:noVBand="1"/>
      </w:tblPr>
      <w:tblGrid>
        <w:gridCol w:w="377"/>
        <w:gridCol w:w="2557"/>
        <w:gridCol w:w="996"/>
        <w:gridCol w:w="1173"/>
        <w:gridCol w:w="2177"/>
        <w:gridCol w:w="844"/>
        <w:gridCol w:w="803"/>
      </w:tblGrid>
      <w:tr w:rsidR="009968E0" w:rsidRPr="009968E0" w14:paraId="1FB1D548" w14:textId="77777777" w:rsidTr="009968E0">
        <w:trPr>
          <w:trHeight w:val="540"/>
        </w:trPr>
        <w:tc>
          <w:tcPr>
            <w:tcW w:w="0" w:type="auto"/>
            <w:gridSpan w:val="7"/>
            <w:tcBorders>
              <w:top w:val="nil"/>
              <w:left w:val="nil"/>
              <w:bottom w:val="nil"/>
              <w:right w:val="nil"/>
            </w:tcBorders>
            <w:shd w:val="clear" w:color="auto" w:fill="FFFFFF"/>
            <w:vAlign w:val="center"/>
          </w:tcPr>
          <w:p w14:paraId="47F5119F" w14:textId="77777777" w:rsidR="009968E0" w:rsidRPr="009968E0" w:rsidRDefault="009968E0" w:rsidP="004E6428">
            <w:pPr>
              <w:pStyle w:val="Quote"/>
            </w:pPr>
            <w:bookmarkStart w:id="662" w:name="_Toc48406159"/>
            <w:bookmarkStart w:id="663" w:name="_Toc49273370"/>
            <w:bookmarkStart w:id="664" w:name="_Toc64724122"/>
            <w:r w:rsidRPr="009968E0">
              <w:t>Table D.15: Post Hoc T-Test Comparisons of Regression Intercepts and slopes for Delta RBV-RPSC</w:t>
            </w:r>
            <w:bookmarkEnd w:id="662"/>
            <w:bookmarkEnd w:id="663"/>
            <w:bookmarkEnd w:id="664"/>
          </w:p>
        </w:tc>
      </w:tr>
      <w:tr w:rsidR="009968E0" w:rsidRPr="009968E0" w14:paraId="6D0F3651" w14:textId="77777777" w:rsidTr="009968E0">
        <w:trPr>
          <w:trHeight w:val="680"/>
        </w:trPr>
        <w:tc>
          <w:tcPr>
            <w:tcW w:w="0" w:type="auto"/>
            <w:gridSpan w:val="2"/>
            <w:vMerge w:val="restart"/>
            <w:tcBorders>
              <w:top w:val="single" w:sz="12" w:space="0" w:color="000000"/>
              <w:left w:val="single" w:sz="12" w:space="0" w:color="000000"/>
              <w:bottom w:val="single" w:sz="12" w:space="0" w:color="000000"/>
              <w:right w:val="single" w:sz="12" w:space="0" w:color="000000"/>
            </w:tcBorders>
            <w:shd w:val="clear" w:color="auto" w:fill="FDE9D9"/>
            <w:vAlign w:val="bottom"/>
          </w:tcPr>
          <w:p w14:paraId="045000CE"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Model</w:t>
            </w:r>
          </w:p>
        </w:tc>
        <w:tc>
          <w:tcPr>
            <w:tcW w:w="0" w:type="auto"/>
            <w:gridSpan w:val="2"/>
            <w:tcBorders>
              <w:top w:val="single" w:sz="12" w:space="0" w:color="000000"/>
              <w:left w:val="nil"/>
              <w:bottom w:val="single" w:sz="4" w:space="0" w:color="000000"/>
              <w:right w:val="single" w:sz="4" w:space="0" w:color="000000"/>
            </w:tcBorders>
            <w:shd w:val="clear" w:color="auto" w:fill="FDE9D9"/>
            <w:vAlign w:val="center"/>
          </w:tcPr>
          <w:p w14:paraId="0C3B838E"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Unstandardized Coefficients</w:t>
            </w:r>
          </w:p>
        </w:tc>
        <w:tc>
          <w:tcPr>
            <w:tcW w:w="0" w:type="auto"/>
            <w:tcBorders>
              <w:top w:val="single" w:sz="12" w:space="0" w:color="000000"/>
              <w:left w:val="nil"/>
              <w:bottom w:val="single" w:sz="4" w:space="0" w:color="000000"/>
              <w:right w:val="single" w:sz="4" w:space="0" w:color="000000"/>
            </w:tcBorders>
            <w:shd w:val="clear" w:color="auto" w:fill="FDE9D9"/>
            <w:vAlign w:val="center"/>
          </w:tcPr>
          <w:p w14:paraId="62329236"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Standardized Coefficients</w:t>
            </w:r>
          </w:p>
        </w:tc>
        <w:tc>
          <w:tcPr>
            <w:tcW w:w="0" w:type="auto"/>
            <w:vMerge w:val="restart"/>
            <w:tcBorders>
              <w:top w:val="single" w:sz="12" w:space="0" w:color="000000"/>
              <w:left w:val="single" w:sz="4" w:space="0" w:color="000000"/>
              <w:bottom w:val="single" w:sz="12" w:space="0" w:color="000000"/>
              <w:right w:val="single" w:sz="4" w:space="0" w:color="000000"/>
            </w:tcBorders>
            <w:shd w:val="clear" w:color="auto" w:fill="FDE9D9"/>
            <w:vAlign w:val="center"/>
          </w:tcPr>
          <w:p w14:paraId="4920013A"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t</w:t>
            </w:r>
          </w:p>
        </w:tc>
        <w:tc>
          <w:tcPr>
            <w:tcW w:w="0" w:type="auto"/>
            <w:vMerge w:val="restart"/>
            <w:tcBorders>
              <w:top w:val="single" w:sz="12" w:space="0" w:color="000000"/>
              <w:left w:val="single" w:sz="4" w:space="0" w:color="000000"/>
              <w:bottom w:val="single" w:sz="12" w:space="0" w:color="000000"/>
              <w:right w:val="single" w:sz="12" w:space="0" w:color="000000"/>
            </w:tcBorders>
            <w:shd w:val="clear" w:color="auto" w:fill="FDE9D9"/>
            <w:vAlign w:val="center"/>
          </w:tcPr>
          <w:p w14:paraId="6BDBDF37"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Sig.</w:t>
            </w:r>
          </w:p>
        </w:tc>
      </w:tr>
      <w:tr w:rsidR="009968E0" w:rsidRPr="009968E0" w14:paraId="611DAFFE" w14:textId="77777777" w:rsidTr="009968E0">
        <w:trPr>
          <w:trHeight w:val="360"/>
        </w:trPr>
        <w:tc>
          <w:tcPr>
            <w:tcW w:w="0" w:type="auto"/>
            <w:gridSpan w:val="2"/>
            <w:vMerge/>
            <w:tcBorders>
              <w:top w:val="single" w:sz="12" w:space="0" w:color="000000"/>
              <w:left w:val="single" w:sz="12" w:space="0" w:color="000000"/>
              <w:bottom w:val="single" w:sz="12" w:space="0" w:color="000000"/>
              <w:right w:val="single" w:sz="12" w:space="0" w:color="000000"/>
            </w:tcBorders>
            <w:shd w:val="clear" w:color="auto" w:fill="FFFFFF"/>
            <w:vAlign w:val="bottom"/>
          </w:tcPr>
          <w:p w14:paraId="7BA3ACA5" w14:textId="77777777" w:rsidR="009968E0" w:rsidRPr="009968E0" w:rsidRDefault="009968E0" w:rsidP="009968E0">
            <w:pPr>
              <w:rPr>
                <w:rFonts w:ascii="Calibri" w:eastAsia="Times New Roman" w:hAnsi="Calibri" w:cs="Calibri"/>
                <w:i/>
                <w:iCs/>
                <w:sz w:val="22"/>
                <w:szCs w:val="22"/>
                <w:lang w:eastAsia="en-GB"/>
              </w:rPr>
            </w:pPr>
          </w:p>
        </w:tc>
        <w:tc>
          <w:tcPr>
            <w:tcW w:w="0" w:type="auto"/>
            <w:tcBorders>
              <w:top w:val="nil"/>
              <w:left w:val="nil"/>
              <w:bottom w:val="single" w:sz="12" w:space="0" w:color="000000"/>
              <w:right w:val="single" w:sz="4" w:space="0" w:color="000000"/>
            </w:tcBorders>
            <w:shd w:val="clear" w:color="auto" w:fill="FDE9D9"/>
            <w:vAlign w:val="center"/>
          </w:tcPr>
          <w:p w14:paraId="51233372"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B</w:t>
            </w:r>
          </w:p>
        </w:tc>
        <w:tc>
          <w:tcPr>
            <w:tcW w:w="0" w:type="auto"/>
            <w:tcBorders>
              <w:top w:val="nil"/>
              <w:left w:val="nil"/>
              <w:bottom w:val="single" w:sz="12" w:space="0" w:color="000000"/>
              <w:right w:val="single" w:sz="4" w:space="0" w:color="000000"/>
            </w:tcBorders>
            <w:shd w:val="clear" w:color="auto" w:fill="FDE9D9"/>
            <w:vAlign w:val="center"/>
          </w:tcPr>
          <w:p w14:paraId="4E797FD8"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Std. Error</w:t>
            </w:r>
          </w:p>
        </w:tc>
        <w:tc>
          <w:tcPr>
            <w:tcW w:w="0" w:type="auto"/>
            <w:tcBorders>
              <w:top w:val="nil"/>
              <w:left w:val="nil"/>
              <w:bottom w:val="single" w:sz="12" w:space="0" w:color="000000"/>
              <w:right w:val="single" w:sz="4" w:space="0" w:color="000000"/>
            </w:tcBorders>
            <w:shd w:val="clear" w:color="auto" w:fill="FDE9D9"/>
            <w:vAlign w:val="center"/>
          </w:tcPr>
          <w:p w14:paraId="262A5CBC"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Beta</w:t>
            </w:r>
          </w:p>
        </w:tc>
        <w:tc>
          <w:tcPr>
            <w:tcW w:w="0" w:type="auto"/>
            <w:vMerge/>
            <w:tcBorders>
              <w:top w:val="single" w:sz="12" w:space="0" w:color="000000"/>
              <w:left w:val="single" w:sz="4" w:space="0" w:color="000000"/>
              <w:bottom w:val="single" w:sz="12" w:space="0" w:color="000000"/>
              <w:right w:val="single" w:sz="4" w:space="0" w:color="000000"/>
            </w:tcBorders>
            <w:shd w:val="clear" w:color="auto" w:fill="FFFFFF"/>
            <w:vAlign w:val="bottom"/>
          </w:tcPr>
          <w:p w14:paraId="423454EA" w14:textId="77777777" w:rsidR="009968E0" w:rsidRPr="009968E0" w:rsidRDefault="009968E0" w:rsidP="009968E0">
            <w:pPr>
              <w:rPr>
                <w:rFonts w:ascii="Calibri" w:eastAsia="Times New Roman" w:hAnsi="Calibri" w:cs="Calibri"/>
                <w:i/>
                <w:iCs/>
                <w:sz w:val="22"/>
                <w:szCs w:val="22"/>
                <w:lang w:eastAsia="en-GB"/>
              </w:rPr>
            </w:pPr>
          </w:p>
        </w:tc>
        <w:tc>
          <w:tcPr>
            <w:tcW w:w="0" w:type="auto"/>
            <w:vMerge/>
            <w:tcBorders>
              <w:top w:val="single" w:sz="12" w:space="0" w:color="000000"/>
              <w:left w:val="single" w:sz="4" w:space="0" w:color="000000"/>
              <w:bottom w:val="single" w:sz="12" w:space="0" w:color="000000"/>
              <w:right w:val="single" w:sz="12" w:space="0" w:color="000000"/>
            </w:tcBorders>
            <w:shd w:val="clear" w:color="auto" w:fill="FFFFFF"/>
            <w:vAlign w:val="bottom"/>
          </w:tcPr>
          <w:p w14:paraId="6CAA6CD2" w14:textId="77777777" w:rsidR="009968E0" w:rsidRPr="009968E0" w:rsidRDefault="009968E0" w:rsidP="009968E0">
            <w:pPr>
              <w:rPr>
                <w:rFonts w:ascii="Calibri" w:eastAsia="Times New Roman" w:hAnsi="Calibri" w:cs="Calibri"/>
                <w:i/>
                <w:iCs/>
                <w:sz w:val="22"/>
                <w:szCs w:val="22"/>
                <w:lang w:eastAsia="en-GB"/>
              </w:rPr>
            </w:pPr>
          </w:p>
        </w:tc>
      </w:tr>
      <w:tr w:rsidR="009968E0" w:rsidRPr="009968E0" w14:paraId="1761D29D" w14:textId="77777777" w:rsidTr="009968E0">
        <w:trPr>
          <w:trHeight w:val="360"/>
        </w:trPr>
        <w:tc>
          <w:tcPr>
            <w:tcW w:w="0" w:type="auto"/>
            <w:vMerge w:val="restart"/>
            <w:tcBorders>
              <w:top w:val="nil"/>
              <w:left w:val="single" w:sz="12" w:space="0" w:color="000000"/>
              <w:bottom w:val="single" w:sz="4" w:space="0" w:color="000000"/>
              <w:right w:val="nil"/>
            </w:tcBorders>
            <w:shd w:val="clear" w:color="auto" w:fill="auto"/>
          </w:tcPr>
          <w:p w14:paraId="4AF59F48"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w:t>
            </w:r>
          </w:p>
        </w:tc>
        <w:tc>
          <w:tcPr>
            <w:tcW w:w="0" w:type="auto"/>
            <w:tcBorders>
              <w:top w:val="nil"/>
              <w:left w:val="nil"/>
              <w:bottom w:val="nil"/>
              <w:right w:val="single" w:sz="12" w:space="0" w:color="000000"/>
            </w:tcBorders>
            <w:shd w:val="clear" w:color="auto" w:fill="FDE9D9"/>
            <w:vAlign w:val="center"/>
          </w:tcPr>
          <w:p w14:paraId="4BEC583C"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(Constant)</w:t>
            </w:r>
          </w:p>
        </w:tc>
        <w:tc>
          <w:tcPr>
            <w:tcW w:w="0" w:type="auto"/>
            <w:tcBorders>
              <w:top w:val="nil"/>
              <w:left w:val="nil"/>
              <w:bottom w:val="nil"/>
              <w:right w:val="single" w:sz="4" w:space="0" w:color="000000"/>
            </w:tcBorders>
            <w:shd w:val="clear" w:color="auto" w:fill="FDE9D9"/>
            <w:vAlign w:val="center"/>
          </w:tcPr>
          <w:p w14:paraId="4501CFC9"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-.057</w:t>
            </w:r>
          </w:p>
        </w:tc>
        <w:tc>
          <w:tcPr>
            <w:tcW w:w="0" w:type="auto"/>
            <w:tcBorders>
              <w:top w:val="nil"/>
              <w:left w:val="nil"/>
              <w:bottom w:val="nil"/>
              <w:right w:val="single" w:sz="4" w:space="0" w:color="000000"/>
            </w:tcBorders>
            <w:shd w:val="clear" w:color="auto" w:fill="FDE9D9"/>
            <w:vAlign w:val="center"/>
          </w:tcPr>
          <w:p w14:paraId="718D31A0"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.360</w:t>
            </w:r>
          </w:p>
        </w:tc>
        <w:tc>
          <w:tcPr>
            <w:tcW w:w="0" w:type="auto"/>
            <w:tcBorders>
              <w:top w:val="nil"/>
              <w:left w:val="nil"/>
              <w:bottom w:val="nil"/>
              <w:right w:val="single" w:sz="4" w:space="0" w:color="000000"/>
            </w:tcBorders>
            <w:shd w:val="clear" w:color="auto" w:fill="FDE9D9"/>
            <w:vAlign w:val="center"/>
          </w:tcPr>
          <w:p w14:paraId="50B5BEA3"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 </w:t>
            </w:r>
          </w:p>
        </w:tc>
        <w:tc>
          <w:tcPr>
            <w:tcW w:w="0" w:type="auto"/>
            <w:tcBorders>
              <w:top w:val="nil"/>
              <w:left w:val="nil"/>
              <w:bottom w:val="nil"/>
              <w:right w:val="single" w:sz="4" w:space="0" w:color="000000"/>
            </w:tcBorders>
            <w:shd w:val="clear" w:color="auto" w:fill="FDE9D9"/>
            <w:vAlign w:val="center"/>
          </w:tcPr>
          <w:p w14:paraId="675F4243"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-.157</w:t>
            </w:r>
          </w:p>
        </w:tc>
        <w:tc>
          <w:tcPr>
            <w:tcW w:w="0" w:type="auto"/>
            <w:tcBorders>
              <w:top w:val="nil"/>
              <w:left w:val="nil"/>
              <w:bottom w:val="nil"/>
              <w:right w:val="single" w:sz="12" w:space="0" w:color="000000"/>
            </w:tcBorders>
            <w:shd w:val="clear" w:color="auto" w:fill="FDE9D9"/>
            <w:vAlign w:val="center"/>
          </w:tcPr>
          <w:p w14:paraId="4C7DF661"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.876</w:t>
            </w:r>
          </w:p>
        </w:tc>
      </w:tr>
      <w:tr w:rsidR="009968E0" w:rsidRPr="009968E0" w14:paraId="6E4C1EB1" w14:textId="77777777" w:rsidTr="009968E0">
        <w:trPr>
          <w:trHeight w:val="360"/>
        </w:trPr>
        <w:tc>
          <w:tcPr>
            <w:tcW w:w="0" w:type="auto"/>
            <w:vMerge/>
            <w:tcBorders>
              <w:top w:val="nil"/>
              <w:left w:val="single" w:sz="12" w:space="0" w:color="000000"/>
              <w:bottom w:val="single" w:sz="4" w:space="0" w:color="000000"/>
              <w:right w:val="nil"/>
            </w:tcBorders>
            <w:shd w:val="clear" w:color="auto" w:fill="auto"/>
          </w:tcPr>
          <w:p w14:paraId="1ED98FAD" w14:textId="77777777" w:rsidR="009968E0" w:rsidRPr="009968E0" w:rsidRDefault="009968E0" w:rsidP="009968E0">
            <w:pPr>
              <w:rPr>
                <w:rFonts w:ascii="Calibri" w:eastAsia="Times New Roman" w:hAnsi="Calibri" w:cs="Calibri"/>
                <w:i/>
                <w:iCs/>
                <w:sz w:val="22"/>
                <w:szCs w:val="22"/>
                <w:lang w:eastAsia="en-GB"/>
              </w:rPr>
            </w:pPr>
          </w:p>
        </w:tc>
        <w:tc>
          <w:tcPr>
            <w:tcW w:w="0" w:type="auto"/>
            <w:tcBorders>
              <w:top w:val="nil"/>
              <w:left w:val="nil"/>
              <w:bottom w:val="single" w:sz="4" w:space="0" w:color="000000"/>
              <w:right w:val="single" w:sz="12" w:space="0" w:color="000000"/>
            </w:tcBorders>
            <w:shd w:val="clear" w:color="auto" w:fill="FFFFFF"/>
            <w:vAlign w:val="center"/>
          </w:tcPr>
          <w:p w14:paraId="1B69B3FF" w14:textId="77777777" w:rsidR="009968E0" w:rsidRPr="009968E0" w:rsidRDefault="009968E0" w:rsidP="009968E0">
            <w:pPr>
              <w:jc w:val="right"/>
              <w:rPr>
                <w:rFonts w:ascii="Calibri" w:eastAsia="Times New Roman" w:hAnsi="Calibri" w:cs="Calibri"/>
                <w:i/>
                <w:iCs/>
                <w:sz w:val="22"/>
                <w:szCs w:val="22"/>
                <w:lang w:eastAsia="en-GB"/>
              </w:rPr>
            </w:pPr>
            <w:proofErr w:type="spellStart"/>
            <w:r w:rsidRPr="009968E0">
              <w:rPr>
                <w:rFonts w:ascii="Calibri" w:eastAsia="Times New Roman" w:hAnsi="Calibri" w:cs="Calibri"/>
                <w:i/>
                <w:iCs/>
                <w:sz w:val="22"/>
                <w:szCs w:val="22"/>
                <w:lang w:eastAsia="en-GB"/>
              </w:rPr>
              <w:t>likert_centred</w:t>
            </w:r>
            <w:proofErr w:type="spellEnd"/>
          </w:p>
        </w:tc>
        <w:tc>
          <w:tcPr>
            <w:tcW w:w="0" w:type="auto"/>
            <w:tcBorders>
              <w:top w:val="nil"/>
              <w:left w:val="nil"/>
              <w:bottom w:val="single" w:sz="4" w:space="0" w:color="000000"/>
              <w:right w:val="single" w:sz="4" w:space="0" w:color="000000"/>
            </w:tcBorders>
            <w:shd w:val="clear" w:color="auto" w:fill="FFFFFF"/>
            <w:vAlign w:val="center"/>
          </w:tcPr>
          <w:p w14:paraId="412AF070"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.108</w:t>
            </w:r>
          </w:p>
        </w:tc>
        <w:tc>
          <w:tcPr>
            <w:tcW w:w="0" w:type="auto"/>
            <w:tcBorders>
              <w:top w:val="nil"/>
              <w:left w:val="nil"/>
              <w:bottom w:val="single" w:sz="4" w:space="0" w:color="000000"/>
              <w:right w:val="single" w:sz="4" w:space="0" w:color="000000"/>
            </w:tcBorders>
            <w:shd w:val="clear" w:color="auto" w:fill="FFFFFF"/>
            <w:vAlign w:val="center"/>
          </w:tcPr>
          <w:p w14:paraId="2756D85F"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.266</w:t>
            </w:r>
          </w:p>
        </w:tc>
        <w:tc>
          <w:tcPr>
            <w:tcW w:w="0" w:type="auto"/>
            <w:tcBorders>
              <w:top w:val="nil"/>
              <w:left w:val="nil"/>
              <w:bottom w:val="single" w:sz="4" w:space="0" w:color="000000"/>
              <w:right w:val="single" w:sz="4" w:space="0" w:color="000000"/>
            </w:tcBorders>
            <w:shd w:val="clear" w:color="auto" w:fill="FFFFFF"/>
            <w:vAlign w:val="center"/>
          </w:tcPr>
          <w:p w14:paraId="49B78CA1"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.048</w:t>
            </w:r>
          </w:p>
        </w:tc>
        <w:tc>
          <w:tcPr>
            <w:tcW w:w="0" w:type="auto"/>
            <w:tcBorders>
              <w:top w:val="nil"/>
              <w:left w:val="nil"/>
              <w:bottom w:val="single" w:sz="4" w:space="0" w:color="000000"/>
              <w:right w:val="single" w:sz="4" w:space="0" w:color="000000"/>
            </w:tcBorders>
            <w:shd w:val="clear" w:color="auto" w:fill="FFFFFF"/>
            <w:vAlign w:val="center"/>
          </w:tcPr>
          <w:p w14:paraId="219AC758"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.406</w:t>
            </w:r>
          </w:p>
        </w:tc>
        <w:tc>
          <w:tcPr>
            <w:tcW w:w="0" w:type="auto"/>
            <w:tcBorders>
              <w:top w:val="nil"/>
              <w:left w:val="nil"/>
              <w:bottom w:val="single" w:sz="4" w:space="0" w:color="000000"/>
              <w:right w:val="single" w:sz="12" w:space="0" w:color="000000"/>
            </w:tcBorders>
            <w:shd w:val="clear" w:color="auto" w:fill="FFFFFF"/>
            <w:vAlign w:val="center"/>
          </w:tcPr>
          <w:p w14:paraId="49DE400D"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.686</w:t>
            </w:r>
          </w:p>
        </w:tc>
      </w:tr>
      <w:tr w:rsidR="009968E0" w:rsidRPr="009968E0" w14:paraId="0943D739" w14:textId="77777777" w:rsidTr="009968E0">
        <w:trPr>
          <w:trHeight w:val="360"/>
        </w:trPr>
        <w:tc>
          <w:tcPr>
            <w:tcW w:w="0" w:type="auto"/>
            <w:vMerge w:val="restart"/>
            <w:tcBorders>
              <w:top w:val="nil"/>
              <w:left w:val="single" w:sz="12" w:space="0" w:color="000000"/>
              <w:bottom w:val="single" w:sz="12" w:space="0" w:color="000000"/>
              <w:right w:val="nil"/>
            </w:tcBorders>
            <w:shd w:val="clear" w:color="auto" w:fill="FFFFFF"/>
          </w:tcPr>
          <w:p w14:paraId="794262AF"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w:t>
            </w:r>
          </w:p>
        </w:tc>
        <w:tc>
          <w:tcPr>
            <w:tcW w:w="0" w:type="auto"/>
            <w:tcBorders>
              <w:top w:val="nil"/>
              <w:left w:val="nil"/>
              <w:bottom w:val="nil"/>
              <w:right w:val="single" w:sz="12" w:space="0" w:color="000000"/>
            </w:tcBorders>
            <w:shd w:val="clear" w:color="auto" w:fill="FDE9D9"/>
            <w:vAlign w:val="center"/>
          </w:tcPr>
          <w:p w14:paraId="02D0D37B"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(Constant)</w:t>
            </w:r>
          </w:p>
        </w:tc>
        <w:tc>
          <w:tcPr>
            <w:tcW w:w="0" w:type="auto"/>
            <w:tcBorders>
              <w:top w:val="nil"/>
              <w:left w:val="nil"/>
              <w:bottom w:val="nil"/>
              <w:right w:val="single" w:sz="4" w:space="0" w:color="000000"/>
            </w:tcBorders>
            <w:shd w:val="clear" w:color="auto" w:fill="FDE9D9"/>
            <w:vAlign w:val="center"/>
          </w:tcPr>
          <w:p w14:paraId="204DCB8F"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.371</w:t>
            </w:r>
          </w:p>
        </w:tc>
        <w:tc>
          <w:tcPr>
            <w:tcW w:w="0" w:type="auto"/>
            <w:tcBorders>
              <w:top w:val="nil"/>
              <w:left w:val="nil"/>
              <w:bottom w:val="nil"/>
              <w:right w:val="single" w:sz="4" w:space="0" w:color="000000"/>
            </w:tcBorders>
            <w:shd w:val="clear" w:color="auto" w:fill="FDE9D9"/>
            <w:vAlign w:val="center"/>
          </w:tcPr>
          <w:p w14:paraId="6386F76E"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.670</w:t>
            </w:r>
          </w:p>
        </w:tc>
        <w:tc>
          <w:tcPr>
            <w:tcW w:w="0" w:type="auto"/>
            <w:tcBorders>
              <w:top w:val="nil"/>
              <w:left w:val="nil"/>
              <w:bottom w:val="nil"/>
              <w:right w:val="single" w:sz="4" w:space="0" w:color="000000"/>
            </w:tcBorders>
            <w:shd w:val="clear" w:color="auto" w:fill="FDE9D9"/>
            <w:vAlign w:val="center"/>
          </w:tcPr>
          <w:p w14:paraId="4BCF1692"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 </w:t>
            </w:r>
          </w:p>
        </w:tc>
        <w:tc>
          <w:tcPr>
            <w:tcW w:w="0" w:type="auto"/>
            <w:tcBorders>
              <w:top w:val="nil"/>
              <w:left w:val="nil"/>
              <w:bottom w:val="nil"/>
              <w:right w:val="single" w:sz="4" w:space="0" w:color="000000"/>
            </w:tcBorders>
            <w:shd w:val="clear" w:color="auto" w:fill="FDE9D9"/>
            <w:vAlign w:val="center"/>
          </w:tcPr>
          <w:p w14:paraId="62A1B02F"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.553</w:t>
            </w:r>
          </w:p>
        </w:tc>
        <w:tc>
          <w:tcPr>
            <w:tcW w:w="0" w:type="auto"/>
            <w:tcBorders>
              <w:top w:val="nil"/>
              <w:left w:val="nil"/>
              <w:bottom w:val="nil"/>
              <w:right w:val="single" w:sz="12" w:space="0" w:color="000000"/>
            </w:tcBorders>
            <w:shd w:val="clear" w:color="auto" w:fill="FDE9D9"/>
            <w:vAlign w:val="center"/>
          </w:tcPr>
          <w:p w14:paraId="6FF0F069"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.582</w:t>
            </w:r>
          </w:p>
        </w:tc>
      </w:tr>
      <w:tr w:rsidR="009968E0" w:rsidRPr="009968E0" w14:paraId="77D90A54" w14:textId="77777777" w:rsidTr="009968E0">
        <w:trPr>
          <w:trHeight w:val="360"/>
        </w:trPr>
        <w:tc>
          <w:tcPr>
            <w:tcW w:w="0" w:type="auto"/>
            <w:vMerge/>
            <w:tcBorders>
              <w:top w:val="nil"/>
              <w:left w:val="single" w:sz="12" w:space="0" w:color="000000"/>
              <w:bottom w:val="single" w:sz="12" w:space="0" w:color="000000"/>
              <w:right w:val="nil"/>
            </w:tcBorders>
            <w:shd w:val="clear" w:color="auto" w:fill="FFFFFF"/>
          </w:tcPr>
          <w:p w14:paraId="0AA4488D" w14:textId="77777777" w:rsidR="009968E0" w:rsidRPr="009968E0" w:rsidRDefault="009968E0" w:rsidP="009968E0">
            <w:pPr>
              <w:rPr>
                <w:rFonts w:ascii="Calibri" w:eastAsia="Times New Roman" w:hAnsi="Calibri" w:cs="Calibri"/>
                <w:i/>
                <w:iCs/>
                <w:sz w:val="22"/>
                <w:szCs w:val="22"/>
                <w:lang w:eastAsia="en-GB"/>
              </w:rPr>
            </w:pPr>
          </w:p>
        </w:tc>
        <w:tc>
          <w:tcPr>
            <w:tcW w:w="0" w:type="auto"/>
            <w:tcBorders>
              <w:top w:val="nil"/>
              <w:left w:val="nil"/>
              <w:bottom w:val="nil"/>
              <w:right w:val="single" w:sz="12" w:space="0" w:color="000000"/>
            </w:tcBorders>
            <w:shd w:val="clear" w:color="auto" w:fill="FFFFFF"/>
            <w:vAlign w:val="center"/>
          </w:tcPr>
          <w:p w14:paraId="5B800E74" w14:textId="77777777" w:rsidR="009968E0" w:rsidRPr="009968E0" w:rsidRDefault="009968E0" w:rsidP="009968E0">
            <w:pPr>
              <w:jc w:val="right"/>
              <w:rPr>
                <w:rFonts w:ascii="Calibri" w:eastAsia="Times New Roman" w:hAnsi="Calibri" w:cs="Calibri"/>
                <w:i/>
                <w:iCs/>
                <w:sz w:val="22"/>
                <w:szCs w:val="22"/>
                <w:lang w:eastAsia="en-GB"/>
              </w:rPr>
            </w:pPr>
            <w:proofErr w:type="spellStart"/>
            <w:r w:rsidRPr="009968E0">
              <w:rPr>
                <w:rFonts w:ascii="Calibri" w:eastAsia="Times New Roman" w:hAnsi="Calibri" w:cs="Calibri"/>
                <w:i/>
                <w:iCs/>
                <w:sz w:val="22"/>
                <w:szCs w:val="22"/>
                <w:lang w:eastAsia="en-GB"/>
              </w:rPr>
              <w:t>likert_centred</w:t>
            </w:r>
            <w:proofErr w:type="spellEnd"/>
          </w:p>
        </w:tc>
        <w:tc>
          <w:tcPr>
            <w:tcW w:w="0" w:type="auto"/>
            <w:tcBorders>
              <w:top w:val="nil"/>
              <w:left w:val="nil"/>
              <w:bottom w:val="nil"/>
              <w:right w:val="single" w:sz="4" w:space="0" w:color="000000"/>
            </w:tcBorders>
            <w:shd w:val="clear" w:color="auto" w:fill="FFFFFF"/>
            <w:vAlign w:val="center"/>
          </w:tcPr>
          <w:p w14:paraId="5AB7720C"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-1.448</w:t>
            </w:r>
          </w:p>
        </w:tc>
        <w:tc>
          <w:tcPr>
            <w:tcW w:w="0" w:type="auto"/>
            <w:tcBorders>
              <w:top w:val="nil"/>
              <w:left w:val="nil"/>
              <w:bottom w:val="nil"/>
              <w:right w:val="single" w:sz="4" w:space="0" w:color="000000"/>
            </w:tcBorders>
            <w:shd w:val="clear" w:color="auto" w:fill="FFFFFF"/>
            <w:vAlign w:val="center"/>
          </w:tcPr>
          <w:p w14:paraId="4A9F2481"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.445</w:t>
            </w:r>
          </w:p>
        </w:tc>
        <w:tc>
          <w:tcPr>
            <w:tcW w:w="0" w:type="auto"/>
            <w:tcBorders>
              <w:top w:val="nil"/>
              <w:left w:val="nil"/>
              <w:bottom w:val="nil"/>
              <w:right w:val="single" w:sz="4" w:space="0" w:color="000000"/>
            </w:tcBorders>
            <w:shd w:val="clear" w:color="auto" w:fill="FFFFFF"/>
            <w:vAlign w:val="center"/>
          </w:tcPr>
          <w:p w14:paraId="56484327"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-.646</w:t>
            </w:r>
          </w:p>
        </w:tc>
        <w:tc>
          <w:tcPr>
            <w:tcW w:w="0" w:type="auto"/>
            <w:tcBorders>
              <w:top w:val="nil"/>
              <w:left w:val="nil"/>
              <w:bottom w:val="nil"/>
              <w:right w:val="single" w:sz="4" w:space="0" w:color="000000"/>
            </w:tcBorders>
            <w:shd w:val="clear" w:color="auto" w:fill="FFFFFF"/>
            <w:vAlign w:val="center"/>
          </w:tcPr>
          <w:p w14:paraId="2D45044A"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-3.257</w:t>
            </w:r>
          </w:p>
        </w:tc>
        <w:tc>
          <w:tcPr>
            <w:tcW w:w="0" w:type="auto"/>
            <w:tcBorders>
              <w:top w:val="nil"/>
              <w:left w:val="nil"/>
              <w:bottom w:val="nil"/>
              <w:right w:val="single" w:sz="12" w:space="0" w:color="000000"/>
            </w:tcBorders>
            <w:shd w:val="clear" w:color="auto" w:fill="FFFFFF"/>
            <w:vAlign w:val="center"/>
          </w:tcPr>
          <w:p w14:paraId="4BC24B8C"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.002</w:t>
            </w:r>
          </w:p>
        </w:tc>
      </w:tr>
      <w:tr w:rsidR="009968E0" w:rsidRPr="009968E0" w14:paraId="1222BB6D" w14:textId="77777777" w:rsidTr="009968E0">
        <w:trPr>
          <w:trHeight w:val="680"/>
        </w:trPr>
        <w:tc>
          <w:tcPr>
            <w:tcW w:w="0" w:type="auto"/>
            <w:vMerge/>
            <w:tcBorders>
              <w:top w:val="nil"/>
              <w:left w:val="single" w:sz="12" w:space="0" w:color="000000"/>
              <w:bottom w:val="single" w:sz="12" w:space="0" w:color="000000"/>
              <w:right w:val="nil"/>
            </w:tcBorders>
            <w:shd w:val="clear" w:color="auto" w:fill="FFFFFF"/>
          </w:tcPr>
          <w:p w14:paraId="5C6E3BDD" w14:textId="77777777" w:rsidR="009968E0" w:rsidRPr="009968E0" w:rsidRDefault="009968E0" w:rsidP="009968E0">
            <w:pPr>
              <w:rPr>
                <w:rFonts w:ascii="Calibri" w:eastAsia="Times New Roman" w:hAnsi="Calibri" w:cs="Calibri"/>
                <w:i/>
                <w:iCs/>
                <w:sz w:val="22"/>
                <w:szCs w:val="22"/>
                <w:lang w:eastAsia="en-GB"/>
              </w:rPr>
            </w:pPr>
          </w:p>
        </w:tc>
        <w:tc>
          <w:tcPr>
            <w:tcW w:w="0" w:type="auto"/>
            <w:tcBorders>
              <w:top w:val="nil"/>
              <w:left w:val="nil"/>
              <w:bottom w:val="nil"/>
              <w:right w:val="single" w:sz="12" w:space="0" w:color="000000"/>
            </w:tcBorders>
            <w:shd w:val="clear" w:color="auto" w:fill="FDE9D9"/>
            <w:vAlign w:val="center"/>
          </w:tcPr>
          <w:p w14:paraId="0BFB772A" w14:textId="77777777" w:rsidR="009968E0" w:rsidRPr="009968E0" w:rsidRDefault="009968E0" w:rsidP="009968E0">
            <w:pPr>
              <w:jc w:val="right"/>
              <w:rPr>
                <w:rFonts w:ascii="Calibri" w:eastAsia="Times New Roman" w:hAnsi="Calibri" w:cs="Calibri"/>
                <w:i/>
                <w:iCs/>
                <w:sz w:val="22"/>
                <w:szCs w:val="22"/>
                <w:lang w:eastAsia="en-GB"/>
              </w:rPr>
            </w:pPr>
            <w:proofErr w:type="spellStart"/>
            <w:r w:rsidRPr="009968E0">
              <w:rPr>
                <w:rFonts w:ascii="Calibri" w:eastAsia="Times New Roman" w:hAnsi="Calibri" w:cs="Calibri"/>
                <w:i/>
                <w:iCs/>
                <w:sz w:val="22"/>
                <w:szCs w:val="22"/>
                <w:lang w:eastAsia="en-GB"/>
              </w:rPr>
              <w:t>Intercept_P-DPN_vs_DPN</w:t>
            </w:r>
            <w:proofErr w:type="spellEnd"/>
          </w:p>
        </w:tc>
        <w:tc>
          <w:tcPr>
            <w:tcW w:w="0" w:type="auto"/>
            <w:tcBorders>
              <w:top w:val="nil"/>
              <w:left w:val="nil"/>
              <w:bottom w:val="nil"/>
              <w:right w:val="single" w:sz="4" w:space="0" w:color="000000"/>
            </w:tcBorders>
            <w:shd w:val="clear" w:color="auto" w:fill="FDE9D9"/>
            <w:vAlign w:val="center"/>
          </w:tcPr>
          <w:p w14:paraId="49172C9F"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-.680</w:t>
            </w:r>
          </w:p>
        </w:tc>
        <w:tc>
          <w:tcPr>
            <w:tcW w:w="0" w:type="auto"/>
            <w:tcBorders>
              <w:top w:val="nil"/>
              <w:left w:val="nil"/>
              <w:bottom w:val="nil"/>
              <w:right w:val="single" w:sz="4" w:space="0" w:color="000000"/>
            </w:tcBorders>
            <w:shd w:val="clear" w:color="auto" w:fill="FDE9D9"/>
            <w:vAlign w:val="center"/>
          </w:tcPr>
          <w:p w14:paraId="1917A99A"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.891</w:t>
            </w:r>
          </w:p>
        </w:tc>
        <w:tc>
          <w:tcPr>
            <w:tcW w:w="0" w:type="auto"/>
            <w:tcBorders>
              <w:top w:val="nil"/>
              <w:left w:val="nil"/>
              <w:bottom w:val="nil"/>
              <w:right w:val="single" w:sz="4" w:space="0" w:color="000000"/>
            </w:tcBorders>
            <w:shd w:val="clear" w:color="auto" w:fill="FDE9D9"/>
            <w:vAlign w:val="center"/>
          </w:tcPr>
          <w:p w14:paraId="3BD24A9E"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-.104</w:t>
            </w:r>
          </w:p>
        </w:tc>
        <w:tc>
          <w:tcPr>
            <w:tcW w:w="0" w:type="auto"/>
            <w:tcBorders>
              <w:top w:val="nil"/>
              <w:left w:val="nil"/>
              <w:bottom w:val="nil"/>
              <w:right w:val="single" w:sz="4" w:space="0" w:color="000000"/>
            </w:tcBorders>
            <w:shd w:val="clear" w:color="auto" w:fill="FDE9D9"/>
            <w:vAlign w:val="center"/>
          </w:tcPr>
          <w:p w14:paraId="0D8568CB"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-.763</w:t>
            </w:r>
          </w:p>
        </w:tc>
        <w:tc>
          <w:tcPr>
            <w:tcW w:w="0" w:type="auto"/>
            <w:tcBorders>
              <w:top w:val="nil"/>
              <w:left w:val="nil"/>
              <w:bottom w:val="nil"/>
              <w:right w:val="single" w:sz="12" w:space="0" w:color="000000"/>
            </w:tcBorders>
            <w:shd w:val="clear" w:color="auto" w:fill="FDE9D9"/>
            <w:vAlign w:val="center"/>
          </w:tcPr>
          <w:p w14:paraId="5211DB9B"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.448</w:t>
            </w:r>
          </w:p>
        </w:tc>
      </w:tr>
      <w:tr w:rsidR="009968E0" w:rsidRPr="009968E0" w14:paraId="374445D2" w14:textId="77777777" w:rsidTr="009968E0">
        <w:trPr>
          <w:trHeight w:val="680"/>
        </w:trPr>
        <w:tc>
          <w:tcPr>
            <w:tcW w:w="0" w:type="auto"/>
            <w:vMerge/>
            <w:tcBorders>
              <w:top w:val="nil"/>
              <w:left w:val="single" w:sz="12" w:space="0" w:color="000000"/>
              <w:bottom w:val="single" w:sz="12" w:space="0" w:color="000000"/>
              <w:right w:val="nil"/>
            </w:tcBorders>
            <w:shd w:val="clear" w:color="auto" w:fill="FFFFFF"/>
          </w:tcPr>
          <w:p w14:paraId="597D1093" w14:textId="77777777" w:rsidR="009968E0" w:rsidRPr="009968E0" w:rsidRDefault="009968E0" w:rsidP="009968E0">
            <w:pPr>
              <w:rPr>
                <w:rFonts w:ascii="Calibri" w:eastAsia="Times New Roman" w:hAnsi="Calibri" w:cs="Calibri"/>
                <w:i/>
                <w:iCs/>
                <w:sz w:val="22"/>
                <w:szCs w:val="22"/>
                <w:lang w:eastAsia="en-GB"/>
              </w:rPr>
            </w:pPr>
          </w:p>
        </w:tc>
        <w:tc>
          <w:tcPr>
            <w:tcW w:w="0" w:type="auto"/>
            <w:tcBorders>
              <w:top w:val="nil"/>
              <w:left w:val="nil"/>
              <w:bottom w:val="nil"/>
              <w:right w:val="single" w:sz="12" w:space="0" w:color="000000"/>
            </w:tcBorders>
            <w:shd w:val="clear" w:color="auto" w:fill="FFFFFF"/>
            <w:vAlign w:val="center"/>
          </w:tcPr>
          <w:p w14:paraId="2DF1B849" w14:textId="77777777" w:rsidR="009968E0" w:rsidRPr="009968E0" w:rsidRDefault="009968E0" w:rsidP="009968E0">
            <w:pPr>
              <w:jc w:val="right"/>
              <w:rPr>
                <w:rFonts w:ascii="Calibri" w:eastAsia="Times New Roman" w:hAnsi="Calibri" w:cs="Calibri"/>
                <w:i/>
                <w:iCs/>
                <w:sz w:val="22"/>
                <w:szCs w:val="22"/>
                <w:lang w:eastAsia="en-GB"/>
              </w:rPr>
            </w:pPr>
            <w:proofErr w:type="spellStart"/>
            <w:r w:rsidRPr="009968E0">
              <w:rPr>
                <w:rFonts w:ascii="Calibri" w:eastAsia="Times New Roman" w:hAnsi="Calibri" w:cs="Calibri"/>
                <w:i/>
                <w:iCs/>
                <w:sz w:val="22"/>
                <w:szCs w:val="22"/>
                <w:lang w:eastAsia="en-GB"/>
              </w:rPr>
              <w:t>Intercept_P-DPN_vs_DM_NN</w:t>
            </w:r>
            <w:proofErr w:type="spellEnd"/>
          </w:p>
        </w:tc>
        <w:tc>
          <w:tcPr>
            <w:tcW w:w="0" w:type="auto"/>
            <w:tcBorders>
              <w:top w:val="nil"/>
              <w:left w:val="nil"/>
              <w:bottom w:val="nil"/>
              <w:right w:val="single" w:sz="4" w:space="0" w:color="000000"/>
            </w:tcBorders>
            <w:shd w:val="clear" w:color="auto" w:fill="FFFFFF"/>
            <w:vAlign w:val="center"/>
          </w:tcPr>
          <w:p w14:paraId="2D379D0A"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-.216</w:t>
            </w:r>
          </w:p>
        </w:tc>
        <w:tc>
          <w:tcPr>
            <w:tcW w:w="0" w:type="auto"/>
            <w:tcBorders>
              <w:top w:val="nil"/>
              <w:left w:val="nil"/>
              <w:bottom w:val="nil"/>
              <w:right w:val="single" w:sz="4" w:space="0" w:color="000000"/>
            </w:tcBorders>
            <w:shd w:val="clear" w:color="auto" w:fill="FFFFFF"/>
            <w:vAlign w:val="center"/>
          </w:tcPr>
          <w:p w14:paraId="49905E47"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1.086</w:t>
            </w:r>
          </w:p>
        </w:tc>
        <w:tc>
          <w:tcPr>
            <w:tcW w:w="0" w:type="auto"/>
            <w:tcBorders>
              <w:top w:val="nil"/>
              <w:left w:val="nil"/>
              <w:bottom w:val="nil"/>
              <w:right w:val="single" w:sz="4" w:space="0" w:color="000000"/>
            </w:tcBorders>
            <w:shd w:val="clear" w:color="auto" w:fill="FFFFFF"/>
            <w:vAlign w:val="center"/>
          </w:tcPr>
          <w:p w14:paraId="427D94DF"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-.027</w:t>
            </w:r>
          </w:p>
        </w:tc>
        <w:tc>
          <w:tcPr>
            <w:tcW w:w="0" w:type="auto"/>
            <w:tcBorders>
              <w:top w:val="nil"/>
              <w:left w:val="nil"/>
              <w:bottom w:val="nil"/>
              <w:right w:val="single" w:sz="4" w:space="0" w:color="000000"/>
            </w:tcBorders>
            <w:shd w:val="clear" w:color="auto" w:fill="FFFFFF"/>
            <w:vAlign w:val="center"/>
          </w:tcPr>
          <w:p w14:paraId="66C50900"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-.199</w:t>
            </w:r>
          </w:p>
        </w:tc>
        <w:tc>
          <w:tcPr>
            <w:tcW w:w="0" w:type="auto"/>
            <w:tcBorders>
              <w:top w:val="nil"/>
              <w:left w:val="nil"/>
              <w:bottom w:val="nil"/>
              <w:right w:val="single" w:sz="12" w:space="0" w:color="000000"/>
            </w:tcBorders>
            <w:shd w:val="clear" w:color="auto" w:fill="FFFFFF"/>
            <w:vAlign w:val="center"/>
          </w:tcPr>
          <w:p w14:paraId="2FF7249C"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.843</w:t>
            </w:r>
          </w:p>
        </w:tc>
      </w:tr>
      <w:tr w:rsidR="009968E0" w:rsidRPr="009968E0" w14:paraId="70B1A357" w14:textId="77777777" w:rsidTr="009968E0">
        <w:trPr>
          <w:trHeight w:val="680"/>
        </w:trPr>
        <w:tc>
          <w:tcPr>
            <w:tcW w:w="0" w:type="auto"/>
            <w:vMerge/>
            <w:tcBorders>
              <w:top w:val="nil"/>
              <w:left w:val="single" w:sz="12" w:space="0" w:color="000000"/>
              <w:bottom w:val="single" w:sz="12" w:space="0" w:color="000000"/>
              <w:right w:val="nil"/>
            </w:tcBorders>
            <w:shd w:val="clear" w:color="auto" w:fill="FFFFFF"/>
          </w:tcPr>
          <w:p w14:paraId="51375843" w14:textId="77777777" w:rsidR="009968E0" w:rsidRPr="009968E0" w:rsidRDefault="009968E0" w:rsidP="009968E0">
            <w:pPr>
              <w:rPr>
                <w:rFonts w:ascii="Calibri" w:eastAsia="Times New Roman" w:hAnsi="Calibri" w:cs="Calibri"/>
                <w:i/>
                <w:iCs/>
                <w:sz w:val="22"/>
                <w:szCs w:val="22"/>
                <w:lang w:eastAsia="en-GB"/>
              </w:rPr>
            </w:pPr>
          </w:p>
        </w:tc>
        <w:tc>
          <w:tcPr>
            <w:tcW w:w="0" w:type="auto"/>
            <w:tcBorders>
              <w:top w:val="nil"/>
              <w:left w:val="nil"/>
              <w:bottom w:val="nil"/>
              <w:right w:val="single" w:sz="12" w:space="0" w:color="000000"/>
            </w:tcBorders>
            <w:shd w:val="clear" w:color="auto" w:fill="FDE9D9"/>
            <w:vAlign w:val="center"/>
          </w:tcPr>
          <w:p w14:paraId="5341ED69" w14:textId="77777777" w:rsidR="009968E0" w:rsidRPr="009968E0" w:rsidRDefault="009968E0" w:rsidP="009968E0">
            <w:pPr>
              <w:jc w:val="right"/>
              <w:rPr>
                <w:rFonts w:ascii="Calibri" w:eastAsia="Times New Roman" w:hAnsi="Calibri" w:cs="Calibri"/>
                <w:i/>
                <w:iCs/>
                <w:sz w:val="22"/>
                <w:szCs w:val="22"/>
                <w:lang w:eastAsia="en-GB"/>
              </w:rPr>
            </w:pPr>
            <w:proofErr w:type="spellStart"/>
            <w:r w:rsidRPr="009968E0">
              <w:rPr>
                <w:rFonts w:ascii="Calibri" w:eastAsia="Times New Roman" w:hAnsi="Calibri" w:cs="Calibri"/>
                <w:i/>
                <w:iCs/>
                <w:sz w:val="22"/>
                <w:szCs w:val="22"/>
                <w:lang w:eastAsia="en-GB"/>
              </w:rPr>
              <w:t>Intercept_P-DPN_vs_HV</w:t>
            </w:r>
            <w:proofErr w:type="spellEnd"/>
          </w:p>
        </w:tc>
        <w:tc>
          <w:tcPr>
            <w:tcW w:w="0" w:type="auto"/>
            <w:tcBorders>
              <w:top w:val="nil"/>
              <w:left w:val="nil"/>
              <w:bottom w:val="nil"/>
              <w:right w:val="single" w:sz="4" w:space="0" w:color="000000"/>
            </w:tcBorders>
            <w:shd w:val="clear" w:color="auto" w:fill="FDE9D9"/>
            <w:vAlign w:val="center"/>
          </w:tcPr>
          <w:p w14:paraId="233DC4A4"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-.028</w:t>
            </w:r>
          </w:p>
        </w:tc>
        <w:tc>
          <w:tcPr>
            <w:tcW w:w="0" w:type="auto"/>
            <w:tcBorders>
              <w:top w:val="nil"/>
              <w:left w:val="nil"/>
              <w:bottom w:val="nil"/>
              <w:right w:val="single" w:sz="4" w:space="0" w:color="000000"/>
            </w:tcBorders>
            <w:shd w:val="clear" w:color="auto" w:fill="FDE9D9"/>
            <w:vAlign w:val="center"/>
          </w:tcPr>
          <w:p w14:paraId="13AD85D9"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.941</w:t>
            </w:r>
          </w:p>
        </w:tc>
        <w:tc>
          <w:tcPr>
            <w:tcW w:w="0" w:type="auto"/>
            <w:tcBorders>
              <w:top w:val="nil"/>
              <w:left w:val="nil"/>
              <w:bottom w:val="nil"/>
              <w:right w:val="single" w:sz="4" w:space="0" w:color="000000"/>
            </w:tcBorders>
            <w:shd w:val="clear" w:color="auto" w:fill="FDE9D9"/>
            <w:vAlign w:val="center"/>
          </w:tcPr>
          <w:p w14:paraId="02F48724"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-.004</w:t>
            </w:r>
          </w:p>
        </w:tc>
        <w:tc>
          <w:tcPr>
            <w:tcW w:w="0" w:type="auto"/>
            <w:tcBorders>
              <w:top w:val="nil"/>
              <w:left w:val="nil"/>
              <w:bottom w:val="nil"/>
              <w:right w:val="single" w:sz="4" w:space="0" w:color="000000"/>
            </w:tcBorders>
            <w:shd w:val="clear" w:color="auto" w:fill="FDE9D9"/>
            <w:vAlign w:val="center"/>
          </w:tcPr>
          <w:p w14:paraId="79F1111E"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-.030</w:t>
            </w:r>
          </w:p>
        </w:tc>
        <w:tc>
          <w:tcPr>
            <w:tcW w:w="0" w:type="auto"/>
            <w:tcBorders>
              <w:top w:val="nil"/>
              <w:left w:val="nil"/>
              <w:bottom w:val="nil"/>
              <w:right w:val="single" w:sz="12" w:space="0" w:color="000000"/>
            </w:tcBorders>
            <w:shd w:val="clear" w:color="auto" w:fill="FDE9D9"/>
            <w:vAlign w:val="center"/>
          </w:tcPr>
          <w:p w14:paraId="302AB013"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.976</w:t>
            </w:r>
          </w:p>
        </w:tc>
      </w:tr>
      <w:tr w:rsidR="009968E0" w:rsidRPr="009968E0" w14:paraId="017D6CD1" w14:textId="77777777" w:rsidTr="009968E0">
        <w:trPr>
          <w:trHeight w:val="680"/>
        </w:trPr>
        <w:tc>
          <w:tcPr>
            <w:tcW w:w="0" w:type="auto"/>
            <w:vMerge/>
            <w:tcBorders>
              <w:top w:val="nil"/>
              <w:left w:val="single" w:sz="12" w:space="0" w:color="000000"/>
              <w:bottom w:val="single" w:sz="12" w:space="0" w:color="000000"/>
              <w:right w:val="nil"/>
            </w:tcBorders>
            <w:shd w:val="clear" w:color="auto" w:fill="FFFFFF"/>
          </w:tcPr>
          <w:p w14:paraId="69D423A9" w14:textId="77777777" w:rsidR="009968E0" w:rsidRPr="009968E0" w:rsidRDefault="009968E0" w:rsidP="009968E0">
            <w:pPr>
              <w:rPr>
                <w:rFonts w:ascii="Calibri" w:eastAsia="Times New Roman" w:hAnsi="Calibri" w:cs="Calibri"/>
                <w:i/>
                <w:iCs/>
                <w:sz w:val="22"/>
                <w:szCs w:val="22"/>
                <w:lang w:eastAsia="en-GB"/>
              </w:rPr>
            </w:pPr>
          </w:p>
        </w:tc>
        <w:tc>
          <w:tcPr>
            <w:tcW w:w="0" w:type="auto"/>
            <w:tcBorders>
              <w:top w:val="nil"/>
              <w:left w:val="nil"/>
              <w:bottom w:val="nil"/>
              <w:right w:val="single" w:sz="12" w:space="0" w:color="000000"/>
            </w:tcBorders>
            <w:shd w:val="clear" w:color="auto" w:fill="FFFFFF"/>
            <w:vAlign w:val="center"/>
          </w:tcPr>
          <w:p w14:paraId="0A68E955" w14:textId="77777777" w:rsidR="009968E0" w:rsidRPr="009968E0" w:rsidRDefault="009968E0" w:rsidP="009968E0">
            <w:pPr>
              <w:jc w:val="right"/>
              <w:rPr>
                <w:rFonts w:ascii="Calibri" w:eastAsia="Times New Roman" w:hAnsi="Calibri" w:cs="Calibri"/>
                <w:i/>
                <w:iCs/>
                <w:sz w:val="22"/>
                <w:szCs w:val="22"/>
                <w:lang w:eastAsia="en-GB"/>
              </w:rPr>
            </w:pPr>
            <w:proofErr w:type="spellStart"/>
            <w:r w:rsidRPr="009968E0">
              <w:rPr>
                <w:rFonts w:ascii="Calibri" w:eastAsia="Times New Roman" w:hAnsi="Calibri" w:cs="Calibri"/>
                <w:i/>
                <w:iCs/>
                <w:sz w:val="22"/>
                <w:szCs w:val="22"/>
                <w:lang w:eastAsia="en-GB"/>
              </w:rPr>
              <w:t>Slope_P-DPN_vs_DPN</w:t>
            </w:r>
            <w:proofErr w:type="spellEnd"/>
          </w:p>
        </w:tc>
        <w:tc>
          <w:tcPr>
            <w:tcW w:w="0" w:type="auto"/>
            <w:tcBorders>
              <w:top w:val="nil"/>
              <w:left w:val="nil"/>
              <w:bottom w:val="nil"/>
              <w:right w:val="single" w:sz="4" w:space="0" w:color="000000"/>
            </w:tcBorders>
            <w:shd w:val="clear" w:color="auto" w:fill="FFFFFF"/>
            <w:vAlign w:val="center"/>
          </w:tcPr>
          <w:p w14:paraId="75CC1AAC"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2.455</w:t>
            </w:r>
          </w:p>
        </w:tc>
        <w:tc>
          <w:tcPr>
            <w:tcW w:w="0" w:type="auto"/>
            <w:tcBorders>
              <w:top w:val="nil"/>
              <w:left w:val="nil"/>
              <w:bottom w:val="nil"/>
              <w:right w:val="single" w:sz="4" w:space="0" w:color="000000"/>
            </w:tcBorders>
            <w:shd w:val="clear" w:color="auto" w:fill="FFFFFF"/>
            <w:vAlign w:val="center"/>
          </w:tcPr>
          <w:p w14:paraId="32282C8D"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.589</w:t>
            </w:r>
          </w:p>
        </w:tc>
        <w:tc>
          <w:tcPr>
            <w:tcW w:w="0" w:type="auto"/>
            <w:tcBorders>
              <w:top w:val="nil"/>
              <w:left w:val="nil"/>
              <w:bottom w:val="nil"/>
              <w:right w:val="single" w:sz="4" w:space="0" w:color="000000"/>
            </w:tcBorders>
            <w:shd w:val="clear" w:color="auto" w:fill="FFFFFF"/>
            <w:vAlign w:val="center"/>
          </w:tcPr>
          <w:p w14:paraId="4A41DEA2"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.689</w:t>
            </w:r>
          </w:p>
        </w:tc>
        <w:tc>
          <w:tcPr>
            <w:tcW w:w="0" w:type="auto"/>
            <w:tcBorders>
              <w:top w:val="nil"/>
              <w:left w:val="nil"/>
              <w:bottom w:val="nil"/>
              <w:right w:val="single" w:sz="4" w:space="0" w:color="000000"/>
            </w:tcBorders>
            <w:shd w:val="clear" w:color="auto" w:fill="FFFFFF"/>
            <w:vAlign w:val="center"/>
          </w:tcPr>
          <w:p w14:paraId="5C06DCA5"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4.169</w:t>
            </w:r>
          </w:p>
        </w:tc>
        <w:tc>
          <w:tcPr>
            <w:tcW w:w="0" w:type="auto"/>
            <w:tcBorders>
              <w:top w:val="nil"/>
              <w:left w:val="nil"/>
              <w:bottom w:val="nil"/>
              <w:right w:val="single" w:sz="12" w:space="0" w:color="000000"/>
            </w:tcBorders>
            <w:shd w:val="clear" w:color="auto" w:fill="FFFFFF"/>
            <w:vAlign w:val="center"/>
          </w:tcPr>
          <w:p w14:paraId="0E4B8015"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.000*</w:t>
            </w:r>
          </w:p>
        </w:tc>
      </w:tr>
      <w:tr w:rsidR="009968E0" w:rsidRPr="009968E0" w14:paraId="2CFFB64F" w14:textId="77777777" w:rsidTr="009968E0">
        <w:trPr>
          <w:trHeight w:val="680"/>
        </w:trPr>
        <w:tc>
          <w:tcPr>
            <w:tcW w:w="0" w:type="auto"/>
            <w:vMerge/>
            <w:tcBorders>
              <w:top w:val="nil"/>
              <w:left w:val="single" w:sz="12" w:space="0" w:color="000000"/>
              <w:bottom w:val="single" w:sz="12" w:space="0" w:color="000000"/>
              <w:right w:val="nil"/>
            </w:tcBorders>
            <w:shd w:val="clear" w:color="auto" w:fill="FFFFFF"/>
          </w:tcPr>
          <w:p w14:paraId="43C43078" w14:textId="77777777" w:rsidR="009968E0" w:rsidRPr="009968E0" w:rsidRDefault="009968E0" w:rsidP="009968E0">
            <w:pPr>
              <w:rPr>
                <w:rFonts w:ascii="Calibri" w:eastAsia="Times New Roman" w:hAnsi="Calibri" w:cs="Calibri"/>
                <w:i/>
                <w:iCs/>
                <w:sz w:val="22"/>
                <w:szCs w:val="22"/>
                <w:lang w:eastAsia="en-GB"/>
              </w:rPr>
            </w:pPr>
          </w:p>
        </w:tc>
        <w:tc>
          <w:tcPr>
            <w:tcW w:w="0" w:type="auto"/>
            <w:tcBorders>
              <w:top w:val="nil"/>
              <w:left w:val="nil"/>
              <w:bottom w:val="nil"/>
              <w:right w:val="single" w:sz="12" w:space="0" w:color="000000"/>
            </w:tcBorders>
            <w:shd w:val="clear" w:color="auto" w:fill="FDE9D9"/>
            <w:vAlign w:val="center"/>
          </w:tcPr>
          <w:p w14:paraId="58843B51" w14:textId="77777777" w:rsidR="009968E0" w:rsidRPr="009968E0" w:rsidRDefault="009968E0" w:rsidP="009968E0">
            <w:pPr>
              <w:jc w:val="right"/>
              <w:rPr>
                <w:rFonts w:ascii="Calibri" w:eastAsia="Times New Roman" w:hAnsi="Calibri" w:cs="Calibri"/>
                <w:i/>
                <w:iCs/>
                <w:sz w:val="22"/>
                <w:szCs w:val="22"/>
                <w:lang w:eastAsia="en-GB"/>
              </w:rPr>
            </w:pPr>
            <w:proofErr w:type="spellStart"/>
            <w:r w:rsidRPr="009968E0">
              <w:rPr>
                <w:rFonts w:ascii="Calibri" w:eastAsia="Times New Roman" w:hAnsi="Calibri" w:cs="Calibri"/>
                <w:i/>
                <w:iCs/>
                <w:sz w:val="22"/>
                <w:szCs w:val="22"/>
                <w:lang w:eastAsia="en-GB"/>
              </w:rPr>
              <w:t>Slope_P-DPN_vs_DM_NN</w:t>
            </w:r>
            <w:proofErr w:type="spellEnd"/>
          </w:p>
        </w:tc>
        <w:tc>
          <w:tcPr>
            <w:tcW w:w="0" w:type="auto"/>
            <w:tcBorders>
              <w:top w:val="nil"/>
              <w:left w:val="nil"/>
              <w:bottom w:val="nil"/>
              <w:right w:val="single" w:sz="4" w:space="0" w:color="000000"/>
            </w:tcBorders>
            <w:shd w:val="clear" w:color="auto" w:fill="FDE9D9"/>
            <w:vAlign w:val="center"/>
          </w:tcPr>
          <w:p w14:paraId="63E481EB"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1.113</w:t>
            </w:r>
          </w:p>
        </w:tc>
        <w:tc>
          <w:tcPr>
            <w:tcW w:w="0" w:type="auto"/>
            <w:tcBorders>
              <w:top w:val="nil"/>
              <w:left w:val="nil"/>
              <w:bottom w:val="nil"/>
              <w:right w:val="single" w:sz="4" w:space="0" w:color="000000"/>
            </w:tcBorders>
            <w:shd w:val="clear" w:color="auto" w:fill="FDE9D9"/>
            <w:vAlign w:val="center"/>
          </w:tcPr>
          <w:p w14:paraId="5058F900"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.994</w:t>
            </w:r>
          </w:p>
        </w:tc>
        <w:tc>
          <w:tcPr>
            <w:tcW w:w="0" w:type="auto"/>
            <w:tcBorders>
              <w:top w:val="nil"/>
              <w:left w:val="nil"/>
              <w:bottom w:val="nil"/>
              <w:right w:val="single" w:sz="4" w:space="0" w:color="000000"/>
            </w:tcBorders>
            <w:shd w:val="clear" w:color="auto" w:fill="FDE9D9"/>
            <w:vAlign w:val="center"/>
          </w:tcPr>
          <w:p w14:paraId="00554CAC"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.146</w:t>
            </w:r>
          </w:p>
        </w:tc>
        <w:tc>
          <w:tcPr>
            <w:tcW w:w="0" w:type="auto"/>
            <w:tcBorders>
              <w:top w:val="nil"/>
              <w:left w:val="nil"/>
              <w:bottom w:val="nil"/>
              <w:right w:val="single" w:sz="4" w:space="0" w:color="000000"/>
            </w:tcBorders>
            <w:shd w:val="clear" w:color="auto" w:fill="FDE9D9"/>
            <w:vAlign w:val="center"/>
          </w:tcPr>
          <w:p w14:paraId="636B0387"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1.120</w:t>
            </w:r>
          </w:p>
        </w:tc>
        <w:tc>
          <w:tcPr>
            <w:tcW w:w="0" w:type="auto"/>
            <w:tcBorders>
              <w:top w:val="nil"/>
              <w:left w:val="nil"/>
              <w:bottom w:val="nil"/>
              <w:right w:val="single" w:sz="12" w:space="0" w:color="000000"/>
            </w:tcBorders>
            <w:shd w:val="clear" w:color="auto" w:fill="FDE9D9"/>
            <w:vAlign w:val="center"/>
          </w:tcPr>
          <w:p w14:paraId="1B732FDB"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.267</w:t>
            </w:r>
          </w:p>
        </w:tc>
      </w:tr>
      <w:tr w:rsidR="009968E0" w:rsidRPr="009968E0" w14:paraId="40688F6E" w14:textId="77777777" w:rsidTr="009968E0">
        <w:trPr>
          <w:trHeight w:val="680"/>
        </w:trPr>
        <w:tc>
          <w:tcPr>
            <w:tcW w:w="0" w:type="auto"/>
            <w:vMerge/>
            <w:tcBorders>
              <w:top w:val="nil"/>
              <w:left w:val="single" w:sz="12" w:space="0" w:color="000000"/>
              <w:bottom w:val="single" w:sz="12" w:space="0" w:color="000000"/>
              <w:right w:val="nil"/>
            </w:tcBorders>
            <w:shd w:val="clear" w:color="auto" w:fill="FFFFFF"/>
          </w:tcPr>
          <w:p w14:paraId="6901AEB1" w14:textId="77777777" w:rsidR="009968E0" w:rsidRPr="009968E0" w:rsidRDefault="009968E0" w:rsidP="009968E0">
            <w:pPr>
              <w:rPr>
                <w:rFonts w:ascii="Calibri" w:eastAsia="Times New Roman" w:hAnsi="Calibri" w:cs="Calibri"/>
                <w:i/>
                <w:iCs/>
                <w:sz w:val="22"/>
                <w:szCs w:val="22"/>
                <w:lang w:eastAsia="en-GB"/>
              </w:rPr>
            </w:pPr>
          </w:p>
        </w:tc>
        <w:tc>
          <w:tcPr>
            <w:tcW w:w="0" w:type="auto"/>
            <w:tcBorders>
              <w:top w:val="nil"/>
              <w:left w:val="nil"/>
              <w:bottom w:val="single" w:sz="12" w:space="0" w:color="000000"/>
              <w:right w:val="single" w:sz="12" w:space="0" w:color="000000"/>
            </w:tcBorders>
            <w:shd w:val="clear" w:color="auto" w:fill="FFFFFF"/>
            <w:vAlign w:val="center"/>
          </w:tcPr>
          <w:p w14:paraId="0097ACC6" w14:textId="77777777" w:rsidR="009968E0" w:rsidRPr="009968E0" w:rsidRDefault="009968E0" w:rsidP="009968E0">
            <w:pPr>
              <w:jc w:val="right"/>
              <w:rPr>
                <w:rFonts w:ascii="Calibri" w:eastAsia="Times New Roman" w:hAnsi="Calibri" w:cs="Calibri"/>
                <w:i/>
                <w:iCs/>
                <w:sz w:val="22"/>
                <w:szCs w:val="22"/>
                <w:lang w:eastAsia="en-GB"/>
              </w:rPr>
            </w:pPr>
            <w:proofErr w:type="spellStart"/>
            <w:r w:rsidRPr="009968E0">
              <w:rPr>
                <w:rFonts w:ascii="Calibri" w:eastAsia="Times New Roman" w:hAnsi="Calibri" w:cs="Calibri"/>
                <w:i/>
                <w:iCs/>
                <w:sz w:val="22"/>
                <w:szCs w:val="22"/>
                <w:lang w:eastAsia="en-GB"/>
              </w:rPr>
              <w:t>Slope_P-DPN_vs_HV</w:t>
            </w:r>
            <w:proofErr w:type="spellEnd"/>
          </w:p>
        </w:tc>
        <w:tc>
          <w:tcPr>
            <w:tcW w:w="0" w:type="auto"/>
            <w:tcBorders>
              <w:top w:val="nil"/>
              <w:left w:val="nil"/>
              <w:bottom w:val="single" w:sz="12" w:space="0" w:color="000000"/>
              <w:right w:val="single" w:sz="4" w:space="0" w:color="000000"/>
            </w:tcBorders>
            <w:shd w:val="clear" w:color="auto" w:fill="FFFFFF"/>
            <w:vAlign w:val="center"/>
          </w:tcPr>
          <w:p w14:paraId="55CBCDB1"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2.279</w:t>
            </w:r>
          </w:p>
        </w:tc>
        <w:tc>
          <w:tcPr>
            <w:tcW w:w="0" w:type="auto"/>
            <w:tcBorders>
              <w:top w:val="nil"/>
              <w:left w:val="nil"/>
              <w:bottom w:val="single" w:sz="12" w:space="0" w:color="000000"/>
              <w:right w:val="single" w:sz="4" w:space="0" w:color="000000"/>
            </w:tcBorders>
            <w:shd w:val="clear" w:color="auto" w:fill="FFFFFF"/>
            <w:vAlign w:val="center"/>
          </w:tcPr>
          <w:p w14:paraId="069EEE20"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.700</w:t>
            </w:r>
          </w:p>
        </w:tc>
        <w:tc>
          <w:tcPr>
            <w:tcW w:w="0" w:type="auto"/>
            <w:tcBorders>
              <w:top w:val="nil"/>
              <w:left w:val="nil"/>
              <w:bottom w:val="single" w:sz="12" w:space="0" w:color="000000"/>
              <w:right w:val="single" w:sz="4" w:space="0" w:color="000000"/>
            </w:tcBorders>
            <w:shd w:val="clear" w:color="auto" w:fill="FFFFFF"/>
            <w:vAlign w:val="center"/>
          </w:tcPr>
          <w:p w14:paraId="1A21F301"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.465</w:t>
            </w:r>
          </w:p>
        </w:tc>
        <w:tc>
          <w:tcPr>
            <w:tcW w:w="0" w:type="auto"/>
            <w:tcBorders>
              <w:top w:val="nil"/>
              <w:left w:val="nil"/>
              <w:bottom w:val="single" w:sz="12" w:space="0" w:color="000000"/>
              <w:right w:val="single" w:sz="4" w:space="0" w:color="000000"/>
            </w:tcBorders>
            <w:shd w:val="clear" w:color="auto" w:fill="FFFFFF"/>
            <w:vAlign w:val="center"/>
          </w:tcPr>
          <w:p w14:paraId="23743BBE"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3.255</w:t>
            </w:r>
          </w:p>
        </w:tc>
        <w:tc>
          <w:tcPr>
            <w:tcW w:w="0" w:type="auto"/>
            <w:tcBorders>
              <w:top w:val="nil"/>
              <w:left w:val="nil"/>
              <w:bottom w:val="single" w:sz="12" w:space="0" w:color="000000"/>
              <w:right w:val="single" w:sz="12" w:space="0" w:color="000000"/>
            </w:tcBorders>
            <w:shd w:val="clear" w:color="auto" w:fill="FFFFFF"/>
            <w:vAlign w:val="center"/>
          </w:tcPr>
          <w:p w14:paraId="3D249B5A"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.002*</w:t>
            </w:r>
          </w:p>
        </w:tc>
      </w:tr>
      <w:tr w:rsidR="009968E0" w:rsidRPr="009968E0" w14:paraId="68861375" w14:textId="77777777" w:rsidTr="009968E0">
        <w:trPr>
          <w:trHeight w:val="380"/>
        </w:trPr>
        <w:tc>
          <w:tcPr>
            <w:tcW w:w="0" w:type="auto"/>
            <w:gridSpan w:val="7"/>
            <w:tcBorders>
              <w:top w:val="nil"/>
              <w:left w:val="nil"/>
              <w:bottom w:val="nil"/>
              <w:right w:val="nil"/>
            </w:tcBorders>
            <w:shd w:val="clear" w:color="auto" w:fill="FFFFFF"/>
          </w:tcPr>
          <w:p w14:paraId="06535099"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lastRenderedPageBreak/>
              <w:t>*significance p&lt;0.05</w:t>
            </w:r>
          </w:p>
          <w:p w14:paraId="4547A4B2" w14:textId="77777777" w:rsidR="009968E0" w:rsidRPr="009968E0" w:rsidRDefault="009968E0" w:rsidP="009968E0">
            <w:pPr>
              <w:rPr>
                <w:rFonts w:ascii="Calibri" w:eastAsia="Times New Roman" w:hAnsi="Calibri" w:cs="Calibri"/>
                <w:i/>
                <w:iCs/>
                <w:sz w:val="22"/>
                <w:szCs w:val="22"/>
                <w:lang w:eastAsia="en-GB"/>
              </w:rPr>
            </w:pPr>
          </w:p>
        </w:tc>
      </w:tr>
    </w:tbl>
    <w:tbl>
      <w:tblPr>
        <w:tblStyle w:val="GridTable2-Accent63"/>
        <w:tblW w:w="5000" w:type="pct"/>
        <w:tblLook w:val="0400" w:firstRow="0" w:lastRow="0" w:firstColumn="0" w:lastColumn="0" w:noHBand="0" w:noVBand="1"/>
      </w:tblPr>
      <w:tblGrid>
        <w:gridCol w:w="1473"/>
        <w:gridCol w:w="1853"/>
        <w:gridCol w:w="1035"/>
        <w:gridCol w:w="1035"/>
        <w:gridCol w:w="1485"/>
        <w:gridCol w:w="1104"/>
        <w:gridCol w:w="1035"/>
      </w:tblGrid>
      <w:tr w:rsidR="009968E0" w:rsidRPr="009968E0" w14:paraId="3614B770" w14:textId="77777777" w:rsidTr="009968E0">
        <w:trPr>
          <w:cnfStyle w:val="000000100000" w:firstRow="0" w:lastRow="0" w:firstColumn="0" w:lastColumn="0" w:oddVBand="0" w:evenVBand="0" w:oddHBand="1" w:evenHBand="0" w:firstRowFirstColumn="0" w:firstRowLastColumn="0" w:lastRowFirstColumn="0" w:lastRowLastColumn="0"/>
          <w:trHeight w:val="540"/>
        </w:trPr>
        <w:tc>
          <w:tcPr>
            <w:tcW w:w="5000" w:type="pct"/>
            <w:gridSpan w:val="7"/>
          </w:tcPr>
          <w:p w14:paraId="7AA564B0" w14:textId="77777777" w:rsidR="009968E0" w:rsidRPr="009968E0" w:rsidRDefault="009968E0" w:rsidP="004E6428">
            <w:pPr>
              <w:pStyle w:val="Quote"/>
            </w:pPr>
            <w:bookmarkStart w:id="665" w:name="_Toc48406160"/>
            <w:bookmarkStart w:id="666" w:name="_Toc49273371"/>
            <w:bookmarkStart w:id="667" w:name="_Toc64724123"/>
            <w:r w:rsidRPr="009968E0">
              <w:t>Table D.16: -Multivariate Tests for Delta RBF  and Region of Interest Model 1-4</w:t>
            </w:r>
            <w:bookmarkEnd w:id="665"/>
            <w:bookmarkEnd w:id="666"/>
            <w:bookmarkEnd w:id="667"/>
          </w:p>
        </w:tc>
      </w:tr>
      <w:tr w:rsidR="009968E0" w:rsidRPr="009968E0" w14:paraId="65008921" w14:textId="77777777" w:rsidTr="009968E0">
        <w:trPr>
          <w:trHeight w:val="680"/>
        </w:trPr>
        <w:tc>
          <w:tcPr>
            <w:tcW w:w="1843" w:type="pct"/>
            <w:gridSpan w:val="2"/>
          </w:tcPr>
          <w:p w14:paraId="53CE1522"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Statistic Wilks lambda</w:t>
            </w:r>
          </w:p>
        </w:tc>
        <w:tc>
          <w:tcPr>
            <w:tcW w:w="574" w:type="pct"/>
          </w:tcPr>
          <w:p w14:paraId="240DA434"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Value</w:t>
            </w:r>
          </w:p>
        </w:tc>
        <w:tc>
          <w:tcPr>
            <w:tcW w:w="574" w:type="pct"/>
          </w:tcPr>
          <w:p w14:paraId="3A61131E"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F</w:t>
            </w:r>
          </w:p>
        </w:tc>
        <w:tc>
          <w:tcPr>
            <w:tcW w:w="823" w:type="pct"/>
          </w:tcPr>
          <w:p w14:paraId="39273087"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Hypothesis df</w:t>
            </w:r>
          </w:p>
        </w:tc>
        <w:tc>
          <w:tcPr>
            <w:tcW w:w="612" w:type="pct"/>
          </w:tcPr>
          <w:p w14:paraId="2F7D8196"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Error df</w:t>
            </w:r>
          </w:p>
        </w:tc>
        <w:tc>
          <w:tcPr>
            <w:tcW w:w="574" w:type="pct"/>
          </w:tcPr>
          <w:p w14:paraId="7CE12976"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Sig.</w:t>
            </w:r>
          </w:p>
        </w:tc>
      </w:tr>
      <w:tr w:rsidR="009968E0" w:rsidRPr="009968E0" w14:paraId="054E898F"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816" w:type="pct"/>
            <w:vMerge w:val="restart"/>
            <w:shd w:val="clear" w:color="auto" w:fill="auto"/>
          </w:tcPr>
          <w:p w14:paraId="60999B2A" w14:textId="77777777" w:rsidR="009968E0" w:rsidRPr="009968E0" w:rsidRDefault="009968E0" w:rsidP="009968E0">
            <w:pPr>
              <w:jc w:val="center"/>
              <w:rPr>
                <w:rFonts w:ascii="Calibri" w:eastAsia="Times New Roman" w:hAnsi="Calibri" w:cs="Calibri"/>
                <w:i/>
                <w:color w:val="000000"/>
                <w:sz w:val="22"/>
                <w:szCs w:val="22"/>
                <w:vertAlign w:val="superscript"/>
                <w:lang w:eastAsia="en-GB"/>
              </w:rPr>
            </w:pPr>
            <w:r w:rsidRPr="009968E0">
              <w:rPr>
                <w:rFonts w:ascii="Calibri" w:eastAsia="Times New Roman" w:hAnsi="Calibri" w:cs="Calibri"/>
                <w:i/>
                <w:color w:val="000000"/>
                <w:sz w:val="22"/>
                <w:szCs w:val="22"/>
                <w:lang w:eastAsia="en-GB"/>
              </w:rPr>
              <w:t>Model 1</w:t>
            </w:r>
          </w:p>
        </w:tc>
        <w:tc>
          <w:tcPr>
            <w:tcW w:w="1027" w:type="pct"/>
          </w:tcPr>
          <w:p w14:paraId="7FE294D6"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Intercept</w:t>
            </w:r>
          </w:p>
        </w:tc>
        <w:tc>
          <w:tcPr>
            <w:tcW w:w="574" w:type="pct"/>
          </w:tcPr>
          <w:p w14:paraId="3274DC3D"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.885</w:t>
            </w:r>
          </w:p>
        </w:tc>
        <w:tc>
          <w:tcPr>
            <w:tcW w:w="574" w:type="pct"/>
          </w:tcPr>
          <w:p w14:paraId="4831EBCC"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0.938</w:t>
            </w:r>
          </w:p>
        </w:tc>
        <w:tc>
          <w:tcPr>
            <w:tcW w:w="823" w:type="pct"/>
          </w:tcPr>
          <w:p w14:paraId="3E2FD092"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8.000</w:t>
            </w:r>
          </w:p>
        </w:tc>
        <w:tc>
          <w:tcPr>
            <w:tcW w:w="612" w:type="pct"/>
          </w:tcPr>
          <w:p w14:paraId="4B613440"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58.000</w:t>
            </w:r>
          </w:p>
        </w:tc>
        <w:tc>
          <w:tcPr>
            <w:tcW w:w="574" w:type="pct"/>
          </w:tcPr>
          <w:p w14:paraId="6B1E5277"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.493</w:t>
            </w:r>
          </w:p>
        </w:tc>
      </w:tr>
      <w:tr w:rsidR="009968E0" w:rsidRPr="009968E0" w14:paraId="7AB35831" w14:textId="77777777" w:rsidTr="009968E0">
        <w:trPr>
          <w:trHeight w:val="360"/>
        </w:trPr>
        <w:tc>
          <w:tcPr>
            <w:tcW w:w="816" w:type="pct"/>
            <w:vMerge/>
            <w:shd w:val="clear" w:color="auto" w:fill="auto"/>
          </w:tcPr>
          <w:p w14:paraId="30FFDCD6" w14:textId="77777777" w:rsidR="009968E0" w:rsidRPr="009968E0" w:rsidRDefault="009968E0" w:rsidP="009968E0">
            <w:pPr>
              <w:widowControl w:val="0"/>
              <w:pBdr>
                <w:top w:val="nil"/>
                <w:left w:val="nil"/>
                <w:bottom w:val="nil"/>
                <w:right w:val="nil"/>
                <w:between w:val="nil"/>
              </w:pBdr>
              <w:rPr>
                <w:rFonts w:ascii="Calibri" w:eastAsia="Times New Roman" w:hAnsi="Calibri" w:cs="Calibri"/>
                <w:i/>
                <w:color w:val="000000"/>
                <w:sz w:val="22"/>
                <w:szCs w:val="22"/>
                <w:lang w:eastAsia="en-GB"/>
              </w:rPr>
            </w:pPr>
          </w:p>
        </w:tc>
        <w:tc>
          <w:tcPr>
            <w:tcW w:w="1027" w:type="pct"/>
          </w:tcPr>
          <w:p w14:paraId="62C7C5D2"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xml:space="preserve">group </w:t>
            </w:r>
          </w:p>
        </w:tc>
        <w:tc>
          <w:tcPr>
            <w:tcW w:w="574" w:type="pct"/>
          </w:tcPr>
          <w:p w14:paraId="24FCFF74"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.628</w:t>
            </w:r>
          </w:p>
        </w:tc>
        <w:tc>
          <w:tcPr>
            <w:tcW w:w="574" w:type="pct"/>
          </w:tcPr>
          <w:p w14:paraId="18E0C9C7"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1.223</w:t>
            </w:r>
          </w:p>
        </w:tc>
        <w:tc>
          <w:tcPr>
            <w:tcW w:w="823" w:type="pct"/>
          </w:tcPr>
          <w:p w14:paraId="02A99975"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24.000</w:t>
            </w:r>
          </w:p>
        </w:tc>
        <w:tc>
          <w:tcPr>
            <w:tcW w:w="612" w:type="pct"/>
          </w:tcPr>
          <w:p w14:paraId="3F70DFE4"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168.819</w:t>
            </w:r>
          </w:p>
        </w:tc>
        <w:tc>
          <w:tcPr>
            <w:tcW w:w="574" w:type="pct"/>
          </w:tcPr>
          <w:p w14:paraId="684A051F"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.229</w:t>
            </w:r>
          </w:p>
        </w:tc>
      </w:tr>
      <w:tr w:rsidR="009968E0" w:rsidRPr="009968E0" w14:paraId="2416D774"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816" w:type="pct"/>
            <w:vMerge/>
            <w:shd w:val="clear" w:color="auto" w:fill="auto"/>
          </w:tcPr>
          <w:p w14:paraId="4D4B3926" w14:textId="77777777" w:rsidR="009968E0" w:rsidRPr="009968E0" w:rsidRDefault="009968E0" w:rsidP="009968E0">
            <w:pPr>
              <w:widowControl w:val="0"/>
              <w:pBdr>
                <w:top w:val="nil"/>
                <w:left w:val="nil"/>
                <w:bottom w:val="nil"/>
                <w:right w:val="nil"/>
                <w:between w:val="nil"/>
              </w:pBdr>
              <w:rPr>
                <w:rFonts w:ascii="Calibri" w:eastAsia="Times New Roman" w:hAnsi="Calibri" w:cs="Calibri"/>
                <w:i/>
                <w:color w:val="000000"/>
                <w:sz w:val="22"/>
                <w:szCs w:val="22"/>
                <w:lang w:eastAsia="en-GB"/>
              </w:rPr>
            </w:pPr>
          </w:p>
        </w:tc>
        <w:tc>
          <w:tcPr>
            <w:tcW w:w="1027" w:type="pct"/>
          </w:tcPr>
          <w:p w14:paraId="59DC4FA1" w14:textId="6204C6D8"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Likert</w:t>
            </w:r>
          </w:p>
        </w:tc>
        <w:tc>
          <w:tcPr>
            <w:tcW w:w="574" w:type="pct"/>
          </w:tcPr>
          <w:p w14:paraId="73E7B1BF"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.884</w:t>
            </w:r>
          </w:p>
        </w:tc>
        <w:tc>
          <w:tcPr>
            <w:tcW w:w="574" w:type="pct"/>
          </w:tcPr>
          <w:p w14:paraId="1A9AD98F"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0.952</w:t>
            </w:r>
          </w:p>
        </w:tc>
        <w:tc>
          <w:tcPr>
            <w:tcW w:w="823" w:type="pct"/>
          </w:tcPr>
          <w:p w14:paraId="41990F74"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8.000</w:t>
            </w:r>
          </w:p>
        </w:tc>
        <w:tc>
          <w:tcPr>
            <w:tcW w:w="612" w:type="pct"/>
          </w:tcPr>
          <w:p w14:paraId="27F29A14"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58.000</w:t>
            </w:r>
          </w:p>
        </w:tc>
        <w:tc>
          <w:tcPr>
            <w:tcW w:w="574" w:type="pct"/>
          </w:tcPr>
          <w:p w14:paraId="210DA8F1"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.482</w:t>
            </w:r>
          </w:p>
        </w:tc>
      </w:tr>
      <w:tr w:rsidR="009968E0" w:rsidRPr="009968E0" w14:paraId="34575026" w14:textId="77777777" w:rsidTr="009968E0">
        <w:trPr>
          <w:trHeight w:val="400"/>
        </w:trPr>
        <w:tc>
          <w:tcPr>
            <w:tcW w:w="816" w:type="pct"/>
            <w:vMerge/>
            <w:shd w:val="clear" w:color="auto" w:fill="auto"/>
          </w:tcPr>
          <w:p w14:paraId="1B5455EF" w14:textId="77777777" w:rsidR="009968E0" w:rsidRPr="009968E0" w:rsidRDefault="009968E0" w:rsidP="009968E0">
            <w:pPr>
              <w:widowControl w:val="0"/>
              <w:pBdr>
                <w:top w:val="nil"/>
                <w:left w:val="nil"/>
                <w:bottom w:val="nil"/>
                <w:right w:val="nil"/>
                <w:between w:val="nil"/>
              </w:pBdr>
              <w:rPr>
                <w:rFonts w:ascii="Calibri" w:eastAsia="Times New Roman" w:hAnsi="Calibri" w:cs="Calibri"/>
                <w:i/>
                <w:color w:val="000000"/>
                <w:sz w:val="22"/>
                <w:szCs w:val="22"/>
                <w:lang w:eastAsia="en-GB"/>
              </w:rPr>
            </w:pPr>
          </w:p>
        </w:tc>
        <w:tc>
          <w:tcPr>
            <w:tcW w:w="1027" w:type="pct"/>
          </w:tcPr>
          <w:p w14:paraId="0D716EAB" w14:textId="6A586D1D"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group*Likert</w:t>
            </w:r>
          </w:p>
        </w:tc>
        <w:tc>
          <w:tcPr>
            <w:tcW w:w="574" w:type="pct"/>
          </w:tcPr>
          <w:p w14:paraId="53AF5C7A"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.667</w:t>
            </w:r>
          </w:p>
        </w:tc>
        <w:tc>
          <w:tcPr>
            <w:tcW w:w="574" w:type="pct"/>
          </w:tcPr>
          <w:p w14:paraId="097BA3AB"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1.055</w:t>
            </w:r>
          </w:p>
        </w:tc>
        <w:tc>
          <w:tcPr>
            <w:tcW w:w="823" w:type="pct"/>
          </w:tcPr>
          <w:p w14:paraId="67428773"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24.000</w:t>
            </w:r>
          </w:p>
        </w:tc>
        <w:tc>
          <w:tcPr>
            <w:tcW w:w="612" w:type="pct"/>
          </w:tcPr>
          <w:p w14:paraId="7E5326AF"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168.819</w:t>
            </w:r>
          </w:p>
        </w:tc>
        <w:tc>
          <w:tcPr>
            <w:tcW w:w="574" w:type="pct"/>
          </w:tcPr>
          <w:p w14:paraId="56FFF498"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.401</w:t>
            </w:r>
          </w:p>
        </w:tc>
      </w:tr>
      <w:tr w:rsidR="009968E0" w:rsidRPr="009968E0" w14:paraId="641DCBF0" w14:textId="77777777" w:rsidTr="009968E0">
        <w:trPr>
          <w:cnfStyle w:val="000000100000" w:firstRow="0" w:lastRow="0" w:firstColumn="0" w:lastColumn="0" w:oddVBand="0" w:evenVBand="0" w:oddHBand="1" w:evenHBand="0" w:firstRowFirstColumn="0" w:firstRowLastColumn="0" w:lastRowFirstColumn="0" w:lastRowLastColumn="0"/>
          <w:trHeight w:val="380"/>
        </w:trPr>
        <w:tc>
          <w:tcPr>
            <w:tcW w:w="816" w:type="pct"/>
            <w:vMerge w:val="restart"/>
            <w:shd w:val="clear" w:color="auto" w:fill="auto"/>
          </w:tcPr>
          <w:p w14:paraId="14AA8EFC" w14:textId="77777777" w:rsidR="009968E0" w:rsidRPr="009968E0" w:rsidRDefault="009968E0" w:rsidP="009968E0">
            <w:pPr>
              <w:jc w:val="center"/>
              <w:rPr>
                <w:rFonts w:ascii="Calibri" w:eastAsia="Times New Roman" w:hAnsi="Calibri" w:cs="Calibri"/>
                <w:i/>
                <w:color w:val="000000"/>
                <w:sz w:val="22"/>
                <w:szCs w:val="22"/>
                <w:vertAlign w:val="superscript"/>
                <w:lang w:eastAsia="en-GB"/>
              </w:rPr>
            </w:pPr>
            <w:r w:rsidRPr="009968E0">
              <w:rPr>
                <w:rFonts w:ascii="Calibri" w:eastAsia="Times New Roman" w:hAnsi="Calibri" w:cs="Calibri"/>
                <w:i/>
                <w:color w:val="000000"/>
                <w:sz w:val="22"/>
                <w:szCs w:val="22"/>
                <w:lang w:eastAsia="en-GB"/>
              </w:rPr>
              <w:t>Model 2</w:t>
            </w:r>
          </w:p>
        </w:tc>
        <w:tc>
          <w:tcPr>
            <w:tcW w:w="1027" w:type="pct"/>
          </w:tcPr>
          <w:p w14:paraId="6E3C1078"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intercept</w:t>
            </w:r>
          </w:p>
        </w:tc>
        <w:tc>
          <w:tcPr>
            <w:tcW w:w="574" w:type="pct"/>
          </w:tcPr>
          <w:p w14:paraId="1150AAE8"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.755</w:t>
            </w:r>
          </w:p>
        </w:tc>
        <w:tc>
          <w:tcPr>
            <w:tcW w:w="574" w:type="pct"/>
          </w:tcPr>
          <w:p w14:paraId="5EB93B8E"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2.474</w:t>
            </w:r>
          </w:p>
        </w:tc>
        <w:tc>
          <w:tcPr>
            <w:tcW w:w="823" w:type="pct"/>
          </w:tcPr>
          <w:p w14:paraId="032E960C"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8.000</w:t>
            </w:r>
          </w:p>
        </w:tc>
        <w:tc>
          <w:tcPr>
            <w:tcW w:w="612" w:type="pct"/>
          </w:tcPr>
          <w:p w14:paraId="2D3F0D92"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61.000</w:t>
            </w:r>
          </w:p>
        </w:tc>
        <w:tc>
          <w:tcPr>
            <w:tcW w:w="574" w:type="pct"/>
          </w:tcPr>
          <w:p w14:paraId="66F87142"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.022</w:t>
            </w:r>
          </w:p>
        </w:tc>
      </w:tr>
      <w:tr w:rsidR="009968E0" w:rsidRPr="009968E0" w14:paraId="470220D5" w14:textId="77777777" w:rsidTr="009968E0">
        <w:trPr>
          <w:trHeight w:val="460"/>
        </w:trPr>
        <w:tc>
          <w:tcPr>
            <w:tcW w:w="816" w:type="pct"/>
            <w:vMerge/>
            <w:shd w:val="clear" w:color="auto" w:fill="auto"/>
          </w:tcPr>
          <w:p w14:paraId="6625A3A8" w14:textId="77777777" w:rsidR="009968E0" w:rsidRPr="009968E0" w:rsidRDefault="009968E0" w:rsidP="009968E0">
            <w:pPr>
              <w:widowControl w:val="0"/>
              <w:pBdr>
                <w:top w:val="nil"/>
                <w:left w:val="nil"/>
                <w:bottom w:val="nil"/>
                <w:right w:val="nil"/>
                <w:between w:val="nil"/>
              </w:pBdr>
              <w:rPr>
                <w:rFonts w:ascii="Calibri" w:eastAsia="Times New Roman" w:hAnsi="Calibri" w:cs="Calibri"/>
                <w:i/>
                <w:color w:val="000000"/>
                <w:sz w:val="22"/>
                <w:szCs w:val="22"/>
                <w:lang w:eastAsia="en-GB"/>
              </w:rPr>
            </w:pPr>
          </w:p>
        </w:tc>
        <w:tc>
          <w:tcPr>
            <w:tcW w:w="1027" w:type="pct"/>
          </w:tcPr>
          <w:p w14:paraId="4D044C55"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xml:space="preserve">group </w:t>
            </w:r>
          </w:p>
        </w:tc>
        <w:tc>
          <w:tcPr>
            <w:tcW w:w="574" w:type="pct"/>
          </w:tcPr>
          <w:p w14:paraId="38F12CB9"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.676</w:t>
            </w:r>
          </w:p>
        </w:tc>
        <w:tc>
          <w:tcPr>
            <w:tcW w:w="574" w:type="pct"/>
          </w:tcPr>
          <w:p w14:paraId="174D98DD"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1.07</w:t>
            </w:r>
          </w:p>
        </w:tc>
        <w:tc>
          <w:tcPr>
            <w:tcW w:w="823" w:type="pct"/>
          </w:tcPr>
          <w:p w14:paraId="16EE2018"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24.000</w:t>
            </w:r>
          </w:p>
        </w:tc>
        <w:tc>
          <w:tcPr>
            <w:tcW w:w="612" w:type="pct"/>
          </w:tcPr>
          <w:p w14:paraId="4851E8F9"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177.520</w:t>
            </w:r>
          </w:p>
        </w:tc>
        <w:tc>
          <w:tcPr>
            <w:tcW w:w="574" w:type="pct"/>
          </w:tcPr>
          <w:p w14:paraId="09637167"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.383</w:t>
            </w:r>
          </w:p>
        </w:tc>
      </w:tr>
      <w:tr w:rsidR="009968E0" w:rsidRPr="009968E0" w14:paraId="2F80AE15" w14:textId="77777777" w:rsidTr="009968E0">
        <w:trPr>
          <w:cnfStyle w:val="000000100000" w:firstRow="0" w:lastRow="0" w:firstColumn="0" w:lastColumn="0" w:oddVBand="0" w:evenVBand="0" w:oddHBand="1" w:evenHBand="0" w:firstRowFirstColumn="0" w:firstRowLastColumn="0" w:lastRowFirstColumn="0" w:lastRowLastColumn="0"/>
          <w:trHeight w:val="420"/>
        </w:trPr>
        <w:tc>
          <w:tcPr>
            <w:tcW w:w="816" w:type="pct"/>
            <w:vMerge/>
            <w:shd w:val="clear" w:color="auto" w:fill="auto"/>
          </w:tcPr>
          <w:p w14:paraId="37B26FDC" w14:textId="77777777" w:rsidR="009968E0" w:rsidRPr="009968E0" w:rsidRDefault="009968E0" w:rsidP="009968E0">
            <w:pPr>
              <w:widowControl w:val="0"/>
              <w:pBdr>
                <w:top w:val="nil"/>
                <w:left w:val="nil"/>
                <w:bottom w:val="nil"/>
                <w:right w:val="nil"/>
                <w:between w:val="nil"/>
              </w:pBdr>
              <w:rPr>
                <w:rFonts w:ascii="Calibri" w:eastAsia="Times New Roman" w:hAnsi="Calibri" w:cs="Calibri"/>
                <w:i/>
                <w:color w:val="000000"/>
                <w:sz w:val="22"/>
                <w:szCs w:val="22"/>
                <w:lang w:eastAsia="en-GB"/>
              </w:rPr>
            </w:pPr>
          </w:p>
        </w:tc>
        <w:tc>
          <w:tcPr>
            <w:tcW w:w="1027" w:type="pct"/>
          </w:tcPr>
          <w:p w14:paraId="537A14A7" w14:textId="1CD483B3"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Likert</w:t>
            </w:r>
          </w:p>
        </w:tc>
        <w:tc>
          <w:tcPr>
            <w:tcW w:w="574" w:type="pct"/>
          </w:tcPr>
          <w:p w14:paraId="0D771A52"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.758</w:t>
            </w:r>
          </w:p>
        </w:tc>
        <w:tc>
          <w:tcPr>
            <w:tcW w:w="574" w:type="pct"/>
          </w:tcPr>
          <w:p w14:paraId="2D39727D"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2.43</w:t>
            </w:r>
          </w:p>
        </w:tc>
        <w:tc>
          <w:tcPr>
            <w:tcW w:w="823" w:type="pct"/>
          </w:tcPr>
          <w:p w14:paraId="0FE9EFD1"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8.000</w:t>
            </w:r>
          </w:p>
        </w:tc>
        <w:tc>
          <w:tcPr>
            <w:tcW w:w="612" w:type="pct"/>
          </w:tcPr>
          <w:p w14:paraId="1CA1E691"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61.000</w:t>
            </w:r>
          </w:p>
        </w:tc>
        <w:tc>
          <w:tcPr>
            <w:tcW w:w="574" w:type="pct"/>
          </w:tcPr>
          <w:p w14:paraId="0A1700A7"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.024</w:t>
            </w:r>
          </w:p>
        </w:tc>
      </w:tr>
      <w:tr w:rsidR="009968E0" w:rsidRPr="009968E0" w14:paraId="51205F9D" w14:textId="77777777" w:rsidTr="009968E0">
        <w:trPr>
          <w:trHeight w:val="460"/>
        </w:trPr>
        <w:tc>
          <w:tcPr>
            <w:tcW w:w="816" w:type="pct"/>
            <w:vMerge w:val="restart"/>
          </w:tcPr>
          <w:p w14:paraId="76A323EF" w14:textId="77777777" w:rsidR="009968E0" w:rsidRPr="009968E0" w:rsidRDefault="009968E0" w:rsidP="009968E0">
            <w:pPr>
              <w:jc w:val="center"/>
              <w:rPr>
                <w:rFonts w:ascii="Calibri" w:eastAsia="Times New Roman" w:hAnsi="Calibri" w:cs="Calibri"/>
                <w:i/>
                <w:color w:val="000000"/>
                <w:sz w:val="22"/>
                <w:szCs w:val="22"/>
                <w:vertAlign w:val="superscript"/>
                <w:lang w:eastAsia="en-GB"/>
              </w:rPr>
            </w:pPr>
            <w:r w:rsidRPr="009968E0">
              <w:rPr>
                <w:rFonts w:ascii="Calibri" w:eastAsia="Times New Roman" w:hAnsi="Calibri" w:cs="Calibri"/>
                <w:i/>
                <w:color w:val="000000"/>
                <w:sz w:val="22"/>
                <w:szCs w:val="22"/>
                <w:lang w:eastAsia="en-GB"/>
              </w:rPr>
              <w:t>Model 3</w:t>
            </w:r>
          </w:p>
        </w:tc>
        <w:tc>
          <w:tcPr>
            <w:tcW w:w="1027" w:type="pct"/>
          </w:tcPr>
          <w:p w14:paraId="6BA66C87"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intercept</w:t>
            </w:r>
          </w:p>
        </w:tc>
        <w:tc>
          <w:tcPr>
            <w:tcW w:w="574" w:type="pct"/>
          </w:tcPr>
          <w:p w14:paraId="6A9E55AD"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.971</w:t>
            </w:r>
          </w:p>
        </w:tc>
        <w:tc>
          <w:tcPr>
            <w:tcW w:w="574" w:type="pct"/>
          </w:tcPr>
          <w:p w14:paraId="5749B792"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0.231</w:t>
            </w:r>
          </w:p>
        </w:tc>
        <w:tc>
          <w:tcPr>
            <w:tcW w:w="823" w:type="pct"/>
          </w:tcPr>
          <w:p w14:paraId="42144131"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8.000</w:t>
            </w:r>
          </w:p>
        </w:tc>
        <w:tc>
          <w:tcPr>
            <w:tcW w:w="612" w:type="pct"/>
          </w:tcPr>
          <w:p w14:paraId="1E15D6E2"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62.000</w:t>
            </w:r>
          </w:p>
        </w:tc>
        <w:tc>
          <w:tcPr>
            <w:tcW w:w="574" w:type="pct"/>
          </w:tcPr>
          <w:p w14:paraId="46E16D06"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.984</w:t>
            </w:r>
          </w:p>
        </w:tc>
      </w:tr>
      <w:tr w:rsidR="009968E0" w:rsidRPr="009968E0" w14:paraId="2F77470F" w14:textId="77777777" w:rsidTr="009968E0">
        <w:trPr>
          <w:cnfStyle w:val="000000100000" w:firstRow="0" w:lastRow="0" w:firstColumn="0" w:lastColumn="0" w:oddVBand="0" w:evenVBand="0" w:oddHBand="1" w:evenHBand="0" w:firstRowFirstColumn="0" w:firstRowLastColumn="0" w:lastRowFirstColumn="0" w:lastRowLastColumn="0"/>
          <w:trHeight w:val="420"/>
        </w:trPr>
        <w:tc>
          <w:tcPr>
            <w:tcW w:w="816" w:type="pct"/>
            <w:vMerge/>
          </w:tcPr>
          <w:p w14:paraId="6200DB1B" w14:textId="77777777" w:rsidR="009968E0" w:rsidRPr="009968E0" w:rsidRDefault="009968E0" w:rsidP="009968E0">
            <w:pPr>
              <w:widowControl w:val="0"/>
              <w:pBdr>
                <w:top w:val="nil"/>
                <w:left w:val="nil"/>
                <w:bottom w:val="nil"/>
                <w:right w:val="nil"/>
                <w:between w:val="nil"/>
              </w:pBdr>
              <w:rPr>
                <w:rFonts w:ascii="Calibri" w:eastAsia="Times New Roman" w:hAnsi="Calibri" w:cs="Calibri"/>
                <w:i/>
                <w:color w:val="000000"/>
                <w:sz w:val="22"/>
                <w:szCs w:val="22"/>
                <w:lang w:eastAsia="en-GB"/>
              </w:rPr>
            </w:pPr>
          </w:p>
        </w:tc>
        <w:tc>
          <w:tcPr>
            <w:tcW w:w="1027" w:type="pct"/>
          </w:tcPr>
          <w:p w14:paraId="55E2892D"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group</w:t>
            </w:r>
          </w:p>
        </w:tc>
        <w:tc>
          <w:tcPr>
            <w:tcW w:w="574" w:type="pct"/>
          </w:tcPr>
          <w:p w14:paraId="6EB5728A"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.679</w:t>
            </w:r>
          </w:p>
        </w:tc>
        <w:tc>
          <w:tcPr>
            <w:tcW w:w="574" w:type="pct"/>
          </w:tcPr>
          <w:p w14:paraId="41F80740"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1.072</w:t>
            </w:r>
          </w:p>
        </w:tc>
        <w:tc>
          <w:tcPr>
            <w:tcW w:w="823" w:type="pct"/>
          </w:tcPr>
          <w:p w14:paraId="633B0A79"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24.000</w:t>
            </w:r>
          </w:p>
        </w:tc>
        <w:tc>
          <w:tcPr>
            <w:tcW w:w="612" w:type="pct"/>
          </w:tcPr>
          <w:p w14:paraId="6B0DB732"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180.420</w:t>
            </w:r>
          </w:p>
        </w:tc>
        <w:tc>
          <w:tcPr>
            <w:tcW w:w="574" w:type="pct"/>
          </w:tcPr>
          <w:p w14:paraId="0839E0F2"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.380</w:t>
            </w:r>
          </w:p>
        </w:tc>
      </w:tr>
      <w:tr w:rsidR="009968E0" w:rsidRPr="009968E0" w14:paraId="45BF1920" w14:textId="77777777" w:rsidTr="009968E0">
        <w:trPr>
          <w:trHeight w:val="360"/>
        </w:trPr>
        <w:tc>
          <w:tcPr>
            <w:tcW w:w="816" w:type="pct"/>
            <w:vMerge w:val="restart"/>
          </w:tcPr>
          <w:p w14:paraId="0DEDC532" w14:textId="77777777" w:rsidR="009968E0" w:rsidRPr="009968E0" w:rsidRDefault="009968E0" w:rsidP="009968E0">
            <w:pPr>
              <w:jc w:val="center"/>
              <w:rPr>
                <w:rFonts w:ascii="Calibri" w:eastAsia="Times New Roman" w:hAnsi="Calibri" w:cs="Calibri"/>
                <w:i/>
                <w:color w:val="000000"/>
                <w:sz w:val="22"/>
                <w:szCs w:val="22"/>
                <w:vertAlign w:val="superscript"/>
                <w:lang w:eastAsia="en-GB"/>
              </w:rPr>
            </w:pPr>
            <w:r w:rsidRPr="009968E0">
              <w:rPr>
                <w:rFonts w:ascii="Calibri" w:eastAsia="Times New Roman" w:hAnsi="Calibri" w:cs="Calibri"/>
                <w:i/>
                <w:color w:val="000000"/>
                <w:sz w:val="22"/>
                <w:szCs w:val="22"/>
                <w:lang w:eastAsia="en-GB"/>
              </w:rPr>
              <w:t>Model 4</w:t>
            </w:r>
          </w:p>
        </w:tc>
        <w:tc>
          <w:tcPr>
            <w:tcW w:w="1027" w:type="pct"/>
          </w:tcPr>
          <w:p w14:paraId="75B2D239"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intercept</w:t>
            </w:r>
          </w:p>
        </w:tc>
        <w:tc>
          <w:tcPr>
            <w:tcW w:w="574" w:type="pct"/>
          </w:tcPr>
          <w:p w14:paraId="6837C459"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.752</w:t>
            </w:r>
          </w:p>
        </w:tc>
        <w:tc>
          <w:tcPr>
            <w:tcW w:w="574" w:type="pct"/>
          </w:tcPr>
          <w:p w14:paraId="3E747D0C"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2.634</w:t>
            </w:r>
          </w:p>
        </w:tc>
        <w:tc>
          <w:tcPr>
            <w:tcW w:w="823" w:type="pct"/>
          </w:tcPr>
          <w:p w14:paraId="15EE12B9"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8.000</w:t>
            </w:r>
          </w:p>
        </w:tc>
        <w:tc>
          <w:tcPr>
            <w:tcW w:w="612" w:type="pct"/>
          </w:tcPr>
          <w:p w14:paraId="6951031E"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64.000</w:t>
            </w:r>
          </w:p>
        </w:tc>
        <w:tc>
          <w:tcPr>
            <w:tcW w:w="574" w:type="pct"/>
          </w:tcPr>
          <w:p w14:paraId="63F193C7"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.015</w:t>
            </w:r>
          </w:p>
        </w:tc>
      </w:tr>
      <w:tr w:rsidR="009968E0" w:rsidRPr="009968E0" w14:paraId="65344CA2"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816" w:type="pct"/>
            <w:vMerge/>
          </w:tcPr>
          <w:p w14:paraId="4F33C6AD" w14:textId="77777777" w:rsidR="009968E0" w:rsidRPr="009968E0" w:rsidRDefault="009968E0" w:rsidP="009968E0">
            <w:pPr>
              <w:widowControl w:val="0"/>
              <w:pBdr>
                <w:top w:val="nil"/>
                <w:left w:val="nil"/>
                <w:bottom w:val="nil"/>
                <w:right w:val="nil"/>
                <w:between w:val="nil"/>
              </w:pBdr>
              <w:rPr>
                <w:rFonts w:ascii="Calibri" w:eastAsia="Times New Roman" w:hAnsi="Calibri" w:cs="Calibri"/>
                <w:i/>
                <w:color w:val="000000"/>
                <w:sz w:val="22"/>
                <w:szCs w:val="22"/>
                <w:lang w:eastAsia="en-GB"/>
              </w:rPr>
            </w:pPr>
          </w:p>
        </w:tc>
        <w:tc>
          <w:tcPr>
            <w:tcW w:w="1027" w:type="pct"/>
          </w:tcPr>
          <w:p w14:paraId="1059C3D3" w14:textId="1C561F80"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Likert</w:t>
            </w:r>
          </w:p>
        </w:tc>
        <w:tc>
          <w:tcPr>
            <w:tcW w:w="574" w:type="pct"/>
          </w:tcPr>
          <w:p w14:paraId="5EBA3B7C"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.762</w:t>
            </w:r>
          </w:p>
        </w:tc>
        <w:tc>
          <w:tcPr>
            <w:tcW w:w="574" w:type="pct"/>
          </w:tcPr>
          <w:p w14:paraId="2988E8FA"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2.496</w:t>
            </w:r>
          </w:p>
        </w:tc>
        <w:tc>
          <w:tcPr>
            <w:tcW w:w="823" w:type="pct"/>
          </w:tcPr>
          <w:p w14:paraId="045E8C00"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8.000</w:t>
            </w:r>
          </w:p>
        </w:tc>
        <w:tc>
          <w:tcPr>
            <w:tcW w:w="612" w:type="pct"/>
          </w:tcPr>
          <w:p w14:paraId="3A2D92EC"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64.000</w:t>
            </w:r>
          </w:p>
        </w:tc>
        <w:tc>
          <w:tcPr>
            <w:tcW w:w="574" w:type="pct"/>
          </w:tcPr>
          <w:p w14:paraId="016A470C"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.020</w:t>
            </w:r>
          </w:p>
        </w:tc>
      </w:tr>
      <w:tr w:rsidR="009968E0" w:rsidRPr="009968E0" w14:paraId="799A879A" w14:textId="77777777" w:rsidTr="009968E0">
        <w:trPr>
          <w:trHeight w:val="200"/>
        </w:trPr>
        <w:tc>
          <w:tcPr>
            <w:tcW w:w="816" w:type="pct"/>
            <w:vMerge/>
          </w:tcPr>
          <w:p w14:paraId="226CC250" w14:textId="77777777" w:rsidR="009968E0" w:rsidRPr="009968E0" w:rsidRDefault="009968E0" w:rsidP="009968E0">
            <w:pPr>
              <w:widowControl w:val="0"/>
              <w:pBdr>
                <w:top w:val="nil"/>
                <w:left w:val="nil"/>
                <w:bottom w:val="nil"/>
                <w:right w:val="nil"/>
                <w:between w:val="nil"/>
              </w:pBdr>
              <w:rPr>
                <w:rFonts w:ascii="Calibri" w:eastAsia="Times New Roman" w:hAnsi="Calibri" w:cs="Calibri"/>
                <w:i/>
                <w:color w:val="000000"/>
                <w:sz w:val="22"/>
                <w:szCs w:val="22"/>
                <w:lang w:eastAsia="en-GB"/>
              </w:rPr>
            </w:pPr>
          </w:p>
        </w:tc>
        <w:tc>
          <w:tcPr>
            <w:tcW w:w="1027" w:type="pct"/>
          </w:tcPr>
          <w:p w14:paraId="416745BD"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w:t>
            </w:r>
          </w:p>
        </w:tc>
        <w:tc>
          <w:tcPr>
            <w:tcW w:w="574" w:type="pct"/>
          </w:tcPr>
          <w:p w14:paraId="31EB32DC"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w:t>
            </w:r>
          </w:p>
        </w:tc>
        <w:tc>
          <w:tcPr>
            <w:tcW w:w="574" w:type="pct"/>
          </w:tcPr>
          <w:p w14:paraId="270AFB8A"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w:t>
            </w:r>
          </w:p>
        </w:tc>
        <w:tc>
          <w:tcPr>
            <w:tcW w:w="823" w:type="pct"/>
          </w:tcPr>
          <w:p w14:paraId="6B6099E6"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w:t>
            </w:r>
          </w:p>
        </w:tc>
        <w:tc>
          <w:tcPr>
            <w:tcW w:w="612" w:type="pct"/>
          </w:tcPr>
          <w:p w14:paraId="73FCF24E"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w:t>
            </w:r>
          </w:p>
        </w:tc>
        <w:tc>
          <w:tcPr>
            <w:tcW w:w="574" w:type="pct"/>
          </w:tcPr>
          <w:p w14:paraId="49E88DF3"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w:t>
            </w:r>
          </w:p>
        </w:tc>
      </w:tr>
    </w:tbl>
    <w:p w14:paraId="38512777" w14:textId="77777777" w:rsidR="009968E0" w:rsidRPr="009968E0" w:rsidRDefault="009968E0" w:rsidP="009968E0">
      <w:pPr>
        <w:rPr>
          <w:rFonts w:eastAsia="MS Mincho"/>
          <w:i/>
          <w:iCs/>
          <w:color w:val="1F497D"/>
        </w:rPr>
      </w:pPr>
      <w:bookmarkStart w:id="668" w:name="_Toc48406161"/>
    </w:p>
    <w:p w14:paraId="1C63D846" w14:textId="77777777" w:rsidR="009968E0" w:rsidRPr="009968E0" w:rsidRDefault="009968E0" w:rsidP="004E6428">
      <w:pPr>
        <w:pStyle w:val="Quote"/>
      </w:pPr>
      <w:bookmarkStart w:id="669" w:name="_Toc49273372"/>
      <w:bookmarkStart w:id="670" w:name="_Toc64724124"/>
      <w:r w:rsidRPr="009968E0">
        <w:t>Table D.17: Univariate ANCOVA comparing delta-RBF - reported by region of interest- Model 1</w:t>
      </w:r>
      <w:bookmarkEnd w:id="668"/>
      <w:bookmarkEnd w:id="669"/>
      <w:bookmarkEnd w:id="670"/>
    </w:p>
    <w:tbl>
      <w:tblPr>
        <w:tblStyle w:val="GridTable1Light11"/>
        <w:tblW w:w="8414" w:type="dxa"/>
        <w:tblLayout w:type="fixed"/>
        <w:tblLook w:val="0400" w:firstRow="0" w:lastRow="0" w:firstColumn="0" w:lastColumn="0" w:noHBand="0" w:noVBand="1"/>
      </w:tblPr>
      <w:tblGrid>
        <w:gridCol w:w="1960"/>
        <w:gridCol w:w="1776"/>
        <w:gridCol w:w="1033"/>
        <w:gridCol w:w="879"/>
        <w:gridCol w:w="915"/>
        <w:gridCol w:w="922"/>
        <w:gridCol w:w="929"/>
      </w:tblGrid>
      <w:tr w:rsidR="009968E0" w:rsidRPr="009968E0" w14:paraId="2C2D0916" w14:textId="77777777" w:rsidTr="009968E0">
        <w:trPr>
          <w:trHeight w:val="360"/>
        </w:trPr>
        <w:tc>
          <w:tcPr>
            <w:tcW w:w="4769" w:type="dxa"/>
            <w:gridSpan w:val="3"/>
          </w:tcPr>
          <w:p w14:paraId="3D6CB951"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Dependent Variable</w:t>
            </w:r>
          </w:p>
        </w:tc>
        <w:tc>
          <w:tcPr>
            <w:tcW w:w="3645" w:type="dxa"/>
            <w:gridSpan w:val="4"/>
          </w:tcPr>
          <w:p w14:paraId="0F0E21A2"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GROUP</w:t>
            </w:r>
          </w:p>
        </w:tc>
      </w:tr>
      <w:tr w:rsidR="009968E0" w:rsidRPr="009968E0" w14:paraId="544BBDF2" w14:textId="77777777" w:rsidTr="009968E0">
        <w:trPr>
          <w:trHeight w:val="360"/>
        </w:trPr>
        <w:tc>
          <w:tcPr>
            <w:tcW w:w="4769" w:type="dxa"/>
            <w:gridSpan w:val="3"/>
          </w:tcPr>
          <w:p w14:paraId="56C26489" w14:textId="77777777" w:rsidR="009968E0" w:rsidRPr="009968E0" w:rsidRDefault="009968E0" w:rsidP="009968E0">
            <w:pPr>
              <w:rPr>
                <w:rFonts w:ascii="Calibri" w:eastAsia="Times New Roman" w:hAnsi="Calibri" w:cs="Calibri"/>
                <w:i/>
                <w:iCs/>
                <w:sz w:val="22"/>
                <w:szCs w:val="22"/>
                <w:lang w:eastAsia="en-GB"/>
              </w:rPr>
            </w:pPr>
          </w:p>
        </w:tc>
        <w:tc>
          <w:tcPr>
            <w:tcW w:w="879" w:type="dxa"/>
          </w:tcPr>
          <w:p w14:paraId="7A97C9E9"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P-DPN</w:t>
            </w:r>
          </w:p>
        </w:tc>
        <w:tc>
          <w:tcPr>
            <w:tcW w:w="915" w:type="dxa"/>
          </w:tcPr>
          <w:p w14:paraId="2C29F04C"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DPN</w:t>
            </w:r>
          </w:p>
        </w:tc>
        <w:tc>
          <w:tcPr>
            <w:tcW w:w="922" w:type="dxa"/>
          </w:tcPr>
          <w:p w14:paraId="5FF468CD"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DM-NN</w:t>
            </w:r>
          </w:p>
        </w:tc>
        <w:tc>
          <w:tcPr>
            <w:tcW w:w="929" w:type="dxa"/>
          </w:tcPr>
          <w:p w14:paraId="3E656E78"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HV</w:t>
            </w:r>
          </w:p>
        </w:tc>
      </w:tr>
      <w:tr w:rsidR="009968E0" w:rsidRPr="009968E0" w14:paraId="660A5FB8" w14:textId="77777777" w:rsidTr="009968E0">
        <w:trPr>
          <w:trHeight w:val="360"/>
        </w:trPr>
        <w:tc>
          <w:tcPr>
            <w:tcW w:w="1960" w:type="dxa"/>
            <w:vMerge w:val="restart"/>
            <w:shd w:val="clear" w:color="auto" w:fill="FBE4D5"/>
          </w:tcPr>
          <w:p w14:paraId="78C2CA46" w14:textId="4FA024E4"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 xml:space="preserve">Delta RBF </w:t>
            </w:r>
            <w:r w:rsidR="00264184">
              <w:rPr>
                <w:rFonts w:ascii="Calibri" w:eastAsia="Times New Roman" w:hAnsi="Calibri" w:cs="Calibri"/>
                <w:i/>
                <w:iCs/>
                <w:sz w:val="22"/>
                <w:szCs w:val="22"/>
                <w:lang w:eastAsia="en-GB"/>
              </w:rPr>
              <w:t>LThal</w:t>
            </w:r>
          </w:p>
        </w:tc>
        <w:tc>
          <w:tcPr>
            <w:tcW w:w="2809" w:type="dxa"/>
            <w:gridSpan w:val="2"/>
          </w:tcPr>
          <w:p w14:paraId="63D6C5B4"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Mean</w:t>
            </w:r>
          </w:p>
        </w:tc>
        <w:tc>
          <w:tcPr>
            <w:tcW w:w="879" w:type="dxa"/>
          </w:tcPr>
          <w:p w14:paraId="416B8858"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5.90</w:t>
            </w:r>
          </w:p>
        </w:tc>
        <w:tc>
          <w:tcPr>
            <w:tcW w:w="915" w:type="dxa"/>
          </w:tcPr>
          <w:p w14:paraId="555A7EC5"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3.00</w:t>
            </w:r>
          </w:p>
        </w:tc>
        <w:tc>
          <w:tcPr>
            <w:tcW w:w="922" w:type="dxa"/>
          </w:tcPr>
          <w:p w14:paraId="0BBE2D80"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-20.79</w:t>
            </w:r>
          </w:p>
        </w:tc>
        <w:tc>
          <w:tcPr>
            <w:tcW w:w="929" w:type="dxa"/>
          </w:tcPr>
          <w:p w14:paraId="19E44A7D"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10.32</w:t>
            </w:r>
          </w:p>
        </w:tc>
      </w:tr>
      <w:tr w:rsidR="009968E0" w:rsidRPr="009968E0" w14:paraId="428BE728" w14:textId="77777777" w:rsidTr="009968E0">
        <w:trPr>
          <w:trHeight w:val="360"/>
        </w:trPr>
        <w:tc>
          <w:tcPr>
            <w:tcW w:w="1960" w:type="dxa"/>
            <w:vMerge/>
            <w:shd w:val="clear" w:color="auto" w:fill="FBE4D5"/>
          </w:tcPr>
          <w:p w14:paraId="37070C88" w14:textId="77777777" w:rsidR="009968E0" w:rsidRPr="009968E0" w:rsidRDefault="009968E0" w:rsidP="009968E0">
            <w:pPr>
              <w:rPr>
                <w:rFonts w:ascii="Calibri" w:eastAsia="Times New Roman" w:hAnsi="Calibri" w:cs="Calibri"/>
                <w:i/>
                <w:iCs/>
                <w:sz w:val="22"/>
                <w:szCs w:val="22"/>
                <w:lang w:eastAsia="en-GB"/>
              </w:rPr>
            </w:pPr>
          </w:p>
        </w:tc>
        <w:tc>
          <w:tcPr>
            <w:tcW w:w="1776" w:type="dxa"/>
            <w:vMerge w:val="restart"/>
          </w:tcPr>
          <w:p w14:paraId="24788C75"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95% Confidence Interval</w:t>
            </w:r>
          </w:p>
        </w:tc>
        <w:tc>
          <w:tcPr>
            <w:tcW w:w="1033" w:type="dxa"/>
          </w:tcPr>
          <w:p w14:paraId="3FB1302F"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Lower Bound</w:t>
            </w:r>
          </w:p>
        </w:tc>
        <w:tc>
          <w:tcPr>
            <w:tcW w:w="879" w:type="dxa"/>
          </w:tcPr>
          <w:p w14:paraId="0B924016"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-12.76</w:t>
            </w:r>
          </w:p>
        </w:tc>
        <w:tc>
          <w:tcPr>
            <w:tcW w:w="915" w:type="dxa"/>
          </w:tcPr>
          <w:p w14:paraId="04B14AA3"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-13.42</w:t>
            </w:r>
          </w:p>
        </w:tc>
        <w:tc>
          <w:tcPr>
            <w:tcW w:w="922" w:type="dxa"/>
          </w:tcPr>
          <w:p w14:paraId="2088FD00"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-44.15</w:t>
            </w:r>
          </w:p>
        </w:tc>
        <w:tc>
          <w:tcPr>
            <w:tcW w:w="929" w:type="dxa"/>
          </w:tcPr>
          <w:p w14:paraId="425E9BCD"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-8.37</w:t>
            </w:r>
          </w:p>
        </w:tc>
      </w:tr>
      <w:tr w:rsidR="009968E0" w:rsidRPr="009968E0" w14:paraId="3F3CFBF8" w14:textId="77777777" w:rsidTr="009968E0">
        <w:trPr>
          <w:trHeight w:val="360"/>
        </w:trPr>
        <w:tc>
          <w:tcPr>
            <w:tcW w:w="1960" w:type="dxa"/>
            <w:vMerge/>
            <w:shd w:val="clear" w:color="auto" w:fill="FBE4D5"/>
          </w:tcPr>
          <w:p w14:paraId="0C2FC1A7" w14:textId="77777777" w:rsidR="009968E0" w:rsidRPr="009968E0" w:rsidRDefault="009968E0" w:rsidP="009968E0">
            <w:pPr>
              <w:rPr>
                <w:rFonts w:ascii="Calibri" w:eastAsia="Times New Roman" w:hAnsi="Calibri" w:cs="Calibri"/>
                <w:i/>
                <w:iCs/>
                <w:sz w:val="22"/>
                <w:szCs w:val="22"/>
                <w:lang w:eastAsia="en-GB"/>
              </w:rPr>
            </w:pPr>
          </w:p>
        </w:tc>
        <w:tc>
          <w:tcPr>
            <w:tcW w:w="1776" w:type="dxa"/>
            <w:vMerge/>
          </w:tcPr>
          <w:p w14:paraId="1F24C829" w14:textId="77777777" w:rsidR="009968E0" w:rsidRPr="009968E0" w:rsidRDefault="009968E0" w:rsidP="009968E0">
            <w:pPr>
              <w:rPr>
                <w:rFonts w:ascii="Calibri" w:eastAsia="Times New Roman" w:hAnsi="Calibri" w:cs="Calibri"/>
                <w:i/>
                <w:iCs/>
                <w:sz w:val="22"/>
                <w:szCs w:val="22"/>
                <w:lang w:eastAsia="en-GB"/>
              </w:rPr>
            </w:pPr>
          </w:p>
        </w:tc>
        <w:tc>
          <w:tcPr>
            <w:tcW w:w="1033" w:type="dxa"/>
          </w:tcPr>
          <w:p w14:paraId="611F91FA"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Upper Bound</w:t>
            </w:r>
          </w:p>
        </w:tc>
        <w:tc>
          <w:tcPr>
            <w:tcW w:w="879" w:type="dxa"/>
          </w:tcPr>
          <w:p w14:paraId="13300FCC"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24.56</w:t>
            </w:r>
          </w:p>
        </w:tc>
        <w:tc>
          <w:tcPr>
            <w:tcW w:w="915" w:type="dxa"/>
          </w:tcPr>
          <w:p w14:paraId="35DAAEC5"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19.41</w:t>
            </w:r>
          </w:p>
        </w:tc>
        <w:tc>
          <w:tcPr>
            <w:tcW w:w="922" w:type="dxa"/>
          </w:tcPr>
          <w:p w14:paraId="216F951C"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2.57</w:t>
            </w:r>
          </w:p>
        </w:tc>
        <w:tc>
          <w:tcPr>
            <w:tcW w:w="929" w:type="dxa"/>
          </w:tcPr>
          <w:p w14:paraId="50B808F8"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29.02</w:t>
            </w:r>
          </w:p>
        </w:tc>
      </w:tr>
      <w:tr w:rsidR="009968E0" w:rsidRPr="009968E0" w14:paraId="5806C320" w14:textId="77777777" w:rsidTr="009968E0">
        <w:trPr>
          <w:trHeight w:val="360"/>
        </w:trPr>
        <w:tc>
          <w:tcPr>
            <w:tcW w:w="8414" w:type="dxa"/>
            <w:gridSpan w:val="7"/>
            <w:vAlign w:val="center"/>
          </w:tcPr>
          <w:p w14:paraId="219B25D3" w14:textId="77777777" w:rsidR="009968E0" w:rsidRPr="009968E0" w:rsidRDefault="009968E0" w:rsidP="009968E0">
            <w:pPr>
              <w:jc w:val="cente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p=0.3</w:t>
            </w:r>
          </w:p>
        </w:tc>
      </w:tr>
      <w:tr w:rsidR="009968E0" w:rsidRPr="009968E0" w14:paraId="02355E1E" w14:textId="77777777" w:rsidTr="009968E0">
        <w:trPr>
          <w:trHeight w:val="360"/>
        </w:trPr>
        <w:tc>
          <w:tcPr>
            <w:tcW w:w="1960" w:type="dxa"/>
            <w:vMerge w:val="restart"/>
            <w:shd w:val="clear" w:color="auto" w:fill="FBE4D5"/>
          </w:tcPr>
          <w:p w14:paraId="16789AAA"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 xml:space="preserve">Delta RBF </w:t>
            </w:r>
            <w:proofErr w:type="spellStart"/>
            <w:r w:rsidRPr="009968E0">
              <w:rPr>
                <w:rFonts w:ascii="Calibri" w:eastAsia="Times New Roman" w:hAnsi="Calibri" w:cs="Calibri"/>
                <w:i/>
                <w:iCs/>
                <w:sz w:val="22"/>
                <w:szCs w:val="22"/>
                <w:lang w:eastAsia="en-GB"/>
              </w:rPr>
              <w:t>RThal</w:t>
            </w:r>
            <w:proofErr w:type="spellEnd"/>
          </w:p>
        </w:tc>
        <w:tc>
          <w:tcPr>
            <w:tcW w:w="2809" w:type="dxa"/>
            <w:gridSpan w:val="2"/>
          </w:tcPr>
          <w:p w14:paraId="2BD21EC9"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Mean</w:t>
            </w:r>
          </w:p>
        </w:tc>
        <w:tc>
          <w:tcPr>
            <w:tcW w:w="879" w:type="dxa"/>
          </w:tcPr>
          <w:p w14:paraId="36F3D33F"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2.40</w:t>
            </w:r>
          </w:p>
        </w:tc>
        <w:tc>
          <w:tcPr>
            <w:tcW w:w="915" w:type="dxa"/>
          </w:tcPr>
          <w:p w14:paraId="42FBE3A4"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4.85</w:t>
            </w:r>
          </w:p>
        </w:tc>
        <w:tc>
          <w:tcPr>
            <w:tcW w:w="922" w:type="dxa"/>
          </w:tcPr>
          <w:p w14:paraId="5458D68E"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-21.29</w:t>
            </w:r>
          </w:p>
        </w:tc>
        <w:tc>
          <w:tcPr>
            <w:tcW w:w="929" w:type="dxa"/>
          </w:tcPr>
          <w:p w14:paraId="6F2BE677"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10.46</w:t>
            </w:r>
          </w:p>
        </w:tc>
      </w:tr>
      <w:tr w:rsidR="009968E0" w:rsidRPr="009968E0" w14:paraId="70F975DD" w14:textId="77777777" w:rsidTr="009968E0">
        <w:trPr>
          <w:trHeight w:val="360"/>
        </w:trPr>
        <w:tc>
          <w:tcPr>
            <w:tcW w:w="1960" w:type="dxa"/>
            <w:vMerge/>
            <w:shd w:val="clear" w:color="auto" w:fill="FBE4D5"/>
          </w:tcPr>
          <w:p w14:paraId="5468542D" w14:textId="77777777" w:rsidR="009968E0" w:rsidRPr="009968E0" w:rsidRDefault="009968E0" w:rsidP="009968E0">
            <w:pPr>
              <w:rPr>
                <w:rFonts w:ascii="Calibri" w:eastAsia="Times New Roman" w:hAnsi="Calibri" w:cs="Calibri"/>
                <w:i/>
                <w:iCs/>
                <w:sz w:val="22"/>
                <w:szCs w:val="22"/>
                <w:lang w:eastAsia="en-GB"/>
              </w:rPr>
            </w:pPr>
          </w:p>
        </w:tc>
        <w:tc>
          <w:tcPr>
            <w:tcW w:w="1776" w:type="dxa"/>
            <w:vMerge w:val="restart"/>
          </w:tcPr>
          <w:p w14:paraId="417233CB"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95% Confidence Interval</w:t>
            </w:r>
          </w:p>
        </w:tc>
        <w:tc>
          <w:tcPr>
            <w:tcW w:w="1033" w:type="dxa"/>
          </w:tcPr>
          <w:p w14:paraId="5539BD60"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Lower Bound</w:t>
            </w:r>
          </w:p>
        </w:tc>
        <w:tc>
          <w:tcPr>
            <w:tcW w:w="879" w:type="dxa"/>
          </w:tcPr>
          <w:p w14:paraId="2322E26B"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-17.98</w:t>
            </w:r>
          </w:p>
        </w:tc>
        <w:tc>
          <w:tcPr>
            <w:tcW w:w="915" w:type="dxa"/>
          </w:tcPr>
          <w:p w14:paraId="0C54F4D9"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-13.08</w:t>
            </w:r>
          </w:p>
        </w:tc>
        <w:tc>
          <w:tcPr>
            <w:tcW w:w="922" w:type="dxa"/>
          </w:tcPr>
          <w:p w14:paraId="3241D15F"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-46.80</w:t>
            </w:r>
          </w:p>
        </w:tc>
        <w:tc>
          <w:tcPr>
            <w:tcW w:w="929" w:type="dxa"/>
          </w:tcPr>
          <w:p w14:paraId="2209E741"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-9.96</w:t>
            </w:r>
          </w:p>
        </w:tc>
      </w:tr>
      <w:tr w:rsidR="009968E0" w:rsidRPr="009968E0" w14:paraId="6DD01063" w14:textId="77777777" w:rsidTr="009968E0">
        <w:trPr>
          <w:trHeight w:val="360"/>
        </w:trPr>
        <w:tc>
          <w:tcPr>
            <w:tcW w:w="1960" w:type="dxa"/>
            <w:vMerge/>
            <w:shd w:val="clear" w:color="auto" w:fill="FBE4D5"/>
          </w:tcPr>
          <w:p w14:paraId="2D2B838A" w14:textId="77777777" w:rsidR="009968E0" w:rsidRPr="009968E0" w:rsidRDefault="009968E0" w:rsidP="009968E0">
            <w:pPr>
              <w:rPr>
                <w:rFonts w:ascii="Calibri" w:eastAsia="Times New Roman" w:hAnsi="Calibri" w:cs="Calibri"/>
                <w:i/>
                <w:iCs/>
                <w:sz w:val="22"/>
                <w:szCs w:val="22"/>
                <w:lang w:eastAsia="en-GB"/>
              </w:rPr>
            </w:pPr>
          </w:p>
        </w:tc>
        <w:tc>
          <w:tcPr>
            <w:tcW w:w="1776" w:type="dxa"/>
            <w:vMerge/>
          </w:tcPr>
          <w:p w14:paraId="79622078" w14:textId="77777777" w:rsidR="009968E0" w:rsidRPr="009968E0" w:rsidRDefault="009968E0" w:rsidP="009968E0">
            <w:pPr>
              <w:rPr>
                <w:rFonts w:ascii="Calibri" w:eastAsia="Times New Roman" w:hAnsi="Calibri" w:cs="Calibri"/>
                <w:i/>
                <w:iCs/>
                <w:sz w:val="22"/>
                <w:szCs w:val="22"/>
                <w:lang w:eastAsia="en-GB"/>
              </w:rPr>
            </w:pPr>
          </w:p>
        </w:tc>
        <w:tc>
          <w:tcPr>
            <w:tcW w:w="1033" w:type="dxa"/>
          </w:tcPr>
          <w:p w14:paraId="4484858B"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Upper Bound</w:t>
            </w:r>
          </w:p>
        </w:tc>
        <w:tc>
          <w:tcPr>
            <w:tcW w:w="879" w:type="dxa"/>
          </w:tcPr>
          <w:p w14:paraId="2B03F958"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22.78</w:t>
            </w:r>
          </w:p>
        </w:tc>
        <w:tc>
          <w:tcPr>
            <w:tcW w:w="915" w:type="dxa"/>
          </w:tcPr>
          <w:p w14:paraId="52816242"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22.78</w:t>
            </w:r>
          </w:p>
        </w:tc>
        <w:tc>
          <w:tcPr>
            <w:tcW w:w="922" w:type="dxa"/>
          </w:tcPr>
          <w:p w14:paraId="48A36E25"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4.23</w:t>
            </w:r>
          </w:p>
        </w:tc>
        <w:tc>
          <w:tcPr>
            <w:tcW w:w="929" w:type="dxa"/>
          </w:tcPr>
          <w:p w14:paraId="40C5580F"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30.88</w:t>
            </w:r>
          </w:p>
        </w:tc>
      </w:tr>
      <w:tr w:rsidR="009968E0" w:rsidRPr="009968E0" w14:paraId="57DECB70" w14:textId="77777777" w:rsidTr="009968E0">
        <w:trPr>
          <w:trHeight w:val="360"/>
        </w:trPr>
        <w:tc>
          <w:tcPr>
            <w:tcW w:w="8414" w:type="dxa"/>
            <w:gridSpan w:val="7"/>
            <w:vAlign w:val="center"/>
          </w:tcPr>
          <w:p w14:paraId="6211971B" w14:textId="77777777" w:rsidR="009968E0" w:rsidRPr="009968E0" w:rsidRDefault="009968E0" w:rsidP="009968E0">
            <w:pPr>
              <w:jc w:val="cente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p=0.53</w:t>
            </w:r>
          </w:p>
        </w:tc>
      </w:tr>
      <w:tr w:rsidR="009968E0" w:rsidRPr="009968E0" w14:paraId="5CC0E3D7" w14:textId="77777777" w:rsidTr="009968E0">
        <w:trPr>
          <w:trHeight w:val="360"/>
        </w:trPr>
        <w:tc>
          <w:tcPr>
            <w:tcW w:w="1960" w:type="dxa"/>
            <w:vMerge w:val="restart"/>
            <w:shd w:val="clear" w:color="auto" w:fill="FBE4D5"/>
          </w:tcPr>
          <w:p w14:paraId="192F5F5B"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Delta RBF LINS</w:t>
            </w:r>
          </w:p>
        </w:tc>
        <w:tc>
          <w:tcPr>
            <w:tcW w:w="2809" w:type="dxa"/>
            <w:gridSpan w:val="2"/>
          </w:tcPr>
          <w:p w14:paraId="4969ED77"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Mean</w:t>
            </w:r>
          </w:p>
        </w:tc>
        <w:tc>
          <w:tcPr>
            <w:tcW w:w="879" w:type="dxa"/>
          </w:tcPr>
          <w:p w14:paraId="7FC7CC0A"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18.85</w:t>
            </w:r>
          </w:p>
        </w:tc>
        <w:tc>
          <w:tcPr>
            <w:tcW w:w="915" w:type="dxa"/>
          </w:tcPr>
          <w:p w14:paraId="2EEB855C"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-35.74</w:t>
            </w:r>
          </w:p>
        </w:tc>
        <w:tc>
          <w:tcPr>
            <w:tcW w:w="922" w:type="dxa"/>
          </w:tcPr>
          <w:p w14:paraId="1C67D94A"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-26.40</w:t>
            </w:r>
          </w:p>
        </w:tc>
        <w:tc>
          <w:tcPr>
            <w:tcW w:w="929" w:type="dxa"/>
          </w:tcPr>
          <w:p w14:paraId="5707AE91"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32.60</w:t>
            </w:r>
          </w:p>
        </w:tc>
      </w:tr>
      <w:tr w:rsidR="009968E0" w:rsidRPr="009968E0" w14:paraId="451B2C03" w14:textId="77777777" w:rsidTr="009968E0">
        <w:trPr>
          <w:trHeight w:val="360"/>
        </w:trPr>
        <w:tc>
          <w:tcPr>
            <w:tcW w:w="1960" w:type="dxa"/>
            <w:vMerge/>
            <w:shd w:val="clear" w:color="auto" w:fill="FBE4D5"/>
          </w:tcPr>
          <w:p w14:paraId="6EF18FE9" w14:textId="77777777" w:rsidR="009968E0" w:rsidRPr="009968E0" w:rsidRDefault="009968E0" w:rsidP="009968E0">
            <w:pPr>
              <w:rPr>
                <w:rFonts w:ascii="Calibri" w:eastAsia="Times New Roman" w:hAnsi="Calibri" w:cs="Calibri"/>
                <w:i/>
                <w:iCs/>
                <w:sz w:val="22"/>
                <w:szCs w:val="22"/>
                <w:lang w:eastAsia="en-GB"/>
              </w:rPr>
            </w:pPr>
          </w:p>
        </w:tc>
        <w:tc>
          <w:tcPr>
            <w:tcW w:w="1776" w:type="dxa"/>
            <w:vMerge w:val="restart"/>
          </w:tcPr>
          <w:p w14:paraId="442AD18F"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95% Confidence Interval</w:t>
            </w:r>
          </w:p>
        </w:tc>
        <w:tc>
          <w:tcPr>
            <w:tcW w:w="1033" w:type="dxa"/>
          </w:tcPr>
          <w:p w14:paraId="39B634CA"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Lower Bound</w:t>
            </w:r>
          </w:p>
        </w:tc>
        <w:tc>
          <w:tcPr>
            <w:tcW w:w="879" w:type="dxa"/>
          </w:tcPr>
          <w:p w14:paraId="1E13FB0F"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-19.69</w:t>
            </w:r>
          </w:p>
        </w:tc>
        <w:tc>
          <w:tcPr>
            <w:tcW w:w="915" w:type="dxa"/>
          </w:tcPr>
          <w:p w14:paraId="7F932179"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-69.64</w:t>
            </w:r>
          </w:p>
        </w:tc>
        <w:tc>
          <w:tcPr>
            <w:tcW w:w="922" w:type="dxa"/>
          </w:tcPr>
          <w:p w14:paraId="4A78138C"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-74.65</w:t>
            </w:r>
          </w:p>
        </w:tc>
        <w:tc>
          <w:tcPr>
            <w:tcW w:w="929" w:type="dxa"/>
          </w:tcPr>
          <w:p w14:paraId="7B92AD9C"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-6.01</w:t>
            </w:r>
          </w:p>
        </w:tc>
      </w:tr>
      <w:tr w:rsidR="009968E0" w:rsidRPr="009968E0" w14:paraId="16DC738D" w14:textId="77777777" w:rsidTr="009968E0">
        <w:trPr>
          <w:trHeight w:val="360"/>
        </w:trPr>
        <w:tc>
          <w:tcPr>
            <w:tcW w:w="1960" w:type="dxa"/>
            <w:vMerge/>
            <w:shd w:val="clear" w:color="auto" w:fill="FBE4D5"/>
          </w:tcPr>
          <w:p w14:paraId="3E74501F" w14:textId="77777777" w:rsidR="009968E0" w:rsidRPr="009968E0" w:rsidRDefault="009968E0" w:rsidP="009968E0">
            <w:pPr>
              <w:rPr>
                <w:rFonts w:ascii="Calibri" w:eastAsia="Times New Roman" w:hAnsi="Calibri" w:cs="Calibri"/>
                <w:i/>
                <w:iCs/>
                <w:sz w:val="22"/>
                <w:szCs w:val="22"/>
                <w:lang w:eastAsia="en-GB"/>
              </w:rPr>
            </w:pPr>
          </w:p>
        </w:tc>
        <w:tc>
          <w:tcPr>
            <w:tcW w:w="1776" w:type="dxa"/>
            <w:vMerge/>
          </w:tcPr>
          <w:p w14:paraId="0F3297B9" w14:textId="77777777" w:rsidR="009968E0" w:rsidRPr="009968E0" w:rsidRDefault="009968E0" w:rsidP="009968E0">
            <w:pPr>
              <w:rPr>
                <w:rFonts w:ascii="Calibri" w:eastAsia="Times New Roman" w:hAnsi="Calibri" w:cs="Calibri"/>
                <w:i/>
                <w:iCs/>
                <w:sz w:val="22"/>
                <w:szCs w:val="22"/>
                <w:lang w:eastAsia="en-GB"/>
              </w:rPr>
            </w:pPr>
          </w:p>
        </w:tc>
        <w:tc>
          <w:tcPr>
            <w:tcW w:w="1033" w:type="dxa"/>
          </w:tcPr>
          <w:p w14:paraId="22F33B3F"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Upper Bound</w:t>
            </w:r>
          </w:p>
        </w:tc>
        <w:tc>
          <w:tcPr>
            <w:tcW w:w="879" w:type="dxa"/>
          </w:tcPr>
          <w:p w14:paraId="6834ABB6"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57.40</w:t>
            </w:r>
          </w:p>
        </w:tc>
        <w:tc>
          <w:tcPr>
            <w:tcW w:w="915" w:type="dxa"/>
          </w:tcPr>
          <w:p w14:paraId="47AC5E6D"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-1.84</w:t>
            </w:r>
          </w:p>
        </w:tc>
        <w:tc>
          <w:tcPr>
            <w:tcW w:w="922" w:type="dxa"/>
          </w:tcPr>
          <w:p w14:paraId="3AAF585C"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21.86</w:t>
            </w:r>
          </w:p>
        </w:tc>
        <w:tc>
          <w:tcPr>
            <w:tcW w:w="929" w:type="dxa"/>
          </w:tcPr>
          <w:p w14:paraId="73DD9650"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71.21</w:t>
            </w:r>
          </w:p>
        </w:tc>
      </w:tr>
      <w:tr w:rsidR="009968E0" w:rsidRPr="009968E0" w14:paraId="7D59EE86" w14:textId="77777777" w:rsidTr="009968E0">
        <w:trPr>
          <w:trHeight w:val="360"/>
        </w:trPr>
        <w:tc>
          <w:tcPr>
            <w:tcW w:w="8414" w:type="dxa"/>
            <w:gridSpan w:val="7"/>
            <w:vAlign w:val="center"/>
          </w:tcPr>
          <w:p w14:paraId="22499EB3" w14:textId="77777777" w:rsidR="009968E0" w:rsidRPr="009968E0" w:rsidRDefault="009968E0" w:rsidP="009968E0">
            <w:pPr>
              <w:jc w:val="cente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p=0.04b</w:t>
            </w:r>
          </w:p>
        </w:tc>
      </w:tr>
      <w:tr w:rsidR="009968E0" w:rsidRPr="009968E0" w14:paraId="057ABA31" w14:textId="77777777" w:rsidTr="009968E0">
        <w:trPr>
          <w:trHeight w:val="360"/>
        </w:trPr>
        <w:tc>
          <w:tcPr>
            <w:tcW w:w="1960" w:type="dxa"/>
            <w:vMerge w:val="restart"/>
            <w:shd w:val="clear" w:color="auto" w:fill="FBE4D5"/>
          </w:tcPr>
          <w:p w14:paraId="7E207F0A"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lastRenderedPageBreak/>
              <w:t>Delta RBF RINS</w:t>
            </w:r>
          </w:p>
        </w:tc>
        <w:tc>
          <w:tcPr>
            <w:tcW w:w="2809" w:type="dxa"/>
            <w:gridSpan w:val="2"/>
          </w:tcPr>
          <w:p w14:paraId="3FB6A648"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Mean</w:t>
            </w:r>
          </w:p>
        </w:tc>
        <w:tc>
          <w:tcPr>
            <w:tcW w:w="879" w:type="dxa"/>
          </w:tcPr>
          <w:p w14:paraId="5D15F78A"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11.26</w:t>
            </w:r>
          </w:p>
        </w:tc>
        <w:tc>
          <w:tcPr>
            <w:tcW w:w="915" w:type="dxa"/>
          </w:tcPr>
          <w:p w14:paraId="2EC64BBD"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-12.32</w:t>
            </w:r>
          </w:p>
        </w:tc>
        <w:tc>
          <w:tcPr>
            <w:tcW w:w="922" w:type="dxa"/>
          </w:tcPr>
          <w:p w14:paraId="08546D00"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-32.73</w:t>
            </w:r>
          </w:p>
        </w:tc>
        <w:tc>
          <w:tcPr>
            <w:tcW w:w="929" w:type="dxa"/>
          </w:tcPr>
          <w:p w14:paraId="29E65C96"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21.78</w:t>
            </w:r>
          </w:p>
        </w:tc>
      </w:tr>
      <w:tr w:rsidR="009968E0" w:rsidRPr="009968E0" w14:paraId="4D50D675" w14:textId="77777777" w:rsidTr="009968E0">
        <w:trPr>
          <w:trHeight w:val="360"/>
        </w:trPr>
        <w:tc>
          <w:tcPr>
            <w:tcW w:w="1960" w:type="dxa"/>
            <w:vMerge/>
            <w:shd w:val="clear" w:color="auto" w:fill="FBE4D5"/>
          </w:tcPr>
          <w:p w14:paraId="50459928" w14:textId="77777777" w:rsidR="009968E0" w:rsidRPr="009968E0" w:rsidRDefault="009968E0" w:rsidP="009968E0">
            <w:pPr>
              <w:rPr>
                <w:rFonts w:ascii="Calibri" w:eastAsia="Times New Roman" w:hAnsi="Calibri" w:cs="Calibri"/>
                <w:i/>
                <w:iCs/>
                <w:sz w:val="22"/>
                <w:szCs w:val="22"/>
                <w:lang w:eastAsia="en-GB"/>
              </w:rPr>
            </w:pPr>
          </w:p>
        </w:tc>
        <w:tc>
          <w:tcPr>
            <w:tcW w:w="1776" w:type="dxa"/>
            <w:vMerge w:val="restart"/>
          </w:tcPr>
          <w:p w14:paraId="19116595"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95% Confidence Interval</w:t>
            </w:r>
          </w:p>
        </w:tc>
        <w:tc>
          <w:tcPr>
            <w:tcW w:w="1033" w:type="dxa"/>
          </w:tcPr>
          <w:p w14:paraId="4B72B4A2"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Lower Bound</w:t>
            </w:r>
          </w:p>
        </w:tc>
        <w:tc>
          <w:tcPr>
            <w:tcW w:w="879" w:type="dxa"/>
          </w:tcPr>
          <w:p w14:paraId="0A888AD7"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-27.38</w:t>
            </w:r>
          </w:p>
        </w:tc>
        <w:tc>
          <w:tcPr>
            <w:tcW w:w="915" w:type="dxa"/>
          </w:tcPr>
          <w:p w14:paraId="3343015E"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-46.31</w:t>
            </w:r>
          </w:p>
        </w:tc>
        <w:tc>
          <w:tcPr>
            <w:tcW w:w="922" w:type="dxa"/>
          </w:tcPr>
          <w:p w14:paraId="2C9853E2"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-81.10</w:t>
            </w:r>
          </w:p>
        </w:tc>
        <w:tc>
          <w:tcPr>
            <w:tcW w:w="929" w:type="dxa"/>
          </w:tcPr>
          <w:p w14:paraId="6AD6CBAF"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-16.93</w:t>
            </w:r>
          </w:p>
        </w:tc>
      </w:tr>
      <w:tr w:rsidR="009968E0" w:rsidRPr="009968E0" w14:paraId="695BABAD" w14:textId="77777777" w:rsidTr="009968E0">
        <w:trPr>
          <w:trHeight w:val="360"/>
        </w:trPr>
        <w:tc>
          <w:tcPr>
            <w:tcW w:w="1960" w:type="dxa"/>
            <w:vMerge/>
            <w:shd w:val="clear" w:color="auto" w:fill="FBE4D5"/>
          </w:tcPr>
          <w:p w14:paraId="31403746" w14:textId="77777777" w:rsidR="009968E0" w:rsidRPr="009968E0" w:rsidRDefault="009968E0" w:rsidP="009968E0">
            <w:pPr>
              <w:rPr>
                <w:rFonts w:ascii="Calibri" w:eastAsia="Times New Roman" w:hAnsi="Calibri" w:cs="Calibri"/>
                <w:i/>
                <w:iCs/>
                <w:sz w:val="22"/>
                <w:szCs w:val="22"/>
                <w:lang w:eastAsia="en-GB"/>
              </w:rPr>
            </w:pPr>
          </w:p>
        </w:tc>
        <w:tc>
          <w:tcPr>
            <w:tcW w:w="1776" w:type="dxa"/>
            <w:vMerge/>
          </w:tcPr>
          <w:p w14:paraId="07953A12" w14:textId="77777777" w:rsidR="009968E0" w:rsidRPr="009968E0" w:rsidRDefault="009968E0" w:rsidP="009968E0">
            <w:pPr>
              <w:rPr>
                <w:rFonts w:ascii="Calibri" w:eastAsia="Times New Roman" w:hAnsi="Calibri" w:cs="Calibri"/>
                <w:i/>
                <w:iCs/>
                <w:sz w:val="22"/>
                <w:szCs w:val="22"/>
                <w:lang w:eastAsia="en-GB"/>
              </w:rPr>
            </w:pPr>
          </w:p>
        </w:tc>
        <w:tc>
          <w:tcPr>
            <w:tcW w:w="1033" w:type="dxa"/>
          </w:tcPr>
          <w:p w14:paraId="02E17C84"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Upper Bound</w:t>
            </w:r>
          </w:p>
        </w:tc>
        <w:tc>
          <w:tcPr>
            <w:tcW w:w="879" w:type="dxa"/>
          </w:tcPr>
          <w:p w14:paraId="1F727B5E"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49.90</w:t>
            </w:r>
          </w:p>
        </w:tc>
        <w:tc>
          <w:tcPr>
            <w:tcW w:w="915" w:type="dxa"/>
          </w:tcPr>
          <w:p w14:paraId="05F38D76"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21.67</w:t>
            </w:r>
          </w:p>
        </w:tc>
        <w:tc>
          <w:tcPr>
            <w:tcW w:w="922" w:type="dxa"/>
          </w:tcPr>
          <w:p w14:paraId="6B8696D8"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15.64</w:t>
            </w:r>
          </w:p>
        </w:tc>
        <w:tc>
          <w:tcPr>
            <w:tcW w:w="929" w:type="dxa"/>
          </w:tcPr>
          <w:p w14:paraId="2555D867"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60.49</w:t>
            </w:r>
          </w:p>
        </w:tc>
      </w:tr>
      <w:tr w:rsidR="009968E0" w:rsidRPr="009968E0" w14:paraId="3793E32F" w14:textId="77777777" w:rsidTr="009968E0">
        <w:trPr>
          <w:trHeight w:val="360"/>
        </w:trPr>
        <w:tc>
          <w:tcPr>
            <w:tcW w:w="8414" w:type="dxa"/>
            <w:gridSpan w:val="7"/>
            <w:vAlign w:val="center"/>
          </w:tcPr>
          <w:p w14:paraId="7CD5F7E4" w14:textId="77777777" w:rsidR="009968E0" w:rsidRPr="009968E0" w:rsidRDefault="009968E0" w:rsidP="009968E0">
            <w:pPr>
              <w:jc w:val="cente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p=0.05</w:t>
            </w:r>
          </w:p>
        </w:tc>
      </w:tr>
      <w:tr w:rsidR="009968E0" w:rsidRPr="009968E0" w14:paraId="2FCF9924" w14:textId="77777777" w:rsidTr="009968E0">
        <w:trPr>
          <w:trHeight w:val="360"/>
        </w:trPr>
        <w:tc>
          <w:tcPr>
            <w:tcW w:w="1960" w:type="dxa"/>
            <w:vMerge w:val="restart"/>
            <w:shd w:val="clear" w:color="auto" w:fill="FBE4D5"/>
          </w:tcPr>
          <w:p w14:paraId="3F7F5791"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Delta RBF ACC</w:t>
            </w:r>
          </w:p>
        </w:tc>
        <w:tc>
          <w:tcPr>
            <w:tcW w:w="2809" w:type="dxa"/>
            <w:gridSpan w:val="2"/>
          </w:tcPr>
          <w:p w14:paraId="134F392F"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Mean</w:t>
            </w:r>
          </w:p>
        </w:tc>
        <w:tc>
          <w:tcPr>
            <w:tcW w:w="879" w:type="dxa"/>
          </w:tcPr>
          <w:p w14:paraId="61517BF1"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5.25</w:t>
            </w:r>
          </w:p>
        </w:tc>
        <w:tc>
          <w:tcPr>
            <w:tcW w:w="915" w:type="dxa"/>
          </w:tcPr>
          <w:p w14:paraId="0E0CAB6A"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-15.51</w:t>
            </w:r>
          </w:p>
        </w:tc>
        <w:tc>
          <w:tcPr>
            <w:tcW w:w="922" w:type="dxa"/>
          </w:tcPr>
          <w:p w14:paraId="1718B357"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-17.06</w:t>
            </w:r>
          </w:p>
        </w:tc>
        <w:tc>
          <w:tcPr>
            <w:tcW w:w="929" w:type="dxa"/>
          </w:tcPr>
          <w:p w14:paraId="29A4BC11"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3.02</w:t>
            </w:r>
          </w:p>
        </w:tc>
      </w:tr>
      <w:tr w:rsidR="009968E0" w:rsidRPr="009968E0" w14:paraId="04C71411" w14:textId="77777777" w:rsidTr="009968E0">
        <w:trPr>
          <w:trHeight w:val="360"/>
        </w:trPr>
        <w:tc>
          <w:tcPr>
            <w:tcW w:w="1960" w:type="dxa"/>
            <w:vMerge/>
            <w:shd w:val="clear" w:color="auto" w:fill="FBE4D5"/>
          </w:tcPr>
          <w:p w14:paraId="4A32C010" w14:textId="77777777" w:rsidR="009968E0" w:rsidRPr="009968E0" w:rsidRDefault="009968E0" w:rsidP="009968E0">
            <w:pPr>
              <w:rPr>
                <w:rFonts w:ascii="Calibri" w:eastAsia="Times New Roman" w:hAnsi="Calibri" w:cs="Calibri"/>
                <w:i/>
                <w:iCs/>
                <w:sz w:val="22"/>
                <w:szCs w:val="22"/>
                <w:lang w:eastAsia="en-GB"/>
              </w:rPr>
            </w:pPr>
          </w:p>
        </w:tc>
        <w:tc>
          <w:tcPr>
            <w:tcW w:w="1776" w:type="dxa"/>
            <w:vMerge w:val="restart"/>
          </w:tcPr>
          <w:p w14:paraId="17FEF251"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95% Confidence Interval</w:t>
            </w:r>
          </w:p>
        </w:tc>
        <w:tc>
          <w:tcPr>
            <w:tcW w:w="1033" w:type="dxa"/>
          </w:tcPr>
          <w:p w14:paraId="2AA2D25D"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Lower Bound</w:t>
            </w:r>
          </w:p>
        </w:tc>
        <w:tc>
          <w:tcPr>
            <w:tcW w:w="879" w:type="dxa"/>
          </w:tcPr>
          <w:p w14:paraId="436CF175"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-30.99</w:t>
            </w:r>
          </w:p>
        </w:tc>
        <w:tc>
          <w:tcPr>
            <w:tcW w:w="915" w:type="dxa"/>
          </w:tcPr>
          <w:p w14:paraId="4577EDC5"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-47.40</w:t>
            </w:r>
          </w:p>
        </w:tc>
        <w:tc>
          <w:tcPr>
            <w:tcW w:w="922" w:type="dxa"/>
          </w:tcPr>
          <w:p w14:paraId="24E9775C"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-62.44</w:t>
            </w:r>
          </w:p>
        </w:tc>
        <w:tc>
          <w:tcPr>
            <w:tcW w:w="929" w:type="dxa"/>
          </w:tcPr>
          <w:p w14:paraId="2B94C144"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-33.29</w:t>
            </w:r>
          </w:p>
        </w:tc>
      </w:tr>
      <w:tr w:rsidR="009968E0" w:rsidRPr="009968E0" w14:paraId="4EA18768" w14:textId="77777777" w:rsidTr="009968E0">
        <w:trPr>
          <w:trHeight w:val="360"/>
        </w:trPr>
        <w:tc>
          <w:tcPr>
            <w:tcW w:w="1960" w:type="dxa"/>
            <w:vMerge/>
            <w:shd w:val="clear" w:color="auto" w:fill="FBE4D5"/>
          </w:tcPr>
          <w:p w14:paraId="645972CA" w14:textId="77777777" w:rsidR="009968E0" w:rsidRPr="009968E0" w:rsidRDefault="009968E0" w:rsidP="009968E0">
            <w:pPr>
              <w:rPr>
                <w:rFonts w:ascii="Calibri" w:eastAsia="Times New Roman" w:hAnsi="Calibri" w:cs="Calibri"/>
                <w:i/>
                <w:iCs/>
                <w:sz w:val="22"/>
                <w:szCs w:val="22"/>
                <w:lang w:eastAsia="en-GB"/>
              </w:rPr>
            </w:pPr>
          </w:p>
        </w:tc>
        <w:tc>
          <w:tcPr>
            <w:tcW w:w="1776" w:type="dxa"/>
            <w:vMerge/>
          </w:tcPr>
          <w:p w14:paraId="5695AC70" w14:textId="77777777" w:rsidR="009968E0" w:rsidRPr="009968E0" w:rsidRDefault="009968E0" w:rsidP="009968E0">
            <w:pPr>
              <w:rPr>
                <w:rFonts w:ascii="Calibri" w:eastAsia="Times New Roman" w:hAnsi="Calibri" w:cs="Calibri"/>
                <w:i/>
                <w:iCs/>
                <w:sz w:val="22"/>
                <w:szCs w:val="22"/>
                <w:lang w:eastAsia="en-GB"/>
              </w:rPr>
            </w:pPr>
          </w:p>
        </w:tc>
        <w:tc>
          <w:tcPr>
            <w:tcW w:w="1033" w:type="dxa"/>
          </w:tcPr>
          <w:p w14:paraId="47052498"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Upper Bound</w:t>
            </w:r>
          </w:p>
        </w:tc>
        <w:tc>
          <w:tcPr>
            <w:tcW w:w="879" w:type="dxa"/>
          </w:tcPr>
          <w:p w14:paraId="2B59C83E"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41.50</w:t>
            </w:r>
          </w:p>
        </w:tc>
        <w:tc>
          <w:tcPr>
            <w:tcW w:w="915" w:type="dxa"/>
          </w:tcPr>
          <w:p w14:paraId="2E63B104"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16.37</w:t>
            </w:r>
          </w:p>
        </w:tc>
        <w:tc>
          <w:tcPr>
            <w:tcW w:w="922" w:type="dxa"/>
          </w:tcPr>
          <w:p w14:paraId="418AACA9"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28.31</w:t>
            </w:r>
          </w:p>
        </w:tc>
        <w:tc>
          <w:tcPr>
            <w:tcW w:w="929" w:type="dxa"/>
          </w:tcPr>
          <w:p w14:paraId="000EB0CE"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39.34</w:t>
            </w:r>
          </w:p>
        </w:tc>
      </w:tr>
      <w:tr w:rsidR="009968E0" w:rsidRPr="009968E0" w14:paraId="643D1BE3" w14:textId="77777777" w:rsidTr="009968E0">
        <w:trPr>
          <w:trHeight w:val="360"/>
        </w:trPr>
        <w:tc>
          <w:tcPr>
            <w:tcW w:w="8414" w:type="dxa"/>
            <w:gridSpan w:val="7"/>
            <w:vAlign w:val="center"/>
          </w:tcPr>
          <w:p w14:paraId="25D47FF2" w14:textId="77777777" w:rsidR="009968E0" w:rsidRPr="009968E0" w:rsidRDefault="009968E0" w:rsidP="009968E0">
            <w:pPr>
              <w:jc w:val="cente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p=0.78</w:t>
            </w:r>
          </w:p>
        </w:tc>
      </w:tr>
      <w:tr w:rsidR="009968E0" w:rsidRPr="009968E0" w14:paraId="015775D1" w14:textId="77777777" w:rsidTr="009968E0">
        <w:trPr>
          <w:trHeight w:val="360"/>
        </w:trPr>
        <w:tc>
          <w:tcPr>
            <w:tcW w:w="1960" w:type="dxa"/>
            <w:vMerge w:val="restart"/>
            <w:shd w:val="clear" w:color="auto" w:fill="FBE4D5"/>
          </w:tcPr>
          <w:p w14:paraId="1763BD6B"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Delta RBF POWM</w:t>
            </w:r>
          </w:p>
        </w:tc>
        <w:tc>
          <w:tcPr>
            <w:tcW w:w="2809" w:type="dxa"/>
            <w:gridSpan w:val="2"/>
          </w:tcPr>
          <w:p w14:paraId="68665F33"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Mean</w:t>
            </w:r>
          </w:p>
        </w:tc>
        <w:tc>
          <w:tcPr>
            <w:tcW w:w="879" w:type="dxa"/>
          </w:tcPr>
          <w:p w14:paraId="3A5F239C"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0.54</w:t>
            </w:r>
          </w:p>
        </w:tc>
        <w:tc>
          <w:tcPr>
            <w:tcW w:w="915" w:type="dxa"/>
          </w:tcPr>
          <w:p w14:paraId="6EE5E9B7"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-3.02</w:t>
            </w:r>
          </w:p>
        </w:tc>
        <w:tc>
          <w:tcPr>
            <w:tcW w:w="922" w:type="dxa"/>
          </w:tcPr>
          <w:p w14:paraId="05440DB7"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-5.47</w:t>
            </w:r>
          </w:p>
        </w:tc>
        <w:tc>
          <w:tcPr>
            <w:tcW w:w="929" w:type="dxa"/>
          </w:tcPr>
          <w:p w14:paraId="1ECEDF41"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1.98</w:t>
            </w:r>
          </w:p>
        </w:tc>
      </w:tr>
      <w:tr w:rsidR="009968E0" w:rsidRPr="009968E0" w14:paraId="5898356E" w14:textId="77777777" w:rsidTr="009968E0">
        <w:trPr>
          <w:trHeight w:val="360"/>
        </w:trPr>
        <w:tc>
          <w:tcPr>
            <w:tcW w:w="1960" w:type="dxa"/>
            <w:vMerge/>
            <w:shd w:val="clear" w:color="auto" w:fill="FBE4D5"/>
          </w:tcPr>
          <w:p w14:paraId="134F850E" w14:textId="77777777" w:rsidR="009968E0" w:rsidRPr="009968E0" w:rsidRDefault="009968E0" w:rsidP="009968E0">
            <w:pPr>
              <w:rPr>
                <w:rFonts w:ascii="Calibri" w:eastAsia="Times New Roman" w:hAnsi="Calibri" w:cs="Calibri"/>
                <w:i/>
                <w:iCs/>
                <w:sz w:val="22"/>
                <w:szCs w:val="22"/>
                <w:lang w:eastAsia="en-GB"/>
              </w:rPr>
            </w:pPr>
          </w:p>
        </w:tc>
        <w:tc>
          <w:tcPr>
            <w:tcW w:w="1776" w:type="dxa"/>
            <w:vMerge w:val="restart"/>
          </w:tcPr>
          <w:p w14:paraId="6CB0316B"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95% Confidence Interval</w:t>
            </w:r>
          </w:p>
        </w:tc>
        <w:tc>
          <w:tcPr>
            <w:tcW w:w="1033" w:type="dxa"/>
          </w:tcPr>
          <w:p w14:paraId="3E64B837"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Lower Bound</w:t>
            </w:r>
          </w:p>
        </w:tc>
        <w:tc>
          <w:tcPr>
            <w:tcW w:w="879" w:type="dxa"/>
          </w:tcPr>
          <w:p w14:paraId="38FBEC39"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-7.93</w:t>
            </w:r>
          </w:p>
        </w:tc>
        <w:tc>
          <w:tcPr>
            <w:tcW w:w="915" w:type="dxa"/>
          </w:tcPr>
          <w:p w14:paraId="33A2232B"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-10.48</w:t>
            </w:r>
          </w:p>
        </w:tc>
        <w:tc>
          <w:tcPr>
            <w:tcW w:w="922" w:type="dxa"/>
          </w:tcPr>
          <w:p w14:paraId="6E2C0801"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-16.08</w:t>
            </w:r>
          </w:p>
        </w:tc>
        <w:tc>
          <w:tcPr>
            <w:tcW w:w="929" w:type="dxa"/>
          </w:tcPr>
          <w:p w14:paraId="2A3BF0F8"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-6.51</w:t>
            </w:r>
          </w:p>
        </w:tc>
      </w:tr>
      <w:tr w:rsidR="009968E0" w:rsidRPr="009968E0" w14:paraId="77EE09B0" w14:textId="77777777" w:rsidTr="009968E0">
        <w:trPr>
          <w:trHeight w:val="360"/>
        </w:trPr>
        <w:tc>
          <w:tcPr>
            <w:tcW w:w="1960" w:type="dxa"/>
            <w:vMerge/>
            <w:shd w:val="clear" w:color="auto" w:fill="FBE4D5"/>
          </w:tcPr>
          <w:p w14:paraId="6246A6E8" w14:textId="77777777" w:rsidR="009968E0" w:rsidRPr="009968E0" w:rsidRDefault="009968E0" w:rsidP="009968E0">
            <w:pPr>
              <w:rPr>
                <w:rFonts w:ascii="Calibri" w:eastAsia="Times New Roman" w:hAnsi="Calibri" w:cs="Calibri"/>
                <w:i/>
                <w:iCs/>
                <w:sz w:val="22"/>
                <w:szCs w:val="22"/>
                <w:lang w:eastAsia="en-GB"/>
              </w:rPr>
            </w:pPr>
          </w:p>
        </w:tc>
        <w:tc>
          <w:tcPr>
            <w:tcW w:w="1776" w:type="dxa"/>
            <w:vMerge/>
          </w:tcPr>
          <w:p w14:paraId="4B7E0C57" w14:textId="77777777" w:rsidR="009968E0" w:rsidRPr="009968E0" w:rsidRDefault="009968E0" w:rsidP="009968E0">
            <w:pPr>
              <w:rPr>
                <w:rFonts w:ascii="Calibri" w:eastAsia="Times New Roman" w:hAnsi="Calibri" w:cs="Calibri"/>
                <w:i/>
                <w:iCs/>
                <w:sz w:val="22"/>
                <w:szCs w:val="22"/>
                <w:lang w:eastAsia="en-GB"/>
              </w:rPr>
            </w:pPr>
          </w:p>
        </w:tc>
        <w:tc>
          <w:tcPr>
            <w:tcW w:w="1033" w:type="dxa"/>
          </w:tcPr>
          <w:p w14:paraId="3DAC3B53"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Upper Bound</w:t>
            </w:r>
          </w:p>
        </w:tc>
        <w:tc>
          <w:tcPr>
            <w:tcW w:w="879" w:type="dxa"/>
          </w:tcPr>
          <w:p w14:paraId="136CB134"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9.01</w:t>
            </w:r>
          </w:p>
        </w:tc>
        <w:tc>
          <w:tcPr>
            <w:tcW w:w="915" w:type="dxa"/>
          </w:tcPr>
          <w:p w14:paraId="4BD6C765"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4.43</w:t>
            </w:r>
          </w:p>
        </w:tc>
        <w:tc>
          <w:tcPr>
            <w:tcW w:w="922" w:type="dxa"/>
          </w:tcPr>
          <w:p w14:paraId="09AC4DAE"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5.13</w:t>
            </w:r>
          </w:p>
        </w:tc>
        <w:tc>
          <w:tcPr>
            <w:tcW w:w="929" w:type="dxa"/>
          </w:tcPr>
          <w:p w14:paraId="322CB379"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10.47</w:t>
            </w:r>
          </w:p>
        </w:tc>
      </w:tr>
      <w:tr w:rsidR="009968E0" w:rsidRPr="009968E0" w14:paraId="6B476922" w14:textId="77777777" w:rsidTr="009968E0">
        <w:trPr>
          <w:trHeight w:val="360"/>
        </w:trPr>
        <w:tc>
          <w:tcPr>
            <w:tcW w:w="8414" w:type="dxa"/>
            <w:gridSpan w:val="7"/>
            <w:vAlign w:val="center"/>
          </w:tcPr>
          <w:p w14:paraId="01F691E3" w14:textId="77777777" w:rsidR="009968E0" w:rsidRPr="009968E0" w:rsidRDefault="009968E0" w:rsidP="009968E0">
            <w:pPr>
              <w:jc w:val="cente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p=0.30</w:t>
            </w:r>
          </w:p>
        </w:tc>
      </w:tr>
      <w:tr w:rsidR="009968E0" w:rsidRPr="009968E0" w14:paraId="352E90F2" w14:textId="77777777" w:rsidTr="009968E0">
        <w:trPr>
          <w:trHeight w:val="360"/>
        </w:trPr>
        <w:tc>
          <w:tcPr>
            <w:tcW w:w="1960" w:type="dxa"/>
            <w:vMerge w:val="restart"/>
            <w:shd w:val="clear" w:color="auto" w:fill="FBE4D5"/>
          </w:tcPr>
          <w:p w14:paraId="2D993BFC"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Delta RBF LPSC</w:t>
            </w:r>
          </w:p>
        </w:tc>
        <w:tc>
          <w:tcPr>
            <w:tcW w:w="2809" w:type="dxa"/>
            <w:gridSpan w:val="2"/>
          </w:tcPr>
          <w:p w14:paraId="6A9EFC0D"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Mean</w:t>
            </w:r>
          </w:p>
        </w:tc>
        <w:tc>
          <w:tcPr>
            <w:tcW w:w="879" w:type="dxa"/>
          </w:tcPr>
          <w:p w14:paraId="70385FD4"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0.17</w:t>
            </w:r>
          </w:p>
        </w:tc>
        <w:tc>
          <w:tcPr>
            <w:tcW w:w="915" w:type="dxa"/>
          </w:tcPr>
          <w:p w14:paraId="3DC13171"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-4.80</w:t>
            </w:r>
          </w:p>
        </w:tc>
        <w:tc>
          <w:tcPr>
            <w:tcW w:w="922" w:type="dxa"/>
          </w:tcPr>
          <w:p w14:paraId="37928568"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-10.00</w:t>
            </w:r>
          </w:p>
        </w:tc>
        <w:tc>
          <w:tcPr>
            <w:tcW w:w="929" w:type="dxa"/>
          </w:tcPr>
          <w:p w14:paraId="0B14B9F5"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7.45</w:t>
            </w:r>
          </w:p>
        </w:tc>
      </w:tr>
      <w:tr w:rsidR="009968E0" w:rsidRPr="009968E0" w14:paraId="44011A53" w14:textId="77777777" w:rsidTr="009968E0">
        <w:trPr>
          <w:trHeight w:val="360"/>
        </w:trPr>
        <w:tc>
          <w:tcPr>
            <w:tcW w:w="1960" w:type="dxa"/>
            <w:vMerge/>
            <w:shd w:val="clear" w:color="auto" w:fill="FBE4D5"/>
          </w:tcPr>
          <w:p w14:paraId="567B5C72" w14:textId="77777777" w:rsidR="009968E0" w:rsidRPr="009968E0" w:rsidRDefault="009968E0" w:rsidP="009968E0">
            <w:pPr>
              <w:rPr>
                <w:rFonts w:ascii="Calibri" w:eastAsia="Times New Roman" w:hAnsi="Calibri" w:cs="Calibri"/>
                <w:i/>
                <w:iCs/>
                <w:sz w:val="22"/>
                <w:szCs w:val="22"/>
                <w:lang w:eastAsia="en-GB"/>
              </w:rPr>
            </w:pPr>
          </w:p>
        </w:tc>
        <w:tc>
          <w:tcPr>
            <w:tcW w:w="1776" w:type="dxa"/>
            <w:vMerge w:val="restart"/>
          </w:tcPr>
          <w:p w14:paraId="559654A9"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95% Confidence Interval</w:t>
            </w:r>
          </w:p>
        </w:tc>
        <w:tc>
          <w:tcPr>
            <w:tcW w:w="1033" w:type="dxa"/>
          </w:tcPr>
          <w:p w14:paraId="033AA9AB"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Lower Bound</w:t>
            </w:r>
          </w:p>
        </w:tc>
        <w:tc>
          <w:tcPr>
            <w:tcW w:w="879" w:type="dxa"/>
          </w:tcPr>
          <w:p w14:paraId="7C8BC987"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-13.28</w:t>
            </w:r>
          </w:p>
        </w:tc>
        <w:tc>
          <w:tcPr>
            <w:tcW w:w="915" w:type="dxa"/>
          </w:tcPr>
          <w:p w14:paraId="19BF3A08"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-16.64</w:t>
            </w:r>
          </w:p>
        </w:tc>
        <w:tc>
          <w:tcPr>
            <w:tcW w:w="922" w:type="dxa"/>
          </w:tcPr>
          <w:p w14:paraId="5822045F"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-26.84</w:t>
            </w:r>
          </w:p>
        </w:tc>
        <w:tc>
          <w:tcPr>
            <w:tcW w:w="929" w:type="dxa"/>
          </w:tcPr>
          <w:p w14:paraId="2C0E8495"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-6.03</w:t>
            </w:r>
          </w:p>
        </w:tc>
      </w:tr>
      <w:tr w:rsidR="009968E0" w:rsidRPr="009968E0" w14:paraId="004B7ED1" w14:textId="77777777" w:rsidTr="009968E0">
        <w:trPr>
          <w:trHeight w:val="360"/>
        </w:trPr>
        <w:tc>
          <w:tcPr>
            <w:tcW w:w="1960" w:type="dxa"/>
            <w:vMerge/>
            <w:shd w:val="clear" w:color="auto" w:fill="FBE4D5"/>
          </w:tcPr>
          <w:p w14:paraId="795BC5F4" w14:textId="77777777" w:rsidR="009968E0" w:rsidRPr="009968E0" w:rsidRDefault="009968E0" w:rsidP="009968E0">
            <w:pPr>
              <w:rPr>
                <w:rFonts w:ascii="Calibri" w:eastAsia="Times New Roman" w:hAnsi="Calibri" w:cs="Calibri"/>
                <w:i/>
                <w:iCs/>
                <w:sz w:val="22"/>
                <w:szCs w:val="22"/>
                <w:lang w:eastAsia="en-GB"/>
              </w:rPr>
            </w:pPr>
          </w:p>
        </w:tc>
        <w:tc>
          <w:tcPr>
            <w:tcW w:w="1776" w:type="dxa"/>
            <w:vMerge/>
          </w:tcPr>
          <w:p w14:paraId="50C61FBF" w14:textId="77777777" w:rsidR="009968E0" w:rsidRPr="009968E0" w:rsidRDefault="009968E0" w:rsidP="009968E0">
            <w:pPr>
              <w:rPr>
                <w:rFonts w:ascii="Calibri" w:eastAsia="Times New Roman" w:hAnsi="Calibri" w:cs="Calibri"/>
                <w:i/>
                <w:iCs/>
                <w:sz w:val="22"/>
                <w:szCs w:val="22"/>
                <w:lang w:eastAsia="en-GB"/>
              </w:rPr>
            </w:pPr>
          </w:p>
        </w:tc>
        <w:tc>
          <w:tcPr>
            <w:tcW w:w="1033" w:type="dxa"/>
          </w:tcPr>
          <w:p w14:paraId="5BBCB0D6"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Upper Bound</w:t>
            </w:r>
          </w:p>
        </w:tc>
        <w:tc>
          <w:tcPr>
            <w:tcW w:w="879" w:type="dxa"/>
          </w:tcPr>
          <w:p w14:paraId="70D8E266"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13.62</w:t>
            </w:r>
          </w:p>
        </w:tc>
        <w:tc>
          <w:tcPr>
            <w:tcW w:w="915" w:type="dxa"/>
          </w:tcPr>
          <w:p w14:paraId="4B724908"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7.03</w:t>
            </w:r>
          </w:p>
        </w:tc>
        <w:tc>
          <w:tcPr>
            <w:tcW w:w="922" w:type="dxa"/>
          </w:tcPr>
          <w:p w14:paraId="7A6899FC"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6.84</w:t>
            </w:r>
          </w:p>
        </w:tc>
        <w:tc>
          <w:tcPr>
            <w:tcW w:w="929" w:type="dxa"/>
          </w:tcPr>
          <w:p w14:paraId="19E84FD6"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20.92</w:t>
            </w:r>
          </w:p>
        </w:tc>
      </w:tr>
      <w:tr w:rsidR="009968E0" w:rsidRPr="009968E0" w14:paraId="7AD3AF38" w14:textId="77777777" w:rsidTr="009968E0">
        <w:trPr>
          <w:trHeight w:val="360"/>
        </w:trPr>
        <w:tc>
          <w:tcPr>
            <w:tcW w:w="8414" w:type="dxa"/>
            <w:gridSpan w:val="7"/>
            <w:vAlign w:val="center"/>
          </w:tcPr>
          <w:p w14:paraId="6B4CC2A2" w14:textId="77777777" w:rsidR="009968E0" w:rsidRPr="009968E0" w:rsidRDefault="009968E0" w:rsidP="009968E0">
            <w:pPr>
              <w:jc w:val="cente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p=0.49</w:t>
            </w:r>
          </w:p>
        </w:tc>
      </w:tr>
      <w:tr w:rsidR="009968E0" w:rsidRPr="009968E0" w14:paraId="555AB292" w14:textId="77777777" w:rsidTr="009968E0">
        <w:trPr>
          <w:trHeight w:val="360"/>
        </w:trPr>
        <w:tc>
          <w:tcPr>
            <w:tcW w:w="1960" w:type="dxa"/>
            <w:vMerge w:val="restart"/>
            <w:shd w:val="clear" w:color="auto" w:fill="FBE4D5"/>
          </w:tcPr>
          <w:p w14:paraId="25F5F500"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Delta RBF RPSC</w:t>
            </w:r>
          </w:p>
        </w:tc>
        <w:tc>
          <w:tcPr>
            <w:tcW w:w="2809" w:type="dxa"/>
            <w:gridSpan w:val="2"/>
          </w:tcPr>
          <w:p w14:paraId="67C4CC00"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Mean</w:t>
            </w:r>
          </w:p>
        </w:tc>
        <w:tc>
          <w:tcPr>
            <w:tcW w:w="879" w:type="dxa"/>
          </w:tcPr>
          <w:p w14:paraId="03D31563"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-1.18</w:t>
            </w:r>
          </w:p>
        </w:tc>
        <w:tc>
          <w:tcPr>
            <w:tcW w:w="915" w:type="dxa"/>
          </w:tcPr>
          <w:p w14:paraId="53E83455"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-2.02</w:t>
            </w:r>
          </w:p>
        </w:tc>
        <w:tc>
          <w:tcPr>
            <w:tcW w:w="922" w:type="dxa"/>
          </w:tcPr>
          <w:p w14:paraId="0E2C71A8"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-10.77</w:t>
            </w:r>
          </w:p>
        </w:tc>
        <w:tc>
          <w:tcPr>
            <w:tcW w:w="929" w:type="dxa"/>
          </w:tcPr>
          <w:p w14:paraId="5A10E62A"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7.28</w:t>
            </w:r>
          </w:p>
        </w:tc>
      </w:tr>
      <w:tr w:rsidR="009968E0" w:rsidRPr="009968E0" w14:paraId="43593690" w14:textId="77777777" w:rsidTr="009968E0">
        <w:trPr>
          <w:trHeight w:val="360"/>
        </w:trPr>
        <w:tc>
          <w:tcPr>
            <w:tcW w:w="1960" w:type="dxa"/>
            <w:vMerge/>
            <w:shd w:val="clear" w:color="auto" w:fill="FBE4D5"/>
          </w:tcPr>
          <w:p w14:paraId="138178AA" w14:textId="77777777" w:rsidR="009968E0" w:rsidRPr="009968E0" w:rsidRDefault="009968E0" w:rsidP="009968E0">
            <w:pPr>
              <w:rPr>
                <w:rFonts w:ascii="Calibri" w:eastAsia="Times New Roman" w:hAnsi="Calibri" w:cs="Calibri"/>
                <w:i/>
                <w:iCs/>
                <w:sz w:val="22"/>
                <w:szCs w:val="22"/>
                <w:lang w:eastAsia="en-GB"/>
              </w:rPr>
            </w:pPr>
          </w:p>
        </w:tc>
        <w:tc>
          <w:tcPr>
            <w:tcW w:w="1776" w:type="dxa"/>
            <w:vMerge w:val="restart"/>
          </w:tcPr>
          <w:p w14:paraId="68FEBB44"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95% Confidence Interval</w:t>
            </w:r>
          </w:p>
        </w:tc>
        <w:tc>
          <w:tcPr>
            <w:tcW w:w="1033" w:type="dxa"/>
          </w:tcPr>
          <w:p w14:paraId="0F6311AC"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Lower Bound</w:t>
            </w:r>
          </w:p>
        </w:tc>
        <w:tc>
          <w:tcPr>
            <w:tcW w:w="879" w:type="dxa"/>
          </w:tcPr>
          <w:p w14:paraId="66A9B186"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-15.47</w:t>
            </w:r>
          </w:p>
        </w:tc>
        <w:tc>
          <w:tcPr>
            <w:tcW w:w="915" w:type="dxa"/>
          </w:tcPr>
          <w:p w14:paraId="170C4ACF"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-14.59</w:t>
            </w:r>
          </w:p>
        </w:tc>
        <w:tc>
          <w:tcPr>
            <w:tcW w:w="922" w:type="dxa"/>
          </w:tcPr>
          <w:p w14:paraId="4D9E949B"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-28.66</w:t>
            </w:r>
          </w:p>
        </w:tc>
        <w:tc>
          <w:tcPr>
            <w:tcW w:w="929" w:type="dxa"/>
          </w:tcPr>
          <w:p w14:paraId="57B7DAFE"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-7.04</w:t>
            </w:r>
          </w:p>
        </w:tc>
      </w:tr>
      <w:tr w:rsidR="009968E0" w:rsidRPr="009968E0" w14:paraId="5A018909" w14:textId="77777777" w:rsidTr="009968E0">
        <w:trPr>
          <w:trHeight w:val="360"/>
        </w:trPr>
        <w:tc>
          <w:tcPr>
            <w:tcW w:w="1960" w:type="dxa"/>
            <w:vMerge/>
            <w:shd w:val="clear" w:color="auto" w:fill="FBE4D5"/>
          </w:tcPr>
          <w:p w14:paraId="508F088E" w14:textId="77777777" w:rsidR="009968E0" w:rsidRPr="009968E0" w:rsidRDefault="009968E0" w:rsidP="009968E0">
            <w:pPr>
              <w:rPr>
                <w:rFonts w:ascii="Calibri" w:eastAsia="Times New Roman" w:hAnsi="Calibri" w:cs="Calibri"/>
                <w:i/>
                <w:iCs/>
                <w:sz w:val="22"/>
                <w:szCs w:val="22"/>
                <w:lang w:eastAsia="en-GB"/>
              </w:rPr>
            </w:pPr>
          </w:p>
        </w:tc>
        <w:tc>
          <w:tcPr>
            <w:tcW w:w="1776" w:type="dxa"/>
            <w:vMerge/>
          </w:tcPr>
          <w:p w14:paraId="1A480C0D" w14:textId="77777777" w:rsidR="009968E0" w:rsidRPr="009968E0" w:rsidRDefault="009968E0" w:rsidP="009968E0">
            <w:pPr>
              <w:rPr>
                <w:rFonts w:ascii="Calibri" w:eastAsia="Times New Roman" w:hAnsi="Calibri" w:cs="Calibri"/>
                <w:i/>
                <w:iCs/>
                <w:sz w:val="22"/>
                <w:szCs w:val="22"/>
                <w:lang w:eastAsia="en-GB"/>
              </w:rPr>
            </w:pPr>
          </w:p>
        </w:tc>
        <w:tc>
          <w:tcPr>
            <w:tcW w:w="1033" w:type="dxa"/>
          </w:tcPr>
          <w:p w14:paraId="590307BE"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Upper Bound</w:t>
            </w:r>
          </w:p>
        </w:tc>
        <w:tc>
          <w:tcPr>
            <w:tcW w:w="879" w:type="dxa"/>
          </w:tcPr>
          <w:p w14:paraId="644CE6A1"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13.11</w:t>
            </w:r>
          </w:p>
        </w:tc>
        <w:tc>
          <w:tcPr>
            <w:tcW w:w="915" w:type="dxa"/>
          </w:tcPr>
          <w:p w14:paraId="753889D3"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10.54</w:t>
            </w:r>
          </w:p>
        </w:tc>
        <w:tc>
          <w:tcPr>
            <w:tcW w:w="922" w:type="dxa"/>
          </w:tcPr>
          <w:p w14:paraId="150C4D9B"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7.11</w:t>
            </w:r>
          </w:p>
        </w:tc>
        <w:tc>
          <w:tcPr>
            <w:tcW w:w="929" w:type="dxa"/>
          </w:tcPr>
          <w:p w14:paraId="1409E0CB"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21.59</w:t>
            </w:r>
          </w:p>
        </w:tc>
      </w:tr>
      <w:tr w:rsidR="009968E0" w:rsidRPr="009968E0" w14:paraId="127DB54F" w14:textId="77777777" w:rsidTr="009968E0">
        <w:trPr>
          <w:trHeight w:val="360"/>
        </w:trPr>
        <w:tc>
          <w:tcPr>
            <w:tcW w:w="8414" w:type="dxa"/>
            <w:gridSpan w:val="7"/>
            <w:vAlign w:val="center"/>
          </w:tcPr>
          <w:p w14:paraId="07F30E71" w14:textId="77777777" w:rsidR="009968E0" w:rsidRPr="009968E0" w:rsidRDefault="009968E0" w:rsidP="009968E0">
            <w:pPr>
              <w:jc w:val="cente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p=0.19</w:t>
            </w:r>
          </w:p>
        </w:tc>
      </w:tr>
    </w:tbl>
    <w:p w14:paraId="7BA14A46" w14:textId="3E1E853B" w:rsidR="009968E0" w:rsidRPr="009968E0" w:rsidRDefault="009968E0" w:rsidP="009968E0">
      <w:pPr>
        <w:rPr>
          <w:rFonts w:ascii="Calibri" w:eastAsia="Times New Roman" w:hAnsi="Calibri" w:cs="Calibri"/>
          <w:i/>
          <w:color w:val="808080"/>
          <w:sz w:val="21"/>
          <w:lang w:eastAsia="en-GB"/>
        </w:rPr>
      </w:pPr>
      <w:r w:rsidRPr="009968E0">
        <w:rPr>
          <w:rFonts w:ascii="Calibri" w:eastAsia="Times New Roman" w:hAnsi="Calibri" w:cs="Calibri"/>
          <w:i/>
          <w:iCs/>
          <w:color w:val="808080"/>
          <w:sz w:val="21"/>
          <w:lang w:eastAsia="en-GB"/>
        </w:rPr>
        <w:t>a.</w:t>
      </w:r>
      <w:r w:rsidRPr="009968E0">
        <w:rPr>
          <w:rFonts w:ascii="Calibri" w:eastAsia="Times New Roman" w:hAnsi="Calibri" w:cs="Calibri"/>
          <w:i/>
          <w:color w:val="808080"/>
          <w:sz w:val="21"/>
          <w:lang w:eastAsia="en-GB"/>
        </w:rPr>
        <w:t xml:space="preserve"> Covariates appearing in the model are evaluated at the following values: </w:t>
      </w:r>
      <w:proofErr w:type="spellStart"/>
      <w:r w:rsidRPr="009968E0">
        <w:rPr>
          <w:rFonts w:ascii="Calibri" w:eastAsia="Times New Roman" w:hAnsi="Calibri" w:cs="Calibri"/>
          <w:i/>
          <w:color w:val="808080"/>
          <w:sz w:val="21"/>
          <w:lang w:eastAsia="en-GB"/>
        </w:rPr>
        <w:t>likertscale_gad</w:t>
      </w:r>
      <w:proofErr w:type="spellEnd"/>
      <w:r w:rsidRPr="009968E0">
        <w:rPr>
          <w:rFonts w:ascii="Calibri" w:eastAsia="Times New Roman" w:hAnsi="Calibri" w:cs="Calibri"/>
          <w:i/>
          <w:color w:val="808080"/>
          <w:sz w:val="21"/>
          <w:lang w:eastAsia="en-GB"/>
        </w:rPr>
        <w:t xml:space="preserve"> = 7.16. Post hoc Multiple Comparisons by </w:t>
      </w:r>
      <w:r w:rsidR="00DD217A">
        <w:rPr>
          <w:rFonts w:ascii="Calibri" w:eastAsia="Times New Roman" w:hAnsi="Calibri" w:cs="Calibri"/>
          <w:i/>
          <w:color w:val="808080"/>
          <w:sz w:val="21"/>
          <w:lang w:eastAsia="en-GB"/>
        </w:rPr>
        <w:t>Šidak</w:t>
      </w:r>
      <w:r w:rsidRPr="009968E0">
        <w:rPr>
          <w:rFonts w:ascii="Calibri" w:eastAsia="Times New Roman" w:hAnsi="Calibri" w:cs="Calibri"/>
          <w:i/>
          <w:color w:val="808080"/>
          <w:sz w:val="21"/>
          <w:lang w:eastAsia="en-GB"/>
        </w:rPr>
        <w:t xml:space="preserve"> method: b. no significant difference in post hoc multiple comparisons.</w:t>
      </w:r>
      <w:r w:rsidRPr="009968E0">
        <w:rPr>
          <w:rFonts w:ascii="Cambria" w:eastAsia="Times New Roman" w:hAnsi="Cambria" w:cs="Cambria"/>
          <w:i/>
          <w:color w:val="808080"/>
          <w:sz w:val="21"/>
          <w:szCs w:val="21"/>
          <w:vertAlign w:val="superscript"/>
          <w:lang w:eastAsia="en-GB"/>
        </w:rPr>
        <w:t xml:space="preserve"> </w:t>
      </w:r>
      <w:proofErr w:type="spellStart"/>
      <w:r w:rsidRPr="009968E0">
        <w:rPr>
          <w:rFonts w:ascii="Cambria" w:eastAsia="Times New Roman" w:hAnsi="Cambria" w:cs="Cambria"/>
          <w:i/>
          <w:color w:val="808080"/>
          <w:sz w:val="21"/>
          <w:szCs w:val="21"/>
          <w:vertAlign w:val="superscript"/>
          <w:lang w:eastAsia="en-GB"/>
        </w:rPr>
        <w:t>a</w:t>
      </w:r>
      <w:r w:rsidRPr="009968E0">
        <w:rPr>
          <w:rFonts w:ascii="Cambria" w:eastAsia="Times New Roman" w:hAnsi="Cambria" w:cs="Cambria"/>
          <w:i/>
          <w:color w:val="808080"/>
          <w:sz w:val="21"/>
          <w:szCs w:val="21"/>
          <w:lang w:eastAsia="en-GB"/>
        </w:rPr>
        <w:t>Model</w:t>
      </w:r>
      <w:proofErr w:type="spellEnd"/>
      <w:r w:rsidRPr="009968E0">
        <w:rPr>
          <w:rFonts w:ascii="Cambria" w:eastAsia="Times New Roman" w:hAnsi="Cambria" w:cs="Cambria"/>
          <w:i/>
          <w:color w:val="808080"/>
          <w:sz w:val="21"/>
          <w:szCs w:val="21"/>
          <w:lang w:eastAsia="en-GB"/>
        </w:rPr>
        <w:t xml:space="preserve"> contains the following factors group, LIKERT and group vs LIKERT</w:t>
      </w:r>
    </w:p>
    <w:p w14:paraId="01FDC3DB" w14:textId="77777777" w:rsidR="004E6428" w:rsidRDefault="004E6428">
      <w:pPr>
        <w:rPr>
          <w:rFonts w:ascii="Times New Roman" w:eastAsia="Times New Roman" w:hAnsi="Times New Roman" w:cs="Times New Roman"/>
          <w:lang w:eastAsia="en-GB"/>
        </w:rPr>
      </w:pPr>
      <w:bookmarkStart w:id="671" w:name="_Toc48406102"/>
      <w:bookmarkStart w:id="672" w:name="_Toc49273250"/>
      <w:r>
        <w:rPr>
          <w:rFonts w:ascii="Times New Roman" w:eastAsia="Times New Roman" w:hAnsi="Times New Roman" w:cs="Times New Roman"/>
          <w:lang w:eastAsia="en-GB"/>
        </w:rPr>
        <w:br w:type="page"/>
      </w:r>
    </w:p>
    <w:p w14:paraId="483ED5AB" w14:textId="2F5599E5" w:rsidR="009968E0" w:rsidRPr="004E6428" w:rsidRDefault="009968E0" w:rsidP="004E6428">
      <w:pPr>
        <w:pStyle w:val="Subtitle"/>
      </w:pPr>
      <w:bookmarkStart w:id="673" w:name="_Toc64724239"/>
      <w:r w:rsidRPr="004E6428">
        <w:lastRenderedPageBreak/>
        <w:t>Figure D.2. 95% Confidence intervals for the Group means and Regions of Interest for Delta RBF (ml/min) Adjusted for LIKERT</w:t>
      </w:r>
      <w:bookmarkEnd w:id="671"/>
      <w:bookmarkEnd w:id="672"/>
      <w:bookmarkEnd w:id="673"/>
    </w:p>
    <w:p w14:paraId="2D97D8DD" w14:textId="77777777" w:rsidR="009968E0" w:rsidRPr="009968E0" w:rsidRDefault="009968E0" w:rsidP="009968E0">
      <w:pPr>
        <w:rPr>
          <w:rFonts w:ascii="Times New Roman" w:eastAsia="Times New Roman" w:hAnsi="Times New Roman" w:cs="Times New Roman"/>
          <w:lang w:eastAsia="en-GB"/>
        </w:rPr>
      </w:pPr>
    </w:p>
    <w:p w14:paraId="356764A9" w14:textId="77777777" w:rsidR="009968E0" w:rsidRPr="009968E0" w:rsidRDefault="009968E0" w:rsidP="009968E0">
      <w:pPr>
        <w:rPr>
          <w:rFonts w:ascii="Times New Roman" w:eastAsia="Times New Roman" w:hAnsi="Times New Roman" w:cs="Times New Roman"/>
          <w:lang w:eastAsia="en-GB"/>
        </w:rPr>
      </w:pPr>
      <w:commentRangeStart w:id="674"/>
      <w:r w:rsidRPr="009968E0">
        <w:rPr>
          <w:rFonts w:ascii="Times New Roman" w:eastAsia="Times New Roman" w:hAnsi="Times New Roman" w:cs="Times New Roman"/>
          <w:noProof/>
          <w:lang w:eastAsia="en-GB"/>
        </w:rPr>
        <w:drawing>
          <wp:inline distT="0" distB="0" distL="0" distR="0" wp14:anchorId="57462710" wp14:editId="395582C7">
            <wp:extent cx="5727700" cy="4015740"/>
            <wp:effectExtent l="0" t="0" r="0" b="0"/>
            <wp:docPr id="2108" name="Picture 2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27700" cy="4015740"/>
                    </a:xfrm>
                    <a:prstGeom prst="rect">
                      <a:avLst/>
                    </a:prstGeom>
                  </pic:spPr>
                </pic:pic>
              </a:graphicData>
            </a:graphic>
          </wp:inline>
        </w:drawing>
      </w:r>
      <w:commentRangeEnd w:id="674"/>
      <w:r w:rsidRPr="009968E0">
        <w:rPr>
          <w:rFonts w:ascii="Times New Roman" w:eastAsia="Times New Roman" w:hAnsi="Times New Roman" w:cs="Times New Roman"/>
          <w:sz w:val="18"/>
          <w:szCs w:val="18"/>
          <w:lang w:eastAsia="en-GB"/>
        </w:rPr>
        <w:commentReference w:id="674"/>
      </w:r>
    </w:p>
    <w:p w14:paraId="5A8D8115" w14:textId="77777777" w:rsidR="009968E0" w:rsidRPr="009968E0" w:rsidRDefault="009968E0" w:rsidP="009968E0">
      <w:pPr>
        <w:rPr>
          <w:rFonts w:ascii="Times New Roman" w:eastAsia="Times New Roman" w:hAnsi="Times New Roman" w:cs="Times New Roman"/>
          <w:lang w:eastAsia="en-GB"/>
        </w:rPr>
      </w:pPr>
    </w:p>
    <w:p w14:paraId="019DECBB" w14:textId="77777777" w:rsidR="009968E0" w:rsidRPr="004E6428" w:rsidRDefault="009968E0" w:rsidP="009968E0">
      <w:pPr>
        <w:spacing w:line="360" w:lineRule="auto"/>
        <w:ind w:left="360"/>
        <w:rPr>
          <w:rFonts w:asciiTheme="minorHAnsi" w:eastAsia="Times New Roman" w:hAnsiTheme="minorHAnsi" w:cstheme="minorHAnsi"/>
          <w:i/>
          <w:color w:val="808080"/>
          <w:sz w:val="21"/>
          <w:lang w:eastAsia="en-GB"/>
        </w:rPr>
      </w:pPr>
      <w:r w:rsidRPr="004E6428">
        <w:rPr>
          <w:rFonts w:asciiTheme="minorHAnsi" w:eastAsia="Times New Roman" w:hAnsiTheme="minorHAnsi" w:cstheme="minorHAnsi"/>
          <w:i/>
          <w:color w:val="808080"/>
          <w:sz w:val="21"/>
          <w:lang w:eastAsia="en-GB"/>
        </w:rPr>
        <w:t xml:space="preserve">*p&lt;0.05, Delta RBF is zero or positive for P-DPN across the ROI, indicating that where positive- the experimental stimulus may be stimulating a measurable neurovascular coupling response.  The figure shows a significant difference for Delta RBF at the LINS but there is no difference in post Hoc comparisons.  There is no overall group effect, but there is an effect of LIKERT- indicating that a greater value of RBF correlates with a greater value of LIKERT across all groups.  </w:t>
      </w:r>
    </w:p>
    <w:p w14:paraId="228F7D34" w14:textId="77777777" w:rsidR="009968E0" w:rsidRPr="009968E0" w:rsidRDefault="009968E0" w:rsidP="009968E0">
      <w:pPr>
        <w:rPr>
          <w:rFonts w:ascii="Times New Roman" w:eastAsia="Times New Roman" w:hAnsi="Times New Roman" w:cs="Times New Roman"/>
          <w:lang w:eastAsia="en-GB"/>
        </w:rPr>
      </w:pPr>
    </w:p>
    <w:p w14:paraId="75C3015D" w14:textId="77777777" w:rsidR="009968E0" w:rsidRPr="009968E0" w:rsidRDefault="009968E0" w:rsidP="00D130F6">
      <w:pPr>
        <w:pStyle w:val="Quote"/>
      </w:pPr>
      <w:bookmarkStart w:id="675" w:name="_Toc48406162"/>
      <w:bookmarkStart w:id="676" w:name="_Toc49273373"/>
      <w:bookmarkStart w:id="677" w:name="_Toc64724125"/>
      <w:r w:rsidRPr="009968E0">
        <w:t>Table D.18: -Multivariate Tests for Delta MTT and Region of Interest Model 1-4</w:t>
      </w:r>
      <w:bookmarkEnd w:id="675"/>
      <w:bookmarkEnd w:id="676"/>
      <w:bookmarkEnd w:id="677"/>
    </w:p>
    <w:tbl>
      <w:tblPr>
        <w:tblStyle w:val="GridTable3-Accent62"/>
        <w:tblW w:w="5000" w:type="pct"/>
        <w:tblLook w:val="0400" w:firstRow="0" w:lastRow="0" w:firstColumn="0" w:lastColumn="0" w:noHBand="0" w:noVBand="1"/>
      </w:tblPr>
      <w:tblGrid>
        <w:gridCol w:w="1280"/>
        <w:gridCol w:w="1762"/>
        <w:gridCol w:w="982"/>
        <w:gridCol w:w="975"/>
        <w:gridCol w:w="1912"/>
        <w:gridCol w:w="1272"/>
        <w:gridCol w:w="827"/>
      </w:tblGrid>
      <w:tr w:rsidR="009968E0" w:rsidRPr="009968E0" w14:paraId="20F96000"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tcW w:w="5000" w:type="pct"/>
            <w:gridSpan w:val="7"/>
          </w:tcPr>
          <w:p w14:paraId="55185172" w14:textId="77777777" w:rsidR="009968E0" w:rsidRPr="009968E0" w:rsidRDefault="009968E0" w:rsidP="009968E0">
            <w:pPr>
              <w:rPr>
                <w:rFonts w:ascii="Calibri" w:eastAsia="Times New Roman" w:hAnsi="Calibri" w:cs="Calibri"/>
                <w:i/>
                <w:iCs/>
                <w:sz w:val="22"/>
                <w:szCs w:val="22"/>
                <w:lang w:eastAsia="en-GB"/>
              </w:rPr>
            </w:pPr>
          </w:p>
        </w:tc>
      </w:tr>
      <w:tr w:rsidR="009968E0" w:rsidRPr="009968E0" w14:paraId="3B0AF40A" w14:textId="77777777" w:rsidTr="009968E0">
        <w:trPr>
          <w:trHeight w:val="640"/>
        </w:trPr>
        <w:tc>
          <w:tcPr>
            <w:tcW w:w="1688" w:type="pct"/>
            <w:gridSpan w:val="2"/>
          </w:tcPr>
          <w:p w14:paraId="19E4B4D2"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 xml:space="preserve">Statistic: </w:t>
            </w:r>
            <w:proofErr w:type="gramStart"/>
            <w:r w:rsidRPr="009968E0">
              <w:rPr>
                <w:rFonts w:ascii="Calibri" w:eastAsia="Times New Roman" w:hAnsi="Calibri" w:cs="Calibri"/>
                <w:i/>
                <w:iCs/>
                <w:sz w:val="22"/>
                <w:szCs w:val="22"/>
                <w:lang w:eastAsia="en-GB"/>
              </w:rPr>
              <w:t>Wilks</w:t>
            </w:r>
            <w:proofErr w:type="gramEnd"/>
            <w:r w:rsidRPr="009968E0">
              <w:rPr>
                <w:rFonts w:ascii="Calibri" w:eastAsia="Times New Roman" w:hAnsi="Calibri" w:cs="Calibri"/>
                <w:i/>
                <w:iCs/>
                <w:sz w:val="22"/>
                <w:szCs w:val="22"/>
                <w:lang w:eastAsia="en-GB"/>
              </w:rPr>
              <w:t xml:space="preserve"> lambda</w:t>
            </w:r>
          </w:p>
        </w:tc>
        <w:tc>
          <w:tcPr>
            <w:tcW w:w="545" w:type="pct"/>
          </w:tcPr>
          <w:p w14:paraId="75F9A770"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Value</w:t>
            </w:r>
          </w:p>
        </w:tc>
        <w:tc>
          <w:tcPr>
            <w:tcW w:w="541" w:type="pct"/>
          </w:tcPr>
          <w:p w14:paraId="05997B03"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F</w:t>
            </w:r>
          </w:p>
        </w:tc>
        <w:tc>
          <w:tcPr>
            <w:tcW w:w="1061" w:type="pct"/>
          </w:tcPr>
          <w:p w14:paraId="6C10D75D"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Hypothesis df</w:t>
            </w:r>
          </w:p>
        </w:tc>
        <w:tc>
          <w:tcPr>
            <w:tcW w:w="706" w:type="pct"/>
          </w:tcPr>
          <w:p w14:paraId="5D22EA3E"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Error df</w:t>
            </w:r>
          </w:p>
        </w:tc>
        <w:tc>
          <w:tcPr>
            <w:tcW w:w="459" w:type="pct"/>
          </w:tcPr>
          <w:p w14:paraId="1F813640"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Sig.</w:t>
            </w:r>
          </w:p>
        </w:tc>
      </w:tr>
      <w:tr w:rsidR="009968E0" w:rsidRPr="009968E0" w14:paraId="18523D48"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tcW w:w="710" w:type="pct"/>
            <w:vMerge w:val="restart"/>
            <w:shd w:val="clear" w:color="auto" w:fill="FFFFFF"/>
          </w:tcPr>
          <w:p w14:paraId="2E4105B7"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Model 1</w:t>
            </w:r>
          </w:p>
        </w:tc>
        <w:tc>
          <w:tcPr>
            <w:tcW w:w="978" w:type="pct"/>
          </w:tcPr>
          <w:p w14:paraId="0F850E68"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Intercept</w:t>
            </w:r>
          </w:p>
        </w:tc>
        <w:tc>
          <w:tcPr>
            <w:tcW w:w="545" w:type="pct"/>
          </w:tcPr>
          <w:p w14:paraId="7E8665D9"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.883</w:t>
            </w:r>
          </w:p>
        </w:tc>
        <w:tc>
          <w:tcPr>
            <w:tcW w:w="541" w:type="pct"/>
          </w:tcPr>
          <w:p w14:paraId="04FE2D46"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0.964</w:t>
            </w:r>
          </w:p>
        </w:tc>
        <w:tc>
          <w:tcPr>
            <w:tcW w:w="1061" w:type="pct"/>
          </w:tcPr>
          <w:p w14:paraId="261B7839"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8.000</w:t>
            </w:r>
          </w:p>
        </w:tc>
        <w:tc>
          <w:tcPr>
            <w:tcW w:w="706" w:type="pct"/>
          </w:tcPr>
          <w:p w14:paraId="06DFF97A"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58.000</w:t>
            </w:r>
          </w:p>
        </w:tc>
        <w:tc>
          <w:tcPr>
            <w:tcW w:w="459" w:type="pct"/>
          </w:tcPr>
          <w:p w14:paraId="59727DD5"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.473</w:t>
            </w:r>
          </w:p>
        </w:tc>
      </w:tr>
      <w:tr w:rsidR="009968E0" w:rsidRPr="009968E0" w14:paraId="0B218303" w14:textId="77777777" w:rsidTr="009968E0">
        <w:trPr>
          <w:trHeight w:val="300"/>
        </w:trPr>
        <w:tc>
          <w:tcPr>
            <w:tcW w:w="710" w:type="pct"/>
            <w:vMerge/>
            <w:shd w:val="clear" w:color="auto" w:fill="FFFFFF"/>
          </w:tcPr>
          <w:p w14:paraId="2605B206" w14:textId="77777777" w:rsidR="009968E0" w:rsidRPr="009968E0" w:rsidRDefault="009968E0" w:rsidP="009968E0">
            <w:pPr>
              <w:rPr>
                <w:rFonts w:ascii="Calibri" w:eastAsia="Times New Roman" w:hAnsi="Calibri" w:cs="Calibri"/>
                <w:i/>
                <w:iCs/>
                <w:sz w:val="22"/>
                <w:szCs w:val="22"/>
                <w:lang w:eastAsia="en-GB"/>
              </w:rPr>
            </w:pPr>
          </w:p>
        </w:tc>
        <w:tc>
          <w:tcPr>
            <w:tcW w:w="978" w:type="pct"/>
          </w:tcPr>
          <w:p w14:paraId="438B52DE"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 xml:space="preserve">group </w:t>
            </w:r>
          </w:p>
        </w:tc>
        <w:tc>
          <w:tcPr>
            <w:tcW w:w="545" w:type="pct"/>
          </w:tcPr>
          <w:p w14:paraId="52F6DB73"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.658</w:t>
            </w:r>
          </w:p>
        </w:tc>
        <w:tc>
          <w:tcPr>
            <w:tcW w:w="541" w:type="pct"/>
          </w:tcPr>
          <w:p w14:paraId="634DAB95"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1.092</w:t>
            </w:r>
          </w:p>
        </w:tc>
        <w:tc>
          <w:tcPr>
            <w:tcW w:w="1061" w:type="pct"/>
          </w:tcPr>
          <w:p w14:paraId="35BC670B"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24.000</w:t>
            </w:r>
          </w:p>
        </w:tc>
        <w:tc>
          <w:tcPr>
            <w:tcW w:w="706" w:type="pct"/>
          </w:tcPr>
          <w:p w14:paraId="17C9EAC3"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168.819</w:t>
            </w:r>
          </w:p>
        </w:tc>
        <w:tc>
          <w:tcPr>
            <w:tcW w:w="459" w:type="pct"/>
          </w:tcPr>
          <w:p w14:paraId="3840058B"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.358</w:t>
            </w:r>
          </w:p>
        </w:tc>
      </w:tr>
      <w:tr w:rsidR="009968E0" w:rsidRPr="009968E0" w14:paraId="0A3A7C9C" w14:textId="77777777" w:rsidTr="009968E0">
        <w:trPr>
          <w:cnfStyle w:val="000000100000" w:firstRow="0" w:lastRow="0" w:firstColumn="0" w:lastColumn="0" w:oddVBand="0" w:evenVBand="0" w:oddHBand="1" w:evenHBand="0" w:firstRowFirstColumn="0" w:firstRowLastColumn="0" w:lastRowFirstColumn="0" w:lastRowLastColumn="0"/>
          <w:trHeight w:val="300"/>
        </w:trPr>
        <w:tc>
          <w:tcPr>
            <w:tcW w:w="710" w:type="pct"/>
            <w:vMerge/>
            <w:shd w:val="clear" w:color="auto" w:fill="FFFFFF"/>
          </w:tcPr>
          <w:p w14:paraId="1FABB194" w14:textId="77777777" w:rsidR="009968E0" w:rsidRPr="009968E0" w:rsidRDefault="009968E0" w:rsidP="009968E0">
            <w:pPr>
              <w:rPr>
                <w:rFonts w:ascii="Calibri" w:eastAsia="Times New Roman" w:hAnsi="Calibri" w:cs="Calibri"/>
                <w:i/>
                <w:iCs/>
                <w:sz w:val="22"/>
                <w:szCs w:val="22"/>
                <w:lang w:eastAsia="en-GB"/>
              </w:rPr>
            </w:pPr>
          </w:p>
        </w:tc>
        <w:tc>
          <w:tcPr>
            <w:tcW w:w="978" w:type="pct"/>
          </w:tcPr>
          <w:p w14:paraId="18C84A0B" w14:textId="2A857044"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Likert</w:t>
            </w:r>
          </w:p>
        </w:tc>
        <w:tc>
          <w:tcPr>
            <w:tcW w:w="545" w:type="pct"/>
          </w:tcPr>
          <w:p w14:paraId="56CD4237"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.901</w:t>
            </w:r>
          </w:p>
        </w:tc>
        <w:tc>
          <w:tcPr>
            <w:tcW w:w="541" w:type="pct"/>
          </w:tcPr>
          <w:p w14:paraId="1B7216FE"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0.794</w:t>
            </w:r>
          </w:p>
        </w:tc>
        <w:tc>
          <w:tcPr>
            <w:tcW w:w="1061" w:type="pct"/>
          </w:tcPr>
          <w:p w14:paraId="02E8CE0B"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8.000</w:t>
            </w:r>
          </w:p>
        </w:tc>
        <w:tc>
          <w:tcPr>
            <w:tcW w:w="706" w:type="pct"/>
          </w:tcPr>
          <w:p w14:paraId="38351F37"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58.000</w:t>
            </w:r>
          </w:p>
        </w:tc>
        <w:tc>
          <w:tcPr>
            <w:tcW w:w="459" w:type="pct"/>
          </w:tcPr>
          <w:p w14:paraId="68FB42B1"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.610</w:t>
            </w:r>
          </w:p>
        </w:tc>
      </w:tr>
      <w:tr w:rsidR="009968E0" w:rsidRPr="009968E0" w14:paraId="0BADE32C" w14:textId="77777777" w:rsidTr="009968E0">
        <w:trPr>
          <w:trHeight w:val="280"/>
        </w:trPr>
        <w:tc>
          <w:tcPr>
            <w:tcW w:w="710" w:type="pct"/>
            <w:vMerge/>
            <w:shd w:val="clear" w:color="auto" w:fill="FFFFFF"/>
          </w:tcPr>
          <w:p w14:paraId="00CB2D44" w14:textId="77777777" w:rsidR="009968E0" w:rsidRPr="009968E0" w:rsidRDefault="009968E0" w:rsidP="009968E0">
            <w:pPr>
              <w:rPr>
                <w:rFonts w:ascii="Calibri" w:eastAsia="Times New Roman" w:hAnsi="Calibri" w:cs="Calibri"/>
                <w:i/>
                <w:iCs/>
                <w:sz w:val="22"/>
                <w:szCs w:val="22"/>
                <w:lang w:eastAsia="en-GB"/>
              </w:rPr>
            </w:pPr>
          </w:p>
        </w:tc>
        <w:tc>
          <w:tcPr>
            <w:tcW w:w="978" w:type="pct"/>
          </w:tcPr>
          <w:p w14:paraId="0D942CD9" w14:textId="502169D4"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group*Likert</w:t>
            </w:r>
          </w:p>
        </w:tc>
        <w:tc>
          <w:tcPr>
            <w:tcW w:w="545" w:type="pct"/>
          </w:tcPr>
          <w:p w14:paraId="08893B95"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.690</w:t>
            </w:r>
          </w:p>
        </w:tc>
        <w:tc>
          <w:tcPr>
            <w:tcW w:w="541" w:type="pct"/>
          </w:tcPr>
          <w:p w14:paraId="13BF6B55"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0.961</w:t>
            </w:r>
          </w:p>
        </w:tc>
        <w:tc>
          <w:tcPr>
            <w:tcW w:w="1061" w:type="pct"/>
          </w:tcPr>
          <w:p w14:paraId="31854D72"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24.000</w:t>
            </w:r>
          </w:p>
        </w:tc>
        <w:tc>
          <w:tcPr>
            <w:tcW w:w="706" w:type="pct"/>
          </w:tcPr>
          <w:p w14:paraId="61F8DB07"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168.819</w:t>
            </w:r>
          </w:p>
        </w:tc>
        <w:tc>
          <w:tcPr>
            <w:tcW w:w="459" w:type="pct"/>
          </w:tcPr>
          <w:p w14:paraId="22F77E1D"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.520</w:t>
            </w:r>
          </w:p>
        </w:tc>
      </w:tr>
      <w:tr w:rsidR="009968E0" w:rsidRPr="009968E0" w14:paraId="1AB2F004" w14:textId="77777777" w:rsidTr="009968E0">
        <w:trPr>
          <w:cnfStyle w:val="000000100000" w:firstRow="0" w:lastRow="0" w:firstColumn="0" w:lastColumn="0" w:oddVBand="0" w:evenVBand="0" w:oddHBand="1" w:evenHBand="0" w:firstRowFirstColumn="0" w:firstRowLastColumn="0" w:lastRowFirstColumn="0" w:lastRowLastColumn="0"/>
          <w:trHeight w:val="300"/>
        </w:trPr>
        <w:tc>
          <w:tcPr>
            <w:tcW w:w="710" w:type="pct"/>
            <w:vMerge w:val="restart"/>
            <w:shd w:val="clear" w:color="auto" w:fill="FFFFFF"/>
          </w:tcPr>
          <w:p w14:paraId="28F0D126"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Model 2</w:t>
            </w:r>
          </w:p>
        </w:tc>
        <w:tc>
          <w:tcPr>
            <w:tcW w:w="978" w:type="pct"/>
          </w:tcPr>
          <w:p w14:paraId="39946131"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intercept</w:t>
            </w:r>
          </w:p>
        </w:tc>
        <w:tc>
          <w:tcPr>
            <w:tcW w:w="545" w:type="pct"/>
          </w:tcPr>
          <w:p w14:paraId="0C616C19"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.912</w:t>
            </w:r>
          </w:p>
        </w:tc>
        <w:tc>
          <w:tcPr>
            <w:tcW w:w="541" w:type="pct"/>
          </w:tcPr>
          <w:p w14:paraId="107C9FA6"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0.733</w:t>
            </w:r>
          </w:p>
        </w:tc>
        <w:tc>
          <w:tcPr>
            <w:tcW w:w="1061" w:type="pct"/>
          </w:tcPr>
          <w:p w14:paraId="18056F5C"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8.000</w:t>
            </w:r>
          </w:p>
        </w:tc>
        <w:tc>
          <w:tcPr>
            <w:tcW w:w="706" w:type="pct"/>
          </w:tcPr>
          <w:p w14:paraId="238DDDE9"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61.000</w:t>
            </w:r>
          </w:p>
        </w:tc>
        <w:tc>
          <w:tcPr>
            <w:tcW w:w="459" w:type="pct"/>
          </w:tcPr>
          <w:p w14:paraId="1487040C"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.662</w:t>
            </w:r>
          </w:p>
        </w:tc>
      </w:tr>
      <w:tr w:rsidR="009968E0" w:rsidRPr="009968E0" w14:paraId="0B36E653" w14:textId="77777777" w:rsidTr="009968E0">
        <w:trPr>
          <w:trHeight w:val="300"/>
        </w:trPr>
        <w:tc>
          <w:tcPr>
            <w:tcW w:w="710" w:type="pct"/>
            <w:vMerge/>
            <w:shd w:val="clear" w:color="auto" w:fill="FFFFFF"/>
          </w:tcPr>
          <w:p w14:paraId="5DAE9102" w14:textId="77777777" w:rsidR="009968E0" w:rsidRPr="009968E0" w:rsidRDefault="009968E0" w:rsidP="009968E0">
            <w:pPr>
              <w:rPr>
                <w:rFonts w:ascii="Calibri" w:eastAsia="Times New Roman" w:hAnsi="Calibri" w:cs="Calibri"/>
                <w:i/>
                <w:iCs/>
                <w:sz w:val="22"/>
                <w:szCs w:val="22"/>
                <w:lang w:eastAsia="en-GB"/>
              </w:rPr>
            </w:pPr>
          </w:p>
        </w:tc>
        <w:tc>
          <w:tcPr>
            <w:tcW w:w="978" w:type="pct"/>
          </w:tcPr>
          <w:p w14:paraId="0CFDE57A"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 xml:space="preserve">group </w:t>
            </w:r>
          </w:p>
        </w:tc>
        <w:tc>
          <w:tcPr>
            <w:tcW w:w="545" w:type="pct"/>
          </w:tcPr>
          <w:p w14:paraId="03593471"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.728</w:t>
            </w:r>
          </w:p>
        </w:tc>
        <w:tc>
          <w:tcPr>
            <w:tcW w:w="541" w:type="pct"/>
          </w:tcPr>
          <w:p w14:paraId="103D9298"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0.857</w:t>
            </w:r>
          </w:p>
        </w:tc>
        <w:tc>
          <w:tcPr>
            <w:tcW w:w="1061" w:type="pct"/>
          </w:tcPr>
          <w:p w14:paraId="252D85E5"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24.000</w:t>
            </w:r>
          </w:p>
        </w:tc>
        <w:tc>
          <w:tcPr>
            <w:tcW w:w="706" w:type="pct"/>
          </w:tcPr>
          <w:p w14:paraId="5E767044"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177.520</w:t>
            </w:r>
          </w:p>
        </w:tc>
        <w:tc>
          <w:tcPr>
            <w:tcW w:w="459" w:type="pct"/>
          </w:tcPr>
          <w:p w14:paraId="00BDC4E3"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.660</w:t>
            </w:r>
          </w:p>
        </w:tc>
      </w:tr>
      <w:tr w:rsidR="009968E0" w:rsidRPr="009968E0" w14:paraId="0DFB2249" w14:textId="77777777" w:rsidTr="009968E0">
        <w:trPr>
          <w:cnfStyle w:val="000000100000" w:firstRow="0" w:lastRow="0" w:firstColumn="0" w:lastColumn="0" w:oddVBand="0" w:evenVBand="0" w:oddHBand="1" w:evenHBand="0" w:firstRowFirstColumn="0" w:firstRowLastColumn="0" w:lastRowFirstColumn="0" w:lastRowLastColumn="0"/>
          <w:trHeight w:val="300"/>
        </w:trPr>
        <w:tc>
          <w:tcPr>
            <w:tcW w:w="710" w:type="pct"/>
            <w:vMerge/>
            <w:shd w:val="clear" w:color="auto" w:fill="FFFFFF"/>
          </w:tcPr>
          <w:p w14:paraId="542EB7EC" w14:textId="77777777" w:rsidR="009968E0" w:rsidRPr="009968E0" w:rsidRDefault="009968E0" w:rsidP="009968E0">
            <w:pPr>
              <w:rPr>
                <w:rFonts w:ascii="Calibri" w:eastAsia="Times New Roman" w:hAnsi="Calibri" w:cs="Calibri"/>
                <w:i/>
                <w:iCs/>
                <w:sz w:val="22"/>
                <w:szCs w:val="22"/>
                <w:lang w:eastAsia="en-GB"/>
              </w:rPr>
            </w:pPr>
          </w:p>
        </w:tc>
        <w:tc>
          <w:tcPr>
            <w:tcW w:w="978" w:type="pct"/>
          </w:tcPr>
          <w:p w14:paraId="1F52BFCD" w14:textId="06F62A75"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Likert</w:t>
            </w:r>
          </w:p>
        </w:tc>
        <w:tc>
          <w:tcPr>
            <w:tcW w:w="545" w:type="pct"/>
          </w:tcPr>
          <w:p w14:paraId="4494DC36"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.919</w:t>
            </w:r>
          </w:p>
        </w:tc>
        <w:tc>
          <w:tcPr>
            <w:tcW w:w="541" w:type="pct"/>
          </w:tcPr>
          <w:p w14:paraId="1DD0DB10"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0.67</w:t>
            </w:r>
          </w:p>
        </w:tc>
        <w:tc>
          <w:tcPr>
            <w:tcW w:w="1061" w:type="pct"/>
          </w:tcPr>
          <w:p w14:paraId="7070A750"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8.000</w:t>
            </w:r>
          </w:p>
        </w:tc>
        <w:tc>
          <w:tcPr>
            <w:tcW w:w="706" w:type="pct"/>
          </w:tcPr>
          <w:p w14:paraId="2CCF923D"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61.000</w:t>
            </w:r>
          </w:p>
        </w:tc>
        <w:tc>
          <w:tcPr>
            <w:tcW w:w="459" w:type="pct"/>
          </w:tcPr>
          <w:p w14:paraId="3229F079"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.716</w:t>
            </w:r>
          </w:p>
        </w:tc>
      </w:tr>
      <w:tr w:rsidR="009968E0" w:rsidRPr="009968E0" w14:paraId="0E97F537" w14:textId="77777777" w:rsidTr="009968E0">
        <w:trPr>
          <w:trHeight w:val="300"/>
        </w:trPr>
        <w:tc>
          <w:tcPr>
            <w:tcW w:w="710" w:type="pct"/>
            <w:vMerge w:val="restart"/>
          </w:tcPr>
          <w:p w14:paraId="765EF334"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Model 3</w:t>
            </w:r>
          </w:p>
        </w:tc>
        <w:tc>
          <w:tcPr>
            <w:tcW w:w="978" w:type="pct"/>
          </w:tcPr>
          <w:p w14:paraId="33A503EF"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intercept</w:t>
            </w:r>
          </w:p>
        </w:tc>
        <w:tc>
          <w:tcPr>
            <w:tcW w:w="545" w:type="pct"/>
          </w:tcPr>
          <w:p w14:paraId="5C94ACFB"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.859</w:t>
            </w:r>
          </w:p>
        </w:tc>
        <w:tc>
          <w:tcPr>
            <w:tcW w:w="541" w:type="pct"/>
          </w:tcPr>
          <w:p w14:paraId="4EBD0C1F"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1.273</w:t>
            </w:r>
          </w:p>
        </w:tc>
        <w:tc>
          <w:tcPr>
            <w:tcW w:w="1061" w:type="pct"/>
          </w:tcPr>
          <w:p w14:paraId="4586F387"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8.000</w:t>
            </w:r>
          </w:p>
        </w:tc>
        <w:tc>
          <w:tcPr>
            <w:tcW w:w="706" w:type="pct"/>
          </w:tcPr>
          <w:p w14:paraId="65395BF4"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62.000</w:t>
            </w:r>
          </w:p>
        </w:tc>
        <w:tc>
          <w:tcPr>
            <w:tcW w:w="459" w:type="pct"/>
          </w:tcPr>
          <w:p w14:paraId="64899EA4"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.274</w:t>
            </w:r>
          </w:p>
        </w:tc>
      </w:tr>
      <w:tr w:rsidR="009968E0" w:rsidRPr="009968E0" w14:paraId="79F284AF" w14:textId="77777777" w:rsidTr="009968E0">
        <w:trPr>
          <w:cnfStyle w:val="000000100000" w:firstRow="0" w:lastRow="0" w:firstColumn="0" w:lastColumn="0" w:oddVBand="0" w:evenVBand="0" w:oddHBand="1" w:evenHBand="0" w:firstRowFirstColumn="0" w:firstRowLastColumn="0" w:lastRowFirstColumn="0" w:lastRowLastColumn="0"/>
          <w:trHeight w:val="300"/>
        </w:trPr>
        <w:tc>
          <w:tcPr>
            <w:tcW w:w="710" w:type="pct"/>
            <w:vMerge/>
          </w:tcPr>
          <w:p w14:paraId="76A6E737" w14:textId="77777777" w:rsidR="009968E0" w:rsidRPr="009968E0" w:rsidRDefault="009968E0" w:rsidP="009968E0">
            <w:pPr>
              <w:rPr>
                <w:rFonts w:ascii="Calibri" w:eastAsia="Times New Roman" w:hAnsi="Calibri" w:cs="Calibri"/>
                <w:i/>
                <w:iCs/>
                <w:sz w:val="22"/>
                <w:szCs w:val="22"/>
                <w:lang w:eastAsia="en-GB"/>
              </w:rPr>
            </w:pPr>
          </w:p>
        </w:tc>
        <w:tc>
          <w:tcPr>
            <w:tcW w:w="978" w:type="pct"/>
          </w:tcPr>
          <w:p w14:paraId="7C011792"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group</w:t>
            </w:r>
          </w:p>
        </w:tc>
        <w:tc>
          <w:tcPr>
            <w:tcW w:w="545" w:type="pct"/>
          </w:tcPr>
          <w:p w14:paraId="50F24023"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.747</w:t>
            </w:r>
          </w:p>
        </w:tc>
        <w:tc>
          <w:tcPr>
            <w:tcW w:w="541" w:type="pct"/>
          </w:tcPr>
          <w:p w14:paraId="7893618B"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0.796</w:t>
            </w:r>
          </w:p>
        </w:tc>
        <w:tc>
          <w:tcPr>
            <w:tcW w:w="1061" w:type="pct"/>
          </w:tcPr>
          <w:p w14:paraId="491201BD"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24.000</w:t>
            </w:r>
          </w:p>
        </w:tc>
        <w:tc>
          <w:tcPr>
            <w:tcW w:w="706" w:type="pct"/>
          </w:tcPr>
          <w:p w14:paraId="52D98D65"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180.420</w:t>
            </w:r>
          </w:p>
        </w:tc>
        <w:tc>
          <w:tcPr>
            <w:tcW w:w="459" w:type="pct"/>
          </w:tcPr>
          <w:p w14:paraId="7F123E72"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.738</w:t>
            </w:r>
          </w:p>
        </w:tc>
      </w:tr>
      <w:tr w:rsidR="009968E0" w:rsidRPr="009968E0" w14:paraId="35F3B1BC" w14:textId="77777777" w:rsidTr="009968E0">
        <w:trPr>
          <w:trHeight w:val="300"/>
        </w:trPr>
        <w:tc>
          <w:tcPr>
            <w:tcW w:w="710" w:type="pct"/>
            <w:vMerge w:val="restart"/>
          </w:tcPr>
          <w:p w14:paraId="67D935B8"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Model 4</w:t>
            </w:r>
          </w:p>
        </w:tc>
        <w:tc>
          <w:tcPr>
            <w:tcW w:w="978" w:type="pct"/>
          </w:tcPr>
          <w:p w14:paraId="12EEAF56"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intercept</w:t>
            </w:r>
          </w:p>
        </w:tc>
        <w:tc>
          <w:tcPr>
            <w:tcW w:w="545" w:type="pct"/>
          </w:tcPr>
          <w:p w14:paraId="69C92166"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.936</w:t>
            </w:r>
          </w:p>
        </w:tc>
        <w:tc>
          <w:tcPr>
            <w:tcW w:w="541" w:type="pct"/>
          </w:tcPr>
          <w:p w14:paraId="641337DE"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0.543</w:t>
            </w:r>
          </w:p>
        </w:tc>
        <w:tc>
          <w:tcPr>
            <w:tcW w:w="1061" w:type="pct"/>
          </w:tcPr>
          <w:p w14:paraId="50533C7A"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8.000</w:t>
            </w:r>
          </w:p>
        </w:tc>
        <w:tc>
          <w:tcPr>
            <w:tcW w:w="706" w:type="pct"/>
          </w:tcPr>
          <w:p w14:paraId="244405B0"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64.000</w:t>
            </w:r>
          </w:p>
        </w:tc>
        <w:tc>
          <w:tcPr>
            <w:tcW w:w="459" w:type="pct"/>
          </w:tcPr>
          <w:p w14:paraId="609B03F5"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.820</w:t>
            </w:r>
          </w:p>
        </w:tc>
      </w:tr>
      <w:tr w:rsidR="009968E0" w:rsidRPr="009968E0" w14:paraId="03E41C16" w14:textId="77777777" w:rsidTr="009968E0">
        <w:trPr>
          <w:cnfStyle w:val="000000100000" w:firstRow="0" w:lastRow="0" w:firstColumn="0" w:lastColumn="0" w:oddVBand="0" w:evenVBand="0" w:oddHBand="1" w:evenHBand="0" w:firstRowFirstColumn="0" w:firstRowLastColumn="0" w:lastRowFirstColumn="0" w:lastRowLastColumn="0"/>
          <w:trHeight w:val="300"/>
        </w:trPr>
        <w:tc>
          <w:tcPr>
            <w:tcW w:w="710" w:type="pct"/>
            <w:vMerge/>
          </w:tcPr>
          <w:p w14:paraId="60F64A11" w14:textId="77777777" w:rsidR="009968E0" w:rsidRPr="009968E0" w:rsidRDefault="009968E0" w:rsidP="009968E0">
            <w:pPr>
              <w:rPr>
                <w:rFonts w:ascii="Calibri" w:eastAsia="Times New Roman" w:hAnsi="Calibri" w:cs="Calibri"/>
                <w:i/>
                <w:iCs/>
                <w:sz w:val="22"/>
                <w:szCs w:val="22"/>
                <w:lang w:eastAsia="en-GB"/>
              </w:rPr>
            </w:pPr>
          </w:p>
        </w:tc>
        <w:tc>
          <w:tcPr>
            <w:tcW w:w="978" w:type="pct"/>
          </w:tcPr>
          <w:p w14:paraId="63846709" w14:textId="7B8C5F9D"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Likert</w:t>
            </w:r>
          </w:p>
        </w:tc>
        <w:tc>
          <w:tcPr>
            <w:tcW w:w="545" w:type="pct"/>
          </w:tcPr>
          <w:p w14:paraId="69719D95"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.943</w:t>
            </w:r>
          </w:p>
        </w:tc>
        <w:tc>
          <w:tcPr>
            <w:tcW w:w="541" w:type="pct"/>
          </w:tcPr>
          <w:p w14:paraId="46B74AC0"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0.480</w:t>
            </w:r>
          </w:p>
        </w:tc>
        <w:tc>
          <w:tcPr>
            <w:tcW w:w="1061" w:type="pct"/>
          </w:tcPr>
          <w:p w14:paraId="00BB77A1"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8.000</w:t>
            </w:r>
          </w:p>
        </w:tc>
        <w:tc>
          <w:tcPr>
            <w:tcW w:w="706" w:type="pct"/>
          </w:tcPr>
          <w:p w14:paraId="32E900BB"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64.000</w:t>
            </w:r>
          </w:p>
        </w:tc>
        <w:tc>
          <w:tcPr>
            <w:tcW w:w="459" w:type="pct"/>
          </w:tcPr>
          <w:p w14:paraId="2FCDC3FA"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.866</w:t>
            </w:r>
          </w:p>
        </w:tc>
      </w:tr>
      <w:tr w:rsidR="009968E0" w:rsidRPr="009968E0" w14:paraId="12E1BF67" w14:textId="77777777" w:rsidTr="009968E0">
        <w:trPr>
          <w:trHeight w:val="60"/>
        </w:trPr>
        <w:tc>
          <w:tcPr>
            <w:tcW w:w="710" w:type="pct"/>
            <w:vMerge/>
          </w:tcPr>
          <w:p w14:paraId="6116340C" w14:textId="77777777" w:rsidR="009968E0" w:rsidRPr="009968E0" w:rsidRDefault="009968E0" w:rsidP="009968E0">
            <w:pPr>
              <w:rPr>
                <w:rFonts w:ascii="Calibri" w:eastAsia="Times New Roman" w:hAnsi="Calibri" w:cs="Calibri"/>
                <w:i/>
                <w:iCs/>
                <w:sz w:val="22"/>
                <w:szCs w:val="22"/>
                <w:lang w:eastAsia="en-GB"/>
              </w:rPr>
            </w:pPr>
          </w:p>
        </w:tc>
        <w:tc>
          <w:tcPr>
            <w:tcW w:w="978" w:type="pct"/>
          </w:tcPr>
          <w:p w14:paraId="2BD78D76"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 </w:t>
            </w:r>
          </w:p>
        </w:tc>
        <w:tc>
          <w:tcPr>
            <w:tcW w:w="545" w:type="pct"/>
          </w:tcPr>
          <w:p w14:paraId="075AA29D"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 </w:t>
            </w:r>
          </w:p>
        </w:tc>
        <w:tc>
          <w:tcPr>
            <w:tcW w:w="541" w:type="pct"/>
          </w:tcPr>
          <w:p w14:paraId="3B1D2419"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 </w:t>
            </w:r>
          </w:p>
        </w:tc>
        <w:tc>
          <w:tcPr>
            <w:tcW w:w="1061" w:type="pct"/>
          </w:tcPr>
          <w:p w14:paraId="67FE9C5C"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 </w:t>
            </w:r>
          </w:p>
        </w:tc>
        <w:tc>
          <w:tcPr>
            <w:tcW w:w="706" w:type="pct"/>
          </w:tcPr>
          <w:p w14:paraId="2DC167FD"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 </w:t>
            </w:r>
          </w:p>
        </w:tc>
        <w:tc>
          <w:tcPr>
            <w:tcW w:w="459" w:type="pct"/>
          </w:tcPr>
          <w:p w14:paraId="6FBF2455"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 </w:t>
            </w:r>
          </w:p>
        </w:tc>
      </w:tr>
    </w:tbl>
    <w:p w14:paraId="797882E5" w14:textId="77777777" w:rsidR="009968E0" w:rsidRPr="009968E0" w:rsidRDefault="009968E0" w:rsidP="009968E0">
      <w:pPr>
        <w:rPr>
          <w:rFonts w:ascii="Times New Roman" w:eastAsia="Times New Roman" w:hAnsi="Times New Roman" w:cs="Times New Roman"/>
          <w:lang w:eastAsia="en-GB"/>
        </w:rPr>
      </w:pPr>
    </w:p>
    <w:p w14:paraId="1F42790A" w14:textId="77777777" w:rsidR="009968E0" w:rsidRPr="00D130F6" w:rsidRDefault="009968E0" w:rsidP="00D130F6">
      <w:pPr>
        <w:pStyle w:val="Quote"/>
      </w:pPr>
      <w:bookmarkStart w:id="678" w:name="_Toc49273374"/>
      <w:bookmarkStart w:id="679" w:name="_Toc64724126"/>
      <w:r w:rsidRPr="00D130F6">
        <w:t>Table D.19: Univariate ANCOVA comparing delta-MTT - reported by region of interest- Model 1</w:t>
      </w:r>
      <w:bookmarkEnd w:id="678"/>
      <w:bookmarkEnd w:id="679"/>
    </w:p>
    <w:tbl>
      <w:tblPr>
        <w:tblStyle w:val="TableGrid1"/>
        <w:tblW w:w="5000" w:type="pct"/>
        <w:tblLook w:val="0400" w:firstRow="0" w:lastRow="0" w:firstColumn="0" w:lastColumn="0" w:noHBand="0" w:noVBand="1"/>
      </w:tblPr>
      <w:tblGrid>
        <w:gridCol w:w="1920"/>
        <w:gridCol w:w="2473"/>
        <w:gridCol w:w="1451"/>
        <w:gridCol w:w="824"/>
        <w:gridCol w:w="705"/>
        <w:gridCol w:w="932"/>
        <w:gridCol w:w="705"/>
      </w:tblGrid>
      <w:tr w:rsidR="009968E0" w:rsidRPr="009968E0" w14:paraId="4423EEAD" w14:textId="77777777" w:rsidTr="009968E0">
        <w:trPr>
          <w:trHeight w:val="360"/>
        </w:trPr>
        <w:tc>
          <w:tcPr>
            <w:tcW w:w="3244" w:type="pct"/>
            <w:gridSpan w:val="3"/>
          </w:tcPr>
          <w:p w14:paraId="542A3332"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Dependent Variable</w:t>
            </w:r>
          </w:p>
        </w:tc>
        <w:tc>
          <w:tcPr>
            <w:tcW w:w="1756" w:type="pct"/>
            <w:gridSpan w:val="4"/>
          </w:tcPr>
          <w:p w14:paraId="71FAF8B3"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GROUP</w:t>
            </w:r>
          </w:p>
        </w:tc>
      </w:tr>
      <w:tr w:rsidR="009968E0" w:rsidRPr="009968E0" w14:paraId="223CBB19" w14:textId="77777777" w:rsidTr="009968E0">
        <w:trPr>
          <w:trHeight w:val="360"/>
        </w:trPr>
        <w:tc>
          <w:tcPr>
            <w:tcW w:w="3244" w:type="pct"/>
            <w:gridSpan w:val="3"/>
          </w:tcPr>
          <w:p w14:paraId="3188423C"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457" w:type="pct"/>
          </w:tcPr>
          <w:p w14:paraId="5361B40A"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P-DPN</w:t>
            </w:r>
          </w:p>
        </w:tc>
        <w:tc>
          <w:tcPr>
            <w:tcW w:w="391" w:type="pct"/>
          </w:tcPr>
          <w:p w14:paraId="6644BEF8"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DPN</w:t>
            </w:r>
          </w:p>
        </w:tc>
        <w:tc>
          <w:tcPr>
            <w:tcW w:w="517" w:type="pct"/>
          </w:tcPr>
          <w:p w14:paraId="765F1A0A"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Arial" w:hAnsi="Calibri" w:cs="Calibri"/>
                <w:i/>
                <w:iCs/>
                <w:color w:val="000000"/>
                <w:sz w:val="22"/>
                <w:szCs w:val="22"/>
                <w:lang w:eastAsia="en-GB"/>
              </w:rPr>
              <w:t>DM-NN</w:t>
            </w:r>
          </w:p>
        </w:tc>
        <w:tc>
          <w:tcPr>
            <w:tcW w:w="391" w:type="pct"/>
          </w:tcPr>
          <w:p w14:paraId="3976EBB1" w14:textId="77777777" w:rsidR="009968E0" w:rsidRPr="009968E0" w:rsidRDefault="009968E0" w:rsidP="009968E0">
            <w:pPr>
              <w:jc w:val="center"/>
              <w:rPr>
                <w:rFonts w:ascii="Calibri" w:eastAsia="Arial"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HV</w:t>
            </w:r>
          </w:p>
        </w:tc>
      </w:tr>
      <w:tr w:rsidR="009968E0" w:rsidRPr="009968E0" w14:paraId="56E2C759" w14:textId="77777777" w:rsidTr="009968E0">
        <w:trPr>
          <w:trHeight w:val="360"/>
        </w:trPr>
        <w:tc>
          <w:tcPr>
            <w:tcW w:w="1066" w:type="pct"/>
            <w:vMerge w:val="restart"/>
            <w:shd w:val="clear" w:color="auto" w:fill="FDE9D9"/>
          </w:tcPr>
          <w:p w14:paraId="0EE260BD" w14:textId="11B8A312"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 xml:space="preserve">Delta MTT </w:t>
            </w:r>
            <w:r w:rsidR="00264184">
              <w:rPr>
                <w:rFonts w:ascii="Calibri" w:eastAsia="Times New Roman" w:hAnsi="Calibri" w:cs="Calibri"/>
                <w:i/>
                <w:iCs/>
                <w:color w:val="000000"/>
                <w:sz w:val="22"/>
                <w:szCs w:val="22"/>
                <w:lang w:eastAsia="en-GB"/>
              </w:rPr>
              <w:t>LThal</w:t>
            </w:r>
          </w:p>
        </w:tc>
        <w:tc>
          <w:tcPr>
            <w:tcW w:w="2177" w:type="pct"/>
            <w:gridSpan w:val="2"/>
          </w:tcPr>
          <w:p w14:paraId="1DA5DE0C"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457" w:type="pct"/>
          </w:tcPr>
          <w:p w14:paraId="7F442C5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0.00</w:t>
            </w:r>
          </w:p>
        </w:tc>
        <w:tc>
          <w:tcPr>
            <w:tcW w:w="391" w:type="pct"/>
          </w:tcPr>
          <w:p w14:paraId="7566692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-0.23</w:t>
            </w:r>
          </w:p>
        </w:tc>
        <w:tc>
          <w:tcPr>
            <w:tcW w:w="517" w:type="pct"/>
          </w:tcPr>
          <w:p w14:paraId="74DD3C75"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-0.39</w:t>
            </w:r>
          </w:p>
        </w:tc>
        <w:tc>
          <w:tcPr>
            <w:tcW w:w="391" w:type="pct"/>
          </w:tcPr>
          <w:p w14:paraId="66654A5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-0.39</w:t>
            </w:r>
          </w:p>
        </w:tc>
      </w:tr>
      <w:tr w:rsidR="009968E0" w:rsidRPr="009968E0" w14:paraId="218D83FC" w14:textId="77777777" w:rsidTr="009968E0">
        <w:trPr>
          <w:trHeight w:val="360"/>
        </w:trPr>
        <w:tc>
          <w:tcPr>
            <w:tcW w:w="1066" w:type="pct"/>
            <w:vMerge/>
            <w:shd w:val="clear" w:color="auto" w:fill="FDE9D9"/>
          </w:tcPr>
          <w:p w14:paraId="55067AF2"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373" w:type="pct"/>
            <w:vMerge w:val="restart"/>
          </w:tcPr>
          <w:p w14:paraId="74A7790B"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w:t>
            </w:r>
          </w:p>
        </w:tc>
        <w:tc>
          <w:tcPr>
            <w:tcW w:w="804" w:type="pct"/>
          </w:tcPr>
          <w:p w14:paraId="57DB80BF"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457" w:type="pct"/>
          </w:tcPr>
          <w:p w14:paraId="1AE7130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-0.67</w:t>
            </w:r>
          </w:p>
        </w:tc>
        <w:tc>
          <w:tcPr>
            <w:tcW w:w="391" w:type="pct"/>
          </w:tcPr>
          <w:p w14:paraId="2DD0CB4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-1.06</w:t>
            </w:r>
          </w:p>
        </w:tc>
        <w:tc>
          <w:tcPr>
            <w:tcW w:w="517" w:type="pct"/>
          </w:tcPr>
          <w:p w14:paraId="3E1257C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-0.37</w:t>
            </w:r>
          </w:p>
        </w:tc>
        <w:tc>
          <w:tcPr>
            <w:tcW w:w="391" w:type="pct"/>
          </w:tcPr>
          <w:p w14:paraId="60BF2F7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-1.06</w:t>
            </w:r>
          </w:p>
        </w:tc>
      </w:tr>
      <w:tr w:rsidR="009968E0" w:rsidRPr="009968E0" w14:paraId="3CB51E87" w14:textId="77777777" w:rsidTr="009968E0">
        <w:trPr>
          <w:trHeight w:val="360"/>
        </w:trPr>
        <w:tc>
          <w:tcPr>
            <w:tcW w:w="1066" w:type="pct"/>
            <w:vMerge/>
            <w:shd w:val="clear" w:color="auto" w:fill="FDE9D9"/>
          </w:tcPr>
          <w:p w14:paraId="4D0D2F84"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373" w:type="pct"/>
            <w:vMerge/>
          </w:tcPr>
          <w:p w14:paraId="0DE4B40C"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804" w:type="pct"/>
          </w:tcPr>
          <w:p w14:paraId="19DBE2B7"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457" w:type="pct"/>
          </w:tcPr>
          <w:p w14:paraId="23953C5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0.67</w:t>
            </w:r>
          </w:p>
        </w:tc>
        <w:tc>
          <w:tcPr>
            <w:tcW w:w="391" w:type="pct"/>
          </w:tcPr>
          <w:p w14:paraId="2F39398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0.28</w:t>
            </w:r>
          </w:p>
        </w:tc>
        <w:tc>
          <w:tcPr>
            <w:tcW w:w="517" w:type="pct"/>
          </w:tcPr>
          <w:p w14:paraId="41612BB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1.31</w:t>
            </w:r>
          </w:p>
        </w:tc>
        <w:tc>
          <w:tcPr>
            <w:tcW w:w="391" w:type="pct"/>
          </w:tcPr>
          <w:p w14:paraId="47D7CBE0"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0.28</w:t>
            </w:r>
          </w:p>
        </w:tc>
      </w:tr>
      <w:tr w:rsidR="009968E0" w:rsidRPr="009968E0" w14:paraId="1F5DC61E" w14:textId="77777777" w:rsidTr="009968E0">
        <w:trPr>
          <w:trHeight w:val="360"/>
        </w:trPr>
        <w:tc>
          <w:tcPr>
            <w:tcW w:w="5000" w:type="pct"/>
            <w:gridSpan w:val="7"/>
          </w:tcPr>
          <w:p w14:paraId="0B60E5D5"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p=0.86</w:t>
            </w:r>
          </w:p>
        </w:tc>
      </w:tr>
      <w:tr w:rsidR="009968E0" w:rsidRPr="009968E0" w14:paraId="48F1D6BC" w14:textId="77777777" w:rsidTr="009968E0">
        <w:trPr>
          <w:trHeight w:val="360"/>
        </w:trPr>
        <w:tc>
          <w:tcPr>
            <w:tcW w:w="1066" w:type="pct"/>
            <w:vMerge w:val="restart"/>
            <w:shd w:val="clear" w:color="auto" w:fill="FDE9D9"/>
          </w:tcPr>
          <w:p w14:paraId="6B86270A" w14:textId="70CACEB9"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 xml:space="preserve">Delta MTT </w:t>
            </w:r>
            <w:proofErr w:type="spellStart"/>
            <w:r w:rsidR="00264184">
              <w:rPr>
                <w:rFonts w:ascii="Calibri" w:eastAsia="Times New Roman" w:hAnsi="Calibri" w:cs="Calibri"/>
                <w:i/>
                <w:iCs/>
                <w:color w:val="000000"/>
                <w:sz w:val="22"/>
                <w:szCs w:val="22"/>
                <w:lang w:eastAsia="en-GB"/>
              </w:rPr>
              <w:t>RThal</w:t>
            </w:r>
            <w:proofErr w:type="spellEnd"/>
          </w:p>
        </w:tc>
        <w:tc>
          <w:tcPr>
            <w:tcW w:w="2177" w:type="pct"/>
            <w:gridSpan w:val="2"/>
          </w:tcPr>
          <w:p w14:paraId="1494A90A"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457" w:type="pct"/>
          </w:tcPr>
          <w:p w14:paraId="2625A898"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0.05</w:t>
            </w:r>
          </w:p>
        </w:tc>
        <w:tc>
          <w:tcPr>
            <w:tcW w:w="391" w:type="pct"/>
          </w:tcPr>
          <w:p w14:paraId="0DC19F65"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-0.16</w:t>
            </w:r>
          </w:p>
        </w:tc>
        <w:tc>
          <w:tcPr>
            <w:tcW w:w="517" w:type="pct"/>
          </w:tcPr>
          <w:p w14:paraId="580CA6CE"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0.59</w:t>
            </w:r>
          </w:p>
        </w:tc>
        <w:tc>
          <w:tcPr>
            <w:tcW w:w="391" w:type="pct"/>
          </w:tcPr>
          <w:p w14:paraId="786800C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-0.48</w:t>
            </w:r>
          </w:p>
        </w:tc>
      </w:tr>
      <w:tr w:rsidR="009968E0" w:rsidRPr="009968E0" w14:paraId="77DF3A99" w14:textId="77777777" w:rsidTr="009968E0">
        <w:trPr>
          <w:trHeight w:val="360"/>
        </w:trPr>
        <w:tc>
          <w:tcPr>
            <w:tcW w:w="1066" w:type="pct"/>
            <w:vMerge/>
            <w:shd w:val="clear" w:color="auto" w:fill="FDE9D9"/>
          </w:tcPr>
          <w:p w14:paraId="00C7D66C"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373" w:type="pct"/>
            <w:vMerge w:val="restart"/>
          </w:tcPr>
          <w:p w14:paraId="0D79A4D6"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w:t>
            </w:r>
          </w:p>
        </w:tc>
        <w:tc>
          <w:tcPr>
            <w:tcW w:w="804" w:type="pct"/>
          </w:tcPr>
          <w:p w14:paraId="0EB550AE"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457" w:type="pct"/>
          </w:tcPr>
          <w:p w14:paraId="5CE4E54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-0.62</w:t>
            </w:r>
          </w:p>
        </w:tc>
        <w:tc>
          <w:tcPr>
            <w:tcW w:w="391" w:type="pct"/>
          </w:tcPr>
          <w:p w14:paraId="543C0674"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-0.74</w:t>
            </w:r>
          </w:p>
        </w:tc>
        <w:tc>
          <w:tcPr>
            <w:tcW w:w="517" w:type="pct"/>
          </w:tcPr>
          <w:p w14:paraId="1DD080D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-1.15</w:t>
            </w:r>
          </w:p>
        </w:tc>
        <w:tc>
          <w:tcPr>
            <w:tcW w:w="391" w:type="pct"/>
          </w:tcPr>
          <w:p w14:paraId="62EB4C6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-1.15</w:t>
            </w:r>
          </w:p>
        </w:tc>
      </w:tr>
      <w:tr w:rsidR="009968E0" w:rsidRPr="009968E0" w14:paraId="7501CECF" w14:textId="77777777" w:rsidTr="009968E0">
        <w:trPr>
          <w:trHeight w:val="360"/>
        </w:trPr>
        <w:tc>
          <w:tcPr>
            <w:tcW w:w="1066" w:type="pct"/>
            <w:vMerge/>
            <w:shd w:val="clear" w:color="auto" w:fill="FDE9D9"/>
          </w:tcPr>
          <w:p w14:paraId="49D7F359"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373" w:type="pct"/>
            <w:vMerge/>
          </w:tcPr>
          <w:p w14:paraId="7C9F693B"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804" w:type="pct"/>
          </w:tcPr>
          <w:p w14:paraId="0A94FCB7"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457" w:type="pct"/>
          </w:tcPr>
          <w:p w14:paraId="10AFAAC3"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0.72</w:t>
            </w:r>
          </w:p>
        </w:tc>
        <w:tc>
          <w:tcPr>
            <w:tcW w:w="391" w:type="pct"/>
          </w:tcPr>
          <w:p w14:paraId="3E36A9B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0.43</w:t>
            </w:r>
          </w:p>
        </w:tc>
        <w:tc>
          <w:tcPr>
            <w:tcW w:w="517" w:type="pct"/>
          </w:tcPr>
          <w:p w14:paraId="521AD2F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0.19</w:t>
            </w:r>
          </w:p>
        </w:tc>
        <w:tc>
          <w:tcPr>
            <w:tcW w:w="391" w:type="pct"/>
          </w:tcPr>
          <w:p w14:paraId="6A1CFC24"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0.19</w:t>
            </w:r>
          </w:p>
        </w:tc>
      </w:tr>
      <w:tr w:rsidR="009968E0" w:rsidRPr="009968E0" w14:paraId="69AEE0D9" w14:textId="77777777" w:rsidTr="009968E0">
        <w:trPr>
          <w:trHeight w:val="360"/>
        </w:trPr>
        <w:tc>
          <w:tcPr>
            <w:tcW w:w="5000" w:type="pct"/>
            <w:gridSpan w:val="7"/>
          </w:tcPr>
          <w:p w14:paraId="6167E451"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p=0.59</w:t>
            </w:r>
          </w:p>
        </w:tc>
      </w:tr>
      <w:tr w:rsidR="009968E0" w:rsidRPr="009968E0" w14:paraId="0484FB91" w14:textId="77777777" w:rsidTr="009968E0">
        <w:trPr>
          <w:trHeight w:val="360"/>
        </w:trPr>
        <w:tc>
          <w:tcPr>
            <w:tcW w:w="1066" w:type="pct"/>
            <w:vMerge w:val="restart"/>
            <w:shd w:val="clear" w:color="auto" w:fill="FDE9D9"/>
          </w:tcPr>
          <w:p w14:paraId="74F4D479"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Delta MTT LINS</w:t>
            </w:r>
          </w:p>
        </w:tc>
        <w:tc>
          <w:tcPr>
            <w:tcW w:w="2177" w:type="pct"/>
            <w:gridSpan w:val="2"/>
          </w:tcPr>
          <w:p w14:paraId="6F881885"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457" w:type="pct"/>
          </w:tcPr>
          <w:p w14:paraId="53219C2E"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0.15</w:t>
            </w:r>
          </w:p>
        </w:tc>
        <w:tc>
          <w:tcPr>
            <w:tcW w:w="391" w:type="pct"/>
          </w:tcPr>
          <w:p w14:paraId="4B715FE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0.03</w:t>
            </w:r>
          </w:p>
        </w:tc>
        <w:tc>
          <w:tcPr>
            <w:tcW w:w="517" w:type="pct"/>
          </w:tcPr>
          <w:p w14:paraId="5779474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0.58</w:t>
            </w:r>
          </w:p>
        </w:tc>
        <w:tc>
          <w:tcPr>
            <w:tcW w:w="391" w:type="pct"/>
          </w:tcPr>
          <w:p w14:paraId="62AF921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-0.35</w:t>
            </w:r>
          </w:p>
        </w:tc>
      </w:tr>
      <w:tr w:rsidR="009968E0" w:rsidRPr="009968E0" w14:paraId="7C4245AD" w14:textId="77777777" w:rsidTr="009968E0">
        <w:trPr>
          <w:trHeight w:val="360"/>
        </w:trPr>
        <w:tc>
          <w:tcPr>
            <w:tcW w:w="1066" w:type="pct"/>
            <w:vMerge/>
            <w:shd w:val="clear" w:color="auto" w:fill="FDE9D9"/>
          </w:tcPr>
          <w:p w14:paraId="7CB39069"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373" w:type="pct"/>
            <w:vMerge w:val="restart"/>
          </w:tcPr>
          <w:p w14:paraId="0FB808D4"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w:t>
            </w:r>
          </w:p>
        </w:tc>
        <w:tc>
          <w:tcPr>
            <w:tcW w:w="804" w:type="pct"/>
          </w:tcPr>
          <w:p w14:paraId="22376A16"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457" w:type="pct"/>
          </w:tcPr>
          <w:p w14:paraId="42ED82E4"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-0.34</w:t>
            </w:r>
          </w:p>
        </w:tc>
        <w:tc>
          <w:tcPr>
            <w:tcW w:w="391" w:type="pct"/>
          </w:tcPr>
          <w:p w14:paraId="2CC347C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-0.40</w:t>
            </w:r>
          </w:p>
        </w:tc>
        <w:tc>
          <w:tcPr>
            <w:tcW w:w="517" w:type="pct"/>
          </w:tcPr>
          <w:p w14:paraId="5AA6A804"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-0.03</w:t>
            </w:r>
          </w:p>
        </w:tc>
        <w:tc>
          <w:tcPr>
            <w:tcW w:w="391" w:type="pct"/>
          </w:tcPr>
          <w:p w14:paraId="468876C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-0.85</w:t>
            </w:r>
          </w:p>
        </w:tc>
      </w:tr>
      <w:tr w:rsidR="009968E0" w:rsidRPr="009968E0" w14:paraId="3303C3CC" w14:textId="77777777" w:rsidTr="009968E0">
        <w:trPr>
          <w:trHeight w:val="360"/>
        </w:trPr>
        <w:tc>
          <w:tcPr>
            <w:tcW w:w="1066" w:type="pct"/>
            <w:vMerge/>
            <w:shd w:val="clear" w:color="auto" w:fill="FDE9D9"/>
          </w:tcPr>
          <w:p w14:paraId="1577E853"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373" w:type="pct"/>
            <w:vMerge/>
          </w:tcPr>
          <w:p w14:paraId="34186FFA"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804" w:type="pct"/>
          </w:tcPr>
          <w:p w14:paraId="288C89A9"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457" w:type="pct"/>
          </w:tcPr>
          <w:p w14:paraId="3289E8F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0.65</w:t>
            </w:r>
          </w:p>
        </w:tc>
        <w:tc>
          <w:tcPr>
            <w:tcW w:w="391" w:type="pct"/>
          </w:tcPr>
          <w:p w14:paraId="6FBA498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0.47</w:t>
            </w:r>
          </w:p>
        </w:tc>
        <w:tc>
          <w:tcPr>
            <w:tcW w:w="517" w:type="pct"/>
          </w:tcPr>
          <w:p w14:paraId="58A2BF8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1.20</w:t>
            </w:r>
          </w:p>
        </w:tc>
        <w:tc>
          <w:tcPr>
            <w:tcW w:w="391" w:type="pct"/>
          </w:tcPr>
          <w:p w14:paraId="769AFDB3"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0.14</w:t>
            </w:r>
          </w:p>
        </w:tc>
      </w:tr>
      <w:tr w:rsidR="009968E0" w:rsidRPr="009968E0" w14:paraId="3E87AD28" w14:textId="77777777" w:rsidTr="009968E0">
        <w:trPr>
          <w:trHeight w:val="360"/>
        </w:trPr>
        <w:tc>
          <w:tcPr>
            <w:tcW w:w="5000" w:type="pct"/>
            <w:gridSpan w:val="7"/>
          </w:tcPr>
          <w:p w14:paraId="327B480B"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p=0.27</w:t>
            </w:r>
          </w:p>
        </w:tc>
      </w:tr>
      <w:tr w:rsidR="009968E0" w:rsidRPr="009968E0" w14:paraId="5A34F180" w14:textId="77777777" w:rsidTr="009968E0">
        <w:trPr>
          <w:trHeight w:val="360"/>
        </w:trPr>
        <w:tc>
          <w:tcPr>
            <w:tcW w:w="1066" w:type="pct"/>
            <w:vMerge w:val="restart"/>
            <w:shd w:val="clear" w:color="auto" w:fill="FDE9D9"/>
          </w:tcPr>
          <w:p w14:paraId="760AA53B"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Delta MTT RINS</w:t>
            </w:r>
          </w:p>
        </w:tc>
        <w:tc>
          <w:tcPr>
            <w:tcW w:w="2177" w:type="pct"/>
            <w:gridSpan w:val="2"/>
          </w:tcPr>
          <w:p w14:paraId="1171B023"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457" w:type="pct"/>
          </w:tcPr>
          <w:p w14:paraId="517EF12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0.16</w:t>
            </w:r>
          </w:p>
        </w:tc>
        <w:tc>
          <w:tcPr>
            <w:tcW w:w="391" w:type="pct"/>
          </w:tcPr>
          <w:p w14:paraId="0DF7299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-0.13</w:t>
            </w:r>
          </w:p>
        </w:tc>
        <w:tc>
          <w:tcPr>
            <w:tcW w:w="517" w:type="pct"/>
          </w:tcPr>
          <w:p w14:paraId="5E040C7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0.87</w:t>
            </w:r>
          </w:p>
        </w:tc>
        <w:tc>
          <w:tcPr>
            <w:tcW w:w="391" w:type="pct"/>
          </w:tcPr>
          <w:p w14:paraId="5C5F971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-0.21</w:t>
            </w:r>
          </w:p>
        </w:tc>
      </w:tr>
      <w:tr w:rsidR="009968E0" w:rsidRPr="009968E0" w14:paraId="4C134102" w14:textId="77777777" w:rsidTr="009968E0">
        <w:trPr>
          <w:trHeight w:val="360"/>
        </w:trPr>
        <w:tc>
          <w:tcPr>
            <w:tcW w:w="1066" w:type="pct"/>
            <w:vMerge/>
            <w:shd w:val="clear" w:color="auto" w:fill="FDE9D9"/>
          </w:tcPr>
          <w:p w14:paraId="3C219DA8"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373" w:type="pct"/>
            <w:vMerge w:val="restart"/>
          </w:tcPr>
          <w:p w14:paraId="70AA0DEB"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w:t>
            </w:r>
          </w:p>
        </w:tc>
        <w:tc>
          <w:tcPr>
            <w:tcW w:w="804" w:type="pct"/>
          </w:tcPr>
          <w:p w14:paraId="46E4F30C"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457" w:type="pct"/>
          </w:tcPr>
          <w:p w14:paraId="584CE4CE"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-0.35</w:t>
            </w:r>
          </w:p>
        </w:tc>
        <w:tc>
          <w:tcPr>
            <w:tcW w:w="391" w:type="pct"/>
          </w:tcPr>
          <w:p w14:paraId="18F29DB0"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-0.57</w:t>
            </w:r>
          </w:p>
        </w:tc>
        <w:tc>
          <w:tcPr>
            <w:tcW w:w="517" w:type="pct"/>
          </w:tcPr>
          <w:p w14:paraId="2E981D2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0.24</w:t>
            </w:r>
          </w:p>
        </w:tc>
        <w:tc>
          <w:tcPr>
            <w:tcW w:w="391" w:type="pct"/>
          </w:tcPr>
          <w:p w14:paraId="1CA39EE4"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-0.72</w:t>
            </w:r>
          </w:p>
        </w:tc>
      </w:tr>
      <w:tr w:rsidR="009968E0" w:rsidRPr="009968E0" w14:paraId="08F10A61" w14:textId="77777777" w:rsidTr="009968E0">
        <w:trPr>
          <w:trHeight w:val="360"/>
        </w:trPr>
        <w:tc>
          <w:tcPr>
            <w:tcW w:w="1066" w:type="pct"/>
            <w:vMerge/>
            <w:shd w:val="clear" w:color="auto" w:fill="FDE9D9"/>
          </w:tcPr>
          <w:p w14:paraId="19B1BBB3"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373" w:type="pct"/>
            <w:vMerge/>
          </w:tcPr>
          <w:p w14:paraId="527A90ED"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804" w:type="pct"/>
          </w:tcPr>
          <w:p w14:paraId="4316B834"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457" w:type="pct"/>
          </w:tcPr>
          <w:p w14:paraId="59A57024"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0.67</w:t>
            </w:r>
          </w:p>
        </w:tc>
        <w:tc>
          <w:tcPr>
            <w:tcW w:w="391" w:type="pct"/>
          </w:tcPr>
          <w:p w14:paraId="3ACBF955"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0.32</w:t>
            </w:r>
          </w:p>
        </w:tc>
        <w:tc>
          <w:tcPr>
            <w:tcW w:w="517" w:type="pct"/>
          </w:tcPr>
          <w:p w14:paraId="3E290D1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1.51</w:t>
            </w:r>
          </w:p>
        </w:tc>
        <w:tc>
          <w:tcPr>
            <w:tcW w:w="391" w:type="pct"/>
          </w:tcPr>
          <w:p w14:paraId="47E72130"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0.30</w:t>
            </w:r>
          </w:p>
        </w:tc>
      </w:tr>
      <w:tr w:rsidR="009968E0" w:rsidRPr="009968E0" w14:paraId="6DDD0C8E" w14:textId="77777777" w:rsidTr="009968E0">
        <w:trPr>
          <w:trHeight w:val="360"/>
        </w:trPr>
        <w:tc>
          <w:tcPr>
            <w:tcW w:w="5000" w:type="pct"/>
            <w:gridSpan w:val="7"/>
          </w:tcPr>
          <w:p w14:paraId="2227D9D9"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p=0.19</w:t>
            </w:r>
          </w:p>
        </w:tc>
      </w:tr>
      <w:tr w:rsidR="009968E0" w:rsidRPr="009968E0" w14:paraId="54627FDE" w14:textId="77777777" w:rsidTr="009968E0">
        <w:trPr>
          <w:trHeight w:val="360"/>
        </w:trPr>
        <w:tc>
          <w:tcPr>
            <w:tcW w:w="1066" w:type="pct"/>
            <w:vMerge w:val="restart"/>
            <w:shd w:val="clear" w:color="auto" w:fill="FDE9D9"/>
          </w:tcPr>
          <w:p w14:paraId="5437A2AA"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Delta MTT ACC</w:t>
            </w:r>
          </w:p>
          <w:p w14:paraId="75682FFE" w14:textId="77777777" w:rsidR="009968E0" w:rsidRPr="009968E0" w:rsidRDefault="009968E0" w:rsidP="009968E0">
            <w:pPr>
              <w:rPr>
                <w:rFonts w:ascii="Calibri" w:eastAsia="Times New Roman" w:hAnsi="Calibri" w:cs="Calibri"/>
                <w:i/>
                <w:iCs/>
                <w:color w:val="000000"/>
                <w:sz w:val="22"/>
                <w:szCs w:val="22"/>
                <w:lang w:eastAsia="en-GB"/>
              </w:rPr>
            </w:pPr>
          </w:p>
        </w:tc>
        <w:tc>
          <w:tcPr>
            <w:tcW w:w="2177" w:type="pct"/>
            <w:gridSpan w:val="2"/>
          </w:tcPr>
          <w:p w14:paraId="3906141E"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457" w:type="pct"/>
          </w:tcPr>
          <w:p w14:paraId="393E8BA8"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0.39</w:t>
            </w:r>
          </w:p>
        </w:tc>
        <w:tc>
          <w:tcPr>
            <w:tcW w:w="391" w:type="pct"/>
          </w:tcPr>
          <w:p w14:paraId="2F806DD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-0.05</w:t>
            </w:r>
          </w:p>
        </w:tc>
        <w:tc>
          <w:tcPr>
            <w:tcW w:w="517" w:type="pct"/>
          </w:tcPr>
          <w:p w14:paraId="6D01D73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0.66</w:t>
            </w:r>
          </w:p>
        </w:tc>
        <w:tc>
          <w:tcPr>
            <w:tcW w:w="391" w:type="pct"/>
          </w:tcPr>
          <w:p w14:paraId="7AA9850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-0.27</w:t>
            </w:r>
          </w:p>
        </w:tc>
      </w:tr>
      <w:tr w:rsidR="009968E0" w:rsidRPr="009968E0" w14:paraId="1530A98E" w14:textId="77777777" w:rsidTr="009968E0">
        <w:trPr>
          <w:trHeight w:val="360"/>
        </w:trPr>
        <w:tc>
          <w:tcPr>
            <w:tcW w:w="1066" w:type="pct"/>
            <w:vMerge/>
            <w:shd w:val="clear" w:color="auto" w:fill="FDE9D9"/>
          </w:tcPr>
          <w:p w14:paraId="61D04562"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373" w:type="pct"/>
            <w:vMerge w:val="restart"/>
          </w:tcPr>
          <w:p w14:paraId="0E02A35C"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w:t>
            </w:r>
          </w:p>
        </w:tc>
        <w:tc>
          <w:tcPr>
            <w:tcW w:w="804" w:type="pct"/>
          </w:tcPr>
          <w:p w14:paraId="1641C356"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457" w:type="pct"/>
          </w:tcPr>
          <w:p w14:paraId="73EF7595"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-0.30</w:t>
            </w:r>
          </w:p>
        </w:tc>
        <w:tc>
          <w:tcPr>
            <w:tcW w:w="391" w:type="pct"/>
          </w:tcPr>
          <w:p w14:paraId="447ECFF0"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-0.66</w:t>
            </w:r>
          </w:p>
        </w:tc>
        <w:tc>
          <w:tcPr>
            <w:tcW w:w="517" w:type="pct"/>
          </w:tcPr>
          <w:p w14:paraId="4FFBF8F0"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-0.22</w:t>
            </w:r>
          </w:p>
        </w:tc>
        <w:tc>
          <w:tcPr>
            <w:tcW w:w="391" w:type="pct"/>
          </w:tcPr>
          <w:p w14:paraId="1089E55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-0.97</w:t>
            </w:r>
          </w:p>
        </w:tc>
      </w:tr>
      <w:tr w:rsidR="009968E0" w:rsidRPr="009968E0" w14:paraId="1E4F01AC" w14:textId="77777777" w:rsidTr="009968E0">
        <w:trPr>
          <w:trHeight w:val="360"/>
        </w:trPr>
        <w:tc>
          <w:tcPr>
            <w:tcW w:w="1066" w:type="pct"/>
            <w:vMerge/>
            <w:shd w:val="clear" w:color="auto" w:fill="FDE9D9"/>
          </w:tcPr>
          <w:p w14:paraId="06E569BB"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373" w:type="pct"/>
            <w:vMerge/>
          </w:tcPr>
          <w:p w14:paraId="2A15E6CE"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804" w:type="pct"/>
          </w:tcPr>
          <w:p w14:paraId="25442555"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457" w:type="pct"/>
          </w:tcPr>
          <w:p w14:paraId="4259061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1.09</w:t>
            </w:r>
          </w:p>
        </w:tc>
        <w:tc>
          <w:tcPr>
            <w:tcW w:w="391" w:type="pct"/>
          </w:tcPr>
          <w:p w14:paraId="6C4AB25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0.56</w:t>
            </w:r>
          </w:p>
        </w:tc>
        <w:tc>
          <w:tcPr>
            <w:tcW w:w="517" w:type="pct"/>
          </w:tcPr>
          <w:p w14:paraId="08A95AC0"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1.53</w:t>
            </w:r>
          </w:p>
        </w:tc>
        <w:tc>
          <w:tcPr>
            <w:tcW w:w="391" w:type="pct"/>
          </w:tcPr>
          <w:p w14:paraId="640B3DCE"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0.42</w:t>
            </w:r>
          </w:p>
        </w:tc>
      </w:tr>
      <w:tr w:rsidR="009968E0" w:rsidRPr="009968E0" w14:paraId="0EE61606" w14:textId="77777777" w:rsidTr="009968E0">
        <w:trPr>
          <w:trHeight w:val="360"/>
        </w:trPr>
        <w:tc>
          <w:tcPr>
            <w:tcW w:w="5000" w:type="pct"/>
            <w:gridSpan w:val="7"/>
          </w:tcPr>
          <w:p w14:paraId="57FFE44C"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p=0.33</w:t>
            </w:r>
          </w:p>
        </w:tc>
      </w:tr>
      <w:tr w:rsidR="009968E0" w:rsidRPr="009968E0" w14:paraId="0B01073F" w14:textId="77777777" w:rsidTr="009968E0">
        <w:trPr>
          <w:trHeight w:val="360"/>
        </w:trPr>
        <w:tc>
          <w:tcPr>
            <w:tcW w:w="1066" w:type="pct"/>
            <w:vMerge w:val="restart"/>
            <w:shd w:val="clear" w:color="auto" w:fill="FDE9D9"/>
          </w:tcPr>
          <w:p w14:paraId="2BE79290"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Delta MTT POWM</w:t>
            </w:r>
          </w:p>
        </w:tc>
        <w:tc>
          <w:tcPr>
            <w:tcW w:w="2177" w:type="pct"/>
            <w:gridSpan w:val="2"/>
          </w:tcPr>
          <w:p w14:paraId="6DEE627F"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457" w:type="pct"/>
          </w:tcPr>
          <w:p w14:paraId="6D45873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0.36</w:t>
            </w:r>
          </w:p>
        </w:tc>
        <w:tc>
          <w:tcPr>
            <w:tcW w:w="391" w:type="pct"/>
          </w:tcPr>
          <w:p w14:paraId="1F61242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-0.71</w:t>
            </w:r>
          </w:p>
        </w:tc>
        <w:tc>
          <w:tcPr>
            <w:tcW w:w="517" w:type="pct"/>
          </w:tcPr>
          <w:p w14:paraId="6CB561B5"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-0.12</w:t>
            </w:r>
          </w:p>
        </w:tc>
        <w:tc>
          <w:tcPr>
            <w:tcW w:w="391" w:type="pct"/>
          </w:tcPr>
          <w:p w14:paraId="05723FA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0.20</w:t>
            </w:r>
          </w:p>
        </w:tc>
      </w:tr>
      <w:tr w:rsidR="009968E0" w:rsidRPr="009968E0" w14:paraId="3CB8E26B" w14:textId="77777777" w:rsidTr="009968E0">
        <w:trPr>
          <w:trHeight w:val="360"/>
        </w:trPr>
        <w:tc>
          <w:tcPr>
            <w:tcW w:w="1066" w:type="pct"/>
            <w:vMerge/>
            <w:shd w:val="clear" w:color="auto" w:fill="FDE9D9"/>
          </w:tcPr>
          <w:p w14:paraId="417FAEFD"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373" w:type="pct"/>
            <w:vMerge w:val="restart"/>
          </w:tcPr>
          <w:p w14:paraId="5A68F51A"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w:t>
            </w:r>
          </w:p>
        </w:tc>
        <w:tc>
          <w:tcPr>
            <w:tcW w:w="804" w:type="pct"/>
          </w:tcPr>
          <w:p w14:paraId="078FD472"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457" w:type="pct"/>
          </w:tcPr>
          <w:p w14:paraId="33D5BF6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-0.47</w:t>
            </w:r>
          </w:p>
        </w:tc>
        <w:tc>
          <w:tcPr>
            <w:tcW w:w="391" w:type="pct"/>
          </w:tcPr>
          <w:p w14:paraId="2A1CAFC8"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-1.45</w:t>
            </w:r>
          </w:p>
        </w:tc>
        <w:tc>
          <w:tcPr>
            <w:tcW w:w="517" w:type="pct"/>
          </w:tcPr>
          <w:p w14:paraId="29904B9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-1.16</w:t>
            </w:r>
          </w:p>
        </w:tc>
        <w:tc>
          <w:tcPr>
            <w:tcW w:w="391" w:type="pct"/>
          </w:tcPr>
          <w:p w14:paraId="1FAFF78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-0.63</w:t>
            </w:r>
          </w:p>
        </w:tc>
      </w:tr>
      <w:tr w:rsidR="009968E0" w:rsidRPr="009968E0" w14:paraId="0A390CAD" w14:textId="77777777" w:rsidTr="009968E0">
        <w:trPr>
          <w:trHeight w:val="360"/>
        </w:trPr>
        <w:tc>
          <w:tcPr>
            <w:tcW w:w="1066" w:type="pct"/>
            <w:vMerge/>
            <w:shd w:val="clear" w:color="auto" w:fill="FDE9D9"/>
          </w:tcPr>
          <w:p w14:paraId="1BD308ED"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373" w:type="pct"/>
            <w:vMerge/>
          </w:tcPr>
          <w:p w14:paraId="0A0A2EB6"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804" w:type="pct"/>
          </w:tcPr>
          <w:p w14:paraId="43AEC1F3"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457" w:type="pct"/>
          </w:tcPr>
          <w:p w14:paraId="22536C35"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1.19</w:t>
            </w:r>
          </w:p>
        </w:tc>
        <w:tc>
          <w:tcPr>
            <w:tcW w:w="391" w:type="pct"/>
          </w:tcPr>
          <w:p w14:paraId="756AFA6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0.02</w:t>
            </w:r>
          </w:p>
        </w:tc>
        <w:tc>
          <w:tcPr>
            <w:tcW w:w="517" w:type="pct"/>
          </w:tcPr>
          <w:p w14:paraId="24162B40"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0.92</w:t>
            </w:r>
          </w:p>
        </w:tc>
        <w:tc>
          <w:tcPr>
            <w:tcW w:w="391" w:type="pct"/>
          </w:tcPr>
          <w:p w14:paraId="0185EF4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1.04</w:t>
            </w:r>
          </w:p>
        </w:tc>
      </w:tr>
      <w:tr w:rsidR="009968E0" w:rsidRPr="009968E0" w14:paraId="4CC156BD" w14:textId="77777777" w:rsidTr="009968E0">
        <w:trPr>
          <w:trHeight w:val="360"/>
        </w:trPr>
        <w:tc>
          <w:tcPr>
            <w:tcW w:w="5000" w:type="pct"/>
            <w:gridSpan w:val="7"/>
          </w:tcPr>
          <w:p w14:paraId="49A7FDD3"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p=0.04*</w:t>
            </w:r>
          </w:p>
        </w:tc>
      </w:tr>
      <w:tr w:rsidR="009968E0" w:rsidRPr="009968E0" w14:paraId="2F0F4033" w14:textId="77777777" w:rsidTr="009968E0">
        <w:trPr>
          <w:trHeight w:val="360"/>
        </w:trPr>
        <w:tc>
          <w:tcPr>
            <w:tcW w:w="1066" w:type="pct"/>
            <w:vMerge w:val="restart"/>
            <w:shd w:val="clear" w:color="auto" w:fill="FDE9D9"/>
          </w:tcPr>
          <w:p w14:paraId="302972F8"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Delta MTT LPSC</w:t>
            </w:r>
          </w:p>
        </w:tc>
        <w:tc>
          <w:tcPr>
            <w:tcW w:w="2177" w:type="pct"/>
            <w:gridSpan w:val="2"/>
          </w:tcPr>
          <w:p w14:paraId="412C538F"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457" w:type="pct"/>
          </w:tcPr>
          <w:p w14:paraId="5C8E6904"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0.16</w:t>
            </w:r>
          </w:p>
        </w:tc>
        <w:tc>
          <w:tcPr>
            <w:tcW w:w="391" w:type="pct"/>
          </w:tcPr>
          <w:p w14:paraId="5E5FB703"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-0.11</w:t>
            </w:r>
          </w:p>
        </w:tc>
        <w:tc>
          <w:tcPr>
            <w:tcW w:w="517" w:type="pct"/>
          </w:tcPr>
          <w:p w14:paraId="18FCD1E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0.76</w:t>
            </w:r>
          </w:p>
        </w:tc>
        <w:tc>
          <w:tcPr>
            <w:tcW w:w="391" w:type="pct"/>
          </w:tcPr>
          <w:p w14:paraId="360D15E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-0.22</w:t>
            </w:r>
          </w:p>
        </w:tc>
      </w:tr>
      <w:tr w:rsidR="009968E0" w:rsidRPr="009968E0" w14:paraId="2645FE4B" w14:textId="77777777" w:rsidTr="009968E0">
        <w:trPr>
          <w:trHeight w:val="360"/>
        </w:trPr>
        <w:tc>
          <w:tcPr>
            <w:tcW w:w="1066" w:type="pct"/>
            <w:vMerge/>
            <w:shd w:val="clear" w:color="auto" w:fill="FDE9D9"/>
          </w:tcPr>
          <w:p w14:paraId="771EBE37"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373" w:type="pct"/>
            <w:vMerge w:val="restart"/>
          </w:tcPr>
          <w:p w14:paraId="71742E14"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w:t>
            </w:r>
          </w:p>
        </w:tc>
        <w:tc>
          <w:tcPr>
            <w:tcW w:w="804" w:type="pct"/>
          </w:tcPr>
          <w:p w14:paraId="111896E6"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457" w:type="pct"/>
          </w:tcPr>
          <w:p w14:paraId="7761C31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-0.48</w:t>
            </w:r>
          </w:p>
        </w:tc>
        <w:tc>
          <w:tcPr>
            <w:tcW w:w="391" w:type="pct"/>
          </w:tcPr>
          <w:p w14:paraId="7C86BC9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-0.67</w:t>
            </w:r>
          </w:p>
        </w:tc>
        <w:tc>
          <w:tcPr>
            <w:tcW w:w="517" w:type="pct"/>
          </w:tcPr>
          <w:p w14:paraId="57FD1E4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-0.04</w:t>
            </w:r>
          </w:p>
        </w:tc>
        <w:tc>
          <w:tcPr>
            <w:tcW w:w="391" w:type="pct"/>
          </w:tcPr>
          <w:p w14:paraId="247E8F23"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-0.86</w:t>
            </w:r>
          </w:p>
        </w:tc>
      </w:tr>
      <w:tr w:rsidR="009968E0" w:rsidRPr="009968E0" w14:paraId="7B6D6ECF" w14:textId="77777777" w:rsidTr="009968E0">
        <w:trPr>
          <w:trHeight w:val="360"/>
        </w:trPr>
        <w:tc>
          <w:tcPr>
            <w:tcW w:w="1066" w:type="pct"/>
            <w:vMerge/>
            <w:shd w:val="clear" w:color="auto" w:fill="FDE9D9"/>
          </w:tcPr>
          <w:p w14:paraId="66394F25"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373" w:type="pct"/>
            <w:vMerge/>
          </w:tcPr>
          <w:p w14:paraId="3F9E3EB8"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804" w:type="pct"/>
          </w:tcPr>
          <w:p w14:paraId="34D8F17C"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457" w:type="pct"/>
          </w:tcPr>
          <w:p w14:paraId="01B4F75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0.79</w:t>
            </w:r>
          </w:p>
        </w:tc>
        <w:tc>
          <w:tcPr>
            <w:tcW w:w="391" w:type="pct"/>
          </w:tcPr>
          <w:p w14:paraId="1680AD0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0.45</w:t>
            </w:r>
          </w:p>
        </w:tc>
        <w:tc>
          <w:tcPr>
            <w:tcW w:w="517" w:type="pct"/>
          </w:tcPr>
          <w:p w14:paraId="617AADC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1.55</w:t>
            </w:r>
          </w:p>
        </w:tc>
        <w:tc>
          <w:tcPr>
            <w:tcW w:w="391" w:type="pct"/>
          </w:tcPr>
          <w:p w14:paraId="3A6979A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0.41</w:t>
            </w:r>
          </w:p>
        </w:tc>
      </w:tr>
      <w:tr w:rsidR="009968E0" w:rsidRPr="009968E0" w14:paraId="44A9763E" w14:textId="77777777" w:rsidTr="009968E0">
        <w:trPr>
          <w:trHeight w:val="360"/>
        </w:trPr>
        <w:tc>
          <w:tcPr>
            <w:tcW w:w="5000" w:type="pct"/>
            <w:gridSpan w:val="7"/>
          </w:tcPr>
          <w:p w14:paraId="3040E54D"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p=0.51</w:t>
            </w:r>
          </w:p>
        </w:tc>
      </w:tr>
      <w:tr w:rsidR="009968E0" w:rsidRPr="009968E0" w14:paraId="67C9F9D7" w14:textId="77777777" w:rsidTr="009968E0">
        <w:trPr>
          <w:trHeight w:val="360"/>
        </w:trPr>
        <w:tc>
          <w:tcPr>
            <w:tcW w:w="1066" w:type="pct"/>
            <w:vMerge w:val="restart"/>
            <w:shd w:val="clear" w:color="auto" w:fill="FDE9D9"/>
          </w:tcPr>
          <w:p w14:paraId="3429F600"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Delta MTT RPSC</w:t>
            </w:r>
          </w:p>
        </w:tc>
        <w:tc>
          <w:tcPr>
            <w:tcW w:w="2177" w:type="pct"/>
            <w:gridSpan w:val="2"/>
          </w:tcPr>
          <w:p w14:paraId="48CF30CC"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Mean</w:t>
            </w:r>
          </w:p>
        </w:tc>
        <w:tc>
          <w:tcPr>
            <w:tcW w:w="457" w:type="pct"/>
          </w:tcPr>
          <w:p w14:paraId="4F8FD0E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0.19</w:t>
            </w:r>
          </w:p>
        </w:tc>
        <w:tc>
          <w:tcPr>
            <w:tcW w:w="391" w:type="pct"/>
          </w:tcPr>
          <w:p w14:paraId="5B4F3DF5"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-0.03</w:t>
            </w:r>
          </w:p>
        </w:tc>
        <w:tc>
          <w:tcPr>
            <w:tcW w:w="517" w:type="pct"/>
          </w:tcPr>
          <w:p w14:paraId="0A08D7BE"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0.82</w:t>
            </w:r>
          </w:p>
        </w:tc>
        <w:tc>
          <w:tcPr>
            <w:tcW w:w="391" w:type="pct"/>
          </w:tcPr>
          <w:p w14:paraId="1049518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-0.04</w:t>
            </w:r>
          </w:p>
        </w:tc>
      </w:tr>
      <w:tr w:rsidR="009968E0" w:rsidRPr="009968E0" w14:paraId="1BE745E2" w14:textId="77777777" w:rsidTr="009968E0">
        <w:trPr>
          <w:trHeight w:val="360"/>
        </w:trPr>
        <w:tc>
          <w:tcPr>
            <w:tcW w:w="1066" w:type="pct"/>
            <w:vMerge/>
            <w:shd w:val="clear" w:color="auto" w:fill="FDE9D9"/>
          </w:tcPr>
          <w:p w14:paraId="4A829DB9"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373" w:type="pct"/>
            <w:vMerge w:val="restart"/>
          </w:tcPr>
          <w:p w14:paraId="0FE99C46"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95% Confidence Interval</w:t>
            </w:r>
          </w:p>
        </w:tc>
        <w:tc>
          <w:tcPr>
            <w:tcW w:w="804" w:type="pct"/>
          </w:tcPr>
          <w:p w14:paraId="101CE9A6"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Lower Bound</w:t>
            </w:r>
          </w:p>
        </w:tc>
        <w:tc>
          <w:tcPr>
            <w:tcW w:w="457" w:type="pct"/>
          </w:tcPr>
          <w:p w14:paraId="403C2BF8"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-0.45</w:t>
            </w:r>
          </w:p>
        </w:tc>
        <w:tc>
          <w:tcPr>
            <w:tcW w:w="391" w:type="pct"/>
          </w:tcPr>
          <w:p w14:paraId="5F6F987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-0.59</w:t>
            </w:r>
          </w:p>
        </w:tc>
        <w:tc>
          <w:tcPr>
            <w:tcW w:w="517" w:type="pct"/>
          </w:tcPr>
          <w:p w14:paraId="57380E9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0.03</w:t>
            </w:r>
          </w:p>
        </w:tc>
        <w:tc>
          <w:tcPr>
            <w:tcW w:w="391" w:type="pct"/>
          </w:tcPr>
          <w:p w14:paraId="1C9504D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-0.68</w:t>
            </w:r>
          </w:p>
        </w:tc>
      </w:tr>
      <w:tr w:rsidR="009968E0" w:rsidRPr="009968E0" w14:paraId="5488B47A" w14:textId="77777777" w:rsidTr="009968E0">
        <w:trPr>
          <w:trHeight w:val="360"/>
        </w:trPr>
        <w:tc>
          <w:tcPr>
            <w:tcW w:w="1066" w:type="pct"/>
            <w:vMerge/>
            <w:shd w:val="clear" w:color="auto" w:fill="FDE9D9"/>
          </w:tcPr>
          <w:p w14:paraId="1270B52A"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373" w:type="pct"/>
            <w:vMerge/>
          </w:tcPr>
          <w:p w14:paraId="08E2B95E"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804" w:type="pct"/>
          </w:tcPr>
          <w:p w14:paraId="7CEE0BF5"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Upper Bound</w:t>
            </w:r>
          </w:p>
        </w:tc>
        <w:tc>
          <w:tcPr>
            <w:tcW w:w="457" w:type="pct"/>
          </w:tcPr>
          <w:p w14:paraId="534DBAC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0.83</w:t>
            </w:r>
          </w:p>
        </w:tc>
        <w:tc>
          <w:tcPr>
            <w:tcW w:w="391" w:type="pct"/>
          </w:tcPr>
          <w:p w14:paraId="6803390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0.53</w:t>
            </w:r>
          </w:p>
        </w:tc>
        <w:tc>
          <w:tcPr>
            <w:tcW w:w="517" w:type="pct"/>
          </w:tcPr>
          <w:p w14:paraId="5EAFF8D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1.62</w:t>
            </w:r>
          </w:p>
        </w:tc>
        <w:tc>
          <w:tcPr>
            <w:tcW w:w="391" w:type="pct"/>
          </w:tcPr>
          <w:p w14:paraId="1FE94F0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0.60</w:t>
            </w:r>
          </w:p>
        </w:tc>
      </w:tr>
      <w:tr w:rsidR="009968E0" w:rsidRPr="009968E0" w14:paraId="2BEFACD8" w14:textId="77777777" w:rsidTr="009968E0">
        <w:trPr>
          <w:trHeight w:val="360"/>
        </w:trPr>
        <w:tc>
          <w:tcPr>
            <w:tcW w:w="5000" w:type="pct"/>
            <w:gridSpan w:val="7"/>
          </w:tcPr>
          <w:p w14:paraId="1B80815E"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p=0.57</w:t>
            </w:r>
          </w:p>
        </w:tc>
      </w:tr>
    </w:tbl>
    <w:p w14:paraId="24C6AF11" w14:textId="77777777" w:rsidR="009968E0" w:rsidRPr="009968E0" w:rsidRDefault="009968E0" w:rsidP="009968E0">
      <w:pPr>
        <w:rPr>
          <w:rFonts w:ascii="Times New Roman" w:eastAsia="Times New Roman" w:hAnsi="Times New Roman" w:cs="Arial"/>
          <w:i/>
          <w:iCs/>
          <w:color w:val="808080"/>
          <w:sz w:val="21"/>
          <w:szCs w:val="21"/>
          <w:lang w:eastAsia="en-GB"/>
        </w:rPr>
      </w:pPr>
      <w:r w:rsidRPr="009968E0">
        <w:rPr>
          <w:rFonts w:ascii="Calibri" w:eastAsia="Times New Roman" w:hAnsi="Calibri" w:cs="Calibri"/>
          <w:i/>
          <w:color w:val="808080"/>
          <w:sz w:val="21"/>
          <w:lang w:eastAsia="en-GB"/>
        </w:rPr>
        <w:t xml:space="preserve">*no post Hoc significance.  </w:t>
      </w:r>
      <w:r w:rsidRPr="009968E0">
        <w:rPr>
          <w:rFonts w:ascii="Times New Roman" w:eastAsia="Times New Roman" w:hAnsi="Times New Roman" w:cs="Arial"/>
          <w:i/>
          <w:color w:val="808080"/>
          <w:sz w:val="21"/>
          <w:lang w:eastAsia="en-GB"/>
        </w:rPr>
        <w:t>Model contains the following factors group, LIKERT and group vs LIKERT,</w:t>
      </w:r>
      <w:r w:rsidRPr="009968E0">
        <w:rPr>
          <w:rFonts w:ascii="Times New Roman" w:eastAsia="Times New Roman" w:hAnsi="Times New Roman" w:cs="Arial"/>
          <w:i/>
          <w:iCs/>
          <w:color w:val="808080"/>
          <w:sz w:val="21"/>
          <w:szCs w:val="21"/>
          <w:lang w:eastAsia="en-GB"/>
        </w:rPr>
        <w:t xml:space="preserve"> Covariates appearing in the model are evaluated at the following values: </w:t>
      </w:r>
      <w:proofErr w:type="spellStart"/>
      <w:r w:rsidRPr="009968E0">
        <w:rPr>
          <w:rFonts w:ascii="Times New Roman" w:eastAsia="Times New Roman" w:hAnsi="Times New Roman" w:cs="Arial"/>
          <w:i/>
          <w:iCs/>
          <w:color w:val="808080"/>
          <w:sz w:val="21"/>
          <w:szCs w:val="21"/>
          <w:lang w:eastAsia="en-GB"/>
        </w:rPr>
        <w:t>likertscale_gad</w:t>
      </w:r>
      <w:proofErr w:type="spellEnd"/>
      <w:r w:rsidRPr="009968E0">
        <w:rPr>
          <w:rFonts w:ascii="Times New Roman" w:eastAsia="Times New Roman" w:hAnsi="Times New Roman" w:cs="Arial"/>
          <w:i/>
          <w:iCs/>
          <w:color w:val="808080"/>
          <w:sz w:val="21"/>
          <w:szCs w:val="21"/>
          <w:lang w:eastAsia="en-GB"/>
        </w:rPr>
        <w:t xml:space="preserve"> = 7.16.</w:t>
      </w:r>
    </w:p>
    <w:p w14:paraId="5BAE7F1D" w14:textId="77777777" w:rsidR="00D130F6" w:rsidRDefault="00D130F6" w:rsidP="00D130F6">
      <w:pPr>
        <w:pStyle w:val="Subtitle"/>
      </w:pPr>
      <w:bookmarkStart w:id="680" w:name="_Toc48406103"/>
      <w:bookmarkStart w:id="681" w:name="_Toc49273251"/>
    </w:p>
    <w:p w14:paraId="53A67D8E" w14:textId="7DCA79C5" w:rsidR="009968E0" w:rsidRPr="009968E0" w:rsidRDefault="009968E0" w:rsidP="00D130F6">
      <w:pPr>
        <w:pStyle w:val="Subtitle"/>
        <w:rPr>
          <w:rFonts w:eastAsia="Calibri" w:cs="Calibri"/>
        </w:rPr>
      </w:pPr>
      <w:bookmarkStart w:id="682" w:name="_Toc64724240"/>
      <w:r w:rsidRPr="009968E0">
        <w:rPr>
          <w:rFonts w:eastAsia="Calibri" w:cs="Calibri"/>
        </w:rPr>
        <w:t>Figure D.3. 95% Confidence intervals for the Group means and Regions of Interest for Delta MTT(s) Adjusted for LIKERT</w:t>
      </w:r>
      <w:bookmarkEnd w:id="680"/>
      <w:bookmarkEnd w:id="681"/>
      <w:bookmarkEnd w:id="682"/>
    </w:p>
    <w:p w14:paraId="352B8B06" w14:textId="77777777" w:rsidR="009968E0" w:rsidRPr="009968E0" w:rsidRDefault="009968E0" w:rsidP="009968E0">
      <w:pPr>
        <w:spacing w:line="360" w:lineRule="auto"/>
        <w:rPr>
          <w:rFonts w:ascii="Times New Roman" w:eastAsia="Times New Roman" w:hAnsi="Times New Roman" w:cs="Arial"/>
          <w:lang w:eastAsia="en-GB"/>
        </w:rPr>
      </w:pPr>
      <w:commentRangeStart w:id="683"/>
      <w:r w:rsidRPr="009968E0">
        <w:rPr>
          <w:rFonts w:ascii="Times New Roman" w:eastAsia="Times New Roman" w:hAnsi="Times New Roman" w:cs="Arial"/>
          <w:noProof/>
          <w:lang w:eastAsia="en-GB"/>
        </w:rPr>
        <w:drawing>
          <wp:inline distT="0" distB="0" distL="0" distR="0" wp14:anchorId="2086F0B3" wp14:editId="73CCC5C9">
            <wp:extent cx="5727700" cy="4051300"/>
            <wp:effectExtent l="0" t="0" r="0" b="0"/>
            <wp:docPr id="2109" name="Picture 2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727700" cy="4051300"/>
                    </a:xfrm>
                    <a:prstGeom prst="rect">
                      <a:avLst/>
                    </a:prstGeom>
                  </pic:spPr>
                </pic:pic>
              </a:graphicData>
            </a:graphic>
          </wp:inline>
        </w:drawing>
      </w:r>
      <w:commentRangeEnd w:id="683"/>
      <w:r w:rsidRPr="009968E0">
        <w:rPr>
          <w:rFonts w:ascii="Times New Roman" w:eastAsia="Times New Roman" w:hAnsi="Times New Roman" w:cs="Times New Roman"/>
          <w:sz w:val="18"/>
          <w:szCs w:val="18"/>
          <w:lang w:eastAsia="en-GB"/>
        </w:rPr>
        <w:commentReference w:id="683"/>
      </w:r>
    </w:p>
    <w:p w14:paraId="6281483C" w14:textId="77777777" w:rsidR="009968E0" w:rsidRPr="00D130F6" w:rsidRDefault="009968E0" w:rsidP="009968E0">
      <w:pPr>
        <w:spacing w:line="360" w:lineRule="auto"/>
        <w:rPr>
          <w:rStyle w:val="SubtleEmphasis"/>
        </w:rPr>
      </w:pPr>
      <w:r w:rsidRPr="00D130F6">
        <w:rPr>
          <w:rStyle w:val="SubtleEmphasis"/>
        </w:rPr>
        <w:t>Figure shows that Delta MTT trend for the P-DPN group is zero or longer across the regions of interest- indicating that perhaps RBV has increased disproportionately to the RBF, and caused a slower MTT. There is a significant difference between groups at the POWM but there is no post hoc significance. There is no overall group difference by multivariate ANOVA.</w:t>
      </w:r>
    </w:p>
    <w:p w14:paraId="14BD0496" w14:textId="77777777" w:rsidR="009968E0" w:rsidRPr="009968E0" w:rsidRDefault="009968E0" w:rsidP="009968E0">
      <w:pPr>
        <w:rPr>
          <w:rFonts w:ascii="Calibri" w:eastAsia="Times New Roman" w:hAnsi="Calibri" w:cs="Calibri"/>
          <w:i/>
          <w:color w:val="808080"/>
          <w:sz w:val="21"/>
          <w:lang w:eastAsia="en-GB"/>
        </w:rPr>
      </w:pPr>
    </w:p>
    <w:p w14:paraId="3265995A" w14:textId="77777777" w:rsidR="009968E0" w:rsidRPr="009968E0" w:rsidRDefault="009968E0" w:rsidP="00D130F6">
      <w:pPr>
        <w:pStyle w:val="Quote"/>
      </w:pPr>
      <w:bookmarkStart w:id="684" w:name="_Toc48406163"/>
      <w:bookmarkStart w:id="685" w:name="_Toc49273375"/>
      <w:bookmarkStart w:id="686" w:name="_Toc64724127"/>
      <w:r w:rsidRPr="009968E0">
        <w:t>Table D.20: Multivariate Tests for Delta TTP and Region of Interest Model 1-4</w:t>
      </w:r>
      <w:bookmarkEnd w:id="684"/>
      <w:bookmarkEnd w:id="685"/>
      <w:bookmarkEnd w:id="686"/>
    </w:p>
    <w:tbl>
      <w:tblPr>
        <w:tblStyle w:val="GridTable3-Accent62"/>
        <w:tblW w:w="9064" w:type="dxa"/>
        <w:tblLayout w:type="fixed"/>
        <w:tblLook w:val="0400" w:firstRow="0" w:lastRow="0" w:firstColumn="0" w:lastColumn="0" w:noHBand="0" w:noVBand="1"/>
      </w:tblPr>
      <w:tblGrid>
        <w:gridCol w:w="1063"/>
        <w:gridCol w:w="1425"/>
        <w:gridCol w:w="1294"/>
        <w:gridCol w:w="1294"/>
        <w:gridCol w:w="1398"/>
        <w:gridCol w:w="1294"/>
        <w:gridCol w:w="1296"/>
      </w:tblGrid>
      <w:tr w:rsidR="009968E0" w:rsidRPr="009968E0" w14:paraId="169B3F2B"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tcW w:w="9064" w:type="dxa"/>
            <w:gridSpan w:val="7"/>
          </w:tcPr>
          <w:p w14:paraId="7EB8E7A2" w14:textId="77777777" w:rsidR="009968E0" w:rsidRPr="009968E0" w:rsidRDefault="009968E0" w:rsidP="009968E0">
            <w:pPr>
              <w:pBdr>
                <w:top w:val="nil"/>
                <w:left w:val="nil"/>
                <w:bottom w:val="nil"/>
                <w:right w:val="nil"/>
                <w:between w:val="nil"/>
              </w:pBdr>
              <w:rPr>
                <w:rFonts w:ascii="Calibri" w:eastAsia="Times New Roman" w:hAnsi="Calibri" w:cs="Calibri"/>
                <w:b/>
                <w:i/>
                <w:color w:val="000000"/>
                <w:sz w:val="22"/>
                <w:szCs w:val="22"/>
                <w:lang w:eastAsia="en-GB"/>
              </w:rPr>
            </w:pPr>
          </w:p>
        </w:tc>
      </w:tr>
      <w:tr w:rsidR="009968E0" w:rsidRPr="009968E0" w14:paraId="23FE5069" w14:textId="77777777" w:rsidTr="009968E0">
        <w:trPr>
          <w:trHeight w:val="640"/>
        </w:trPr>
        <w:tc>
          <w:tcPr>
            <w:tcW w:w="2488" w:type="dxa"/>
            <w:gridSpan w:val="2"/>
          </w:tcPr>
          <w:p w14:paraId="5CD31E46"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Effect</w:t>
            </w:r>
          </w:p>
        </w:tc>
        <w:tc>
          <w:tcPr>
            <w:tcW w:w="1294" w:type="dxa"/>
          </w:tcPr>
          <w:p w14:paraId="2A3D527A"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Value</w:t>
            </w:r>
          </w:p>
        </w:tc>
        <w:tc>
          <w:tcPr>
            <w:tcW w:w="1294" w:type="dxa"/>
          </w:tcPr>
          <w:p w14:paraId="0D91CD24"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F</w:t>
            </w:r>
          </w:p>
        </w:tc>
        <w:tc>
          <w:tcPr>
            <w:tcW w:w="1398" w:type="dxa"/>
          </w:tcPr>
          <w:p w14:paraId="2D77A81C"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Hypothesis df</w:t>
            </w:r>
          </w:p>
        </w:tc>
        <w:tc>
          <w:tcPr>
            <w:tcW w:w="1294" w:type="dxa"/>
          </w:tcPr>
          <w:p w14:paraId="6278FF54"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Error df</w:t>
            </w:r>
          </w:p>
        </w:tc>
        <w:tc>
          <w:tcPr>
            <w:tcW w:w="1296" w:type="dxa"/>
          </w:tcPr>
          <w:p w14:paraId="56E82C74"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Sig.</w:t>
            </w:r>
          </w:p>
        </w:tc>
      </w:tr>
      <w:tr w:rsidR="009968E0" w:rsidRPr="009968E0" w14:paraId="3A1DA647"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tcW w:w="1063" w:type="dxa"/>
            <w:vMerge w:val="restart"/>
            <w:shd w:val="clear" w:color="auto" w:fill="FFFFFF"/>
          </w:tcPr>
          <w:p w14:paraId="6E5F7FB1"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Model 1</w:t>
            </w:r>
          </w:p>
        </w:tc>
        <w:tc>
          <w:tcPr>
            <w:tcW w:w="1425" w:type="dxa"/>
          </w:tcPr>
          <w:p w14:paraId="60B2A84D"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Intercept</w:t>
            </w:r>
          </w:p>
        </w:tc>
        <w:tc>
          <w:tcPr>
            <w:tcW w:w="1294" w:type="dxa"/>
          </w:tcPr>
          <w:p w14:paraId="40EF8DAE"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.776</w:t>
            </w:r>
          </w:p>
        </w:tc>
        <w:tc>
          <w:tcPr>
            <w:tcW w:w="1294" w:type="dxa"/>
          </w:tcPr>
          <w:p w14:paraId="411B21C8"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2.091</w:t>
            </w:r>
          </w:p>
        </w:tc>
        <w:tc>
          <w:tcPr>
            <w:tcW w:w="1398" w:type="dxa"/>
          </w:tcPr>
          <w:p w14:paraId="48EBB9C4"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8.000</w:t>
            </w:r>
          </w:p>
        </w:tc>
        <w:tc>
          <w:tcPr>
            <w:tcW w:w="1294" w:type="dxa"/>
          </w:tcPr>
          <w:p w14:paraId="16427251"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58.000</w:t>
            </w:r>
          </w:p>
        </w:tc>
        <w:tc>
          <w:tcPr>
            <w:tcW w:w="1296" w:type="dxa"/>
          </w:tcPr>
          <w:p w14:paraId="0E28464D"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.051</w:t>
            </w:r>
          </w:p>
        </w:tc>
      </w:tr>
      <w:tr w:rsidR="009968E0" w:rsidRPr="009968E0" w14:paraId="00E6502F" w14:textId="77777777" w:rsidTr="009968E0">
        <w:trPr>
          <w:trHeight w:val="300"/>
        </w:trPr>
        <w:tc>
          <w:tcPr>
            <w:tcW w:w="1063" w:type="dxa"/>
            <w:vMerge/>
            <w:shd w:val="clear" w:color="auto" w:fill="FFFFFF"/>
          </w:tcPr>
          <w:p w14:paraId="1E80D560"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1425" w:type="dxa"/>
          </w:tcPr>
          <w:p w14:paraId="4F8686B6"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group</w:t>
            </w:r>
          </w:p>
        </w:tc>
        <w:tc>
          <w:tcPr>
            <w:tcW w:w="1294" w:type="dxa"/>
          </w:tcPr>
          <w:p w14:paraId="76EACEDA"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.673</w:t>
            </w:r>
          </w:p>
        </w:tc>
        <w:tc>
          <w:tcPr>
            <w:tcW w:w="1294" w:type="dxa"/>
          </w:tcPr>
          <w:p w14:paraId="290E8020"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1.028</w:t>
            </w:r>
          </w:p>
        </w:tc>
        <w:tc>
          <w:tcPr>
            <w:tcW w:w="1398" w:type="dxa"/>
          </w:tcPr>
          <w:p w14:paraId="2C561A14"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24.000</w:t>
            </w:r>
          </w:p>
        </w:tc>
        <w:tc>
          <w:tcPr>
            <w:tcW w:w="1294" w:type="dxa"/>
          </w:tcPr>
          <w:p w14:paraId="7E332B8E"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168.819</w:t>
            </w:r>
          </w:p>
        </w:tc>
        <w:tc>
          <w:tcPr>
            <w:tcW w:w="1296" w:type="dxa"/>
          </w:tcPr>
          <w:p w14:paraId="0C1AF2EE"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.433</w:t>
            </w:r>
          </w:p>
        </w:tc>
      </w:tr>
      <w:tr w:rsidR="009968E0" w:rsidRPr="009968E0" w14:paraId="3BEBF294" w14:textId="77777777" w:rsidTr="009968E0">
        <w:trPr>
          <w:cnfStyle w:val="000000100000" w:firstRow="0" w:lastRow="0" w:firstColumn="0" w:lastColumn="0" w:oddVBand="0" w:evenVBand="0" w:oddHBand="1" w:evenHBand="0" w:firstRowFirstColumn="0" w:firstRowLastColumn="0" w:lastRowFirstColumn="0" w:lastRowLastColumn="0"/>
          <w:trHeight w:val="300"/>
        </w:trPr>
        <w:tc>
          <w:tcPr>
            <w:tcW w:w="1063" w:type="dxa"/>
            <w:vMerge/>
            <w:shd w:val="clear" w:color="auto" w:fill="FFFFFF"/>
          </w:tcPr>
          <w:p w14:paraId="1E9EC5A3"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1425" w:type="dxa"/>
          </w:tcPr>
          <w:p w14:paraId="4C10B849" w14:textId="647CFD69"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Likert</w:t>
            </w:r>
          </w:p>
        </w:tc>
        <w:tc>
          <w:tcPr>
            <w:tcW w:w="1294" w:type="dxa"/>
          </w:tcPr>
          <w:p w14:paraId="387AA518"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.756</w:t>
            </w:r>
          </w:p>
        </w:tc>
        <w:tc>
          <w:tcPr>
            <w:tcW w:w="1294" w:type="dxa"/>
          </w:tcPr>
          <w:p w14:paraId="541C6056"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2.337</w:t>
            </w:r>
          </w:p>
        </w:tc>
        <w:tc>
          <w:tcPr>
            <w:tcW w:w="1398" w:type="dxa"/>
          </w:tcPr>
          <w:p w14:paraId="5FA89C2E"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8.000</w:t>
            </w:r>
          </w:p>
        </w:tc>
        <w:tc>
          <w:tcPr>
            <w:tcW w:w="1294" w:type="dxa"/>
          </w:tcPr>
          <w:p w14:paraId="627C81DA"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58.000</w:t>
            </w:r>
          </w:p>
        </w:tc>
        <w:tc>
          <w:tcPr>
            <w:tcW w:w="1296" w:type="dxa"/>
          </w:tcPr>
          <w:p w14:paraId="5D8E6CAC"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.030</w:t>
            </w:r>
          </w:p>
        </w:tc>
      </w:tr>
      <w:tr w:rsidR="009968E0" w:rsidRPr="009968E0" w14:paraId="0F88CE1A" w14:textId="77777777" w:rsidTr="009968E0">
        <w:trPr>
          <w:trHeight w:val="600"/>
        </w:trPr>
        <w:tc>
          <w:tcPr>
            <w:tcW w:w="1063" w:type="dxa"/>
            <w:vMerge/>
            <w:shd w:val="clear" w:color="auto" w:fill="FFFFFF"/>
          </w:tcPr>
          <w:p w14:paraId="65C5E76A"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1425" w:type="dxa"/>
          </w:tcPr>
          <w:p w14:paraId="744BAA91" w14:textId="2478A5E2"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group*Likert</w:t>
            </w:r>
          </w:p>
        </w:tc>
        <w:tc>
          <w:tcPr>
            <w:tcW w:w="1294" w:type="dxa"/>
          </w:tcPr>
          <w:p w14:paraId="15DB6D72"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.635</w:t>
            </w:r>
          </w:p>
        </w:tc>
        <w:tc>
          <w:tcPr>
            <w:tcW w:w="1294" w:type="dxa"/>
          </w:tcPr>
          <w:p w14:paraId="1E027021"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1.19</w:t>
            </w:r>
          </w:p>
        </w:tc>
        <w:tc>
          <w:tcPr>
            <w:tcW w:w="1398" w:type="dxa"/>
          </w:tcPr>
          <w:p w14:paraId="5E9460ED"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24.000</w:t>
            </w:r>
          </w:p>
        </w:tc>
        <w:tc>
          <w:tcPr>
            <w:tcW w:w="1294" w:type="dxa"/>
          </w:tcPr>
          <w:p w14:paraId="7D57541D"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168.819</w:t>
            </w:r>
          </w:p>
        </w:tc>
        <w:tc>
          <w:tcPr>
            <w:tcW w:w="1296" w:type="dxa"/>
          </w:tcPr>
          <w:p w14:paraId="1A42CB95"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.257</w:t>
            </w:r>
          </w:p>
        </w:tc>
      </w:tr>
      <w:tr w:rsidR="009968E0" w:rsidRPr="009968E0" w14:paraId="6FCF37AF" w14:textId="77777777" w:rsidTr="009968E0">
        <w:trPr>
          <w:cnfStyle w:val="000000100000" w:firstRow="0" w:lastRow="0" w:firstColumn="0" w:lastColumn="0" w:oddVBand="0" w:evenVBand="0" w:oddHBand="1" w:evenHBand="0" w:firstRowFirstColumn="0" w:firstRowLastColumn="0" w:lastRowFirstColumn="0" w:lastRowLastColumn="0"/>
          <w:trHeight w:val="300"/>
        </w:trPr>
        <w:tc>
          <w:tcPr>
            <w:tcW w:w="1063" w:type="dxa"/>
            <w:vMerge w:val="restart"/>
            <w:shd w:val="clear" w:color="auto" w:fill="FFFFFF"/>
          </w:tcPr>
          <w:p w14:paraId="0E576D0D"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Model 2</w:t>
            </w:r>
          </w:p>
        </w:tc>
        <w:tc>
          <w:tcPr>
            <w:tcW w:w="1425" w:type="dxa"/>
          </w:tcPr>
          <w:p w14:paraId="4AFF48A4"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intercept</w:t>
            </w:r>
          </w:p>
        </w:tc>
        <w:tc>
          <w:tcPr>
            <w:tcW w:w="1294" w:type="dxa"/>
          </w:tcPr>
          <w:p w14:paraId="3E9288E8"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.730</w:t>
            </w:r>
          </w:p>
        </w:tc>
        <w:tc>
          <w:tcPr>
            <w:tcW w:w="1294" w:type="dxa"/>
          </w:tcPr>
          <w:p w14:paraId="169AF125"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2.825</w:t>
            </w:r>
          </w:p>
        </w:tc>
        <w:tc>
          <w:tcPr>
            <w:tcW w:w="1398" w:type="dxa"/>
          </w:tcPr>
          <w:p w14:paraId="5121C925"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8.000</w:t>
            </w:r>
          </w:p>
        </w:tc>
        <w:tc>
          <w:tcPr>
            <w:tcW w:w="1294" w:type="dxa"/>
          </w:tcPr>
          <w:p w14:paraId="182E6CD5"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61.000</w:t>
            </w:r>
          </w:p>
        </w:tc>
        <w:tc>
          <w:tcPr>
            <w:tcW w:w="1296" w:type="dxa"/>
          </w:tcPr>
          <w:p w14:paraId="4811D96E"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.010</w:t>
            </w:r>
          </w:p>
        </w:tc>
      </w:tr>
      <w:tr w:rsidR="009968E0" w:rsidRPr="009968E0" w14:paraId="63497032" w14:textId="77777777" w:rsidTr="009968E0">
        <w:trPr>
          <w:trHeight w:val="300"/>
        </w:trPr>
        <w:tc>
          <w:tcPr>
            <w:tcW w:w="1063" w:type="dxa"/>
            <w:vMerge/>
            <w:shd w:val="clear" w:color="auto" w:fill="FFFFFF"/>
          </w:tcPr>
          <w:p w14:paraId="7B9835E6" w14:textId="77777777" w:rsidR="009968E0" w:rsidRPr="009968E0" w:rsidRDefault="009968E0" w:rsidP="009968E0">
            <w:pPr>
              <w:widowControl w:val="0"/>
              <w:pBdr>
                <w:top w:val="nil"/>
                <w:left w:val="nil"/>
                <w:bottom w:val="nil"/>
                <w:right w:val="nil"/>
                <w:between w:val="nil"/>
              </w:pBdr>
              <w:spacing w:line="276" w:lineRule="auto"/>
              <w:jc w:val="center"/>
              <w:rPr>
                <w:rFonts w:ascii="Calibri" w:eastAsia="Times New Roman" w:hAnsi="Calibri" w:cs="Calibri"/>
                <w:i/>
                <w:color w:val="000000"/>
                <w:sz w:val="22"/>
                <w:szCs w:val="22"/>
                <w:lang w:eastAsia="en-GB"/>
              </w:rPr>
            </w:pPr>
          </w:p>
        </w:tc>
        <w:tc>
          <w:tcPr>
            <w:tcW w:w="1425" w:type="dxa"/>
          </w:tcPr>
          <w:p w14:paraId="1958A62D"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group</w:t>
            </w:r>
          </w:p>
        </w:tc>
        <w:tc>
          <w:tcPr>
            <w:tcW w:w="1294" w:type="dxa"/>
          </w:tcPr>
          <w:p w14:paraId="78EBDC4B"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.763</w:t>
            </w:r>
          </w:p>
        </w:tc>
        <w:tc>
          <w:tcPr>
            <w:tcW w:w="1294" w:type="dxa"/>
          </w:tcPr>
          <w:p w14:paraId="0B6F222F"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0.724</w:t>
            </w:r>
          </w:p>
        </w:tc>
        <w:tc>
          <w:tcPr>
            <w:tcW w:w="1398" w:type="dxa"/>
          </w:tcPr>
          <w:p w14:paraId="417F1F25"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24.000</w:t>
            </w:r>
          </w:p>
        </w:tc>
        <w:tc>
          <w:tcPr>
            <w:tcW w:w="1294" w:type="dxa"/>
          </w:tcPr>
          <w:p w14:paraId="44DA9F84"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177.520</w:t>
            </w:r>
          </w:p>
        </w:tc>
        <w:tc>
          <w:tcPr>
            <w:tcW w:w="1296" w:type="dxa"/>
          </w:tcPr>
          <w:p w14:paraId="122652F6"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.823</w:t>
            </w:r>
          </w:p>
        </w:tc>
      </w:tr>
      <w:tr w:rsidR="009968E0" w:rsidRPr="009968E0" w14:paraId="2056FAA7" w14:textId="77777777" w:rsidTr="009968E0">
        <w:trPr>
          <w:cnfStyle w:val="000000100000" w:firstRow="0" w:lastRow="0" w:firstColumn="0" w:lastColumn="0" w:oddVBand="0" w:evenVBand="0" w:oddHBand="1" w:evenHBand="0" w:firstRowFirstColumn="0" w:firstRowLastColumn="0" w:lastRowFirstColumn="0" w:lastRowLastColumn="0"/>
          <w:trHeight w:val="300"/>
        </w:trPr>
        <w:tc>
          <w:tcPr>
            <w:tcW w:w="1063" w:type="dxa"/>
            <w:vMerge/>
            <w:shd w:val="clear" w:color="auto" w:fill="FFFFFF"/>
          </w:tcPr>
          <w:p w14:paraId="13621D49" w14:textId="77777777" w:rsidR="009968E0" w:rsidRPr="009968E0" w:rsidRDefault="009968E0" w:rsidP="009968E0">
            <w:pPr>
              <w:widowControl w:val="0"/>
              <w:pBdr>
                <w:top w:val="nil"/>
                <w:left w:val="nil"/>
                <w:bottom w:val="nil"/>
                <w:right w:val="nil"/>
                <w:between w:val="nil"/>
              </w:pBdr>
              <w:spacing w:line="276" w:lineRule="auto"/>
              <w:jc w:val="center"/>
              <w:rPr>
                <w:rFonts w:ascii="Calibri" w:eastAsia="Times New Roman" w:hAnsi="Calibri" w:cs="Calibri"/>
                <w:i/>
                <w:color w:val="000000"/>
                <w:sz w:val="22"/>
                <w:szCs w:val="22"/>
                <w:lang w:eastAsia="en-GB"/>
              </w:rPr>
            </w:pPr>
          </w:p>
        </w:tc>
        <w:tc>
          <w:tcPr>
            <w:tcW w:w="1425" w:type="dxa"/>
          </w:tcPr>
          <w:p w14:paraId="360A3B4F" w14:textId="35A247FB"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Likert</w:t>
            </w:r>
          </w:p>
        </w:tc>
        <w:tc>
          <w:tcPr>
            <w:tcW w:w="1294" w:type="dxa"/>
          </w:tcPr>
          <w:p w14:paraId="41920B9C"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.716</w:t>
            </w:r>
          </w:p>
        </w:tc>
        <w:tc>
          <w:tcPr>
            <w:tcW w:w="1294" w:type="dxa"/>
          </w:tcPr>
          <w:p w14:paraId="1AD42535"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3.025</w:t>
            </w:r>
          </w:p>
        </w:tc>
        <w:tc>
          <w:tcPr>
            <w:tcW w:w="1398" w:type="dxa"/>
          </w:tcPr>
          <w:p w14:paraId="57A42B4F"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8.000</w:t>
            </w:r>
          </w:p>
        </w:tc>
        <w:tc>
          <w:tcPr>
            <w:tcW w:w="1294" w:type="dxa"/>
          </w:tcPr>
          <w:p w14:paraId="501E535C"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61.000</w:t>
            </w:r>
          </w:p>
        </w:tc>
        <w:tc>
          <w:tcPr>
            <w:tcW w:w="1296" w:type="dxa"/>
          </w:tcPr>
          <w:p w14:paraId="3670CC36"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.006</w:t>
            </w:r>
          </w:p>
        </w:tc>
      </w:tr>
      <w:tr w:rsidR="009968E0" w:rsidRPr="009968E0" w14:paraId="1C030DA5" w14:textId="77777777" w:rsidTr="009968E0">
        <w:trPr>
          <w:trHeight w:val="300"/>
        </w:trPr>
        <w:tc>
          <w:tcPr>
            <w:tcW w:w="1063" w:type="dxa"/>
            <w:vMerge w:val="restart"/>
            <w:shd w:val="clear" w:color="auto" w:fill="FFFFFF"/>
          </w:tcPr>
          <w:p w14:paraId="43DA93A3"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Model 3</w:t>
            </w:r>
          </w:p>
        </w:tc>
        <w:tc>
          <w:tcPr>
            <w:tcW w:w="1425" w:type="dxa"/>
          </w:tcPr>
          <w:p w14:paraId="335EAC2F"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intercept</w:t>
            </w:r>
          </w:p>
        </w:tc>
        <w:tc>
          <w:tcPr>
            <w:tcW w:w="1294" w:type="dxa"/>
          </w:tcPr>
          <w:p w14:paraId="520043FD"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.900</w:t>
            </w:r>
          </w:p>
        </w:tc>
        <w:tc>
          <w:tcPr>
            <w:tcW w:w="1294" w:type="dxa"/>
          </w:tcPr>
          <w:p w14:paraId="6F3D3499"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0.862</w:t>
            </w:r>
          </w:p>
        </w:tc>
        <w:tc>
          <w:tcPr>
            <w:tcW w:w="1398" w:type="dxa"/>
          </w:tcPr>
          <w:p w14:paraId="1A17BCCF"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8.000</w:t>
            </w:r>
          </w:p>
        </w:tc>
        <w:tc>
          <w:tcPr>
            <w:tcW w:w="1294" w:type="dxa"/>
          </w:tcPr>
          <w:p w14:paraId="1BB301FB"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62.000</w:t>
            </w:r>
          </w:p>
        </w:tc>
        <w:tc>
          <w:tcPr>
            <w:tcW w:w="1296" w:type="dxa"/>
          </w:tcPr>
          <w:p w14:paraId="3D5FB72D"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.553</w:t>
            </w:r>
          </w:p>
        </w:tc>
      </w:tr>
      <w:tr w:rsidR="009968E0" w:rsidRPr="009968E0" w14:paraId="22419750" w14:textId="77777777" w:rsidTr="009968E0">
        <w:trPr>
          <w:cnfStyle w:val="000000100000" w:firstRow="0" w:lastRow="0" w:firstColumn="0" w:lastColumn="0" w:oddVBand="0" w:evenVBand="0" w:oddHBand="1" w:evenHBand="0" w:firstRowFirstColumn="0" w:firstRowLastColumn="0" w:lastRowFirstColumn="0" w:lastRowLastColumn="0"/>
          <w:trHeight w:val="300"/>
        </w:trPr>
        <w:tc>
          <w:tcPr>
            <w:tcW w:w="1063" w:type="dxa"/>
            <w:vMerge/>
            <w:shd w:val="clear" w:color="auto" w:fill="FFFFFF"/>
          </w:tcPr>
          <w:p w14:paraId="3C2F33AE"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1425" w:type="dxa"/>
          </w:tcPr>
          <w:p w14:paraId="79DE71A6"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group</w:t>
            </w:r>
          </w:p>
        </w:tc>
        <w:tc>
          <w:tcPr>
            <w:tcW w:w="1294" w:type="dxa"/>
          </w:tcPr>
          <w:p w14:paraId="65BAEC88"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.778</w:t>
            </w:r>
          </w:p>
        </w:tc>
        <w:tc>
          <w:tcPr>
            <w:tcW w:w="1294" w:type="dxa"/>
          </w:tcPr>
          <w:p w14:paraId="4F1107BB"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0.678</w:t>
            </w:r>
          </w:p>
        </w:tc>
        <w:tc>
          <w:tcPr>
            <w:tcW w:w="1398" w:type="dxa"/>
          </w:tcPr>
          <w:p w14:paraId="5B62611B"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24.000</w:t>
            </w:r>
          </w:p>
        </w:tc>
        <w:tc>
          <w:tcPr>
            <w:tcW w:w="1294" w:type="dxa"/>
          </w:tcPr>
          <w:p w14:paraId="68343048"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180.420</w:t>
            </w:r>
          </w:p>
        </w:tc>
        <w:tc>
          <w:tcPr>
            <w:tcW w:w="1296" w:type="dxa"/>
          </w:tcPr>
          <w:p w14:paraId="352D3471"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.869</w:t>
            </w:r>
          </w:p>
        </w:tc>
      </w:tr>
      <w:tr w:rsidR="009968E0" w:rsidRPr="009968E0" w14:paraId="0E872DFA" w14:textId="77777777" w:rsidTr="009968E0">
        <w:trPr>
          <w:trHeight w:val="300"/>
        </w:trPr>
        <w:tc>
          <w:tcPr>
            <w:tcW w:w="1063" w:type="dxa"/>
            <w:vMerge w:val="restart"/>
            <w:shd w:val="clear" w:color="auto" w:fill="FFFFFF"/>
          </w:tcPr>
          <w:p w14:paraId="49569DBF"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Model 4</w:t>
            </w:r>
          </w:p>
        </w:tc>
        <w:tc>
          <w:tcPr>
            <w:tcW w:w="1425" w:type="dxa"/>
          </w:tcPr>
          <w:p w14:paraId="1AEE7F62"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intercept</w:t>
            </w:r>
          </w:p>
        </w:tc>
        <w:tc>
          <w:tcPr>
            <w:tcW w:w="1294" w:type="dxa"/>
          </w:tcPr>
          <w:p w14:paraId="4A9981A8"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.746</w:t>
            </w:r>
          </w:p>
        </w:tc>
        <w:tc>
          <w:tcPr>
            <w:tcW w:w="1294" w:type="dxa"/>
          </w:tcPr>
          <w:p w14:paraId="7E0FE690"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2.725</w:t>
            </w:r>
          </w:p>
        </w:tc>
        <w:tc>
          <w:tcPr>
            <w:tcW w:w="1398" w:type="dxa"/>
          </w:tcPr>
          <w:p w14:paraId="430D2F07"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8.000</w:t>
            </w:r>
          </w:p>
        </w:tc>
        <w:tc>
          <w:tcPr>
            <w:tcW w:w="1294" w:type="dxa"/>
          </w:tcPr>
          <w:p w14:paraId="6BD1FE2D"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64.000</w:t>
            </w:r>
          </w:p>
        </w:tc>
        <w:tc>
          <w:tcPr>
            <w:tcW w:w="1296" w:type="dxa"/>
          </w:tcPr>
          <w:p w14:paraId="7210EDFE"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.012</w:t>
            </w:r>
          </w:p>
        </w:tc>
      </w:tr>
      <w:tr w:rsidR="009968E0" w:rsidRPr="009968E0" w14:paraId="5F16D8C1" w14:textId="77777777" w:rsidTr="009968E0">
        <w:trPr>
          <w:cnfStyle w:val="000000100000" w:firstRow="0" w:lastRow="0" w:firstColumn="0" w:lastColumn="0" w:oddVBand="0" w:evenVBand="0" w:oddHBand="1" w:evenHBand="0" w:firstRowFirstColumn="0" w:firstRowLastColumn="0" w:lastRowFirstColumn="0" w:lastRowLastColumn="0"/>
          <w:trHeight w:val="300"/>
        </w:trPr>
        <w:tc>
          <w:tcPr>
            <w:tcW w:w="1063" w:type="dxa"/>
            <w:vMerge/>
            <w:shd w:val="clear" w:color="auto" w:fill="FFFFFF"/>
          </w:tcPr>
          <w:p w14:paraId="72FB774E"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1425" w:type="dxa"/>
          </w:tcPr>
          <w:p w14:paraId="341CE0F9" w14:textId="5AEDB3DD"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Likert</w:t>
            </w:r>
          </w:p>
        </w:tc>
        <w:tc>
          <w:tcPr>
            <w:tcW w:w="1294" w:type="dxa"/>
          </w:tcPr>
          <w:p w14:paraId="52EF9130"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.731</w:t>
            </w:r>
          </w:p>
        </w:tc>
        <w:tc>
          <w:tcPr>
            <w:tcW w:w="1294" w:type="dxa"/>
          </w:tcPr>
          <w:p w14:paraId="4BA1CB62"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2.948</w:t>
            </w:r>
          </w:p>
        </w:tc>
        <w:tc>
          <w:tcPr>
            <w:tcW w:w="1398" w:type="dxa"/>
          </w:tcPr>
          <w:p w14:paraId="19044C7D"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8.000</w:t>
            </w:r>
          </w:p>
        </w:tc>
        <w:tc>
          <w:tcPr>
            <w:tcW w:w="1294" w:type="dxa"/>
          </w:tcPr>
          <w:p w14:paraId="54F721BD"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64.000</w:t>
            </w:r>
          </w:p>
        </w:tc>
        <w:tc>
          <w:tcPr>
            <w:tcW w:w="1296" w:type="dxa"/>
          </w:tcPr>
          <w:p w14:paraId="27D630B2"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.007</w:t>
            </w:r>
          </w:p>
        </w:tc>
      </w:tr>
      <w:tr w:rsidR="009968E0" w:rsidRPr="009968E0" w14:paraId="254145D1" w14:textId="77777777" w:rsidTr="009968E0">
        <w:trPr>
          <w:trHeight w:val="320"/>
        </w:trPr>
        <w:tc>
          <w:tcPr>
            <w:tcW w:w="1063" w:type="dxa"/>
            <w:vMerge/>
            <w:shd w:val="clear" w:color="auto" w:fill="FFFFFF"/>
          </w:tcPr>
          <w:p w14:paraId="0A8657E2"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1425" w:type="dxa"/>
          </w:tcPr>
          <w:p w14:paraId="5EE61E90" w14:textId="77777777" w:rsidR="009968E0" w:rsidRPr="009968E0" w:rsidRDefault="009968E0" w:rsidP="009968E0">
            <w:pPr>
              <w:rPr>
                <w:rFonts w:ascii="Calibri" w:eastAsia="Times New Roman" w:hAnsi="Calibri" w:cs="Calibri"/>
                <w:i/>
                <w:color w:val="000000"/>
                <w:sz w:val="22"/>
                <w:szCs w:val="22"/>
                <w:lang w:eastAsia="en-GB"/>
              </w:rPr>
            </w:pPr>
          </w:p>
        </w:tc>
        <w:tc>
          <w:tcPr>
            <w:tcW w:w="1294" w:type="dxa"/>
          </w:tcPr>
          <w:p w14:paraId="3D2F739F"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w:t>
            </w:r>
          </w:p>
        </w:tc>
        <w:tc>
          <w:tcPr>
            <w:tcW w:w="1294" w:type="dxa"/>
          </w:tcPr>
          <w:p w14:paraId="60737785"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w:t>
            </w:r>
          </w:p>
        </w:tc>
        <w:tc>
          <w:tcPr>
            <w:tcW w:w="1398" w:type="dxa"/>
          </w:tcPr>
          <w:p w14:paraId="48BD2493"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w:t>
            </w:r>
          </w:p>
        </w:tc>
        <w:tc>
          <w:tcPr>
            <w:tcW w:w="1294" w:type="dxa"/>
          </w:tcPr>
          <w:p w14:paraId="1B30ED87"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w:t>
            </w:r>
          </w:p>
        </w:tc>
        <w:tc>
          <w:tcPr>
            <w:tcW w:w="1296" w:type="dxa"/>
          </w:tcPr>
          <w:p w14:paraId="3F150A84"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w:t>
            </w:r>
          </w:p>
        </w:tc>
      </w:tr>
    </w:tbl>
    <w:p w14:paraId="542030ED" w14:textId="77777777" w:rsidR="009968E0" w:rsidRPr="009968E0" w:rsidRDefault="009968E0" w:rsidP="009968E0">
      <w:pPr>
        <w:rPr>
          <w:rFonts w:ascii="Calibri" w:eastAsia="Times New Roman" w:hAnsi="Calibri" w:cs="Calibri"/>
          <w:i/>
          <w:sz w:val="22"/>
          <w:szCs w:val="22"/>
          <w:lang w:eastAsia="en-GB"/>
        </w:rPr>
      </w:pPr>
    </w:p>
    <w:p w14:paraId="7201D14E" w14:textId="77777777" w:rsidR="009968E0" w:rsidRPr="00D130F6" w:rsidRDefault="009968E0" w:rsidP="00D130F6">
      <w:pPr>
        <w:pStyle w:val="Quote"/>
      </w:pPr>
      <w:bookmarkStart w:id="687" w:name="_Toc48406164"/>
      <w:bookmarkStart w:id="688" w:name="_Toc49273376"/>
      <w:bookmarkStart w:id="689" w:name="_Toc64724128"/>
      <w:r w:rsidRPr="00D130F6">
        <w:t xml:space="preserve">Table D.21 Delta TTP:  Linear regression of pain perception as measured by Likert scale for Left Thalamus reporting </w:t>
      </w:r>
      <w:proofErr w:type="spellStart"/>
      <w:r w:rsidRPr="00D130F6">
        <w:t>coefficientsa</w:t>
      </w:r>
      <w:proofErr w:type="spellEnd"/>
      <w:r w:rsidRPr="00D130F6">
        <w:t>.</w:t>
      </w:r>
      <w:bookmarkEnd w:id="687"/>
      <w:bookmarkEnd w:id="688"/>
      <w:bookmarkEnd w:id="689"/>
    </w:p>
    <w:tbl>
      <w:tblPr>
        <w:tblStyle w:val="GridTable1Light-Accent62"/>
        <w:tblW w:w="8971" w:type="dxa"/>
        <w:tblLayout w:type="fixed"/>
        <w:tblLook w:val="0400" w:firstRow="0" w:lastRow="0" w:firstColumn="0" w:lastColumn="0" w:noHBand="0" w:noVBand="1"/>
      </w:tblPr>
      <w:tblGrid>
        <w:gridCol w:w="1376"/>
        <w:gridCol w:w="327"/>
        <w:gridCol w:w="1593"/>
        <w:gridCol w:w="1243"/>
        <w:gridCol w:w="1237"/>
        <w:gridCol w:w="1379"/>
        <w:gridCol w:w="912"/>
        <w:gridCol w:w="904"/>
      </w:tblGrid>
      <w:tr w:rsidR="009968E0" w:rsidRPr="009968E0" w14:paraId="2C49C301" w14:textId="77777777" w:rsidTr="009968E0">
        <w:trPr>
          <w:trHeight w:val="680"/>
        </w:trPr>
        <w:tc>
          <w:tcPr>
            <w:tcW w:w="3296" w:type="dxa"/>
            <w:gridSpan w:val="3"/>
            <w:vMerge w:val="restart"/>
            <w:shd w:val="clear" w:color="auto" w:fill="FDE9D9"/>
          </w:tcPr>
          <w:p w14:paraId="4AC79C0A"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Group</w:t>
            </w:r>
          </w:p>
        </w:tc>
        <w:tc>
          <w:tcPr>
            <w:tcW w:w="2480" w:type="dxa"/>
            <w:gridSpan w:val="2"/>
            <w:shd w:val="clear" w:color="auto" w:fill="FDE9D9"/>
          </w:tcPr>
          <w:p w14:paraId="66BA0B77"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Unstandardized Coefficients</w:t>
            </w:r>
          </w:p>
        </w:tc>
        <w:tc>
          <w:tcPr>
            <w:tcW w:w="1379" w:type="dxa"/>
            <w:shd w:val="clear" w:color="auto" w:fill="FDE9D9"/>
          </w:tcPr>
          <w:p w14:paraId="0A56BA49"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Standardized Coefficients</w:t>
            </w:r>
          </w:p>
        </w:tc>
        <w:tc>
          <w:tcPr>
            <w:tcW w:w="912" w:type="dxa"/>
            <w:vMerge w:val="restart"/>
            <w:shd w:val="clear" w:color="auto" w:fill="FDE9D9"/>
          </w:tcPr>
          <w:p w14:paraId="3C354522"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t</w:t>
            </w:r>
          </w:p>
        </w:tc>
        <w:tc>
          <w:tcPr>
            <w:tcW w:w="904" w:type="dxa"/>
            <w:vMerge w:val="restart"/>
            <w:shd w:val="clear" w:color="auto" w:fill="FDE9D9"/>
          </w:tcPr>
          <w:p w14:paraId="62A9EF2F"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Sig.</w:t>
            </w:r>
          </w:p>
        </w:tc>
      </w:tr>
      <w:tr w:rsidR="009968E0" w:rsidRPr="009968E0" w14:paraId="0FCD7239" w14:textId="77777777" w:rsidTr="009968E0">
        <w:trPr>
          <w:trHeight w:val="360"/>
        </w:trPr>
        <w:tc>
          <w:tcPr>
            <w:tcW w:w="3296" w:type="dxa"/>
            <w:gridSpan w:val="3"/>
            <w:vMerge/>
          </w:tcPr>
          <w:p w14:paraId="24CACA8B"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1243" w:type="dxa"/>
          </w:tcPr>
          <w:p w14:paraId="12C8ED6C"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B</w:t>
            </w:r>
          </w:p>
        </w:tc>
        <w:tc>
          <w:tcPr>
            <w:tcW w:w="1237" w:type="dxa"/>
          </w:tcPr>
          <w:p w14:paraId="4149012E"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Std. Error</w:t>
            </w:r>
          </w:p>
        </w:tc>
        <w:tc>
          <w:tcPr>
            <w:tcW w:w="1379" w:type="dxa"/>
          </w:tcPr>
          <w:p w14:paraId="28BF1D5A"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Beta</w:t>
            </w:r>
          </w:p>
        </w:tc>
        <w:tc>
          <w:tcPr>
            <w:tcW w:w="912" w:type="dxa"/>
            <w:vMerge/>
          </w:tcPr>
          <w:p w14:paraId="46D5BECA"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904" w:type="dxa"/>
            <w:vMerge/>
          </w:tcPr>
          <w:p w14:paraId="110534F6"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r>
      <w:tr w:rsidR="009968E0" w:rsidRPr="009968E0" w14:paraId="3B0BAD81" w14:textId="77777777" w:rsidTr="009968E0">
        <w:trPr>
          <w:trHeight w:val="360"/>
        </w:trPr>
        <w:tc>
          <w:tcPr>
            <w:tcW w:w="1376" w:type="dxa"/>
            <w:vMerge w:val="restart"/>
            <w:shd w:val="clear" w:color="auto" w:fill="FDE9D9"/>
          </w:tcPr>
          <w:p w14:paraId="57A3B8AA"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P-DPN</w:t>
            </w:r>
          </w:p>
        </w:tc>
        <w:tc>
          <w:tcPr>
            <w:tcW w:w="327" w:type="dxa"/>
            <w:vMerge w:val="restart"/>
          </w:tcPr>
          <w:p w14:paraId="3EF0484B"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w:t>
            </w:r>
          </w:p>
        </w:tc>
        <w:tc>
          <w:tcPr>
            <w:tcW w:w="1593" w:type="dxa"/>
          </w:tcPr>
          <w:p w14:paraId="23124CB9"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(Constant)</w:t>
            </w:r>
          </w:p>
        </w:tc>
        <w:tc>
          <w:tcPr>
            <w:tcW w:w="1243" w:type="dxa"/>
          </w:tcPr>
          <w:p w14:paraId="10162921"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-.672</w:t>
            </w:r>
          </w:p>
        </w:tc>
        <w:tc>
          <w:tcPr>
            <w:tcW w:w="1237" w:type="dxa"/>
          </w:tcPr>
          <w:p w14:paraId="3D349B40"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1.051</w:t>
            </w:r>
          </w:p>
        </w:tc>
        <w:tc>
          <w:tcPr>
            <w:tcW w:w="1379" w:type="dxa"/>
          </w:tcPr>
          <w:p w14:paraId="2634ABEF"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w:t>
            </w:r>
          </w:p>
        </w:tc>
        <w:tc>
          <w:tcPr>
            <w:tcW w:w="912" w:type="dxa"/>
          </w:tcPr>
          <w:p w14:paraId="4DB4C6D1"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-.640</w:t>
            </w:r>
          </w:p>
        </w:tc>
        <w:tc>
          <w:tcPr>
            <w:tcW w:w="904" w:type="dxa"/>
          </w:tcPr>
          <w:p w14:paraId="2B3C1558"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.531</w:t>
            </w:r>
          </w:p>
        </w:tc>
      </w:tr>
      <w:tr w:rsidR="009968E0" w:rsidRPr="009968E0" w14:paraId="7292AEA0" w14:textId="77777777" w:rsidTr="009968E0">
        <w:trPr>
          <w:trHeight w:val="360"/>
        </w:trPr>
        <w:tc>
          <w:tcPr>
            <w:tcW w:w="1376" w:type="dxa"/>
            <w:vMerge/>
            <w:shd w:val="clear" w:color="auto" w:fill="FDE9D9"/>
          </w:tcPr>
          <w:p w14:paraId="4A0C1437"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327" w:type="dxa"/>
            <w:vMerge/>
          </w:tcPr>
          <w:p w14:paraId="4C706077"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1593" w:type="dxa"/>
          </w:tcPr>
          <w:p w14:paraId="0E3190F2" w14:textId="77777777" w:rsidR="009968E0" w:rsidRPr="009968E0" w:rsidRDefault="009968E0" w:rsidP="009968E0">
            <w:pPr>
              <w:rPr>
                <w:rFonts w:ascii="Calibri" w:eastAsia="Times New Roman" w:hAnsi="Calibri" w:cs="Calibri"/>
                <w:i/>
                <w:color w:val="000000"/>
                <w:sz w:val="22"/>
                <w:szCs w:val="22"/>
                <w:lang w:eastAsia="en-GB"/>
              </w:rPr>
            </w:pPr>
            <w:proofErr w:type="spellStart"/>
            <w:r w:rsidRPr="009968E0">
              <w:rPr>
                <w:rFonts w:ascii="Calibri" w:eastAsia="Times New Roman" w:hAnsi="Calibri" w:cs="Calibri"/>
                <w:i/>
                <w:color w:val="000000"/>
                <w:sz w:val="22"/>
                <w:szCs w:val="22"/>
                <w:lang w:eastAsia="en-GB"/>
              </w:rPr>
              <w:t>likertscale_gad</w:t>
            </w:r>
            <w:proofErr w:type="spellEnd"/>
          </w:p>
        </w:tc>
        <w:tc>
          <w:tcPr>
            <w:tcW w:w="1243" w:type="dxa"/>
          </w:tcPr>
          <w:p w14:paraId="1E9253FB"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.163</w:t>
            </w:r>
          </w:p>
        </w:tc>
        <w:tc>
          <w:tcPr>
            <w:tcW w:w="1237" w:type="dxa"/>
          </w:tcPr>
          <w:p w14:paraId="6EAC8345"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.140</w:t>
            </w:r>
          </w:p>
        </w:tc>
        <w:tc>
          <w:tcPr>
            <w:tcW w:w="1379" w:type="dxa"/>
          </w:tcPr>
          <w:p w14:paraId="6B34EC05"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.278</w:t>
            </w:r>
          </w:p>
        </w:tc>
        <w:tc>
          <w:tcPr>
            <w:tcW w:w="912" w:type="dxa"/>
          </w:tcPr>
          <w:p w14:paraId="684F62B1"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1.160</w:t>
            </w:r>
          </w:p>
        </w:tc>
        <w:tc>
          <w:tcPr>
            <w:tcW w:w="904" w:type="dxa"/>
          </w:tcPr>
          <w:p w14:paraId="488A0946"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.263</w:t>
            </w:r>
          </w:p>
        </w:tc>
      </w:tr>
      <w:tr w:rsidR="009968E0" w:rsidRPr="009968E0" w14:paraId="1EE5C666" w14:textId="77777777" w:rsidTr="009968E0">
        <w:trPr>
          <w:trHeight w:val="360"/>
        </w:trPr>
        <w:tc>
          <w:tcPr>
            <w:tcW w:w="1376" w:type="dxa"/>
            <w:vMerge w:val="restart"/>
          </w:tcPr>
          <w:p w14:paraId="0042150F"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DPN</w:t>
            </w:r>
          </w:p>
        </w:tc>
        <w:tc>
          <w:tcPr>
            <w:tcW w:w="327" w:type="dxa"/>
            <w:vMerge w:val="restart"/>
          </w:tcPr>
          <w:p w14:paraId="022E8757"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w:t>
            </w:r>
          </w:p>
        </w:tc>
        <w:tc>
          <w:tcPr>
            <w:tcW w:w="1593" w:type="dxa"/>
          </w:tcPr>
          <w:p w14:paraId="4E0AD27F"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(Constant)</w:t>
            </w:r>
          </w:p>
        </w:tc>
        <w:tc>
          <w:tcPr>
            <w:tcW w:w="1243" w:type="dxa"/>
          </w:tcPr>
          <w:p w14:paraId="103A3BB4"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.397</w:t>
            </w:r>
          </w:p>
        </w:tc>
        <w:tc>
          <w:tcPr>
            <w:tcW w:w="1237" w:type="dxa"/>
          </w:tcPr>
          <w:p w14:paraId="25111952"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.988</w:t>
            </w:r>
          </w:p>
        </w:tc>
        <w:tc>
          <w:tcPr>
            <w:tcW w:w="1379" w:type="dxa"/>
          </w:tcPr>
          <w:p w14:paraId="1C0529B8"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w:t>
            </w:r>
          </w:p>
        </w:tc>
        <w:tc>
          <w:tcPr>
            <w:tcW w:w="912" w:type="dxa"/>
          </w:tcPr>
          <w:p w14:paraId="0D1E43E6"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.402</w:t>
            </w:r>
          </w:p>
        </w:tc>
        <w:tc>
          <w:tcPr>
            <w:tcW w:w="904" w:type="dxa"/>
          </w:tcPr>
          <w:p w14:paraId="5D1F900A"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.692</w:t>
            </w:r>
          </w:p>
        </w:tc>
      </w:tr>
      <w:tr w:rsidR="009968E0" w:rsidRPr="009968E0" w14:paraId="3FC4F8DB" w14:textId="77777777" w:rsidTr="009968E0">
        <w:trPr>
          <w:trHeight w:val="360"/>
        </w:trPr>
        <w:tc>
          <w:tcPr>
            <w:tcW w:w="1376" w:type="dxa"/>
            <w:vMerge/>
          </w:tcPr>
          <w:p w14:paraId="6FF8E6B5"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327" w:type="dxa"/>
            <w:vMerge/>
          </w:tcPr>
          <w:p w14:paraId="3AB79BAD"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1593" w:type="dxa"/>
          </w:tcPr>
          <w:p w14:paraId="30DC014F" w14:textId="77777777" w:rsidR="009968E0" w:rsidRPr="009968E0" w:rsidRDefault="009968E0" w:rsidP="009968E0">
            <w:pPr>
              <w:rPr>
                <w:rFonts w:ascii="Calibri" w:eastAsia="Times New Roman" w:hAnsi="Calibri" w:cs="Calibri"/>
                <w:i/>
                <w:color w:val="000000"/>
                <w:sz w:val="22"/>
                <w:szCs w:val="22"/>
                <w:lang w:eastAsia="en-GB"/>
              </w:rPr>
            </w:pPr>
            <w:proofErr w:type="spellStart"/>
            <w:r w:rsidRPr="009968E0">
              <w:rPr>
                <w:rFonts w:ascii="Calibri" w:eastAsia="Times New Roman" w:hAnsi="Calibri" w:cs="Calibri"/>
                <w:i/>
                <w:color w:val="000000"/>
                <w:sz w:val="22"/>
                <w:szCs w:val="22"/>
                <w:lang w:eastAsia="en-GB"/>
              </w:rPr>
              <w:t>likertscale_gad</w:t>
            </w:r>
            <w:proofErr w:type="spellEnd"/>
          </w:p>
        </w:tc>
        <w:tc>
          <w:tcPr>
            <w:tcW w:w="1243" w:type="dxa"/>
          </w:tcPr>
          <w:p w14:paraId="032AF5CA"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-.080</w:t>
            </w:r>
          </w:p>
        </w:tc>
        <w:tc>
          <w:tcPr>
            <w:tcW w:w="1237" w:type="dxa"/>
          </w:tcPr>
          <w:p w14:paraId="222401CE"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.136</w:t>
            </w:r>
          </w:p>
        </w:tc>
        <w:tc>
          <w:tcPr>
            <w:tcW w:w="1379" w:type="dxa"/>
          </w:tcPr>
          <w:p w14:paraId="5A65F0E3"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-.127</w:t>
            </w:r>
          </w:p>
        </w:tc>
        <w:tc>
          <w:tcPr>
            <w:tcW w:w="912" w:type="dxa"/>
          </w:tcPr>
          <w:p w14:paraId="13D71606"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-.587</w:t>
            </w:r>
          </w:p>
        </w:tc>
        <w:tc>
          <w:tcPr>
            <w:tcW w:w="904" w:type="dxa"/>
          </w:tcPr>
          <w:p w14:paraId="3D74AAB0"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.564</w:t>
            </w:r>
          </w:p>
        </w:tc>
      </w:tr>
      <w:tr w:rsidR="009968E0" w:rsidRPr="009968E0" w14:paraId="1F5722FD" w14:textId="77777777" w:rsidTr="009968E0">
        <w:trPr>
          <w:trHeight w:val="360"/>
        </w:trPr>
        <w:tc>
          <w:tcPr>
            <w:tcW w:w="1376" w:type="dxa"/>
            <w:vMerge w:val="restart"/>
            <w:shd w:val="clear" w:color="auto" w:fill="FDE9D9"/>
          </w:tcPr>
          <w:p w14:paraId="028BB803"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Arial" w:hAnsi="Calibri" w:cs="Calibri"/>
                <w:i/>
                <w:color w:val="000000"/>
                <w:sz w:val="22"/>
                <w:szCs w:val="22"/>
                <w:lang w:eastAsia="en-GB"/>
              </w:rPr>
              <w:t>DM-NN</w:t>
            </w:r>
          </w:p>
        </w:tc>
        <w:tc>
          <w:tcPr>
            <w:tcW w:w="327" w:type="dxa"/>
            <w:vMerge w:val="restart"/>
          </w:tcPr>
          <w:p w14:paraId="451F0562"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w:t>
            </w:r>
          </w:p>
        </w:tc>
        <w:tc>
          <w:tcPr>
            <w:tcW w:w="1593" w:type="dxa"/>
          </w:tcPr>
          <w:p w14:paraId="521E6695"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(Constant)</w:t>
            </w:r>
          </w:p>
        </w:tc>
        <w:tc>
          <w:tcPr>
            <w:tcW w:w="1243" w:type="dxa"/>
          </w:tcPr>
          <w:p w14:paraId="735234C6"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.254</w:t>
            </w:r>
          </w:p>
        </w:tc>
        <w:tc>
          <w:tcPr>
            <w:tcW w:w="1237" w:type="dxa"/>
          </w:tcPr>
          <w:p w14:paraId="33BF772F"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1.923</w:t>
            </w:r>
          </w:p>
        </w:tc>
        <w:tc>
          <w:tcPr>
            <w:tcW w:w="1379" w:type="dxa"/>
          </w:tcPr>
          <w:p w14:paraId="534C053D"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w:t>
            </w:r>
          </w:p>
        </w:tc>
        <w:tc>
          <w:tcPr>
            <w:tcW w:w="912" w:type="dxa"/>
          </w:tcPr>
          <w:p w14:paraId="2671D3B9"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.132</w:t>
            </w:r>
          </w:p>
        </w:tc>
        <w:tc>
          <w:tcPr>
            <w:tcW w:w="904" w:type="dxa"/>
          </w:tcPr>
          <w:p w14:paraId="77D41C85"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.897</w:t>
            </w:r>
          </w:p>
        </w:tc>
      </w:tr>
      <w:tr w:rsidR="009968E0" w:rsidRPr="009968E0" w14:paraId="220B01A6" w14:textId="77777777" w:rsidTr="009968E0">
        <w:trPr>
          <w:trHeight w:val="360"/>
        </w:trPr>
        <w:tc>
          <w:tcPr>
            <w:tcW w:w="1376" w:type="dxa"/>
            <w:vMerge/>
            <w:shd w:val="clear" w:color="auto" w:fill="FDE9D9"/>
          </w:tcPr>
          <w:p w14:paraId="6CE6035F"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327" w:type="dxa"/>
            <w:vMerge/>
          </w:tcPr>
          <w:p w14:paraId="4F1C4DF2"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1593" w:type="dxa"/>
          </w:tcPr>
          <w:p w14:paraId="0BE70F44" w14:textId="77777777" w:rsidR="009968E0" w:rsidRPr="009968E0" w:rsidRDefault="009968E0" w:rsidP="009968E0">
            <w:pPr>
              <w:rPr>
                <w:rFonts w:ascii="Calibri" w:eastAsia="Times New Roman" w:hAnsi="Calibri" w:cs="Calibri"/>
                <w:i/>
                <w:color w:val="000000"/>
                <w:sz w:val="22"/>
                <w:szCs w:val="22"/>
                <w:lang w:eastAsia="en-GB"/>
              </w:rPr>
            </w:pPr>
            <w:proofErr w:type="spellStart"/>
            <w:r w:rsidRPr="009968E0">
              <w:rPr>
                <w:rFonts w:ascii="Calibri" w:eastAsia="Times New Roman" w:hAnsi="Calibri" w:cs="Calibri"/>
                <w:i/>
                <w:color w:val="000000"/>
                <w:sz w:val="22"/>
                <w:szCs w:val="22"/>
                <w:lang w:eastAsia="en-GB"/>
              </w:rPr>
              <w:t>likertscale_gad</w:t>
            </w:r>
            <w:proofErr w:type="spellEnd"/>
          </w:p>
        </w:tc>
        <w:tc>
          <w:tcPr>
            <w:tcW w:w="1243" w:type="dxa"/>
          </w:tcPr>
          <w:p w14:paraId="3A4148B8"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-.040</w:t>
            </w:r>
          </w:p>
        </w:tc>
        <w:tc>
          <w:tcPr>
            <w:tcW w:w="1237" w:type="dxa"/>
          </w:tcPr>
          <w:p w14:paraId="758F8A57"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.255</w:t>
            </w:r>
          </w:p>
        </w:tc>
        <w:tc>
          <w:tcPr>
            <w:tcW w:w="1379" w:type="dxa"/>
          </w:tcPr>
          <w:p w14:paraId="1EBB2118"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-.047</w:t>
            </w:r>
          </w:p>
        </w:tc>
        <w:tc>
          <w:tcPr>
            <w:tcW w:w="912" w:type="dxa"/>
          </w:tcPr>
          <w:p w14:paraId="0BF1685E"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-.157</w:t>
            </w:r>
          </w:p>
        </w:tc>
        <w:tc>
          <w:tcPr>
            <w:tcW w:w="904" w:type="dxa"/>
          </w:tcPr>
          <w:p w14:paraId="473D9F09"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.878</w:t>
            </w:r>
          </w:p>
        </w:tc>
      </w:tr>
      <w:tr w:rsidR="009968E0" w:rsidRPr="009968E0" w14:paraId="46062190" w14:textId="77777777" w:rsidTr="009968E0">
        <w:trPr>
          <w:trHeight w:val="360"/>
        </w:trPr>
        <w:tc>
          <w:tcPr>
            <w:tcW w:w="1376" w:type="dxa"/>
            <w:vMerge w:val="restart"/>
          </w:tcPr>
          <w:p w14:paraId="1B4B0DEE"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HV</w:t>
            </w:r>
          </w:p>
        </w:tc>
        <w:tc>
          <w:tcPr>
            <w:tcW w:w="327" w:type="dxa"/>
            <w:vMerge w:val="restart"/>
          </w:tcPr>
          <w:p w14:paraId="29622806"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w:t>
            </w:r>
          </w:p>
        </w:tc>
        <w:tc>
          <w:tcPr>
            <w:tcW w:w="1593" w:type="dxa"/>
          </w:tcPr>
          <w:p w14:paraId="35A62960"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(Constant)</w:t>
            </w:r>
          </w:p>
        </w:tc>
        <w:tc>
          <w:tcPr>
            <w:tcW w:w="1243" w:type="dxa"/>
          </w:tcPr>
          <w:p w14:paraId="428E0E62"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3.894</w:t>
            </w:r>
          </w:p>
        </w:tc>
        <w:tc>
          <w:tcPr>
            <w:tcW w:w="1237" w:type="dxa"/>
          </w:tcPr>
          <w:p w14:paraId="5ECA9C84"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1.599</w:t>
            </w:r>
          </w:p>
        </w:tc>
        <w:tc>
          <w:tcPr>
            <w:tcW w:w="1379" w:type="dxa"/>
          </w:tcPr>
          <w:p w14:paraId="1DE368C5"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w:t>
            </w:r>
          </w:p>
        </w:tc>
        <w:tc>
          <w:tcPr>
            <w:tcW w:w="912" w:type="dxa"/>
          </w:tcPr>
          <w:p w14:paraId="383707DD"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2.435</w:t>
            </w:r>
          </w:p>
        </w:tc>
        <w:tc>
          <w:tcPr>
            <w:tcW w:w="904" w:type="dxa"/>
          </w:tcPr>
          <w:p w14:paraId="323568E7"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.026</w:t>
            </w:r>
          </w:p>
        </w:tc>
      </w:tr>
      <w:tr w:rsidR="009968E0" w:rsidRPr="009968E0" w14:paraId="5903431F" w14:textId="77777777" w:rsidTr="009968E0">
        <w:trPr>
          <w:trHeight w:val="360"/>
        </w:trPr>
        <w:tc>
          <w:tcPr>
            <w:tcW w:w="1376" w:type="dxa"/>
            <w:vMerge/>
          </w:tcPr>
          <w:p w14:paraId="74425B44"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327" w:type="dxa"/>
            <w:vMerge/>
          </w:tcPr>
          <w:p w14:paraId="30B42442"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1593" w:type="dxa"/>
          </w:tcPr>
          <w:p w14:paraId="09DFC8D4" w14:textId="77777777" w:rsidR="009968E0" w:rsidRPr="009968E0" w:rsidRDefault="009968E0" w:rsidP="009968E0">
            <w:pPr>
              <w:rPr>
                <w:rFonts w:ascii="Calibri" w:eastAsia="Times New Roman" w:hAnsi="Calibri" w:cs="Calibri"/>
                <w:i/>
                <w:color w:val="000000"/>
                <w:sz w:val="22"/>
                <w:szCs w:val="22"/>
                <w:lang w:eastAsia="en-GB"/>
              </w:rPr>
            </w:pPr>
            <w:proofErr w:type="spellStart"/>
            <w:r w:rsidRPr="009968E0">
              <w:rPr>
                <w:rFonts w:ascii="Calibri" w:eastAsia="Times New Roman" w:hAnsi="Calibri" w:cs="Calibri"/>
                <w:i/>
                <w:color w:val="000000"/>
                <w:sz w:val="22"/>
                <w:szCs w:val="22"/>
                <w:lang w:eastAsia="en-GB"/>
              </w:rPr>
              <w:t>likertscale_gad</w:t>
            </w:r>
            <w:proofErr w:type="spellEnd"/>
          </w:p>
        </w:tc>
        <w:tc>
          <w:tcPr>
            <w:tcW w:w="1243" w:type="dxa"/>
          </w:tcPr>
          <w:p w14:paraId="6928201D"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-.603</w:t>
            </w:r>
          </w:p>
        </w:tc>
        <w:tc>
          <w:tcPr>
            <w:tcW w:w="1237" w:type="dxa"/>
          </w:tcPr>
          <w:p w14:paraId="4364F418"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.230</w:t>
            </w:r>
          </w:p>
        </w:tc>
        <w:tc>
          <w:tcPr>
            <w:tcW w:w="1379" w:type="dxa"/>
          </w:tcPr>
          <w:p w14:paraId="12F5045A"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-.536</w:t>
            </w:r>
          </w:p>
        </w:tc>
        <w:tc>
          <w:tcPr>
            <w:tcW w:w="912" w:type="dxa"/>
          </w:tcPr>
          <w:p w14:paraId="5CB4BD0C"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-2.619</w:t>
            </w:r>
          </w:p>
        </w:tc>
        <w:tc>
          <w:tcPr>
            <w:tcW w:w="904" w:type="dxa"/>
          </w:tcPr>
          <w:p w14:paraId="1CC552B9"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.018</w:t>
            </w:r>
          </w:p>
        </w:tc>
      </w:tr>
      <w:tr w:rsidR="009968E0" w:rsidRPr="009968E0" w14:paraId="51F35920" w14:textId="77777777" w:rsidTr="009968E0">
        <w:trPr>
          <w:trHeight w:val="380"/>
        </w:trPr>
        <w:tc>
          <w:tcPr>
            <w:tcW w:w="8971" w:type="dxa"/>
            <w:gridSpan w:val="8"/>
          </w:tcPr>
          <w:p w14:paraId="6D32D3C7" w14:textId="638EF3F8" w:rsidR="009968E0" w:rsidRPr="009968E0" w:rsidRDefault="009968E0" w:rsidP="009968E0">
            <w:pPr>
              <w:rPr>
                <w:rFonts w:ascii="Calibri" w:eastAsia="Times New Roman" w:hAnsi="Calibri" w:cs="Calibri"/>
                <w:i/>
                <w:color w:val="808080"/>
                <w:sz w:val="22"/>
                <w:szCs w:val="22"/>
                <w:lang w:eastAsia="en-GB"/>
              </w:rPr>
            </w:pPr>
            <w:r w:rsidRPr="009968E0">
              <w:rPr>
                <w:rFonts w:ascii="Calibri" w:eastAsia="Times New Roman" w:hAnsi="Calibri" w:cs="Calibri"/>
                <w:i/>
                <w:color w:val="808080"/>
                <w:sz w:val="22"/>
                <w:szCs w:val="22"/>
                <w:lang w:eastAsia="en-GB"/>
              </w:rPr>
              <w:t xml:space="preserve">a. Dependent Variable: </w:t>
            </w:r>
            <w:proofErr w:type="spellStart"/>
            <w:r w:rsidR="0068219A">
              <w:rPr>
                <w:rFonts w:ascii="Calibri" w:eastAsia="Times New Roman" w:hAnsi="Calibri" w:cs="Calibri"/>
                <w:i/>
                <w:color w:val="808080"/>
                <w:sz w:val="22"/>
                <w:szCs w:val="22"/>
                <w:lang w:eastAsia="en-GB"/>
              </w:rPr>
              <w:t>Δ</w:t>
            </w:r>
            <w:r w:rsidRPr="009968E0">
              <w:rPr>
                <w:rFonts w:ascii="Calibri" w:eastAsia="Times New Roman" w:hAnsi="Calibri" w:cs="Calibri"/>
                <w:i/>
                <w:color w:val="808080"/>
                <w:sz w:val="22"/>
                <w:szCs w:val="22"/>
                <w:lang w:eastAsia="en-GB"/>
              </w:rPr>
              <w:t>_TTP_</w:t>
            </w:r>
            <w:r w:rsidR="00264184">
              <w:rPr>
                <w:rFonts w:ascii="Calibri" w:eastAsia="Times New Roman" w:hAnsi="Calibri" w:cs="Calibri"/>
                <w:i/>
                <w:color w:val="808080"/>
                <w:sz w:val="22"/>
                <w:szCs w:val="22"/>
                <w:lang w:eastAsia="en-GB"/>
              </w:rPr>
              <w:t>LThal</w:t>
            </w:r>
            <w:proofErr w:type="spellEnd"/>
          </w:p>
        </w:tc>
      </w:tr>
    </w:tbl>
    <w:p w14:paraId="7FAF06C0" w14:textId="77777777" w:rsidR="009968E0" w:rsidRPr="009968E0" w:rsidRDefault="009968E0" w:rsidP="009968E0">
      <w:pPr>
        <w:rPr>
          <w:rFonts w:ascii="Times New Roman" w:eastAsia="Times New Roman" w:hAnsi="Times New Roman" w:cs="Arial"/>
          <w:lang w:eastAsia="en-GB"/>
        </w:rPr>
      </w:pPr>
    </w:p>
    <w:p w14:paraId="78A2E3B1" w14:textId="7333F672" w:rsidR="009968E0" w:rsidRPr="00D130F6" w:rsidRDefault="009968E0" w:rsidP="00D130F6">
      <w:pPr>
        <w:pStyle w:val="Quote"/>
      </w:pPr>
      <w:bookmarkStart w:id="690" w:name="_Toc48406165"/>
      <w:bookmarkStart w:id="691" w:name="_Toc49273377"/>
      <w:bookmarkStart w:id="692" w:name="_Toc64724129"/>
      <w:r w:rsidRPr="00D130F6">
        <w:t xml:space="preserve">Table D.22: ANOVA comparing regression slopes and intercepts for statistical significance for delta </w:t>
      </w:r>
      <w:proofErr w:type="spellStart"/>
      <w:r w:rsidRPr="00D130F6">
        <w:t>TTP_</w:t>
      </w:r>
      <w:r w:rsidR="00264184">
        <w:t>LThal</w:t>
      </w:r>
      <w:bookmarkEnd w:id="690"/>
      <w:bookmarkEnd w:id="691"/>
      <w:bookmarkEnd w:id="692"/>
      <w:proofErr w:type="spellEnd"/>
    </w:p>
    <w:tbl>
      <w:tblPr>
        <w:tblStyle w:val="GridTable2-Accent212"/>
        <w:tblW w:w="9064" w:type="dxa"/>
        <w:tblLayout w:type="fixed"/>
        <w:tblLook w:val="0400" w:firstRow="0" w:lastRow="0" w:firstColumn="0" w:lastColumn="0" w:noHBand="0" w:noVBand="1"/>
      </w:tblPr>
      <w:tblGrid>
        <w:gridCol w:w="3808"/>
        <w:gridCol w:w="1177"/>
        <w:gridCol w:w="1541"/>
        <w:gridCol w:w="1345"/>
        <w:gridCol w:w="1193"/>
      </w:tblGrid>
      <w:tr w:rsidR="009968E0" w:rsidRPr="009968E0" w14:paraId="294338FF" w14:textId="77777777" w:rsidTr="009968E0">
        <w:trPr>
          <w:cnfStyle w:val="000000100000" w:firstRow="0" w:lastRow="0" w:firstColumn="0" w:lastColumn="0" w:oddVBand="0" w:evenVBand="0" w:oddHBand="1" w:evenHBand="0" w:firstRowFirstColumn="0" w:firstRowLastColumn="0" w:lastRowFirstColumn="0" w:lastRowLastColumn="0"/>
          <w:trHeight w:val="480"/>
        </w:trPr>
        <w:tc>
          <w:tcPr>
            <w:tcW w:w="9064" w:type="dxa"/>
            <w:gridSpan w:val="5"/>
          </w:tcPr>
          <w:p w14:paraId="1C05E587" w14:textId="77777777" w:rsidR="009968E0" w:rsidRPr="009968E0" w:rsidRDefault="009968E0" w:rsidP="009968E0">
            <w:pPr>
              <w:rPr>
                <w:rFonts w:ascii="Calibri" w:eastAsia="Calibri" w:hAnsi="Calibri" w:cs="Calibri"/>
                <w:i/>
                <w:color w:val="4F81BD"/>
                <w:sz w:val="22"/>
                <w:szCs w:val="22"/>
                <w:lang w:eastAsia="en-GB"/>
              </w:rPr>
            </w:pPr>
          </w:p>
        </w:tc>
      </w:tr>
      <w:tr w:rsidR="009968E0" w:rsidRPr="009968E0" w14:paraId="10A560C1" w14:textId="77777777" w:rsidTr="009968E0">
        <w:trPr>
          <w:trHeight w:val="800"/>
        </w:trPr>
        <w:tc>
          <w:tcPr>
            <w:tcW w:w="3808" w:type="dxa"/>
          </w:tcPr>
          <w:p w14:paraId="12EE5705"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Model</w:t>
            </w:r>
          </w:p>
        </w:tc>
        <w:tc>
          <w:tcPr>
            <w:tcW w:w="1177" w:type="dxa"/>
          </w:tcPr>
          <w:p w14:paraId="5C8D2020"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df</w:t>
            </w:r>
          </w:p>
        </w:tc>
        <w:tc>
          <w:tcPr>
            <w:tcW w:w="1541" w:type="dxa"/>
          </w:tcPr>
          <w:p w14:paraId="2D164624"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F</w:t>
            </w:r>
          </w:p>
        </w:tc>
        <w:tc>
          <w:tcPr>
            <w:tcW w:w="1345" w:type="dxa"/>
          </w:tcPr>
          <w:p w14:paraId="4A8D96BD"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Sig.</w:t>
            </w:r>
          </w:p>
        </w:tc>
        <w:tc>
          <w:tcPr>
            <w:tcW w:w="1193" w:type="dxa"/>
          </w:tcPr>
          <w:p w14:paraId="34DCAB53"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R Square Change</w:t>
            </w:r>
          </w:p>
        </w:tc>
      </w:tr>
      <w:tr w:rsidR="009968E0" w:rsidRPr="009968E0" w14:paraId="1EE0EBD8"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tcW w:w="3808" w:type="dxa"/>
          </w:tcPr>
          <w:p w14:paraId="337D782C" w14:textId="77777777" w:rsidR="009968E0" w:rsidRPr="009968E0" w:rsidRDefault="009968E0" w:rsidP="009968E0">
            <w:pPr>
              <w:rPr>
                <w:rFonts w:ascii="Calibri" w:eastAsia="Times New Roman" w:hAnsi="Calibri" w:cs="Calibri"/>
                <w:i/>
                <w:color w:val="000000"/>
                <w:sz w:val="22"/>
                <w:szCs w:val="22"/>
                <w:lang w:eastAsia="en-GB"/>
              </w:rPr>
            </w:pPr>
            <w:proofErr w:type="spellStart"/>
            <w:r w:rsidRPr="009968E0">
              <w:rPr>
                <w:rFonts w:ascii="Calibri" w:eastAsia="Times New Roman" w:hAnsi="Calibri" w:cs="Calibri"/>
                <w:i/>
                <w:color w:val="000000"/>
                <w:sz w:val="22"/>
                <w:szCs w:val="22"/>
                <w:lang w:eastAsia="en-GB"/>
              </w:rPr>
              <w:t>likert_centred</w:t>
            </w:r>
            <w:proofErr w:type="spellEnd"/>
          </w:p>
        </w:tc>
        <w:tc>
          <w:tcPr>
            <w:tcW w:w="1177" w:type="dxa"/>
          </w:tcPr>
          <w:p w14:paraId="6F780254"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w:t>
            </w:r>
          </w:p>
        </w:tc>
        <w:tc>
          <w:tcPr>
            <w:tcW w:w="1541" w:type="dxa"/>
          </w:tcPr>
          <w:p w14:paraId="69FE4241"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1.067</w:t>
            </w:r>
          </w:p>
        </w:tc>
        <w:tc>
          <w:tcPr>
            <w:tcW w:w="1345" w:type="dxa"/>
          </w:tcPr>
          <w:p w14:paraId="5A40ADA0"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.306</w:t>
            </w:r>
            <w:r w:rsidRPr="009968E0">
              <w:rPr>
                <w:rFonts w:ascii="Calibri" w:eastAsia="Times New Roman" w:hAnsi="Calibri" w:cs="Calibri"/>
                <w:i/>
                <w:color w:val="000000"/>
                <w:sz w:val="22"/>
                <w:szCs w:val="22"/>
                <w:vertAlign w:val="superscript"/>
                <w:lang w:eastAsia="en-GB"/>
              </w:rPr>
              <w:t>a</w:t>
            </w:r>
          </w:p>
        </w:tc>
        <w:tc>
          <w:tcPr>
            <w:tcW w:w="1193" w:type="dxa"/>
          </w:tcPr>
          <w:p w14:paraId="7E51B02F"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.013</w:t>
            </w:r>
          </w:p>
        </w:tc>
      </w:tr>
      <w:tr w:rsidR="009968E0" w:rsidRPr="009968E0" w14:paraId="5991A502" w14:textId="77777777" w:rsidTr="009968E0">
        <w:trPr>
          <w:trHeight w:val="800"/>
        </w:trPr>
        <w:tc>
          <w:tcPr>
            <w:tcW w:w="3808" w:type="dxa"/>
          </w:tcPr>
          <w:p w14:paraId="35C47F2F" w14:textId="77777777" w:rsidR="009968E0" w:rsidRPr="009968E0" w:rsidRDefault="009968E0" w:rsidP="009968E0">
            <w:pPr>
              <w:rPr>
                <w:rFonts w:ascii="Calibri" w:eastAsia="Times New Roman" w:hAnsi="Calibri" w:cs="Calibri"/>
                <w:i/>
                <w:color w:val="000000"/>
                <w:sz w:val="22"/>
                <w:szCs w:val="22"/>
                <w:lang w:eastAsia="en-GB"/>
              </w:rPr>
            </w:pPr>
            <w:proofErr w:type="spellStart"/>
            <w:r w:rsidRPr="009968E0">
              <w:rPr>
                <w:rFonts w:ascii="Calibri" w:eastAsia="Times New Roman" w:hAnsi="Calibri" w:cs="Calibri"/>
                <w:i/>
                <w:color w:val="000000"/>
                <w:sz w:val="22"/>
                <w:szCs w:val="22"/>
                <w:lang w:eastAsia="en-GB"/>
              </w:rPr>
              <w:t>Intercept_</w:t>
            </w:r>
            <w:r w:rsidRPr="009968E0">
              <w:rPr>
                <w:rFonts w:ascii="Calibri" w:eastAsia="Arial" w:hAnsi="Calibri" w:cs="Calibri"/>
                <w:i/>
                <w:color w:val="000000"/>
                <w:sz w:val="22"/>
                <w:szCs w:val="22"/>
                <w:lang w:eastAsia="en-GB"/>
              </w:rPr>
              <w:t>P-DPN</w:t>
            </w:r>
            <w:r w:rsidRPr="009968E0">
              <w:rPr>
                <w:rFonts w:ascii="Calibri" w:eastAsia="Times New Roman" w:hAnsi="Calibri" w:cs="Calibri"/>
                <w:i/>
                <w:color w:val="000000"/>
                <w:sz w:val="22"/>
                <w:szCs w:val="22"/>
                <w:lang w:eastAsia="en-GB"/>
              </w:rPr>
              <w:t>_vs_DPN</w:t>
            </w:r>
            <w:proofErr w:type="spellEnd"/>
            <w:r w:rsidRPr="009968E0">
              <w:rPr>
                <w:rFonts w:ascii="Calibri" w:eastAsia="Times New Roman" w:hAnsi="Calibri" w:cs="Calibri"/>
                <w:i/>
                <w:color w:val="000000"/>
                <w:sz w:val="22"/>
                <w:szCs w:val="22"/>
                <w:lang w:eastAsia="en-GB"/>
              </w:rPr>
              <w:t xml:space="preserve">, </w:t>
            </w:r>
            <w:proofErr w:type="spellStart"/>
            <w:r w:rsidRPr="009968E0">
              <w:rPr>
                <w:rFonts w:ascii="Calibri" w:eastAsia="Times New Roman" w:hAnsi="Calibri" w:cs="Calibri"/>
                <w:i/>
                <w:color w:val="000000"/>
                <w:sz w:val="22"/>
                <w:szCs w:val="22"/>
                <w:lang w:eastAsia="en-GB"/>
              </w:rPr>
              <w:t>Intercept_</w:t>
            </w:r>
            <w:r w:rsidRPr="009968E0">
              <w:rPr>
                <w:rFonts w:ascii="Calibri" w:eastAsia="Arial" w:hAnsi="Calibri" w:cs="Calibri"/>
                <w:i/>
                <w:color w:val="000000"/>
                <w:sz w:val="22"/>
                <w:szCs w:val="22"/>
                <w:lang w:eastAsia="en-GB"/>
              </w:rPr>
              <w:t>P-DPN</w:t>
            </w:r>
            <w:r w:rsidRPr="009968E0">
              <w:rPr>
                <w:rFonts w:ascii="Calibri" w:eastAsia="Times New Roman" w:hAnsi="Calibri" w:cs="Calibri"/>
                <w:i/>
                <w:color w:val="000000"/>
                <w:sz w:val="22"/>
                <w:szCs w:val="22"/>
                <w:lang w:eastAsia="en-GB"/>
              </w:rPr>
              <w:t>_vs_DM_NN</w:t>
            </w:r>
            <w:proofErr w:type="spellEnd"/>
            <w:r w:rsidRPr="009968E0">
              <w:rPr>
                <w:rFonts w:ascii="Calibri" w:eastAsia="Times New Roman" w:hAnsi="Calibri" w:cs="Calibri"/>
                <w:i/>
                <w:color w:val="000000"/>
                <w:sz w:val="22"/>
                <w:szCs w:val="22"/>
                <w:lang w:eastAsia="en-GB"/>
              </w:rPr>
              <w:t xml:space="preserve">, </w:t>
            </w:r>
            <w:proofErr w:type="spellStart"/>
            <w:r w:rsidRPr="009968E0">
              <w:rPr>
                <w:rFonts w:ascii="Calibri" w:eastAsia="Times New Roman" w:hAnsi="Calibri" w:cs="Calibri"/>
                <w:i/>
                <w:color w:val="000000"/>
                <w:sz w:val="22"/>
                <w:szCs w:val="22"/>
                <w:lang w:eastAsia="en-GB"/>
              </w:rPr>
              <w:t>Intercept_</w:t>
            </w:r>
            <w:r w:rsidRPr="009968E0">
              <w:rPr>
                <w:rFonts w:ascii="Calibri" w:eastAsia="Arial" w:hAnsi="Calibri" w:cs="Calibri"/>
                <w:i/>
                <w:color w:val="000000"/>
                <w:sz w:val="22"/>
                <w:szCs w:val="22"/>
                <w:lang w:eastAsia="en-GB"/>
              </w:rPr>
              <w:t>P-DPN</w:t>
            </w:r>
            <w:r w:rsidRPr="009968E0">
              <w:rPr>
                <w:rFonts w:ascii="Calibri" w:eastAsia="Times New Roman" w:hAnsi="Calibri" w:cs="Calibri"/>
                <w:i/>
                <w:color w:val="000000"/>
                <w:sz w:val="22"/>
                <w:szCs w:val="22"/>
                <w:lang w:eastAsia="en-GB"/>
              </w:rPr>
              <w:t>_vs_HV</w:t>
            </w:r>
            <w:proofErr w:type="spellEnd"/>
          </w:p>
        </w:tc>
        <w:tc>
          <w:tcPr>
            <w:tcW w:w="1177" w:type="dxa"/>
          </w:tcPr>
          <w:p w14:paraId="4E4FED03"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w:t>
            </w:r>
          </w:p>
        </w:tc>
        <w:tc>
          <w:tcPr>
            <w:tcW w:w="1541" w:type="dxa"/>
          </w:tcPr>
          <w:p w14:paraId="6B447C1B"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2.508</w:t>
            </w:r>
          </w:p>
        </w:tc>
        <w:tc>
          <w:tcPr>
            <w:tcW w:w="1345" w:type="dxa"/>
          </w:tcPr>
          <w:p w14:paraId="3D5A06DA"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.067</w:t>
            </w:r>
            <w:r w:rsidRPr="009968E0">
              <w:rPr>
                <w:rFonts w:ascii="Calibri" w:eastAsia="Times New Roman" w:hAnsi="Calibri" w:cs="Calibri"/>
                <w:i/>
                <w:color w:val="000000"/>
                <w:sz w:val="22"/>
                <w:szCs w:val="22"/>
                <w:vertAlign w:val="superscript"/>
                <w:lang w:eastAsia="en-GB"/>
              </w:rPr>
              <w:t>a</w:t>
            </w:r>
          </w:p>
        </w:tc>
        <w:tc>
          <w:tcPr>
            <w:tcW w:w="1193" w:type="dxa"/>
          </w:tcPr>
          <w:p w14:paraId="41C5BA87"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.091</w:t>
            </w:r>
          </w:p>
        </w:tc>
      </w:tr>
      <w:tr w:rsidR="009968E0" w:rsidRPr="009968E0" w14:paraId="09073075" w14:textId="77777777" w:rsidTr="009968E0">
        <w:trPr>
          <w:cnfStyle w:val="000000100000" w:firstRow="0" w:lastRow="0" w:firstColumn="0" w:lastColumn="0" w:oddVBand="0" w:evenVBand="0" w:oddHBand="1" w:evenHBand="0" w:firstRowFirstColumn="0" w:firstRowLastColumn="0" w:lastRowFirstColumn="0" w:lastRowLastColumn="0"/>
          <w:trHeight w:val="800"/>
        </w:trPr>
        <w:tc>
          <w:tcPr>
            <w:tcW w:w="3808" w:type="dxa"/>
          </w:tcPr>
          <w:p w14:paraId="43742102" w14:textId="77777777" w:rsidR="009968E0" w:rsidRPr="009968E0" w:rsidRDefault="009968E0" w:rsidP="009968E0">
            <w:pPr>
              <w:rPr>
                <w:rFonts w:ascii="Calibri" w:eastAsia="Times New Roman" w:hAnsi="Calibri" w:cs="Calibri"/>
                <w:i/>
                <w:color w:val="000000"/>
                <w:sz w:val="22"/>
                <w:szCs w:val="22"/>
                <w:lang w:eastAsia="en-GB"/>
              </w:rPr>
            </w:pPr>
            <w:proofErr w:type="spellStart"/>
            <w:r w:rsidRPr="009968E0">
              <w:rPr>
                <w:rFonts w:ascii="Calibri" w:eastAsia="Times New Roman" w:hAnsi="Calibri" w:cs="Calibri"/>
                <w:i/>
                <w:color w:val="000000"/>
                <w:sz w:val="22"/>
                <w:szCs w:val="22"/>
                <w:lang w:eastAsia="en-GB"/>
              </w:rPr>
              <w:t>Slope_</w:t>
            </w:r>
            <w:r w:rsidRPr="009968E0">
              <w:rPr>
                <w:rFonts w:ascii="Calibri" w:eastAsia="Arial" w:hAnsi="Calibri" w:cs="Calibri"/>
                <w:i/>
                <w:color w:val="000000"/>
                <w:sz w:val="22"/>
                <w:szCs w:val="22"/>
                <w:lang w:eastAsia="en-GB"/>
              </w:rPr>
              <w:t>P-DPN</w:t>
            </w:r>
            <w:r w:rsidRPr="009968E0">
              <w:rPr>
                <w:rFonts w:ascii="Calibri" w:eastAsia="Times New Roman" w:hAnsi="Calibri" w:cs="Calibri"/>
                <w:i/>
                <w:color w:val="000000"/>
                <w:sz w:val="22"/>
                <w:szCs w:val="22"/>
                <w:lang w:eastAsia="en-GB"/>
              </w:rPr>
              <w:t>_vs_DPN</w:t>
            </w:r>
            <w:proofErr w:type="spellEnd"/>
            <w:r w:rsidRPr="009968E0">
              <w:rPr>
                <w:rFonts w:ascii="Calibri" w:eastAsia="Times New Roman" w:hAnsi="Calibri" w:cs="Calibri"/>
                <w:i/>
                <w:color w:val="000000"/>
                <w:sz w:val="22"/>
                <w:szCs w:val="22"/>
                <w:lang w:eastAsia="en-GB"/>
              </w:rPr>
              <w:t xml:space="preserve">, </w:t>
            </w:r>
            <w:proofErr w:type="spellStart"/>
            <w:r w:rsidRPr="009968E0">
              <w:rPr>
                <w:rFonts w:ascii="Calibri" w:eastAsia="Times New Roman" w:hAnsi="Calibri" w:cs="Calibri"/>
                <w:i/>
                <w:color w:val="000000"/>
                <w:sz w:val="22"/>
                <w:szCs w:val="22"/>
                <w:lang w:eastAsia="en-GB"/>
              </w:rPr>
              <w:t>Slope_</w:t>
            </w:r>
            <w:r w:rsidRPr="009968E0">
              <w:rPr>
                <w:rFonts w:ascii="Calibri" w:eastAsia="Arial" w:hAnsi="Calibri" w:cs="Calibri"/>
                <w:i/>
                <w:color w:val="000000"/>
                <w:sz w:val="22"/>
                <w:szCs w:val="22"/>
                <w:lang w:eastAsia="en-GB"/>
              </w:rPr>
              <w:t>P-DPN</w:t>
            </w:r>
            <w:r w:rsidRPr="009968E0">
              <w:rPr>
                <w:rFonts w:ascii="Calibri" w:eastAsia="Times New Roman" w:hAnsi="Calibri" w:cs="Calibri"/>
                <w:i/>
                <w:color w:val="000000"/>
                <w:sz w:val="22"/>
                <w:szCs w:val="22"/>
                <w:lang w:eastAsia="en-GB"/>
              </w:rPr>
              <w:t>_vs_DM_NN</w:t>
            </w:r>
            <w:proofErr w:type="spellEnd"/>
            <w:r w:rsidRPr="009968E0">
              <w:rPr>
                <w:rFonts w:ascii="Calibri" w:eastAsia="Times New Roman" w:hAnsi="Calibri" w:cs="Calibri"/>
                <w:i/>
                <w:color w:val="000000"/>
                <w:sz w:val="22"/>
                <w:szCs w:val="22"/>
                <w:lang w:eastAsia="en-GB"/>
              </w:rPr>
              <w:t xml:space="preserve">, </w:t>
            </w:r>
            <w:proofErr w:type="spellStart"/>
            <w:r w:rsidRPr="009968E0">
              <w:rPr>
                <w:rFonts w:ascii="Calibri" w:eastAsia="Times New Roman" w:hAnsi="Calibri" w:cs="Calibri"/>
                <w:i/>
                <w:color w:val="000000"/>
                <w:sz w:val="22"/>
                <w:szCs w:val="22"/>
                <w:lang w:eastAsia="en-GB"/>
              </w:rPr>
              <w:t>Slope_</w:t>
            </w:r>
            <w:r w:rsidRPr="009968E0">
              <w:rPr>
                <w:rFonts w:ascii="Calibri" w:eastAsia="Arial" w:hAnsi="Calibri" w:cs="Calibri"/>
                <w:i/>
                <w:color w:val="000000"/>
                <w:sz w:val="22"/>
                <w:szCs w:val="22"/>
                <w:lang w:eastAsia="en-GB"/>
              </w:rPr>
              <w:t>P-DPN</w:t>
            </w:r>
            <w:r w:rsidRPr="009968E0">
              <w:rPr>
                <w:rFonts w:ascii="Calibri" w:eastAsia="Times New Roman" w:hAnsi="Calibri" w:cs="Calibri"/>
                <w:i/>
                <w:color w:val="000000"/>
                <w:sz w:val="22"/>
                <w:szCs w:val="22"/>
                <w:lang w:eastAsia="en-GB"/>
              </w:rPr>
              <w:t>_vs_HV</w:t>
            </w:r>
            <w:proofErr w:type="spellEnd"/>
          </w:p>
        </w:tc>
        <w:tc>
          <w:tcPr>
            <w:tcW w:w="1177" w:type="dxa"/>
          </w:tcPr>
          <w:p w14:paraId="5923170D"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w:t>
            </w:r>
          </w:p>
        </w:tc>
        <w:tc>
          <w:tcPr>
            <w:tcW w:w="1541" w:type="dxa"/>
          </w:tcPr>
          <w:p w14:paraId="323838F2"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3.230</w:t>
            </w:r>
          </w:p>
        </w:tc>
        <w:tc>
          <w:tcPr>
            <w:tcW w:w="1345" w:type="dxa"/>
          </w:tcPr>
          <w:p w14:paraId="31ED72FB"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.028</w:t>
            </w:r>
            <w:r w:rsidRPr="009968E0">
              <w:rPr>
                <w:rFonts w:ascii="Calibri" w:eastAsia="Times New Roman" w:hAnsi="Calibri" w:cs="Calibri"/>
                <w:i/>
                <w:color w:val="000000"/>
                <w:sz w:val="22"/>
                <w:szCs w:val="22"/>
                <w:vertAlign w:val="superscript"/>
                <w:lang w:eastAsia="en-GB"/>
              </w:rPr>
              <w:t>a</w:t>
            </w:r>
          </w:p>
        </w:tc>
        <w:tc>
          <w:tcPr>
            <w:tcW w:w="1193" w:type="dxa"/>
          </w:tcPr>
          <w:p w14:paraId="7D60E391"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.117</w:t>
            </w:r>
          </w:p>
        </w:tc>
      </w:tr>
      <w:tr w:rsidR="009968E0" w:rsidRPr="009968E0" w14:paraId="28F2F79D" w14:textId="77777777" w:rsidTr="009968E0">
        <w:trPr>
          <w:trHeight w:val="380"/>
        </w:trPr>
        <w:tc>
          <w:tcPr>
            <w:tcW w:w="9064" w:type="dxa"/>
            <w:gridSpan w:val="5"/>
          </w:tcPr>
          <w:p w14:paraId="73DAB8DD" w14:textId="77777777" w:rsidR="009968E0" w:rsidRPr="009968E0" w:rsidRDefault="009968E0" w:rsidP="009968E0">
            <w:pPr>
              <w:rPr>
                <w:rFonts w:ascii="Calibri" w:eastAsia="Times New Roman" w:hAnsi="Calibri" w:cs="Calibri"/>
                <w:i/>
                <w:color w:val="808080"/>
                <w:sz w:val="22"/>
                <w:szCs w:val="22"/>
                <w:lang w:eastAsia="en-GB"/>
              </w:rPr>
            </w:pPr>
            <w:r w:rsidRPr="009968E0">
              <w:rPr>
                <w:rFonts w:ascii="Calibri" w:eastAsia="Times New Roman" w:hAnsi="Calibri" w:cs="Calibri"/>
                <w:i/>
                <w:color w:val="808080"/>
                <w:sz w:val="22"/>
                <w:szCs w:val="22"/>
                <w:lang w:eastAsia="en-GB"/>
              </w:rPr>
              <w:t>a. Tested against the full model.</w:t>
            </w:r>
          </w:p>
        </w:tc>
      </w:tr>
    </w:tbl>
    <w:p w14:paraId="0C12094C" w14:textId="77777777" w:rsidR="009968E0" w:rsidRPr="009968E0" w:rsidRDefault="009968E0" w:rsidP="009968E0">
      <w:pPr>
        <w:rPr>
          <w:rFonts w:eastAsia="MS Mincho" w:cs="Times New Roman"/>
          <w:i/>
          <w:iCs/>
          <w:color w:val="1F497D"/>
        </w:rPr>
      </w:pPr>
    </w:p>
    <w:p w14:paraId="2AFB521F" w14:textId="77777777" w:rsidR="009968E0" w:rsidRPr="009968E0" w:rsidRDefault="009968E0" w:rsidP="00D130F6">
      <w:pPr>
        <w:pStyle w:val="Quote"/>
      </w:pPr>
      <w:bookmarkStart w:id="693" w:name="_Toc48406166"/>
      <w:bookmarkStart w:id="694" w:name="_Toc49273378"/>
      <w:bookmarkStart w:id="695" w:name="_Toc64724130"/>
      <w:r w:rsidRPr="009968E0">
        <w:lastRenderedPageBreak/>
        <w:t>Table D.23: Post Hoc T-Test Comparisons of Regression Intercepts and slopes for Delta TTP-L-</w:t>
      </w:r>
      <w:proofErr w:type="spellStart"/>
      <w:r w:rsidRPr="009968E0">
        <w:t>thal</w:t>
      </w:r>
      <w:bookmarkEnd w:id="693"/>
      <w:bookmarkEnd w:id="694"/>
      <w:bookmarkEnd w:id="695"/>
      <w:proofErr w:type="spellEnd"/>
    </w:p>
    <w:tbl>
      <w:tblPr>
        <w:tblStyle w:val="GridTable2-Accent212"/>
        <w:tblW w:w="9064" w:type="dxa"/>
        <w:tblLayout w:type="fixed"/>
        <w:tblLook w:val="0400" w:firstRow="0" w:lastRow="0" w:firstColumn="0" w:lastColumn="0" w:noHBand="0" w:noVBand="1"/>
      </w:tblPr>
      <w:tblGrid>
        <w:gridCol w:w="348"/>
        <w:gridCol w:w="2978"/>
        <w:gridCol w:w="902"/>
        <w:gridCol w:w="1270"/>
        <w:gridCol w:w="2084"/>
        <w:gridCol w:w="836"/>
        <w:gridCol w:w="646"/>
      </w:tblGrid>
      <w:tr w:rsidR="009968E0" w:rsidRPr="009968E0" w14:paraId="000114B1" w14:textId="77777777" w:rsidTr="009968E0">
        <w:trPr>
          <w:cnfStyle w:val="000000100000" w:firstRow="0" w:lastRow="0" w:firstColumn="0" w:lastColumn="0" w:oddVBand="0" w:evenVBand="0" w:oddHBand="1" w:evenHBand="0" w:firstRowFirstColumn="0" w:firstRowLastColumn="0" w:lastRowFirstColumn="0" w:lastRowLastColumn="0"/>
          <w:trHeight w:val="540"/>
        </w:trPr>
        <w:tc>
          <w:tcPr>
            <w:tcW w:w="8971" w:type="dxa"/>
            <w:gridSpan w:val="7"/>
          </w:tcPr>
          <w:p w14:paraId="068A3ADE" w14:textId="77777777" w:rsidR="009968E0" w:rsidRPr="009968E0" w:rsidRDefault="009968E0" w:rsidP="009968E0">
            <w:pPr>
              <w:rPr>
                <w:rFonts w:ascii="Calibri" w:eastAsia="Calibri" w:hAnsi="Calibri" w:cs="Calibri"/>
                <w:i/>
                <w:color w:val="4F81BD"/>
                <w:sz w:val="22"/>
                <w:szCs w:val="22"/>
                <w:lang w:eastAsia="en-GB"/>
              </w:rPr>
            </w:pPr>
          </w:p>
        </w:tc>
      </w:tr>
      <w:tr w:rsidR="009968E0" w:rsidRPr="009968E0" w14:paraId="735AD0A8" w14:textId="77777777" w:rsidTr="009968E0">
        <w:trPr>
          <w:trHeight w:val="680"/>
        </w:trPr>
        <w:tc>
          <w:tcPr>
            <w:tcW w:w="3292" w:type="dxa"/>
            <w:gridSpan w:val="2"/>
            <w:vMerge w:val="restart"/>
          </w:tcPr>
          <w:p w14:paraId="44838D10"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Model</w:t>
            </w:r>
          </w:p>
        </w:tc>
        <w:tc>
          <w:tcPr>
            <w:tcW w:w="2150" w:type="dxa"/>
            <w:gridSpan w:val="2"/>
          </w:tcPr>
          <w:p w14:paraId="05C77296"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Unstandardized Coefficients</w:t>
            </w:r>
          </w:p>
        </w:tc>
        <w:tc>
          <w:tcPr>
            <w:tcW w:w="2063" w:type="dxa"/>
          </w:tcPr>
          <w:p w14:paraId="4F83A8AD"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Standardized Coefficients</w:t>
            </w:r>
          </w:p>
        </w:tc>
        <w:tc>
          <w:tcPr>
            <w:tcW w:w="827" w:type="dxa"/>
            <w:vMerge w:val="restart"/>
          </w:tcPr>
          <w:p w14:paraId="08EAD9EE"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t</w:t>
            </w:r>
          </w:p>
        </w:tc>
        <w:tc>
          <w:tcPr>
            <w:tcW w:w="639" w:type="dxa"/>
            <w:vMerge w:val="restart"/>
          </w:tcPr>
          <w:p w14:paraId="34B73436"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Sig.</w:t>
            </w:r>
          </w:p>
        </w:tc>
      </w:tr>
      <w:tr w:rsidR="009968E0" w:rsidRPr="009968E0" w14:paraId="2696FD0E"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3292" w:type="dxa"/>
            <w:gridSpan w:val="2"/>
            <w:vMerge/>
          </w:tcPr>
          <w:p w14:paraId="7E03C373"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893" w:type="dxa"/>
          </w:tcPr>
          <w:p w14:paraId="716E0DE2"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B</w:t>
            </w:r>
          </w:p>
        </w:tc>
        <w:tc>
          <w:tcPr>
            <w:tcW w:w="1257" w:type="dxa"/>
          </w:tcPr>
          <w:p w14:paraId="261781BA"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Std. Error</w:t>
            </w:r>
          </w:p>
        </w:tc>
        <w:tc>
          <w:tcPr>
            <w:tcW w:w="2063" w:type="dxa"/>
          </w:tcPr>
          <w:p w14:paraId="6ED88253"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Beta</w:t>
            </w:r>
          </w:p>
        </w:tc>
        <w:tc>
          <w:tcPr>
            <w:tcW w:w="827" w:type="dxa"/>
            <w:vMerge/>
          </w:tcPr>
          <w:p w14:paraId="030CAE7B"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639" w:type="dxa"/>
            <w:vMerge/>
          </w:tcPr>
          <w:p w14:paraId="188E4FC5"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r>
      <w:tr w:rsidR="009968E0" w:rsidRPr="009968E0" w14:paraId="0D1DA2FF" w14:textId="77777777" w:rsidTr="009968E0">
        <w:trPr>
          <w:trHeight w:val="360"/>
        </w:trPr>
        <w:tc>
          <w:tcPr>
            <w:tcW w:w="345" w:type="dxa"/>
            <w:vMerge w:val="restart"/>
          </w:tcPr>
          <w:p w14:paraId="0976CD51"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w:t>
            </w:r>
          </w:p>
        </w:tc>
        <w:tc>
          <w:tcPr>
            <w:tcW w:w="2947" w:type="dxa"/>
          </w:tcPr>
          <w:p w14:paraId="2DAF5DFD"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(Constant)</w:t>
            </w:r>
          </w:p>
        </w:tc>
        <w:tc>
          <w:tcPr>
            <w:tcW w:w="893" w:type="dxa"/>
          </w:tcPr>
          <w:p w14:paraId="3BB58A47"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.012</w:t>
            </w:r>
          </w:p>
        </w:tc>
        <w:tc>
          <w:tcPr>
            <w:tcW w:w="1257" w:type="dxa"/>
          </w:tcPr>
          <w:p w14:paraId="3E8697B1"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.126</w:t>
            </w:r>
          </w:p>
        </w:tc>
        <w:tc>
          <w:tcPr>
            <w:tcW w:w="2063" w:type="dxa"/>
          </w:tcPr>
          <w:p w14:paraId="4C76293B"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w:t>
            </w:r>
          </w:p>
        </w:tc>
        <w:tc>
          <w:tcPr>
            <w:tcW w:w="827" w:type="dxa"/>
          </w:tcPr>
          <w:p w14:paraId="6C18A4A8"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.093</w:t>
            </w:r>
          </w:p>
        </w:tc>
        <w:tc>
          <w:tcPr>
            <w:tcW w:w="639" w:type="dxa"/>
          </w:tcPr>
          <w:p w14:paraId="0871B446"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.926</w:t>
            </w:r>
          </w:p>
        </w:tc>
      </w:tr>
      <w:tr w:rsidR="009968E0" w:rsidRPr="009968E0" w14:paraId="40B6C01B"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345" w:type="dxa"/>
            <w:vMerge/>
          </w:tcPr>
          <w:p w14:paraId="4502C1A4"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2947" w:type="dxa"/>
          </w:tcPr>
          <w:p w14:paraId="15CB827A" w14:textId="77777777" w:rsidR="009968E0" w:rsidRPr="009968E0" w:rsidRDefault="009968E0" w:rsidP="009968E0">
            <w:pPr>
              <w:rPr>
                <w:rFonts w:ascii="Calibri" w:eastAsia="Times New Roman" w:hAnsi="Calibri" w:cs="Calibri"/>
                <w:i/>
                <w:color w:val="000000"/>
                <w:sz w:val="22"/>
                <w:szCs w:val="22"/>
                <w:lang w:eastAsia="en-GB"/>
              </w:rPr>
            </w:pPr>
            <w:proofErr w:type="spellStart"/>
            <w:r w:rsidRPr="009968E0">
              <w:rPr>
                <w:rFonts w:ascii="Calibri" w:eastAsia="Times New Roman" w:hAnsi="Calibri" w:cs="Calibri"/>
                <w:i/>
                <w:color w:val="000000"/>
                <w:sz w:val="22"/>
                <w:szCs w:val="22"/>
                <w:lang w:eastAsia="en-GB"/>
              </w:rPr>
              <w:t>likert_centred</w:t>
            </w:r>
            <w:proofErr w:type="spellEnd"/>
          </w:p>
        </w:tc>
        <w:tc>
          <w:tcPr>
            <w:tcW w:w="893" w:type="dxa"/>
          </w:tcPr>
          <w:p w14:paraId="3B594A41"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-.085</w:t>
            </w:r>
          </w:p>
        </w:tc>
        <w:tc>
          <w:tcPr>
            <w:tcW w:w="1257" w:type="dxa"/>
          </w:tcPr>
          <w:p w14:paraId="6B826179"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.093</w:t>
            </w:r>
          </w:p>
        </w:tc>
        <w:tc>
          <w:tcPr>
            <w:tcW w:w="2063" w:type="dxa"/>
          </w:tcPr>
          <w:p w14:paraId="03E25233"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-.108</w:t>
            </w:r>
          </w:p>
        </w:tc>
        <w:tc>
          <w:tcPr>
            <w:tcW w:w="827" w:type="dxa"/>
          </w:tcPr>
          <w:p w14:paraId="1C783018"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-.917</w:t>
            </w:r>
          </w:p>
        </w:tc>
        <w:tc>
          <w:tcPr>
            <w:tcW w:w="639" w:type="dxa"/>
          </w:tcPr>
          <w:p w14:paraId="49D9B9B9"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.362</w:t>
            </w:r>
          </w:p>
        </w:tc>
      </w:tr>
      <w:tr w:rsidR="009968E0" w:rsidRPr="009968E0" w14:paraId="540B8C57" w14:textId="77777777" w:rsidTr="009968E0">
        <w:trPr>
          <w:trHeight w:val="360"/>
        </w:trPr>
        <w:tc>
          <w:tcPr>
            <w:tcW w:w="345" w:type="dxa"/>
            <w:vMerge w:val="restart"/>
          </w:tcPr>
          <w:p w14:paraId="3DF493BD"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w:t>
            </w:r>
          </w:p>
        </w:tc>
        <w:tc>
          <w:tcPr>
            <w:tcW w:w="2947" w:type="dxa"/>
          </w:tcPr>
          <w:p w14:paraId="6AD4A1E2"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(Constant)</w:t>
            </w:r>
          </w:p>
        </w:tc>
        <w:tc>
          <w:tcPr>
            <w:tcW w:w="893" w:type="dxa"/>
          </w:tcPr>
          <w:p w14:paraId="7A534E57"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.486</w:t>
            </w:r>
          </w:p>
        </w:tc>
        <w:tc>
          <w:tcPr>
            <w:tcW w:w="1257" w:type="dxa"/>
          </w:tcPr>
          <w:p w14:paraId="68F14787"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.238</w:t>
            </w:r>
          </w:p>
        </w:tc>
        <w:tc>
          <w:tcPr>
            <w:tcW w:w="2063" w:type="dxa"/>
          </w:tcPr>
          <w:p w14:paraId="0B5203DA"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w:t>
            </w:r>
          </w:p>
        </w:tc>
        <w:tc>
          <w:tcPr>
            <w:tcW w:w="827" w:type="dxa"/>
          </w:tcPr>
          <w:p w14:paraId="646A74B2"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2.042</w:t>
            </w:r>
          </w:p>
        </w:tc>
        <w:tc>
          <w:tcPr>
            <w:tcW w:w="639" w:type="dxa"/>
          </w:tcPr>
          <w:p w14:paraId="630BBAD6"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.045</w:t>
            </w:r>
          </w:p>
        </w:tc>
      </w:tr>
      <w:tr w:rsidR="009968E0" w:rsidRPr="009968E0" w14:paraId="5CCACE32"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345" w:type="dxa"/>
            <w:vMerge/>
          </w:tcPr>
          <w:p w14:paraId="5A13D553"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2947" w:type="dxa"/>
          </w:tcPr>
          <w:p w14:paraId="45EBA453" w14:textId="77777777" w:rsidR="009968E0" w:rsidRPr="009968E0" w:rsidRDefault="009968E0" w:rsidP="009968E0">
            <w:pPr>
              <w:rPr>
                <w:rFonts w:ascii="Calibri" w:eastAsia="Times New Roman" w:hAnsi="Calibri" w:cs="Calibri"/>
                <w:i/>
                <w:color w:val="000000"/>
                <w:sz w:val="22"/>
                <w:szCs w:val="22"/>
                <w:lang w:eastAsia="en-GB"/>
              </w:rPr>
            </w:pPr>
            <w:proofErr w:type="spellStart"/>
            <w:r w:rsidRPr="009968E0">
              <w:rPr>
                <w:rFonts w:ascii="Calibri" w:eastAsia="Times New Roman" w:hAnsi="Calibri" w:cs="Calibri"/>
                <w:i/>
                <w:color w:val="000000"/>
                <w:sz w:val="22"/>
                <w:szCs w:val="22"/>
                <w:lang w:eastAsia="en-GB"/>
              </w:rPr>
              <w:t>likert_centred</w:t>
            </w:r>
            <w:proofErr w:type="spellEnd"/>
          </w:p>
        </w:tc>
        <w:tc>
          <w:tcPr>
            <w:tcW w:w="893" w:type="dxa"/>
          </w:tcPr>
          <w:p w14:paraId="7C0BCF74"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.163</w:t>
            </w:r>
          </w:p>
        </w:tc>
        <w:tc>
          <w:tcPr>
            <w:tcW w:w="1257" w:type="dxa"/>
          </w:tcPr>
          <w:p w14:paraId="6C228408"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.158</w:t>
            </w:r>
          </w:p>
        </w:tc>
        <w:tc>
          <w:tcPr>
            <w:tcW w:w="2063" w:type="dxa"/>
          </w:tcPr>
          <w:p w14:paraId="03302085"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.208</w:t>
            </w:r>
          </w:p>
        </w:tc>
        <w:tc>
          <w:tcPr>
            <w:tcW w:w="827" w:type="dxa"/>
          </w:tcPr>
          <w:p w14:paraId="685C3A4C"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1.033</w:t>
            </w:r>
          </w:p>
        </w:tc>
        <w:tc>
          <w:tcPr>
            <w:tcW w:w="639" w:type="dxa"/>
          </w:tcPr>
          <w:p w14:paraId="3535675B"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.306</w:t>
            </w:r>
          </w:p>
        </w:tc>
      </w:tr>
      <w:tr w:rsidR="009968E0" w:rsidRPr="009968E0" w14:paraId="629B4D4E" w14:textId="77777777" w:rsidTr="009968E0">
        <w:trPr>
          <w:trHeight w:val="680"/>
        </w:trPr>
        <w:tc>
          <w:tcPr>
            <w:tcW w:w="345" w:type="dxa"/>
            <w:vMerge/>
          </w:tcPr>
          <w:p w14:paraId="6B554095"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2947" w:type="dxa"/>
          </w:tcPr>
          <w:p w14:paraId="409B8DF6" w14:textId="77777777" w:rsidR="009968E0" w:rsidRPr="009968E0" w:rsidRDefault="009968E0" w:rsidP="009968E0">
            <w:pPr>
              <w:rPr>
                <w:rFonts w:ascii="Calibri" w:eastAsia="Times New Roman" w:hAnsi="Calibri" w:cs="Calibri"/>
                <w:i/>
                <w:color w:val="000000"/>
                <w:sz w:val="22"/>
                <w:szCs w:val="22"/>
                <w:lang w:eastAsia="en-GB"/>
              </w:rPr>
            </w:pPr>
            <w:proofErr w:type="spellStart"/>
            <w:r w:rsidRPr="009968E0">
              <w:rPr>
                <w:rFonts w:ascii="Calibri" w:eastAsia="Times New Roman" w:hAnsi="Calibri" w:cs="Calibri"/>
                <w:i/>
                <w:color w:val="000000"/>
                <w:sz w:val="22"/>
                <w:szCs w:val="22"/>
                <w:lang w:eastAsia="en-GB"/>
              </w:rPr>
              <w:t>Intercept_</w:t>
            </w:r>
            <w:r w:rsidRPr="009968E0">
              <w:rPr>
                <w:rFonts w:ascii="Calibri" w:eastAsia="Arial" w:hAnsi="Calibri" w:cs="Calibri"/>
                <w:i/>
                <w:color w:val="000000"/>
                <w:sz w:val="22"/>
                <w:szCs w:val="22"/>
                <w:lang w:eastAsia="en-GB"/>
              </w:rPr>
              <w:t>P-DPN</w:t>
            </w:r>
            <w:r w:rsidRPr="009968E0">
              <w:rPr>
                <w:rFonts w:ascii="Calibri" w:eastAsia="Times New Roman" w:hAnsi="Calibri" w:cs="Calibri"/>
                <w:i/>
                <w:color w:val="000000"/>
                <w:sz w:val="22"/>
                <w:szCs w:val="22"/>
                <w:lang w:eastAsia="en-GB"/>
              </w:rPr>
              <w:t>_vs_DPN</w:t>
            </w:r>
            <w:proofErr w:type="spellEnd"/>
          </w:p>
        </w:tc>
        <w:tc>
          <w:tcPr>
            <w:tcW w:w="893" w:type="dxa"/>
          </w:tcPr>
          <w:p w14:paraId="2AA1FDB2"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-.655</w:t>
            </w:r>
          </w:p>
        </w:tc>
        <w:tc>
          <w:tcPr>
            <w:tcW w:w="1257" w:type="dxa"/>
          </w:tcPr>
          <w:p w14:paraId="238E5BA6"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.316</w:t>
            </w:r>
          </w:p>
        </w:tc>
        <w:tc>
          <w:tcPr>
            <w:tcW w:w="2063" w:type="dxa"/>
          </w:tcPr>
          <w:p w14:paraId="275EBBCF"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-.286</w:t>
            </w:r>
          </w:p>
        </w:tc>
        <w:tc>
          <w:tcPr>
            <w:tcW w:w="827" w:type="dxa"/>
          </w:tcPr>
          <w:p w14:paraId="7857B921"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-2.073</w:t>
            </w:r>
          </w:p>
        </w:tc>
        <w:tc>
          <w:tcPr>
            <w:tcW w:w="639" w:type="dxa"/>
          </w:tcPr>
          <w:p w14:paraId="58662B63"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.042</w:t>
            </w:r>
          </w:p>
        </w:tc>
      </w:tr>
      <w:tr w:rsidR="009968E0" w:rsidRPr="009968E0" w14:paraId="34F77301" w14:textId="77777777" w:rsidTr="009968E0">
        <w:trPr>
          <w:cnfStyle w:val="000000100000" w:firstRow="0" w:lastRow="0" w:firstColumn="0" w:lastColumn="0" w:oddVBand="0" w:evenVBand="0" w:oddHBand="1" w:evenHBand="0" w:firstRowFirstColumn="0" w:firstRowLastColumn="0" w:lastRowFirstColumn="0" w:lastRowLastColumn="0"/>
          <w:trHeight w:val="680"/>
        </w:trPr>
        <w:tc>
          <w:tcPr>
            <w:tcW w:w="345" w:type="dxa"/>
            <w:vMerge/>
          </w:tcPr>
          <w:p w14:paraId="7AF18917"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2947" w:type="dxa"/>
          </w:tcPr>
          <w:p w14:paraId="1F253CCE" w14:textId="77777777" w:rsidR="009968E0" w:rsidRPr="009968E0" w:rsidRDefault="009968E0" w:rsidP="009968E0">
            <w:pPr>
              <w:rPr>
                <w:rFonts w:ascii="Calibri" w:eastAsia="Times New Roman" w:hAnsi="Calibri" w:cs="Calibri"/>
                <w:i/>
                <w:color w:val="000000"/>
                <w:sz w:val="22"/>
                <w:szCs w:val="22"/>
                <w:lang w:eastAsia="en-GB"/>
              </w:rPr>
            </w:pPr>
            <w:proofErr w:type="spellStart"/>
            <w:r w:rsidRPr="009968E0">
              <w:rPr>
                <w:rFonts w:ascii="Calibri" w:eastAsia="Times New Roman" w:hAnsi="Calibri" w:cs="Calibri"/>
                <w:i/>
                <w:color w:val="000000"/>
                <w:sz w:val="22"/>
                <w:szCs w:val="22"/>
                <w:lang w:eastAsia="en-GB"/>
              </w:rPr>
              <w:t>Intercept_</w:t>
            </w:r>
            <w:r w:rsidRPr="009968E0">
              <w:rPr>
                <w:rFonts w:ascii="Calibri" w:eastAsia="Arial" w:hAnsi="Calibri" w:cs="Calibri"/>
                <w:i/>
                <w:color w:val="000000"/>
                <w:sz w:val="22"/>
                <w:szCs w:val="22"/>
                <w:lang w:eastAsia="en-GB"/>
              </w:rPr>
              <w:t>P-DPN</w:t>
            </w:r>
            <w:r w:rsidRPr="009968E0">
              <w:rPr>
                <w:rFonts w:ascii="Calibri" w:eastAsia="Times New Roman" w:hAnsi="Calibri" w:cs="Calibri"/>
                <w:i/>
                <w:color w:val="000000"/>
                <w:sz w:val="22"/>
                <w:szCs w:val="22"/>
                <w:lang w:eastAsia="en-GB"/>
              </w:rPr>
              <w:t>_vs_DM_NN</w:t>
            </w:r>
            <w:proofErr w:type="spellEnd"/>
          </w:p>
        </w:tc>
        <w:tc>
          <w:tcPr>
            <w:tcW w:w="893" w:type="dxa"/>
          </w:tcPr>
          <w:p w14:paraId="729A71A4"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-.516</w:t>
            </w:r>
          </w:p>
        </w:tc>
        <w:tc>
          <w:tcPr>
            <w:tcW w:w="1257" w:type="dxa"/>
          </w:tcPr>
          <w:p w14:paraId="2A06935F"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.385</w:t>
            </w:r>
          </w:p>
        </w:tc>
        <w:tc>
          <w:tcPr>
            <w:tcW w:w="2063" w:type="dxa"/>
          </w:tcPr>
          <w:p w14:paraId="5950617A"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-.186</w:t>
            </w:r>
          </w:p>
        </w:tc>
        <w:tc>
          <w:tcPr>
            <w:tcW w:w="827" w:type="dxa"/>
          </w:tcPr>
          <w:p w14:paraId="7BB86779"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-1.339</w:t>
            </w:r>
          </w:p>
        </w:tc>
        <w:tc>
          <w:tcPr>
            <w:tcW w:w="639" w:type="dxa"/>
          </w:tcPr>
          <w:p w14:paraId="6C668B35"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.185</w:t>
            </w:r>
          </w:p>
        </w:tc>
      </w:tr>
      <w:tr w:rsidR="009968E0" w:rsidRPr="009968E0" w14:paraId="563F3F6C" w14:textId="77777777" w:rsidTr="009968E0">
        <w:trPr>
          <w:trHeight w:val="680"/>
        </w:trPr>
        <w:tc>
          <w:tcPr>
            <w:tcW w:w="345" w:type="dxa"/>
            <w:vMerge/>
          </w:tcPr>
          <w:p w14:paraId="1403C5DB"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2947" w:type="dxa"/>
          </w:tcPr>
          <w:p w14:paraId="6FCA29E3" w14:textId="77777777" w:rsidR="009968E0" w:rsidRPr="009968E0" w:rsidRDefault="009968E0" w:rsidP="009968E0">
            <w:pPr>
              <w:rPr>
                <w:rFonts w:ascii="Calibri" w:eastAsia="Times New Roman" w:hAnsi="Calibri" w:cs="Calibri"/>
                <w:i/>
                <w:color w:val="000000"/>
                <w:sz w:val="22"/>
                <w:szCs w:val="22"/>
                <w:lang w:eastAsia="en-GB"/>
              </w:rPr>
            </w:pPr>
            <w:proofErr w:type="spellStart"/>
            <w:r w:rsidRPr="009968E0">
              <w:rPr>
                <w:rFonts w:ascii="Calibri" w:eastAsia="Times New Roman" w:hAnsi="Calibri" w:cs="Calibri"/>
                <w:i/>
                <w:color w:val="000000"/>
                <w:sz w:val="22"/>
                <w:szCs w:val="22"/>
                <w:lang w:eastAsia="en-GB"/>
              </w:rPr>
              <w:t>Intercept_</w:t>
            </w:r>
            <w:r w:rsidRPr="009968E0">
              <w:rPr>
                <w:rFonts w:ascii="Calibri" w:eastAsia="Arial" w:hAnsi="Calibri" w:cs="Calibri"/>
                <w:i/>
                <w:color w:val="000000"/>
                <w:sz w:val="22"/>
                <w:szCs w:val="22"/>
                <w:lang w:eastAsia="en-GB"/>
              </w:rPr>
              <w:t>P-DPN</w:t>
            </w:r>
            <w:r w:rsidRPr="009968E0">
              <w:rPr>
                <w:rFonts w:ascii="Calibri" w:eastAsia="Times New Roman" w:hAnsi="Calibri" w:cs="Calibri"/>
                <w:i/>
                <w:color w:val="000000"/>
                <w:sz w:val="22"/>
                <w:szCs w:val="22"/>
                <w:lang w:eastAsia="en-GB"/>
              </w:rPr>
              <w:t>_vs_HV</w:t>
            </w:r>
            <w:proofErr w:type="spellEnd"/>
          </w:p>
        </w:tc>
        <w:tc>
          <w:tcPr>
            <w:tcW w:w="893" w:type="dxa"/>
          </w:tcPr>
          <w:p w14:paraId="39B5E6AC"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-.877</w:t>
            </w:r>
          </w:p>
        </w:tc>
        <w:tc>
          <w:tcPr>
            <w:tcW w:w="1257" w:type="dxa"/>
          </w:tcPr>
          <w:p w14:paraId="125F1C0B"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.334</w:t>
            </w:r>
          </w:p>
        </w:tc>
        <w:tc>
          <w:tcPr>
            <w:tcW w:w="2063" w:type="dxa"/>
          </w:tcPr>
          <w:p w14:paraId="65C39761"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-.362</w:t>
            </w:r>
          </w:p>
        </w:tc>
        <w:tc>
          <w:tcPr>
            <w:tcW w:w="827" w:type="dxa"/>
          </w:tcPr>
          <w:p w14:paraId="1B9345B9"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-2.627</w:t>
            </w:r>
          </w:p>
        </w:tc>
        <w:tc>
          <w:tcPr>
            <w:tcW w:w="639" w:type="dxa"/>
          </w:tcPr>
          <w:p w14:paraId="7BE689BE"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.011</w:t>
            </w:r>
          </w:p>
        </w:tc>
      </w:tr>
      <w:tr w:rsidR="009968E0" w:rsidRPr="009968E0" w14:paraId="0159E098" w14:textId="77777777" w:rsidTr="009968E0">
        <w:trPr>
          <w:cnfStyle w:val="000000100000" w:firstRow="0" w:lastRow="0" w:firstColumn="0" w:lastColumn="0" w:oddVBand="0" w:evenVBand="0" w:oddHBand="1" w:evenHBand="0" w:firstRowFirstColumn="0" w:firstRowLastColumn="0" w:lastRowFirstColumn="0" w:lastRowLastColumn="0"/>
          <w:trHeight w:val="680"/>
        </w:trPr>
        <w:tc>
          <w:tcPr>
            <w:tcW w:w="345" w:type="dxa"/>
            <w:vMerge/>
          </w:tcPr>
          <w:p w14:paraId="537106BF"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2947" w:type="dxa"/>
          </w:tcPr>
          <w:p w14:paraId="321CB889" w14:textId="77777777" w:rsidR="009968E0" w:rsidRPr="009968E0" w:rsidRDefault="009968E0" w:rsidP="009968E0">
            <w:pPr>
              <w:rPr>
                <w:rFonts w:ascii="Calibri" w:eastAsia="Times New Roman" w:hAnsi="Calibri" w:cs="Calibri"/>
                <w:i/>
                <w:color w:val="000000"/>
                <w:sz w:val="22"/>
                <w:szCs w:val="22"/>
                <w:lang w:eastAsia="en-GB"/>
              </w:rPr>
            </w:pPr>
            <w:proofErr w:type="spellStart"/>
            <w:r w:rsidRPr="009968E0">
              <w:rPr>
                <w:rFonts w:ascii="Calibri" w:eastAsia="Times New Roman" w:hAnsi="Calibri" w:cs="Calibri"/>
                <w:i/>
                <w:color w:val="000000"/>
                <w:sz w:val="22"/>
                <w:szCs w:val="22"/>
                <w:lang w:eastAsia="en-GB"/>
              </w:rPr>
              <w:t>Slope_</w:t>
            </w:r>
            <w:r w:rsidRPr="009968E0">
              <w:rPr>
                <w:rFonts w:ascii="Calibri" w:eastAsia="Arial" w:hAnsi="Calibri" w:cs="Calibri"/>
                <w:i/>
                <w:color w:val="000000"/>
                <w:sz w:val="22"/>
                <w:szCs w:val="22"/>
                <w:lang w:eastAsia="en-GB"/>
              </w:rPr>
              <w:t>P-DPN</w:t>
            </w:r>
            <w:r w:rsidRPr="009968E0">
              <w:rPr>
                <w:rFonts w:ascii="Calibri" w:eastAsia="Times New Roman" w:hAnsi="Calibri" w:cs="Calibri"/>
                <w:i/>
                <w:color w:val="000000"/>
                <w:sz w:val="22"/>
                <w:szCs w:val="22"/>
                <w:lang w:eastAsia="en-GB"/>
              </w:rPr>
              <w:t>_vs_DPN</w:t>
            </w:r>
            <w:proofErr w:type="spellEnd"/>
          </w:p>
        </w:tc>
        <w:tc>
          <w:tcPr>
            <w:tcW w:w="893" w:type="dxa"/>
          </w:tcPr>
          <w:p w14:paraId="12E02FDF"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-.243</w:t>
            </w:r>
          </w:p>
        </w:tc>
        <w:tc>
          <w:tcPr>
            <w:tcW w:w="1257" w:type="dxa"/>
          </w:tcPr>
          <w:p w14:paraId="3D993828"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.209</w:t>
            </w:r>
          </w:p>
        </w:tc>
        <w:tc>
          <w:tcPr>
            <w:tcW w:w="2063" w:type="dxa"/>
          </w:tcPr>
          <w:p w14:paraId="3A0C2E93"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-.194</w:t>
            </w:r>
          </w:p>
        </w:tc>
        <w:tc>
          <w:tcPr>
            <w:tcW w:w="827" w:type="dxa"/>
          </w:tcPr>
          <w:p w14:paraId="0063814B"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-1.161</w:t>
            </w:r>
          </w:p>
        </w:tc>
        <w:tc>
          <w:tcPr>
            <w:tcW w:w="639" w:type="dxa"/>
          </w:tcPr>
          <w:p w14:paraId="0463BD17"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.250</w:t>
            </w:r>
          </w:p>
        </w:tc>
      </w:tr>
      <w:tr w:rsidR="009968E0" w:rsidRPr="009968E0" w14:paraId="39F0C3DB" w14:textId="77777777" w:rsidTr="009968E0">
        <w:trPr>
          <w:trHeight w:val="680"/>
        </w:trPr>
        <w:tc>
          <w:tcPr>
            <w:tcW w:w="345" w:type="dxa"/>
            <w:vMerge/>
          </w:tcPr>
          <w:p w14:paraId="7009E2C5"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2947" w:type="dxa"/>
          </w:tcPr>
          <w:p w14:paraId="464D9865" w14:textId="77777777" w:rsidR="009968E0" w:rsidRPr="009968E0" w:rsidRDefault="009968E0" w:rsidP="009968E0">
            <w:pPr>
              <w:rPr>
                <w:rFonts w:ascii="Calibri" w:eastAsia="Times New Roman" w:hAnsi="Calibri" w:cs="Calibri"/>
                <w:i/>
                <w:color w:val="000000"/>
                <w:sz w:val="22"/>
                <w:szCs w:val="22"/>
                <w:lang w:eastAsia="en-GB"/>
              </w:rPr>
            </w:pPr>
            <w:proofErr w:type="spellStart"/>
            <w:r w:rsidRPr="009968E0">
              <w:rPr>
                <w:rFonts w:ascii="Calibri" w:eastAsia="Times New Roman" w:hAnsi="Calibri" w:cs="Calibri"/>
                <w:i/>
                <w:color w:val="000000"/>
                <w:sz w:val="22"/>
                <w:szCs w:val="22"/>
                <w:lang w:eastAsia="en-GB"/>
              </w:rPr>
              <w:t>Slope_</w:t>
            </w:r>
            <w:r w:rsidRPr="009968E0">
              <w:rPr>
                <w:rFonts w:ascii="Calibri" w:eastAsia="Arial" w:hAnsi="Calibri" w:cs="Calibri"/>
                <w:i/>
                <w:color w:val="000000"/>
                <w:sz w:val="22"/>
                <w:szCs w:val="22"/>
                <w:lang w:eastAsia="en-GB"/>
              </w:rPr>
              <w:t>P-DPN</w:t>
            </w:r>
            <w:r w:rsidRPr="009968E0">
              <w:rPr>
                <w:rFonts w:ascii="Calibri" w:eastAsia="Times New Roman" w:hAnsi="Calibri" w:cs="Calibri"/>
                <w:i/>
                <w:color w:val="000000"/>
                <w:sz w:val="22"/>
                <w:szCs w:val="22"/>
                <w:lang w:eastAsia="en-GB"/>
              </w:rPr>
              <w:t>_vs_DM_NN</w:t>
            </w:r>
            <w:proofErr w:type="spellEnd"/>
          </w:p>
        </w:tc>
        <w:tc>
          <w:tcPr>
            <w:tcW w:w="893" w:type="dxa"/>
          </w:tcPr>
          <w:p w14:paraId="29DC307C"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-.203</w:t>
            </w:r>
          </w:p>
        </w:tc>
        <w:tc>
          <w:tcPr>
            <w:tcW w:w="1257" w:type="dxa"/>
          </w:tcPr>
          <w:p w14:paraId="7F3CDE0F"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.353</w:t>
            </w:r>
          </w:p>
        </w:tc>
        <w:tc>
          <w:tcPr>
            <w:tcW w:w="2063" w:type="dxa"/>
          </w:tcPr>
          <w:p w14:paraId="5D1FDD8F"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-.076</w:t>
            </w:r>
          </w:p>
        </w:tc>
        <w:tc>
          <w:tcPr>
            <w:tcW w:w="827" w:type="dxa"/>
          </w:tcPr>
          <w:p w14:paraId="2A839762"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-.575</w:t>
            </w:r>
          </w:p>
        </w:tc>
        <w:tc>
          <w:tcPr>
            <w:tcW w:w="639" w:type="dxa"/>
          </w:tcPr>
          <w:p w14:paraId="15535BAD"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.567</w:t>
            </w:r>
          </w:p>
        </w:tc>
      </w:tr>
      <w:tr w:rsidR="009968E0" w:rsidRPr="009968E0" w14:paraId="1733C2EA" w14:textId="77777777" w:rsidTr="009968E0">
        <w:trPr>
          <w:cnfStyle w:val="000000100000" w:firstRow="0" w:lastRow="0" w:firstColumn="0" w:lastColumn="0" w:oddVBand="0" w:evenVBand="0" w:oddHBand="1" w:evenHBand="0" w:firstRowFirstColumn="0" w:firstRowLastColumn="0" w:lastRowFirstColumn="0" w:lastRowLastColumn="0"/>
          <w:trHeight w:val="680"/>
        </w:trPr>
        <w:tc>
          <w:tcPr>
            <w:tcW w:w="345" w:type="dxa"/>
            <w:vMerge/>
          </w:tcPr>
          <w:p w14:paraId="64967163"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2947" w:type="dxa"/>
          </w:tcPr>
          <w:p w14:paraId="7A88D215" w14:textId="77777777" w:rsidR="009968E0" w:rsidRPr="009968E0" w:rsidRDefault="009968E0" w:rsidP="009968E0">
            <w:pPr>
              <w:rPr>
                <w:rFonts w:ascii="Calibri" w:eastAsia="Times New Roman" w:hAnsi="Calibri" w:cs="Calibri"/>
                <w:i/>
                <w:color w:val="000000"/>
                <w:sz w:val="22"/>
                <w:szCs w:val="22"/>
                <w:lang w:eastAsia="en-GB"/>
              </w:rPr>
            </w:pPr>
            <w:proofErr w:type="spellStart"/>
            <w:r w:rsidRPr="009968E0">
              <w:rPr>
                <w:rFonts w:ascii="Calibri" w:eastAsia="Times New Roman" w:hAnsi="Calibri" w:cs="Calibri"/>
                <w:i/>
                <w:color w:val="000000"/>
                <w:sz w:val="22"/>
                <w:szCs w:val="22"/>
                <w:lang w:eastAsia="en-GB"/>
              </w:rPr>
              <w:t>Slope_</w:t>
            </w:r>
            <w:r w:rsidRPr="009968E0">
              <w:rPr>
                <w:rFonts w:ascii="Calibri" w:eastAsia="Arial" w:hAnsi="Calibri" w:cs="Calibri"/>
                <w:i/>
                <w:color w:val="000000"/>
                <w:sz w:val="22"/>
                <w:szCs w:val="22"/>
                <w:lang w:eastAsia="en-GB"/>
              </w:rPr>
              <w:t>P-DPN</w:t>
            </w:r>
            <w:r w:rsidRPr="009968E0">
              <w:rPr>
                <w:rFonts w:ascii="Calibri" w:eastAsia="Times New Roman" w:hAnsi="Calibri" w:cs="Calibri"/>
                <w:i/>
                <w:color w:val="000000"/>
                <w:sz w:val="22"/>
                <w:szCs w:val="22"/>
                <w:lang w:eastAsia="en-GB"/>
              </w:rPr>
              <w:t>_vs_HV</w:t>
            </w:r>
            <w:proofErr w:type="spellEnd"/>
          </w:p>
        </w:tc>
        <w:tc>
          <w:tcPr>
            <w:tcW w:w="893" w:type="dxa"/>
          </w:tcPr>
          <w:p w14:paraId="6DF057C7"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-.766</w:t>
            </w:r>
          </w:p>
        </w:tc>
        <w:tc>
          <w:tcPr>
            <w:tcW w:w="1257" w:type="dxa"/>
          </w:tcPr>
          <w:p w14:paraId="386459B7"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.248</w:t>
            </w:r>
          </w:p>
        </w:tc>
        <w:tc>
          <w:tcPr>
            <w:tcW w:w="2063" w:type="dxa"/>
          </w:tcPr>
          <w:p w14:paraId="7CD29506"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-.446</w:t>
            </w:r>
          </w:p>
        </w:tc>
        <w:tc>
          <w:tcPr>
            <w:tcW w:w="827" w:type="dxa"/>
          </w:tcPr>
          <w:p w14:paraId="35ABF553"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-3.083</w:t>
            </w:r>
          </w:p>
        </w:tc>
        <w:tc>
          <w:tcPr>
            <w:tcW w:w="639" w:type="dxa"/>
          </w:tcPr>
          <w:p w14:paraId="20EF4B98"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.003</w:t>
            </w:r>
          </w:p>
        </w:tc>
      </w:tr>
    </w:tbl>
    <w:p w14:paraId="37C9436E" w14:textId="77777777" w:rsidR="009968E0" w:rsidRPr="009968E0" w:rsidRDefault="009968E0" w:rsidP="009968E0">
      <w:pPr>
        <w:rPr>
          <w:rFonts w:eastAsia="MS Mincho" w:cs="Times New Roman"/>
          <w:i/>
          <w:iCs/>
          <w:color w:val="1F497D"/>
        </w:rPr>
      </w:pPr>
    </w:p>
    <w:p w14:paraId="3F2CA42F" w14:textId="77777777" w:rsidR="009968E0" w:rsidRPr="00D130F6" w:rsidRDefault="009968E0" w:rsidP="00D130F6">
      <w:pPr>
        <w:pStyle w:val="Quote"/>
      </w:pPr>
      <w:bookmarkStart w:id="696" w:name="_Toc48406167"/>
      <w:bookmarkStart w:id="697" w:name="_Toc49273379"/>
      <w:bookmarkStart w:id="698" w:name="_Toc64724131"/>
      <w:r w:rsidRPr="00D130F6">
        <w:t>Table D.24 Delta TTP:  Linear regression of pain perception as measured by Likert scale for Right Thalamus reporting coefficients.</w:t>
      </w:r>
      <w:bookmarkEnd w:id="696"/>
      <w:bookmarkEnd w:id="697"/>
      <w:bookmarkEnd w:id="698"/>
    </w:p>
    <w:tbl>
      <w:tblPr>
        <w:tblStyle w:val="GridTable2-Accent212"/>
        <w:tblW w:w="9064" w:type="dxa"/>
        <w:tblLayout w:type="fixed"/>
        <w:tblLook w:val="0400" w:firstRow="0" w:lastRow="0" w:firstColumn="0" w:lastColumn="0" w:noHBand="0" w:noVBand="1"/>
      </w:tblPr>
      <w:tblGrid>
        <w:gridCol w:w="1387"/>
        <w:gridCol w:w="328"/>
        <w:gridCol w:w="1612"/>
        <w:gridCol w:w="1257"/>
        <w:gridCol w:w="1251"/>
        <w:gridCol w:w="1395"/>
        <w:gridCol w:w="921"/>
        <w:gridCol w:w="913"/>
      </w:tblGrid>
      <w:tr w:rsidR="009968E0" w:rsidRPr="009968E0" w14:paraId="7BC52693" w14:textId="77777777" w:rsidTr="009968E0">
        <w:trPr>
          <w:cnfStyle w:val="000000100000" w:firstRow="0" w:lastRow="0" w:firstColumn="0" w:lastColumn="0" w:oddVBand="0" w:evenVBand="0" w:oddHBand="1" w:evenHBand="0" w:firstRowFirstColumn="0" w:firstRowLastColumn="0" w:lastRowFirstColumn="0" w:lastRowLastColumn="0"/>
          <w:trHeight w:val="680"/>
        </w:trPr>
        <w:tc>
          <w:tcPr>
            <w:tcW w:w="3327" w:type="dxa"/>
            <w:gridSpan w:val="3"/>
            <w:vMerge w:val="restart"/>
          </w:tcPr>
          <w:p w14:paraId="2EA37505"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GROUP</w:t>
            </w:r>
          </w:p>
        </w:tc>
        <w:tc>
          <w:tcPr>
            <w:tcW w:w="2508" w:type="dxa"/>
            <w:gridSpan w:val="2"/>
          </w:tcPr>
          <w:p w14:paraId="4FCD0167"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Unstandardized Coefficients</w:t>
            </w:r>
          </w:p>
        </w:tc>
        <w:tc>
          <w:tcPr>
            <w:tcW w:w="1395" w:type="dxa"/>
          </w:tcPr>
          <w:p w14:paraId="06BBBC4A"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Standardized Coefficients</w:t>
            </w:r>
          </w:p>
        </w:tc>
        <w:tc>
          <w:tcPr>
            <w:tcW w:w="921" w:type="dxa"/>
            <w:vMerge w:val="restart"/>
          </w:tcPr>
          <w:p w14:paraId="6B331DA0"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t</w:t>
            </w:r>
          </w:p>
        </w:tc>
        <w:tc>
          <w:tcPr>
            <w:tcW w:w="913" w:type="dxa"/>
            <w:vMerge w:val="restart"/>
          </w:tcPr>
          <w:p w14:paraId="23046C8D"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Sig.</w:t>
            </w:r>
          </w:p>
        </w:tc>
      </w:tr>
      <w:tr w:rsidR="009968E0" w:rsidRPr="009968E0" w14:paraId="046F8C74" w14:textId="77777777" w:rsidTr="009968E0">
        <w:trPr>
          <w:trHeight w:val="360"/>
        </w:trPr>
        <w:tc>
          <w:tcPr>
            <w:tcW w:w="3327" w:type="dxa"/>
            <w:gridSpan w:val="3"/>
            <w:vMerge/>
          </w:tcPr>
          <w:p w14:paraId="5565CEEF"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1257" w:type="dxa"/>
          </w:tcPr>
          <w:p w14:paraId="3DC098A4"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B</w:t>
            </w:r>
          </w:p>
        </w:tc>
        <w:tc>
          <w:tcPr>
            <w:tcW w:w="1251" w:type="dxa"/>
          </w:tcPr>
          <w:p w14:paraId="20ACA20C"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Std. Error</w:t>
            </w:r>
          </w:p>
        </w:tc>
        <w:tc>
          <w:tcPr>
            <w:tcW w:w="1395" w:type="dxa"/>
          </w:tcPr>
          <w:p w14:paraId="19D1715E"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Beta</w:t>
            </w:r>
          </w:p>
        </w:tc>
        <w:tc>
          <w:tcPr>
            <w:tcW w:w="921" w:type="dxa"/>
            <w:vMerge/>
          </w:tcPr>
          <w:p w14:paraId="12F6CFCF"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913" w:type="dxa"/>
            <w:vMerge/>
          </w:tcPr>
          <w:p w14:paraId="218EF591"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r>
      <w:tr w:rsidR="009968E0" w:rsidRPr="009968E0" w14:paraId="276D9F4A"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1387" w:type="dxa"/>
            <w:vMerge w:val="restart"/>
          </w:tcPr>
          <w:p w14:paraId="466BEA46"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P-DPN</w:t>
            </w:r>
          </w:p>
        </w:tc>
        <w:tc>
          <w:tcPr>
            <w:tcW w:w="328" w:type="dxa"/>
            <w:vMerge w:val="restart"/>
          </w:tcPr>
          <w:p w14:paraId="350758BF"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w:t>
            </w:r>
          </w:p>
        </w:tc>
        <w:tc>
          <w:tcPr>
            <w:tcW w:w="1612" w:type="dxa"/>
          </w:tcPr>
          <w:p w14:paraId="75E45EA4"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(Constant)</w:t>
            </w:r>
          </w:p>
        </w:tc>
        <w:tc>
          <w:tcPr>
            <w:tcW w:w="1257" w:type="dxa"/>
          </w:tcPr>
          <w:p w14:paraId="550FAFD0"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-.745</w:t>
            </w:r>
          </w:p>
        </w:tc>
        <w:tc>
          <w:tcPr>
            <w:tcW w:w="1251" w:type="dxa"/>
          </w:tcPr>
          <w:p w14:paraId="55D8B0AD"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1.091</w:t>
            </w:r>
          </w:p>
        </w:tc>
        <w:tc>
          <w:tcPr>
            <w:tcW w:w="1395" w:type="dxa"/>
          </w:tcPr>
          <w:p w14:paraId="74FECF2F"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w:t>
            </w:r>
          </w:p>
        </w:tc>
        <w:tc>
          <w:tcPr>
            <w:tcW w:w="921" w:type="dxa"/>
          </w:tcPr>
          <w:p w14:paraId="6E5F4551"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-.683</w:t>
            </w:r>
          </w:p>
        </w:tc>
        <w:tc>
          <w:tcPr>
            <w:tcW w:w="913" w:type="dxa"/>
          </w:tcPr>
          <w:p w14:paraId="57F32F62"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.504</w:t>
            </w:r>
          </w:p>
        </w:tc>
      </w:tr>
      <w:tr w:rsidR="009968E0" w:rsidRPr="009968E0" w14:paraId="7FA47032" w14:textId="77777777" w:rsidTr="009968E0">
        <w:trPr>
          <w:trHeight w:val="360"/>
        </w:trPr>
        <w:tc>
          <w:tcPr>
            <w:tcW w:w="1387" w:type="dxa"/>
            <w:vMerge/>
          </w:tcPr>
          <w:p w14:paraId="3384A7CF"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328" w:type="dxa"/>
            <w:vMerge/>
          </w:tcPr>
          <w:p w14:paraId="03268672"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1612" w:type="dxa"/>
          </w:tcPr>
          <w:p w14:paraId="78007982" w14:textId="77777777" w:rsidR="009968E0" w:rsidRPr="009968E0" w:rsidRDefault="009968E0" w:rsidP="009968E0">
            <w:pPr>
              <w:rPr>
                <w:rFonts w:ascii="Calibri" w:eastAsia="Times New Roman" w:hAnsi="Calibri" w:cs="Calibri"/>
                <w:i/>
                <w:color w:val="000000"/>
                <w:sz w:val="22"/>
                <w:szCs w:val="22"/>
                <w:lang w:eastAsia="en-GB"/>
              </w:rPr>
            </w:pPr>
            <w:proofErr w:type="spellStart"/>
            <w:r w:rsidRPr="009968E0">
              <w:rPr>
                <w:rFonts w:ascii="Calibri" w:eastAsia="Times New Roman" w:hAnsi="Calibri" w:cs="Calibri"/>
                <w:i/>
                <w:color w:val="000000"/>
                <w:sz w:val="22"/>
                <w:szCs w:val="22"/>
                <w:lang w:eastAsia="en-GB"/>
              </w:rPr>
              <w:t>likertscale_gad</w:t>
            </w:r>
            <w:proofErr w:type="spellEnd"/>
          </w:p>
        </w:tc>
        <w:tc>
          <w:tcPr>
            <w:tcW w:w="1257" w:type="dxa"/>
          </w:tcPr>
          <w:p w14:paraId="454275FA"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.184</w:t>
            </w:r>
          </w:p>
        </w:tc>
        <w:tc>
          <w:tcPr>
            <w:tcW w:w="1251" w:type="dxa"/>
          </w:tcPr>
          <w:p w14:paraId="21B4CB11"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.146</w:t>
            </w:r>
          </w:p>
        </w:tc>
        <w:tc>
          <w:tcPr>
            <w:tcW w:w="1395" w:type="dxa"/>
          </w:tcPr>
          <w:p w14:paraId="2FDF1D73"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.301</w:t>
            </w:r>
          </w:p>
        </w:tc>
        <w:tc>
          <w:tcPr>
            <w:tcW w:w="921" w:type="dxa"/>
          </w:tcPr>
          <w:p w14:paraId="1D798930"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1.264</w:t>
            </w:r>
          </w:p>
        </w:tc>
        <w:tc>
          <w:tcPr>
            <w:tcW w:w="913" w:type="dxa"/>
          </w:tcPr>
          <w:p w14:paraId="5A90CA0E"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.224</w:t>
            </w:r>
          </w:p>
        </w:tc>
      </w:tr>
      <w:tr w:rsidR="009968E0" w:rsidRPr="009968E0" w14:paraId="75410CCA"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1387" w:type="dxa"/>
            <w:vMerge w:val="restart"/>
          </w:tcPr>
          <w:p w14:paraId="62712AB1"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DPN</w:t>
            </w:r>
          </w:p>
        </w:tc>
        <w:tc>
          <w:tcPr>
            <w:tcW w:w="328" w:type="dxa"/>
            <w:vMerge w:val="restart"/>
          </w:tcPr>
          <w:p w14:paraId="2A7FC44F"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w:t>
            </w:r>
          </w:p>
        </w:tc>
        <w:tc>
          <w:tcPr>
            <w:tcW w:w="1612" w:type="dxa"/>
          </w:tcPr>
          <w:p w14:paraId="029AD5C8"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(Constant)</w:t>
            </w:r>
          </w:p>
        </w:tc>
        <w:tc>
          <w:tcPr>
            <w:tcW w:w="1257" w:type="dxa"/>
          </w:tcPr>
          <w:p w14:paraId="09080D49"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1.333</w:t>
            </w:r>
          </w:p>
        </w:tc>
        <w:tc>
          <w:tcPr>
            <w:tcW w:w="1251" w:type="dxa"/>
          </w:tcPr>
          <w:p w14:paraId="14F262C5"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1.128</w:t>
            </w:r>
          </w:p>
        </w:tc>
        <w:tc>
          <w:tcPr>
            <w:tcW w:w="1395" w:type="dxa"/>
          </w:tcPr>
          <w:p w14:paraId="31C3E158"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w:t>
            </w:r>
          </w:p>
        </w:tc>
        <w:tc>
          <w:tcPr>
            <w:tcW w:w="921" w:type="dxa"/>
          </w:tcPr>
          <w:p w14:paraId="42A8C9FE"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1.182</w:t>
            </w:r>
          </w:p>
        </w:tc>
        <w:tc>
          <w:tcPr>
            <w:tcW w:w="913" w:type="dxa"/>
          </w:tcPr>
          <w:p w14:paraId="6059EF60"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.251</w:t>
            </w:r>
          </w:p>
        </w:tc>
      </w:tr>
      <w:tr w:rsidR="009968E0" w:rsidRPr="009968E0" w14:paraId="34A1DCCD" w14:textId="77777777" w:rsidTr="009968E0">
        <w:trPr>
          <w:trHeight w:val="360"/>
        </w:trPr>
        <w:tc>
          <w:tcPr>
            <w:tcW w:w="1387" w:type="dxa"/>
            <w:vMerge/>
          </w:tcPr>
          <w:p w14:paraId="5B949632"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328" w:type="dxa"/>
            <w:vMerge/>
          </w:tcPr>
          <w:p w14:paraId="6E52DCE5"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1612" w:type="dxa"/>
          </w:tcPr>
          <w:p w14:paraId="7BF12A22" w14:textId="77777777" w:rsidR="009968E0" w:rsidRPr="009968E0" w:rsidRDefault="009968E0" w:rsidP="009968E0">
            <w:pPr>
              <w:rPr>
                <w:rFonts w:ascii="Calibri" w:eastAsia="Times New Roman" w:hAnsi="Calibri" w:cs="Calibri"/>
                <w:i/>
                <w:color w:val="000000"/>
                <w:sz w:val="22"/>
                <w:szCs w:val="22"/>
                <w:lang w:eastAsia="en-GB"/>
              </w:rPr>
            </w:pPr>
            <w:proofErr w:type="spellStart"/>
            <w:r w:rsidRPr="009968E0">
              <w:rPr>
                <w:rFonts w:ascii="Calibri" w:eastAsia="Times New Roman" w:hAnsi="Calibri" w:cs="Calibri"/>
                <w:i/>
                <w:color w:val="000000"/>
                <w:sz w:val="22"/>
                <w:szCs w:val="22"/>
                <w:lang w:eastAsia="en-GB"/>
              </w:rPr>
              <w:t>likertscale_gad</w:t>
            </w:r>
            <w:proofErr w:type="spellEnd"/>
          </w:p>
        </w:tc>
        <w:tc>
          <w:tcPr>
            <w:tcW w:w="1257" w:type="dxa"/>
          </w:tcPr>
          <w:p w14:paraId="6DEA5EBF"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-.209</w:t>
            </w:r>
          </w:p>
        </w:tc>
        <w:tc>
          <w:tcPr>
            <w:tcW w:w="1251" w:type="dxa"/>
          </w:tcPr>
          <w:p w14:paraId="5341C417"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.155</w:t>
            </w:r>
          </w:p>
        </w:tc>
        <w:tc>
          <w:tcPr>
            <w:tcW w:w="1395" w:type="dxa"/>
          </w:tcPr>
          <w:p w14:paraId="1D0C8631"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-.282</w:t>
            </w:r>
          </w:p>
        </w:tc>
        <w:tc>
          <w:tcPr>
            <w:tcW w:w="921" w:type="dxa"/>
          </w:tcPr>
          <w:p w14:paraId="0484C57E"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-1.346</w:t>
            </w:r>
          </w:p>
        </w:tc>
        <w:tc>
          <w:tcPr>
            <w:tcW w:w="913" w:type="dxa"/>
          </w:tcPr>
          <w:p w14:paraId="74993562"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.193</w:t>
            </w:r>
          </w:p>
        </w:tc>
      </w:tr>
      <w:tr w:rsidR="009968E0" w:rsidRPr="009968E0" w14:paraId="4FD3CA1C"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1387" w:type="dxa"/>
            <w:vMerge w:val="restart"/>
          </w:tcPr>
          <w:p w14:paraId="40A0630A"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Arial" w:hAnsi="Calibri" w:cs="Calibri"/>
                <w:i/>
                <w:color w:val="000000"/>
                <w:sz w:val="22"/>
                <w:szCs w:val="22"/>
                <w:lang w:eastAsia="en-GB"/>
              </w:rPr>
              <w:t>DM-NN</w:t>
            </w:r>
          </w:p>
        </w:tc>
        <w:tc>
          <w:tcPr>
            <w:tcW w:w="328" w:type="dxa"/>
            <w:vMerge w:val="restart"/>
          </w:tcPr>
          <w:p w14:paraId="640443CF"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w:t>
            </w:r>
          </w:p>
        </w:tc>
        <w:tc>
          <w:tcPr>
            <w:tcW w:w="1612" w:type="dxa"/>
          </w:tcPr>
          <w:p w14:paraId="12AA397D"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(Constant)</w:t>
            </w:r>
          </w:p>
        </w:tc>
        <w:tc>
          <w:tcPr>
            <w:tcW w:w="1257" w:type="dxa"/>
          </w:tcPr>
          <w:p w14:paraId="276C295C"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.323</w:t>
            </w:r>
          </w:p>
        </w:tc>
        <w:tc>
          <w:tcPr>
            <w:tcW w:w="1251" w:type="dxa"/>
          </w:tcPr>
          <w:p w14:paraId="7B7B63B1"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2.009</w:t>
            </w:r>
          </w:p>
        </w:tc>
        <w:tc>
          <w:tcPr>
            <w:tcW w:w="1395" w:type="dxa"/>
          </w:tcPr>
          <w:p w14:paraId="47AC831F"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w:t>
            </w:r>
          </w:p>
        </w:tc>
        <w:tc>
          <w:tcPr>
            <w:tcW w:w="921" w:type="dxa"/>
          </w:tcPr>
          <w:p w14:paraId="402F25FC"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.161</w:t>
            </w:r>
          </w:p>
        </w:tc>
        <w:tc>
          <w:tcPr>
            <w:tcW w:w="913" w:type="dxa"/>
          </w:tcPr>
          <w:p w14:paraId="6BD119B3"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.875</w:t>
            </w:r>
          </w:p>
        </w:tc>
      </w:tr>
      <w:tr w:rsidR="009968E0" w:rsidRPr="009968E0" w14:paraId="0D789052" w14:textId="77777777" w:rsidTr="009968E0">
        <w:trPr>
          <w:trHeight w:val="360"/>
        </w:trPr>
        <w:tc>
          <w:tcPr>
            <w:tcW w:w="1387" w:type="dxa"/>
            <w:vMerge/>
          </w:tcPr>
          <w:p w14:paraId="0AFD652C"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328" w:type="dxa"/>
            <w:vMerge/>
          </w:tcPr>
          <w:p w14:paraId="361F0A06"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1612" w:type="dxa"/>
          </w:tcPr>
          <w:p w14:paraId="5FD05521" w14:textId="77777777" w:rsidR="009968E0" w:rsidRPr="009968E0" w:rsidRDefault="009968E0" w:rsidP="009968E0">
            <w:pPr>
              <w:rPr>
                <w:rFonts w:ascii="Calibri" w:eastAsia="Times New Roman" w:hAnsi="Calibri" w:cs="Calibri"/>
                <w:i/>
                <w:color w:val="000000"/>
                <w:sz w:val="22"/>
                <w:szCs w:val="22"/>
                <w:lang w:eastAsia="en-GB"/>
              </w:rPr>
            </w:pPr>
            <w:proofErr w:type="spellStart"/>
            <w:r w:rsidRPr="009968E0">
              <w:rPr>
                <w:rFonts w:ascii="Calibri" w:eastAsia="Times New Roman" w:hAnsi="Calibri" w:cs="Calibri"/>
                <w:i/>
                <w:color w:val="000000"/>
                <w:sz w:val="22"/>
                <w:szCs w:val="22"/>
                <w:lang w:eastAsia="en-GB"/>
              </w:rPr>
              <w:t>likertscale_gad</w:t>
            </w:r>
            <w:proofErr w:type="spellEnd"/>
          </w:p>
        </w:tc>
        <w:tc>
          <w:tcPr>
            <w:tcW w:w="1257" w:type="dxa"/>
          </w:tcPr>
          <w:p w14:paraId="565EC1BB"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-.040</w:t>
            </w:r>
          </w:p>
        </w:tc>
        <w:tc>
          <w:tcPr>
            <w:tcW w:w="1251" w:type="dxa"/>
          </w:tcPr>
          <w:p w14:paraId="0C3B0E9C"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.266</w:t>
            </w:r>
          </w:p>
        </w:tc>
        <w:tc>
          <w:tcPr>
            <w:tcW w:w="1395" w:type="dxa"/>
          </w:tcPr>
          <w:p w14:paraId="50AC2AD2"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-.045</w:t>
            </w:r>
          </w:p>
        </w:tc>
        <w:tc>
          <w:tcPr>
            <w:tcW w:w="921" w:type="dxa"/>
          </w:tcPr>
          <w:p w14:paraId="77F3A44F"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-.150</w:t>
            </w:r>
          </w:p>
        </w:tc>
        <w:tc>
          <w:tcPr>
            <w:tcW w:w="913" w:type="dxa"/>
          </w:tcPr>
          <w:p w14:paraId="58F36BB9"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.883</w:t>
            </w:r>
          </w:p>
        </w:tc>
      </w:tr>
      <w:tr w:rsidR="009968E0" w:rsidRPr="009968E0" w14:paraId="01F4FC40"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1387" w:type="dxa"/>
            <w:vMerge w:val="restart"/>
          </w:tcPr>
          <w:p w14:paraId="654553C8"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HV</w:t>
            </w:r>
          </w:p>
        </w:tc>
        <w:tc>
          <w:tcPr>
            <w:tcW w:w="328" w:type="dxa"/>
            <w:vMerge w:val="restart"/>
          </w:tcPr>
          <w:p w14:paraId="2FAC1020"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w:t>
            </w:r>
          </w:p>
        </w:tc>
        <w:tc>
          <w:tcPr>
            <w:tcW w:w="1612" w:type="dxa"/>
          </w:tcPr>
          <w:p w14:paraId="76F367C0"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(Constant)</w:t>
            </w:r>
          </w:p>
        </w:tc>
        <w:tc>
          <w:tcPr>
            <w:tcW w:w="1257" w:type="dxa"/>
          </w:tcPr>
          <w:p w14:paraId="72E01F91"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4.449</w:t>
            </w:r>
          </w:p>
        </w:tc>
        <w:tc>
          <w:tcPr>
            <w:tcW w:w="1251" w:type="dxa"/>
          </w:tcPr>
          <w:p w14:paraId="1B27F065"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1.358</w:t>
            </w:r>
          </w:p>
        </w:tc>
        <w:tc>
          <w:tcPr>
            <w:tcW w:w="1395" w:type="dxa"/>
          </w:tcPr>
          <w:p w14:paraId="663E09C3"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w:t>
            </w:r>
          </w:p>
        </w:tc>
        <w:tc>
          <w:tcPr>
            <w:tcW w:w="921" w:type="dxa"/>
          </w:tcPr>
          <w:p w14:paraId="75096B15"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3.276</w:t>
            </w:r>
          </w:p>
        </w:tc>
        <w:tc>
          <w:tcPr>
            <w:tcW w:w="913" w:type="dxa"/>
          </w:tcPr>
          <w:p w14:paraId="055DFE64"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.004</w:t>
            </w:r>
          </w:p>
        </w:tc>
      </w:tr>
      <w:tr w:rsidR="009968E0" w:rsidRPr="009968E0" w14:paraId="097E9312" w14:textId="77777777" w:rsidTr="009968E0">
        <w:trPr>
          <w:trHeight w:val="360"/>
        </w:trPr>
        <w:tc>
          <w:tcPr>
            <w:tcW w:w="1387" w:type="dxa"/>
            <w:vMerge/>
          </w:tcPr>
          <w:p w14:paraId="2E7DE663"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328" w:type="dxa"/>
            <w:vMerge/>
          </w:tcPr>
          <w:p w14:paraId="2EFC3437"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1612" w:type="dxa"/>
          </w:tcPr>
          <w:p w14:paraId="1C6C0111" w14:textId="77777777" w:rsidR="009968E0" w:rsidRPr="009968E0" w:rsidRDefault="009968E0" w:rsidP="009968E0">
            <w:pPr>
              <w:rPr>
                <w:rFonts w:ascii="Calibri" w:eastAsia="Times New Roman" w:hAnsi="Calibri" w:cs="Calibri"/>
                <w:i/>
                <w:color w:val="000000"/>
                <w:sz w:val="22"/>
                <w:szCs w:val="22"/>
                <w:lang w:eastAsia="en-GB"/>
              </w:rPr>
            </w:pPr>
            <w:proofErr w:type="spellStart"/>
            <w:r w:rsidRPr="009968E0">
              <w:rPr>
                <w:rFonts w:ascii="Calibri" w:eastAsia="Times New Roman" w:hAnsi="Calibri" w:cs="Calibri"/>
                <w:i/>
                <w:color w:val="000000"/>
                <w:sz w:val="22"/>
                <w:szCs w:val="22"/>
                <w:lang w:eastAsia="en-GB"/>
              </w:rPr>
              <w:t>likertscale_gad</w:t>
            </w:r>
            <w:proofErr w:type="spellEnd"/>
          </w:p>
        </w:tc>
        <w:tc>
          <w:tcPr>
            <w:tcW w:w="1257" w:type="dxa"/>
          </w:tcPr>
          <w:p w14:paraId="7671AFE8"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-.693</w:t>
            </w:r>
          </w:p>
        </w:tc>
        <w:tc>
          <w:tcPr>
            <w:tcW w:w="1251" w:type="dxa"/>
          </w:tcPr>
          <w:p w14:paraId="0276431B"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.196</w:t>
            </w:r>
          </w:p>
        </w:tc>
        <w:tc>
          <w:tcPr>
            <w:tcW w:w="1395" w:type="dxa"/>
          </w:tcPr>
          <w:p w14:paraId="0DF924F9"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-.652</w:t>
            </w:r>
          </w:p>
        </w:tc>
        <w:tc>
          <w:tcPr>
            <w:tcW w:w="921" w:type="dxa"/>
          </w:tcPr>
          <w:p w14:paraId="2A0C26D9"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-3.541</w:t>
            </w:r>
          </w:p>
        </w:tc>
        <w:tc>
          <w:tcPr>
            <w:tcW w:w="913" w:type="dxa"/>
          </w:tcPr>
          <w:p w14:paraId="2F3B1AC4"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.003</w:t>
            </w:r>
          </w:p>
        </w:tc>
      </w:tr>
      <w:tr w:rsidR="009968E0" w:rsidRPr="009968E0" w14:paraId="4AC09A7F" w14:textId="77777777" w:rsidTr="009968E0">
        <w:trPr>
          <w:cnfStyle w:val="000000100000" w:firstRow="0" w:lastRow="0" w:firstColumn="0" w:lastColumn="0" w:oddVBand="0" w:evenVBand="0" w:oddHBand="1" w:evenHBand="0" w:firstRowFirstColumn="0" w:firstRowLastColumn="0" w:lastRowFirstColumn="0" w:lastRowLastColumn="0"/>
          <w:trHeight w:val="380"/>
        </w:trPr>
        <w:tc>
          <w:tcPr>
            <w:tcW w:w="9064" w:type="dxa"/>
            <w:gridSpan w:val="8"/>
          </w:tcPr>
          <w:p w14:paraId="57DCC00D" w14:textId="6AD61FF8"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xml:space="preserve">a. Dependent Variable: </w:t>
            </w:r>
            <w:proofErr w:type="spellStart"/>
            <w:r w:rsidR="0068219A">
              <w:rPr>
                <w:rFonts w:ascii="Calibri" w:eastAsia="Times New Roman" w:hAnsi="Calibri" w:cs="Calibri"/>
                <w:i/>
                <w:color w:val="000000"/>
                <w:sz w:val="22"/>
                <w:szCs w:val="22"/>
                <w:lang w:eastAsia="en-GB"/>
              </w:rPr>
              <w:t>Δ</w:t>
            </w:r>
            <w:r w:rsidRPr="009968E0">
              <w:rPr>
                <w:rFonts w:ascii="Calibri" w:eastAsia="Times New Roman" w:hAnsi="Calibri" w:cs="Calibri"/>
                <w:i/>
                <w:color w:val="000000"/>
                <w:sz w:val="22"/>
                <w:szCs w:val="22"/>
                <w:lang w:eastAsia="en-GB"/>
              </w:rPr>
              <w:t>_TTP_</w:t>
            </w:r>
            <w:r w:rsidR="00264184">
              <w:rPr>
                <w:rFonts w:ascii="Calibri" w:eastAsia="Times New Roman" w:hAnsi="Calibri" w:cs="Calibri"/>
                <w:i/>
                <w:color w:val="000000"/>
                <w:sz w:val="22"/>
                <w:szCs w:val="22"/>
                <w:lang w:eastAsia="en-GB"/>
              </w:rPr>
              <w:t>RThal</w:t>
            </w:r>
            <w:proofErr w:type="spellEnd"/>
          </w:p>
        </w:tc>
      </w:tr>
    </w:tbl>
    <w:p w14:paraId="59F3E9EE" w14:textId="77777777" w:rsidR="009968E0" w:rsidRPr="009968E0" w:rsidRDefault="009968E0" w:rsidP="009968E0">
      <w:pPr>
        <w:pBdr>
          <w:top w:val="nil"/>
          <w:left w:val="nil"/>
          <w:bottom w:val="nil"/>
          <w:right w:val="nil"/>
          <w:between w:val="nil"/>
        </w:pBdr>
        <w:rPr>
          <w:rFonts w:ascii="Times New Roman" w:eastAsia="Times New Roman" w:hAnsi="Times New Roman" w:cs="Arial"/>
          <w:color w:val="000000"/>
          <w:lang w:eastAsia="en-GB"/>
        </w:rPr>
      </w:pPr>
    </w:p>
    <w:p w14:paraId="7D622999" w14:textId="6A139C91" w:rsidR="009968E0" w:rsidRPr="00D130F6" w:rsidRDefault="009968E0" w:rsidP="00D130F6">
      <w:pPr>
        <w:pStyle w:val="Quote"/>
      </w:pPr>
      <w:bookmarkStart w:id="699" w:name="_Toc48406168"/>
      <w:bookmarkStart w:id="700" w:name="_Toc49273380"/>
      <w:bookmarkStart w:id="701" w:name="_Toc64724132"/>
      <w:r w:rsidRPr="00D130F6">
        <w:lastRenderedPageBreak/>
        <w:t xml:space="preserve">Table D.25: ANOVA comparing regression slopes and intercepts for statistical significance for delta TTP </w:t>
      </w:r>
      <w:proofErr w:type="spellStart"/>
      <w:r w:rsidR="00264184">
        <w:t>RThal</w:t>
      </w:r>
      <w:bookmarkEnd w:id="699"/>
      <w:bookmarkEnd w:id="700"/>
      <w:bookmarkEnd w:id="701"/>
      <w:proofErr w:type="spellEnd"/>
    </w:p>
    <w:tbl>
      <w:tblPr>
        <w:tblStyle w:val="GridTable2-Accent212"/>
        <w:tblW w:w="9064" w:type="dxa"/>
        <w:tblLayout w:type="fixed"/>
        <w:tblLook w:val="0400" w:firstRow="0" w:lastRow="0" w:firstColumn="0" w:lastColumn="0" w:noHBand="0" w:noVBand="1"/>
      </w:tblPr>
      <w:tblGrid>
        <w:gridCol w:w="4363"/>
        <w:gridCol w:w="948"/>
        <w:gridCol w:w="1501"/>
        <w:gridCol w:w="1086"/>
        <w:gridCol w:w="1166"/>
      </w:tblGrid>
      <w:tr w:rsidR="009968E0" w:rsidRPr="009968E0" w14:paraId="768D501E" w14:textId="77777777" w:rsidTr="009968E0">
        <w:trPr>
          <w:cnfStyle w:val="000000100000" w:firstRow="0" w:lastRow="0" w:firstColumn="0" w:lastColumn="0" w:oddVBand="0" w:evenVBand="0" w:oddHBand="1" w:evenHBand="0" w:firstRowFirstColumn="0" w:firstRowLastColumn="0" w:lastRowFirstColumn="0" w:lastRowLastColumn="0"/>
          <w:trHeight w:val="680"/>
        </w:trPr>
        <w:tc>
          <w:tcPr>
            <w:tcW w:w="4363" w:type="dxa"/>
          </w:tcPr>
          <w:p w14:paraId="39E2C021"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Model</w:t>
            </w:r>
          </w:p>
        </w:tc>
        <w:tc>
          <w:tcPr>
            <w:tcW w:w="948" w:type="dxa"/>
          </w:tcPr>
          <w:p w14:paraId="4AF17B0B"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df</w:t>
            </w:r>
          </w:p>
        </w:tc>
        <w:tc>
          <w:tcPr>
            <w:tcW w:w="1501" w:type="dxa"/>
          </w:tcPr>
          <w:p w14:paraId="2D0A32A8"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F</w:t>
            </w:r>
          </w:p>
        </w:tc>
        <w:tc>
          <w:tcPr>
            <w:tcW w:w="1086" w:type="dxa"/>
          </w:tcPr>
          <w:p w14:paraId="7B4632D1"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Sig.</w:t>
            </w:r>
          </w:p>
        </w:tc>
        <w:tc>
          <w:tcPr>
            <w:tcW w:w="1166" w:type="dxa"/>
          </w:tcPr>
          <w:p w14:paraId="4F186952"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R Square Change</w:t>
            </w:r>
          </w:p>
        </w:tc>
      </w:tr>
      <w:tr w:rsidR="009968E0" w:rsidRPr="009968E0" w14:paraId="33A3AE27" w14:textId="77777777" w:rsidTr="009968E0">
        <w:trPr>
          <w:trHeight w:val="360"/>
        </w:trPr>
        <w:tc>
          <w:tcPr>
            <w:tcW w:w="4363" w:type="dxa"/>
          </w:tcPr>
          <w:p w14:paraId="26478D3B" w14:textId="77777777" w:rsidR="009968E0" w:rsidRPr="009968E0" w:rsidRDefault="009968E0" w:rsidP="009968E0">
            <w:pPr>
              <w:rPr>
                <w:rFonts w:ascii="Calibri" w:eastAsia="Times New Roman" w:hAnsi="Calibri" w:cs="Calibri"/>
                <w:i/>
                <w:color w:val="000000"/>
                <w:sz w:val="22"/>
                <w:szCs w:val="22"/>
                <w:lang w:eastAsia="en-GB"/>
              </w:rPr>
            </w:pPr>
            <w:proofErr w:type="spellStart"/>
            <w:r w:rsidRPr="009968E0">
              <w:rPr>
                <w:rFonts w:ascii="Calibri" w:eastAsia="Times New Roman" w:hAnsi="Calibri" w:cs="Calibri"/>
                <w:i/>
                <w:color w:val="000000"/>
                <w:sz w:val="22"/>
                <w:szCs w:val="22"/>
                <w:lang w:eastAsia="en-GB"/>
              </w:rPr>
              <w:t>likert_centred</w:t>
            </w:r>
            <w:proofErr w:type="spellEnd"/>
          </w:p>
        </w:tc>
        <w:tc>
          <w:tcPr>
            <w:tcW w:w="948" w:type="dxa"/>
          </w:tcPr>
          <w:p w14:paraId="2201CD81"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w:t>
            </w:r>
          </w:p>
        </w:tc>
        <w:tc>
          <w:tcPr>
            <w:tcW w:w="1501" w:type="dxa"/>
          </w:tcPr>
          <w:p w14:paraId="3A3582C3"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1.341</w:t>
            </w:r>
          </w:p>
        </w:tc>
        <w:tc>
          <w:tcPr>
            <w:tcW w:w="1086" w:type="dxa"/>
          </w:tcPr>
          <w:p w14:paraId="31E655D2"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.251</w:t>
            </w:r>
            <w:r w:rsidRPr="009968E0">
              <w:rPr>
                <w:rFonts w:ascii="Calibri" w:eastAsia="Times New Roman" w:hAnsi="Calibri" w:cs="Calibri"/>
                <w:i/>
                <w:color w:val="000000"/>
                <w:sz w:val="22"/>
                <w:szCs w:val="22"/>
                <w:vertAlign w:val="superscript"/>
                <w:lang w:eastAsia="en-GB"/>
              </w:rPr>
              <w:t>a</w:t>
            </w:r>
          </w:p>
        </w:tc>
        <w:tc>
          <w:tcPr>
            <w:tcW w:w="1166" w:type="dxa"/>
          </w:tcPr>
          <w:p w14:paraId="6C77311A"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.015</w:t>
            </w:r>
          </w:p>
        </w:tc>
      </w:tr>
      <w:tr w:rsidR="009968E0" w:rsidRPr="009968E0" w14:paraId="2E06DDDC" w14:textId="77777777" w:rsidTr="009968E0">
        <w:trPr>
          <w:cnfStyle w:val="000000100000" w:firstRow="0" w:lastRow="0" w:firstColumn="0" w:lastColumn="0" w:oddVBand="0" w:evenVBand="0" w:oddHBand="1" w:evenHBand="0" w:firstRowFirstColumn="0" w:firstRowLastColumn="0" w:lastRowFirstColumn="0" w:lastRowLastColumn="0"/>
          <w:trHeight w:val="820"/>
        </w:trPr>
        <w:tc>
          <w:tcPr>
            <w:tcW w:w="4363" w:type="dxa"/>
          </w:tcPr>
          <w:p w14:paraId="295CE3D0" w14:textId="77777777" w:rsidR="009968E0" w:rsidRPr="009968E0" w:rsidRDefault="009968E0" w:rsidP="009968E0">
            <w:pPr>
              <w:rPr>
                <w:rFonts w:ascii="Calibri" w:eastAsia="Times New Roman" w:hAnsi="Calibri" w:cs="Calibri"/>
                <w:i/>
                <w:color w:val="000000"/>
                <w:sz w:val="22"/>
                <w:szCs w:val="22"/>
                <w:lang w:eastAsia="en-GB"/>
              </w:rPr>
            </w:pPr>
            <w:proofErr w:type="spellStart"/>
            <w:r w:rsidRPr="009968E0">
              <w:rPr>
                <w:rFonts w:ascii="Calibri" w:eastAsia="Times New Roman" w:hAnsi="Calibri" w:cs="Calibri"/>
                <w:i/>
                <w:color w:val="000000"/>
                <w:sz w:val="22"/>
                <w:szCs w:val="22"/>
                <w:lang w:eastAsia="en-GB"/>
              </w:rPr>
              <w:t>Intercept_</w:t>
            </w:r>
            <w:r w:rsidRPr="009968E0">
              <w:rPr>
                <w:rFonts w:ascii="Calibri" w:eastAsia="Arial" w:hAnsi="Calibri" w:cs="Calibri"/>
                <w:i/>
                <w:color w:val="000000"/>
                <w:sz w:val="22"/>
                <w:szCs w:val="22"/>
                <w:lang w:eastAsia="en-GB"/>
              </w:rPr>
              <w:t>P-DPN</w:t>
            </w:r>
            <w:r w:rsidRPr="009968E0">
              <w:rPr>
                <w:rFonts w:ascii="Calibri" w:eastAsia="Times New Roman" w:hAnsi="Calibri" w:cs="Calibri"/>
                <w:i/>
                <w:color w:val="000000"/>
                <w:sz w:val="22"/>
                <w:szCs w:val="22"/>
                <w:lang w:eastAsia="en-GB"/>
              </w:rPr>
              <w:t>_vs_DPN</w:t>
            </w:r>
            <w:proofErr w:type="spellEnd"/>
            <w:r w:rsidRPr="009968E0">
              <w:rPr>
                <w:rFonts w:ascii="Calibri" w:eastAsia="Times New Roman" w:hAnsi="Calibri" w:cs="Calibri"/>
                <w:i/>
                <w:color w:val="000000"/>
                <w:sz w:val="22"/>
                <w:szCs w:val="22"/>
                <w:lang w:eastAsia="en-GB"/>
              </w:rPr>
              <w:t xml:space="preserve">, </w:t>
            </w:r>
            <w:proofErr w:type="spellStart"/>
            <w:r w:rsidRPr="009968E0">
              <w:rPr>
                <w:rFonts w:ascii="Calibri" w:eastAsia="Times New Roman" w:hAnsi="Calibri" w:cs="Calibri"/>
                <w:i/>
                <w:color w:val="000000"/>
                <w:sz w:val="22"/>
                <w:szCs w:val="22"/>
                <w:lang w:eastAsia="en-GB"/>
              </w:rPr>
              <w:t>Intercept_</w:t>
            </w:r>
            <w:r w:rsidRPr="009968E0">
              <w:rPr>
                <w:rFonts w:ascii="Calibri" w:eastAsia="Arial" w:hAnsi="Calibri" w:cs="Calibri"/>
                <w:i/>
                <w:color w:val="000000"/>
                <w:sz w:val="22"/>
                <w:szCs w:val="22"/>
                <w:lang w:eastAsia="en-GB"/>
              </w:rPr>
              <w:t>P-DPN</w:t>
            </w:r>
            <w:r w:rsidRPr="009968E0">
              <w:rPr>
                <w:rFonts w:ascii="Calibri" w:eastAsia="Times New Roman" w:hAnsi="Calibri" w:cs="Calibri"/>
                <w:i/>
                <w:color w:val="000000"/>
                <w:sz w:val="22"/>
                <w:szCs w:val="22"/>
                <w:lang w:eastAsia="en-GB"/>
              </w:rPr>
              <w:t>_vs_DM_NN</w:t>
            </w:r>
            <w:proofErr w:type="spellEnd"/>
            <w:r w:rsidRPr="009968E0">
              <w:rPr>
                <w:rFonts w:ascii="Calibri" w:eastAsia="Times New Roman" w:hAnsi="Calibri" w:cs="Calibri"/>
                <w:i/>
                <w:color w:val="000000"/>
                <w:sz w:val="22"/>
                <w:szCs w:val="22"/>
                <w:lang w:eastAsia="en-GB"/>
              </w:rPr>
              <w:t xml:space="preserve">, </w:t>
            </w:r>
            <w:proofErr w:type="spellStart"/>
            <w:r w:rsidRPr="009968E0">
              <w:rPr>
                <w:rFonts w:ascii="Calibri" w:eastAsia="Times New Roman" w:hAnsi="Calibri" w:cs="Calibri"/>
                <w:i/>
                <w:color w:val="000000"/>
                <w:sz w:val="22"/>
                <w:szCs w:val="22"/>
                <w:lang w:eastAsia="en-GB"/>
              </w:rPr>
              <w:t>Intercept_</w:t>
            </w:r>
            <w:r w:rsidRPr="009968E0">
              <w:rPr>
                <w:rFonts w:ascii="Calibri" w:eastAsia="Arial" w:hAnsi="Calibri" w:cs="Calibri"/>
                <w:i/>
                <w:color w:val="000000"/>
                <w:sz w:val="22"/>
                <w:szCs w:val="22"/>
                <w:lang w:eastAsia="en-GB"/>
              </w:rPr>
              <w:t>P-DPN</w:t>
            </w:r>
            <w:r w:rsidRPr="009968E0">
              <w:rPr>
                <w:rFonts w:ascii="Calibri" w:eastAsia="Times New Roman" w:hAnsi="Calibri" w:cs="Calibri"/>
                <w:i/>
                <w:color w:val="000000"/>
                <w:sz w:val="22"/>
                <w:szCs w:val="22"/>
                <w:lang w:eastAsia="en-GB"/>
              </w:rPr>
              <w:t>_vs_HV</w:t>
            </w:r>
            <w:proofErr w:type="spellEnd"/>
          </w:p>
        </w:tc>
        <w:tc>
          <w:tcPr>
            <w:tcW w:w="948" w:type="dxa"/>
          </w:tcPr>
          <w:p w14:paraId="6B9C6DA3"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w:t>
            </w:r>
          </w:p>
        </w:tc>
        <w:tc>
          <w:tcPr>
            <w:tcW w:w="1501" w:type="dxa"/>
          </w:tcPr>
          <w:p w14:paraId="6B270691"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3.350</w:t>
            </w:r>
          </w:p>
        </w:tc>
        <w:tc>
          <w:tcPr>
            <w:tcW w:w="1086" w:type="dxa"/>
          </w:tcPr>
          <w:p w14:paraId="5333C85C"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.024</w:t>
            </w:r>
            <w:r w:rsidRPr="009968E0">
              <w:rPr>
                <w:rFonts w:ascii="Calibri" w:eastAsia="Times New Roman" w:hAnsi="Calibri" w:cs="Calibri"/>
                <w:i/>
                <w:color w:val="000000"/>
                <w:sz w:val="22"/>
                <w:szCs w:val="22"/>
                <w:vertAlign w:val="superscript"/>
                <w:lang w:eastAsia="en-GB"/>
              </w:rPr>
              <w:t>a</w:t>
            </w:r>
          </w:p>
        </w:tc>
        <w:tc>
          <w:tcPr>
            <w:tcW w:w="1166" w:type="dxa"/>
          </w:tcPr>
          <w:p w14:paraId="049A499E"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.112</w:t>
            </w:r>
          </w:p>
        </w:tc>
      </w:tr>
      <w:tr w:rsidR="009968E0" w:rsidRPr="009968E0" w14:paraId="40F92A98" w14:textId="77777777" w:rsidTr="009968E0">
        <w:trPr>
          <w:trHeight w:val="1120"/>
        </w:trPr>
        <w:tc>
          <w:tcPr>
            <w:tcW w:w="4363" w:type="dxa"/>
          </w:tcPr>
          <w:p w14:paraId="587A01E2" w14:textId="77777777" w:rsidR="009968E0" w:rsidRPr="009968E0" w:rsidRDefault="009968E0" w:rsidP="009968E0">
            <w:pPr>
              <w:rPr>
                <w:rFonts w:ascii="Calibri" w:eastAsia="Times New Roman" w:hAnsi="Calibri" w:cs="Calibri"/>
                <w:i/>
                <w:color w:val="000000"/>
                <w:sz w:val="22"/>
                <w:szCs w:val="22"/>
                <w:lang w:eastAsia="en-GB"/>
              </w:rPr>
            </w:pPr>
            <w:proofErr w:type="spellStart"/>
            <w:r w:rsidRPr="009968E0">
              <w:rPr>
                <w:rFonts w:ascii="Calibri" w:eastAsia="Times New Roman" w:hAnsi="Calibri" w:cs="Calibri"/>
                <w:i/>
                <w:color w:val="000000"/>
                <w:sz w:val="22"/>
                <w:szCs w:val="22"/>
                <w:lang w:eastAsia="en-GB"/>
              </w:rPr>
              <w:t>Slope_</w:t>
            </w:r>
            <w:r w:rsidRPr="009968E0">
              <w:rPr>
                <w:rFonts w:ascii="Calibri" w:eastAsia="Arial" w:hAnsi="Calibri" w:cs="Calibri"/>
                <w:i/>
                <w:color w:val="000000"/>
                <w:sz w:val="22"/>
                <w:szCs w:val="22"/>
                <w:lang w:eastAsia="en-GB"/>
              </w:rPr>
              <w:t>P-DPN</w:t>
            </w:r>
            <w:r w:rsidRPr="009968E0">
              <w:rPr>
                <w:rFonts w:ascii="Calibri" w:eastAsia="Times New Roman" w:hAnsi="Calibri" w:cs="Calibri"/>
                <w:i/>
                <w:color w:val="000000"/>
                <w:sz w:val="22"/>
                <w:szCs w:val="22"/>
                <w:lang w:eastAsia="en-GB"/>
              </w:rPr>
              <w:t>_vs_DPN</w:t>
            </w:r>
            <w:proofErr w:type="spellEnd"/>
            <w:r w:rsidRPr="009968E0">
              <w:rPr>
                <w:rFonts w:ascii="Calibri" w:eastAsia="Times New Roman" w:hAnsi="Calibri" w:cs="Calibri"/>
                <w:i/>
                <w:color w:val="000000"/>
                <w:sz w:val="22"/>
                <w:szCs w:val="22"/>
                <w:lang w:eastAsia="en-GB"/>
              </w:rPr>
              <w:t xml:space="preserve">, </w:t>
            </w:r>
            <w:proofErr w:type="spellStart"/>
            <w:r w:rsidRPr="009968E0">
              <w:rPr>
                <w:rFonts w:ascii="Calibri" w:eastAsia="Times New Roman" w:hAnsi="Calibri" w:cs="Calibri"/>
                <w:i/>
                <w:color w:val="000000"/>
                <w:sz w:val="22"/>
                <w:szCs w:val="22"/>
                <w:lang w:eastAsia="en-GB"/>
              </w:rPr>
              <w:t>Slope_</w:t>
            </w:r>
            <w:r w:rsidRPr="009968E0">
              <w:rPr>
                <w:rFonts w:ascii="Calibri" w:eastAsia="Arial" w:hAnsi="Calibri" w:cs="Calibri"/>
                <w:i/>
                <w:color w:val="000000"/>
                <w:sz w:val="22"/>
                <w:szCs w:val="22"/>
                <w:lang w:eastAsia="en-GB"/>
              </w:rPr>
              <w:t>P-DPN</w:t>
            </w:r>
            <w:r w:rsidRPr="009968E0">
              <w:rPr>
                <w:rFonts w:ascii="Calibri" w:eastAsia="Times New Roman" w:hAnsi="Calibri" w:cs="Calibri"/>
                <w:i/>
                <w:color w:val="000000"/>
                <w:sz w:val="22"/>
                <w:szCs w:val="22"/>
                <w:lang w:eastAsia="en-GB"/>
              </w:rPr>
              <w:t>_vs_DM_NN</w:t>
            </w:r>
            <w:proofErr w:type="spellEnd"/>
            <w:r w:rsidRPr="009968E0">
              <w:rPr>
                <w:rFonts w:ascii="Calibri" w:eastAsia="Times New Roman" w:hAnsi="Calibri" w:cs="Calibri"/>
                <w:i/>
                <w:color w:val="000000"/>
                <w:sz w:val="22"/>
                <w:szCs w:val="22"/>
                <w:lang w:eastAsia="en-GB"/>
              </w:rPr>
              <w:t xml:space="preserve">, </w:t>
            </w:r>
            <w:proofErr w:type="spellStart"/>
            <w:r w:rsidRPr="009968E0">
              <w:rPr>
                <w:rFonts w:ascii="Calibri" w:eastAsia="Times New Roman" w:hAnsi="Calibri" w:cs="Calibri"/>
                <w:i/>
                <w:color w:val="000000"/>
                <w:sz w:val="22"/>
                <w:szCs w:val="22"/>
                <w:lang w:eastAsia="en-GB"/>
              </w:rPr>
              <w:t>Slope_</w:t>
            </w:r>
            <w:r w:rsidRPr="009968E0">
              <w:rPr>
                <w:rFonts w:ascii="Calibri" w:eastAsia="Arial" w:hAnsi="Calibri" w:cs="Calibri"/>
                <w:i/>
                <w:color w:val="000000"/>
                <w:sz w:val="22"/>
                <w:szCs w:val="22"/>
                <w:lang w:eastAsia="en-GB"/>
              </w:rPr>
              <w:t>P-DPN</w:t>
            </w:r>
            <w:r w:rsidRPr="009968E0">
              <w:rPr>
                <w:rFonts w:ascii="Calibri" w:eastAsia="Times New Roman" w:hAnsi="Calibri" w:cs="Calibri"/>
                <w:i/>
                <w:color w:val="000000"/>
                <w:sz w:val="22"/>
                <w:szCs w:val="22"/>
                <w:lang w:eastAsia="en-GB"/>
              </w:rPr>
              <w:t>_vs_HV</w:t>
            </w:r>
            <w:proofErr w:type="spellEnd"/>
          </w:p>
        </w:tc>
        <w:tc>
          <w:tcPr>
            <w:tcW w:w="948" w:type="dxa"/>
          </w:tcPr>
          <w:p w14:paraId="5BA72772"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w:t>
            </w:r>
          </w:p>
        </w:tc>
        <w:tc>
          <w:tcPr>
            <w:tcW w:w="1501" w:type="dxa"/>
          </w:tcPr>
          <w:p w14:paraId="36A13348"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4.166</w:t>
            </w:r>
          </w:p>
        </w:tc>
        <w:tc>
          <w:tcPr>
            <w:tcW w:w="1086" w:type="dxa"/>
          </w:tcPr>
          <w:p w14:paraId="61391617"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.009</w:t>
            </w:r>
            <w:r w:rsidRPr="009968E0">
              <w:rPr>
                <w:rFonts w:ascii="Calibri" w:eastAsia="Times New Roman" w:hAnsi="Calibri" w:cs="Calibri"/>
                <w:i/>
                <w:color w:val="000000"/>
                <w:sz w:val="22"/>
                <w:szCs w:val="22"/>
                <w:vertAlign w:val="superscript"/>
                <w:lang w:eastAsia="en-GB"/>
              </w:rPr>
              <w:t>a</w:t>
            </w:r>
          </w:p>
        </w:tc>
        <w:tc>
          <w:tcPr>
            <w:tcW w:w="1166" w:type="dxa"/>
          </w:tcPr>
          <w:p w14:paraId="66114E63"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.139</w:t>
            </w:r>
          </w:p>
        </w:tc>
      </w:tr>
      <w:tr w:rsidR="009968E0" w:rsidRPr="009968E0" w14:paraId="15B444F2" w14:textId="77777777" w:rsidTr="009968E0">
        <w:trPr>
          <w:cnfStyle w:val="000000100000" w:firstRow="0" w:lastRow="0" w:firstColumn="0" w:lastColumn="0" w:oddVBand="0" w:evenVBand="0" w:oddHBand="1" w:evenHBand="0" w:firstRowFirstColumn="0" w:firstRowLastColumn="0" w:lastRowFirstColumn="0" w:lastRowLastColumn="0"/>
          <w:trHeight w:val="380"/>
        </w:trPr>
        <w:tc>
          <w:tcPr>
            <w:tcW w:w="4363" w:type="dxa"/>
          </w:tcPr>
          <w:p w14:paraId="31E3E203"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a. Tested against the full model.</w:t>
            </w:r>
          </w:p>
        </w:tc>
        <w:tc>
          <w:tcPr>
            <w:tcW w:w="948" w:type="dxa"/>
          </w:tcPr>
          <w:p w14:paraId="0E6249EF"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w:t>
            </w:r>
          </w:p>
        </w:tc>
        <w:tc>
          <w:tcPr>
            <w:tcW w:w="1501" w:type="dxa"/>
          </w:tcPr>
          <w:p w14:paraId="6BBB1C2E"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w:t>
            </w:r>
          </w:p>
        </w:tc>
        <w:tc>
          <w:tcPr>
            <w:tcW w:w="1086" w:type="dxa"/>
          </w:tcPr>
          <w:p w14:paraId="0435000F"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w:t>
            </w:r>
          </w:p>
        </w:tc>
        <w:tc>
          <w:tcPr>
            <w:tcW w:w="1166" w:type="dxa"/>
          </w:tcPr>
          <w:p w14:paraId="004FEFEF"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w:t>
            </w:r>
          </w:p>
        </w:tc>
      </w:tr>
    </w:tbl>
    <w:p w14:paraId="3FC5B655" w14:textId="77777777" w:rsidR="009968E0" w:rsidRPr="009968E0" w:rsidRDefault="009968E0" w:rsidP="00D130F6">
      <w:pPr>
        <w:pStyle w:val="Quote"/>
      </w:pPr>
    </w:p>
    <w:p w14:paraId="1EF0A87D" w14:textId="77777777" w:rsidR="009968E0" w:rsidRPr="009968E0" w:rsidRDefault="009968E0" w:rsidP="00D130F6">
      <w:pPr>
        <w:pStyle w:val="Quote"/>
        <w:rPr>
          <w:rFonts w:eastAsia="MS Mincho"/>
          <w:color w:val="1F497D"/>
        </w:rPr>
      </w:pPr>
      <w:bookmarkStart w:id="702" w:name="_Toc48406169"/>
      <w:bookmarkStart w:id="703" w:name="_Toc49273381"/>
      <w:bookmarkStart w:id="704" w:name="_Toc64724133"/>
      <w:r w:rsidRPr="009968E0">
        <w:rPr>
          <w:rFonts w:eastAsia="MS Mincho"/>
          <w:color w:val="1F497D"/>
        </w:rPr>
        <w:t xml:space="preserve">Table D.26: Post-Hoc T-Test Comparisons of Regression Intercepts and </w:t>
      </w:r>
      <w:proofErr w:type="spellStart"/>
      <w:r w:rsidRPr="009968E0">
        <w:rPr>
          <w:rFonts w:eastAsia="MS Mincho"/>
          <w:color w:val="1F497D"/>
        </w:rPr>
        <w:t>slopesa</w:t>
      </w:r>
      <w:proofErr w:type="spellEnd"/>
      <w:r w:rsidRPr="009968E0">
        <w:rPr>
          <w:rFonts w:eastAsia="MS Mincho"/>
          <w:color w:val="1F497D"/>
        </w:rPr>
        <w:t xml:space="preserve"> for Delta TTP-R-</w:t>
      </w:r>
      <w:proofErr w:type="spellStart"/>
      <w:r w:rsidRPr="009968E0">
        <w:rPr>
          <w:rFonts w:eastAsia="MS Mincho"/>
          <w:color w:val="1F497D"/>
        </w:rPr>
        <w:t>thal</w:t>
      </w:r>
      <w:bookmarkEnd w:id="702"/>
      <w:bookmarkEnd w:id="703"/>
      <w:bookmarkEnd w:id="704"/>
      <w:proofErr w:type="spellEnd"/>
    </w:p>
    <w:tbl>
      <w:tblPr>
        <w:tblStyle w:val="GridTable2-Accent212"/>
        <w:tblW w:w="9064" w:type="dxa"/>
        <w:tblLayout w:type="fixed"/>
        <w:tblLook w:val="0400" w:firstRow="0" w:lastRow="0" w:firstColumn="0" w:lastColumn="0" w:noHBand="0" w:noVBand="1"/>
      </w:tblPr>
      <w:tblGrid>
        <w:gridCol w:w="328"/>
        <w:gridCol w:w="2795"/>
        <w:gridCol w:w="1322"/>
        <w:gridCol w:w="1311"/>
        <w:gridCol w:w="1423"/>
        <w:gridCol w:w="948"/>
        <w:gridCol w:w="937"/>
      </w:tblGrid>
      <w:tr w:rsidR="009968E0" w:rsidRPr="009968E0" w14:paraId="796FE960" w14:textId="77777777" w:rsidTr="009968E0">
        <w:trPr>
          <w:cnfStyle w:val="000000100000" w:firstRow="0" w:lastRow="0" w:firstColumn="0" w:lastColumn="0" w:oddVBand="0" w:evenVBand="0" w:oddHBand="1" w:evenHBand="0" w:firstRowFirstColumn="0" w:firstRowLastColumn="0" w:lastRowFirstColumn="0" w:lastRowLastColumn="0"/>
          <w:trHeight w:val="680"/>
        </w:trPr>
        <w:tc>
          <w:tcPr>
            <w:tcW w:w="3123" w:type="dxa"/>
            <w:gridSpan w:val="2"/>
            <w:vMerge w:val="restart"/>
          </w:tcPr>
          <w:p w14:paraId="117C85A6"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Model</w:t>
            </w:r>
          </w:p>
        </w:tc>
        <w:tc>
          <w:tcPr>
            <w:tcW w:w="2633" w:type="dxa"/>
            <w:gridSpan w:val="2"/>
          </w:tcPr>
          <w:p w14:paraId="711FFAA8"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Unstandardized Coefficients</w:t>
            </w:r>
          </w:p>
        </w:tc>
        <w:tc>
          <w:tcPr>
            <w:tcW w:w="1423" w:type="dxa"/>
          </w:tcPr>
          <w:p w14:paraId="72DFF890"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Standardized Coefficients</w:t>
            </w:r>
          </w:p>
        </w:tc>
        <w:tc>
          <w:tcPr>
            <w:tcW w:w="948" w:type="dxa"/>
            <w:vMerge w:val="restart"/>
          </w:tcPr>
          <w:p w14:paraId="154F9E22"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t</w:t>
            </w:r>
          </w:p>
        </w:tc>
        <w:tc>
          <w:tcPr>
            <w:tcW w:w="937" w:type="dxa"/>
            <w:vMerge w:val="restart"/>
          </w:tcPr>
          <w:p w14:paraId="2A722E88"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Sig.</w:t>
            </w:r>
          </w:p>
        </w:tc>
      </w:tr>
      <w:tr w:rsidR="009968E0" w:rsidRPr="009968E0" w14:paraId="1109BE8F" w14:textId="77777777" w:rsidTr="009968E0">
        <w:trPr>
          <w:trHeight w:val="360"/>
        </w:trPr>
        <w:tc>
          <w:tcPr>
            <w:tcW w:w="3123" w:type="dxa"/>
            <w:gridSpan w:val="2"/>
            <w:vMerge/>
          </w:tcPr>
          <w:p w14:paraId="5558FD23"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1322" w:type="dxa"/>
          </w:tcPr>
          <w:p w14:paraId="51F40BE5"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B</w:t>
            </w:r>
          </w:p>
        </w:tc>
        <w:tc>
          <w:tcPr>
            <w:tcW w:w="1311" w:type="dxa"/>
          </w:tcPr>
          <w:p w14:paraId="1A79246A"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Std. Error</w:t>
            </w:r>
          </w:p>
        </w:tc>
        <w:tc>
          <w:tcPr>
            <w:tcW w:w="1423" w:type="dxa"/>
          </w:tcPr>
          <w:p w14:paraId="3476B047"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Beta</w:t>
            </w:r>
          </w:p>
        </w:tc>
        <w:tc>
          <w:tcPr>
            <w:tcW w:w="948" w:type="dxa"/>
            <w:vMerge/>
          </w:tcPr>
          <w:p w14:paraId="48556F5B"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937" w:type="dxa"/>
            <w:vMerge/>
          </w:tcPr>
          <w:p w14:paraId="109DCE8D"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r>
      <w:tr w:rsidR="009968E0" w:rsidRPr="009968E0" w14:paraId="0A8B0780"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328" w:type="dxa"/>
            <w:vMerge w:val="restart"/>
          </w:tcPr>
          <w:p w14:paraId="3DE0246E"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w:t>
            </w:r>
          </w:p>
        </w:tc>
        <w:tc>
          <w:tcPr>
            <w:tcW w:w="2795" w:type="dxa"/>
          </w:tcPr>
          <w:p w14:paraId="5AE25771"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(Constant)</w:t>
            </w:r>
          </w:p>
        </w:tc>
        <w:tc>
          <w:tcPr>
            <w:tcW w:w="1322" w:type="dxa"/>
          </w:tcPr>
          <w:p w14:paraId="38416ED5"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.038</w:t>
            </w:r>
          </w:p>
        </w:tc>
        <w:tc>
          <w:tcPr>
            <w:tcW w:w="1311" w:type="dxa"/>
          </w:tcPr>
          <w:p w14:paraId="4145A09E"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.131</w:t>
            </w:r>
          </w:p>
        </w:tc>
        <w:tc>
          <w:tcPr>
            <w:tcW w:w="1423" w:type="dxa"/>
          </w:tcPr>
          <w:p w14:paraId="272FB2EE"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w:t>
            </w:r>
          </w:p>
        </w:tc>
        <w:tc>
          <w:tcPr>
            <w:tcW w:w="948" w:type="dxa"/>
          </w:tcPr>
          <w:p w14:paraId="6BF00CA8"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.291</w:t>
            </w:r>
          </w:p>
        </w:tc>
        <w:tc>
          <w:tcPr>
            <w:tcW w:w="937" w:type="dxa"/>
          </w:tcPr>
          <w:p w14:paraId="73226BB6"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.772</w:t>
            </w:r>
          </w:p>
        </w:tc>
      </w:tr>
      <w:tr w:rsidR="009968E0" w:rsidRPr="009968E0" w14:paraId="37782038" w14:textId="77777777" w:rsidTr="009968E0">
        <w:trPr>
          <w:trHeight w:val="360"/>
        </w:trPr>
        <w:tc>
          <w:tcPr>
            <w:tcW w:w="328" w:type="dxa"/>
            <w:vMerge/>
          </w:tcPr>
          <w:p w14:paraId="12AB8003"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2795" w:type="dxa"/>
          </w:tcPr>
          <w:p w14:paraId="585AA3A4" w14:textId="77777777" w:rsidR="009968E0" w:rsidRPr="009968E0" w:rsidRDefault="009968E0" w:rsidP="009968E0">
            <w:pPr>
              <w:rPr>
                <w:rFonts w:ascii="Calibri" w:eastAsia="Times New Roman" w:hAnsi="Calibri" w:cs="Calibri"/>
                <w:i/>
                <w:color w:val="000000"/>
                <w:sz w:val="22"/>
                <w:szCs w:val="22"/>
                <w:lang w:eastAsia="en-GB"/>
              </w:rPr>
            </w:pPr>
            <w:proofErr w:type="spellStart"/>
            <w:r w:rsidRPr="009968E0">
              <w:rPr>
                <w:rFonts w:ascii="Calibri" w:eastAsia="Times New Roman" w:hAnsi="Calibri" w:cs="Calibri"/>
                <w:i/>
                <w:color w:val="000000"/>
                <w:sz w:val="22"/>
                <w:szCs w:val="22"/>
                <w:lang w:eastAsia="en-GB"/>
              </w:rPr>
              <w:t>likert_centred</w:t>
            </w:r>
            <w:proofErr w:type="spellEnd"/>
          </w:p>
        </w:tc>
        <w:tc>
          <w:tcPr>
            <w:tcW w:w="1322" w:type="dxa"/>
          </w:tcPr>
          <w:p w14:paraId="2844BF65"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-.141</w:t>
            </w:r>
          </w:p>
        </w:tc>
        <w:tc>
          <w:tcPr>
            <w:tcW w:w="1311" w:type="dxa"/>
          </w:tcPr>
          <w:p w14:paraId="706F3FFC"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.096</w:t>
            </w:r>
          </w:p>
        </w:tc>
        <w:tc>
          <w:tcPr>
            <w:tcW w:w="1423" w:type="dxa"/>
          </w:tcPr>
          <w:p w14:paraId="76F68C85"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-.171</w:t>
            </w:r>
          </w:p>
        </w:tc>
        <w:tc>
          <w:tcPr>
            <w:tcW w:w="948" w:type="dxa"/>
          </w:tcPr>
          <w:p w14:paraId="6B79D2C2"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-1.464</w:t>
            </w:r>
          </w:p>
        </w:tc>
        <w:tc>
          <w:tcPr>
            <w:tcW w:w="937" w:type="dxa"/>
          </w:tcPr>
          <w:p w14:paraId="3B9753D7"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.148</w:t>
            </w:r>
          </w:p>
        </w:tc>
      </w:tr>
      <w:tr w:rsidR="009968E0" w:rsidRPr="009968E0" w14:paraId="73148B55"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328" w:type="dxa"/>
            <w:vMerge w:val="restart"/>
          </w:tcPr>
          <w:p w14:paraId="1678D844"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w:t>
            </w:r>
          </w:p>
        </w:tc>
        <w:tc>
          <w:tcPr>
            <w:tcW w:w="2795" w:type="dxa"/>
          </w:tcPr>
          <w:p w14:paraId="350D6CF7"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(Constant)</w:t>
            </w:r>
          </w:p>
        </w:tc>
        <w:tc>
          <w:tcPr>
            <w:tcW w:w="1322" w:type="dxa"/>
          </w:tcPr>
          <w:p w14:paraId="5F1A056A"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.564</w:t>
            </w:r>
          </w:p>
        </w:tc>
        <w:tc>
          <w:tcPr>
            <w:tcW w:w="1311" w:type="dxa"/>
          </w:tcPr>
          <w:p w14:paraId="044E8A81"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.240</w:t>
            </w:r>
          </w:p>
        </w:tc>
        <w:tc>
          <w:tcPr>
            <w:tcW w:w="1423" w:type="dxa"/>
          </w:tcPr>
          <w:p w14:paraId="542425EB"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w:t>
            </w:r>
          </w:p>
        </w:tc>
        <w:tc>
          <w:tcPr>
            <w:tcW w:w="948" w:type="dxa"/>
          </w:tcPr>
          <w:p w14:paraId="09CF84E9"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2.353</w:t>
            </w:r>
          </w:p>
        </w:tc>
        <w:tc>
          <w:tcPr>
            <w:tcW w:w="937" w:type="dxa"/>
          </w:tcPr>
          <w:p w14:paraId="792A9EA1"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.022</w:t>
            </w:r>
          </w:p>
        </w:tc>
      </w:tr>
      <w:tr w:rsidR="009968E0" w:rsidRPr="009968E0" w14:paraId="116FB041" w14:textId="77777777" w:rsidTr="009968E0">
        <w:trPr>
          <w:trHeight w:val="360"/>
        </w:trPr>
        <w:tc>
          <w:tcPr>
            <w:tcW w:w="328" w:type="dxa"/>
            <w:vMerge/>
          </w:tcPr>
          <w:p w14:paraId="76323E07"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2795" w:type="dxa"/>
          </w:tcPr>
          <w:p w14:paraId="00828004" w14:textId="77777777" w:rsidR="009968E0" w:rsidRPr="009968E0" w:rsidRDefault="009968E0" w:rsidP="009968E0">
            <w:pPr>
              <w:rPr>
                <w:rFonts w:ascii="Calibri" w:eastAsia="Times New Roman" w:hAnsi="Calibri" w:cs="Calibri"/>
                <w:i/>
                <w:color w:val="000000"/>
                <w:sz w:val="22"/>
                <w:szCs w:val="22"/>
                <w:lang w:eastAsia="en-GB"/>
              </w:rPr>
            </w:pPr>
            <w:proofErr w:type="spellStart"/>
            <w:r w:rsidRPr="009968E0">
              <w:rPr>
                <w:rFonts w:ascii="Calibri" w:eastAsia="Times New Roman" w:hAnsi="Calibri" w:cs="Calibri"/>
                <w:i/>
                <w:color w:val="000000"/>
                <w:sz w:val="22"/>
                <w:szCs w:val="22"/>
                <w:lang w:eastAsia="en-GB"/>
              </w:rPr>
              <w:t>likert_centred</w:t>
            </w:r>
            <w:proofErr w:type="spellEnd"/>
          </w:p>
        </w:tc>
        <w:tc>
          <w:tcPr>
            <w:tcW w:w="1322" w:type="dxa"/>
          </w:tcPr>
          <w:p w14:paraId="2975DB77"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.184</w:t>
            </w:r>
          </w:p>
        </w:tc>
        <w:tc>
          <w:tcPr>
            <w:tcW w:w="1311" w:type="dxa"/>
          </w:tcPr>
          <w:p w14:paraId="29713F0C"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.159</w:t>
            </w:r>
          </w:p>
        </w:tc>
        <w:tc>
          <w:tcPr>
            <w:tcW w:w="1423" w:type="dxa"/>
          </w:tcPr>
          <w:p w14:paraId="788C7407"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.223</w:t>
            </w:r>
          </w:p>
        </w:tc>
        <w:tc>
          <w:tcPr>
            <w:tcW w:w="948" w:type="dxa"/>
          </w:tcPr>
          <w:p w14:paraId="3F4C2FBC"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1.158</w:t>
            </w:r>
          </w:p>
        </w:tc>
        <w:tc>
          <w:tcPr>
            <w:tcW w:w="937" w:type="dxa"/>
          </w:tcPr>
          <w:p w14:paraId="68D012D7"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.251</w:t>
            </w:r>
          </w:p>
        </w:tc>
      </w:tr>
      <w:tr w:rsidR="009968E0" w:rsidRPr="009968E0" w14:paraId="4E8FB4B9" w14:textId="77777777" w:rsidTr="009968E0">
        <w:trPr>
          <w:cnfStyle w:val="000000100000" w:firstRow="0" w:lastRow="0" w:firstColumn="0" w:lastColumn="0" w:oddVBand="0" w:evenVBand="0" w:oddHBand="1" w:evenHBand="0" w:firstRowFirstColumn="0" w:firstRowLastColumn="0" w:lastRowFirstColumn="0" w:lastRowLastColumn="0"/>
          <w:trHeight w:val="680"/>
        </w:trPr>
        <w:tc>
          <w:tcPr>
            <w:tcW w:w="328" w:type="dxa"/>
            <w:vMerge/>
          </w:tcPr>
          <w:p w14:paraId="04C9618B"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2795" w:type="dxa"/>
          </w:tcPr>
          <w:p w14:paraId="3CAFC040" w14:textId="77777777" w:rsidR="009968E0" w:rsidRPr="009968E0" w:rsidRDefault="009968E0" w:rsidP="009968E0">
            <w:pPr>
              <w:rPr>
                <w:rFonts w:ascii="Calibri" w:eastAsia="Times New Roman" w:hAnsi="Calibri" w:cs="Calibri"/>
                <w:i/>
                <w:color w:val="000000"/>
                <w:sz w:val="22"/>
                <w:szCs w:val="22"/>
                <w:lang w:eastAsia="en-GB"/>
              </w:rPr>
            </w:pPr>
            <w:proofErr w:type="spellStart"/>
            <w:r w:rsidRPr="009968E0">
              <w:rPr>
                <w:rFonts w:ascii="Calibri" w:eastAsia="Times New Roman" w:hAnsi="Calibri" w:cs="Calibri"/>
                <w:i/>
                <w:color w:val="000000"/>
                <w:sz w:val="22"/>
                <w:szCs w:val="22"/>
                <w:lang w:eastAsia="en-GB"/>
              </w:rPr>
              <w:t>Intercept_</w:t>
            </w:r>
            <w:r w:rsidRPr="009968E0">
              <w:rPr>
                <w:rFonts w:ascii="Calibri" w:eastAsia="Arial" w:hAnsi="Calibri" w:cs="Calibri"/>
                <w:i/>
                <w:color w:val="000000"/>
                <w:sz w:val="22"/>
                <w:szCs w:val="22"/>
                <w:lang w:eastAsia="en-GB"/>
              </w:rPr>
              <w:t>P-DPN</w:t>
            </w:r>
            <w:r w:rsidRPr="009968E0">
              <w:rPr>
                <w:rFonts w:ascii="Calibri" w:eastAsia="Times New Roman" w:hAnsi="Calibri" w:cs="Calibri"/>
                <w:i/>
                <w:color w:val="000000"/>
                <w:sz w:val="22"/>
                <w:szCs w:val="22"/>
                <w:lang w:eastAsia="en-GB"/>
              </w:rPr>
              <w:t>_vs_DPN</w:t>
            </w:r>
            <w:proofErr w:type="spellEnd"/>
          </w:p>
        </w:tc>
        <w:tc>
          <w:tcPr>
            <w:tcW w:w="1322" w:type="dxa"/>
          </w:tcPr>
          <w:p w14:paraId="3D6F3E47"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-.716</w:t>
            </w:r>
          </w:p>
        </w:tc>
        <w:tc>
          <w:tcPr>
            <w:tcW w:w="1311" w:type="dxa"/>
          </w:tcPr>
          <w:p w14:paraId="6FB4FA43"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.319</w:t>
            </w:r>
          </w:p>
        </w:tc>
        <w:tc>
          <w:tcPr>
            <w:tcW w:w="1423" w:type="dxa"/>
          </w:tcPr>
          <w:p w14:paraId="0CF1DFB1"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-.298</w:t>
            </w:r>
          </w:p>
        </w:tc>
        <w:tc>
          <w:tcPr>
            <w:tcW w:w="948" w:type="dxa"/>
          </w:tcPr>
          <w:p w14:paraId="361F4CD0"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-2.248</w:t>
            </w:r>
          </w:p>
        </w:tc>
        <w:tc>
          <w:tcPr>
            <w:tcW w:w="937" w:type="dxa"/>
          </w:tcPr>
          <w:p w14:paraId="69D29449"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.028</w:t>
            </w:r>
          </w:p>
        </w:tc>
      </w:tr>
      <w:tr w:rsidR="009968E0" w:rsidRPr="009968E0" w14:paraId="1A9EC7C2" w14:textId="77777777" w:rsidTr="009968E0">
        <w:trPr>
          <w:trHeight w:val="680"/>
        </w:trPr>
        <w:tc>
          <w:tcPr>
            <w:tcW w:w="328" w:type="dxa"/>
            <w:vMerge/>
          </w:tcPr>
          <w:p w14:paraId="7A14EEE0"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2795" w:type="dxa"/>
          </w:tcPr>
          <w:p w14:paraId="101D0722" w14:textId="77777777" w:rsidR="009968E0" w:rsidRPr="009968E0" w:rsidRDefault="009968E0" w:rsidP="009968E0">
            <w:pPr>
              <w:rPr>
                <w:rFonts w:ascii="Calibri" w:eastAsia="Times New Roman" w:hAnsi="Calibri" w:cs="Calibri"/>
                <w:i/>
                <w:color w:val="000000"/>
                <w:sz w:val="22"/>
                <w:szCs w:val="22"/>
                <w:lang w:eastAsia="en-GB"/>
              </w:rPr>
            </w:pPr>
            <w:proofErr w:type="spellStart"/>
            <w:r w:rsidRPr="009968E0">
              <w:rPr>
                <w:rFonts w:ascii="Calibri" w:eastAsia="Times New Roman" w:hAnsi="Calibri" w:cs="Calibri"/>
                <w:i/>
                <w:color w:val="000000"/>
                <w:sz w:val="22"/>
                <w:szCs w:val="22"/>
                <w:lang w:eastAsia="en-GB"/>
              </w:rPr>
              <w:t>Intercept_</w:t>
            </w:r>
            <w:r w:rsidRPr="009968E0">
              <w:rPr>
                <w:rFonts w:ascii="Calibri" w:eastAsia="Arial" w:hAnsi="Calibri" w:cs="Calibri"/>
                <w:i/>
                <w:color w:val="000000"/>
                <w:sz w:val="22"/>
                <w:szCs w:val="22"/>
                <w:lang w:eastAsia="en-GB"/>
              </w:rPr>
              <w:t>P-DPN</w:t>
            </w:r>
            <w:r w:rsidRPr="009968E0">
              <w:rPr>
                <w:rFonts w:ascii="Calibri" w:eastAsia="Times New Roman" w:hAnsi="Calibri" w:cs="Calibri"/>
                <w:i/>
                <w:color w:val="000000"/>
                <w:sz w:val="22"/>
                <w:szCs w:val="22"/>
                <w:lang w:eastAsia="en-GB"/>
              </w:rPr>
              <w:t>_vs_DM_NN</w:t>
            </w:r>
            <w:proofErr w:type="spellEnd"/>
          </w:p>
        </w:tc>
        <w:tc>
          <w:tcPr>
            <w:tcW w:w="1322" w:type="dxa"/>
          </w:tcPr>
          <w:p w14:paraId="44A74B4A"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-.525</w:t>
            </w:r>
          </w:p>
        </w:tc>
        <w:tc>
          <w:tcPr>
            <w:tcW w:w="1311" w:type="dxa"/>
          </w:tcPr>
          <w:p w14:paraId="6100289A"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.388</w:t>
            </w:r>
          </w:p>
        </w:tc>
        <w:tc>
          <w:tcPr>
            <w:tcW w:w="1423" w:type="dxa"/>
          </w:tcPr>
          <w:p w14:paraId="5E228A2A"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-.180</w:t>
            </w:r>
          </w:p>
        </w:tc>
        <w:tc>
          <w:tcPr>
            <w:tcW w:w="948" w:type="dxa"/>
          </w:tcPr>
          <w:p w14:paraId="6E1B4E83"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-1.353</w:t>
            </w:r>
          </w:p>
        </w:tc>
        <w:tc>
          <w:tcPr>
            <w:tcW w:w="937" w:type="dxa"/>
          </w:tcPr>
          <w:p w14:paraId="289FEEF4"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.181</w:t>
            </w:r>
          </w:p>
        </w:tc>
      </w:tr>
      <w:tr w:rsidR="009968E0" w:rsidRPr="009968E0" w14:paraId="4160807F" w14:textId="77777777" w:rsidTr="009968E0">
        <w:trPr>
          <w:cnfStyle w:val="000000100000" w:firstRow="0" w:lastRow="0" w:firstColumn="0" w:lastColumn="0" w:oddVBand="0" w:evenVBand="0" w:oddHBand="1" w:evenHBand="0" w:firstRowFirstColumn="0" w:firstRowLastColumn="0" w:lastRowFirstColumn="0" w:lastRowLastColumn="0"/>
          <w:trHeight w:val="680"/>
        </w:trPr>
        <w:tc>
          <w:tcPr>
            <w:tcW w:w="328" w:type="dxa"/>
            <w:vMerge/>
          </w:tcPr>
          <w:p w14:paraId="58620B08"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2795" w:type="dxa"/>
          </w:tcPr>
          <w:p w14:paraId="444E1C87" w14:textId="77777777" w:rsidR="009968E0" w:rsidRPr="009968E0" w:rsidRDefault="009968E0" w:rsidP="009968E0">
            <w:pPr>
              <w:rPr>
                <w:rFonts w:ascii="Calibri" w:eastAsia="Times New Roman" w:hAnsi="Calibri" w:cs="Calibri"/>
                <w:i/>
                <w:color w:val="000000"/>
                <w:sz w:val="22"/>
                <w:szCs w:val="22"/>
                <w:lang w:eastAsia="en-GB"/>
              </w:rPr>
            </w:pPr>
            <w:proofErr w:type="spellStart"/>
            <w:r w:rsidRPr="009968E0">
              <w:rPr>
                <w:rFonts w:ascii="Calibri" w:eastAsia="Times New Roman" w:hAnsi="Calibri" w:cs="Calibri"/>
                <w:i/>
                <w:color w:val="000000"/>
                <w:sz w:val="22"/>
                <w:szCs w:val="22"/>
                <w:lang w:eastAsia="en-GB"/>
              </w:rPr>
              <w:t>Intercept_</w:t>
            </w:r>
            <w:r w:rsidRPr="009968E0">
              <w:rPr>
                <w:rFonts w:ascii="Calibri" w:eastAsia="Arial" w:hAnsi="Calibri" w:cs="Calibri"/>
                <w:i/>
                <w:color w:val="000000"/>
                <w:sz w:val="22"/>
                <w:szCs w:val="22"/>
                <w:lang w:eastAsia="en-GB"/>
              </w:rPr>
              <w:t>P-DPN</w:t>
            </w:r>
            <w:r w:rsidRPr="009968E0">
              <w:rPr>
                <w:rFonts w:ascii="Calibri" w:eastAsia="Times New Roman" w:hAnsi="Calibri" w:cs="Calibri"/>
                <w:i/>
                <w:color w:val="000000"/>
                <w:sz w:val="22"/>
                <w:szCs w:val="22"/>
                <w:lang w:eastAsia="en-GB"/>
              </w:rPr>
              <w:t>_vs_HV</w:t>
            </w:r>
            <w:proofErr w:type="spellEnd"/>
          </w:p>
        </w:tc>
        <w:tc>
          <w:tcPr>
            <w:tcW w:w="1322" w:type="dxa"/>
          </w:tcPr>
          <w:p w14:paraId="03A95318"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-1.038</w:t>
            </w:r>
          </w:p>
        </w:tc>
        <w:tc>
          <w:tcPr>
            <w:tcW w:w="1311" w:type="dxa"/>
          </w:tcPr>
          <w:p w14:paraId="11E5705A"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.337</w:t>
            </w:r>
          </w:p>
        </w:tc>
        <w:tc>
          <w:tcPr>
            <w:tcW w:w="1423" w:type="dxa"/>
          </w:tcPr>
          <w:p w14:paraId="2A13DBC0"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-.408</w:t>
            </w:r>
          </w:p>
        </w:tc>
        <w:tc>
          <w:tcPr>
            <w:tcW w:w="948" w:type="dxa"/>
          </w:tcPr>
          <w:p w14:paraId="56E23149"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-3.082</w:t>
            </w:r>
          </w:p>
        </w:tc>
        <w:tc>
          <w:tcPr>
            <w:tcW w:w="937" w:type="dxa"/>
          </w:tcPr>
          <w:p w14:paraId="3E89A3DF"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.003</w:t>
            </w:r>
          </w:p>
        </w:tc>
      </w:tr>
      <w:tr w:rsidR="009968E0" w:rsidRPr="009968E0" w14:paraId="4F823FFE" w14:textId="77777777" w:rsidTr="009968E0">
        <w:trPr>
          <w:trHeight w:val="680"/>
        </w:trPr>
        <w:tc>
          <w:tcPr>
            <w:tcW w:w="328" w:type="dxa"/>
            <w:vMerge/>
          </w:tcPr>
          <w:p w14:paraId="2E2E63DA"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2795" w:type="dxa"/>
          </w:tcPr>
          <w:p w14:paraId="44B96242" w14:textId="77777777" w:rsidR="009968E0" w:rsidRPr="009968E0" w:rsidRDefault="009968E0" w:rsidP="009968E0">
            <w:pPr>
              <w:rPr>
                <w:rFonts w:ascii="Calibri" w:eastAsia="Times New Roman" w:hAnsi="Calibri" w:cs="Calibri"/>
                <w:i/>
                <w:color w:val="000000"/>
                <w:sz w:val="22"/>
                <w:szCs w:val="22"/>
                <w:lang w:eastAsia="en-GB"/>
              </w:rPr>
            </w:pPr>
            <w:proofErr w:type="spellStart"/>
            <w:r w:rsidRPr="009968E0">
              <w:rPr>
                <w:rFonts w:ascii="Calibri" w:eastAsia="Times New Roman" w:hAnsi="Calibri" w:cs="Calibri"/>
                <w:i/>
                <w:color w:val="000000"/>
                <w:sz w:val="22"/>
                <w:szCs w:val="22"/>
                <w:lang w:eastAsia="en-GB"/>
              </w:rPr>
              <w:t>Slope_</w:t>
            </w:r>
            <w:r w:rsidRPr="009968E0">
              <w:rPr>
                <w:rFonts w:ascii="Calibri" w:eastAsia="Arial" w:hAnsi="Calibri" w:cs="Calibri"/>
                <w:i/>
                <w:color w:val="000000"/>
                <w:sz w:val="22"/>
                <w:szCs w:val="22"/>
                <w:lang w:eastAsia="en-GB"/>
              </w:rPr>
              <w:t>P-DPN</w:t>
            </w:r>
            <w:r w:rsidRPr="009968E0">
              <w:rPr>
                <w:rFonts w:ascii="Calibri" w:eastAsia="Times New Roman" w:hAnsi="Calibri" w:cs="Calibri"/>
                <w:i/>
                <w:color w:val="000000"/>
                <w:sz w:val="22"/>
                <w:szCs w:val="22"/>
                <w:lang w:eastAsia="en-GB"/>
              </w:rPr>
              <w:t>_vs_DPN</w:t>
            </w:r>
            <w:proofErr w:type="spellEnd"/>
          </w:p>
        </w:tc>
        <w:tc>
          <w:tcPr>
            <w:tcW w:w="1322" w:type="dxa"/>
          </w:tcPr>
          <w:p w14:paraId="16FB636F"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-.393</w:t>
            </w:r>
          </w:p>
        </w:tc>
        <w:tc>
          <w:tcPr>
            <w:tcW w:w="1311" w:type="dxa"/>
          </w:tcPr>
          <w:p w14:paraId="45224A8D"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.211</w:t>
            </w:r>
          </w:p>
        </w:tc>
        <w:tc>
          <w:tcPr>
            <w:tcW w:w="1423" w:type="dxa"/>
          </w:tcPr>
          <w:p w14:paraId="4F92EA06"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-.300</w:t>
            </w:r>
          </w:p>
        </w:tc>
        <w:tc>
          <w:tcPr>
            <w:tcW w:w="948" w:type="dxa"/>
          </w:tcPr>
          <w:p w14:paraId="5228CA1C"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-1.866</w:t>
            </w:r>
          </w:p>
        </w:tc>
        <w:tc>
          <w:tcPr>
            <w:tcW w:w="937" w:type="dxa"/>
          </w:tcPr>
          <w:p w14:paraId="01DE7D86"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.067</w:t>
            </w:r>
          </w:p>
        </w:tc>
      </w:tr>
      <w:tr w:rsidR="009968E0" w:rsidRPr="009968E0" w14:paraId="290999F8" w14:textId="77777777" w:rsidTr="009968E0">
        <w:trPr>
          <w:cnfStyle w:val="000000100000" w:firstRow="0" w:lastRow="0" w:firstColumn="0" w:lastColumn="0" w:oddVBand="0" w:evenVBand="0" w:oddHBand="1" w:evenHBand="0" w:firstRowFirstColumn="0" w:firstRowLastColumn="0" w:lastRowFirstColumn="0" w:lastRowLastColumn="0"/>
          <w:trHeight w:val="680"/>
        </w:trPr>
        <w:tc>
          <w:tcPr>
            <w:tcW w:w="328" w:type="dxa"/>
            <w:vMerge/>
          </w:tcPr>
          <w:p w14:paraId="52DDC399"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2795" w:type="dxa"/>
          </w:tcPr>
          <w:p w14:paraId="20A5AAA3" w14:textId="77777777" w:rsidR="009968E0" w:rsidRPr="009968E0" w:rsidRDefault="009968E0" w:rsidP="009968E0">
            <w:pPr>
              <w:rPr>
                <w:rFonts w:ascii="Calibri" w:eastAsia="Times New Roman" w:hAnsi="Calibri" w:cs="Calibri"/>
                <w:i/>
                <w:color w:val="000000"/>
                <w:sz w:val="22"/>
                <w:szCs w:val="22"/>
                <w:lang w:eastAsia="en-GB"/>
              </w:rPr>
            </w:pPr>
            <w:proofErr w:type="spellStart"/>
            <w:r w:rsidRPr="009968E0">
              <w:rPr>
                <w:rFonts w:ascii="Calibri" w:eastAsia="Times New Roman" w:hAnsi="Calibri" w:cs="Calibri"/>
                <w:i/>
                <w:color w:val="000000"/>
                <w:sz w:val="22"/>
                <w:szCs w:val="22"/>
                <w:lang w:eastAsia="en-GB"/>
              </w:rPr>
              <w:t>Slope_</w:t>
            </w:r>
            <w:r w:rsidRPr="009968E0">
              <w:rPr>
                <w:rFonts w:ascii="Calibri" w:eastAsia="Arial" w:hAnsi="Calibri" w:cs="Calibri"/>
                <w:i/>
                <w:color w:val="000000"/>
                <w:sz w:val="22"/>
                <w:szCs w:val="22"/>
                <w:lang w:eastAsia="en-GB"/>
              </w:rPr>
              <w:t>P-DPN</w:t>
            </w:r>
            <w:r w:rsidRPr="009968E0">
              <w:rPr>
                <w:rFonts w:ascii="Calibri" w:eastAsia="Times New Roman" w:hAnsi="Calibri" w:cs="Calibri"/>
                <w:i/>
                <w:color w:val="000000"/>
                <w:sz w:val="22"/>
                <w:szCs w:val="22"/>
                <w:lang w:eastAsia="en-GB"/>
              </w:rPr>
              <w:t>_vs_DM_NN</w:t>
            </w:r>
            <w:proofErr w:type="spellEnd"/>
          </w:p>
        </w:tc>
        <w:tc>
          <w:tcPr>
            <w:tcW w:w="1322" w:type="dxa"/>
          </w:tcPr>
          <w:p w14:paraId="0E8FF1D4"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-.224</w:t>
            </w:r>
          </w:p>
        </w:tc>
        <w:tc>
          <w:tcPr>
            <w:tcW w:w="1311" w:type="dxa"/>
          </w:tcPr>
          <w:p w14:paraId="433D17D9"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.356</w:t>
            </w:r>
          </w:p>
        </w:tc>
        <w:tc>
          <w:tcPr>
            <w:tcW w:w="1423" w:type="dxa"/>
          </w:tcPr>
          <w:p w14:paraId="19C8C4C3"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-.080</w:t>
            </w:r>
          </w:p>
        </w:tc>
        <w:tc>
          <w:tcPr>
            <w:tcW w:w="948" w:type="dxa"/>
          </w:tcPr>
          <w:p w14:paraId="46313A04"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-.630</w:t>
            </w:r>
          </w:p>
        </w:tc>
        <w:tc>
          <w:tcPr>
            <w:tcW w:w="937" w:type="dxa"/>
          </w:tcPr>
          <w:p w14:paraId="698B88BD"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.531</w:t>
            </w:r>
          </w:p>
        </w:tc>
      </w:tr>
      <w:tr w:rsidR="009968E0" w:rsidRPr="009968E0" w14:paraId="7CBFD661" w14:textId="77777777" w:rsidTr="009968E0">
        <w:trPr>
          <w:trHeight w:val="680"/>
        </w:trPr>
        <w:tc>
          <w:tcPr>
            <w:tcW w:w="328" w:type="dxa"/>
            <w:vMerge/>
          </w:tcPr>
          <w:p w14:paraId="70649ABA"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2795" w:type="dxa"/>
          </w:tcPr>
          <w:p w14:paraId="5E90D764" w14:textId="77777777" w:rsidR="009968E0" w:rsidRPr="009968E0" w:rsidRDefault="009968E0" w:rsidP="009968E0">
            <w:pPr>
              <w:rPr>
                <w:rFonts w:ascii="Calibri" w:eastAsia="Times New Roman" w:hAnsi="Calibri" w:cs="Calibri"/>
                <w:i/>
                <w:color w:val="000000"/>
                <w:sz w:val="22"/>
                <w:szCs w:val="22"/>
                <w:lang w:eastAsia="en-GB"/>
              </w:rPr>
            </w:pPr>
            <w:proofErr w:type="spellStart"/>
            <w:r w:rsidRPr="009968E0">
              <w:rPr>
                <w:rFonts w:ascii="Calibri" w:eastAsia="Times New Roman" w:hAnsi="Calibri" w:cs="Calibri"/>
                <w:i/>
                <w:color w:val="000000"/>
                <w:sz w:val="22"/>
                <w:szCs w:val="22"/>
                <w:lang w:eastAsia="en-GB"/>
              </w:rPr>
              <w:t>Slope_</w:t>
            </w:r>
            <w:r w:rsidRPr="009968E0">
              <w:rPr>
                <w:rFonts w:ascii="Calibri" w:eastAsia="Arial" w:hAnsi="Calibri" w:cs="Calibri"/>
                <w:i/>
                <w:color w:val="000000"/>
                <w:sz w:val="22"/>
                <w:szCs w:val="22"/>
                <w:lang w:eastAsia="en-GB"/>
              </w:rPr>
              <w:t>P-DPN</w:t>
            </w:r>
            <w:r w:rsidRPr="009968E0">
              <w:rPr>
                <w:rFonts w:ascii="Calibri" w:eastAsia="Times New Roman" w:hAnsi="Calibri" w:cs="Calibri"/>
                <w:i/>
                <w:color w:val="000000"/>
                <w:sz w:val="22"/>
                <w:szCs w:val="22"/>
                <w:lang w:eastAsia="en-GB"/>
              </w:rPr>
              <w:t>_vs_HV</w:t>
            </w:r>
            <w:proofErr w:type="spellEnd"/>
          </w:p>
        </w:tc>
        <w:tc>
          <w:tcPr>
            <w:tcW w:w="1322" w:type="dxa"/>
          </w:tcPr>
          <w:p w14:paraId="75A4010D"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-.877</w:t>
            </w:r>
          </w:p>
        </w:tc>
        <w:tc>
          <w:tcPr>
            <w:tcW w:w="1311" w:type="dxa"/>
          </w:tcPr>
          <w:p w14:paraId="2FC934E1"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.250</w:t>
            </w:r>
          </w:p>
        </w:tc>
        <w:tc>
          <w:tcPr>
            <w:tcW w:w="1423" w:type="dxa"/>
          </w:tcPr>
          <w:p w14:paraId="54FE579B"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-.486</w:t>
            </w:r>
          </w:p>
        </w:tc>
        <w:tc>
          <w:tcPr>
            <w:tcW w:w="948" w:type="dxa"/>
          </w:tcPr>
          <w:p w14:paraId="3C73B42B"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-3.501</w:t>
            </w:r>
          </w:p>
        </w:tc>
        <w:tc>
          <w:tcPr>
            <w:tcW w:w="937" w:type="dxa"/>
          </w:tcPr>
          <w:p w14:paraId="3DD3ADD0"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.001</w:t>
            </w:r>
          </w:p>
        </w:tc>
      </w:tr>
    </w:tbl>
    <w:p w14:paraId="10684015" w14:textId="77777777" w:rsidR="00D130F6" w:rsidRDefault="00D130F6" w:rsidP="009968E0">
      <w:pPr>
        <w:rPr>
          <w:rFonts w:ascii="Times New Roman" w:eastAsia="Times New Roman" w:hAnsi="Times New Roman" w:cs="Arial"/>
          <w:lang w:eastAsia="en-GB"/>
        </w:rPr>
      </w:pPr>
      <w:bookmarkStart w:id="705" w:name="_Toc48406170"/>
      <w:bookmarkStart w:id="706" w:name="_Toc49273382"/>
    </w:p>
    <w:p w14:paraId="6408E822" w14:textId="77777777" w:rsidR="00D130F6" w:rsidRDefault="00D130F6">
      <w:pPr>
        <w:rPr>
          <w:rFonts w:ascii="Times New Roman" w:eastAsia="Times New Roman" w:hAnsi="Times New Roman" w:cs="Arial"/>
          <w:lang w:eastAsia="en-GB"/>
        </w:rPr>
      </w:pPr>
      <w:r>
        <w:rPr>
          <w:rFonts w:ascii="Times New Roman" w:eastAsia="Times New Roman" w:hAnsi="Times New Roman" w:cs="Arial"/>
          <w:lang w:eastAsia="en-GB"/>
        </w:rPr>
        <w:br w:type="page"/>
      </w:r>
    </w:p>
    <w:p w14:paraId="4A16F485" w14:textId="0A6F1F1A" w:rsidR="009968E0" w:rsidRPr="007D16C6" w:rsidRDefault="009968E0" w:rsidP="007D16C6">
      <w:pPr>
        <w:pStyle w:val="Quote"/>
      </w:pPr>
      <w:bookmarkStart w:id="707" w:name="_Toc64724134"/>
      <w:r w:rsidRPr="007D16C6">
        <w:lastRenderedPageBreak/>
        <w:t>Table D.27 Delta TTP:  Linear regression of pain perception as measured by Likert scale for Left Insula reporting co-</w:t>
      </w:r>
      <w:proofErr w:type="spellStart"/>
      <w:r w:rsidRPr="007D16C6">
        <w:t>efficientsa</w:t>
      </w:r>
      <w:proofErr w:type="spellEnd"/>
      <w:r w:rsidRPr="007D16C6">
        <w:t>.</w:t>
      </w:r>
      <w:bookmarkEnd w:id="705"/>
      <w:bookmarkEnd w:id="706"/>
      <w:bookmarkEnd w:id="707"/>
    </w:p>
    <w:p w14:paraId="6DAF65C9" w14:textId="77777777" w:rsidR="009968E0" w:rsidRPr="009968E0" w:rsidRDefault="009968E0" w:rsidP="009968E0">
      <w:pPr>
        <w:rPr>
          <w:rFonts w:eastAsia="MS Mincho" w:cs="Times New Roman"/>
          <w:b/>
          <w:i/>
          <w:iCs/>
          <w:color w:val="1F497D"/>
        </w:rPr>
      </w:pPr>
    </w:p>
    <w:tbl>
      <w:tblPr>
        <w:tblStyle w:val="GridTable2-Accent212"/>
        <w:tblW w:w="8972" w:type="dxa"/>
        <w:tblLayout w:type="fixed"/>
        <w:tblLook w:val="0400" w:firstRow="0" w:lastRow="0" w:firstColumn="0" w:lastColumn="0" w:noHBand="0" w:noVBand="1"/>
      </w:tblPr>
      <w:tblGrid>
        <w:gridCol w:w="880"/>
        <w:gridCol w:w="385"/>
        <w:gridCol w:w="1819"/>
        <w:gridCol w:w="963"/>
        <w:gridCol w:w="1064"/>
        <w:gridCol w:w="2230"/>
        <w:gridCol w:w="920"/>
        <w:gridCol w:w="711"/>
      </w:tblGrid>
      <w:tr w:rsidR="009968E0" w:rsidRPr="009968E0" w14:paraId="26A67299" w14:textId="77777777" w:rsidTr="009968E0">
        <w:trPr>
          <w:cnfStyle w:val="000000100000" w:firstRow="0" w:lastRow="0" w:firstColumn="0" w:lastColumn="0" w:oddVBand="0" w:evenVBand="0" w:oddHBand="1" w:evenHBand="0" w:firstRowFirstColumn="0" w:firstRowLastColumn="0" w:lastRowFirstColumn="0" w:lastRowLastColumn="0"/>
          <w:trHeight w:val="680"/>
        </w:trPr>
        <w:tc>
          <w:tcPr>
            <w:tcW w:w="3084" w:type="dxa"/>
            <w:gridSpan w:val="3"/>
            <w:vMerge w:val="restart"/>
          </w:tcPr>
          <w:p w14:paraId="7CE0B731"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GROUP</w:t>
            </w:r>
          </w:p>
        </w:tc>
        <w:tc>
          <w:tcPr>
            <w:tcW w:w="2027" w:type="dxa"/>
            <w:gridSpan w:val="2"/>
          </w:tcPr>
          <w:p w14:paraId="53E0D7A6"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Unstandardized Coefficients</w:t>
            </w:r>
          </w:p>
        </w:tc>
        <w:tc>
          <w:tcPr>
            <w:tcW w:w="2230" w:type="dxa"/>
          </w:tcPr>
          <w:p w14:paraId="73BDD717"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Standardized Coefficients</w:t>
            </w:r>
          </w:p>
        </w:tc>
        <w:tc>
          <w:tcPr>
            <w:tcW w:w="920" w:type="dxa"/>
            <w:vMerge w:val="restart"/>
          </w:tcPr>
          <w:p w14:paraId="54F17AC0"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t</w:t>
            </w:r>
          </w:p>
        </w:tc>
        <w:tc>
          <w:tcPr>
            <w:tcW w:w="711" w:type="dxa"/>
            <w:vMerge w:val="restart"/>
          </w:tcPr>
          <w:p w14:paraId="4EFEF915"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Sig.</w:t>
            </w:r>
          </w:p>
        </w:tc>
      </w:tr>
      <w:tr w:rsidR="009968E0" w:rsidRPr="009968E0" w14:paraId="5F8DB41A" w14:textId="77777777" w:rsidTr="009968E0">
        <w:trPr>
          <w:trHeight w:val="360"/>
        </w:trPr>
        <w:tc>
          <w:tcPr>
            <w:tcW w:w="3084" w:type="dxa"/>
            <w:gridSpan w:val="3"/>
            <w:vMerge/>
          </w:tcPr>
          <w:p w14:paraId="5A87147F"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963" w:type="dxa"/>
          </w:tcPr>
          <w:p w14:paraId="0B2A3FD4"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B</w:t>
            </w:r>
          </w:p>
        </w:tc>
        <w:tc>
          <w:tcPr>
            <w:tcW w:w="1064" w:type="dxa"/>
          </w:tcPr>
          <w:p w14:paraId="6EDF6CDF"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Std. Error</w:t>
            </w:r>
          </w:p>
        </w:tc>
        <w:tc>
          <w:tcPr>
            <w:tcW w:w="2230" w:type="dxa"/>
          </w:tcPr>
          <w:p w14:paraId="0C60A472"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Beta</w:t>
            </w:r>
          </w:p>
        </w:tc>
        <w:tc>
          <w:tcPr>
            <w:tcW w:w="920" w:type="dxa"/>
            <w:vMerge/>
          </w:tcPr>
          <w:p w14:paraId="72915F96"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711" w:type="dxa"/>
            <w:vMerge/>
          </w:tcPr>
          <w:p w14:paraId="4E0CE3D8"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r>
      <w:tr w:rsidR="009968E0" w:rsidRPr="009968E0" w14:paraId="07FBF4C1"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880" w:type="dxa"/>
            <w:vMerge w:val="restart"/>
          </w:tcPr>
          <w:p w14:paraId="5A433318"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P-DPN</w:t>
            </w:r>
          </w:p>
        </w:tc>
        <w:tc>
          <w:tcPr>
            <w:tcW w:w="385" w:type="dxa"/>
            <w:vMerge w:val="restart"/>
          </w:tcPr>
          <w:p w14:paraId="5F0BFDE7"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w:t>
            </w:r>
          </w:p>
        </w:tc>
        <w:tc>
          <w:tcPr>
            <w:tcW w:w="1819" w:type="dxa"/>
          </w:tcPr>
          <w:p w14:paraId="6A186D1E"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(Constant)</w:t>
            </w:r>
          </w:p>
        </w:tc>
        <w:tc>
          <w:tcPr>
            <w:tcW w:w="963" w:type="dxa"/>
          </w:tcPr>
          <w:p w14:paraId="461F0ECF"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-1.147</w:t>
            </w:r>
          </w:p>
        </w:tc>
        <w:tc>
          <w:tcPr>
            <w:tcW w:w="1064" w:type="dxa"/>
          </w:tcPr>
          <w:p w14:paraId="3087FF28"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1.045</w:t>
            </w:r>
          </w:p>
        </w:tc>
        <w:tc>
          <w:tcPr>
            <w:tcW w:w="2230" w:type="dxa"/>
          </w:tcPr>
          <w:p w14:paraId="6C5460D8"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w:t>
            </w:r>
          </w:p>
        </w:tc>
        <w:tc>
          <w:tcPr>
            <w:tcW w:w="920" w:type="dxa"/>
          </w:tcPr>
          <w:p w14:paraId="7C142AF6"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-1.097</w:t>
            </w:r>
          </w:p>
        </w:tc>
        <w:tc>
          <w:tcPr>
            <w:tcW w:w="711" w:type="dxa"/>
          </w:tcPr>
          <w:p w14:paraId="2CC1202C"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.289</w:t>
            </w:r>
          </w:p>
        </w:tc>
      </w:tr>
      <w:tr w:rsidR="009968E0" w:rsidRPr="009968E0" w14:paraId="7EDFA777" w14:textId="77777777" w:rsidTr="009968E0">
        <w:trPr>
          <w:trHeight w:val="360"/>
        </w:trPr>
        <w:tc>
          <w:tcPr>
            <w:tcW w:w="880" w:type="dxa"/>
            <w:vMerge/>
          </w:tcPr>
          <w:p w14:paraId="67E94F80"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385" w:type="dxa"/>
            <w:vMerge/>
          </w:tcPr>
          <w:p w14:paraId="7C9BD4F6"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1819" w:type="dxa"/>
          </w:tcPr>
          <w:p w14:paraId="0145DE0D" w14:textId="77777777" w:rsidR="009968E0" w:rsidRPr="009968E0" w:rsidRDefault="009968E0" w:rsidP="009968E0">
            <w:pPr>
              <w:rPr>
                <w:rFonts w:ascii="Calibri" w:eastAsia="Times New Roman" w:hAnsi="Calibri" w:cs="Calibri"/>
                <w:i/>
                <w:color w:val="000000"/>
                <w:sz w:val="22"/>
                <w:szCs w:val="22"/>
                <w:lang w:eastAsia="en-GB"/>
              </w:rPr>
            </w:pPr>
            <w:proofErr w:type="spellStart"/>
            <w:r w:rsidRPr="009968E0">
              <w:rPr>
                <w:rFonts w:ascii="Calibri" w:eastAsia="Times New Roman" w:hAnsi="Calibri" w:cs="Calibri"/>
                <w:i/>
                <w:color w:val="000000"/>
                <w:sz w:val="22"/>
                <w:szCs w:val="22"/>
                <w:lang w:eastAsia="en-GB"/>
              </w:rPr>
              <w:t>likertscale_gad</w:t>
            </w:r>
            <w:proofErr w:type="spellEnd"/>
          </w:p>
        </w:tc>
        <w:tc>
          <w:tcPr>
            <w:tcW w:w="963" w:type="dxa"/>
          </w:tcPr>
          <w:p w14:paraId="706455C9"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.220</w:t>
            </w:r>
          </w:p>
        </w:tc>
        <w:tc>
          <w:tcPr>
            <w:tcW w:w="1064" w:type="dxa"/>
          </w:tcPr>
          <w:p w14:paraId="543C01A5"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.140</w:t>
            </w:r>
          </w:p>
        </w:tc>
        <w:tc>
          <w:tcPr>
            <w:tcW w:w="2230" w:type="dxa"/>
          </w:tcPr>
          <w:p w14:paraId="1D180577"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.366</w:t>
            </w:r>
          </w:p>
        </w:tc>
        <w:tc>
          <w:tcPr>
            <w:tcW w:w="920" w:type="dxa"/>
          </w:tcPr>
          <w:p w14:paraId="3D9656A2"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1.575</w:t>
            </w:r>
          </w:p>
        </w:tc>
        <w:tc>
          <w:tcPr>
            <w:tcW w:w="711" w:type="dxa"/>
          </w:tcPr>
          <w:p w14:paraId="4B866BBA"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.135</w:t>
            </w:r>
          </w:p>
        </w:tc>
      </w:tr>
      <w:tr w:rsidR="009968E0" w:rsidRPr="009968E0" w14:paraId="12B05081"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880" w:type="dxa"/>
            <w:vMerge w:val="restart"/>
          </w:tcPr>
          <w:p w14:paraId="65288BD2"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DPN</w:t>
            </w:r>
          </w:p>
        </w:tc>
        <w:tc>
          <w:tcPr>
            <w:tcW w:w="385" w:type="dxa"/>
            <w:vMerge w:val="restart"/>
          </w:tcPr>
          <w:p w14:paraId="5F88E069"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w:t>
            </w:r>
          </w:p>
        </w:tc>
        <w:tc>
          <w:tcPr>
            <w:tcW w:w="1819" w:type="dxa"/>
          </w:tcPr>
          <w:p w14:paraId="21161648"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(Constant)</w:t>
            </w:r>
          </w:p>
        </w:tc>
        <w:tc>
          <w:tcPr>
            <w:tcW w:w="963" w:type="dxa"/>
          </w:tcPr>
          <w:p w14:paraId="67617E7A"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.022</w:t>
            </w:r>
          </w:p>
        </w:tc>
        <w:tc>
          <w:tcPr>
            <w:tcW w:w="1064" w:type="dxa"/>
          </w:tcPr>
          <w:p w14:paraId="223E029C"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1.069</w:t>
            </w:r>
          </w:p>
        </w:tc>
        <w:tc>
          <w:tcPr>
            <w:tcW w:w="2230" w:type="dxa"/>
          </w:tcPr>
          <w:p w14:paraId="3FF6F0EA"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w:t>
            </w:r>
          </w:p>
        </w:tc>
        <w:tc>
          <w:tcPr>
            <w:tcW w:w="920" w:type="dxa"/>
          </w:tcPr>
          <w:p w14:paraId="7F851D77"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.021</w:t>
            </w:r>
          </w:p>
        </w:tc>
        <w:tc>
          <w:tcPr>
            <w:tcW w:w="711" w:type="dxa"/>
          </w:tcPr>
          <w:p w14:paraId="30C863FB"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.984</w:t>
            </w:r>
          </w:p>
        </w:tc>
      </w:tr>
      <w:tr w:rsidR="009968E0" w:rsidRPr="009968E0" w14:paraId="7DFE11DD" w14:textId="77777777" w:rsidTr="009968E0">
        <w:trPr>
          <w:trHeight w:val="360"/>
        </w:trPr>
        <w:tc>
          <w:tcPr>
            <w:tcW w:w="880" w:type="dxa"/>
            <w:vMerge/>
          </w:tcPr>
          <w:p w14:paraId="110D20CF"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385" w:type="dxa"/>
            <w:vMerge/>
          </w:tcPr>
          <w:p w14:paraId="3FB064AA"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1819" w:type="dxa"/>
          </w:tcPr>
          <w:p w14:paraId="6D12A1D3" w14:textId="77777777" w:rsidR="009968E0" w:rsidRPr="009968E0" w:rsidRDefault="009968E0" w:rsidP="009968E0">
            <w:pPr>
              <w:rPr>
                <w:rFonts w:ascii="Calibri" w:eastAsia="Times New Roman" w:hAnsi="Calibri" w:cs="Calibri"/>
                <w:i/>
                <w:color w:val="000000"/>
                <w:sz w:val="22"/>
                <w:szCs w:val="22"/>
                <w:lang w:eastAsia="en-GB"/>
              </w:rPr>
            </w:pPr>
            <w:proofErr w:type="spellStart"/>
            <w:r w:rsidRPr="009968E0">
              <w:rPr>
                <w:rFonts w:ascii="Calibri" w:eastAsia="Times New Roman" w:hAnsi="Calibri" w:cs="Calibri"/>
                <w:i/>
                <w:color w:val="000000"/>
                <w:sz w:val="22"/>
                <w:szCs w:val="22"/>
                <w:lang w:eastAsia="en-GB"/>
              </w:rPr>
              <w:t>likertscale_gad</w:t>
            </w:r>
            <w:proofErr w:type="spellEnd"/>
          </w:p>
        </w:tc>
        <w:tc>
          <w:tcPr>
            <w:tcW w:w="963" w:type="dxa"/>
          </w:tcPr>
          <w:p w14:paraId="7ED71435"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-.014</w:t>
            </w:r>
          </w:p>
        </w:tc>
        <w:tc>
          <w:tcPr>
            <w:tcW w:w="1064" w:type="dxa"/>
          </w:tcPr>
          <w:p w14:paraId="1C2F3F80"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.147</w:t>
            </w:r>
          </w:p>
        </w:tc>
        <w:tc>
          <w:tcPr>
            <w:tcW w:w="2230" w:type="dxa"/>
          </w:tcPr>
          <w:p w14:paraId="5BA3C9EB"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-.020</w:t>
            </w:r>
          </w:p>
        </w:tc>
        <w:tc>
          <w:tcPr>
            <w:tcW w:w="920" w:type="dxa"/>
          </w:tcPr>
          <w:p w14:paraId="358633F5"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-.092</w:t>
            </w:r>
          </w:p>
        </w:tc>
        <w:tc>
          <w:tcPr>
            <w:tcW w:w="711" w:type="dxa"/>
          </w:tcPr>
          <w:p w14:paraId="788413F2"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.928</w:t>
            </w:r>
          </w:p>
        </w:tc>
      </w:tr>
      <w:tr w:rsidR="009968E0" w:rsidRPr="009968E0" w14:paraId="53DB0484"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880" w:type="dxa"/>
            <w:vMerge w:val="restart"/>
          </w:tcPr>
          <w:p w14:paraId="17003B4E"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Arial" w:hAnsi="Calibri" w:cs="Calibri"/>
                <w:i/>
                <w:color w:val="000000"/>
                <w:sz w:val="22"/>
                <w:szCs w:val="22"/>
                <w:lang w:eastAsia="en-GB"/>
              </w:rPr>
              <w:t>DM-NN</w:t>
            </w:r>
          </w:p>
        </w:tc>
        <w:tc>
          <w:tcPr>
            <w:tcW w:w="385" w:type="dxa"/>
            <w:vMerge w:val="restart"/>
          </w:tcPr>
          <w:p w14:paraId="7EEFE816"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w:t>
            </w:r>
          </w:p>
        </w:tc>
        <w:tc>
          <w:tcPr>
            <w:tcW w:w="1819" w:type="dxa"/>
          </w:tcPr>
          <w:p w14:paraId="54A7A281"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(Constant)</w:t>
            </w:r>
          </w:p>
        </w:tc>
        <w:tc>
          <w:tcPr>
            <w:tcW w:w="963" w:type="dxa"/>
          </w:tcPr>
          <w:p w14:paraId="3E121B49"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.626</w:t>
            </w:r>
          </w:p>
        </w:tc>
        <w:tc>
          <w:tcPr>
            <w:tcW w:w="1064" w:type="dxa"/>
          </w:tcPr>
          <w:p w14:paraId="57AD92FD"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1.726</w:t>
            </w:r>
          </w:p>
        </w:tc>
        <w:tc>
          <w:tcPr>
            <w:tcW w:w="2230" w:type="dxa"/>
          </w:tcPr>
          <w:p w14:paraId="38ECDB16"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w:t>
            </w:r>
          </w:p>
        </w:tc>
        <w:tc>
          <w:tcPr>
            <w:tcW w:w="920" w:type="dxa"/>
          </w:tcPr>
          <w:p w14:paraId="719DB966"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.363</w:t>
            </w:r>
          </w:p>
        </w:tc>
        <w:tc>
          <w:tcPr>
            <w:tcW w:w="711" w:type="dxa"/>
          </w:tcPr>
          <w:p w14:paraId="4ADE7929"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.724</w:t>
            </w:r>
          </w:p>
        </w:tc>
      </w:tr>
      <w:tr w:rsidR="009968E0" w:rsidRPr="009968E0" w14:paraId="29BE8272" w14:textId="77777777" w:rsidTr="009968E0">
        <w:trPr>
          <w:trHeight w:val="360"/>
        </w:trPr>
        <w:tc>
          <w:tcPr>
            <w:tcW w:w="880" w:type="dxa"/>
            <w:vMerge/>
          </w:tcPr>
          <w:p w14:paraId="14492801"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385" w:type="dxa"/>
            <w:vMerge/>
          </w:tcPr>
          <w:p w14:paraId="55905EFE"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1819" w:type="dxa"/>
          </w:tcPr>
          <w:p w14:paraId="1E990BB2" w14:textId="77777777" w:rsidR="009968E0" w:rsidRPr="009968E0" w:rsidRDefault="009968E0" w:rsidP="009968E0">
            <w:pPr>
              <w:rPr>
                <w:rFonts w:ascii="Calibri" w:eastAsia="Times New Roman" w:hAnsi="Calibri" w:cs="Calibri"/>
                <w:i/>
                <w:color w:val="000000"/>
                <w:sz w:val="22"/>
                <w:szCs w:val="22"/>
                <w:lang w:eastAsia="en-GB"/>
              </w:rPr>
            </w:pPr>
            <w:proofErr w:type="spellStart"/>
            <w:r w:rsidRPr="009968E0">
              <w:rPr>
                <w:rFonts w:ascii="Calibri" w:eastAsia="Times New Roman" w:hAnsi="Calibri" w:cs="Calibri"/>
                <w:i/>
                <w:color w:val="000000"/>
                <w:sz w:val="22"/>
                <w:szCs w:val="22"/>
                <w:lang w:eastAsia="en-GB"/>
              </w:rPr>
              <w:t>likertscale_gad</w:t>
            </w:r>
            <w:proofErr w:type="spellEnd"/>
          </w:p>
        </w:tc>
        <w:tc>
          <w:tcPr>
            <w:tcW w:w="963" w:type="dxa"/>
          </w:tcPr>
          <w:p w14:paraId="706261D6"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-.065</w:t>
            </w:r>
          </w:p>
        </w:tc>
        <w:tc>
          <w:tcPr>
            <w:tcW w:w="1064" w:type="dxa"/>
          </w:tcPr>
          <w:p w14:paraId="09503519"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.229</w:t>
            </w:r>
          </w:p>
        </w:tc>
        <w:tc>
          <w:tcPr>
            <w:tcW w:w="2230" w:type="dxa"/>
          </w:tcPr>
          <w:p w14:paraId="6511B85A"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-.085</w:t>
            </w:r>
          </w:p>
        </w:tc>
        <w:tc>
          <w:tcPr>
            <w:tcW w:w="920" w:type="dxa"/>
          </w:tcPr>
          <w:p w14:paraId="73DA3E57"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-.284</w:t>
            </w:r>
          </w:p>
        </w:tc>
        <w:tc>
          <w:tcPr>
            <w:tcW w:w="711" w:type="dxa"/>
          </w:tcPr>
          <w:p w14:paraId="16969428"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.781</w:t>
            </w:r>
          </w:p>
        </w:tc>
      </w:tr>
      <w:tr w:rsidR="009968E0" w:rsidRPr="009968E0" w14:paraId="72EC9216"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880" w:type="dxa"/>
            <w:vMerge w:val="restart"/>
          </w:tcPr>
          <w:p w14:paraId="0C9F26EF"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HV</w:t>
            </w:r>
          </w:p>
        </w:tc>
        <w:tc>
          <w:tcPr>
            <w:tcW w:w="385" w:type="dxa"/>
            <w:vMerge w:val="restart"/>
          </w:tcPr>
          <w:p w14:paraId="50A5584B"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w:t>
            </w:r>
          </w:p>
        </w:tc>
        <w:tc>
          <w:tcPr>
            <w:tcW w:w="1819" w:type="dxa"/>
          </w:tcPr>
          <w:p w14:paraId="72391B4C"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(Constant)</w:t>
            </w:r>
          </w:p>
        </w:tc>
        <w:tc>
          <w:tcPr>
            <w:tcW w:w="963" w:type="dxa"/>
          </w:tcPr>
          <w:p w14:paraId="13D91B96"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3.941</w:t>
            </w:r>
          </w:p>
        </w:tc>
        <w:tc>
          <w:tcPr>
            <w:tcW w:w="1064" w:type="dxa"/>
          </w:tcPr>
          <w:p w14:paraId="0B040F67"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1.368</w:t>
            </w:r>
          </w:p>
        </w:tc>
        <w:tc>
          <w:tcPr>
            <w:tcW w:w="2230" w:type="dxa"/>
          </w:tcPr>
          <w:p w14:paraId="35CFA7F4"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w:t>
            </w:r>
          </w:p>
        </w:tc>
        <w:tc>
          <w:tcPr>
            <w:tcW w:w="920" w:type="dxa"/>
          </w:tcPr>
          <w:p w14:paraId="7A6B04B1"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2.881</w:t>
            </w:r>
          </w:p>
        </w:tc>
        <w:tc>
          <w:tcPr>
            <w:tcW w:w="711" w:type="dxa"/>
          </w:tcPr>
          <w:p w14:paraId="769FFE52"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.010</w:t>
            </w:r>
          </w:p>
        </w:tc>
      </w:tr>
      <w:tr w:rsidR="009968E0" w:rsidRPr="009968E0" w14:paraId="48152409" w14:textId="77777777" w:rsidTr="009968E0">
        <w:trPr>
          <w:trHeight w:val="360"/>
        </w:trPr>
        <w:tc>
          <w:tcPr>
            <w:tcW w:w="880" w:type="dxa"/>
            <w:vMerge/>
          </w:tcPr>
          <w:p w14:paraId="78AD5165"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385" w:type="dxa"/>
            <w:vMerge/>
          </w:tcPr>
          <w:p w14:paraId="2C189630"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1819" w:type="dxa"/>
          </w:tcPr>
          <w:p w14:paraId="46468B13" w14:textId="77777777" w:rsidR="009968E0" w:rsidRPr="009968E0" w:rsidRDefault="009968E0" w:rsidP="009968E0">
            <w:pPr>
              <w:rPr>
                <w:rFonts w:ascii="Calibri" w:eastAsia="Times New Roman" w:hAnsi="Calibri" w:cs="Calibri"/>
                <w:i/>
                <w:color w:val="000000"/>
                <w:sz w:val="22"/>
                <w:szCs w:val="22"/>
                <w:lang w:eastAsia="en-GB"/>
              </w:rPr>
            </w:pPr>
            <w:proofErr w:type="spellStart"/>
            <w:r w:rsidRPr="009968E0">
              <w:rPr>
                <w:rFonts w:ascii="Calibri" w:eastAsia="Times New Roman" w:hAnsi="Calibri" w:cs="Calibri"/>
                <w:i/>
                <w:color w:val="000000"/>
                <w:sz w:val="22"/>
                <w:szCs w:val="22"/>
                <w:lang w:eastAsia="en-GB"/>
              </w:rPr>
              <w:t>likertscale_gad</w:t>
            </w:r>
            <w:proofErr w:type="spellEnd"/>
          </w:p>
        </w:tc>
        <w:tc>
          <w:tcPr>
            <w:tcW w:w="963" w:type="dxa"/>
          </w:tcPr>
          <w:p w14:paraId="1B52375D"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-.612</w:t>
            </w:r>
          </w:p>
        </w:tc>
        <w:tc>
          <w:tcPr>
            <w:tcW w:w="1064" w:type="dxa"/>
          </w:tcPr>
          <w:p w14:paraId="3C22ADFF"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.197</w:t>
            </w:r>
          </w:p>
        </w:tc>
        <w:tc>
          <w:tcPr>
            <w:tcW w:w="2230" w:type="dxa"/>
          </w:tcPr>
          <w:p w14:paraId="1979E6DB"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-.602</w:t>
            </w:r>
          </w:p>
        </w:tc>
        <w:tc>
          <w:tcPr>
            <w:tcW w:w="920" w:type="dxa"/>
          </w:tcPr>
          <w:p w14:paraId="749A2384"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-3.108</w:t>
            </w:r>
          </w:p>
        </w:tc>
        <w:tc>
          <w:tcPr>
            <w:tcW w:w="711" w:type="dxa"/>
          </w:tcPr>
          <w:p w14:paraId="5851757D"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.006</w:t>
            </w:r>
          </w:p>
        </w:tc>
      </w:tr>
      <w:tr w:rsidR="009968E0" w:rsidRPr="009968E0" w14:paraId="1C2C6102" w14:textId="77777777" w:rsidTr="009968E0">
        <w:trPr>
          <w:cnfStyle w:val="000000100000" w:firstRow="0" w:lastRow="0" w:firstColumn="0" w:lastColumn="0" w:oddVBand="0" w:evenVBand="0" w:oddHBand="1" w:evenHBand="0" w:firstRowFirstColumn="0" w:firstRowLastColumn="0" w:lastRowFirstColumn="0" w:lastRowLastColumn="0"/>
          <w:trHeight w:val="380"/>
        </w:trPr>
        <w:tc>
          <w:tcPr>
            <w:tcW w:w="8972" w:type="dxa"/>
            <w:gridSpan w:val="8"/>
          </w:tcPr>
          <w:p w14:paraId="6E144F20" w14:textId="02224151"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xml:space="preserve">a. Dependent Variable: </w:t>
            </w:r>
            <w:r w:rsidR="0068219A">
              <w:rPr>
                <w:rFonts w:ascii="Calibri" w:eastAsia="Times New Roman" w:hAnsi="Calibri" w:cs="Calibri"/>
                <w:i/>
                <w:color w:val="000000"/>
                <w:sz w:val="22"/>
                <w:szCs w:val="22"/>
                <w:lang w:eastAsia="en-GB"/>
              </w:rPr>
              <w:t>Δ</w:t>
            </w:r>
            <w:r w:rsidRPr="009968E0">
              <w:rPr>
                <w:rFonts w:ascii="Calibri" w:eastAsia="Times New Roman" w:hAnsi="Calibri" w:cs="Calibri"/>
                <w:i/>
                <w:color w:val="000000"/>
                <w:sz w:val="22"/>
                <w:szCs w:val="22"/>
                <w:lang w:eastAsia="en-GB"/>
              </w:rPr>
              <w:t>_TTP_</w:t>
            </w:r>
            <w:r w:rsidR="0068219A">
              <w:rPr>
                <w:rFonts w:ascii="Calibri" w:eastAsia="Times New Roman" w:hAnsi="Calibri" w:cs="Calibri"/>
                <w:i/>
                <w:color w:val="000000"/>
                <w:sz w:val="22"/>
                <w:szCs w:val="22"/>
                <w:lang w:eastAsia="en-GB"/>
              </w:rPr>
              <w:t>LINS</w:t>
            </w:r>
          </w:p>
        </w:tc>
      </w:tr>
    </w:tbl>
    <w:p w14:paraId="6D92503B" w14:textId="77777777" w:rsidR="009968E0" w:rsidRPr="009968E0" w:rsidRDefault="009968E0" w:rsidP="009968E0">
      <w:pPr>
        <w:spacing w:line="360" w:lineRule="auto"/>
        <w:rPr>
          <w:rFonts w:ascii="Times New Roman" w:eastAsia="Times New Roman" w:hAnsi="Times New Roman" w:cs="Arial"/>
          <w:lang w:eastAsia="en-GB"/>
        </w:rPr>
      </w:pPr>
    </w:p>
    <w:p w14:paraId="6C7F0EEE" w14:textId="77777777" w:rsidR="009968E0" w:rsidRPr="009968E0" w:rsidRDefault="009968E0" w:rsidP="007D16C6">
      <w:pPr>
        <w:pStyle w:val="Quote"/>
      </w:pPr>
      <w:bookmarkStart w:id="708" w:name="_Toc48406171"/>
      <w:bookmarkStart w:id="709" w:name="_Toc49273383"/>
      <w:bookmarkStart w:id="710" w:name="_Toc64724135"/>
      <w:r w:rsidRPr="009968E0">
        <w:t>Table D.28: ANOVA comparing regression slopes and intercepts for statistical significance for delta TTP LINS</w:t>
      </w:r>
      <w:bookmarkEnd w:id="708"/>
      <w:bookmarkEnd w:id="709"/>
      <w:bookmarkEnd w:id="710"/>
    </w:p>
    <w:tbl>
      <w:tblPr>
        <w:tblStyle w:val="GridTable2-Accent212"/>
        <w:tblW w:w="9064" w:type="dxa"/>
        <w:tblLayout w:type="fixed"/>
        <w:tblLook w:val="0400" w:firstRow="0" w:lastRow="0" w:firstColumn="0" w:lastColumn="0" w:noHBand="0" w:noVBand="1"/>
      </w:tblPr>
      <w:tblGrid>
        <w:gridCol w:w="2851"/>
        <w:gridCol w:w="1519"/>
        <w:gridCol w:w="2004"/>
        <w:gridCol w:w="1594"/>
        <w:gridCol w:w="1096"/>
      </w:tblGrid>
      <w:tr w:rsidR="009968E0" w:rsidRPr="009968E0" w14:paraId="0728D185" w14:textId="77777777" w:rsidTr="009968E0">
        <w:trPr>
          <w:cnfStyle w:val="000000100000" w:firstRow="0" w:lastRow="0" w:firstColumn="0" w:lastColumn="0" w:oddVBand="0" w:evenVBand="0" w:oddHBand="1" w:evenHBand="0" w:firstRowFirstColumn="0" w:firstRowLastColumn="0" w:lastRowFirstColumn="0" w:lastRowLastColumn="0"/>
          <w:trHeight w:val="680"/>
        </w:trPr>
        <w:tc>
          <w:tcPr>
            <w:tcW w:w="2851" w:type="dxa"/>
          </w:tcPr>
          <w:p w14:paraId="616CA11E" w14:textId="77777777" w:rsidR="009968E0" w:rsidRPr="009968E0" w:rsidRDefault="009968E0" w:rsidP="009968E0">
            <w:pPr>
              <w:rPr>
                <w:rFonts w:ascii="Calibri" w:eastAsia="Arial" w:hAnsi="Calibri" w:cs="Calibri"/>
                <w:i/>
                <w:color w:val="000000"/>
                <w:sz w:val="22"/>
                <w:szCs w:val="22"/>
                <w:lang w:eastAsia="en-GB"/>
              </w:rPr>
            </w:pPr>
            <w:r w:rsidRPr="009968E0">
              <w:rPr>
                <w:rFonts w:ascii="Calibri" w:eastAsia="Arial" w:hAnsi="Calibri" w:cs="Calibri"/>
                <w:i/>
                <w:color w:val="000000"/>
                <w:sz w:val="22"/>
                <w:szCs w:val="22"/>
                <w:lang w:eastAsia="en-GB"/>
              </w:rPr>
              <w:t>Model</w:t>
            </w:r>
          </w:p>
        </w:tc>
        <w:tc>
          <w:tcPr>
            <w:tcW w:w="1519" w:type="dxa"/>
          </w:tcPr>
          <w:p w14:paraId="1F6DE207" w14:textId="77777777" w:rsidR="009968E0" w:rsidRPr="009968E0" w:rsidRDefault="009968E0" w:rsidP="009968E0">
            <w:pPr>
              <w:jc w:val="center"/>
              <w:rPr>
                <w:rFonts w:ascii="Calibri" w:eastAsia="Arial" w:hAnsi="Calibri" w:cs="Calibri"/>
                <w:i/>
                <w:color w:val="000000"/>
                <w:sz w:val="22"/>
                <w:szCs w:val="22"/>
                <w:lang w:eastAsia="en-GB"/>
              </w:rPr>
            </w:pPr>
            <w:r w:rsidRPr="009968E0">
              <w:rPr>
                <w:rFonts w:ascii="Calibri" w:eastAsia="Arial" w:hAnsi="Calibri" w:cs="Calibri"/>
                <w:i/>
                <w:color w:val="000000"/>
                <w:sz w:val="22"/>
                <w:szCs w:val="22"/>
                <w:lang w:eastAsia="en-GB"/>
              </w:rPr>
              <w:t>df</w:t>
            </w:r>
          </w:p>
        </w:tc>
        <w:tc>
          <w:tcPr>
            <w:tcW w:w="2004" w:type="dxa"/>
          </w:tcPr>
          <w:p w14:paraId="5584F01F" w14:textId="77777777" w:rsidR="009968E0" w:rsidRPr="009968E0" w:rsidRDefault="009968E0" w:rsidP="009968E0">
            <w:pPr>
              <w:jc w:val="center"/>
              <w:rPr>
                <w:rFonts w:ascii="Calibri" w:eastAsia="Arial" w:hAnsi="Calibri" w:cs="Calibri"/>
                <w:i/>
                <w:color w:val="000000"/>
                <w:sz w:val="22"/>
                <w:szCs w:val="22"/>
                <w:lang w:eastAsia="en-GB"/>
              </w:rPr>
            </w:pPr>
            <w:r w:rsidRPr="009968E0">
              <w:rPr>
                <w:rFonts w:ascii="Calibri" w:eastAsia="Arial" w:hAnsi="Calibri" w:cs="Calibri"/>
                <w:i/>
                <w:color w:val="000000"/>
                <w:sz w:val="22"/>
                <w:szCs w:val="22"/>
                <w:lang w:eastAsia="en-GB"/>
              </w:rPr>
              <w:t>F</w:t>
            </w:r>
          </w:p>
        </w:tc>
        <w:tc>
          <w:tcPr>
            <w:tcW w:w="1594" w:type="dxa"/>
          </w:tcPr>
          <w:p w14:paraId="67FCBD56" w14:textId="77777777" w:rsidR="009968E0" w:rsidRPr="009968E0" w:rsidRDefault="009968E0" w:rsidP="009968E0">
            <w:pPr>
              <w:jc w:val="center"/>
              <w:rPr>
                <w:rFonts w:ascii="Calibri" w:eastAsia="Arial" w:hAnsi="Calibri" w:cs="Calibri"/>
                <w:i/>
                <w:color w:val="000000"/>
                <w:sz w:val="22"/>
                <w:szCs w:val="22"/>
                <w:lang w:eastAsia="en-GB"/>
              </w:rPr>
            </w:pPr>
            <w:r w:rsidRPr="009968E0">
              <w:rPr>
                <w:rFonts w:ascii="Calibri" w:eastAsia="Arial" w:hAnsi="Calibri" w:cs="Calibri"/>
                <w:i/>
                <w:color w:val="000000"/>
                <w:sz w:val="22"/>
                <w:szCs w:val="22"/>
                <w:lang w:eastAsia="en-GB"/>
              </w:rPr>
              <w:t>Sig.</w:t>
            </w:r>
          </w:p>
        </w:tc>
        <w:tc>
          <w:tcPr>
            <w:tcW w:w="1096" w:type="dxa"/>
          </w:tcPr>
          <w:p w14:paraId="65F8718B" w14:textId="77777777" w:rsidR="009968E0" w:rsidRPr="009968E0" w:rsidRDefault="009968E0" w:rsidP="009968E0">
            <w:pPr>
              <w:jc w:val="center"/>
              <w:rPr>
                <w:rFonts w:ascii="Calibri" w:eastAsia="Arial" w:hAnsi="Calibri" w:cs="Calibri"/>
                <w:i/>
                <w:color w:val="000000"/>
                <w:sz w:val="22"/>
                <w:szCs w:val="22"/>
                <w:lang w:eastAsia="en-GB"/>
              </w:rPr>
            </w:pPr>
            <w:r w:rsidRPr="009968E0">
              <w:rPr>
                <w:rFonts w:ascii="Calibri" w:eastAsia="Arial" w:hAnsi="Calibri" w:cs="Calibri"/>
                <w:i/>
                <w:color w:val="000000"/>
                <w:sz w:val="22"/>
                <w:szCs w:val="22"/>
                <w:lang w:eastAsia="en-GB"/>
              </w:rPr>
              <w:t>R Square Change</w:t>
            </w:r>
          </w:p>
        </w:tc>
      </w:tr>
      <w:tr w:rsidR="009968E0" w:rsidRPr="009968E0" w14:paraId="22AF615E" w14:textId="77777777" w:rsidTr="009968E0">
        <w:trPr>
          <w:trHeight w:val="360"/>
        </w:trPr>
        <w:tc>
          <w:tcPr>
            <w:tcW w:w="2851" w:type="dxa"/>
          </w:tcPr>
          <w:p w14:paraId="43FA7DA2" w14:textId="77777777" w:rsidR="009968E0" w:rsidRPr="009968E0" w:rsidRDefault="009968E0" w:rsidP="009968E0">
            <w:pPr>
              <w:rPr>
                <w:rFonts w:ascii="Calibri" w:eastAsia="Arial" w:hAnsi="Calibri" w:cs="Calibri"/>
                <w:i/>
                <w:color w:val="000000"/>
                <w:sz w:val="22"/>
                <w:szCs w:val="22"/>
                <w:lang w:eastAsia="en-GB"/>
              </w:rPr>
            </w:pPr>
            <w:proofErr w:type="spellStart"/>
            <w:r w:rsidRPr="009968E0">
              <w:rPr>
                <w:rFonts w:ascii="Calibri" w:eastAsia="Arial" w:hAnsi="Calibri" w:cs="Calibri"/>
                <w:i/>
                <w:color w:val="000000"/>
                <w:sz w:val="22"/>
                <w:szCs w:val="22"/>
                <w:lang w:eastAsia="en-GB"/>
              </w:rPr>
              <w:t>likert_centred</w:t>
            </w:r>
            <w:proofErr w:type="spellEnd"/>
          </w:p>
        </w:tc>
        <w:tc>
          <w:tcPr>
            <w:tcW w:w="1519" w:type="dxa"/>
          </w:tcPr>
          <w:p w14:paraId="7BB29108" w14:textId="77777777" w:rsidR="009968E0" w:rsidRPr="009968E0" w:rsidRDefault="009968E0" w:rsidP="009968E0">
            <w:pPr>
              <w:jc w:val="right"/>
              <w:rPr>
                <w:rFonts w:ascii="Calibri" w:eastAsia="Arial" w:hAnsi="Calibri" w:cs="Calibri"/>
                <w:i/>
                <w:color w:val="000000"/>
                <w:sz w:val="22"/>
                <w:szCs w:val="22"/>
                <w:lang w:eastAsia="en-GB"/>
              </w:rPr>
            </w:pPr>
            <w:r w:rsidRPr="009968E0">
              <w:rPr>
                <w:rFonts w:ascii="Calibri" w:eastAsia="Arial" w:hAnsi="Calibri" w:cs="Calibri"/>
                <w:i/>
                <w:color w:val="000000"/>
                <w:sz w:val="22"/>
                <w:szCs w:val="22"/>
                <w:lang w:eastAsia="en-GB"/>
              </w:rPr>
              <w:t>1</w:t>
            </w:r>
          </w:p>
        </w:tc>
        <w:tc>
          <w:tcPr>
            <w:tcW w:w="2004" w:type="dxa"/>
          </w:tcPr>
          <w:p w14:paraId="0C72D04D" w14:textId="77777777" w:rsidR="009968E0" w:rsidRPr="009968E0" w:rsidRDefault="009968E0" w:rsidP="009968E0">
            <w:pPr>
              <w:jc w:val="right"/>
              <w:rPr>
                <w:rFonts w:ascii="Calibri" w:eastAsia="Arial" w:hAnsi="Calibri" w:cs="Calibri"/>
                <w:i/>
                <w:color w:val="000000"/>
                <w:sz w:val="22"/>
                <w:szCs w:val="22"/>
                <w:lang w:eastAsia="en-GB"/>
              </w:rPr>
            </w:pPr>
            <w:r w:rsidRPr="009968E0">
              <w:rPr>
                <w:rFonts w:ascii="Calibri" w:eastAsia="Arial" w:hAnsi="Calibri" w:cs="Calibri"/>
                <w:i/>
                <w:color w:val="000000"/>
                <w:sz w:val="22"/>
                <w:szCs w:val="22"/>
                <w:lang w:eastAsia="en-GB"/>
              </w:rPr>
              <w:t>2.093</w:t>
            </w:r>
          </w:p>
        </w:tc>
        <w:tc>
          <w:tcPr>
            <w:tcW w:w="1594" w:type="dxa"/>
          </w:tcPr>
          <w:p w14:paraId="2BADDF22" w14:textId="77777777" w:rsidR="009968E0" w:rsidRPr="009968E0" w:rsidRDefault="009968E0" w:rsidP="009968E0">
            <w:pPr>
              <w:jc w:val="right"/>
              <w:rPr>
                <w:rFonts w:ascii="Calibri" w:eastAsia="Arial" w:hAnsi="Calibri" w:cs="Calibri"/>
                <w:i/>
                <w:color w:val="000000"/>
                <w:sz w:val="22"/>
                <w:szCs w:val="22"/>
                <w:lang w:eastAsia="en-GB"/>
              </w:rPr>
            </w:pPr>
            <w:r w:rsidRPr="009968E0">
              <w:rPr>
                <w:rFonts w:ascii="Calibri" w:eastAsia="Arial" w:hAnsi="Calibri" w:cs="Calibri"/>
                <w:i/>
                <w:color w:val="000000"/>
                <w:sz w:val="22"/>
                <w:szCs w:val="22"/>
                <w:lang w:eastAsia="en-GB"/>
              </w:rPr>
              <w:t>.153</w:t>
            </w:r>
            <w:r w:rsidRPr="009968E0">
              <w:rPr>
                <w:rFonts w:ascii="Calibri" w:eastAsia="Arial" w:hAnsi="Calibri" w:cs="Calibri"/>
                <w:i/>
                <w:color w:val="000000"/>
                <w:sz w:val="22"/>
                <w:szCs w:val="22"/>
                <w:vertAlign w:val="superscript"/>
                <w:lang w:eastAsia="en-GB"/>
              </w:rPr>
              <w:t>a</w:t>
            </w:r>
          </w:p>
        </w:tc>
        <w:tc>
          <w:tcPr>
            <w:tcW w:w="1096" w:type="dxa"/>
          </w:tcPr>
          <w:p w14:paraId="4855E7EE" w14:textId="77777777" w:rsidR="009968E0" w:rsidRPr="009968E0" w:rsidRDefault="009968E0" w:rsidP="009968E0">
            <w:pPr>
              <w:jc w:val="right"/>
              <w:rPr>
                <w:rFonts w:ascii="Calibri" w:eastAsia="Arial" w:hAnsi="Calibri" w:cs="Calibri"/>
                <w:i/>
                <w:color w:val="000000"/>
                <w:sz w:val="22"/>
                <w:szCs w:val="22"/>
                <w:lang w:eastAsia="en-GB"/>
              </w:rPr>
            </w:pPr>
            <w:r w:rsidRPr="009968E0">
              <w:rPr>
                <w:rFonts w:ascii="Calibri" w:eastAsia="Arial" w:hAnsi="Calibri" w:cs="Calibri"/>
                <w:i/>
                <w:color w:val="000000"/>
                <w:sz w:val="22"/>
                <w:szCs w:val="22"/>
                <w:lang w:eastAsia="en-GB"/>
              </w:rPr>
              <w:t>.025</w:t>
            </w:r>
          </w:p>
        </w:tc>
      </w:tr>
      <w:tr w:rsidR="009968E0" w:rsidRPr="009968E0" w14:paraId="5EC2F665" w14:textId="77777777" w:rsidTr="009968E0">
        <w:trPr>
          <w:cnfStyle w:val="000000100000" w:firstRow="0" w:lastRow="0" w:firstColumn="0" w:lastColumn="0" w:oddVBand="0" w:evenVBand="0" w:oddHBand="1" w:evenHBand="0" w:firstRowFirstColumn="0" w:firstRowLastColumn="0" w:lastRowFirstColumn="0" w:lastRowLastColumn="0"/>
          <w:trHeight w:val="760"/>
        </w:trPr>
        <w:tc>
          <w:tcPr>
            <w:tcW w:w="2851" w:type="dxa"/>
          </w:tcPr>
          <w:p w14:paraId="3D3706B3" w14:textId="77777777" w:rsidR="009968E0" w:rsidRPr="009968E0" w:rsidRDefault="009968E0" w:rsidP="009968E0">
            <w:pPr>
              <w:rPr>
                <w:rFonts w:ascii="Calibri" w:eastAsia="Arial" w:hAnsi="Calibri" w:cs="Calibri"/>
                <w:i/>
                <w:color w:val="000000"/>
                <w:sz w:val="22"/>
                <w:szCs w:val="22"/>
                <w:lang w:eastAsia="en-GB"/>
              </w:rPr>
            </w:pPr>
            <w:proofErr w:type="spellStart"/>
            <w:r w:rsidRPr="009968E0">
              <w:rPr>
                <w:rFonts w:ascii="Calibri" w:eastAsia="Arial" w:hAnsi="Calibri" w:cs="Calibri"/>
                <w:i/>
                <w:color w:val="000000"/>
                <w:sz w:val="22"/>
                <w:szCs w:val="22"/>
                <w:lang w:eastAsia="en-GB"/>
              </w:rPr>
              <w:t>Intercept_P-DPN_vs_DPN</w:t>
            </w:r>
            <w:proofErr w:type="spellEnd"/>
            <w:r w:rsidRPr="009968E0">
              <w:rPr>
                <w:rFonts w:ascii="Calibri" w:eastAsia="Arial" w:hAnsi="Calibri" w:cs="Calibri"/>
                <w:i/>
                <w:color w:val="000000"/>
                <w:sz w:val="22"/>
                <w:szCs w:val="22"/>
                <w:lang w:eastAsia="en-GB"/>
              </w:rPr>
              <w:t xml:space="preserve">, </w:t>
            </w:r>
            <w:proofErr w:type="spellStart"/>
            <w:r w:rsidRPr="009968E0">
              <w:rPr>
                <w:rFonts w:ascii="Calibri" w:eastAsia="Arial" w:hAnsi="Calibri" w:cs="Calibri"/>
                <w:i/>
                <w:color w:val="000000"/>
                <w:sz w:val="22"/>
                <w:szCs w:val="22"/>
                <w:lang w:eastAsia="en-GB"/>
              </w:rPr>
              <w:t>Intercept_P-DPN_vs_DM_NN</w:t>
            </w:r>
            <w:proofErr w:type="spellEnd"/>
            <w:r w:rsidRPr="009968E0">
              <w:rPr>
                <w:rFonts w:ascii="Calibri" w:eastAsia="Arial" w:hAnsi="Calibri" w:cs="Calibri"/>
                <w:i/>
                <w:color w:val="000000"/>
                <w:sz w:val="22"/>
                <w:szCs w:val="22"/>
                <w:lang w:eastAsia="en-GB"/>
              </w:rPr>
              <w:t xml:space="preserve">, </w:t>
            </w:r>
            <w:proofErr w:type="spellStart"/>
            <w:r w:rsidRPr="009968E0">
              <w:rPr>
                <w:rFonts w:ascii="Calibri" w:eastAsia="Arial" w:hAnsi="Calibri" w:cs="Calibri"/>
                <w:i/>
                <w:color w:val="000000"/>
                <w:sz w:val="22"/>
                <w:szCs w:val="22"/>
                <w:lang w:eastAsia="en-GB"/>
              </w:rPr>
              <w:t>Intercept_P-DPN_vs_HV</w:t>
            </w:r>
            <w:proofErr w:type="spellEnd"/>
          </w:p>
        </w:tc>
        <w:tc>
          <w:tcPr>
            <w:tcW w:w="1519" w:type="dxa"/>
          </w:tcPr>
          <w:p w14:paraId="0308D9AC" w14:textId="77777777" w:rsidR="009968E0" w:rsidRPr="009968E0" w:rsidRDefault="009968E0" w:rsidP="009968E0">
            <w:pPr>
              <w:jc w:val="right"/>
              <w:rPr>
                <w:rFonts w:ascii="Calibri" w:eastAsia="Arial" w:hAnsi="Calibri" w:cs="Calibri"/>
                <w:i/>
                <w:color w:val="000000"/>
                <w:sz w:val="22"/>
                <w:szCs w:val="22"/>
                <w:lang w:eastAsia="en-GB"/>
              </w:rPr>
            </w:pPr>
            <w:r w:rsidRPr="009968E0">
              <w:rPr>
                <w:rFonts w:ascii="Calibri" w:eastAsia="Arial" w:hAnsi="Calibri" w:cs="Calibri"/>
                <w:i/>
                <w:color w:val="000000"/>
                <w:sz w:val="22"/>
                <w:szCs w:val="22"/>
                <w:lang w:eastAsia="en-GB"/>
              </w:rPr>
              <w:t>3</w:t>
            </w:r>
          </w:p>
        </w:tc>
        <w:tc>
          <w:tcPr>
            <w:tcW w:w="2004" w:type="dxa"/>
          </w:tcPr>
          <w:p w14:paraId="05934A65" w14:textId="77777777" w:rsidR="009968E0" w:rsidRPr="009968E0" w:rsidRDefault="009968E0" w:rsidP="009968E0">
            <w:pPr>
              <w:jc w:val="right"/>
              <w:rPr>
                <w:rFonts w:ascii="Calibri" w:eastAsia="Arial" w:hAnsi="Calibri" w:cs="Calibri"/>
                <w:i/>
                <w:color w:val="000000"/>
                <w:sz w:val="22"/>
                <w:szCs w:val="22"/>
                <w:lang w:eastAsia="en-GB"/>
              </w:rPr>
            </w:pPr>
            <w:r w:rsidRPr="009968E0">
              <w:rPr>
                <w:rFonts w:ascii="Calibri" w:eastAsia="Arial" w:hAnsi="Calibri" w:cs="Calibri"/>
                <w:i/>
                <w:color w:val="000000"/>
                <w:sz w:val="22"/>
                <w:szCs w:val="22"/>
                <w:lang w:eastAsia="en-GB"/>
              </w:rPr>
              <w:t>2.351</w:t>
            </w:r>
          </w:p>
        </w:tc>
        <w:tc>
          <w:tcPr>
            <w:tcW w:w="1594" w:type="dxa"/>
          </w:tcPr>
          <w:p w14:paraId="7E99ACED" w14:textId="77777777" w:rsidR="009968E0" w:rsidRPr="009968E0" w:rsidRDefault="009968E0" w:rsidP="009968E0">
            <w:pPr>
              <w:jc w:val="right"/>
              <w:rPr>
                <w:rFonts w:ascii="Calibri" w:eastAsia="Arial" w:hAnsi="Calibri" w:cs="Calibri"/>
                <w:i/>
                <w:color w:val="000000"/>
                <w:sz w:val="22"/>
                <w:szCs w:val="22"/>
                <w:lang w:eastAsia="en-GB"/>
              </w:rPr>
            </w:pPr>
            <w:r w:rsidRPr="009968E0">
              <w:rPr>
                <w:rFonts w:ascii="Calibri" w:eastAsia="Arial" w:hAnsi="Calibri" w:cs="Calibri"/>
                <w:i/>
                <w:color w:val="000000"/>
                <w:sz w:val="22"/>
                <w:szCs w:val="22"/>
                <w:lang w:eastAsia="en-GB"/>
              </w:rPr>
              <w:t>.080</w:t>
            </w:r>
            <w:r w:rsidRPr="009968E0">
              <w:rPr>
                <w:rFonts w:ascii="Calibri" w:eastAsia="Arial" w:hAnsi="Calibri" w:cs="Calibri"/>
                <w:i/>
                <w:color w:val="000000"/>
                <w:sz w:val="22"/>
                <w:szCs w:val="22"/>
                <w:vertAlign w:val="superscript"/>
                <w:lang w:eastAsia="en-GB"/>
              </w:rPr>
              <w:t>a</w:t>
            </w:r>
          </w:p>
        </w:tc>
        <w:tc>
          <w:tcPr>
            <w:tcW w:w="1096" w:type="dxa"/>
          </w:tcPr>
          <w:p w14:paraId="688C05AF" w14:textId="77777777" w:rsidR="009968E0" w:rsidRPr="009968E0" w:rsidRDefault="009968E0" w:rsidP="009968E0">
            <w:pPr>
              <w:jc w:val="right"/>
              <w:rPr>
                <w:rFonts w:ascii="Calibri" w:eastAsia="Arial" w:hAnsi="Calibri" w:cs="Calibri"/>
                <w:i/>
                <w:color w:val="000000"/>
                <w:sz w:val="22"/>
                <w:szCs w:val="22"/>
                <w:lang w:eastAsia="en-GB"/>
              </w:rPr>
            </w:pPr>
            <w:r w:rsidRPr="009968E0">
              <w:rPr>
                <w:rFonts w:ascii="Calibri" w:eastAsia="Arial" w:hAnsi="Calibri" w:cs="Calibri"/>
                <w:i/>
                <w:color w:val="000000"/>
                <w:sz w:val="22"/>
                <w:szCs w:val="22"/>
                <w:lang w:eastAsia="en-GB"/>
              </w:rPr>
              <w:t>.084</w:t>
            </w:r>
          </w:p>
        </w:tc>
      </w:tr>
      <w:tr w:rsidR="009968E0" w:rsidRPr="009968E0" w14:paraId="3E8A55C3" w14:textId="77777777" w:rsidTr="009968E0">
        <w:trPr>
          <w:trHeight w:val="880"/>
        </w:trPr>
        <w:tc>
          <w:tcPr>
            <w:tcW w:w="2851" w:type="dxa"/>
          </w:tcPr>
          <w:p w14:paraId="78736923" w14:textId="77777777" w:rsidR="009968E0" w:rsidRPr="009968E0" w:rsidRDefault="009968E0" w:rsidP="009968E0">
            <w:pPr>
              <w:rPr>
                <w:rFonts w:ascii="Calibri" w:eastAsia="Arial" w:hAnsi="Calibri" w:cs="Calibri"/>
                <w:i/>
                <w:color w:val="000000"/>
                <w:sz w:val="22"/>
                <w:szCs w:val="22"/>
                <w:lang w:eastAsia="en-GB"/>
              </w:rPr>
            </w:pPr>
            <w:proofErr w:type="spellStart"/>
            <w:r w:rsidRPr="009968E0">
              <w:rPr>
                <w:rFonts w:ascii="Calibri" w:eastAsia="Arial" w:hAnsi="Calibri" w:cs="Calibri"/>
                <w:i/>
                <w:color w:val="000000"/>
                <w:sz w:val="22"/>
                <w:szCs w:val="22"/>
                <w:lang w:eastAsia="en-GB"/>
              </w:rPr>
              <w:t>Slope_P-DPN_vs_DPN</w:t>
            </w:r>
            <w:proofErr w:type="spellEnd"/>
            <w:r w:rsidRPr="009968E0">
              <w:rPr>
                <w:rFonts w:ascii="Calibri" w:eastAsia="Arial" w:hAnsi="Calibri" w:cs="Calibri"/>
                <w:i/>
                <w:color w:val="000000"/>
                <w:sz w:val="22"/>
                <w:szCs w:val="22"/>
                <w:lang w:eastAsia="en-GB"/>
              </w:rPr>
              <w:t xml:space="preserve">, </w:t>
            </w:r>
            <w:proofErr w:type="spellStart"/>
            <w:r w:rsidRPr="009968E0">
              <w:rPr>
                <w:rFonts w:ascii="Calibri" w:eastAsia="Arial" w:hAnsi="Calibri" w:cs="Calibri"/>
                <w:i/>
                <w:color w:val="000000"/>
                <w:sz w:val="22"/>
                <w:szCs w:val="22"/>
                <w:lang w:eastAsia="en-GB"/>
              </w:rPr>
              <w:t>Slope_P-DPN_vs_DM_NN</w:t>
            </w:r>
            <w:proofErr w:type="spellEnd"/>
            <w:r w:rsidRPr="009968E0">
              <w:rPr>
                <w:rFonts w:ascii="Calibri" w:eastAsia="Arial" w:hAnsi="Calibri" w:cs="Calibri"/>
                <w:i/>
                <w:color w:val="000000"/>
                <w:sz w:val="22"/>
                <w:szCs w:val="22"/>
                <w:lang w:eastAsia="en-GB"/>
              </w:rPr>
              <w:t xml:space="preserve">, </w:t>
            </w:r>
            <w:proofErr w:type="spellStart"/>
            <w:r w:rsidRPr="009968E0">
              <w:rPr>
                <w:rFonts w:ascii="Calibri" w:eastAsia="Arial" w:hAnsi="Calibri" w:cs="Calibri"/>
                <w:i/>
                <w:color w:val="000000"/>
                <w:sz w:val="22"/>
                <w:szCs w:val="22"/>
                <w:lang w:eastAsia="en-GB"/>
              </w:rPr>
              <w:t>Slope_P-DPN_vs_HV</w:t>
            </w:r>
            <w:proofErr w:type="spellEnd"/>
          </w:p>
        </w:tc>
        <w:tc>
          <w:tcPr>
            <w:tcW w:w="1519" w:type="dxa"/>
          </w:tcPr>
          <w:p w14:paraId="7E956BDB" w14:textId="77777777" w:rsidR="009968E0" w:rsidRPr="009968E0" w:rsidRDefault="009968E0" w:rsidP="009968E0">
            <w:pPr>
              <w:jc w:val="right"/>
              <w:rPr>
                <w:rFonts w:ascii="Calibri" w:eastAsia="Arial" w:hAnsi="Calibri" w:cs="Calibri"/>
                <w:i/>
                <w:color w:val="000000"/>
                <w:sz w:val="22"/>
                <w:szCs w:val="22"/>
                <w:lang w:eastAsia="en-GB"/>
              </w:rPr>
            </w:pPr>
            <w:r w:rsidRPr="009968E0">
              <w:rPr>
                <w:rFonts w:ascii="Calibri" w:eastAsia="Arial" w:hAnsi="Calibri" w:cs="Calibri"/>
                <w:i/>
                <w:color w:val="000000"/>
                <w:sz w:val="22"/>
                <w:szCs w:val="22"/>
                <w:lang w:eastAsia="en-GB"/>
              </w:rPr>
              <w:t>3</w:t>
            </w:r>
          </w:p>
        </w:tc>
        <w:tc>
          <w:tcPr>
            <w:tcW w:w="2004" w:type="dxa"/>
          </w:tcPr>
          <w:p w14:paraId="4557B269" w14:textId="77777777" w:rsidR="009968E0" w:rsidRPr="009968E0" w:rsidRDefault="009968E0" w:rsidP="009968E0">
            <w:pPr>
              <w:jc w:val="right"/>
              <w:rPr>
                <w:rFonts w:ascii="Calibri" w:eastAsia="Arial" w:hAnsi="Calibri" w:cs="Calibri"/>
                <w:i/>
                <w:color w:val="000000"/>
                <w:sz w:val="22"/>
                <w:szCs w:val="22"/>
                <w:lang w:eastAsia="en-GB"/>
              </w:rPr>
            </w:pPr>
            <w:r w:rsidRPr="009968E0">
              <w:rPr>
                <w:rFonts w:ascii="Calibri" w:eastAsia="Arial" w:hAnsi="Calibri" w:cs="Calibri"/>
                <w:i/>
                <w:color w:val="000000"/>
                <w:sz w:val="22"/>
                <w:szCs w:val="22"/>
                <w:lang w:eastAsia="en-GB"/>
              </w:rPr>
              <w:t>4.135</w:t>
            </w:r>
          </w:p>
        </w:tc>
        <w:tc>
          <w:tcPr>
            <w:tcW w:w="1594" w:type="dxa"/>
          </w:tcPr>
          <w:p w14:paraId="506437BE" w14:textId="77777777" w:rsidR="009968E0" w:rsidRPr="009968E0" w:rsidRDefault="009968E0" w:rsidP="009968E0">
            <w:pPr>
              <w:jc w:val="right"/>
              <w:rPr>
                <w:rFonts w:ascii="Calibri" w:eastAsia="Arial" w:hAnsi="Calibri" w:cs="Calibri"/>
                <w:i/>
                <w:color w:val="000000"/>
                <w:sz w:val="22"/>
                <w:szCs w:val="22"/>
                <w:lang w:eastAsia="en-GB"/>
              </w:rPr>
            </w:pPr>
            <w:r w:rsidRPr="009968E0">
              <w:rPr>
                <w:rFonts w:ascii="Calibri" w:eastAsia="Arial" w:hAnsi="Calibri" w:cs="Calibri"/>
                <w:i/>
                <w:color w:val="000000"/>
                <w:sz w:val="22"/>
                <w:szCs w:val="22"/>
                <w:lang w:eastAsia="en-GB"/>
              </w:rPr>
              <w:t>.010</w:t>
            </w:r>
            <w:r w:rsidRPr="009968E0">
              <w:rPr>
                <w:rFonts w:ascii="Calibri" w:eastAsia="Arial" w:hAnsi="Calibri" w:cs="Calibri"/>
                <w:i/>
                <w:color w:val="000000"/>
                <w:sz w:val="22"/>
                <w:szCs w:val="22"/>
                <w:vertAlign w:val="superscript"/>
                <w:lang w:eastAsia="en-GB"/>
              </w:rPr>
              <w:t>a</w:t>
            </w:r>
          </w:p>
        </w:tc>
        <w:tc>
          <w:tcPr>
            <w:tcW w:w="1096" w:type="dxa"/>
          </w:tcPr>
          <w:p w14:paraId="2FBB4672" w14:textId="77777777" w:rsidR="009968E0" w:rsidRPr="009968E0" w:rsidRDefault="009968E0" w:rsidP="009968E0">
            <w:pPr>
              <w:jc w:val="right"/>
              <w:rPr>
                <w:rFonts w:ascii="Calibri" w:eastAsia="Arial" w:hAnsi="Calibri" w:cs="Calibri"/>
                <w:i/>
                <w:color w:val="000000"/>
                <w:sz w:val="22"/>
                <w:szCs w:val="22"/>
                <w:lang w:eastAsia="en-GB"/>
              </w:rPr>
            </w:pPr>
            <w:r w:rsidRPr="009968E0">
              <w:rPr>
                <w:rFonts w:ascii="Calibri" w:eastAsia="Arial" w:hAnsi="Calibri" w:cs="Calibri"/>
                <w:i/>
                <w:color w:val="000000"/>
                <w:sz w:val="22"/>
                <w:szCs w:val="22"/>
                <w:lang w:eastAsia="en-GB"/>
              </w:rPr>
              <w:t>.148</w:t>
            </w:r>
          </w:p>
        </w:tc>
      </w:tr>
      <w:tr w:rsidR="009968E0" w:rsidRPr="009968E0" w14:paraId="5C4E64D7" w14:textId="77777777" w:rsidTr="009968E0">
        <w:trPr>
          <w:cnfStyle w:val="000000100000" w:firstRow="0" w:lastRow="0" w:firstColumn="0" w:lastColumn="0" w:oddVBand="0" w:evenVBand="0" w:oddHBand="1" w:evenHBand="0" w:firstRowFirstColumn="0" w:firstRowLastColumn="0" w:lastRowFirstColumn="0" w:lastRowLastColumn="0"/>
          <w:trHeight w:val="380"/>
        </w:trPr>
        <w:tc>
          <w:tcPr>
            <w:tcW w:w="9064" w:type="dxa"/>
            <w:gridSpan w:val="5"/>
          </w:tcPr>
          <w:p w14:paraId="5C08E537" w14:textId="77777777" w:rsidR="009968E0" w:rsidRPr="009968E0" w:rsidRDefault="009968E0" w:rsidP="009968E0">
            <w:pPr>
              <w:jc w:val="center"/>
              <w:rPr>
                <w:rFonts w:ascii="Calibri" w:eastAsia="Arial" w:hAnsi="Calibri" w:cs="Calibri"/>
                <w:i/>
                <w:color w:val="000000"/>
                <w:sz w:val="22"/>
                <w:szCs w:val="22"/>
                <w:lang w:eastAsia="en-GB"/>
              </w:rPr>
            </w:pPr>
            <w:r w:rsidRPr="009968E0">
              <w:rPr>
                <w:rFonts w:ascii="Calibri" w:eastAsia="Arial" w:hAnsi="Calibri" w:cs="Calibri"/>
                <w:i/>
                <w:color w:val="000000"/>
                <w:sz w:val="22"/>
                <w:szCs w:val="22"/>
                <w:lang w:eastAsia="en-GB"/>
              </w:rPr>
              <w:t>a. Tested against the full model.</w:t>
            </w:r>
          </w:p>
        </w:tc>
      </w:tr>
    </w:tbl>
    <w:p w14:paraId="467F8198" w14:textId="77777777" w:rsidR="009968E0" w:rsidRPr="009968E0" w:rsidRDefault="009968E0" w:rsidP="009968E0">
      <w:pPr>
        <w:pBdr>
          <w:top w:val="nil"/>
          <w:left w:val="nil"/>
          <w:bottom w:val="nil"/>
          <w:right w:val="nil"/>
          <w:between w:val="nil"/>
        </w:pBdr>
        <w:rPr>
          <w:rFonts w:ascii="Times New Roman" w:eastAsia="Times New Roman" w:hAnsi="Times New Roman" w:cs="Arial"/>
          <w:i/>
          <w:color w:val="000000"/>
          <w:lang w:eastAsia="en-GB"/>
        </w:rPr>
      </w:pPr>
    </w:p>
    <w:p w14:paraId="249B76DE" w14:textId="2FD42740" w:rsidR="009968E0" w:rsidRPr="007D16C6" w:rsidRDefault="009968E0" w:rsidP="007D16C6">
      <w:pPr>
        <w:pStyle w:val="Quote"/>
      </w:pPr>
      <w:bookmarkStart w:id="711" w:name="_Toc48406172"/>
      <w:bookmarkStart w:id="712" w:name="_Toc49273384"/>
      <w:bookmarkStart w:id="713" w:name="_Toc64724136"/>
      <w:r w:rsidRPr="007D16C6">
        <w:t xml:space="preserve">Table D.29: Post Hoc T-Test Comparisons of Regression Intercepts and </w:t>
      </w:r>
      <w:proofErr w:type="spellStart"/>
      <w:r w:rsidRPr="007D16C6">
        <w:t>slopesa</w:t>
      </w:r>
      <w:proofErr w:type="spellEnd"/>
      <w:r w:rsidRPr="007D16C6">
        <w:t xml:space="preserve"> for Delta TTP </w:t>
      </w:r>
      <w:r w:rsidR="0068219A">
        <w:t>LINS</w:t>
      </w:r>
      <w:bookmarkEnd w:id="711"/>
      <w:bookmarkEnd w:id="712"/>
      <w:bookmarkEnd w:id="713"/>
    </w:p>
    <w:tbl>
      <w:tblPr>
        <w:tblStyle w:val="GridTable2-Accent212"/>
        <w:tblW w:w="9064" w:type="dxa"/>
        <w:tblLayout w:type="fixed"/>
        <w:tblLook w:val="0400" w:firstRow="0" w:lastRow="0" w:firstColumn="0" w:lastColumn="0" w:noHBand="0" w:noVBand="1"/>
      </w:tblPr>
      <w:tblGrid>
        <w:gridCol w:w="328"/>
        <w:gridCol w:w="2795"/>
        <w:gridCol w:w="1320"/>
        <w:gridCol w:w="1313"/>
        <w:gridCol w:w="1422"/>
        <w:gridCol w:w="947"/>
        <w:gridCol w:w="939"/>
      </w:tblGrid>
      <w:tr w:rsidR="009968E0" w:rsidRPr="009968E0" w14:paraId="62BDC915" w14:textId="77777777" w:rsidTr="009968E0">
        <w:trPr>
          <w:cnfStyle w:val="000000100000" w:firstRow="0" w:lastRow="0" w:firstColumn="0" w:lastColumn="0" w:oddVBand="0" w:evenVBand="0" w:oddHBand="1" w:evenHBand="0" w:firstRowFirstColumn="0" w:firstRowLastColumn="0" w:lastRowFirstColumn="0" w:lastRowLastColumn="0"/>
          <w:trHeight w:val="680"/>
        </w:trPr>
        <w:tc>
          <w:tcPr>
            <w:tcW w:w="3123" w:type="dxa"/>
            <w:gridSpan w:val="2"/>
            <w:vMerge w:val="restart"/>
          </w:tcPr>
          <w:p w14:paraId="7B2BE388"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Model</w:t>
            </w:r>
          </w:p>
        </w:tc>
        <w:tc>
          <w:tcPr>
            <w:tcW w:w="2633" w:type="dxa"/>
            <w:gridSpan w:val="2"/>
          </w:tcPr>
          <w:p w14:paraId="5DC4E425"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Unstandardized Coefficients</w:t>
            </w:r>
          </w:p>
        </w:tc>
        <w:tc>
          <w:tcPr>
            <w:tcW w:w="1422" w:type="dxa"/>
          </w:tcPr>
          <w:p w14:paraId="65715680"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Standardized Coefficients</w:t>
            </w:r>
          </w:p>
        </w:tc>
        <w:tc>
          <w:tcPr>
            <w:tcW w:w="947" w:type="dxa"/>
            <w:vMerge w:val="restart"/>
          </w:tcPr>
          <w:p w14:paraId="48105E64"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t</w:t>
            </w:r>
          </w:p>
        </w:tc>
        <w:tc>
          <w:tcPr>
            <w:tcW w:w="939" w:type="dxa"/>
            <w:vMerge w:val="restart"/>
          </w:tcPr>
          <w:p w14:paraId="3701FFC4"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Sig.</w:t>
            </w:r>
          </w:p>
        </w:tc>
      </w:tr>
      <w:tr w:rsidR="009968E0" w:rsidRPr="009968E0" w14:paraId="27B909F8" w14:textId="77777777" w:rsidTr="009968E0">
        <w:trPr>
          <w:trHeight w:val="360"/>
        </w:trPr>
        <w:tc>
          <w:tcPr>
            <w:tcW w:w="3123" w:type="dxa"/>
            <w:gridSpan w:val="2"/>
            <w:vMerge/>
          </w:tcPr>
          <w:p w14:paraId="25D82464"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1320" w:type="dxa"/>
          </w:tcPr>
          <w:p w14:paraId="6FF8CA2C"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B</w:t>
            </w:r>
          </w:p>
        </w:tc>
        <w:tc>
          <w:tcPr>
            <w:tcW w:w="1313" w:type="dxa"/>
          </w:tcPr>
          <w:p w14:paraId="3670DC84"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Std. Error</w:t>
            </w:r>
          </w:p>
        </w:tc>
        <w:tc>
          <w:tcPr>
            <w:tcW w:w="1422" w:type="dxa"/>
          </w:tcPr>
          <w:p w14:paraId="22C88866"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Beta</w:t>
            </w:r>
          </w:p>
        </w:tc>
        <w:tc>
          <w:tcPr>
            <w:tcW w:w="947" w:type="dxa"/>
            <w:vMerge/>
          </w:tcPr>
          <w:p w14:paraId="02257FBC"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939" w:type="dxa"/>
            <w:vMerge/>
          </w:tcPr>
          <w:p w14:paraId="73A1F821"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r>
      <w:tr w:rsidR="009968E0" w:rsidRPr="009968E0" w14:paraId="4BA542CA"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328" w:type="dxa"/>
            <w:vMerge w:val="restart"/>
          </w:tcPr>
          <w:p w14:paraId="00C042F1"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w:t>
            </w:r>
          </w:p>
        </w:tc>
        <w:tc>
          <w:tcPr>
            <w:tcW w:w="2795" w:type="dxa"/>
          </w:tcPr>
          <w:p w14:paraId="6AD4D4D7"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(Constant)</w:t>
            </w:r>
          </w:p>
        </w:tc>
        <w:tc>
          <w:tcPr>
            <w:tcW w:w="1320" w:type="dxa"/>
          </w:tcPr>
          <w:p w14:paraId="01F62C47"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.054</w:t>
            </w:r>
          </w:p>
        </w:tc>
        <w:tc>
          <w:tcPr>
            <w:tcW w:w="1313" w:type="dxa"/>
          </w:tcPr>
          <w:p w14:paraId="5C0D5BA9"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.122</w:t>
            </w:r>
          </w:p>
        </w:tc>
        <w:tc>
          <w:tcPr>
            <w:tcW w:w="1422" w:type="dxa"/>
          </w:tcPr>
          <w:p w14:paraId="07824143"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w:t>
            </w:r>
          </w:p>
        </w:tc>
        <w:tc>
          <w:tcPr>
            <w:tcW w:w="947" w:type="dxa"/>
          </w:tcPr>
          <w:p w14:paraId="2B0E49CF"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.445</w:t>
            </w:r>
          </w:p>
        </w:tc>
        <w:tc>
          <w:tcPr>
            <w:tcW w:w="939" w:type="dxa"/>
          </w:tcPr>
          <w:p w14:paraId="5E3252F4"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.658</w:t>
            </w:r>
          </w:p>
        </w:tc>
      </w:tr>
      <w:tr w:rsidR="009968E0" w:rsidRPr="009968E0" w14:paraId="364B012A" w14:textId="77777777" w:rsidTr="009968E0">
        <w:trPr>
          <w:trHeight w:val="360"/>
        </w:trPr>
        <w:tc>
          <w:tcPr>
            <w:tcW w:w="328" w:type="dxa"/>
            <w:vMerge/>
          </w:tcPr>
          <w:p w14:paraId="1E002BA8"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2795" w:type="dxa"/>
          </w:tcPr>
          <w:p w14:paraId="07979192" w14:textId="77777777" w:rsidR="009968E0" w:rsidRPr="009968E0" w:rsidRDefault="009968E0" w:rsidP="009968E0">
            <w:pPr>
              <w:rPr>
                <w:rFonts w:ascii="Calibri" w:eastAsia="Times New Roman" w:hAnsi="Calibri" w:cs="Calibri"/>
                <w:i/>
                <w:color w:val="000000"/>
                <w:sz w:val="22"/>
                <w:szCs w:val="22"/>
                <w:lang w:eastAsia="en-GB"/>
              </w:rPr>
            </w:pPr>
            <w:proofErr w:type="spellStart"/>
            <w:r w:rsidRPr="009968E0">
              <w:rPr>
                <w:rFonts w:ascii="Calibri" w:eastAsia="Times New Roman" w:hAnsi="Calibri" w:cs="Calibri"/>
                <w:i/>
                <w:color w:val="000000"/>
                <w:sz w:val="22"/>
                <w:szCs w:val="22"/>
                <w:lang w:eastAsia="en-GB"/>
              </w:rPr>
              <w:t>likert_centred</w:t>
            </w:r>
            <w:proofErr w:type="spellEnd"/>
          </w:p>
        </w:tc>
        <w:tc>
          <w:tcPr>
            <w:tcW w:w="1320" w:type="dxa"/>
          </w:tcPr>
          <w:p w14:paraId="5CB830BB"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-.041</w:t>
            </w:r>
          </w:p>
        </w:tc>
        <w:tc>
          <w:tcPr>
            <w:tcW w:w="1313" w:type="dxa"/>
          </w:tcPr>
          <w:p w14:paraId="21325399"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.090</w:t>
            </w:r>
          </w:p>
        </w:tc>
        <w:tc>
          <w:tcPr>
            <w:tcW w:w="1422" w:type="dxa"/>
          </w:tcPr>
          <w:p w14:paraId="22BDCA02"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-.054</w:t>
            </w:r>
          </w:p>
        </w:tc>
        <w:tc>
          <w:tcPr>
            <w:tcW w:w="947" w:type="dxa"/>
          </w:tcPr>
          <w:p w14:paraId="65FB75C2"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-.453</w:t>
            </w:r>
          </w:p>
        </w:tc>
        <w:tc>
          <w:tcPr>
            <w:tcW w:w="939" w:type="dxa"/>
          </w:tcPr>
          <w:p w14:paraId="7AE174CE"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.652</w:t>
            </w:r>
          </w:p>
        </w:tc>
      </w:tr>
      <w:tr w:rsidR="009968E0" w:rsidRPr="009968E0" w14:paraId="681B8C6D"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328" w:type="dxa"/>
            <w:vMerge w:val="restart"/>
          </w:tcPr>
          <w:p w14:paraId="76788BAF"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w:t>
            </w:r>
          </w:p>
        </w:tc>
        <w:tc>
          <w:tcPr>
            <w:tcW w:w="2795" w:type="dxa"/>
          </w:tcPr>
          <w:p w14:paraId="0993BA34"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(Constant)</w:t>
            </w:r>
          </w:p>
        </w:tc>
        <w:tc>
          <w:tcPr>
            <w:tcW w:w="1320" w:type="dxa"/>
          </w:tcPr>
          <w:p w14:paraId="035B19A9"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.417</w:t>
            </w:r>
          </w:p>
        </w:tc>
        <w:tc>
          <w:tcPr>
            <w:tcW w:w="1313" w:type="dxa"/>
          </w:tcPr>
          <w:p w14:paraId="58F427C8"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.229</w:t>
            </w:r>
          </w:p>
        </w:tc>
        <w:tc>
          <w:tcPr>
            <w:tcW w:w="1422" w:type="dxa"/>
          </w:tcPr>
          <w:p w14:paraId="29A7171F"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w:t>
            </w:r>
          </w:p>
        </w:tc>
        <w:tc>
          <w:tcPr>
            <w:tcW w:w="947" w:type="dxa"/>
          </w:tcPr>
          <w:p w14:paraId="0A2ED695"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1.819</w:t>
            </w:r>
          </w:p>
        </w:tc>
        <w:tc>
          <w:tcPr>
            <w:tcW w:w="939" w:type="dxa"/>
          </w:tcPr>
          <w:p w14:paraId="41EACF32"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.073</w:t>
            </w:r>
          </w:p>
        </w:tc>
      </w:tr>
      <w:tr w:rsidR="009968E0" w:rsidRPr="009968E0" w14:paraId="65E41636" w14:textId="77777777" w:rsidTr="009968E0">
        <w:trPr>
          <w:trHeight w:val="360"/>
        </w:trPr>
        <w:tc>
          <w:tcPr>
            <w:tcW w:w="328" w:type="dxa"/>
            <w:vMerge/>
          </w:tcPr>
          <w:p w14:paraId="03E71495"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2795" w:type="dxa"/>
          </w:tcPr>
          <w:p w14:paraId="530D4995" w14:textId="77777777" w:rsidR="009968E0" w:rsidRPr="009968E0" w:rsidRDefault="009968E0" w:rsidP="009968E0">
            <w:pPr>
              <w:rPr>
                <w:rFonts w:ascii="Calibri" w:eastAsia="Times New Roman" w:hAnsi="Calibri" w:cs="Calibri"/>
                <w:i/>
                <w:color w:val="000000"/>
                <w:sz w:val="22"/>
                <w:szCs w:val="22"/>
                <w:lang w:eastAsia="en-GB"/>
              </w:rPr>
            </w:pPr>
            <w:proofErr w:type="spellStart"/>
            <w:r w:rsidRPr="009968E0">
              <w:rPr>
                <w:rFonts w:ascii="Calibri" w:eastAsia="Times New Roman" w:hAnsi="Calibri" w:cs="Calibri"/>
                <w:i/>
                <w:color w:val="000000"/>
                <w:sz w:val="22"/>
                <w:szCs w:val="22"/>
                <w:lang w:eastAsia="en-GB"/>
              </w:rPr>
              <w:t>likert_centred</w:t>
            </w:r>
            <w:proofErr w:type="spellEnd"/>
          </w:p>
        </w:tc>
        <w:tc>
          <w:tcPr>
            <w:tcW w:w="1320" w:type="dxa"/>
          </w:tcPr>
          <w:p w14:paraId="3FCCAE79"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.220</w:t>
            </w:r>
          </w:p>
        </w:tc>
        <w:tc>
          <w:tcPr>
            <w:tcW w:w="1313" w:type="dxa"/>
          </w:tcPr>
          <w:p w14:paraId="2A4E2D87"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.152</w:t>
            </w:r>
          </w:p>
        </w:tc>
        <w:tc>
          <w:tcPr>
            <w:tcW w:w="1422" w:type="dxa"/>
          </w:tcPr>
          <w:p w14:paraId="14355828"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.289</w:t>
            </w:r>
          </w:p>
        </w:tc>
        <w:tc>
          <w:tcPr>
            <w:tcW w:w="947" w:type="dxa"/>
          </w:tcPr>
          <w:p w14:paraId="5D83AE47"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1.447</w:t>
            </w:r>
          </w:p>
        </w:tc>
        <w:tc>
          <w:tcPr>
            <w:tcW w:w="939" w:type="dxa"/>
          </w:tcPr>
          <w:p w14:paraId="1FC1B907"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.153</w:t>
            </w:r>
          </w:p>
        </w:tc>
      </w:tr>
      <w:tr w:rsidR="009968E0" w:rsidRPr="009968E0" w14:paraId="4BA2BD02" w14:textId="77777777" w:rsidTr="009968E0">
        <w:trPr>
          <w:cnfStyle w:val="000000100000" w:firstRow="0" w:lastRow="0" w:firstColumn="0" w:lastColumn="0" w:oddVBand="0" w:evenVBand="0" w:oddHBand="1" w:evenHBand="0" w:firstRowFirstColumn="0" w:firstRowLastColumn="0" w:lastRowFirstColumn="0" w:lastRowLastColumn="0"/>
          <w:trHeight w:val="680"/>
        </w:trPr>
        <w:tc>
          <w:tcPr>
            <w:tcW w:w="328" w:type="dxa"/>
            <w:vMerge/>
          </w:tcPr>
          <w:p w14:paraId="7A34F932"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2795" w:type="dxa"/>
          </w:tcPr>
          <w:p w14:paraId="5D48DC5D" w14:textId="77777777" w:rsidR="009968E0" w:rsidRPr="009968E0" w:rsidRDefault="009968E0" w:rsidP="009968E0">
            <w:pPr>
              <w:rPr>
                <w:rFonts w:ascii="Calibri" w:eastAsia="Times New Roman" w:hAnsi="Calibri" w:cs="Calibri"/>
                <w:i/>
                <w:color w:val="000000"/>
                <w:sz w:val="22"/>
                <w:szCs w:val="22"/>
                <w:lang w:eastAsia="en-GB"/>
              </w:rPr>
            </w:pPr>
            <w:proofErr w:type="spellStart"/>
            <w:r w:rsidRPr="009968E0">
              <w:rPr>
                <w:rFonts w:ascii="Calibri" w:eastAsia="Times New Roman" w:hAnsi="Calibri" w:cs="Calibri"/>
                <w:i/>
                <w:color w:val="000000"/>
                <w:sz w:val="22"/>
                <w:szCs w:val="22"/>
                <w:lang w:eastAsia="en-GB"/>
              </w:rPr>
              <w:t>Intercept_</w:t>
            </w:r>
            <w:r w:rsidRPr="009968E0">
              <w:rPr>
                <w:rFonts w:ascii="Calibri" w:eastAsia="Arial" w:hAnsi="Calibri" w:cs="Calibri"/>
                <w:i/>
                <w:color w:val="000000"/>
                <w:sz w:val="22"/>
                <w:szCs w:val="22"/>
                <w:lang w:eastAsia="en-GB"/>
              </w:rPr>
              <w:t>P-DPN</w:t>
            </w:r>
            <w:r w:rsidRPr="009968E0">
              <w:rPr>
                <w:rFonts w:ascii="Calibri" w:eastAsia="Times New Roman" w:hAnsi="Calibri" w:cs="Calibri"/>
                <w:i/>
                <w:color w:val="000000"/>
                <w:sz w:val="22"/>
                <w:szCs w:val="22"/>
                <w:lang w:eastAsia="en-GB"/>
              </w:rPr>
              <w:t>_vs_DPN</w:t>
            </w:r>
            <w:proofErr w:type="spellEnd"/>
          </w:p>
        </w:tc>
        <w:tc>
          <w:tcPr>
            <w:tcW w:w="1320" w:type="dxa"/>
          </w:tcPr>
          <w:p w14:paraId="4F3AB686"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-.491</w:t>
            </w:r>
          </w:p>
        </w:tc>
        <w:tc>
          <w:tcPr>
            <w:tcW w:w="1313" w:type="dxa"/>
          </w:tcPr>
          <w:p w14:paraId="1A790B3F"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.305</w:t>
            </w:r>
          </w:p>
        </w:tc>
        <w:tc>
          <w:tcPr>
            <w:tcW w:w="1422" w:type="dxa"/>
          </w:tcPr>
          <w:p w14:paraId="30B13E30"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-.221</w:t>
            </w:r>
          </w:p>
        </w:tc>
        <w:tc>
          <w:tcPr>
            <w:tcW w:w="947" w:type="dxa"/>
          </w:tcPr>
          <w:p w14:paraId="1AAB8A29"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-1.612</w:t>
            </w:r>
          </w:p>
        </w:tc>
        <w:tc>
          <w:tcPr>
            <w:tcW w:w="939" w:type="dxa"/>
          </w:tcPr>
          <w:p w14:paraId="41E00EC0"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.112</w:t>
            </w:r>
          </w:p>
        </w:tc>
      </w:tr>
      <w:tr w:rsidR="009968E0" w:rsidRPr="009968E0" w14:paraId="28EF6606" w14:textId="77777777" w:rsidTr="009968E0">
        <w:trPr>
          <w:trHeight w:val="680"/>
        </w:trPr>
        <w:tc>
          <w:tcPr>
            <w:tcW w:w="328" w:type="dxa"/>
            <w:vMerge/>
          </w:tcPr>
          <w:p w14:paraId="3D39C6B9"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2795" w:type="dxa"/>
          </w:tcPr>
          <w:p w14:paraId="6C898E9B" w14:textId="77777777" w:rsidR="009968E0" w:rsidRPr="009968E0" w:rsidRDefault="009968E0" w:rsidP="009968E0">
            <w:pPr>
              <w:rPr>
                <w:rFonts w:ascii="Calibri" w:eastAsia="Times New Roman" w:hAnsi="Calibri" w:cs="Calibri"/>
                <w:i/>
                <w:color w:val="000000"/>
                <w:sz w:val="22"/>
                <w:szCs w:val="22"/>
                <w:lang w:eastAsia="en-GB"/>
              </w:rPr>
            </w:pPr>
            <w:proofErr w:type="spellStart"/>
            <w:r w:rsidRPr="009968E0">
              <w:rPr>
                <w:rFonts w:ascii="Calibri" w:eastAsia="Times New Roman" w:hAnsi="Calibri" w:cs="Calibri"/>
                <w:i/>
                <w:color w:val="000000"/>
                <w:sz w:val="22"/>
                <w:szCs w:val="22"/>
                <w:lang w:eastAsia="en-GB"/>
              </w:rPr>
              <w:t>Intercept_</w:t>
            </w:r>
            <w:r w:rsidRPr="009968E0">
              <w:rPr>
                <w:rFonts w:ascii="Calibri" w:eastAsia="Arial" w:hAnsi="Calibri" w:cs="Calibri"/>
                <w:i/>
                <w:color w:val="000000"/>
                <w:sz w:val="22"/>
                <w:szCs w:val="22"/>
                <w:lang w:eastAsia="en-GB"/>
              </w:rPr>
              <w:t>P-DPN</w:t>
            </w:r>
            <w:r w:rsidRPr="009968E0">
              <w:rPr>
                <w:rFonts w:ascii="Calibri" w:eastAsia="Times New Roman" w:hAnsi="Calibri" w:cs="Calibri"/>
                <w:i/>
                <w:color w:val="000000"/>
                <w:sz w:val="22"/>
                <w:szCs w:val="22"/>
                <w:lang w:eastAsia="en-GB"/>
              </w:rPr>
              <w:t>_vs_DM_NN</w:t>
            </w:r>
            <w:proofErr w:type="spellEnd"/>
          </w:p>
        </w:tc>
        <w:tc>
          <w:tcPr>
            <w:tcW w:w="1320" w:type="dxa"/>
          </w:tcPr>
          <w:p w14:paraId="7430C39F"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-.253</w:t>
            </w:r>
          </w:p>
        </w:tc>
        <w:tc>
          <w:tcPr>
            <w:tcW w:w="1313" w:type="dxa"/>
          </w:tcPr>
          <w:p w14:paraId="0DCD9996"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.371</w:t>
            </w:r>
          </w:p>
        </w:tc>
        <w:tc>
          <w:tcPr>
            <w:tcW w:w="1422" w:type="dxa"/>
          </w:tcPr>
          <w:p w14:paraId="2389B57C"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-.094</w:t>
            </w:r>
          </w:p>
        </w:tc>
        <w:tc>
          <w:tcPr>
            <w:tcW w:w="947" w:type="dxa"/>
          </w:tcPr>
          <w:p w14:paraId="75040D0B"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-.682</w:t>
            </w:r>
          </w:p>
        </w:tc>
        <w:tc>
          <w:tcPr>
            <w:tcW w:w="939" w:type="dxa"/>
          </w:tcPr>
          <w:p w14:paraId="37754546"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.498</w:t>
            </w:r>
          </w:p>
        </w:tc>
      </w:tr>
      <w:tr w:rsidR="009968E0" w:rsidRPr="009968E0" w14:paraId="697F0FBC" w14:textId="77777777" w:rsidTr="009968E0">
        <w:trPr>
          <w:cnfStyle w:val="000000100000" w:firstRow="0" w:lastRow="0" w:firstColumn="0" w:lastColumn="0" w:oddVBand="0" w:evenVBand="0" w:oddHBand="1" w:evenHBand="0" w:firstRowFirstColumn="0" w:firstRowLastColumn="0" w:lastRowFirstColumn="0" w:lastRowLastColumn="0"/>
          <w:trHeight w:val="680"/>
        </w:trPr>
        <w:tc>
          <w:tcPr>
            <w:tcW w:w="328" w:type="dxa"/>
            <w:vMerge/>
          </w:tcPr>
          <w:p w14:paraId="0329B49F"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2795" w:type="dxa"/>
          </w:tcPr>
          <w:p w14:paraId="7202F354" w14:textId="77777777" w:rsidR="009968E0" w:rsidRPr="009968E0" w:rsidRDefault="009968E0" w:rsidP="009968E0">
            <w:pPr>
              <w:rPr>
                <w:rFonts w:ascii="Calibri" w:eastAsia="Times New Roman" w:hAnsi="Calibri" w:cs="Calibri"/>
                <w:i/>
                <w:color w:val="000000"/>
                <w:sz w:val="22"/>
                <w:szCs w:val="22"/>
                <w:lang w:eastAsia="en-GB"/>
              </w:rPr>
            </w:pPr>
            <w:proofErr w:type="spellStart"/>
            <w:r w:rsidRPr="009968E0">
              <w:rPr>
                <w:rFonts w:ascii="Calibri" w:eastAsia="Times New Roman" w:hAnsi="Calibri" w:cs="Calibri"/>
                <w:i/>
                <w:color w:val="000000"/>
                <w:sz w:val="22"/>
                <w:szCs w:val="22"/>
                <w:lang w:eastAsia="en-GB"/>
              </w:rPr>
              <w:t>Intercept_</w:t>
            </w:r>
            <w:r w:rsidRPr="009968E0">
              <w:rPr>
                <w:rFonts w:ascii="Calibri" w:eastAsia="Arial" w:hAnsi="Calibri" w:cs="Calibri"/>
                <w:i/>
                <w:color w:val="000000"/>
                <w:sz w:val="22"/>
                <w:szCs w:val="22"/>
                <w:lang w:eastAsia="en-GB"/>
              </w:rPr>
              <w:t>P-DPN</w:t>
            </w:r>
            <w:r w:rsidRPr="009968E0">
              <w:rPr>
                <w:rFonts w:ascii="Calibri" w:eastAsia="Times New Roman" w:hAnsi="Calibri" w:cs="Calibri"/>
                <w:i/>
                <w:color w:val="000000"/>
                <w:sz w:val="22"/>
                <w:szCs w:val="22"/>
                <w:lang w:eastAsia="en-GB"/>
              </w:rPr>
              <w:t>_vs_HV</w:t>
            </w:r>
            <w:proofErr w:type="spellEnd"/>
          </w:p>
        </w:tc>
        <w:tc>
          <w:tcPr>
            <w:tcW w:w="1320" w:type="dxa"/>
          </w:tcPr>
          <w:p w14:paraId="763DC6DD"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-.827</w:t>
            </w:r>
          </w:p>
        </w:tc>
        <w:tc>
          <w:tcPr>
            <w:tcW w:w="1313" w:type="dxa"/>
          </w:tcPr>
          <w:p w14:paraId="3B030C0A"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.322</w:t>
            </w:r>
          </w:p>
        </w:tc>
        <w:tc>
          <w:tcPr>
            <w:tcW w:w="1422" w:type="dxa"/>
          </w:tcPr>
          <w:p w14:paraId="7EF1A9EE"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-.352</w:t>
            </w:r>
          </w:p>
        </w:tc>
        <w:tc>
          <w:tcPr>
            <w:tcW w:w="947" w:type="dxa"/>
          </w:tcPr>
          <w:p w14:paraId="1811088C"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-2.569</w:t>
            </w:r>
          </w:p>
        </w:tc>
        <w:tc>
          <w:tcPr>
            <w:tcW w:w="939" w:type="dxa"/>
          </w:tcPr>
          <w:p w14:paraId="6081AAB7"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.012</w:t>
            </w:r>
          </w:p>
        </w:tc>
      </w:tr>
      <w:tr w:rsidR="009968E0" w:rsidRPr="009968E0" w14:paraId="34630E0E" w14:textId="77777777" w:rsidTr="009968E0">
        <w:trPr>
          <w:trHeight w:val="680"/>
        </w:trPr>
        <w:tc>
          <w:tcPr>
            <w:tcW w:w="328" w:type="dxa"/>
            <w:vMerge/>
          </w:tcPr>
          <w:p w14:paraId="4A8B96A8"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2795" w:type="dxa"/>
          </w:tcPr>
          <w:p w14:paraId="681F926E" w14:textId="77777777" w:rsidR="009968E0" w:rsidRPr="009968E0" w:rsidRDefault="009968E0" w:rsidP="009968E0">
            <w:pPr>
              <w:rPr>
                <w:rFonts w:ascii="Calibri" w:eastAsia="Times New Roman" w:hAnsi="Calibri" w:cs="Calibri"/>
                <w:i/>
                <w:color w:val="000000"/>
                <w:sz w:val="22"/>
                <w:szCs w:val="22"/>
                <w:lang w:eastAsia="en-GB"/>
              </w:rPr>
            </w:pPr>
            <w:proofErr w:type="spellStart"/>
            <w:r w:rsidRPr="009968E0">
              <w:rPr>
                <w:rFonts w:ascii="Calibri" w:eastAsia="Times New Roman" w:hAnsi="Calibri" w:cs="Calibri"/>
                <w:i/>
                <w:color w:val="000000"/>
                <w:sz w:val="22"/>
                <w:szCs w:val="22"/>
                <w:lang w:eastAsia="en-GB"/>
              </w:rPr>
              <w:t>Slope_</w:t>
            </w:r>
            <w:r w:rsidRPr="009968E0">
              <w:rPr>
                <w:rFonts w:ascii="Calibri" w:eastAsia="Arial" w:hAnsi="Calibri" w:cs="Calibri"/>
                <w:i/>
                <w:color w:val="000000"/>
                <w:sz w:val="22"/>
                <w:szCs w:val="22"/>
                <w:lang w:eastAsia="en-GB"/>
              </w:rPr>
              <w:t>P-DPN</w:t>
            </w:r>
            <w:r w:rsidRPr="009968E0">
              <w:rPr>
                <w:rFonts w:ascii="Calibri" w:eastAsia="Times New Roman" w:hAnsi="Calibri" w:cs="Calibri"/>
                <w:i/>
                <w:color w:val="000000"/>
                <w:sz w:val="22"/>
                <w:szCs w:val="22"/>
                <w:lang w:eastAsia="en-GB"/>
              </w:rPr>
              <w:t>_vs_DPN</w:t>
            </w:r>
            <w:proofErr w:type="spellEnd"/>
          </w:p>
        </w:tc>
        <w:tc>
          <w:tcPr>
            <w:tcW w:w="1320" w:type="dxa"/>
          </w:tcPr>
          <w:p w14:paraId="1E417947"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-.234</w:t>
            </w:r>
          </w:p>
        </w:tc>
        <w:tc>
          <w:tcPr>
            <w:tcW w:w="1313" w:type="dxa"/>
          </w:tcPr>
          <w:p w14:paraId="50D6612C"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.201</w:t>
            </w:r>
          </w:p>
        </w:tc>
        <w:tc>
          <w:tcPr>
            <w:tcW w:w="1422" w:type="dxa"/>
          </w:tcPr>
          <w:p w14:paraId="4B5AC0A8"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-.193</w:t>
            </w:r>
          </w:p>
        </w:tc>
        <w:tc>
          <w:tcPr>
            <w:tcW w:w="947" w:type="dxa"/>
          </w:tcPr>
          <w:p w14:paraId="739DC78B"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-1.159</w:t>
            </w:r>
          </w:p>
        </w:tc>
        <w:tc>
          <w:tcPr>
            <w:tcW w:w="939" w:type="dxa"/>
          </w:tcPr>
          <w:p w14:paraId="06FD0986"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.251</w:t>
            </w:r>
          </w:p>
        </w:tc>
      </w:tr>
      <w:tr w:rsidR="009968E0" w:rsidRPr="009968E0" w14:paraId="02B29029" w14:textId="77777777" w:rsidTr="009968E0">
        <w:trPr>
          <w:cnfStyle w:val="000000100000" w:firstRow="0" w:lastRow="0" w:firstColumn="0" w:lastColumn="0" w:oddVBand="0" w:evenVBand="0" w:oddHBand="1" w:evenHBand="0" w:firstRowFirstColumn="0" w:firstRowLastColumn="0" w:lastRowFirstColumn="0" w:lastRowLastColumn="0"/>
          <w:trHeight w:val="680"/>
        </w:trPr>
        <w:tc>
          <w:tcPr>
            <w:tcW w:w="328" w:type="dxa"/>
            <w:vMerge/>
          </w:tcPr>
          <w:p w14:paraId="571F07A6"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2795" w:type="dxa"/>
          </w:tcPr>
          <w:p w14:paraId="5C755FF7" w14:textId="77777777" w:rsidR="009968E0" w:rsidRPr="009968E0" w:rsidRDefault="009968E0" w:rsidP="009968E0">
            <w:pPr>
              <w:rPr>
                <w:rFonts w:ascii="Calibri" w:eastAsia="Times New Roman" w:hAnsi="Calibri" w:cs="Calibri"/>
                <w:i/>
                <w:color w:val="000000"/>
                <w:sz w:val="22"/>
                <w:szCs w:val="22"/>
                <w:lang w:eastAsia="en-GB"/>
              </w:rPr>
            </w:pPr>
            <w:proofErr w:type="spellStart"/>
            <w:r w:rsidRPr="009968E0">
              <w:rPr>
                <w:rFonts w:ascii="Calibri" w:eastAsia="Times New Roman" w:hAnsi="Calibri" w:cs="Calibri"/>
                <w:i/>
                <w:color w:val="000000"/>
                <w:sz w:val="22"/>
                <w:szCs w:val="22"/>
                <w:lang w:eastAsia="en-GB"/>
              </w:rPr>
              <w:t>Slope_</w:t>
            </w:r>
            <w:r w:rsidRPr="009968E0">
              <w:rPr>
                <w:rFonts w:ascii="Calibri" w:eastAsia="Arial" w:hAnsi="Calibri" w:cs="Calibri"/>
                <w:i/>
                <w:color w:val="000000"/>
                <w:sz w:val="22"/>
                <w:szCs w:val="22"/>
                <w:lang w:eastAsia="en-GB"/>
              </w:rPr>
              <w:t>P-DPN</w:t>
            </w:r>
            <w:r w:rsidRPr="009968E0">
              <w:rPr>
                <w:rFonts w:ascii="Calibri" w:eastAsia="Times New Roman" w:hAnsi="Calibri" w:cs="Calibri"/>
                <w:i/>
                <w:color w:val="000000"/>
                <w:sz w:val="22"/>
                <w:szCs w:val="22"/>
                <w:lang w:eastAsia="en-GB"/>
              </w:rPr>
              <w:t>_vs_DM_NN</w:t>
            </w:r>
            <w:proofErr w:type="spellEnd"/>
          </w:p>
        </w:tc>
        <w:tc>
          <w:tcPr>
            <w:tcW w:w="1320" w:type="dxa"/>
          </w:tcPr>
          <w:p w14:paraId="1DEF7FD1"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-.285</w:t>
            </w:r>
          </w:p>
        </w:tc>
        <w:tc>
          <w:tcPr>
            <w:tcW w:w="1313" w:type="dxa"/>
          </w:tcPr>
          <w:p w14:paraId="08073CC9"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.340</w:t>
            </w:r>
          </w:p>
        </w:tc>
        <w:tc>
          <w:tcPr>
            <w:tcW w:w="1422" w:type="dxa"/>
          </w:tcPr>
          <w:p w14:paraId="18B3A5EA"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-.110</w:t>
            </w:r>
          </w:p>
        </w:tc>
        <w:tc>
          <w:tcPr>
            <w:tcW w:w="947" w:type="dxa"/>
          </w:tcPr>
          <w:p w14:paraId="3EF0D301"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-.838</w:t>
            </w:r>
          </w:p>
        </w:tc>
        <w:tc>
          <w:tcPr>
            <w:tcW w:w="939" w:type="dxa"/>
          </w:tcPr>
          <w:p w14:paraId="37DBB4C4"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.405</w:t>
            </w:r>
          </w:p>
        </w:tc>
      </w:tr>
      <w:tr w:rsidR="009968E0" w:rsidRPr="009968E0" w14:paraId="25321149" w14:textId="77777777" w:rsidTr="009968E0">
        <w:trPr>
          <w:trHeight w:val="680"/>
        </w:trPr>
        <w:tc>
          <w:tcPr>
            <w:tcW w:w="328" w:type="dxa"/>
            <w:vMerge/>
          </w:tcPr>
          <w:p w14:paraId="175116EA"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2795" w:type="dxa"/>
          </w:tcPr>
          <w:p w14:paraId="1CE8D452" w14:textId="77777777" w:rsidR="009968E0" w:rsidRPr="009968E0" w:rsidRDefault="009968E0" w:rsidP="009968E0">
            <w:pPr>
              <w:rPr>
                <w:rFonts w:ascii="Calibri" w:eastAsia="Times New Roman" w:hAnsi="Calibri" w:cs="Calibri"/>
                <w:i/>
                <w:color w:val="000000"/>
                <w:sz w:val="22"/>
                <w:szCs w:val="22"/>
                <w:lang w:eastAsia="en-GB"/>
              </w:rPr>
            </w:pPr>
            <w:proofErr w:type="spellStart"/>
            <w:r w:rsidRPr="009968E0">
              <w:rPr>
                <w:rFonts w:ascii="Calibri" w:eastAsia="Times New Roman" w:hAnsi="Calibri" w:cs="Calibri"/>
                <w:i/>
                <w:color w:val="000000"/>
                <w:sz w:val="22"/>
                <w:szCs w:val="22"/>
                <w:lang w:eastAsia="en-GB"/>
              </w:rPr>
              <w:t>Slope_</w:t>
            </w:r>
            <w:r w:rsidRPr="009968E0">
              <w:rPr>
                <w:rFonts w:ascii="Calibri" w:eastAsia="Arial" w:hAnsi="Calibri" w:cs="Calibri"/>
                <w:i/>
                <w:color w:val="000000"/>
                <w:sz w:val="22"/>
                <w:szCs w:val="22"/>
                <w:lang w:eastAsia="en-GB"/>
              </w:rPr>
              <w:t>P-DPN</w:t>
            </w:r>
            <w:r w:rsidRPr="009968E0">
              <w:rPr>
                <w:rFonts w:ascii="Calibri" w:eastAsia="Times New Roman" w:hAnsi="Calibri" w:cs="Calibri"/>
                <w:i/>
                <w:color w:val="000000"/>
                <w:sz w:val="22"/>
                <w:szCs w:val="22"/>
                <w:lang w:eastAsia="en-GB"/>
              </w:rPr>
              <w:t>_vs_HV</w:t>
            </w:r>
            <w:proofErr w:type="spellEnd"/>
          </w:p>
        </w:tc>
        <w:tc>
          <w:tcPr>
            <w:tcW w:w="1320" w:type="dxa"/>
          </w:tcPr>
          <w:p w14:paraId="2B2618F2"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-.832</w:t>
            </w:r>
          </w:p>
        </w:tc>
        <w:tc>
          <w:tcPr>
            <w:tcW w:w="1313" w:type="dxa"/>
          </w:tcPr>
          <w:p w14:paraId="6F97B681"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.239</w:t>
            </w:r>
          </w:p>
        </w:tc>
        <w:tc>
          <w:tcPr>
            <w:tcW w:w="1422" w:type="dxa"/>
          </w:tcPr>
          <w:p w14:paraId="2A4174B7"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-.500</w:t>
            </w:r>
          </w:p>
        </w:tc>
        <w:tc>
          <w:tcPr>
            <w:tcW w:w="947" w:type="dxa"/>
          </w:tcPr>
          <w:p w14:paraId="2C276214"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-3.474</w:t>
            </w:r>
          </w:p>
        </w:tc>
        <w:tc>
          <w:tcPr>
            <w:tcW w:w="939" w:type="dxa"/>
          </w:tcPr>
          <w:p w14:paraId="7DEA6BAF"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.001</w:t>
            </w:r>
          </w:p>
        </w:tc>
      </w:tr>
      <w:tr w:rsidR="009968E0" w:rsidRPr="009968E0" w14:paraId="17FF451B" w14:textId="77777777" w:rsidTr="009968E0">
        <w:trPr>
          <w:cnfStyle w:val="000000100000" w:firstRow="0" w:lastRow="0" w:firstColumn="0" w:lastColumn="0" w:oddVBand="0" w:evenVBand="0" w:oddHBand="1" w:evenHBand="0" w:firstRowFirstColumn="0" w:firstRowLastColumn="0" w:lastRowFirstColumn="0" w:lastRowLastColumn="0"/>
          <w:trHeight w:val="380"/>
        </w:trPr>
        <w:tc>
          <w:tcPr>
            <w:tcW w:w="9064" w:type="dxa"/>
            <w:gridSpan w:val="7"/>
          </w:tcPr>
          <w:p w14:paraId="0CCDE8FA" w14:textId="15F2B81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xml:space="preserve">a. Dependent Variable: </w:t>
            </w:r>
            <w:r w:rsidR="0068219A">
              <w:rPr>
                <w:rFonts w:ascii="Calibri" w:eastAsia="Times New Roman" w:hAnsi="Calibri" w:cs="Calibri"/>
                <w:i/>
                <w:color w:val="000000"/>
                <w:sz w:val="22"/>
                <w:szCs w:val="22"/>
                <w:lang w:eastAsia="en-GB"/>
              </w:rPr>
              <w:t>Δ</w:t>
            </w:r>
            <w:r w:rsidRPr="009968E0">
              <w:rPr>
                <w:rFonts w:ascii="Calibri" w:eastAsia="Times New Roman" w:hAnsi="Calibri" w:cs="Calibri"/>
                <w:i/>
                <w:color w:val="000000"/>
                <w:sz w:val="22"/>
                <w:szCs w:val="22"/>
                <w:lang w:eastAsia="en-GB"/>
              </w:rPr>
              <w:t>_TTP_</w:t>
            </w:r>
            <w:r w:rsidR="0068219A">
              <w:rPr>
                <w:rFonts w:ascii="Calibri" w:eastAsia="Times New Roman" w:hAnsi="Calibri" w:cs="Calibri"/>
                <w:i/>
                <w:color w:val="000000"/>
                <w:sz w:val="22"/>
                <w:szCs w:val="22"/>
                <w:lang w:eastAsia="en-GB"/>
              </w:rPr>
              <w:t>LINS</w:t>
            </w:r>
          </w:p>
          <w:p w14:paraId="526F6EEC" w14:textId="77777777" w:rsidR="009968E0" w:rsidRPr="009968E0" w:rsidRDefault="009968E0" w:rsidP="009968E0">
            <w:pPr>
              <w:rPr>
                <w:rFonts w:ascii="Calibri" w:eastAsia="Times New Roman" w:hAnsi="Calibri" w:cs="Calibri"/>
                <w:i/>
                <w:color w:val="000000"/>
                <w:sz w:val="22"/>
                <w:szCs w:val="22"/>
                <w:lang w:eastAsia="en-GB"/>
              </w:rPr>
            </w:pPr>
          </w:p>
        </w:tc>
      </w:tr>
    </w:tbl>
    <w:p w14:paraId="370AC977" w14:textId="77777777" w:rsidR="009968E0" w:rsidRPr="009968E0" w:rsidRDefault="009968E0" w:rsidP="009968E0">
      <w:pPr>
        <w:spacing w:line="360" w:lineRule="auto"/>
        <w:rPr>
          <w:rFonts w:ascii="Times New Roman" w:eastAsia="Times New Roman" w:hAnsi="Times New Roman" w:cs="Arial"/>
          <w:lang w:eastAsia="en-GB"/>
        </w:rPr>
      </w:pPr>
    </w:p>
    <w:p w14:paraId="33DFBDF6" w14:textId="77777777" w:rsidR="009968E0" w:rsidRPr="009968E0" w:rsidRDefault="009968E0" w:rsidP="007D16C6">
      <w:pPr>
        <w:pStyle w:val="Quote"/>
      </w:pPr>
      <w:bookmarkStart w:id="714" w:name="_Toc48406173"/>
      <w:bookmarkStart w:id="715" w:name="_Toc49273385"/>
      <w:bookmarkStart w:id="716" w:name="_Toc64724137"/>
      <w:r w:rsidRPr="009968E0">
        <w:t>Table D.30 Delta TTP:  Linear regression of pain perception as measured by Likert scale for Left Primary Sensory Cortex reporting co-</w:t>
      </w:r>
      <w:proofErr w:type="spellStart"/>
      <w:r w:rsidRPr="009968E0">
        <w:t>efficientsa</w:t>
      </w:r>
      <w:proofErr w:type="spellEnd"/>
      <w:r w:rsidRPr="009968E0">
        <w:t>.</w:t>
      </w:r>
      <w:bookmarkEnd w:id="714"/>
      <w:bookmarkEnd w:id="715"/>
      <w:bookmarkEnd w:id="716"/>
    </w:p>
    <w:p w14:paraId="29875724" w14:textId="77777777" w:rsidR="009968E0" w:rsidRPr="009968E0" w:rsidRDefault="009968E0" w:rsidP="009968E0">
      <w:pPr>
        <w:rPr>
          <w:rFonts w:eastAsia="MS Mincho" w:cs="Times New Roman"/>
          <w:i/>
          <w:iCs/>
          <w:color w:val="1F497D"/>
        </w:rPr>
      </w:pPr>
    </w:p>
    <w:tbl>
      <w:tblPr>
        <w:tblStyle w:val="GridTable2-Accent212"/>
        <w:tblW w:w="9064" w:type="dxa"/>
        <w:tblLayout w:type="fixed"/>
        <w:tblLook w:val="0400" w:firstRow="0" w:lastRow="0" w:firstColumn="0" w:lastColumn="0" w:noHBand="0" w:noVBand="1"/>
      </w:tblPr>
      <w:tblGrid>
        <w:gridCol w:w="1387"/>
        <w:gridCol w:w="328"/>
        <w:gridCol w:w="1612"/>
        <w:gridCol w:w="1257"/>
        <w:gridCol w:w="1251"/>
        <w:gridCol w:w="1395"/>
        <w:gridCol w:w="921"/>
        <w:gridCol w:w="913"/>
      </w:tblGrid>
      <w:tr w:rsidR="009968E0" w:rsidRPr="009968E0" w14:paraId="42F0AACF" w14:textId="77777777" w:rsidTr="009968E0">
        <w:trPr>
          <w:cnfStyle w:val="000000100000" w:firstRow="0" w:lastRow="0" w:firstColumn="0" w:lastColumn="0" w:oddVBand="0" w:evenVBand="0" w:oddHBand="1" w:evenHBand="0" w:firstRowFirstColumn="0" w:firstRowLastColumn="0" w:lastRowFirstColumn="0" w:lastRowLastColumn="0"/>
          <w:trHeight w:val="680"/>
        </w:trPr>
        <w:tc>
          <w:tcPr>
            <w:tcW w:w="3327" w:type="dxa"/>
            <w:gridSpan w:val="3"/>
            <w:vMerge w:val="restart"/>
          </w:tcPr>
          <w:p w14:paraId="4826D293"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GROUP</w:t>
            </w:r>
          </w:p>
        </w:tc>
        <w:tc>
          <w:tcPr>
            <w:tcW w:w="2508" w:type="dxa"/>
            <w:gridSpan w:val="2"/>
          </w:tcPr>
          <w:p w14:paraId="14692AB8"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Unstandardized Coefficients</w:t>
            </w:r>
          </w:p>
        </w:tc>
        <w:tc>
          <w:tcPr>
            <w:tcW w:w="1395" w:type="dxa"/>
          </w:tcPr>
          <w:p w14:paraId="21989C1A"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Standardized Coefficients</w:t>
            </w:r>
          </w:p>
        </w:tc>
        <w:tc>
          <w:tcPr>
            <w:tcW w:w="921" w:type="dxa"/>
            <w:vMerge w:val="restart"/>
          </w:tcPr>
          <w:p w14:paraId="76A96151"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t</w:t>
            </w:r>
          </w:p>
        </w:tc>
        <w:tc>
          <w:tcPr>
            <w:tcW w:w="913" w:type="dxa"/>
            <w:vMerge w:val="restart"/>
          </w:tcPr>
          <w:p w14:paraId="5B075264"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Sig.</w:t>
            </w:r>
          </w:p>
        </w:tc>
      </w:tr>
      <w:tr w:rsidR="009968E0" w:rsidRPr="009968E0" w14:paraId="2292EAE8" w14:textId="77777777" w:rsidTr="009968E0">
        <w:trPr>
          <w:trHeight w:val="360"/>
        </w:trPr>
        <w:tc>
          <w:tcPr>
            <w:tcW w:w="3327" w:type="dxa"/>
            <w:gridSpan w:val="3"/>
            <w:vMerge/>
          </w:tcPr>
          <w:p w14:paraId="25D590EE"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1257" w:type="dxa"/>
          </w:tcPr>
          <w:p w14:paraId="0D25CA1D"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B</w:t>
            </w:r>
          </w:p>
        </w:tc>
        <w:tc>
          <w:tcPr>
            <w:tcW w:w="1251" w:type="dxa"/>
          </w:tcPr>
          <w:p w14:paraId="7DC7713B"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Std. Error</w:t>
            </w:r>
          </w:p>
        </w:tc>
        <w:tc>
          <w:tcPr>
            <w:tcW w:w="1395" w:type="dxa"/>
          </w:tcPr>
          <w:p w14:paraId="674FD533"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Beta</w:t>
            </w:r>
          </w:p>
        </w:tc>
        <w:tc>
          <w:tcPr>
            <w:tcW w:w="921" w:type="dxa"/>
            <w:vMerge/>
          </w:tcPr>
          <w:p w14:paraId="7CB2ED99"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913" w:type="dxa"/>
            <w:vMerge/>
          </w:tcPr>
          <w:p w14:paraId="7752123F"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r>
      <w:tr w:rsidR="009968E0" w:rsidRPr="009968E0" w14:paraId="5F93C69A"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1387" w:type="dxa"/>
            <w:vMerge w:val="restart"/>
          </w:tcPr>
          <w:p w14:paraId="794A8F09"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P-DPN</w:t>
            </w:r>
          </w:p>
        </w:tc>
        <w:tc>
          <w:tcPr>
            <w:tcW w:w="328" w:type="dxa"/>
            <w:vMerge w:val="restart"/>
          </w:tcPr>
          <w:p w14:paraId="3C5E346C"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w:t>
            </w:r>
          </w:p>
        </w:tc>
        <w:tc>
          <w:tcPr>
            <w:tcW w:w="1612" w:type="dxa"/>
          </w:tcPr>
          <w:p w14:paraId="050DD94C"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(Constant)</w:t>
            </w:r>
          </w:p>
        </w:tc>
        <w:tc>
          <w:tcPr>
            <w:tcW w:w="1257" w:type="dxa"/>
          </w:tcPr>
          <w:p w14:paraId="7F55E5B6"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-.277</w:t>
            </w:r>
          </w:p>
        </w:tc>
        <w:tc>
          <w:tcPr>
            <w:tcW w:w="1251" w:type="dxa"/>
          </w:tcPr>
          <w:p w14:paraId="1D5A84A9"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1.120</w:t>
            </w:r>
          </w:p>
        </w:tc>
        <w:tc>
          <w:tcPr>
            <w:tcW w:w="1395" w:type="dxa"/>
          </w:tcPr>
          <w:p w14:paraId="349FFF84"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w:t>
            </w:r>
          </w:p>
        </w:tc>
        <w:tc>
          <w:tcPr>
            <w:tcW w:w="921" w:type="dxa"/>
          </w:tcPr>
          <w:p w14:paraId="791A46AA"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-.247</w:t>
            </w:r>
          </w:p>
        </w:tc>
        <w:tc>
          <w:tcPr>
            <w:tcW w:w="913" w:type="dxa"/>
          </w:tcPr>
          <w:p w14:paraId="0015CE30"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.808</w:t>
            </w:r>
          </w:p>
        </w:tc>
      </w:tr>
      <w:tr w:rsidR="009968E0" w:rsidRPr="009968E0" w14:paraId="18DF132E" w14:textId="77777777" w:rsidTr="009968E0">
        <w:trPr>
          <w:trHeight w:val="360"/>
        </w:trPr>
        <w:tc>
          <w:tcPr>
            <w:tcW w:w="1387" w:type="dxa"/>
            <w:vMerge/>
          </w:tcPr>
          <w:p w14:paraId="4336E082"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328" w:type="dxa"/>
            <w:vMerge/>
          </w:tcPr>
          <w:p w14:paraId="2B4FA52F"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1612" w:type="dxa"/>
          </w:tcPr>
          <w:p w14:paraId="2980BA44" w14:textId="77777777" w:rsidR="009968E0" w:rsidRPr="009968E0" w:rsidRDefault="009968E0" w:rsidP="009968E0">
            <w:pPr>
              <w:rPr>
                <w:rFonts w:ascii="Calibri" w:eastAsia="Times New Roman" w:hAnsi="Calibri" w:cs="Calibri"/>
                <w:i/>
                <w:color w:val="000000"/>
                <w:sz w:val="22"/>
                <w:szCs w:val="22"/>
                <w:lang w:eastAsia="en-GB"/>
              </w:rPr>
            </w:pPr>
            <w:proofErr w:type="spellStart"/>
            <w:r w:rsidRPr="009968E0">
              <w:rPr>
                <w:rFonts w:ascii="Calibri" w:eastAsia="Times New Roman" w:hAnsi="Calibri" w:cs="Calibri"/>
                <w:i/>
                <w:color w:val="000000"/>
                <w:sz w:val="22"/>
                <w:szCs w:val="22"/>
                <w:lang w:eastAsia="en-GB"/>
              </w:rPr>
              <w:t>likertscale_gad</w:t>
            </w:r>
            <w:proofErr w:type="spellEnd"/>
          </w:p>
        </w:tc>
        <w:tc>
          <w:tcPr>
            <w:tcW w:w="1257" w:type="dxa"/>
          </w:tcPr>
          <w:p w14:paraId="4A769367"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.115</w:t>
            </w:r>
          </w:p>
        </w:tc>
        <w:tc>
          <w:tcPr>
            <w:tcW w:w="1251" w:type="dxa"/>
          </w:tcPr>
          <w:p w14:paraId="4201A1F2"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.150</w:t>
            </w:r>
          </w:p>
        </w:tc>
        <w:tc>
          <w:tcPr>
            <w:tcW w:w="1395" w:type="dxa"/>
          </w:tcPr>
          <w:p w14:paraId="53AE9E59"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.189</w:t>
            </w:r>
          </w:p>
        </w:tc>
        <w:tc>
          <w:tcPr>
            <w:tcW w:w="921" w:type="dxa"/>
          </w:tcPr>
          <w:p w14:paraId="6CFDA993"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.769</w:t>
            </w:r>
          </w:p>
        </w:tc>
        <w:tc>
          <w:tcPr>
            <w:tcW w:w="913" w:type="dxa"/>
          </w:tcPr>
          <w:p w14:paraId="5A5F6629"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.453</w:t>
            </w:r>
          </w:p>
        </w:tc>
      </w:tr>
      <w:tr w:rsidR="009968E0" w:rsidRPr="009968E0" w14:paraId="4D6F04EE"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1387" w:type="dxa"/>
            <w:vMerge w:val="restart"/>
          </w:tcPr>
          <w:p w14:paraId="40EF8ED9"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DPN</w:t>
            </w:r>
          </w:p>
        </w:tc>
        <w:tc>
          <w:tcPr>
            <w:tcW w:w="328" w:type="dxa"/>
            <w:vMerge w:val="restart"/>
          </w:tcPr>
          <w:p w14:paraId="4147EB15"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w:t>
            </w:r>
          </w:p>
        </w:tc>
        <w:tc>
          <w:tcPr>
            <w:tcW w:w="1612" w:type="dxa"/>
          </w:tcPr>
          <w:p w14:paraId="7F124CB5"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(Constant)</w:t>
            </w:r>
          </w:p>
        </w:tc>
        <w:tc>
          <w:tcPr>
            <w:tcW w:w="1257" w:type="dxa"/>
          </w:tcPr>
          <w:p w14:paraId="7C15B1EA"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1.824</w:t>
            </w:r>
          </w:p>
        </w:tc>
        <w:tc>
          <w:tcPr>
            <w:tcW w:w="1251" w:type="dxa"/>
          </w:tcPr>
          <w:p w14:paraId="67574914"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1.088</w:t>
            </w:r>
          </w:p>
        </w:tc>
        <w:tc>
          <w:tcPr>
            <w:tcW w:w="1395" w:type="dxa"/>
          </w:tcPr>
          <w:p w14:paraId="1A9B73D6"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w:t>
            </w:r>
          </w:p>
        </w:tc>
        <w:tc>
          <w:tcPr>
            <w:tcW w:w="921" w:type="dxa"/>
          </w:tcPr>
          <w:p w14:paraId="58B79DFA"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1.676</w:t>
            </w:r>
          </w:p>
        </w:tc>
        <w:tc>
          <w:tcPr>
            <w:tcW w:w="913" w:type="dxa"/>
          </w:tcPr>
          <w:p w14:paraId="1734535E"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.108</w:t>
            </w:r>
          </w:p>
        </w:tc>
      </w:tr>
      <w:tr w:rsidR="009968E0" w:rsidRPr="009968E0" w14:paraId="091C8A8C" w14:textId="77777777" w:rsidTr="009968E0">
        <w:trPr>
          <w:trHeight w:val="360"/>
        </w:trPr>
        <w:tc>
          <w:tcPr>
            <w:tcW w:w="1387" w:type="dxa"/>
            <w:vMerge/>
          </w:tcPr>
          <w:p w14:paraId="371CF8C0"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328" w:type="dxa"/>
            <w:vMerge/>
          </w:tcPr>
          <w:p w14:paraId="6D7FB2DE"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1612" w:type="dxa"/>
          </w:tcPr>
          <w:p w14:paraId="56FDD5AC" w14:textId="77777777" w:rsidR="009968E0" w:rsidRPr="009968E0" w:rsidRDefault="009968E0" w:rsidP="009968E0">
            <w:pPr>
              <w:rPr>
                <w:rFonts w:ascii="Calibri" w:eastAsia="Times New Roman" w:hAnsi="Calibri" w:cs="Calibri"/>
                <w:i/>
                <w:color w:val="000000"/>
                <w:sz w:val="22"/>
                <w:szCs w:val="22"/>
                <w:lang w:eastAsia="en-GB"/>
              </w:rPr>
            </w:pPr>
            <w:proofErr w:type="spellStart"/>
            <w:r w:rsidRPr="009968E0">
              <w:rPr>
                <w:rFonts w:ascii="Calibri" w:eastAsia="Times New Roman" w:hAnsi="Calibri" w:cs="Calibri"/>
                <w:i/>
                <w:color w:val="000000"/>
                <w:sz w:val="22"/>
                <w:szCs w:val="22"/>
                <w:lang w:eastAsia="en-GB"/>
              </w:rPr>
              <w:t>likertscale_gad</w:t>
            </w:r>
            <w:proofErr w:type="spellEnd"/>
          </w:p>
        </w:tc>
        <w:tc>
          <w:tcPr>
            <w:tcW w:w="1257" w:type="dxa"/>
          </w:tcPr>
          <w:p w14:paraId="62FB1E65"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-.247</w:t>
            </w:r>
          </w:p>
        </w:tc>
        <w:tc>
          <w:tcPr>
            <w:tcW w:w="1251" w:type="dxa"/>
          </w:tcPr>
          <w:p w14:paraId="56C9ECA5"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.150</w:t>
            </w:r>
          </w:p>
        </w:tc>
        <w:tc>
          <w:tcPr>
            <w:tcW w:w="1395" w:type="dxa"/>
          </w:tcPr>
          <w:p w14:paraId="1B885B9F"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-.339</w:t>
            </w:r>
          </w:p>
        </w:tc>
        <w:tc>
          <w:tcPr>
            <w:tcW w:w="921" w:type="dxa"/>
          </w:tcPr>
          <w:p w14:paraId="592FA8E5"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-1.649</w:t>
            </w:r>
          </w:p>
        </w:tc>
        <w:tc>
          <w:tcPr>
            <w:tcW w:w="913" w:type="dxa"/>
          </w:tcPr>
          <w:p w14:paraId="146F33A2"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.114</w:t>
            </w:r>
          </w:p>
        </w:tc>
      </w:tr>
      <w:tr w:rsidR="009968E0" w:rsidRPr="009968E0" w14:paraId="0D56E960"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1387" w:type="dxa"/>
            <w:vMerge w:val="restart"/>
          </w:tcPr>
          <w:p w14:paraId="26FBD548"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Arial" w:hAnsi="Calibri" w:cs="Calibri"/>
                <w:i/>
                <w:color w:val="000000"/>
                <w:sz w:val="22"/>
                <w:szCs w:val="22"/>
                <w:lang w:eastAsia="en-GB"/>
              </w:rPr>
              <w:t>DM-NN</w:t>
            </w:r>
          </w:p>
        </w:tc>
        <w:tc>
          <w:tcPr>
            <w:tcW w:w="328" w:type="dxa"/>
            <w:vMerge w:val="restart"/>
          </w:tcPr>
          <w:p w14:paraId="2631FC61"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w:t>
            </w:r>
          </w:p>
        </w:tc>
        <w:tc>
          <w:tcPr>
            <w:tcW w:w="1612" w:type="dxa"/>
          </w:tcPr>
          <w:p w14:paraId="66ABEB2E"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(Constant)</w:t>
            </w:r>
          </w:p>
        </w:tc>
        <w:tc>
          <w:tcPr>
            <w:tcW w:w="1257" w:type="dxa"/>
          </w:tcPr>
          <w:p w14:paraId="6C6A2AA9"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1.038</w:t>
            </w:r>
          </w:p>
        </w:tc>
        <w:tc>
          <w:tcPr>
            <w:tcW w:w="1251" w:type="dxa"/>
          </w:tcPr>
          <w:p w14:paraId="3FF38543"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2.386</w:t>
            </w:r>
          </w:p>
        </w:tc>
        <w:tc>
          <w:tcPr>
            <w:tcW w:w="1395" w:type="dxa"/>
          </w:tcPr>
          <w:p w14:paraId="7C4C3C85"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w:t>
            </w:r>
          </w:p>
        </w:tc>
        <w:tc>
          <w:tcPr>
            <w:tcW w:w="921" w:type="dxa"/>
          </w:tcPr>
          <w:p w14:paraId="13BAAAB6"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.435</w:t>
            </w:r>
          </w:p>
        </w:tc>
        <w:tc>
          <w:tcPr>
            <w:tcW w:w="913" w:type="dxa"/>
          </w:tcPr>
          <w:p w14:paraId="7B33CD46"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.672</w:t>
            </w:r>
          </w:p>
        </w:tc>
      </w:tr>
      <w:tr w:rsidR="009968E0" w:rsidRPr="009968E0" w14:paraId="2D437781" w14:textId="77777777" w:rsidTr="009968E0">
        <w:trPr>
          <w:trHeight w:val="360"/>
        </w:trPr>
        <w:tc>
          <w:tcPr>
            <w:tcW w:w="1387" w:type="dxa"/>
            <w:vMerge/>
          </w:tcPr>
          <w:p w14:paraId="5A43AD90"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328" w:type="dxa"/>
            <w:vMerge/>
          </w:tcPr>
          <w:p w14:paraId="71665529"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1612" w:type="dxa"/>
          </w:tcPr>
          <w:p w14:paraId="7DDDFCA7" w14:textId="77777777" w:rsidR="009968E0" w:rsidRPr="009968E0" w:rsidRDefault="009968E0" w:rsidP="009968E0">
            <w:pPr>
              <w:rPr>
                <w:rFonts w:ascii="Calibri" w:eastAsia="Times New Roman" w:hAnsi="Calibri" w:cs="Calibri"/>
                <w:i/>
                <w:color w:val="000000"/>
                <w:sz w:val="22"/>
                <w:szCs w:val="22"/>
                <w:lang w:eastAsia="en-GB"/>
              </w:rPr>
            </w:pPr>
            <w:proofErr w:type="spellStart"/>
            <w:r w:rsidRPr="009968E0">
              <w:rPr>
                <w:rFonts w:ascii="Calibri" w:eastAsia="Times New Roman" w:hAnsi="Calibri" w:cs="Calibri"/>
                <w:i/>
                <w:color w:val="000000"/>
                <w:sz w:val="22"/>
                <w:szCs w:val="22"/>
                <w:lang w:eastAsia="en-GB"/>
              </w:rPr>
              <w:t>likertscale_gad</w:t>
            </w:r>
            <w:proofErr w:type="spellEnd"/>
          </w:p>
        </w:tc>
        <w:tc>
          <w:tcPr>
            <w:tcW w:w="1257" w:type="dxa"/>
          </w:tcPr>
          <w:p w14:paraId="48328F20"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-.120</w:t>
            </w:r>
          </w:p>
        </w:tc>
        <w:tc>
          <w:tcPr>
            <w:tcW w:w="1251" w:type="dxa"/>
          </w:tcPr>
          <w:p w14:paraId="56A98D39"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.316</w:t>
            </w:r>
          </w:p>
        </w:tc>
        <w:tc>
          <w:tcPr>
            <w:tcW w:w="1395" w:type="dxa"/>
          </w:tcPr>
          <w:p w14:paraId="419BB24D"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-.114</w:t>
            </w:r>
          </w:p>
        </w:tc>
        <w:tc>
          <w:tcPr>
            <w:tcW w:w="921" w:type="dxa"/>
          </w:tcPr>
          <w:p w14:paraId="0D1411B6"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-.380</w:t>
            </w:r>
          </w:p>
        </w:tc>
        <w:tc>
          <w:tcPr>
            <w:tcW w:w="913" w:type="dxa"/>
          </w:tcPr>
          <w:p w14:paraId="55F82F82"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.711</w:t>
            </w:r>
          </w:p>
        </w:tc>
      </w:tr>
      <w:tr w:rsidR="009968E0" w:rsidRPr="009968E0" w14:paraId="772BC6E8"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1387" w:type="dxa"/>
            <w:vMerge w:val="restart"/>
          </w:tcPr>
          <w:p w14:paraId="104C4B36"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HV</w:t>
            </w:r>
          </w:p>
        </w:tc>
        <w:tc>
          <w:tcPr>
            <w:tcW w:w="328" w:type="dxa"/>
            <w:vMerge w:val="restart"/>
          </w:tcPr>
          <w:p w14:paraId="59EE04B2"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w:t>
            </w:r>
          </w:p>
        </w:tc>
        <w:tc>
          <w:tcPr>
            <w:tcW w:w="1612" w:type="dxa"/>
          </w:tcPr>
          <w:p w14:paraId="1B3715B4"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(Constant)</w:t>
            </w:r>
          </w:p>
        </w:tc>
        <w:tc>
          <w:tcPr>
            <w:tcW w:w="1257" w:type="dxa"/>
          </w:tcPr>
          <w:p w14:paraId="2B486997"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4.405</w:t>
            </w:r>
          </w:p>
        </w:tc>
        <w:tc>
          <w:tcPr>
            <w:tcW w:w="1251" w:type="dxa"/>
          </w:tcPr>
          <w:p w14:paraId="14079F79"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1.616</w:t>
            </w:r>
          </w:p>
        </w:tc>
        <w:tc>
          <w:tcPr>
            <w:tcW w:w="1395" w:type="dxa"/>
          </w:tcPr>
          <w:p w14:paraId="037DA1BA"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w:t>
            </w:r>
          </w:p>
        </w:tc>
        <w:tc>
          <w:tcPr>
            <w:tcW w:w="921" w:type="dxa"/>
          </w:tcPr>
          <w:p w14:paraId="05B21BF7"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2.727</w:t>
            </w:r>
          </w:p>
        </w:tc>
        <w:tc>
          <w:tcPr>
            <w:tcW w:w="913" w:type="dxa"/>
          </w:tcPr>
          <w:p w14:paraId="1CE77979"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.014</w:t>
            </w:r>
          </w:p>
        </w:tc>
      </w:tr>
      <w:tr w:rsidR="009968E0" w:rsidRPr="009968E0" w14:paraId="5171F732" w14:textId="77777777" w:rsidTr="009968E0">
        <w:trPr>
          <w:trHeight w:val="360"/>
        </w:trPr>
        <w:tc>
          <w:tcPr>
            <w:tcW w:w="1387" w:type="dxa"/>
            <w:vMerge/>
          </w:tcPr>
          <w:p w14:paraId="657ABC13"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328" w:type="dxa"/>
            <w:vMerge/>
          </w:tcPr>
          <w:p w14:paraId="308E003E"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color w:val="000000"/>
                <w:sz w:val="22"/>
                <w:szCs w:val="22"/>
                <w:lang w:eastAsia="en-GB"/>
              </w:rPr>
            </w:pPr>
          </w:p>
        </w:tc>
        <w:tc>
          <w:tcPr>
            <w:tcW w:w="1612" w:type="dxa"/>
          </w:tcPr>
          <w:p w14:paraId="52AC0E1C" w14:textId="77777777" w:rsidR="009968E0" w:rsidRPr="009968E0" w:rsidRDefault="009968E0" w:rsidP="009968E0">
            <w:pPr>
              <w:rPr>
                <w:rFonts w:ascii="Calibri" w:eastAsia="Times New Roman" w:hAnsi="Calibri" w:cs="Calibri"/>
                <w:i/>
                <w:color w:val="000000"/>
                <w:sz w:val="22"/>
                <w:szCs w:val="22"/>
                <w:lang w:eastAsia="en-GB"/>
              </w:rPr>
            </w:pPr>
            <w:proofErr w:type="spellStart"/>
            <w:r w:rsidRPr="009968E0">
              <w:rPr>
                <w:rFonts w:ascii="Calibri" w:eastAsia="Times New Roman" w:hAnsi="Calibri" w:cs="Calibri"/>
                <w:i/>
                <w:color w:val="000000"/>
                <w:sz w:val="22"/>
                <w:szCs w:val="22"/>
                <w:lang w:eastAsia="en-GB"/>
              </w:rPr>
              <w:t>likertscale_gad</w:t>
            </w:r>
            <w:proofErr w:type="spellEnd"/>
          </w:p>
        </w:tc>
        <w:tc>
          <w:tcPr>
            <w:tcW w:w="1257" w:type="dxa"/>
          </w:tcPr>
          <w:p w14:paraId="2DA61BDE"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-.690</w:t>
            </w:r>
          </w:p>
        </w:tc>
        <w:tc>
          <w:tcPr>
            <w:tcW w:w="1251" w:type="dxa"/>
          </w:tcPr>
          <w:p w14:paraId="5887E95D"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.233</w:t>
            </w:r>
          </w:p>
        </w:tc>
        <w:tc>
          <w:tcPr>
            <w:tcW w:w="1395" w:type="dxa"/>
          </w:tcPr>
          <w:p w14:paraId="71108D31"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-.584</w:t>
            </w:r>
          </w:p>
        </w:tc>
        <w:tc>
          <w:tcPr>
            <w:tcW w:w="921" w:type="dxa"/>
          </w:tcPr>
          <w:p w14:paraId="23058D09"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-2.966</w:t>
            </w:r>
          </w:p>
        </w:tc>
        <w:tc>
          <w:tcPr>
            <w:tcW w:w="913" w:type="dxa"/>
          </w:tcPr>
          <w:p w14:paraId="27004C0B"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.009</w:t>
            </w:r>
          </w:p>
        </w:tc>
      </w:tr>
      <w:tr w:rsidR="009968E0" w:rsidRPr="009968E0" w14:paraId="5523215D" w14:textId="77777777" w:rsidTr="009968E0">
        <w:trPr>
          <w:cnfStyle w:val="000000100000" w:firstRow="0" w:lastRow="0" w:firstColumn="0" w:lastColumn="0" w:oddVBand="0" w:evenVBand="0" w:oddHBand="1" w:evenHBand="0" w:firstRowFirstColumn="0" w:firstRowLastColumn="0" w:lastRowFirstColumn="0" w:lastRowLastColumn="0"/>
          <w:trHeight w:val="380"/>
        </w:trPr>
        <w:tc>
          <w:tcPr>
            <w:tcW w:w="9064" w:type="dxa"/>
            <w:gridSpan w:val="8"/>
          </w:tcPr>
          <w:p w14:paraId="1C2511A8" w14:textId="0D4E4AE5"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xml:space="preserve">a. Dependent Variable: </w:t>
            </w:r>
            <w:r w:rsidR="0068219A">
              <w:rPr>
                <w:rFonts w:ascii="Calibri" w:eastAsia="Times New Roman" w:hAnsi="Calibri" w:cs="Calibri"/>
                <w:i/>
                <w:color w:val="000000"/>
                <w:sz w:val="22"/>
                <w:szCs w:val="22"/>
                <w:lang w:eastAsia="en-GB"/>
              </w:rPr>
              <w:t>Δ</w:t>
            </w:r>
            <w:r w:rsidRPr="009968E0">
              <w:rPr>
                <w:rFonts w:ascii="Calibri" w:eastAsia="Times New Roman" w:hAnsi="Calibri" w:cs="Calibri"/>
                <w:i/>
                <w:color w:val="000000"/>
                <w:sz w:val="22"/>
                <w:szCs w:val="22"/>
                <w:lang w:eastAsia="en-GB"/>
              </w:rPr>
              <w:t>_TTP_</w:t>
            </w:r>
            <w:r w:rsidR="0068219A">
              <w:rPr>
                <w:rFonts w:ascii="Calibri" w:eastAsia="Times New Roman" w:hAnsi="Calibri" w:cs="Calibri"/>
                <w:i/>
                <w:color w:val="000000"/>
                <w:sz w:val="22"/>
                <w:szCs w:val="22"/>
                <w:lang w:eastAsia="en-GB"/>
              </w:rPr>
              <w:t>LPSC</w:t>
            </w:r>
          </w:p>
        </w:tc>
      </w:tr>
    </w:tbl>
    <w:p w14:paraId="3FC3C3A1" w14:textId="77777777" w:rsidR="009968E0" w:rsidRPr="009968E0" w:rsidRDefault="009968E0" w:rsidP="009968E0">
      <w:pPr>
        <w:rPr>
          <w:rFonts w:ascii="Calibri" w:eastAsia="Calibri" w:hAnsi="Calibri" w:cs="Calibri"/>
          <w:i/>
          <w:color w:val="4F81BD"/>
          <w:sz w:val="22"/>
          <w:szCs w:val="22"/>
          <w:lang w:eastAsia="en-GB"/>
        </w:rPr>
      </w:pPr>
    </w:p>
    <w:p w14:paraId="5434BEF8" w14:textId="77777777" w:rsidR="009968E0" w:rsidRPr="009968E0" w:rsidRDefault="009968E0" w:rsidP="009968E0">
      <w:pPr>
        <w:rPr>
          <w:rFonts w:ascii="Calibri" w:eastAsia="Calibri" w:hAnsi="Calibri" w:cs="Calibri"/>
          <w:i/>
          <w:color w:val="4F81BD"/>
          <w:sz w:val="22"/>
          <w:szCs w:val="22"/>
          <w:lang w:eastAsia="en-GB"/>
        </w:rPr>
      </w:pPr>
    </w:p>
    <w:p w14:paraId="068F14E0" w14:textId="77777777" w:rsidR="009968E0" w:rsidRPr="009968E0" w:rsidRDefault="009968E0" w:rsidP="007D16C6">
      <w:pPr>
        <w:pStyle w:val="Quote"/>
      </w:pPr>
      <w:bookmarkStart w:id="717" w:name="_Toc48406174"/>
      <w:bookmarkStart w:id="718" w:name="_Toc49273386"/>
      <w:bookmarkStart w:id="719" w:name="_Toc64724138"/>
      <w:r w:rsidRPr="009968E0">
        <w:t>Table D.31: ANOVA comparing regression slopes and intercepts for statistical significance for delta TTP_LPSC</w:t>
      </w:r>
      <w:bookmarkEnd w:id="717"/>
      <w:bookmarkEnd w:id="718"/>
      <w:bookmarkEnd w:id="719"/>
    </w:p>
    <w:tbl>
      <w:tblPr>
        <w:tblStyle w:val="GridTable2-Accent212"/>
        <w:tblW w:w="9064" w:type="dxa"/>
        <w:tblLayout w:type="fixed"/>
        <w:tblLook w:val="0400" w:firstRow="0" w:lastRow="0" w:firstColumn="0" w:lastColumn="0" w:noHBand="0" w:noVBand="1"/>
      </w:tblPr>
      <w:tblGrid>
        <w:gridCol w:w="3082"/>
        <w:gridCol w:w="1463"/>
        <w:gridCol w:w="1914"/>
        <w:gridCol w:w="1534"/>
        <w:gridCol w:w="1071"/>
      </w:tblGrid>
      <w:tr w:rsidR="009968E0" w:rsidRPr="009968E0" w14:paraId="56E0A715" w14:textId="77777777" w:rsidTr="009968E0">
        <w:trPr>
          <w:cnfStyle w:val="000000100000" w:firstRow="0" w:lastRow="0" w:firstColumn="0" w:lastColumn="0" w:oddVBand="0" w:evenVBand="0" w:oddHBand="1" w:evenHBand="0" w:firstRowFirstColumn="0" w:firstRowLastColumn="0" w:lastRowFirstColumn="0" w:lastRowLastColumn="0"/>
          <w:trHeight w:val="680"/>
        </w:trPr>
        <w:tc>
          <w:tcPr>
            <w:tcW w:w="3082" w:type="dxa"/>
          </w:tcPr>
          <w:p w14:paraId="3A20949D" w14:textId="77777777" w:rsidR="009968E0" w:rsidRPr="009968E0" w:rsidRDefault="009968E0" w:rsidP="009968E0">
            <w:pP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Model</w:t>
            </w:r>
          </w:p>
        </w:tc>
        <w:tc>
          <w:tcPr>
            <w:tcW w:w="1463" w:type="dxa"/>
          </w:tcPr>
          <w:p w14:paraId="0EF23091"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df</w:t>
            </w:r>
          </w:p>
        </w:tc>
        <w:tc>
          <w:tcPr>
            <w:tcW w:w="1914" w:type="dxa"/>
          </w:tcPr>
          <w:p w14:paraId="7C3DE2DE"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F</w:t>
            </w:r>
          </w:p>
        </w:tc>
        <w:tc>
          <w:tcPr>
            <w:tcW w:w="1534" w:type="dxa"/>
          </w:tcPr>
          <w:p w14:paraId="6D3567B1"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Sig.</w:t>
            </w:r>
          </w:p>
        </w:tc>
        <w:tc>
          <w:tcPr>
            <w:tcW w:w="1071" w:type="dxa"/>
          </w:tcPr>
          <w:p w14:paraId="34D7D3AF" w14:textId="77777777" w:rsidR="009968E0" w:rsidRPr="009968E0" w:rsidRDefault="009968E0" w:rsidP="009968E0">
            <w:pPr>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R Square Change</w:t>
            </w:r>
          </w:p>
        </w:tc>
      </w:tr>
      <w:tr w:rsidR="009968E0" w:rsidRPr="009968E0" w14:paraId="61F08887" w14:textId="77777777" w:rsidTr="009968E0">
        <w:trPr>
          <w:trHeight w:val="360"/>
        </w:trPr>
        <w:tc>
          <w:tcPr>
            <w:tcW w:w="3082" w:type="dxa"/>
          </w:tcPr>
          <w:p w14:paraId="0376A78D" w14:textId="77777777" w:rsidR="009968E0" w:rsidRPr="009968E0" w:rsidRDefault="009968E0" w:rsidP="009968E0">
            <w:pPr>
              <w:rPr>
                <w:rFonts w:ascii="Calibri" w:eastAsia="Times New Roman" w:hAnsi="Calibri" w:cs="Calibri"/>
                <w:i/>
                <w:color w:val="000000"/>
                <w:sz w:val="22"/>
                <w:szCs w:val="22"/>
                <w:lang w:eastAsia="en-GB"/>
              </w:rPr>
            </w:pPr>
            <w:proofErr w:type="spellStart"/>
            <w:r w:rsidRPr="009968E0">
              <w:rPr>
                <w:rFonts w:ascii="Calibri" w:eastAsia="Times New Roman" w:hAnsi="Calibri" w:cs="Calibri"/>
                <w:i/>
                <w:color w:val="000000"/>
                <w:sz w:val="22"/>
                <w:szCs w:val="22"/>
                <w:lang w:eastAsia="en-GB"/>
              </w:rPr>
              <w:t>likert_centred</w:t>
            </w:r>
            <w:proofErr w:type="spellEnd"/>
          </w:p>
        </w:tc>
        <w:tc>
          <w:tcPr>
            <w:tcW w:w="1463" w:type="dxa"/>
          </w:tcPr>
          <w:p w14:paraId="7A06744E"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w:t>
            </w:r>
          </w:p>
        </w:tc>
        <w:tc>
          <w:tcPr>
            <w:tcW w:w="1914" w:type="dxa"/>
          </w:tcPr>
          <w:p w14:paraId="64A8DB5B"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.458</w:t>
            </w:r>
          </w:p>
        </w:tc>
        <w:tc>
          <w:tcPr>
            <w:tcW w:w="1534" w:type="dxa"/>
          </w:tcPr>
          <w:p w14:paraId="3CF41830"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.501</w:t>
            </w:r>
            <w:r w:rsidRPr="009968E0">
              <w:rPr>
                <w:rFonts w:ascii="Calibri" w:eastAsia="Times New Roman" w:hAnsi="Calibri" w:cs="Calibri"/>
                <w:i/>
                <w:color w:val="000000"/>
                <w:sz w:val="22"/>
                <w:szCs w:val="22"/>
                <w:vertAlign w:val="superscript"/>
                <w:lang w:eastAsia="en-GB"/>
              </w:rPr>
              <w:t>a</w:t>
            </w:r>
          </w:p>
        </w:tc>
        <w:tc>
          <w:tcPr>
            <w:tcW w:w="1071" w:type="dxa"/>
          </w:tcPr>
          <w:p w14:paraId="7B50B304"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.005</w:t>
            </w:r>
          </w:p>
        </w:tc>
      </w:tr>
      <w:tr w:rsidR="009968E0" w:rsidRPr="009968E0" w14:paraId="0E6FC9D4" w14:textId="77777777" w:rsidTr="009968E0">
        <w:trPr>
          <w:cnfStyle w:val="000000100000" w:firstRow="0" w:lastRow="0" w:firstColumn="0" w:lastColumn="0" w:oddVBand="0" w:evenVBand="0" w:oddHBand="1" w:evenHBand="0" w:firstRowFirstColumn="0" w:firstRowLastColumn="0" w:lastRowFirstColumn="0" w:lastRowLastColumn="0"/>
          <w:trHeight w:val="1060"/>
        </w:trPr>
        <w:tc>
          <w:tcPr>
            <w:tcW w:w="3082" w:type="dxa"/>
          </w:tcPr>
          <w:p w14:paraId="63B2886B" w14:textId="77777777" w:rsidR="009968E0" w:rsidRPr="009968E0" w:rsidRDefault="009968E0" w:rsidP="009968E0">
            <w:pPr>
              <w:rPr>
                <w:rFonts w:ascii="Calibri" w:eastAsia="Times New Roman" w:hAnsi="Calibri" w:cs="Calibri"/>
                <w:i/>
                <w:color w:val="000000"/>
                <w:sz w:val="22"/>
                <w:szCs w:val="22"/>
                <w:lang w:eastAsia="en-GB"/>
              </w:rPr>
            </w:pPr>
            <w:proofErr w:type="spellStart"/>
            <w:r w:rsidRPr="009968E0">
              <w:rPr>
                <w:rFonts w:ascii="Calibri" w:eastAsia="Times New Roman" w:hAnsi="Calibri" w:cs="Calibri"/>
                <w:i/>
                <w:color w:val="000000"/>
                <w:sz w:val="22"/>
                <w:szCs w:val="22"/>
                <w:lang w:eastAsia="en-GB"/>
              </w:rPr>
              <w:lastRenderedPageBreak/>
              <w:t>Intercept_</w:t>
            </w:r>
            <w:r w:rsidRPr="009968E0">
              <w:rPr>
                <w:rFonts w:ascii="Calibri" w:eastAsia="Arial" w:hAnsi="Calibri" w:cs="Calibri"/>
                <w:i/>
                <w:color w:val="000000"/>
                <w:sz w:val="22"/>
                <w:szCs w:val="22"/>
                <w:lang w:eastAsia="en-GB"/>
              </w:rPr>
              <w:t>P-DPN</w:t>
            </w:r>
            <w:r w:rsidRPr="009968E0">
              <w:rPr>
                <w:rFonts w:ascii="Calibri" w:eastAsia="Times New Roman" w:hAnsi="Calibri" w:cs="Calibri"/>
                <w:i/>
                <w:color w:val="000000"/>
                <w:sz w:val="22"/>
                <w:szCs w:val="22"/>
                <w:lang w:eastAsia="en-GB"/>
              </w:rPr>
              <w:t>_vs_DPN</w:t>
            </w:r>
            <w:proofErr w:type="spellEnd"/>
            <w:r w:rsidRPr="009968E0">
              <w:rPr>
                <w:rFonts w:ascii="Calibri" w:eastAsia="Times New Roman" w:hAnsi="Calibri" w:cs="Calibri"/>
                <w:i/>
                <w:color w:val="000000"/>
                <w:sz w:val="22"/>
                <w:szCs w:val="22"/>
                <w:lang w:eastAsia="en-GB"/>
              </w:rPr>
              <w:t xml:space="preserve">, </w:t>
            </w:r>
            <w:proofErr w:type="spellStart"/>
            <w:r w:rsidRPr="009968E0">
              <w:rPr>
                <w:rFonts w:ascii="Calibri" w:eastAsia="Times New Roman" w:hAnsi="Calibri" w:cs="Calibri"/>
                <w:i/>
                <w:color w:val="000000"/>
                <w:sz w:val="22"/>
                <w:szCs w:val="22"/>
                <w:lang w:eastAsia="en-GB"/>
              </w:rPr>
              <w:t>Intercept_</w:t>
            </w:r>
            <w:r w:rsidRPr="009968E0">
              <w:rPr>
                <w:rFonts w:ascii="Calibri" w:eastAsia="Arial" w:hAnsi="Calibri" w:cs="Calibri"/>
                <w:i/>
                <w:color w:val="000000"/>
                <w:sz w:val="22"/>
                <w:szCs w:val="22"/>
                <w:lang w:eastAsia="en-GB"/>
              </w:rPr>
              <w:t>P-DPN</w:t>
            </w:r>
            <w:r w:rsidRPr="009968E0">
              <w:rPr>
                <w:rFonts w:ascii="Calibri" w:eastAsia="Times New Roman" w:hAnsi="Calibri" w:cs="Calibri"/>
                <w:i/>
                <w:color w:val="000000"/>
                <w:sz w:val="22"/>
                <w:szCs w:val="22"/>
                <w:lang w:eastAsia="en-GB"/>
              </w:rPr>
              <w:t>_vs_DM_NN</w:t>
            </w:r>
            <w:proofErr w:type="spellEnd"/>
            <w:r w:rsidRPr="009968E0">
              <w:rPr>
                <w:rFonts w:ascii="Calibri" w:eastAsia="Times New Roman" w:hAnsi="Calibri" w:cs="Calibri"/>
                <w:i/>
                <w:color w:val="000000"/>
                <w:sz w:val="22"/>
                <w:szCs w:val="22"/>
                <w:lang w:eastAsia="en-GB"/>
              </w:rPr>
              <w:t xml:space="preserve">, </w:t>
            </w:r>
            <w:proofErr w:type="spellStart"/>
            <w:r w:rsidRPr="009968E0">
              <w:rPr>
                <w:rFonts w:ascii="Calibri" w:eastAsia="Times New Roman" w:hAnsi="Calibri" w:cs="Calibri"/>
                <w:i/>
                <w:color w:val="000000"/>
                <w:sz w:val="22"/>
                <w:szCs w:val="22"/>
                <w:lang w:eastAsia="en-GB"/>
              </w:rPr>
              <w:t>Intercept_</w:t>
            </w:r>
            <w:r w:rsidRPr="009968E0">
              <w:rPr>
                <w:rFonts w:ascii="Calibri" w:eastAsia="Arial" w:hAnsi="Calibri" w:cs="Calibri"/>
                <w:i/>
                <w:color w:val="000000"/>
                <w:sz w:val="22"/>
                <w:szCs w:val="22"/>
                <w:lang w:eastAsia="en-GB"/>
              </w:rPr>
              <w:t>P-DPN</w:t>
            </w:r>
            <w:r w:rsidRPr="009968E0">
              <w:rPr>
                <w:rFonts w:ascii="Calibri" w:eastAsia="Times New Roman" w:hAnsi="Calibri" w:cs="Calibri"/>
                <w:i/>
                <w:color w:val="000000"/>
                <w:sz w:val="22"/>
                <w:szCs w:val="22"/>
                <w:lang w:eastAsia="en-GB"/>
              </w:rPr>
              <w:t>_vs_HV</w:t>
            </w:r>
            <w:proofErr w:type="spellEnd"/>
          </w:p>
        </w:tc>
        <w:tc>
          <w:tcPr>
            <w:tcW w:w="1463" w:type="dxa"/>
          </w:tcPr>
          <w:p w14:paraId="532867DB"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w:t>
            </w:r>
          </w:p>
        </w:tc>
        <w:tc>
          <w:tcPr>
            <w:tcW w:w="1914" w:type="dxa"/>
          </w:tcPr>
          <w:p w14:paraId="5025277B"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2.857</w:t>
            </w:r>
          </w:p>
        </w:tc>
        <w:tc>
          <w:tcPr>
            <w:tcW w:w="1534" w:type="dxa"/>
          </w:tcPr>
          <w:p w14:paraId="3C687B3E"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.044</w:t>
            </w:r>
            <w:r w:rsidRPr="009968E0">
              <w:rPr>
                <w:rFonts w:ascii="Calibri" w:eastAsia="Times New Roman" w:hAnsi="Calibri" w:cs="Calibri"/>
                <w:i/>
                <w:color w:val="000000"/>
                <w:sz w:val="22"/>
                <w:szCs w:val="22"/>
                <w:vertAlign w:val="superscript"/>
                <w:lang w:eastAsia="en-GB"/>
              </w:rPr>
              <w:t>a</w:t>
            </w:r>
          </w:p>
        </w:tc>
        <w:tc>
          <w:tcPr>
            <w:tcW w:w="1071" w:type="dxa"/>
          </w:tcPr>
          <w:p w14:paraId="0F4CC009"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.100</w:t>
            </w:r>
          </w:p>
        </w:tc>
      </w:tr>
      <w:tr w:rsidR="009968E0" w:rsidRPr="009968E0" w14:paraId="44C39148" w14:textId="77777777" w:rsidTr="009968E0">
        <w:trPr>
          <w:trHeight w:val="1240"/>
        </w:trPr>
        <w:tc>
          <w:tcPr>
            <w:tcW w:w="3082" w:type="dxa"/>
          </w:tcPr>
          <w:p w14:paraId="719E7219" w14:textId="77777777" w:rsidR="009968E0" w:rsidRPr="009968E0" w:rsidRDefault="009968E0" w:rsidP="009968E0">
            <w:pPr>
              <w:rPr>
                <w:rFonts w:ascii="Calibri" w:eastAsia="Times New Roman" w:hAnsi="Calibri" w:cs="Calibri"/>
                <w:i/>
                <w:color w:val="000000"/>
                <w:sz w:val="22"/>
                <w:szCs w:val="22"/>
                <w:lang w:eastAsia="en-GB"/>
              </w:rPr>
            </w:pPr>
            <w:proofErr w:type="spellStart"/>
            <w:r w:rsidRPr="009968E0">
              <w:rPr>
                <w:rFonts w:ascii="Calibri" w:eastAsia="Times New Roman" w:hAnsi="Calibri" w:cs="Calibri"/>
                <w:i/>
                <w:color w:val="000000"/>
                <w:sz w:val="22"/>
                <w:szCs w:val="22"/>
                <w:lang w:eastAsia="en-GB"/>
              </w:rPr>
              <w:t>Slope_</w:t>
            </w:r>
            <w:r w:rsidRPr="009968E0">
              <w:rPr>
                <w:rFonts w:ascii="Calibri" w:eastAsia="Arial" w:hAnsi="Calibri" w:cs="Calibri"/>
                <w:i/>
                <w:color w:val="000000"/>
                <w:sz w:val="22"/>
                <w:szCs w:val="22"/>
                <w:lang w:eastAsia="en-GB"/>
              </w:rPr>
              <w:t>P-DPN</w:t>
            </w:r>
            <w:r w:rsidRPr="009968E0">
              <w:rPr>
                <w:rFonts w:ascii="Calibri" w:eastAsia="Times New Roman" w:hAnsi="Calibri" w:cs="Calibri"/>
                <w:i/>
                <w:color w:val="000000"/>
                <w:sz w:val="22"/>
                <w:szCs w:val="22"/>
                <w:lang w:eastAsia="en-GB"/>
              </w:rPr>
              <w:t>_vs_DPN</w:t>
            </w:r>
            <w:proofErr w:type="spellEnd"/>
            <w:r w:rsidRPr="009968E0">
              <w:rPr>
                <w:rFonts w:ascii="Calibri" w:eastAsia="Times New Roman" w:hAnsi="Calibri" w:cs="Calibri"/>
                <w:i/>
                <w:color w:val="000000"/>
                <w:sz w:val="22"/>
                <w:szCs w:val="22"/>
                <w:lang w:eastAsia="en-GB"/>
              </w:rPr>
              <w:t xml:space="preserve">, </w:t>
            </w:r>
            <w:proofErr w:type="spellStart"/>
            <w:r w:rsidRPr="009968E0">
              <w:rPr>
                <w:rFonts w:ascii="Calibri" w:eastAsia="Times New Roman" w:hAnsi="Calibri" w:cs="Calibri"/>
                <w:i/>
                <w:color w:val="000000"/>
                <w:sz w:val="22"/>
                <w:szCs w:val="22"/>
                <w:lang w:eastAsia="en-GB"/>
              </w:rPr>
              <w:t>Slope_</w:t>
            </w:r>
            <w:r w:rsidRPr="009968E0">
              <w:rPr>
                <w:rFonts w:ascii="Calibri" w:eastAsia="Arial" w:hAnsi="Calibri" w:cs="Calibri"/>
                <w:i/>
                <w:color w:val="000000"/>
                <w:sz w:val="22"/>
                <w:szCs w:val="22"/>
                <w:lang w:eastAsia="en-GB"/>
              </w:rPr>
              <w:t>P-DPN</w:t>
            </w:r>
            <w:r w:rsidRPr="009968E0">
              <w:rPr>
                <w:rFonts w:ascii="Calibri" w:eastAsia="Times New Roman" w:hAnsi="Calibri" w:cs="Calibri"/>
                <w:i/>
                <w:color w:val="000000"/>
                <w:sz w:val="22"/>
                <w:szCs w:val="22"/>
                <w:lang w:eastAsia="en-GB"/>
              </w:rPr>
              <w:t>_vs_DM_NN</w:t>
            </w:r>
            <w:proofErr w:type="spellEnd"/>
            <w:r w:rsidRPr="009968E0">
              <w:rPr>
                <w:rFonts w:ascii="Calibri" w:eastAsia="Times New Roman" w:hAnsi="Calibri" w:cs="Calibri"/>
                <w:i/>
                <w:color w:val="000000"/>
                <w:sz w:val="22"/>
                <w:szCs w:val="22"/>
                <w:lang w:eastAsia="en-GB"/>
              </w:rPr>
              <w:t xml:space="preserve">, </w:t>
            </w:r>
            <w:proofErr w:type="spellStart"/>
            <w:r w:rsidRPr="009968E0">
              <w:rPr>
                <w:rFonts w:ascii="Calibri" w:eastAsia="Times New Roman" w:hAnsi="Calibri" w:cs="Calibri"/>
                <w:i/>
                <w:color w:val="000000"/>
                <w:sz w:val="22"/>
                <w:szCs w:val="22"/>
                <w:lang w:eastAsia="en-GB"/>
              </w:rPr>
              <w:t>Slope_</w:t>
            </w:r>
            <w:r w:rsidRPr="009968E0">
              <w:rPr>
                <w:rFonts w:ascii="Calibri" w:eastAsia="Arial" w:hAnsi="Calibri" w:cs="Calibri"/>
                <w:i/>
                <w:color w:val="000000"/>
                <w:sz w:val="22"/>
                <w:szCs w:val="22"/>
                <w:lang w:eastAsia="en-GB"/>
              </w:rPr>
              <w:t>P-DPN</w:t>
            </w:r>
            <w:r w:rsidRPr="009968E0">
              <w:rPr>
                <w:rFonts w:ascii="Calibri" w:eastAsia="Times New Roman" w:hAnsi="Calibri" w:cs="Calibri"/>
                <w:i/>
                <w:color w:val="000000"/>
                <w:sz w:val="22"/>
                <w:szCs w:val="22"/>
                <w:lang w:eastAsia="en-GB"/>
              </w:rPr>
              <w:t>_vs_HV</w:t>
            </w:r>
            <w:proofErr w:type="spellEnd"/>
          </w:p>
        </w:tc>
        <w:tc>
          <w:tcPr>
            <w:tcW w:w="1463" w:type="dxa"/>
          </w:tcPr>
          <w:p w14:paraId="668C301A"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w:t>
            </w:r>
          </w:p>
        </w:tc>
        <w:tc>
          <w:tcPr>
            <w:tcW w:w="1914" w:type="dxa"/>
          </w:tcPr>
          <w:p w14:paraId="2B1E3B93"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3.057</w:t>
            </w:r>
          </w:p>
        </w:tc>
        <w:tc>
          <w:tcPr>
            <w:tcW w:w="1534" w:type="dxa"/>
          </w:tcPr>
          <w:p w14:paraId="41E03FFB"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.034</w:t>
            </w:r>
            <w:r w:rsidRPr="009968E0">
              <w:rPr>
                <w:rFonts w:ascii="Calibri" w:eastAsia="Times New Roman" w:hAnsi="Calibri" w:cs="Calibri"/>
                <w:i/>
                <w:color w:val="000000"/>
                <w:sz w:val="22"/>
                <w:szCs w:val="22"/>
                <w:vertAlign w:val="superscript"/>
                <w:lang w:eastAsia="en-GB"/>
              </w:rPr>
              <w:t>a</w:t>
            </w:r>
          </w:p>
        </w:tc>
        <w:tc>
          <w:tcPr>
            <w:tcW w:w="1071" w:type="dxa"/>
          </w:tcPr>
          <w:p w14:paraId="53036842" w14:textId="77777777" w:rsidR="009968E0" w:rsidRPr="009968E0" w:rsidRDefault="009968E0" w:rsidP="009968E0">
            <w:pPr>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.107</w:t>
            </w:r>
          </w:p>
        </w:tc>
      </w:tr>
      <w:tr w:rsidR="009968E0" w:rsidRPr="009968E0" w14:paraId="625B6D5F" w14:textId="77777777" w:rsidTr="009968E0">
        <w:trPr>
          <w:cnfStyle w:val="000000100000" w:firstRow="0" w:lastRow="0" w:firstColumn="0" w:lastColumn="0" w:oddVBand="0" w:evenVBand="0" w:oddHBand="1" w:evenHBand="0" w:firstRowFirstColumn="0" w:firstRowLastColumn="0" w:lastRowFirstColumn="0" w:lastRowLastColumn="0"/>
          <w:trHeight w:val="380"/>
        </w:trPr>
        <w:tc>
          <w:tcPr>
            <w:tcW w:w="3082" w:type="dxa"/>
          </w:tcPr>
          <w:p w14:paraId="1DA940D0" w14:textId="77777777" w:rsidR="009968E0" w:rsidRPr="009968E0" w:rsidRDefault="009968E0" w:rsidP="009968E0">
            <w:pPr>
              <w:rPr>
                <w:rFonts w:ascii="Times New Roman" w:eastAsia="Times New Roman" w:hAnsi="Times New Roman" w:cs="Arial"/>
                <w:color w:val="000000"/>
                <w:sz w:val="20"/>
                <w:szCs w:val="20"/>
                <w:lang w:eastAsia="en-GB"/>
              </w:rPr>
            </w:pPr>
            <w:r w:rsidRPr="009968E0">
              <w:rPr>
                <w:rFonts w:ascii="Times New Roman" w:eastAsia="Times New Roman" w:hAnsi="Times New Roman" w:cs="Arial"/>
                <w:color w:val="000000"/>
                <w:sz w:val="20"/>
                <w:szCs w:val="20"/>
                <w:lang w:eastAsia="en-GB"/>
              </w:rPr>
              <w:t>a. Tested against the full model.</w:t>
            </w:r>
          </w:p>
        </w:tc>
        <w:tc>
          <w:tcPr>
            <w:tcW w:w="1463" w:type="dxa"/>
          </w:tcPr>
          <w:p w14:paraId="0128343F" w14:textId="77777777" w:rsidR="009968E0" w:rsidRPr="009968E0" w:rsidRDefault="009968E0" w:rsidP="009968E0">
            <w:pPr>
              <w:rPr>
                <w:rFonts w:ascii="Times New Roman" w:eastAsia="Times New Roman" w:hAnsi="Times New Roman" w:cs="Arial"/>
                <w:color w:val="000000"/>
                <w:sz w:val="20"/>
                <w:szCs w:val="20"/>
                <w:lang w:eastAsia="en-GB"/>
              </w:rPr>
            </w:pPr>
            <w:r w:rsidRPr="009968E0">
              <w:rPr>
                <w:rFonts w:ascii="Times New Roman" w:eastAsia="Times New Roman" w:hAnsi="Times New Roman" w:cs="Arial"/>
                <w:color w:val="000000"/>
                <w:sz w:val="20"/>
                <w:szCs w:val="20"/>
                <w:lang w:eastAsia="en-GB"/>
              </w:rPr>
              <w:t> </w:t>
            </w:r>
          </w:p>
        </w:tc>
        <w:tc>
          <w:tcPr>
            <w:tcW w:w="1914" w:type="dxa"/>
          </w:tcPr>
          <w:p w14:paraId="7E690FB4" w14:textId="77777777" w:rsidR="009968E0" w:rsidRPr="009968E0" w:rsidRDefault="009968E0" w:rsidP="009968E0">
            <w:pPr>
              <w:rPr>
                <w:rFonts w:ascii="Times New Roman" w:eastAsia="Times New Roman" w:hAnsi="Times New Roman" w:cs="Arial"/>
                <w:color w:val="000000"/>
                <w:sz w:val="20"/>
                <w:szCs w:val="20"/>
                <w:lang w:eastAsia="en-GB"/>
              </w:rPr>
            </w:pPr>
            <w:r w:rsidRPr="009968E0">
              <w:rPr>
                <w:rFonts w:ascii="Times New Roman" w:eastAsia="Times New Roman" w:hAnsi="Times New Roman" w:cs="Arial"/>
                <w:color w:val="000000"/>
                <w:sz w:val="20"/>
                <w:szCs w:val="20"/>
                <w:lang w:eastAsia="en-GB"/>
              </w:rPr>
              <w:t> </w:t>
            </w:r>
          </w:p>
        </w:tc>
        <w:tc>
          <w:tcPr>
            <w:tcW w:w="1534" w:type="dxa"/>
          </w:tcPr>
          <w:p w14:paraId="1F8C5CC9" w14:textId="77777777" w:rsidR="009968E0" w:rsidRPr="009968E0" w:rsidRDefault="009968E0" w:rsidP="009968E0">
            <w:pPr>
              <w:rPr>
                <w:rFonts w:ascii="Times New Roman" w:eastAsia="Times New Roman" w:hAnsi="Times New Roman" w:cs="Arial"/>
                <w:color w:val="000000"/>
                <w:sz w:val="20"/>
                <w:szCs w:val="20"/>
                <w:lang w:eastAsia="en-GB"/>
              </w:rPr>
            </w:pPr>
            <w:r w:rsidRPr="009968E0">
              <w:rPr>
                <w:rFonts w:ascii="Times New Roman" w:eastAsia="Times New Roman" w:hAnsi="Times New Roman" w:cs="Arial"/>
                <w:color w:val="000000"/>
                <w:sz w:val="20"/>
                <w:szCs w:val="20"/>
                <w:lang w:eastAsia="en-GB"/>
              </w:rPr>
              <w:t> </w:t>
            </w:r>
          </w:p>
        </w:tc>
        <w:tc>
          <w:tcPr>
            <w:tcW w:w="1071" w:type="dxa"/>
          </w:tcPr>
          <w:p w14:paraId="66D05BB7" w14:textId="77777777" w:rsidR="009968E0" w:rsidRPr="009968E0" w:rsidRDefault="009968E0" w:rsidP="009968E0">
            <w:pPr>
              <w:rPr>
                <w:rFonts w:ascii="Times New Roman" w:eastAsia="Times New Roman" w:hAnsi="Times New Roman" w:cs="Arial"/>
                <w:color w:val="000000"/>
                <w:sz w:val="20"/>
                <w:szCs w:val="20"/>
                <w:lang w:eastAsia="en-GB"/>
              </w:rPr>
            </w:pPr>
            <w:r w:rsidRPr="009968E0">
              <w:rPr>
                <w:rFonts w:ascii="Times New Roman" w:eastAsia="Times New Roman" w:hAnsi="Times New Roman" w:cs="Arial"/>
                <w:color w:val="000000"/>
                <w:sz w:val="20"/>
                <w:szCs w:val="20"/>
                <w:lang w:eastAsia="en-GB"/>
              </w:rPr>
              <w:t> </w:t>
            </w:r>
          </w:p>
        </w:tc>
      </w:tr>
    </w:tbl>
    <w:p w14:paraId="687FB2F2" w14:textId="77777777" w:rsidR="009968E0" w:rsidRPr="009968E0" w:rsidRDefault="009968E0" w:rsidP="007D16C6">
      <w:pPr>
        <w:pStyle w:val="Quote"/>
      </w:pPr>
    </w:p>
    <w:p w14:paraId="0600DB2A" w14:textId="77777777" w:rsidR="009968E0" w:rsidRPr="009968E0" w:rsidRDefault="009968E0" w:rsidP="007D16C6">
      <w:pPr>
        <w:pStyle w:val="Quote"/>
        <w:rPr>
          <w:rFonts w:eastAsia="MS Mincho"/>
          <w:color w:val="1F497D"/>
        </w:rPr>
      </w:pPr>
      <w:bookmarkStart w:id="720" w:name="_Toc48406175"/>
      <w:bookmarkStart w:id="721" w:name="_Toc49273387"/>
      <w:bookmarkStart w:id="722" w:name="_Toc64724139"/>
      <w:r w:rsidRPr="009968E0">
        <w:rPr>
          <w:rFonts w:eastAsia="MS Mincho"/>
          <w:color w:val="1F497D"/>
        </w:rPr>
        <w:t xml:space="preserve">Table D.32: Post Hoc T-Test Comparisons of Regression Intercepts and </w:t>
      </w:r>
      <w:proofErr w:type="spellStart"/>
      <w:r w:rsidRPr="009968E0">
        <w:rPr>
          <w:rFonts w:eastAsia="MS Mincho"/>
          <w:color w:val="1F497D"/>
        </w:rPr>
        <w:t>slopes</w:t>
      </w:r>
      <w:r w:rsidRPr="009968E0">
        <w:rPr>
          <w:rFonts w:eastAsia="MS Mincho"/>
          <w:color w:val="1F497D"/>
          <w:vertAlign w:val="superscript"/>
        </w:rPr>
        <w:t>a</w:t>
      </w:r>
      <w:proofErr w:type="spellEnd"/>
      <w:r w:rsidRPr="009968E0">
        <w:rPr>
          <w:rFonts w:eastAsia="MS Mincho"/>
          <w:color w:val="1F497D"/>
          <w:vertAlign w:val="superscript"/>
        </w:rPr>
        <w:t xml:space="preserve"> </w:t>
      </w:r>
      <w:r w:rsidRPr="009968E0">
        <w:rPr>
          <w:rFonts w:eastAsia="MS Mincho"/>
          <w:color w:val="1F497D"/>
        </w:rPr>
        <w:t>for Delta TTP LPSC</w:t>
      </w:r>
      <w:bookmarkEnd w:id="720"/>
      <w:bookmarkEnd w:id="721"/>
      <w:bookmarkEnd w:id="722"/>
      <w:r w:rsidRPr="009968E0">
        <w:rPr>
          <w:rFonts w:eastAsia="MS Mincho"/>
          <w:color w:val="1F497D"/>
        </w:rPr>
        <w:t xml:space="preserve"> </w:t>
      </w:r>
    </w:p>
    <w:tbl>
      <w:tblPr>
        <w:tblStyle w:val="GridTable2-Accent212"/>
        <w:tblW w:w="9064" w:type="dxa"/>
        <w:tblLayout w:type="fixed"/>
        <w:tblLook w:val="0400" w:firstRow="0" w:lastRow="0" w:firstColumn="0" w:lastColumn="0" w:noHBand="0" w:noVBand="1"/>
      </w:tblPr>
      <w:tblGrid>
        <w:gridCol w:w="328"/>
        <w:gridCol w:w="2795"/>
        <w:gridCol w:w="1322"/>
        <w:gridCol w:w="1311"/>
        <w:gridCol w:w="1422"/>
        <w:gridCol w:w="947"/>
        <w:gridCol w:w="939"/>
      </w:tblGrid>
      <w:tr w:rsidR="009968E0" w:rsidRPr="009968E0" w14:paraId="6BBD2C23" w14:textId="77777777" w:rsidTr="009968E0">
        <w:trPr>
          <w:cnfStyle w:val="000000100000" w:firstRow="0" w:lastRow="0" w:firstColumn="0" w:lastColumn="0" w:oddVBand="0" w:evenVBand="0" w:oddHBand="1" w:evenHBand="0" w:firstRowFirstColumn="0" w:firstRowLastColumn="0" w:lastRowFirstColumn="0" w:lastRowLastColumn="0"/>
          <w:trHeight w:val="680"/>
        </w:trPr>
        <w:tc>
          <w:tcPr>
            <w:tcW w:w="3123" w:type="dxa"/>
            <w:gridSpan w:val="2"/>
            <w:vMerge w:val="restart"/>
          </w:tcPr>
          <w:p w14:paraId="69E4874A"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Model</w:t>
            </w:r>
          </w:p>
        </w:tc>
        <w:tc>
          <w:tcPr>
            <w:tcW w:w="2633" w:type="dxa"/>
            <w:gridSpan w:val="2"/>
          </w:tcPr>
          <w:p w14:paraId="7F270216"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Unstandardized Coefficients</w:t>
            </w:r>
          </w:p>
        </w:tc>
        <w:tc>
          <w:tcPr>
            <w:tcW w:w="1422" w:type="dxa"/>
          </w:tcPr>
          <w:p w14:paraId="16880EE4"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Standardized Coefficients</w:t>
            </w:r>
          </w:p>
        </w:tc>
        <w:tc>
          <w:tcPr>
            <w:tcW w:w="947" w:type="dxa"/>
            <w:vMerge w:val="restart"/>
          </w:tcPr>
          <w:p w14:paraId="7CAFEEE8"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t</w:t>
            </w:r>
          </w:p>
        </w:tc>
        <w:tc>
          <w:tcPr>
            <w:tcW w:w="939" w:type="dxa"/>
            <w:vMerge w:val="restart"/>
          </w:tcPr>
          <w:p w14:paraId="046D2F53"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Sig.</w:t>
            </w:r>
          </w:p>
        </w:tc>
      </w:tr>
      <w:tr w:rsidR="009968E0" w:rsidRPr="009968E0" w14:paraId="7676D7C1" w14:textId="77777777" w:rsidTr="009968E0">
        <w:trPr>
          <w:trHeight w:val="360"/>
        </w:trPr>
        <w:tc>
          <w:tcPr>
            <w:tcW w:w="328" w:type="dxa"/>
            <w:vMerge w:val="restart"/>
          </w:tcPr>
          <w:p w14:paraId="53532244"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w:t>
            </w:r>
          </w:p>
        </w:tc>
        <w:tc>
          <w:tcPr>
            <w:tcW w:w="2795" w:type="dxa"/>
          </w:tcPr>
          <w:p w14:paraId="375665BE"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(Constant)</w:t>
            </w:r>
          </w:p>
        </w:tc>
        <w:tc>
          <w:tcPr>
            <w:tcW w:w="1322" w:type="dxa"/>
          </w:tcPr>
          <w:p w14:paraId="0889F81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.114</w:t>
            </w:r>
          </w:p>
        </w:tc>
        <w:tc>
          <w:tcPr>
            <w:tcW w:w="1311" w:type="dxa"/>
          </w:tcPr>
          <w:p w14:paraId="2FFFBB43"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.135</w:t>
            </w:r>
          </w:p>
        </w:tc>
        <w:tc>
          <w:tcPr>
            <w:tcW w:w="1422" w:type="dxa"/>
          </w:tcPr>
          <w:p w14:paraId="00BFCD90"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 </w:t>
            </w:r>
          </w:p>
        </w:tc>
        <w:tc>
          <w:tcPr>
            <w:tcW w:w="947" w:type="dxa"/>
          </w:tcPr>
          <w:p w14:paraId="593DC715"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.844</w:t>
            </w:r>
          </w:p>
        </w:tc>
        <w:tc>
          <w:tcPr>
            <w:tcW w:w="939" w:type="dxa"/>
          </w:tcPr>
          <w:p w14:paraId="320B4C3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.401</w:t>
            </w:r>
          </w:p>
        </w:tc>
      </w:tr>
      <w:tr w:rsidR="009968E0" w:rsidRPr="009968E0" w14:paraId="36E73B35"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328" w:type="dxa"/>
            <w:vMerge/>
          </w:tcPr>
          <w:p w14:paraId="483FECCA"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795" w:type="dxa"/>
          </w:tcPr>
          <w:p w14:paraId="576BEDF4" w14:textId="77777777" w:rsidR="009968E0" w:rsidRPr="009968E0" w:rsidRDefault="009968E0" w:rsidP="009968E0">
            <w:pPr>
              <w:rPr>
                <w:rFonts w:ascii="Calibri" w:eastAsia="Times New Roman" w:hAnsi="Calibri" w:cs="Calibri"/>
                <w:i/>
                <w:iCs/>
                <w:color w:val="000000"/>
                <w:sz w:val="22"/>
                <w:szCs w:val="22"/>
                <w:lang w:eastAsia="en-GB"/>
              </w:rPr>
            </w:pPr>
            <w:proofErr w:type="spellStart"/>
            <w:r w:rsidRPr="009968E0">
              <w:rPr>
                <w:rFonts w:ascii="Calibri" w:eastAsia="Times New Roman" w:hAnsi="Calibri" w:cs="Calibri"/>
                <w:i/>
                <w:iCs/>
                <w:color w:val="000000"/>
                <w:sz w:val="22"/>
                <w:szCs w:val="22"/>
                <w:lang w:eastAsia="en-GB"/>
              </w:rPr>
              <w:t>likert_centred</w:t>
            </w:r>
            <w:proofErr w:type="spellEnd"/>
          </w:p>
        </w:tc>
        <w:tc>
          <w:tcPr>
            <w:tcW w:w="1322" w:type="dxa"/>
          </w:tcPr>
          <w:p w14:paraId="62948B0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-.180</w:t>
            </w:r>
          </w:p>
        </w:tc>
        <w:tc>
          <w:tcPr>
            <w:tcW w:w="1311" w:type="dxa"/>
          </w:tcPr>
          <w:p w14:paraId="77A72A4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.100</w:t>
            </w:r>
          </w:p>
        </w:tc>
        <w:tc>
          <w:tcPr>
            <w:tcW w:w="1422" w:type="dxa"/>
          </w:tcPr>
          <w:p w14:paraId="630E5E6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-.210</w:t>
            </w:r>
          </w:p>
        </w:tc>
        <w:tc>
          <w:tcPr>
            <w:tcW w:w="947" w:type="dxa"/>
          </w:tcPr>
          <w:p w14:paraId="394889A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-1.806</w:t>
            </w:r>
          </w:p>
        </w:tc>
        <w:tc>
          <w:tcPr>
            <w:tcW w:w="939" w:type="dxa"/>
          </w:tcPr>
          <w:p w14:paraId="2ED4DB2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.075</w:t>
            </w:r>
          </w:p>
        </w:tc>
      </w:tr>
      <w:tr w:rsidR="009968E0" w:rsidRPr="009968E0" w14:paraId="40BEF512" w14:textId="77777777" w:rsidTr="009968E0">
        <w:trPr>
          <w:trHeight w:val="360"/>
        </w:trPr>
        <w:tc>
          <w:tcPr>
            <w:tcW w:w="328" w:type="dxa"/>
            <w:vMerge w:val="restart"/>
          </w:tcPr>
          <w:p w14:paraId="5FD73F43"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w:t>
            </w:r>
          </w:p>
        </w:tc>
        <w:tc>
          <w:tcPr>
            <w:tcW w:w="2795" w:type="dxa"/>
          </w:tcPr>
          <w:p w14:paraId="5FA2D377"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(Constant)</w:t>
            </w:r>
          </w:p>
        </w:tc>
        <w:tc>
          <w:tcPr>
            <w:tcW w:w="1322" w:type="dxa"/>
          </w:tcPr>
          <w:p w14:paraId="04976C2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.541</w:t>
            </w:r>
          </w:p>
        </w:tc>
        <w:tc>
          <w:tcPr>
            <w:tcW w:w="1311" w:type="dxa"/>
          </w:tcPr>
          <w:p w14:paraId="401DBC0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.256</w:t>
            </w:r>
          </w:p>
        </w:tc>
        <w:tc>
          <w:tcPr>
            <w:tcW w:w="1422" w:type="dxa"/>
          </w:tcPr>
          <w:p w14:paraId="4FC470C0"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 </w:t>
            </w:r>
          </w:p>
        </w:tc>
        <w:tc>
          <w:tcPr>
            <w:tcW w:w="947" w:type="dxa"/>
          </w:tcPr>
          <w:p w14:paraId="3E2665C5"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2.110</w:t>
            </w:r>
          </w:p>
        </w:tc>
        <w:tc>
          <w:tcPr>
            <w:tcW w:w="939" w:type="dxa"/>
          </w:tcPr>
          <w:p w14:paraId="621AFF3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.039</w:t>
            </w:r>
          </w:p>
        </w:tc>
      </w:tr>
      <w:tr w:rsidR="009968E0" w:rsidRPr="009968E0" w14:paraId="06537193"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328" w:type="dxa"/>
            <w:vMerge/>
          </w:tcPr>
          <w:p w14:paraId="78CC7D91"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795" w:type="dxa"/>
          </w:tcPr>
          <w:p w14:paraId="57FA0F32" w14:textId="77777777" w:rsidR="009968E0" w:rsidRPr="009968E0" w:rsidRDefault="009968E0" w:rsidP="009968E0">
            <w:pPr>
              <w:rPr>
                <w:rFonts w:ascii="Calibri" w:eastAsia="Times New Roman" w:hAnsi="Calibri" w:cs="Calibri"/>
                <w:i/>
                <w:iCs/>
                <w:color w:val="000000"/>
                <w:sz w:val="22"/>
                <w:szCs w:val="22"/>
                <w:lang w:eastAsia="en-GB"/>
              </w:rPr>
            </w:pPr>
            <w:proofErr w:type="spellStart"/>
            <w:r w:rsidRPr="009968E0">
              <w:rPr>
                <w:rFonts w:ascii="Calibri" w:eastAsia="Times New Roman" w:hAnsi="Calibri" w:cs="Calibri"/>
                <w:i/>
                <w:iCs/>
                <w:color w:val="000000"/>
                <w:sz w:val="22"/>
                <w:szCs w:val="22"/>
                <w:lang w:eastAsia="en-GB"/>
              </w:rPr>
              <w:t>likert_centred</w:t>
            </w:r>
            <w:proofErr w:type="spellEnd"/>
          </w:p>
        </w:tc>
        <w:tc>
          <w:tcPr>
            <w:tcW w:w="1322" w:type="dxa"/>
          </w:tcPr>
          <w:p w14:paraId="2F25E42E"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.115</w:t>
            </w:r>
          </w:p>
        </w:tc>
        <w:tc>
          <w:tcPr>
            <w:tcW w:w="1311" w:type="dxa"/>
          </w:tcPr>
          <w:p w14:paraId="5BAF8B95"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.170</w:t>
            </w:r>
          </w:p>
        </w:tc>
        <w:tc>
          <w:tcPr>
            <w:tcW w:w="1422" w:type="dxa"/>
          </w:tcPr>
          <w:p w14:paraId="788AA8E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.134</w:t>
            </w:r>
          </w:p>
        </w:tc>
        <w:tc>
          <w:tcPr>
            <w:tcW w:w="947" w:type="dxa"/>
          </w:tcPr>
          <w:p w14:paraId="7A7F3EB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.677</w:t>
            </w:r>
          </w:p>
        </w:tc>
        <w:tc>
          <w:tcPr>
            <w:tcW w:w="939" w:type="dxa"/>
          </w:tcPr>
          <w:p w14:paraId="7E971D7E"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.501</w:t>
            </w:r>
          </w:p>
        </w:tc>
      </w:tr>
      <w:tr w:rsidR="009968E0" w:rsidRPr="009968E0" w14:paraId="734D7E26" w14:textId="77777777" w:rsidTr="009968E0">
        <w:trPr>
          <w:trHeight w:val="680"/>
        </w:trPr>
        <w:tc>
          <w:tcPr>
            <w:tcW w:w="328" w:type="dxa"/>
            <w:vMerge/>
          </w:tcPr>
          <w:p w14:paraId="4A38BF30"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795" w:type="dxa"/>
          </w:tcPr>
          <w:p w14:paraId="7E0B6369" w14:textId="77777777" w:rsidR="009968E0" w:rsidRPr="009968E0" w:rsidRDefault="009968E0" w:rsidP="009968E0">
            <w:pPr>
              <w:rPr>
                <w:rFonts w:ascii="Calibri" w:eastAsia="Times New Roman" w:hAnsi="Calibri" w:cs="Calibri"/>
                <w:i/>
                <w:iCs/>
                <w:color w:val="000000"/>
                <w:sz w:val="22"/>
                <w:szCs w:val="22"/>
                <w:lang w:eastAsia="en-GB"/>
              </w:rPr>
            </w:pPr>
            <w:proofErr w:type="spellStart"/>
            <w:r w:rsidRPr="009968E0">
              <w:rPr>
                <w:rFonts w:ascii="Calibri" w:eastAsia="Times New Roman" w:hAnsi="Calibri" w:cs="Calibri"/>
                <w:i/>
                <w:iCs/>
                <w:color w:val="000000"/>
                <w:sz w:val="22"/>
                <w:szCs w:val="22"/>
                <w:lang w:eastAsia="en-GB"/>
              </w:rPr>
              <w:t>Intercept_</w:t>
            </w:r>
            <w:r w:rsidRPr="009968E0">
              <w:rPr>
                <w:rFonts w:ascii="Calibri" w:eastAsia="Arial" w:hAnsi="Calibri" w:cs="Calibri"/>
                <w:i/>
                <w:iCs/>
                <w:color w:val="000000"/>
                <w:sz w:val="22"/>
                <w:szCs w:val="22"/>
                <w:lang w:eastAsia="en-GB"/>
              </w:rPr>
              <w:t>P-DPN</w:t>
            </w:r>
            <w:r w:rsidRPr="009968E0">
              <w:rPr>
                <w:rFonts w:ascii="Calibri" w:eastAsia="Times New Roman" w:hAnsi="Calibri" w:cs="Calibri"/>
                <w:i/>
                <w:iCs/>
                <w:color w:val="000000"/>
                <w:sz w:val="22"/>
                <w:szCs w:val="22"/>
                <w:lang w:eastAsia="en-GB"/>
              </w:rPr>
              <w:t>_vs_DPN</w:t>
            </w:r>
            <w:proofErr w:type="spellEnd"/>
          </w:p>
        </w:tc>
        <w:tc>
          <w:tcPr>
            <w:tcW w:w="1322" w:type="dxa"/>
          </w:tcPr>
          <w:p w14:paraId="15F19E38"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-.471</w:t>
            </w:r>
          </w:p>
        </w:tc>
        <w:tc>
          <w:tcPr>
            <w:tcW w:w="1311" w:type="dxa"/>
          </w:tcPr>
          <w:p w14:paraId="714F938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.340</w:t>
            </w:r>
          </w:p>
        </w:tc>
        <w:tc>
          <w:tcPr>
            <w:tcW w:w="1422" w:type="dxa"/>
          </w:tcPr>
          <w:p w14:paraId="14DC4D7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-.188</w:t>
            </w:r>
          </w:p>
        </w:tc>
        <w:tc>
          <w:tcPr>
            <w:tcW w:w="947" w:type="dxa"/>
          </w:tcPr>
          <w:p w14:paraId="6294550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-1.384</w:t>
            </w:r>
          </w:p>
        </w:tc>
        <w:tc>
          <w:tcPr>
            <w:tcW w:w="939" w:type="dxa"/>
          </w:tcPr>
          <w:p w14:paraId="6F8F9B80"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.171</w:t>
            </w:r>
          </w:p>
        </w:tc>
      </w:tr>
      <w:tr w:rsidR="009968E0" w:rsidRPr="009968E0" w14:paraId="7AC39CC4" w14:textId="77777777" w:rsidTr="009968E0">
        <w:trPr>
          <w:cnfStyle w:val="000000100000" w:firstRow="0" w:lastRow="0" w:firstColumn="0" w:lastColumn="0" w:oddVBand="0" w:evenVBand="0" w:oddHBand="1" w:evenHBand="0" w:firstRowFirstColumn="0" w:firstRowLastColumn="0" w:lastRowFirstColumn="0" w:lastRowLastColumn="0"/>
          <w:trHeight w:val="680"/>
        </w:trPr>
        <w:tc>
          <w:tcPr>
            <w:tcW w:w="328" w:type="dxa"/>
            <w:vMerge/>
          </w:tcPr>
          <w:p w14:paraId="7EED735C"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795" w:type="dxa"/>
          </w:tcPr>
          <w:p w14:paraId="766F7E7D" w14:textId="77777777" w:rsidR="009968E0" w:rsidRPr="009968E0" w:rsidRDefault="009968E0" w:rsidP="009968E0">
            <w:pPr>
              <w:rPr>
                <w:rFonts w:ascii="Calibri" w:eastAsia="Times New Roman" w:hAnsi="Calibri" w:cs="Calibri"/>
                <w:i/>
                <w:iCs/>
                <w:color w:val="000000"/>
                <w:sz w:val="22"/>
                <w:szCs w:val="22"/>
                <w:lang w:eastAsia="en-GB"/>
              </w:rPr>
            </w:pPr>
            <w:proofErr w:type="spellStart"/>
            <w:r w:rsidRPr="009968E0">
              <w:rPr>
                <w:rFonts w:ascii="Calibri" w:eastAsia="Times New Roman" w:hAnsi="Calibri" w:cs="Calibri"/>
                <w:i/>
                <w:iCs/>
                <w:color w:val="000000"/>
                <w:sz w:val="22"/>
                <w:szCs w:val="22"/>
                <w:lang w:eastAsia="en-GB"/>
              </w:rPr>
              <w:t>Intercept_</w:t>
            </w:r>
            <w:r w:rsidRPr="009968E0">
              <w:rPr>
                <w:rFonts w:ascii="Calibri" w:eastAsia="Arial" w:hAnsi="Calibri" w:cs="Calibri"/>
                <w:i/>
                <w:iCs/>
                <w:color w:val="000000"/>
                <w:sz w:val="22"/>
                <w:szCs w:val="22"/>
                <w:lang w:eastAsia="en-GB"/>
              </w:rPr>
              <w:t>P-DPN</w:t>
            </w:r>
            <w:r w:rsidRPr="009968E0">
              <w:rPr>
                <w:rFonts w:ascii="Calibri" w:eastAsia="Times New Roman" w:hAnsi="Calibri" w:cs="Calibri"/>
                <w:i/>
                <w:iCs/>
                <w:color w:val="000000"/>
                <w:sz w:val="22"/>
                <w:szCs w:val="22"/>
                <w:lang w:eastAsia="en-GB"/>
              </w:rPr>
              <w:t>_vs_DM_NN</w:t>
            </w:r>
            <w:proofErr w:type="spellEnd"/>
          </w:p>
        </w:tc>
        <w:tc>
          <w:tcPr>
            <w:tcW w:w="1322" w:type="dxa"/>
          </w:tcPr>
          <w:p w14:paraId="2E547B2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-.355</w:t>
            </w:r>
          </w:p>
        </w:tc>
        <w:tc>
          <w:tcPr>
            <w:tcW w:w="1311" w:type="dxa"/>
          </w:tcPr>
          <w:p w14:paraId="7A0600E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.415</w:t>
            </w:r>
          </w:p>
        </w:tc>
        <w:tc>
          <w:tcPr>
            <w:tcW w:w="1422" w:type="dxa"/>
          </w:tcPr>
          <w:p w14:paraId="535D876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-.117</w:t>
            </w:r>
          </w:p>
        </w:tc>
        <w:tc>
          <w:tcPr>
            <w:tcW w:w="947" w:type="dxa"/>
          </w:tcPr>
          <w:p w14:paraId="4620E41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-.856</w:t>
            </w:r>
          </w:p>
        </w:tc>
        <w:tc>
          <w:tcPr>
            <w:tcW w:w="939" w:type="dxa"/>
          </w:tcPr>
          <w:p w14:paraId="76DC415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.395</w:t>
            </w:r>
          </w:p>
        </w:tc>
      </w:tr>
      <w:tr w:rsidR="009968E0" w:rsidRPr="009968E0" w14:paraId="4F9CC8FB" w14:textId="77777777" w:rsidTr="009968E0">
        <w:trPr>
          <w:trHeight w:val="680"/>
        </w:trPr>
        <w:tc>
          <w:tcPr>
            <w:tcW w:w="328" w:type="dxa"/>
            <w:vMerge/>
          </w:tcPr>
          <w:p w14:paraId="3D61F647"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795" w:type="dxa"/>
          </w:tcPr>
          <w:p w14:paraId="7231CAFF" w14:textId="77777777" w:rsidR="009968E0" w:rsidRPr="009968E0" w:rsidRDefault="009968E0" w:rsidP="009968E0">
            <w:pPr>
              <w:rPr>
                <w:rFonts w:ascii="Calibri" w:eastAsia="Times New Roman" w:hAnsi="Calibri" w:cs="Calibri"/>
                <w:i/>
                <w:iCs/>
                <w:color w:val="000000"/>
                <w:sz w:val="22"/>
                <w:szCs w:val="22"/>
                <w:lang w:eastAsia="en-GB"/>
              </w:rPr>
            </w:pPr>
            <w:proofErr w:type="spellStart"/>
            <w:r w:rsidRPr="009968E0">
              <w:rPr>
                <w:rFonts w:ascii="Calibri" w:eastAsia="Times New Roman" w:hAnsi="Calibri" w:cs="Calibri"/>
                <w:i/>
                <w:iCs/>
                <w:color w:val="000000"/>
                <w:sz w:val="22"/>
                <w:szCs w:val="22"/>
                <w:lang w:eastAsia="en-GB"/>
              </w:rPr>
              <w:t>Intercept_</w:t>
            </w:r>
            <w:r w:rsidRPr="009968E0">
              <w:rPr>
                <w:rFonts w:ascii="Calibri" w:eastAsia="Arial" w:hAnsi="Calibri" w:cs="Calibri"/>
                <w:i/>
                <w:iCs/>
                <w:color w:val="000000"/>
                <w:sz w:val="22"/>
                <w:szCs w:val="22"/>
                <w:lang w:eastAsia="en-GB"/>
              </w:rPr>
              <w:t>P-DPN</w:t>
            </w:r>
            <w:r w:rsidRPr="009968E0">
              <w:rPr>
                <w:rFonts w:ascii="Calibri" w:eastAsia="Times New Roman" w:hAnsi="Calibri" w:cs="Calibri"/>
                <w:i/>
                <w:iCs/>
                <w:color w:val="000000"/>
                <w:sz w:val="22"/>
                <w:szCs w:val="22"/>
                <w:lang w:eastAsia="en-GB"/>
              </w:rPr>
              <w:t>_vs_HV</w:t>
            </w:r>
            <w:proofErr w:type="spellEnd"/>
          </w:p>
        </w:tc>
        <w:tc>
          <w:tcPr>
            <w:tcW w:w="1322" w:type="dxa"/>
          </w:tcPr>
          <w:p w14:paraId="7B45843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-1.040</w:t>
            </w:r>
          </w:p>
        </w:tc>
        <w:tc>
          <w:tcPr>
            <w:tcW w:w="1311" w:type="dxa"/>
          </w:tcPr>
          <w:p w14:paraId="34EEC558"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.360</w:t>
            </w:r>
          </w:p>
        </w:tc>
        <w:tc>
          <w:tcPr>
            <w:tcW w:w="1422" w:type="dxa"/>
          </w:tcPr>
          <w:p w14:paraId="471588D3"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-.392</w:t>
            </w:r>
          </w:p>
        </w:tc>
        <w:tc>
          <w:tcPr>
            <w:tcW w:w="947" w:type="dxa"/>
          </w:tcPr>
          <w:p w14:paraId="202EE7E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-2.890</w:t>
            </w:r>
          </w:p>
        </w:tc>
        <w:tc>
          <w:tcPr>
            <w:tcW w:w="939" w:type="dxa"/>
          </w:tcPr>
          <w:p w14:paraId="4283A6A4"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.005</w:t>
            </w:r>
          </w:p>
        </w:tc>
      </w:tr>
      <w:tr w:rsidR="009968E0" w:rsidRPr="009968E0" w14:paraId="1B413B7F" w14:textId="77777777" w:rsidTr="009968E0">
        <w:trPr>
          <w:cnfStyle w:val="000000100000" w:firstRow="0" w:lastRow="0" w:firstColumn="0" w:lastColumn="0" w:oddVBand="0" w:evenVBand="0" w:oddHBand="1" w:evenHBand="0" w:firstRowFirstColumn="0" w:firstRowLastColumn="0" w:lastRowFirstColumn="0" w:lastRowLastColumn="0"/>
          <w:trHeight w:val="680"/>
        </w:trPr>
        <w:tc>
          <w:tcPr>
            <w:tcW w:w="328" w:type="dxa"/>
            <w:vMerge/>
          </w:tcPr>
          <w:p w14:paraId="4CD71222"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795" w:type="dxa"/>
          </w:tcPr>
          <w:p w14:paraId="71DF9118" w14:textId="77777777" w:rsidR="009968E0" w:rsidRPr="009968E0" w:rsidRDefault="009968E0" w:rsidP="009968E0">
            <w:pPr>
              <w:rPr>
                <w:rFonts w:ascii="Calibri" w:eastAsia="Times New Roman" w:hAnsi="Calibri" w:cs="Calibri"/>
                <w:i/>
                <w:iCs/>
                <w:color w:val="000000"/>
                <w:sz w:val="22"/>
                <w:szCs w:val="22"/>
                <w:lang w:eastAsia="en-GB"/>
              </w:rPr>
            </w:pPr>
            <w:proofErr w:type="spellStart"/>
            <w:r w:rsidRPr="009968E0">
              <w:rPr>
                <w:rFonts w:ascii="Calibri" w:eastAsia="Times New Roman" w:hAnsi="Calibri" w:cs="Calibri"/>
                <w:i/>
                <w:iCs/>
                <w:color w:val="000000"/>
                <w:sz w:val="22"/>
                <w:szCs w:val="22"/>
                <w:lang w:eastAsia="en-GB"/>
              </w:rPr>
              <w:t>Slope_</w:t>
            </w:r>
            <w:r w:rsidRPr="009968E0">
              <w:rPr>
                <w:rFonts w:ascii="Calibri" w:eastAsia="Arial" w:hAnsi="Calibri" w:cs="Calibri"/>
                <w:i/>
                <w:iCs/>
                <w:color w:val="000000"/>
                <w:sz w:val="22"/>
                <w:szCs w:val="22"/>
                <w:lang w:eastAsia="en-GB"/>
              </w:rPr>
              <w:t>P-DPN</w:t>
            </w:r>
            <w:r w:rsidRPr="009968E0">
              <w:rPr>
                <w:rFonts w:ascii="Calibri" w:eastAsia="Times New Roman" w:hAnsi="Calibri" w:cs="Calibri"/>
                <w:i/>
                <w:iCs/>
                <w:color w:val="000000"/>
                <w:sz w:val="22"/>
                <w:szCs w:val="22"/>
                <w:lang w:eastAsia="en-GB"/>
              </w:rPr>
              <w:t>_vs_DPN</w:t>
            </w:r>
            <w:proofErr w:type="spellEnd"/>
          </w:p>
        </w:tc>
        <w:tc>
          <w:tcPr>
            <w:tcW w:w="1322" w:type="dxa"/>
          </w:tcPr>
          <w:p w14:paraId="28CE3164"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-.362</w:t>
            </w:r>
          </w:p>
        </w:tc>
        <w:tc>
          <w:tcPr>
            <w:tcW w:w="1311" w:type="dxa"/>
          </w:tcPr>
          <w:p w14:paraId="0949A3E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.225</w:t>
            </w:r>
          </w:p>
        </w:tc>
        <w:tc>
          <w:tcPr>
            <w:tcW w:w="1422" w:type="dxa"/>
          </w:tcPr>
          <w:p w14:paraId="692238F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-.265</w:t>
            </w:r>
          </w:p>
        </w:tc>
        <w:tc>
          <w:tcPr>
            <w:tcW w:w="947" w:type="dxa"/>
          </w:tcPr>
          <w:p w14:paraId="60F18B8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-1.607</w:t>
            </w:r>
          </w:p>
        </w:tc>
        <w:tc>
          <w:tcPr>
            <w:tcW w:w="939" w:type="dxa"/>
          </w:tcPr>
          <w:p w14:paraId="2D832578"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.113</w:t>
            </w:r>
          </w:p>
        </w:tc>
      </w:tr>
      <w:tr w:rsidR="009968E0" w:rsidRPr="009968E0" w14:paraId="2E21A9C0" w14:textId="77777777" w:rsidTr="009968E0">
        <w:trPr>
          <w:trHeight w:val="680"/>
        </w:trPr>
        <w:tc>
          <w:tcPr>
            <w:tcW w:w="328" w:type="dxa"/>
            <w:vMerge/>
          </w:tcPr>
          <w:p w14:paraId="309434E1"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795" w:type="dxa"/>
          </w:tcPr>
          <w:p w14:paraId="40BD68FD" w14:textId="77777777" w:rsidR="009968E0" w:rsidRPr="009968E0" w:rsidRDefault="009968E0" w:rsidP="009968E0">
            <w:pPr>
              <w:rPr>
                <w:rFonts w:ascii="Calibri" w:eastAsia="Times New Roman" w:hAnsi="Calibri" w:cs="Calibri"/>
                <w:i/>
                <w:iCs/>
                <w:color w:val="000000"/>
                <w:sz w:val="22"/>
                <w:szCs w:val="22"/>
                <w:lang w:eastAsia="en-GB"/>
              </w:rPr>
            </w:pPr>
            <w:proofErr w:type="spellStart"/>
            <w:r w:rsidRPr="009968E0">
              <w:rPr>
                <w:rFonts w:ascii="Calibri" w:eastAsia="Times New Roman" w:hAnsi="Calibri" w:cs="Calibri"/>
                <w:i/>
                <w:iCs/>
                <w:color w:val="000000"/>
                <w:sz w:val="22"/>
                <w:szCs w:val="22"/>
                <w:lang w:eastAsia="en-GB"/>
              </w:rPr>
              <w:t>Slope_</w:t>
            </w:r>
            <w:r w:rsidRPr="009968E0">
              <w:rPr>
                <w:rFonts w:ascii="Calibri" w:eastAsia="Arial" w:hAnsi="Calibri" w:cs="Calibri"/>
                <w:i/>
                <w:iCs/>
                <w:color w:val="000000"/>
                <w:sz w:val="22"/>
                <w:szCs w:val="22"/>
                <w:lang w:eastAsia="en-GB"/>
              </w:rPr>
              <w:t>P-DPN</w:t>
            </w:r>
            <w:r w:rsidRPr="009968E0">
              <w:rPr>
                <w:rFonts w:ascii="Calibri" w:eastAsia="Times New Roman" w:hAnsi="Calibri" w:cs="Calibri"/>
                <w:i/>
                <w:iCs/>
                <w:color w:val="000000"/>
                <w:sz w:val="22"/>
                <w:szCs w:val="22"/>
                <w:lang w:eastAsia="en-GB"/>
              </w:rPr>
              <w:t>_vs_DM_NN</w:t>
            </w:r>
            <w:proofErr w:type="spellEnd"/>
          </w:p>
        </w:tc>
        <w:tc>
          <w:tcPr>
            <w:tcW w:w="1322" w:type="dxa"/>
          </w:tcPr>
          <w:p w14:paraId="3D71962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-.235</w:t>
            </w:r>
          </w:p>
        </w:tc>
        <w:tc>
          <w:tcPr>
            <w:tcW w:w="1311" w:type="dxa"/>
          </w:tcPr>
          <w:p w14:paraId="499AA47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.380</w:t>
            </w:r>
          </w:p>
        </w:tc>
        <w:tc>
          <w:tcPr>
            <w:tcW w:w="1422" w:type="dxa"/>
          </w:tcPr>
          <w:p w14:paraId="4CA3856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-.081</w:t>
            </w:r>
          </w:p>
        </w:tc>
        <w:tc>
          <w:tcPr>
            <w:tcW w:w="947" w:type="dxa"/>
          </w:tcPr>
          <w:p w14:paraId="3842828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-.618</w:t>
            </w:r>
          </w:p>
        </w:tc>
        <w:tc>
          <w:tcPr>
            <w:tcW w:w="939" w:type="dxa"/>
          </w:tcPr>
          <w:p w14:paraId="6A9696B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.538</w:t>
            </w:r>
          </w:p>
        </w:tc>
      </w:tr>
      <w:tr w:rsidR="009968E0" w:rsidRPr="009968E0" w14:paraId="2F3E5526" w14:textId="77777777" w:rsidTr="009968E0">
        <w:trPr>
          <w:cnfStyle w:val="000000100000" w:firstRow="0" w:lastRow="0" w:firstColumn="0" w:lastColumn="0" w:oddVBand="0" w:evenVBand="0" w:oddHBand="1" w:evenHBand="0" w:firstRowFirstColumn="0" w:firstRowLastColumn="0" w:lastRowFirstColumn="0" w:lastRowLastColumn="0"/>
          <w:trHeight w:val="680"/>
        </w:trPr>
        <w:tc>
          <w:tcPr>
            <w:tcW w:w="328" w:type="dxa"/>
            <w:vMerge/>
          </w:tcPr>
          <w:p w14:paraId="5C7A0377"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795" w:type="dxa"/>
          </w:tcPr>
          <w:p w14:paraId="4FE3C877" w14:textId="77777777" w:rsidR="009968E0" w:rsidRPr="009968E0" w:rsidRDefault="009968E0" w:rsidP="009968E0">
            <w:pPr>
              <w:rPr>
                <w:rFonts w:ascii="Calibri" w:eastAsia="Times New Roman" w:hAnsi="Calibri" w:cs="Calibri"/>
                <w:i/>
                <w:iCs/>
                <w:color w:val="000000"/>
                <w:sz w:val="22"/>
                <w:szCs w:val="22"/>
                <w:lang w:eastAsia="en-GB"/>
              </w:rPr>
            </w:pPr>
            <w:proofErr w:type="spellStart"/>
            <w:r w:rsidRPr="009968E0">
              <w:rPr>
                <w:rFonts w:ascii="Calibri" w:eastAsia="Times New Roman" w:hAnsi="Calibri" w:cs="Calibri"/>
                <w:i/>
                <w:iCs/>
                <w:color w:val="000000"/>
                <w:sz w:val="22"/>
                <w:szCs w:val="22"/>
                <w:lang w:eastAsia="en-GB"/>
              </w:rPr>
              <w:t>Slope_</w:t>
            </w:r>
            <w:r w:rsidRPr="009968E0">
              <w:rPr>
                <w:rFonts w:ascii="Calibri" w:eastAsia="Arial" w:hAnsi="Calibri" w:cs="Calibri"/>
                <w:i/>
                <w:iCs/>
                <w:color w:val="000000"/>
                <w:sz w:val="22"/>
                <w:szCs w:val="22"/>
                <w:lang w:eastAsia="en-GB"/>
              </w:rPr>
              <w:t>P-DPN</w:t>
            </w:r>
            <w:r w:rsidRPr="009968E0">
              <w:rPr>
                <w:rFonts w:ascii="Calibri" w:eastAsia="Times New Roman" w:hAnsi="Calibri" w:cs="Calibri"/>
                <w:i/>
                <w:iCs/>
                <w:color w:val="000000"/>
                <w:sz w:val="22"/>
                <w:szCs w:val="22"/>
                <w:lang w:eastAsia="en-GB"/>
              </w:rPr>
              <w:t>_vs_HV</w:t>
            </w:r>
            <w:proofErr w:type="spellEnd"/>
          </w:p>
        </w:tc>
        <w:tc>
          <w:tcPr>
            <w:tcW w:w="1322" w:type="dxa"/>
          </w:tcPr>
          <w:p w14:paraId="708E6E1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-.805</w:t>
            </w:r>
          </w:p>
        </w:tc>
        <w:tc>
          <w:tcPr>
            <w:tcW w:w="1311" w:type="dxa"/>
          </w:tcPr>
          <w:p w14:paraId="23219783"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.268</w:t>
            </w:r>
          </w:p>
        </w:tc>
        <w:tc>
          <w:tcPr>
            <w:tcW w:w="1422" w:type="dxa"/>
          </w:tcPr>
          <w:p w14:paraId="5ABE3084"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-.428</w:t>
            </w:r>
          </w:p>
        </w:tc>
        <w:tc>
          <w:tcPr>
            <w:tcW w:w="947" w:type="dxa"/>
          </w:tcPr>
          <w:p w14:paraId="4D580D1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-3.008</w:t>
            </w:r>
          </w:p>
        </w:tc>
        <w:tc>
          <w:tcPr>
            <w:tcW w:w="939" w:type="dxa"/>
          </w:tcPr>
          <w:p w14:paraId="45FA529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.004</w:t>
            </w:r>
          </w:p>
        </w:tc>
      </w:tr>
    </w:tbl>
    <w:p w14:paraId="05556FCB" w14:textId="77777777" w:rsidR="009968E0" w:rsidRPr="009968E0" w:rsidRDefault="009968E0" w:rsidP="007D16C6">
      <w:pPr>
        <w:pStyle w:val="Quote"/>
      </w:pPr>
    </w:p>
    <w:p w14:paraId="39AE822F" w14:textId="77777777" w:rsidR="009968E0" w:rsidRPr="009968E0" w:rsidRDefault="009968E0" w:rsidP="007D16C6">
      <w:pPr>
        <w:pStyle w:val="Quote"/>
        <w:rPr>
          <w:rFonts w:eastAsia="MS Mincho"/>
          <w:color w:val="1F497D"/>
        </w:rPr>
      </w:pPr>
      <w:bookmarkStart w:id="723" w:name="_Toc48406176"/>
      <w:bookmarkStart w:id="724" w:name="_Toc49273388"/>
      <w:bookmarkStart w:id="725" w:name="_Toc64724140"/>
      <w:r w:rsidRPr="009968E0">
        <w:rPr>
          <w:rFonts w:eastAsia="MS Mincho"/>
          <w:color w:val="1F497D"/>
        </w:rPr>
        <w:t>Table D.33 Delta TTP:  Linear regression of pain perception as measured by Likert scale for Right Primary Sensory Cortex reporting co-</w:t>
      </w:r>
      <w:proofErr w:type="spellStart"/>
      <w:r w:rsidRPr="009968E0">
        <w:rPr>
          <w:rFonts w:eastAsia="MS Mincho"/>
          <w:color w:val="1F497D"/>
        </w:rPr>
        <w:t>efficients</w:t>
      </w:r>
      <w:bookmarkEnd w:id="723"/>
      <w:bookmarkEnd w:id="724"/>
      <w:bookmarkEnd w:id="725"/>
      <w:proofErr w:type="spellEnd"/>
    </w:p>
    <w:tbl>
      <w:tblPr>
        <w:tblStyle w:val="GridTable2-Accent212"/>
        <w:tblW w:w="9064" w:type="dxa"/>
        <w:tblLayout w:type="fixed"/>
        <w:tblLook w:val="0400" w:firstRow="0" w:lastRow="0" w:firstColumn="0" w:lastColumn="0" w:noHBand="0" w:noVBand="1"/>
      </w:tblPr>
      <w:tblGrid>
        <w:gridCol w:w="1387"/>
        <w:gridCol w:w="328"/>
        <w:gridCol w:w="1612"/>
        <w:gridCol w:w="1257"/>
        <w:gridCol w:w="1251"/>
        <w:gridCol w:w="1395"/>
        <w:gridCol w:w="921"/>
        <w:gridCol w:w="913"/>
      </w:tblGrid>
      <w:tr w:rsidR="009968E0" w:rsidRPr="009968E0" w14:paraId="3F4BE849" w14:textId="77777777" w:rsidTr="009968E0">
        <w:trPr>
          <w:cnfStyle w:val="000000100000" w:firstRow="0" w:lastRow="0" w:firstColumn="0" w:lastColumn="0" w:oddVBand="0" w:evenVBand="0" w:oddHBand="1" w:evenHBand="0" w:firstRowFirstColumn="0" w:firstRowLastColumn="0" w:lastRowFirstColumn="0" w:lastRowLastColumn="0"/>
          <w:trHeight w:val="680"/>
        </w:trPr>
        <w:tc>
          <w:tcPr>
            <w:tcW w:w="3327" w:type="dxa"/>
            <w:gridSpan w:val="3"/>
            <w:vMerge w:val="restart"/>
          </w:tcPr>
          <w:p w14:paraId="76C50AD4"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GROUP</w:t>
            </w:r>
          </w:p>
        </w:tc>
        <w:tc>
          <w:tcPr>
            <w:tcW w:w="2508" w:type="dxa"/>
            <w:gridSpan w:val="2"/>
          </w:tcPr>
          <w:p w14:paraId="003D6B58"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Unstandardized Coefficients</w:t>
            </w:r>
          </w:p>
        </w:tc>
        <w:tc>
          <w:tcPr>
            <w:tcW w:w="1395" w:type="dxa"/>
          </w:tcPr>
          <w:p w14:paraId="4F4BBA0D"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Standardized Coefficients</w:t>
            </w:r>
          </w:p>
        </w:tc>
        <w:tc>
          <w:tcPr>
            <w:tcW w:w="921" w:type="dxa"/>
            <w:vMerge w:val="restart"/>
          </w:tcPr>
          <w:p w14:paraId="272D6F93"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t</w:t>
            </w:r>
          </w:p>
        </w:tc>
        <w:tc>
          <w:tcPr>
            <w:tcW w:w="913" w:type="dxa"/>
            <w:vMerge w:val="restart"/>
          </w:tcPr>
          <w:p w14:paraId="151E1D04"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Sig.</w:t>
            </w:r>
          </w:p>
        </w:tc>
      </w:tr>
      <w:tr w:rsidR="009968E0" w:rsidRPr="009968E0" w14:paraId="5D2DAA17" w14:textId="77777777" w:rsidTr="009968E0">
        <w:trPr>
          <w:trHeight w:val="360"/>
        </w:trPr>
        <w:tc>
          <w:tcPr>
            <w:tcW w:w="3327" w:type="dxa"/>
            <w:gridSpan w:val="3"/>
            <w:vMerge/>
          </w:tcPr>
          <w:p w14:paraId="5E1B1D72"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257" w:type="dxa"/>
          </w:tcPr>
          <w:p w14:paraId="514591F4"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B</w:t>
            </w:r>
          </w:p>
        </w:tc>
        <w:tc>
          <w:tcPr>
            <w:tcW w:w="1251" w:type="dxa"/>
          </w:tcPr>
          <w:p w14:paraId="74FD1AEC"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Std. Error</w:t>
            </w:r>
          </w:p>
        </w:tc>
        <w:tc>
          <w:tcPr>
            <w:tcW w:w="1395" w:type="dxa"/>
          </w:tcPr>
          <w:p w14:paraId="2CFED568"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Beta</w:t>
            </w:r>
          </w:p>
        </w:tc>
        <w:tc>
          <w:tcPr>
            <w:tcW w:w="921" w:type="dxa"/>
            <w:vMerge/>
          </w:tcPr>
          <w:p w14:paraId="474DD26B"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913" w:type="dxa"/>
            <w:vMerge/>
          </w:tcPr>
          <w:p w14:paraId="0F8E3255"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r>
      <w:tr w:rsidR="009968E0" w:rsidRPr="009968E0" w14:paraId="5E6C9E84"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1387" w:type="dxa"/>
            <w:vMerge w:val="restart"/>
          </w:tcPr>
          <w:p w14:paraId="3BE30B93"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P-DPN</w:t>
            </w:r>
          </w:p>
        </w:tc>
        <w:tc>
          <w:tcPr>
            <w:tcW w:w="328" w:type="dxa"/>
            <w:vMerge w:val="restart"/>
          </w:tcPr>
          <w:p w14:paraId="103FCA5E"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w:t>
            </w:r>
          </w:p>
        </w:tc>
        <w:tc>
          <w:tcPr>
            <w:tcW w:w="1612" w:type="dxa"/>
          </w:tcPr>
          <w:p w14:paraId="7A4321F5"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(Constant)</w:t>
            </w:r>
          </w:p>
        </w:tc>
        <w:tc>
          <w:tcPr>
            <w:tcW w:w="1257" w:type="dxa"/>
          </w:tcPr>
          <w:p w14:paraId="7C7A9B7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-.211</w:t>
            </w:r>
          </w:p>
        </w:tc>
        <w:tc>
          <w:tcPr>
            <w:tcW w:w="1251" w:type="dxa"/>
          </w:tcPr>
          <w:p w14:paraId="06AB91A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1.107</w:t>
            </w:r>
          </w:p>
        </w:tc>
        <w:tc>
          <w:tcPr>
            <w:tcW w:w="1395" w:type="dxa"/>
          </w:tcPr>
          <w:p w14:paraId="7F008B83"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 </w:t>
            </w:r>
          </w:p>
        </w:tc>
        <w:tc>
          <w:tcPr>
            <w:tcW w:w="921" w:type="dxa"/>
          </w:tcPr>
          <w:p w14:paraId="52F50F7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-.191</w:t>
            </w:r>
          </w:p>
        </w:tc>
        <w:tc>
          <w:tcPr>
            <w:tcW w:w="913" w:type="dxa"/>
          </w:tcPr>
          <w:p w14:paraId="1E5FDB4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.851</w:t>
            </w:r>
          </w:p>
        </w:tc>
      </w:tr>
      <w:tr w:rsidR="009968E0" w:rsidRPr="009968E0" w14:paraId="3F85B146" w14:textId="77777777" w:rsidTr="009968E0">
        <w:trPr>
          <w:trHeight w:val="360"/>
        </w:trPr>
        <w:tc>
          <w:tcPr>
            <w:tcW w:w="1387" w:type="dxa"/>
            <w:vMerge/>
          </w:tcPr>
          <w:p w14:paraId="080A18BB"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328" w:type="dxa"/>
            <w:vMerge/>
          </w:tcPr>
          <w:p w14:paraId="06636B32"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612" w:type="dxa"/>
          </w:tcPr>
          <w:p w14:paraId="2F14058D" w14:textId="77777777" w:rsidR="009968E0" w:rsidRPr="009968E0" w:rsidRDefault="009968E0" w:rsidP="009968E0">
            <w:pPr>
              <w:rPr>
                <w:rFonts w:ascii="Calibri" w:eastAsia="Times New Roman" w:hAnsi="Calibri" w:cs="Calibri"/>
                <w:i/>
                <w:iCs/>
                <w:color w:val="000000"/>
                <w:sz w:val="22"/>
                <w:szCs w:val="22"/>
                <w:lang w:eastAsia="en-GB"/>
              </w:rPr>
            </w:pPr>
            <w:proofErr w:type="spellStart"/>
            <w:r w:rsidRPr="009968E0">
              <w:rPr>
                <w:rFonts w:ascii="Calibri" w:eastAsia="Times New Roman" w:hAnsi="Calibri" w:cs="Calibri"/>
                <w:i/>
                <w:iCs/>
                <w:color w:val="000000"/>
                <w:sz w:val="22"/>
                <w:szCs w:val="22"/>
                <w:lang w:eastAsia="en-GB"/>
              </w:rPr>
              <w:t>likertscale_gad</w:t>
            </w:r>
            <w:proofErr w:type="spellEnd"/>
          </w:p>
        </w:tc>
        <w:tc>
          <w:tcPr>
            <w:tcW w:w="1257" w:type="dxa"/>
          </w:tcPr>
          <w:p w14:paraId="2E25C864"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.120</w:t>
            </w:r>
          </w:p>
        </w:tc>
        <w:tc>
          <w:tcPr>
            <w:tcW w:w="1251" w:type="dxa"/>
          </w:tcPr>
          <w:p w14:paraId="7A8579D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.148</w:t>
            </w:r>
          </w:p>
        </w:tc>
        <w:tc>
          <w:tcPr>
            <w:tcW w:w="1395" w:type="dxa"/>
          </w:tcPr>
          <w:p w14:paraId="6D9F50C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.199</w:t>
            </w:r>
          </w:p>
        </w:tc>
        <w:tc>
          <w:tcPr>
            <w:tcW w:w="921" w:type="dxa"/>
          </w:tcPr>
          <w:p w14:paraId="13EB5DF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.814</w:t>
            </w:r>
          </w:p>
        </w:tc>
        <w:tc>
          <w:tcPr>
            <w:tcW w:w="913" w:type="dxa"/>
          </w:tcPr>
          <w:p w14:paraId="47811EC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.427</w:t>
            </w:r>
          </w:p>
        </w:tc>
      </w:tr>
      <w:tr w:rsidR="009968E0" w:rsidRPr="009968E0" w14:paraId="343A30C6"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1387" w:type="dxa"/>
            <w:vMerge w:val="restart"/>
          </w:tcPr>
          <w:p w14:paraId="06EE9822"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DPN</w:t>
            </w:r>
          </w:p>
        </w:tc>
        <w:tc>
          <w:tcPr>
            <w:tcW w:w="328" w:type="dxa"/>
            <w:vMerge w:val="restart"/>
          </w:tcPr>
          <w:p w14:paraId="0A4F11B1"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w:t>
            </w:r>
          </w:p>
        </w:tc>
        <w:tc>
          <w:tcPr>
            <w:tcW w:w="1612" w:type="dxa"/>
          </w:tcPr>
          <w:p w14:paraId="166675C4"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(Constant)</w:t>
            </w:r>
          </w:p>
        </w:tc>
        <w:tc>
          <w:tcPr>
            <w:tcW w:w="1257" w:type="dxa"/>
          </w:tcPr>
          <w:p w14:paraId="73C0981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1.724</w:t>
            </w:r>
          </w:p>
        </w:tc>
        <w:tc>
          <w:tcPr>
            <w:tcW w:w="1251" w:type="dxa"/>
          </w:tcPr>
          <w:p w14:paraId="3E97E44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1.158</w:t>
            </w:r>
          </w:p>
        </w:tc>
        <w:tc>
          <w:tcPr>
            <w:tcW w:w="1395" w:type="dxa"/>
          </w:tcPr>
          <w:p w14:paraId="641C5E1D"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 </w:t>
            </w:r>
          </w:p>
        </w:tc>
        <w:tc>
          <w:tcPr>
            <w:tcW w:w="921" w:type="dxa"/>
          </w:tcPr>
          <w:p w14:paraId="2F5369D5"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1.488</w:t>
            </w:r>
          </w:p>
        </w:tc>
        <w:tc>
          <w:tcPr>
            <w:tcW w:w="913" w:type="dxa"/>
          </w:tcPr>
          <w:p w14:paraId="2E0FEE6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.152</w:t>
            </w:r>
          </w:p>
        </w:tc>
      </w:tr>
      <w:tr w:rsidR="009968E0" w:rsidRPr="009968E0" w14:paraId="0C454C5B" w14:textId="77777777" w:rsidTr="009968E0">
        <w:trPr>
          <w:trHeight w:val="360"/>
        </w:trPr>
        <w:tc>
          <w:tcPr>
            <w:tcW w:w="1387" w:type="dxa"/>
            <w:vMerge/>
          </w:tcPr>
          <w:p w14:paraId="376DF4B8"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328" w:type="dxa"/>
            <w:vMerge/>
          </w:tcPr>
          <w:p w14:paraId="10521A0D"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612" w:type="dxa"/>
          </w:tcPr>
          <w:p w14:paraId="38BE2B15" w14:textId="77777777" w:rsidR="009968E0" w:rsidRPr="009968E0" w:rsidRDefault="009968E0" w:rsidP="009968E0">
            <w:pPr>
              <w:rPr>
                <w:rFonts w:ascii="Calibri" w:eastAsia="Times New Roman" w:hAnsi="Calibri" w:cs="Calibri"/>
                <w:i/>
                <w:iCs/>
                <w:color w:val="000000"/>
                <w:sz w:val="22"/>
                <w:szCs w:val="22"/>
                <w:lang w:eastAsia="en-GB"/>
              </w:rPr>
            </w:pPr>
            <w:proofErr w:type="spellStart"/>
            <w:r w:rsidRPr="009968E0">
              <w:rPr>
                <w:rFonts w:ascii="Calibri" w:eastAsia="Times New Roman" w:hAnsi="Calibri" w:cs="Calibri"/>
                <w:i/>
                <w:iCs/>
                <w:color w:val="000000"/>
                <w:sz w:val="22"/>
                <w:szCs w:val="22"/>
                <w:lang w:eastAsia="en-GB"/>
              </w:rPr>
              <w:t>likertscale_gad</w:t>
            </w:r>
            <w:proofErr w:type="spellEnd"/>
          </w:p>
        </w:tc>
        <w:tc>
          <w:tcPr>
            <w:tcW w:w="1257" w:type="dxa"/>
          </w:tcPr>
          <w:p w14:paraId="72878D9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-.228</w:t>
            </w:r>
          </w:p>
        </w:tc>
        <w:tc>
          <w:tcPr>
            <w:tcW w:w="1251" w:type="dxa"/>
          </w:tcPr>
          <w:p w14:paraId="5550705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.159</w:t>
            </w:r>
          </w:p>
        </w:tc>
        <w:tc>
          <w:tcPr>
            <w:tcW w:w="1395" w:type="dxa"/>
          </w:tcPr>
          <w:p w14:paraId="09F37FC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-.298</w:t>
            </w:r>
          </w:p>
        </w:tc>
        <w:tc>
          <w:tcPr>
            <w:tcW w:w="921" w:type="dxa"/>
          </w:tcPr>
          <w:p w14:paraId="5D79763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-1.433</w:t>
            </w:r>
          </w:p>
        </w:tc>
        <w:tc>
          <w:tcPr>
            <w:tcW w:w="913" w:type="dxa"/>
          </w:tcPr>
          <w:p w14:paraId="17B8168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.167</w:t>
            </w:r>
          </w:p>
        </w:tc>
      </w:tr>
      <w:tr w:rsidR="009968E0" w:rsidRPr="009968E0" w14:paraId="69CE5DAA"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1387" w:type="dxa"/>
            <w:vMerge w:val="restart"/>
          </w:tcPr>
          <w:p w14:paraId="598EF694"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Arial" w:hAnsi="Calibri" w:cs="Calibri"/>
                <w:i/>
                <w:iCs/>
                <w:color w:val="000000"/>
                <w:sz w:val="22"/>
                <w:szCs w:val="22"/>
                <w:lang w:eastAsia="en-GB"/>
              </w:rPr>
              <w:lastRenderedPageBreak/>
              <w:t>DM-NN</w:t>
            </w:r>
          </w:p>
        </w:tc>
        <w:tc>
          <w:tcPr>
            <w:tcW w:w="328" w:type="dxa"/>
            <w:vMerge w:val="restart"/>
          </w:tcPr>
          <w:p w14:paraId="5C967C75"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w:t>
            </w:r>
          </w:p>
        </w:tc>
        <w:tc>
          <w:tcPr>
            <w:tcW w:w="1612" w:type="dxa"/>
          </w:tcPr>
          <w:p w14:paraId="1431758A"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(Constant)</w:t>
            </w:r>
          </w:p>
        </w:tc>
        <w:tc>
          <w:tcPr>
            <w:tcW w:w="1257" w:type="dxa"/>
          </w:tcPr>
          <w:p w14:paraId="4876EB3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1.841</w:t>
            </w:r>
          </w:p>
        </w:tc>
        <w:tc>
          <w:tcPr>
            <w:tcW w:w="1251" w:type="dxa"/>
          </w:tcPr>
          <w:p w14:paraId="152ADD7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2.338</w:t>
            </w:r>
          </w:p>
        </w:tc>
        <w:tc>
          <w:tcPr>
            <w:tcW w:w="1395" w:type="dxa"/>
          </w:tcPr>
          <w:p w14:paraId="287F36C9"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 </w:t>
            </w:r>
          </w:p>
        </w:tc>
        <w:tc>
          <w:tcPr>
            <w:tcW w:w="921" w:type="dxa"/>
          </w:tcPr>
          <w:p w14:paraId="33658FF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.788</w:t>
            </w:r>
          </w:p>
        </w:tc>
        <w:tc>
          <w:tcPr>
            <w:tcW w:w="913" w:type="dxa"/>
          </w:tcPr>
          <w:p w14:paraId="5A50D37E"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.448</w:t>
            </w:r>
          </w:p>
        </w:tc>
      </w:tr>
      <w:tr w:rsidR="009968E0" w:rsidRPr="009968E0" w14:paraId="62B35924" w14:textId="77777777" w:rsidTr="009968E0">
        <w:trPr>
          <w:trHeight w:val="360"/>
        </w:trPr>
        <w:tc>
          <w:tcPr>
            <w:tcW w:w="1387" w:type="dxa"/>
            <w:vMerge/>
          </w:tcPr>
          <w:p w14:paraId="2CEC3B3E"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328" w:type="dxa"/>
            <w:vMerge/>
          </w:tcPr>
          <w:p w14:paraId="7DA9965B"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612" w:type="dxa"/>
          </w:tcPr>
          <w:p w14:paraId="6DFA2348" w14:textId="77777777" w:rsidR="009968E0" w:rsidRPr="009968E0" w:rsidRDefault="009968E0" w:rsidP="009968E0">
            <w:pPr>
              <w:rPr>
                <w:rFonts w:ascii="Calibri" w:eastAsia="Times New Roman" w:hAnsi="Calibri" w:cs="Calibri"/>
                <w:i/>
                <w:iCs/>
                <w:color w:val="000000"/>
                <w:sz w:val="22"/>
                <w:szCs w:val="22"/>
                <w:lang w:eastAsia="en-GB"/>
              </w:rPr>
            </w:pPr>
            <w:proofErr w:type="spellStart"/>
            <w:r w:rsidRPr="009968E0">
              <w:rPr>
                <w:rFonts w:ascii="Calibri" w:eastAsia="Times New Roman" w:hAnsi="Calibri" w:cs="Calibri"/>
                <w:i/>
                <w:iCs/>
                <w:color w:val="000000"/>
                <w:sz w:val="22"/>
                <w:szCs w:val="22"/>
                <w:lang w:eastAsia="en-GB"/>
              </w:rPr>
              <w:t>likertscale_gad</w:t>
            </w:r>
            <w:proofErr w:type="spellEnd"/>
          </w:p>
        </w:tc>
        <w:tc>
          <w:tcPr>
            <w:tcW w:w="1257" w:type="dxa"/>
          </w:tcPr>
          <w:p w14:paraId="302875A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-.225</w:t>
            </w:r>
          </w:p>
        </w:tc>
        <w:tc>
          <w:tcPr>
            <w:tcW w:w="1251" w:type="dxa"/>
          </w:tcPr>
          <w:p w14:paraId="1B370C5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.310</w:t>
            </w:r>
          </w:p>
        </w:tc>
        <w:tc>
          <w:tcPr>
            <w:tcW w:w="1395" w:type="dxa"/>
          </w:tcPr>
          <w:p w14:paraId="29E1630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-.214</w:t>
            </w:r>
          </w:p>
        </w:tc>
        <w:tc>
          <w:tcPr>
            <w:tcW w:w="921" w:type="dxa"/>
          </w:tcPr>
          <w:p w14:paraId="46A12CA8"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-.727</w:t>
            </w:r>
          </w:p>
        </w:tc>
        <w:tc>
          <w:tcPr>
            <w:tcW w:w="913" w:type="dxa"/>
          </w:tcPr>
          <w:p w14:paraId="303B0173"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.483</w:t>
            </w:r>
          </w:p>
        </w:tc>
      </w:tr>
      <w:tr w:rsidR="009968E0" w:rsidRPr="009968E0" w14:paraId="63CA618D"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1387" w:type="dxa"/>
            <w:vMerge w:val="restart"/>
          </w:tcPr>
          <w:p w14:paraId="156F950B"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HV</w:t>
            </w:r>
          </w:p>
        </w:tc>
        <w:tc>
          <w:tcPr>
            <w:tcW w:w="328" w:type="dxa"/>
            <w:vMerge w:val="restart"/>
          </w:tcPr>
          <w:p w14:paraId="74B58E1A"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w:t>
            </w:r>
          </w:p>
        </w:tc>
        <w:tc>
          <w:tcPr>
            <w:tcW w:w="1612" w:type="dxa"/>
          </w:tcPr>
          <w:p w14:paraId="741963BE"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(Constant)</w:t>
            </w:r>
          </w:p>
        </w:tc>
        <w:tc>
          <w:tcPr>
            <w:tcW w:w="1257" w:type="dxa"/>
          </w:tcPr>
          <w:p w14:paraId="0D146A3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4.052</w:t>
            </w:r>
          </w:p>
        </w:tc>
        <w:tc>
          <w:tcPr>
            <w:tcW w:w="1251" w:type="dxa"/>
          </w:tcPr>
          <w:p w14:paraId="633C3D2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1.447</w:t>
            </w:r>
          </w:p>
        </w:tc>
        <w:tc>
          <w:tcPr>
            <w:tcW w:w="1395" w:type="dxa"/>
          </w:tcPr>
          <w:p w14:paraId="19034509"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 </w:t>
            </w:r>
          </w:p>
        </w:tc>
        <w:tc>
          <w:tcPr>
            <w:tcW w:w="921" w:type="dxa"/>
          </w:tcPr>
          <w:p w14:paraId="2D7C166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2.801</w:t>
            </w:r>
          </w:p>
        </w:tc>
        <w:tc>
          <w:tcPr>
            <w:tcW w:w="913" w:type="dxa"/>
          </w:tcPr>
          <w:p w14:paraId="0C7446B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.012</w:t>
            </w:r>
          </w:p>
        </w:tc>
      </w:tr>
      <w:tr w:rsidR="009968E0" w:rsidRPr="009968E0" w14:paraId="49595C58" w14:textId="77777777" w:rsidTr="009968E0">
        <w:trPr>
          <w:trHeight w:val="360"/>
        </w:trPr>
        <w:tc>
          <w:tcPr>
            <w:tcW w:w="1387" w:type="dxa"/>
            <w:vMerge/>
          </w:tcPr>
          <w:p w14:paraId="660D5475"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328" w:type="dxa"/>
            <w:vMerge/>
          </w:tcPr>
          <w:p w14:paraId="286DFE79"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612" w:type="dxa"/>
          </w:tcPr>
          <w:p w14:paraId="1EC82600" w14:textId="77777777" w:rsidR="009968E0" w:rsidRPr="009968E0" w:rsidRDefault="009968E0" w:rsidP="009968E0">
            <w:pPr>
              <w:rPr>
                <w:rFonts w:ascii="Calibri" w:eastAsia="Times New Roman" w:hAnsi="Calibri" w:cs="Calibri"/>
                <w:i/>
                <w:iCs/>
                <w:color w:val="000000"/>
                <w:sz w:val="22"/>
                <w:szCs w:val="22"/>
                <w:lang w:eastAsia="en-GB"/>
              </w:rPr>
            </w:pPr>
            <w:proofErr w:type="spellStart"/>
            <w:r w:rsidRPr="009968E0">
              <w:rPr>
                <w:rFonts w:ascii="Calibri" w:eastAsia="Times New Roman" w:hAnsi="Calibri" w:cs="Calibri"/>
                <w:i/>
                <w:iCs/>
                <w:color w:val="000000"/>
                <w:sz w:val="22"/>
                <w:szCs w:val="22"/>
                <w:lang w:eastAsia="en-GB"/>
              </w:rPr>
              <w:t>likertscale_gad</w:t>
            </w:r>
            <w:proofErr w:type="spellEnd"/>
          </w:p>
        </w:tc>
        <w:tc>
          <w:tcPr>
            <w:tcW w:w="1257" w:type="dxa"/>
          </w:tcPr>
          <w:p w14:paraId="7F6690C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-.638</w:t>
            </w:r>
          </w:p>
        </w:tc>
        <w:tc>
          <w:tcPr>
            <w:tcW w:w="1251" w:type="dxa"/>
          </w:tcPr>
          <w:p w14:paraId="1CCC5C9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.208</w:t>
            </w:r>
          </w:p>
        </w:tc>
        <w:tc>
          <w:tcPr>
            <w:tcW w:w="1395" w:type="dxa"/>
          </w:tcPr>
          <w:p w14:paraId="6709A98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-.596</w:t>
            </w:r>
          </w:p>
        </w:tc>
        <w:tc>
          <w:tcPr>
            <w:tcW w:w="921" w:type="dxa"/>
          </w:tcPr>
          <w:p w14:paraId="78B8BC1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-3.061</w:t>
            </w:r>
          </w:p>
        </w:tc>
        <w:tc>
          <w:tcPr>
            <w:tcW w:w="913" w:type="dxa"/>
          </w:tcPr>
          <w:p w14:paraId="62148C5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.007</w:t>
            </w:r>
          </w:p>
        </w:tc>
      </w:tr>
      <w:tr w:rsidR="009968E0" w:rsidRPr="009968E0" w14:paraId="05DE2E6F" w14:textId="77777777" w:rsidTr="009968E0">
        <w:trPr>
          <w:cnfStyle w:val="000000100000" w:firstRow="0" w:lastRow="0" w:firstColumn="0" w:lastColumn="0" w:oddVBand="0" w:evenVBand="0" w:oddHBand="1" w:evenHBand="0" w:firstRowFirstColumn="0" w:firstRowLastColumn="0" w:lastRowFirstColumn="0" w:lastRowLastColumn="0"/>
          <w:trHeight w:val="380"/>
        </w:trPr>
        <w:tc>
          <w:tcPr>
            <w:tcW w:w="9064" w:type="dxa"/>
            <w:gridSpan w:val="8"/>
          </w:tcPr>
          <w:p w14:paraId="04387B48" w14:textId="6D65635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 xml:space="preserve">a. Dependent Variable: </w:t>
            </w:r>
            <w:r w:rsidR="0068219A">
              <w:rPr>
                <w:rFonts w:ascii="Calibri" w:eastAsia="Times New Roman" w:hAnsi="Calibri" w:cs="Calibri"/>
                <w:i/>
                <w:iCs/>
                <w:color w:val="000000"/>
                <w:sz w:val="22"/>
                <w:szCs w:val="22"/>
                <w:lang w:eastAsia="en-GB"/>
              </w:rPr>
              <w:t>Δ</w:t>
            </w:r>
            <w:r w:rsidRPr="009968E0">
              <w:rPr>
                <w:rFonts w:ascii="Calibri" w:eastAsia="Times New Roman" w:hAnsi="Calibri" w:cs="Calibri"/>
                <w:i/>
                <w:iCs/>
                <w:color w:val="000000"/>
                <w:sz w:val="22"/>
                <w:szCs w:val="22"/>
                <w:lang w:eastAsia="en-GB"/>
              </w:rPr>
              <w:t>_TTP_</w:t>
            </w:r>
            <w:r w:rsidR="0068219A">
              <w:rPr>
                <w:rFonts w:ascii="Calibri" w:eastAsia="Times New Roman" w:hAnsi="Calibri" w:cs="Calibri"/>
                <w:i/>
                <w:iCs/>
                <w:color w:val="000000"/>
                <w:sz w:val="22"/>
                <w:szCs w:val="22"/>
                <w:lang w:eastAsia="en-GB"/>
              </w:rPr>
              <w:t>RPSC</w:t>
            </w:r>
          </w:p>
        </w:tc>
      </w:tr>
    </w:tbl>
    <w:p w14:paraId="37A8116C" w14:textId="77777777" w:rsidR="009968E0" w:rsidRPr="009968E0" w:rsidRDefault="009968E0" w:rsidP="009968E0">
      <w:pPr>
        <w:rPr>
          <w:rFonts w:eastAsia="MS Mincho" w:cs="Times New Roman"/>
          <w:i/>
          <w:iCs/>
          <w:color w:val="1F497D"/>
        </w:rPr>
      </w:pPr>
    </w:p>
    <w:p w14:paraId="37102FA2" w14:textId="77777777" w:rsidR="009968E0" w:rsidRPr="009968E0" w:rsidRDefault="009968E0" w:rsidP="007D16C6">
      <w:pPr>
        <w:pStyle w:val="Quote"/>
      </w:pPr>
      <w:bookmarkStart w:id="726" w:name="_Toc48406177"/>
      <w:bookmarkStart w:id="727" w:name="_Toc49273389"/>
      <w:bookmarkStart w:id="728" w:name="_Toc64724141"/>
      <w:r w:rsidRPr="009968E0">
        <w:t>Table D.34: ANOVA comparing regression slopes and intercepts for statistical significance for delta TTP_LPSC</w:t>
      </w:r>
      <w:bookmarkEnd w:id="726"/>
      <w:bookmarkEnd w:id="727"/>
      <w:bookmarkEnd w:id="728"/>
    </w:p>
    <w:tbl>
      <w:tblPr>
        <w:tblStyle w:val="GridTable2-Accent212"/>
        <w:tblW w:w="9064" w:type="dxa"/>
        <w:tblBorders>
          <w:top w:val="single" w:sz="4" w:space="0" w:color="auto"/>
          <w:left w:val="single" w:sz="4" w:space="0" w:color="auto"/>
          <w:bottom w:val="single" w:sz="4" w:space="0" w:color="auto"/>
          <w:right w:val="single" w:sz="4" w:space="0" w:color="auto"/>
        </w:tblBorders>
        <w:tblLayout w:type="fixed"/>
        <w:tblLook w:val="0400" w:firstRow="0" w:lastRow="0" w:firstColumn="0" w:lastColumn="0" w:noHBand="0" w:noVBand="1"/>
      </w:tblPr>
      <w:tblGrid>
        <w:gridCol w:w="2851"/>
        <w:gridCol w:w="1518"/>
        <w:gridCol w:w="1995"/>
        <w:gridCol w:w="1594"/>
        <w:gridCol w:w="1106"/>
      </w:tblGrid>
      <w:tr w:rsidR="009968E0" w:rsidRPr="009968E0" w14:paraId="079C77A0" w14:textId="77777777" w:rsidTr="009968E0">
        <w:trPr>
          <w:cnfStyle w:val="000000100000" w:firstRow="0" w:lastRow="0" w:firstColumn="0" w:lastColumn="0" w:oddVBand="0" w:evenVBand="0" w:oddHBand="1" w:evenHBand="0" w:firstRowFirstColumn="0" w:firstRowLastColumn="0" w:lastRowFirstColumn="0" w:lastRowLastColumn="0"/>
          <w:trHeight w:val="680"/>
        </w:trPr>
        <w:tc>
          <w:tcPr>
            <w:tcW w:w="2851" w:type="dxa"/>
          </w:tcPr>
          <w:p w14:paraId="03001DD1"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Model</w:t>
            </w:r>
          </w:p>
        </w:tc>
        <w:tc>
          <w:tcPr>
            <w:tcW w:w="1518" w:type="dxa"/>
          </w:tcPr>
          <w:p w14:paraId="368484BD"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df</w:t>
            </w:r>
          </w:p>
        </w:tc>
        <w:tc>
          <w:tcPr>
            <w:tcW w:w="1995" w:type="dxa"/>
          </w:tcPr>
          <w:p w14:paraId="14E507C7"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F</w:t>
            </w:r>
          </w:p>
        </w:tc>
        <w:tc>
          <w:tcPr>
            <w:tcW w:w="1594" w:type="dxa"/>
          </w:tcPr>
          <w:p w14:paraId="316821DB"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Sig.</w:t>
            </w:r>
          </w:p>
        </w:tc>
        <w:tc>
          <w:tcPr>
            <w:tcW w:w="1106" w:type="dxa"/>
          </w:tcPr>
          <w:p w14:paraId="02E789C2"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R Square Change</w:t>
            </w:r>
          </w:p>
        </w:tc>
      </w:tr>
      <w:tr w:rsidR="009968E0" w:rsidRPr="009968E0" w14:paraId="1359376B" w14:textId="77777777" w:rsidTr="009968E0">
        <w:trPr>
          <w:trHeight w:val="360"/>
        </w:trPr>
        <w:tc>
          <w:tcPr>
            <w:tcW w:w="2851" w:type="dxa"/>
          </w:tcPr>
          <w:p w14:paraId="18A5E5AF" w14:textId="77777777" w:rsidR="009968E0" w:rsidRPr="009968E0" w:rsidRDefault="009968E0" w:rsidP="009968E0">
            <w:pPr>
              <w:rPr>
                <w:rFonts w:ascii="Calibri" w:eastAsia="Times New Roman" w:hAnsi="Calibri" w:cs="Calibri"/>
                <w:i/>
                <w:iCs/>
                <w:color w:val="000000"/>
                <w:sz w:val="22"/>
                <w:szCs w:val="22"/>
                <w:lang w:eastAsia="en-GB"/>
              </w:rPr>
            </w:pPr>
            <w:proofErr w:type="spellStart"/>
            <w:r w:rsidRPr="009968E0">
              <w:rPr>
                <w:rFonts w:ascii="Calibri" w:eastAsia="Times New Roman" w:hAnsi="Calibri" w:cs="Calibri"/>
                <w:i/>
                <w:iCs/>
                <w:color w:val="000000"/>
                <w:sz w:val="22"/>
                <w:szCs w:val="22"/>
                <w:lang w:eastAsia="en-GB"/>
              </w:rPr>
              <w:t>likert_centred</w:t>
            </w:r>
            <w:proofErr w:type="spellEnd"/>
          </w:p>
        </w:tc>
        <w:tc>
          <w:tcPr>
            <w:tcW w:w="1518" w:type="dxa"/>
          </w:tcPr>
          <w:p w14:paraId="2F6929A8"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w:t>
            </w:r>
          </w:p>
        </w:tc>
        <w:tc>
          <w:tcPr>
            <w:tcW w:w="1995" w:type="dxa"/>
          </w:tcPr>
          <w:p w14:paraId="706FDA5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.518</w:t>
            </w:r>
          </w:p>
        </w:tc>
        <w:tc>
          <w:tcPr>
            <w:tcW w:w="1594" w:type="dxa"/>
          </w:tcPr>
          <w:p w14:paraId="0E1969E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.474</w:t>
            </w:r>
            <w:r w:rsidRPr="009968E0">
              <w:rPr>
                <w:rFonts w:ascii="Calibri" w:eastAsia="Times New Roman" w:hAnsi="Calibri" w:cs="Calibri"/>
                <w:i/>
                <w:iCs/>
                <w:color w:val="000000"/>
                <w:sz w:val="22"/>
                <w:szCs w:val="22"/>
                <w:vertAlign w:val="superscript"/>
                <w:lang w:eastAsia="en-GB"/>
              </w:rPr>
              <w:t>a</w:t>
            </w:r>
          </w:p>
        </w:tc>
        <w:tc>
          <w:tcPr>
            <w:tcW w:w="1106" w:type="dxa"/>
          </w:tcPr>
          <w:p w14:paraId="7FFFCC9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.006</w:t>
            </w:r>
          </w:p>
        </w:tc>
      </w:tr>
      <w:tr w:rsidR="009968E0" w:rsidRPr="009968E0" w14:paraId="75426B03" w14:textId="77777777" w:rsidTr="009968E0">
        <w:trPr>
          <w:cnfStyle w:val="000000100000" w:firstRow="0" w:lastRow="0" w:firstColumn="0" w:lastColumn="0" w:oddVBand="0" w:evenVBand="0" w:oddHBand="1" w:evenHBand="0" w:firstRowFirstColumn="0" w:firstRowLastColumn="0" w:lastRowFirstColumn="0" w:lastRowLastColumn="0"/>
          <w:trHeight w:val="1040"/>
        </w:trPr>
        <w:tc>
          <w:tcPr>
            <w:tcW w:w="2851" w:type="dxa"/>
          </w:tcPr>
          <w:p w14:paraId="60AFC6EE" w14:textId="77777777" w:rsidR="009968E0" w:rsidRPr="009968E0" w:rsidRDefault="009968E0" w:rsidP="009968E0">
            <w:pPr>
              <w:rPr>
                <w:rFonts w:ascii="Calibri" w:eastAsia="Times New Roman" w:hAnsi="Calibri" w:cs="Calibri"/>
                <w:i/>
                <w:iCs/>
                <w:color w:val="000000"/>
                <w:sz w:val="22"/>
                <w:szCs w:val="22"/>
                <w:lang w:eastAsia="en-GB"/>
              </w:rPr>
            </w:pPr>
            <w:proofErr w:type="spellStart"/>
            <w:r w:rsidRPr="009968E0">
              <w:rPr>
                <w:rFonts w:ascii="Calibri" w:eastAsia="Times New Roman" w:hAnsi="Calibri" w:cs="Calibri"/>
                <w:i/>
                <w:iCs/>
                <w:color w:val="000000"/>
                <w:sz w:val="22"/>
                <w:szCs w:val="22"/>
                <w:lang w:eastAsia="en-GB"/>
              </w:rPr>
              <w:t>Intercept_</w:t>
            </w:r>
            <w:r w:rsidRPr="009968E0">
              <w:rPr>
                <w:rFonts w:ascii="Calibri" w:eastAsia="Arial" w:hAnsi="Calibri" w:cs="Calibri"/>
                <w:i/>
                <w:iCs/>
                <w:color w:val="000000"/>
                <w:sz w:val="22"/>
                <w:szCs w:val="22"/>
                <w:lang w:eastAsia="en-GB"/>
              </w:rPr>
              <w:t>P-DPN</w:t>
            </w:r>
            <w:r w:rsidRPr="009968E0">
              <w:rPr>
                <w:rFonts w:ascii="Calibri" w:eastAsia="Times New Roman" w:hAnsi="Calibri" w:cs="Calibri"/>
                <w:i/>
                <w:iCs/>
                <w:color w:val="000000"/>
                <w:sz w:val="22"/>
                <w:szCs w:val="22"/>
                <w:lang w:eastAsia="en-GB"/>
              </w:rPr>
              <w:t>_vs_DPN</w:t>
            </w:r>
            <w:proofErr w:type="spellEnd"/>
            <w:r w:rsidRPr="009968E0">
              <w:rPr>
                <w:rFonts w:ascii="Calibri" w:eastAsia="Times New Roman" w:hAnsi="Calibri" w:cs="Calibri"/>
                <w:i/>
                <w:iCs/>
                <w:color w:val="000000"/>
                <w:sz w:val="22"/>
                <w:szCs w:val="22"/>
                <w:lang w:eastAsia="en-GB"/>
              </w:rPr>
              <w:t xml:space="preserve">, </w:t>
            </w:r>
            <w:proofErr w:type="spellStart"/>
            <w:r w:rsidRPr="009968E0">
              <w:rPr>
                <w:rFonts w:ascii="Calibri" w:eastAsia="Times New Roman" w:hAnsi="Calibri" w:cs="Calibri"/>
                <w:i/>
                <w:iCs/>
                <w:color w:val="000000"/>
                <w:sz w:val="22"/>
                <w:szCs w:val="22"/>
                <w:lang w:eastAsia="en-GB"/>
              </w:rPr>
              <w:t>Intercept_</w:t>
            </w:r>
            <w:r w:rsidRPr="009968E0">
              <w:rPr>
                <w:rFonts w:ascii="Calibri" w:eastAsia="Arial" w:hAnsi="Calibri" w:cs="Calibri"/>
                <w:i/>
                <w:iCs/>
                <w:color w:val="000000"/>
                <w:sz w:val="22"/>
                <w:szCs w:val="22"/>
                <w:lang w:eastAsia="en-GB"/>
              </w:rPr>
              <w:t>P-DPN</w:t>
            </w:r>
            <w:r w:rsidRPr="009968E0">
              <w:rPr>
                <w:rFonts w:ascii="Calibri" w:eastAsia="Times New Roman" w:hAnsi="Calibri" w:cs="Calibri"/>
                <w:i/>
                <w:iCs/>
                <w:color w:val="000000"/>
                <w:sz w:val="22"/>
                <w:szCs w:val="22"/>
                <w:lang w:eastAsia="en-GB"/>
              </w:rPr>
              <w:t>_vs_DM_NN</w:t>
            </w:r>
            <w:proofErr w:type="spellEnd"/>
            <w:r w:rsidRPr="009968E0">
              <w:rPr>
                <w:rFonts w:ascii="Calibri" w:eastAsia="Times New Roman" w:hAnsi="Calibri" w:cs="Calibri"/>
                <w:i/>
                <w:iCs/>
                <w:color w:val="000000"/>
                <w:sz w:val="22"/>
                <w:szCs w:val="22"/>
                <w:lang w:eastAsia="en-GB"/>
              </w:rPr>
              <w:t xml:space="preserve">, </w:t>
            </w:r>
            <w:proofErr w:type="spellStart"/>
            <w:r w:rsidRPr="009968E0">
              <w:rPr>
                <w:rFonts w:ascii="Calibri" w:eastAsia="Times New Roman" w:hAnsi="Calibri" w:cs="Calibri"/>
                <w:i/>
                <w:iCs/>
                <w:color w:val="000000"/>
                <w:sz w:val="22"/>
                <w:szCs w:val="22"/>
                <w:lang w:eastAsia="en-GB"/>
              </w:rPr>
              <w:t>Intercept_</w:t>
            </w:r>
            <w:r w:rsidRPr="009968E0">
              <w:rPr>
                <w:rFonts w:ascii="Calibri" w:eastAsia="Arial" w:hAnsi="Calibri" w:cs="Calibri"/>
                <w:i/>
                <w:iCs/>
                <w:color w:val="000000"/>
                <w:sz w:val="22"/>
                <w:szCs w:val="22"/>
                <w:lang w:eastAsia="en-GB"/>
              </w:rPr>
              <w:t>P-DPN</w:t>
            </w:r>
            <w:r w:rsidRPr="009968E0">
              <w:rPr>
                <w:rFonts w:ascii="Calibri" w:eastAsia="Times New Roman" w:hAnsi="Calibri" w:cs="Calibri"/>
                <w:i/>
                <w:iCs/>
                <w:color w:val="000000"/>
                <w:sz w:val="22"/>
                <w:szCs w:val="22"/>
                <w:lang w:eastAsia="en-GB"/>
              </w:rPr>
              <w:t>_vs_HV</w:t>
            </w:r>
            <w:proofErr w:type="spellEnd"/>
          </w:p>
        </w:tc>
        <w:tc>
          <w:tcPr>
            <w:tcW w:w="1518" w:type="dxa"/>
          </w:tcPr>
          <w:p w14:paraId="526F881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3</w:t>
            </w:r>
          </w:p>
        </w:tc>
        <w:tc>
          <w:tcPr>
            <w:tcW w:w="1995" w:type="dxa"/>
          </w:tcPr>
          <w:p w14:paraId="1BC54003"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3.436</w:t>
            </w:r>
          </w:p>
        </w:tc>
        <w:tc>
          <w:tcPr>
            <w:tcW w:w="1594" w:type="dxa"/>
          </w:tcPr>
          <w:p w14:paraId="79358283"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.022</w:t>
            </w:r>
            <w:r w:rsidRPr="009968E0">
              <w:rPr>
                <w:rFonts w:ascii="Calibri" w:eastAsia="Times New Roman" w:hAnsi="Calibri" w:cs="Calibri"/>
                <w:i/>
                <w:iCs/>
                <w:color w:val="000000"/>
                <w:sz w:val="22"/>
                <w:szCs w:val="22"/>
                <w:vertAlign w:val="superscript"/>
                <w:lang w:eastAsia="en-GB"/>
              </w:rPr>
              <w:t>a</w:t>
            </w:r>
          </w:p>
        </w:tc>
        <w:tc>
          <w:tcPr>
            <w:tcW w:w="1106" w:type="dxa"/>
          </w:tcPr>
          <w:p w14:paraId="14DCCA1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.119</w:t>
            </w:r>
          </w:p>
        </w:tc>
      </w:tr>
      <w:tr w:rsidR="009968E0" w:rsidRPr="009968E0" w14:paraId="7644DF18" w14:textId="77777777" w:rsidTr="009968E0">
        <w:trPr>
          <w:trHeight w:val="1060"/>
        </w:trPr>
        <w:tc>
          <w:tcPr>
            <w:tcW w:w="2851" w:type="dxa"/>
          </w:tcPr>
          <w:p w14:paraId="10103FF0" w14:textId="77777777" w:rsidR="009968E0" w:rsidRPr="009968E0" w:rsidRDefault="009968E0" w:rsidP="009968E0">
            <w:pPr>
              <w:rPr>
                <w:rFonts w:ascii="Calibri" w:eastAsia="Times New Roman" w:hAnsi="Calibri" w:cs="Calibri"/>
                <w:i/>
                <w:iCs/>
                <w:color w:val="000000"/>
                <w:sz w:val="22"/>
                <w:szCs w:val="22"/>
                <w:lang w:eastAsia="en-GB"/>
              </w:rPr>
            </w:pPr>
            <w:proofErr w:type="spellStart"/>
            <w:r w:rsidRPr="009968E0">
              <w:rPr>
                <w:rFonts w:ascii="Calibri" w:eastAsia="Times New Roman" w:hAnsi="Calibri" w:cs="Calibri"/>
                <w:i/>
                <w:iCs/>
                <w:color w:val="000000"/>
                <w:sz w:val="22"/>
                <w:szCs w:val="22"/>
                <w:lang w:eastAsia="en-GB"/>
              </w:rPr>
              <w:t>Slope_</w:t>
            </w:r>
            <w:r w:rsidRPr="009968E0">
              <w:rPr>
                <w:rFonts w:ascii="Calibri" w:eastAsia="Arial" w:hAnsi="Calibri" w:cs="Calibri"/>
                <w:i/>
                <w:iCs/>
                <w:color w:val="000000"/>
                <w:sz w:val="22"/>
                <w:szCs w:val="22"/>
                <w:lang w:eastAsia="en-GB"/>
              </w:rPr>
              <w:t>P-DPN</w:t>
            </w:r>
            <w:r w:rsidRPr="009968E0">
              <w:rPr>
                <w:rFonts w:ascii="Calibri" w:eastAsia="Times New Roman" w:hAnsi="Calibri" w:cs="Calibri"/>
                <w:i/>
                <w:iCs/>
                <w:color w:val="000000"/>
                <w:sz w:val="22"/>
                <w:szCs w:val="22"/>
                <w:lang w:eastAsia="en-GB"/>
              </w:rPr>
              <w:t>_vs_DPN</w:t>
            </w:r>
            <w:proofErr w:type="spellEnd"/>
            <w:r w:rsidRPr="009968E0">
              <w:rPr>
                <w:rFonts w:ascii="Calibri" w:eastAsia="Times New Roman" w:hAnsi="Calibri" w:cs="Calibri"/>
                <w:i/>
                <w:iCs/>
                <w:color w:val="000000"/>
                <w:sz w:val="22"/>
                <w:szCs w:val="22"/>
                <w:lang w:eastAsia="en-GB"/>
              </w:rPr>
              <w:t xml:space="preserve">, </w:t>
            </w:r>
            <w:proofErr w:type="spellStart"/>
            <w:r w:rsidRPr="009968E0">
              <w:rPr>
                <w:rFonts w:ascii="Calibri" w:eastAsia="Times New Roman" w:hAnsi="Calibri" w:cs="Calibri"/>
                <w:i/>
                <w:iCs/>
                <w:color w:val="000000"/>
                <w:sz w:val="22"/>
                <w:szCs w:val="22"/>
                <w:lang w:eastAsia="en-GB"/>
              </w:rPr>
              <w:t>Slope_</w:t>
            </w:r>
            <w:r w:rsidRPr="009968E0">
              <w:rPr>
                <w:rFonts w:ascii="Calibri" w:eastAsia="Arial" w:hAnsi="Calibri" w:cs="Calibri"/>
                <w:i/>
                <w:iCs/>
                <w:color w:val="000000"/>
                <w:sz w:val="22"/>
                <w:szCs w:val="22"/>
                <w:lang w:eastAsia="en-GB"/>
              </w:rPr>
              <w:t>P-DPN</w:t>
            </w:r>
            <w:r w:rsidRPr="009968E0">
              <w:rPr>
                <w:rFonts w:ascii="Calibri" w:eastAsia="Times New Roman" w:hAnsi="Calibri" w:cs="Calibri"/>
                <w:i/>
                <w:iCs/>
                <w:color w:val="000000"/>
                <w:sz w:val="22"/>
                <w:szCs w:val="22"/>
                <w:lang w:eastAsia="en-GB"/>
              </w:rPr>
              <w:t>_vs_DM_NN</w:t>
            </w:r>
            <w:proofErr w:type="spellEnd"/>
            <w:r w:rsidRPr="009968E0">
              <w:rPr>
                <w:rFonts w:ascii="Calibri" w:eastAsia="Times New Roman" w:hAnsi="Calibri" w:cs="Calibri"/>
                <w:i/>
                <w:iCs/>
                <w:color w:val="000000"/>
                <w:sz w:val="22"/>
                <w:szCs w:val="22"/>
                <w:lang w:eastAsia="en-GB"/>
              </w:rPr>
              <w:t xml:space="preserve">, </w:t>
            </w:r>
            <w:proofErr w:type="spellStart"/>
            <w:r w:rsidRPr="009968E0">
              <w:rPr>
                <w:rFonts w:ascii="Calibri" w:eastAsia="Times New Roman" w:hAnsi="Calibri" w:cs="Calibri"/>
                <w:i/>
                <w:iCs/>
                <w:color w:val="000000"/>
                <w:sz w:val="22"/>
                <w:szCs w:val="22"/>
                <w:lang w:eastAsia="en-GB"/>
              </w:rPr>
              <w:t>Slope_</w:t>
            </w:r>
            <w:r w:rsidRPr="009968E0">
              <w:rPr>
                <w:rFonts w:ascii="Calibri" w:eastAsia="Arial" w:hAnsi="Calibri" w:cs="Calibri"/>
                <w:i/>
                <w:iCs/>
                <w:color w:val="000000"/>
                <w:sz w:val="22"/>
                <w:szCs w:val="22"/>
                <w:lang w:eastAsia="en-GB"/>
              </w:rPr>
              <w:t>P-DPN</w:t>
            </w:r>
            <w:r w:rsidRPr="009968E0">
              <w:rPr>
                <w:rFonts w:ascii="Calibri" w:eastAsia="Times New Roman" w:hAnsi="Calibri" w:cs="Calibri"/>
                <w:i/>
                <w:iCs/>
                <w:color w:val="000000"/>
                <w:sz w:val="22"/>
                <w:szCs w:val="22"/>
                <w:lang w:eastAsia="en-GB"/>
              </w:rPr>
              <w:t>_vs_HV</w:t>
            </w:r>
            <w:proofErr w:type="spellEnd"/>
          </w:p>
        </w:tc>
        <w:tc>
          <w:tcPr>
            <w:tcW w:w="1518" w:type="dxa"/>
          </w:tcPr>
          <w:p w14:paraId="5A7198C0"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3</w:t>
            </w:r>
          </w:p>
        </w:tc>
        <w:tc>
          <w:tcPr>
            <w:tcW w:w="1995" w:type="dxa"/>
          </w:tcPr>
          <w:p w14:paraId="52FDF14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2.778</w:t>
            </w:r>
          </w:p>
        </w:tc>
        <w:tc>
          <w:tcPr>
            <w:tcW w:w="1594" w:type="dxa"/>
          </w:tcPr>
          <w:p w14:paraId="731E812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.048</w:t>
            </w:r>
            <w:r w:rsidRPr="009968E0">
              <w:rPr>
                <w:rFonts w:ascii="Calibri" w:eastAsia="Times New Roman" w:hAnsi="Calibri" w:cs="Calibri"/>
                <w:i/>
                <w:iCs/>
                <w:color w:val="000000"/>
                <w:sz w:val="22"/>
                <w:szCs w:val="22"/>
                <w:vertAlign w:val="superscript"/>
                <w:lang w:eastAsia="en-GB"/>
              </w:rPr>
              <w:t>a</w:t>
            </w:r>
          </w:p>
        </w:tc>
        <w:tc>
          <w:tcPr>
            <w:tcW w:w="1106" w:type="dxa"/>
          </w:tcPr>
          <w:p w14:paraId="744E2DE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.097</w:t>
            </w:r>
          </w:p>
        </w:tc>
      </w:tr>
      <w:tr w:rsidR="009968E0" w:rsidRPr="009968E0" w14:paraId="36E226AE" w14:textId="77777777" w:rsidTr="009968E0">
        <w:trPr>
          <w:cnfStyle w:val="000000100000" w:firstRow="0" w:lastRow="0" w:firstColumn="0" w:lastColumn="0" w:oddVBand="0" w:evenVBand="0" w:oddHBand="1" w:evenHBand="0" w:firstRowFirstColumn="0" w:firstRowLastColumn="0" w:lastRowFirstColumn="0" w:lastRowLastColumn="0"/>
          <w:trHeight w:val="380"/>
        </w:trPr>
        <w:tc>
          <w:tcPr>
            <w:tcW w:w="2851" w:type="dxa"/>
          </w:tcPr>
          <w:p w14:paraId="4B2FA19E"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a. Tested against the full model.</w:t>
            </w:r>
          </w:p>
        </w:tc>
        <w:tc>
          <w:tcPr>
            <w:tcW w:w="1518" w:type="dxa"/>
          </w:tcPr>
          <w:p w14:paraId="7D57F4A6"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 </w:t>
            </w:r>
          </w:p>
        </w:tc>
        <w:tc>
          <w:tcPr>
            <w:tcW w:w="1995" w:type="dxa"/>
          </w:tcPr>
          <w:p w14:paraId="325184BC"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 </w:t>
            </w:r>
          </w:p>
        </w:tc>
        <w:tc>
          <w:tcPr>
            <w:tcW w:w="1594" w:type="dxa"/>
          </w:tcPr>
          <w:p w14:paraId="7C5DE0A8"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 </w:t>
            </w:r>
          </w:p>
        </w:tc>
        <w:tc>
          <w:tcPr>
            <w:tcW w:w="1106" w:type="dxa"/>
          </w:tcPr>
          <w:p w14:paraId="38808E5C"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 </w:t>
            </w:r>
          </w:p>
        </w:tc>
      </w:tr>
    </w:tbl>
    <w:p w14:paraId="1CF2B116" w14:textId="77777777" w:rsidR="009968E0" w:rsidRPr="009968E0" w:rsidRDefault="009968E0" w:rsidP="009968E0">
      <w:pPr>
        <w:spacing w:line="360" w:lineRule="auto"/>
        <w:rPr>
          <w:rFonts w:ascii="Times New Roman" w:eastAsia="Times New Roman" w:hAnsi="Times New Roman" w:cs="Arial"/>
          <w:lang w:eastAsia="en-GB"/>
        </w:rPr>
      </w:pPr>
    </w:p>
    <w:p w14:paraId="25806499" w14:textId="77777777" w:rsidR="009968E0" w:rsidRPr="007D16C6" w:rsidRDefault="009968E0" w:rsidP="007D16C6">
      <w:pPr>
        <w:pStyle w:val="Quote"/>
      </w:pPr>
      <w:bookmarkStart w:id="729" w:name="_Toc48406178"/>
      <w:bookmarkStart w:id="730" w:name="_Toc49273390"/>
      <w:bookmarkStart w:id="731" w:name="_Toc64724142"/>
      <w:r w:rsidRPr="007D16C6">
        <w:t xml:space="preserve">Table D.35: Post Hoc T-Test Comparisons of Regression Intercepts and </w:t>
      </w:r>
      <w:proofErr w:type="spellStart"/>
      <w:r w:rsidRPr="007D16C6">
        <w:t>slopesa</w:t>
      </w:r>
      <w:proofErr w:type="spellEnd"/>
      <w:r w:rsidRPr="007D16C6">
        <w:t xml:space="preserve"> for Delta TTP LPSC</w:t>
      </w:r>
      <w:bookmarkEnd w:id="729"/>
      <w:bookmarkEnd w:id="730"/>
      <w:bookmarkEnd w:id="731"/>
      <w:r w:rsidRPr="007D16C6">
        <w:t xml:space="preserve"> </w:t>
      </w:r>
    </w:p>
    <w:tbl>
      <w:tblPr>
        <w:tblStyle w:val="GridTable2-Accent212"/>
        <w:tblW w:w="9064" w:type="dxa"/>
        <w:tblLayout w:type="fixed"/>
        <w:tblLook w:val="0400" w:firstRow="0" w:lastRow="0" w:firstColumn="0" w:lastColumn="0" w:noHBand="0" w:noVBand="1"/>
      </w:tblPr>
      <w:tblGrid>
        <w:gridCol w:w="328"/>
        <w:gridCol w:w="2795"/>
        <w:gridCol w:w="1322"/>
        <w:gridCol w:w="1311"/>
        <w:gridCol w:w="1422"/>
        <w:gridCol w:w="947"/>
        <w:gridCol w:w="939"/>
      </w:tblGrid>
      <w:tr w:rsidR="009968E0" w:rsidRPr="009968E0" w14:paraId="3DEDB1B3" w14:textId="77777777" w:rsidTr="009968E0">
        <w:trPr>
          <w:cnfStyle w:val="000000100000" w:firstRow="0" w:lastRow="0" w:firstColumn="0" w:lastColumn="0" w:oddVBand="0" w:evenVBand="0" w:oddHBand="1" w:evenHBand="0" w:firstRowFirstColumn="0" w:firstRowLastColumn="0" w:lastRowFirstColumn="0" w:lastRowLastColumn="0"/>
          <w:trHeight w:val="680"/>
        </w:trPr>
        <w:tc>
          <w:tcPr>
            <w:tcW w:w="3123" w:type="dxa"/>
            <w:gridSpan w:val="2"/>
            <w:vMerge w:val="restart"/>
          </w:tcPr>
          <w:p w14:paraId="499FFF9F"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Model</w:t>
            </w:r>
          </w:p>
        </w:tc>
        <w:tc>
          <w:tcPr>
            <w:tcW w:w="2633" w:type="dxa"/>
            <w:gridSpan w:val="2"/>
          </w:tcPr>
          <w:p w14:paraId="1A1E5FE4"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Unstandardized Coefficients</w:t>
            </w:r>
          </w:p>
        </w:tc>
        <w:tc>
          <w:tcPr>
            <w:tcW w:w="1422" w:type="dxa"/>
          </w:tcPr>
          <w:p w14:paraId="1A515B3D"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Standardized Coefficients</w:t>
            </w:r>
          </w:p>
        </w:tc>
        <w:tc>
          <w:tcPr>
            <w:tcW w:w="947" w:type="dxa"/>
            <w:vMerge w:val="restart"/>
          </w:tcPr>
          <w:p w14:paraId="3E25E97C"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t</w:t>
            </w:r>
          </w:p>
        </w:tc>
        <w:tc>
          <w:tcPr>
            <w:tcW w:w="939" w:type="dxa"/>
            <w:vMerge w:val="restart"/>
          </w:tcPr>
          <w:p w14:paraId="4F7B07F9"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Sig.</w:t>
            </w:r>
          </w:p>
        </w:tc>
      </w:tr>
      <w:tr w:rsidR="009968E0" w:rsidRPr="009968E0" w14:paraId="08721456" w14:textId="77777777" w:rsidTr="009968E0">
        <w:trPr>
          <w:trHeight w:val="360"/>
        </w:trPr>
        <w:tc>
          <w:tcPr>
            <w:tcW w:w="3123" w:type="dxa"/>
            <w:gridSpan w:val="2"/>
            <w:vMerge/>
          </w:tcPr>
          <w:p w14:paraId="62C6FC7D"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1322" w:type="dxa"/>
          </w:tcPr>
          <w:p w14:paraId="06D126CC"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B</w:t>
            </w:r>
          </w:p>
        </w:tc>
        <w:tc>
          <w:tcPr>
            <w:tcW w:w="1311" w:type="dxa"/>
          </w:tcPr>
          <w:p w14:paraId="20CA1C5B"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Std. Error</w:t>
            </w:r>
          </w:p>
        </w:tc>
        <w:tc>
          <w:tcPr>
            <w:tcW w:w="1422" w:type="dxa"/>
          </w:tcPr>
          <w:p w14:paraId="04AE8409" w14:textId="77777777" w:rsidR="009968E0" w:rsidRPr="009968E0" w:rsidRDefault="009968E0" w:rsidP="009968E0">
            <w:pPr>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Beta</w:t>
            </w:r>
          </w:p>
        </w:tc>
        <w:tc>
          <w:tcPr>
            <w:tcW w:w="947" w:type="dxa"/>
            <w:vMerge/>
          </w:tcPr>
          <w:p w14:paraId="360C10DB"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939" w:type="dxa"/>
            <w:vMerge/>
          </w:tcPr>
          <w:p w14:paraId="07EF7542"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r>
      <w:tr w:rsidR="009968E0" w:rsidRPr="009968E0" w14:paraId="52D2663D"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328" w:type="dxa"/>
            <w:vMerge w:val="restart"/>
          </w:tcPr>
          <w:p w14:paraId="1B82D2EE"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w:t>
            </w:r>
          </w:p>
        </w:tc>
        <w:tc>
          <w:tcPr>
            <w:tcW w:w="2795" w:type="dxa"/>
          </w:tcPr>
          <w:p w14:paraId="04E2A3F8"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(Constant)</w:t>
            </w:r>
          </w:p>
        </w:tc>
        <w:tc>
          <w:tcPr>
            <w:tcW w:w="1322" w:type="dxa"/>
          </w:tcPr>
          <w:p w14:paraId="05B91AB8"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.153</w:t>
            </w:r>
          </w:p>
        </w:tc>
        <w:tc>
          <w:tcPr>
            <w:tcW w:w="1311" w:type="dxa"/>
          </w:tcPr>
          <w:p w14:paraId="2942AC1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.134</w:t>
            </w:r>
          </w:p>
        </w:tc>
        <w:tc>
          <w:tcPr>
            <w:tcW w:w="1422" w:type="dxa"/>
          </w:tcPr>
          <w:p w14:paraId="7DD1688A"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 </w:t>
            </w:r>
          </w:p>
        </w:tc>
        <w:tc>
          <w:tcPr>
            <w:tcW w:w="947" w:type="dxa"/>
          </w:tcPr>
          <w:p w14:paraId="65A46314"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1.143</w:t>
            </w:r>
          </w:p>
        </w:tc>
        <w:tc>
          <w:tcPr>
            <w:tcW w:w="939" w:type="dxa"/>
          </w:tcPr>
          <w:p w14:paraId="6E79D44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.257</w:t>
            </w:r>
          </w:p>
        </w:tc>
      </w:tr>
      <w:tr w:rsidR="009968E0" w:rsidRPr="009968E0" w14:paraId="7A929423" w14:textId="77777777" w:rsidTr="009968E0">
        <w:trPr>
          <w:trHeight w:val="360"/>
        </w:trPr>
        <w:tc>
          <w:tcPr>
            <w:tcW w:w="328" w:type="dxa"/>
            <w:vMerge/>
          </w:tcPr>
          <w:p w14:paraId="6CA90B19"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795" w:type="dxa"/>
          </w:tcPr>
          <w:p w14:paraId="2C1BAF3A" w14:textId="77777777" w:rsidR="009968E0" w:rsidRPr="009968E0" w:rsidRDefault="009968E0" w:rsidP="009968E0">
            <w:pPr>
              <w:rPr>
                <w:rFonts w:ascii="Calibri" w:eastAsia="Times New Roman" w:hAnsi="Calibri" w:cs="Calibri"/>
                <w:i/>
                <w:iCs/>
                <w:color w:val="000000"/>
                <w:sz w:val="22"/>
                <w:szCs w:val="22"/>
                <w:lang w:eastAsia="en-GB"/>
              </w:rPr>
            </w:pPr>
            <w:proofErr w:type="spellStart"/>
            <w:r w:rsidRPr="009968E0">
              <w:rPr>
                <w:rFonts w:ascii="Calibri" w:eastAsia="Times New Roman" w:hAnsi="Calibri" w:cs="Calibri"/>
                <w:i/>
                <w:iCs/>
                <w:color w:val="000000"/>
                <w:sz w:val="22"/>
                <w:szCs w:val="22"/>
                <w:lang w:eastAsia="en-GB"/>
              </w:rPr>
              <w:t>likert_centred</w:t>
            </w:r>
            <w:proofErr w:type="spellEnd"/>
          </w:p>
        </w:tc>
        <w:tc>
          <w:tcPr>
            <w:tcW w:w="1322" w:type="dxa"/>
          </w:tcPr>
          <w:p w14:paraId="3D1E0256"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-.166</w:t>
            </w:r>
          </w:p>
        </w:tc>
        <w:tc>
          <w:tcPr>
            <w:tcW w:w="1311" w:type="dxa"/>
          </w:tcPr>
          <w:p w14:paraId="434C74E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.099</w:t>
            </w:r>
          </w:p>
        </w:tc>
        <w:tc>
          <w:tcPr>
            <w:tcW w:w="1422" w:type="dxa"/>
          </w:tcPr>
          <w:p w14:paraId="672DD60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-.196</w:t>
            </w:r>
          </w:p>
        </w:tc>
        <w:tc>
          <w:tcPr>
            <w:tcW w:w="947" w:type="dxa"/>
          </w:tcPr>
          <w:p w14:paraId="64798E88"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-1.683</w:t>
            </w:r>
          </w:p>
        </w:tc>
        <w:tc>
          <w:tcPr>
            <w:tcW w:w="939" w:type="dxa"/>
          </w:tcPr>
          <w:p w14:paraId="265DE12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.097</w:t>
            </w:r>
          </w:p>
        </w:tc>
      </w:tr>
      <w:tr w:rsidR="009968E0" w:rsidRPr="009968E0" w14:paraId="3F3CDD40"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328" w:type="dxa"/>
            <w:vMerge w:val="restart"/>
          </w:tcPr>
          <w:p w14:paraId="644A0B28"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w:t>
            </w:r>
          </w:p>
        </w:tc>
        <w:tc>
          <w:tcPr>
            <w:tcW w:w="2795" w:type="dxa"/>
          </w:tcPr>
          <w:p w14:paraId="079AF4E5"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(Constant)</w:t>
            </w:r>
          </w:p>
        </w:tc>
        <w:tc>
          <w:tcPr>
            <w:tcW w:w="1322" w:type="dxa"/>
          </w:tcPr>
          <w:p w14:paraId="5EB1B63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.645</w:t>
            </w:r>
          </w:p>
        </w:tc>
        <w:tc>
          <w:tcPr>
            <w:tcW w:w="1311" w:type="dxa"/>
          </w:tcPr>
          <w:p w14:paraId="62A8C26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.252</w:t>
            </w:r>
          </w:p>
        </w:tc>
        <w:tc>
          <w:tcPr>
            <w:tcW w:w="1422" w:type="dxa"/>
          </w:tcPr>
          <w:p w14:paraId="7F361858"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 </w:t>
            </w:r>
          </w:p>
        </w:tc>
        <w:tc>
          <w:tcPr>
            <w:tcW w:w="947" w:type="dxa"/>
          </w:tcPr>
          <w:p w14:paraId="5950D3A4"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2.558</w:t>
            </w:r>
          </w:p>
        </w:tc>
        <w:tc>
          <w:tcPr>
            <w:tcW w:w="939" w:type="dxa"/>
          </w:tcPr>
          <w:p w14:paraId="0CD4152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.013</w:t>
            </w:r>
          </w:p>
        </w:tc>
      </w:tr>
      <w:tr w:rsidR="009968E0" w:rsidRPr="009968E0" w14:paraId="4840916B" w14:textId="77777777" w:rsidTr="009968E0">
        <w:trPr>
          <w:trHeight w:val="360"/>
        </w:trPr>
        <w:tc>
          <w:tcPr>
            <w:tcW w:w="328" w:type="dxa"/>
            <w:vMerge/>
          </w:tcPr>
          <w:p w14:paraId="1D00B6CB"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795" w:type="dxa"/>
          </w:tcPr>
          <w:p w14:paraId="3F715BB8" w14:textId="77777777" w:rsidR="009968E0" w:rsidRPr="009968E0" w:rsidRDefault="009968E0" w:rsidP="009968E0">
            <w:pPr>
              <w:rPr>
                <w:rFonts w:ascii="Calibri" w:eastAsia="Times New Roman" w:hAnsi="Calibri" w:cs="Calibri"/>
                <w:i/>
                <w:iCs/>
                <w:color w:val="000000"/>
                <w:sz w:val="22"/>
                <w:szCs w:val="22"/>
                <w:lang w:eastAsia="en-GB"/>
              </w:rPr>
            </w:pPr>
            <w:proofErr w:type="spellStart"/>
            <w:r w:rsidRPr="009968E0">
              <w:rPr>
                <w:rFonts w:ascii="Calibri" w:eastAsia="Times New Roman" w:hAnsi="Calibri" w:cs="Calibri"/>
                <w:i/>
                <w:iCs/>
                <w:color w:val="000000"/>
                <w:sz w:val="22"/>
                <w:szCs w:val="22"/>
                <w:lang w:eastAsia="en-GB"/>
              </w:rPr>
              <w:t>likert_centred</w:t>
            </w:r>
            <w:proofErr w:type="spellEnd"/>
          </w:p>
        </w:tc>
        <w:tc>
          <w:tcPr>
            <w:tcW w:w="1322" w:type="dxa"/>
          </w:tcPr>
          <w:p w14:paraId="7AD870B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.120</w:t>
            </w:r>
          </w:p>
        </w:tc>
        <w:tc>
          <w:tcPr>
            <w:tcW w:w="1311" w:type="dxa"/>
          </w:tcPr>
          <w:p w14:paraId="5C6A0D20"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.167</w:t>
            </w:r>
          </w:p>
        </w:tc>
        <w:tc>
          <w:tcPr>
            <w:tcW w:w="1422" w:type="dxa"/>
          </w:tcPr>
          <w:p w14:paraId="6B86783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.142</w:t>
            </w:r>
          </w:p>
        </w:tc>
        <w:tc>
          <w:tcPr>
            <w:tcW w:w="947" w:type="dxa"/>
          </w:tcPr>
          <w:p w14:paraId="20BFA06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.720</w:t>
            </w:r>
          </w:p>
        </w:tc>
        <w:tc>
          <w:tcPr>
            <w:tcW w:w="939" w:type="dxa"/>
          </w:tcPr>
          <w:p w14:paraId="7279DDD8"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.474</w:t>
            </w:r>
          </w:p>
        </w:tc>
      </w:tr>
      <w:tr w:rsidR="009968E0" w:rsidRPr="009968E0" w14:paraId="6E1E9D4C" w14:textId="77777777" w:rsidTr="009968E0">
        <w:trPr>
          <w:cnfStyle w:val="000000100000" w:firstRow="0" w:lastRow="0" w:firstColumn="0" w:lastColumn="0" w:oddVBand="0" w:evenVBand="0" w:oddHBand="1" w:evenHBand="0" w:firstRowFirstColumn="0" w:firstRowLastColumn="0" w:lastRowFirstColumn="0" w:lastRowLastColumn="0"/>
          <w:trHeight w:val="680"/>
        </w:trPr>
        <w:tc>
          <w:tcPr>
            <w:tcW w:w="328" w:type="dxa"/>
            <w:vMerge/>
          </w:tcPr>
          <w:p w14:paraId="701789B7"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795" w:type="dxa"/>
          </w:tcPr>
          <w:p w14:paraId="520B1522" w14:textId="77777777" w:rsidR="009968E0" w:rsidRPr="009968E0" w:rsidRDefault="009968E0" w:rsidP="009968E0">
            <w:pPr>
              <w:rPr>
                <w:rFonts w:ascii="Calibri" w:eastAsia="Times New Roman" w:hAnsi="Calibri" w:cs="Calibri"/>
                <w:i/>
                <w:iCs/>
                <w:color w:val="000000"/>
                <w:sz w:val="22"/>
                <w:szCs w:val="22"/>
                <w:lang w:eastAsia="en-GB"/>
              </w:rPr>
            </w:pPr>
            <w:proofErr w:type="spellStart"/>
            <w:r w:rsidRPr="009968E0">
              <w:rPr>
                <w:rFonts w:ascii="Calibri" w:eastAsia="Times New Roman" w:hAnsi="Calibri" w:cs="Calibri"/>
                <w:i/>
                <w:iCs/>
                <w:color w:val="000000"/>
                <w:sz w:val="22"/>
                <w:szCs w:val="22"/>
                <w:lang w:eastAsia="en-GB"/>
              </w:rPr>
              <w:t>Intercept_</w:t>
            </w:r>
            <w:r w:rsidRPr="009968E0">
              <w:rPr>
                <w:rFonts w:ascii="Calibri" w:eastAsia="Arial" w:hAnsi="Calibri" w:cs="Calibri"/>
                <w:i/>
                <w:iCs/>
                <w:color w:val="000000"/>
                <w:sz w:val="22"/>
                <w:szCs w:val="22"/>
                <w:lang w:eastAsia="en-GB"/>
              </w:rPr>
              <w:t>P-DPN</w:t>
            </w:r>
            <w:r w:rsidRPr="009968E0">
              <w:rPr>
                <w:rFonts w:ascii="Calibri" w:eastAsia="Times New Roman" w:hAnsi="Calibri" w:cs="Calibri"/>
                <w:i/>
                <w:iCs/>
                <w:color w:val="000000"/>
                <w:sz w:val="22"/>
                <w:szCs w:val="22"/>
                <w:lang w:eastAsia="en-GB"/>
              </w:rPr>
              <w:t>_vs_DPN</w:t>
            </w:r>
            <w:proofErr w:type="spellEnd"/>
          </w:p>
        </w:tc>
        <w:tc>
          <w:tcPr>
            <w:tcW w:w="1322" w:type="dxa"/>
          </w:tcPr>
          <w:p w14:paraId="0E36A9A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-.545</w:t>
            </w:r>
          </w:p>
        </w:tc>
        <w:tc>
          <w:tcPr>
            <w:tcW w:w="1311" w:type="dxa"/>
          </w:tcPr>
          <w:p w14:paraId="6217E9A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.335</w:t>
            </w:r>
          </w:p>
        </w:tc>
        <w:tc>
          <w:tcPr>
            <w:tcW w:w="1422" w:type="dxa"/>
          </w:tcPr>
          <w:p w14:paraId="4A6C628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-.220</w:t>
            </w:r>
          </w:p>
        </w:tc>
        <w:tc>
          <w:tcPr>
            <w:tcW w:w="947" w:type="dxa"/>
          </w:tcPr>
          <w:p w14:paraId="3B0D6063"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-1.627</w:t>
            </w:r>
          </w:p>
        </w:tc>
        <w:tc>
          <w:tcPr>
            <w:tcW w:w="939" w:type="dxa"/>
          </w:tcPr>
          <w:p w14:paraId="0B37936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.109</w:t>
            </w:r>
          </w:p>
        </w:tc>
      </w:tr>
      <w:tr w:rsidR="009968E0" w:rsidRPr="009968E0" w14:paraId="4046F33C" w14:textId="77777777" w:rsidTr="009968E0">
        <w:trPr>
          <w:trHeight w:val="680"/>
        </w:trPr>
        <w:tc>
          <w:tcPr>
            <w:tcW w:w="328" w:type="dxa"/>
            <w:vMerge/>
          </w:tcPr>
          <w:p w14:paraId="2785665F"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795" w:type="dxa"/>
          </w:tcPr>
          <w:p w14:paraId="43B5046E" w14:textId="77777777" w:rsidR="009968E0" w:rsidRPr="009968E0" w:rsidRDefault="009968E0" w:rsidP="009968E0">
            <w:pPr>
              <w:rPr>
                <w:rFonts w:ascii="Calibri" w:eastAsia="Times New Roman" w:hAnsi="Calibri" w:cs="Calibri"/>
                <w:i/>
                <w:iCs/>
                <w:color w:val="000000"/>
                <w:sz w:val="22"/>
                <w:szCs w:val="22"/>
                <w:lang w:eastAsia="en-GB"/>
              </w:rPr>
            </w:pPr>
            <w:proofErr w:type="spellStart"/>
            <w:r w:rsidRPr="009968E0">
              <w:rPr>
                <w:rFonts w:ascii="Calibri" w:eastAsia="Times New Roman" w:hAnsi="Calibri" w:cs="Calibri"/>
                <w:i/>
                <w:iCs/>
                <w:color w:val="000000"/>
                <w:sz w:val="22"/>
                <w:szCs w:val="22"/>
                <w:lang w:eastAsia="en-GB"/>
              </w:rPr>
              <w:t>Intercept_</w:t>
            </w:r>
            <w:r w:rsidRPr="009968E0">
              <w:rPr>
                <w:rFonts w:ascii="Calibri" w:eastAsia="Arial" w:hAnsi="Calibri" w:cs="Calibri"/>
                <w:i/>
                <w:iCs/>
                <w:color w:val="000000"/>
                <w:sz w:val="22"/>
                <w:szCs w:val="22"/>
                <w:lang w:eastAsia="en-GB"/>
              </w:rPr>
              <w:t>P-DPN</w:t>
            </w:r>
            <w:r w:rsidRPr="009968E0">
              <w:rPr>
                <w:rFonts w:ascii="Calibri" w:eastAsia="Times New Roman" w:hAnsi="Calibri" w:cs="Calibri"/>
                <w:i/>
                <w:iCs/>
                <w:color w:val="000000"/>
                <w:sz w:val="22"/>
                <w:szCs w:val="22"/>
                <w:lang w:eastAsia="en-GB"/>
              </w:rPr>
              <w:t>_vs_DM_NN</w:t>
            </w:r>
            <w:proofErr w:type="spellEnd"/>
          </w:p>
        </w:tc>
        <w:tc>
          <w:tcPr>
            <w:tcW w:w="1322" w:type="dxa"/>
          </w:tcPr>
          <w:p w14:paraId="1277D97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-.403</w:t>
            </w:r>
          </w:p>
        </w:tc>
        <w:tc>
          <w:tcPr>
            <w:tcW w:w="1311" w:type="dxa"/>
          </w:tcPr>
          <w:p w14:paraId="1ADE541E"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.408</w:t>
            </w:r>
          </w:p>
        </w:tc>
        <w:tc>
          <w:tcPr>
            <w:tcW w:w="1422" w:type="dxa"/>
          </w:tcPr>
          <w:p w14:paraId="5E4DCAF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-.134</w:t>
            </w:r>
          </w:p>
        </w:tc>
        <w:tc>
          <w:tcPr>
            <w:tcW w:w="947" w:type="dxa"/>
          </w:tcPr>
          <w:p w14:paraId="6970CEF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-.987</w:t>
            </w:r>
          </w:p>
        </w:tc>
        <w:tc>
          <w:tcPr>
            <w:tcW w:w="939" w:type="dxa"/>
          </w:tcPr>
          <w:p w14:paraId="27C15E2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.327</w:t>
            </w:r>
          </w:p>
        </w:tc>
      </w:tr>
      <w:tr w:rsidR="009968E0" w:rsidRPr="009968E0" w14:paraId="23086C20" w14:textId="77777777" w:rsidTr="009968E0">
        <w:trPr>
          <w:cnfStyle w:val="000000100000" w:firstRow="0" w:lastRow="0" w:firstColumn="0" w:lastColumn="0" w:oddVBand="0" w:evenVBand="0" w:oddHBand="1" w:evenHBand="0" w:firstRowFirstColumn="0" w:firstRowLastColumn="0" w:lastRowFirstColumn="0" w:lastRowLastColumn="0"/>
          <w:trHeight w:val="680"/>
        </w:trPr>
        <w:tc>
          <w:tcPr>
            <w:tcW w:w="328" w:type="dxa"/>
            <w:vMerge/>
          </w:tcPr>
          <w:p w14:paraId="7CEE2D8B"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795" w:type="dxa"/>
          </w:tcPr>
          <w:p w14:paraId="58562B26" w14:textId="77777777" w:rsidR="009968E0" w:rsidRPr="009968E0" w:rsidRDefault="009968E0" w:rsidP="009968E0">
            <w:pPr>
              <w:rPr>
                <w:rFonts w:ascii="Calibri" w:eastAsia="Times New Roman" w:hAnsi="Calibri" w:cs="Calibri"/>
                <w:i/>
                <w:iCs/>
                <w:color w:val="000000"/>
                <w:sz w:val="22"/>
                <w:szCs w:val="22"/>
                <w:lang w:eastAsia="en-GB"/>
              </w:rPr>
            </w:pPr>
            <w:proofErr w:type="spellStart"/>
            <w:r w:rsidRPr="009968E0">
              <w:rPr>
                <w:rFonts w:ascii="Calibri" w:eastAsia="Times New Roman" w:hAnsi="Calibri" w:cs="Calibri"/>
                <w:i/>
                <w:iCs/>
                <w:color w:val="000000"/>
                <w:sz w:val="22"/>
                <w:szCs w:val="22"/>
                <w:lang w:eastAsia="en-GB"/>
              </w:rPr>
              <w:t>Intercept_</w:t>
            </w:r>
            <w:r w:rsidRPr="009968E0">
              <w:rPr>
                <w:rFonts w:ascii="Calibri" w:eastAsia="Arial" w:hAnsi="Calibri" w:cs="Calibri"/>
                <w:i/>
                <w:iCs/>
                <w:color w:val="000000"/>
                <w:sz w:val="22"/>
                <w:szCs w:val="22"/>
                <w:lang w:eastAsia="en-GB"/>
              </w:rPr>
              <w:t>P-DPN</w:t>
            </w:r>
            <w:r w:rsidRPr="009968E0">
              <w:rPr>
                <w:rFonts w:ascii="Calibri" w:eastAsia="Times New Roman" w:hAnsi="Calibri" w:cs="Calibri"/>
                <w:i/>
                <w:iCs/>
                <w:color w:val="000000"/>
                <w:sz w:val="22"/>
                <w:szCs w:val="22"/>
                <w:lang w:eastAsia="en-GB"/>
              </w:rPr>
              <w:t>_vs_HV</w:t>
            </w:r>
            <w:proofErr w:type="spellEnd"/>
          </w:p>
        </w:tc>
        <w:tc>
          <w:tcPr>
            <w:tcW w:w="1322" w:type="dxa"/>
          </w:tcPr>
          <w:p w14:paraId="7CC2422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-1.125</w:t>
            </w:r>
          </w:p>
        </w:tc>
        <w:tc>
          <w:tcPr>
            <w:tcW w:w="1311" w:type="dxa"/>
          </w:tcPr>
          <w:p w14:paraId="4371650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.354</w:t>
            </w:r>
          </w:p>
        </w:tc>
        <w:tc>
          <w:tcPr>
            <w:tcW w:w="1422" w:type="dxa"/>
          </w:tcPr>
          <w:p w14:paraId="703CBB1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-.429</w:t>
            </w:r>
          </w:p>
        </w:tc>
        <w:tc>
          <w:tcPr>
            <w:tcW w:w="947" w:type="dxa"/>
          </w:tcPr>
          <w:p w14:paraId="64E2587D"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-3.178</w:t>
            </w:r>
          </w:p>
        </w:tc>
        <w:tc>
          <w:tcPr>
            <w:tcW w:w="939" w:type="dxa"/>
          </w:tcPr>
          <w:p w14:paraId="5A69AC6B"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.002</w:t>
            </w:r>
          </w:p>
        </w:tc>
      </w:tr>
      <w:tr w:rsidR="009968E0" w:rsidRPr="009968E0" w14:paraId="7B519CFD" w14:textId="77777777" w:rsidTr="009968E0">
        <w:trPr>
          <w:trHeight w:val="680"/>
        </w:trPr>
        <w:tc>
          <w:tcPr>
            <w:tcW w:w="328" w:type="dxa"/>
            <w:vMerge/>
          </w:tcPr>
          <w:p w14:paraId="1528C6A5"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795" w:type="dxa"/>
          </w:tcPr>
          <w:p w14:paraId="58595233" w14:textId="77777777" w:rsidR="009968E0" w:rsidRPr="009968E0" w:rsidRDefault="009968E0" w:rsidP="009968E0">
            <w:pPr>
              <w:rPr>
                <w:rFonts w:ascii="Calibri" w:eastAsia="Times New Roman" w:hAnsi="Calibri" w:cs="Calibri"/>
                <w:i/>
                <w:iCs/>
                <w:color w:val="000000"/>
                <w:sz w:val="22"/>
                <w:szCs w:val="22"/>
                <w:lang w:eastAsia="en-GB"/>
              </w:rPr>
            </w:pPr>
            <w:proofErr w:type="spellStart"/>
            <w:r w:rsidRPr="009968E0">
              <w:rPr>
                <w:rFonts w:ascii="Calibri" w:eastAsia="Times New Roman" w:hAnsi="Calibri" w:cs="Calibri"/>
                <w:i/>
                <w:iCs/>
                <w:color w:val="000000"/>
                <w:sz w:val="22"/>
                <w:szCs w:val="22"/>
                <w:lang w:eastAsia="en-GB"/>
              </w:rPr>
              <w:t>Slope_</w:t>
            </w:r>
            <w:r w:rsidRPr="009968E0">
              <w:rPr>
                <w:rFonts w:ascii="Calibri" w:eastAsia="Arial" w:hAnsi="Calibri" w:cs="Calibri"/>
                <w:i/>
                <w:iCs/>
                <w:color w:val="000000"/>
                <w:sz w:val="22"/>
                <w:szCs w:val="22"/>
                <w:lang w:eastAsia="en-GB"/>
              </w:rPr>
              <w:t>P-DPN</w:t>
            </w:r>
            <w:r w:rsidRPr="009968E0">
              <w:rPr>
                <w:rFonts w:ascii="Calibri" w:eastAsia="Times New Roman" w:hAnsi="Calibri" w:cs="Calibri"/>
                <w:i/>
                <w:iCs/>
                <w:color w:val="000000"/>
                <w:sz w:val="22"/>
                <w:szCs w:val="22"/>
                <w:lang w:eastAsia="en-GB"/>
              </w:rPr>
              <w:t>_vs_DPN</w:t>
            </w:r>
            <w:proofErr w:type="spellEnd"/>
          </w:p>
        </w:tc>
        <w:tc>
          <w:tcPr>
            <w:tcW w:w="1322" w:type="dxa"/>
          </w:tcPr>
          <w:p w14:paraId="75B35972"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-.349</w:t>
            </w:r>
          </w:p>
        </w:tc>
        <w:tc>
          <w:tcPr>
            <w:tcW w:w="1311" w:type="dxa"/>
          </w:tcPr>
          <w:p w14:paraId="7C7B7255"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.222</w:t>
            </w:r>
          </w:p>
        </w:tc>
        <w:tc>
          <w:tcPr>
            <w:tcW w:w="1422" w:type="dxa"/>
          </w:tcPr>
          <w:p w14:paraId="26DE13E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-.258</w:t>
            </w:r>
          </w:p>
        </w:tc>
        <w:tc>
          <w:tcPr>
            <w:tcW w:w="947" w:type="dxa"/>
          </w:tcPr>
          <w:p w14:paraId="30AE437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-1.574</w:t>
            </w:r>
          </w:p>
        </w:tc>
        <w:tc>
          <w:tcPr>
            <w:tcW w:w="939" w:type="dxa"/>
          </w:tcPr>
          <w:p w14:paraId="285FB93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.120</w:t>
            </w:r>
          </w:p>
        </w:tc>
      </w:tr>
      <w:tr w:rsidR="009968E0" w:rsidRPr="009968E0" w14:paraId="0C47C053" w14:textId="77777777" w:rsidTr="009968E0">
        <w:trPr>
          <w:cnfStyle w:val="000000100000" w:firstRow="0" w:lastRow="0" w:firstColumn="0" w:lastColumn="0" w:oddVBand="0" w:evenVBand="0" w:oddHBand="1" w:evenHBand="0" w:firstRowFirstColumn="0" w:firstRowLastColumn="0" w:lastRowFirstColumn="0" w:lastRowLastColumn="0"/>
          <w:trHeight w:val="680"/>
        </w:trPr>
        <w:tc>
          <w:tcPr>
            <w:tcW w:w="328" w:type="dxa"/>
            <w:vMerge/>
          </w:tcPr>
          <w:p w14:paraId="05009B96"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795" w:type="dxa"/>
          </w:tcPr>
          <w:p w14:paraId="035D7EC5" w14:textId="77777777" w:rsidR="009968E0" w:rsidRPr="009968E0" w:rsidRDefault="009968E0" w:rsidP="009968E0">
            <w:pPr>
              <w:rPr>
                <w:rFonts w:ascii="Calibri" w:eastAsia="Times New Roman" w:hAnsi="Calibri" w:cs="Calibri"/>
                <w:i/>
                <w:iCs/>
                <w:color w:val="000000"/>
                <w:sz w:val="22"/>
                <w:szCs w:val="22"/>
                <w:lang w:eastAsia="en-GB"/>
              </w:rPr>
            </w:pPr>
            <w:proofErr w:type="spellStart"/>
            <w:r w:rsidRPr="009968E0">
              <w:rPr>
                <w:rFonts w:ascii="Calibri" w:eastAsia="Times New Roman" w:hAnsi="Calibri" w:cs="Calibri"/>
                <w:i/>
                <w:iCs/>
                <w:color w:val="000000"/>
                <w:sz w:val="22"/>
                <w:szCs w:val="22"/>
                <w:lang w:eastAsia="en-GB"/>
              </w:rPr>
              <w:t>Slope_</w:t>
            </w:r>
            <w:r w:rsidRPr="009968E0">
              <w:rPr>
                <w:rFonts w:ascii="Calibri" w:eastAsia="Arial" w:hAnsi="Calibri" w:cs="Calibri"/>
                <w:i/>
                <w:iCs/>
                <w:color w:val="000000"/>
                <w:sz w:val="22"/>
                <w:szCs w:val="22"/>
                <w:lang w:eastAsia="en-GB"/>
              </w:rPr>
              <w:t>P-DPN</w:t>
            </w:r>
            <w:r w:rsidRPr="009968E0">
              <w:rPr>
                <w:rFonts w:ascii="Calibri" w:eastAsia="Times New Roman" w:hAnsi="Calibri" w:cs="Calibri"/>
                <w:i/>
                <w:iCs/>
                <w:color w:val="000000"/>
                <w:sz w:val="22"/>
                <w:szCs w:val="22"/>
                <w:lang w:eastAsia="en-GB"/>
              </w:rPr>
              <w:t>_vs_DM_NN</w:t>
            </w:r>
            <w:proofErr w:type="spellEnd"/>
          </w:p>
        </w:tc>
        <w:tc>
          <w:tcPr>
            <w:tcW w:w="1322" w:type="dxa"/>
          </w:tcPr>
          <w:p w14:paraId="34D504A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-.345</w:t>
            </w:r>
          </w:p>
        </w:tc>
        <w:tc>
          <w:tcPr>
            <w:tcW w:w="1311" w:type="dxa"/>
          </w:tcPr>
          <w:p w14:paraId="6B20B0F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.374</w:t>
            </w:r>
          </w:p>
        </w:tc>
        <w:tc>
          <w:tcPr>
            <w:tcW w:w="1422" w:type="dxa"/>
          </w:tcPr>
          <w:p w14:paraId="6031F14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-.120</w:t>
            </w:r>
          </w:p>
        </w:tc>
        <w:tc>
          <w:tcPr>
            <w:tcW w:w="947" w:type="dxa"/>
          </w:tcPr>
          <w:p w14:paraId="77034E05"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-.924</w:t>
            </w:r>
          </w:p>
        </w:tc>
        <w:tc>
          <w:tcPr>
            <w:tcW w:w="939" w:type="dxa"/>
          </w:tcPr>
          <w:p w14:paraId="54D50C5A"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.359</w:t>
            </w:r>
          </w:p>
        </w:tc>
      </w:tr>
      <w:tr w:rsidR="009968E0" w:rsidRPr="009968E0" w14:paraId="512BCF62" w14:textId="77777777" w:rsidTr="009968E0">
        <w:trPr>
          <w:trHeight w:val="680"/>
        </w:trPr>
        <w:tc>
          <w:tcPr>
            <w:tcW w:w="328" w:type="dxa"/>
            <w:vMerge/>
          </w:tcPr>
          <w:p w14:paraId="37A9EBA5" w14:textId="77777777" w:rsidR="009968E0" w:rsidRPr="009968E0" w:rsidRDefault="009968E0" w:rsidP="009968E0">
            <w:pPr>
              <w:widowControl w:val="0"/>
              <w:pBdr>
                <w:top w:val="nil"/>
                <w:left w:val="nil"/>
                <w:bottom w:val="nil"/>
                <w:right w:val="nil"/>
                <w:between w:val="nil"/>
              </w:pBdr>
              <w:spacing w:line="276" w:lineRule="auto"/>
              <w:rPr>
                <w:rFonts w:ascii="Calibri" w:eastAsia="Times New Roman" w:hAnsi="Calibri" w:cs="Calibri"/>
                <w:i/>
                <w:iCs/>
                <w:color w:val="000000"/>
                <w:sz w:val="22"/>
                <w:szCs w:val="22"/>
                <w:lang w:eastAsia="en-GB"/>
              </w:rPr>
            </w:pPr>
          </w:p>
        </w:tc>
        <w:tc>
          <w:tcPr>
            <w:tcW w:w="2795" w:type="dxa"/>
          </w:tcPr>
          <w:p w14:paraId="0CC1FB53" w14:textId="77777777" w:rsidR="009968E0" w:rsidRPr="009968E0" w:rsidRDefault="009968E0" w:rsidP="009968E0">
            <w:pPr>
              <w:rPr>
                <w:rFonts w:ascii="Calibri" w:eastAsia="Times New Roman" w:hAnsi="Calibri" w:cs="Calibri"/>
                <w:i/>
                <w:iCs/>
                <w:color w:val="000000"/>
                <w:sz w:val="22"/>
                <w:szCs w:val="22"/>
                <w:lang w:eastAsia="en-GB"/>
              </w:rPr>
            </w:pPr>
            <w:proofErr w:type="spellStart"/>
            <w:r w:rsidRPr="009968E0">
              <w:rPr>
                <w:rFonts w:ascii="Calibri" w:eastAsia="Times New Roman" w:hAnsi="Calibri" w:cs="Calibri"/>
                <w:i/>
                <w:iCs/>
                <w:color w:val="000000"/>
                <w:sz w:val="22"/>
                <w:szCs w:val="22"/>
                <w:lang w:eastAsia="en-GB"/>
              </w:rPr>
              <w:t>Slope_</w:t>
            </w:r>
            <w:r w:rsidRPr="009968E0">
              <w:rPr>
                <w:rFonts w:ascii="Calibri" w:eastAsia="Arial" w:hAnsi="Calibri" w:cs="Calibri"/>
                <w:i/>
                <w:iCs/>
                <w:color w:val="000000"/>
                <w:sz w:val="22"/>
                <w:szCs w:val="22"/>
                <w:lang w:eastAsia="en-GB"/>
              </w:rPr>
              <w:t>P-DPN</w:t>
            </w:r>
            <w:r w:rsidRPr="009968E0">
              <w:rPr>
                <w:rFonts w:ascii="Calibri" w:eastAsia="Times New Roman" w:hAnsi="Calibri" w:cs="Calibri"/>
                <w:i/>
                <w:iCs/>
                <w:color w:val="000000"/>
                <w:sz w:val="22"/>
                <w:szCs w:val="22"/>
                <w:lang w:eastAsia="en-GB"/>
              </w:rPr>
              <w:t>_vs_HV</w:t>
            </w:r>
            <w:proofErr w:type="spellEnd"/>
          </w:p>
        </w:tc>
        <w:tc>
          <w:tcPr>
            <w:tcW w:w="1322" w:type="dxa"/>
          </w:tcPr>
          <w:p w14:paraId="08D3659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-.758</w:t>
            </w:r>
          </w:p>
        </w:tc>
        <w:tc>
          <w:tcPr>
            <w:tcW w:w="1311" w:type="dxa"/>
          </w:tcPr>
          <w:p w14:paraId="30ECFB7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.263</w:t>
            </w:r>
          </w:p>
        </w:tc>
        <w:tc>
          <w:tcPr>
            <w:tcW w:w="1422" w:type="dxa"/>
          </w:tcPr>
          <w:p w14:paraId="0E76F0A0"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-.408</w:t>
            </w:r>
          </w:p>
        </w:tc>
        <w:tc>
          <w:tcPr>
            <w:tcW w:w="947" w:type="dxa"/>
          </w:tcPr>
          <w:p w14:paraId="03F9E40C"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-2.878</w:t>
            </w:r>
          </w:p>
        </w:tc>
        <w:tc>
          <w:tcPr>
            <w:tcW w:w="939" w:type="dxa"/>
          </w:tcPr>
          <w:p w14:paraId="24AE637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.005</w:t>
            </w:r>
          </w:p>
        </w:tc>
      </w:tr>
    </w:tbl>
    <w:p w14:paraId="18BFD10C" w14:textId="68F4419F"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 xml:space="preserve">a. Dependent Variable: </w:t>
      </w:r>
      <w:r w:rsidR="0068219A">
        <w:rPr>
          <w:rFonts w:ascii="Calibri" w:eastAsia="Times New Roman" w:hAnsi="Calibri" w:cs="Calibri"/>
          <w:i/>
          <w:iCs/>
          <w:color w:val="000000"/>
          <w:sz w:val="22"/>
          <w:szCs w:val="22"/>
          <w:lang w:eastAsia="en-GB"/>
        </w:rPr>
        <w:t>Δ</w:t>
      </w:r>
      <w:r w:rsidRPr="009968E0">
        <w:rPr>
          <w:rFonts w:ascii="Calibri" w:eastAsia="Times New Roman" w:hAnsi="Calibri" w:cs="Calibri"/>
          <w:i/>
          <w:iCs/>
          <w:color w:val="000000"/>
          <w:sz w:val="22"/>
          <w:szCs w:val="22"/>
          <w:lang w:eastAsia="en-GB"/>
        </w:rPr>
        <w:t>_TTP_</w:t>
      </w:r>
      <w:r w:rsidR="0068219A">
        <w:rPr>
          <w:rFonts w:ascii="Calibri" w:eastAsia="Times New Roman" w:hAnsi="Calibri" w:cs="Calibri"/>
          <w:i/>
          <w:iCs/>
          <w:color w:val="000000"/>
          <w:sz w:val="22"/>
          <w:szCs w:val="22"/>
          <w:lang w:eastAsia="en-GB"/>
        </w:rPr>
        <w:t>RPSC</w:t>
      </w:r>
    </w:p>
    <w:p w14:paraId="11C38929" w14:textId="77777777" w:rsidR="009968E0" w:rsidRPr="009968E0" w:rsidRDefault="009968E0" w:rsidP="009968E0">
      <w:pPr>
        <w:rPr>
          <w:rFonts w:ascii="Calibri" w:eastAsia="Times New Roman" w:hAnsi="Calibri" w:cs="Calibri"/>
          <w:i/>
          <w:iCs/>
          <w:color w:val="000000"/>
          <w:sz w:val="22"/>
          <w:szCs w:val="22"/>
          <w:lang w:eastAsia="en-GB"/>
        </w:rPr>
      </w:pPr>
    </w:p>
    <w:p w14:paraId="1571AE88" w14:textId="14FD7B08" w:rsidR="009968E0" w:rsidRPr="009968E0" w:rsidRDefault="009968E0" w:rsidP="007D16C6">
      <w:pPr>
        <w:pStyle w:val="Subtitle"/>
      </w:pPr>
      <w:bookmarkStart w:id="732" w:name="_Toc48406104"/>
      <w:bookmarkStart w:id="733" w:name="_Toc49273252"/>
      <w:bookmarkStart w:id="734" w:name="_Toc64724241"/>
      <w:r w:rsidRPr="009968E0">
        <w:t xml:space="preserve">Figure D.4. </w:t>
      </w:r>
      <w:r w:rsidR="00CB2F95">
        <w:t>Scatter plot</w:t>
      </w:r>
      <w:r w:rsidRPr="009968E0">
        <w:t xml:space="preserve"> of LIKERT vs TTP LThal</w:t>
      </w:r>
      <w:bookmarkEnd w:id="732"/>
      <w:bookmarkEnd w:id="733"/>
      <w:bookmarkEnd w:id="734"/>
      <w:r w:rsidRPr="009968E0">
        <w:t xml:space="preserve"> </w:t>
      </w:r>
    </w:p>
    <w:p w14:paraId="45415991"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noProof/>
          <w:sz w:val="22"/>
          <w:szCs w:val="22"/>
          <w:lang w:eastAsia="en-GB"/>
        </w:rPr>
        <w:drawing>
          <wp:inline distT="0" distB="0" distL="0" distR="0" wp14:anchorId="11CCAA28" wp14:editId="2DF01C86">
            <wp:extent cx="4828478" cy="3378820"/>
            <wp:effectExtent l="0" t="0" r="0" b="0"/>
            <wp:docPr id="2133" name="image54.png" descr="A screenshot of a video game&#10;&#10;Description automatically generated"/>
            <wp:cNvGraphicFramePr/>
            <a:graphic xmlns:a="http://schemas.openxmlformats.org/drawingml/2006/main">
              <a:graphicData uri="http://schemas.openxmlformats.org/drawingml/2006/picture">
                <pic:pic xmlns:pic="http://schemas.openxmlformats.org/drawingml/2006/picture">
                  <pic:nvPicPr>
                    <pic:cNvPr id="2150" name="image54.png" descr="A screenshot of a video game&#10;&#10;Description automatically generated"/>
                    <pic:cNvPicPr preferRelativeResize="0"/>
                  </pic:nvPicPr>
                  <pic:blipFill>
                    <a:blip r:embed="rId92"/>
                    <a:srcRect/>
                    <a:stretch>
                      <a:fillRect/>
                    </a:stretch>
                  </pic:blipFill>
                  <pic:spPr>
                    <a:xfrm>
                      <a:off x="0" y="0"/>
                      <a:ext cx="4842294" cy="3388488"/>
                    </a:xfrm>
                    <a:prstGeom prst="rect">
                      <a:avLst/>
                    </a:prstGeom>
                    <a:ln/>
                  </pic:spPr>
                </pic:pic>
              </a:graphicData>
            </a:graphic>
          </wp:inline>
        </w:drawing>
      </w:r>
    </w:p>
    <w:p w14:paraId="7715F86C" w14:textId="77777777" w:rsidR="009968E0" w:rsidRPr="009968E0" w:rsidRDefault="009968E0" w:rsidP="009968E0">
      <w:pPr>
        <w:rPr>
          <w:rFonts w:ascii="Calibri" w:eastAsia="Times New Roman" w:hAnsi="Calibri" w:cs="Calibri"/>
          <w:i/>
          <w:iCs/>
          <w:color w:val="7F7F7F"/>
          <w:sz w:val="22"/>
          <w:szCs w:val="22"/>
          <w:lang w:eastAsia="en-GB"/>
        </w:rPr>
      </w:pPr>
      <w:r w:rsidRPr="009968E0">
        <w:rPr>
          <w:rFonts w:ascii="Calibri" w:eastAsia="Times New Roman" w:hAnsi="Calibri" w:cs="Calibri"/>
          <w:i/>
          <w:iCs/>
          <w:color w:val="7F7F7F"/>
          <w:sz w:val="22"/>
          <w:szCs w:val="22"/>
          <w:lang w:eastAsia="en-GB"/>
        </w:rPr>
        <w:t xml:space="preserve">*Post Hoc T-Test Comparisons of Regression slopes </w:t>
      </w:r>
      <w:proofErr w:type="gramStart"/>
      <w:r w:rsidRPr="009968E0">
        <w:rPr>
          <w:rFonts w:ascii="Calibri" w:eastAsia="Times New Roman" w:hAnsi="Calibri" w:cs="Calibri"/>
          <w:i/>
          <w:iCs/>
          <w:color w:val="7F7F7F"/>
          <w:sz w:val="22"/>
          <w:szCs w:val="22"/>
          <w:lang w:eastAsia="en-GB"/>
        </w:rPr>
        <w:t>a for</w:t>
      </w:r>
      <w:proofErr w:type="gramEnd"/>
      <w:r w:rsidRPr="009968E0">
        <w:rPr>
          <w:rFonts w:ascii="Calibri" w:eastAsia="Times New Roman" w:hAnsi="Calibri" w:cs="Calibri"/>
          <w:i/>
          <w:iCs/>
          <w:color w:val="7F7F7F"/>
          <w:sz w:val="22"/>
          <w:szCs w:val="22"/>
          <w:lang w:eastAsia="en-GB"/>
        </w:rPr>
        <w:t xml:space="preserve"> Delta TTP L-</w:t>
      </w:r>
      <w:proofErr w:type="spellStart"/>
      <w:r w:rsidRPr="009968E0">
        <w:rPr>
          <w:rFonts w:ascii="Calibri" w:eastAsia="Times New Roman" w:hAnsi="Calibri" w:cs="Calibri"/>
          <w:i/>
          <w:iCs/>
          <w:color w:val="7F7F7F"/>
          <w:sz w:val="22"/>
          <w:szCs w:val="22"/>
          <w:lang w:eastAsia="en-GB"/>
        </w:rPr>
        <w:t>thal</w:t>
      </w:r>
      <w:proofErr w:type="spellEnd"/>
      <w:r w:rsidRPr="009968E0">
        <w:rPr>
          <w:rFonts w:ascii="Calibri" w:eastAsia="Times New Roman" w:hAnsi="Calibri" w:cs="Calibri"/>
          <w:i/>
          <w:iCs/>
          <w:color w:val="7F7F7F"/>
          <w:sz w:val="22"/>
          <w:szCs w:val="22"/>
          <w:lang w:eastAsia="en-GB"/>
        </w:rPr>
        <w:t>: P-DPN vs HV .003</w:t>
      </w:r>
    </w:p>
    <w:p w14:paraId="20E844E4" w14:textId="77777777" w:rsidR="009968E0" w:rsidRPr="009968E0" w:rsidRDefault="009968E0" w:rsidP="009968E0">
      <w:pPr>
        <w:rPr>
          <w:rFonts w:ascii="Calibri" w:eastAsia="Times New Roman" w:hAnsi="Calibri" w:cs="Calibri"/>
          <w:i/>
          <w:iCs/>
          <w:color w:val="7F7F7F"/>
          <w:sz w:val="22"/>
          <w:szCs w:val="22"/>
          <w:lang w:eastAsia="en-GB"/>
        </w:rPr>
      </w:pPr>
      <w:r w:rsidRPr="009968E0">
        <w:rPr>
          <w:rFonts w:ascii="Calibri" w:eastAsia="Times New Roman" w:hAnsi="Calibri" w:cs="Calibri"/>
          <w:i/>
          <w:iCs/>
          <w:color w:val="7F7F7F"/>
          <w:sz w:val="22"/>
          <w:szCs w:val="22"/>
          <w:lang w:eastAsia="en-GB"/>
        </w:rPr>
        <w:t>Figure shows that the regression slopes are significantly different for P-DPN which is positive and HV which is significantly negative</w:t>
      </w:r>
    </w:p>
    <w:p w14:paraId="09A7A9D6" w14:textId="77777777" w:rsidR="009968E0" w:rsidRPr="009968E0" w:rsidRDefault="009968E0" w:rsidP="009968E0">
      <w:pPr>
        <w:rPr>
          <w:rFonts w:ascii="Calibri" w:eastAsia="Times New Roman" w:hAnsi="Calibri" w:cs="Calibri"/>
          <w:i/>
          <w:iCs/>
          <w:color w:val="7F7F7F"/>
          <w:sz w:val="22"/>
          <w:szCs w:val="22"/>
          <w:lang w:eastAsia="en-GB"/>
        </w:rPr>
      </w:pPr>
    </w:p>
    <w:p w14:paraId="002B2367" w14:textId="640C57AB" w:rsidR="009968E0" w:rsidRPr="007D16C6" w:rsidRDefault="009968E0" w:rsidP="007D16C6">
      <w:pPr>
        <w:pStyle w:val="Subtitle"/>
      </w:pPr>
      <w:bookmarkStart w:id="735" w:name="_Toc48406105"/>
      <w:bookmarkStart w:id="736" w:name="_Toc49273253"/>
      <w:bookmarkStart w:id="737" w:name="_Toc64724242"/>
      <w:r w:rsidRPr="007D16C6">
        <w:t xml:space="preserve">Figure D.5. </w:t>
      </w:r>
      <w:r w:rsidR="00CB2F95">
        <w:t>Scatter plot</w:t>
      </w:r>
      <w:r w:rsidRPr="007D16C6">
        <w:t xml:space="preserve"> of Likert scale vs Delta TTP LPS by group with Correlation</w:t>
      </w:r>
      <w:bookmarkEnd w:id="735"/>
      <w:bookmarkEnd w:id="736"/>
      <w:bookmarkEnd w:id="737"/>
    </w:p>
    <w:p w14:paraId="3AA466CB" w14:textId="77777777" w:rsidR="009968E0" w:rsidRPr="009968E0" w:rsidRDefault="009968E0" w:rsidP="009968E0">
      <w:pPr>
        <w:rPr>
          <w:rFonts w:ascii="Times New Roman" w:eastAsia="Times New Roman" w:hAnsi="Times New Roman" w:cs="Times New Roman"/>
          <w:lang w:eastAsia="en-GB"/>
        </w:rPr>
      </w:pPr>
      <w:r w:rsidRPr="009968E0">
        <w:rPr>
          <w:rFonts w:ascii="Times New Roman" w:eastAsia="Times New Roman" w:hAnsi="Times New Roman" w:cs="Times New Roman"/>
          <w:noProof/>
          <w:lang w:eastAsia="en-GB"/>
        </w:rPr>
        <w:drawing>
          <wp:inline distT="0" distB="0" distL="0" distR="0" wp14:anchorId="20EA3D3A" wp14:editId="553BA838">
            <wp:extent cx="3817620" cy="3268980"/>
            <wp:effectExtent l="0" t="0" r="5080" b="0"/>
            <wp:docPr id="1073741884" name="image57.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2153" name="image57.png" descr="A screenshot of a computer&#10;&#10;Description automatically generated"/>
                    <pic:cNvPicPr preferRelativeResize="0"/>
                  </pic:nvPicPr>
                  <pic:blipFill>
                    <a:blip r:embed="rId93"/>
                    <a:srcRect/>
                    <a:stretch>
                      <a:fillRect/>
                    </a:stretch>
                  </pic:blipFill>
                  <pic:spPr>
                    <a:xfrm>
                      <a:off x="0" y="0"/>
                      <a:ext cx="3818065" cy="3269361"/>
                    </a:xfrm>
                    <a:prstGeom prst="rect">
                      <a:avLst/>
                    </a:prstGeom>
                    <a:ln/>
                  </pic:spPr>
                </pic:pic>
              </a:graphicData>
            </a:graphic>
          </wp:inline>
        </w:drawing>
      </w:r>
    </w:p>
    <w:p w14:paraId="50085A9C" w14:textId="77777777" w:rsidR="009968E0" w:rsidRPr="009968E0" w:rsidRDefault="009968E0" w:rsidP="009968E0">
      <w:pPr>
        <w:rPr>
          <w:rFonts w:ascii="Calibri" w:eastAsia="Times New Roman" w:hAnsi="Calibri" w:cs="Calibri"/>
          <w:i/>
          <w:iCs/>
          <w:color w:val="808080"/>
          <w:sz w:val="22"/>
          <w:szCs w:val="22"/>
          <w:lang w:eastAsia="en-GB"/>
        </w:rPr>
      </w:pPr>
      <w:r w:rsidRPr="009968E0">
        <w:rPr>
          <w:rFonts w:ascii="Calibri" w:eastAsia="Times New Roman" w:hAnsi="Calibri" w:cs="Calibri"/>
          <w:i/>
          <w:iCs/>
          <w:color w:val="808080"/>
          <w:sz w:val="22"/>
          <w:szCs w:val="22"/>
          <w:lang w:eastAsia="en-GB"/>
        </w:rPr>
        <w:t>P-DPN vs HV (p=.004)</w:t>
      </w:r>
    </w:p>
    <w:p w14:paraId="050A0704" w14:textId="77777777" w:rsidR="009968E0" w:rsidRPr="009968E0" w:rsidRDefault="009968E0" w:rsidP="009968E0">
      <w:pPr>
        <w:spacing w:line="360" w:lineRule="auto"/>
        <w:rPr>
          <w:rFonts w:ascii="Times New Roman" w:eastAsia="Times New Roman" w:hAnsi="Times New Roman" w:cs="Arial"/>
          <w:lang w:eastAsia="en-GB"/>
        </w:rPr>
      </w:pPr>
    </w:p>
    <w:p w14:paraId="6CBBD920" w14:textId="446449A5" w:rsidR="009968E0" w:rsidRPr="007D16C6" w:rsidRDefault="009968E0" w:rsidP="007D16C6">
      <w:pPr>
        <w:pStyle w:val="Quote"/>
      </w:pPr>
      <w:bookmarkStart w:id="738" w:name="_Toc48406179"/>
      <w:bookmarkStart w:id="739" w:name="_Toc49273391"/>
      <w:bookmarkStart w:id="740" w:name="_Toc64724143"/>
      <w:r w:rsidRPr="007D16C6">
        <w:t xml:space="preserve">Table D.36 : Correlation between Delta TTP and RBV, RBF, MTT at the </w:t>
      </w:r>
      <w:proofErr w:type="spellStart"/>
      <w:r w:rsidR="00264184">
        <w:t>RThal</w:t>
      </w:r>
      <w:bookmarkEnd w:id="738"/>
      <w:bookmarkEnd w:id="739"/>
      <w:bookmarkEnd w:id="740"/>
      <w:proofErr w:type="spellEnd"/>
    </w:p>
    <w:tbl>
      <w:tblPr>
        <w:tblStyle w:val="TableGrid1"/>
        <w:tblpPr w:leftFromText="180" w:rightFromText="180" w:vertAnchor="text" w:horzAnchor="margin" w:tblpY="14"/>
        <w:tblW w:w="0" w:type="auto"/>
        <w:tblLook w:val="04A0" w:firstRow="1" w:lastRow="0" w:firstColumn="1" w:lastColumn="0" w:noHBand="0" w:noVBand="1"/>
      </w:tblPr>
      <w:tblGrid>
        <w:gridCol w:w="1211"/>
        <w:gridCol w:w="1017"/>
        <w:gridCol w:w="1075"/>
        <w:gridCol w:w="959"/>
        <w:gridCol w:w="1075"/>
        <w:gridCol w:w="959"/>
        <w:gridCol w:w="1169"/>
        <w:gridCol w:w="865"/>
      </w:tblGrid>
      <w:tr w:rsidR="009968E0" w:rsidRPr="009968E0" w14:paraId="021C7FE7" w14:textId="77777777" w:rsidTr="00B667FD">
        <w:trPr>
          <w:trHeight w:val="400"/>
        </w:trPr>
        <w:tc>
          <w:tcPr>
            <w:tcW w:w="1211" w:type="dxa"/>
            <w:noWrap/>
            <w:vAlign w:val="bottom"/>
            <w:hideMark/>
          </w:tcPr>
          <w:p w14:paraId="7D85950F" w14:textId="77777777" w:rsidR="009968E0" w:rsidRPr="009968E0" w:rsidRDefault="009968E0" w:rsidP="009968E0">
            <w:pPr>
              <w:jc w:val="right"/>
              <w:rPr>
                <w:rFonts w:ascii="Calibri" w:eastAsia="Times New Roman" w:hAnsi="Calibri" w:cs="Calibri"/>
                <w:i/>
                <w:iCs/>
                <w:sz w:val="22"/>
                <w:szCs w:val="22"/>
                <w:lang w:eastAsia="en-GB"/>
              </w:rPr>
            </w:pPr>
          </w:p>
        </w:tc>
        <w:tc>
          <w:tcPr>
            <w:tcW w:w="1017" w:type="dxa"/>
            <w:noWrap/>
            <w:vAlign w:val="bottom"/>
            <w:hideMark/>
          </w:tcPr>
          <w:p w14:paraId="08B46B25"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Group</w:t>
            </w:r>
          </w:p>
        </w:tc>
        <w:tc>
          <w:tcPr>
            <w:tcW w:w="2034" w:type="dxa"/>
            <w:gridSpan w:val="2"/>
            <w:noWrap/>
            <w:vAlign w:val="bottom"/>
            <w:hideMark/>
          </w:tcPr>
          <w:p w14:paraId="0C7F2650" w14:textId="400BD968"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 xml:space="preserve">Delta RBV </w:t>
            </w:r>
            <w:proofErr w:type="spellStart"/>
            <w:r w:rsidR="00264184">
              <w:rPr>
                <w:rFonts w:ascii="Calibri" w:eastAsia="Times New Roman" w:hAnsi="Calibri" w:cs="Calibri"/>
                <w:i/>
                <w:iCs/>
                <w:sz w:val="22"/>
                <w:szCs w:val="22"/>
                <w:lang w:eastAsia="en-GB"/>
              </w:rPr>
              <w:t>RThal</w:t>
            </w:r>
            <w:proofErr w:type="spellEnd"/>
          </w:p>
        </w:tc>
        <w:tc>
          <w:tcPr>
            <w:tcW w:w="2034" w:type="dxa"/>
            <w:gridSpan w:val="2"/>
            <w:noWrap/>
            <w:vAlign w:val="bottom"/>
            <w:hideMark/>
          </w:tcPr>
          <w:p w14:paraId="04ED8390" w14:textId="1A059580"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 xml:space="preserve">Delta RBF </w:t>
            </w:r>
            <w:proofErr w:type="spellStart"/>
            <w:r w:rsidR="00264184">
              <w:rPr>
                <w:rFonts w:ascii="Calibri" w:eastAsia="Times New Roman" w:hAnsi="Calibri" w:cs="Calibri"/>
                <w:i/>
                <w:iCs/>
                <w:sz w:val="22"/>
                <w:szCs w:val="22"/>
                <w:lang w:eastAsia="en-GB"/>
              </w:rPr>
              <w:t>RThal</w:t>
            </w:r>
            <w:proofErr w:type="spellEnd"/>
          </w:p>
        </w:tc>
        <w:tc>
          <w:tcPr>
            <w:tcW w:w="2034" w:type="dxa"/>
            <w:gridSpan w:val="2"/>
            <w:noWrap/>
            <w:vAlign w:val="bottom"/>
            <w:hideMark/>
          </w:tcPr>
          <w:p w14:paraId="26DCDD24" w14:textId="6B47CEB4"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 xml:space="preserve">Delta MTT </w:t>
            </w:r>
            <w:proofErr w:type="spellStart"/>
            <w:r w:rsidR="00264184">
              <w:rPr>
                <w:rFonts w:ascii="Calibri" w:eastAsia="Times New Roman" w:hAnsi="Calibri" w:cs="Calibri"/>
                <w:i/>
                <w:iCs/>
                <w:sz w:val="22"/>
                <w:szCs w:val="22"/>
                <w:lang w:eastAsia="en-GB"/>
              </w:rPr>
              <w:t>RThal</w:t>
            </w:r>
            <w:proofErr w:type="spellEnd"/>
          </w:p>
        </w:tc>
      </w:tr>
      <w:tr w:rsidR="009968E0" w:rsidRPr="009968E0" w14:paraId="5E1D32F9" w14:textId="77777777" w:rsidTr="00B667FD">
        <w:trPr>
          <w:trHeight w:val="400"/>
        </w:trPr>
        <w:tc>
          <w:tcPr>
            <w:tcW w:w="1211" w:type="dxa"/>
            <w:vMerge w:val="restart"/>
            <w:shd w:val="clear" w:color="auto" w:fill="FDE9D9"/>
            <w:noWrap/>
            <w:hideMark/>
          </w:tcPr>
          <w:p w14:paraId="1A6381E2"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 xml:space="preserve">Delta TTP </w:t>
            </w:r>
            <w:proofErr w:type="spellStart"/>
            <w:r w:rsidRPr="009968E0">
              <w:rPr>
                <w:rFonts w:ascii="Calibri" w:eastAsia="Times New Roman" w:hAnsi="Calibri" w:cs="Calibri"/>
                <w:i/>
                <w:iCs/>
                <w:sz w:val="22"/>
                <w:szCs w:val="22"/>
                <w:lang w:eastAsia="en-GB"/>
              </w:rPr>
              <w:t>RThal</w:t>
            </w:r>
            <w:proofErr w:type="spellEnd"/>
          </w:p>
        </w:tc>
        <w:tc>
          <w:tcPr>
            <w:tcW w:w="1017" w:type="dxa"/>
            <w:shd w:val="clear" w:color="auto" w:fill="FDE9D9"/>
            <w:noWrap/>
            <w:vAlign w:val="bottom"/>
            <w:hideMark/>
          </w:tcPr>
          <w:p w14:paraId="767A8115" w14:textId="77777777" w:rsidR="009968E0" w:rsidRPr="009968E0" w:rsidRDefault="009968E0" w:rsidP="009968E0">
            <w:pPr>
              <w:jc w:val="right"/>
              <w:rPr>
                <w:rFonts w:ascii="Calibri" w:eastAsia="Times New Roman" w:hAnsi="Calibri" w:cs="Calibri"/>
                <w:i/>
                <w:iCs/>
                <w:sz w:val="22"/>
                <w:szCs w:val="22"/>
                <w:lang w:eastAsia="en-GB"/>
              </w:rPr>
            </w:pPr>
          </w:p>
        </w:tc>
        <w:tc>
          <w:tcPr>
            <w:tcW w:w="1075" w:type="dxa"/>
            <w:shd w:val="clear" w:color="auto" w:fill="FDE9D9"/>
            <w:noWrap/>
            <w:vAlign w:val="bottom"/>
            <w:hideMark/>
          </w:tcPr>
          <w:p w14:paraId="54B70C7F"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R</w:t>
            </w:r>
          </w:p>
        </w:tc>
        <w:tc>
          <w:tcPr>
            <w:tcW w:w="958" w:type="dxa"/>
            <w:shd w:val="clear" w:color="auto" w:fill="FDE9D9"/>
            <w:noWrap/>
            <w:vAlign w:val="bottom"/>
            <w:hideMark/>
          </w:tcPr>
          <w:p w14:paraId="0D67465F"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Sig</w:t>
            </w:r>
          </w:p>
        </w:tc>
        <w:tc>
          <w:tcPr>
            <w:tcW w:w="1075" w:type="dxa"/>
            <w:shd w:val="clear" w:color="auto" w:fill="FDE9D9"/>
            <w:noWrap/>
            <w:vAlign w:val="bottom"/>
            <w:hideMark/>
          </w:tcPr>
          <w:p w14:paraId="4E036302"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R</w:t>
            </w:r>
          </w:p>
        </w:tc>
        <w:tc>
          <w:tcPr>
            <w:tcW w:w="958" w:type="dxa"/>
            <w:shd w:val="clear" w:color="auto" w:fill="FDE9D9"/>
            <w:noWrap/>
            <w:vAlign w:val="bottom"/>
            <w:hideMark/>
          </w:tcPr>
          <w:p w14:paraId="72FA1BEA"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Sig</w:t>
            </w:r>
          </w:p>
        </w:tc>
        <w:tc>
          <w:tcPr>
            <w:tcW w:w="1169" w:type="dxa"/>
            <w:shd w:val="clear" w:color="auto" w:fill="FDE9D9"/>
            <w:noWrap/>
            <w:vAlign w:val="bottom"/>
            <w:hideMark/>
          </w:tcPr>
          <w:p w14:paraId="000DD832"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R</w:t>
            </w:r>
          </w:p>
        </w:tc>
        <w:tc>
          <w:tcPr>
            <w:tcW w:w="864" w:type="dxa"/>
            <w:shd w:val="clear" w:color="auto" w:fill="FDE9D9"/>
            <w:noWrap/>
            <w:vAlign w:val="bottom"/>
            <w:hideMark/>
          </w:tcPr>
          <w:p w14:paraId="2E2BB721"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Sig</w:t>
            </w:r>
          </w:p>
        </w:tc>
      </w:tr>
      <w:tr w:rsidR="009968E0" w:rsidRPr="009968E0" w14:paraId="161B5F49" w14:textId="77777777" w:rsidTr="00B667FD">
        <w:trPr>
          <w:trHeight w:val="400"/>
        </w:trPr>
        <w:tc>
          <w:tcPr>
            <w:tcW w:w="1211" w:type="dxa"/>
            <w:vMerge/>
            <w:shd w:val="clear" w:color="auto" w:fill="FDE9D9"/>
            <w:noWrap/>
            <w:vAlign w:val="bottom"/>
            <w:hideMark/>
          </w:tcPr>
          <w:p w14:paraId="21395499" w14:textId="77777777" w:rsidR="009968E0" w:rsidRPr="009968E0" w:rsidRDefault="009968E0" w:rsidP="009968E0">
            <w:pPr>
              <w:jc w:val="right"/>
              <w:rPr>
                <w:rFonts w:ascii="Calibri" w:eastAsia="Times New Roman" w:hAnsi="Calibri" w:cs="Calibri"/>
                <w:i/>
                <w:iCs/>
                <w:sz w:val="22"/>
                <w:szCs w:val="22"/>
                <w:lang w:eastAsia="en-GB"/>
              </w:rPr>
            </w:pPr>
          </w:p>
        </w:tc>
        <w:tc>
          <w:tcPr>
            <w:tcW w:w="1017" w:type="dxa"/>
            <w:shd w:val="clear" w:color="auto" w:fill="auto"/>
            <w:noWrap/>
            <w:vAlign w:val="bottom"/>
            <w:hideMark/>
          </w:tcPr>
          <w:p w14:paraId="2F6F38C4"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P-DPN</w:t>
            </w:r>
          </w:p>
        </w:tc>
        <w:tc>
          <w:tcPr>
            <w:tcW w:w="1075" w:type="dxa"/>
            <w:shd w:val="clear" w:color="auto" w:fill="auto"/>
            <w:noWrap/>
            <w:vAlign w:val="bottom"/>
            <w:hideMark/>
          </w:tcPr>
          <w:p w14:paraId="58E1801B"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-0.24</w:t>
            </w:r>
          </w:p>
        </w:tc>
        <w:tc>
          <w:tcPr>
            <w:tcW w:w="958" w:type="dxa"/>
            <w:shd w:val="clear" w:color="auto" w:fill="auto"/>
            <w:noWrap/>
            <w:vAlign w:val="bottom"/>
            <w:hideMark/>
          </w:tcPr>
          <w:p w14:paraId="5DFC81E5"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0.336</w:t>
            </w:r>
          </w:p>
        </w:tc>
        <w:tc>
          <w:tcPr>
            <w:tcW w:w="1075" w:type="dxa"/>
            <w:shd w:val="clear" w:color="auto" w:fill="auto"/>
            <w:noWrap/>
            <w:vAlign w:val="bottom"/>
            <w:hideMark/>
          </w:tcPr>
          <w:p w14:paraId="3B101239"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-0.532</w:t>
            </w:r>
          </w:p>
        </w:tc>
        <w:tc>
          <w:tcPr>
            <w:tcW w:w="958" w:type="dxa"/>
            <w:shd w:val="clear" w:color="auto" w:fill="auto"/>
            <w:noWrap/>
            <w:vAlign w:val="bottom"/>
            <w:hideMark/>
          </w:tcPr>
          <w:p w14:paraId="7297DAFD"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0.023*</w:t>
            </w:r>
          </w:p>
        </w:tc>
        <w:tc>
          <w:tcPr>
            <w:tcW w:w="1169" w:type="dxa"/>
            <w:shd w:val="clear" w:color="auto" w:fill="auto"/>
            <w:noWrap/>
            <w:vAlign w:val="bottom"/>
            <w:hideMark/>
          </w:tcPr>
          <w:p w14:paraId="46B90449"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0.333</w:t>
            </w:r>
          </w:p>
        </w:tc>
        <w:tc>
          <w:tcPr>
            <w:tcW w:w="864" w:type="dxa"/>
            <w:shd w:val="clear" w:color="auto" w:fill="auto"/>
            <w:noWrap/>
            <w:vAlign w:val="bottom"/>
            <w:hideMark/>
          </w:tcPr>
          <w:p w14:paraId="42E63F68"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0.177</w:t>
            </w:r>
          </w:p>
        </w:tc>
      </w:tr>
    </w:tbl>
    <w:p w14:paraId="33233994" w14:textId="77777777" w:rsidR="009968E0" w:rsidRPr="009968E0" w:rsidRDefault="009968E0" w:rsidP="009968E0">
      <w:pPr>
        <w:rPr>
          <w:rFonts w:ascii="Times New Roman" w:eastAsia="Times New Roman" w:hAnsi="Times New Roman" w:cs="Times New Roman"/>
          <w:lang w:eastAsia="en-GB"/>
        </w:rPr>
      </w:pPr>
    </w:p>
    <w:p w14:paraId="6964B63C" w14:textId="6E36F361" w:rsidR="009968E0" w:rsidRPr="009968E0" w:rsidRDefault="009968E0" w:rsidP="007D16C6">
      <w:pPr>
        <w:pStyle w:val="Subtitle"/>
      </w:pPr>
      <w:bookmarkStart w:id="741" w:name="_Toc48406106"/>
      <w:bookmarkStart w:id="742" w:name="_Toc49273254"/>
      <w:bookmarkStart w:id="743" w:name="_Toc64724243"/>
      <w:r w:rsidRPr="009968E0">
        <w:t xml:space="preserve">Figure D.6 </w:t>
      </w:r>
      <w:r w:rsidR="00CB2F95">
        <w:t>Scatter plot</w:t>
      </w:r>
      <w:r w:rsidRPr="009968E0">
        <w:t xml:space="preserve"> of Delta RBF vs Delta TTP at the </w:t>
      </w:r>
      <w:proofErr w:type="spellStart"/>
      <w:r w:rsidRPr="009968E0">
        <w:t>RThal</w:t>
      </w:r>
      <w:proofErr w:type="spellEnd"/>
      <w:r w:rsidRPr="009968E0">
        <w:t xml:space="preserve"> for the </w:t>
      </w:r>
      <w:r w:rsidR="004E59F7">
        <w:t>P-DPN</w:t>
      </w:r>
      <w:r w:rsidRPr="009968E0">
        <w:t xml:space="preserve"> group</w:t>
      </w:r>
      <w:bookmarkEnd w:id="741"/>
      <w:bookmarkEnd w:id="742"/>
      <w:bookmarkEnd w:id="743"/>
    </w:p>
    <w:p w14:paraId="57B002F9" w14:textId="77777777" w:rsidR="009968E0" w:rsidRPr="009968E0" w:rsidRDefault="009968E0" w:rsidP="009968E0">
      <w:pPr>
        <w:rPr>
          <w:rFonts w:ascii="Times New Roman" w:eastAsia="Times New Roman" w:hAnsi="Times New Roman" w:cs="Times New Roman"/>
          <w:lang w:eastAsia="en-GB"/>
        </w:rPr>
      </w:pPr>
      <w:r w:rsidRPr="009968E0">
        <w:rPr>
          <w:rFonts w:ascii="Times New Roman" w:eastAsia="Times New Roman" w:hAnsi="Times New Roman" w:cs="Times New Roman"/>
          <w:noProof/>
          <w:lang w:eastAsia="en-GB"/>
        </w:rPr>
        <w:drawing>
          <wp:inline distT="0" distB="0" distL="0" distR="0" wp14:anchorId="6CB1577D" wp14:editId="6A764CDF">
            <wp:extent cx="5422900" cy="3200400"/>
            <wp:effectExtent l="12700" t="12700" r="12700" b="12700"/>
            <wp:docPr id="774" name="Picture 77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close up of a map&#10;&#10;Description automatically generated"/>
                    <pic:cNvPicPr/>
                  </pic:nvPicPr>
                  <pic:blipFill>
                    <a:blip r:embed="rId94"/>
                    <a:stretch>
                      <a:fillRect/>
                    </a:stretch>
                  </pic:blipFill>
                  <pic:spPr>
                    <a:xfrm>
                      <a:off x="0" y="0"/>
                      <a:ext cx="5422900" cy="3200400"/>
                    </a:xfrm>
                    <a:prstGeom prst="rect">
                      <a:avLst/>
                    </a:prstGeom>
                    <a:ln>
                      <a:solidFill>
                        <a:sysClr val="windowText" lastClr="000000"/>
                      </a:solidFill>
                    </a:ln>
                  </pic:spPr>
                </pic:pic>
              </a:graphicData>
            </a:graphic>
          </wp:inline>
        </w:drawing>
      </w:r>
      <w:r w:rsidRPr="009968E0">
        <w:rPr>
          <w:rFonts w:ascii="Times New Roman" w:eastAsia="Times New Roman" w:hAnsi="Times New Roman" w:cs="Times New Roman"/>
          <w:lang w:eastAsia="en-GB"/>
        </w:rPr>
        <w:t xml:space="preserve"> </w:t>
      </w:r>
    </w:p>
    <w:p w14:paraId="166EE8DF" w14:textId="77777777" w:rsidR="009968E0" w:rsidRPr="009968E0" w:rsidRDefault="009968E0" w:rsidP="009968E0">
      <w:pPr>
        <w:rPr>
          <w:rFonts w:ascii="Times New Roman" w:eastAsia="Times New Roman" w:hAnsi="Times New Roman" w:cs="Times New Roman"/>
          <w:lang w:eastAsia="en-GB"/>
        </w:rPr>
      </w:pPr>
    </w:p>
    <w:p w14:paraId="37E86165" w14:textId="77777777" w:rsidR="009968E0" w:rsidRPr="007D16C6" w:rsidRDefault="009968E0" w:rsidP="007D16C6">
      <w:pPr>
        <w:pStyle w:val="Quote"/>
      </w:pPr>
      <w:bookmarkStart w:id="744" w:name="_Toc48406180"/>
      <w:bookmarkStart w:id="745" w:name="_Toc49273392"/>
      <w:bookmarkStart w:id="746" w:name="_Toc64724144"/>
      <w:r w:rsidRPr="007D16C6">
        <w:t>Table D.37 : Correlation between Delta TTP and RBV, RBF, MTT at the LINS</w:t>
      </w:r>
      <w:bookmarkEnd w:id="744"/>
      <w:bookmarkEnd w:id="745"/>
      <w:bookmarkEnd w:id="746"/>
    </w:p>
    <w:tbl>
      <w:tblPr>
        <w:tblStyle w:val="TableGrid1"/>
        <w:tblW w:w="0" w:type="auto"/>
        <w:tblLook w:val="04A0" w:firstRow="1" w:lastRow="0" w:firstColumn="1" w:lastColumn="0" w:noHBand="0" w:noVBand="1"/>
      </w:tblPr>
      <w:tblGrid>
        <w:gridCol w:w="1172"/>
        <w:gridCol w:w="1122"/>
        <w:gridCol w:w="1060"/>
        <w:gridCol w:w="1104"/>
        <w:gridCol w:w="1017"/>
        <w:gridCol w:w="1147"/>
        <w:gridCol w:w="1082"/>
        <w:gridCol w:w="892"/>
      </w:tblGrid>
      <w:tr w:rsidR="009968E0" w:rsidRPr="009968E0" w14:paraId="1E3B6FD3" w14:textId="77777777" w:rsidTr="00B667FD">
        <w:trPr>
          <w:trHeight w:val="379"/>
        </w:trPr>
        <w:tc>
          <w:tcPr>
            <w:tcW w:w="1172" w:type="dxa"/>
            <w:noWrap/>
            <w:vAlign w:val="bottom"/>
            <w:hideMark/>
          </w:tcPr>
          <w:p w14:paraId="68ED23E0" w14:textId="77777777" w:rsidR="009968E0" w:rsidRPr="009968E0" w:rsidRDefault="009968E0" w:rsidP="009968E0">
            <w:pPr>
              <w:jc w:val="right"/>
              <w:rPr>
                <w:rFonts w:ascii="Calibri" w:eastAsia="Times New Roman" w:hAnsi="Calibri" w:cs="Calibri"/>
                <w:i/>
                <w:iCs/>
                <w:sz w:val="22"/>
                <w:szCs w:val="22"/>
                <w:lang w:eastAsia="en-GB"/>
              </w:rPr>
            </w:pPr>
          </w:p>
        </w:tc>
        <w:tc>
          <w:tcPr>
            <w:tcW w:w="1122" w:type="dxa"/>
            <w:noWrap/>
            <w:vAlign w:val="bottom"/>
            <w:hideMark/>
          </w:tcPr>
          <w:p w14:paraId="6C862D73"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Group</w:t>
            </w:r>
          </w:p>
        </w:tc>
        <w:tc>
          <w:tcPr>
            <w:tcW w:w="2164" w:type="dxa"/>
            <w:gridSpan w:val="2"/>
            <w:noWrap/>
            <w:vAlign w:val="bottom"/>
            <w:hideMark/>
          </w:tcPr>
          <w:p w14:paraId="728A9640"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Delta RBV LINS</w:t>
            </w:r>
          </w:p>
        </w:tc>
        <w:tc>
          <w:tcPr>
            <w:tcW w:w="2164" w:type="dxa"/>
            <w:gridSpan w:val="2"/>
            <w:noWrap/>
            <w:vAlign w:val="bottom"/>
            <w:hideMark/>
          </w:tcPr>
          <w:p w14:paraId="49B310A8"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Delta RBF LINS</w:t>
            </w:r>
          </w:p>
        </w:tc>
        <w:tc>
          <w:tcPr>
            <w:tcW w:w="1974" w:type="dxa"/>
            <w:gridSpan w:val="2"/>
            <w:noWrap/>
            <w:vAlign w:val="bottom"/>
            <w:hideMark/>
          </w:tcPr>
          <w:p w14:paraId="7592DD29"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Delta MTT LINS</w:t>
            </w:r>
          </w:p>
        </w:tc>
      </w:tr>
      <w:tr w:rsidR="009968E0" w:rsidRPr="009968E0" w14:paraId="552183E4" w14:textId="77777777" w:rsidTr="00B667FD">
        <w:trPr>
          <w:trHeight w:val="379"/>
        </w:trPr>
        <w:tc>
          <w:tcPr>
            <w:tcW w:w="1172" w:type="dxa"/>
            <w:vMerge w:val="restart"/>
            <w:shd w:val="clear" w:color="auto" w:fill="FDE9D9"/>
            <w:noWrap/>
            <w:hideMark/>
          </w:tcPr>
          <w:p w14:paraId="693DA3ED"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Delta TTP LINS</w:t>
            </w:r>
          </w:p>
        </w:tc>
        <w:tc>
          <w:tcPr>
            <w:tcW w:w="1122" w:type="dxa"/>
            <w:shd w:val="clear" w:color="auto" w:fill="FDE9D9"/>
            <w:noWrap/>
            <w:vAlign w:val="bottom"/>
            <w:hideMark/>
          </w:tcPr>
          <w:p w14:paraId="7CC6B6BA" w14:textId="77777777" w:rsidR="009968E0" w:rsidRPr="009968E0" w:rsidRDefault="009968E0" w:rsidP="009968E0">
            <w:pPr>
              <w:jc w:val="right"/>
              <w:rPr>
                <w:rFonts w:ascii="Calibri" w:eastAsia="Times New Roman" w:hAnsi="Calibri" w:cs="Calibri"/>
                <w:i/>
                <w:iCs/>
                <w:sz w:val="22"/>
                <w:szCs w:val="22"/>
                <w:lang w:eastAsia="en-GB"/>
              </w:rPr>
            </w:pPr>
          </w:p>
        </w:tc>
        <w:tc>
          <w:tcPr>
            <w:tcW w:w="1060" w:type="dxa"/>
            <w:shd w:val="clear" w:color="auto" w:fill="FDE9D9"/>
            <w:noWrap/>
            <w:vAlign w:val="bottom"/>
            <w:hideMark/>
          </w:tcPr>
          <w:p w14:paraId="6E5CF288"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R</w:t>
            </w:r>
          </w:p>
        </w:tc>
        <w:tc>
          <w:tcPr>
            <w:tcW w:w="1103" w:type="dxa"/>
            <w:shd w:val="clear" w:color="auto" w:fill="FDE9D9"/>
            <w:noWrap/>
            <w:vAlign w:val="bottom"/>
            <w:hideMark/>
          </w:tcPr>
          <w:p w14:paraId="7ED13A12"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Sig</w:t>
            </w:r>
          </w:p>
        </w:tc>
        <w:tc>
          <w:tcPr>
            <w:tcW w:w="1017" w:type="dxa"/>
            <w:shd w:val="clear" w:color="auto" w:fill="FDE9D9"/>
            <w:noWrap/>
            <w:vAlign w:val="bottom"/>
            <w:hideMark/>
          </w:tcPr>
          <w:p w14:paraId="3BADCFAE"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R</w:t>
            </w:r>
          </w:p>
        </w:tc>
        <w:tc>
          <w:tcPr>
            <w:tcW w:w="1146" w:type="dxa"/>
            <w:shd w:val="clear" w:color="auto" w:fill="FDE9D9"/>
            <w:noWrap/>
            <w:vAlign w:val="bottom"/>
            <w:hideMark/>
          </w:tcPr>
          <w:p w14:paraId="16052BE4"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Sig</w:t>
            </w:r>
          </w:p>
        </w:tc>
        <w:tc>
          <w:tcPr>
            <w:tcW w:w="1082" w:type="dxa"/>
            <w:shd w:val="clear" w:color="auto" w:fill="FDE9D9"/>
            <w:noWrap/>
            <w:vAlign w:val="bottom"/>
            <w:hideMark/>
          </w:tcPr>
          <w:p w14:paraId="5F718FF6"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R</w:t>
            </w:r>
          </w:p>
        </w:tc>
        <w:tc>
          <w:tcPr>
            <w:tcW w:w="892" w:type="dxa"/>
            <w:shd w:val="clear" w:color="auto" w:fill="FDE9D9"/>
            <w:noWrap/>
            <w:vAlign w:val="bottom"/>
            <w:hideMark/>
          </w:tcPr>
          <w:p w14:paraId="22ACAACF"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Sig</w:t>
            </w:r>
          </w:p>
        </w:tc>
      </w:tr>
      <w:tr w:rsidR="009968E0" w:rsidRPr="009968E0" w14:paraId="005B4546" w14:textId="77777777" w:rsidTr="00B667FD">
        <w:trPr>
          <w:trHeight w:val="379"/>
        </w:trPr>
        <w:tc>
          <w:tcPr>
            <w:tcW w:w="1172" w:type="dxa"/>
            <w:vMerge/>
            <w:shd w:val="clear" w:color="auto" w:fill="FDE9D9"/>
            <w:noWrap/>
            <w:vAlign w:val="bottom"/>
            <w:hideMark/>
          </w:tcPr>
          <w:p w14:paraId="01CDA09E" w14:textId="77777777" w:rsidR="009968E0" w:rsidRPr="009968E0" w:rsidRDefault="009968E0" w:rsidP="009968E0">
            <w:pPr>
              <w:jc w:val="right"/>
              <w:rPr>
                <w:rFonts w:ascii="Calibri" w:eastAsia="Times New Roman" w:hAnsi="Calibri" w:cs="Calibri"/>
                <w:i/>
                <w:iCs/>
                <w:sz w:val="22"/>
                <w:szCs w:val="22"/>
                <w:lang w:eastAsia="en-GB"/>
              </w:rPr>
            </w:pPr>
          </w:p>
        </w:tc>
        <w:tc>
          <w:tcPr>
            <w:tcW w:w="1122" w:type="dxa"/>
            <w:shd w:val="clear" w:color="auto" w:fill="auto"/>
            <w:noWrap/>
            <w:vAlign w:val="bottom"/>
            <w:hideMark/>
          </w:tcPr>
          <w:p w14:paraId="48977842"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P-DPN</w:t>
            </w:r>
          </w:p>
        </w:tc>
        <w:tc>
          <w:tcPr>
            <w:tcW w:w="1060" w:type="dxa"/>
            <w:shd w:val="clear" w:color="auto" w:fill="auto"/>
            <w:noWrap/>
            <w:vAlign w:val="bottom"/>
            <w:hideMark/>
          </w:tcPr>
          <w:p w14:paraId="75ED51EB"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-0.11</w:t>
            </w:r>
          </w:p>
        </w:tc>
        <w:tc>
          <w:tcPr>
            <w:tcW w:w="1103" w:type="dxa"/>
            <w:shd w:val="clear" w:color="auto" w:fill="auto"/>
            <w:noWrap/>
            <w:vAlign w:val="bottom"/>
            <w:hideMark/>
          </w:tcPr>
          <w:p w14:paraId="2C6CA254"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0.665</w:t>
            </w:r>
          </w:p>
        </w:tc>
        <w:tc>
          <w:tcPr>
            <w:tcW w:w="1017" w:type="dxa"/>
            <w:shd w:val="clear" w:color="auto" w:fill="auto"/>
            <w:noWrap/>
            <w:vAlign w:val="bottom"/>
            <w:hideMark/>
          </w:tcPr>
          <w:p w14:paraId="5E9C3107"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-0.35</w:t>
            </w:r>
          </w:p>
        </w:tc>
        <w:tc>
          <w:tcPr>
            <w:tcW w:w="1146" w:type="dxa"/>
            <w:shd w:val="clear" w:color="auto" w:fill="auto"/>
            <w:noWrap/>
            <w:vAlign w:val="bottom"/>
            <w:hideMark/>
          </w:tcPr>
          <w:p w14:paraId="2911C272"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0.155</w:t>
            </w:r>
          </w:p>
        </w:tc>
        <w:tc>
          <w:tcPr>
            <w:tcW w:w="1082" w:type="dxa"/>
            <w:shd w:val="clear" w:color="auto" w:fill="auto"/>
            <w:noWrap/>
            <w:vAlign w:val="bottom"/>
            <w:hideMark/>
          </w:tcPr>
          <w:p w14:paraId="295D4E48"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0.611</w:t>
            </w:r>
          </w:p>
        </w:tc>
        <w:tc>
          <w:tcPr>
            <w:tcW w:w="892" w:type="dxa"/>
            <w:shd w:val="clear" w:color="auto" w:fill="auto"/>
            <w:noWrap/>
            <w:vAlign w:val="bottom"/>
            <w:hideMark/>
          </w:tcPr>
          <w:p w14:paraId="7B90E2D7" w14:textId="77777777" w:rsidR="009968E0" w:rsidRPr="009968E0" w:rsidRDefault="009968E0" w:rsidP="009968E0">
            <w:pPr>
              <w:jc w:val="right"/>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0.007*</w:t>
            </w:r>
          </w:p>
        </w:tc>
      </w:tr>
    </w:tbl>
    <w:p w14:paraId="10DFD18C" w14:textId="77777777" w:rsidR="007D16C6" w:rsidRDefault="007D16C6" w:rsidP="007D16C6">
      <w:pPr>
        <w:pStyle w:val="Subtitle"/>
        <w:rPr>
          <w:rFonts w:ascii="Times New Roman" w:eastAsia="Times New Roman" w:hAnsi="Times New Roman" w:cs="Times New Roman"/>
          <w:i w:val="0"/>
          <w:iCs w:val="0"/>
          <w:color w:val="auto"/>
          <w:bdr w:val="none" w:sz="0" w:space="0" w:color="auto"/>
          <w:lang w:val="en-GB"/>
        </w:rPr>
      </w:pPr>
      <w:bookmarkStart w:id="747" w:name="_Toc48406107"/>
      <w:bookmarkStart w:id="748" w:name="_Toc49273255"/>
    </w:p>
    <w:p w14:paraId="635CF676" w14:textId="77777777" w:rsidR="007D16C6" w:rsidRDefault="007D16C6">
      <w:pPr>
        <w:rPr>
          <w:rFonts w:ascii="Times New Roman" w:eastAsia="Times New Roman" w:hAnsi="Times New Roman" w:cs="Times New Roman"/>
          <w:lang w:eastAsia="en-GB"/>
        </w:rPr>
      </w:pPr>
      <w:r>
        <w:rPr>
          <w:rFonts w:ascii="Times New Roman" w:eastAsia="Times New Roman" w:hAnsi="Times New Roman" w:cs="Times New Roman"/>
          <w:i/>
          <w:iCs/>
        </w:rPr>
        <w:br w:type="page"/>
      </w:r>
    </w:p>
    <w:p w14:paraId="27186326" w14:textId="77777777" w:rsidR="00B667FD" w:rsidRDefault="009968E0" w:rsidP="007D16C6">
      <w:pPr>
        <w:pStyle w:val="Subtitle"/>
      </w:pPr>
      <w:bookmarkStart w:id="749" w:name="_Toc64724244"/>
      <w:r w:rsidRPr="007D16C6">
        <w:lastRenderedPageBreak/>
        <w:t xml:space="preserve">Figure D.7 </w:t>
      </w:r>
      <w:r w:rsidR="00CB2F95">
        <w:t>Scatter plot</w:t>
      </w:r>
      <w:r w:rsidRPr="007D16C6">
        <w:t xml:space="preserve"> of Delta MTT vs Delta TTP  at the RINS for the </w:t>
      </w:r>
      <w:r w:rsidR="004E59F7">
        <w:t>P-DPN</w:t>
      </w:r>
      <w:bookmarkEnd w:id="749"/>
    </w:p>
    <w:p w14:paraId="096466CD" w14:textId="4D9D5024" w:rsidR="009968E0" w:rsidRPr="007D16C6" w:rsidRDefault="009968E0" w:rsidP="007D16C6">
      <w:pPr>
        <w:pStyle w:val="Subtitle"/>
      </w:pPr>
      <w:r w:rsidRPr="007D16C6">
        <w:t xml:space="preserve"> </w:t>
      </w:r>
      <w:bookmarkStart w:id="750" w:name="_Toc64724245"/>
      <w:r w:rsidRPr="007D16C6">
        <w:t>group</w:t>
      </w:r>
      <w:bookmarkEnd w:id="747"/>
      <w:bookmarkEnd w:id="748"/>
      <w:bookmarkEnd w:id="750"/>
    </w:p>
    <w:p w14:paraId="06821F5D" w14:textId="13D2E760" w:rsidR="009968E0" w:rsidRPr="009968E0" w:rsidRDefault="009968E0" w:rsidP="009968E0">
      <w:pPr>
        <w:rPr>
          <w:rFonts w:ascii="Times New Roman" w:eastAsia="Times New Roman" w:hAnsi="Times New Roman" w:cs="Times New Roman"/>
          <w:lang w:eastAsia="en-GB"/>
        </w:rPr>
      </w:pPr>
      <w:r w:rsidRPr="009968E0">
        <w:rPr>
          <w:rFonts w:ascii="Times New Roman" w:eastAsia="Times New Roman" w:hAnsi="Times New Roman" w:cs="Times New Roman"/>
          <w:noProof/>
          <w:lang w:eastAsia="en-GB"/>
        </w:rPr>
        <w:drawing>
          <wp:inline distT="0" distB="0" distL="0" distR="0" wp14:anchorId="576FE798" wp14:editId="439DB26D">
            <wp:extent cx="5236399" cy="3090334"/>
            <wp:effectExtent l="0" t="0" r="0" b="0"/>
            <wp:docPr id="775" name="Picture 77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close up of a map&#10;&#10;Description automatically generated"/>
                    <pic:cNvPicPr/>
                  </pic:nvPicPr>
                  <pic:blipFill>
                    <a:blip r:embed="rId95"/>
                    <a:stretch>
                      <a:fillRect/>
                    </a:stretch>
                  </pic:blipFill>
                  <pic:spPr>
                    <a:xfrm>
                      <a:off x="0" y="0"/>
                      <a:ext cx="5240061" cy="3092495"/>
                    </a:xfrm>
                    <a:prstGeom prst="rect">
                      <a:avLst/>
                    </a:prstGeom>
                  </pic:spPr>
                </pic:pic>
              </a:graphicData>
            </a:graphic>
          </wp:inline>
        </w:drawing>
      </w:r>
      <w:r w:rsidRPr="009968E0">
        <w:rPr>
          <w:rFonts w:ascii="Times New Roman" w:eastAsia="Times New Roman" w:hAnsi="Times New Roman" w:cs="Times New Roman"/>
          <w:lang w:eastAsia="en-GB"/>
        </w:rPr>
        <w:t xml:space="preserve"> </w:t>
      </w:r>
    </w:p>
    <w:p w14:paraId="48F9F4F2" w14:textId="77777777" w:rsidR="009968E0" w:rsidRPr="009968E0" w:rsidRDefault="009968E0" w:rsidP="009968E0">
      <w:pPr>
        <w:rPr>
          <w:rFonts w:ascii="Times New Roman" w:eastAsia="Times New Roman" w:hAnsi="Times New Roman" w:cs="Times New Roman"/>
          <w:lang w:eastAsia="en-GB"/>
        </w:rPr>
      </w:pPr>
    </w:p>
    <w:p w14:paraId="29EFE10D" w14:textId="217BF504" w:rsidR="009968E0" w:rsidRPr="00B667FD" w:rsidRDefault="009968E0" w:rsidP="00B667FD">
      <w:pPr>
        <w:pStyle w:val="Quote"/>
      </w:pPr>
      <w:bookmarkStart w:id="751" w:name="_Toc48406181"/>
      <w:bookmarkStart w:id="752" w:name="_Toc49273393"/>
      <w:bookmarkStart w:id="753" w:name="_Toc64724145"/>
      <w:r w:rsidRPr="009968E0">
        <w:t>Table D.38 : Correlation between Delta TTP and RBV, RBF, MTT at the LINS</w:t>
      </w:r>
      <w:bookmarkEnd w:id="751"/>
      <w:bookmarkEnd w:id="752"/>
      <w:bookmarkEnd w:id="753"/>
    </w:p>
    <w:tbl>
      <w:tblPr>
        <w:tblStyle w:val="TableGrid1"/>
        <w:tblW w:w="8442" w:type="dxa"/>
        <w:tblLook w:val="04A0" w:firstRow="1" w:lastRow="0" w:firstColumn="1" w:lastColumn="0" w:noHBand="0" w:noVBand="1"/>
      </w:tblPr>
      <w:tblGrid>
        <w:gridCol w:w="1439"/>
        <w:gridCol w:w="1236"/>
        <w:gridCol w:w="1098"/>
        <w:gridCol w:w="1236"/>
        <w:gridCol w:w="1098"/>
        <w:gridCol w:w="1167"/>
        <w:gridCol w:w="1168"/>
      </w:tblGrid>
      <w:tr w:rsidR="009968E0" w:rsidRPr="009968E0" w14:paraId="37458CB9" w14:textId="77777777" w:rsidTr="00B667FD">
        <w:trPr>
          <w:trHeight w:val="320"/>
        </w:trPr>
        <w:tc>
          <w:tcPr>
            <w:tcW w:w="1439" w:type="dxa"/>
            <w:noWrap/>
            <w:hideMark/>
          </w:tcPr>
          <w:p w14:paraId="72997AA6" w14:textId="77777777" w:rsidR="009968E0" w:rsidRPr="009968E0" w:rsidRDefault="009968E0" w:rsidP="009968E0">
            <w:pPr>
              <w:rPr>
                <w:rFonts w:ascii="Calibri" w:eastAsia="Times New Roman" w:hAnsi="Calibri" w:cs="Calibri"/>
                <w:i/>
                <w:iCs/>
                <w:sz w:val="22"/>
                <w:szCs w:val="22"/>
                <w:lang w:eastAsia="en-GB"/>
              </w:rPr>
            </w:pPr>
          </w:p>
        </w:tc>
        <w:tc>
          <w:tcPr>
            <w:tcW w:w="2334" w:type="dxa"/>
            <w:gridSpan w:val="2"/>
            <w:noWrap/>
            <w:hideMark/>
          </w:tcPr>
          <w:p w14:paraId="050324B9"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Delta RBV LPSC</w:t>
            </w:r>
          </w:p>
        </w:tc>
        <w:tc>
          <w:tcPr>
            <w:tcW w:w="2334" w:type="dxa"/>
            <w:gridSpan w:val="2"/>
            <w:noWrap/>
            <w:hideMark/>
          </w:tcPr>
          <w:p w14:paraId="64A48EC4"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Delta RBF LPSC</w:t>
            </w:r>
          </w:p>
        </w:tc>
        <w:tc>
          <w:tcPr>
            <w:tcW w:w="2335" w:type="dxa"/>
            <w:gridSpan w:val="2"/>
            <w:noWrap/>
            <w:hideMark/>
          </w:tcPr>
          <w:p w14:paraId="1805F2F0"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Delta MTT LPSC</w:t>
            </w:r>
          </w:p>
        </w:tc>
      </w:tr>
      <w:tr w:rsidR="009968E0" w:rsidRPr="009968E0" w14:paraId="07C1D30E" w14:textId="77777777" w:rsidTr="00B667FD">
        <w:trPr>
          <w:trHeight w:val="320"/>
        </w:trPr>
        <w:tc>
          <w:tcPr>
            <w:tcW w:w="1439" w:type="dxa"/>
            <w:vMerge w:val="restart"/>
            <w:shd w:val="clear" w:color="auto" w:fill="FDE9D9"/>
            <w:noWrap/>
            <w:hideMark/>
          </w:tcPr>
          <w:p w14:paraId="02345D24"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Delta TTP LPSC</w:t>
            </w:r>
          </w:p>
        </w:tc>
        <w:tc>
          <w:tcPr>
            <w:tcW w:w="1236" w:type="dxa"/>
            <w:shd w:val="clear" w:color="auto" w:fill="FDE9D9"/>
            <w:noWrap/>
            <w:hideMark/>
          </w:tcPr>
          <w:p w14:paraId="2DE5EFF1"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R</w:t>
            </w:r>
          </w:p>
        </w:tc>
        <w:tc>
          <w:tcPr>
            <w:tcW w:w="1098" w:type="dxa"/>
            <w:shd w:val="clear" w:color="auto" w:fill="FDE9D9"/>
            <w:noWrap/>
            <w:hideMark/>
          </w:tcPr>
          <w:p w14:paraId="6932BD6D"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Sig</w:t>
            </w:r>
          </w:p>
        </w:tc>
        <w:tc>
          <w:tcPr>
            <w:tcW w:w="1236" w:type="dxa"/>
            <w:shd w:val="clear" w:color="auto" w:fill="FDE9D9"/>
            <w:noWrap/>
            <w:hideMark/>
          </w:tcPr>
          <w:p w14:paraId="5A99FD60"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R</w:t>
            </w:r>
          </w:p>
        </w:tc>
        <w:tc>
          <w:tcPr>
            <w:tcW w:w="1098" w:type="dxa"/>
            <w:shd w:val="clear" w:color="auto" w:fill="FDE9D9"/>
            <w:noWrap/>
            <w:hideMark/>
          </w:tcPr>
          <w:p w14:paraId="609A329A"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Sig</w:t>
            </w:r>
          </w:p>
        </w:tc>
        <w:tc>
          <w:tcPr>
            <w:tcW w:w="1167" w:type="dxa"/>
            <w:shd w:val="clear" w:color="auto" w:fill="FDE9D9"/>
            <w:noWrap/>
            <w:hideMark/>
          </w:tcPr>
          <w:p w14:paraId="169418E9"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R</w:t>
            </w:r>
          </w:p>
        </w:tc>
        <w:tc>
          <w:tcPr>
            <w:tcW w:w="1167" w:type="dxa"/>
            <w:shd w:val="clear" w:color="auto" w:fill="FDE9D9"/>
            <w:noWrap/>
            <w:hideMark/>
          </w:tcPr>
          <w:p w14:paraId="4A8C69C0"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Sig</w:t>
            </w:r>
          </w:p>
        </w:tc>
      </w:tr>
      <w:tr w:rsidR="009968E0" w:rsidRPr="009968E0" w14:paraId="3A957843" w14:textId="77777777" w:rsidTr="00B667FD">
        <w:trPr>
          <w:trHeight w:val="320"/>
        </w:trPr>
        <w:tc>
          <w:tcPr>
            <w:tcW w:w="1439" w:type="dxa"/>
            <w:vMerge/>
            <w:noWrap/>
            <w:hideMark/>
          </w:tcPr>
          <w:p w14:paraId="31CA6D92" w14:textId="77777777" w:rsidR="009968E0" w:rsidRPr="009968E0" w:rsidRDefault="009968E0" w:rsidP="009968E0">
            <w:pPr>
              <w:rPr>
                <w:rFonts w:ascii="Calibri" w:eastAsia="Times New Roman" w:hAnsi="Calibri" w:cs="Calibri"/>
                <w:i/>
                <w:iCs/>
                <w:sz w:val="22"/>
                <w:szCs w:val="22"/>
                <w:lang w:eastAsia="en-GB"/>
              </w:rPr>
            </w:pPr>
          </w:p>
        </w:tc>
        <w:tc>
          <w:tcPr>
            <w:tcW w:w="1236" w:type="dxa"/>
            <w:noWrap/>
            <w:hideMark/>
          </w:tcPr>
          <w:p w14:paraId="3DDA3755"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-0.306</w:t>
            </w:r>
          </w:p>
        </w:tc>
        <w:tc>
          <w:tcPr>
            <w:tcW w:w="1098" w:type="dxa"/>
            <w:noWrap/>
            <w:hideMark/>
          </w:tcPr>
          <w:p w14:paraId="778981AE"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0.216</w:t>
            </w:r>
          </w:p>
        </w:tc>
        <w:tc>
          <w:tcPr>
            <w:tcW w:w="1236" w:type="dxa"/>
            <w:noWrap/>
            <w:hideMark/>
          </w:tcPr>
          <w:p w14:paraId="7140ED30"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-0.525</w:t>
            </w:r>
          </w:p>
        </w:tc>
        <w:tc>
          <w:tcPr>
            <w:tcW w:w="1098" w:type="dxa"/>
            <w:noWrap/>
            <w:hideMark/>
          </w:tcPr>
          <w:p w14:paraId="62D849BD"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0.025*</w:t>
            </w:r>
          </w:p>
        </w:tc>
        <w:tc>
          <w:tcPr>
            <w:tcW w:w="1167" w:type="dxa"/>
            <w:noWrap/>
            <w:hideMark/>
          </w:tcPr>
          <w:p w14:paraId="1E91C8E1"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0.369</w:t>
            </w:r>
          </w:p>
        </w:tc>
        <w:tc>
          <w:tcPr>
            <w:tcW w:w="1167" w:type="dxa"/>
            <w:noWrap/>
            <w:hideMark/>
          </w:tcPr>
          <w:p w14:paraId="59D424D2"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0.132</w:t>
            </w:r>
          </w:p>
        </w:tc>
      </w:tr>
    </w:tbl>
    <w:p w14:paraId="1333725E" w14:textId="77777777" w:rsidR="009968E0" w:rsidRPr="009968E0" w:rsidRDefault="009968E0" w:rsidP="009968E0">
      <w:pPr>
        <w:rPr>
          <w:rFonts w:ascii="Times New Roman" w:eastAsia="Times New Roman" w:hAnsi="Times New Roman" w:cs="Times New Roman"/>
          <w:lang w:eastAsia="en-GB"/>
        </w:rPr>
      </w:pPr>
    </w:p>
    <w:p w14:paraId="40C6B0DD" w14:textId="77777777" w:rsidR="00B667FD" w:rsidRDefault="009968E0" w:rsidP="007D16C6">
      <w:pPr>
        <w:pStyle w:val="Subtitle"/>
      </w:pPr>
      <w:bookmarkStart w:id="754" w:name="_Toc64724246"/>
      <w:bookmarkStart w:id="755" w:name="_Toc48406108"/>
      <w:bookmarkStart w:id="756" w:name="_Toc49273256"/>
      <w:r w:rsidRPr="007D16C6">
        <w:t xml:space="preserve">Figure D.8 </w:t>
      </w:r>
      <w:r w:rsidR="00CB2F95">
        <w:t>Scatter plot</w:t>
      </w:r>
      <w:r w:rsidRPr="007D16C6">
        <w:t xml:space="preserve"> of Delta RBF vs Delta TTP at the LPSC for the </w:t>
      </w:r>
      <w:r w:rsidR="004E59F7">
        <w:t>P-DPN</w:t>
      </w:r>
      <w:bookmarkEnd w:id="754"/>
    </w:p>
    <w:p w14:paraId="37B73353" w14:textId="6DA07C1F" w:rsidR="009968E0" w:rsidRPr="007D16C6" w:rsidRDefault="009968E0" w:rsidP="007D16C6">
      <w:pPr>
        <w:pStyle w:val="Subtitle"/>
      </w:pPr>
      <w:r w:rsidRPr="007D16C6">
        <w:t xml:space="preserve"> </w:t>
      </w:r>
      <w:bookmarkStart w:id="757" w:name="_Toc64724247"/>
      <w:r w:rsidRPr="007D16C6">
        <w:t>group</w:t>
      </w:r>
      <w:bookmarkEnd w:id="755"/>
      <w:bookmarkEnd w:id="756"/>
      <w:bookmarkEnd w:id="757"/>
    </w:p>
    <w:p w14:paraId="0A38D351" w14:textId="77777777" w:rsidR="009968E0" w:rsidRPr="009968E0" w:rsidRDefault="009968E0" w:rsidP="009968E0">
      <w:pPr>
        <w:rPr>
          <w:rFonts w:ascii="Times New Roman" w:eastAsia="Times New Roman" w:hAnsi="Times New Roman" w:cs="Times New Roman"/>
          <w:lang w:eastAsia="en-GB"/>
        </w:rPr>
      </w:pPr>
    </w:p>
    <w:p w14:paraId="410F8DF0" w14:textId="77777777" w:rsidR="009968E0" w:rsidRPr="009968E0" w:rsidRDefault="009968E0" w:rsidP="009968E0">
      <w:pPr>
        <w:rPr>
          <w:rFonts w:ascii="Times New Roman" w:eastAsia="Times New Roman" w:hAnsi="Times New Roman" w:cs="Times New Roman"/>
          <w:lang w:eastAsia="en-GB"/>
        </w:rPr>
      </w:pPr>
      <w:r w:rsidRPr="009968E0">
        <w:rPr>
          <w:rFonts w:ascii="Times New Roman" w:eastAsia="Times New Roman" w:hAnsi="Times New Roman" w:cs="Times New Roman"/>
          <w:noProof/>
          <w:lang w:eastAsia="en-GB"/>
        </w:rPr>
        <w:drawing>
          <wp:inline distT="0" distB="0" distL="0" distR="0" wp14:anchorId="5F144432" wp14:editId="66E7F0F0">
            <wp:extent cx="4851400" cy="2863121"/>
            <wp:effectExtent l="0" t="0" r="0" b="0"/>
            <wp:docPr id="776" name="Picture 77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Picture 776" descr="A close up of a map&#10;&#10;Description automatically generated"/>
                    <pic:cNvPicPr/>
                  </pic:nvPicPr>
                  <pic:blipFill>
                    <a:blip r:embed="rId96"/>
                    <a:stretch>
                      <a:fillRect/>
                    </a:stretch>
                  </pic:blipFill>
                  <pic:spPr>
                    <a:xfrm>
                      <a:off x="0" y="0"/>
                      <a:ext cx="4855893" cy="2865773"/>
                    </a:xfrm>
                    <a:prstGeom prst="rect">
                      <a:avLst/>
                    </a:prstGeom>
                  </pic:spPr>
                </pic:pic>
              </a:graphicData>
            </a:graphic>
          </wp:inline>
        </w:drawing>
      </w:r>
    </w:p>
    <w:p w14:paraId="0CC4FCEB" w14:textId="77777777" w:rsidR="009968E0" w:rsidRPr="009968E0" w:rsidRDefault="009968E0" w:rsidP="009968E0">
      <w:pPr>
        <w:rPr>
          <w:rFonts w:ascii="Cambria" w:eastAsia="Times New Roman" w:hAnsi="Cambria" w:cs="Cambria"/>
          <w:lang w:eastAsia="en-GB"/>
        </w:rPr>
      </w:pPr>
    </w:p>
    <w:p w14:paraId="2D0D4B7B" w14:textId="77777777" w:rsidR="00B667FD" w:rsidRDefault="00B667FD" w:rsidP="007D16C6">
      <w:pPr>
        <w:pStyle w:val="Quote"/>
      </w:pPr>
      <w:bookmarkStart w:id="758" w:name="_Toc48406182"/>
      <w:bookmarkStart w:id="759" w:name="_Toc49273394"/>
    </w:p>
    <w:p w14:paraId="7C2776D8" w14:textId="67972903" w:rsidR="009968E0" w:rsidRPr="009968E0" w:rsidRDefault="009968E0" w:rsidP="007D16C6">
      <w:pPr>
        <w:pStyle w:val="Quote"/>
      </w:pPr>
      <w:bookmarkStart w:id="760" w:name="_Toc64724146"/>
      <w:r w:rsidRPr="009968E0">
        <w:lastRenderedPageBreak/>
        <w:t>Table D.39: Correlation between Delta TTP and RBV, RBF, MTT at the RPSC</w:t>
      </w:r>
      <w:bookmarkEnd w:id="758"/>
      <w:bookmarkEnd w:id="759"/>
      <w:bookmarkEnd w:id="760"/>
    </w:p>
    <w:tbl>
      <w:tblPr>
        <w:tblStyle w:val="TableGrid1"/>
        <w:tblW w:w="4836" w:type="pct"/>
        <w:tblLook w:val="04A0" w:firstRow="1" w:lastRow="0" w:firstColumn="1" w:lastColumn="0" w:noHBand="0" w:noVBand="1"/>
      </w:tblPr>
      <w:tblGrid>
        <w:gridCol w:w="1229"/>
        <w:gridCol w:w="1098"/>
        <w:gridCol w:w="1426"/>
        <w:gridCol w:w="749"/>
        <w:gridCol w:w="1197"/>
        <w:gridCol w:w="1014"/>
        <w:gridCol w:w="1096"/>
        <w:gridCol w:w="905"/>
      </w:tblGrid>
      <w:tr w:rsidR="009968E0" w:rsidRPr="009968E0" w14:paraId="143CA22E" w14:textId="77777777" w:rsidTr="00B667FD">
        <w:trPr>
          <w:trHeight w:val="290"/>
        </w:trPr>
        <w:tc>
          <w:tcPr>
            <w:tcW w:w="705" w:type="pct"/>
            <w:noWrap/>
            <w:vAlign w:val="bottom"/>
            <w:hideMark/>
          </w:tcPr>
          <w:p w14:paraId="11073482" w14:textId="77777777" w:rsidR="009968E0" w:rsidRPr="009968E0" w:rsidRDefault="009968E0" w:rsidP="009968E0">
            <w:pPr>
              <w:jc w:val="right"/>
              <w:rPr>
                <w:rFonts w:ascii="Calibri" w:eastAsia="Times New Roman" w:hAnsi="Calibri" w:cs="Calibri"/>
                <w:i/>
                <w:iCs/>
                <w:sz w:val="22"/>
                <w:szCs w:val="22"/>
                <w:lang w:eastAsia="en-GB"/>
              </w:rPr>
            </w:pPr>
          </w:p>
        </w:tc>
        <w:tc>
          <w:tcPr>
            <w:tcW w:w="630" w:type="pct"/>
            <w:noWrap/>
            <w:vAlign w:val="bottom"/>
            <w:hideMark/>
          </w:tcPr>
          <w:p w14:paraId="5C761267"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Group</w:t>
            </w:r>
          </w:p>
        </w:tc>
        <w:tc>
          <w:tcPr>
            <w:tcW w:w="1248" w:type="pct"/>
            <w:gridSpan w:val="2"/>
            <w:noWrap/>
            <w:vAlign w:val="bottom"/>
            <w:hideMark/>
          </w:tcPr>
          <w:p w14:paraId="38ACD595"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Delta RBV RPSC</w:t>
            </w:r>
          </w:p>
        </w:tc>
        <w:tc>
          <w:tcPr>
            <w:tcW w:w="1269" w:type="pct"/>
            <w:gridSpan w:val="2"/>
            <w:noWrap/>
            <w:vAlign w:val="bottom"/>
            <w:hideMark/>
          </w:tcPr>
          <w:p w14:paraId="598A78A3"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Delta RBF RPSC</w:t>
            </w:r>
          </w:p>
        </w:tc>
        <w:tc>
          <w:tcPr>
            <w:tcW w:w="1148" w:type="pct"/>
            <w:gridSpan w:val="2"/>
            <w:noWrap/>
            <w:vAlign w:val="bottom"/>
            <w:hideMark/>
          </w:tcPr>
          <w:p w14:paraId="3042F84E"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Delta MTT RPSC</w:t>
            </w:r>
          </w:p>
        </w:tc>
      </w:tr>
      <w:tr w:rsidR="009968E0" w:rsidRPr="009968E0" w14:paraId="783A334A" w14:textId="77777777" w:rsidTr="00B667FD">
        <w:trPr>
          <w:trHeight w:val="290"/>
        </w:trPr>
        <w:tc>
          <w:tcPr>
            <w:tcW w:w="705" w:type="pct"/>
            <w:vMerge w:val="restart"/>
            <w:shd w:val="clear" w:color="auto" w:fill="FDE9D9"/>
            <w:noWrap/>
            <w:hideMark/>
          </w:tcPr>
          <w:p w14:paraId="75266A04"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Delta TTP</w:t>
            </w:r>
          </w:p>
          <w:p w14:paraId="5DBE1B34" w14:textId="77777777" w:rsidR="009968E0" w:rsidRPr="009968E0" w:rsidRDefault="009968E0" w:rsidP="009968E0">
            <w:pP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 xml:space="preserve"> RPSC</w:t>
            </w:r>
          </w:p>
        </w:tc>
        <w:tc>
          <w:tcPr>
            <w:tcW w:w="630" w:type="pct"/>
            <w:shd w:val="clear" w:color="auto" w:fill="FDE9D9"/>
            <w:noWrap/>
            <w:vAlign w:val="bottom"/>
            <w:hideMark/>
          </w:tcPr>
          <w:p w14:paraId="61268E8D" w14:textId="77777777" w:rsidR="009968E0" w:rsidRPr="009968E0" w:rsidRDefault="009968E0" w:rsidP="009968E0">
            <w:pPr>
              <w:jc w:val="right"/>
              <w:rPr>
                <w:rFonts w:ascii="Calibri" w:eastAsia="Times New Roman" w:hAnsi="Calibri" w:cs="Calibri"/>
                <w:i/>
                <w:iCs/>
                <w:sz w:val="22"/>
                <w:szCs w:val="22"/>
                <w:lang w:eastAsia="en-GB"/>
              </w:rPr>
            </w:pPr>
          </w:p>
        </w:tc>
        <w:tc>
          <w:tcPr>
            <w:tcW w:w="818" w:type="pct"/>
            <w:shd w:val="clear" w:color="auto" w:fill="FDE9D9"/>
            <w:noWrap/>
            <w:vAlign w:val="bottom"/>
            <w:hideMark/>
          </w:tcPr>
          <w:p w14:paraId="1F37B04F"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R</w:t>
            </w:r>
          </w:p>
        </w:tc>
        <w:tc>
          <w:tcPr>
            <w:tcW w:w="430" w:type="pct"/>
            <w:shd w:val="clear" w:color="auto" w:fill="FDE9D9"/>
            <w:noWrap/>
            <w:vAlign w:val="bottom"/>
            <w:hideMark/>
          </w:tcPr>
          <w:p w14:paraId="36738E8E"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Sig.</w:t>
            </w:r>
          </w:p>
        </w:tc>
        <w:tc>
          <w:tcPr>
            <w:tcW w:w="687" w:type="pct"/>
            <w:shd w:val="clear" w:color="auto" w:fill="FDE9D9"/>
            <w:noWrap/>
            <w:vAlign w:val="bottom"/>
            <w:hideMark/>
          </w:tcPr>
          <w:p w14:paraId="0A30BED9"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R</w:t>
            </w:r>
          </w:p>
        </w:tc>
        <w:tc>
          <w:tcPr>
            <w:tcW w:w="582" w:type="pct"/>
            <w:shd w:val="clear" w:color="auto" w:fill="FDE9D9"/>
            <w:noWrap/>
            <w:vAlign w:val="bottom"/>
            <w:hideMark/>
          </w:tcPr>
          <w:p w14:paraId="0B163578"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 xml:space="preserve">Sig. </w:t>
            </w:r>
          </w:p>
        </w:tc>
        <w:tc>
          <w:tcPr>
            <w:tcW w:w="629" w:type="pct"/>
            <w:shd w:val="clear" w:color="auto" w:fill="FDE9D9"/>
            <w:noWrap/>
            <w:vAlign w:val="bottom"/>
            <w:hideMark/>
          </w:tcPr>
          <w:p w14:paraId="6E0DFDA1"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w:t>
            </w:r>
          </w:p>
        </w:tc>
        <w:tc>
          <w:tcPr>
            <w:tcW w:w="519" w:type="pct"/>
            <w:shd w:val="clear" w:color="auto" w:fill="FDE9D9"/>
            <w:noWrap/>
            <w:vAlign w:val="bottom"/>
            <w:hideMark/>
          </w:tcPr>
          <w:p w14:paraId="29C7FCCE" w14:textId="77777777" w:rsidR="009968E0" w:rsidRPr="009968E0" w:rsidRDefault="009968E0" w:rsidP="009968E0">
            <w:pPr>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 xml:space="preserve">Sig. </w:t>
            </w:r>
          </w:p>
        </w:tc>
      </w:tr>
      <w:tr w:rsidR="009968E0" w:rsidRPr="009968E0" w14:paraId="56917B21" w14:textId="77777777" w:rsidTr="00B667FD">
        <w:trPr>
          <w:trHeight w:val="290"/>
        </w:trPr>
        <w:tc>
          <w:tcPr>
            <w:tcW w:w="705" w:type="pct"/>
            <w:vMerge/>
            <w:shd w:val="clear" w:color="auto" w:fill="FDE9D9"/>
            <w:noWrap/>
            <w:vAlign w:val="bottom"/>
            <w:hideMark/>
          </w:tcPr>
          <w:p w14:paraId="6BCE9085" w14:textId="77777777" w:rsidR="009968E0" w:rsidRPr="009968E0" w:rsidRDefault="009968E0" w:rsidP="009968E0">
            <w:pPr>
              <w:shd w:val="clear" w:color="auto" w:fill="FFFFFF"/>
              <w:jc w:val="right"/>
              <w:rPr>
                <w:rFonts w:ascii="Calibri" w:eastAsia="Times New Roman" w:hAnsi="Calibri" w:cs="Calibri"/>
                <w:i/>
                <w:iCs/>
                <w:color w:val="000000"/>
                <w:sz w:val="22"/>
                <w:szCs w:val="22"/>
                <w:lang w:eastAsia="en-GB"/>
              </w:rPr>
            </w:pPr>
          </w:p>
        </w:tc>
        <w:tc>
          <w:tcPr>
            <w:tcW w:w="630" w:type="pct"/>
            <w:shd w:val="clear" w:color="auto" w:fill="FFFFFF"/>
            <w:noWrap/>
            <w:vAlign w:val="bottom"/>
            <w:hideMark/>
          </w:tcPr>
          <w:p w14:paraId="6E8B3B38" w14:textId="77777777" w:rsidR="009968E0" w:rsidRPr="009968E0" w:rsidRDefault="009968E0" w:rsidP="009968E0">
            <w:pPr>
              <w:shd w:val="clear" w:color="auto" w:fill="FFFFFF"/>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P-DPN</w:t>
            </w:r>
          </w:p>
        </w:tc>
        <w:tc>
          <w:tcPr>
            <w:tcW w:w="818" w:type="pct"/>
            <w:shd w:val="clear" w:color="auto" w:fill="FFFFFF"/>
            <w:noWrap/>
            <w:vAlign w:val="bottom"/>
            <w:hideMark/>
          </w:tcPr>
          <w:p w14:paraId="6E6BCBC0" w14:textId="77777777" w:rsidR="009968E0" w:rsidRPr="009968E0" w:rsidRDefault="009968E0" w:rsidP="009968E0">
            <w:pPr>
              <w:shd w:val="clear" w:color="auto" w:fill="FFFFFF"/>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-0.315</w:t>
            </w:r>
          </w:p>
        </w:tc>
        <w:tc>
          <w:tcPr>
            <w:tcW w:w="430" w:type="pct"/>
            <w:shd w:val="clear" w:color="auto" w:fill="FFFFFF"/>
            <w:noWrap/>
            <w:vAlign w:val="bottom"/>
            <w:hideMark/>
          </w:tcPr>
          <w:p w14:paraId="3874810F" w14:textId="77777777" w:rsidR="009968E0" w:rsidRPr="009968E0" w:rsidRDefault="009968E0" w:rsidP="009968E0">
            <w:pPr>
              <w:shd w:val="clear" w:color="auto" w:fill="FFFFFF"/>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0.202</w:t>
            </w:r>
          </w:p>
        </w:tc>
        <w:tc>
          <w:tcPr>
            <w:tcW w:w="687" w:type="pct"/>
            <w:shd w:val="clear" w:color="auto" w:fill="FFFFFF"/>
            <w:noWrap/>
            <w:vAlign w:val="bottom"/>
            <w:hideMark/>
          </w:tcPr>
          <w:p w14:paraId="6887DD1C" w14:textId="77777777" w:rsidR="009968E0" w:rsidRPr="009968E0" w:rsidRDefault="009968E0" w:rsidP="009968E0">
            <w:pPr>
              <w:shd w:val="clear" w:color="auto" w:fill="FFFFFF"/>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-0.603</w:t>
            </w:r>
          </w:p>
        </w:tc>
        <w:tc>
          <w:tcPr>
            <w:tcW w:w="582" w:type="pct"/>
            <w:shd w:val="clear" w:color="auto" w:fill="FFFFFF"/>
            <w:noWrap/>
            <w:vAlign w:val="bottom"/>
            <w:hideMark/>
          </w:tcPr>
          <w:p w14:paraId="3F3A7202" w14:textId="77777777" w:rsidR="009968E0" w:rsidRPr="009968E0" w:rsidRDefault="009968E0" w:rsidP="009968E0">
            <w:pPr>
              <w:shd w:val="clear" w:color="auto" w:fill="FFFFFF"/>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0.008*</w:t>
            </w:r>
          </w:p>
        </w:tc>
        <w:tc>
          <w:tcPr>
            <w:tcW w:w="629" w:type="pct"/>
            <w:shd w:val="clear" w:color="auto" w:fill="FFFFFF"/>
            <w:noWrap/>
            <w:vAlign w:val="bottom"/>
            <w:hideMark/>
          </w:tcPr>
          <w:p w14:paraId="403493B6" w14:textId="77777777" w:rsidR="009968E0" w:rsidRPr="009968E0" w:rsidRDefault="009968E0" w:rsidP="009968E0">
            <w:pPr>
              <w:shd w:val="clear" w:color="auto" w:fill="FFFFFF"/>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0.267</w:t>
            </w:r>
          </w:p>
        </w:tc>
        <w:tc>
          <w:tcPr>
            <w:tcW w:w="519" w:type="pct"/>
            <w:shd w:val="clear" w:color="auto" w:fill="FFFFFF"/>
            <w:noWrap/>
            <w:vAlign w:val="bottom"/>
            <w:hideMark/>
          </w:tcPr>
          <w:p w14:paraId="3C1396EB" w14:textId="77777777" w:rsidR="009968E0" w:rsidRPr="009968E0" w:rsidRDefault="009968E0" w:rsidP="009968E0">
            <w:pPr>
              <w:shd w:val="clear" w:color="auto" w:fill="FFFFFF"/>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0.283</w:t>
            </w:r>
          </w:p>
        </w:tc>
      </w:tr>
    </w:tbl>
    <w:p w14:paraId="262D7EF3" w14:textId="77777777" w:rsidR="009968E0" w:rsidRPr="009968E0" w:rsidRDefault="009968E0" w:rsidP="009968E0">
      <w:pPr>
        <w:shd w:val="clear" w:color="auto" w:fill="FFFFFF"/>
        <w:rPr>
          <w:rFonts w:ascii="Times New Roman" w:eastAsia="Times New Roman" w:hAnsi="Times New Roman" w:cs="Times New Roman"/>
          <w:lang w:eastAsia="en-GB"/>
        </w:rPr>
      </w:pPr>
    </w:p>
    <w:p w14:paraId="5C854150" w14:textId="36BBEA43" w:rsidR="009968E0" w:rsidRPr="007D16C6" w:rsidRDefault="009968E0" w:rsidP="007D16C6">
      <w:pPr>
        <w:pStyle w:val="Subtitle"/>
      </w:pPr>
      <w:bookmarkStart w:id="761" w:name="_Toc48406109"/>
      <w:bookmarkStart w:id="762" w:name="_Toc49273257"/>
      <w:bookmarkStart w:id="763" w:name="_Toc64724248"/>
      <w:r w:rsidRPr="007D16C6">
        <w:t xml:space="preserve">Figure D.9 </w:t>
      </w:r>
      <w:r w:rsidR="00CB2F95">
        <w:t>Scatter plot</w:t>
      </w:r>
      <w:r w:rsidRPr="007D16C6">
        <w:t xml:space="preserve"> of Delta RBF vs Delta TTP at the RPSC for the </w:t>
      </w:r>
      <w:r w:rsidR="004E59F7">
        <w:t>P-DPN</w:t>
      </w:r>
      <w:r w:rsidRPr="007D16C6">
        <w:t xml:space="preserve"> group</w:t>
      </w:r>
      <w:bookmarkEnd w:id="761"/>
      <w:bookmarkEnd w:id="762"/>
      <w:bookmarkEnd w:id="763"/>
    </w:p>
    <w:p w14:paraId="28EF2713" w14:textId="77777777" w:rsidR="009968E0" w:rsidRPr="009968E0" w:rsidRDefault="009968E0" w:rsidP="009968E0">
      <w:pPr>
        <w:rPr>
          <w:rFonts w:ascii="Times New Roman" w:eastAsia="Times New Roman" w:hAnsi="Times New Roman" w:cs="Times New Roman"/>
          <w:lang w:eastAsia="en-GB"/>
        </w:rPr>
      </w:pPr>
      <w:r w:rsidRPr="009968E0">
        <w:rPr>
          <w:rFonts w:ascii="Times New Roman" w:eastAsia="Times New Roman" w:hAnsi="Times New Roman" w:cs="Times New Roman"/>
          <w:noProof/>
          <w:lang w:eastAsia="en-GB"/>
        </w:rPr>
        <w:drawing>
          <wp:inline distT="0" distB="0" distL="0" distR="0" wp14:anchorId="52F12DC1" wp14:editId="0975264D">
            <wp:extent cx="5422900" cy="3200400"/>
            <wp:effectExtent l="0" t="0" r="0" b="0"/>
            <wp:docPr id="777" name="Picture 77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close up of a map&#10;&#10;Description automatically generated"/>
                    <pic:cNvPicPr/>
                  </pic:nvPicPr>
                  <pic:blipFill>
                    <a:blip r:embed="rId97"/>
                    <a:stretch>
                      <a:fillRect/>
                    </a:stretch>
                  </pic:blipFill>
                  <pic:spPr>
                    <a:xfrm>
                      <a:off x="0" y="0"/>
                      <a:ext cx="5422900" cy="3200400"/>
                    </a:xfrm>
                    <a:prstGeom prst="rect">
                      <a:avLst/>
                    </a:prstGeom>
                  </pic:spPr>
                </pic:pic>
              </a:graphicData>
            </a:graphic>
          </wp:inline>
        </w:drawing>
      </w:r>
      <w:r w:rsidRPr="009968E0">
        <w:rPr>
          <w:rFonts w:ascii="Times New Roman" w:eastAsia="Times New Roman" w:hAnsi="Times New Roman" w:cs="Times New Roman"/>
          <w:lang w:eastAsia="en-GB"/>
        </w:rPr>
        <w:t xml:space="preserve"> </w:t>
      </w:r>
    </w:p>
    <w:p w14:paraId="79BABB45" w14:textId="77777777" w:rsidR="009968E0" w:rsidRPr="009968E0" w:rsidRDefault="009968E0" w:rsidP="009968E0">
      <w:pPr>
        <w:rPr>
          <w:rFonts w:eastAsia="MS Mincho" w:cs="Times New Roman"/>
          <w:i/>
          <w:iCs/>
          <w:color w:val="1F497D"/>
        </w:rPr>
      </w:pPr>
    </w:p>
    <w:p w14:paraId="0BAF4F30" w14:textId="77777777" w:rsidR="009968E0" w:rsidRPr="009968E0" w:rsidRDefault="009968E0" w:rsidP="009968E0">
      <w:pPr>
        <w:rPr>
          <w:rFonts w:eastAsia="MS Mincho" w:cs="Times New Roman"/>
          <w:i/>
          <w:iCs/>
          <w:color w:val="1F497D"/>
        </w:rPr>
      </w:pPr>
    </w:p>
    <w:p w14:paraId="5F7DA77F" w14:textId="77777777" w:rsidR="009968E0" w:rsidRPr="009968E0" w:rsidRDefault="009968E0" w:rsidP="007D16C6">
      <w:pPr>
        <w:pStyle w:val="Quote"/>
      </w:pPr>
      <w:bookmarkStart w:id="764" w:name="_Toc48406183"/>
      <w:bookmarkStart w:id="765" w:name="_Toc49273395"/>
      <w:bookmarkStart w:id="766" w:name="_Toc64724147"/>
      <w:r w:rsidRPr="009968E0">
        <w:t>Table D.40: Descriptive statistics and ANOVA for characteristics of the groups including the subgroups P+ and P- of the P-DPN group.</w:t>
      </w:r>
      <w:bookmarkEnd w:id="764"/>
      <w:bookmarkEnd w:id="765"/>
      <w:bookmarkEnd w:id="766"/>
    </w:p>
    <w:p w14:paraId="728FA2C7" w14:textId="77777777" w:rsidR="009968E0" w:rsidRPr="009968E0" w:rsidRDefault="009968E0" w:rsidP="009968E0">
      <w:pPr>
        <w:rPr>
          <w:rFonts w:ascii="Times New Roman" w:eastAsia="Times New Roman" w:hAnsi="Times New Roman" w:cs="Times New Roman"/>
          <w:lang w:eastAsia="en-GB"/>
        </w:rPr>
      </w:pPr>
    </w:p>
    <w:tbl>
      <w:tblPr>
        <w:tblStyle w:val="GridTable2-Accent212"/>
        <w:tblW w:w="8784" w:type="dxa"/>
        <w:tblLook w:val="04A0" w:firstRow="1" w:lastRow="0" w:firstColumn="1" w:lastColumn="0" w:noHBand="0" w:noVBand="1"/>
      </w:tblPr>
      <w:tblGrid>
        <w:gridCol w:w="1271"/>
        <w:gridCol w:w="1701"/>
        <w:gridCol w:w="1276"/>
        <w:gridCol w:w="1134"/>
        <w:gridCol w:w="992"/>
        <w:gridCol w:w="1134"/>
        <w:gridCol w:w="1276"/>
      </w:tblGrid>
      <w:tr w:rsidR="009968E0" w:rsidRPr="009968E0" w14:paraId="6B6D08A0" w14:textId="77777777" w:rsidTr="003A4934">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auto"/>
              <w:left w:val="single" w:sz="4" w:space="0" w:color="auto"/>
            </w:tcBorders>
            <w:noWrap/>
            <w:hideMark/>
          </w:tcPr>
          <w:p w14:paraId="0B649EDD" w14:textId="77777777" w:rsidR="009968E0" w:rsidRPr="009968E0" w:rsidRDefault="009968E0" w:rsidP="009968E0">
            <w:pPr>
              <w:rPr>
                <w:rFonts w:ascii="Calibri" w:eastAsia="Times New Roman" w:hAnsi="Calibri" w:cs="Calibri"/>
                <w:i/>
                <w:iCs/>
                <w:sz w:val="22"/>
                <w:szCs w:val="22"/>
                <w:lang w:eastAsia="en-GB"/>
              </w:rPr>
            </w:pPr>
          </w:p>
        </w:tc>
        <w:tc>
          <w:tcPr>
            <w:tcW w:w="1701" w:type="dxa"/>
            <w:tcBorders>
              <w:top w:val="single" w:sz="4" w:space="0" w:color="auto"/>
            </w:tcBorders>
            <w:noWrap/>
            <w:hideMark/>
          </w:tcPr>
          <w:p w14:paraId="2E2F2D6C" w14:textId="77777777" w:rsidR="009968E0" w:rsidRPr="009968E0" w:rsidRDefault="009968E0" w:rsidP="009968E0">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p>
        </w:tc>
        <w:tc>
          <w:tcPr>
            <w:tcW w:w="1276" w:type="dxa"/>
            <w:tcBorders>
              <w:top w:val="single" w:sz="4" w:space="0" w:color="auto"/>
            </w:tcBorders>
            <w:noWrap/>
            <w:hideMark/>
          </w:tcPr>
          <w:p w14:paraId="62EE575B" w14:textId="77777777" w:rsidR="009968E0" w:rsidRPr="009968E0" w:rsidRDefault="009968E0" w:rsidP="009968E0">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P+</w:t>
            </w:r>
          </w:p>
        </w:tc>
        <w:tc>
          <w:tcPr>
            <w:tcW w:w="1134" w:type="dxa"/>
            <w:tcBorders>
              <w:top w:val="single" w:sz="4" w:space="0" w:color="auto"/>
            </w:tcBorders>
            <w:noWrap/>
            <w:hideMark/>
          </w:tcPr>
          <w:p w14:paraId="6C9A3711" w14:textId="77777777" w:rsidR="009968E0" w:rsidRPr="009968E0" w:rsidRDefault="009968E0" w:rsidP="009968E0">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P-</w:t>
            </w:r>
          </w:p>
        </w:tc>
        <w:tc>
          <w:tcPr>
            <w:tcW w:w="992" w:type="dxa"/>
            <w:tcBorders>
              <w:top w:val="single" w:sz="4" w:space="0" w:color="auto"/>
            </w:tcBorders>
            <w:noWrap/>
            <w:hideMark/>
          </w:tcPr>
          <w:p w14:paraId="733F6E6D" w14:textId="77777777" w:rsidR="009968E0" w:rsidRPr="009968E0" w:rsidRDefault="009968E0" w:rsidP="009968E0">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DPN</w:t>
            </w:r>
          </w:p>
        </w:tc>
        <w:tc>
          <w:tcPr>
            <w:tcW w:w="1134" w:type="dxa"/>
            <w:tcBorders>
              <w:top w:val="single" w:sz="4" w:space="0" w:color="auto"/>
            </w:tcBorders>
            <w:noWrap/>
            <w:hideMark/>
          </w:tcPr>
          <w:p w14:paraId="637C3120" w14:textId="77777777" w:rsidR="009968E0" w:rsidRPr="009968E0" w:rsidRDefault="009968E0" w:rsidP="009968E0">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DM-NN</w:t>
            </w:r>
          </w:p>
        </w:tc>
        <w:tc>
          <w:tcPr>
            <w:tcW w:w="1276" w:type="dxa"/>
            <w:tcBorders>
              <w:top w:val="single" w:sz="4" w:space="0" w:color="auto"/>
              <w:right w:val="single" w:sz="4" w:space="0" w:color="auto"/>
            </w:tcBorders>
            <w:noWrap/>
            <w:hideMark/>
          </w:tcPr>
          <w:p w14:paraId="2E757743" w14:textId="77777777" w:rsidR="009968E0" w:rsidRPr="009968E0" w:rsidRDefault="009968E0" w:rsidP="009968E0">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HV</w:t>
            </w:r>
          </w:p>
        </w:tc>
      </w:tr>
      <w:tr w:rsidR="009968E0" w:rsidRPr="009968E0" w14:paraId="4ED2BF5D" w14:textId="77777777" w:rsidTr="003A493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71" w:type="dxa"/>
            <w:vMerge w:val="restart"/>
            <w:tcBorders>
              <w:left w:val="single" w:sz="4" w:space="0" w:color="auto"/>
            </w:tcBorders>
            <w:noWrap/>
            <w:hideMark/>
          </w:tcPr>
          <w:p w14:paraId="50F0C04F"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Age</w:t>
            </w:r>
          </w:p>
        </w:tc>
        <w:tc>
          <w:tcPr>
            <w:tcW w:w="1701" w:type="dxa"/>
            <w:noWrap/>
            <w:hideMark/>
          </w:tcPr>
          <w:p w14:paraId="3F0E7CFA"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N</w:t>
            </w:r>
          </w:p>
        </w:tc>
        <w:tc>
          <w:tcPr>
            <w:tcW w:w="1276" w:type="dxa"/>
            <w:noWrap/>
            <w:hideMark/>
          </w:tcPr>
          <w:p w14:paraId="29DD5A57"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10</w:t>
            </w:r>
          </w:p>
        </w:tc>
        <w:tc>
          <w:tcPr>
            <w:tcW w:w="1134" w:type="dxa"/>
            <w:noWrap/>
            <w:hideMark/>
          </w:tcPr>
          <w:p w14:paraId="2BDF7514"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w:t>
            </w:r>
          </w:p>
        </w:tc>
        <w:tc>
          <w:tcPr>
            <w:tcW w:w="992" w:type="dxa"/>
            <w:noWrap/>
            <w:hideMark/>
          </w:tcPr>
          <w:p w14:paraId="369B3FF5"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23</w:t>
            </w:r>
          </w:p>
        </w:tc>
        <w:tc>
          <w:tcPr>
            <w:tcW w:w="1134" w:type="dxa"/>
            <w:noWrap/>
            <w:hideMark/>
          </w:tcPr>
          <w:p w14:paraId="7CF15C9D"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w:t>
            </w:r>
          </w:p>
        </w:tc>
        <w:tc>
          <w:tcPr>
            <w:tcW w:w="1276" w:type="dxa"/>
            <w:tcBorders>
              <w:right w:val="single" w:sz="4" w:space="0" w:color="auto"/>
            </w:tcBorders>
            <w:noWrap/>
            <w:hideMark/>
          </w:tcPr>
          <w:p w14:paraId="527ADF3B"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w:t>
            </w:r>
          </w:p>
        </w:tc>
      </w:tr>
      <w:tr w:rsidR="009968E0" w:rsidRPr="009968E0" w14:paraId="04B40E88" w14:textId="77777777" w:rsidTr="003A4934">
        <w:trPr>
          <w:trHeight w:val="320"/>
        </w:trPr>
        <w:tc>
          <w:tcPr>
            <w:cnfStyle w:val="001000000000" w:firstRow="0" w:lastRow="0" w:firstColumn="1" w:lastColumn="0" w:oddVBand="0" w:evenVBand="0" w:oddHBand="0" w:evenHBand="0" w:firstRowFirstColumn="0" w:firstRowLastColumn="0" w:lastRowFirstColumn="0" w:lastRowLastColumn="0"/>
            <w:tcW w:w="1271" w:type="dxa"/>
            <w:vMerge/>
            <w:tcBorders>
              <w:left w:val="single" w:sz="4" w:space="0" w:color="auto"/>
            </w:tcBorders>
            <w:noWrap/>
            <w:hideMark/>
          </w:tcPr>
          <w:p w14:paraId="06041FF7" w14:textId="77777777" w:rsidR="009968E0" w:rsidRPr="009968E0" w:rsidRDefault="009968E0" w:rsidP="009968E0">
            <w:pPr>
              <w:rPr>
                <w:rFonts w:ascii="Calibri" w:eastAsia="Times New Roman" w:hAnsi="Calibri" w:cs="Calibri"/>
                <w:i/>
                <w:iCs/>
                <w:sz w:val="22"/>
                <w:szCs w:val="22"/>
                <w:lang w:eastAsia="en-GB"/>
              </w:rPr>
            </w:pPr>
          </w:p>
        </w:tc>
        <w:tc>
          <w:tcPr>
            <w:tcW w:w="1701" w:type="dxa"/>
            <w:noWrap/>
            <w:hideMark/>
          </w:tcPr>
          <w:p w14:paraId="674AFDA7"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Mean</w:t>
            </w:r>
          </w:p>
        </w:tc>
        <w:tc>
          <w:tcPr>
            <w:tcW w:w="1276" w:type="dxa"/>
            <w:noWrap/>
            <w:hideMark/>
          </w:tcPr>
          <w:p w14:paraId="42F1CEFA"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52.2</w:t>
            </w:r>
          </w:p>
        </w:tc>
        <w:tc>
          <w:tcPr>
            <w:tcW w:w="1134" w:type="dxa"/>
            <w:noWrap/>
            <w:hideMark/>
          </w:tcPr>
          <w:p w14:paraId="519E2875"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50.4</w:t>
            </w:r>
          </w:p>
        </w:tc>
        <w:tc>
          <w:tcPr>
            <w:tcW w:w="992" w:type="dxa"/>
            <w:noWrap/>
            <w:hideMark/>
          </w:tcPr>
          <w:p w14:paraId="3B82EFF7"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60.8</w:t>
            </w:r>
          </w:p>
        </w:tc>
        <w:tc>
          <w:tcPr>
            <w:tcW w:w="1134" w:type="dxa"/>
            <w:noWrap/>
            <w:hideMark/>
          </w:tcPr>
          <w:p w14:paraId="293C99F1"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52.9</w:t>
            </w:r>
          </w:p>
        </w:tc>
        <w:tc>
          <w:tcPr>
            <w:tcW w:w="1276" w:type="dxa"/>
            <w:tcBorders>
              <w:right w:val="single" w:sz="4" w:space="0" w:color="auto"/>
            </w:tcBorders>
            <w:noWrap/>
            <w:hideMark/>
          </w:tcPr>
          <w:p w14:paraId="14EA89C5"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54.3</w:t>
            </w:r>
          </w:p>
        </w:tc>
      </w:tr>
      <w:tr w:rsidR="009968E0" w:rsidRPr="009968E0" w14:paraId="583F4CDD" w14:textId="77777777" w:rsidTr="003A493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71" w:type="dxa"/>
            <w:vMerge/>
            <w:tcBorders>
              <w:left w:val="single" w:sz="4" w:space="0" w:color="auto"/>
            </w:tcBorders>
            <w:noWrap/>
            <w:hideMark/>
          </w:tcPr>
          <w:p w14:paraId="0A9E2138" w14:textId="77777777" w:rsidR="009968E0" w:rsidRPr="009968E0" w:rsidRDefault="009968E0" w:rsidP="009968E0">
            <w:pPr>
              <w:rPr>
                <w:rFonts w:ascii="Calibri" w:eastAsia="Times New Roman" w:hAnsi="Calibri" w:cs="Calibri"/>
                <w:i/>
                <w:iCs/>
                <w:sz w:val="22"/>
                <w:szCs w:val="22"/>
                <w:lang w:eastAsia="en-GB"/>
              </w:rPr>
            </w:pPr>
          </w:p>
        </w:tc>
        <w:tc>
          <w:tcPr>
            <w:tcW w:w="1701" w:type="dxa"/>
            <w:noWrap/>
            <w:hideMark/>
          </w:tcPr>
          <w:p w14:paraId="6F6D2274"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Std. Deviation</w:t>
            </w:r>
          </w:p>
        </w:tc>
        <w:tc>
          <w:tcPr>
            <w:tcW w:w="1276" w:type="dxa"/>
            <w:noWrap/>
            <w:hideMark/>
          </w:tcPr>
          <w:p w14:paraId="48CFB66C"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9.4</w:t>
            </w:r>
          </w:p>
        </w:tc>
        <w:tc>
          <w:tcPr>
            <w:tcW w:w="1134" w:type="dxa"/>
            <w:noWrap/>
            <w:hideMark/>
          </w:tcPr>
          <w:p w14:paraId="639637DB"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8.8</w:t>
            </w:r>
          </w:p>
        </w:tc>
        <w:tc>
          <w:tcPr>
            <w:tcW w:w="992" w:type="dxa"/>
            <w:noWrap/>
            <w:hideMark/>
          </w:tcPr>
          <w:p w14:paraId="14E9B89C"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8.2</w:t>
            </w:r>
          </w:p>
        </w:tc>
        <w:tc>
          <w:tcPr>
            <w:tcW w:w="1134" w:type="dxa"/>
            <w:noWrap/>
            <w:hideMark/>
          </w:tcPr>
          <w:p w14:paraId="655BE94C"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13.2</w:t>
            </w:r>
          </w:p>
        </w:tc>
        <w:tc>
          <w:tcPr>
            <w:tcW w:w="1276" w:type="dxa"/>
            <w:tcBorders>
              <w:right w:val="single" w:sz="4" w:space="0" w:color="auto"/>
            </w:tcBorders>
            <w:noWrap/>
            <w:hideMark/>
          </w:tcPr>
          <w:p w14:paraId="12120465"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9.5</w:t>
            </w:r>
          </w:p>
        </w:tc>
      </w:tr>
      <w:tr w:rsidR="009968E0" w:rsidRPr="009968E0" w14:paraId="08436BB4" w14:textId="77777777" w:rsidTr="003A4934">
        <w:trPr>
          <w:trHeight w:val="320"/>
        </w:trPr>
        <w:tc>
          <w:tcPr>
            <w:cnfStyle w:val="001000000000" w:firstRow="0" w:lastRow="0" w:firstColumn="1" w:lastColumn="0" w:oddVBand="0" w:evenVBand="0" w:oddHBand="0" w:evenHBand="0" w:firstRowFirstColumn="0" w:firstRowLastColumn="0" w:lastRowFirstColumn="0" w:lastRowLastColumn="0"/>
            <w:tcW w:w="8784" w:type="dxa"/>
            <w:gridSpan w:val="7"/>
            <w:tcBorders>
              <w:left w:val="single" w:sz="4" w:space="0" w:color="auto"/>
              <w:right w:val="single" w:sz="4" w:space="0" w:color="auto"/>
            </w:tcBorders>
            <w:noWrap/>
          </w:tcPr>
          <w:p w14:paraId="0F74A0A4" w14:textId="77777777" w:rsidR="009968E0" w:rsidRPr="009968E0" w:rsidRDefault="009968E0" w:rsidP="009968E0">
            <w:pPr>
              <w:jc w:val="cente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p=.031</w:t>
            </w:r>
          </w:p>
        </w:tc>
      </w:tr>
      <w:tr w:rsidR="009968E0" w:rsidRPr="009968E0" w14:paraId="7901BA6E" w14:textId="77777777" w:rsidTr="003A493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71" w:type="dxa"/>
            <w:vMerge w:val="restart"/>
            <w:tcBorders>
              <w:left w:val="single" w:sz="4" w:space="0" w:color="auto"/>
            </w:tcBorders>
            <w:noWrap/>
            <w:hideMark/>
          </w:tcPr>
          <w:p w14:paraId="1D878DBE"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BMI</w:t>
            </w:r>
          </w:p>
        </w:tc>
        <w:tc>
          <w:tcPr>
            <w:tcW w:w="1701" w:type="dxa"/>
            <w:noWrap/>
            <w:hideMark/>
          </w:tcPr>
          <w:p w14:paraId="74557216"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N</w:t>
            </w:r>
          </w:p>
        </w:tc>
        <w:tc>
          <w:tcPr>
            <w:tcW w:w="1276" w:type="dxa"/>
            <w:noWrap/>
            <w:hideMark/>
          </w:tcPr>
          <w:p w14:paraId="0D069B73"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10</w:t>
            </w:r>
          </w:p>
        </w:tc>
        <w:tc>
          <w:tcPr>
            <w:tcW w:w="1134" w:type="dxa"/>
            <w:noWrap/>
            <w:hideMark/>
          </w:tcPr>
          <w:p w14:paraId="51863C28"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w:t>
            </w:r>
          </w:p>
        </w:tc>
        <w:tc>
          <w:tcPr>
            <w:tcW w:w="992" w:type="dxa"/>
            <w:noWrap/>
            <w:hideMark/>
          </w:tcPr>
          <w:p w14:paraId="25BE98E8"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23</w:t>
            </w:r>
          </w:p>
        </w:tc>
        <w:tc>
          <w:tcPr>
            <w:tcW w:w="1134" w:type="dxa"/>
            <w:noWrap/>
            <w:hideMark/>
          </w:tcPr>
          <w:p w14:paraId="1BFCD5F9"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w:t>
            </w:r>
          </w:p>
        </w:tc>
        <w:tc>
          <w:tcPr>
            <w:tcW w:w="1276" w:type="dxa"/>
            <w:tcBorders>
              <w:right w:val="single" w:sz="4" w:space="0" w:color="auto"/>
            </w:tcBorders>
            <w:noWrap/>
            <w:hideMark/>
          </w:tcPr>
          <w:p w14:paraId="4DA97531"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w:t>
            </w:r>
          </w:p>
        </w:tc>
      </w:tr>
      <w:tr w:rsidR="009968E0" w:rsidRPr="009968E0" w14:paraId="49C158FF" w14:textId="77777777" w:rsidTr="003A4934">
        <w:trPr>
          <w:trHeight w:val="320"/>
        </w:trPr>
        <w:tc>
          <w:tcPr>
            <w:cnfStyle w:val="001000000000" w:firstRow="0" w:lastRow="0" w:firstColumn="1" w:lastColumn="0" w:oddVBand="0" w:evenVBand="0" w:oddHBand="0" w:evenHBand="0" w:firstRowFirstColumn="0" w:firstRowLastColumn="0" w:lastRowFirstColumn="0" w:lastRowLastColumn="0"/>
            <w:tcW w:w="1271" w:type="dxa"/>
            <w:vMerge/>
            <w:tcBorders>
              <w:left w:val="single" w:sz="4" w:space="0" w:color="auto"/>
            </w:tcBorders>
            <w:noWrap/>
            <w:hideMark/>
          </w:tcPr>
          <w:p w14:paraId="525A01CD" w14:textId="77777777" w:rsidR="009968E0" w:rsidRPr="009968E0" w:rsidRDefault="009968E0" w:rsidP="009968E0">
            <w:pPr>
              <w:rPr>
                <w:rFonts w:ascii="Calibri" w:eastAsia="Times New Roman" w:hAnsi="Calibri" w:cs="Calibri"/>
                <w:i/>
                <w:iCs/>
                <w:sz w:val="22"/>
                <w:szCs w:val="22"/>
                <w:lang w:eastAsia="en-GB"/>
              </w:rPr>
            </w:pPr>
          </w:p>
        </w:tc>
        <w:tc>
          <w:tcPr>
            <w:tcW w:w="1701" w:type="dxa"/>
            <w:noWrap/>
            <w:hideMark/>
          </w:tcPr>
          <w:p w14:paraId="6203E86B"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Mean</w:t>
            </w:r>
          </w:p>
        </w:tc>
        <w:tc>
          <w:tcPr>
            <w:tcW w:w="1276" w:type="dxa"/>
            <w:noWrap/>
            <w:hideMark/>
          </w:tcPr>
          <w:p w14:paraId="4AF82DA2"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26.8</w:t>
            </w:r>
          </w:p>
        </w:tc>
        <w:tc>
          <w:tcPr>
            <w:tcW w:w="1134" w:type="dxa"/>
            <w:noWrap/>
            <w:hideMark/>
          </w:tcPr>
          <w:p w14:paraId="2DFB74BF"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26.7</w:t>
            </w:r>
          </w:p>
        </w:tc>
        <w:tc>
          <w:tcPr>
            <w:tcW w:w="992" w:type="dxa"/>
            <w:noWrap/>
            <w:hideMark/>
          </w:tcPr>
          <w:p w14:paraId="22BA9583"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27</w:t>
            </w:r>
          </w:p>
        </w:tc>
        <w:tc>
          <w:tcPr>
            <w:tcW w:w="1134" w:type="dxa"/>
            <w:noWrap/>
            <w:hideMark/>
          </w:tcPr>
          <w:p w14:paraId="6B06790F"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23.7</w:t>
            </w:r>
          </w:p>
        </w:tc>
        <w:tc>
          <w:tcPr>
            <w:tcW w:w="1276" w:type="dxa"/>
            <w:tcBorders>
              <w:right w:val="single" w:sz="4" w:space="0" w:color="auto"/>
            </w:tcBorders>
            <w:noWrap/>
            <w:hideMark/>
          </w:tcPr>
          <w:p w14:paraId="725F36AC"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27</w:t>
            </w:r>
          </w:p>
        </w:tc>
      </w:tr>
      <w:tr w:rsidR="009968E0" w:rsidRPr="009968E0" w14:paraId="41433B93" w14:textId="77777777" w:rsidTr="003A493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71" w:type="dxa"/>
            <w:vMerge/>
            <w:tcBorders>
              <w:left w:val="single" w:sz="4" w:space="0" w:color="auto"/>
            </w:tcBorders>
            <w:noWrap/>
            <w:hideMark/>
          </w:tcPr>
          <w:p w14:paraId="198019DD" w14:textId="77777777" w:rsidR="009968E0" w:rsidRPr="009968E0" w:rsidRDefault="009968E0" w:rsidP="009968E0">
            <w:pPr>
              <w:rPr>
                <w:rFonts w:ascii="Calibri" w:eastAsia="Times New Roman" w:hAnsi="Calibri" w:cs="Calibri"/>
                <w:i/>
                <w:iCs/>
                <w:sz w:val="22"/>
                <w:szCs w:val="22"/>
                <w:lang w:eastAsia="en-GB"/>
              </w:rPr>
            </w:pPr>
          </w:p>
        </w:tc>
        <w:tc>
          <w:tcPr>
            <w:tcW w:w="1701" w:type="dxa"/>
            <w:noWrap/>
            <w:hideMark/>
          </w:tcPr>
          <w:p w14:paraId="626CE3FD"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Std. Deviation</w:t>
            </w:r>
          </w:p>
        </w:tc>
        <w:tc>
          <w:tcPr>
            <w:tcW w:w="1276" w:type="dxa"/>
            <w:noWrap/>
            <w:hideMark/>
          </w:tcPr>
          <w:p w14:paraId="06733D4D"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3.5</w:t>
            </w:r>
          </w:p>
        </w:tc>
        <w:tc>
          <w:tcPr>
            <w:tcW w:w="1134" w:type="dxa"/>
            <w:noWrap/>
            <w:hideMark/>
          </w:tcPr>
          <w:p w14:paraId="0E036507"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5.7</w:t>
            </w:r>
          </w:p>
        </w:tc>
        <w:tc>
          <w:tcPr>
            <w:tcW w:w="992" w:type="dxa"/>
            <w:noWrap/>
            <w:hideMark/>
          </w:tcPr>
          <w:p w14:paraId="33477DE8"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5.6</w:t>
            </w:r>
          </w:p>
        </w:tc>
        <w:tc>
          <w:tcPr>
            <w:tcW w:w="1134" w:type="dxa"/>
            <w:noWrap/>
            <w:hideMark/>
          </w:tcPr>
          <w:p w14:paraId="58B6083E"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4.3</w:t>
            </w:r>
          </w:p>
        </w:tc>
        <w:tc>
          <w:tcPr>
            <w:tcW w:w="1276" w:type="dxa"/>
            <w:tcBorders>
              <w:right w:val="single" w:sz="4" w:space="0" w:color="auto"/>
            </w:tcBorders>
            <w:noWrap/>
            <w:hideMark/>
          </w:tcPr>
          <w:p w14:paraId="5A671FFE"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4.3</w:t>
            </w:r>
          </w:p>
        </w:tc>
      </w:tr>
      <w:tr w:rsidR="009968E0" w:rsidRPr="009968E0" w14:paraId="089A368C" w14:textId="77777777" w:rsidTr="003A4934">
        <w:trPr>
          <w:trHeight w:val="320"/>
        </w:trPr>
        <w:tc>
          <w:tcPr>
            <w:cnfStyle w:val="001000000000" w:firstRow="0" w:lastRow="0" w:firstColumn="1" w:lastColumn="0" w:oddVBand="0" w:evenVBand="0" w:oddHBand="0" w:evenHBand="0" w:firstRowFirstColumn="0" w:firstRowLastColumn="0" w:lastRowFirstColumn="0" w:lastRowLastColumn="0"/>
            <w:tcW w:w="8784" w:type="dxa"/>
            <w:gridSpan w:val="7"/>
            <w:tcBorders>
              <w:left w:val="single" w:sz="4" w:space="0" w:color="auto"/>
              <w:right w:val="single" w:sz="4" w:space="0" w:color="auto"/>
            </w:tcBorders>
            <w:noWrap/>
          </w:tcPr>
          <w:p w14:paraId="4B514A3F" w14:textId="77777777" w:rsidR="009968E0" w:rsidRPr="009968E0" w:rsidRDefault="009968E0" w:rsidP="009968E0">
            <w:pPr>
              <w:jc w:val="cente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p=.324</w:t>
            </w:r>
          </w:p>
        </w:tc>
      </w:tr>
      <w:tr w:rsidR="009968E0" w:rsidRPr="009968E0" w14:paraId="6537D6CE" w14:textId="77777777" w:rsidTr="003A493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71" w:type="dxa"/>
            <w:vMerge w:val="restart"/>
            <w:tcBorders>
              <w:left w:val="single" w:sz="4" w:space="0" w:color="auto"/>
            </w:tcBorders>
            <w:noWrap/>
            <w:hideMark/>
          </w:tcPr>
          <w:p w14:paraId="1F2B3C4E"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Diabetes duration</w:t>
            </w:r>
          </w:p>
        </w:tc>
        <w:tc>
          <w:tcPr>
            <w:tcW w:w="1701" w:type="dxa"/>
            <w:noWrap/>
            <w:hideMark/>
          </w:tcPr>
          <w:p w14:paraId="58B52C97"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N</w:t>
            </w:r>
          </w:p>
        </w:tc>
        <w:tc>
          <w:tcPr>
            <w:tcW w:w="1276" w:type="dxa"/>
            <w:noWrap/>
            <w:hideMark/>
          </w:tcPr>
          <w:p w14:paraId="397C75CC"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10</w:t>
            </w:r>
          </w:p>
        </w:tc>
        <w:tc>
          <w:tcPr>
            <w:tcW w:w="1134" w:type="dxa"/>
            <w:noWrap/>
            <w:hideMark/>
          </w:tcPr>
          <w:p w14:paraId="76BFDDE3"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w:t>
            </w:r>
          </w:p>
        </w:tc>
        <w:tc>
          <w:tcPr>
            <w:tcW w:w="992" w:type="dxa"/>
            <w:noWrap/>
            <w:hideMark/>
          </w:tcPr>
          <w:p w14:paraId="39B031F2"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23</w:t>
            </w:r>
          </w:p>
        </w:tc>
        <w:tc>
          <w:tcPr>
            <w:tcW w:w="1134" w:type="dxa"/>
            <w:noWrap/>
            <w:hideMark/>
          </w:tcPr>
          <w:p w14:paraId="3778DAB8"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w:t>
            </w:r>
          </w:p>
        </w:tc>
        <w:tc>
          <w:tcPr>
            <w:tcW w:w="1276" w:type="dxa"/>
            <w:tcBorders>
              <w:right w:val="single" w:sz="4" w:space="0" w:color="auto"/>
            </w:tcBorders>
            <w:noWrap/>
            <w:hideMark/>
          </w:tcPr>
          <w:p w14:paraId="326B9B76"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w:t>
            </w:r>
          </w:p>
        </w:tc>
      </w:tr>
      <w:tr w:rsidR="009968E0" w:rsidRPr="009968E0" w14:paraId="78BC5FAE" w14:textId="77777777" w:rsidTr="003A4934">
        <w:trPr>
          <w:trHeight w:val="320"/>
        </w:trPr>
        <w:tc>
          <w:tcPr>
            <w:cnfStyle w:val="001000000000" w:firstRow="0" w:lastRow="0" w:firstColumn="1" w:lastColumn="0" w:oddVBand="0" w:evenVBand="0" w:oddHBand="0" w:evenHBand="0" w:firstRowFirstColumn="0" w:firstRowLastColumn="0" w:lastRowFirstColumn="0" w:lastRowLastColumn="0"/>
            <w:tcW w:w="1271" w:type="dxa"/>
            <w:vMerge/>
            <w:tcBorders>
              <w:left w:val="single" w:sz="4" w:space="0" w:color="auto"/>
            </w:tcBorders>
            <w:noWrap/>
            <w:hideMark/>
          </w:tcPr>
          <w:p w14:paraId="2A388DFB" w14:textId="77777777" w:rsidR="009968E0" w:rsidRPr="009968E0" w:rsidRDefault="009968E0" w:rsidP="009968E0">
            <w:pPr>
              <w:rPr>
                <w:rFonts w:ascii="Calibri" w:eastAsia="Times New Roman" w:hAnsi="Calibri" w:cs="Calibri"/>
                <w:i/>
                <w:iCs/>
                <w:sz w:val="22"/>
                <w:szCs w:val="22"/>
                <w:lang w:eastAsia="en-GB"/>
              </w:rPr>
            </w:pPr>
          </w:p>
        </w:tc>
        <w:tc>
          <w:tcPr>
            <w:tcW w:w="1701" w:type="dxa"/>
            <w:noWrap/>
            <w:hideMark/>
          </w:tcPr>
          <w:p w14:paraId="56AB944C"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Mean</w:t>
            </w:r>
          </w:p>
        </w:tc>
        <w:tc>
          <w:tcPr>
            <w:tcW w:w="1276" w:type="dxa"/>
            <w:noWrap/>
            <w:hideMark/>
          </w:tcPr>
          <w:p w14:paraId="0F6517B5"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25.8</w:t>
            </w:r>
          </w:p>
        </w:tc>
        <w:tc>
          <w:tcPr>
            <w:tcW w:w="1134" w:type="dxa"/>
            <w:noWrap/>
            <w:hideMark/>
          </w:tcPr>
          <w:p w14:paraId="344B240A"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25.1</w:t>
            </w:r>
          </w:p>
        </w:tc>
        <w:tc>
          <w:tcPr>
            <w:tcW w:w="992" w:type="dxa"/>
            <w:noWrap/>
            <w:hideMark/>
          </w:tcPr>
          <w:p w14:paraId="41B270B2"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35.7</w:t>
            </w:r>
          </w:p>
        </w:tc>
        <w:tc>
          <w:tcPr>
            <w:tcW w:w="1134" w:type="dxa"/>
            <w:noWrap/>
            <w:hideMark/>
          </w:tcPr>
          <w:p w14:paraId="759A2711"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29.3</w:t>
            </w:r>
          </w:p>
        </w:tc>
        <w:tc>
          <w:tcPr>
            <w:tcW w:w="1276" w:type="dxa"/>
            <w:tcBorders>
              <w:right w:val="single" w:sz="4" w:space="0" w:color="auto"/>
            </w:tcBorders>
            <w:noWrap/>
            <w:hideMark/>
          </w:tcPr>
          <w:p w14:paraId="35D99F2D"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w:t>
            </w:r>
          </w:p>
        </w:tc>
      </w:tr>
      <w:tr w:rsidR="009968E0" w:rsidRPr="009968E0" w14:paraId="3C367936" w14:textId="77777777" w:rsidTr="003A493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71" w:type="dxa"/>
            <w:vMerge/>
            <w:tcBorders>
              <w:left w:val="single" w:sz="4" w:space="0" w:color="auto"/>
            </w:tcBorders>
            <w:noWrap/>
            <w:hideMark/>
          </w:tcPr>
          <w:p w14:paraId="6DAF8A59" w14:textId="77777777" w:rsidR="009968E0" w:rsidRPr="009968E0" w:rsidRDefault="009968E0" w:rsidP="009968E0">
            <w:pPr>
              <w:rPr>
                <w:rFonts w:ascii="Calibri" w:eastAsia="Times New Roman" w:hAnsi="Calibri" w:cs="Calibri"/>
                <w:i/>
                <w:iCs/>
                <w:sz w:val="22"/>
                <w:szCs w:val="22"/>
                <w:lang w:eastAsia="en-GB"/>
              </w:rPr>
            </w:pPr>
          </w:p>
        </w:tc>
        <w:tc>
          <w:tcPr>
            <w:tcW w:w="1701" w:type="dxa"/>
            <w:noWrap/>
            <w:hideMark/>
          </w:tcPr>
          <w:p w14:paraId="025B6728"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Std. Deviation</w:t>
            </w:r>
          </w:p>
        </w:tc>
        <w:tc>
          <w:tcPr>
            <w:tcW w:w="1276" w:type="dxa"/>
            <w:noWrap/>
            <w:hideMark/>
          </w:tcPr>
          <w:p w14:paraId="07910F86"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11.7</w:t>
            </w:r>
          </w:p>
        </w:tc>
        <w:tc>
          <w:tcPr>
            <w:tcW w:w="1134" w:type="dxa"/>
            <w:noWrap/>
            <w:hideMark/>
          </w:tcPr>
          <w:p w14:paraId="630D3EAD"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11.3</w:t>
            </w:r>
          </w:p>
        </w:tc>
        <w:tc>
          <w:tcPr>
            <w:tcW w:w="992" w:type="dxa"/>
            <w:noWrap/>
            <w:hideMark/>
          </w:tcPr>
          <w:p w14:paraId="0E2A701F"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10.4</w:t>
            </w:r>
          </w:p>
        </w:tc>
        <w:tc>
          <w:tcPr>
            <w:tcW w:w="1134" w:type="dxa"/>
            <w:noWrap/>
            <w:hideMark/>
          </w:tcPr>
          <w:p w14:paraId="0D1C146E"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17.7</w:t>
            </w:r>
          </w:p>
        </w:tc>
        <w:tc>
          <w:tcPr>
            <w:tcW w:w="1276" w:type="dxa"/>
            <w:tcBorders>
              <w:right w:val="single" w:sz="4" w:space="0" w:color="auto"/>
            </w:tcBorders>
            <w:noWrap/>
            <w:hideMark/>
          </w:tcPr>
          <w:p w14:paraId="09487829"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w:t>
            </w:r>
          </w:p>
        </w:tc>
      </w:tr>
      <w:tr w:rsidR="009968E0" w:rsidRPr="009968E0" w14:paraId="53DEB990" w14:textId="77777777" w:rsidTr="003A4934">
        <w:trPr>
          <w:trHeight w:val="320"/>
        </w:trPr>
        <w:tc>
          <w:tcPr>
            <w:cnfStyle w:val="001000000000" w:firstRow="0" w:lastRow="0" w:firstColumn="1" w:lastColumn="0" w:oddVBand="0" w:evenVBand="0" w:oddHBand="0" w:evenHBand="0" w:firstRowFirstColumn="0" w:firstRowLastColumn="0" w:lastRowFirstColumn="0" w:lastRowLastColumn="0"/>
            <w:tcW w:w="8784" w:type="dxa"/>
            <w:gridSpan w:val="7"/>
            <w:tcBorders>
              <w:left w:val="single" w:sz="4" w:space="0" w:color="auto"/>
              <w:right w:val="single" w:sz="4" w:space="0" w:color="auto"/>
            </w:tcBorders>
            <w:noWrap/>
          </w:tcPr>
          <w:p w14:paraId="10D4EEED" w14:textId="77777777" w:rsidR="009968E0" w:rsidRPr="009968E0" w:rsidRDefault="009968E0" w:rsidP="009968E0">
            <w:pPr>
              <w:jc w:val="cente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p=.890</w:t>
            </w:r>
          </w:p>
        </w:tc>
      </w:tr>
      <w:tr w:rsidR="009968E0" w:rsidRPr="009968E0" w14:paraId="7200E5BA" w14:textId="77777777" w:rsidTr="003A493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71" w:type="dxa"/>
            <w:vMerge w:val="restart"/>
            <w:tcBorders>
              <w:left w:val="single" w:sz="4" w:space="0" w:color="auto"/>
            </w:tcBorders>
            <w:noWrap/>
            <w:hideMark/>
          </w:tcPr>
          <w:p w14:paraId="22819D62" w14:textId="0DC47CAD" w:rsidR="009968E0" w:rsidRPr="009968E0" w:rsidRDefault="00233478" w:rsidP="009968E0">
            <w:pPr>
              <w:rPr>
                <w:rFonts w:ascii="Calibri" w:eastAsia="Times New Roman" w:hAnsi="Calibri" w:cs="Calibri"/>
                <w:i/>
                <w:iCs/>
                <w:sz w:val="22"/>
                <w:szCs w:val="22"/>
                <w:lang w:eastAsia="en-GB"/>
              </w:rPr>
            </w:pPr>
            <w:r>
              <w:rPr>
                <w:rFonts w:ascii="Calibri" w:eastAsia="Times New Roman" w:hAnsi="Calibri" w:cs="Calibri"/>
                <w:i/>
                <w:iCs/>
                <w:sz w:val="22"/>
                <w:szCs w:val="22"/>
                <w:lang w:eastAsia="en-GB"/>
              </w:rPr>
              <w:t>eGFR</w:t>
            </w:r>
          </w:p>
        </w:tc>
        <w:tc>
          <w:tcPr>
            <w:tcW w:w="1701" w:type="dxa"/>
            <w:noWrap/>
            <w:hideMark/>
          </w:tcPr>
          <w:p w14:paraId="617F8ACC"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N</w:t>
            </w:r>
          </w:p>
        </w:tc>
        <w:tc>
          <w:tcPr>
            <w:tcW w:w="1276" w:type="dxa"/>
            <w:noWrap/>
            <w:hideMark/>
          </w:tcPr>
          <w:p w14:paraId="74FC97E9"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10</w:t>
            </w:r>
          </w:p>
        </w:tc>
        <w:tc>
          <w:tcPr>
            <w:tcW w:w="1134" w:type="dxa"/>
            <w:noWrap/>
            <w:hideMark/>
          </w:tcPr>
          <w:p w14:paraId="195CC3C0"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w:t>
            </w:r>
          </w:p>
        </w:tc>
        <w:tc>
          <w:tcPr>
            <w:tcW w:w="992" w:type="dxa"/>
            <w:noWrap/>
            <w:hideMark/>
          </w:tcPr>
          <w:p w14:paraId="16CE6B34"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23</w:t>
            </w:r>
          </w:p>
        </w:tc>
        <w:tc>
          <w:tcPr>
            <w:tcW w:w="1134" w:type="dxa"/>
            <w:noWrap/>
            <w:hideMark/>
          </w:tcPr>
          <w:p w14:paraId="07F36430"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w:t>
            </w:r>
          </w:p>
        </w:tc>
        <w:tc>
          <w:tcPr>
            <w:tcW w:w="1276" w:type="dxa"/>
            <w:tcBorders>
              <w:right w:val="single" w:sz="4" w:space="0" w:color="auto"/>
            </w:tcBorders>
            <w:noWrap/>
            <w:hideMark/>
          </w:tcPr>
          <w:p w14:paraId="1F57450E"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w:t>
            </w:r>
          </w:p>
        </w:tc>
      </w:tr>
      <w:tr w:rsidR="009968E0" w:rsidRPr="009968E0" w14:paraId="6BAB3089" w14:textId="77777777" w:rsidTr="003A4934">
        <w:trPr>
          <w:trHeight w:val="320"/>
        </w:trPr>
        <w:tc>
          <w:tcPr>
            <w:cnfStyle w:val="001000000000" w:firstRow="0" w:lastRow="0" w:firstColumn="1" w:lastColumn="0" w:oddVBand="0" w:evenVBand="0" w:oddHBand="0" w:evenHBand="0" w:firstRowFirstColumn="0" w:firstRowLastColumn="0" w:lastRowFirstColumn="0" w:lastRowLastColumn="0"/>
            <w:tcW w:w="1271" w:type="dxa"/>
            <w:vMerge/>
            <w:tcBorders>
              <w:left w:val="single" w:sz="4" w:space="0" w:color="auto"/>
            </w:tcBorders>
            <w:noWrap/>
            <w:hideMark/>
          </w:tcPr>
          <w:p w14:paraId="277A00E4" w14:textId="77777777" w:rsidR="009968E0" w:rsidRPr="009968E0" w:rsidRDefault="009968E0" w:rsidP="009968E0">
            <w:pPr>
              <w:rPr>
                <w:rFonts w:ascii="Calibri" w:eastAsia="Times New Roman" w:hAnsi="Calibri" w:cs="Calibri"/>
                <w:i/>
                <w:iCs/>
                <w:sz w:val="22"/>
                <w:szCs w:val="22"/>
                <w:lang w:eastAsia="en-GB"/>
              </w:rPr>
            </w:pPr>
          </w:p>
        </w:tc>
        <w:tc>
          <w:tcPr>
            <w:tcW w:w="1701" w:type="dxa"/>
            <w:noWrap/>
            <w:hideMark/>
          </w:tcPr>
          <w:p w14:paraId="0E80E919"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Mean</w:t>
            </w:r>
          </w:p>
        </w:tc>
        <w:tc>
          <w:tcPr>
            <w:tcW w:w="1276" w:type="dxa"/>
            <w:noWrap/>
            <w:hideMark/>
          </w:tcPr>
          <w:p w14:paraId="027B1564"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80.2</w:t>
            </w:r>
          </w:p>
        </w:tc>
        <w:tc>
          <w:tcPr>
            <w:tcW w:w="1134" w:type="dxa"/>
            <w:noWrap/>
            <w:hideMark/>
          </w:tcPr>
          <w:p w14:paraId="46F03E5F"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84.6</w:t>
            </w:r>
          </w:p>
        </w:tc>
        <w:tc>
          <w:tcPr>
            <w:tcW w:w="992" w:type="dxa"/>
            <w:noWrap/>
            <w:hideMark/>
          </w:tcPr>
          <w:p w14:paraId="0995A054"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84.2</w:t>
            </w:r>
          </w:p>
        </w:tc>
        <w:tc>
          <w:tcPr>
            <w:tcW w:w="1134" w:type="dxa"/>
            <w:noWrap/>
            <w:hideMark/>
          </w:tcPr>
          <w:p w14:paraId="4C346A84"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84.6</w:t>
            </w:r>
          </w:p>
        </w:tc>
        <w:tc>
          <w:tcPr>
            <w:tcW w:w="1276" w:type="dxa"/>
            <w:tcBorders>
              <w:right w:val="single" w:sz="4" w:space="0" w:color="auto"/>
            </w:tcBorders>
            <w:noWrap/>
            <w:hideMark/>
          </w:tcPr>
          <w:p w14:paraId="11E7260B"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84.1</w:t>
            </w:r>
          </w:p>
        </w:tc>
      </w:tr>
      <w:tr w:rsidR="009968E0" w:rsidRPr="009968E0" w14:paraId="5E9DC74E" w14:textId="77777777" w:rsidTr="003A493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71" w:type="dxa"/>
            <w:vMerge/>
            <w:tcBorders>
              <w:left w:val="single" w:sz="4" w:space="0" w:color="auto"/>
            </w:tcBorders>
            <w:noWrap/>
            <w:hideMark/>
          </w:tcPr>
          <w:p w14:paraId="2171EEFC" w14:textId="77777777" w:rsidR="009968E0" w:rsidRPr="009968E0" w:rsidRDefault="009968E0" w:rsidP="009968E0">
            <w:pPr>
              <w:rPr>
                <w:rFonts w:ascii="Calibri" w:eastAsia="Times New Roman" w:hAnsi="Calibri" w:cs="Calibri"/>
                <w:i/>
                <w:iCs/>
                <w:sz w:val="22"/>
                <w:szCs w:val="22"/>
                <w:lang w:eastAsia="en-GB"/>
              </w:rPr>
            </w:pPr>
          </w:p>
        </w:tc>
        <w:tc>
          <w:tcPr>
            <w:tcW w:w="1701" w:type="dxa"/>
            <w:noWrap/>
            <w:hideMark/>
          </w:tcPr>
          <w:p w14:paraId="2AE9ECB9"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Std. Deviation</w:t>
            </w:r>
          </w:p>
        </w:tc>
        <w:tc>
          <w:tcPr>
            <w:tcW w:w="1276" w:type="dxa"/>
            <w:noWrap/>
            <w:hideMark/>
          </w:tcPr>
          <w:p w14:paraId="6B2B515E"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14.3</w:t>
            </w:r>
          </w:p>
        </w:tc>
        <w:tc>
          <w:tcPr>
            <w:tcW w:w="1134" w:type="dxa"/>
            <w:noWrap/>
            <w:hideMark/>
          </w:tcPr>
          <w:p w14:paraId="77DD6D05"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w:t>
            </w:r>
          </w:p>
        </w:tc>
        <w:tc>
          <w:tcPr>
            <w:tcW w:w="992" w:type="dxa"/>
            <w:noWrap/>
            <w:hideMark/>
          </w:tcPr>
          <w:p w14:paraId="04AC4BFC"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9.5</w:t>
            </w:r>
          </w:p>
        </w:tc>
        <w:tc>
          <w:tcPr>
            <w:tcW w:w="1134" w:type="dxa"/>
            <w:noWrap/>
            <w:hideMark/>
          </w:tcPr>
          <w:p w14:paraId="60EBBD10"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8.5</w:t>
            </w:r>
          </w:p>
        </w:tc>
        <w:tc>
          <w:tcPr>
            <w:tcW w:w="1276" w:type="dxa"/>
            <w:tcBorders>
              <w:right w:val="single" w:sz="4" w:space="0" w:color="auto"/>
            </w:tcBorders>
            <w:noWrap/>
            <w:hideMark/>
          </w:tcPr>
          <w:p w14:paraId="4EC109B2"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8.5</w:t>
            </w:r>
          </w:p>
        </w:tc>
      </w:tr>
      <w:tr w:rsidR="009968E0" w:rsidRPr="009968E0" w14:paraId="59CF6848" w14:textId="77777777" w:rsidTr="003A4934">
        <w:trPr>
          <w:trHeight w:val="320"/>
        </w:trPr>
        <w:tc>
          <w:tcPr>
            <w:cnfStyle w:val="001000000000" w:firstRow="0" w:lastRow="0" w:firstColumn="1" w:lastColumn="0" w:oddVBand="0" w:evenVBand="0" w:oddHBand="0" w:evenHBand="0" w:firstRowFirstColumn="0" w:firstRowLastColumn="0" w:lastRowFirstColumn="0" w:lastRowLastColumn="0"/>
            <w:tcW w:w="8784" w:type="dxa"/>
            <w:gridSpan w:val="7"/>
            <w:tcBorders>
              <w:left w:val="single" w:sz="4" w:space="0" w:color="auto"/>
              <w:right w:val="single" w:sz="4" w:space="0" w:color="auto"/>
            </w:tcBorders>
            <w:noWrap/>
          </w:tcPr>
          <w:p w14:paraId="65F3ECC6" w14:textId="77777777" w:rsidR="009968E0" w:rsidRPr="009968E0" w:rsidRDefault="009968E0" w:rsidP="009968E0">
            <w:pPr>
              <w:jc w:val="cente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lastRenderedPageBreak/>
              <w:t>p=.814</w:t>
            </w:r>
          </w:p>
        </w:tc>
      </w:tr>
      <w:tr w:rsidR="009968E0" w:rsidRPr="009968E0" w14:paraId="6BE3BD67" w14:textId="77777777" w:rsidTr="003A493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71" w:type="dxa"/>
            <w:vMerge w:val="restart"/>
            <w:tcBorders>
              <w:left w:val="single" w:sz="4" w:space="0" w:color="auto"/>
            </w:tcBorders>
            <w:noWrap/>
            <w:hideMark/>
          </w:tcPr>
          <w:p w14:paraId="04E071C5"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Hba1c</w:t>
            </w:r>
          </w:p>
        </w:tc>
        <w:tc>
          <w:tcPr>
            <w:tcW w:w="1701" w:type="dxa"/>
            <w:noWrap/>
            <w:hideMark/>
          </w:tcPr>
          <w:p w14:paraId="31793D5A"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N</w:t>
            </w:r>
          </w:p>
        </w:tc>
        <w:tc>
          <w:tcPr>
            <w:tcW w:w="1276" w:type="dxa"/>
            <w:noWrap/>
            <w:hideMark/>
          </w:tcPr>
          <w:p w14:paraId="133374AC"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10</w:t>
            </w:r>
          </w:p>
        </w:tc>
        <w:tc>
          <w:tcPr>
            <w:tcW w:w="1134" w:type="dxa"/>
            <w:noWrap/>
            <w:hideMark/>
          </w:tcPr>
          <w:p w14:paraId="380FAF32"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w:t>
            </w:r>
          </w:p>
        </w:tc>
        <w:tc>
          <w:tcPr>
            <w:tcW w:w="992" w:type="dxa"/>
            <w:noWrap/>
            <w:hideMark/>
          </w:tcPr>
          <w:p w14:paraId="4CC0DA4B"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23</w:t>
            </w:r>
          </w:p>
        </w:tc>
        <w:tc>
          <w:tcPr>
            <w:tcW w:w="1134" w:type="dxa"/>
            <w:noWrap/>
            <w:hideMark/>
          </w:tcPr>
          <w:p w14:paraId="1D8353E1"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w:t>
            </w:r>
          </w:p>
        </w:tc>
        <w:tc>
          <w:tcPr>
            <w:tcW w:w="1276" w:type="dxa"/>
            <w:tcBorders>
              <w:right w:val="single" w:sz="4" w:space="0" w:color="auto"/>
            </w:tcBorders>
            <w:noWrap/>
            <w:hideMark/>
          </w:tcPr>
          <w:p w14:paraId="5235900A"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w:t>
            </w:r>
          </w:p>
        </w:tc>
      </w:tr>
      <w:tr w:rsidR="009968E0" w:rsidRPr="009968E0" w14:paraId="2498CFE3" w14:textId="77777777" w:rsidTr="003A4934">
        <w:trPr>
          <w:trHeight w:val="320"/>
        </w:trPr>
        <w:tc>
          <w:tcPr>
            <w:cnfStyle w:val="001000000000" w:firstRow="0" w:lastRow="0" w:firstColumn="1" w:lastColumn="0" w:oddVBand="0" w:evenVBand="0" w:oddHBand="0" w:evenHBand="0" w:firstRowFirstColumn="0" w:firstRowLastColumn="0" w:lastRowFirstColumn="0" w:lastRowLastColumn="0"/>
            <w:tcW w:w="1271" w:type="dxa"/>
            <w:vMerge/>
            <w:tcBorders>
              <w:left w:val="single" w:sz="4" w:space="0" w:color="auto"/>
            </w:tcBorders>
            <w:noWrap/>
            <w:hideMark/>
          </w:tcPr>
          <w:p w14:paraId="1AE5F63B" w14:textId="77777777" w:rsidR="009968E0" w:rsidRPr="009968E0" w:rsidRDefault="009968E0" w:rsidP="009968E0">
            <w:pPr>
              <w:rPr>
                <w:rFonts w:ascii="Calibri" w:eastAsia="Times New Roman" w:hAnsi="Calibri" w:cs="Calibri"/>
                <w:i/>
                <w:iCs/>
                <w:sz w:val="22"/>
                <w:szCs w:val="22"/>
                <w:lang w:eastAsia="en-GB"/>
              </w:rPr>
            </w:pPr>
          </w:p>
        </w:tc>
        <w:tc>
          <w:tcPr>
            <w:tcW w:w="1701" w:type="dxa"/>
            <w:noWrap/>
            <w:hideMark/>
          </w:tcPr>
          <w:p w14:paraId="0323F8CC"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Mean</w:t>
            </w:r>
          </w:p>
        </w:tc>
        <w:tc>
          <w:tcPr>
            <w:tcW w:w="1276" w:type="dxa"/>
            <w:noWrap/>
            <w:hideMark/>
          </w:tcPr>
          <w:p w14:paraId="160C68E7"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79.9</w:t>
            </w:r>
          </w:p>
        </w:tc>
        <w:tc>
          <w:tcPr>
            <w:tcW w:w="1134" w:type="dxa"/>
            <w:noWrap/>
            <w:hideMark/>
          </w:tcPr>
          <w:p w14:paraId="752121A3"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75.1</w:t>
            </w:r>
          </w:p>
        </w:tc>
        <w:tc>
          <w:tcPr>
            <w:tcW w:w="992" w:type="dxa"/>
            <w:noWrap/>
            <w:hideMark/>
          </w:tcPr>
          <w:p w14:paraId="13145225"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67</w:t>
            </w:r>
          </w:p>
        </w:tc>
        <w:tc>
          <w:tcPr>
            <w:tcW w:w="1134" w:type="dxa"/>
            <w:noWrap/>
            <w:hideMark/>
          </w:tcPr>
          <w:p w14:paraId="0DA00686"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58.7</w:t>
            </w:r>
          </w:p>
        </w:tc>
        <w:tc>
          <w:tcPr>
            <w:tcW w:w="1276" w:type="dxa"/>
            <w:tcBorders>
              <w:right w:val="single" w:sz="4" w:space="0" w:color="auto"/>
            </w:tcBorders>
            <w:noWrap/>
            <w:hideMark/>
          </w:tcPr>
          <w:p w14:paraId="4F26F52E"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w:t>
            </w:r>
          </w:p>
        </w:tc>
      </w:tr>
      <w:tr w:rsidR="009968E0" w:rsidRPr="009968E0" w14:paraId="3DDAE407" w14:textId="77777777" w:rsidTr="003A493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71" w:type="dxa"/>
            <w:vMerge/>
            <w:tcBorders>
              <w:left w:val="single" w:sz="4" w:space="0" w:color="auto"/>
            </w:tcBorders>
            <w:noWrap/>
            <w:hideMark/>
          </w:tcPr>
          <w:p w14:paraId="156BF9B4" w14:textId="77777777" w:rsidR="009968E0" w:rsidRPr="009968E0" w:rsidRDefault="009968E0" w:rsidP="009968E0">
            <w:pPr>
              <w:rPr>
                <w:rFonts w:ascii="Calibri" w:eastAsia="Times New Roman" w:hAnsi="Calibri" w:cs="Calibri"/>
                <w:i/>
                <w:iCs/>
                <w:sz w:val="22"/>
                <w:szCs w:val="22"/>
                <w:lang w:eastAsia="en-GB"/>
              </w:rPr>
            </w:pPr>
          </w:p>
        </w:tc>
        <w:tc>
          <w:tcPr>
            <w:tcW w:w="1701" w:type="dxa"/>
            <w:noWrap/>
            <w:hideMark/>
          </w:tcPr>
          <w:p w14:paraId="6A5737BE"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Std. Deviation</w:t>
            </w:r>
          </w:p>
        </w:tc>
        <w:tc>
          <w:tcPr>
            <w:tcW w:w="1276" w:type="dxa"/>
            <w:noWrap/>
            <w:hideMark/>
          </w:tcPr>
          <w:p w14:paraId="2F026D8F"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20.9</w:t>
            </w:r>
          </w:p>
        </w:tc>
        <w:tc>
          <w:tcPr>
            <w:tcW w:w="1134" w:type="dxa"/>
            <w:noWrap/>
            <w:hideMark/>
          </w:tcPr>
          <w:p w14:paraId="0B31D241"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24.3</w:t>
            </w:r>
          </w:p>
        </w:tc>
        <w:tc>
          <w:tcPr>
            <w:tcW w:w="992" w:type="dxa"/>
            <w:noWrap/>
            <w:hideMark/>
          </w:tcPr>
          <w:p w14:paraId="115BD026"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12.1</w:t>
            </w:r>
          </w:p>
        </w:tc>
        <w:tc>
          <w:tcPr>
            <w:tcW w:w="1134" w:type="dxa"/>
            <w:noWrap/>
            <w:hideMark/>
          </w:tcPr>
          <w:p w14:paraId="0A4CEEB1"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9.2</w:t>
            </w:r>
          </w:p>
        </w:tc>
        <w:tc>
          <w:tcPr>
            <w:tcW w:w="1276" w:type="dxa"/>
            <w:tcBorders>
              <w:right w:val="single" w:sz="4" w:space="0" w:color="auto"/>
            </w:tcBorders>
            <w:noWrap/>
            <w:hideMark/>
          </w:tcPr>
          <w:p w14:paraId="446DA835"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w:t>
            </w:r>
          </w:p>
        </w:tc>
      </w:tr>
      <w:tr w:rsidR="009968E0" w:rsidRPr="009968E0" w14:paraId="458E7E02" w14:textId="77777777" w:rsidTr="003A4934">
        <w:trPr>
          <w:trHeight w:val="320"/>
        </w:trPr>
        <w:tc>
          <w:tcPr>
            <w:cnfStyle w:val="001000000000" w:firstRow="0" w:lastRow="0" w:firstColumn="1" w:lastColumn="0" w:oddVBand="0" w:evenVBand="0" w:oddHBand="0" w:evenHBand="0" w:firstRowFirstColumn="0" w:firstRowLastColumn="0" w:lastRowFirstColumn="0" w:lastRowLastColumn="0"/>
            <w:tcW w:w="8784" w:type="dxa"/>
            <w:gridSpan w:val="7"/>
            <w:tcBorders>
              <w:left w:val="single" w:sz="4" w:space="0" w:color="auto"/>
              <w:right w:val="single" w:sz="4" w:space="0" w:color="auto"/>
            </w:tcBorders>
            <w:noWrap/>
          </w:tcPr>
          <w:p w14:paraId="116AB42B" w14:textId="77777777" w:rsidR="009968E0" w:rsidRPr="009968E0" w:rsidRDefault="009968E0" w:rsidP="009968E0">
            <w:pPr>
              <w:jc w:val="cente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p=.013</w:t>
            </w:r>
          </w:p>
        </w:tc>
      </w:tr>
      <w:tr w:rsidR="009968E0" w:rsidRPr="009968E0" w14:paraId="67E50ED9" w14:textId="77777777" w:rsidTr="003A493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71" w:type="dxa"/>
            <w:vMerge w:val="restart"/>
            <w:tcBorders>
              <w:left w:val="single" w:sz="4" w:space="0" w:color="auto"/>
            </w:tcBorders>
            <w:noWrap/>
            <w:hideMark/>
          </w:tcPr>
          <w:p w14:paraId="0684E8E6"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NISLL+7</w:t>
            </w:r>
          </w:p>
        </w:tc>
        <w:tc>
          <w:tcPr>
            <w:tcW w:w="1701" w:type="dxa"/>
            <w:noWrap/>
            <w:hideMark/>
          </w:tcPr>
          <w:p w14:paraId="33E76EB0"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N</w:t>
            </w:r>
          </w:p>
        </w:tc>
        <w:tc>
          <w:tcPr>
            <w:tcW w:w="1276" w:type="dxa"/>
            <w:noWrap/>
            <w:hideMark/>
          </w:tcPr>
          <w:p w14:paraId="508E1314"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10</w:t>
            </w:r>
          </w:p>
        </w:tc>
        <w:tc>
          <w:tcPr>
            <w:tcW w:w="1134" w:type="dxa"/>
            <w:noWrap/>
            <w:hideMark/>
          </w:tcPr>
          <w:p w14:paraId="757EC87E"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w:t>
            </w:r>
          </w:p>
        </w:tc>
        <w:tc>
          <w:tcPr>
            <w:tcW w:w="992" w:type="dxa"/>
            <w:noWrap/>
            <w:hideMark/>
          </w:tcPr>
          <w:p w14:paraId="1BDE8F00"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23</w:t>
            </w:r>
          </w:p>
        </w:tc>
        <w:tc>
          <w:tcPr>
            <w:tcW w:w="1134" w:type="dxa"/>
            <w:noWrap/>
            <w:hideMark/>
          </w:tcPr>
          <w:p w14:paraId="4420A4FA"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w:t>
            </w:r>
          </w:p>
        </w:tc>
        <w:tc>
          <w:tcPr>
            <w:tcW w:w="1276" w:type="dxa"/>
            <w:tcBorders>
              <w:right w:val="single" w:sz="4" w:space="0" w:color="auto"/>
            </w:tcBorders>
            <w:noWrap/>
            <w:hideMark/>
          </w:tcPr>
          <w:p w14:paraId="3365EA94"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w:t>
            </w:r>
          </w:p>
        </w:tc>
      </w:tr>
      <w:tr w:rsidR="009968E0" w:rsidRPr="009968E0" w14:paraId="4A7D4CA0" w14:textId="77777777" w:rsidTr="003A4934">
        <w:trPr>
          <w:trHeight w:val="320"/>
        </w:trPr>
        <w:tc>
          <w:tcPr>
            <w:cnfStyle w:val="001000000000" w:firstRow="0" w:lastRow="0" w:firstColumn="1" w:lastColumn="0" w:oddVBand="0" w:evenVBand="0" w:oddHBand="0" w:evenHBand="0" w:firstRowFirstColumn="0" w:firstRowLastColumn="0" w:lastRowFirstColumn="0" w:lastRowLastColumn="0"/>
            <w:tcW w:w="1271" w:type="dxa"/>
            <w:vMerge/>
            <w:tcBorders>
              <w:left w:val="single" w:sz="4" w:space="0" w:color="auto"/>
            </w:tcBorders>
            <w:noWrap/>
            <w:hideMark/>
          </w:tcPr>
          <w:p w14:paraId="597787ED" w14:textId="77777777" w:rsidR="009968E0" w:rsidRPr="009968E0" w:rsidRDefault="009968E0" w:rsidP="009968E0">
            <w:pPr>
              <w:rPr>
                <w:rFonts w:ascii="Calibri" w:eastAsia="Times New Roman" w:hAnsi="Calibri" w:cs="Calibri"/>
                <w:i/>
                <w:iCs/>
                <w:sz w:val="22"/>
                <w:szCs w:val="22"/>
                <w:lang w:eastAsia="en-GB"/>
              </w:rPr>
            </w:pPr>
          </w:p>
        </w:tc>
        <w:tc>
          <w:tcPr>
            <w:tcW w:w="1701" w:type="dxa"/>
            <w:noWrap/>
            <w:hideMark/>
          </w:tcPr>
          <w:p w14:paraId="59A67AEB"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Mean</w:t>
            </w:r>
          </w:p>
        </w:tc>
        <w:tc>
          <w:tcPr>
            <w:tcW w:w="1276" w:type="dxa"/>
            <w:noWrap/>
            <w:hideMark/>
          </w:tcPr>
          <w:p w14:paraId="62C671D2"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36.7</w:t>
            </w:r>
          </w:p>
        </w:tc>
        <w:tc>
          <w:tcPr>
            <w:tcW w:w="1134" w:type="dxa"/>
            <w:noWrap/>
            <w:hideMark/>
          </w:tcPr>
          <w:p w14:paraId="72096711"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38.1</w:t>
            </w:r>
          </w:p>
        </w:tc>
        <w:tc>
          <w:tcPr>
            <w:tcW w:w="992" w:type="dxa"/>
            <w:noWrap/>
            <w:hideMark/>
          </w:tcPr>
          <w:p w14:paraId="6DC3F8F3"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25.9</w:t>
            </w:r>
          </w:p>
        </w:tc>
        <w:tc>
          <w:tcPr>
            <w:tcW w:w="1134" w:type="dxa"/>
            <w:noWrap/>
            <w:hideMark/>
          </w:tcPr>
          <w:p w14:paraId="12327333"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1.5</w:t>
            </w:r>
          </w:p>
        </w:tc>
        <w:tc>
          <w:tcPr>
            <w:tcW w:w="1276" w:type="dxa"/>
            <w:tcBorders>
              <w:right w:val="single" w:sz="4" w:space="0" w:color="auto"/>
            </w:tcBorders>
            <w:noWrap/>
            <w:hideMark/>
          </w:tcPr>
          <w:p w14:paraId="347A14D0"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w:t>
            </w:r>
          </w:p>
        </w:tc>
      </w:tr>
      <w:tr w:rsidR="009968E0" w:rsidRPr="009968E0" w14:paraId="0074D967" w14:textId="77777777" w:rsidTr="003A493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71" w:type="dxa"/>
            <w:vMerge/>
            <w:tcBorders>
              <w:left w:val="single" w:sz="4" w:space="0" w:color="auto"/>
            </w:tcBorders>
            <w:noWrap/>
            <w:hideMark/>
          </w:tcPr>
          <w:p w14:paraId="43F16087" w14:textId="77777777" w:rsidR="009968E0" w:rsidRPr="009968E0" w:rsidRDefault="009968E0" w:rsidP="009968E0">
            <w:pPr>
              <w:rPr>
                <w:rFonts w:ascii="Calibri" w:eastAsia="Times New Roman" w:hAnsi="Calibri" w:cs="Calibri"/>
                <w:i/>
                <w:iCs/>
                <w:sz w:val="22"/>
                <w:szCs w:val="22"/>
                <w:lang w:eastAsia="en-GB"/>
              </w:rPr>
            </w:pPr>
          </w:p>
        </w:tc>
        <w:tc>
          <w:tcPr>
            <w:tcW w:w="1701" w:type="dxa"/>
            <w:noWrap/>
            <w:hideMark/>
          </w:tcPr>
          <w:p w14:paraId="1E11030C"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Std. Deviation</w:t>
            </w:r>
          </w:p>
        </w:tc>
        <w:tc>
          <w:tcPr>
            <w:tcW w:w="1276" w:type="dxa"/>
            <w:noWrap/>
            <w:hideMark/>
          </w:tcPr>
          <w:p w14:paraId="0DAE9B56"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22.4</w:t>
            </w:r>
          </w:p>
        </w:tc>
        <w:tc>
          <w:tcPr>
            <w:tcW w:w="1134" w:type="dxa"/>
            <w:noWrap/>
            <w:hideMark/>
          </w:tcPr>
          <w:p w14:paraId="7E89D9A7"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18.1</w:t>
            </w:r>
          </w:p>
        </w:tc>
        <w:tc>
          <w:tcPr>
            <w:tcW w:w="992" w:type="dxa"/>
            <w:noWrap/>
            <w:hideMark/>
          </w:tcPr>
          <w:p w14:paraId="096FCA57"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17.9</w:t>
            </w:r>
          </w:p>
        </w:tc>
        <w:tc>
          <w:tcPr>
            <w:tcW w:w="1134" w:type="dxa"/>
            <w:noWrap/>
            <w:hideMark/>
          </w:tcPr>
          <w:p w14:paraId="20B22A06"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1.7</w:t>
            </w:r>
          </w:p>
        </w:tc>
        <w:tc>
          <w:tcPr>
            <w:tcW w:w="1276" w:type="dxa"/>
            <w:tcBorders>
              <w:right w:val="single" w:sz="4" w:space="0" w:color="auto"/>
            </w:tcBorders>
            <w:noWrap/>
            <w:hideMark/>
          </w:tcPr>
          <w:p w14:paraId="6E02E76B"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1.4</w:t>
            </w:r>
          </w:p>
        </w:tc>
      </w:tr>
      <w:tr w:rsidR="009968E0" w:rsidRPr="009968E0" w14:paraId="291ED597" w14:textId="77777777" w:rsidTr="003A4934">
        <w:trPr>
          <w:trHeight w:val="320"/>
        </w:trPr>
        <w:tc>
          <w:tcPr>
            <w:cnfStyle w:val="001000000000" w:firstRow="0" w:lastRow="0" w:firstColumn="1" w:lastColumn="0" w:oddVBand="0" w:evenVBand="0" w:oddHBand="0" w:evenHBand="0" w:firstRowFirstColumn="0" w:firstRowLastColumn="0" w:lastRowFirstColumn="0" w:lastRowLastColumn="0"/>
            <w:tcW w:w="8784" w:type="dxa"/>
            <w:gridSpan w:val="7"/>
            <w:tcBorders>
              <w:left w:val="single" w:sz="4" w:space="0" w:color="auto"/>
              <w:right w:val="single" w:sz="4" w:space="0" w:color="auto"/>
            </w:tcBorders>
            <w:noWrap/>
          </w:tcPr>
          <w:p w14:paraId="1DC4FCB1" w14:textId="77777777" w:rsidR="009968E0" w:rsidRPr="009968E0" w:rsidRDefault="009968E0" w:rsidP="009968E0">
            <w:pPr>
              <w:jc w:val="cente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p&lt;.001</w:t>
            </w:r>
          </w:p>
        </w:tc>
      </w:tr>
      <w:tr w:rsidR="009968E0" w:rsidRPr="009968E0" w14:paraId="31457D84" w14:textId="77777777" w:rsidTr="003A493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71" w:type="dxa"/>
            <w:vMerge w:val="restart"/>
            <w:tcBorders>
              <w:left w:val="single" w:sz="4" w:space="0" w:color="auto"/>
            </w:tcBorders>
            <w:noWrap/>
            <w:hideMark/>
          </w:tcPr>
          <w:p w14:paraId="1EF4C52E"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V3 Pulse</w:t>
            </w:r>
          </w:p>
        </w:tc>
        <w:tc>
          <w:tcPr>
            <w:tcW w:w="1701" w:type="dxa"/>
            <w:noWrap/>
            <w:hideMark/>
          </w:tcPr>
          <w:p w14:paraId="2F3D4433"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N</w:t>
            </w:r>
          </w:p>
        </w:tc>
        <w:tc>
          <w:tcPr>
            <w:tcW w:w="1276" w:type="dxa"/>
            <w:noWrap/>
            <w:hideMark/>
          </w:tcPr>
          <w:p w14:paraId="5C6E297C"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10</w:t>
            </w:r>
          </w:p>
        </w:tc>
        <w:tc>
          <w:tcPr>
            <w:tcW w:w="1134" w:type="dxa"/>
            <w:noWrap/>
            <w:hideMark/>
          </w:tcPr>
          <w:p w14:paraId="093A7126"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w:t>
            </w:r>
          </w:p>
        </w:tc>
        <w:tc>
          <w:tcPr>
            <w:tcW w:w="992" w:type="dxa"/>
            <w:noWrap/>
            <w:hideMark/>
          </w:tcPr>
          <w:p w14:paraId="22137A9A"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23</w:t>
            </w:r>
          </w:p>
        </w:tc>
        <w:tc>
          <w:tcPr>
            <w:tcW w:w="1134" w:type="dxa"/>
            <w:noWrap/>
            <w:hideMark/>
          </w:tcPr>
          <w:p w14:paraId="60531779"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w:t>
            </w:r>
          </w:p>
        </w:tc>
        <w:tc>
          <w:tcPr>
            <w:tcW w:w="1276" w:type="dxa"/>
            <w:tcBorders>
              <w:right w:val="single" w:sz="4" w:space="0" w:color="auto"/>
            </w:tcBorders>
            <w:noWrap/>
            <w:hideMark/>
          </w:tcPr>
          <w:p w14:paraId="6EB85944"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w:t>
            </w:r>
          </w:p>
        </w:tc>
      </w:tr>
      <w:tr w:rsidR="009968E0" w:rsidRPr="009968E0" w14:paraId="5BD2DEE5" w14:textId="77777777" w:rsidTr="003A4934">
        <w:trPr>
          <w:trHeight w:val="320"/>
        </w:trPr>
        <w:tc>
          <w:tcPr>
            <w:cnfStyle w:val="001000000000" w:firstRow="0" w:lastRow="0" w:firstColumn="1" w:lastColumn="0" w:oddVBand="0" w:evenVBand="0" w:oddHBand="0" w:evenHBand="0" w:firstRowFirstColumn="0" w:firstRowLastColumn="0" w:lastRowFirstColumn="0" w:lastRowLastColumn="0"/>
            <w:tcW w:w="1271" w:type="dxa"/>
            <w:vMerge/>
            <w:tcBorders>
              <w:left w:val="single" w:sz="4" w:space="0" w:color="auto"/>
            </w:tcBorders>
            <w:noWrap/>
            <w:hideMark/>
          </w:tcPr>
          <w:p w14:paraId="51ECF583" w14:textId="77777777" w:rsidR="009968E0" w:rsidRPr="009968E0" w:rsidRDefault="009968E0" w:rsidP="009968E0">
            <w:pPr>
              <w:rPr>
                <w:rFonts w:ascii="Calibri" w:eastAsia="Times New Roman" w:hAnsi="Calibri" w:cs="Calibri"/>
                <w:i/>
                <w:iCs/>
                <w:sz w:val="22"/>
                <w:szCs w:val="22"/>
                <w:lang w:eastAsia="en-GB"/>
              </w:rPr>
            </w:pPr>
          </w:p>
        </w:tc>
        <w:tc>
          <w:tcPr>
            <w:tcW w:w="1701" w:type="dxa"/>
            <w:noWrap/>
            <w:hideMark/>
          </w:tcPr>
          <w:p w14:paraId="0A938426"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Mean</w:t>
            </w:r>
          </w:p>
        </w:tc>
        <w:tc>
          <w:tcPr>
            <w:tcW w:w="1276" w:type="dxa"/>
            <w:noWrap/>
            <w:hideMark/>
          </w:tcPr>
          <w:p w14:paraId="58416C50"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79.4</w:t>
            </w:r>
          </w:p>
        </w:tc>
        <w:tc>
          <w:tcPr>
            <w:tcW w:w="1134" w:type="dxa"/>
            <w:noWrap/>
            <w:hideMark/>
          </w:tcPr>
          <w:p w14:paraId="60E50FFA"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80</w:t>
            </w:r>
          </w:p>
        </w:tc>
        <w:tc>
          <w:tcPr>
            <w:tcW w:w="992" w:type="dxa"/>
            <w:noWrap/>
            <w:hideMark/>
          </w:tcPr>
          <w:p w14:paraId="4EA2DEA2"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76.7</w:t>
            </w:r>
          </w:p>
        </w:tc>
        <w:tc>
          <w:tcPr>
            <w:tcW w:w="1134" w:type="dxa"/>
            <w:noWrap/>
            <w:hideMark/>
          </w:tcPr>
          <w:p w14:paraId="5943CD82"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69</w:t>
            </w:r>
          </w:p>
        </w:tc>
        <w:tc>
          <w:tcPr>
            <w:tcW w:w="1276" w:type="dxa"/>
            <w:tcBorders>
              <w:right w:val="single" w:sz="4" w:space="0" w:color="auto"/>
            </w:tcBorders>
            <w:noWrap/>
            <w:hideMark/>
          </w:tcPr>
          <w:p w14:paraId="192FDA35"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76.7</w:t>
            </w:r>
          </w:p>
        </w:tc>
      </w:tr>
      <w:tr w:rsidR="009968E0" w:rsidRPr="009968E0" w14:paraId="03076CFF" w14:textId="77777777" w:rsidTr="003A493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71" w:type="dxa"/>
            <w:vMerge/>
            <w:tcBorders>
              <w:left w:val="single" w:sz="4" w:space="0" w:color="auto"/>
            </w:tcBorders>
            <w:noWrap/>
            <w:hideMark/>
          </w:tcPr>
          <w:p w14:paraId="43BDE782" w14:textId="77777777" w:rsidR="009968E0" w:rsidRPr="009968E0" w:rsidRDefault="009968E0" w:rsidP="009968E0">
            <w:pPr>
              <w:rPr>
                <w:rFonts w:ascii="Calibri" w:eastAsia="Times New Roman" w:hAnsi="Calibri" w:cs="Calibri"/>
                <w:i/>
                <w:iCs/>
                <w:sz w:val="22"/>
                <w:szCs w:val="22"/>
                <w:lang w:eastAsia="en-GB"/>
              </w:rPr>
            </w:pPr>
          </w:p>
        </w:tc>
        <w:tc>
          <w:tcPr>
            <w:tcW w:w="1701" w:type="dxa"/>
            <w:noWrap/>
            <w:hideMark/>
          </w:tcPr>
          <w:p w14:paraId="67674AC7"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Std. Deviation</w:t>
            </w:r>
          </w:p>
        </w:tc>
        <w:tc>
          <w:tcPr>
            <w:tcW w:w="1276" w:type="dxa"/>
            <w:noWrap/>
            <w:hideMark/>
          </w:tcPr>
          <w:p w14:paraId="00ACAB5C"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14.8</w:t>
            </w:r>
          </w:p>
        </w:tc>
        <w:tc>
          <w:tcPr>
            <w:tcW w:w="1134" w:type="dxa"/>
            <w:noWrap/>
            <w:hideMark/>
          </w:tcPr>
          <w:p w14:paraId="7B368D95"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15.3</w:t>
            </w:r>
          </w:p>
        </w:tc>
        <w:tc>
          <w:tcPr>
            <w:tcW w:w="992" w:type="dxa"/>
            <w:noWrap/>
            <w:hideMark/>
          </w:tcPr>
          <w:p w14:paraId="76E290ED"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11.2</w:t>
            </w:r>
          </w:p>
        </w:tc>
        <w:tc>
          <w:tcPr>
            <w:tcW w:w="1134" w:type="dxa"/>
            <w:noWrap/>
            <w:hideMark/>
          </w:tcPr>
          <w:p w14:paraId="6CDECCF4"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8.1</w:t>
            </w:r>
          </w:p>
        </w:tc>
        <w:tc>
          <w:tcPr>
            <w:tcW w:w="1276" w:type="dxa"/>
            <w:tcBorders>
              <w:right w:val="single" w:sz="4" w:space="0" w:color="auto"/>
            </w:tcBorders>
            <w:noWrap/>
            <w:hideMark/>
          </w:tcPr>
          <w:p w14:paraId="3A69AC65"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8.5</w:t>
            </w:r>
          </w:p>
        </w:tc>
      </w:tr>
      <w:tr w:rsidR="009968E0" w:rsidRPr="009968E0" w14:paraId="79CAE47E" w14:textId="77777777" w:rsidTr="003A4934">
        <w:trPr>
          <w:trHeight w:val="320"/>
        </w:trPr>
        <w:tc>
          <w:tcPr>
            <w:cnfStyle w:val="001000000000" w:firstRow="0" w:lastRow="0" w:firstColumn="1" w:lastColumn="0" w:oddVBand="0" w:evenVBand="0" w:oddHBand="0" w:evenHBand="0" w:firstRowFirstColumn="0" w:firstRowLastColumn="0" w:lastRowFirstColumn="0" w:lastRowLastColumn="0"/>
            <w:tcW w:w="8784" w:type="dxa"/>
            <w:gridSpan w:val="7"/>
            <w:tcBorders>
              <w:left w:val="single" w:sz="4" w:space="0" w:color="auto"/>
              <w:right w:val="single" w:sz="4" w:space="0" w:color="auto"/>
            </w:tcBorders>
            <w:noWrap/>
          </w:tcPr>
          <w:p w14:paraId="4EED1EFE" w14:textId="77777777" w:rsidR="009968E0" w:rsidRPr="009968E0" w:rsidRDefault="009968E0" w:rsidP="009968E0">
            <w:pPr>
              <w:jc w:val="cente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p=.135</w:t>
            </w:r>
          </w:p>
        </w:tc>
      </w:tr>
      <w:tr w:rsidR="009968E0" w:rsidRPr="009968E0" w14:paraId="2D40AA21" w14:textId="77777777" w:rsidTr="003A493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71" w:type="dxa"/>
            <w:vMerge w:val="restart"/>
            <w:tcBorders>
              <w:left w:val="single" w:sz="4" w:space="0" w:color="auto"/>
            </w:tcBorders>
            <w:noWrap/>
            <w:hideMark/>
          </w:tcPr>
          <w:p w14:paraId="77ACAE08"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V3-BP- S</w:t>
            </w:r>
          </w:p>
        </w:tc>
        <w:tc>
          <w:tcPr>
            <w:tcW w:w="1701" w:type="dxa"/>
            <w:noWrap/>
            <w:hideMark/>
          </w:tcPr>
          <w:p w14:paraId="369D5747"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N</w:t>
            </w:r>
          </w:p>
        </w:tc>
        <w:tc>
          <w:tcPr>
            <w:tcW w:w="1276" w:type="dxa"/>
            <w:noWrap/>
            <w:hideMark/>
          </w:tcPr>
          <w:p w14:paraId="4D2A07B3"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10</w:t>
            </w:r>
          </w:p>
        </w:tc>
        <w:tc>
          <w:tcPr>
            <w:tcW w:w="1134" w:type="dxa"/>
            <w:noWrap/>
            <w:hideMark/>
          </w:tcPr>
          <w:p w14:paraId="60762DC0"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w:t>
            </w:r>
          </w:p>
        </w:tc>
        <w:tc>
          <w:tcPr>
            <w:tcW w:w="992" w:type="dxa"/>
            <w:noWrap/>
            <w:hideMark/>
          </w:tcPr>
          <w:p w14:paraId="30C602C8"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23</w:t>
            </w:r>
          </w:p>
        </w:tc>
        <w:tc>
          <w:tcPr>
            <w:tcW w:w="1134" w:type="dxa"/>
            <w:noWrap/>
            <w:hideMark/>
          </w:tcPr>
          <w:p w14:paraId="376578F1"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w:t>
            </w:r>
          </w:p>
        </w:tc>
        <w:tc>
          <w:tcPr>
            <w:tcW w:w="1276" w:type="dxa"/>
            <w:tcBorders>
              <w:right w:val="single" w:sz="4" w:space="0" w:color="auto"/>
            </w:tcBorders>
            <w:noWrap/>
            <w:hideMark/>
          </w:tcPr>
          <w:p w14:paraId="4ADD7790"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w:t>
            </w:r>
          </w:p>
        </w:tc>
      </w:tr>
      <w:tr w:rsidR="009968E0" w:rsidRPr="009968E0" w14:paraId="36B4B953" w14:textId="77777777" w:rsidTr="003A4934">
        <w:trPr>
          <w:trHeight w:val="320"/>
        </w:trPr>
        <w:tc>
          <w:tcPr>
            <w:cnfStyle w:val="001000000000" w:firstRow="0" w:lastRow="0" w:firstColumn="1" w:lastColumn="0" w:oddVBand="0" w:evenVBand="0" w:oddHBand="0" w:evenHBand="0" w:firstRowFirstColumn="0" w:firstRowLastColumn="0" w:lastRowFirstColumn="0" w:lastRowLastColumn="0"/>
            <w:tcW w:w="1271" w:type="dxa"/>
            <w:vMerge/>
            <w:tcBorders>
              <w:left w:val="single" w:sz="4" w:space="0" w:color="auto"/>
            </w:tcBorders>
            <w:noWrap/>
            <w:hideMark/>
          </w:tcPr>
          <w:p w14:paraId="24CB6D29" w14:textId="77777777" w:rsidR="009968E0" w:rsidRPr="009968E0" w:rsidRDefault="009968E0" w:rsidP="009968E0">
            <w:pPr>
              <w:rPr>
                <w:rFonts w:ascii="Calibri" w:eastAsia="Times New Roman" w:hAnsi="Calibri" w:cs="Calibri"/>
                <w:i/>
                <w:iCs/>
                <w:sz w:val="22"/>
                <w:szCs w:val="22"/>
                <w:lang w:eastAsia="en-GB"/>
              </w:rPr>
            </w:pPr>
          </w:p>
        </w:tc>
        <w:tc>
          <w:tcPr>
            <w:tcW w:w="1701" w:type="dxa"/>
            <w:noWrap/>
            <w:hideMark/>
          </w:tcPr>
          <w:p w14:paraId="2B278813"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Mean</w:t>
            </w:r>
          </w:p>
        </w:tc>
        <w:tc>
          <w:tcPr>
            <w:tcW w:w="1276" w:type="dxa"/>
            <w:noWrap/>
            <w:hideMark/>
          </w:tcPr>
          <w:p w14:paraId="269C1400"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132.9</w:t>
            </w:r>
          </w:p>
        </w:tc>
        <w:tc>
          <w:tcPr>
            <w:tcW w:w="1134" w:type="dxa"/>
            <w:noWrap/>
            <w:hideMark/>
          </w:tcPr>
          <w:p w14:paraId="4CB80856"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119.9</w:t>
            </w:r>
          </w:p>
        </w:tc>
        <w:tc>
          <w:tcPr>
            <w:tcW w:w="992" w:type="dxa"/>
            <w:noWrap/>
            <w:hideMark/>
          </w:tcPr>
          <w:p w14:paraId="4B2497E5"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134.2</w:t>
            </w:r>
          </w:p>
        </w:tc>
        <w:tc>
          <w:tcPr>
            <w:tcW w:w="1134" w:type="dxa"/>
            <w:noWrap/>
            <w:hideMark/>
          </w:tcPr>
          <w:p w14:paraId="55E3FF10"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137.3</w:t>
            </w:r>
          </w:p>
        </w:tc>
        <w:tc>
          <w:tcPr>
            <w:tcW w:w="1276" w:type="dxa"/>
            <w:tcBorders>
              <w:right w:val="single" w:sz="4" w:space="0" w:color="auto"/>
            </w:tcBorders>
            <w:noWrap/>
            <w:hideMark/>
          </w:tcPr>
          <w:p w14:paraId="26BCDE9B"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126.9</w:t>
            </w:r>
          </w:p>
        </w:tc>
      </w:tr>
      <w:tr w:rsidR="009968E0" w:rsidRPr="009968E0" w14:paraId="17FC068D" w14:textId="77777777" w:rsidTr="003A493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71" w:type="dxa"/>
            <w:vMerge/>
            <w:tcBorders>
              <w:left w:val="single" w:sz="4" w:space="0" w:color="auto"/>
            </w:tcBorders>
            <w:noWrap/>
            <w:hideMark/>
          </w:tcPr>
          <w:p w14:paraId="4E3676E6" w14:textId="77777777" w:rsidR="009968E0" w:rsidRPr="009968E0" w:rsidRDefault="009968E0" w:rsidP="009968E0">
            <w:pPr>
              <w:rPr>
                <w:rFonts w:ascii="Calibri" w:eastAsia="Times New Roman" w:hAnsi="Calibri" w:cs="Calibri"/>
                <w:i/>
                <w:iCs/>
                <w:sz w:val="22"/>
                <w:szCs w:val="22"/>
                <w:lang w:eastAsia="en-GB"/>
              </w:rPr>
            </w:pPr>
          </w:p>
        </w:tc>
        <w:tc>
          <w:tcPr>
            <w:tcW w:w="1701" w:type="dxa"/>
            <w:noWrap/>
            <w:hideMark/>
          </w:tcPr>
          <w:p w14:paraId="1A7C35EA"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Std. Deviation</w:t>
            </w:r>
          </w:p>
        </w:tc>
        <w:tc>
          <w:tcPr>
            <w:tcW w:w="1276" w:type="dxa"/>
            <w:noWrap/>
            <w:hideMark/>
          </w:tcPr>
          <w:p w14:paraId="2A2D1C1D"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15.4</w:t>
            </w:r>
          </w:p>
        </w:tc>
        <w:tc>
          <w:tcPr>
            <w:tcW w:w="1134" w:type="dxa"/>
            <w:noWrap/>
            <w:hideMark/>
          </w:tcPr>
          <w:p w14:paraId="1F9C50AA"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11.7</w:t>
            </w:r>
          </w:p>
        </w:tc>
        <w:tc>
          <w:tcPr>
            <w:tcW w:w="992" w:type="dxa"/>
            <w:noWrap/>
            <w:hideMark/>
          </w:tcPr>
          <w:p w14:paraId="4ACF5237"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17.3</w:t>
            </w:r>
          </w:p>
        </w:tc>
        <w:tc>
          <w:tcPr>
            <w:tcW w:w="1134" w:type="dxa"/>
            <w:noWrap/>
            <w:hideMark/>
          </w:tcPr>
          <w:p w14:paraId="0E91D443"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29.8</w:t>
            </w:r>
          </w:p>
        </w:tc>
        <w:tc>
          <w:tcPr>
            <w:tcW w:w="1276" w:type="dxa"/>
            <w:tcBorders>
              <w:right w:val="single" w:sz="4" w:space="0" w:color="auto"/>
            </w:tcBorders>
            <w:noWrap/>
            <w:hideMark/>
          </w:tcPr>
          <w:p w14:paraId="0B88BE5F"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16.4</w:t>
            </w:r>
          </w:p>
        </w:tc>
      </w:tr>
      <w:tr w:rsidR="009968E0" w:rsidRPr="009968E0" w14:paraId="5AD0E35B" w14:textId="77777777" w:rsidTr="003A4934">
        <w:trPr>
          <w:trHeight w:val="320"/>
        </w:trPr>
        <w:tc>
          <w:tcPr>
            <w:cnfStyle w:val="001000000000" w:firstRow="0" w:lastRow="0" w:firstColumn="1" w:lastColumn="0" w:oddVBand="0" w:evenVBand="0" w:oddHBand="0" w:evenHBand="0" w:firstRowFirstColumn="0" w:firstRowLastColumn="0" w:lastRowFirstColumn="0" w:lastRowLastColumn="0"/>
            <w:tcW w:w="8784" w:type="dxa"/>
            <w:gridSpan w:val="7"/>
            <w:tcBorders>
              <w:left w:val="single" w:sz="4" w:space="0" w:color="auto"/>
              <w:right w:val="single" w:sz="4" w:space="0" w:color="auto"/>
            </w:tcBorders>
            <w:noWrap/>
          </w:tcPr>
          <w:p w14:paraId="3A940000" w14:textId="77777777" w:rsidR="009968E0" w:rsidRPr="009968E0" w:rsidRDefault="009968E0" w:rsidP="009968E0">
            <w:pPr>
              <w:jc w:val="cente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p=.208</w:t>
            </w:r>
          </w:p>
        </w:tc>
      </w:tr>
      <w:tr w:rsidR="009968E0" w:rsidRPr="009968E0" w14:paraId="1E062CF7" w14:textId="77777777" w:rsidTr="003A493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71" w:type="dxa"/>
            <w:vMerge w:val="restart"/>
            <w:tcBorders>
              <w:left w:val="single" w:sz="4" w:space="0" w:color="auto"/>
            </w:tcBorders>
            <w:noWrap/>
            <w:hideMark/>
          </w:tcPr>
          <w:p w14:paraId="1AAEEE5B"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V3-BP- D</w:t>
            </w:r>
          </w:p>
        </w:tc>
        <w:tc>
          <w:tcPr>
            <w:tcW w:w="1701" w:type="dxa"/>
            <w:noWrap/>
            <w:hideMark/>
          </w:tcPr>
          <w:p w14:paraId="43FAD9CC"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N</w:t>
            </w:r>
          </w:p>
        </w:tc>
        <w:tc>
          <w:tcPr>
            <w:tcW w:w="1276" w:type="dxa"/>
            <w:noWrap/>
            <w:hideMark/>
          </w:tcPr>
          <w:p w14:paraId="09823E8E"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10</w:t>
            </w:r>
          </w:p>
        </w:tc>
        <w:tc>
          <w:tcPr>
            <w:tcW w:w="1134" w:type="dxa"/>
            <w:noWrap/>
            <w:hideMark/>
          </w:tcPr>
          <w:p w14:paraId="64A68016"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w:t>
            </w:r>
          </w:p>
        </w:tc>
        <w:tc>
          <w:tcPr>
            <w:tcW w:w="992" w:type="dxa"/>
            <w:noWrap/>
            <w:hideMark/>
          </w:tcPr>
          <w:p w14:paraId="628CB62A"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23</w:t>
            </w:r>
          </w:p>
        </w:tc>
        <w:tc>
          <w:tcPr>
            <w:tcW w:w="1134" w:type="dxa"/>
            <w:noWrap/>
            <w:hideMark/>
          </w:tcPr>
          <w:p w14:paraId="4B3551DB"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w:t>
            </w:r>
          </w:p>
        </w:tc>
        <w:tc>
          <w:tcPr>
            <w:tcW w:w="1276" w:type="dxa"/>
            <w:tcBorders>
              <w:right w:val="single" w:sz="4" w:space="0" w:color="auto"/>
            </w:tcBorders>
            <w:noWrap/>
            <w:hideMark/>
          </w:tcPr>
          <w:p w14:paraId="57922E47"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w:t>
            </w:r>
          </w:p>
        </w:tc>
      </w:tr>
      <w:tr w:rsidR="009968E0" w:rsidRPr="009968E0" w14:paraId="2488094D" w14:textId="77777777" w:rsidTr="003A4934">
        <w:trPr>
          <w:trHeight w:val="320"/>
        </w:trPr>
        <w:tc>
          <w:tcPr>
            <w:cnfStyle w:val="001000000000" w:firstRow="0" w:lastRow="0" w:firstColumn="1" w:lastColumn="0" w:oddVBand="0" w:evenVBand="0" w:oddHBand="0" w:evenHBand="0" w:firstRowFirstColumn="0" w:firstRowLastColumn="0" w:lastRowFirstColumn="0" w:lastRowLastColumn="0"/>
            <w:tcW w:w="1271" w:type="dxa"/>
            <w:vMerge/>
            <w:tcBorders>
              <w:left w:val="single" w:sz="4" w:space="0" w:color="auto"/>
            </w:tcBorders>
            <w:noWrap/>
            <w:hideMark/>
          </w:tcPr>
          <w:p w14:paraId="6DF7CB08" w14:textId="77777777" w:rsidR="009968E0" w:rsidRPr="009968E0" w:rsidRDefault="009968E0" w:rsidP="009968E0">
            <w:pPr>
              <w:rPr>
                <w:rFonts w:ascii="Calibri" w:eastAsia="Times New Roman" w:hAnsi="Calibri" w:cs="Calibri"/>
                <w:i/>
                <w:iCs/>
                <w:sz w:val="22"/>
                <w:szCs w:val="22"/>
                <w:lang w:eastAsia="en-GB"/>
              </w:rPr>
            </w:pPr>
          </w:p>
        </w:tc>
        <w:tc>
          <w:tcPr>
            <w:tcW w:w="1701" w:type="dxa"/>
            <w:noWrap/>
            <w:hideMark/>
          </w:tcPr>
          <w:p w14:paraId="5634E0CD"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Mean</w:t>
            </w:r>
          </w:p>
        </w:tc>
        <w:tc>
          <w:tcPr>
            <w:tcW w:w="1276" w:type="dxa"/>
            <w:noWrap/>
            <w:hideMark/>
          </w:tcPr>
          <w:p w14:paraId="45A0EBB8"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82.4</w:t>
            </w:r>
          </w:p>
        </w:tc>
        <w:tc>
          <w:tcPr>
            <w:tcW w:w="1134" w:type="dxa"/>
            <w:noWrap/>
            <w:hideMark/>
          </w:tcPr>
          <w:p w14:paraId="497FC41D"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77</w:t>
            </w:r>
          </w:p>
        </w:tc>
        <w:tc>
          <w:tcPr>
            <w:tcW w:w="992" w:type="dxa"/>
            <w:noWrap/>
            <w:hideMark/>
          </w:tcPr>
          <w:p w14:paraId="4593774F"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80.8</w:t>
            </w:r>
          </w:p>
        </w:tc>
        <w:tc>
          <w:tcPr>
            <w:tcW w:w="1134" w:type="dxa"/>
            <w:noWrap/>
            <w:hideMark/>
          </w:tcPr>
          <w:p w14:paraId="4554E552"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87.2</w:t>
            </w:r>
          </w:p>
        </w:tc>
        <w:tc>
          <w:tcPr>
            <w:tcW w:w="1276" w:type="dxa"/>
            <w:tcBorders>
              <w:right w:val="single" w:sz="4" w:space="0" w:color="auto"/>
            </w:tcBorders>
            <w:noWrap/>
            <w:hideMark/>
          </w:tcPr>
          <w:p w14:paraId="64EE4989"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87.9</w:t>
            </w:r>
          </w:p>
        </w:tc>
      </w:tr>
      <w:tr w:rsidR="009968E0" w:rsidRPr="009968E0" w14:paraId="325608EE" w14:textId="77777777" w:rsidTr="003A493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71" w:type="dxa"/>
            <w:vMerge/>
            <w:tcBorders>
              <w:left w:val="single" w:sz="4" w:space="0" w:color="auto"/>
            </w:tcBorders>
            <w:noWrap/>
            <w:hideMark/>
          </w:tcPr>
          <w:p w14:paraId="11D9A478" w14:textId="77777777" w:rsidR="009968E0" w:rsidRPr="009968E0" w:rsidRDefault="009968E0" w:rsidP="009968E0">
            <w:pPr>
              <w:rPr>
                <w:rFonts w:ascii="Calibri" w:eastAsia="Times New Roman" w:hAnsi="Calibri" w:cs="Calibri"/>
                <w:i/>
                <w:iCs/>
                <w:sz w:val="22"/>
                <w:szCs w:val="22"/>
                <w:lang w:eastAsia="en-GB"/>
              </w:rPr>
            </w:pPr>
          </w:p>
        </w:tc>
        <w:tc>
          <w:tcPr>
            <w:tcW w:w="1701" w:type="dxa"/>
            <w:noWrap/>
            <w:hideMark/>
          </w:tcPr>
          <w:p w14:paraId="65874CBC"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Std. Deviation</w:t>
            </w:r>
          </w:p>
        </w:tc>
        <w:tc>
          <w:tcPr>
            <w:tcW w:w="1276" w:type="dxa"/>
            <w:noWrap/>
            <w:hideMark/>
          </w:tcPr>
          <w:p w14:paraId="1297AA88"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9.5</w:t>
            </w:r>
          </w:p>
        </w:tc>
        <w:tc>
          <w:tcPr>
            <w:tcW w:w="1134" w:type="dxa"/>
            <w:noWrap/>
            <w:hideMark/>
          </w:tcPr>
          <w:p w14:paraId="5F75DBE7"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8.3</w:t>
            </w:r>
          </w:p>
        </w:tc>
        <w:tc>
          <w:tcPr>
            <w:tcW w:w="992" w:type="dxa"/>
            <w:noWrap/>
            <w:hideMark/>
          </w:tcPr>
          <w:p w14:paraId="4782051C"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w:t>
            </w:r>
          </w:p>
        </w:tc>
        <w:tc>
          <w:tcPr>
            <w:tcW w:w="1134" w:type="dxa"/>
            <w:noWrap/>
            <w:hideMark/>
          </w:tcPr>
          <w:p w14:paraId="620AD4FE"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15.1</w:t>
            </w:r>
          </w:p>
        </w:tc>
        <w:tc>
          <w:tcPr>
            <w:tcW w:w="1276" w:type="dxa"/>
            <w:tcBorders>
              <w:right w:val="single" w:sz="4" w:space="0" w:color="auto"/>
            </w:tcBorders>
            <w:noWrap/>
            <w:hideMark/>
          </w:tcPr>
          <w:p w14:paraId="5499FB99"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11.7</w:t>
            </w:r>
          </w:p>
        </w:tc>
      </w:tr>
      <w:tr w:rsidR="009968E0" w:rsidRPr="009968E0" w14:paraId="2EC4EEAA" w14:textId="77777777" w:rsidTr="003A4934">
        <w:trPr>
          <w:trHeight w:val="320"/>
        </w:trPr>
        <w:tc>
          <w:tcPr>
            <w:cnfStyle w:val="001000000000" w:firstRow="0" w:lastRow="0" w:firstColumn="1" w:lastColumn="0" w:oddVBand="0" w:evenVBand="0" w:oddHBand="0" w:evenHBand="0" w:firstRowFirstColumn="0" w:firstRowLastColumn="0" w:lastRowFirstColumn="0" w:lastRowLastColumn="0"/>
            <w:tcW w:w="8784" w:type="dxa"/>
            <w:gridSpan w:val="7"/>
            <w:tcBorders>
              <w:left w:val="single" w:sz="4" w:space="0" w:color="auto"/>
              <w:right w:val="single" w:sz="4" w:space="0" w:color="auto"/>
            </w:tcBorders>
            <w:noWrap/>
          </w:tcPr>
          <w:p w14:paraId="29A15EF7" w14:textId="77777777" w:rsidR="009968E0" w:rsidRPr="009968E0" w:rsidRDefault="009968E0" w:rsidP="009968E0">
            <w:pPr>
              <w:jc w:val="cente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p=.069</w:t>
            </w:r>
          </w:p>
        </w:tc>
      </w:tr>
      <w:tr w:rsidR="009968E0" w:rsidRPr="009968E0" w14:paraId="717E8164" w14:textId="77777777" w:rsidTr="003A493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71" w:type="dxa"/>
            <w:vMerge w:val="restart"/>
            <w:tcBorders>
              <w:left w:val="single" w:sz="4" w:space="0" w:color="auto"/>
            </w:tcBorders>
            <w:noWrap/>
            <w:hideMark/>
          </w:tcPr>
          <w:p w14:paraId="5404CDCB"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V3-BG-A</w:t>
            </w:r>
          </w:p>
        </w:tc>
        <w:tc>
          <w:tcPr>
            <w:tcW w:w="1701" w:type="dxa"/>
            <w:noWrap/>
            <w:hideMark/>
          </w:tcPr>
          <w:p w14:paraId="5757BD03"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N</w:t>
            </w:r>
          </w:p>
        </w:tc>
        <w:tc>
          <w:tcPr>
            <w:tcW w:w="1276" w:type="dxa"/>
            <w:noWrap/>
            <w:hideMark/>
          </w:tcPr>
          <w:p w14:paraId="5BFAF4E1"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10</w:t>
            </w:r>
          </w:p>
        </w:tc>
        <w:tc>
          <w:tcPr>
            <w:tcW w:w="1134" w:type="dxa"/>
            <w:noWrap/>
            <w:hideMark/>
          </w:tcPr>
          <w:p w14:paraId="45913EF1"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w:t>
            </w:r>
          </w:p>
        </w:tc>
        <w:tc>
          <w:tcPr>
            <w:tcW w:w="992" w:type="dxa"/>
            <w:noWrap/>
            <w:hideMark/>
          </w:tcPr>
          <w:p w14:paraId="70289045"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23</w:t>
            </w:r>
          </w:p>
        </w:tc>
        <w:tc>
          <w:tcPr>
            <w:tcW w:w="1134" w:type="dxa"/>
            <w:noWrap/>
            <w:hideMark/>
          </w:tcPr>
          <w:p w14:paraId="5F339669"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w:t>
            </w:r>
          </w:p>
        </w:tc>
        <w:tc>
          <w:tcPr>
            <w:tcW w:w="1276" w:type="dxa"/>
            <w:tcBorders>
              <w:right w:val="single" w:sz="4" w:space="0" w:color="auto"/>
            </w:tcBorders>
            <w:noWrap/>
            <w:hideMark/>
          </w:tcPr>
          <w:p w14:paraId="591E10FC"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w:t>
            </w:r>
          </w:p>
        </w:tc>
      </w:tr>
      <w:tr w:rsidR="009968E0" w:rsidRPr="009968E0" w14:paraId="633C83DC" w14:textId="77777777" w:rsidTr="003A4934">
        <w:trPr>
          <w:trHeight w:val="320"/>
        </w:trPr>
        <w:tc>
          <w:tcPr>
            <w:cnfStyle w:val="001000000000" w:firstRow="0" w:lastRow="0" w:firstColumn="1" w:lastColumn="0" w:oddVBand="0" w:evenVBand="0" w:oddHBand="0" w:evenHBand="0" w:firstRowFirstColumn="0" w:firstRowLastColumn="0" w:lastRowFirstColumn="0" w:lastRowLastColumn="0"/>
            <w:tcW w:w="1271" w:type="dxa"/>
            <w:vMerge/>
            <w:tcBorders>
              <w:left w:val="single" w:sz="4" w:space="0" w:color="auto"/>
            </w:tcBorders>
            <w:noWrap/>
            <w:hideMark/>
          </w:tcPr>
          <w:p w14:paraId="1D36BE1C" w14:textId="77777777" w:rsidR="009968E0" w:rsidRPr="009968E0" w:rsidRDefault="009968E0" w:rsidP="009968E0">
            <w:pPr>
              <w:rPr>
                <w:rFonts w:ascii="Calibri" w:eastAsia="Times New Roman" w:hAnsi="Calibri" w:cs="Calibri"/>
                <w:i/>
                <w:iCs/>
                <w:sz w:val="22"/>
                <w:szCs w:val="22"/>
                <w:lang w:eastAsia="en-GB"/>
              </w:rPr>
            </w:pPr>
          </w:p>
        </w:tc>
        <w:tc>
          <w:tcPr>
            <w:tcW w:w="1701" w:type="dxa"/>
            <w:noWrap/>
            <w:hideMark/>
          </w:tcPr>
          <w:p w14:paraId="5827F77C"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Mean</w:t>
            </w:r>
          </w:p>
        </w:tc>
        <w:tc>
          <w:tcPr>
            <w:tcW w:w="1276" w:type="dxa"/>
            <w:noWrap/>
            <w:hideMark/>
          </w:tcPr>
          <w:p w14:paraId="104E3C8C"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12.6</w:t>
            </w:r>
          </w:p>
        </w:tc>
        <w:tc>
          <w:tcPr>
            <w:tcW w:w="1134" w:type="dxa"/>
            <w:noWrap/>
            <w:hideMark/>
          </w:tcPr>
          <w:p w14:paraId="24757AF0"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w:t>
            </w:r>
          </w:p>
        </w:tc>
        <w:tc>
          <w:tcPr>
            <w:tcW w:w="992" w:type="dxa"/>
            <w:noWrap/>
            <w:hideMark/>
          </w:tcPr>
          <w:p w14:paraId="49FA05E1"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11.4</w:t>
            </w:r>
          </w:p>
        </w:tc>
        <w:tc>
          <w:tcPr>
            <w:tcW w:w="1134" w:type="dxa"/>
            <w:noWrap/>
            <w:hideMark/>
          </w:tcPr>
          <w:p w14:paraId="17C06786"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13.6</w:t>
            </w:r>
          </w:p>
        </w:tc>
        <w:tc>
          <w:tcPr>
            <w:tcW w:w="1276" w:type="dxa"/>
            <w:tcBorders>
              <w:right w:val="single" w:sz="4" w:space="0" w:color="auto"/>
            </w:tcBorders>
            <w:noWrap/>
            <w:hideMark/>
          </w:tcPr>
          <w:p w14:paraId="4B5050E7"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w:t>
            </w:r>
          </w:p>
        </w:tc>
      </w:tr>
      <w:tr w:rsidR="009968E0" w:rsidRPr="009968E0" w14:paraId="273B3EF3" w14:textId="77777777" w:rsidTr="003A493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71" w:type="dxa"/>
            <w:vMerge/>
            <w:tcBorders>
              <w:left w:val="single" w:sz="4" w:space="0" w:color="auto"/>
            </w:tcBorders>
            <w:noWrap/>
            <w:hideMark/>
          </w:tcPr>
          <w:p w14:paraId="239B75E0" w14:textId="77777777" w:rsidR="009968E0" w:rsidRPr="009968E0" w:rsidRDefault="009968E0" w:rsidP="009968E0">
            <w:pPr>
              <w:rPr>
                <w:rFonts w:ascii="Calibri" w:eastAsia="Times New Roman" w:hAnsi="Calibri" w:cs="Calibri"/>
                <w:i/>
                <w:iCs/>
                <w:sz w:val="22"/>
                <w:szCs w:val="22"/>
                <w:lang w:eastAsia="en-GB"/>
              </w:rPr>
            </w:pPr>
          </w:p>
        </w:tc>
        <w:tc>
          <w:tcPr>
            <w:tcW w:w="1701" w:type="dxa"/>
            <w:noWrap/>
            <w:hideMark/>
          </w:tcPr>
          <w:p w14:paraId="1E05DBE2"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Std. Deviation</w:t>
            </w:r>
          </w:p>
        </w:tc>
        <w:tc>
          <w:tcPr>
            <w:tcW w:w="1276" w:type="dxa"/>
            <w:noWrap/>
            <w:hideMark/>
          </w:tcPr>
          <w:p w14:paraId="61D127D8"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4.5</w:t>
            </w:r>
          </w:p>
        </w:tc>
        <w:tc>
          <w:tcPr>
            <w:tcW w:w="1134" w:type="dxa"/>
            <w:noWrap/>
            <w:hideMark/>
          </w:tcPr>
          <w:p w14:paraId="2FF272E5"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4.4</w:t>
            </w:r>
          </w:p>
        </w:tc>
        <w:tc>
          <w:tcPr>
            <w:tcW w:w="992" w:type="dxa"/>
            <w:noWrap/>
            <w:hideMark/>
          </w:tcPr>
          <w:p w14:paraId="032E847A"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4.2</w:t>
            </w:r>
          </w:p>
        </w:tc>
        <w:tc>
          <w:tcPr>
            <w:tcW w:w="1134" w:type="dxa"/>
            <w:noWrap/>
            <w:hideMark/>
          </w:tcPr>
          <w:p w14:paraId="2A9CE229"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4.6</w:t>
            </w:r>
          </w:p>
        </w:tc>
        <w:tc>
          <w:tcPr>
            <w:tcW w:w="1276" w:type="dxa"/>
            <w:tcBorders>
              <w:right w:val="single" w:sz="4" w:space="0" w:color="auto"/>
            </w:tcBorders>
            <w:noWrap/>
            <w:hideMark/>
          </w:tcPr>
          <w:p w14:paraId="5F9D0E52"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w:t>
            </w:r>
          </w:p>
        </w:tc>
      </w:tr>
      <w:tr w:rsidR="009968E0" w:rsidRPr="009968E0" w14:paraId="16870786" w14:textId="77777777" w:rsidTr="003A4934">
        <w:trPr>
          <w:trHeight w:val="320"/>
        </w:trPr>
        <w:tc>
          <w:tcPr>
            <w:cnfStyle w:val="001000000000" w:firstRow="0" w:lastRow="0" w:firstColumn="1" w:lastColumn="0" w:oddVBand="0" w:evenVBand="0" w:oddHBand="0" w:evenHBand="0" w:firstRowFirstColumn="0" w:firstRowLastColumn="0" w:lastRowFirstColumn="0" w:lastRowLastColumn="0"/>
            <w:tcW w:w="8784" w:type="dxa"/>
            <w:gridSpan w:val="7"/>
            <w:tcBorders>
              <w:left w:val="single" w:sz="4" w:space="0" w:color="auto"/>
              <w:right w:val="single" w:sz="4" w:space="0" w:color="auto"/>
            </w:tcBorders>
            <w:noWrap/>
          </w:tcPr>
          <w:p w14:paraId="26EABDFB" w14:textId="77777777" w:rsidR="009968E0" w:rsidRPr="009968E0" w:rsidRDefault="009968E0" w:rsidP="009968E0">
            <w:pPr>
              <w:jc w:val="cente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p=.479</w:t>
            </w:r>
          </w:p>
        </w:tc>
      </w:tr>
      <w:tr w:rsidR="009968E0" w:rsidRPr="009968E0" w14:paraId="601847AD" w14:textId="77777777" w:rsidTr="003A493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71" w:type="dxa"/>
            <w:vMerge w:val="restart"/>
            <w:tcBorders>
              <w:left w:val="single" w:sz="4" w:space="0" w:color="auto"/>
            </w:tcBorders>
            <w:noWrap/>
            <w:hideMark/>
          </w:tcPr>
          <w:p w14:paraId="55386224"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V3-BG-D</w:t>
            </w:r>
          </w:p>
        </w:tc>
        <w:tc>
          <w:tcPr>
            <w:tcW w:w="1701" w:type="dxa"/>
            <w:noWrap/>
            <w:hideMark/>
          </w:tcPr>
          <w:p w14:paraId="6F19DD56"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N</w:t>
            </w:r>
          </w:p>
        </w:tc>
        <w:tc>
          <w:tcPr>
            <w:tcW w:w="1276" w:type="dxa"/>
            <w:noWrap/>
            <w:hideMark/>
          </w:tcPr>
          <w:p w14:paraId="4E4D196A"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w:t>
            </w:r>
          </w:p>
        </w:tc>
        <w:tc>
          <w:tcPr>
            <w:tcW w:w="1134" w:type="dxa"/>
            <w:noWrap/>
            <w:hideMark/>
          </w:tcPr>
          <w:p w14:paraId="7ED4C402"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7</w:t>
            </w:r>
          </w:p>
        </w:tc>
        <w:tc>
          <w:tcPr>
            <w:tcW w:w="992" w:type="dxa"/>
            <w:noWrap/>
            <w:hideMark/>
          </w:tcPr>
          <w:p w14:paraId="43706C06"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w:t>
            </w:r>
          </w:p>
        </w:tc>
        <w:tc>
          <w:tcPr>
            <w:tcW w:w="1134" w:type="dxa"/>
            <w:noWrap/>
            <w:hideMark/>
          </w:tcPr>
          <w:p w14:paraId="4AED0037"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w:t>
            </w:r>
          </w:p>
        </w:tc>
        <w:tc>
          <w:tcPr>
            <w:tcW w:w="1276" w:type="dxa"/>
            <w:tcBorders>
              <w:right w:val="single" w:sz="4" w:space="0" w:color="auto"/>
            </w:tcBorders>
            <w:noWrap/>
            <w:hideMark/>
          </w:tcPr>
          <w:p w14:paraId="012E1640"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w:t>
            </w:r>
          </w:p>
        </w:tc>
      </w:tr>
      <w:tr w:rsidR="009968E0" w:rsidRPr="009968E0" w14:paraId="63A9B7DD" w14:textId="77777777" w:rsidTr="003A4934">
        <w:trPr>
          <w:trHeight w:val="320"/>
        </w:trPr>
        <w:tc>
          <w:tcPr>
            <w:cnfStyle w:val="001000000000" w:firstRow="0" w:lastRow="0" w:firstColumn="1" w:lastColumn="0" w:oddVBand="0" w:evenVBand="0" w:oddHBand="0" w:evenHBand="0" w:firstRowFirstColumn="0" w:firstRowLastColumn="0" w:lastRowFirstColumn="0" w:lastRowLastColumn="0"/>
            <w:tcW w:w="1271" w:type="dxa"/>
            <w:vMerge/>
            <w:tcBorders>
              <w:left w:val="single" w:sz="4" w:space="0" w:color="auto"/>
            </w:tcBorders>
            <w:noWrap/>
            <w:hideMark/>
          </w:tcPr>
          <w:p w14:paraId="1E829B0E" w14:textId="77777777" w:rsidR="009968E0" w:rsidRPr="009968E0" w:rsidRDefault="009968E0" w:rsidP="009968E0">
            <w:pPr>
              <w:rPr>
                <w:rFonts w:ascii="Calibri" w:eastAsia="Times New Roman" w:hAnsi="Calibri" w:cs="Calibri"/>
                <w:i/>
                <w:iCs/>
                <w:sz w:val="22"/>
                <w:szCs w:val="22"/>
                <w:lang w:eastAsia="en-GB"/>
              </w:rPr>
            </w:pPr>
          </w:p>
        </w:tc>
        <w:tc>
          <w:tcPr>
            <w:tcW w:w="1701" w:type="dxa"/>
            <w:noWrap/>
            <w:hideMark/>
          </w:tcPr>
          <w:p w14:paraId="138339E9"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Mean</w:t>
            </w:r>
          </w:p>
        </w:tc>
        <w:tc>
          <w:tcPr>
            <w:tcW w:w="1276" w:type="dxa"/>
            <w:noWrap/>
            <w:hideMark/>
          </w:tcPr>
          <w:p w14:paraId="2C51609C"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w:t>
            </w:r>
          </w:p>
        </w:tc>
        <w:tc>
          <w:tcPr>
            <w:tcW w:w="1134" w:type="dxa"/>
            <w:noWrap/>
            <w:hideMark/>
          </w:tcPr>
          <w:p w14:paraId="48F406A8"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11.8</w:t>
            </w:r>
          </w:p>
        </w:tc>
        <w:tc>
          <w:tcPr>
            <w:tcW w:w="992" w:type="dxa"/>
            <w:noWrap/>
            <w:hideMark/>
          </w:tcPr>
          <w:p w14:paraId="54B02788"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9.4</w:t>
            </w:r>
          </w:p>
        </w:tc>
        <w:tc>
          <w:tcPr>
            <w:tcW w:w="1134" w:type="dxa"/>
            <w:noWrap/>
            <w:hideMark/>
          </w:tcPr>
          <w:p w14:paraId="04E977B5"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10.3</w:t>
            </w:r>
          </w:p>
        </w:tc>
        <w:tc>
          <w:tcPr>
            <w:tcW w:w="1276" w:type="dxa"/>
            <w:tcBorders>
              <w:right w:val="single" w:sz="4" w:space="0" w:color="auto"/>
            </w:tcBorders>
            <w:noWrap/>
            <w:hideMark/>
          </w:tcPr>
          <w:p w14:paraId="0BA2126E"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w:t>
            </w:r>
          </w:p>
        </w:tc>
      </w:tr>
      <w:tr w:rsidR="009968E0" w:rsidRPr="009968E0" w14:paraId="4EB0C190" w14:textId="77777777" w:rsidTr="003A493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71" w:type="dxa"/>
            <w:vMerge/>
            <w:tcBorders>
              <w:left w:val="single" w:sz="4" w:space="0" w:color="auto"/>
            </w:tcBorders>
            <w:noWrap/>
            <w:hideMark/>
          </w:tcPr>
          <w:p w14:paraId="00FF7214" w14:textId="77777777" w:rsidR="009968E0" w:rsidRPr="009968E0" w:rsidRDefault="009968E0" w:rsidP="009968E0">
            <w:pPr>
              <w:rPr>
                <w:rFonts w:ascii="Calibri" w:eastAsia="Times New Roman" w:hAnsi="Calibri" w:cs="Calibri"/>
                <w:i/>
                <w:iCs/>
                <w:sz w:val="22"/>
                <w:szCs w:val="22"/>
                <w:lang w:eastAsia="en-GB"/>
              </w:rPr>
            </w:pPr>
          </w:p>
        </w:tc>
        <w:tc>
          <w:tcPr>
            <w:tcW w:w="1701" w:type="dxa"/>
            <w:noWrap/>
            <w:hideMark/>
          </w:tcPr>
          <w:p w14:paraId="62C8261B"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Std. Deviation</w:t>
            </w:r>
          </w:p>
        </w:tc>
        <w:tc>
          <w:tcPr>
            <w:tcW w:w="1276" w:type="dxa"/>
            <w:noWrap/>
            <w:hideMark/>
          </w:tcPr>
          <w:p w14:paraId="336AC688"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2.6</w:t>
            </w:r>
          </w:p>
        </w:tc>
        <w:tc>
          <w:tcPr>
            <w:tcW w:w="1134" w:type="dxa"/>
            <w:noWrap/>
            <w:hideMark/>
          </w:tcPr>
          <w:p w14:paraId="224F23DA"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5.1</w:t>
            </w:r>
          </w:p>
        </w:tc>
        <w:tc>
          <w:tcPr>
            <w:tcW w:w="992" w:type="dxa"/>
            <w:noWrap/>
            <w:hideMark/>
          </w:tcPr>
          <w:p w14:paraId="511F30DF"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4.8</w:t>
            </w:r>
          </w:p>
        </w:tc>
        <w:tc>
          <w:tcPr>
            <w:tcW w:w="1134" w:type="dxa"/>
            <w:noWrap/>
            <w:hideMark/>
          </w:tcPr>
          <w:p w14:paraId="34A2AA36"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2.7</w:t>
            </w:r>
          </w:p>
        </w:tc>
        <w:tc>
          <w:tcPr>
            <w:tcW w:w="1276" w:type="dxa"/>
            <w:tcBorders>
              <w:right w:val="single" w:sz="4" w:space="0" w:color="auto"/>
            </w:tcBorders>
            <w:noWrap/>
            <w:hideMark/>
          </w:tcPr>
          <w:p w14:paraId="5F68B33B"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w:t>
            </w:r>
          </w:p>
        </w:tc>
      </w:tr>
      <w:tr w:rsidR="009968E0" w:rsidRPr="009968E0" w14:paraId="5AF63447" w14:textId="77777777" w:rsidTr="003A4934">
        <w:trPr>
          <w:trHeight w:val="320"/>
        </w:trPr>
        <w:tc>
          <w:tcPr>
            <w:cnfStyle w:val="001000000000" w:firstRow="0" w:lastRow="0" w:firstColumn="1" w:lastColumn="0" w:oddVBand="0" w:evenVBand="0" w:oddHBand="0" w:evenHBand="0" w:firstRowFirstColumn="0" w:firstRowLastColumn="0" w:lastRowFirstColumn="0" w:lastRowLastColumn="0"/>
            <w:tcW w:w="8784" w:type="dxa"/>
            <w:gridSpan w:val="7"/>
            <w:tcBorders>
              <w:left w:val="single" w:sz="4" w:space="0" w:color="auto"/>
              <w:right w:val="single" w:sz="4" w:space="0" w:color="auto"/>
            </w:tcBorders>
            <w:noWrap/>
          </w:tcPr>
          <w:p w14:paraId="6DFE9710" w14:textId="77777777" w:rsidR="009968E0" w:rsidRPr="009968E0" w:rsidRDefault="009968E0" w:rsidP="009968E0">
            <w:pPr>
              <w:jc w:val="cente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p=.542</w:t>
            </w:r>
          </w:p>
        </w:tc>
      </w:tr>
      <w:tr w:rsidR="009968E0" w:rsidRPr="009968E0" w14:paraId="1D881B3C" w14:textId="77777777" w:rsidTr="003A493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71" w:type="dxa"/>
            <w:vMerge w:val="restart"/>
            <w:tcBorders>
              <w:left w:val="single" w:sz="4" w:space="0" w:color="auto"/>
            </w:tcBorders>
            <w:noWrap/>
            <w:hideMark/>
          </w:tcPr>
          <w:p w14:paraId="32405E30"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LIKERT</w:t>
            </w:r>
          </w:p>
        </w:tc>
        <w:tc>
          <w:tcPr>
            <w:tcW w:w="1701" w:type="dxa"/>
            <w:noWrap/>
            <w:hideMark/>
          </w:tcPr>
          <w:p w14:paraId="6A6A1B78"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N</w:t>
            </w:r>
          </w:p>
        </w:tc>
        <w:tc>
          <w:tcPr>
            <w:tcW w:w="1276" w:type="dxa"/>
            <w:noWrap/>
            <w:hideMark/>
          </w:tcPr>
          <w:p w14:paraId="03ACC81A"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10</w:t>
            </w:r>
          </w:p>
        </w:tc>
        <w:tc>
          <w:tcPr>
            <w:tcW w:w="1134" w:type="dxa"/>
            <w:noWrap/>
            <w:hideMark/>
          </w:tcPr>
          <w:p w14:paraId="16854A71"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w:t>
            </w:r>
          </w:p>
        </w:tc>
        <w:tc>
          <w:tcPr>
            <w:tcW w:w="992" w:type="dxa"/>
            <w:noWrap/>
            <w:hideMark/>
          </w:tcPr>
          <w:p w14:paraId="12857EFC"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23</w:t>
            </w:r>
          </w:p>
        </w:tc>
        <w:tc>
          <w:tcPr>
            <w:tcW w:w="1134" w:type="dxa"/>
            <w:noWrap/>
            <w:hideMark/>
          </w:tcPr>
          <w:p w14:paraId="26654A49"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w:t>
            </w:r>
          </w:p>
        </w:tc>
        <w:tc>
          <w:tcPr>
            <w:tcW w:w="1276" w:type="dxa"/>
            <w:tcBorders>
              <w:right w:val="single" w:sz="4" w:space="0" w:color="auto"/>
            </w:tcBorders>
            <w:noWrap/>
            <w:hideMark/>
          </w:tcPr>
          <w:p w14:paraId="16DFA9F7"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w:t>
            </w:r>
          </w:p>
        </w:tc>
      </w:tr>
      <w:tr w:rsidR="009968E0" w:rsidRPr="009968E0" w14:paraId="5BC765C1" w14:textId="77777777" w:rsidTr="003A4934">
        <w:trPr>
          <w:trHeight w:val="320"/>
        </w:trPr>
        <w:tc>
          <w:tcPr>
            <w:cnfStyle w:val="001000000000" w:firstRow="0" w:lastRow="0" w:firstColumn="1" w:lastColumn="0" w:oddVBand="0" w:evenVBand="0" w:oddHBand="0" w:evenHBand="0" w:firstRowFirstColumn="0" w:firstRowLastColumn="0" w:lastRowFirstColumn="0" w:lastRowLastColumn="0"/>
            <w:tcW w:w="1271" w:type="dxa"/>
            <w:vMerge/>
            <w:tcBorders>
              <w:left w:val="single" w:sz="4" w:space="0" w:color="auto"/>
            </w:tcBorders>
            <w:noWrap/>
            <w:hideMark/>
          </w:tcPr>
          <w:p w14:paraId="0989909C" w14:textId="77777777" w:rsidR="009968E0" w:rsidRPr="009968E0" w:rsidRDefault="009968E0" w:rsidP="009968E0">
            <w:pPr>
              <w:rPr>
                <w:rFonts w:ascii="Calibri" w:eastAsia="Times New Roman" w:hAnsi="Calibri" w:cs="Calibri"/>
                <w:i/>
                <w:iCs/>
                <w:sz w:val="22"/>
                <w:szCs w:val="22"/>
                <w:lang w:eastAsia="en-GB"/>
              </w:rPr>
            </w:pPr>
          </w:p>
        </w:tc>
        <w:tc>
          <w:tcPr>
            <w:tcW w:w="1701" w:type="dxa"/>
            <w:noWrap/>
            <w:hideMark/>
          </w:tcPr>
          <w:p w14:paraId="7D7D72E8"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Mean</w:t>
            </w:r>
          </w:p>
        </w:tc>
        <w:tc>
          <w:tcPr>
            <w:tcW w:w="1276" w:type="dxa"/>
            <w:noWrap/>
            <w:hideMark/>
          </w:tcPr>
          <w:p w14:paraId="50AE1E00"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7.4</w:t>
            </w:r>
          </w:p>
        </w:tc>
        <w:tc>
          <w:tcPr>
            <w:tcW w:w="1134" w:type="dxa"/>
            <w:noWrap/>
            <w:hideMark/>
          </w:tcPr>
          <w:p w14:paraId="42C1B93F"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6.8</w:t>
            </w:r>
          </w:p>
        </w:tc>
        <w:tc>
          <w:tcPr>
            <w:tcW w:w="992" w:type="dxa"/>
            <w:noWrap/>
            <w:hideMark/>
          </w:tcPr>
          <w:p w14:paraId="1CEC7829"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7.1</w:t>
            </w:r>
          </w:p>
        </w:tc>
        <w:tc>
          <w:tcPr>
            <w:tcW w:w="1134" w:type="dxa"/>
            <w:noWrap/>
            <w:hideMark/>
          </w:tcPr>
          <w:p w14:paraId="36CA814E"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7.5</w:t>
            </w:r>
          </w:p>
        </w:tc>
        <w:tc>
          <w:tcPr>
            <w:tcW w:w="1276" w:type="dxa"/>
            <w:tcBorders>
              <w:right w:val="single" w:sz="4" w:space="0" w:color="auto"/>
            </w:tcBorders>
            <w:noWrap/>
            <w:hideMark/>
          </w:tcPr>
          <w:p w14:paraId="11CF60F6"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6.8</w:t>
            </w:r>
          </w:p>
        </w:tc>
      </w:tr>
      <w:tr w:rsidR="009968E0" w:rsidRPr="009968E0" w14:paraId="3B150210" w14:textId="77777777" w:rsidTr="003A493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71" w:type="dxa"/>
            <w:vMerge/>
            <w:tcBorders>
              <w:left w:val="single" w:sz="4" w:space="0" w:color="auto"/>
            </w:tcBorders>
            <w:noWrap/>
            <w:hideMark/>
          </w:tcPr>
          <w:p w14:paraId="0B977349" w14:textId="77777777" w:rsidR="009968E0" w:rsidRPr="009968E0" w:rsidRDefault="009968E0" w:rsidP="009968E0">
            <w:pPr>
              <w:rPr>
                <w:rFonts w:ascii="Calibri" w:eastAsia="Times New Roman" w:hAnsi="Calibri" w:cs="Calibri"/>
                <w:i/>
                <w:iCs/>
                <w:sz w:val="22"/>
                <w:szCs w:val="22"/>
                <w:lang w:eastAsia="en-GB"/>
              </w:rPr>
            </w:pPr>
          </w:p>
        </w:tc>
        <w:tc>
          <w:tcPr>
            <w:tcW w:w="1701" w:type="dxa"/>
            <w:noWrap/>
            <w:hideMark/>
          </w:tcPr>
          <w:p w14:paraId="4C2E66A6"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Std. Deviation</w:t>
            </w:r>
          </w:p>
        </w:tc>
        <w:tc>
          <w:tcPr>
            <w:tcW w:w="1276" w:type="dxa"/>
            <w:noWrap/>
            <w:hideMark/>
          </w:tcPr>
          <w:p w14:paraId="2B24D1D0"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1.8</w:t>
            </w:r>
          </w:p>
        </w:tc>
        <w:tc>
          <w:tcPr>
            <w:tcW w:w="1134" w:type="dxa"/>
            <w:noWrap/>
            <w:hideMark/>
          </w:tcPr>
          <w:p w14:paraId="3E91D46E"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1.8</w:t>
            </w:r>
          </w:p>
        </w:tc>
        <w:tc>
          <w:tcPr>
            <w:tcW w:w="992" w:type="dxa"/>
            <w:noWrap/>
            <w:hideMark/>
          </w:tcPr>
          <w:p w14:paraId="7B8F5ED1"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1.6</w:t>
            </w:r>
          </w:p>
        </w:tc>
        <w:tc>
          <w:tcPr>
            <w:tcW w:w="1134" w:type="dxa"/>
            <w:noWrap/>
            <w:hideMark/>
          </w:tcPr>
          <w:p w14:paraId="4635767B"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0.9</w:t>
            </w:r>
          </w:p>
        </w:tc>
        <w:tc>
          <w:tcPr>
            <w:tcW w:w="1276" w:type="dxa"/>
            <w:tcBorders>
              <w:right w:val="single" w:sz="4" w:space="0" w:color="auto"/>
            </w:tcBorders>
            <w:noWrap/>
            <w:hideMark/>
          </w:tcPr>
          <w:p w14:paraId="0C0F1E95"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1.2</w:t>
            </w:r>
          </w:p>
        </w:tc>
      </w:tr>
      <w:tr w:rsidR="009968E0" w:rsidRPr="009968E0" w14:paraId="136A76BA" w14:textId="77777777" w:rsidTr="003A4934">
        <w:trPr>
          <w:trHeight w:val="320"/>
        </w:trPr>
        <w:tc>
          <w:tcPr>
            <w:cnfStyle w:val="001000000000" w:firstRow="0" w:lastRow="0" w:firstColumn="1" w:lastColumn="0" w:oddVBand="0" w:evenVBand="0" w:oddHBand="0" w:evenHBand="0" w:firstRowFirstColumn="0" w:firstRowLastColumn="0" w:lastRowFirstColumn="0" w:lastRowLastColumn="0"/>
            <w:tcW w:w="8784" w:type="dxa"/>
            <w:gridSpan w:val="7"/>
            <w:tcBorders>
              <w:left w:val="single" w:sz="4" w:space="0" w:color="auto"/>
              <w:right w:val="single" w:sz="4" w:space="0" w:color="auto"/>
            </w:tcBorders>
            <w:noWrap/>
          </w:tcPr>
          <w:p w14:paraId="2FFCE1AD" w14:textId="77777777" w:rsidR="009968E0" w:rsidRPr="009968E0" w:rsidRDefault="009968E0" w:rsidP="009968E0">
            <w:pPr>
              <w:jc w:val="cente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p=.705</w:t>
            </w:r>
          </w:p>
        </w:tc>
      </w:tr>
      <w:tr w:rsidR="009968E0" w:rsidRPr="009968E0" w14:paraId="2B256B7F" w14:textId="77777777" w:rsidTr="003A493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71" w:type="dxa"/>
            <w:vMerge w:val="restart"/>
            <w:tcBorders>
              <w:left w:val="single" w:sz="4" w:space="0" w:color="auto"/>
            </w:tcBorders>
            <w:noWrap/>
            <w:hideMark/>
          </w:tcPr>
          <w:p w14:paraId="76597EFB"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Scan temp.</w:t>
            </w:r>
          </w:p>
        </w:tc>
        <w:tc>
          <w:tcPr>
            <w:tcW w:w="1701" w:type="dxa"/>
            <w:noWrap/>
            <w:hideMark/>
          </w:tcPr>
          <w:p w14:paraId="626952FA"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N</w:t>
            </w:r>
          </w:p>
        </w:tc>
        <w:tc>
          <w:tcPr>
            <w:tcW w:w="1276" w:type="dxa"/>
            <w:noWrap/>
            <w:hideMark/>
          </w:tcPr>
          <w:p w14:paraId="7DA11AF5"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10</w:t>
            </w:r>
          </w:p>
        </w:tc>
        <w:tc>
          <w:tcPr>
            <w:tcW w:w="1134" w:type="dxa"/>
            <w:noWrap/>
            <w:hideMark/>
          </w:tcPr>
          <w:p w14:paraId="2894168D"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w:t>
            </w:r>
          </w:p>
        </w:tc>
        <w:tc>
          <w:tcPr>
            <w:tcW w:w="992" w:type="dxa"/>
            <w:noWrap/>
            <w:hideMark/>
          </w:tcPr>
          <w:p w14:paraId="5431E847"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23</w:t>
            </w:r>
          </w:p>
        </w:tc>
        <w:tc>
          <w:tcPr>
            <w:tcW w:w="1134" w:type="dxa"/>
            <w:noWrap/>
            <w:hideMark/>
          </w:tcPr>
          <w:p w14:paraId="19A8C975"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w:t>
            </w:r>
          </w:p>
        </w:tc>
        <w:tc>
          <w:tcPr>
            <w:tcW w:w="1276" w:type="dxa"/>
            <w:tcBorders>
              <w:right w:val="single" w:sz="4" w:space="0" w:color="auto"/>
            </w:tcBorders>
            <w:noWrap/>
            <w:hideMark/>
          </w:tcPr>
          <w:p w14:paraId="7B4542ED"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19</w:t>
            </w:r>
          </w:p>
        </w:tc>
      </w:tr>
      <w:tr w:rsidR="009968E0" w:rsidRPr="009968E0" w14:paraId="03B05A0D" w14:textId="77777777" w:rsidTr="003A4934">
        <w:trPr>
          <w:trHeight w:val="320"/>
        </w:trPr>
        <w:tc>
          <w:tcPr>
            <w:cnfStyle w:val="001000000000" w:firstRow="0" w:lastRow="0" w:firstColumn="1" w:lastColumn="0" w:oddVBand="0" w:evenVBand="0" w:oddHBand="0" w:evenHBand="0" w:firstRowFirstColumn="0" w:firstRowLastColumn="0" w:lastRowFirstColumn="0" w:lastRowLastColumn="0"/>
            <w:tcW w:w="1271" w:type="dxa"/>
            <w:vMerge/>
            <w:tcBorders>
              <w:left w:val="single" w:sz="4" w:space="0" w:color="auto"/>
            </w:tcBorders>
            <w:noWrap/>
            <w:hideMark/>
          </w:tcPr>
          <w:p w14:paraId="5599A21B" w14:textId="77777777" w:rsidR="009968E0" w:rsidRPr="009968E0" w:rsidRDefault="009968E0" w:rsidP="009968E0">
            <w:pPr>
              <w:rPr>
                <w:rFonts w:ascii="Calibri" w:eastAsia="Times New Roman" w:hAnsi="Calibri" w:cs="Calibri"/>
                <w:i/>
                <w:iCs/>
                <w:sz w:val="22"/>
                <w:szCs w:val="22"/>
                <w:lang w:eastAsia="en-GB"/>
              </w:rPr>
            </w:pPr>
          </w:p>
        </w:tc>
        <w:tc>
          <w:tcPr>
            <w:tcW w:w="1701" w:type="dxa"/>
            <w:noWrap/>
            <w:hideMark/>
          </w:tcPr>
          <w:p w14:paraId="01ECBDC7"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Mean</w:t>
            </w:r>
          </w:p>
        </w:tc>
        <w:tc>
          <w:tcPr>
            <w:tcW w:w="1276" w:type="dxa"/>
            <w:noWrap/>
            <w:hideMark/>
          </w:tcPr>
          <w:p w14:paraId="72393835"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45.4</w:t>
            </w:r>
          </w:p>
        </w:tc>
        <w:tc>
          <w:tcPr>
            <w:tcW w:w="1134" w:type="dxa"/>
            <w:noWrap/>
            <w:hideMark/>
          </w:tcPr>
          <w:p w14:paraId="182E3CF3"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46.2</w:t>
            </w:r>
          </w:p>
        </w:tc>
        <w:tc>
          <w:tcPr>
            <w:tcW w:w="992" w:type="dxa"/>
            <w:noWrap/>
            <w:hideMark/>
          </w:tcPr>
          <w:p w14:paraId="40E4EBDA"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45.4</w:t>
            </w:r>
          </w:p>
        </w:tc>
        <w:tc>
          <w:tcPr>
            <w:tcW w:w="1134" w:type="dxa"/>
            <w:noWrap/>
            <w:hideMark/>
          </w:tcPr>
          <w:p w14:paraId="2938DF2A"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45.5</w:t>
            </w:r>
          </w:p>
        </w:tc>
        <w:tc>
          <w:tcPr>
            <w:tcW w:w="1276" w:type="dxa"/>
            <w:tcBorders>
              <w:right w:val="single" w:sz="4" w:space="0" w:color="auto"/>
            </w:tcBorders>
            <w:noWrap/>
            <w:hideMark/>
          </w:tcPr>
          <w:p w14:paraId="05D6275A"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46</w:t>
            </w:r>
          </w:p>
        </w:tc>
      </w:tr>
      <w:tr w:rsidR="009968E0" w:rsidRPr="009968E0" w14:paraId="25BBC421" w14:textId="77777777" w:rsidTr="003A493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71" w:type="dxa"/>
            <w:vMerge/>
            <w:tcBorders>
              <w:left w:val="single" w:sz="4" w:space="0" w:color="auto"/>
            </w:tcBorders>
            <w:noWrap/>
            <w:hideMark/>
          </w:tcPr>
          <w:p w14:paraId="1F7B5A99" w14:textId="77777777" w:rsidR="009968E0" w:rsidRPr="009968E0" w:rsidRDefault="009968E0" w:rsidP="009968E0">
            <w:pPr>
              <w:rPr>
                <w:rFonts w:ascii="Calibri" w:eastAsia="Times New Roman" w:hAnsi="Calibri" w:cs="Calibri"/>
                <w:i/>
                <w:iCs/>
                <w:sz w:val="22"/>
                <w:szCs w:val="22"/>
                <w:lang w:eastAsia="en-GB"/>
              </w:rPr>
            </w:pPr>
          </w:p>
        </w:tc>
        <w:tc>
          <w:tcPr>
            <w:tcW w:w="1701" w:type="dxa"/>
            <w:noWrap/>
            <w:hideMark/>
          </w:tcPr>
          <w:p w14:paraId="5A4F6A0F"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Std. Deviation</w:t>
            </w:r>
          </w:p>
        </w:tc>
        <w:tc>
          <w:tcPr>
            <w:tcW w:w="1276" w:type="dxa"/>
            <w:noWrap/>
            <w:hideMark/>
          </w:tcPr>
          <w:p w14:paraId="33A4B06B"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1.2</w:t>
            </w:r>
          </w:p>
        </w:tc>
        <w:tc>
          <w:tcPr>
            <w:tcW w:w="1134" w:type="dxa"/>
            <w:noWrap/>
            <w:hideMark/>
          </w:tcPr>
          <w:p w14:paraId="5010D316"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0.4</w:t>
            </w:r>
          </w:p>
        </w:tc>
        <w:tc>
          <w:tcPr>
            <w:tcW w:w="992" w:type="dxa"/>
            <w:noWrap/>
            <w:hideMark/>
          </w:tcPr>
          <w:p w14:paraId="307EC125"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1.4</w:t>
            </w:r>
          </w:p>
        </w:tc>
        <w:tc>
          <w:tcPr>
            <w:tcW w:w="1134" w:type="dxa"/>
            <w:noWrap/>
            <w:hideMark/>
          </w:tcPr>
          <w:p w14:paraId="09C46D3B"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1.2</w:t>
            </w:r>
          </w:p>
        </w:tc>
        <w:tc>
          <w:tcPr>
            <w:tcW w:w="1276" w:type="dxa"/>
            <w:tcBorders>
              <w:right w:val="single" w:sz="4" w:space="0" w:color="auto"/>
            </w:tcBorders>
            <w:noWrap/>
            <w:hideMark/>
          </w:tcPr>
          <w:p w14:paraId="4F9F1A2B"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0.8</w:t>
            </w:r>
          </w:p>
        </w:tc>
      </w:tr>
      <w:tr w:rsidR="009968E0" w:rsidRPr="009968E0" w14:paraId="10A13CCB" w14:textId="77777777" w:rsidTr="003A4934">
        <w:trPr>
          <w:trHeight w:val="320"/>
        </w:trPr>
        <w:tc>
          <w:tcPr>
            <w:cnfStyle w:val="001000000000" w:firstRow="0" w:lastRow="0" w:firstColumn="1" w:lastColumn="0" w:oddVBand="0" w:evenVBand="0" w:oddHBand="0" w:evenHBand="0" w:firstRowFirstColumn="0" w:firstRowLastColumn="0" w:lastRowFirstColumn="0" w:lastRowLastColumn="0"/>
            <w:tcW w:w="8784" w:type="dxa"/>
            <w:gridSpan w:val="7"/>
            <w:tcBorders>
              <w:left w:val="single" w:sz="4" w:space="0" w:color="auto"/>
              <w:bottom w:val="single" w:sz="4" w:space="0" w:color="auto"/>
              <w:right w:val="single" w:sz="4" w:space="0" w:color="auto"/>
            </w:tcBorders>
            <w:noWrap/>
            <w:vAlign w:val="center"/>
          </w:tcPr>
          <w:p w14:paraId="2F5FFE08" w14:textId="77777777" w:rsidR="009968E0" w:rsidRPr="009968E0" w:rsidRDefault="009968E0" w:rsidP="009968E0">
            <w:pPr>
              <w:jc w:val="cente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p=.156</w:t>
            </w:r>
          </w:p>
        </w:tc>
      </w:tr>
    </w:tbl>
    <w:p w14:paraId="14A600F4" w14:textId="77777777" w:rsidR="009968E0" w:rsidRPr="009968E0" w:rsidRDefault="009968E0" w:rsidP="009968E0">
      <w:pPr>
        <w:rPr>
          <w:rFonts w:ascii="Times New Roman" w:eastAsia="Times New Roman" w:hAnsi="Times New Roman" w:cs="Times New Roman"/>
          <w:lang w:eastAsia="en-GB"/>
        </w:rPr>
      </w:pPr>
    </w:p>
    <w:p w14:paraId="3F7F55E0" w14:textId="77777777" w:rsidR="009968E0" w:rsidRPr="009968E0" w:rsidRDefault="009968E0" w:rsidP="009968E0">
      <w:pPr>
        <w:rPr>
          <w:rFonts w:ascii="Times New Roman" w:eastAsia="Times New Roman" w:hAnsi="Times New Roman" w:cs="Times New Roman"/>
          <w:lang w:eastAsia="en-GB"/>
        </w:rPr>
      </w:pPr>
    </w:p>
    <w:p w14:paraId="259D3685" w14:textId="77777777" w:rsidR="009968E0" w:rsidRPr="009968E0" w:rsidRDefault="009968E0" w:rsidP="007D16C6">
      <w:pPr>
        <w:pStyle w:val="Quote"/>
      </w:pPr>
      <w:bookmarkStart w:id="767" w:name="_Toc49273396"/>
      <w:bookmarkStart w:id="768" w:name="_Toc64724148"/>
      <w:r w:rsidRPr="009968E0">
        <w:t>Table D.41: Depression does not explain magnitude or direction of Delta TTP: ANOVA for depression scores of the groups including the subgroups P+ and P- of the P-DPN group adjusted for BDI score</w:t>
      </w:r>
      <w:bookmarkEnd w:id="767"/>
      <w:bookmarkEnd w:id="768"/>
    </w:p>
    <w:tbl>
      <w:tblPr>
        <w:tblStyle w:val="GridTable2-Accent212"/>
        <w:tblW w:w="0" w:type="auto"/>
        <w:tblLook w:val="04A0" w:firstRow="1" w:lastRow="0" w:firstColumn="1" w:lastColumn="0" w:noHBand="0" w:noVBand="1"/>
      </w:tblPr>
      <w:tblGrid>
        <w:gridCol w:w="3152"/>
        <w:gridCol w:w="1956"/>
        <w:gridCol w:w="1956"/>
        <w:gridCol w:w="1956"/>
      </w:tblGrid>
      <w:tr w:rsidR="009968E0" w:rsidRPr="009968E0" w14:paraId="2FE91CA5" w14:textId="77777777" w:rsidTr="009968E0">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259" w:type="dxa"/>
            <w:noWrap/>
          </w:tcPr>
          <w:p w14:paraId="1B41403F"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lastRenderedPageBreak/>
              <w:t>Dependent variable</w:t>
            </w:r>
          </w:p>
        </w:tc>
        <w:tc>
          <w:tcPr>
            <w:tcW w:w="2020" w:type="dxa"/>
            <w:noWrap/>
          </w:tcPr>
          <w:p w14:paraId="314A5FA5" w14:textId="77777777" w:rsidR="009968E0" w:rsidRPr="009968E0" w:rsidRDefault="009968E0" w:rsidP="009968E0">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df</w:t>
            </w:r>
          </w:p>
        </w:tc>
        <w:tc>
          <w:tcPr>
            <w:tcW w:w="2020" w:type="dxa"/>
            <w:noWrap/>
          </w:tcPr>
          <w:p w14:paraId="0D43FD9C" w14:textId="77777777" w:rsidR="009968E0" w:rsidRPr="009968E0" w:rsidRDefault="009968E0" w:rsidP="009968E0">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F</w:t>
            </w:r>
          </w:p>
        </w:tc>
        <w:tc>
          <w:tcPr>
            <w:tcW w:w="2020" w:type="dxa"/>
            <w:noWrap/>
          </w:tcPr>
          <w:p w14:paraId="0464F3C9" w14:textId="77777777" w:rsidR="009968E0" w:rsidRPr="009968E0" w:rsidRDefault="009968E0" w:rsidP="009968E0">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significance</w:t>
            </w:r>
          </w:p>
        </w:tc>
      </w:tr>
      <w:tr w:rsidR="009968E0" w:rsidRPr="009968E0" w14:paraId="5AFACDA6"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259" w:type="dxa"/>
            <w:noWrap/>
            <w:hideMark/>
          </w:tcPr>
          <w:p w14:paraId="1CFCA961" w14:textId="45021882" w:rsidR="009968E0" w:rsidRPr="009968E0" w:rsidRDefault="009968E0" w:rsidP="009968E0">
            <w:pPr>
              <w:rPr>
                <w:rFonts w:ascii="Calibri" w:eastAsia="Times New Roman" w:hAnsi="Calibri" w:cs="Calibri"/>
                <w:i/>
                <w:iCs/>
                <w:sz w:val="22"/>
                <w:szCs w:val="22"/>
                <w:lang w:eastAsia="en-GB"/>
              </w:rPr>
            </w:pPr>
            <w:proofErr w:type="spellStart"/>
            <w:r w:rsidRPr="009968E0">
              <w:rPr>
                <w:rFonts w:ascii="Calibri" w:eastAsia="Times New Roman" w:hAnsi="Calibri" w:cs="Calibri"/>
                <w:i/>
                <w:iCs/>
                <w:sz w:val="22"/>
                <w:szCs w:val="22"/>
                <w:lang w:eastAsia="en-GB"/>
              </w:rPr>
              <w:t>Delta_TTP_</w:t>
            </w:r>
            <w:r w:rsidR="00264184">
              <w:rPr>
                <w:rFonts w:ascii="Calibri" w:eastAsia="Times New Roman" w:hAnsi="Calibri" w:cs="Calibri"/>
                <w:i/>
                <w:iCs/>
                <w:sz w:val="22"/>
                <w:szCs w:val="22"/>
                <w:lang w:eastAsia="en-GB"/>
              </w:rPr>
              <w:t>LThal</w:t>
            </w:r>
            <w:proofErr w:type="spellEnd"/>
          </w:p>
        </w:tc>
        <w:tc>
          <w:tcPr>
            <w:tcW w:w="2020" w:type="dxa"/>
            <w:noWrap/>
            <w:hideMark/>
          </w:tcPr>
          <w:p w14:paraId="23FAB400"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4,64</w:t>
            </w:r>
          </w:p>
        </w:tc>
        <w:tc>
          <w:tcPr>
            <w:tcW w:w="2020" w:type="dxa"/>
            <w:noWrap/>
            <w:hideMark/>
          </w:tcPr>
          <w:p w14:paraId="63D81B98"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1.101</w:t>
            </w:r>
          </w:p>
        </w:tc>
        <w:tc>
          <w:tcPr>
            <w:tcW w:w="2020" w:type="dxa"/>
            <w:noWrap/>
            <w:hideMark/>
          </w:tcPr>
          <w:p w14:paraId="74A78DE0"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0.364</w:t>
            </w:r>
          </w:p>
        </w:tc>
      </w:tr>
      <w:tr w:rsidR="009968E0" w:rsidRPr="009968E0" w14:paraId="2146E730"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3259" w:type="dxa"/>
            <w:noWrap/>
            <w:hideMark/>
          </w:tcPr>
          <w:p w14:paraId="62B03C22" w14:textId="558389A8" w:rsidR="009968E0" w:rsidRPr="009968E0" w:rsidRDefault="009968E0" w:rsidP="009968E0">
            <w:pPr>
              <w:rPr>
                <w:rFonts w:ascii="Calibri" w:eastAsia="Times New Roman" w:hAnsi="Calibri" w:cs="Calibri"/>
                <w:i/>
                <w:iCs/>
                <w:sz w:val="22"/>
                <w:szCs w:val="22"/>
                <w:lang w:eastAsia="en-GB"/>
              </w:rPr>
            </w:pPr>
            <w:proofErr w:type="spellStart"/>
            <w:r w:rsidRPr="009968E0">
              <w:rPr>
                <w:rFonts w:ascii="Calibri" w:eastAsia="Times New Roman" w:hAnsi="Calibri" w:cs="Calibri"/>
                <w:i/>
                <w:iCs/>
                <w:sz w:val="22"/>
                <w:szCs w:val="22"/>
                <w:lang w:eastAsia="en-GB"/>
              </w:rPr>
              <w:t>Delta_TTP_</w:t>
            </w:r>
            <w:r w:rsidR="00264184">
              <w:rPr>
                <w:rFonts w:ascii="Calibri" w:eastAsia="Times New Roman" w:hAnsi="Calibri" w:cs="Calibri"/>
                <w:i/>
                <w:iCs/>
                <w:sz w:val="22"/>
                <w:szCs w:val="22"/>
                <w:lang w:eastAsia="en-GB"/>
              </w:rPr>
              <w:t>RThal</w:t>
            </w:r>
            <w:proofErr w:type="spellEnd"/>
          </w:p>
        </w:tc>
        <w:tc>
          <w:tcPr>
            <w:tcW w:w="2020" w:type="dxa"/>
            <w:noWrap/>
            <w:hideMark/>
          </w:tcPr>
          <w:p w14:paraId="1DFFD499"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4,64</w:t>
            </w:r>
          </w:p>
        </w:tc>
        <w:tc>
          <w:tcPr>
            <w:tcW w:w="2020" w:type="dxa"/>
            <w:noWrap/>
            <w:hideMark/>
          </w:tcPr>
          <w:p w14:paraId="7A8BA8CD"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1.417</w:t>
            </w:r>
          </w:p>
        </w:tc>
        <w:tc>
          <w:tcPr>
            <w:tcW w:w="2020" w:type="dxa"/>
            <w:noWrap/>
            <w:hideMark/>
          </w:tcPr>
          <w:p w14:paraId="5AD7BBA7"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0.239</w:t>
            </w:r>
          </w:p>
        </w:tc>
      </w:tr>
      <w:tr w:rsidR="009968E0" w:rsidRPr="009968E0" w14:paraId="16E41ECC"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259" w:type="dxa"/>
            <w:noWrap/>
            <w:hideMark/>
          </w:tcPr>
          <w:p w14:paraId="381FD708" w14:textId="6B6E4FAE" w:rsidR="009968E0" w:rsidRPr="009968E0" w:rsidRDefault="009968E0" w:rsidP="009968E0">
            <w:pPr>
              <w:rPr>
                <w:rFonts w:ascii="Calibri" w:eastAsia="Times New Roman" w:hAnsi="Calibri" w:cs="Calibri"/>
                <w:i/>
                <w:iCs/>
                <w:sz w:val="22"/>
                <w:szCs w:val="22"/>
                <w:lang w:eastAsia="en-GB"/>
              </w:rPr>
            </w:pPr>
            <w:proofErr w:type="spellStart"/>
            <w:r w:rsidRPr="009968E0">
              <w:rPr>
                <w:rFonts w:ascii="Calibri" w:eastAsia="Times New Roman" w:hAnsi="Calibri" w:cs="Calibri"/>
                <w:i/>
                <w:iCs/>
                <w:sz w:val="22"/>
                <w:szCs w:val="22"/>
                <w:lang w:eastAsia="en-GB"/>
              </w:rPr>
              <w:t>Delta_TTP_</w:t>
            </w:r>
            <w:r w:rsidR="0068219A">
              <w:rPr>
                <w:rFonts w:ascii="Calibri" w:eastAsia="Times New Roman" w:hAnsi="Calibri" w:cs="Calibri"/>
                <w:i/>
                <w:iCs/>
                <w:sz w:val="22"/>
                <w:szCs w:val="22"/>
                <w:lang w:eastAsia="en-GB"/>
              </w:rPr>
              <w:t>LINS</w:t>
            </w:r>
            <w:proofErr w:type="spellEnd"/>
          </w:p>
        </w:tc>
        <w:tc>
          <w:tcPr>
            <w:tcW w:w="2020" w:type="dxa"/>
            <w:noWrap/>
            <w:hideMark/>
          </w:tcPr>
          <w:p w14:paraId="38892965"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4,64</w:t>
            </w:r>
          </w:p>
        </w:tc>
        <w:tc>
          <w:tcPr>
            <w:tcW w:w="2020" w:type="dxa"/>
            <w:noWrap/>
            <w:hideMark/>
          </w:tcPr>
          <w:p w14:paraId="0105D938"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0.96</w:t>
            </w:r>
          </w:p>
        </w:tc>
        <w:tc>
          <w:tcPr>
            <w:tcW w:w="2020" w:type="dxa"/>
            <w:noWrap/>
            <w:hideMark/>
          </w:tcPr>
          <w:p w14:paraId="586ADE6F"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0.436</w:t>
            </w:r>
          </w:p>
        </w:tc>
      </w:tr>
      <w:tr w:rsidR="009968E0" w:rsidRPr="009968E0" w14:paraId="365962A1"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3259" w:type="dxa"/>
            <w:noWrap/>
            <w:hideMark/>
          </w:tcPr>
          <w:p w14:paraId="487E2837" w14:textId="11A7CFAD" w:rsidR="009968E0" w:rsidRPr="009968E0" w:rsidRDefault="009968E0" w:rsidP="009968E0">
            <w:pPr>
              <w:rPr>
                <w:rFonts w:ascii="Calibri" w:eastAsia="Times New Roman" w:hAnsi="Calibri" w:cs="Calibri"/>
                <w:i/>
                <w:iCs/>
                <w:sz w:val="22"/>
                <w:szCs w:val="22"/>
                <w:lang w:eastAsia="en-GB"/>
              </w:rPr>
            </w:pPr>
            <w:proofErr w:type="spellStart"/>
            <w:r w:rsidRPr="009968E0">
              <w:rPr>
                <w:rFonts w:ascii="Calibri" w:eastAsia="Times New Roman" w:hAnsi="Calibri" w:cs="Calibri"/>
                <w:i/>
                <w:iCs/>
                <w:sz w:val="22"/>
                <w:szCs w:val="22"/>
                <w:lang w:eastAsia="en-GB"/>
              </w:rPr>
              <w:t>Delta_TTP_</w:t>
            </w:r>
            <w:r w:rsidR="0068219A">
              <w:rPr>
                <w:rFonts w:ascii="Calibri" w:eastAsia="Times New Roman" w:hAnsi="Calibri" w:cs="Calibri"/>
                <w:i/>
                <w:iCs/>
                <w:sz w:val="22"/>
                <w:szCs w:val="22"/>
                <w:lang w:eastAsia="en-GB"/>
              </w:rPr>
              <w:t>RINS</w:t>
            </w:r>
            <w:proofErr w:type="spellEnd"/>
          </w:p>
        </w:tc>
        <w:tc>
          <w:tcPr>
            <w:tcW w:w="2020" w:type="dxa"/>
            <w:noWrap/>
            <w:hideMark/>
          </w:tcPr>
          <w:p w14:paraId="2AD990FC"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4,64</w:t>
            </w:r>
          </w:p>
        </w:tc>
        <w:tc>
          <w:tcPr>
            <w:tcW w:w="2020" w:type="dxa"/>
            <w:noWrap/>
            <w:hideMark/>
          </w:tcPr>
          <w:p w14:paraId="779BE690"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1.225</w:t>
            </w:r>
          </w:p>
        </w:tc>
        <w:tc>
          <w:tcPr>
            <w:tcW w:w="2020" w:type="dxa"/>
            <w:noWrap/>
            <w:hideMark/>
          </w:tcPr>
          <w:p w14:paraId="32E92C68"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0.31</w:t>
            </w:r>
          </w:p>
        </w:tc>
      </w:tr>
      <w:tr w:rsidR="009968E0" w:rsidRPr="009968E0" w14:paraId="6E4FFE6E"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259" w:type="dxa"/>
            <w:noWrap/>
            <w:hideMark/>
          </w:tcPr>
          <w:p w14:paraId="1E2993F4" w14:textId="4EF7B169" w:rsidR="009968E0" w:rsidRPr="009968E0" w:rsidRDefault="009968E0" w:rsidP="009968E0">
            <w:pPr>
              <w:rPr>
                <w:rFonts w:ascii="Calibri" w:eastAsia="Times New Roman" w:hAnsi="Calibri" w:cs="Calibri"/>
                <w:i/>
                <w:iCs/>
                <w:sz w:val="22"/>
                <w:szCs w:val="22"/>
                <w:lang w:eastAsia="en-GB"/>
              </w:rPr>
            </w:pPr>
            <w:proofErr w:type="spellStart"/>
            <w:r w:rsidRPr="009968E0">
              <w:rPr>
                <w:rFonts w:ascii="Calibri" w:eastAsia="Times New Roman" w:hAnsi="Calibri" w:cs="Calibri"/>
                <w:i/>
                <w:iCs/>
                <w:sz w:val="22"/>
                <w:szCs w:val="22"/>
                <w:lang w:eastAsia="en-GB"/>
              </w:rPr>
              <w:t>Delta_TTP_</w:t>
            </w:r>
            <w:r w:rsidR="0068219A">
              <w:rPr>
                <w:rFonts w:ascii="Calibri" w:eastAsia="Times New Roman" w:hAnsi="Calibri" w:cs="Calibri"/>
                <w:i/>
                <w:iCs/>
                <w:sz w:val="22"/>
                <w:szCs w:val="22"/>
                <w:lang w:eastAsia="en-GB"/>
              </w:rPr>
              <w:t>ACC</w:t>
            </w:r>
            <w:proofErr w:type="spellEnd"/>
          </w:p>
        </w:tc>
        <w:tc>
          <w:tcPr>
            <w:tcW w:w="2020" w:type="dxa"/>
            <w:noWrap/>
            <w:hideMark/>
          </w:tcPr>
          <w:p w14:paraId="3C1DCCD6"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4,64</w:t>
            </w:r>
          </w:p>
        </w:tc>
        <w:tc>
          <w:tcPr>
            <w:tcW w:w="2020" w:type="dxa"/>
            <w:noWrap/>
            <w:hideMark/>
          </w:tcPr>
          <w:p w14:paraId="5E47F55F"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0.987</w:t>
            </w:r>
          </w:p>
        </w:tc>
        <w:tc>
          <w:tcPr>
            <w:tcW w:w="2020" w:type="dxa"/>
            <w:noWrap/>
            <w:hideMark/>
          </w:tcPr>
          <w:p w14:paraId="099D303B"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0.422</w:t>
            </w:r>
          </w:p>
        </w:tc>
      </w:tr>
      <w:tr w:rsidR="009968E0" w:rsidRPr="009968E0" w14:paraId="3B1AF385"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3259" w:type="dxa"/>
            <w:noWrap/>
            <w:hideMark/>
          </w:tcPr>
          <w:p w14:paraId="0DE0A83E" w14:textId="21FC612E" w:rsidR="009968E0" w:rsidRPr="009968E0" w:rsidRDefault="009968E0" w:rsidP="009968E0">
            <w:pPr>
              <w:rPr>
                <w:rFonts w:ascii="Calibri" w:eastAsia="Times New Roman" w:hAnsi="Calibri" w:cs="Calibri"/>
                <w:i/>
                <w:iCs/>
                <w:sz w:val="22"/>
                <w:szCs w:val="22"/>
                <w:lang w:eastAsia="en-GB"/>
              </w:rPr>
            </w:pPr>
            <w:proofErr w:type="spellStart"/>
            <w:r w:rsidRPr="009968E0">
              <w:rPr>
                <w:rFonts w:ascii="Calibri" w:eastAsia="Times New Roman" w:hAnsi="Calibri" w:cs="Calibri"/>
                <w:i/>
                <w:iCs/>
                <w:sz w:val="22"/>
                <w:szCs w:val="22"/>
                <w:lang w:eastAsia="en-GB"/>
              </w:rPr>
              <w:t>Delta_TTP_</w:t>
            </w:r>
            <w:r w:rsidR="0068219A">
              <w:rPr>
                <w:rFonts w:ascii="Calibri" w:eastAsia="Times New Roman" w:hAnsi="Calibri" w:cs="Calibri"/>
                <w:i/>
                <w:iCs/>
                <w:sz w:val="22"/>
                <w:szCs w:val="22"/>
                <w:lang w:eastAsia="en-GB"/>
              </w:rPr>
              <w:t>POWM</w:t>
            </w:r>
            <w:proofErr w:type="spellEnd"/>
          </w:p>
        </w:tc>
        <w:tc>
          <w:tcPr>
            <w:tcW w:w="2020" w:type="dxa"/>
            <w:noWrap/>
            <w:hideMark/>
          </w:tcPr>
          <w:p w14:paraId="7EA303BF"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4,64</w:t>
            </w:r>
          </w:p>
        </w:tc>
        <w:tc>
          <w:tcPr>
            <w:tcW w:w="2020" w:type="dxa"/>
            <w:noWrap/>
            <w:hideMark/>
          </w:tcPr>
          <w:p w14:paraId="4ED3C38D"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2.001</w:t>
            </w:r>
          </w:p>
        </w:tc>
        <w:tc>
          <w:tcPr>
            <w:tcW w:w="2020" w:type="dxa"/>
            <w:noWrap/>
            <w:hideMark/>
          </w:tcPr>
          <w:p w14:paraId="2D01DA28"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0.106</w:t>
            </w:r>
          </w:p>
        </w:tc>
      </w:tr>
      <w:tr w:rsidR="009968E0" w:rsidRPr="009968E0" w14:paraId="5ABE9C7D"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259" w:type="dxa"/>
            <w:noWrap/>
            <w:hideMark/>
          </w:tcPr>
          <w:p w14:paraId="13FCF7A2" w14:textId="40F65757" w:rsidR="009968E0" w:rsidRPr="009968E0" w:rsidRDefault="009968E0" w:rsidP="009968E0">
            <w:pPr>
              <w:rPr>
                <w:rFonts w:ascii="Calibri" w:eastAsia="Times New Roman" w:hAnsi="Calibri" w:cs="Calibri"/>
                <w:i/>
                <w:iCs/>
                <w:sz w:val="22"/>
                <w:szCs w:val="22"/>
                <w:lang w:eastAsia="en-GB"/>
              </w:rPr>
            </w:pPr>
            <w:proofErr w:type="spellStart"/>
            <w:r w:rsidRPr="009968E0">
              <w:rPr>
                <w:rFonts w:ascii="Calibri" w:eastAsia="Times New Roman" w:hAnsi="Calibri" w:cs="Calibri"/>
                <w:i/>
                <w:iCs/>
                <w:sz w:val="22"/>
                <w:szCs w:val="22"/>
                <w:lang w:eastAsia="en-GB"/>
              </w:rPr>
              <w:t>Delta_TTP_</w:t>
            </w:r>
            <w:r w:rsidR="0068219A">
              <w:rPr>
                <w:rFonts w:ascii="Calibri" w:eastAsia="Times New Roman" w:hAnsi="Calibri" w:cs="Calibri"/>
                <w:i/>
                <w:iCs/>
                <w:sz w:val="22"/>
                <w:szCs w:val="22"/>
                <w:lang w:eastAsia="en-GB"/>
              </w:rPr>
              <w:t>LPSC</w:t>
            </w:r>
            <w:proofErr w:type="spellEnd"/>
          </w:p>
        </w:tc>
        <w:tc>
          <w:tcPr>
            <w:tcW w:w="2020" w:type="dxa"/>
            <w:noWrap/>
            <w:hideMark/>
          </w:tcPr>
          <w:p w14:paraId="6AB4ABCF"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4,64</w:t>
            </w:r>
          </w:p>
        </w:tc>
        <w:tc>
          <w:tcPr>
            <w:tcW w:w="2020" w:type="dxa"/>
            <w:noWrap/>
            <w:hideMark/>
          </w:tcPr>
          <w:p w14:paraId="3030199D"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1.09</w:t>
            </w:r>
          </w:p>
        </w:tc>
        <w:tc>
          <w:tcPr>
            <w:tcW w:w="2020" w:type="dxa"/>
            <w:noWrap/>
            <w:hideMark/>
          </w:tcPr>
          <w:p w14:paraId="405367B7"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0.37</w:t>
            </w:r>
          </w:p>
        </w:tc>
      </w:tr>
      <w:tr w:rsidR="009968E0" w:rsidRPr="009968E0" w14:paraId="22CDADEF"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3259" w:type="dxa"/>
            <w:noWrap/>
            <w:hideMark/>
          </w:tcPr>
          <w:p w14:paraId="5D864C69" w14:textId="609010F7" w:rsidR="009968E0" w:rsidRPr="009968E0" w:rsidRDefault="009968E0" w:rsidP="009968E0">
            <w:pPr>
              <w:rPr>
                <w:rFonts w:ascii="Calibri" w:eastAsia="Times New Roman" w:hAnsi="Calibri" w:cs="Calibri"/>
                <w:i/>
                <w:iCs/>
                <w:sz w:val="22"/>
                <w:szCs w:val="22"/>
                <w:lang w:eastAsia="en-GB"/>
              </w:rPr>
            </w:pPr>
            <w:proofErr w:type="spellStart"/>
            <w:r w:rsidRPr="009968E0">
              <w:rPr>
                <w:rFonts w:ascii="Calibri" w:eastAsia="Times New Roman" w:hAnsi="Calibri" w:cs="Calibri"/>
                <w:i/>
                <w:iCs/>
                <w:sz w:val="22"/>
                <w:szCs w:val="22"/>
                <w:lang w:eastAsia="en-GB"/>
              </w:rPr>
              <w:t>Delta_TTP_</w:t>
            </w:r>
            <w:r w:rsidR="0068219A">
              <w:rPr>
                <w:rFonts w:ascii="Calibri" w:eastAsia="Times New Roman" w:hAnsi="Calibri" w:cs="Calibri"/>
                <w:i/>
                <w:iCs/>
                <w:sz w:val="22"/>
                <w:szCs w:val="22"/>
                <w:lang w:eastAsia="en-GB"/>
              </w:rPr>
              <w:t>RPSC</w:t>
            </w:r>
            <w:proofErr w:type="spellEnd"/>
          </w:p>
        </w:tc>
        <w:tc>
          <w:tcPr>
            <w:tcW w:w="2020" w:type="dxa"/>
            <w:noWrap/>
            <w:hideMark/>
          </w:tcPr>
          <w:p w14:paraId="042E52A8"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4,64</w:t>
            </w:r>
          </w:p>
        </w:tc>
        <w:tc>
          <w:tcPr>
            <w:tcW w:w="2020" w:type="dxa"/>
            <w:noWrap/>
            <w:hideMark/>
          </w:tcPr>
          <w:p w14:paraId="0025A9D6"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1.457</w:t>
            </w:r>
          </w:p>
        </w:tc>
        <w:tc>
          <w:tcPr>
            <w:tcW w:w="2020" w:type="dxa"/>
            <w:noWrap/>
            <w:hideMark/>
          </w:tcPr>
          <w:p w14:paraId="3FF13010"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0.227</w:t>
            </w:r>
          </w:p>
        </w:tc>
      </w:tr>
      <w:tr w:rsidR="009968E0" w:rsidRPr="009968E0" w14:paraId="6E6F25AD"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9319" w:type="dxa"/>
            <w:gridSpan w:val="4"/>
            <w:noWrap/>
            <w:hideMark/>
          </w:tcPr>
          <w:p w14:paraId="47965CB3"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Covariates appearing in the model are evaluated at the following values: BDI = 9.26.</w:t>
            </w:r>
            <w:r w:rsidRPr="009968E0">
              <w:rPr>
                <w:rFonts w:ascii="Calibri" w:eastAsia="Times New Roman" w:hAnsi="Calibri" w:cs="Calibri"/>
                <w:i/>
                <w:iCs/>
                <w:sz w:val="22"/>
                <w:szCs w:val="22"/>
                <w:vertAlign w:val="subscript"/>
                <w:lang w:eastAsia="en-GB"/>
              </w:rPr>
              <w:t>a</w:t>
            </w:r>
          </w:p>
        </w:tc>
      </w:tr>
    </w:tbl>
    <w:p w14:paraId="39055835" w14:textId="77777777" w:rsidR="009968E0" w:rsidRPr="009968E0" w:rsidRDefault="009968E0" w:rsidP="009968E0">
      <w:pPr>
        <w:rPr>
          <w:rFonts w:ascii="Times New Roman" w:eastAsia="Times New Roman" w:hAnsi="Times New Roman" w:cs="Times New Roman"/>
          <w:i/>
          <w:color w:val="808080"/>
          <w:sz w:val="21"/>
          <w:lang w:eastAsia="en-GB"/>
        </w:rPr>
      </w:pPr>
      <w:r w:rsidRPr="009968E0">
        <w:rPr>
          <w:rFonts w:ascii="Times New Roman" w:eastAsia="Times New Roman" w:hAnsi="Times New Roman" w:cs="Times New Roman"/>
          <w:i/>
          <w:color w:val="808080"/>
          <w:sz w:val="21"/>
          <w:lang w:eastAsia="en-GB"/>
        </w:rPr>
        <w:t>BDI=</w:t>
      </w:r>
      <w:proofErr w:type="gramStart"/>
      <w:r w:rsidRPr="009968E0">
        <w:rPr>
          <w:rFonts w:ascii="Times New Roman" w:eastAsia="Times New Roman" w:hAnsi="Times New Roman" w:cs="Times New Roman"/>
          <w:i/>
          <w:color w:val="808080"/>
          <w:sz w:val="21"/>
          <w:lang w:eastAsia="en-GB"/>
        </w:rPr>
        <w:t>Becks</w:t>
      </w:r>
      <w:proofErr w:type="gramEnd"/>
      <w:r w:rsidRPr="009968E0">
        <w:rPr>
          <w:rFonts w:ascii="Times New Roman" w:eastAsia="Times New Roman" w:hAnsi="Times New Roman" w:cs="Times New Roman"/>
          <w:i/>
          <w:color w:val="808080"/>
          <w:sz w:val="21"/>
          <w:lang w:eastAsia="en-GB"/>
        </w:rPr>
        <w:t xml:space="preserve"> depression inventory</w:t>
      </w:r>
    </w:p>
    <w:p w14:paraId="1D15B48F" w14:textId="77777777" w:rsidR="009968E0" w:rsidRPr="009968E0" w:rsidRDefault="009968E0" w:rsidP="009968E0">
      <w:pPr>
        <w:rPr>
          <w:rFonts w:ascii="Times New Roman" w:eastAsia="Times New Roman" w:hAnsi="Times New Roman" w:cs="Times New Roman"/>
          <w:i/>
          <w:color w:val="808080"/>
          <w:sz w:val="21"/>
          <w:lang w:eastAsia="en-GB"/>
        </w:rPr>
      </w:pPr>
    </w:p>
    <w:p w14:paraId="64BC9A7A" w14:textId="679AEB60" w:rsidR="009968E0" w:rsidRPr="007D16C6" w:rsidRDefault="009968E0" w:rsidP="007D16C6">
      <w:pPr>
        <w:pStyle w:val="Quote"/>
      </w:pPr>
      <w:bookmarkStart w:id="769" w:name="_Toc49273397"/>
      <w:bookmarkStart w:id="770" w:name="_Toc64724149"/>
      <w:bookmarkEnd w:id="650"/>
      <w:r w:rsidRPr="007D16C6">
        <w:t>Table D.42: Depression does not explain magnitude or direction of Delta TTP: ANOVA for Delta TTP comparing subjects with moderate-severe depression to subjects with mild or no depression</w:t>
      </w:r>
      <w:bookmarkEnd w:id="769"/>
      <w:bookmarkEnd w:id="770"/>
    </w:p>
    <w:p w14:paraId="327F33EE" w14:textId="77777777" w:rsidR="009968E0" w:rsidRPr="009968E0" w:rsidRDefault="009968E0" w:rsidP="009968E0">
      <w:pPr>
        <w:rPr>
          <w:rFonts w:ascii="Times New Roman" w:eastAsia="Times New Roman" w:hAnsi="Times New Roman" w:cs="Arial"/>
          <w:lang w:eastAsia="en-GB"/>
        </w:rPr>
      </w:pPr>
    </w:p>
    <w:tbl>
      <w:tblPr>
        <w:tblStyle w:val="GridTable2-Accent212"/>
        <w:tblW w:w="9360" w:type="dxa"/>
        <w:tblLook w:val="04A0" w:firstRow="1" w:lastRow="0" w:firstColumn="1" w:lastColumn="0" w:noHBand="0" w:noVBand="1"/>
      </w:tblPr>
      <w:tblGrid>
        <w:gridCol w:w="3261"/>
        <w:gridCol w:w="2268"/>
        <w:gridCol w:w="1842"/>
        <w:gridCol w:w="1989"/>
      </w:tblGrid>
      <w:tr w:rsidR="009968E0" w:rsidRPr="009968E0" w14:paraId="760C8B4A" w14:textId="77777777" w:rsidTr="009968E0">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261" w:type="dxa"/>
            <w:noWrap/>
          </w:tcPr>
          <w:p w14:paraId="54F803BB"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Dependent variable</w:t>
            </w:r>
          </w:p>
        </w:tc>
        <w:tc>
          <w:tcPr>
            <w:tcW w:w="2268" w:type="dxa"/>
            <w:noWrap/>
          </w:tcPr>
          <w:p w14:paraId="49B407B5" w14:textId="77777777" w:rsidR="009968E0" w:rsidRPr="009968E0" w:rsidRDefault="009968E0" w:rsidP="009968E0">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df</w:t>
            </w:r>
          </w:p>
        </w:tc>
        <w:tc>
          <w:tcPr>
            <w:tcW w:w="1842" w:type="dxa"/>
            <w:noWrap/>
          </w:tcPr>
          <w:p w14:paraId="1A987E60" w14:textId="77777777" w:rsidR="009968E0" w:rsidRPr="009968E0" w:rsidRDefault="009968E0" w:rsidP="009968E0">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F</w:t>
            </w:r>
          </w:p>
        </w:tc>
        <w:tc>
          <w:tcPr>
            <w:tcW w:w="1989" w:type="dxa"/>
            <w:noWrap/>
          </w:tcPr>
          <w:p w14:paraId="6734F79F" w14:textId="77777777" w:rsidR="009968E0" w:rsidRPr="009968E0" w:rsidRDefault="009968E0" w:rsidP="009968E0">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significance</w:t>
            </w:r>
          </w:p>
        </w:tc>
      </w:tr>
      <w:tr w:rsidR="009968E0" w:rsidRPr="009968E0" w14:paraId="6A953575"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261" w:type="dxa"/>
            <w:noWrap/>
          </w:tcPr>
          <w:p w14:paraId="5A4891BD" w14:textId="77777777" w:rsidR="009968E0" w:rsidRPr="009968E0" w:rsidRDefault="009968E0" w:rsidP="009968E0">
            <w:pPr>
              <w:rPr>
                <w:rFonts w:ascii="Calibri" w:eastAsia="Times New Roman" w:hAnsi="Calibri" w:cs="Calibri"/>
                <w:i/>
                <w:iCs/>
                <w:lang w:eastAsia="en-GB"/>
              </w:rPr>
            </w:pPr>
          </w:p>
        </w:tc>
        <w:tc>
          <w:tcPr>
            <w:tcW w:w="2268" w:type="dxa"/>
            <w:noWrap/>
          </w:tcPr>
          <w:p w14:paraId="2D0BE33E"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lang w:eastAsia="en-GB"/>
              </w:rPr>
            </w:pPr>
          </w:p>
        </w:tc>
        <w:tc>
          <w:tcPr>
            <w:tcW w:w="1842" w:type="dxa"/>
            <w:noWrap/>
          </w:tcPr>
          <w:p w14:paraId="3C19845C"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lang w:eastAsia="en-GB"/>
              </w:rPr>
            </w:pPr>
          </w:p>
        </w:tc>
        <w:tc>
          <w:tcPr>
            <w:tcW w:w="1989" w:type="dxa"/>
            <w:noWrap/>
          </w:tcPr>
          <w:p w14:paraId="39F79829"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lang w:eastAsia="en-GB"/>
              </w:rPr>
            </w:pPr>
          </w:p>
        </w:tc>
      </w:tr>
      <w:tr w:rsidR="009968E0" w:rsidRPr="009968E0" w14:paraId="3EAF3FA4"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3261" w:type="dxa"/>
            <w:noWrap/>
            <w:hideMark/>
          </w:tcPr>
          <w:p w14:paraId="7930BE2A" w14:textId="4A988844" w:rsidR="009968E0" w:rsidRPr="009968E0" w:rsidRDefault="009968E0" w:rsidP="009968E0">
            <w:pPr>
              <w:rPr>
                <w:rFonts w:ascii="Calibri" w:eastAsia="Times New Roman" w:hAnsi="Calibri" w:cs="Calibri"/>
                <w:i/>
                <w:iCs/>
                <w:lang w:eastAsia="en-GB"/>
              </w:rPr>
            </w:pPr>
            <w:r w:rsidRPr="009968E0">
              <w:rPr>
                <w:rFonts w:ascii="Calibri" w:eastAsia="Times New Roman" w:hAnsi="Calibri" w:cs="Calibri"/>
                <w:i/>
                <w:iCs/>
                <w:lang w:eastAsia="en-GB"/>
              </w:rPr>
              <w:t xml:space="preserve">Delta </w:t>
            </w:r>
            <w:proofErr w:type="spellStart"/>
            <w:r w:rsidRPr="009968E0">
              <w:rPr>
                <w:rFonts w:ascii="Calibri" w:eastAsia="Times New Roman" w:hAnsi="Calibri" w:cs="Calibri"/>
                <w:i/>
                <w:iCs/>
                <w:lang w:eastAsia="en-GB"/>
              </w:rPr>
              <w:t>TTP_</w:t>
            </w:r>
            <w:r w:rsidR="00264184">
              <w:rPr>
                <w:rFonts w:ascii="Calibri" w:eastAsia="Times New Roman" w:hAnsi="Calibri" w:cs="Calibri"/>
                <w:i/>
                <w:iCs/>
                <w:lang w:eastAsia="en-GB"/>
              </w:rPr>
              <w:t>LThal</w:t>
            </w:r>
            <w:proofErr w:type="spellEnd"/>
          </w:p>
        </w:tc>
        <w:tc>
          <w:tcPr>
            <w:tcW w:w="2268" w:type="dxa"/>
            <w:noWrap/>
            <w:hideMark/>
          </w:tcPr>
          <w:p w14:paraId="5DFC4A57"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lang w:eastAsia="en-GB"/>
              </w:rPr>
            </w:pPr>
            <w:r w:rsidRPr="009968E0">
              <w:rPr>
                <w:rFonts w:ascii="Calibri" w:eastAsia="Times New Roman" w:hAnsi="Calibri" w:cs="Calibri"/>
                <w:i/>
                <w:iCs/>
                <w:lang w:eastAsia="en-GB"/>
              </w:rPr>
              <w:t>1,64</w:t>
            </w:r>
          </w:p>
        </w:tc>
        <w:tc>
          <w:tcPr>
            <w:tcW w:w="1842" w:type="dxa"/>
            <w:noWrap/>
            <w:hideMark/>
          </w:tcPr>
          <w:p w14:paraId="32BCD9D3"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lang w:eastAsia="en-GB"/>
              </w:rPr>
            </w:pPr>
            <w:r w:rsidRPr="009968E0">
              <w:rPr>
                <w:rFonts w:ascii="Calibri" w:eastAsia="Times New Roman" w:hAnsi="Calibri" w:cs="Calibri"/>
                <w:i/>
                <w:iCs/>
                <w:lang w:eastAsia="en-GB"/>
              </w:rPr>
              <w:t>0.467</w:t>
            </w:r>
          </w:p>
        </w:tc>
        <w:tc>
          <w:tcPr>
            <w:tcW w:w="1989" w:type="dxa"/>
            <w:noWrap/>
            <w:hideMark/>
          </w:tcPr>
          <w:p w14:paraId="11FD54EA"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lang w:eastAsia="en-GB"/>
              </w:rPr>
            </w:pPr>
            <w:r w:rsidRPr="009968E0">
              <w:rPr>
                <w:rFonts w:ascii="Calibri" w:eastAsia="Times New Roman" w:hAnsi="Calibri" w:cs="Calibri"/>
                <w:i/>
                <w:iCs/>
                <w:lang w:eastAsia="en-GB"/>
              </w:rPr>
              <w:t>0.497</w:t>
            </w:r>
          </w:p>
        </w:tc>
      </w:tr>
      <w:tr w:rsidR="009968E0" w:rsidRPr="009968E0" w14:paraId="000248D9"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261" w:type="dxa"/>
            <w:noWrap/>
            <w:hideMark/>
          </w:tcPr>
          <w:p w14:paraId="64295DFA" w14:textId="14045D2A" w:rsidR="009968E0" w:rsidRPr="009968E0" w:rsidRDefault="009968E0" w:rsidP="009968E0">
            <w:pPr>
              <w:rPr>
                <w:rFonts w:ascii="Calibri" w:eastAsia="Times New Roman" w:hAnsi="Calibri" w:cs="Calibri"/>
                <w:i/>
                <w:iCs/>
                <w:lang w:eastAsia="en-GB"/>
              </w:rPr>
            </w:pPr>
            <w:r w:rsidRPr="009968E0">
              <w:rPr>
                <w:rFonts w:ascii="Calibri" w:eastAsia="Times New Roman" w:hAnsi="Calibri" w:cs="Calibri"/>
                <w:i/>
                <w:iCs/>
                <w:lang w:eastAsia="en-GB"/>
              </w:rPr>
              <w:t xml:space="preserve">Delta </w:t>
            </w:r>
            <w:proofErr w:type="spellStart"/>
            <w:r w:rsidRPr="009968E0">
              <w:rPr>
                <w:rFonts w:ascii="Calibri" w:eastAsia="Times New Roman" w:hAnsi="Calibri" w:cs="Calibri"/>
                <w:i/>
                <w:iCs/>
                <w:lang w:eastAsia="en-GB"/>
              </w:rPr>
              <w:t>TTP_</w:t>
            </w:r>
            <w:r w:rsidR="00264184">
              <w:rPr>
                <w:rFonts w:ascii="Calibri" w:eastAsia="Times New Roman" w:hAnsi="Calibri" w:cs="Calibri"/>
                <w:i/>
                <w:iCs/>
                <w:lang w:eastAsia="en-GB"/>
              </w:rPr>
              <w:t>RThal</w:t>
            </w:r>
            <w:proofErr w:type="spellEnd"/>
          </w:p>
        </w:tc>
        <w:tc>
          <w:tcPr>
            <w:tcW w:w="2268" w:type="dxa"/>
            <w:noWrap/>
            <w:hideMark/>
          </w:tcPr>
          <w:p w14:paraId="22073323"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lang w:eastAsia="en-GB"/>
              </w:rPr>
            </w:pPr>
            <w:r w:rsidRPr="009968E0">
              <w:rPr>
                <w:rFonts w:ascii="Calibri" w:eastAsia="Times New Roman" w:hAnsi="Calibri" w:cs="Calibri"/>
                <w:i/>
                <w:iCs/>
                <w:lang w:eastAsia="en-GB"/>
              </w:rPr>
              <w:t>1,64</w:t>
            </w:r>
          </w:p>
        </w:tc>
        <w:tc>
          <w:tcPr>
            <w:tcW w:w="1842" w:type="dxa"/>
            <w:noWrap/>
            <w:hideMark/>
          </w:tcPr>
          <w:p w14:paraId="09418E19"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lang w:eastAsia="en-GB"/>
              </w:rPr>
            </w:pPr>
            <w:r w:rsidRPr="009968E0">
              <w:rPr>
                <w:rFonts w:ascii="Calibri" w:eastAsia="Times New Roman" w:hAnsi="Calibri" w:cs="Calibri"/>
                <w:i/>
                <w:iCs/>
                <w:lang w:eastAsia="en-GB"/>
              </w:rPr>
              <w:t>0.292</w:t>
            </w:r>
          </w:p>
        </w:tc>
        <w:tc>
          <w:tcPr>
            <w:tcW w:w="1989" w:type="dxa"/>
            <w:noWrap/>
            <w:hideMark/>
          </w:tcPr>
          <w:p w14:paraId="32F51A64"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lang w:eastAsia="en-GB"/>
              </w:rPr>
            </w:pPr>
            <w:r w:rsidRPr="009968E0">
              <w:rPr>
                <w:rFonts w:ascii="Calibri" w:eastAsia="Times New Roman" w:hAnsi="Calibri" w:cs="Calibri"/>
                <w:i/>
                <w:iCs/>
                <w:lang w:eastAsia="en-GB"/>
              </w:rPr>
              <w:t>0.591</w:t>
            </w:r>
          </w:p>
        </w:tc>
      </w:tr>
      <w:tr w:rsidR="009968E0" w:rsidRPr="009968E0" w14:paraId="2F73A2A3"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3261" w:type="dxa"/>
            <w:noWrap/>
            <w:hideMark/>
          </w:tcPr>
          <w:p w14:paraId="72B14A20" w14:textId="60AC4431" w:rsidR="009968E0" w:rsidRPr="009968E0" w:rsidRDefault="009968E0" w:rsidP="009968E0">
            <w:pPr>
              <w:rPr>
                <w:rFonts w:ascii="Calibri" w:eastAsia="Times New Roman" w:hAnsi="Calibri" w:cs="Calibri"/>
                <w:i/>
                <w:iCs/>
                <w:lang w:eastAsia="en-GB"/>
              </w:rPr>
            </w:pPr>
            <w:r w:rsidRPr="009968E0">
              <w:rPr>
                <w:rFonts w:ascii="Calibri" w:eastAsia="Times New Roman" w:hAnsi="Calibri" w:cs="Calibri"/>
                <w:i/>
                <w:iCs/>
                <w:lang w:eastAsia="en-GB"/>
              </w:rPr>
              <w:t>Delta _TTP_</w:t>
            </w:r>
            <w:r w:rsidR="0068219A">
              <w:rPr>
                <w:rFonts w:ascii="Calibri" w:eastAsia="Times New Roman" w:hAnsi="Calibri" w:cs="Calibri"/>
                <w:i/>
                <w:iCs/>
                <w:lang w:eastAsia="en-GB"/>
              </w:rPr>
              <w:t>LINS</w:t>
            </w:r>
          </w:p>
        </w:tc>
        <w:tc>
          <w:tcPr>
            <w:tcW w:w="2268" w:type="dxa"/>
            <w:noWrap/>
            <w:hideMark/>
          </w:tcPr>
          <w:p w14:paraId="1675AEA8"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lang w:eastAsia="en-GB"/>
              </w:rPr>
            </w:pPr>
            <w:r w:rsidRPr="009968E0">
              <w:rPr>
                <w:rFonts w:ascii="Calibri" w:eastAsia="Times New Roman" w:hAnsi="Calibri" w:cs="Calibri"/>
                <w:i/>
                <w:iCs/>
                <w:lang w:eastAsia="en-GB"/>
              </w:rPr>
              <w:t>1,64</w:t>
            </w:r>
          </w:p>
        </w:tc>
        <w:tc>
          <w:tcPr>
            <w:tcW w:w="1842" w:type="dxa"/>
            <w:noWrap/>
            <w:hideMark/>
          </w:tcPr>
          <w:p w14:paraId="3BBA1C34"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lang w:eastAsia="en-GB"/>
              </w:rPr>
            </w:pPr>
            <w:r w:rsidRPr="009968E0">
              <w:rPr>
                <w:rFonts w:ascii="Calibri" w:eastAsia="Times New Roman" w:hAnsi="Calibri" w:cs="Calibri"/>
                <w:i/>
                <w:iCs/>
                <w:lang w:eastAsia="en-GB"/>
              </w:rPr>
              <w:t>0.481</w:t>
            </w:r>
          </w:p>
        </w:tc>
        <w:tc>
          <w:tcPr>
            <w:tcW w:w="1989" w:type="dxa"/>
            <w:noWrap/>
            <w:hideMark/>
          </w:tcPr>
          <w:p w14:paraId="6DD8C111"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lang w:eastAsia="en-GB"/>
              </w:rPr>
            </w:pPr>
            <w:r w:rsidRPr="009968E0">
              <w:rPr>
                <w:rFonts w:ascii="Calibri" w:eastAsia="Times New Roman" w:hAnsi="Calibri" w:cs="Calibri"/>
                <w:i/>
                <w:iCs/>
                <w:lang w:eastAsia="en-GB"/>
              </w:rPr>
              <w:t>0.49</w:t>
            </w:r>
          </w:p>
        </w:tc>
      </w:tr>
      <w:tr w:rsidR="009968E0" w:rsidRPr="009968E0" w14:paraId="12E0C9E5"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261" w:type="dxa"/>
            <w:noWrap/>
            <w:hideMark/>
          </w:tcPr>
          <w:p w14:paraId="02330BA1" w14:textId="4D3AA36E" w:rsidR="009968E0" w:rsidRPr="009968E0" w:rsidRDefault="009968E0" w:rsidP="009968E0">
            <w:pPr>
              <w:rPr>
                <w:rFonts w:ascii="Calibri" w:eastAsia="Times New Roman" w:hAnsi="Calibri" w:cs="Calibri"/>
                <w:i/>
                <w:iCs/>
                <w:lang w:eastAsia="en-GB"/>
              </w:rPr>
            </w:pPr>
            <w:r w:rsidRPr="009968E0">
              <w:rPr>
                <w:rFonts w:ascii="Calibri" w:eastAsia="Times New Roman" w:hAnsi="Calibri" w:cs="Calibri"/>
                <w:i/>
                <w:iCs/>
                <w:lang w:eastAsia="en-GB"/>
              </w:rPr>
              <w:t>Delta _TTP_</w:t>
            </w:r>
            <w:r w:rsidR="0068219A">
              <w:rPr>
                <w:rFonts w:ascii="Calibri" w:eastAsia="Times New Roman" w:hAnsi="Calibri" w:cs="Calibri"/>
                <w:i/>
                <w:iCs/>
                <w:lang w:eastAsia="en-GB"/>
              </w:rPr>
              <w:t>RINS</w:t>
            </w:r>
          </w:p>
        </w:tc>
        <w:tc>
          <w:tcPr>
            <w:tcW w:w="2268" w:type="dxa"/>
            <w:noWrap/>
            <w:hideMark/>
          </w:tcPr>
          <w:p w14:paraId="7B51CCBE"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lang w:eastAsia="en-GB"/>
              </w:rPr>
            </w:pPr>
            <w:r w:rsidRPr="009968E0">
              <w:rPr>
                <w:rFonts w:ascii="Calibri" w:eastAsia="Times New Roman" w:hAnsi="Calibri" w:cs="Calibri"/>
                <w:i/>
                <w:iCs/>
                <w:lang w:eastAsia="en-GB"/>
              </w:rPr>
              <w:t>1,64</w:t>
            </w:r>
          </w:p>
        </w:tc>
        <w:tc>
          <w:tcPr>
            <w:tcW w:w="1842" w:type="dxa"/>
            <w:noWrap/>
            <w:hideMark/>
          </w:tcPr>
          <w:p w14:paraId="0C288A24"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lang w:eastAsia="en-GB"/>
              </w:rPr>
            </w:pPr>
            <w:r w:rsidRPr="009968E0">
              <w:rPr>
                <w:rFonts w:ascii="Calibri" w:eastAsia="Times New Roman" w:hAnsi="Calibri" w:cs="Calibri"/>
                <w:i/>
                <w:iCs/>
                <w:lang w:eastAsia="en-GB"/>
              </w:rPr>
              <w:t>0.264</w:t>
            </w:r>
          </w:p>
        </w:tc>
        <w:tc>
          <w:tcPr>
            <w:tcW w:w="1989" w:type="dxa"/>
            <w:noWrap/>
            <w:hideMark/>
          </w:tcPr>
          <w:p w14:paraId="0A484DE4"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lang w:eastAsia="en-GB"/>
              </w:rPr>
            </w:pPr>
            <w:r w:rsidRPr="009968E0">
              <w:rPr>
                <w:rFonts w:ascii="Calibri" w:eastAsia="Times New Roman" w:hAnsi="Calibri" w:cs="Calibri"/>
                <w:i/>
                <w:iCs/>
                <w:lang w:eastAsia="en-GB"/>
              </w:rPr>
              <w:t>0.609</w:t>
            </w:r>
          </w:p>
        </w:tc>
      </w:tr>
      <w:tr w:rsidR="009968E0" w:rsidRPr="009968E0" w14:paraId="7B23C7F6"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3261" w:type="dxa"/>
            <w:noWrap/>
            <w:hideMark/>
          </w:tcPr>
          <w:p w14:paraId="54AE1428" w14:textId="6287714F" w:rsidR="009968E0" w:rsidRPr="009968E0" w:rsidRDefault="009968E0" w:rsidP="009968E0">
            <w:pPr>
              <w:rPr>
                <w:rFonts w:ascii="Calibri" w:eastAsia="Times New Roman" w:hAnsi="Calibri" w:cs="Calibri"/>
                <w:i/>
                <w:iCs/>
                <w:lang w:eastAsia="en-GB"/>
              </w:rPr>
            </w:pPr>
            <w:r w:rsidRPr="009968E0">
              <w:rPr>
                <w:rFonts w:ascii="Calibri" w:eastAsia="Times New Roman" w:hAnsi="Calibri" w:cs="Calibri"/>
                <w:i/>
                <w:iCs/>
                <w:lang w:eastAsia="en-GB"/>
              </w:rPr>
              <w:t>Delta _TTP_</w:t>
            </w:r>
            <w:r w:rsidR="0068219A">
              <w:rPr>
                <w:rFonts w:ascii="Calibri" w:eastAsia="Times New Roman" w:hAnsi="Calibri" w:cs="Calibri"/>
                <w:i/>
                <w:iCs/>
                <w:lang w:eastAsia="en-GB"/>
              </w:rPr>
              <w:t>ACC</w:t>
            </w:r>
          </w:p>
        </w:tc>
        <w:tc>
          <w:tcPr>
            <w:tcW w:w="2268" w:type="dxa"/>
            <w:noWrap/>
            <w:hideMark/>
          </w:tcPr>
          <w:p w14:paraId="354824B0"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lang w:eastAsia="en-GB"/>
              </w:rPr>
            </w:pPr>
            <w:r w:rsidRPr="009968E0">
              <w:rPr>
                <w:rFonts w:ascii="Calibri" w:eastAsia="Times New Roman" w:hAnsi="Calibri" w:cs="Calibri"/>
                <w:i/>
                <w:iCs/>
                <w:lang w:eastAsia="en-GB"/>
              </w:rPr>
              <w:t>1,64</w:t>
            </w:r>
          </w:p>
        </w:tc>
        <w:tc>
          <w:tcPr>
            <w:tcW w:w="1842" w:type="dxa"/>
            <w:noWrap/>
            <w:hideMark/>
          </w:tcPr>
          <w:p w14:paraId="2BB44BD4"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lang w:eastAsia="en-GB"/>
              </w:rPr>
            </w:pPr>
            <w:r w:rsidRPr="009968E0">
              <w:rPr>
                <w:rFonts w:ascii="Calibri" w:eastAsia="Times New Roman" w:hAnsi="Calibri" w:cs="Calibri"/>
                <w:i/>
                <w:iCs/>
                <w:lang w:eastAsia="en-GB"/>
              </w:rPr>
              <w:t>0.137</w:t>
            </w:r>
          </w:p>
        </w:tc>
        <w:tc>
          <w:tcPr>
            <w:tcW w:w="1989" w:type="dxa"/>
            <w:noWrap/>
            <w:hideMark/>
          </w:tcPr>
          <w:p w14:paraId="3ECDE054"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lang w:eastAsia="en-GB"/>
              </w:rPr>
            </w:pPr>
            <w:r w:rsidRPr="009968E0">
              <w:rPr>
                <w:rFonts w:ascii="Calibri" w:eastAsia="Times New Roman" w:hAnsi="Calibri" w:cs="Calibri"/>
                <w:i/>
                <w:iCs/>
                <w:lang w:eastAsia="en-GB"/>
              </w:rPr>
              <w:t>0.712</w:t>
            </w:r>
          </w:p>
        </w:tc>
      </w:tr>
      <w:tr w:rsidR="009968E0" w:rsidRPr="009968E0" w14:paraId="3D41C7E0"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261" w:type="dxa"/>
            <w:noWrap/>
            <w:hideMark/>
          </w:tcPr>
          <w:p w14:paraId="26BB1338" w14:textId="0D8DBB74" w:rsidR="009968E0" w:rsidRPr="009968E0" w:rsidRDefault="009968E0" w:rsidP="009968E0">
            <w:pPr>
              <w:rPr>
                <w:rFonts w:ascii="Calibri" w:eastAsia="Times New Roman" w:hAnsi="Calibri" w:cs="Calibri"/>
                <w:i/>
                <w:iCs/>
                <w:lang w:eastAsia="en-GB"/>
              </w:rPr>
            </w:pPr>
            <w:r w:rsidRPr="009968E0">
              <w:rPr>
                <w:rFonts w:ascii="Calibri" w:eastAsia="Times New Roman" w:hAnsi="Calibri" w:cs="Calibri"/>
                <w:i/>
                <w:iCs/>
                <w:lang w:eastAsia="en-GB"/>
              </w:rPr>
              <w:t>Delta _TTP_</w:t>
            </w:r>
            <w:r w:rsidR="0068219A">
              <w:rPr>
                <w:rFonts w:ascii="Calibri" w:eastAsia="Times New Roman" w:hAnsi="Calibri" w:cs="Calibri"/>
                <w:i/>
                <w:iCs/>
                <w:lang w:eastAsia="en-GB"/>
              </w:rPr>
              <w:t>POWM</w:t>
            </w:r>
          </w:p>
        </w:tc>
        <w:tc>
          <w:tcPr>
            <w:tcW w:w="2268" w:type="dxa"/>
            <w:noWrap/>
            <w:hideMark/>
          </w:tcPr>
          <w:p w14:paraId="71DCFFB7"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lang w:eastAsia="en-GB"/>
              </w:rPr>
            </w:pPr>
            <w:r w:rsidRPr="009968E0">
              <w:rPr>
                <w:rFonts w:ascii="Calibri" w:eastAsia="Times New Roman" w:hAnsi="Calibri" w:cs="Calibri"/>
                <w:i/>
                <w:iCs/>
                <w:lang w:eastAsia="en-GB"/>
              </w:rPr>
              <w:t>1,64</w:t>
            </w:r>
          </w:p>
        </w:tc>
        <w:tc>
          <w:tcPr>
            <w:tcW w:w="1842" w:type="dxa"/>
            <w:noWrap/>
            <w:hideMark/>
          </w:tcPr>
          <w:p w14:paraId="464B0E69"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lang w:eastAsia="en-GB"/>
              </w:rPr>
            </w:pPr>
            <w:r w:rsidRPr="009968E0">
              <w:rPr>
                <w:rFonts w:ascii="Calibri" w:eastAsia="Times New Roman" w:hAnsi="Calibri" w:cs="Calibri"/>
                <w:i/>
                <w:iCs/>
                <w:lang w:eastAsia="en-GB"/>
              </w:rPr>
              <w:t>0.749</w:t>
            </w:r>
          </w:p>
        </w:tc>
        <w:tc>
          <w:tcPr>
            <w:tcW w:w="1989" w:type="dxa"/>
            <w:noWrap/>
            <w:hideMark/>
          </w:tcPr>
          <w:p w14:paraId="4874A098"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lang w:eastAsia="en-GB"/>
              </w:rPr>
            </w:pPr>
            <w:r w:rsidRPr="009968E0">
              <w:rPr>
                <w:rFonts w:ascii="Calibri" w:eastAsia="Times New Roman" w:hAnsi="Calibri" w:cs="Calibri"/>
                <w:i/>
                <w:iCs/>
                <w:lang w:eastAsia="en-GB"/>
              </w:rPr>
              <w:t>0.39</w:t>
            </w:r>
          </w:p>
        </w:tc>
      </w:tr>
      <w:tr w:rsidR="009968E0" w:rsidRPr="009968E0" w14:paraId="208E9362"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3261" w:type="dxa"/>
            <w:noWrap/>
            <w:hideMark/>
          </w:tcPr>
          <w:p w14:paraId="1F9DC25B" w14:textId="711B179E" w:rsidR="009968E0" w:rsidRPr="009968E0" w:rsidRDefault="009968E0" w:rsidP="009968E0">
            <w:pPr>
              <w:rPr>
                <w:rFonts w:ascii="Calibri" w:eastAsia="Times New Roman" w:hAnsi="Calibri" w:cs="Calibri"/>
                <w:i/>
                <w:iCs/>
                <w:lang w:eastAsia="en-GB"/>
              </w:rPr>
            </w:pPr>
            <w:r w:rsidRPr="009968E0">
              <w:rPr>
                <w:rFonts w:ascii="Calibri" w:eastAsia="Times New Roman" w:hAnsi="Calibri" w:cs="Calibri"/>
                <w:i/>
                <w:iCs/>
                <w:lang w:eastAsia="en-GB"/>
              </w:rPr>
              <w:t>Delta _TTP_</w:t>
            </w:r>
            <w:r w:rsidR="0068219A">
              <w:rPr>
                <w:rFonts w:ascii="Calibri" w:eastAsia="Times New Roman" w:hAnsi="Calibri" w:cs="Calibri"/>
                <w:i/>
                <w:iCs/>
                <w:lang w:eastAsia="en-GB"/>
              </w:rPr>
              <w:t>LPSC</w:t>
            </w:r>
          </w:p>
        </w:tc>
        <w:tc>
          <w:tcPr>
            <w:tcW w:w="2268" w:type="dxa"/>
            <w:noWrap/>
            <w:hideMark/>
          </w:tcPr>
          <w:p w14:paraId="0235D8B5"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lang w:eastAsia="en-GB"/>
              </w:rPr>
            </w:pPr>
            <w:r w:rsidRPr="009968E0">
              <w:rPr>
                <w:rFonts w:ascii="Calibri" w:eastAsia="Times New Roman" w:hAnsi="Calibri" w:cs="Calibri"/>
                <w:i/>
                <w:iCs/>
                <w:lang w:eastAsia="en-GB"/>
              </w:rPr>
              <w:t>1,64</w:t>
            </w:r>
          </w:p>
        </w:tc>
        <w:tc>
          <w:tcPr>
            <w:tcW w:w="1842" w:type="dxa"/>
            <w:noWrap/>
            <w:hideMark/>
          </w:tcPr>
          <w:p w14:paraId="66C73B58"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lang w:eastAsia="en-GB"/>
              </w:rPr>
            </w:pPr>
            <w:r w:rsidRPr="009968E0">
              <w:rPr>
                <w:rFonts w:ascii="Calibri" w:eastAsia="Times New Roman" w:hAnsi="Calibri" w:cs="Calibri"/>
                <w:i/>
                <w:iCs/>
                <w:lang w:eastAsia="en-GB"/>
              </w:rPr>
              <w:t>0</w:t>
            </w:r>
          </w:p>
        </w:tc>
        <w:tc>
          <w:tcPr>
            <w:tcW w:w="1989" w:type="dxa"/>
            <w:noWrap/>
            <w:hideMark/>
          </w:tcPr>
          <w:p w14:paraId="043C8387"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lang w:eastAsia="en-GB"/>
              </w:rPr>
            </w:pPr>
            <w:r w:rsidRPr="009968E0">
              <w:rPr>
                <w:rFonts w:ascii="Calibri" w:eastAsia="Times New Roman" w:hAnsi="Calibri" w:cs="Calibri"/>
                <w:i/>
                <w:iCs/>
                <w:lang w:eastAsia="en-GB"/>
              </w:rPr>
              <w:t>0.993</w:t>
            </w:r>
          </w:p>
        </w:tc>
      </w:tr>
      <w:tr w:rsidR="009968E0" w:rsidRPr="009968E0" w14:paraId="02A796D4"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261" w:type="dxa"/>
            <w:noWrap/>
            <w:hideMark/>
          </w:tcPr>
          <w:p w14:paraId="18B8D911" w14:textId="718BF7E8" w:rsidR="009968E0" w:rsidRPr="009968E0" w:rsidRDefault="009968E0" w:rsidP="009968E0">
            <w:pPr>
              <w:rPr>
                <w:rFonts w:ascii="Calibri" w:eastAsia="Times New Roman" w:hAnsi="Calibri" w:cs="Calibri"/>
                <w:i/>
                <w:iCs/>
                <w:lang w:eastAsia="en-GB"/>
              </w:rPr>
            </w:pPr>
            <w:r w:rsidRPr="009968E0">
              <w:rPr>
                <w:rFonts w:ascii="Calibri" w:eastAsia="Times New Roman" w:hAnsi="Calibri" w:cs="Calibri"/>
                <w:i/>
                <w:iCs/>
                <w:lang w:eastAsia="en-GB"/>
              </w:rPr>
              <w:t>Delta _TTP_</w:t>
            </w:r>
            <w:r w:rsidR="0068219A">
              <w:rPr>
                <w:rFonts w:ascii="Calibri" w:eastAsia="Times New Roman" w:hAnsi="Calibri" w:cs="Calibri"/>
                <w:i/>
                <w:iCs/>
                <w:lang w:eastAsia="en-GB"/>
              </w:rPr>
              <w:t>RPSC</w:t>
            </w:r>
          </w:p>
        </w:tc>
        <w:tc>
          <w:tcPr>
            <w:tcW w:w="2268" w:type="dxa"/>
            <w:noWrap/>
            <w:hideMark/>
          </w:tcPr>
          <w:p w14:paraId="066C1913"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lang w:eastAsia="en-GB"/>
              </w:rPr>
            </w:pPr>
            <w:r w:rsidRPr="009968E0">
              <w:rPr>
                <w:rFonts w:ascii="Calibri" w:eastAsia="Times New Roman" w:hAnsi="Calibri" w:cs="Calibri"/>
                <w:i/>
                <w:iCs/>
                <w:lang w:eastAsia="en-GB"/>
              </w:rPr>
              <w:t>1,64</w:t>
            </w:r>
          </w:p>
        </w:tc>
        <w:tc>
          <w:tcPr>
            <w:tcW w:w="1842" w:type="dxa"/>
            <w:noWrap/>
            <w:hideMark/>
          </w:tcPr>
          <w:p w14:paraId="7C0AB4B5"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lang w:eastAsia="en-GB"/>
              </w:rPr>
            </w:pPr>
            <w:r w:rsidRPr="009968E0">
              <w:rPr>
                <w:rFonts w:ascii="Calibri" w:eastAsia="Times New Roman" w:hAnsi="Calibri" w:cs="Calibri"/>
                <w:i/>
                <w:iCs/>
                <w:lang w:eastAsia="en-GB"/>
              </w:rPr>
              <w:t>0.132</w:t>
            </w:r>
          </w:p>
        </w:tc>
        <w:tc>
          <w:tcPr>
            <w:tcW w:w="1989" w:type="dxa"/>
            <w:noWrap/>
            <w:hideMark/>
          </w:tcPr>
          <w:p w14:paraId="41C3768B"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lang w:eastAsia="en-GB"/>
              </w:rPr>
            </w:pPr>
            <w:r w:rsidRPr="009968E0">
              <w:rPr>
                <w:rFonts w:ascii="Calibri" w:eastAsia="Times New Roman" w:hAnsi="Calibri" w:cs="Calibri"/>
                <w:i/>
                <w:iCs/>
                <w:lang w:eastAsia="en-GB"/>
              </w:rPr>
              <w:t>0.718</w:t>
            </w:r>
          </w:p>
        </w:tc>
      </w:tr>
      <w:tr w:rsidR="009968E0" w:rsidRPr="009968E0" w14:paraId="6C599BF4"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3261" w:type="dxa"/>
            <w:noWrap/>
            <w:hideMark/>
          </w:tcPr>
          <w:p w14:paraId="7251FECE" w14:textId="3A0821BE" w:rsidR="009968E0" w:rsidRPr="009968E0" w:rsidRDefault="009968E0" w:rsidP="009968E0">
            <w:pPr>
              <w:rPr>
                <w:rFonts w:ascii="Calibri" w:eastAsia="Times New Roman" w:hAnsi="Calibri" w:cs="Calibri"/>
                <w:i/>
                <w:iCs/>
                <w:lang w:eastAsia="en-GB"/>
              </w:rPr>
            </w:pPr>
            <w:r w:rsidRPr="009968E0">
              <w:rPr>
                <w:rFonts w:ascii="Calibri" w:eastAsia="Times New Roman" w:hAnsi="Calibri" w:cs="Calibri"/>
                <w:i/>
                <w:iCs/>
                <w:lang w:eastAsia="en-GB"/>
              </w:rPr>
              <w:t>Delta _RBV_</w:t>
            </w:r>
            <w:r w:rsidR="0068219A">
              <w:rPr>
                <w:rFonts w:ascii="Calibri" w:eastAsia="Times New Roman" w:hAnsi="Calibri" w:cs="Calibri"/>
                <w:i/>
                <w:iCs/>
                <w:lang w:eastAsia="en-GB"/>
              </w:rPr>
              <w:t>POWM</w:t>
            </w:r>
          </w:p>
        </w:tc>
        <w:tc>
          <w:tcPr>
            <w:tcW w:w="2268" w:type="dxa"/>
            <w:noWrap/>
            <w:hideMark/>
          </w:tcPr>
          <w:p w14:paraId="4EA92318"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lang w:eastAsia="en-GB"/>
              </w:rPr>
            </w:pPr>
            <w:r w:rsidRPr="009968E0">
              <w:rPr>
                <w:rFonts w:ascii="Calibri" w:eastAsia="Times New Roman" w:hAnsi="Calibri" w:cs="Calibri"/>
                <w:i/>
                <w:iCs/>
                <w:lang w:eastAsia="en-GB"/>
              </w:rPr>
              <w:t>1,64</w:t>
            </w:r>
          </w:p>
        </w:tc>
        <w:tc>
          <w:tcPr>
            <w:tcW w:w="1842" w:type="dxa"/>
            <w:noWrap/>
            <w:hideMark/>
          </w:tcPr>
          <w:p w14:paraId="49B41CAB"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lang w:eastAsia="en-GB"/>
              </w:rPr>
            </w:pPr>
            <w:r w:rsidRPr="009968E0">
              <w:rPr>
                <w:rFonts w:ascii="Calibri" w:eastAsia="Times New Roman" w:hAnsi="Calibri" w:cs="Calibri"/>
                <w:i/>
                <w:iCs/>
                <w:lang w:eastAsia="en-GB"/>
              </w:rPr>
              <w:t>0.55</w:t>
            </w:r>
          </w:p>
        </w:tc>
        <w:tc>
          <w:tcPr>
            <w:tcW w:w="1989" w:type="dxa"/>
            <w:noWrap/>
            <w:hideMark/>
          </w:tcPr>
          <w:p w14:paraId="1DBCBADE"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lang w:eastAsia="en-GB"/>
              </w:rPr>
            </w:pPr>
            <w:r w:rsidRPr="009968E0">
              <w:rPr>
                <w:rFonts w:ascii="Calibri" w:eastAsia="Times New Roman" w:hAnsi="Calibri" w:cs="Calibri"/>
                <w:i/>
                <w:iCs/>
                <w:lang w:eastAsia="en-GB"/>
              </w:rPr>
              <w:t>0.461</w:t>
            </w:r>
          </w:p>
        </w:tc>
      </w:tr>
      <w:tr w:rsidR="009968E0" w:rsidRPr="009968E0" w14:paraId="3E82885D"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261" w:type="dxa"/>
            <w:noWrap/>
            <w:hideMark/>
          </w:tcPr>
          <w:p w14:paraId="44C0E084" w14:textId="56F433D3" w:rsidR="009968E0" w:rsidRPr="009968E0" w:rsidRDefault="009968E0" w:rsidP="009968E0">
            <w:pPr>
              <w:rPr>
                <w:rFonts w:ascii="Calibri" w:eastAsia="Times New Roman" w:hAnsi="Calibri" w:cs="Calibri"/>
                <w:i/>
                <w:iCs/>
                <w:lang w:eastAsia="en-GB"/>
              </w:rPr>
            </w:pPr>
            <w:r w:rsidRPr="009968E0">
              <w:rPr>
                <w:rFonts w:ascii="Calibri" w:eastAsia="Times New Roman" w:hAnsi="Calibri" w:cs="Calibri"/>
                <w:i/>
                <w:iCs/>
                <w:lang w:eastAsia="en-GB"/>
              </w:rPr>
              <w:t>Delta _RBV_</w:t>
            </w:r>
            <w:r w:rsidR="0068219A">
              <w:rPr>
                <w:rFonts w:ascii="Calibri" w:eastAsia="Times New Roman" w:hAnsi="Calibri" w:cs="Calibri"/>
                <w:i/>
                <w:iCs/>
                <w:lang w:eastAsia="en-GB"/>
              </w:rPr>
              <w:t>RPSC</w:t>
            </w:r>
          </w:p>
        </w:tc>
        <w:tc>
          <w:tcPr>
            <w:tcW w:w="2268" w:type="dxa"/>
            <w:noWrap/>
            <w:hideMark/>
          </w:tcPr>
          <w:p w14:paraId="367211FA"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lang w:eastAsia="en-GB"/>
              </w:rPr>
            </w:pPr>
            <w:r w:rsidRPr="009968E0">
              <w:rPr>
                <w:rFonts w:ascii="Calibri" w:eastAsia="Times New Roman" w:hAnsi="Calibri" w:cs="Calibri"/>
                <w:i/>
                <w:iCs/>
                <w:lang w:eastAsia="en-GB"/>
              </w:rPr>
              <w:t>1,64</w:t>
            </w:r>
          </w:p>
        </w:tc>
        <w:tc>
          <w:tcPr>
            <w:tcW w:w="1842" w:type="dxa"/>
            <w:noWrap/>
            <w:hideMark/>
          </w:tcPr>
          <w:p w14:paraId="51287E7C"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lang w:eastAsia="en-GB"/>
              </w:rPr>
            </w:pPr>
            <w:r w:rsidRPr="009968E0">
              <w:rPr>
                <w:rFonts w:ascii="Calibri" w:eastAsia="Times New Roman" w:hAnsi="Calibri" w:cs="Calibri"/>
                <w:i/>
                <w:iCs/>
                <w:lang w:eastAsia="en-GB"/>
              </w:rPr>
              <w:t>0.076</w:t>
            </w:r>
          </w:p>
        </w:tc>
        <w:tc>
          <w:tcPr>
            <w:tcW w:w="1989" w:type="dxa"/>
            <w:noWrap/>
            <w:hideMark/>
          </w:tcPr>
          <w:p w14:paraId="19892CA5"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lang w:eastAsia="en-GB"/>
              </w:rPr>
            </w:pPr>
            <w:r w:rsidRPr="009968E0">
              <w:rPr>
                <w:rFonts w:ascii="Calibri" w:eastAsia="Times New Roman" w:hAnsi="Calibri" w:cs="Calibri"/>
                <w:i/>
                <w:iCs/>
                <w:lang w:eastAsia="en-GB"/>
              </w:rPr>
              <w:t>0.784</w:t>
            </w:r>
          </w:p>
        </w:tc>
      </w:tr>
    </w:tbl>
    <w:p w14:paraId="30B62A22" w14:textId="77777777" w:rsidR="009968E0" w:rsidRPr="009968E0" w:rsidRDefault="009968E0" w:rsidP="009968E0">
      <w:pPr>
        <w:rPr>
          <w:rFonts w:ascii="Times New Roman" w:eastAsia="Times New Roman" w:hAnsi="Times New Roman" w:cs="Times New Roman"/>
          <w:i/>
          <w:color w:val="808080"/>
          <w:sz w:val="21"/>
          <w:lang w:eastAsia="en-GB"/>
        </w:rPr>
      </w:pPr>
      <w:r w:rsidRPr="009968E0">
        <w:rPr>
          <w:rFonts w:ascii="Times New Roman" w:eastAsia="Times New Roman" w:hAnsi="Times New Roman" w:cs="Times New Roman"/>
          <w:i/>
          <w:color w:val="808080"/>
          <w:sz w:val="21"/>
          <w:lang w:eastAsia="en-GB"/>
        </w:rPr>
        <w:t>Subjects who scored less than 19 on the BDI were compared with subjects who scored 20 or more on the Becks depression inventory</w:t>
      </w:r>
    </w:p>
    <w:p w14:paraId="577B25BA" w14:textId="77777777" w:rsidR="009968E0" w:rsidRPr="009968E0" w:rsidRDefault="009968E0" w:rsidP="007D16C6">
      <w:pPr>
        <w:pStyle w:val="Quote"/>
      </w:pPr>
    </w:p>
    <w:p w14:paraId="2A63466F" w14:textId="372704A6" w:rsidR="009968E0" w:rsidRPr="009968E0" w:rsidRDefault="009968E0" w:rsidP="007D16C6">
      <w:pPr>
        <w:pStyle w:val="Quote"/>
        <w:rPr>
          <w:rFonts w:eastAsia="MS Mincho"/>
          <w:color w:val="1F497D"/>
        </w:rPr>
      </w:pPr>
      <w:bookmarkStart w:id="771" w:name="_Toc49273398"/>
      <w:bookmarkStart w:id="772" w:name="_Toc64724150"/>
      <w:r w:rsidRPr="009968E0">
        <w:rPr>
          <w:rFonts w:eastAsia="MS Mincho"/>
          <w:color w:val="1F497D"/>
        </w:rPr>
        <w:t>Table D.43: Depression does not explain magnitude or direction of Delta TTP: Descriptive statistics for Delta TTP comparing subjects with moderate-severe depression to subjects with mild or no depression</w:t>
      </w:r>
      <w:bookmarkEnd w:id="771"/>
      <w:bookmarkEnd w:id="772"/>
    </w:p>
    <w:p w14:paraId="3D91DF73" w14:textId="77777777" w:rsidR="009968E0" w:rsidRPr="009968E0" w:rsidRDefault="009968E0" w:rsidP="009968E0">
      <w:pPr>
        <w:rPr>
          <w:rFonts w:ascii="Times New Roman" w:eastAsia="Times New Roman" w:hAnsi="Times New Roman" w:cs="Times New Roman"/>
          <w:i/>
          <w:color w:val="808080"/>
          <w:sz w:val="21"/>
          <w:lang w:eastAsia="en-GB"/>
        </w:rPr>
      </w:pPr>
    </w:p>
    <w:tbl>
      <w:tblPr>
        <w:tblStyle w:val="GridTable2-Accent212"/>
        <w:tblW w:w="9360" w:type="dxa"/>
        <w:tblLook w:val="04A0" w:firstRow="1" w:lastRow="0" w:firstColumn="1" w:lastColumn="0" w:noHBand="0" w:noVBand="1"/>
      </w:tblPr>
      <w:tblGrid>
        <w:gridCol w:w="1967"/>
        <w:gridCol w:w="1322"/>
        <w:gridCol w:w="1142"/>
        <w:gridCol w:w="1232"/>
        <w:gridCol w:w="1132"/>
        <w:gridCol w:w="1132"/>
        <w:gridCol w:w="1433"/>
      </w:tblGrid>
      <w:tr w:rsidR="009968E0" w:rsidRPr="009968E0" w14:paraId="30131339" w14:textId="77777777" w:rsidTr="009968E0">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967" w:type="dxa"/>
            <w:noWrap/>
            <w:hideMark/>
          </w:tcPr>
          <w:p w14:paraId="2036116D" w14:textId="77777777" w:rsidR="009968E0" w:rsidRPr="009968E0" w:rsidRDefault="009968E0" w:rsidP="009968E0">
            <w:pPr>
              <w:rPr>
                <w:rFonts w:ascii="Calibri" w:eastAsia="Times New Roman" w:hAnsi="Calibri" w:cs="Calibri"/>
                <w:i/>
                <w:iCs/>
                <w:lang w:eastAsia="en-GB"/>
              </w:rPr>
            </w:pPr>
          </w:p>
        </w:tc>
        <w:tc>
          <w:tcPr>
            <w:tcW w:w="3696" w:type="dxa"/>
            <w:gridSpan w:val="3"/>
            <w:noWrap/>
            <w:hideMark/>
          </w:tcPr>
          <w:p w14:paraId="5547437C" w14:textId="77777777" w:rsidR="009968E0" w:rsidRPr="009968E0" w:rsidRDefault="009968E0" w:rsidP="009968E0">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Depression none-mild</w:t>
            </w:r>
          </w:p>
        </w:tc>
        <w:tc>
          <w:tcPr>
            <w:tcW w:w="3697" w:type="dxa"/>
            <w:gridSpan w:val="3"/>
            <w:noWrap/>
            <w:hideMark/>
          </w:tcPr>
          <w:p w14:paraId="29F4D16D" w14:textId="77777777" w:rsidR="009968E0" w:rsidRPr="009968E0" w:rsidRDefault="009968E0" w:rsidP="009968E0">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Depression moderate to severe</w:t>
            </w:r>
          </w:p>
        </w:tc>
      </w:tr>
      <w:tr w:rsidR="009968E0" w:rsidRPr="009968E0" w14:paraId="085BBDBC"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967" w:type="dxa"/>
            <w:noWrap/>
            <w:hideMark/>
          </w:tcPr>
          <w:p w14:paraId="66D53644" w14:textId="77777777" w:rsidR="009968E0" w:rsidRPr="009968E0" w:rsidRDefault="009968E0" w:rsidP="009968E0">
            <w:pPr>
              <w:rPr>
                <w:rFonts w:ascii="Calibri" w:eastAsia="Times New Roman" w:hAnsi="Calibri" w:cs="Calibri"/>
                <w:i/>
                <w:iCs/>
                <w:color w:val="000000"/>
                <w:lang w:eastAsia="en-GB"/>
              </w:rPr>
            </w:pPr>
          </w:p>
        </w:tc>
        <w:tc>
          <w:tcPr>
            <w:tcW w:w="1322" w:type="dxa"/>
            <w:noWrap/>
            <w:hideMark/>
          </w:tcPr>
          <w:p w14:paraId="1C8FB043"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M</w:t>
            </w:r>
          </w:p>
        </w:tc>
        <w:tc>
          <w:tcPr>
            <w:tcW w:w="1142" w:type="dxa"/>
            <w:noWrap/>
            <w:hideMark/>
          </w:tcPr>
          <w:p w14:paraId="4F69C0D9"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SD</w:t>
            </w:r>
          </w:p>
        </w:tc>
        <w:tc>
          <w:tcPr>
            <w:tcW w:w="1232" w:type="dxa"/>
            <w:noWrap/>
            <w:hideMark/>
          </w:tcPr>
          <w:p w14:paraId="27181BC0"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N</w:t>
            </w:r>
          </w:p>
        </w:tc>
        <w:tc>
          <w:tcPr>
            <w:tcW w:w="1132" w:type="dxa"/>
            <w:noWrap/>
            <w:hideMark/>
          </w:tcPr>
          <w:p w14:paraId="62ED6333"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M</w:t>
            </w:r>
          </w:p>
        </w:tc>
        <w:tc>
          <w:tcPr>
            <w:tcW w:w="1132" w:type="dxa"/>
            <w:noWrap/>
            <w:hideMark/>
          </w:tcPr>
          <w:p w14:paraId="48037C2F"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SD</w:t>
            </w:r>
          </w:p>
        </w:tc>
        <w:tc>
          <w:tcPr>
            <w:tcW w:w="1433" w:type="dxa"/>
            <w:noWrap/>
            <w:hideMark/>
          </w:tcPr>
          <w:p w14:paraId="48BFFD0D"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N</w:t>
            </w:r>
          </w:p>
        </w:tc>
      </w:tr>
      <w:tr w:rsidR="009968E0" w:rsidRPr="009968E0" w14:paraId="7F874C06"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967" w:type="dxa"/>
            <w:noWrap/>
            <w:hideMark/>
          </w:tcPr>
          <w:p w14:paraId="428A78E3" w14:textId="06F2CFF8" w:rsidR="009968E0" w:rsidRPr="009968E0" w:rsidRDefault="009968E0" w:rsidP="009968E0">
            <w:pPr>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 xml:space="preserve">Delta </w:t>
            </w:r>
            <w:proofErr w:type="spellStart"/>
            <w:r w:rsidRPr="009968E0">
              <w:rPr>
                <w:rFonts w:ascii="Calibri" w:eastAsia="Times New Roman" w:hAnsi="Calibri" w:cs="Calibri"/>
                <w:i/>
                <w:iCs/>
                <w:color w:val="000000"/>
                <w:lang w:eastAsia="en-GB"/>
              </w:rPr>
              <w:t>TTP_</w:t>
            </w:r>
            <w:r w:rsidR="00264184">
              <w:rPr>
                <w:rFonts w:ascii="Calibri" w:eastAsia="Times New Roman" w:hAnsi="Calibri" w:cs="Calibri"/>
                <w:i/>
                <w:iCs/>
                <w:color w:val="000000"/>
                <w:lang w:eastAsia="en-GB"/>
              </w:rPr>
              <w:t>LThal</w:t>
            </w:r>
            <w:proofErr w:type="spellEnd"/>
          </w:p>
        </w:tc>
        <w:tc>
          <w:tcPr>
            <w:tcW w:w="1322" w:type="dxa"/>
            <w:noWrap/>
            <w:hideMark/>
          </w:tcPr>
          <w:p w14:paraId="554C8105"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-0.03</w:t>
            </w:r>
          </w:p>
        </w:tc>
        <w:tc>
          <w:tcPr>
            <w:tcW w:w="1142" w:type="dxa"/>
            <w:noWrap/>
            <w:hideMark/>
          </w:tcPr>
          <w:p w14:paraId="72FE6D83"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1.06</w:t>
            </w:r>
          </w:p>
        </w:tc>
        <w:tc>
          <w:tcPr>
            <w:tcW w:w="1232" w:type="dxa"/>
            <w:noWrap/>
            <w:hideMark/>
          </w:tcPr>
          <w:p w14:paraId="25BC2C7C"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55.00</w:t>
            </w:r>
          </w:p>
        </w:tc>
        <w:tc>
          <w:tcPr>
            <w:tcW w:w="1132" w:type="dxa"/>
            <w:noWrap/>
            <w:hideMark/>
          </w:tcPr>
          <w:p w14:paraId="3F03481F"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0.23</w:t>
            </w:r>
          </w:p>
        </w:tc>
        <w:tc>
          <w:tcPr>
            <w:tcW w:w="1132" w:type="dxa"/>
            <w:noWrap/>
            <w:hideMark/>
          </w:tcPr>
          <w:p w14:paraId="7BF29424"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1.24</w:t>
            </w:r>
          </w:p>
        </w:tc>
        <w:tc>
          <w:tcPr>
            <w:tcW w:w="1433" w:type="dxa"/>
            <w:noWrap/>
            <w:hideMark/>
          </w:tcPr>
          <w:p w14:paraId="242A22D7"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10.00</w:t>
            </w:r>
          </w:p>
        </w:tc>
      </w:tr>
      <w:tr w:rsidR="009968E0" w:rsidRPr="009968E0" w14:paraId="3321C1F3"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967" w:type="dxa"/>
            <w:noWrap/>
            <w:hideMark/>
          </w:tcPr>
          <w:p w14:paraId="047C6BAF" w14:textId="17C7B2BA" w:rsidR="009968E0" w:rsidRPr="009968E0" w:rsidRDefault="009968E0" w:rsidP="009968E0">
            <w:pPr>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 xml:space="preserve">Delta </w:t>
            </w:r>
            <w:proofErr w:type="spellStart"/>
            <w:r w:rsidRPr="009968E0">
              <w:rPr>
                <w:rFonts w:ascii="Calibri" w:eastAsia="Times New Roman" w:hAnsi="Calibri" w:cs="Calibri"/>
                <w:i/>
                <w:iCs/>
                <w:color w:val="000000"/>
                <w:lang w:eastAsia="en-GB"/>
              </w:rPr>
              <w:t>TTP_</w:t>
            </w:r>
            <w:r w:rsidR="00264184">
              <w:rPr>
                <w:rFonts w:ascii="Calibri" w:eastAsia="Times New Roman" w:hAnsi="Calibri" w:cs="Calibri"/>
                <w:i/>
                <w:iCs/>
                <w:color w:val="000000"/>
                <w:lang w:eastAsia="en-GB"/>
              </w:rPr>
              <w:t>RThal</w:t>
            </w:r>
            <w:proofErr w:type="spellEnd"/>
          </w:p>
        </w:tc>
        <w:tc>
          <w:tcPr>
            <w:tcW w:w="1322" w:type="dxa"/>
            <w:noWrap/>
            <w:hideMark/>
          </w:tcPr>
          <w:p w14:paraId="343BC276"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-0.01</w:t>
            </w:r>
          </w:p>
        </w:tc>
        <w:tc>
          <w:tcPr>
            <w:tcW w:w="1142" w:type="dxa"/>
            <w:noWrap/>
            <w:hideMark/>
          </w:tcPr>
          <w:p w14:paraId="739FF0F2"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1.12</w:t>
            </w:r>
          </w:p>
        </w:tc>
        <w:tc>
          <w:tcPr>
            <w:tcW w:w="1232" w:type="dxa"/>
            <w:noWrap/>
            <w:hideMark/>
          </w:tcPr>
          <w:p w14:paraId="59EB6A13"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55.00</w:t>
            </w:r>
          </w:p>
        </w:tc>
        <w:tc>
          <w:tcPr>
            <w:tcW w:w="1132" w:type="dxa"/>
            <w:noWrap/>
            <w:hideMark/>
          </w:tcPr>
          <w:p w14:paraId="375145FA"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0.20</w:t>
            </w:r>
          </w:p>
        </w:tc>
        <w:tc>
          <w:tcPr>
            <w:tcW w:w="1132" w:type="dxa"/>
            <w:noWrap/>
            <w:hideMark/>
          </w:tcPr>
          <w:p w14:paraId="43F650F3"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1.27</w:t>
            </w:r>
          </w:p>
        </w:tc>
        <w:tc>
          <w:tcPr>
            <w:tcW w:w="1433" w:type="dxa"/>
            <w:noWrap/>
            <w:hideMark/>
          </w:tcPr>
          <w:p w14:paraId="5B8C5EE8"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10.00</w:t>
            </w:r>
          </w:p>
        </w:tc>
      </w:tr>
      <w:tr w:rsidR="009968E0" w:rsidRPr="009968E0" w14:paraId="47A09BEE"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967" w:type="dxa"/>
            <w:noWrap/>
            <w:hideMark/>
          </w:tcPr>
          <w:p w14:paraId="311A4EAF" w14:textId="4202D894" w:rsidR="009968E0" w:rsidRPr="009968E0" w:rsidRDefault="009968E0" w:rsidP="009968E0">
            <w:pPr>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Delta TTP_</w:t>
            </w:r>
            <w:r w:rsidR="0068219A">
              <w:rPr>
                <w:rFonts w:ascii="Calibri" w:eastAsia="Times New Roman" w:hAnsi="Calibri" w:cs="Calibri"/>
                <w:i/>
                <w:iCs/>
                <w:color w:val="000000"/>
                <w:lang w:eastAsia="en-GB"/>
              </w:rPr>
              <w:t>LINS</w:t>
            </w:r>
          </w:p>
        </w:tc>
        <w:tc>
          <w:tcPr>
            <w:tcW w:w="1322" w:type="dxa"/>
            <w:noWrap/>
            <w:hideMark/>
          </w:tcPr>
          <w:p w14:paraId="59496D62"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0.02</w:t>
            </w:r>
          </w:p>
        </w:tc>
        <w:tc>
          <w:tcPr>
            <w:tcW w:w="1142" w:type="dxa"/>
            <w:noWrap/>
            <w:hideMark/>
          </w:tcPr>
          <w:p w14:paraId="70F63253"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0.95</w:t>
            </w:r>
          </w:p>
        </w:tc>
        <w:tc>
          <w:tcPr>
            <w:tcW w:w="1232" w:type="dxa"/>
            <w:noWrap/>
            <w:hideMark/>
          </w:tcPr>
          <w:p w14:paraId="2FF57F4F"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55.00</w:t>
            </w:r>
          </w:p>
        </w:tc>
        <w:tc>
          <w:tcPr>
            <w:tcW w:w="1132" w:type="dxa"/>
            <w:noWrap/>
            <w:hideMark/>
          </w:tcPr>
          <w:p w14:paraId="7821B590"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0.26</w:t>
            </w:r>
          </w:p>
        </w:tc>
        <w:tc>
          <w:tcPr>
            <w:tcW w:w="1132" w:type="dxa"/>
            <w:noWrap/>
            <w:hideMark/>
          </w:tcPr>
          <w:p w14:paraId="403F5A89"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1.29</w:t>
            </w:r>
          </w:p>
        </w:tc>
        <w:tc>
          <w:tcPr>
            <w:tcW w:w="1433" w:type="dxa"/>
            <w:noWrap/>
            <w:hideMark/>
          </w:tcPr>
          <w:p w14:paraId="5981121C"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10.00</w:t>
            </w:r>
          </w:p>
        </w:tc>
      </w:tr>
      <w:tr w:rsidR="009968E0" w:rsidRPr="009968E0" w14:paraId="07EA2ED3"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967" w:type="dxa"/>
            <w:noWrap/>
            <w:hideMark/>
          </w:tcPr>
          <w:p w14:paraId="778AD88B" w14:textId="587695CB" w:rsidR="009968E0" w:rsidRPr="009968E0" w:rsidRDefault="009968E0" w:rsidP="009968E0">
            <w:pPr>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Delta _TTP_</w:t>
            </w:r>
            <w:r w:rsidR="0068219A">
              <w:rPr>
                <w:rFonts w:ascii="Calibri" w:eastAsia="Times New Roman" w:hAnsi="Calibri" w:cs="Calibri"/>
                <w:i/>
                <w:iCs/>
                <w:color w:val="000000"/>
                <w:lang w:eastAsia="en-GB"/>
              </w:rPr>
              <w:t>RINS</w:t>
            </w:r>
          </w:p>
        </w:tc>
        <w:tc>
          <w:tcPr>
            <w:tcW w:w="1322" w:type="dxa"/>
            <w:noWrap/>
            <w:hideMark/>
          </w:tcPr>
          <w:p w14:paraId="24A23998"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0.07</w:t>
            </w:r>
          </w:p>
        </w:tc>
        <w:tc>
          <w:tcPr>
            <w:tcW w:w="1142" w:type="dxa"/>
            <w:noWrap/>
            <w:hideMark/>
          </w:tcPr>
          <w:p w14:paraId="7E8841AC"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0.95</w:t>
            </w:r>
          </w:p>
        </w:tc>
        <w:tc>
          <w:tcPr>
            <w:tcW w:w="1232" w:type="dxa"/>
            <w:noWrap/>
            <w:hideMark/>
          </w:tcPr>
          <w:p w14:paraId="4C4C724C"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55.00</w:t>
            </w:r>
          </w:p>
        </w:tc>
        <w:tc>
          <w:tcPr>
            <w:tcW w:w="1132" w:type="dxa"/>
            <w:noWrap/>
            <w:hideMark/>
          </w:tcPr>
          <w:p w14:paraId="2BC9AF8B"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0.25</w:t>
            </w:r>
          </w:p>
        </w:tc>
        <w:tc>
          <w:tcPr>
            <w:tcW w:w="1132" w:type="dxa"/>
            <w:noWrap/>
            <w:hideMark/>
          </w:tcPr>
          <w:p w14:paraId="73602A7B"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1.23</w:t>
            </w:r>
          </w:p>
        </w:tc>
        <w:tc>
          <w:tcPr>
            <w:tcW w:w="1433" w:type="dxa"/>
            <w:noWrap/>
            <w:hideMark/>
          </w:tcPr>
          <w:p w14:paraId="4B4A995C"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10.00</w:t>
            </w:r>
          </w:p>
        </w:tc>
      </w:tr>
      <w:tr w:rsidR="009968E0" w:rsidRPr="009968E0" w14:paraId="4716BB12"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967" w:type="dxa"/>
            <w:noWrap/>
            <w:hideMark/>
          </w:tcPr>
          <w:p w14:paraId="3E13044F" w14:textId="49990ACD" w:rsidR="009968E0" w:rsidRPr="009968E0" w:rsidRDefault="009968E0" w:rsidP="009968E0">
            <w:pPr>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Delta _TTP_</w:t>
            </w:r>
            <w:r w:rsidR="0068219A">
              <w:rPr>
                <w:rFonts w:ascii="Calibri" w:eastAsia="Times New Roman" w:hAnsi="Calibri" w:cs="Calibri"/>
                <w:i/>
                <w:iCs/>
                <w:color w:val="000000"/>
                <w:lang w:eastAsia="en-GB"/>
              </w:rPr>
              <w:t>ACC</w:t>
            </w:r>
          </w:p>
        </w:tc>
        <w:tc>
          <w:tcPr>
            <w:tcW w:w="1322" w:type="dxa"/>
            <w:noWrap/>
            <w:hideMark/>
          </w:tcPr>
          <w:p w14:paraId="7A991241"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-0.03</w:t>
            </w:r>
          </w:p>
        </w:tc>
        <w:tc>
          <w:tcPr>
            <w:tcW w:w="1142" w:type="dxa"/>
            <w:noWrap/>
            <w:hideMark/>
          </w:tcPr>
          <w:p w14:paraId="5D5E335C"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1.58</w:t>
            </w:r>
          </w:p>
        </w:tc>
        <w:tc>
          <w:tcPr>
            <w:tcW w:w="1232" w:type="dxa"/>
            <w:noWrap/>
            <w:hideMark/>
          </w:tcPr>
          <w:p w14:paraId="01E5320F"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55.00</w:t>
            </w:r>
          </w:p>
        </w:tc>
        <w:tc>
          <w:tcPr>
            <w:tcW w:w="1132" w:type="dxa"/>
            <w:noWrap/>
            <w:hideMark/>
          </w:tcPr>
          <w:p w14:paraId="50BE1090"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0.16</w:t>
            </w:r>
          </w:p>
        </w:tc>
        <w:tc>
          <w:tcPr>
            <w:tcW w:w="1132" w:type="dxa"/>
            <w:noWrap/>
            <w:hideMark/>
          </w:tcPr>
          <w:p w14:paraId="268E371D"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1.19</w:t>
            </w:r>
          </w:p>
        </w:tc>
        <w:tc>
          <w:tcPr>
            <w:tcW w:w="1433" w:type="dxa"/>
            <w:noWrap/>
            <w:hideMark/>
          </w:tcPr>
          <w:p w14:paraId="38E51300"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10.00</w:t>
            </w:r>
          </w:p>
        </w:tc>
      </w:tr>
      <w:tr w:rsidR="009968E0" w:rsidRPr="009968E0" w14:paraId="1795216C"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967" w:type="dxa"/>
            <w:noWrap/>
            <w:hideMark/>
          </w:tcPr>
          <w:p w14:paraId="4E1373BC" w14:textId="48C5BDDB" w:rsidR="009968E0" w:rsidRPr="009968E0" w:rsidRDefault="009968E0" w:rsidP="009968E0">
            <w:pPr>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lastRenderedPageBreak/>
              <w:t>Delta _TTP_</w:t>
            </w:r>
            <w:r w:rsidR="0068219A">
              <w:rPr>
                <w:rFonts w:ascii="Calibri" w:eastAsia="Times New Roman" w:hAnsi="Calibri" w:cs="Calibri"/>
                <w:i/>
                <w:iCs/>
                <w:color w:val="000000"/>
                <w:lang w:eastAsia="en-GB"/>
              </w:rPr>
              <w:t>POWM</w:t>
            </w:r>
          </w:p>
        </w:tc>
        <w:tc>
          <w:tcPr>
            <w:tcW w:w="1322" w:type="dxa"/>
            <w:noWrap/>
            <w:hideMark/>
          </w:tcPr>
          <w:p w14:paraId="5B4BD71A"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0.06</w:t>
            </w:r>
          </w:p>
        </w:tc>
        <w:tc>
          <w:tcPr>
            <w:tcW w:w="1142" w:type="dxa"/>
            <w:noWrap/>
            <w:hideMark/>
          </w:tcPr>
          <w:p w14:paraId="0787D831"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1.26</w:t>
            </w:r>
          </w:p>
        </w:tc>
        <w:tc>
          <w:tcPr>
            <w:tcW w:w="1232" w:type="dxa"/>
            <w:noWrap/>
            <w:hideMark/>
          </w:tcPr>
          <w:p w14:paraId="017D77D1"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55.00</w:t>
            </w:r>
          </w:p>
        </w:tc>
        <w:tc>
          <w:tcPr>
            <w:tcW w:w="1132" w:type="dxa"/>
            <w:noWrap/>
            <w:hideMark/>
          </w:tcPr>
          <w:p w14:paraId="456A4040"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0.46</w:t>
            </w:r>
          </w:p>
        </w:tc>
        <w:tc>
          <w:tcPr>
            <w:tcW w:w="1132" w:type="dxa"/>
            <w:noWrap/>
            <w:hideMark/>
          </w:tcPr>
          <w:p w14:paraId="182FC15A"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1.71</w:t>
            </w:r>
          </w:p>
        </w:tc>
        <w:tc>
          <w:tcPr>
            <w:tcW w:w="1433" w:type="dxa"/>
            <w:noWrap/>
            <w:hideMark/>
          </w:tcPr>
          <w:p w14:paraId="7B19606D"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10.00</w:t>
            </w:r>
          </w:p>
        </w:tc>
      </w:tr>
      <w:tr w:rsidR="009968E0" w:rsidRPr="009968E0" w14:paraId="1E8ACD95"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967" w:type="dxa"/>
            <w:noWrap/>
            <w:hideMark/>
          </w:tcPr>
          <w:p w14:paraId="4F2FEE65" w14:textId="5F119CF3" w:rsidR="009968E0" w:rsidRPr="009968E0" w:rsidRDefault="009968E0" w:rsidP="009968E0">
            <w:pPr>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Delta _TTP_</w:t>
            </w:r>
            <w:r w:rsidR="0068219A">
              <w:rPr>
                <w:rFonts w:ascii="Calibri" w:eastAsia="Times New Roman" w:hAnsi="Calibri" w:cs="Calibri"/>
                <w:i/>
                <w:iCs/>
                <w:color w:val="000000"/>
                <w:lang w:eastAsia="en-GB"/>
              </w:rPr>
              <w:t>LPSC</w:t>
            </w:r>
          </w:p>
        </w:tc>
        <w:tc>
          <w:tcPr>
            <w:tcW w:w="1322" w:type="dxa"/>
            <w:noWrap/>
            <w:hideMark/>
          </w:tcPr>
          <w:p w14:paraId="7CD98170"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0.12</w:t>
            </w:r>
          </w:p>
        </w:tc>
        <w:tc>
          <w:tcPr>
            <w:tcW w:w="1142" w:type="dxa"/>
            <w:noWrap/>
            <w:hideMark/>
          </w:tcPr>
          <w:p w14:paraId="3F47A358"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1.22</w:t>
            </w:r>
          </w:p>
        </w:tc>
        <w:tc>
          <w:tcPr>
            <w:tcW w:w="1232" w:type="dxa"/>
            <w:noWrap/>
            <w:hideMark/>
          </w:tcPr>
          <w:p w14:paraId="3A5231F9"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55.00</w:t>
            </w:r>
          </w:p>
        </w:tc>
        <w:tc>
          <w:tcPr>
            <w:tcW w:w="1132" w:type="dxa"/>
            <w:noWrap/>
            <w:hideMark/>
          </w:tcPr>
          <w:p w14:paraId="7E53F079"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0.12</w:t>
            </w:r>
          </w:p>
        </w:tc>
        <w:tc>
          <w:tcPr>
            <w:tcW w:w="1132" w:type="dxa"/>
            <w:noWrap/>
            <w:hideMark/>
          </w:tcPr>
          <w:p w14:paraId="753D5C0C"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1.30</w:t>
            </w:r>
          </w:p>
        </w:tc>
        <w:tc>
          <w:tcPr>
            <w:tcW w:w="1433" w:type="dxa"/>
            <w:noWrap/>
            <w:hideMark/>
          </w:tcPr>
          <w:p w14:paraId="4E012F92"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10.00</w:t>
            </w:r>
          </w:p>
        </w:tc>
      </w:tr>
      <w:tr w:rsidR="009968E0" w:rsidRPr="009968E0" w14:paraId="31D18B34"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967" w:type="dxa"/>
            <w:noWrap/>
            <w:hideMark/>
          </w:tcPr>
          <w:p w14:paraId="4DFD82ED" w14:textId="340F4D31" w:rsidR="009968E0" w:rsidRPr="009968E0" w:rsidRDefault="009968E0" w:rsidP="009968E0">
            <w:pPr>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Delta _TTP_</w:t>
            </w:r>
            <w:r w:rsidR="0068219A">
              <w:rPr>
                <w:rFonts w:ascii="Calibri" w:eastAsia="Times New Roman" w:hAnsi="Calibri" w:cs="Calibri"/>
                <w:i/>
                <w:iCs/>
                <w:color w:val="000000"/>
                <w:lang w:eastAsia="en-GB"/>
              </w:rPr>
              <w:t>RPSC</w:t>
            </w:r>
          </w:p>
        </w:tc>
        <w:tc>
          <w:tcPr>
            <w:tcW w:w="1322" w:type="dxa"/>
            <w:noWrap/>
            <w:hideMark/>
          </w:tcPr>
          <w:p w14:paraId="1194A7F9"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0.13</w:t>
            </w:r>
          </w:p>
        </w:tc>
        <w:tc>
          <w:tcPr>
            <w:tcW w:w="1142" w:type="dxa"/>
            <w:noWrap/>
            <w:hideMark/>
          </w:tcPr>
          <w:p w14:paraId="0EFCC830"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1.21</w:t>
            </w:r>
          </w:p>
        </w:tc>
        <w:tc>
          <w:tcPr>
            <w:tcW w:w="1232" w:type="dxa"/>
            <w:noWrap/>
            <w:hideMark/>
          </w:tcPr>
          <w:p w14:paraId="12988CEB"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55.00</w:t>
            </w:r>
          </w:p>
        </w:tc>
        <w:tc>
          <w:tcPr>
            <w:tcW w:w="1132" w:type="dxa"/>
            <w:noWrap/>
            <w:hideMark/>
          </w:tcPr>
          <w:p w14:paraId="0162BEAF"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0.28</w:t>
            </w:r>
          </w:p>
        </w:tc>
        <w:tc>
          <w:tcPr>
            <w:tcW w:w="1132" w:type="dxa"/>
            <w:noWrap/>
            <w:hideMark/>
          </w:tcPr>
          <w:p w14:paraId="4439F29A"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1.18</w:t>
            </w:r>
          </w:p>
        </w:tc>
        <w:tc>
          <w:tcPr>
            <w:tcW w:w="1433" w:type="dxa"/>
            <w:noWrap/>
            <w:hideMark/>
          </w:tcPr>
          <w:p w14:paraId="7E1CCC2B"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10.00</w:t>
            </w:r>
          </w:p>
        </w:tc>
      </w:tr>
      <w:tr w:rsidR="009968E0" w:rsidRPr="009968E0" w14:paraId="192C52F2"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967" w:type="dxa"/>
            <w:noWrap/>
            <w:hideMark/>
          </w:tcPr>
          <w:p w14:paraId="4ED60DDA" w14:textId="66C848BD" w:rsidR="009968E0" w:rsidRPr="009968E0" w:rsidRDefault="009968E0" w:rsidP="009968E0">
            <w:pPr>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Delta _RBV_</w:t>
            </w:r>
            <w:r w:rsidR="0068219A">
              <w:rPr>
                <w:rFonts w:ascii="Calibri" w:eastAsia="Times New Roman" w:hAnsi="Calibri" w:cs="Calibri"/>
                <w:i/>
                <w:iCs/>
                <w:color w:val="000000"/>
                <w:lang w:eastAsia="en-GB"/>
              </w:rPr>
              <w:t>POWM</w:t>
            </w:r>
          </w:p>
        </w:tc>
        <w:tc>
          <w:tcPr>
            <w:tcW w:w="1322" w:type="dxa"/>
            <w:noWrap/>
            <w:hideMark/>
          </w:tcPr>
          <w:p w14:paraId="04DE345F"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-0.32</w:t>
            </w:r>
          </w:p>
        </w:tc>
        <w:tc>
          <w:tcPr>
            <w:tcW w:w="1142" w:type="dxa"/>
            <w:noWrap/>
            <w:hideMark/>
          </w:tcPr>
          <w:p w14:paraId="5B8BE1A0"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1.93</w:t>
            </w:r>
          </w:p>
        </w:tc>
        <w:tc>
          <w:tcPr>
            <w:tcW w:w="1232" w:type="dxa"/>
            <w:noWrap/>
            <w:hideMark/>
          </w:tcPr>
          <w:p w14:paraId="205B8B0C"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55.00</w:t>
            </w:r>
          </w:p>
        </w:tc>
        <w:tc>
          <w:tcPr>
            <w:tcW w:w="1132" w:type="dxa"/>
            <w:noWrap/>
            <w:hideMark/>
          </w:tcPr>
          <w:p w14:paraId="72F20F9E"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0.15</w:t>
            </w:r>
          </w:p>
        </w:tc>
        <w:tc>
          <w:tcPr>
            <w:tcW w:w="1132" w:type="dxa"/>
            <w:noWrap/>
            <w:hideMark/>
          </w:tcPr>
          <w:p w14:paraId="4B4E0C72"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1.34</w:t>
            </w:r>
          </w:p>
        </w:tc>
        <w:tc>
          <w:tcPr>
            <w:tcW w:w="1433" w:type="dxa"/>
            <w:noWrap/>
            <w:hideMark/>
          </w:tcPr>
          <w:p w14:paraId="0C40488F" w14:textId="77777777" w:rsidR="009968E0" w:rsidRPr="009968E0" w:rsidRDefault="009968E0" w:rsidP="009968E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10.00</w:t>
            </w:r>
          </w:p>
        </w:tc>
      </w:tr>
      <w:tr w:rsidR="009968E0" w:rsidRPr="009968E0" w14:paraId="70D3EA4C"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967" w:type="dxa"/>
            <w:noWrap/>
            <w:hideMark/>
          </w:tcPr>
          <w:p w14:paraId="5476BBD8" w14:textId="0E05799E" w:rsidR="009968E0" w:rsidRPr="009968E0" w:rsidRDefault="009968E0" w:rsidP="009968E0">
            <w:pPr>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Delta _RBV_</w:t>
            </w:r>
            <w:r w:rsidR="0068219A">
              <w:rPr>
                <w:rFonts w:ascii="Calibri" w:eastAsia="Times New Roman" w:hAnsi="Calibri" w:cs="Calibri"/>
                <w:i/>
                <w:iCs/>
                <w:color w:val="000000"/>
                <w:lang w:eastAsia="en-GB"/>
              </w:rPr>
              <w:t>RPSC</w:t>
            </w:r>
          </w:p>
        </w:tc>
        <w:tc>
          <w:tcPr>
            <w:tcW w:w="1322" w:type="dxa"/>
            <w:noWrap/>
            <w:hideMark/>
          </w:tcPr>
          <w:p w14:paraId="6A113491"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-0.14</w:t>
            </w:r>
          </w:p>
        </w:tc>
        <w:tc>
          <w:tcPr>
            <w:tcW w:w="1142" w:type="dxa"/>
            <w:noWrap/>
            <w:hideMark/>
          </w:tcPr>
          <w:p w14:paraId="311A9C7B"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3.08</w:t>
            </w:r>
          </w:p>
        </w:tc>
        <w:tc>
          <w:tcPr>
            <w:tcW w:w="1232" w:type="dxa"/>
            <w:noWrap/>
            <w:hideMark/>
          </w:tcPr>
          <w:p w14:paraId="64F1F38C"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55.00</w:t>
            </w:r>
          </w:p>
        </w:tc>
        <w:tc>
          <w:tcPr>
            <w:tcW w:w="1132" w:type="dxa"/>
            <w:noWrap/>
            <w:hideMark/>
          </w:tcPr>
          <w:p w14:paraId="31192C09"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0.15</w:t>
            </w:r>
          </w:p>
        </w:tc>
        <w:tc>
          <w:tcPr>
            <w:tcW w:w="1132" w:type="dxa"/>
            <w:noWrap/>
            <w:hideMark/>
          </w:tcPr>
          <w:p w14:paraId="2DBB1782"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3.28</w:t>
            </w:r>
          </w:p>
        </w:tc>
        <w:tc>
          <w:tcPr>
            <w:tcW w:w="1433" w:type="dxa"/>
            <w:noWrap/>
            <w:hideMark/>
          </w:tcPr>
          <w:p w14:paraId="7D819F94" w14:textId="77777777" w:rsidR="009968E0" w:rsidRPr="009968E0" w:rsidRDefault="009968E0" w:rsidP="009968E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eastAsia="en-GB"/>
              </w:rPr>
            </w:pPr>
            <w:r w:rsidRPr="009968E0">
              <w:rPr>
                <w:rFonts w:ascii="Calibri" w:eastAsia="Times New Roman" w:hAnsi="Calibri" w:cs="Calibri"/>
                <w:i/>
                <w:iCs/>
                <w:color w:val="000000"/>
                <w:lang w:eastAsia="en-GB"/>
              </w:rPr>
              <w:t>10.00</w:t>
            </w:r>
          </w:p>
        </w:tc>
      </w:tr>
    </w:tbl>
    <w:p w14:paraId="0CD0576E" w14:textId="77777777" w:rsidR="009968E0" w:rsidRPr="009968E0" w:rsidRDefault="009968E0" w:rsidP="009968E0">
      <w:pPr>
        <w:rPr>
          <w:rFonts w:ascii="Times New Roman" w:eastAsia="Times New Roman" w:hAnsi="Times New Roman" w:cs="Arial"/>
          <w:lang w:eastAsia="en-GB"/>
        </w:rPr>
      </w:pPr>
    </w:p>
    <w:p w14:paraId="2FB6C724" w14:textId="77777777" w:rsidR="009968E0" w:rsidRPr="009968E0" w:rsidRDefault="009968E0" w:rsidP="009968E0">
      <w:pPr>
        <w:rPr>
          <w:rFonts w:ascii="Times New Roman" w:eastAsia="Times New Roman" w:hAnsi="Times New Roman" w:cs="Arial"/>
          <w:lang w:eastAsia="en-GB"/>
        </w:rPr>
      </w:pPr>
    </w:p>
    <w:p w14:paraId="1202820E" w14:textId="77777777" w:rsidR="009968E0" w:rsidRPr="009968E0" w:rsidRDefault="009968E0" w:rsidP="009968E0">
      <w:pPr>
        <w:rPr>
          <w:rFonts w:ascii="Times New Roman" w:eastAsia="Times New Roman" w:hAnsi="Times New Roman" w:cs="Arial"/>
          <w:lang w:eastAsia="en-GB"/>
        </w:rPr>
      </w:pPr>
    </w:p>
    <w:p w14:paraId="0543FBA0" w14:textId="77777777" w:rsidR="009968E0" w:rsidRPr="009968E0" w:rsidRDefault="009968E0" w:rsidP="009968E0">
      <w:pPr>
        <w:rPr>
          <w:rFonts w:ascii="Times New Roman" w:eastAsia="Times New Roman" w:hAnsi="Times New Roman" w:cs="Arial"/>
          <w:lang w:eastAsia="en-GB"/>
        </w:rPr>
      </w:pPr>
    </w:p>
    <w:p w14:paraId="1C18E6DE" w14:textId="77777777" w:rsidR="009968E0" w:rsidRPr="009968E0" w:rsidRDefault="009968E0" w:rsidP="009968E0">
      <w:pPr>
        <w:rPr>
          <w:rFonts w:ascii="Times New Roman" w:eastAsia="Times New Roman" w:hAnsi="Times New Roman" w:cs="Arial"/>
          <w:lang w:eastAsia="en-GB"/>
        </w:rPr>
      </w:pPr>
    </w:p>
    <w:p w14:paraId="025D9FE7" w14:textId="77777777" w:rsidR="009968E0" w:rsidRPr="009968E0" w:rsidRDefault="009968E0" w:rsidP="009968E0">
      <w:pPr>
        <w:rPr>
          <w:rFonts w:ascii="Times New Roman" w:eastAsia="Times New Roman" w:hAnsi="Times New Roman" w:cs="Arial"/>
          <w:lang w:eastAsia="en-GB"/>
        </w:rPr>
      </w:pPr>
    </w:p>
    <w:p w14:paraId="5CCC1ECF" w14:textId="77777777" w:rsidR="009968E0" w:rsidRPr="009968E0" w:rsidRDefault="009968E0" w:rsidP="009968E0">
      <w:pPr>
        <w:rPr>
          <w:rFonts w:ascii="Times New Roman" w:eastAsia="Times New Roman" w:hAnsi="Times New Roman" w:cs="Arial"/>
          <w:lang w:eastAsia="en-GB"/>
        </w:rPr>
      </w:pPr>
    </w:p>
    <w:p w14:paraId="6AFB4491" w14:textId="724D0C10" w:rsidR="009968E0" w:rsidRPr="007D16C6" w:rsidRDefault="007D16C6" w:rsidP="009968E0">
      <w:pPr>
        <w:rPr>
          <w:rFonts w:eastAsia="Calibri" w:cs="Arial"/>
          <w:i/>
          <w:color w:val="4F81BD"/>
          <w:lang w:eastAsia="en-GB"/>
        </w:rPr>
      </w:pPr>
      <w:r>
        <w:rPr>
          <w:rFonts w:eastAsia="Calibri" w:cs="Arial"/>
          <w:i/>
          <w:color w:val="4F81BD"/>
          <w:lang w:eastAsia="en-GB"/>
        </w:rPr>
        <w:br w:type="page"/>
      </w:r>
    </w:p>
    <w:p w14:paraId="44826583" w14:textId="4BF2BF1E" w:rsidR="009968E0" w:rsidRPr="009968E0" w:rsidRDefault="009968E0" w:rsidP="007D16C6">
      <w:pPr>
        <w:pStyle w:val="Heading1"/>
        <w:rPr>
          <w:rFonts w:eastAsia="MS Gothic"/>
        </w:rPr>
      </w:pPr>
      <w:bookmarkStart w:id="773" w:name="_Toc48540086"/>
      <w:bookmarkStart w:id="774" w:name="_Toc49272029"/>
      <w:bookmarkStart w:id="775" w:name="_Toc64723984"/>
      <w:r w:rsidRPr="009968E0">
        <w:rPr>
          <w:rFonts w:eastAsia="MS Gothic"/>
        </w:rPr>
        <w:lastRenderedPageBreak/>
        <w:t>Appendix E: Supplementary Results Tables for Chapter 6</w:t>
      </w:r>
      <w:bookmarkEnd w:id="773"/>
      <w:bookmarkEnd w:id="774"/>
      <w:bookmarkEnd w:id="775"/>
    </w:p>
    <w:p w14:paraId="329CC3F2" w14:textId="6F1F8BF7" w:rsidR="009968E0" w:rsidRPr="007D16C6" w:rsidRDefault="009968E0" w:rsidP="007D16C6">
      <w:pPr>
        <w:pStyle w:val="Quote"/>
      </w:pPr>
      <w:bookmarkStart w:id="776" w:name="_Toc49273399"/>
      <w:bookmarkStart w:id="777" w:name="_Toc64724151"/>
      <w:r w:rsidRPr="007D16C6">
        <w:t xml:space="preserve">Table E.1 Test of Homogeneity of Variances- </w:t>
      </w:r>
      <w:proofErr w:type="spellStart"/>
      <w:r w:rsidRPr="007D16C6">
        <w:t>Levene’s</w:t>
      </w:r>
      <w:proofErr w:type="spellEnd"/>
      <w:r w:rsidRPr="007D16C6">
        <w:t xml:space="preserve"> statistic for ANOVA comparing group means for Metabolite ratios</w:t>
      </w:r>
      <w:bookmarkEnd w:id="776"/>
      <w:bookmarkEnd w:id="777"/>
    </w:p>
    <w:p w14:paraId="4315D86E" w14:textId="77777777" w:rsidR="009968E0" w:rsidRPr="009968E0" w:rsidRDefault="009968E0" w:rsidP="009968E0">
      <w:pPr>
        <w:rPr>
          <w:rFonts w:ascii="Times New Roman" w:eastAsia="Times New Roman" w:hAnsi="Times New Roman" w:cs="Times New Roman"/>
        </w:rPr>
      </w:pPr>
    </w:p>
    <w:tbl>
      <w:tblPr>
        <w:tblStyle w:val="GridTable2-Accent212"/>
        <w:tblW w:w="8760" w:type="dxa"/>
        <w:tblLayout w:type="fixed"/>
        <w:tblLook w:val="0400" w:firstRow="0" w:lastRow="0" w:firstColumn="0" w:lastColumn="0" w:noHBand="0" w:noVBand="1"/>
      </w:tblPr>
      <w:tblGrid>
        <w:gridCol w:w="2018"/>
        <w:gridCol w:w="2178"/>
        <w:gridCol w:w="1519"/>
        <w:gridCol w:w="1519"/>
        <w:gridCol w:w="1519"/>
        <w:gridCol w:w="7"/>
      </w:tblGrid>
      <w:tr w:rsidR="009968E0" w:rsidRPr="009968E0" w14:paraId="44CADABD" w14:textId="77777777" w:rsidTr="009968E0">
        <w:trPr>
          <w:gridAfter w:val="1"/>
          <w:cnfStyle w:val="000000100000" w:firstRow="0" w:lastRow="0" w:firstColumn="0" w:lastColumn="0" w:oddVBand="0" w:evenVBand="0" w:oddHBand="1" w:evenHBand="0" w:firstRowFirstColumn="0" w:firstRowLastColumn="0" w:lastRowFirstColumn="0" w:lastRowLastColumn="0"/>
          <w:wAfter w:w="7" w:type="dxa"/>
          <w:trHeight w:val="480"/>
        </w:trPr>
        <w:tc>
          <w:tcPr>
            <w:tcW w:w="8760" w:type="dxa"/>
            <w:gridSpan w:val="5"/>
          </w:tcPr>
          <w:p w14:paraId="381CD2AC" w14:textId="77777777" w:rsidR="009968E0" w:rsidRPr="009968E0" w:rsidRDefault="009968E0" w:rsidP="009968E0">
            <w:pPr>
              <w:pBdr>
                <w:top w:val="nil"/>
                <w:left w:val="nil"/>
                <w:bottom w:val="nil"/>
                <w:right w:val="nil"/>
                <w:between w:val="nil"/>
              </w:pBdr>
              <w:spacing w:line="360" w:lineRule="auto"/>
              <w:rPr>
                <w:rFonts w:ascii="Calibri" w:eastAsia="Times New Roman" w:hAnsi="Calibri" w:cs="Calibri"/>
                <w:i/>
                <w:iCs/>
                <w:color w:val="000000"/>
                <w:sz w:val="22"/>
                <w:szCs w:val="22"/>
                <w:lang w:eastAsia="en-GB"/>
              </w:rPr>
            </w:pPr>
          </w:p>
        </w:tc>
      </w:tr>
      <w:tr w:rsidR="009968E0" w:rsidRPr="009968E0" w14:paraId="25BCB286" w14:textId="77777777" w:rsidTr="009968E0">
        <w:trPr>
          <w:gridAfter w:val="1"/>
          <w:wAfter w:w="7" w:type="dxa"/>
          <w:trHeight w:val="680"/>
        </w:trPr>
        <w:tc>
          <w:tcPr>
            <w:tcW w:w="2020" w:type="dxa"/>
          </w:tcPr>
          <w:p w14:paraId="35365EBA" w14:textId="77777777" w:rsidR="009968E0" w:rsidRPr="009968E0" w:rsidRDefault="009968E0" w:rsidP="009968E0">
            <w:pPr>
              <w:spacing w:line="360" w:lineRule="auto"/>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 </w:t>
            </w:r>
          </w:p>
        </w:tc>
        <w:tc>
          <w:tcPr>
            <w:tcW w:w="2180" w:type="dxa"/>
          </w:tcPr>
          <w:p w14:paraId="01DCC5CA" w14:textId="77777777" w:rsidR="009968E0" w:rsidRPr="009968E0" w:rsidRDefault="009968E0" w:rsidP="009968E0">
            <w:pPr>
              <w:spacing w:line="360" w:lineRule="auto"/>
              <w:jc w:val="center"/>
              <w:rPr>
                <w:rFonts w:ascii="Calibri" w:eastAsia="Times New Roman" w:hAnsi="Calibri" w:cs="Calibri"/>
                <w:i/>
                <w:iCs/>
                <w:color w:val="000000"/>
                <w:sz w:val="22"/>
                <w:szCs w:val="22"/>
                <w:lang w:eastAsia="en-GB"/>
              </w:rPr>
            </w:pPr>
            <w:proofErr w:type="spellStart"/>
            <w:r w:rsidRPr="009968E0">
              <w:rPr>
                <w:rFonts w:ascii="Calibri" w:eastAsia="Times New Roman" w:hAnsi="Calibri" w:cs="Calibri"/>
                <w:i/>
                <w:iCs/>
                <w:color w:val="000000"/>
                <w:sz w:val="22"/>
                <w:szCs w:val="22"/>
                <w:lang w:eastAsia="en-GB"/>
              </w:rPr>
              <w:t>Levene</w:t>
            </w:r>
            <w:proofErr w:type="spellEnd"/>
            <w:r w:rsidRPr="009968E0">
              <w:rPr>
                <w:rFonts w:ascii="Calibri" w:eastAsia="Times New Roman" w:hAnsi="Calibri" w:cs="Calibri"/>
                <w:i/>
                <w:iCs/>
                <w:color w:val="000000"/>
                <w:sz w:val="22"/>
                <w:szCs w:val="22"/>
                <w:lang w:eastAsia="en-GB"/>
              </w:rPr>
              <w:t xml:space="preserve"> Statistic</w:t>
            </w:r>
          </w:p>
        </w:tc>
        <w:tc>
          <w:tcPr>
            <w:tcW w:w="1520" w:type="dxa"/>
          </w:tcPr>
          <w:p w14:paraId="0D9C7D0D" w14:textId="77777777" w:rsidR="009968E0" w:rsidRPr="009968E0" w:rsidRDefault="009968E0" w:rsidP="009968E0">
            <w:pPr>
              <w:spacing w:line="360" w:lineRule="auto"/>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df1</w:t>
            </w:r>
          </w:p>
        </w:tc>
        <w:tc>
          <w:tcPr>
            <w:tcW w:w="1520" w:type="dxa"/>
          </w:tcPr>
          <w:p w14:paraId="477604B6" w14:textId="77777777" w:rsidR="009968E0" w:rsidRPr="009968E0" w:rsidRDefault="009968E0" w:rsidP="009968E0">
            <w:pPr>
              <w:spacing w:line="360" w:lineRule="auto"/>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df2</w:t>
            </w:r>
          </w:p>
        </w:tc>
        <w:tc>
          <w:tcPr>
            <w:tcW w:w="1520" w:type="dxa"/>
          </w:tcPr>
          <w:p w14:paraId="159F9250" w14:textId="77777777" w:rsidR="009968E0" w:rsidRPr="009968E0" w:rsidRDefault="009968E0" w:rsidP="009968E0">
            <w:pPr>
              <w:spacing w:line="360" w:lineRule="auto"/>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Sig.</w:t>
            </w:r>
          </w:p>
        </w:tc>
      </w:tr>
      <w:tr w:rsidR="009968E0" w:rsidRPr="009968E0" w14:paraId="22D70F33"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2020" w:type="dxa"/>
          </w:tcPr>
          <w:p w14:paraId="53197FA4" w14:textId="77777777" w:rsidR="009968E0" w:rsidRPr="009968E0" w:rsidRDefault="009968E0" w:rsidP="009968E0">
            <w:pPr>
              <w:spacing w:line="360" w:lineRule="auto"/>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NAA/Creatine</w:t>
            </w:r>
          </w:p>
        </w:tc>
        <w:tc>
          <w:tcPr>
            <w:tcW w:w="2180" w:type="dxa"/>
          </w:tcPr>
          <w:p w14:paraId="1442A2ED"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1.184</w:t>
            </w:r>
          </w:p>
        </w:tc>
        <w:tc>
          <w:tcPr>
            <w:tcW w:w="1520" w:type="dxa"/>
          </w:tcPr>
          <w:p w14:paraId="5B712A99"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3</w:t>
            </w:r>
          </w:p>
        </w:tc>
        <w:tc>
          <w:tcPr>
            <w:tcW w:w="1520" w:type="dxa"/>
          </w:tcPr>
          <w:p w14:paraId="1F7C1AE2"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68</w:t>
            </w:r>
          </w:p>
        </w:tc>
        <w:tc>
          <w:tcPr>
            <w:tcW w:w="1520" w:type="dxa"/>
            <w:gridSpan w:val="2"/>
          </w:tcPr>
          <w:p w14:paraId="772007C5"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.322</w:t>
            </w:r>
          </w:p>
        </w:tc>
      </w:tr>
      <w:tr w:rsidR="009968E0" w:rsidRPr="009968E0" w14:paraId="7AE57E0D" w14:textId="77777777" w:rsidTr="009968E0">
        <w:trPr>
          <w:trHeight w:val="360"/>
        </w:trPr>
        <w:tc>
          <w:tcPr>
            <w:tcW w:w="2020" w:type="dxa"/>
          </w:tcPr>
          <w:p w14:paraId="2F6ECA1B" w14:textId="77777777" w:rsidR="009968E0" w:rsidRPr="009968E0" w:rsidRDefault="009968E0" w:rsidP="009968E0">
            <w:pPr>
              <w:spacing w:line="360" w:lineRule="auto"/>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Cho/Creatine</w:t>
            </w:r>
          </w:p>
        </w:tc>
        <w:tc>
          <w:tcPr>
            <w:tcW w:w="2180" w:type="dxa"/>
          </w:tcPr>
          <w:p w14:paraId="484C3896"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.877</w:t>
            </w:r>
          </w:p>
        </w:tc>
        <w:tc>
          <w:tcPr>
            <w:tcW w:w="1520" w:type="dxa"/>
          </w:tcPr>
          <w:p w14:paraId="2F23B6F9"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3</w:t>
            </w:r>
          </w:p>
        </w:tc>
        <w:tc>
          <w:tcPr>
            <w:tcW w:w="1520" w:type="dxa"/>
          </w:tcPr>
          <w:p w14:paraId="082F3831"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68</w:t>
            </w:r>
          </w:p>
        </w:tc>
        <w:tc>
          <w:tcPr>
            <w:tcW w:w="1520" w:type="dxa"/>
            <w:gridSpan w:val="2"/>
          </w:tcPr>
          <w:p w14:paraId="168B5917"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.457</w:t>
            </w:r>
          </w:p>
        </w:tc>
      </w:tr>
      <w:tr w:rsidR="009968E0" w:rsidRPr="009968E0" w14:paraId="5FCF350E"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2020" w:type="dxa"/>
          </w:tcPr>
          <w:p w14:paraId="5121A97D" w14:textId="77777777" w:rsidR="009968E0" w:rsidRPr="009968E0" w:rsidRDefault="009968E0" w:rsidP="009968E0">
            <w:pPr>
              <w:spacing w:line="360" w:lineRule="auto"/>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NAA/Choline</w:t>
            </w:r>
          </w:p>
        </w:tc>
        <w:tc>
          <w:tcPr>
            <w:tcW w:w="2180" w:type="dxa"/>
          </w:tcPr>
          <w:p w14:paraId="1370087D"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.400</w:t>
            </w:r>
          </w:p>
        </w:tc>
        <w:tc>
          <w:tcPr>
            <w:tcW w:w="1520" w:type="dxa"/>
          </w:tcPr>
          <w:p w14:paraId="4C026259"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3</w:t>
            </w:r>
          </w:p>
        </w:tc>
        <w:tc>
          <w:tcPr>
            <w:tcW w:w="1520" w:type="dxa"/>
          </w:tcPr>
          <w:p w14:paraId="1283E05A"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68</w:t>
            </w:r>
          </w:p>
        </w:tc>
        <w:tc>
          <w:tcPr>
            <w:tcW w:w="1520" w:type="dxa"/>
            <w:gridSpan w:val="2"/>
          </w:tcPr>
          <w:p w14:paraId="6842A560"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.753</w:t>
            </w:r>
          </w:p>
        </w:tc>
      </w:tr>
    </w:tbl>
    <w:p w14:paraId="2B334A7B" w14:textId="77777777" w:rsidR="009968E0" w:rsidRPr="009968E0" w:rsidRDefault="009968E0" w:rsidP="007D16C6">
      <w:pPr>
        <w:pStyle w:val="Quote"/>
      </w:pPr>
    </w:p>
    <w:p w14:paraId="69BD15D7" w14:textId="18070ABE" w:rsidR="009968E0" w:rsidRPr="009968E0" w:rsidRDefault="009968E0" w:rsidP="007D16C6">
      <w:pPr>
        <w:pStyle w:val="Quote"/>
        <w:rPr>
          <w:rFonts w:eastAsia="MS Mincho"/>
          <w:color w:val="1F497D"/>
        </w:rPr>
      </w:pPr>
      <w:bookmarkStart w:id="778" w:name="_Toc49273400"/>
      <w:bookmarkStart w:id="779" w:name="_Toc64724152"/>
      <w:r w:rsidRPr="009968E0">
        <w:rPr>
          <w:rFonts w:eastAsia="MS Mincho"/>
          <w:color w:val="1F497D"/>
        </w:rPr>
        <w:t>Table E.2. Planned Contrast Coefficients for Spectroscopy Comparisons between groups</w:t>
      </w:r>
      <w:bookmarkEnd w:id="778"/>
      <w:bookmarkEnd w:id="779"/>
    </w:p>
    <w:tbl>
      <w:tblPr>
        <w:tblW w:w="7816" w:type="dxa"/>
        <w:tblInd w:w="93" w:type="dxa"/>
        <w:tblLayout w:type="fixed"/>
        <w:tblCellMar>
          <w:left w:w="115" w:type="dxa"/>
          <w:right w:w="115" w:type="dxa"/>
        </w:tblCellMar>
        <w:tblLook w:val="0400" w:firstRow="0" w:lastRow="0" w:firstColumn="0" w:lastColumn="0" w:noHBand="0" w:noVBand="1"/>
      </w:tblPr>
      <w:tblGrid>
        <w:gridCol w:w="7816"/>
      </w:tblGrid>
      <w:tr w:rsidR="009968E0" w:rsidRPr="009968E0" w14:paraId="643BD0BD" w14:textId="77777777" w:rsidTr="009968E0">
        <w:trPr>
          <w:trHeight w:val="480"/>
        </w:trPr>
        <w:tc>
          <w:tcPr>
            <w:tcW w:w="7816" w:type="dxa"/>
            <w:tcBorders>
              <w:top w:val="nil"/>
              <w:left w:val="nil"/>
              <w:bottom w:val="nil"/>
              <w:right w:val="nil"/>
            </w:tcBorders>
            <w:shd w:val="clear" w:color="auto" w:fill="auto"/>
            <w:vAlign w:val="center"/>
          </w:tcPr>
          <w:p w14:paraId="15FBCC0C" w14:textId="77777777" w:rsidR="009968E0" w:rsidRPr="009968E0" w:rsidRDefault="009968E0" w:rsidP="009968E0">
            <w:pPr>
              <w:pBdr>
                <w:top w:val="nil"/>
                <w:left w:val="nil"/>
                <w:bottom w:val="nil"/>
                <w:right w:val="nil"/>
                <w:between w:val="nil"/>
              </w:pBdr>
              <w:spacing w:line="360" w:lineRule="auto"/>
              <w:rPr>
                <w:rFonts w:ascii="Calibri" w:eastAsia="Times New Roman" w:hAnsi="Calibri" w:cs="Calibri"/>
                <w:i/>
                <w:color w:val="000000"/>
                <w:sz w:val="22"/>
                <w:szCs w:val="22"/>
                <w:lang w:eastAsia="en-GB"/>
              </w:rPr>
            </w:pPr>
          </w:p>
          <w:tbl>
            <w:tblPr>
              <w:tblStyle w:val="GridTable2-Accent212"/>
              <w:tblW w:w="7600" w:type="dxa"/>
              <w:tblLayout w:type="fixed"/>
              <w:tblLook w:val="0400" w:firstRow="0" w:lastRow="0" w:firstColumn="0" w:lastColumn="0" w:noHBand="0" w:noVBand="1"/>
            </w:tblPr>
            <w:tblGrid>
              <w:gridCol w:w="1518"/>
              <w:gridCol w:w="1518"/>
              <w:gridCol w:w="1519"/>
              <w:gridCol w:w="1519"/>
              <w:gridCol w:w="1519"/>
              <w:gridCol w:w="7"/>
            </w:tblGrid>
            <w:tr w:rsidR="009968E0" w:rsidRPr="009968E0" w14:paraId="76434840" w14:textId="77777777" w:rsidTr="009968E0">
              <w:trPr>
                <w:gridAfter w:val="1"/>
                <w:cnfStyle w:val="000000100000" w:firstRow="0" w:lastRow="0" w:firstColumn="0" w:lastColumn="0" w:oddVBand="0" w:evenVBand="0" w:oddHBand="1" w:evenHBand="0" w:firstRowFirstColumn="0" w:firstRowLastColumn="0" w:lastRowFirstColumn="0" w:lastRowLastColumn="0"/>
                <w:wAfter w:w="7" w:type="dxa"/>
                <w:trHeight w:val="480"/>
              </w:trPr>
              <w:tc>
                <w:tcPr>
                  <w:tcW w:w="7600" w:type="dxa"/>
                  <w:gridSpan w:val="5"/>
                </w:tcPr>
                <w:p w14:paraId="77CFB442" w14:textId="77777777" w:rsidR="009968E0" w:rsidRPr="009968E0" w:rsidRDefault="009968E0" w:rsidP="009968E0">
                  <w:pPr>
                    <w:spacing w:line="360" w:lineRule="auto"/>
                    <w:jc w:val="center"/>
                    <w:rPr>
                      <w:rFonts w:ascii="Calibri" w:eastAsia="Times New Roman" w:hAnsi="Calibri" w:cs="Calibri"/>
                      <w:b/>
                      <w:bCs/>
                      <w:i/>
                      <w:color w:val="000000"/>
                      <w:sz w:val="22"/>
                      <w:szCs w:val="22"/>
                      <w:lang w:eastAsia="en-GB"/>
                    </w:rPr>
                  </w:pPr>
                  <w:r w:rsidRPr="009968E0">
                    <w:rPr>
                      <w:rFonts w:ascii="Calibri" w:eastAsia="Times New Roman" w:hAnsi="Calibri" w:cs="Calibri"/>
                      <w:b/>
                      <w:bCs/>
                      <w:i/>
                      <w:color w:val="000000"/>
                      <w:sz w:val="22"/>
                      <w:szCs w:val="22"/>
                      <w:lang w:eastAsia="en-GB"/>
                    </w:rPr>
                    <w:t>Contrast Coefficients</w:t>
                  </w:r>
                </w:p>
              </w:tc>
            </w:tr>
            <w:tr w:rsidR="009968E0" w:rsidRPr="009968E0" w14:paraId="5F1AC492" w14:textId="77777777" w:rsidTr="009968E0">
              <w:trPr>
                <w:gridAfter w:val="1"/>
                <w:wAfter w:w="7" w:type="dxa"/>
                <w:trHeight w:val="360"/>
              </w:trPr>
              <w:tc>
                <w:tcPr>
                  <w:tcW w:w="1520" w:type="dxa"/>
                  <w:vMerge w:val="restart"/>
                </w:tcPr>
                <w:p w14:paraId="0E37BE42" w14:textId="77777777" w:rsidR="009968E0" w:rsidRPr="009968E0" w:rsidRDefault="009968E0" w:rsidP="009968E0">
                  <w:pPr>
                    <w:spacing w:line="360" w:lineRule="auto"/>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Contrast</w:t>
                  </w:r>
                </w:p>
              </w:tc>
              <w:tc>
                <w:tcPr>
                  <w:tcW w:w="6080" w:type="dxa"/>
                  <w:gridSpan w:val="4"/>
                </w:tcPr>
                <w:p w14:paraId="0B8A98F6" w14:textId="77777777" w:rsidR="009968E0" w:rsidRPr="009968E0" w:rsidRDefault="009968E0" w:rsidP="009968E0">
                  <w:pPr>
                    <w:spacing w:line="360" w:lineRule="auto"/>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GROUP</w:t>
                  </w:r>
                </w:p>
              </w:tc>
            </w:tr>
            <w:tr w:rsidR="009968E0" w:rsidRPr="009968E0" w14:paraId="49395C89"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1520" w:type="dxa"/>
                  <w:vMerge/>
                </w:tcPr>
                <w:p w14:paraId="20F3FF84" w14:textId="77777777" w:rsidR="009968E0" w:rsidRPr="009968E0" w:rsidRDefault="009968E0" w:rsidP="009968E0">
                  <w:pPr>
                    <w:widowControl w:val="0"/>
                    <w:pBdr>
                      <w:top w:val="nil"/>
                      <w:left w:val="nil"/>
                      <w:bottom w:val="nil"/>
                      <w:right w:val="nil"/>
                      <w:between w:val="nil"/>
                    </w:pBdr>
                    <w:spacing w:line="360" w:lineRule="auto"/>
                    <w:rPr>
                      <w:rFonts w:ascii="Calibri" w:eastAsia="Times New Roman" w:hAnsi="Calibri" w:cs="Calibri"/>
                      <w:i/>
                      <w:color w:val="000000"/>
                      <w:sz w:val="22"/>
                      <w:szCs w:val="22"/>
                      <w:lang w:eastAsia="en-GB"/>
                    </w:rPr>
                  </w:pPr>
                </w:p>
              </w:tc>
              <w:tc>
                <w:tcPr>
                  <w:tcW w:w="1520" w:type="dxa"/>
                </w:tcPr>
                <w:p w14:paraId="4B9E22B3" w14:textId="77777777" w:rsidR="009968E0" w:rsidRPr="009968E0" w:rsidRDefault="009968E0" w:rsidP="009968E0">
                  <w:pPr>
                    <w:spacing w:line="360" w:lineRule="auto"/>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P-DPN</w:t>
                  </w:r>
                </w:p>
              </w:tc>
              <w:tc>
                <w:tcPr>
                  <w:tcW w:w="1520" w:type="dxa"/>
                </w:tcPr>
                <w:p w14:paraId="0CA60C44" w14:textId="77777777" w:rsidR="009968E0" w:rsidRPr="009968E0" w:rsidRDefault="009968E0" w:rsidP="009968E0">
                  <w:pPr>
                    <w:spacing w:line="360" w:lineRule="auto"/>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DPN</w:t>
                  </w:r>
                </w:p>
              </w:tc>
              <w:tc>
                <w:tcPr>
                  <w:tcW w:w="1520" w:type="dxa"/>
                </w:tcPr>
                <w:p w14:paraId="59313B02" w14:textId="77777777" w:rsidR="009968E0" w:rsidRPr="009968E0" w:rsidRDefault="009968E0" w:rsidP="009968E0">
                  <w:pPr>
                    <w:spacing w:line="360" w:lineRule="auto"/>
                    <w:jc w:val="center"/>
                    <w:rPr>
                      <w:rFonts w:ascii="Calibri" w:eastAsia="Times New Roman" w:hAnsi="Calibri" w:cs="Calibri"/>
                      <w:i/>
                      <w:color w:val="000000"/>
                      <w:sz w:val="22"/>
                      <w:szCs w:val="22"/>
                      <w:lang w:eastAsia="en-GB"/>
                    </w:rPr>
                  </w:pPr>
                  <w:r w:rsidRPr="009968E0">
                    <w:rPr>
                      <w:rFonts w:ascii="Calibri" w:eastAsia="Arial" w:hAnsi="Calibri" w:cs="Calibri"/>
                      <w:i/>
                      <w:color w:val="000000"/>
                      <w:sz w:val="22"/>
                      <w:szCs w:val="22"/>
                      <w:lang w:eastAsia="en-GB"/>
                    </w:rPr>
                    <w:t>DM-NN</w:t>
                  </w:r>
                </w:p>
              </w:tc>
              <w:tc>
                <w:tcPr>
                  <w:tcW w:w="1520" w:type="dxa"/>
                  <w:gridSpan w:val="2"/>
                </w:tcPr>
                <w:p w14:paraId="50B19F4E" w14:textId="77777777" w:rsidR="009968E0" w:rsidRPr="009968E0" w:rsidRDefault="009968E0" w:rsidP="009968E0">
                  <w:pPr>
                    <w:spacing w:line="360" w:lineRule="auto"/>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HV</w:t>
                  </w:r>
                </w:p>
              </w:tc>
            </w:tr>
            <w:tr w:rsidR="009968E0" w:rsidRPr="009968E0" w14:paraId="651F014D" w14:textId="77777777" w:rsidTr="009968E0">
              <w:trPr>
                <w:trHeight w:val="360"/>
              </w:trPr>
              <w:tc>
                <w:tcPr>
                  <w:tcW w:w="1520" w:type="dxa"/>
                </w:tcPr>
                <w:p w14:paraId="389FCE82" w14:textId="77777777" w:rsidR="009968E0" w:rsidRPr="009968E0" w:rsidRDefault="009968E0" w:rsidP="009968E0">
                  <w:pPr>
                    <w:spacing w:line="360" w:lineRule="auto"/>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w:t>
                  </w:r>
                </w:p>
              </w:tc>
              <w:tc>
                <w:tcPr>
                  <w:tcW w:w="1520" w:type="dxa"/>
                </w:tcPr>
                <w:p w14:paraId="65C229CA"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w:t>
                  </w:r>
                </w:p>
              </w:tc>
              <w:tc>
                <w:tcPr>
                  <w:tcW w:w="1520" w:type="dxa"/>
                </w:tcPr>
                <w:p w14:paraId="64CA1F0B"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w:t>
                  </w:r>
                </w:p>
              </w:tc>
              <w:tc>
                <w:tcPr>
                  <w:tcW w:w="1520" w:type="dxa"/>
                </w:tcPr>
                <w:p w14:paraId="3915E215"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w:t>
                  </w:r>
                </w:p>
              </w:tc>
              <w:tc>
                <w:tcPr>
                  <w:tcW w:w="1520" w:type="dxa"/>
                  <w:gridSpan w:val="2"/>
                </w:tcPr>
                <w:p w14:paraId="178F077D"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w:t>
                  </w:r>
                </w:p>
              </w:tc>
            </w:tr>
            <w:tr w:rsidR="009968E0" w:rsidRPr="009968E0" w14:paraId="06D72EB5"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1520" w:type="dxa"/>
                </w:tcPr>
                <w:p w14:paraId="7181DE55" w14:textId="77777777" w:rsidR="009968E0" w:rsidRPr="009968E0" w:rsidRDefault="009968E0" w:rsidP="009968E0">
                  <w:pPr>
                    <w:spacing w:line="360" w:lineRule="auto"/>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w:t>
                  </w:r>
                </w:p>
              </w:tc>
              <w:tc>
                <w:tcPr>
                  <w:tcW w:w="1520" w:type="dxa"/>
                </w:tcPr>
                <w:p w14:paraId="1E3B4A48"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w:t>
                  </w:r>
                </w:p>
              </w:tc>
              <w:tc>
                <w:tcPr>
                  <w:tcW w:w="1520" w:type="dxa"/>
                </w:tcPr>
                <w:p w14:paraId="639D791B"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w:t>
                  </w:r>
                </w:p>
              </w:tc>
              <w:tc>
                <w:tcPr>
                  <w:tcW w:w="1520" w:type="dxa"/>
                </w:tcPr>
                <w:p w14:paraId="2B3BEF8E"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w:t>
                  </w:r>
                </w:p>
              </w:tc>
              <w:tc>
                <w:tcPr>
                  <w:tcW w:w="1520" w:type="dxa"/>
                  <w:gridSpan w:val="2"/>
                </w:tcPr>
                <w:p w14:paraId="3561DFE5"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w:t>
                  </w:r>
                </w:p>
              </w:tc>
            </w:tr>
            <w:tr w:rsidR="009968E0" w:rsidRPr="009968E0" w14:paraId="3866494D" w14:textId="77777777" w:rsidTr="009968E0">
              <w:trPr>
                <w:trHeight w:val="360"/>
              </w:trPr>
              <w:tc>
                <w:tcPr>
                  <w:tcW w:w="1520" w:type="dxa"/>
                </w:tcPr>
                <w:p w14:paraId="0827996B" w14:textId="77777777" w:rsidR="009968E0" w:rsidRPr="009968E0" w:rsidRDefault="009968E0" w:rsidP="009968E0">
                  <w:pPr>
                    <w:spacing w:line="360" w:lineRule="auto"/>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w:t>
                  </w:r>
                </w:p>
              </w:tc>
              <w:tc>
                <w:tcPr>
                  <w:tcW w:w="1520" w:type="dxa"/>
                </w:tcPr>
                <w:p w14:paraId="7235522B"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w:t>
                  </w:r>
                </w:p>
              </w:tc>
              <w:tc>
                <w:tcPr>
                  <w:tcW w:w="1520" w:type="dxa"/>
                </w:tcPr>
                <w:p w14:paraId="029E3396"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w:t>
                  </w:r>
                </w:p>
              </w:tc>
              <w:tc>
                <w:tcPr>
                  <w:tcW w:w="1520" w:type="dxa"/>
                </w:tcPr>
                <w:p w14:paraId="0A2DADA1"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w:t>
                  </w:r>
                </w:p>
              </w:tc>
              <w:tc>
                <w:tcPr>
                  <w:tcW w:w="1520" w:type="dxa"/>
                  <w:gridSpan w:val="2"/>
                </w:tcPr>
                <w:p w14:paraId="156AAC72"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w:t>
                  </w:r>
                </w:p>
              </w:tc>
            </w:tr>
            <w:tr w:rsidR="009968E0" w:rsidRPr="009968E0" w14:paraId="745F105B"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1520" w:type="dxa"/>
                </w:tcPr>
                <w:p w14:paraId="4716ECE5" w14:textId="77777777" w:rsidR="009968E0" w:rsidRPr="009968E0" w:rsidRDefault="009968E0" w:rsidP="009968E0">
                  <w:pPr>
                    <w:spacing w:line="360" w:lineRule="auto"/>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4</w:t>
                  </w:r>
                </w:p>
              </w:tc>
              <w:tc>
                <w:tcPr>
                  <w:tcW w:w="1520" w:type="dxa"/>
                </w:tcPr>
                <w:p w14:paraId="558AEE26"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w:t>
                  </w:r>
                </w:p>
              </w:tc>
              <w:tc>
                <w:tcPr>
                  <w:tcW w:w="1520" w:type="dxa"/>
                </w:tcPr>
                <w:p w14:paraId="4DDF034B"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w:t>
                  </w:r>
                </w:p>
              </w:tc>
              <w:tc>
                <w:tcPr>
                  <w:tcW w:w="1520" w:type="dxa"/>
                </w:tcPr>
                <w:p w14:paraId="7F8E25C4"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w:t>
                  </w:r>
                </w:p>
              </w:tc>
              <w:tc>
                <w:tcPr>
                  <w:tcW w:w="1520" w:type="dxa"/>
                  <w:gridSpan w:val="2"/>
                </w:tcPr>
                <w:p w14:paraId="0B4BC206"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w:t>
                  </w:r>
                </w:p>
              </w:tc>
            </w:tr>
          </w:tbl>
          <w:p w14:paraId="7E036B64" w14:textId="77777777" w:rsidR="009968E0" w:rsidRPr="009968E0" w:rsidRDefault="009968E0" w:rsidP="009968E0">
            <w:pPr>
              <w:spacing w:line="360" w:lineRule="auto"/>
              <w:rPr>
                <w:rFonts w:ascii="Calibri" w:eastAsia="Times New Roman" w:hAnsi="Calibri" w:cs="Calibri"/>
                <w:i/>
                <w:sz w:val="22"/>
                <w:szCs w:val="22"/>
                <w:lang w:eastAsia="en-GB"/>
              </w:rPr>
            </w:pPr>
          </w:p>
        </w:tc>
      </w:tr>
    </w:tbl>
    <w:p w14:paraId="65C3D4C6" w14:textId="77777777" w:rsidR="009968E0" w:rsidRPr="009968E0" w:rsidRDefault="009968E0" w:rsidP="009968E0">
      <w:pPr>
        <w:spacing w:line="360" w:lineRule="auto"/>
        <w:rPr>
          <w:rFonts w:ascii="Calibri" w:eastAsia="Times New Roman" w:hAnsi="Calibri" w:cs="Calibri"/>
          <w:i/>
          <w:color w:val="808080"/>
          <w:sz w:val="21"/>
          <w:lang w:eastAsia="en-GB"/>
        </w:rPr>
      </w:pPr>
      <w:r w:rsidRPr="009968E0">
        <w:rPr>
          <w:rFonts w:ascii="Calibri" w:eastAsia="Times New Roman" w:hAnsi="Calibri" w:cs="Calibri"/>
          <w:i/>
          <w:color w:val="808080"/>
          <w:sz w:val="21"/>
          <w:lang w:eastAsia="en-GB"/>
        </w:rPr>
        <w:t xml:space="preserve">Contrast 1: HV vs ALL DM, Contrast 2: ALL neuropathy vs No Neuropathy, Contrast 3 All neuropathy vs DM-NN, Contrast 4 P-DPN vs DPN. </w:t>
      </w:r>
    </w:p>
    <w:p w14:paraId="734C11F2" w14:textId="789A8888" w:rsidR="009968E0" w:rsidRPr="007D16C6" w:rsidRDefault="009968E0" w:rsidP="007D16C6">
      <w:pPr>
        <w:pStyle w:val="Quote"/>
      </w:pPr>
      <w:bookmarkStart w:id="780" w:name="_Toc49273401"/>
      <w:bookmarkStart w:id="781" w:name="_Toc64724153"/>
      <w:r w:rsidRPr="007D16C6">
        <w:t>Table E.3: Results of Contrast Tests</w:t>
      </w:r>
      <w:bookmarkEnd w:id="780"/>
      <w:bookmarkEnd w:id="781"/>
    </w:p>
    <w:tbl>
      <w:tblPr>
        <w:tblW w:w="9064" w:type="dxa"/>
        <w:tblCellMar>
          <w:left w:w="115" w:type="dxa"/>
          <w:right w:w="115" w:type="dxa"/>
        </w:tblCellMar>
        <w:tblLook w:val="0400" w:firstRow="0" w:lastRow="0" w:firstColumn="0" w:lastColumn="0" w:noHBand="0" w:noVBand="1"/>
      </w:tblPr>
      <w:tblGrid>
        <w:gridCol w:w="9064"/>
      </w:tblGrid>
      <w:tr w:rsidR="009968E0" w:rsidRPr="009968E0" w14:paraId="0F59281C" w14:textId="77777777" w:rsidTr="009968E0">
        <w:trPr>
          <w:trHeight w:val="480"/>
        </w:trPr>
        <w:tc>
          <w:tcPr>
            <w:tcW w:w="9064" w:type="dxa"/>
            <w:tcBorders>
              <w:top w:val="nil"/>
              <w:left w:val="nil"/>
              <w:bottom w:val="nil"/>
              <w:right w:val="nil"/>
            </w:tcBorders>
            <w:shd w:val="clear" w:color="auto" w:fill="auto"/>
            <w:vAlign w:val="center"/>
          </w:tcPr>
          <w:p w14:paraId="48596BCC" w14:textId="77777777" w:rsidR="009968E0" w:rsidRPr="009968E0" w:rsidRDefault="009968E0" w:rsidP="009968E0">
            <w:pPr>
              <w:pBdr>
                <w:top w:val="nil"/>
                <w:left w:val="nil"/>
                <w:bottom w:val="nil"/>
                <w:right w:val="nil"/>
                <w:between w:val="nil"/>
              </w:pBdr>
              <w:spacing w:line="360" w:lineRule="auto"/>
              <w:rPr>
                <w:rFonts w:eastAsia="Times New Roman" w:cs="Arial"/>
                <w:color w:val="000000"/>
                <w:lang w:eastAsia="en-GB"/>
              </w:rPr>
            </w:pPr>
          </w:p>
          <w:tbl>
            <w:tblPr>
              <w:tblStyle w:val="GridTable2-Accent212"/>
              <w:tblW w:w="5000" w:type="pct"/>
              <w:tblLook w:val="0400" w:firstRow="0" w:lastRow="0" w:firstColumn="0" w:lastColumn="0" w:noHBand="0" w:noVBand="1"/>
            </w:tblPr>
            <w:tblGrid>
              <w:gridCol w:w="4428"/>
              <w:gridCol w:w="1595"/>
              <w:gridCol w:w="2811"/>
            </w:tblGrid>
            <w:tr w:rsidR="009968E0" w:rsidRPr="009968E0" w14:paraId="5A00FEFD" w14:textId="77777777" w:rsidTr="009968E0">
              <w:trPr>
                <w:cnfStyle w:val="000000100000" w:firstRow="0" w:lastRow="0" w:firstColumn="0" w:lastColumn="0" w:oddVBand="0" w:evenVBand="0" w:oddHBand="1" w:evenHBand="0" w:firstRowFirstColumn="0" w:firstRowLastColumn="0" w:lastRowFirstColumn="0" w:lastRowLastColumn="0"/>
                <w:trHeight w:val="680"/>
              </w:trPr>
              <w:tc>
                <w:tcPr>
                  <w:tcW w:w="2506" w:type="pct"/>
                </w:tcPr>
                <w:p w14:paraId="298946C1" w14:textId="77777777" w:rsidR="009968E0" w:rsidRPr="009968E0" w:rsidRDefault="009968E0" w:rsidP="009968E0">
                  <w:pPr>
                    <w:spacing w:line="360" w:lineRule="auto"/>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Contrast</w:t>
                  </w:r>
                </w:p>
              </w:tc>
              <w:tc>
                <w:tcPr>
                  <w:tcW w:w="903" w:type="pct"/>
                </w:tcPr>
                <w:p w14:paraId="126C2532" w14:textId="77777777" w:rsidR="009968E0" w:rsidRPr="009968E0" w:rsidRDefault="009968E0" w:rsidP="009968E0">
                  <w:pPr>
                    <w:spacing w:line="360" w:lineRule="auto"/>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 </w:t>
                  </w:r>
                </w:p>
              </w:tc>
              <w:tc>
                <w:tcPr>
                  <w:tcW w:w="1591" w:type="pct"/>
                </w:tcPr>
                <w:p w14:paraId="59DBA2CA" w14:textId="77777777" w:rsidR="009968E0" w:rsidRPr="009968E0" w:rsidRDefault="009968E0" w:rsidP="009968E0">
                  <w:pPr>
                    <w:spacing w:line="360" w:lineRule="auto"/>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Sig. (2-tailed)</w:t>
                  </w:r>
                </w:p>
              </w:tc>
            </w:tr>
            <w:tr w:rsidR="009968E0" w:rsidRPr="009968E0" w14:paraId="196C3C77" w14:textId="77777777" w:rsidTr="009968E0">
              <w:trPr>
                <w:trHeight w:val="360"/>
              </w:trPr>
              <w:tc>
                <w:tcPr>
                  <w:tcW w:w="2506" w:type="pct"/>
                  <w:vMerge w:val="restart"/>
                </w:tcPr>
                <w:p w14:paraId="7343276B" w14:textId="77777777" w:rsidR="009968E0" w:rsidRPr="009968E0" w:rsidRDefault="009968E0" w:rsidP="009968E0">
                  <w:pPr>
                    <w:spacing w:line="360" w:lineRule="auto"/>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NAA/Creatine</w:t>
                  </w:r>
                </w:p>
              </w:tc>
              <w:tc>
                <w:tcPr>
                  <w:tcW w:w="903" w:type="pct"/>
                </w:tcPr>
                <w:p w14:paraId="724C2935" w14:textId="77777777" w:rsidR="009968E0" w:rsidRPr="009968E0" w:rsidRDefault="009968E0" w:rsidP="009968E0">
                  <w:pPr>
                    <w:spacing w:line="360" w:lineRule="auto"/>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HV vs ALL-DM</w:t>
                  </w:r>
                </w:p>
              </w:tc>
              <w:tc>
                <w:tcPr>
                  <w:tcW w:w="1591" w:type="pct"/>
                </w:tcPr>
                <w:p w14:paraId="6ED5C179"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.088</w:t>
                  </w:r>
                </w:p>
              </w:tc>
            </w:tr>
            <w:tr w:rsidR="009968E0" w:rsidRPr="009968E0" w14:paraId="556B6517"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2506" w:type="pct"/>
                  <w:vMerge/>
                </w:tcPr>
                <w:p w14:paraId="68585E4B" w14:textId="77777777" w:rsidR="009968E0" w:rsidRPr="009968E0" w:rsidRDefault="009968E0" w:rsidP="009968E0">
                  <w:pPr>
                    <w:widowControl w:val="0"/>
                    <w:pBdr>
                      <w:top w:val="nil"/>
                      <w:left w:val="nil"/>
                      <w:bottom w:val="nil"/>
                      <w:right w:val="nil"/>
                      <w:between w:val="nil"/>
                    </w:pBdr>
                    <w:spacing w:line="360" w:lineRule="auto"/>
                    <w:rPr>
                      <w:rFonts w:ascii="Calibri" w:eastAsia="Times New Roman" w:hAnsi="Calibri" w:cs="Calibri"/>
                      <w:i/>
                      <w:iCs/>
                      <w:color w:val="000000"/>
                      <w:sz w:val="22"/>
                      <w:szCs w:val="22"/>
                      <w:lang w:eastAsia="en-GB"/>
                    </w:rPr>
                  </w:pPr>
                </w:p>
              </w:tc>
              <w:tc>
                <w:tcPr>
                  <w:tcW w:w="903" w:type="pct"/>
                </w:tcPr>
                <w:p w14:paraId="212664E0" w14:textId="77777777" w:rsidR="009968E0" w:rsidRPr="009968E0" w:rsidRDefault="009968E0" w:rsidP="009968E0">
                  <w:pPr>
                    <w:spacing w:line="360" w:lineRule="auto"/>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NN vs N</w:t>
                  </w:r>
                </w:p>
              </w:tc>
              <w:tc>
                <w:tcPr>
                  <w:tcW w:w="1591" w:type="pct"/>
                </w:tcPr>
                <w:p w14:paraId="58F8A1FE"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.074</w:t>
                  </w:r>
                </w:p>
              </w:tc>
            </w:tr>
            <w:tr w:rsidR="009968E0" w:rsidRPr="009968E0" w14:paraId="0AA9716A" w14:textId="77777777" w:rsidTr="009968E0">
              <w:trPr>
                <w:trHeight w:val="360"/>
              </w:trPr>
              <w:tc>
                <w:tcPr>
                  <w:tcW w:w="2506" w:type="pct"/>
                  <w:vMerge/>
                </w:tcPr>
                <w:p w14:paraId="1411F8B4" w14:textId="77777777" w:rsidR="009968E0" w:rsidRPr="009968E0" w:rsidRDefault="009968E0" w:rsidP="009968E0">
                  <w:pPr>
                    <w:widowControl w:val="0"/>
                    <w:pBdr>
                      <w:top w:val="nil"/>
                      <w:left w:val="nil"/>
                      <w:bottom w:val="nil"/>
                      <w:right w:val="nil"/>
                      <w:between w:val="nil"/>
                    </w:pBdr>
                    <w:spacing w:line="360" w:lineRule="auto"/>
                    <w:rPr>
                      <w:rFonts w:ascii="Calibri" w:eastAsia="Times New Roman" w:hAnsi="Calibri" w:cs="Calibri"/>
                      <w:i/>
                      <w:iCs/>
                      <w:color w:val="000000"/>
                      <w:sz w:val="22"/>
                      <w:szCs w:val="22"/>
                      <w:lang w:eastAsia="en-GB"/>
                    </w:rPr>
                  </w:pPr>
                </w:p>
              </w:tc>
              <w:tc>
                <w:tcPr>
                  <w:tcW w:w="903" w:type="pct"/>
                </w:tcPr>
                <w:p w14:paraId="107EC099" w14:textId="77777777" w:rsidR="009968E0" w:rsidRPr="009968E0" w:rsidRDefault="009968E0" w:rsidP="009968E0">
                  <w:pPr>
                    <w:spacing w:line="360" w:lineRule="auto"/>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 vs DM-NN</w:t>
                  </w:r>
                </w:p>
              </w:tc>
              <w:tc>
                <w:tcPr>
                  <w:tcW w:w="1591" w:type="pct"/>
                </w:tcPr>
                <w:p w14:paraId="69AF71B1"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.353</w:t>
                  </w:r>
                </w:p>
              </w:tc>
            </w:tr>
            <w:tr w:rsidR="009968E0" w:rsidRPr="009968E0" w14:paraId="0FDFD933"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2506" w:type="pct"/>
                  <w:vMerge/>
                </w:tcPr>
                <w:p w14:paraId="2170A861" w14:textId="77777777" w:rsidR="009968E0" w:rsidRPr="009968E0" w:rsidRDefault="009968E0" w:rsidP="009968E0">
                  <w:pPr>
                    <w:widowControl w:val="0"/>
                    <w:pBdr>
                      <w:top w:val="nil"/>
                      <w:left w:val="nil"/>
                      <w:bottom w:val="nil"/>
                      <w:right w:val="nil"/>
                      <w:between w:val="nil"/>
                    </w:pBdr>
                    <w:spacing w:line="360" w:lineRule="auto"/>
                    <w:rPr>
                      <w:rFonts w:ascii="Calibri" w:eastAsia="Times New Roman" w:hAnsi="Calibri" w:cs="Calibri"/>
                      <w:i/>
                      <w:iCs/>
                      <w:color w:val="000000"/>
                      <w:sz w:val="22"/>
                      <w:szCs w:val="22"/>
                      <w:lang w:eastAsia="en-GB"/>
                    </w:rPr>
                  </w:pPr>
                </w:p>
              </w:tc>
              <w:tc>
                <w:tcPr>
                  <w:tcW w:w="903" w:type="pct"/>
                </w:tcPr>
                <w:p w14:paraId="79F865E7" w14:textId="77777777" w:rsidR="009968E0" w:rsidRPr="009968E0" w:rsidRDefault="009968E0" w:rsidP="009968E0">
                  <w:pPr>
                    <w:spacing w:line="360" w:lineRule="auto"/>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P-DPN vs DPN</w:t>
                  </w:r>
                </w:p>
              </w:tc>
              <w:tc>
                <w:tcPr>
                  <w:tcW w:w="1591" w:type="pct"/>
                </w:tcPr>
                <w:p w14:paraId="496A58DC"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.656</w:t>
                  </w:r>
                </w:p>
              </w:tc>
            </w:tr>
            <w:tr w:rsidR="009968E0" w:rsidRPr="009968E0" w14:paraId="5782C9E9" w14:textId="77777777" w:rsidTr="009968E0">
              <w:trPr>
                <w:trHeight w:val="360"/>
              </w:trPr>
              <w:tc>
                <w:tcPr>
                  <w:tcW w:w="2506" w:type="pct"/>
                  <w:vMerge w:val="restart"/>
                </w:tcPr>
                <w:p w14:paraId="199C34E0" w14:textId="77777777" w:rsidR="009968E0" w:rsidRPr="009968E0" w:rsidRDefault="009968E0" w:rsidP="009968E0">
                  <w:pPr>
                    <w:spacing w:line="360" w:lineRule="auto"/>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Cho/Creatine</w:t>
                  </w:r>
                </w:p>
              </w:tc>
              <w:tc>
                <w:tcPr>
                  <w:tcW w:w="903" w:type="pct"/>
                </w:tcPr>
                <w:p w14:paraId="18A52375" w14:textId="77777777" w:rsidR="009968E0" w:rsidRPr="009968E0" w:rsidRDefault="009968E0" w:rsidP="009968E0">
                  <w:pPr>
                    <w:spacing w:line="360" w:lineRule="auto"/>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HV vs ALL-DM</w:t>
                  </w:r>
                </w:p>
              </w:tc>
              <w:tc>
                <w:tcPr>
                  <w:tcW w:w="1591" w:type="pct"/>
                </w:tcPr>
                <w:p w14:paraId="124E0E2F"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.407</w:t>
                  </w:r>
                </w:p>
              </w:tc>
            </w:tr>
            <w:tr w:rsidR="009968E0" w:rsidRPr="009968E0" w14:paraId="18911A6B"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2506" w:type="pct"/>
                  <w:vMerge/>
                </w:tcPr>
                <w:p w14:paraId="4F88C942" w14:textId="77777777" w:rsidR="009968E0" w:rsidRPr="009968E0" w:rsidRDefault="009968E0" w:rsidP="009968E0">
                  <w:pPr>
                    <w:widowControl w:val="0"/>
                    <w:pBdr>
                      <w:top w:val="nil"/>
                      <w:left w:val="nil"/>
                      <w:bottom w:val="nil"/>
                      <w:right w:val="nil"/>
                      <w:between w:val="nil"/>
                    </w:pBdr>
                    <w:spacing w:line="360" w:lineRule="auto"/>
                    <w:rPr>
                      <w:rFonts w:ascii="Calibri" w:eastAsia="Times New Roman" w:hAnsi="Calibri" w:cs="Calibri"/>
                      <w:i/>
                      <w:iCs/>
                      <w:color w:val="000000"/>
                      <w:sz w:val="22"/>
                      <w:szCs w:val="22"/>
                      <w:lang w:eastAsia="en-GB"/>
                    </w:rPr>
                  </w:pPr>
                </w:p>
              </w:tc>
              <w:tc>
                <w:tcPr>
                  <w:tcW w:w="903" w:type="pct"/>
                </w:tcPr>
                <w:p w14:paraId="4D9DCC1B" w14:textId="77777777" w:rsidR="009968E0" w:rsidRPr="009968E0" w:rsidRDefault="009968E0" w:rsidP="009968E0">
                  <w:pPr>
                    <w:spacing w:line="360" w:lineRule="auto"/>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NN vs N</w:t>
                  </w:r>
                </w:p>
              </w:tc>
              <w:tc>
                <w:tcPr>
                  <w:tcW w:w="1591" w:type="pct"/>
                </w:tcPr>
                <w:p w14:paraId="39AC0D90"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.928</w:t>
                  </w:r>
                </w:p>
              </w:tc>
            </w:tr>
            <w:tr w:rsidR="009968E0" w:rsidRPr="009968E0" w14:paraId="4F26F1CF" w14:textId="77777777" w:rsidTr="009968E0">
              <w:trPr>
                <w:trHeight w:val="360"/>
              </w:trPr>
              <w:tc>
                <w:tcPr>
                  <w:tcW w:w="2506" w:type="pct"/>
                  <w:vMerge/>
                </w:tcPr>
                <w:p w14:paraId="11AF2AD4" w14:textId="77777777" w:rsidR="009968E0" w:rsidRPr="009968E0" w:rsidRDefault="009968E0" w:rsidP="009968E0">
                  <w:pPr>
                    <w:widowControl w:val="0"/>
                    <w:pBdr>
                      <w:top w:val="nil"/>
                      <w:left w:val="nil"/>
                      <w:bottom w:val="nil"/>
                      <w:right w:val="nil"/>
                      <w:between w:val="nil"/>
                    </w:pBdr>
                    <w:spacing w:line="360" w:lineRule="auto"/>
                    <w:rPr>
                      <w:rFonts w:ascii="Calibri" w:eastAsia="Times New Roman" w:hAnsi="Calibri" w:cs="Calibri"/>
                      <w:i/>
                      <w:iCs/>
                      <w:color w:val="000000"/>
                      <w:sz w:val="22"/>
                      <w:szCs w:val="22"/>
                      <w:lang w:eastAsia="en-GB"/>
                    </w:rPr>
                  </w:pPr>
                </w:p>
              </w:tc>
              <w:tc>
                <w:tcPr>
                  <w:tcW w:w="903" w:type="pct"/>
                </w:tcPr>
                <w:p w14:paraId="080AC416" w14:textId="77777777" w:rsidR="009968E0" w:rsidRPr="009968E0" w:rsidRDefault="009968E0" w:rsidP="009968E0">
                  <w:pPr>
                    <w:spacing w:line="360" w:lineRule="auto"/>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 vs DM-NN</w:t>
                  </w:r>
                </w:p>
              </w:tc>
              <w:tc>
                <w:tcPr>
                  <w:tcW w:w="1591" w:type="pct"/>
                </w:tcPr>
                <w:p w14:paraId="201134E5"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.665</w:t>
                  </w:r>
                </w:p>
              </w:tc>
            </w:tr>
            <w:tr w:rsidR="009968E0" w:rsidRPr="009968E0" w14:paraId="023BB253"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2506" w:type="pct"/>
                  <w:vMerge/>
                </w:tcPr>
                <w:p w14:paraId="24176A04" w14:textId="77777777" w:rsidR="009968E0" w:rsidRPr="009968E0" w:rsidRDefault="009968E0" w:rsidP="009968E0">
                  <w:pPr>
                    <w:widowControl w:val="0"/>
                    <w:pBdr>
                      <w:top w:val="nil"/>
                      <w:left w:val="nil"/>
                      <w:bottom w:val="nil"/>
                      <w:right w:val="nil"/>
                      <w:between w:val="nil"/>
                    </w:pBdr>
                    <w:spacing w:line="360" w:lineRule="auto"/>
                    <w:rPr>
                      <w:rFonts w:ascii="Calibri" w:eastAsia="Times New Roman" w:hAnsi="Calibri" w:cs="Calibri"/>
                      <w:i/>
                      <w:iCs/>
                      <w:color w:val="000000"/>
                      <w:sz w:val="22"/>
                      <w:szCs w:val="22"/>
                      <w:lang w:eastAsia="en-GB"/>
                    </w:rPr>
                  </w:pPr>
                </w:p>
              </w:tc>
              <w:tc>
                <w:tcPr>
                  <w:tcW w:w="903" w:type="pct"/>
                </w:tcPr>
                <w:p w14:paraId="314AF0CC" w14:textId="77777777" w:rsidR="009968E0" w:rsidRPr="009968E0" w:rsidRDefault="009968E0" w:rsidP="009968E0">
                  <w:pPr>
                    <w:spacing w:line="360" w:lineRule="auto"/>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P-DPN vs DPN</w:t>
                  </w:r>
                </w:p>
              </w:tc>
              <w:tc>
                <w:tcPr>
                  <w:tcW w:w="1591" w:type="pct"/>
                </w:tcPr>
                <w:p w14:paraId="230497AE"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.932</w:t>
                  </w:r>
                </w:p>
              </w:tc>
            </w:tr>
            <w:tr w:rsidR="009968E0" w:rsidRPr="009968E0" w14:paraId="41FE5B99" w14:textId="77777777" w:rsidTr="009968E0">
              <w:trPr>
                <w:trHeight w:val="360"/>
              </w:trPr>
              <w:tc>
                <w:tcPr>
                  <w:tcW w:w="2506" w:type="pct"/>
                  <w:vMerge w:val="restart"/>
                </w:tcPr>
                <w:p w14:paraId="4734D1E6" w14:textId="77777777" w:rsidR="009968E0" w:rsidRPr="009968E0" w:rsidRDefault="009968E0" w:rsidP="009968E0">
                  <w:pPr>
                    <w:spacing w:line="360" w:lineRule="auto"/>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NAA/Choline</w:t>
                  </w:r>
                </w:p>
              </w:tc>
              <w:tc>
                <w:tcPr>
                  <w:tcW w:w="903" w:type="pct"/>
                </w:tcPr>
                <w:p w14:paraId="506543CA" w14:textId="77777777" w:rsidR="009968E0" w:rsidRPr="009968E0" w:rsidRDefault="009968E0" w:rsidP="009968E0">
                  <w:pPr>
                    <w:spacing w:line="360" w:lineRule="auto"/>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HV vs ALL-DM</w:t>
                  </w:r>
                </w:p>
              </w:tc>
              <w:tc>
                <w:tcPr>
                  <w:tcW w:w="1591" w:type="pct"/>
                </w:tcPr>
                <w:p w14:paraId="57E6880E"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.701</w:t>
                  </w:r>
                </w:p>
              </w:tc>
            </w:tr>
            <w:tr w:rsidR="009968E0" w:rsidRPr="009968E0" w14:paraId="1F597782"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2506" w:type="pct"/>
                  <w:vMerge/>
                </w:tcPr>
                <w:p w14:paraId="560CE69B" w14:textId="77777777" w:rsidR="009968E0" w:rsidRPr="009968E0" w:rsidRDefault="009968E0" w:rsidP="009968E0">
                  <w:pPr>
                    <w:widowControl w:val="0"/>
                    <w:pBdr>
                      <w:top w:val="nil"/>
                      <w:left w:val="nil"/>
                      <w:bottom w:val="nil"/>
                      <w:right w:val="nil"/>
                      <w:between w:val="nil"/>
                    </w:pBdr>
                    <w:spacing w:line="360" w:lineRule="auto"/>
                    <w:rPr>
                      <w:rFonts w:ascii="Calibri" w:eastAsia="Times New Roman" w:hAnsi="Calibri" w:cs="Calibri"/>
                      <w:i/>
                      <w:iCs/>
                      <w:color w:val="000000"/>
                      <w:sz w:val="22"/>
                      <w:szCs w:val="22"/>
                      <w:lang w:eastAsia="en-GB"/>
                    </w:rPr>
                  </w:pPr>
                </w:p>
              </w:tc>
              <w:tc>
                <w:tcPr>
                  <w:tcW w:w="903" w:type="pct"/>
                </w:tcPr>
                <w:p w14:paraId="47F7A2F9" w14:textId="77777777" w:rsidR="009968E0" w:rsidRPr="009968E0" w:rsidRDefault="009968E0" w:rsidP="009968E0">
                  <w:pPr>
                    <w:spacing w:line="360" w:lineRule="auto"/>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NN vs N</w:t>
                  </w:r>
                </w:p>
              </w:tc>
              <w:tc>
                <w:tcPr>
                  <w:tcW w:w="1591" w:type="pct"/>
                </w:tcPr>
                <w:p w14:paraId="0233FC0F"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.141</w:t>
                  </w:r>
                </w:p>
              </w:tc>
            </w:tr>
            <w:tr w:rsidR="009968E0" w:rsidRPr="009968E0" w14:paraId="74D3FC16" w14:textId="77777777" w:rsidTr="009968E0">
              <w:trPr>
                <w:trHeight w:val="360"/>
              </w:trPr>
              <w:tc>
                <w:tcPr>
                  <w:tcW w:w="2506" w:type="pct"/>
                  <w:vMerge/>
                </w:tcPr>
                <w:p w14:paraId="464A8893" w14:textId="77777777" w:rsidR="009968E0" w:rsidRPr="009968E0" w:rsidRDefault="009968E0" w:rsidP="009968E0">
                  <w:pPr>
                    <w:widowControl w:val="0"/>
                    <w:pBdr>
                      <w:top w:val="nil"/>
                      <w:left w:val="nil"/>
                      <w:bottom w:val="nil"/>
                      <w:right w:val="nil"/>
                      <w:between w:val="nil"/>
                    </w:pBdr>
                    <w:spacing w:line="360" w:lineRule="auto"/>
                    <w:rPr>
                      <w:rFonts w:ascii="Calibri" w:eastAsia="Times New Roman" w:hAnsi="Calibri" w:cs="Calibri"/>
                      <w:i/>
                      <w:iCs/>
                      <w:color w:val="000000"/>
                      <w:sz w:val="22"/>
                      <w:szCs w:val="22"/>
                      <w:lang w:eastAsia="en-GB"/>
                    </w:rPr>
                  </w:pPr>
                </w:p>
              </w:tc>
              <w:tc>
                <w:tcPr>
                  <w:tcW w:w="903" w:type="pct"/>
                </w:tcPr>
                <w:p w14:paraId="346651C9" w14:textId="77777777" w:rsidR="009968E0" w:rsidRPr="009968E0" w:rsidRDefault="009968E0" w:rsidP="009968E0">
                  <w:pPr>
                    <w:spacing w:line="360" w:lineRule="auto"/>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 vs DM-NN</w:t>
                  </w:r>
                </w:p>
              </w:tc>
              <w:tc>
                <w:tcPr>
                  <w:tcW w:w="1591" w:type="pct"/>
                </w:tcPr>
                <w:p w14:paraId="545C5274"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.155</w:t>
                  </w:r>
                </w:p>
              </w:tc>
            </w:tr>
            <w:tr w:rsidR="009968E0" w:rsidRPr="009968E0" w14:paraId="0652F4B2"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2506" w:type="pct"/>
                  <w:vMerge/>
                </w:tcPr>
                <w:p w14:paraId="037AD0EE" w14:textId="77777777" w:rsidR="009968E0" w:rsidRPr="009968E0" w:rsidRDefault="009968E0" w:rsidP="009968E0">
                  <w:pPr>
                    <w:widowControl w:val="0"/>
                    <w:pBdr>
                      <w:top w:val="nil"/>
                      <w:left w:val="nil"/>
                      <w:bottom w:val="nil"/>
                      <w:right w:val="nil"/>
                      <w:between w:val="nil"/>
                    </w:pBdr>
                    <w:spacing w:line="360" w:lineRule="auto"/>
                    <w:rPr>
                      <w:rFonts w:ascii="Calibri" w:eastAsia="Times New Roman" w:hAnsi="Calibri" w:cs="Calibri"/>
                      <w:i/>
                      <w:iCs/>
                      <w:color w:val="000000"/>
                      <w:sz w:val="22"/>
                      <w:szCs w:val="22"/>
                      <w:lang w:eastAsia="en-GB"/>
                    </w:rPr>
                  </w:pPr>
                </w:p>
              </w:tc>
              <w:tc>
                <w:tcPr>
                  <w:tcW w:w="903" w:type="pct"/>
                </w:tcPr>
                <w:p w14:paraId="19ADF488" w14:textId="77777777" w:rsidR="009968E0" w:rsidRPr="009968E0" w:rsidRDefault="009968E0" w:rsidP="009968E0">
                  <w:pPr>
                    <w:spacing w:line="360" w:lineRule="auto"/>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P-DPN vs DPN</w:t>
                  </w:r>
                </w:p>
              </w:tc>
              <w:tc>
                <w:tcPr>
                  <w:tcW w:w="1591" w:type="pct"/>
                </w:tcPr>
                <w:p w14:paraId="418AD67B"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.921</w:t>
                  </w:r>
                </w:p>
              </w:tc>
            </w:tr>
          </w:tbl>
          <w:p w14:paraId="3781F322" w14:textId="77777777" w:rsidR="009968E0" w:rsidRPr="009968E0" w:rsidRDefault="009968E0" w:rsidP="009968E0">
            <w:pPr>
              <w:spacing w:line="360" w:lineRule="auto"/>
              <w:rPr>
                <w:rFonts w:eastAsia="Times New Roman" w:cs="Arial"/>
                <w:lang w:eastAsia="en-GB"/>
              </w:rPr>
            </w:pPr>
          </w:p>
        </w:tc>
      </w:tr>
    </w:tbl>
    <w:p w14:paraId="6A647BF5" w14:textId="77777777" w:rsidR="009968E0" w:rsidRPr="009968E0" w:rsidRDefault="009968E0" w:rsidP="009968E0">
      <w:pPr>
        <w:rPr>
          <w:rFonts w:ascii="Calibri" w:eastAsia="Times New Roman" w:hAnsi="Calibri" w:cs="Calibri"/>
          <w:i/>
          <w:color w:val="808080"/>
          <w:sz w:val="21"/>
          <w:lang w:eastAsia="en-GB"/>
        </w:rPr>
      </w:pPr>
      <w:r w:rsidRPr="009968E0">
        <w:rPr>
          <w:rFonts w:ascii="Calibri" w:eastAsia="Times New Roman" w:hAnsi="Calibri" w:cs="Calibri"/>
          <w:i/>
          <w:color w:val="808080"/>
          <w:sz w:val="21"/>
          <w:lang w:eastAsia="en-GB"/>
        </w:rPr>
        <w:t xml:space="preserve">HV= Healthy volunteers, DM-NN= T1D no neuropathy P-DPN = painful diabetic peripheral neuropathy, DPN- painless diabetic peripheral neuropathy,  ALL-DM = all T1D, NN=no neuropathy </w:t>
      </w:r>
      <w:proofErr w:type="gramStart"/>
      <w:r w:rsidRPr="009968E0">
        <w:rPr>
          <w:rFonts w:ascii="Calibri" w:eastAsia="Times New Roman" w:hAnsi="Calibri" w:cs="Calibri"/>
          <w:i/>
          <w:color w:val="808080"/>
          <w:sz w:val="21"/>
          <w:lang w:eastAsia="en-GB"/>
        </w:rPr>
        <w:t>i.e.</w:t>
      </w:r>
      <w:proofErr w:type="gramEnd"/>
      <w:r w:rsidRPr="009968E0">
        <w:rPr>
          <w:rFonts w:ascii="Calibri" w:eastAsia="Times New Roman" w:hAnsi="Calibri" w:cs="Calibri"/>
          <w:i/>
          <w:color w:val="808080"/>
          <w:sz w:val="21"/>
          <w:lang w:eastAsia="en-GB"/>
        </w:rPr>
        <w:t xml:space="preserve"> HV+DM-NN, N=neuropathy i.e. P-DPN +DPN. For NAA/</w:t>
      </w:r>
      <w:proofErr w:type="spellStart"/>
      <w:r w:rsidRPr="009968E0">
        <w:rPr>
          <w:rFonts w:ascii="Calibri" w:eastAsia="Times New Roman" w:hAnsi="Calibri" w:cs="Calibri"/>
          <w:i/>
          <w:color w:val="808080"/>
          <w:sz w:val="21"/>
          <w:lang w:eastAsia="en-GB"/>
        </w:rPr>
        <w:t>Cratine</w:t>
      </w:r>
      <w:proofErr w:type="spellEnd"/>
      <w:r w:rsidRPr="009968E0">
        <w:rPr>
          <w:rFonts w:ascii="Calibri" w:eastAsia="Times New Roman" w:hAnsi="Calibri" w:cs="Calibri"/>
          <w:i/>
          <w:color w:val="808080"/>
          <w:sz w:val="21"/>
          <w:lang w:eastAsia="en-GB"/>
        </w:rPr>
        <w:t xml:space="preserve">, HV vs ALL-DM, and NN vs N, neared significance (see Figure E.1) </w:t>
      </w:r>
    </w:p>
    <w:p w14:paraId="2BF45247" w14:textId="77777777" w:rsidR="009968E0" w:rsidRPr="007D16C6" w:rsidRDefault="009968E0" w:rsidP="007D16C6">
      <w:pPr>
        <w:pStyle w:val="Subtitle"/>
      </w:pPr>
    </w:p>
    <w:p w14:paraId="58451DFD" w14:textId="56F7D495" w:rsidR="009968E0" w:rsidRPr="009968E0" w:rsidRDefault="009968E0" w:rsidP="007D16C6">
      <w:pPr>
        <w:pStyle w:val="Quote"/>
      </w:pPr>
      <w:bookmarkStart w:id="782" w:name="_Toc49273402"/>
      <w:bookmarkStart w:id="783" w:name="_Toc64724154"/>
      <w:r w:rsidRPr="009968E0">
        <w:t>Table E.4: Correlations for Spectroscopy ratios at the left thalamus and demographics, measure of diabetes and baseline measurement of neuropathy</w:t>
      </w:r>
      <w:bookmarkEnd w:id="782"/>
      <w:bookmarkEnd w:id="783"/>
      <w:r w:rsidRPr="009968E0">
        <w:t xml:space="preserve"> </w:t>
      </w:r>
    </w:p>
    <w:tbl>
      <w:tblPr>
        <w:tblStyle w:val="GridTable2-Accent212"/>
        <w:tblW w:w="5000" w:type="pct"/>
        <w:tblLook w:val="0400" w:firstRow="0" w:lastRow="0" w:firstColumn="0" w:lastColumn="0" w:noHBand="0" w:noVBand="1"/>
      </w:tblPr>
      <w:tblGrid>
        <w:gridCol w:w="2051"/>
        <w:gridCol w:w="725"/>
        <w:gridCol w:w="1312"/>
        <w:gridCol w:w="1277"/>
        <w:gridCol w:w="1030"/>
        <w:gridCol w:w="1167"/>
        <w:gridCol w:w="1458"/>
      </w:tblGrid>
      <w:tr w:rsidR="009968E0" w:rsidRPr="009968E0" w14:paraId="211B963A" w14:textId="77777777" w:rsidTr="009968E0">
        <w:trPr>
          <w:cnfStyle w:val="000000100000" w:firstRow="0" w:lastRow="0" w:firstColumn="0" w:lastColumn="0" w:oddVBand="0" w:evenVBand="0" w:oddHBand="1" w:evenHBand="0" w:firstRowFirstColumn="0" w:firstRowLastColumn="0" w:lastRowFirstColumn="0" w:lastRowLastColumn="0"/>
          <w:trHeight w:val="680"/>
        </w:trPr>
        <w:tc>
          <w:tcPr>
            <w:tcW w:w="1539" w:type="pct"/>
            <w:gridSpan w:val="2"/>
          </w:tcPr>
          <w:p w14:paraId="6E9C4780" w14:textId="77777777" w:rsidR="009968E0" w:rsidRPr="009968E0" w:rsidRDefault="009968E0" w:rsidP="009968E0">
            <w:pPr>
              <w:spacing w:line="360" w:lineRule="auto"/>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 </w:t>
            </w:r>
          </w:p>
        </w:tc>
        <w:tc>
          <w:tcPr>
            <w:tcW w:w="727" w:type="pct"/>
          </w:tcPr>
          <w:p w14:paraId="7C6FFC79" w14:textId="77777777" w:rsidR="009968E0" w:rsidRPr="009968E0" w:rsidRDefault="009968E0" w:rsidP="009968E0">
            <w:pPr>
              <w:spacing w:line="360" w:lineRule="auto"/>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age</w:t>
            </w:r>
          </w:p>
        </w:tc>
        <w:tc>
          <w:tcPr>
            <w:tcW w:w="708" w:type="pct"/>
          </w:tcPr>
          <w:p w14:paraId="6F359B46" w14:textId="77777777" w:rsidR="009968E0" w:rsidRPr="009968E0" w:rsidRDefault="009968E0" w:rsidP="009968E0">
            <w:pPr>
              <w:spacing w:line="360" w:lineRule="auto"/>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Hba1c</w:t>
            </w:r>
          </w:p>
        </w:tc>
        <w:tc>
          <w:tcPr>
            <w:tcW w:w="571" w:type="pct"/>
          </w:tcPr>
          <w:p w14:paraId="7692CD3A" w14:textId="77777777" w:rsidR="009968E0" w:rsidRPr="009968E0" w:rsidRDefault="009968E0" w:rsidP="009968E0">
            <w:pPr>
              <w:spacing w:line="360" w:lineRule="auto"/>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DN4</w:t>
            </w:r>
          </w:p>
        </w:tc>
        <w:tc>
          <w:tcPr>
            <w:tcW w:w="647" w:type="pct"/>
          </w:tcPr>
          <w:p w14:paraId="78D83390" w14:textId="77777777" w:rsidR="009968E0" w:rsidRPr="009968E0" w:rsidRDefault="009968E0" w:rsidP="009968E0">
            <w:pPr>
              <w:spacing w:line="360" w:lineRule="auto"/>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total NCS score</w:t>
            </w:r>
          </w:p>
        </w:tc>
        <w:tc>
          <w:tcPr>
            <w:tcW w:w="808" w:type="pct"/>
          </w:tcPr>
          <w:p w14:paraId="193F0125" w14:textId="77777777" w:rsidR="009968E0" w:rsidRPr="009968E0" w:rsidRDefault="009968E0" w:rsidP="009968E0">
            <w:pPr>
              <w:spacing w:line="360" w:lineRule="auto"/>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NISLL +7</w:t>
            </w:r>
          </w:p>
        </w:tc>
      </w:tr>
      <w:tr w:rsidR="009968E0" w:rsidRPr="009968E0" w14:paraId="7A17C273" w14:textId="77777777" w:rsidTr="009968E0">
        <w:trPr>
          <w:trHeight w:val="360"/>
        </w:trPr>
        <w:tc>
          <w:tcPr>
            <w:tcW w:w="1137" w:type="pct"/>
            <w:vMerge w:val="restart"/>
          </w:tcPr>
          <w:p w14:paraId="3A5EE1DF" w14:textId="77777777" w:rsidR="009968E0" w:rsidRPr="009968E0" w:rsidRDefault="009968E0" w:rsidP="009968E0">
            <w:pPr>
              <w:spacing w:line="360" w:lineRule="auto"/>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NAA/Creatine</w:t>
            </w:r>
          </w:p>
        </w:tc>
        <w:tc>
          <w:tcPr>
            <w:tcW w:w="402" w:type="pct"/>
          </w:tcPr>
          <w:p w14:paraId="650C07B1" w14:textId="77777777" w:rsidR="009968E0" w:rsidRPr="009968E0" w:rsidRDefault="009968E0" w:rsidP="009968E0">
            <w:pPr>
              <w:spacing w:line="360" w:lineRule="auto"/>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R</w:t>
            </w:r>
          </w:p>
        </w:tc>
        <w:tc>
          <w:tcPr>
            <w:tcW w:w="727" w:type="pct"/>
          </w:tcPr>
          <w:p w14:paraId="19900FC8"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.030</w:t>
            </w:r>
          </w:p>
        </w:tc>
        <w:tc>
          <w:tcPr>
            <w:tcW w:w="708" w:type="pct"/>
          </w:tcPr>
          <w:p w14:paraId="46BA3682"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-.175</w:t>
            </w:r>
          </w:p>
        </w:tc>
        <w:tc>
          <w:tcPr>
            <w:tcW w:w="571" w:type="pct"/>
          </w:tcPr>
          <w:p w14:paraId="70CA04AC"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-.164</w:t>
            </w:r>
          </w:p>
        </w:tc>
        <w:tc>
          <w:tcPr>
            <w:tcW w:w="647" w:type="pct"/>
          </w:tcPr>
          <w:p w14:paraId="11222676"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-.187</w:t>
            </w:r>
          </w:p>
        </w:tc>
        <w:tc>
          <w:tcPr>
            <w:tcW w:w="808" w:type="pct"/>
          </w:tcPr>
          <w:p w14:paraId="662A269A"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-.039</w:t>
            </w:r>
          </w:p>
        </w:tc>
      </w:tr>
      <w:tr w:rsidR="009968E0" w:rsidRPr="009968E0" w14:paraId="19115CFB"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1137" w:type="pct"/>
            <w:vMerge/>
          </w:tcPr>
          <w:p w14:paraId="7C8BB42E" w14:textId="77777777" w:rsidR="009968E0" w:rsidRPr="009968E0" w:rsidRDefault="009968E0" w:rsidP="009968E0">
            <w:pPr>
              <w:widowControl w:val="0"/>
              <w:pBdr>
                <w:top w:val="nil"/>
                <w:left w:val="nil"/>
                <w:bottom w:val="nil"/>
                <w:right w:val="nil"/>
                <w:between w:val="nil"/>
              </w:pBdr>
              <w:spacing w:line="360" w:lineRule="auto"/>
              <w:rPr>
                <w:rFonts w:ascii="Calibri" w:eastAsia="Times New Roman" w:hAnsi="Calibri" w:cs="Calibri"/>
                <w:i/>
                <w:iCs/>
                <w:color w:val="000000"/>
                <w:sz w:val="22"/>
                <w:szCs w:val="22"/>
                <w:lang w:eastAsia="en-GB"/>
              </w:rPr>
            </w:pPr>
          </w:p>
        </w:tc>
        <w:tc>
          <w:tcPr>
            <w:tcW w:w="402" w:type="pct"/>
          </w:tcPr>
          <w:p w14:paraId="168C3309" w14:textId="77777777" w:rsidR="009968E0" w:rsidRPr="009968E0" w:rsidRDefault="009968E0" w:rsidP="009968E0">
            <w:pPr>
              <w:spacing w:line="360" w:lineRule="auto"/>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sig</w:t>
            </w:r>
          </w:p>
        </w:tc>
        <w:tc>
          <w:tcPr>
            <w:tcW w:w="727" w:type="pct"/>
          </w:tcPr>
          <w:p w14:paraId="1B8EB085"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.800</w:t>
            </w:r>
          </w:p>
        </w:tc>
        <w:tc>
          <w:tcPr>
            <w:tcW w:w="708" w:type="pct"/>
          </w:tcPr>
          <w:p w14:paraId="4C16A666"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.206</w:t>
            </w:r>
          </w:p>
        </w:tc>
        <w:tc>
          <w:tcPr>
            <w:tcW w:w="571" w:type="pct"/>
          </w:tcPr>
          <w:p w14:paraId="1BFA66DB"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.170</w:t>
            </w:r>
          </w:p>
        </w:tc>
        <w:tc>
          <w:tcPr>
            <w:tcW w:w="647" w:type="pct"/>
          </w:tcPr>
          <w:p w14:paraId="7048A431"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.116</w:t>
            </w:r>
          </w:p>
        </w:tc>
        <w:tc>
          <w:tcPr>
            <w:tcW w:w="808" w:type="pct"/>
          </w:tcPr>
          <w:p w14:paraId="2DCFD454"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.742</w:t>
            </w:r>
          </w:p>
        </w:tc>
      </w:tr>
      <w:tr w:rsidR="009968E0" w:rsidRPr="009968E0" w14:paraId="339CA8BC" w14:textId="77777777" w:rsidTr="009968E0">
        <w:trPr>
          <w:trHeight w:val="360"/>
        </w:trPr>
        <w:tc>
          <w:tcPr>
            <w:tcW w:w="1137" w:type="pct"/>
            <w:vMerge/>
          </w:tcPr>
          <w:p w14:paraId="4A28C114" w14:textId="77777777" w:rsidR="009968E0" w:rsidRPr="009968E0" w:rsidRDefault="009968E0" w:rsidP="009968E0">
            <w:pPr>
              <w:widowControl w:val="0"/>
              <w:pBdr>
                <w:top w:val="nil"/>
                <w:left w:val="nil"/>
                <w:bottom w:val="nil"/>
                <w:right w:val="nil"/>
                <w:between w:val="nil"/>
              </w:pBdr>
              <w:spacing w:line="360" w:lineRule="auto"/>
              <w:rPr>
                <w:rFonts w:ascii="Calibri" w:eastAsia="Times New Roman" w:hAnsi="Calibri" w:cs="Calibri"/>
                <w:i/>
                <w:iCs/>
                <w:color w:val="000000"/>
                <w:sz w:val="22"/>
                <w:szCs w:val="22"/>
                <w:lang w:eastAsia="en-GB"/>
              </w:rPr>
            </w:pPr>
          </w:p>
        </w:tc>
        <w:tc>
          <w:tcPr>
            <w:tcW w:w="402" w:type="pct"/>
          </w:tcPr>
          <w:p w14:paraId="18840970" w14:textId="77777777" w:rsidR="009968E0" w:rsidRPr="009968E0" w:rsidRDefault="009968E0" w:rsidP="009968E0">
            <w:pPr>
              <w:spacing w:line="360" w:lineRule="auto"/>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w:t>
            </w:r>
          </w:p>
        </w:tc>
        <w:tc>
          <w:tcPr>
            <w:tcW w:w="727" w:type="pct"/>
          </w:tcPr>
          <w:p w14:paraId="1C6ADA1E"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72</w:t>
            </w:r>
          </w:p>
        </w:tc>
        <w:tc>
          <w:tcPr>
            <w:tcW w:w="708" w:type="pct"/>
          </w:tcPr>
          <w:p w14:paraId="4A3E6EDD"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54</w:t>
            </w:r>
          </w:p>
        </w:tc>
        <w:tc>
          <w:tcPr>
            <w:tcW w:w="571" w:type="pct"/>
          </w:tcPr>
          <w:p w14:paraId="582FF671"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72</w:t>
            </w:r>
          </w:p>
        </w:tc>
        <w:tc>
          <w:tcPr>
            <w:tcW w:w="647" w:type="pct"/>
          </w:tcPr>
          <w:p w14:paraId="430E24F1"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72</w:t>
            </w:r>
          </w:p>
        </w:tc>
        <w:tc>
          <w:tcPr>
            <w:tcW w:w="808" w:type="pct"/>
          </w:tcPr>
          <w:p w14:paraId="10AC0DDE"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72</w:t>
            </w:r>
          </w:p>
        </w:tc>
      </w:tr>
      <w:tr w:rsidR="009968E0" w:rsidRPr="009968E0" w14:paraId="6484A031"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1137" w:type="pct"/>
            <w:vMerge w:val="restart"/>
          </w:tcPr>
          <w:p w14:paraId="1C01F8C9" w14:textId="77777777" w:rsidR="009968E0" w:rsidRPr="009968E0" w:rsidRDefault="009968E0" w:rsidP="009968E0">
            <w:pPr>
              <w:spacing w:line="360" w:lineRule="auto"/>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Cho/Creatine</w:t>
            </w:r>
          </w:p>
        </w:tc>
        <w:tc>
          <w:tcPr>
            <w:tcW w:w="402" w:type="pct"/>
          </w:tcPr>
          <w:p w14:paraId="12B1EB3F" w14:textId="77777777" w:rsidR="009968E0" w:rsidRPr="009968E0" w:rsidRDefault="009968E0" w:rsidP="009968E0">
            <w:pPr>
              <w:spacing w:line="360" w:lineRule="auto"/>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R</w:t>
            </w:r>
          </w:p>
        </w:tc>
        <w:tc>
          <w:tcPr>
            <w:tcW w:w="727" w:type="pct"/>
          </w:tcPr>
          <w:p w14:paraId="4E9A9A84"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.048</w:t>
            </w:r>
          </w:p>
        </w:tc>
        <w:tc>
          <w:tcPr>
            <w:tcW w:w="708" w:type="pct"/>
          </w:tcPr>
          <w:p w14:paraId="1C26907F"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-.039</w:t>
            </w:r>
          </w:p>
        </w:tc>
        <w:tc>
          <w:tcPr>
            <w:tcW w:w="571" w:type="pct"/>
          </w:tcPr>
          <w:p w14:paraId="0E822A1D"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-.008</w:t>
            </w:r>
          </w:p>
        </w:tc>
        <w:tc>
          <w:tcPr>
            <w:tcW w:w="647" w:type="pct"/>
          </w:tcPr>
          <w:p w14:paraId="32964313"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-.006</w:t>
            </w:r>
          </w:p>
        </w:tc>
        <w:tc>
          <w:tcPr>
            <w:tcW w:w="808" w:type="pct"/>
          </w:tcPr>
          <w:p w14:paraId="4997EDA5"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.119</w:t>
            </w:r>
          </w:p>
        </w:tc>
      </w:tr>
      <w:tr w:rsidR="009968E0" w:rsidRPr="009968E0" w14:paraId="406233F4" w14:textId="77777777" w:rsidTr="009968E0">
        <w:trPr>
          <w:trHeight w:val="360"/>
        </w:trPr>
        <w:tc>
          <w:tcPr>
            <w:tcW w:w="1137" w:type="pct"/>
            <w:vMerge/>
          </w:tcPr>
          <w:p w14:paraId="4F025C0E" w14:textId="77777777" w:rsidR="009968E0" w:rsidRPr="009968E0" w:rsidRDefault="009968E0" w:rsidP="009968E0">
            <w:pPr>
              <w:widowControl w:val="0"/>
              <w:pBdr>
                <w:top w:val="nil"/>
                <w:left w:val="nil"/>
                <w:bottom w:val="nil"/>
                <w:right w:val="nil"/>
                <w:between w:val="nil"/>
              </w:pBdr>
              <w:spacing w:line="360" w:lineRule="auto"/>
              <w:rPr>
                <w:rFonts w:ascii="Calibri" w:eastAsia="Times New Roman" w:hAnsi="Calibri" w:cs="Calibri"/>
                <w:i/>
                <w:iCs/>
                <w:color w:val="000000"/>
                <w:sz w:val="22"/>
                <w:szCs w:val="22"/>
                <w:lang w:eastAsia="en-GB"/>
              </w:rPr>
            </w:pPr>
          </w:p>
        </w:tc>
        <w:tc>
          <w:tcPr>
            <w:tcW w:w="402" w:type="pct"/>
          </w:tcPr>
          <w:p w14:paraId="28926047" w14:textId="77777777" w:rsidR="009968E0" w:rsidRPr="009968E0" w:rsidRDefault="009968E0" w:rsidP="009968E0">
            <w:pPr>
              <w:spacing w:line="360" w:lineRule="auto"/>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sig</w:t>
            </w:r>
          </w:p>
        </w:tc>
        <w:tc>
          <w:tcPr>
            <w:tcW w:w="727" w:type="pct"/>
          </w:tcPr>
          <w:p w14:paraId="12843972"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.690</w:t>
            </w:r>
          </w:p>
        </w:tc>
        <w:tc>
          <w:tcPr>
            <w:tcW w:w="708" w:type="pct"/>
          </w:tcPr>
          <w:p w14:paraId="759C7FFC"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.777</w:t>
            </w:r>
          </w:p>
        </w:tc>
        <w:tc>
          <w:tcPr>
            <w:tcW w:w="571" w:type="pct"/>
          </w:tcPr>
          <w:p w14:paraId="0FE6E1E2"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.948</w:t>
            </w:r>
          </w:p>
        </w:tc>
        <w:tc>
          <w:tcPr>
            <w:tcW w:w="647" w:type="pct"/>
          </w:tcPr>
          <w:p w14:paraId="27744DFB"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.963</w:t>
            </w:r>
          </w:p>
        </w:tc>
        <w:tc>
          <w:tcPr>
            <w:tcW w:w="808" w:type="pct"/>
          </w:tcPr>
          <w:p w14:paraId="33E05679"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.320</w:t>
            </w:r>
          </w:p>
        </w:tc>
      </w:tr>
      <w:tr w:rsidR="009968E0" w:rsidRPr="009968E0" w14:paraId="2C33397E"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1137" w:type="pct"/>
            <w:vMerge/>
          </w:tcPr>
          <w:p w14:paraId="126FE2DF" w14:textId="77777777" w:rsidR="009968E0" w:rsidRPr="009968E0" w:rsidRDefault="009968E0" w:rsidP="009968E0">
            <w:pPr>
              <w:widowControl w:val="0"/>
              <w:pBdr>
                <w:top w:val="nil"/>
                <w:left w:val="nil"/>
                <w:bottom w:val="nil"/>
                <w:right w:val="nil"/>
                <w:between w:val="nil"/>
              </w:pBdr>
              <w:spacing w:line="360" w:lineRule="auto"/>
              <w:rPr>
                <w:rFonts w:ascii="Calibri" w:eastAsia="Times New Roman" w:hAnsi="Calibri" w:cs="Calibri"/>
                <w:i/>
                <w:iCs/>
                <w:color w:val="000000"/>
                <w:sz w:val="22"/>
                <w:szCs w:val="22"/>
                <w:lang w:eastAsia="en-GB"/>
              </w:rPr>
            </w:pPr>
          </w:p>
        </w:tc>
        <w:tc>
          <w:tcPr>
            <w:tcW w:w="402" w:type="pct"/>
          </w:tcPr>
          <w:p w14:paraId="695F4692" w14:textId="77777777" w:rsidR="009968E0" w:rsidRPr="009968E0" w:rsidRDefault="009968E0" w:rsidP="009968E0">
            <w:pPr>
              <w:spacing w:line="360" w:lineRule="auto"/>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w:t>
            </w:r>
          </w:p>
        </w:tc>
        <w:tc>
          <w:tcPr>
            <w:tcW w:w="727" w:type="pct"/>
          </w:tcPr>
          <w:p w14:paraId="07234CC6"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72</w:t>
            </w:r>
          </w:p>
        </w:tc>
        <w:tc>
          <w:tcPr>
            <w:tcW w:w="708" w:type="pct"/>
          </w:tcPr>
          <w:p w14:paraId="7044F376"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54</w:t>
            </w:r>
          </w:p>
        </w:tc>
        <w:tc>
          <w:tcPr>
            <w:tcW w:w="571" w:type="pct"/>
          </w:tcPr>
          <w:p w14:paraId="203CE42A"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72</w:t>
            </w:r>
          </w:p>
        </w:tc>
        <w:tc>
          <w:tcPr>
            <w:tcW w:w="647" w:type="pct"/>
          </w:tcPr>
          <w:p w14:paraId="5B09E11E"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72</w:t>
            </w:r>
          </w:p>
        </w:tc>
        <w:tc>
          <w:tcPr>
            <w:tcW w:w="808" w:type="pct"/>
          </w:tcPr>
          <w:p w14:paraId="250E2F24"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72</w:t>
            </w:r>
          </w:p>
        </w:tc>
      </w:tr>
      <w:tr w:rsidR="009968E0" w:rsidRPr="009968E0" w14:paraId="70D5EF1F" w14:textId="77777777" w:rsidTr="009968E0">
        <w:trPr>
          <w:trHeight w:val="360"/>
        </w:trPr>
        <w:tc>
          <w:tcPr>
            <w:tcW w:w="1137" w:type="pct"/>
            <w:vMerge w:val="restart"/>
          </w:tcPr>
          <w:p w14:paraId="44316034" w14:textId="2777FE9F" w:rsidR="009968E0" w:rsidRPr="009968E0" w:rsidRDefault="009968E0" w:rsidP="009968E0">
            <w:pPr>
              <w:spacing w:line="360" w:lineRule="auto"/>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NAA</w:t>
            </w:r>
            <w:r w:rsidR="0068219A">
              <w:rPr>
                <w:rFonts w:ascii="Calibri" w:eastAsia="Times New Roman" w:hAnsi="Calibri" w:cs="Calibri"/>
                <w:i/>
                <w:iCs/>
                <w:color w:val="000000"/>
                <w:sz w:val="22"/>
                <w:szCs w:val="22"/>
                <w:lang w:eastAsia="en-GB"/>
              </w:rPr>
              <w:t>/</w:t>
            </w:r>
            <w:r w:rsidRPr="009968E0">
              <w:rPr>
                <w:rFonts w:ascii="Calibri" w:eastAsia="Times New Roman" w:hAnsi="Calibri" w:cs="Calibri"/>
                <w:i/>
                <w:iCs/>
                <w:color w:val="000000"/>
                <w:sz w:val="22"/>
                <w:szCs w:val="22"/>
                <w:lang w:eastAsia="en-GB"/>
              </w:rPr>
              <w:t>Choline</w:t>
            </w:r>
          </w:p>
        </w:tc>
        <w:tc>
          <w:tcPr>
            <w:tcW w:w="402" w:type="pct"/>
          </w:tcPr>
          <w:p w14:paraId="35448508" w14:textId="77777777" w:rsidR="009968E0" w:rsidRPr="009968E0" w:rsidRDefault="009968E0" w:rsidP="009968E0">
            <w:pPr>
              <w:spacing w:line="360" w:lineRule="auto"/>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R</w:t>
            </w:r>
          </w:p>
        </w:tc>
        <w:tc>
          <w:tcPr>
            <w:tcW w:w="727" w:type="pct"/>
          </w:tcPr>
          <w:p w14:paraId="20B04B17"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-.049</w:t>
            </w:r>
          </w:p>
        </w:tc>
        <w:tc>
          <w:tcPr>
            <w:tcW w:w="708" w:type="pct"/>
          </w:tcPr>
          <w:p w14:paraId="263D7A43"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-.106</w:t>
            </w:r>
          </w:p>
        </w:tc>
        <w:tc>
          <w:tcPr>
            <w:tcW w:w="571" w:type="pct"/>
          </w:tcPr>
          <w:p w14:paraId="1F882C11"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-.145</w:t>
            </w:r>
          </w:p>
        </w:tc>
        <w:tc>
          <w:tcPr>
            <w:tcW w:w="647" w:type="pct"/>
          </w:tcPr>
          <w:p w14:paraId="460F45D7"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-.180</w:t>
            </w:r>
          </w:p>
        </w:tc>
        <w:tc>
          <w:tcPr>
            <w:tcW w:w="808" w:type="pct"/>
          </w:tcPr>
          <w:p w14:paraId="52F735C0"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-.161</w:t>
            </w:r>
          </w:p>
        </w:tc>
      </w:tr>
      <w:tr w:rsidR="009968E0" w:rsidRPr="009968E0" w14:paraId="2DF1902B"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1137" w:type="pct"/>
            <w:vMerge/>
          </w:tcPr>
          <w:p w14:paraId="5A437970" w14:textId="77777777" w:rsidR="009968E0" w:rsidRPr="009968E0" w:rsidRDefault="009968E0" w:rsidP="009968E0">
            <w:pPr>
              <w:widowControl w:val="0"/>
              <w:pBdr>
                <w:top w:val="nil"/>
                <w:left w:val="nil"/>
                <w:bottom w:val="nil"/>
                <w:right w:val="nil"/>
                <w:between w:val="nil"/>
              </w:pBdr>
              <w:spacing w:line="360" w:lineRule="auto"/>
              <w:rPr>
                <w:rFonts w:ascii="Calibri" w:eastAsia="Times New Roman" w:hAnsi="Calibri" w:cs="Calibri"/>
                <w:i/>
                <w:iCs/>
                <w:color w:val="000000"/>
                <w:sz w:val="22"/>
                <w:szCs w:val="22"/>
                <w:lang w:eastAsia="en-GB"/>
              </w:rPr>
            </w:pPr>
          </w:p>
        </w:tc>
        <w:tc>
          <w:tcPr>
            <w:tcW w:w="402" w:type="pct"/>
          </w:tcPr>
          <w:p w14:paraId="69969D38" w14:textId="77777777" w:rsidR="009968E0" w:rsidRPr="009968E0" w:rsidRDefault="009968E0" w:rsidP="009968E0">
            <w:pPr>
              <w:spacing w:line="360" w:lineRule="auto"/>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sig</w:t>
            </w:r>
          </w:p>
        </w:tc>
        <w:tc>
          <w:tcPr>
            <w:tcW w:w="727" w:type="pct"/>
          </w:tcPr>
          <w:p w14:paraId="521A5DE3"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.681</w:t>
            </w:r>
          </w:p>
        </w:tc>
        <w:tc>
          <w:tcPr>
            <w:tcW w:w="708" w:type="pct"/>
          </w:tcPr>
          <w:p w14:paraId="5890A08F"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.444</w:t>
            </w:r>
          </w:p>
        </w:tc>
        <w:tc>
          <w:tcPr>
            <w:tcW w:w="571" w:type="pct"/>
          </w:tcPr>
          <w:p w14:paraId="3F6C78A6"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.225</w:t>
            </w:r>
          </w:p>
        </w:tc>
        <w:tc>
          <w:tcPr>
            <w:tcW w:w="647" w:type="pct"/>
          </w:tcPr>
          <w:p w14:paraId="3F5D44F5"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.130</w:t>
            </w:r>
          </w:p>
        </w:tc>
        <w:tc>
          <w:tcPr>
            <w:tcW w:w="808" w:type="pct"/>
          </w:tcPr>
          <w:p w14:paraId="782B3DDF"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.177</w:t>
            </w:r>
          </w:p>
        </w:tc>
      </w:tr>
      <w:tr w:rsidR="009968E0" w:rsidRPr="009968E0" w14:paraId="06363744" w14:textId="77777777" w:rsidTr="009968E0">
        <w:trPr>
          <w:trHeight w:val="360"/>
        </w:trPr>
        <w:tc>
          <w:tcPr>
            <w:tcW w:w="1137" w:type="pct"/>
            <w:vMerge/>
          </w:tcPr>
          <w:p w14:paraId="27349AB6" w14:textId="77777777" w:rsidR="009968E0" w:rsidRPr="009968E0" w:rsidRDefault="009968E0" w:rsidP="009968E0">
            <w:pPr>
              <w:widowControl w:val="0"/>
              <w:pBdr>
                <w:top w:val="nil"/>
                <w:left w:val="nil"/>
                <w:bottom w:val="nil"/>
                <w:right w:val="nil"/>
                <w:between w:val="nil"/>
              </w:pBdr>
              <w:spacing w:line="360" w:lineRule="auto"/>
              <w:rPr>
                <w:rFonts w:ascii="Calibri" w:eastAsia="Times New Roman" w:hAnsi="Calibri" w:cs="Calibri"/>
                <w:i/>
                <w:iCs/>
                <w:color w:val="000000"/>
                <w:sz w:val="22"/>
                <w:szCs w:val="22"/>
                <w:lang w:eastAsia="en-GB"/>
              </w:rPr>
            </w:pPr>
          </w:p>
        </w:tc>
        <w:tc>
          <w:tcPr>
            <w:tcW w:w="402" w:type="pct"/>
          </w:tcPr>
          <w:p w14:paraId="282010D6" w14:textId="77777777" w:rsidR="009968E0" w:rsidRPr="009968E0" w:rsidRDefault="009968E0" w:rsidP="009968E0">
            <w:pPr>
              <w:spacing w:line="360" w:lineRule="auto"/>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w:t>
            </w:r>
          </w:p>
        </w:tc>
        <w:tc>
          <w:tcPr>
            <w:tcW w:w="727" w:type="pct"/>
          </w:tcPr>
          <w:p w14:paraId="7132979D"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72</w:t>
            </w:r>
          </w:p>
        </w:tc>
        <w:tc>
          <w:tcPr>
            <w:tcW w:w="708" w:type="pct"/>
          </w:tcPr>
          <w:p w14:paraId="3CEF52E1"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54</w:t>
            </w:r>
          </w:p>
        </w:tc>
        <w:tc>
          <w:tcPr>
            <w:tcW w:w="571" w:type="pct"/>
          </w:tcPr>
          <w:p w14:paraId="444B4A7E"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72</w:t>
            </w:r>
          </w:p>
        </w:tc>
        <w:tc>
          <w:tcPr>
            <w:tcW w:w="647" w:type="pct"/>
          </w:tcPr>
          <w:p w14:paraId="1775ABED"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72</w:t>
            </w:r>
          </w:p>
        </w:tc>
        <w:tc>
          <w:tcPr>
            <w:tcW w:w="808" w:type="pct"/>
          </w:tcPr>
          <w:p w14:paraId="18516902"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72</w:t>
            </w:r>
          </w:p>
        </w:tc>
      </w:tr>
    </w:tbl>
    <w:p w14:paraId="68F2CE65" w14:textId="77777777" w:rsidR="009968E0" w:rsidRPr="009968E0" w:rsidRDefault="009968E0" w:rsidP="009968E0">
      <w:pPr>
        <w:spacing w:line="360" w:lineRule="auto"/>
        <w:rPr>
          <w:rFonts w:eastAsia="Times New Roman" w:cs="Arial"/>
          <w:lang w:eastAsia="en-GB"/>
        </w:rPr>
      </w:pPr>
    </w:p>
    <w:p w14:paraId="7700167B" w14:textId="1D307CE7" w:rsidR="009968E0" w:rsidRPr="009968E0" w:rsidRDefault="009968E0" w:rsidP="007D16C6">
      <w:pPr>
        <w:pStyle w:val="Quote"/>
      </w:pPr>
      <w:bookmarkStart w:id="784" w:name="_Toc49273403"/>
      <w:bookmarkStart w:id="785" w:name="_Toc64724155"/>
      <w:r w:rsidRPr="009968E0">
        <w:t>Table E.5: Correlations for Spectroscopy ratios at the left thalamus and measures of QST (DFNS)</w:t>
      </w:r>
      <w:bookmarkEnd w:id="784"/>
      <w:bookmarkEnd w:id="785"/>
    </w:p>
    <w:p w14:paraId="596B5A14" w14:textId="77777777" w:rsidR="009968E0" w:rsidRPr="009968E0" w:rsidRDefault="009968E0" w:rsidP="009968E0">
      <w:pPr>
        <w:spacing w:line="360" w:lineRule="auto"/>
        <w:rPr>
          <w:rFonts w:eastAsia="Times New Roman" w:cs="Arial"/>
          <w:lang w:eastAsia="en-GB"/>
        </w:rPr>
      </w:pPr>
    </w:p>
    <w:tbl>
      <w:tblPr>
        <w:tblStyle w:val="GridTable2-Accent212"/>
        <w:tblW w:w="5000" w:type="pct"/>
        <w:tblLook w:val="04A0" w:firstRow="1" w:lastRow="0" w:firstColumn="1" w:lastColumn="0" w:noHBand="0" w:noVBand="1"/>
      </w:tblPr>
      <w:tblGrid>
        <w:gridCol w:w="3193"/>
        <w:gridCol w:w="3507"/>
        <w:gridCol w:w="2310"/>
      </w:tblGrid>
      <w:tr w:rsidR="009968E0" w:rsidRPr="009968E0" w14:paraId="30045F68" w14:textId="77777777" w:rsidTr="009968E0">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772" w:type="pct"/>
            <w:tcBorders>
              <w:top w:val="single" w:sz="4" w:space="0" w:color="auto"/>
              <w:left w:val="single" w:sz="4" w:space="0" w:color="auto"/>
            </w:tcBorders>
            <w:noWrap/>
            <w:hideMark/>
          </w:tcPr>
          <w:p w14:paraId="066B929A" w14:textId="77777777" w:rsidR="009968E0" w:rsidRPr="009968E0" w:rsidRDefault="009968E0" w:rsidP="009968E0">
            <w:pPr>
              <w:rPr>
                <w:rFonts w:ascii="Calibri" w:eastAsia="MS Gothic" w:hAnsi="Calibri" w:cs="Calibri"/>
                <w:i/>
                <w:iCs/>
                <w:sz w:val="22"/>
                <w:szCs w:val="22"/>
                <w:lang w:eastAsia="en-GB"/>
              </w:rPr>
            </w:pPr>
          </w:p>
        </w:tc>
        <w:tc>
          <w:tcPr>
            <w:tcW w:w="1946" w:type="pct"/>
            <w:tcBorders>
              <w:top w:val="single" w:sz="4" w:space="0" w:color="auto"/>
            </w:tcBorders>
            <w:noWrap/>
            <w:hideMark/>
          </w:tcPr>
          <w:p w14:paraId="67E3CF8C" w14:textId="77777777" w:rsidR="009968E0" w:rsidRPr="009968E0" w:rsidRDefault="009968E0" w:rsidP="009968E0">
            <w:pPr>
              <w:cnfStyle w:val="100000000000" w:firstRow="1" w:lastRow="0" w:firstColumn="0" w:lastColumn="0" w:oddVBand="0" w:evenVBand="0" w:oddHBand="0" w:evenHBand="0" w:firstRowFirstColumn="0" w:firstRowLastColumn="0" w:lastRowFirstColumn="0" w:lastRowLastColumn="0"/>
              <w:rPr>
                <w:rFonts w:ascii="Calibri" w:eastAsia="MS Gothic" w:hAnsi="Calibri" w:cs="Calibri"/>
                <w:i/>
                <w:iCs/>
                <w:sz w:val="22"/>
                <w:szCs w:val="22"/>
                <w:lang w:eastAsia="en-GB"/>
              </w:rPr>
            </w:pPr>
          </w:p>
        </w:tc>
        <w:tc>
          <w:tcPr>
            <w:tcW w:w="1282" w:type="pct"/>
            <w:tcBorders>
              <w:top w:val="single" w:sz="4" w:space="0" w:color="auto"/>
              <w:right w:val="single" w:sz="4" w:space="0" w:color="auto"/>
            </w:tcBorders>
            <w:noWrap/>
            <w:hideMark/>
          </w:tcPr>
          <w:p w14:paraId="299E1124" w14:textId="77777777" w:rsidR="009968E0" w:rsidRPr="009968E0" w:rsidRDefault="009968E0" w:rsidP="009968E0">
            <w:pPr>
              <w:cnfStyle w:val="100000000000" w:firstRow="1" w:lastRow="0" w:firstColumn="0" w:lastColumn="0" w:oddVBand="0" w:evenVBand="0" w:oddHBand="0"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NAA/Creatine</w:t>
            </w:r>
          </w:p>
        </w:tc>
      </w:tr>
      <w:tr w:rsidR="009968E0" w:rsidRPr="009968E0" w14:paraId="434F7802"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772" w:type="pct"/>
            <w:tcBorders>
              <w:left w:val="single" w:sz="4" w:space="0" w:color="auto"/>
            </w:tcBorders>
            <w:noWrap/>
            <w:hideMark/>
          </w:tcPr>
          <w:p w14:paraId="32CCDDA4" w14:textId="77777777" w:rsidR="009968E0" w:rsidRPr="009968E0" w:rsidRDefault="009968E0" w:rsidP="009968E0">
            <w:pPr>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CDT</w:t>
            </w:r>
          </w:p>
        </w:tc>
        <w:tc>
          <w:tcPr>
            <w:tcW w:w="1946" w:type="pct"/>
            <w:noWrap/>
            <w:hideMark/>
          </w:tcPr>
          <w:p w14:paraId="785FB3A4"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Pearson Correlation</w:t>
            </w:r>
          </w:p>
        </w:tc>
        <w:tc>
          <w:tcPr>
            <w:tcW w:w="1282" w:type="pct"/>
            <w:tcBorders>
              <w:right w:val="single" w:sz="4" w:space="0" w:color="auto"/>
            </w:tcBorders>
            <w:noWrap/>
            <w:hideMark/>
          </w:tcPr>
          <w:p w14:paraId="0A7B9D55"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0.221</w:t>
            </w:r>
          </w:p>
        </w:tc>
      </w:tr>
      <w:tr w:rsidR="009968E0" w:rsidRPr="009968E0" w14:paraId="779ADA7F"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772" w:type="pct"/>
            <w:tcBorders>
              <w:left w:val="single" w:sz="4" w:space="0" w:color="auto"/>
            </w:tcBorders>
            <w:noWrap/>
            <w:hideMark/>
          </w:tcPr>
          <w:p w14:paraId="5ABBAC0F" w14:textId="77777777" w:rsidR="009968E0" w:rsidRPr="009968E0" w:rsidRDefault="009968E0" w:rsidP="009968E0">
            <w:pPr>
              <w:rPr>
                <w:rFonts w:ascii="Calibri" w:eastAsia="MS Gothic" w:hAnsi="Calibri" w:cs="Calibri"/>
                <w:i/>
                <w:iCs/>
                <w:sz w:val="22"/>
                <w:szCs w:val="22"/>
                <w:lang w:eastAsia="en-GB"/>
              </w:rPr>
            </w:pPr>
          </w:p>
        </w:tc>
        <w:tc>
          <w:tcPr>
            <w:tcW w:w="1946" w:type="pct"/>
            <w:noWrap/>
            <w:hideMark/>
          </w:tcPr>
          <w:p w14:paraId="6CC4924A"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Sig. (2-tailed)</w:t>
            </w:r>
          </w:p>
        </w:tc>
        <w:tc>
          <w:tcPr>
            <w:tcW w:w="1282" w:type="pct"/>
            <w:tcBorders>
              <w:right w:val="single" w:sz="4" w:space="0" w:color="auto"/>
            </w:tcBorders>
            <w:noWrap/>
            <w:hideMark/>
          </w:tcPr>
          <w:p w14:paraId="4C2D0EBA"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0.062</w:t>
            </w:r>
          </w:p>
        </w:tc>
      </w:tr>
      <w:tr w:rsidR="009968E0" w:rsidRPr="009968E0" w14:paraId="3A5438D0"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772" w:type="pct"/>
            <w:tcBorders>
              <w:left w:val="single" w:sz="4" w:space="0" w:color="auto"/>
            </w:tcBorders>
            <w:noWrap/>
            <w:hideMark/>
          </w:tcPr>
          <w:p w14:paraId="0ABD2DAE" w14:textId="77777777" w:rsidR="009968E0" w:rsidRPr="009968E0" w:rsidRDefault="009968E0" w:rsidP="009968E0">
            <w:pPr>
              <w:rPr>
                <w:rFonts w:ascii="Calibri" w:eastAsia="MS Gothic" w:hAnsi="Calibri" w:cs="Calibri"/>
                <w:i/>
                <w:iCs/>
                <w:sz w:val="22"/>
                <w:szCs w:val="22"/>
                <w:lang w:eastAsia="en-GB"/>
              </w:rPr>
            </w:pPr>
          </w:p>
        </w:tc>
        <w:tc>
          <w:tcPr>
            <w:tcW w:w="1946" w:type="pct"/>
            <w:noWrap/>
            <w:hideMark/>
          </w:tcPr>
          <w:p w14:paraId="168E2349"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N</w:t>
            </w:r>
          </w:p>
        </w:tc>
        <w:tc>
          <w:tcPr>
            <w:tcW w:w="1282" w:type="pct"/>
            <w:tcBorders>
              <w:right w:val="single" w:sz="4" w:space="0" w:color="auto"/>
            </w:tcBorders>
            <w:noWrap/>
            <w:hideMark/>
          </w:tcPr>
          <w:p w14:paraId="65EC6E66"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72</w:t>
            </w:r>
          </w:p>
        </w:tc>
      </w:tr>
      <w:tr w:rsidR="009968E0" w:rsidRPr="009968E0" w14:paraId="23C727D9"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772" w:type="pct"/>
            <w:tcBorders>
              <w:left w:val="single" w:sz="4" w:space="0" w:color="auto"/>
            </w:tcBorders>
            <w:noWrap/>
            <w:hideMark/>
          </w:tcPr>
          <w:p w14:paraId="4C1463C5" w14:textId="77777777" w:rsidR="009968E0" w:rsidRPr="009968E0" w:rsidRDefault="009968E0" w:rsidP="009968E0">
            <w:pPr>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WDT</w:t>
            </w:r>
          </w:p>
        </w:tc>
        <w:tc>
          <w:tcPr>
            <w:tcW w:w="1946" w:type="pct"/>
            <w:noWrap/>
            <w:hideMark/>
          </w:tcPr>
          <w:p w14:paraId="45445F19"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Pearson Correlation</w:t>
            </w:r>
          </w:p>
        </w:tc>
        <w:tc>
          <w:tcPr>
            <w:tcW w:w="1282" w:type="pct"/>
            <w:tcBorders>
              <w:right w:val="single" w:sz="4" w:space="0" w:color="auto"/>
            </w:tcBorders>
            <w:noWrap/>
            <w:hideMark/>
          </w:tcPr>
          <w:p w14:paraId="6B011673"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-0.211</w:t>
            </w:r>
          </w:p>
        </w:tc>
      </w:tr>
      <w:tr w:rsidR="009968E0" w:rsidRPr="009968E0" w14:paraId="026F5A9A"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772" w:type="pct"/>
            <w:tcBorders>
              <w:left w:val="single" w:sz="4" w:space="0" w:color="auto"/>
            </w:tcBorders>
            <w:noWrap/>
            <w:hideMark/>
          </w:tcPr>
          <w:p w14:paraId="2A50833B" w14:textId="77777777" w:rsidR="009968E0" w:rsidRPr="009968E0" w:rsidRDefault="009968E0" w:rsidP="009968E0">
            <w:pPr>
              <w:rPr>
                <w:rFonts w:ascii="Calibri" w:eastAsia="MS Gothic" w:hAnsi="Calibri" w:cs="Calibri"/>
                <w:i/>
                <w:iCs/>
                <w:sz w:val="22"/>
                <w:szCs w:val="22"/>
                <w:lang w:eastAsia="en-GB"/>
              </w:rPr>
            </w:pPr>
          </w:p>
        </w:tc>
        <w:tc>
          <w:tcPr>
            <w:tcW w:w="1946" w:type="pct"/>
            <w:noWrap/>
            <w:hideMark/>
          </w:tcPr>
          <w:p w14:paraId="6DC72847"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Sig. (2-tailed)</w:t>
            </w:r>
          </w:p>
        </w:tc>
        <w:tc>
          <w:tcPr>
            <w:tcW w:w="1282" w:type="pct"/>
            <w:tcBorders>
              <w:right w:val="single" w:sz="4" w:space="0" w:color="auto"/>
            </w:tcBorders>
            <w:noWrap/>
            <w:hideMark/>
          </w:tcPr>
          <w:p w14:paraId="0C610E54"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0.075</w:t>
            </w:r>
          </w:p>
        </w:tc>
      </w:tr>
      <w:tr w:rsidR="009968E0" w:rsidRPr="009968E0" w14:paraId="61D668CF"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772" w:type="pct"/>
            <w:tcBorders>
              <w:left w:val="single" w:sz="4" w:space="0" w:color="auto"/>
            </w:tcBorders>
            <w:noWrap/>
            <w:hideMark/>
          </w:tcPr>
          <w:p w14:paraId="04F36E43" w14:textId="77777777" w:rsidR="009968E0" w:rsidRPr="009968E0" w:rsidRDefault="009968E0" w:rsidP="009968E0">
            <w:pPr>
              <w:rPr>
                <w:rFonts w:ascii="Calibri" w:eastAsia="MS Gothic" w:hAnsi="Calibri" w:cs="Calibri"/>
                <w:i/>
                <w:iCs/>
                <w:sz w:val="22"/>
                <w:szCs w:val="22"/>
                <w:lang w:eastAsia="en-GB"/>
              </w:rPr>
            </w:pPr>
          </w:p>
        </w:tc>
        <w:tc>
          <w:tcPr>
            <w:tcW w:w="1946" w:type="pct"/>
            <w:noWrap/>
            <w:hideMark/>
          </w:tcPr>
          <w:p w14:paraId="09D9A92F"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N</w:t>
            </w:r>
          </w:p>
        </w:tc>
        <w:tc>
          <w:tcPr>
            <w:tcW w:w="1282" w:type="pct"/>
            <w:tcBorders>
              <w:right w:val="single" w:sz="4" w:space="0" w:color="auto"/>
            </w:tcBorders>
            <w:noWrap/>
            <w:hideMark/>
          </w:tcPr>
          <w:p w14:paraId="7E3C13F4"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72</w:t>
            </w:r>
          </w:p>
        </w:tc>
      </w:tr>
      <w:tr w:rsidR="009968E0" w:rsidRPr="009968E0" w14:paraId="338D1FDE"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772" w:type="pct"/>
            <w:tcBorders>
              <w:left w:val="single" w:sz="4" w:space="0" w:color="auto"/>
            </w:tcBorders>
            <w:noWrap/>
            <w:hideMark/>
          </w:tcPr>
          <w:p w14:paraId="797FB92B" w14:textId="77777777" w:rsidR="009968E0" w:rsidRPr="009968E0" w:rsidRDefault="009968E0" w:rsidP="009968E0">
            <w:pPr>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TSL</w:t>
            </w:r>
          </w:p>
        </w:tc>
        <w:tc>
          <w:tcPr>
            <w:tcW w:w="1946" w:type="pct"/>
            <w:noWrap/>
            <w:hideMark/>
          </w:tcPr>
          <w:p w14:paraId="33EF9D02"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Pearson Correlation</w:t>
            </w:r>
          </w:p>
        </w:tc>
        <w:tc>
          <w:tcPr>
            <w:tcW w:w="1282" w:type="pct"/>
            <w:tcBorders>
              <w:right w:val="single" w:sz="4" w:space="0" w:color="auto"/>
            </w:tcBorders>
            <w:noWrap/>
            <w:hideMark/>
          </w:tcPr>
          <w:p w14:paraId="0A672F45"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-0.207</w:t>
            </w:r>
          </w:p>
        </w:tc>
      </w:tr>
      <w:tr w:rsidR="009968E0" w:rsidRPr="009968E0" w14:paraId="49C66E9E"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772" w:type="pct"/>
            <w:tcBorders>
              <w:left w:val="single" w:sz="4" w:space="0" w:color="auto"/>
            </w:tcBorders>
            <w:noWrap/>
            <w:hideMark/>
          </w:tcPr>
          <w:p w14:paraId="480C4B29" w14:textId="77777777" w:rsidR="009968E0" w:rsidRPr="009968E0" w:rsidRDefault="009968E0" w:rsidP="009968E0">
            <w:pPr>
              <w:rPr>
                <w:rFonts w:ascii="Calibri" w:eastAsia="MS Gothic" w:hAnsi="Calibri" w:cs="Calibri"/>
                <w:i/>
                <w:iCs/>
                <w:sz w:val="22"/>
                <w:szCs w:val="22"/>
                <w:lang w:eastAsia="en-GB"/>
              </w:rPr>
            </w:pPr>
          </w:p>
        </w:tc>
        <w:tc>
          <w:tcPr>
            <w:tcW w:w="1946" w:type="pct"/>
            <w:noWrap/>
            <w:hideMark/>
          </w:tcPr>
          <w:p w14:paraId="1AAC30A0"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Sig. (2-tailed)</w:t>
            </w:r>
          </w:p>
        </w:tc>
        <w:tc>
          <w:tcPr>
            <w:tcW w:w="1282" w:type="pct"/>
            <w:tcBorders>
              <w:right w:val="single" w:sz="4" w:space="0" w:color="auto"/>
            </w:tcBorders>
            <w:noWrap/>
            <w:hideMark/>
          </w:tcPr>
          <w:p w14:paraId="5AD21D99"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0.08</w:t>
            </w:r>
          </w:p>
        </w:tc>
      </w:tr>
      <w:tr w:rsidR="009968E0" w:rsidRPr="009968E0" w14:paraId="784A7492"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772" w:type="pct"/>
            <w:tcBorders>
              <w:left w:val="single" w:sz="4" w:space="0" w:color="auto"/>
            </w:tcBorders>
            <w:noWrap/>
            <w:hideMark/>
          </w:tcPr>
          <w:p w14:paraId="5C8E7CC9" w14:textId="77777777" w:rsidR="009968E0" w:rsidRPr="009968E0" w:rsidRDefault="009968E0" w:rsidP="009968E0">
            <w:pPr>
              <w:rPr>
                <w:rFonts w:ascii="Calibri" w:eastAsia="MS Gothic" w:hAnsi="Calibri" w:cs="Calibri"/>
                <w:i/>
                <w:iCs/>
                <w:sz w:val="22"/>
                <w:szCs w:val="22"/>
                <w:lang w:eastAsia="en-GB"/>
              </w:rPr>
            </w:pPr>
          </w:p>
        </w:tc>
        <w:tc>
          <w:tcPr>
            <w:tcW w:w="1946" w:type="pct"/>
            <w:noWrap/>
            <w:hideMark/>
          </w:tcPr>
          <w:p w14:paraId="61561F9B"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N</w:t>
            </w:r>
          </w:p>
        </w:tc>
        <w:tc>
          <w:tcPr>
            <w:tcW w:w="1282" w:type="pct"/>
            <w:tcBorders>
              <w:right w:val="single" w:sz="4" w:space="0" w:color="auto"/>
            </w:tcBorders>
            <w:noWrap/>
            <w:hideMark/>
          </w:tcPr>
          <w:p w14:paraId="40076F6D"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72</w:t>
            </w:r>
          </w:p>
        </w:tc>
      </w:tr>
      <w:tr w:rsidR="009968E0" w:rsidRPr="009968E0" w14:paraId="79AEA2C2"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772" w:type="pct"/>
            <w:tcBorders>
              <w:left w:val="single" w:sz="4" w:space="0" w:color="auto"/>
            </w:tcBorders>
            <w:noWrap/>
            <w:hideMark/>
          </w:tcPr>
          <w:p w14:paraId="5B670C49" w14:textId="77777777" w:rsidR="009968E0" w:rsidRPr="009968E0" w:rsidRDefault="009968E0" w:rsidP="009968E0">
            <w:pPr>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lastRenderedPageBreak/>
              <w:t>CPT</w:t>
            </w:r>
          </w:p>
        </w:tc>
        <w:tc>
          <w:tcPr>
            <w:tcW w:w="1946" w:type="pct"/>
            <w:noWrap/>
            <w:hideMark/>
          </w:tcPr>
          <w:p w14:paraId="1B4F211E"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Pearson Correlation</w:t>
            </w:r>
          </w:p>
        </w:tc>
        <w:tc>
          <w:tcPr>
            <w:tcW w:w="1282" w:type="pct"/>
            <w:tcBorders>
              <w:right w:val="single" w:sz="4" w:space="0" w:color="auto"/>
            </w:tcBorders>
            <w:noWrap/>
            <w:hideMark/>
          </w:tcPr>
          <w:p w14:paraId="45B63226"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0.083</w:t>
            </w:r>
          </w:p>
        </w:tc>
      </w:tr>
      <w:tr w:rsidR="009968E0" w:rsidRPr="009968E0" w14:paraId="1864D034"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772" w:type="pct"/>
            <w:tcBorders>
              <w:left w:val="single" w:sz="4" w:space="0" w:color="auto"/>
            </w:tcBorders>
            <w:noWrap/>
            <w:hideMark/>
          </w:tcPr>
          <w:p w14:paraId="3BA6ED34" w14:textId="77777777" w:rsidR="009968E0" w:rsidRPr="009968E0" w:rsidRDefault="009968E0" w:rsidP="009968E0">
            <w:pPr>
              <w:rPr>
                <w:rFonts w:ascii="Calibri" w:eastAsia="MS Gothic" w:hAnsi="Calibri" w:cs="Calibri"/>
                <w:i/>
                <w:iCs/>
                <w:sz w:val="22"/>
                <w:szCs w:val="22"/>
                <w:lang w:eastAsia="en-GB"/>
              </w:rPr>
            </w:pPr>
          </w:p>
        </w:tc>
        <w:tc>
          <w:tcPr>
            <w:tcW w:w="1946" w:type="pct"/>
            <w:noWrap/>
            <w:hideMark/>
          </w:tcPr>
          <w:p w14:paraId="0DE6C021"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Sig. (2-tailed)</w:t>
            </w:r>
          </w:p>
        </w:tc>
        <w:tc>
          <w:tcPr>
            <w:tcW w:w="1282" w:type="pct"/>
            <w:tcBorders>
              <w:right w:val="single" w:sz="4" w:space="0" w:color="auto"/>
            </w:tcBorders>
            <w:noWrap/>
            <w:hideMark/>
          </w:tcPr>
          <w:p w14:paraId="68657C77"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0.49</w:t>
            </w:r>
          </w:p>
        </w:tc>
      </w:tr>
      <w:tr w:rsidR="009968E0" w:rsidRPr="009968E0" w14:paraId="7A456451"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772" w:type="pct"/>
            <w:tcBorders>
              <w:left w:val="single" w:sz="4" w:space="0" w:color="auto"/>
            </w:tcBorders>
            <w:noWrap/>
            <w:hideMark/>
          </w:tcPr>
          <w:p w14:paraId="6E940EBD" w14:textId="77777777" w:rsidR="009968E0" w:rsidRPr="009968E0" w:rsidRDefault="009968E0" w:rsidP="009968E0">
            <w:pPr>
              <w:rPr>
                <w:rFonts w:ascii="Calibri" w:eastAsia="MS Gothic" w:hAnsi="Calibri" w:cs="Calibri"/>
                <w:i/>
                <w:iCs/>
                <w:sz w:val="22"/>
                <w:szCs w:val="22"/>
                <w:lang w:eastAsia="en-GB"/>
              </w:rPr>
            </w:pPr>
          </w:p>
        </w:tc>
        <w:tc>
          <w:tcPr>
            <w:tcW w:w="1946" w:type="pct"/>
            <w:noWrap/>
            <w:hideMark/>
          </w:tcPr>
          <w:p w14:paraId="41065D2D"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N</w:t>
            </w:r>
          </w:p>
        </w:tc>
        <w:tc>
          <w:tcPr>
            <w:tcW w:w="1282" w:type="pct"/>
            <w:tcBorders>
              <w:right w:val="single" w:sz="4" w:space="0" w:color="auto"/>
            </w:tcBorders>
            <w:noWrap/>
            <w:hideMark/>
          </w:tcPr>
          <w:p w14:paraId="2C314C35"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72</w:t>
            </w:r>
          </w:p>
        </w:tc>
      </w:tr>
      <w:tr w:rsidR="009968E0" w:rsidRPr="009968E0" w14:paraId="077F6A88"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772" w:type="pct"/>
            <w:tcBorders>
              <w:left w:val="single" w:sz="4" w:space="0" w:color="auto"/>
            </w:tcBorders>
            <w:noWrap/>
            <w:hideMark/>
          </w:tcPr>
          <w:p w14:paraId="53267A2D" w14:textId="77777777" w:rsidR="009968E0" w:rsidRPr="009968E0" w:rsidRDefault="009968E0" w:rsidP="009968E0">
            <w:pPr>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HPT</w:t>
            </w:r>
          </w:p>
        </w:tc>
        <w:tc>
          <w:tcPr>
            <w:tcW w:w="1946" w:type="pct"/>
            <w:noWrap/>
            <w:hideMark/>
          </w:tcPr>
          <w:p w14:paraId="0629E8D8"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Pearson Correlation</w:t>
            </w:r>
          </w:p>
        </w:tc>
        <w:tc>
          <w:tcPr>
            <w:tcW w:w="1282" w:type="pct"/>
            <w:tcBorders>
              <w:right w:val="single" w:sz="4" w:space="0" w:color="auto"/>
            </w:tcBorders>
            <w:noWrap/>
            <w:hideMark/>
          </w:tcPr>
          <w:p w14:paraId="10D64771"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-0.144</w:t>
            </w:r>
          </w:p>
        </w:tc>
      </w:tr>
      <w:tr w:rsidR="009968E0" w:rsidRPr="009968E0" w14:paraId="17AC6428"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772" w:type="pct"/>
            <w:tcBorders>
              <w:left w:val="single" w:sz="4" w:space="0" w:color="auto"/>
            </w:tcBorders>
            <w:noWrap/>
            <w:hideMark/>
          </w:tcPr>
          <w:p w14:paraId="3E26AAE3" w14:textId="77777777" w:rsidR="009968E0" w:rsidRPr="009968E0" w:rsidRDefault="009968E0" w:rsidP="009968E0">
            <w:pPr>
              <w:rPr>
                <w:rFonts w:ascii="Calibri" w:eastAsia="MS Gothic" w:hAnsi="Calibri" w:cs="Calibri"/>
                <w:i/>
                <w:iCs/>
                <w:sz w:val="22"/>
                <w:szCs w:val="22"/>
                <w:lang w:eastAsia="en-GB"/>
              </w:rPr>
            </w:pPr>
          </w:p>
        </w:tc>
        <w:tc>
          <w:tcPr>
            <w:tcW w:w="1946" w:type="pct"/>
            <w:noWrap/>
            <w:hideMark/>
          </w:tcPr>
          <w:p w14:paraId="6C76AB3E"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Sig. (2-tailed)</w:t>
            </w:r>
          </w:p>
        </w:tc>
        <w:tc>
          <w:tcPr>
            <w:tcW w:w="1282" w:type="pct"/>
            <w:tcBorders>
              <w:right w:val="single" w:sz="4" w:space="0" w:color="auto"/>
            </w:tcBorders>
            <w:noWrap/>
            <w:hideMark/>
          </w:tcPr>
          <w:p w14:paraId="1F944F21"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0.232</w:t>
            </w:r>
          </w:p>
        </w:tc>
      </w:tr>
      <w:tr w:rsidR="009968E0" w:rsidRPr="009968E0" w14:paraId="4803A66A"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772" w:type="pct"/>
            <w:tcBorders>
              <w:left w:val="single" w:sz="4" w:space="0" w:color="auto"/>
            </w:tcBorders>
            <w:noWrap/>
            <w:hideMark/>
          </w:tcPr>
          <w:p w14:paraId="4B8B0ABA" w14:textId="77777777" w:rsidR="009968E0" w:rsidRPr="009968E0" w:rsidRDefault="009968E0" w:rsidP="009968E0">
            <w:pPr>
              <w:rPr>
                <w:rFonts w:ascii="Calibri" w:eastAsia="MS Gothic" w:hAnsi="Calibri" w:cs="Calibri"/>
                <w:i/>
                <w:iCs/>
                <w:sz w:val="22"/>
                <w:szCs w:val="22"/>
                <w:lang w:eastAsia="en-GB"/>
              </w:rPr>
            </w:pPr>
          </w:p>
        </w:tc>
        <w:tc>
          <w:tcPr>
            <w:tcW w:w="1946" w:type="pct"/>
            <w:noWrap/>
            <w:hideMark/>
          </w:tcPr>
          <w:p w14:paraId="30276441"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N</w:t>
            </w:r>
          </w:p>
        </w:tc>
        <w:tc>
          <w:tcPr>
            <w:tcW w:w="1282" w:type="pct"/>
            <w:tcBorders>
              <w:right w:val="single" w:sz="4" w:space="0" w:color="auto"/>
            </w:tcBorders>
            <w:noWrap/>
            <w:hideMark/>
          </w:tcPr>
          <w:p w14:paraId="723DCD8E"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71</w:t>
            </w:r>
          </w:p>
        </w:tc>
      </w:tr>
      <w:tr w:rsidR="009968E0" w:rsidRPr="009968E0" w14:paraId="425A27EE"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772" w:type="pct"/>
            <w:tcBorders>
              <w:left w:val="single" w:sz="4" w:space="0" w:color="auto"/>
            </w:tcBorders>
            <w:noWrap/>
            <w:hideMark/>
          </w:tcPr>
          <w:p w14:paraId="4F1404A7" w14:textId="77777777" w:rsidR="009968E0" w:rsidRPr="009968E0" w:rsidRDefault="009968E0" w:rsidP="009968E0">
            <w:pPr>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PPT</w:t>
            </w:r>
          </w:p>
        </w:tc>
        <w:tc>
          <w:tcPr>
            <w:tcW w:w="1946" w:type="pct"/>
            <w:noWrap/>
            <w:hideMark/>
          </w:tcPr>
          <w:p w14:paraId="4E0353D5"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Pearson Correlation</w:t>
            </w:r>
          </w:p>
        </w:tc>
        <w:tc>
          <w:tcPr>
            <w:tcW w:w="1282" w:type="pct"/>
            <w:tcBorders>
              <w:right w:val="single" w:sz="4" w:space="0" w:color="auto"/>
            </w:tcBorders>
            <w:noWrap/>
            <w:hideMark/>
          </w:tcPr>
          <w:p w14:paraId="70B3F20F"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-0.026</w:t>
            </w:r>
          </w:p>
        </w:tc>
      </w:tr>
      <w:tr w:rsidR="009968E0" w:rsidRPr="009968E0" w14:paraId="2A9F27A1"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772" w:type="pct"/>
            <w:tcBorders>
              <w:left w:val="single" w:sz="4" w:space="0" w:color="auto"/>
            </w:tcBorders>
            <w:noWrap/>
            <w:hideMark/>
          </w:tcPr>
          <w:p w14:paraId="17BAA051" w14:textId="77777777" w:rsidR="009968E0" w:rsidRPr="009968E0" w:rsidRDefault="009968E0" w:rsidP="009968E0">
            <w:pPr>
              <w:rPr>
                <w:rFonts w:ascii="Calibri" w:eastAsia="MS Gothic" w:hAnsi="Calibri" w:cs="Calibri"/>
                <w:i/>
                <w:iCs/>
                <w:sz w:val="22"/>
                <w:szCs w:val="22"/>
                <w:lang w:eastAsia="en-GB"/>
              </w:rPr>
            </w:pPr>
          </w:p>
        </w:tc>
        <w:tc>
          <w:tcPr>
            <w:tcW w:w="1946" w:type="pct"/>
            <w:noWrap/>
            <w:hideMark/>
          </w:tcPr>
          <w:p w14:paraId="6DA50882"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Sig. (2-tailed)</w:t>
            </w:r>
          </w:p>
        </w:tc>
        <w:tc>
          <w:tcPr>
            <w:tcW w:w="1282" w:type="pct"/>
            <w:tcBorders>
              <w:right w:val="single" w:sz="4" w:space="0" w:color="auto"/>
            </w:tcBorders>
            <w:noWrap/>
            <w:hideMark/>
          </w:tcPr>
          <w:p w14:paraId="6F444F32"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0.826</w:t>
            </w:r>
          </w:p>
        </w:tc>
      </w:tr>
      <w:tr w:rsidR="009968E0" w:rsidRPr="009968E0" w14:paraId="498760BF"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772" w:type="pct"/>
            <w:tcBorders>
              <w:left w:val="single" w:sz="4" w:space="0" w:color="auto"/>
            </w:tcBorders>
            <w:noWrap/>
            <w:hideMark/>
          </w:tcPr>
          <w:p w14:paraId="36C005B5" w14:textId="77777777" w:rsidR="009968E0" w:rsidRPr="009968E0" w:rsidRDefault="009968E0" w:rsidP="009968E0">
            <w:pPr>
              <w:rPr>
                <w:rFonts w:ascii="Calibri" w:eastAsia="MS Gothic" w:hAnsi="Calibri" w:cs="Calibri"/>
                <w:i/>
                <w:iCs/>
                <w:sz w:val="22"/>
                <w:szCs w:val="22"/>
                <w:lang w:eastAsia="en-GB"/>
              </w:rPr>
            </w:pPr>
          </w:p>
        </w:tc>
        <w:tc>
          <w:tcPr>
            <w:tcW w:w="1946" w:type="pct"/>
            <w:noWrap/>
            <w:hideMark/>
          </w:tcPr>
          <w:p w14:paraId="7FA7CFC2"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N</w:t>
            </w:r>
          </w:p>
        </w:tc>
        <w:tc>
          <w:tcPr>
            <w:tcW w:w="1282" w:type="pct"/>
            <w:tcBorders>
              <w:right w:val="single" w:sz="4" w:space="0" w:color="auto"/>
            </w:tcBorders>
            <w:noWrap/>
            <w:hideMark/>
          </w:tcPr>
          <w:p w14:paraId="63DA51F7"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72</w:t>
            </w:r>
          </w:p>
        </w:tc>
      </w:tr>
      <w:tr w:rsidR="009968E0" w:rsidRPr="009968E0" w14:paraId="0C01F31F"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772" w:type="pct"/>
            <w:tcBorders>
              <w:left w:val="single" w:sz="4" w:space="0" w:color="auto"/>
            </w:tcBorders>
            <w:noWrap/>
            <w:hideMark/>
          </w:tcPr>
          <w:p w14:paraId="69976E6E" w14:textId="77777777" w:rsidR="009968E0" w:rsidRPr="009968E0" w:rsidRDefault="009968E0" w:rsidP="009968E0">
            <w:pPr>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MPT</w:t>
            </w:r>
          </w:p>
        </w:tc>
        <w:tc>
          <w:tcPr>
            <w:tcW w:w="1946" w:type="pct"/>
            <w:noWrap/>
            <w:hideMark/>
          </w:tcPr>
          <w:p w14:paraId="71745324"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Pearson Correlation</w:t>
            </w:r>
          </w:p>
        </w:tc>
        <w:tc>
          <w:tcPr>
            <w:tcW w:w="1282" w:type="pct"/>
            <w:tcBorders>
              <w:right w:val="single" w:sz="4" w:space="0" w:color="auto"/>
            </w:tcBorders>
            <w:noWrap/>
            <w:hideMark/>
          </w:tcPr>
          <w:p w14:paraId="16A67C79"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-0.05</w:t>
            </w:r>
          </w:p>
        </w:tc>
      </w:tr>
      <w:tr w:rsidR="009968E0" w:rsidRPr="009968E0" w14:paraId="19378E68"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772" w:type="pct"/>
            <w:tcBorders>
              <w:left w:val="single" w:sz="4" w:space="0" w:color="auto"/>
            </w:tcBorders>
            <w:noWrap/>
            <w:hideMark/>
          </w:tcPr>
          <w:p w14:paraId="41D8927A" w14:textId="77777777" w:rsidR="009968E0" w:rsidRPr="009968E0" w:rsidRDefault="009968E0" w:rsidP="009968E0">
            <w:pPr>
              <w:rPr>
                <w:rFonts w:ascii="Calibri" w:eastAsia="MS Gothic" w:hAnsi="Calibri" w:cs="Calibri"/>
                <w:i/>
                <w:iCs/>
                <w:sz w:val="22"/>
                <w:szCs w:val="22"/>
                <w:lang w:eastAsia="en-GB"/>
              </w:rPr>
            </w:pPr>
          </w:p>
        </w:tc>
        <w:tc>
          <w:tcPr>
            <w:tcW w:w="1946" w:type="pct"/>
            <w:noWrap/>
            <w:hideMark/>
          </w:tcPr>
          <w:p w14:paraId="2C781E39"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Sig. (2-tailed)</w:t>
            </w:r>
          </w:p>
        </w:tc>
        <w:tc>
          <w:tcPr>
            <w:tcW w:w="1282" w:type="pct"/>
            <w:tcBorders>
              <w:right w:val="single" w:sz="4" w:space="0" w:color="auto"/>
            </w:tcBorders>
            <w:noWrap/>
            <w:hideMark/>
          </w:tcPr>
          <w:p w14:paraId="172C4AA0"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0.676</w:t>
            </w:r>
          </w:p>
        </w:tc>
      </w:tr>
      <w:tr w:rsidR="009968E0" w:rsidRPr="009968E0" w14:paraId="57AA0B85"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772" w:type="pct"/>
            <w:tcBorders>
              <w:left w:val="single" w:sz="4" w:space="0" w:color="auto"/>
            </w:tcBorders>
            <w:noWrap/>
            <w:hideMark/>
          </w:tcPr>
          <w:p w14:paraId="035EDAB1" w14:textId="77777777" w:rsidR="009968E0" w:rsidRPr="009968E0" w:rsidRDefault="009968E0" w:rsidP="009968E0">
            <w:pPr>
              <w:rPr>
                <w:rFonts w:ascii="Calibri" w:eastAsia="MS Gothic" w:hAnsi="Calibri" w:cs="Calibri"/>
                <w:i/>
                <w:iCs/>
                <w:sz w:val="22"/>
                <w:szCs w:val="22"/>
                <w:lang w:eastAsia="en-GB"/>
              </w:rPr>
            </w:pPr>
          </w:p>
        </w:tc>
        <w:tc>
          <w:tcPr>
            <w:tcW w:w="1946" w:type="pct"/>
            <w:noWrap/>
            <w:hideMark/>
          </w:tcPr>
          <w:p w14:paraId="68F86089"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N</w:t>
            </w:r>
          </w:p>
        </w:tc>
        <w:tc>
          <w:tcPr>
            <w:tcW w:w="1282" w:type="pct"/>
            <w:tcBorders>
              <w:right w:val="single" w:sz="4" w:space="0" w:color="auto"/>
            </w:tcBorders>
            <w:noWrap/>
            <w:hideMark/>
          </w:tcPr>
          <w:p w14:paraId="1B9C565E"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72</w:t>
            </w:r>
          </w:p>
        </w:tc>
      </w:tr>
      <w:tr w:rsidR="009968E0" w:rsidRPr="009968E0" w14:paraId="37E1A783"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772" w:type="pct"/>
            <w:tcBorders>
              <w:left w:val="single" w:sz="4" w:space="0" w:color="auto"/>
            </w:tcBorders>
            <w:noWrap/>
            <w:hideMark/>
          </w:tcPr>
          <w:p w14:paraId="3188D013" w14:textId="77777777" w:rsidR="009968E0" w:rsidRPr="009968E0" w:rsidRDefault="009968E0" w:rsidP="009968E0">
            <w:pPr>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MPS</w:t>
            </w:r>
          </w:p>
        </w:tc>
        <w:tc>
          <w:tcPr>
            <w:tcW w:w="1946" w:type="pct"/>
            <w:noWrap/>
            <w:hideMark/>
          </w:tcPr>
          <w:p w14:paraId="68A32BD0"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Pearson Correlation</w:t>
            </w:r>
          </w:p>
        </w:tc>
        <w:tc>
          <w:tcPr>
            <w:tcW w:w="1282" w:type="pct"/>
            <w:tcBorders>
              <w:right w:val="single" w:sz="4" w:space="0" w:color="auto"/>
            </w:tcBorders>
            <w:noWrap/>
            <w:hideMark/>
          </w:tcPr>
          <w:p w14:paraId="56D4AC45"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-0.083</w:t>
            </w:r>
          </w:p>
        </w:tc>
      </w:tr>
      <w:tr w:rsidR="009968E0" w:rsidRPr="009968E0" w14:paraId="7FE73D88"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772" w:type="pct"/>
            <w:tcBorders>
              <w:left w:val="single" w:sz="4" w:space="0" w:color="auto"/>
            </w:tcBorders>
            <w:noWrap/>
            <w:hideMark/>
          </w:tcPr>
          <w:p w14:paraId="66E41B43" w14:textId="77777777" w:rsidR="009968E0" w:rsidRPr="009968E0" w:rsidRDefault="009968E0" w:rsidP="009968E0">
            <w:pPr>
              <w:rPr>
                <w:rFonts w:ascii="Calibri" w:eastAsia="MS Gothic" w:hAnsi="Calibri" w:cs="Calibri"/>
                <w:i/>
                <w:iCs/>
                <w:sz w:val="22"/>
                <w:szCs w:val="22"/>
                <w:lang w:eastAsia="en-GB"/>
              </w:rPr>
            </w:pPr>
          </w:p>
        </w:tc>
        <w:tc>
          <w:tcPr>
            <w:tcW w:w="1946" w:type="pct"/>
            <w:noWrap/>
            <w:hideMark/>
          </w:tcPr>
          <w:p w14:paraId="57F6CEE7"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Sig. (2-tailed)</w:t>
            </w:r>
          </w:p>
        </w:tc>
        <w:tc>
          <w:tcPr>
            <w:tcW w:w="1282" w:type="pct"/>
            <w:tcBorders>
              <w:right w:val="single" w:sz="4" w:space="0" w:color="auto"/>
            </w:tcBorders>
            <w:noWrap/>
            <w:hideMark/>
          </w:tcPr>
          <w:p w14:paraId="326C4D89"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0.49</w:t>
            </w:r>
          </w:p>
        </w:tc>
      </w:tr>
      <w:tr w:rsidR="009968E0" w:rsidRPr="009968E0" w14:paraId="33F074AB"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772" w:type="pct"/>
            <w:tcBorders>
              <w:left w:val="single" w:sz="4" w:space="0" w:color="auto"/>
            </w:tcBorders>
            <w:noWrap/>
            <w:hideMark/>
          </w:tcPr>
          <w:p w14:paraId="65309685" w14:textId="77777777" w:rsidR="009968E0" w:rsidRPr="009968E0" w:rsidRDefault="009968E0" w:rsidP="009968E0">
            <w:pPr>
              <w:rPr>
                <w:rFonts w:ascii="Calibri" w:eastAsia="MS Gothic" w:hAnsi="Calibri" w:cs="Calibri"/>
                <w:i/>
                <w:iCs/>
                <w:sz w:val="22"/>
                <w:szCs w:val="22"/>
                <w:lang w:eastAsia="en-GB"/>
              </w:rPr>
            </w:pPr>
          </w:p>
        </w:tc>
        <w:tc>
          <w:tcPr>
            <w:tcW w:w="1946" w:type="pct"/>
            <w:noWrap/>
            <w:hideMark/>
          </w:tcPr>
          <w:p w14:paraId="140B5FEF"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N</w:t>
            </w:r>
          </w:p>
        </w:tc>
        <w:tc>
          <w:tcPr>
            <w:tcW w:w="1282" w:type="pct"/>
            <w:tcBorders>
              <w:right w:val="single" w:sz="4" w:space="0" w:color="auto"/>
            </w:tcBorders>
            <w:noWrap/>
            <w:hideMark/>
          </w:tcPr>
          <w:p w14:paraId="136C11B8"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72</w:t>
            </w:r>
          </w:p>
        </w:tc>
      </w:tr>
      <w:tr w:rsidR="009968E0" w:rsidRPr="009968E0" w14:paraId="0097974A"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772" w:type="pct"/>
            <w:tcBorders>
              <w:left w:val="single" w:sz="4" w:space="0" w:color="auto"/>
            </w:tcBorders>
            <w:noWrap/>
            <w:hideMark/>
          </w:tcPr>
          <w:p w14:paraId="2AB8A022" w14:textId="77777777" w:rsidR="009968E0" w:rsidRPr="009968E0" w:rsidRDefault="009968E0" w:rsidP="009968E0">
            <w:pPr>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WUR</w:t>
            </w:r>
          </w:p>
        </w:tc>
        <w:tc>
          <w:tcPr>
            <w:tcW w:w="1946" w:type="pct"/>
            <w:noWrap/>
            <w:hideMark/>
          </w:tcPr>
          <w:p w14:paraId="07E4144B"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Pearson Correlation</w:t>
            </w:r>
          </w:p>
        </w:tc>
        <w:tc>
          <w:tcPr>
            <w:tcW w:w="1282" w:type="pct"/>
            <w:tcBorders>
              <w:right w:val="single" w:sz="4" w:space="0" w:color="auto"/>
            </w:tcBorders>
            <w:noWrap/>
            <w:hideMark/>
          </w:tcPr>
          <w:p w14:paraId="53EB2FDA"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0.002</w:t>
            </w:r>
          </w:p>
        </w:tc>
      </w:tr>
      <w:tr w:rsidR="009968E0" w:rsidRPr="009968E0" w14:paraId="37526F92"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772" w:type="pct"/>
            <w:tcBorders>
              <w:left w:val="single" w:sz="4" w:space="0" w:color="auto"/>
            </w:tcBorders>
            <w:noWrap/>
            <w:hideMark/>
          </w:tcPr>
          <w:p w14:paraId="5293A43C" w14:textId="77777777" w:rsidR="009968E0" w:rsidRPr="009968E0" w:rsidRDefault="009968E0" w:rsidP="009968E0">
            <w:pPr>
              <w:rPr>
                <w:rFonts w:ascii="Calibri" w:eastAsia="MS Gothic" w:hAnsi="Calibri" w:cs="Calibri"/>
                <w:i/>
                <w:iCs/>
                <w:sz w:val="22"/>
                <w:szCs w:val="22"/>
                <w:lang w:eastAsia="en-GB"/>
              </w:rPr>
            </w:pPr>
          </w:p>
        </w:tc>
        <w:tc>
          <w:tcPr>
            <w:tcW w:w="1946" w:type="pct"/>
            <w:noWrap/>
            <w:hideMark/>
          </w:tcPr>
          <w:p w14:paraId="05106E0A"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Sig. (2-tailed)</w:t>
            </w:r>
          </w:p>
        </w:tc>
        <w:tc>
          <w:tcPr>
            <w:tcW w:w="1282" w:type="pct"/>
            <w:tcBorders>
              <w:right w:val="single" w:sz="4" w:space="0" w:color="auto"/>
            </w:tcBorders>
            <w:noWrap/>
            <w:hideMark/>
          </w:tcPr>
          <w:p w14:paraId="625A2536"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0.986</w:t>
            </w:r>
          </w:p>
        </w:tc>
      </w:tr>
      <w:tr w:rsidR="009968E0" w:rsidRPr="009968E0" w14:paraId="7946FCCA"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772" w:type="pct"/>
            <w:tcBorders>
              <w:left w:val="single" w:sz="4" w:space="0" w:color="auto"/>
            </w:tcBorders>
            <w:noWrap/>
            <w:hideMark/>
          </w:tcPr>
          <w:p w14:paraId="708EFD8B" w14:textId="77777777" w:rsidR="009968E0" w:rsidRPr="009968E0" w:rsidRDefault="009968E0" w:rsidP="009968E0">
            <w:pPr>
              <w:rPr>
                <w:rFonts w:ascii="Calibri" w:eastAsia="MS Gothic" w:hAnsi="Calibri" w:cs="Calibri"/>
                <w:i/>
                <w:iCs/>
                <w:sz w:val="22"/>
                <w:szCs w:val="22"/>
                <w:lang w:eastAsia="en-GB"/>
              </w:rPr>
            </w:pPr>
          </w:p>
        </w:tc>
        <w:tc>
          <w:tcPr>
            <w:tcW w:w="1946" w:type="pct"/>
            <w:noWrap/>
            <w:hideMark/>
          </w:tcPr>
          <w:p w14:paraId="38A19E9B"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N</w:t>
            </w:r>
          </w:p>
        </w:tc>
        <w:tc>
          <w:tcPr>
            <w:tcW w:w="1282" w:type="pct"/>
            <w:tcBorders>
              <w:right w:val="single" w:sz="4" w:space="0" w:color="auto"/>
            </w:tcBorders>
            <w:noWrap/>
            <w:hideMark/>
          </w:tcPr>
          <w:p w14:paraId="2B4E635F"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72</w:t>
            </w:r>
          </w:p>
        </w:tc>
      </w:tr>
      <w:tr w:rsidR="009968E0" w:rsidRPr="009968E0" w14:paraId="3761E885"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772" w:type="pct"/>
            <w:tcBorders>
              <w:left w:val="single" w:sz="4" w:space="0" w:color="auto"/>
            </w:tcBorders>
            <w:noWrap/>
            <w:hideMark/>
          </w:tcPr>
          <w:p w14:paraId="335CC3F3" w14:textId="77777777" w:rsidR="009968E0" w:rsidRPr="009968E0" w:rsidRDefault="009968E0" w:rsidP="009968E0">
            <w:pPr>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MDT</w:t>
            </w:r>
          </w:p>
        </w:tc>
        <w:tc>
          <w:tcPr>
            <w:tcW w:w="1946" w:type="pct"/>
            <w:noWrap/>
            <w:hideMark/>
          </w:tcPr>
          <w:p w14:paraId="08D610C8"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Pearson Correlation</w:t>
            </w:r>
          </w:p>
        </w:tc>
        <w:tc>
          <w:tcPr>
            <w:tcW w:w="1282" w:type="pct"/>
            <w:tcBorders>
              <w:right w:val="single" w:sz="4" w:space="0" w:color="auto"/>
            </w:tcBorders>
            <w:noWrap/>
            <w:hideMark/>
          </w:tcPr>
          <w:p w14:paraId="174E716C"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-0.031</w:t>
            </w:r>
          </w:p>
        </w:tc>
      </w:tr>
      <w:tr w:rsidR="009968E0" w:rsidRPr="009968E0" w14:paraId="242A78DD"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772" w:type="pct"/>
            <w:tcBorders>
              <w:left w:val="single" w:sz="4" w:space="0" w:color="auto"/>
            </w:tcBorders>
            <w:noWrap/>
            <w:hideMark/>
          </w:tcPr>
          <w:p w14:paraId="4221F734" w14:textId="77777777" w:rsidR="009968E0" w:rsidRPr="009968E0" w:rsidRDefault="009968E0" w:rsidP="009968E0">
            <w:pPr>
              <w:rPr>
                <w:rFonts w:ascii="Calibri" w:eastAsia="MS Gothic" w:hAnsi="Calibri" w:cs="Calibri"/>
                <w:i/>
                <w:iCs/>
                <w:sz w:val="22"/>
                <w:szCs w:val="22"/>
                <w:lang w:eastAsia="en-GB"/>
              </w:rPr>
            </w:pPr>
          </w:p>
        </w:tc>
        <w:tc>
          <w:tcPr>
            <w:tcW w:w="1946" w:type="pct"/>
            <w:noWrap/>
            <w:hideMark/>
          </w:tcPr>
          <w:p w14:paraId="2C156B45"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Sig. (2-tailed)</w:t>
            </w:r>
          </w:p>
        </w:tc>
        <w:tc>
          <w:tcPr>
            <w:tcW w:w="1282" w:type="pct"/>
            <w:tcBorders>
              <w:right w:val="single" w:sz="4" w:space="0" w:color="auto"/>
            </w:tcBorders>
            <w:noWrap/>
            <w:hideMark/>
          </w:tcPr>
          <w:p w14:paraId="4CC106B0"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0.798</w:t>
            </w:r>
          </w:p>
        </w:tc>
      </w:tr>
      <w:tr w:rsidR="009968E0" w:rsidRPr="009968E0" w14:paraId="2253E94C"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772" w:type="pct"/>
            <w:tcBorders>
              <w:left w:val="single" w:sz="4" w:space="0" w:color="auto"/>
            </w:tcBorders>
            <w:noWrap/>
            <w:hideMark/>
          </w:tcPr>
          <w:p w14:paraId="0C6B717B" w14:textId="77777777" w:rsidR="009968E0" w:rsidRPr="009968E0" w:rsidRDefault="009968E0" w:rsidP="009968E0">
            <w:pPr>
              <w:rPr>
                <w:rFonts w:ascii="Calibri" w:eastAsia="MS Gothic" w:hAnsi="Calibri" w:cs="Calibri"/>
                <w:i/>
                <w:iCs/>
                <w:sz w:val="22"/>
                <w:szCs w:val="22"/>
                <w:lang w:eastAsia="en-GB"/>
              </w:rPr>
            </w:pPr>
          </w:p>
        </w:tc>
        <w:tc>
          <w:tcPr>
            <w:tcW w:w="1946" w:type="pct"/>
            <w:noWrap/>
            <w:hideMark/>
          </w:tcPr>
          <w:p w14:paraId="10ED4232"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N</w:t>
            </w:r>
          </w:p>
        </w:tc>
        <w:tc>
          <w:tcPr>
            <w:tcW w:w="1282" w:type="pct"/>
            <w:tcBorders>
              <w:right w:val="single" w:sz="4" w:space="0" w:color="auto"/>
            </w:tcBorders>
            <w:noWrap/>
            <w:hideMark/>
          </w:tcPr>
          <w:p w14:paraId="791128B7"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72</w:t>
            </w:r>
          </w:p>
        </w:tc>
      </w:tr>
      <w:tr w:rsidR="009968E0" w:rsidRPr="009968E0" w14:paraId="577DEAAF"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772" w:type="pct"/>
            <w:tcBorders>
              <w:left w:val="single" w:sz="4" w:space="0" w:color="auto"/>
            </w:tcBorders>
            <w:noWrap/>
            <w:hideMark/>
          </w:tcPr>
          <w:p w14:paraId="0829C2FB" w14:textId="77777777" w:rsidR="009968E0" w:rsidRPr="009968E0" w:rsidRDefault="009968E0" w:rsidP="009968E0">
            <w:pPr>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VDT</w:t>
            </w:r>
          </w:p>
        </w:tc>
        <w:tc>
          <w:tcPr>
            <w:tcW w:w="1946" w:type="pct"/>
            <w:noWrap/>
            <w:hideMark/>
          </w:tcPr>
          <w:p w14:paraId="4529DDC4"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Pearson Correlation</w:t>
            </w:r>
          </w:p>
        </w:tc>
        <w:tc>
          <w:tcPr>
            <w:tcW w:w="1282" w:type="pct"/>
            <w:tcBorders>
              <w:right w:val="single" w:sz="4" w:space="0" w:color="auto"/>
            </w:tcBorders>
            <w:noWrap/>
            <w:hideMark/>
          </w:tcPr>
          <w:p w14:paraId="722D8616"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-0.005</w:t>
            </w:r>
          </w:p>
        </w:tc>
      </w:tr>
      <w:tr w:rsidR="009968E0" w:rsidRPr="009968E0" w14:paraId="71098A22"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772" w:type="pct"/>
            <w:tcBorders>
              <w:left w:val="single" w:sz="4" w:space="0" w:color="auto"/>
            </w:tcBorders>
            <w:noWrap/>
            <w:hideMark/>
          </w:tcPr>
          <w:p w14:paraId="14A11C9C" w14:textId="77777777" w:rsidR="009968E0" w:rsidRPr="009968E0" w:rsidRDefault="009968E0" w:rsidP="009968E0">
            <w:pPr>
              <w:rPr>
                <w:rFonts w:ascii="Calibri" w:eastAsia="MS Gothic" w:hAnsi="Calibri" w:cs="Calibri"/>
                <w:i/>
                <w:iCs/>
                <w:sz w:val="22"/>
                <w:szCs w:val="22"/>
                <w:lang w:eastAsia="en-GB"/>
              </w:rPr>
            </w:pPr>
          </w:p>
        </w:tc>
        <w:tc>
          <w:tcPr>
            <w:tcW w:w="1946" w:type="pct"/>
            <w:noWrap/>
            <w:hideMark/>
          </w:tcPr>
          <w:p w14:paraId="03D348C5"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Sig. (2-tailed)</w:t>
            </w:r>
          </w:p>
        </w:tc>
        <w:tc>
          <w:tcPr>
            <w:tcW w:w="1282" w:type="pct"/>
            <w:tcBorders>
              <w:right w:val="single" w:sz="4" w:space="0" w:color="auto"/>
            </w:tcBorders>
            <w:noWrap/>
            <w:hideMark/>
          </w:tcPr>
          <w:p w14:paraId="5B9B549A"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0.967</w:t>
            </w:r>
          </w:p>
        </w:tc>
      </w:tr>
      <w:tr w:rsidR="009968E0" w:rsidRPr="009968E0" w14:paraId="03E9E79D"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772" w:type="pct"/>
            <w:tcBorders>
              <w:left w:val="single" w:sz="4" w:space="0" w:color="auto"/>
            </w:tcBorders>
            <w:noWrap/>
            <w:hideMark/>
          </w:tcPr>
          <w:p w14:paraId="160533AA" w14:textId="77777777" w:rsidR="009968E0" w:rsidRPr="009968E0" w:rsidRDefault="009968E0" w:rsidP="009968E0">
            <w:pPr>
              <w:rPr>
                <w:rFonts w:ascii="Calibri" w:eastAsia="MS Gothic" w:hAnsi="Calibri" w:cs="Calibri"/>
                <w:i/>
                <w:iCs/>
                <w:sz w:val="22"/>
                <w:szCs w:val="22"/>
                <w:lang w:eastAsia="en-GB"/>
              </w:rPr>
            </w:pPr>
          </w:p>
        </w:tc>
        <w:tc>
          <w:tcPr>
            <w:tcW w:w="1946" w:type="pct"/>
            <w:noWrap/>
            <w:hideMark/>
          </w:tcPr>
          <w:p w14:paraId="609BB73B"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N</w:t>
            </w:r>
          </w:p>
        </w:tc>
        <w:tc>
          <w:tcPr>
            <w:tcW w:w="1282" w:type="pct"/>
            <w:tcBorders>
              <w:right w:val="single" w:sz="4" w:space="0" w:color="auto"/>
            </w:tcBorders>
            <w:noWrap/>
            <w:hideMark/>
          </w:tcPr>
          <w:p w14:paraId="50D12E4C"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72</w:t>
            </w:r>
          </w:p>
        </w:tc>
      </w:tr>
      <w:tr w:rsidR="009968E0" w:rsidRPr="009968E0" w14:paraId="4BE2686F"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772" w:type="pct"/>
            <w:tcBorders>
              <w:left w:val="single" w:sz="4" w:space="0" w:color="auto"/>
            </w:tcBorders>
            <w:noWrap/>
            <w:hideMark/>
          </w:tcPr>
          <w:p w14:paraId="3F6728E2" w14:textId="77777777" w:rsidR="009968E0" w:rsidRPr="009968E0" w:rsidRDefault="009968E0" w:rsidP="009968E0">
            <w:pPr>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DMA</w:t>
            </w:r>
          </w:p>
        </w:tc>
        <w:tc>
          <w:tcPr>
            <w:tcW w:w="1946" w:type="pct"/>
            <w:noWrap/>
            <w:hideMark/>
          </w:tcPr>
          <w:p w14:paraId="73983E70"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Pearson Correlation</w:t>
            </w:r>
          </w:p>
        </w:tc>
        <w:tc>
          <w:tcPr>
            <w:tcW w:w="1282" w:type="pct"/>
            <w:tcBorders>
              <w:right w:val="single" w:sz="4" w:space="0" w:color="auto"/>
            </w:tcBorders>
            <w:noWrap/>
            <w:hideMark/>
          </w:tcPr>
          <w:p w14:paraId="32A054CF"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-0.013</w:t>
            </w:r>
          </w:p>
        </w:tc>
      </w:tr>
      <w:tr w:rsidR="009968E0" w:rsidRPr="009968E0" w14:paraId="5D7CC26E"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772" w:type="pct"/>
            <w:tcBorders>
              <w:left w:val="single" w:sz="4" w:space="0" w:color="auto"/>
            </w:tcBorders>
            <w:noWrap/>
            <w:hideMark/>
          </w:tcPr>
          <w:p w14:paraId="47CD3EFE" w14:textId="77777777" w:rsidR="009968E0" w:rsidRPr="009968E0" w:rsidRDefault="009968E0" w:rsidP="009968E0">
            <w:pPr>
              <w:rPr>
                <w:rFonts w:ascii="Calibri" w:eastAsia="MS Gothic" w:hAnsi="Calibri" w:cs="Calibri"/>
                <w:i/>
                <w:iCs/>
                <w:sz w:val="22"/>
                <w:szCs w:val="22"/>
                <w:lang w:eastAsia="en-GB"/>
              </w:rPr>
            </w:pPr>
          </w:p>
        </w:tc>
        <w:tc>
          <w:tcPr>
            <w:tcW w:w="1946" w:type="pct"/>
            <w:noWrap/>
            <w:hideMark/>
          </w:tcPr>
          <w:p w14:paraId="27F679DB"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Sig. (2-tailed)</w:t>
            </w:r>
          </w:p>
        </w:tc>
        <w:tc>
          <w:tcPr>
            <w:tcW w:w="1282" w:type="pct"/>
            <w:tcBorders>
              <w:right w:val="single" w:sz="4" w:space="0" w:color="auto"/>
            </w:tcBorders>
            <w:noWrap/>
            <w:hideMark/>
          </w:tcPr>
          <w:p w14:paraId="35AD8965"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0.916</w:t>
            </w:r>
          </w:p>
        </w:tc>
      </w:tr>
      <w:tr w:rsidR="009968E0" w:rsidRPr="009968E0" w14:paraId="29961F29"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772" w:type="pct"/>
            <w:tcBorders>
              <w:left w:val="single" w:sz="4" w:space="0" w:color="auto"/>
            </w:tcBorders>
            <w:noWrap/>
            <w:hideMark/>
          </w:tcPr>
          <w:p w14:paraId="163BCE87" w14:textId="77777777" w:rsidR="009968E0" w:rsidRPr="009968E0" w:rsidRDefault="009968E0" w:rsidP="009968E0">
            <w:pPr>
              <w:rPr>
                <w:rFonts w:ascii="Calibri" w:eastAsia="MS Gothic" w:hAnsi="Calibri" w:cs="Calibri"/>
                <w:i/>
                <w:iCs/>
                <w:sz w:val="22"/>
                <w:szCs w:val="22"/>
                <w:lang w:eastAsia="en-GB"/>
              </w:rPr>
            </w:pPr>
          </w:p>
        </w:tc>
        <w:tc>
          <w:tcPr>
            <w:tcW w:w="1946" w:type="pct"/>
            <w:noWrap/>
            <w:hideMark/>
          </w:tcPr>
          <w:p w14:paraId="0F6EDF59"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N</w:t>
            </w:r>
          </w:p>
        </w:tc>
        <w:tc>
          <w:tcPr>
            <w:tcW w:w="1282" w:type="pct"/>
            <w:tcBorders>
              <w:right w:val="single" w:sz="4" w:space="0" w:color="auto"/>
            </w:tcBorders>
            <w:noWrap/>
            <w:hideMark/>
          </w:tcPr>
          <w:p w14:paraId="2B7B05B1"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72</w:t>
            </w:r>
          </w:p>
        </w:tc>
      </w:tr>
      <w:tr w:rsidR="009968E0" w:rsidRPr="009968E0" w14:paraId="6170E066"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772" w:type="pct"/>
            <w:tcBorders>
              <w:left w:val="single" w:sz="4" w:space="0" w:color="auto"/>
            </w:tcBorders>
            <w:noWrap/>
            <w:hideMark/>
          </w:tcPr>
          <w:p w14:paraId="7F3622C9" w14:textId="77777777" w:rsidR="009968E0" w:rsidRPr="009968E0" w:rsidRDefault="009968E0" w:rsidP="009968E0">
            <w:pPr>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PHS</w:t>
            </w:r>
          </w:p>
        </w:tc>
        <w:tc>
          <w:tcPr>
            <w:tcW w:w="1946" w:type="pct"/>
            <w:noWrap/>
            <w:hideMark/>
          </w:tcPr>
          <w:p w14:paraId="5AE17061"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Pearson Correlation</w:t>
            </w:r>
          </w:p>
        </w:tc>
        <w:tc>
          <w:tcPr>
            <w:tcW w:w="1282" w:type="pct"/>
            <w:tcBorders>
              <w:right w:val="single" w:sz="4" w:space="0" w:color="auto"/>
            </w:tcBorders>
            <w:noWrap/>
            <w:hideMark/>
          </w:tcPr>
          <w:p w14:paraId="15A120B8"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-0.102</w:t>
            </w:r>
          </w:p>
        </w:tc>
      </w:tr>
      <w:tr w:rsidR="009968E0" w:rsidRPr="009968E0" w14:paraId="31C8DF7E"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772" w:type="pct"/>
            <w:tcBorders>
              <w:left w:val="single" w:sz="4" w:space="0" w:color="auto"/>
            </w:tcBorders>
            <w:noWrap/>
            <w:hideMark/>
          </w:tcPr>
          <w:p w14:paraId="425D93AE" w14:textId="77777777" w:rsidR="009968E0" w:rsidRPr="009968E0" w:rsidRDefault="009968E0" w:rsidP="009968E0">
            <w:pPr>
              <w:rPr>
                <w:rFonts w:ascii="Calibri" w:eastAsia="MS Gothic" w:hAnsi="Calibri" w:cs="Calibri"/>
                <w:i/>
                <w:iCs/>
                <w:sz w:val="22"/>
                <w:szCs w:val="22"/>
                <w:lang w:eastAsia="en-GB"/>
              </w:rPr>
            </w:pPr>
          </w:p>
        </w:tc>
        <w:tc>
          <w:tcPr>
            <w:tcW w:w="1946" w:type="pct"/>
            <w:noWrap/>
            <w:hideMark/>
          </w:tcPr>
          <w:p w14:paraId="1AF73FE6"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Sig. (2-tailed)</w:t>
            </w:r>
          </w:p>
        </w:tc>
        <w:tc>
          <w:tcPr>
            <w:tcW w:w="1282" w:type="pct"/>
            <w:tcBorders>
              <w:right w:val="single" w:sz="4" w:space="0" w:color="auto"/>
            </w:tcBorders>
            <w:noWrap/>
            <w:hideMark/>
          </w:tcPr>
          <w:p w14:paraId="1A5B0B30"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0.393</w:t>
            </w:r>
          </w:p>
        </w:tc>
      </w:tr>
      <w:tr w:rsidR="009968E0" w:rsidRPr="009968E0" w14:paraId="7437FAF7"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772" w:type="pct"/>
            <w:tcBorders>
              <w:left w:val="single" w:sz="4" w:space="0" w:color="auto"/>
            </w:tcBorders>
            <w:noWrap/>
            <w:hideMark/>
          </w:tcPr>
          <w:p w14:paraId="0232C150" w14:textId="77777777" w:rsidR="009968E0" w:rsidRPr="009968E0" w:rsidRDefault="009968E0" w:rsidP="009968E0">
            <w:pPr>
              <w:rPr>
                <w:rFonts w:ascii="Calibri" w:eastAsia="MS Gothic" w:hAnsi="Calibri" w:cs="Calibri"/>
                <w:i/>
                <w:iCs/>
                <w:sz w:val="22"/>
                <w:szCs w:val="22"/>
                <w:lang w:eastAsia="en-GB"/>
              </w:rPr>
            </w:pPr>
          </w:p>
        </w:tc>
        <w:tc>
          <w:tcPr>
            <w:tcW w:w="1946" w:type="pct"/>
            <w:noWrap/>
            <w:hideMark/>
          </w:tcPr>
          <w:p w14:paraId="702EDA0C"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N</w:t>
            </w:r>
          </w:p>
        </w:tc>
        <w:tc>
          <w:tcPr>
            <w:tcW w:w="1282" w:type="pct"/>
            <w:tcBorders>
              <w:right w:val="single" w:sz="4" w:space="0" w:color="auto"/>
            </w:tcBorders>
            <w:noWrap/>
            <w:hideMark/>
          </w:tcPr>
          <w:p w14:paraId="50700335"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72</w:t>
            </w:r>
          </w:p>
        </w:tc>
      </w:tr>
      <w:tr w:rsidR="009968E0" w:rsidRPr="009968E0" w14:paraId="020FAE96"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772" w:type="pct"/>
            <w:tcBorders>
              <w:left w:val="single" w:sz="4" w:space="0" w:color="auto"/>
            </w:tcBorders>
            <w:noWrap/>
            <w:hideMark/>
          </w:tcPr>
          <w:p w14:paraId="22A3D975" w14:textId="77777777" w:rsidR="009968E0" w:rsidRPr="009968E0" w:rsidRDefault="009968E0" w:rsidP="009968E0">
            <w:pPr>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QST DFNS number abnormal</w:t>
            </w:r>
          </w:p>
        </w:tc>
        <w:tc>
          <w:tcPr>
            <w:tcW w:w="1946" w:type="pct"/>
            <w:noWrap/>
            <w:hideMark/>
          </w:tcPr>
          <w:p w14:paraId="02DA1D92"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Pearson Correlation</w:t>
            </w:r>
          </w:p>
        </w:tc>
        <w:tc>
          <w:tcPr>
            <w:tcW w:w="1282" w:type="pct"/>
            <w:tcBorders>
              <w:right w:val="single" w:sz="4" w:space="0" w:color="auto"/>
            </w:tcBorders>
            <w:noWrap/>
            <w:hideMark/>
          </w:tcPr>
          <w:p w14:paraId="04AD2922"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-0.258</w:t>
            </w:r>
          </w:p>
        </w:tc>
      </w:tr>
      <w:tr w:rsidR="009968E0" w:rsidRPr="009968E0" w14:paraId="647D3335" w14:textId="77777777" w:rsidTr="00996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772" w:type="pct"/>
            <w:tcBorders>
              <w:left w:val="single" w:sz="4" w:space="0" w:color="auto"/>
            </w:tcBorders>
            <w:noWrap/>
            <w:hideMark/>
          </w:tcPr>
          <w:p w14:paraId="2EA96190" w14:textId="77777777" w:rsidR="009968E0" w:rsidRPr="009968E0" w:rsidRDefault="009968E0" w:rsidP="009968E0">
            <w:pPr>
              <w:rPr>
                <w:rFonts w:ascii="Calibri" w:eastAsia="MS Gothic" w:hAnsi="Calibri" w:cs="Calibri"/>
                <w:i/>
                <w:iCs/>
                <w:sz w:val="22"/>
                <w:szCs w:val="22"/>
                <w:lang w:eastAsia="en-GB"/>
              </w:rPr>
            </w:pPr>
          </w:p>
        </w:tc>
        <w:tc>
          <w:tcPr>
            <w:tcW w:w="1946" w:type="pct"/>
            <w:noWrap/>
            <w:hideMark/>
          </w:tcPr>
          <w:p w14:paraId="33109AEC"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Sig. (2-tailed)</w:t>
            </w:r>
          </w:p>
        </w:tc>
        <w:tc>
          <w:tcPr>
            <w:tcW w:w="1282" w:type="pct"/>
            <w:tcBorders>
              <w:right w:val="single" w:sz="4" w:space="0" w:color="auto"/>
            </w:tcBorders>
            <w:noWrap/>
            <w:hideMark/>
          </w:tcPr>
          <w:p w14:paraId="1F142FDF" w14:textId="77777777" w:rsidR="009968E0" w:rsidRPr="009968E0" w:rsidRDefault="009968E0" w:rsidP="009968E0">
            <w:pPr>
              <w:cnfStyle w:val="000000100000" w:firstRow="0" w:lastRow="0" w:firstColumn="0" w:lastColumn="0" w:oddVBand="0" w:evenVBand="0" w:oddHBand="1"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0.029*</w:t>
            </w:r>
          </w:p>
        </w:tc>
      </w:tr>
      <w:tr w:rsidR="009968E0" w:rsidRPr="009968E0" w14:paraId="48065A4F" w14:textId="77777777" w:rsidTr="009968E0">
        <w:trPr>
          <w:trHeight w:val="320"/>
        </w:trPr>
        <w:tc>
          <w:tcPr>
            <w:cnfStyle w:val="001000000000" w:firstRow="0" w:lastRow="0" w:firstColumn="1" w:lastColumn="0" w:oddVBand="0" w:evenVBand="0" w:oddHBand="0" w:evenHBand="0" w:firstRowFirstColumn="0" w:firstRowLastColumn="0" w:lastRowFirstColumn="0" w:lastRowLastColumn="0"/>
            <w:tcW w:w="1772" w:type="pct"/>
            <w:tcBorders>
              <w:left w:val="single" w:sz="4" w:space="0" w:color="auto"/>
              <w:bottom w:val="single" w:sz="4" w:space="0" w:color="auto"/>
            </w:tcBorders>
            <w:noWrap/>
            <w:hideMark/>
          </w:tcPr>
          <w:p w14:paraId="3222771C" w14:textId="77777777" w:rsidR="009968E0" w:rsidRPr="009968E0" w:rsidRDefault="009968E0" w:rsidP="009968E0">
            <w:pPr>
              <w:rPr>
                <w:rFonts w:ascii="Calibri" w:eastAsia="MS Gothic" w:hAnsi="Calibri" w:cs="Calibri"/>
                <w:i/>
                <w:iCs/>
                <w:sz w:val="22"/>
                <w:szCs w:val="22"/>
                <w:lang w:eastAsia="en-GB"/>
              </w:rPr>
            </w:pPr>
          </w:p>
        </w:tc>
        <w:tc>
          <w:tcPr>
            <w:tcW w:w="1946" w:type="pct"/>
            <w:tcBorders>
              <w:bottom w:val="single" w:sz="4" w:space="0" w:color="auto"/>
            </w:tcBorders>
            <w:noWrap/>
            <w:hideMark/>
          </w:tcPr>
          <w:p w14:paraId="6F403480"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N</w:t>
            </w:r>
          </w:p>
        </w:tc>
        <w:tc>
          <w:tcPr>
            <w:tcW w:w="1282" w:type="pct"/>
            <w:tcBorders>
              <w:bottom w:val="single" w:sz="4" w:space="0" w:color="auto"/>
              <w:right w:val="single" w:sz="4" w:space="0" w:color="auto"/>
            </w:tcBorders>
            <w:noWrap/>
            <w:hideMark/>
          </w:tcPr>
          <w:p w14:paraId="0D2B0FB5" w14:textId="77777777" w:rsidR="009968E0" w:rsidRPr="009968E0" w:rsidRDefault="009968E0" w:rsidP="009968E0">
            <w:pPr>
              <w:cnfStyle w:val="000000000000" w:firstRow="0" w:lastRow="0" w:firstColumn="0" w:lastColumn="0" w:oddVBand="0" w:evenVBand="0" w:oddHBand="0" w:evenHBand="0" w:firstRowFirstColumn="0" w:firstRowLastColumn="0" w:lastRowFirstColumn="0" w:lastRowLastColumn="0"/>
              <w:rPr>
                <w:rFonts w:ascii="Calibri" w:eastAsia="MS Gothic" w:hAnsi="Calibri" w:cs="Calibri"/>
                <w:i/>
                <w:iCs/>
                <w:sz w:val="22"/>
                <w:szCs w:val="22"/>
                <w:lang w:eastAsia="en-GB"/>
              </w:rPr>
            </w:pPr>
            <w:r w:rsidRPr="009968E0">
              <w:rPr>
                <w:rFonts w:ascii="Calibri" w:eastAsia="MS Gothic" w:hAnsi="Calibri" w:cs="Calibri"/>
                <w:i/>
                <w:iCs/>
                <w:sz w:val="22"/>
                <w:szCs w:val="22"/>
                <w:lang w:eastAsia="en-GB"/>
              </w:rPr>
              <w:t>72</w:t>
            </w:r>
          </w:p>
        </w:tc>
      </w:tr>
    </w:tbl>
    <w:p w14:paraId="36C37472" w14:textId="77777777" w:rsidR="009968E0" w:rsidRPr="009968E0" w:rsidRDefault="009968E0" w:rsidP="009968E0">
      <w:pPr>
        <w:spacing w:line="360" w:lineRule="auto"/>
        <w:rPr>
          <w:rFonts w:eastAsia="Times New Roman" w:cs="Arial"/>
          <w:lang w:eastAsia="en-GB"/>
        </w:rPr>
      </w:pPr>
      <w:r w:rsidRPr="009968E0">
        <w:rPr>
          <w:rFonts w:eastAsia="Times New Roman" w:cs="Arial"/>
          <w:lang w:eastAsia="en-GB"/>
        </w:rPr>
        <w:t xml:space="preserve"> </w:t>
      </w:r>
    </w:p>
    <w:p w14:paraId="03571AE6" w14:textId="79F5FF33" w:rsidR="009968E0" w:rsidRPr="009968E0" w:rsidRDefault="009968E0" w:rsidP="007D16C6">
      <w:pPr>
        <w:pStyle w:val="Quote"/>
      </w:pPr>
      <w:bookmarkStart w:id="786" w:name="_Toc49273404"/>
      <w:bookmarkStart w:id="787" w:name="_Toc64724156"/>
      <w:r w:rsidRPr="009968E0">
        <w:t xml:space="preserve">Table E.6: Correlations between spectroscopy ratios at the left thalamus and cardiovascular and </w:t>
      </w:r>
      <w:proofErr w:type="spellStart"/>
      <w:r w:rsidRPr="009968E0">
        <w:t>glycaemic</w:t>
      </w:r>
      <w:proofErr w:type="spellEnd"/>
      <w:r w:rsidRPr="009968E0">
        <w:t xml:space="preserve"> measures at the third visit</w:t>
      </w:r>
      <w:bookmarkEnd w:id="786"/>
      <w:bookmarkEnd w:id="787"/>
    </w:p>
    <w:tbl>
      <w:tblPr>
        <w:tblStyle w:val="GridTable2-Accent212"/>
        <w:tblW w:w="9034" w:type="dxa"/>
        <w:tblLayout w:type="fixed"/>
        <w:tblLook w:val="0400" w:firstRow="0" w:lastRow="0" w:firstColumn="0" w:lastColumn="0" w:noHBand="0" w:noVBand="1"/>
      </w:tblPr>
      <w:tblGrid>
        <w:gridCol w:w="1339"/>
        <w:gridCol w:w="613"/>
        <w:gridCol w:w="1245"/>
        <w:gridCol w:w="862"/>
        <w:gridCol w:w="1246"/>
        <w:gridCol w:w="1244"/>
        <w:gridCol w:w="1244"/>
        <w:gridCol w:w="1241"/>
      </w:tblGrid>
      <w:tr w:rsidR="009968E0" w:rsidRPr="009968E0" w14:paraId="45A947AF" w14:textId="77777777" w:rsidTr="009968E0">
        <w:trPr>
          <w:cnfStyle w:val="000000100000" w:firstRow="0" w:lastRow="0" w:firstColumn="0" w:lastColumn="0" w:oddVBand="0" w:evenVBand="0" w:oddHBand="1" w:evenHBand="0" w:firstRowFirstColumn="0" w:firstRowLastColumn="0" w:lastRowFirstColumn="0" w:lastRowLastColumn="0"/>
          <w:trHeight w:val="1060"/>
        </w:trPr>
        <w:tc>
          <w:tcPr>
            <w:tcW w:w="1952" w:type="dxa"/>
            <w:gridSpan w:val="2"/>
          </w:tcPr>
          <w:p w14:paraId="3FAFA918" w14:textId="77777777" w:rsidR="009968E0" w:rsidRPr="009968E0" w:rsidRDefault="009968E0" w:rsidP="009968E0">
            <w:pPr>
              <w:spacing w:line="360" w:lineRule="auto"/>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 </w:t>
            </w:r>
          </w:p>
        </w:tc>
        <w:tc>
          <w:tcPr>
            <w:tcW w:w="1245" w:type="dxa"/>
          </w:tcPr>
          <w:p w14:paraId="50F6D8C2" w14:textId="77777777" w:rsidR="009968E0" w:rsidRPr="009968E0" w:rsidRDefault="009968E0" w:rsidP="009968E0">
            <w:pPr>
              <w:spacing w:line="360" w:lineRule="auto"/>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Pain score/10</w:t>
            </w:r>
          </w:p>
        </w:tc>
        <w:tc>
          <w:tcPr>
            <w:tcW w:w="862" w:type="dxa"/>
          </w:tcPr>
          <w:p w14:paraId="28E6588E" w14:textId="77777777" w:rsidR="009968E0" w:rsidRPr="009968E0" w:rsidRDefault="009968E0" w:rsidP="009968E0">
            <w:pPr>
              <w:spacing w:line="360" w:lineRule="auto"/>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Pulse</w:t>
            </w:r>
          </w:p>
        </w:tc>
        <w:tc>
          <w:tcPr>
            <w:tcW w:w="1246" w:type="dxa"/>
          </w:tcPr>
          <w:p w14:paraId="27DFFD67" w14:textId="77777777" w:rsidR="009968E0" w:rsidRPr="009968E0" w:rsidRDefault="009968E0" w:rsidP="009968E0">
            <w:pPr>
              <w:spacing w:line="360" w:lineRule="auto"/>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Blood pressure systolic</w:t>
            </w:r>
          </w:p>
        </w:tc>
        <w:tc>
          <w:tcPr>
            <w:tcW w:w="1244" w:type="dxa"/>
          </w:tcPr>
          <w:p w14:paraId="57092CA3" w14:textId="77777777" w:rsidR="009968E0" w:rsidRPr="009968E0" w:rsidRDefault="009968E0" w:rsidP="009968E0">
            <w:pPr>
              <w:spacing w:line="360" w:lineRule="auto"/>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Blood  diastolic</w:t>
            </w:r>
          </w:p>
        </w:tc>
        <w:tc>
          <w:tcPr>
            <w:tcW w:w="1244" w:type="dxa"/>
          </w:tcPr>
          <w:p w14:paraId="1602495A" w14:textId="77777777" w:rsidR="009968E0" w:rsidRPr="009968E0" w:rsidRDefault="009968E0" w:rsidP="009968E0">
            <w:pPr>
              <w:spacing w:line="360" w:lineRule="auto"/>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Blood glucose on arrival (if diabetes)</w:t>
            </w:r>
          </w:p>
        </w:tc>
        <w:tc>
          <w:tcPr>
            <w:tcW w:w="1241" w:type="dxa"/>
          </w:tcPr>
          <w:p w14:paraId="70C4B6E4" w14:textId="77777777" w:rsidR="009968E0" w:rsidRPr="009968E0" w:rsidRDefault="009968E0" w:rsidP="009968E0">
            <w:pPr>
              <w:spacing w:line="360" w:lineRule="auto"/>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 xml:space="preserve">Blood glucose on departure </w:t>
            </w:r>
            <w:r w:rsidRPr="009968E0">
              <w:rPr>
                <w:rFonts w:ascii="Calibri" w:eastAsia="Times New Roman" w:hAnsi="Calibri" w:cs="Calibri"/>
                <w:i/>
                <w:iCs/>
                <w:color w:val="000000"/>
                <w:sz w:val="22"/>
                <w:szCs w:val="22"/>
                <w:lang w:eastAsia="en-GB"/>
              </w:rPr>
              <w:lastRenderedPageBreak/>
              <w:t>(if diabetes)</w:t>
            </w:r>
          </w:p>
        </w:tc>
      </w:tr>
      <w:tr w:rsidR="009968E0" w:rsidRPr="009968E0" w14:paraId="04AACB61" w14:textId="77777777" w:rsidTr="009968E0">
        <w:trPr>
          <w:trHeight w:val="360"/>
        </w:trPr>
        <w:tc>
          <w:tcPr>
            <w:tcW w:w="1339" w:type="dxa"/>
            <w:vMerge w:val="restart"/>
          </w:tcPr>
          <w:p w14:paraId="0A2FCBFC" w14:textId="77777777" w:rsidR="009968E0" w:rsidRPr="009968E0" w:rsidRDefault="009968E0" w:rsidP="009968E0">
            <w:pPr>
              <w:spacing w:line="360" w:lineRule="auto"/>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NAA/</w:t>
            </w:r>
          </w:p>
          <w:p w14:paraId="66B139FE" w14:textId="77777777" w:rsidR="009968E0" w:rsidRPr="009968E0" w:rsidRDefault="009968E0" w:rsidP="009968E0">
            <w:pPr>
              <w:spacing w:line="360" w:lineRule="auto"/>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Creatine</w:t>
            </w:r>
          </w:p>
        </w:tc>
        <w:tc>
          <w:tcPr>
            <w:tcW w:w="613" w:type="dxa"/>
          </w:tcPr>
          <w:p w14:paraId="380AAF00" w14:textId="77777777" w:rsidR="009968E0" w:rsidRPr="009968E0" w:rsidRDefault="009968E0" w:rsidP="009968E0">
            <w:pPr>
              <w:spacing w:line="360" w:lineRule="auto"/>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R</w:t>
            </w:r>
          </w:p>
        </w:tc>
        <w:tc>
          <w:tcPr>
            <w:tcW w:w="1245" w:type="dxa"/>
          </w:tcPr>
          <w:p w14:paraId="0CE851CB"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.128</w:t>
            </w:r>
          </w:p>
        </w:tc>
        <w:tc>
          <w:tcPr>
            <w:tcW w:w="862" w:type="dxa"/>
          </w:tcPr>
          <w:p w14:paraId="47969477"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-.059</w:t>
            </w:r>
          </w:p>
        </w:tc>
        <w:tc>
          <w:tcPr>
            <w:tcW w:w="1246" w:type="dxa"/>
          </w:tcPr>
          <w:p w14:paraId="76CA6A26"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.018</w:t>
            </w:r>
          </w:p>
        </w:tc>
        <w:tc>
          <w:tcPr>
            <w:tcW w:w="1244" w:type="dxa"/>
          </w:tcPr>
          <w:p w14:paraId="4E573A9A"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-.022</w:t>
            </w:r>
          </w:p>
        </w:tc>
        <w:tc>
          <w:tcPr>
            <w:tcW w:w="1244" w:type="dxa"/>
          </w:tcPr>
          <w:p w14:paraId="036FF719"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sz w:val="22"/>
                <w:szCs w:val="22"/>
                <w:lang w:eastAsia="en-GB"/>
              </w:rPr>
              <w:t>.095</w:t>
            </w:r>
          </w:p>
        </w:tc>
        <w:tc>
          <w:tcPr>
            <w:tcW w:w="1241" w:type="dxa"/>
          </w:tcPr>
          <w:p w14:paraId="796722B1"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sz w:val="22"/>
                <w:szCs w:val="22"/>
                <w:lang w:eastAsia="en-GB"/>
              </w:rPr>
              <w:t>.085</w:t>
            </w:r>
          </w:p>
        </w:tc>
      </w:tr>
      <w:tr w:rsidR="009968E0" w:rsidRPr="009968E0" w14:paraId="42633365"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1339" w:type="dxa"/>
            <w:vMerge/>
          </w:tcPr>
          <w:p w14:paraId="2748EB15" w14:textId="77777777" w:rsidR="009968E0" w:rsidRPr="009968E0" w:rsidRDefault="009968E0" w:rsidP="009968E0">
            <w:pPr>
              <w:widowControl w:val="0"/>
              <w:pBdr>
                <w:top w:val="nil"/>
                <w:left w:val="nil"/>
                <w:bottom w:val="nil"/>
                <w:right w:val="nil"/>
                <w:between w:val="nil"/>
              </w:pBdr>
              <w:spacing w:line="360" w:lineRule="auto"/>
              <w:rPr>
                <w:rFonts w:ascii="Calibri" w:eastAsia="Times New Roman" w:hAnsi="Calibri" w:cs="Calibri"/>
                <w:i/>
                <w:iCs/>
                <w:color w:val="000000"/>
                <w:sz w:val="22"/>
                <w:szCs w:val="22"/>
                <w:lang w:eastAsia="en-GB"/>
              </w:rPr>
            </w:pPr>
          </w:p>
        </w:tc>
        <w:tc>
          <w:tcPr>
            <w:tcW w:w="613" w:type="dxa"/>
          </w:tcPr>
          <w:p w14:paraId="336F49DD" w14:textId="77777777" w:rsidR="009968E0" w:rsidRPr="009968E0" w:rsidRDefault="009968E0" w:rsidP="009968E0">
            <w:pPr>
              <w:spacing w:line="360" w:lineRule="auto"/>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sig</w:t>
            </w:r>
          </w:p>
        </w:tc>
        <w:tc>
          <w:tcPr>
            <w:tcW w:w="1245" w:type="dxa"/>
          </w:tcPr>
          <w:p w14:paraId="4F7176D4"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.282</w:t>
            </w:r>
          </w:p>
        </w:tc>
        <w:tc>
          <w:tcPr>
            <w:tcW w:w="862" w:type="dxa"/>
          </w:tcPr>
          <w:p w14:paraId="4EE89129"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.624</w:t>
            </w:r>
          </w:p>
        </w:tc>
        <w:tc>
          <w:tcPr>
            <w:tcW w:w="1246" w:type="dxa"/>
          </w:tcPr>
          <w:p w14:paraId="4B15AC2F"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.879</w:t>
            </w:r>
          </w:p>
        </w:tc>
        <w:tc>
          <w:tcPr>
            <w:tcW w:w="1244" w:type="dxa"/>
          </w:tcPr>
          <w:p w14:paraId="197B5C32"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.854</w:t>
            </w:r>
          </w:p>
        </w:tc>
        <w:tc>
          <w:tcPr>
            <w:tcW w:w="1244" w:type="dxa"/>
          </w:tcPr>
          <w:p w14:paraId="2C8CAAD4"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sz w:val="22"/>
                <w:szCs w:val="22"/>
                <w:lang w:eastAsia="en-GB"/>
              </w:rPr>
              <w:t>.494</w:t>
            </w:r>
          </w:p>
        </w:tc>
        <w:tc>
          <w:tcPr>
            <w:tcW w:w="1241" w:type="dxa"/>
          </w:tcPr>
          <w:p w14:paraId="2B82577D"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sz w:val="22"/>
                <w:szCs w:val="22"/>
                <w:lang w:eastAsia="en-GB"/>
              </w:rPr>
              <w:t>.591</w:t>
            </w:r>
          </w:p>
        </w:tc>
      </w:tr>
      <w:tr w:rsidR="009968E0" w:rsidRPr="009968E0" w14:paraId="6DA52F10" w14:textId="77777777" w:rsidTr="009968E0">
        <w:trPr>
          <w:trHeight w:val="360"/>
        </w:trPr>
        <w:tc>
          <w:tcPr>
            <w:tcW w:w="1339" w:type="dxa"/>
            <w:vMerge/>
          </w:tcPr>
          <w:p w14:paraId="72B7937D" w14:textId="77777777" w:rsidR="009968E0" w:rsidRPr="009968E0" w:rsidRDefault="009968E0" w:rsidP="009968E0">
            <w:pPr>
              <w:widowControl w:val="0"/>
              <w:pBdr>
                <w:top w:val="nil"/>
                <w:left w:val="nil"/>
                <w:bottom w:val="nil"/>
                <w:right w:val="nil"/>
                <w:between w:val="nil"/>
              </w:pBdr>
              <w:spacing w:line="360" w:lineRule="auto"/>
              <w:rPr>
                <w:rFonts w:ascii="Calibri" w:eastAsia="Times New Roman" w:hAnsi="Calibri" w:cs="Calibri"/>
                <w:i/>
                <w:iCs/>
                <w:color w:val="000000"/>
                <w:sz w:val="22"/>
                <w:szCs w:val="22"/>
                <w:lang w:eastAsia="en-GB"/>
              </w:rPr>
            </w:pPr>
          </w:p>
        </w:tc>
        <w:tc>
          <w:tcPr>
            <w:tcW w:w="613" w:type="dxa"/>
          </w:tcPr>
          <w:p w14:paraId="07A20E89" w14:textId="77777777" w:rsidR="009968E0" w:rsidRPr="009968E0" w:rsidRDefault="009968E0" w:rsidP="009968E0">
            <w:pPr>
              <w:spacing w:line="360" w:lineRule="auto"/>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w:t>
            </w:r>
          </w:p>
        </w:tc>
        <w:tc>
          <w:tcPr>
            <w:tcW w:w="1245" w:type="dxa"/>
          </w:tcPr>
          <w:p w14:paraId="6F145570"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72</w:t>
            </w:r>
          </w:p>
        </w:tc>
        <w:tc>
          <w:tcPr>
            <w:tcW w:w="862" w:type="dxa"/>
          </w:tcPr>
          <w:p w14:paraId="7A1EA850"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71</w:t>
            </w:r>
          </w:p>
        </w:tc>
        <w:tc>
          <w:tcPr>
            <w:tcW w:w="1246" w:type="dxa"/>
          </w:tcPr>
          <w:p w14:paraId="052C045F"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72</w:t>
            </w:r>
          </w:p>
        </w:tc>
        <w:tc>
          <w:tcPr>
            <w:tcW w:w="1244" w:type="dxa"/>
          </w:tcPr>
          <w:p w14:paraId="04B05501"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72</w:t>
            </w:r>
          </w:p>
        </w:tc>
        <w:tc>
          <w:tcPr>
            <w:tcW w:w="1244" w:type="dxa"/>
          </w:tcPr>
          <w:p w14:paraId="7BB9CC72"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sz w:val="22"/>
                <w:szCs w:val="22"/>
                <w:lang w:eastAsia="en-GB"/>
              </w:rPr>
              <w:t>54</w:t>
            </w:r>
          </w:p>
        </w:tc>
        <w:tc>
          <w:tcPr>
            <w:tcW w:w="1241" w:type="dxa"/>
          </w:tcPr>
          <w:p w14:paraId="21E51D63"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sz w:val="22"/>
                <w:szCs w:val="22"/>
                <w:lang w:eastAsia="en-GB"/>
              </w:rPr>
              <w:t>42</w:t>
            </w:r>
          </w:p>
        </w:tc>
      </w:tr>
      <w:tr w:rsidR="009968E0" w:rsidRPr="009968E0" w14:paraId="099F9B75"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1339" w:type="dxa"/>
            <w:vMerge w:val="restart"/>
          </w:tcPr>
          <w:p w14:paraId="750B5951" w14:textId="77777777" w:rsidR="009968E0" w:rsidRPr="009968E0" w:rsidRDefault="009968E0" w:rsidP="009968E0">
            <w:pPr>
              <w:spacing w:line="360" w:lineRule="auto"/>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Cho/</w:t>
            </w:r>
          </w:p>
          <w:p w14:paraId="4F6E76D4" w14:textId="77777777" w:rsidR="009968E0" w:rsidRPr="009968E0" w:rsidRDefault="009968E0" w:rsidP="009968E0">
            <w:pPr>
              <w:spacing w:line="360" w:lineRule="auto"/>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Creatine</w:t>
            </w:r>
          </w:p>
        </w:tc>
        <w:tc>
          <w:tcPr>
            <w:tcW w:w="613" w:type="dxa"/>
          </w:tcPr>
          <w:p w14:paraId="5BD18D56" w14:textId="77777777" w:rsidR="009968E0" w:rsidRPr="009968E0" w:rsidRDefault="009968E0" w:rsidP="009968E0">
            <w:pPr>
              <w:spacing w:line="360" w:lineRule="auto"/>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R</w:t>
            </w:r>
          </w:p>
        </w:tc>
        <w:tc>
          <w:tcPr>
            <w:tcW w:w="1245" w:type="dxa"/>
          </w:tcPr>
          <w:p w14:paraId="112812C8"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.220</w:t>
            </w:r>
          </w:p>
        </w:tc>
        <w:tc>
          <w:tcPr>
            <w:tcW w:w="862" w:type="dxa"/>
          </w:tcPr>
          <w:p w14:paraId="496543C5"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-.008</w:t>
            </w:r>
          </w:p>
        </w:tc>
        <w:tc>
          <w:tcPr>
            <w:tcW w:w="1246" w:type="dxa"/>
          </w:tcPr>
          <w:p w14:paraId="4CE5B07C"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-.027</w:t>
            </w:r>
          </w:p>
        </w:tc>
        <w:tc>
          <w:tcPr>
            <w:tcW w:w="1244" w:type="dxa"/>
          </w:tcPr>
          <w:p w14:paraId="22B06FAC"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.029</w:t>
            </w:r>
          </w:p>
        </w:tc>
        <w:tc>
          <w:tcPr>
            <w:tcW w:w="1244" w:type="dxa"/>
          </w:tcPr>
          <w:p w14:paraId="65B8DF2A"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sz w:val="22"/>
                <w:szCs w:val="22"/>
                <w:lang w:eastAsia="en-GB"/>
              </w:rPr>
              <w:t>.094</w:t>
            </w:r>
          </w:p>
        </w:tc>
        <w:tc>
          <w:tcPr>
            <w:tcW w:w="1241" w:type="dxa"/>
          </w:tcPr>
          <w:p w14:paraId="00564B9E"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sz w:val="22"/>
                <w:szCs w:val="22"/>
                <w:lang w:eastAsia="en-GB"/>
              </w:rPr>
              <w:t>.094</w:t>
            </w:r>
          </w:p>
        </w:tc>
      </w:tr>
      <w:tr w:rsidR="009968E0" w:rsidRPr="009968E0" w14:paraId="37927B8C" w14:textId="77777777" w:rsidTr="009968E0">
        <w:trPr>
          <w:trHeight w:val="360"/>
        </w:trPr>
        <w:tc>
          <w:tcPr>
            <w:tcW w:w="1339" w:type="dxa"/>
            <w:vMerge/>
          </w:tcPr>
          <w:p w14:paraId="4B1B8DAE" w14:textId="77777777" w:rsidR="009968E0" w:rsidRPr="009968E0" w:rsidRDefault="009968E0" w:rsidP="009968E0">
            <w:pPr>
              <w:widowControl w:val="0"/>
              <w:pBdr>
                <w:top w:val="nil"/>
                <w:left w:val="nil"/>
                <w:bottom w:val="nil"/>
                <w:right w:val="nil"/>
                <w:between w:val="nil"/>
              </w:pBdr>
              <w:spacing w:line="360" w:lineRule="auto"/>
              <w:rPr>
                <w:rFonts w:ascii="Calibri" w:eastAsia="Times New Roman" w:hAnsi="Calibri" w:cs="Calibri"/>
                <w:i/>
                <w:iCs/>
                <w:color w:val="000000"/>
                <w:sz w:val="22"/>
                <w:szCs w:val="22"/>
                <w:lang w:eastAsia="en-GB"/>
              </w:rPr>
            </w:pPr>
          </w:p>
        </w:tc>
        <w:tc>
          <w:tcPr>
            <w:tcW w:w="613" w:type="dxa"/>
          </w:tcPr>
          <w:p w14:paraId="7B171A93" w14:textId="77777777" w:rsidR="009968E0" w:rsidRPr="009968E0" w:rsidRDefault="009968E0" w:rsidP="009968E0">
            <w:pPr>
              <w:spacing w:line="360" w:lineRule="auto"/>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sig</w:t>
            </w:r>
          </w:p>
        </w:tc>
        <w:tc>
          <w:tcPr>
            <w:tcW w:w="1245" w:type="dxa"/>
          </w:tcPr>
          <w:p w14:paraId="40636A2B"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.064</w:t>
            </w:r>
          </w:p>
        </w:tc>
        <w:tc>
          <w:tcPr>
            <w:tcW w:w="862" w:type="dxa"/>
          </w:tcPr>
          <w:p w14:paraId="40ECDBB2"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.947</w:t>
            </w:r>
          </w:p>
        </w:tc>
        <w:tc>
          <w:tcPr>
            <w:tcW w:w="1246" w:type="dxa"/>
          </w:tcPr>
          <w:p w14:paraId="59B520F7"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.819</w:t>
            </w:r>
          </w:p>
        </w:tc>
        <w:tc>
          <w:tcPr>
            <w:tcW w:w="1244" w:type="dxa"/>
          </w:tcPr>
          <w:p w14:paraId="14BE93C0"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.809</w:t>
            </w:r>
          </w:p>
        </w:tc>
        <w:tc>
          <w:tcPr>
            <w:tcW w:w="1244" w:type="dxa"/>
          </w:tcPr>
          <w:p w14:paraId="6E36F56E"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sz w:val="22"/>
                <w:szCs w:val="22"/>
                <w:lang w:eastAsia="en-GB"/>
              </w:rPr>
              <w:t>.499</w:t>
            </w:r>
          </w:p>
        </w:tc>
        <w:tc>
          <w:tcPr>
            <w:tcW w:w="1241" w:type="dxa"/>
          </w:tcPr>
          <w:p w14:paraId="4D725E24"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sz w:val="22"/>
                <w:szCs w:val="22"/>
                <w:lang w:eastAsia="en-GB"/>
              </w:rPr>
              <w:t>.552</w:t>
            </w:r>
          </w:p>
        </w:tc>
      </w:tr>
      <w:tr w:rsidR="009968E0" w:rsidRPr="009968E0" w14:paraId="5172A4C2"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1339" w:type="dxa"/>
            <w:vMerge/>
          </w:tcPr>
          <w:p w14:paraId="099A75FD" w14:textId="77777777" w:rsidR="009968E0" w:rsidRPr="009968E0" w:rsidRDefault="009968E0" w:rsidP="009968E0">
            <w:pPr>
              <w:widowControl w:val="0"/>
              <w:pBdr>
                <w:top w:val="nil"/>
                <w:left w:val="nil"/>
                <w:bottom w:val="nil"/>
                <w:right w:val="nil"/>
                <w:between w:val="nil"/>
              </w:pBdr>
              <w:spacing w:line="360" w:lineRule="auto"/>
              <w:rPr>
                <w:rFonts w:ascii="Calibri" w:eastAsia="Times New Roman" w:hAnsi="Calibri" w:cs="Calibri"/>
                <w:i/>
                <w:iCs/>
                <w:color w:val="000000"/>
                <w:sz w:val="22"/>
                <w:szCs w:val="22"/>
                <w:lang w:eastAsia="en-GB"/>
              </w:rPr>
            </w:pPr>
          </w:p>
        </w:tc>
        <w:tc>
          <w:tcPr>
            <w:tcW w:w="613" w:type="dxa"/>
          </w:tcPr>
          <w:p w14:paraId="05AD335F" w14:textId="77777777" w:rsidR="009968E0" w:rsidRPr="009968E0" w:rsidRDefault="009968E0" w:rsidP="009968E0">
            <w:pPr>
              <w:spacing w:line="360" w:lineRule="auto"/>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w:t>
            </w:r>
          </w:p>
        </w:tc>
        <w:tc>
          <w:tcPr>
            <w:tcW w:w="1245" w:type="dxa"/>
          </w:tcPr>
          <w:p w14:paraId="6098696C"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72</w:t>
            </w:r>
          </w:p>
        </w:tc>
        <w:tc>
          <w:tcPr>
            <w:tcW w:w="862" w:type="dxa"/>
          </w:tcPr>
          <w:p w14:paraId="521150FD"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71</w:t>
            </w:r>
          </w:p>
        </w:tc>
        <w:tc>
          <w:tcPr>
            <w:tcW w:w="1246" w:type="dxa"/>
          </w:tcPr>
          <w:p w14:paraId="7D5CE44E"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72</w:t>
            </w:r>
          </w:p>
        </w:tc>
        <w:tc>
          <w:tcPr>
            <w:tcW w:w="1244" w:type="dxa"/>
          </w:tcPr>
          <w:p w14:paraId="6FAF81D7"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72</w:t>
            </w:r>
          </w:p>
        </w:tc>
        <w:tc>
          <w:tcPr>
            <w:tcW w:w="1244" w:type="dxa"/>
          </w:tcPr>
          <w:p w14:paraId="3B14F889"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sz w:val="22"/>
                <w:szCs w:val="22"/>
                <w:lang w:eastAsia="en-GB"/>
              </w:rPr>
              <w:t>54</w:t>
            </w:r>
          </w:p>
        </w:tc>
        <w:tc>
          <w:tcPr>
            <w:tcW w:w="1241" w:type="dxa"/>
          </w:tcPr>
          <w:p w14:paraId="2E8F7B1C"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sz w:val="22"/>
                <w:szCs w:val="22"/>
                <w:lang w:eastAsia="en-GB"/>
              </w:rPr>
              <w:t>42</w:t>
            </w:r>
          </w:p>
        </w:tc>
      </w:tr>
      <w:tr w:rsidR="009968E0" w:rsidRPr="009968E0" w14:paraId="606B953E" w14:textId="77777777" w:rsidTr="009968E0">
        <w:trPr>
          <w:trHeight w:val="360"/>
        </w:trPr>
        <w:tc>
          <w:tcPr>
            <w:tcW w:w="1339" w:type="dxa"/>
            <w:vMerge w:val="restart"/>
          </w:tcPr>
          <w:p w14:paraId="36277A2C" w14:textId="77777777" w:rsidR="009968E0" w:rsidRPr="009968E0" w:rsidRDefault="009968E0" w:rsidP="009968E0">
            <w:pPr>
              <w:spacing w:line="360" w:lineRule="auto"/>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NAA/</w:t>
            </w:r>
          </w:p>
          <w:p w14:paraId="2386BFB4" w14:textId="77777777" w:rsidR="009968E0" w:rsidRPr="009968E0" w:rsidRDefault="009968E0" w:rsidP="009968E0">
            <w:pPr>
              <w:spacing w:line="360" w:lineRule="auto"/>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Choline</w:t>
            </w:r>
          </w:p>
        </w:tc>
        <w:tc>
          <w:tcPr>
            <w:tcW w:w="613" w:type="dxa"/>
          </w:tcPr>
          <w:p w14:paraId="03752E71" w14:textId="77777777" w:rsidR="009968E0" w:rsidRPr="009968E0" w:rsidRDefault="009968E0" w:rsidP="009968E0">
            <w:pPr>
              <w:spacing w:line="360" w:lineRule="auto"/>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R</w:t>
            </w:r>
          </w:p>
        </w:tc>
        <w:tc>
          <w:tcPr>
            <w:tcW w:w="1245" w:type="dxa"/>
          </w:tcPr>
          <w:p w14:paraId="4183548E"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-.154</w:t>
            </w:r>
          </w:p>
        </w:tc>
        <w:tc>
          <w:tcPr>
            <w:tcW w:w="862" w:type="dxa"/>
          </w:tcPr>
          <w:p w14:paraId="664FAB91"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-.049</w:t>
            </w:r>
          </w:p>
        </w:tc>
        <w:tc>
          <w:tcPr>
            <w:tcW w:w="1246" w:type="dxa"/>
          </w:tcPr>
          <w:p w14:paraId="1975CDAB"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.044</w:t>
            </w:r>
          </w:p>
        </w:tc>
        <w:tc>
          <w:tcPr>
            <w:tcW w:w="1244" w:type="dxa"/>
          </w:tcPr>
          <w:p w14:paraId="575FD37D"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-.063</w:t>
            </w:r>
          </w:p>
        </w:tc>
        <w:tc>
          <w:tcPr>
            <w:tcW w:w="1244" w:type="dxa"/>
          </w:tcPr>
          <w:p w14:paraId="12414F5C"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sz w:val="22"/>
                <w:szCs w:val="22"/>
                <w:lang w:eastAsia="en-GB"/>
              </w:rPr>
              <w:t>-.086</w:t>
            </w:r>
          </w:p>
        </w:tc>
        <w:tc>
          <w:tcPr>
            <w:tcW w:w="1241" w:type="dxa"/>
          </w:tcPr>
          <w:p w14:paraId="6E8E33F1"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sz w:val="22"/>
                <w:szCs w:val="22"/>
                <w:lang w:eastAsia="en-GB"/>
              </w:rPr>
              <w:t>-.077</w:t>
            </w:r>
          </w:p>
        </w:tc>
      </w:tr>
      <w:tr w:rsidR="009968E0" w:rsidRPr="009968E0" w14:paraId="4BD10881"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1339" w:type="dxa"/>
            <w:vMerge/>
          </w:tcPr>
          <w:p w14:paraId="1A494C8F" w14:textId="77777777" w:rsidR="009968E0" w:rsidRPr="009968E0" w:rsidRDefault="009968E0" w:rsidP="009968E0">
            <w:pPr>
              <w:widowControl w:val="0"/>
              <w:pBdr>
                <w:top w:val="nil"/>
                <w:left w:val="nil"/>
                <w:bottom w:val="nil"/>
                <w:right w:val="nil"/>
                <w:between w:val="nil"/>
              </w:pBdr>
              <w:spacing w:line="360" w:lineRule="auto"/>
              <w:rPr>
                <w:rFonts w:ascii="Calibri" w:eastAsia="Times New Roman" w:hAnsi="Calibri" w:cs="Calibri"/>
                <w:i/>
                <w:iCs/>
                <w:color w:val="000000"/>
                <w:sz w:val="22"/>
                <w:szCs w:val="22"/>
                <w:lang w:eastAsia="en-GB"/>
              </w:rPr>
            </w:pPr>
          </w:p>
        </w:tc>
        <w:tc>
          <w:tcPr>
            <w:tcW w:w="613" w:type="dxa"/>
          </w:tcPr>
          <w:p w14:paraId="090AC60C" w14:textId="77777777" w:rsidR="009968E0" w:rsidRPr="009968E0" w:rsidRDefault="009968E0" w:rsidP="009968E0">
            <w:pPr>
              <w:spacing w:line="360" w:lineRule="auto"/>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sig</w:t>
            </w:r>
          </w:p>
        </w:tc>
        <w:tc>
          <w:tcPr>
            <w:tcW w:w="1245" w:type="dxa"/>
          </w:tcPr>
          <w:p w14:paraId="7D5C6165"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.195</w:t>
            </w:r>
          </w:p>
        </w:tc>
        <w:tc>
          <w:tcPr>
            <w:tcW w:w="862" w:type="dxa"/>
          </w:tcPr>
          <w:p w14:paraId="5C1151E1"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.685</w:t>
            </w:r>
          </w:p>
        </w:tc>
        <w:tc>
          <w:tcPr>
            <w:tcW w:w="1246" w:type="dxa"/>
          </w:tcPr>
          <w:p w14:paraId="1F7F1E0D"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.714</w:t>
            </w:r>
          </w:p>
        </w:tc>
        <w:tc>
          <w:tcPr>
            <w:tcW w:w="1244" w:type="dxa"/>
          </w:tcPr>
          <w:p w14:paraId="6AB08F1E"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.601</w:t>
            </w:r>
          </w:p>
        </w:tc>
        <w:tc>
          <w:tcPr>
            <w:tcW w:w="1244" w:type="dxa"/>
          </w:tcPr>
          <w:p w14:paraId="126F6D29"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sz w:val="22"/>
                <w:szCs w:val="22"/>
                <w:lang w:eastAsia="en-GB"/>
              </w:rPr>
              <w:t>.535</w:t>
            </w:r>
          </w:p>
        </w:tc>
        <w:tc>
          <w:tcPr>
            <w:tcW w:w="1241" w:type="dxa"/>
          </w:tcPr>
          <w:p w14:paraId="57BB69A7"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sz w:val="22"/>
                <w:szCs w:val="22"/>
                <w:lang w:eastAsia="en-GB"/>
              </w:rPr>
              <w:t>.628</w:t>
            </w:r>
          </w:p>
        </w:tc>
      </w:tr>
      <w:tr w:rsidR="009968E0" w:rsidRPr="009968E0" w14:paraId="38E1282B" w14:textId="77777777" w:rsidTr="009968E0">
        <w:trPr>
          <w:trHeight w:val="360"/>
        </w:trPr>
        <w:tc>
          <w:tcPr>
            <w:tcW w:w="1339" w:type="dxa"/>
            <w:vMerge/>
          </w:tcPr>
          <w:p w14:paraId="2D4018BA" w14:textId="77777777" w:rsidR="009968E0" w:rsidRPr="009968E0" w:rsidRDefault="009968E0" w:rsidP="009968E0">
            <w:pPr>
              <w:widowControl w:val="0"/>
              <w:pBdr>
                <w:top w:val="nil"/>
                <w:left w:val="nil"/>
                <w:bottom w:val="nil"/>
                <w:right w:val="nil"/>
                <w:between w:val="nil"/>
              </w:pBdr>
              <w:spacing w:line="360" w:lineRule="auto"/>
              <w:rPr>
                <w:rFonts w:ascii="Calibri" w:eastAsia="Times New Roman" w:hAnsi="Calibri" w:cs="Calibri"/>
                <w:i/>
                <w:iCs/>
                <w:color w:val="000000"/>
                <w:sz w:val="22"/>
                <w:szCs w:val="22"/>
                <w:lang w:eastAsia="en-GB"/>
              </w:rPr>
            </w:pPr>
          </w:p>
        </w:tc>
        <w:tc>
          <w:tcPr>
            <w:tcW w:w="613" w:type="dxa"/>
          </w:tcPr>
          <w:p w14:paraId="0F016593" w14:textId="77777777" w:rsidR="009968E0" w:rsidRPr="009968E0" w:rsidRDefault="009968E0" w:rsidP="009968E0">
            <w:pPr>
              <w:spacing w:line="360" w:lineRule="auto"/>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w:t>
            </w:r>
          </w:p>
        </w:tc>
        <w:tc>
          <w:tcPr>
            <w:tcW w:w="1245" w:type="dxa"/>
          </w:tcPr>
          <w:p w14:paraId="43A26F40"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72</w:t>
            </w:r>
          </w:p>
        </w:tc>
        <w:tc>
          <w:tcPr>
            <w:tcW w:w="862" w:type="dxa"/>
          </w:tcPr>
          <w:p w14:paraId="4992C297"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71</w:t>
            </w:r>
          </w:p>
        </w:tc>
        <w:tc>
          <w:tcPr>
            <w:tcW w:w="1246" w:type="dxa"/>
          </w:tcPr>
          <w:p w14:paraId="1E3FFA9E"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72</w:t>
            </w:r>
          </w:p>
        </w:tc>
        <w:tc>
          <w:tcPr>
            <w:tcW w:w="1244" w:type="dxa"/>
          </w:tcPr>
          <w:p w14:paraId="177E381F"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72</w:t>
            </w:r>
          </w:p>
        </w:tc>
        <w:tc>
          <w:tcPr>
            <w:tcW w:w="1244" w:type="dxa"/>
          </w:tcPr>
          <w:p w14:paraId="603BC3FE"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sz w:val="22"/>
                <w:szCs w:val="22"/>
                <w:lang w:eastAsia="en-GB"/>
              </w:rPr>
              <w:t>54</w:t>
            </w:r>
          </w:p>
        </w:tc>
        <w:tc>
          <w:tcPr>
            <w:tcW w:w="1241" w:type="dxa"/>
          </w:tcPr>
          <w:p w14:paraId="6FDAD318"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sz w:val="22"/>
                <w:szCs w:val="22"/>
                <w:lang w:eastAsia="en-GB"/>
              </w:rPr>
              <w:t>42</w:t>
            </w:r>
          </w:p>
        </w:tc>
      </w:tr>
    </w:tbl>
    <w:p w14:paraId="30CEDB8E" w14:textId="77777777" w:rsidR="009968E0" w:rsidRPr="009968E0" w:rsidRDefault="009968E0" w:rsidP="009968E0">
      <w:pPr>
        <w:rPr>
          <w:rFonts w:eastAsia="MS Mincho" w:cs="Times New Roman"/>
          <w:i/>
          <w:iCs/>
          <w:color w:val="1F497D"/>
        </w:rPr>
      </w:pPr>
    </w:p>
    <w:p w14:paraId="0AC99993" w14:textId="5A564B45" w:rsidR="009968E0" w:rsidRPr="009968E0" w:rsidRDefault="009968E0" w:rsidP="007D16C6">
      <w:pPr>
        <w:pStyle w:val="Quote"/>
      </w:pPr>
      <w:bookmarkStart w:id="788" w:name="_Toc49273405"/>
      <w:bookmarkStart w:id="789" w:name="_Toc64724157"/>
      <w:r w:rsidRPr="009968E0">
        <w:t>Table E.7: Correlations for Spectroscopy ratios at the left thalamus and nerve conduction study parameters at baseline</w:t>
      </w:r>
      <w:bookmarkEnd w:id="788"/>
      <w:bookmarkEnd w:id="789"/>
    </w:p>
    <w:tbl>
      <w:tblPr>
        <w:tblStyle w:val="GridTable2-Accent212"/>
        <w:tblW w:w="9064" w:type="dxa"/>
        <w:tblLayout w:type="fixed"/>
        <w:tblLook w:val="0400" w:firstRow="0" w:lastRow="0" w:firstColumn="0" w:lastColumn="0" w:noHBand="0" w:noVBand="1"/>
      </w:tblPr>
      <w:tblGrid>
        <w:gridCol w:w="1564"/>
        <w:gridCol w:w="714"/>
        <w:gridCol w:w="1426"/>
        <w:gridCol w:w="1165"/>
        <w:gridCol w:w="1015"/>
        <w:gridCol w:w="1152"/>
        <w:gridCol w:w="1015"/>
        <w:gridCol w:w="1013"/>
      </w:tblGrid>
      <w:tr w:rsidR="009968E0" w:rsidRPr="009968E0" w14:paraId="15DF62CE" w14:textId="77777777" w:rsidTr="009968E0">
        <w:trPr>
          <w:cnfStyle w:val="000000100000" w:firstRow="0" w:lastRow="0" w:firstColumn="0" w:lastColumn="0" w:oddVBand="0" w:evenVBand="0" w:oddHBand="1" w:evenHBand="0" w:firstRowFirstColumn="0" w:firstRowLastColumn="0" w:lastRowFirstColumn="0" w:lastRowLastColumn="0"/>
          <w:trHeight w:val="480"/>
        </w:trPr>
        <w:tc>
          <w:tcPr>
            <w:tcW w:w="9064" w:type="dxa"/>
            <w:gridSpan w:val="8"/>
          </w:tcPr>
          <w:p w14:paraId="73155EB6" w14:textId="77777777" w:rsidR="009968E0" w:rsidRPr="009968E0" w:rsidRDefault="009968E0" w:rsidP="009968E0">
            <w:pPr>
              <w:pBdr>
                <w:top w:val="nil"/>
                <w:left w:val="nil"/>
                <w:bottom w:val="nil"/>
                <w:right w:val="nil"/>
                <w:between w:val="nil"/>
              </w:pBdr>
              <w:spacing w:line="360" w:lineRule="auto"/>
              <w:rPr>
                <w:rFonts w:ascii="Calibri" w:eastAsia="Times New Roman" w:hAnsi="Calibri" w:cs="Calibri"/>
                <w:b/>
                <w:i/>
                <w:color w:val="000000"/>
                <w:sz w:val="22"/>
                <w:szCs w:val="22"/>
                <w:lang w:eastAsia="en-GB"/>
              </w:rPr>
            </w:pPr>
          </w:p>
        </w:tc>
      </w:tr>
      <w:tr w:rsidR="009968E0" w:rsidRPr="009968E0" w14:paraId="21A57D90" w14:textId="77777777" w:rsidTr="009968E0">
        <w:trPr>
          <w:trHeight w:val="360"/>
        </w:trPr>
        <w:tc>
          <w:tcPr>
            <w:tcW w:w="2278" w:type="dxa"/>
            <w:gridSpan w:val="2"/>
          </w:tcPr>
          <w:p w14:paraId="35DE47E3" w14:textId="77777777" w:rsidR="009968E0" w:rsidRPr="009968E0" w:rsidRDefault="009968E0" w:rsidP="009968E0">
            <w:pPr>
              <w:spacing w:line="360" w:lineRule="auto"/>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w:t>
            </w:r>
          </w:p>
        </w:tc>
        <w:tc>
          <w:tcPr>
            <w:tcW w:w="1426" w:type="dxa"/>
          </w:tcPr>
          <w:p w14:paraId="2B789B25" w14:textId="77777777" w:rsidR="009968E0" w:rsidRPr="009968E0" w:rsidRDefault="009968E0" w:rsidP="009968E0">
            <w:pPr>
              <w:spacing w:line="360" w:lineRule="auto"/>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sural velocity</w:t>
            </w:r>
          </w:p>
        </w:tc>
        <w:tc>
          <w:tcPr>
            <w:tcW w:w="1165" w:type="dxa"/>
          </w:tcPr>
          <w:p w14:paraId="4CE49F73" w14:textId="77777777" w:rsidR="009968E0" w:rsidRPr="009968E0" w:rsidRDefault="009968E0" w:rsidP="009968E0">
            <w:pPr>
              <w:spacing w:line="360" w:lineRule="auto"/>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sural amp</w:t>
            </w:r>
          </w:p>
        </w:tc>
        <w:tc>
          <w:tcPr>
            <w:tcW w:w="1015" w:type="dxa"/>
          </w:tcPr>
          <w:p w14:paraId="79C5E3C7" w14:textId="77777777" w:rsidR="009968E0" w:rsidRPr="009968E0" w:rsidRDefault="009968E0" w:rsidP="009968E0">
            <w:pPr>
              <w:spacing w:line="360" w:lineRule="auto"/>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xml:space="preserve">tib </w:t>
            </w:r>
            <w:proofErr w:type="spellStart"/>
            <w:r w:rsidRPr="009968E0">
              <w:rPr>
                <w:rFonts w:ascii="Calibri" w:eastAsia="Times New Roman" w:hAnsi="Calibri" w:cs="Calibri"/>
                <w:i/>
                <w:color w:val="000000"/>
                <w:sz w:val="22"/>
                <w:szCs w:val="22"/>
                <w:lang w:eastAsia="en-GB"/>
              </w:rPr>
              <w:t>lat</w:t>
            </w:r>
            <w:proofErr w:type="spellEnd"/>
          </w:p>
        </w:tc>
        <w:tc>
          <w:tcPr>
            <w:tcW w:w="1152" w:type="dxa"/>
          </w:tcPr>
          <w:p w14:paraId="37C043CD" w14:textId="77777777" w:rsidR="009968E0" w:rsidRPr="009968E0" w:rsidRDefault="009968E0" w:rsidP="009968E0">
            <w:pPr>
              <w:spacing w:line="360" w:lineRule="auto"/>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xml:space="preserve">CPN </w:t>
            </w:r>
            <w:proofErr w:type="spellStart"/>
            <w:r w:rsidRPr="009968E0">
              <w:rPr>
                <w:rFonts w:ascii="Calibri" w:eastAsia="Times New Roman" w:hAnsi="Calibri" w:cs="Calibri"/>
                <w:i/>
                <w:color w:val="000000"/>
                <w:sz w:val="22"/>
                <w:szCs w:val="22"/>
                <w:lang w:eastAsia="en-GB"/>
              </w:rPr>
              <w:t>ampl</w:t>
            </w:r>
            <w:proofErr w:type="spellEnd"/>
          </w:p>
        </w:tc>
        <w:tc>
          <w:tcPr>
            <w:tcW w:w="1015" w:type="dxa"/>
          </w:tcPr>
          <w:p w14:paraId="65F5E8B6" w14:textId="77777777" w:rsidR="009968E0" w:rsidRPr="009968E0" w:rsidRDefault="009968E0" w:rsidP="009968E0">
            <w:pPr>
              <w:spacing w:line="360" w:lineRule="auto"/>
              <w:jc w:val="center"/>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xml:space="preserve">CPN </w:t>
            </w:r>
            <w:proofErr w:type="spellStart"/>
            <w:r w:rsidRPr="009968E0">
              <w:rPr>
                <w:rFonts w:ascii="Calibri" w:eastAsia="Times New Roman" w:hAnsi="Calibri" w:cs="Calibri"/>
                <w:i/>
                <w:color w:val="000000"/>
                <w:sz w:val="22"/>
                <w:szCs w:val="22"/>
                <w:lang w:eastAsia="en-GB"/>
              </w:rPr>
              <w:t>lat</w:t>
            </w:r>
            <w:proofErr w:type="spellEnd"/>
          </w:p>
        </w:tc>
        <w:tc>
          <w:tcPr>
            <w:tcW w:w="1013" w:type="dxa"/>
          </w:tcPr>
          <w:p w14:paraId="25ED74C5" w14:textId="77777777" w:rsidR="009968E0" w:rsidRPr="009968E0" w:rsidRDefault="009968E0" w:rsidP="009968E0">
            <w:pPr>
              <w:spacing w:line="360" w:lineRule="auto"/>
              <w:jc w:val="center"/>
              <w:rPr>
                <w:rFonts w:ascii="Calibri" w:eastAsia="Times New Roman" w:hAnsi="Calibri" w:cs="Calibri"/>
                <w:i/>
                <w:color w:val="000000"/>
                <w:sz w:val="22"/>
                <w:szCs w:val="22"/>
                <w:lang w:eastAsia="en-GB"/>
              </w:rPr>
            </w:pPr>
            <w:proofErr w:type="spellStart"/>
            <w:r w:rsidRPr="009968E0">
              <w:rPr>
                <w:rFonts w:ascii="Calibri" w:eastAsia="Times New Roman" w:hAnsi="Calibri" w:cs="Calibri"/>
                <w:i/>
                <w:color w:val="000000"/>
                <w:sz w:val="22"/>
                <w:szCs w:val="22"/>
                <w:lang w:eastAsia="en-GB"/>
              </w:rPr>
              <w:t>cpn</w:t>
            </w:r>
            <w:proofErr w:type="spellEnd"/>
            <w:r w:rsidRPr="009968E0">
              <w:rPr>
                <w:rFonts w:ascii="Calibri" w:eastAsia="Times New Roman" w:hAnsi="Calibri" w:cs="Calibri"/>
                <w:i/>
                <w:color w:val="000000"/>
                <w:sz w:val="22"/>
                <w:szCs w:val="22"/>
                <w:lang w:eastAsia="en-GB"/>
              </w:rPr>
              <w:t xml:space="preserve"> </w:t>
            </w:r>
            <w:proofErr w:type="spellStart"/>
            <w:r w:rsidRPr="009968E0">
              <w:rPr>
                <w:rFonts w:ascii="Calibri" w:eastAsia="Times New Roman" w:hAnsi="Calibri" w:cs="Calibri"/>
                <w:i/>
                <w:color w:val="000000"/>
                <w:sz w:val="22"/>
                <w:szCs w:val="22"/>
                <w:lang w:eastAsia="en-GB"/>
              </w:rPr>
              <w:t>vel</w:t>
            </w:r>
            <w:proofErr w:type="spellEnd"/>
          </w:p>
        </w:tc>
      </w:tr>
      <w:tr w:rsidR="009968E0" w:rsidRPr="009968E0" w14:paraId="67E52E6D"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1564" w:type="dxa"/>
            <w:vMerge w:val="restart"/>
          </w:tcPr>
          <w:p w14:paraId="64CEC88A" w14:textId="77777777" w:rsidR="009968E0" w:rsidRPr="009968E0" w:rsidRDefault="009968E0" w:rsidP="009968E0">
            <w:pPr>
              <w:spacing w:line="360" w:lineRule="auto"/>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NAA/Creatine</w:t>
            </w:r>
          </w:p>
        </w:tc>
        <w:tc>
          <w:tcPr>
            <w:tcW w:w="714" w:type="dxa"/>
          </w:tcPr>
          <w:p w14:paraId="6BF03E0E" w14:textId="77777777" w:rsidR="009968E0" w:rsidRPr="009968E0" w:rsidRDefault="009968E0" w:rsidP="009968E0">
            <w:pPr>
              <w:spacing w:line="360" w:lineRule="auto"/>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w:t>
            </w:r>
          </w:p>
        </w:tc>
        <w:tc>
          <w:tcPr>
            <w:tcW w:w="1426" w:type="dxa"/>
          </w:tcPr>
          <w:p w14:paraId="7A899CD0"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.139</w:t>
            </w:r>
          </w:p>
        </w:tc>
        <w:tc>
          <w:tcPr>
            <w:tcW w:w="1165" w:type="dxa"/>
          </w:tcPr>
          <w:p w14:paraId="0C51CFFA"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.188</w:t>
            </w:r>
          </w:p>
        </w:tc>
        <w:tc>
          <w:tcPr>
            <w:tcW w:w="1015" w:type="dxa"/>
          </w:tcPr>
          <w:p w14:paraId="39A45967"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-.177</w:t>
            </w:r>
          </w:p>
        </w:tc>
        <w:tc>
          <w:tcPr>
            <w:tcW w:w="1152" w:type="dxa"/>
          </w:tcPr>
          <w:p w14:paraId="71068501"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.129</w:t>
            </w:r>
          </w:p>
        </w:tc>
        <w:tc>
          <w:tcPr>
            <w:tcW w:w="1015" w:type="dxa"/>
          </w:tcPr>
          <w:p w14:paraId="2229673C"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-.047</w:t>
            </w:r>
          </w:p>
        </w:tc>
        <w:tc>
          <w:tcPr>
            <w:tcW w:w="1013" w:type="dxa"/>
          </w:tcPr>
          <w:p w14:paraId="296A239E"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.159</w:t>
            </w:r>
          </w:p>
        </w:tc>
      </w:tr>
      <w:tr w:rsidR="009968E0" w:rsidRPr="009968E0" w14:paraId="67376826" w14:textId="77777777" w:rsidTr="009968E0">
        <w:trPr>
          <w:trHeight w:val="360"/>
        </w:trPr>
        <w:tc>
          <w:tcPr>
            <w:tcW w:w="1564" w:type="dxa"/>
            <w:vMerge/>
          </w:tcPr>
          <w:p w14:paraId="5E32F71E" w14:textId="77777777" w:rsidR="009968E0" w:rsidRPr="009968E0" w:rsidRDefault="009968E0" w:rsidP="009968E0">
            <w:pPr>
              <w:widowControl w:val="0"/>
              <w:pBdr>
                <w:top w:val="nil"/>
                <w:left w:val="nil"/>
                <w:bottom w:val="nil"/>
                <w:right w:val="nil"/>
                <w:between w:val="nil"/>
              </w:pBdr>
              <w:spacing w:line="360" w:lineRule="auto"/>
              <w:rPr>
                <w:rFonts w:ascii="Calibri" w:eastAsia="Times New Roman" w:hAnsi="Calibri" w:cs="Calibri"/>
                <w:i/>
                <w:color w:val="000000"/>
                <w:sz w:val="22"/>
                <w:szCs w:val="22"/>
                <w:lang w:eastAsia="en-GB"/>
              </w:rPr>
            </w:pPr>
          </w:p>
        </w:tc>
        <w:tc>
          <w:tcPr>
            <w:tcW w:w="714" w:type="dxa"/>
          </w:tcPr>
          <w:p w14:paraId="643F2CD6" w14:textId="77777777" w:rsidR="009968E0" w:rsidRPr="009968E0" w:rsidRDefault="009968E0" w:rsidP="009968E0">
            <w:pPr>
              <w:spacing w:line="360" w:lineRule="auto"/>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w:t>
            </w:r>
          </w:p>
        </w:tc>
        <w:tc>
          <w:tcPr>
            <w:tcW w:w="1426" w:type="dxa"/>
          </w:tcPr>
          <w:p w14:paraId="66A80001"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.245</w:t>
            </w:r>
          </w:p>
        </w:tc>
        <w:tc>
          <w:tcPr>
            <w:tcW w:w="1165" w:type="dxa"/>
          </w:tcPr>
          <w:p w14:paraId="561526A4"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.114</w:t>
            </w:r>
          </w:p>
        </w:tc>
        <w:tc>
          <w:tcPr>
            <w:tcW w:w="1015" w:type="dxa"/>
          </w:tcPr>
          <w:p w14:paraId="04783A39"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.137</w:t>
            </w:r>
          </w:p>
        </w:tc>
        <w:tc>
          <w:tcPr>
            <w:tcW w:w="1152" w:type="dxa"/>
          </w:tcPr>
          <w:p w14:paraId="135E4B9D"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.279</w:t>
            </w:r>
          </w:p>
        </w:tc>
        <w:tc>
          <w:tcPr>
            <w:tcW w:w="1015" w:type="dxa"/>
          </w:tcPr>
          <w:p w14:paraId="238794A3"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.694</w:t>
            </w:r>
          </w:p>
        </w:tc>
        <w:tc>
          <w:tcPr>
            <w:tcW w:w="1013" w:type="dxa"/>
          </w:tcPr>
          <w:p w14:paraId="235DF973"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.186</w:t>
            </w:r>
          </w:p>
        </w:tc>
      </w:tr>
      <w:tr w:rsidR="009968E0" w:rsidRPr="009968E0" w14:paraId="1C0F144A"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1564" w:type="dxa"/>
            <w:vMerge/>
          </w:tcPr>
          <w:p w14:paraId="53A35C8F" w14:textId="77777777" w:rsidR="009968E0" w:rsidRPr="009968E0" w:rsidRDefault="009968E0" w:rsidP="009968E0">
            <w:pPr>
              <w:widowControl w:val="0"/>
              <w:pBdr>
                <w:top w:val="nil"/>
                <w:left w:val="nil"/>
                <w:bottom w:val="nil"/>
                <w:right w:val="nil"/>
                <w:between w:val="nil"/>
              </w:pBdr>
              <w:spacing w:line="360" w:lineRule="auto"/>
              <w:rPr>
                <w:rFonts w:ascii="Calibri" w:eastAsia="Times New Roman" w:hAnsi="Calibri" w:cs="Calibri"/>
                <w:i/>
                <w:color w:val="000000"/>
                <w:sz w:val="22"/>
                <w:szCs w:val="22"/>
                <w:lang w:eastAsia="en-GB"/>
              </w:rPr>
            </w:pPr>
          </w:p>
        </w:tc>
        <w:tc>
          <w:tcPr>
            <w:tcW w:w="714" w:type="dxa"/>
          </w:tcPr>
          <w:p w14:paraId="3D22C339" w14:textId="77777777" w:rsidR="009968E0" w:rsidRPr="009968E0" w:rsidRDefault="009968E0" w:rsidP="009968E0">
            <w:pPr>
              <w:spacing w:line="360" w:lineRule="auto"/>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w:t>
            </w:r>
          </w:p>
        </w:tc>
        <w:tc>
          <w:tcPr>
            <w:tcW w:w="1426" w:type="dxa"/>
          </w:tcPr>
          <w:p w14:paraId="79A84369"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72</w:t>
            </w:r>
          </w:p>
        </w:tc>
        <w:tc>
          <w:tcPr>
            <w:tcW w:w="1165" w:type="dxa"/>
          </w:tcPr>
          <w:p w14:paraId="472F0DF4"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72</w:t>
            </w:r>
          </w:p>
        </w:tc>
        <w:tc>
          <w:tcPr>
            <w:tcW w:w="1015" w:type="dxa"/>
          </w:tcPr>
          <w:p w14:paraId="73371863"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72</w:t>
            </w:r>
          </w:p>
        </w:tc>
        <w:tc>
          <w:tcPr>
            <w:tcW w:w="1152" w:type="dxa"/>
          </w:tcPr>
          <w:p w14:paraId="23AF8A7F"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72</w:t>
            </w:r>
          </w:p>
        </w:tc>
        <w:tc>
          <w:tcPr>
            <w:tcW w:w="1015" w:type="dxa"/>
          </w:tcPr>
          <w:p w14:paraId="2060FFC8"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72</w:t>
            </w:r>
          </w:p>
        </w:tc>
        <w:tc>
          <w:tcPr>
            <w:tcW w:w="1013" w:type="dxa"/>
          </w:tcPr>
          <w:p w14:paraId="444166BC"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71</w:t>
            </w:r>
          </w:p>
        </w:tc>
      </w:tr>
      <w:tr w:rsidR="009968E0" w:rsidRPr="009968E0" w14:paraId="668C4207" w14:textId="77777777" w:rsidTr="009968E0">
        <w:trPr>
          <w:trHeight w:val="360"/>
        </w:trPr>
        <w:tc>
          <w:tcPr>
            <w:tcW w:w="1564" w:type="dxa"/>
            <w:vMerge w:val="restart"/>
          </w:tcPr>
          <w:p w14:paraId="098A1422" w14:textId="77777777" w:rsidR="009968E0" w:rsidRPr="009968E0" w:rsidRDefault="009968E0" w:rsidP="009968E0">
            <w:pPr>
              <w:spacing w:line="360" w:lineRule="auto"/>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Cho/Creatine</w:t>
            </w:r>
          </w:p>
        </w:tc>
        <w:tc>
          <w:tcPr>
            <w:tcW w:w="714" w:type="dxa"/>
          </w:tcPr>
          <w:p w14:paraId="11330724" w14:textId="77777777" w:rsidR="009968E0" w:rsidRPr="009968E0" w:rsidRDefault="009968E0" w:rsidP="009968E0">
            <w:pPr>
              <w:spacing w:line="360" w:lineRule="auto"/>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w:t>
            </w:r>
          </w:p>
        </w:tc>
        <w:tc>
          <w:tcPr>
            <w:tcW w:w="1426" w:type="dxa"/>
          </w:tcPr>
          <w:p w14:paraId="6DA598B0"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-.066</w:t>
            </w:r>
          </w:p>
        </w:tc>
        <w:tc>
          <w:tcPr>
            <w:tcW w:w="1165" w:type="dxa"/>
          </w:tcPr>
          <w:p w14:paraId="04DF8304"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.123</w:t>
            </w:r>
          </w:p>
        </w:tc>
        <w:tc>
          <w:tcPr>
            <w:tcW w:w="1015" w:type="dxa"/>
          </w:tcPr>
          <w:p w14:paraId="0DB1D34C"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.040</w:t>
            </w:r>
          </w:p>
        </w:tc>
        <w:tc>
          <w:tcPr>
            <w:tcW w:w="1152" w:type="dxa"/>
          </w:tcPr>
          <w:p w14:paraId="7A03CFD7"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-.035</w:t>
            </w:r>
          </w:p>
        </w:tc>
        <w:tc>
          <w:tcPr>
            <w:tcW w:w="1015" w:type="dxa"/>
          </w:tcPr>
          <w:p w14:paraId="7F496503"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.023</w:t>
            </w:r>
          </w:p>
        </w:tc>
        <w:tc>
          <w:tcPr>
            <w:tcW w:w="1013" w:type="dxa"/>
          </w:tcPr>
          <w:p w14:paraId="3DB5124F"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.039</w:t>
            </w:r>
          </w:p>
        </w:tc>
      </w:tr>
      <w:tr w:rsidR="009968E0" w:rsidRPr="009968E0" w14:paraId="2AA2B99A"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1564" w:type="dxa"/>
            <w:vMerge/>
          </w:tcPr>
          <w:p w14:paraId="2DCE04E0" w14:textId="77777777" w:rsidR="009968E0" w:rsidRPr="009968E0" w:rsidRDefault="009968E0" w:rsidP="009968E0">
            <w:pPr>
              <w:widowControl w:val="0"/>
              <w:pBdr>
                <w:top w:val="nil"/>
                <w:left w:val="nil"/>
                <w:bottom w:val="nil"/>
                <w:right w:val="nil"/>
                <w:between w:val="nil"/>
              </w:pBdr>
              <w:spacing w:line="360" w:lineRule="auto"/>
              <w:rPr>
                <w:rFonts w:ascii="Calibri" w:eastAsia="Times New Roman" w:hAnsi="Calibri" w:cs="Calibri"/>
                <w:i/>
                <w:color w:val="000000"/>
                <w:sz w:val="22"/>
                <w:szCs w:val="22"/>
                <w:lang w:eastAsia="en-GB"/>
              </w:rPr>
            </w:pPr>
          </w:p>
        </w:tc>
        <w:tc>
          <w:tcPr>
            <w:tcW w:w="714" w:type="dxa"/>
          </w:tcPr>
          <w:p w14:paraId="539DC24A" w14:textId="77777777" w:rsidR="009968E0" w:rsidRPr="009968E0" w:rsidRDefault="009968E0" w:rsidP="009968E0">
            <w:pPr>
              <w:spacing w:line="360" w:lineRule="auto"/>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w:t>
            </w:r>
          </w:p>
        </w:tc>
        <w:tc>
          <w:tcPr>
            <w:tcW w:w="1426" w:type="dxa"/>
          </w:tcPr>
          <w:p w14:paraId="66338492"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.583</w:t>
            </w:r>
          </w:p>
        </w:tc>
        <w:tc>
          <w:tcPr>
            <w:tcW w:w="1165" w:type="dxa"/>
          </w:tcPr>
          <w:p w14:paraId="6171C042"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.304</w:t>
            </w:r>
          </w:p>
        </w:tc>
        <w:tc>
          <w:tcPr>
            <w:tcW w:w="1015" w:type="dxa"/>
          </w:tcPr>
          <w:p w14:paraId="63E9A168"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.741</w:t>
            </w:r>
          </w:p>
        </w:tc>
        <w:tc>
          <w:tcPr>
            <w:tcW w:w="1152" w:type="dxa"/>
          </w:tcPr>
          <w:p w14:paraId="14E1EF2C"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.769</w:t>
            </w:r>
          </w:p>
        </w:tc>
        <w:tc>
          <w:tcPr>
            <w:tcW w:w="1015" w:type="dxa"/>
          </w:tcPr>
          <w:p w14:paraId="3AA11D0A"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.847</w:t>
            </w:r>
          </w:p>
        </w:tc>
        <w:tc>
          <w:tcPr>
            <w:tcW w:w="1013" w:type="dxa"/>
          </w:tcPr>
          <w:p w14:paraId="51E3C8FF"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.749</w:t>
            </w:r>
          </w:p>
        </w:tc>
      </w:tr>
      <w:tr w:rsidR="009968E0" w:rsidRPr="009968E0" w14:paraId="6066802C" w14:textId="77777777" w:rsidTr="009968E0">
        <w:trPr>
          <w:trHeight w:val="360"/>
        </w:trPr>
        <w:tc>
          <w:tcPr>
            <w:tcW w:w="1564" w:type="dxa"/>
            <w:vMerge/>
          </w:tcPr>
          <w:p w14:paraId="3FB7100D" w14:textId="77777777" w:rsidR="009968E0" w:rsidRPr="009968E0" w:rsidRDefault="009968E0" w:rsidP="009968E0">
            <w:pPr>
              <w:widowControl w:val="0"/>
              <w:pBdr>
                <w:top w:val="nil"/>
                <w:left w:val="nil"/>
                <w:bottom w:val="nil"/>
                <w:right w:val="nil"/>
                <w:between w:val="nil"/>
              </w:pBdr>
              <w:spacing w:line="360" w:lineRule="auto"/>
              <w:rPr>
                <w:rFonts w:ascii="Calibri" w:eastAsia="Times New Roman" w:hAnsi="Calibri" w:cs="Calibri"/>
                <w:i/>
                <w:color w:val="000000"/>
                <w:sz w:val="22"/>
                <w:szCs w:val="22"/>
                <w:lang w:eastAsia="en-GB"/>
              </w:rPr>
            </w:pPr>
          </w:p>
        </w:tc>
        <w:tc>
          <w:tcPr>
            <w:tcW w:w="714" w:type="dxa"/>
          </w:tcPr>
          <w:p w14:paraId="6CEFAB05" w14:textId="77777777" w:rsidR="009968E0" w:rsidRPr="009968E0" w:rsidRDefault="009968E0" w:rsidP="009968E0">
            <w:pPr>
              <w:spacing w:line="360" w:lineRule="auto"/>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w:t>
            </w:r>
          </w:p>
        </w:tc>
        <w:tc>
          <w:tcPr>
            <w:tcW w:w="1426" w:type="dxa"/>
          </w:tcPr>
          <w:p w14:paraId="4180D906"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72</w:t>
            </w:r>
          </w:p>
        </w:tc>
        <w:tc>
          <w:tcPr>
            <w:tcW w:w="1165" w:type="dxa"/>
          </w:tcPr>
          <w:p w14:paraId="07129EEA"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72</w:t>
            </w:r>
          </w:p>
        </w:tc>
        <w:tc>
          <w:tcPr>
            <w:tcW w:w="1015" w:type="dxa"/>
          </w:tcPr>
          <w:p w14:paraId="7067216A"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72</w:t>
            </w:r>
          </w:p>
        </w:tc>
        <w:tc>
          <w:tcPr>
            <w:tcW w:w="1152" w:type="dxa"/>
          </w:tcPr>
          <w:p w14:paraId="3F79D85E"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72</w:t>
            </w:r>
          </w:p>
        </w:tc>
        <w:tc>
          <w:tcPr>
            <w:tcW w:w="1015" w:type="dxa"/>
          </w:tcPr>
          <w:p w14:paraId="406E678A"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72</w:t>
            </w:r>
          </w:p>
        </w:tc>
        <w:tc>
          <w:tcPr>
            <w:tcW w:w="1013" w:type="dxa"/>
          </w:tcPr>
          <w:p w14:paraId="6686E75B"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71</w:t>
            </w:r>
          </w:p>
        </w:tc>
      </w:tr>
      <w:tr w:rsidR="009968E0" w:rsidRPr="009968E0" w14:paraId="7E3F744E"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1564" w:type="dxa"/>
            <w:vMerge w:val="restart"/>
          </w:tcPr>
          <w:p w14:paraId="57500A53" w14:textId="77777777" w:rsidR="009968E0" w:rsidRPr="009968E0" w:rsidRDefault="009968E0" w:rsidP="009968E0">
            <w:pPr>
              <w:spacing w:line="360" w:lineRule="auto"/>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NAA/Choline</w:t>
            </w:r>
          </w:p>
        </w:tc>
        <w:tc>
          <w:tcPr>
            <w:tcW w:w="714" w:type="dxa"/>
          </w:tcPr>
          <w:p w14:paraId="34A8F309" w14:textId="77777777" w:rsidR="009968E0" w:rsidRPr="009968E0" w:rsidRDefault="009968E0" w:rsidP="009968E0">
            <w:pPr>
              <w:spacing w:line="360" w:lineRule="auto"/>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w:t>
            </w:r>
          </w:p>
        </w:tc>
        <w:tc>
          <w:tcPr>
            <w:tcW w:w="1426" w:type="dxa"/>
          </w:tcPr>
          <w:p w14:paraId="508074CA"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.175</w:t>
            </w:r>
          </w:p>
        </w:tc>
        <w:tc>
          <w:tcPr>
            <w:tcW w:w="1165" w:type="dxa"/>
          </w:tcPr>
          <w:p w14:paraId="6B0D3F06"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.079</w:t>
            </w:r>
          </w:p>
        </w:tc>
        <w:tc>
          <w:tcPr>
            <w:tcW w:w="1015" w:type="dxa"/>
          </w:tcPr>
          <w:p w14:paraId="7637BA9E"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-.203</w:t>
            </w:r>
          </w:p>
        </w:tc>
        <w:tc>
          <w:tcPr>
            <w:tcW w:w="1152" w:type="dxa"/>
          </w:tcPr>
          <w:p w14:paraId="52FF3FE6"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.147</w:t>
            </w:r>
          </w:p>
        </w:tc>
        <w:tc>
          <w:tcPr>
            <w:tcW w:w="1015" w:type="dxa"/>
          </w:tcPr>
          <w:p w14:paraId="2543482D"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-.049</w:t>
            </w:r>
          </w:p>
        </w:tc>
        <w:tc>
          <w:tcPr>
            <w:tcW w:w="1013" w:type="dxa"/>
          </w:tcPr>
          <w:p w14:paraId="2134B639"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.114</w:t>
            </w:r>
          </w:p>
        </w:tc>
      </w:tr>
      <w:tr w:rsidR="009968E0" w:rsidRPr="009968E0" w14:paraId="0ACCDA9A" w14:textId="77777777" w:rsidTr="009968E0">
        <w:trPr>
          <w:trHeight w:val="360"/>
        </w:trPr>
        <w:tc>
          <w:tcPr>
            <w:tcW w:w="1564" w:type="dxa"/>
            <w:vMerge/>
          </w:tcPr>
          <w:p w14:paraId="635DDF1A" w14:textId="77777777" w:rsidR="009968E0" w:rsidRPr="009968E0" w:rsidRDefault="009968E0" w:rsidP="009968E0">
            <w:pPr>
              <w:widowControl w:val="0"/>
              <w:pBdr>
                <w:top w:val="nil"/>
                <w:left w:val="nil"/>
                <w:bottom w:val="nil"/>
                <w:right w:val="nil"/>
                <w:between w:val="nil"/>
              </w:pBdr>
              <w:spacing w:line="360" w:lineRule="auto"/>
              <w:rPr>
                <w:rFonts w:ascii="Calibri" w:eastAsia="Times New Roman" w:hAnsi="Calibri" w:cs="Calibri"/>
                <w:i/>
                <w:color w:val="000000"/>
                <w:sz w:val="22"/>
                <w:szCs w:val="22"/>
                <w:lang w:eastAsia="en-GB"/>
              </w:rPr>
            </w:pPr>
          </w:p>
        </w:tc>
        <w:tc>
          <w:tcPr>
            <w:tcW w:w="714" w:type="dxa"/>
          </w:tcPr>
          <w:p w14:paraId="2344D192" w14:textId="77777777" w:rsidR="009968E0" w:rsidRPr="009968E0" w:rsidRDefault="009968E0" w:rsidP="009968E0">
            <w:pPr>
              <w:spacing w:line="360" w:lineRule="auto"/>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w:t>
            </w:r>
          </w:p>
        </w:tc>
        <w:tc>
          <w:tcPr>
            <w:tcW w:w="1426" w:type="dxa"/>
          </w:tcPr>
          <w:p w14:paraId="2228A1D0"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.142</w:t>
            </w:r>
          </w:p>
        </w:tc>
        <w:tc>
          <w:tcPr>
            <w:tcW w:w="1165" w:type="dxa"/>
          </w:tcPr>
          <w:p w14:paraId="0BD45EE4"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.509</w:t>
            </w:r>
          </w:p>
        </w:tc>
        <w:tc>
          <w:tcPr>
            <w:tcW w:w="1015" w:type="dxa"/>
          </w:tcPr>
          <w:p w14:paraId="6D48F863"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.087</w:t>
            </w:r>
          </w:p>
        </w:tc>
        <w:tc>
          <w:tcPr>
            <w:tcW w:w="1152" w:type="dxa"/>
          </w:tcPr>
          <w:p w14:paraId="236DEA93"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.218</w:t>
            </w:r>
          </w:p>
        </w:tc>
        <w:tc>
          <w:tcPr>
            <w:tcW w:w="1015" w:type="dxa"/>
          </w:tcPr>
          <w:p w14:paraId="4ACCBF93"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.686</w:t>
            </w:r>
          </w:p>
        </w:tc>
        <w:tc>
          <w:tcPr>
            <w:tcW w:w="1013" w:type="dxa"/>
          </w:tcPr>
          <w:p w14:paraId="2BDE50C2"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.344</w:t>
            </w:r>
          </w:p>
        </w:tc>
      </w:tr>
      <w:tr w:rsidR="009968E0" w:rsidRPr="009968E0" w14:paraId="39F7F272"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1564" w:type="dxa"/>
            <w:vMerge/>
          </w:tcPr>
          <w:p w14:paraId="6FEAFB4B" w14:textId="77777777" w:rsidR="009968E0" w:rsidRPr="009968E0" w:rsidRDefault="009968E0" w:rsidP="009968E0">
            <w:pPr>
              <w:widowControl w:val="0"/>
              <w:pBdr>
                <w:top w:val="nil"/>
                <w:left w:val="nil"/>
                <w:bottom w:val="nil"/>
                <w:right w:val="nil"/>
                <w:between w:val="nil"/>
              </w:pBdr>
              <w:spacing w:line="360" w:lineRule="auto"/>
              <w:rPr>
                <w:rFonts w:ascii="Calibri" w:eastAsia="Times New Roman" w:hAnsi="Calibri" w:cs="Calibri"/>
                <w:i/>
                <w:color w:val="000000"/>
                <w:sz w:val="22"/>
                <w:szCs w:val="22"/>
                <w:lang w:eastAsia="en-GB"/>
              </w:rPr>
            </w:pPr>
          </w:p>
        </w:tc>
        <w:tc>
          <w:tcPr>
            <w:tcW w:w="714" w:type="dxa"/>
          </w:tcPr>
          <w:p w14:paraId="24B752AD" w14:textId="77777777" w:rsidR="009968E0" w:rsidRPr="009968E0" w:rsidRDefault="009968E0" w:rsidP="009968E0">
            <w:pPr>
              <w:spacing w:line="360" w:lineRule="auto"/>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 </w:t>
            </w:r>
          </w:p>
        </w:tc>
        <w:tc>
          <w:tcPr>
            <w:tcW w:w="1426" w:type="dxa"/>
          </w:tcPr>
          <w:p w14:paraId="27EB7604"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72</w:t>
            </w:r>
          </w:p>
        </w:tc>
        <w:tc>
          <w:tcPr>
            <w:tcW w:w="1165" w:type="dxa"/>
          </w:tcPr>
          <w:p w14:paraId="0F1B2FA7"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72</w:t>
            </w:r>
          </w:p>
        </w:tc>
        <w:tc>
          <w:tcPr>
            <w:tcW w:w="1015" w:type="dxa"/>
          </w:tcPr>
          <w:p w14:paraId="20FFD5FD"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72</w:t>
            </w:r>
          </w:p>
        </w:tc>
        <w:tc>
          <w:tcPr>
            <w:tcW w:w="1152" w:type="dxa"/>
          </w:tcPr>
          <w:p w14:paraId="11C106DB"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72</w:t>
            </w:r>
          </w:p>
        </w:tc>
        <w:tc>
          <w:tcPr>
            <w:tcW w:w="1015" w:type="dxa"/>
          </w:tcPr>
          <w:p w14:paraId="3530BF06"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72</w:t>
            </w:r>
          </w:p>
        </w:tc>
        <w:tc>
          <w:tcPr>
            <w:tcW w:w="1013" w:type="dxa"/>
          </w:tcPr>
          <w:p w14:paraId="2A1D1D40" w14:textId="77777777" w:rsidR="009968E0" w:rsidRPr="009968E0" w:rsidRDefault="009968E0" w:rsidP="009968E0">
            <w:pPr>
              <w:spacing w:line="360" w:lineRule="auto"/>
              <w:jc w:val="right"/>
              <w:rPr>
                <w:rFonts w:ascii="Calibri" w:eastAsia="Times New Roman" w:hAnsi="Calibri" w:cs="Calibri"/>
                <w:i/>
                <w:color w:val="000000"/>
                <w:sz w:val="22"/>
                <w:szCs w:val="22"/>
                <w:lang w:eastAsia="en-GB"/>
              </w:rPr>
            </w:pPr>
            <w:r w:rsidRPr="009968E0">
              <w:rPr>
                <w:rFonts w:ascii="Calibri" w:eastAsia="Times New Roman" w:hAnsi="Calibri" w:cs="Calibri"/>
                <w:i/>
                <w:color w:val="000000"/>
                <w:sz w:val="22"/>
                <w:szCs w:val="22"/>
                <w:lang w:eastAsia="en-GB"/>
              </w:rPr>
              <w:t>71</w:t>
            </w:r>
          </w:p>
        </w:tc>
      </w:tr>
    </w:tbl>
    <w:p w14:paraId="781CE337" w14:textId="77777777" w:rsidR="009968E0" w:rsidRPr="009968E0" w:rsidRDefault="009968E0" w:rsidP="009968E0">
      <w:pPr>
        <w:spacing w:line="360" w:lineRule="auto"/>
        <w:rPr>
          <w:rFonts w:eastAsia="Times New Roman" w:cs="Arial"/>
          <w:lang w:eastAsia="en-GB"/>
        </w:rPr>
      </w:pPr>
    </w:p>
    <w:p w14:paraId="0745B317" w14:textId="3A750F38" w:rsidR="009968E0" w:rsidRPr="009968E0" w:rsidRDefault="009968E0" w:rsidP="007D16C6">
      <w:pPr>
        <w:pStyle w:val="Quote"/>
      </w:pPr>
      <w:bookmarkStart w:id="790" w:name="_Toc49273406"/>
      <w:bookmarkStart w:id="791" w:name="_Toc64724158"/>
      <w:r w:rsidRPr="009968E0">
        <w:t>Table E.8 : Correlations for Spectroscopy ratios measured at the left thalamus  and Perfusion parameters measured at baseline at the left thalamus</w:t>
      </w:r>
      <w:bookmarkEnd w:id="790"/>
      <w:bookmarkEnd w:id="791"/>
    </w:p>
    <w:tbl>
      <w:tblPr>
        <w:tblStyle w:val="GridTable2-Accent212"/>
        <w:tblW w:w="9064" w:type="dxa"/>
        <w:tblLayout w:type="fixed"/>
        <w:tblLook w:val="0400" w:firstRow="0" w:lastRow="0" w:firstColumn="0" w:lastColumn="0" w:noHBand="0" w:noVBand="1"/>
      </w:tblPr>
      <w:tblGrid>
        <w:gridCol w:w="1551"/>
        <w:gridCol w:w="829"/>
        <w:gridCol w:w="1671"/>
        <w:gridCol w:w="1671"/>
        <w:gridCol w:w="1671"/>
        <w:gridCol w:w="1671"/>
      </w:tblGrid>
      <w:tr w:rsidR="009968E0" w:rsidRPr="009968E0" w14:paraId="6C64286A" w14:textId="77777777" w:rsidTr="009968E0">
        <w:trPr>
          <w:cnfStyle w:val="000000100000" w:firstRow="0" w:lastRow="0" w:firstColumn="0" w:lastColumn="0" w:oddVBand="0" w:evenVBand="0" w:oddHBand="1" w:evenHBand="0" w:firstRowFirstColumn="0" w:firstRowLastColumn="0" w:lastRowFirstColumn="0" w:lastRowLastColumn="0"/>
          <w:trHeight w:val="680"/>
        </w:trPr>
        <w:tc>
          <w:tcPr>
            <w:tcW w:w="2380" w:type="dxa"/>
            <w:gridSpan w:val="2"/>
          </w:tcPr>
          <w:p w14:paraId="17F42172" w14:textId="77777777" w:rsidR="009968E0" w:rsidRPr="009968E0" w:rsidRDefault="009968E0" w:rsidP="009968E0">
            <w:pPr>
              <w:spacing w:line="360" w:lineRule="auto"/>
              <w:rPr>
                <w:rFonts w:ascii="Calibri" w:eastAsia="Times New Roman" w:hAnsi="Calibri" w:cs="Calibri"/>
                <w:i/>
                <w:iCs/>
                <w:color w:val="000000"/>
                <w:sz w:val="22"/>
                <w:szCs w:val="22"/>
                <w:lang w:eastAsia="en-GB"/>
              </w:rPr>
            </w:pPr>
          </w:p>
        </w:tc>
        <w:tc>
          <w:tcPr>
            <w:tcW w:w="1671" w:type="dxa"/>
          </w:tcPr>
          <w:p w14:paraId="0BB3CCB6" w14:textId="77777777" w:rsidR="009968E0" w:rsidRPr="009968E0" w:rsidRDefault="009968E0" w:rsidP="009968E0">
            <w:pPr>
              <w:spacing w:line="360" w:lineRule="auto"/>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RBV LThal V2</w:t>
            </w:r>
          </w:p>
        </w:tc>
        <w:tc>
          <w:tcPr>
            <w:tcW w:w="1671" w:type="dxa"/>
          </w:tcPr>
          <w:p w14:paraId="0BC121BC" w14:textId="77777777" w:rsidR="009968E0" w:rsidRPr="009968E0" w:rsidRDefault="009968E0" w:rsidP="009968E0">
            <w:pPr>
              <w:spacing w:line="360" w:lineRule="auto"/>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RBF LThal V2</w:t>
            </w:r>
          </w:p>
        </w:tc>
        <w:tc>
          <w:tcPr>
            <w:tcW w:w="1671" w:type="dxa"/>
          </w:tcPr>
          <w:p w14:paraId="0B37E4F1" w14:textId="77777777" w:rsidR="009968E0" w:rsidRPr="009968E0" w:rsidRDefault="009968E0" w:rsidP="009968E0">
            <w:pPr>
              <w:spacing w:line="360" w:lineRule="auto"/>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MTT LThal V2</w:t>
            </w:r>
          </w:p>
        </w:tc>
        <w:tc>
          <w:tcPr>
            <w:tcW w:w="1671" w:type="dxa"/>
          </w:tcPr>
          <w:p w14:paraId="7A56BB80" w14:textId="77777777" w:rsidR="009968E0" w:rsidRPr="009968E0" w:rsidRDefault="009968E0" w:rsidP="009968E0">
            <w:pPr>
              <w:spacing w:line="360" w:lineRule="auto"/>
              <w:jc w:val="center"/>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TTP LThal V2</w:t>
            </w:r>
          </w:p>
        </w:tc>
      </w:tr>
      <w:tr w:rsidR="009968E0" w:rsidRPr="009968E0" w14:paraId="7DA28463" w14:textId="77777777" w:rsidTr="009968E0">
        <w:trPr>
          <w:trHeight w:val="360"/>
        </w:trPr>
        <w:tc>
          <w:tcPr>
            <w:tcW w:w="1551" w:type="dxa"/>
          </w:tcPr>
          <w:p w14:paraId="596F61B8" w14:textId="77777777" w:rsidR="009968E0" w:rsidRPr="009968E0" w:rsidRDefault="009968E0" w:rsidP="009968E0">
            <w:pPr>
              <w:spacing w:line="360" w:lineRule="auto"/>
              <w:rPr>
                <w:rFonts w:ascii="Calibri" w:eastAsia="Times New Roman" w:hAnsi="Calibri" w:cs="Calibri"/>
                <w:i/>
                <w:iCs/>
                <w:color w:val="000000"/>
                <w:sz w:val="22"/>
                <w:szCs w:val="22"/>
                <w:lang w:eastAsia="en-GB"/>
              </w:rPr>
            </w:pPr>
          </w:p>
        </w:tc>
        <w:tc>
          <w:tcPr>
            <w:tcW w:w="829" w:type="dxa"/>
          </w:tcPr>
          <w:p w14:paraId="2104A963" w14:textId="77777777" w:rsidR="009968E0" w:rsidRPr="009968E0" w:rsidRDefault="009968E0" w:rsidP="009968E0">
            <w:pPr>
              <w:spacing w:line="360" w:lineRule="auto"/>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w:t>
            </w:r>
          </w:p>
        </w:tc>
        <w:tc>
          <w:tcPr>
            <w:tcW w:w="1671" w:type="dxa"/>
          </w:tcPr>
          <w:p w14:paraId="4AE2F0C3"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72</w:t>
            </w:r>
          </w:p>
        </w:tc>
        <w:tc>
          <w:tcPr>
            <w:tcW w:w="1671" w:type="dxa"/>
          </w:tcPr>
          <w:p w14:paraId="7F3B52B6"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72</w:t>
            </w:r>
          </w:p>
        </w:tc>
        <w:tc>
          <w:tcPr>
            <w:tcW w:w="1671" w:type="dxa"/>
          </w:tcPr>
          <w:p w14:paraId="21E10336"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72</w:t>
            </w:r>
          </w:p>
        </w:tc>
        <w:tc>
          <w:tcPr>
            <w:tcW w:w="1671" w:type="dxa"/>
          </w:tcPr>
          <w:p w14:paraId="5044E218"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72</w:t>
            </w:r>
          </w:p>
        </w:tc>
      </w:tr>
      <w:tr w:rsidR="009968E0" w:rsidRPr="009968E0" w14:paraId="4128C230"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1551" w:type="dxa"/>
          </w:tcPr>
          <w:p w14:paraId="5EBDC9B7" w14:textId="77777777" w:rsidR="009968E0" w:rsidRPr="009968E0" w:rsidRDefault="009968E0" w:rsidP="009968E0">
            <w:pPr>
              <w:spacing w:line="360" w:lineRule="auto"/>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NAA/Creatine</w:t>
            </w:r>
          </w:p>
        </w:tc>
        <w:tc>
          <w:tcPr>
            <w:tcW w:w="829" w:type="dxa"/>
          </w:tcPr>
          <w:p w14:paraId="31F06625" w14:textId="77777777" w:rsidR="009968E0" w:rsidRPr="009968E0" w:rsidRDefault="009968E0" w:rsidP="009968E0">
            <w:pPr>
              <w:spacing w:line="360" w:lineRule="auto"/>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R</w:t>
            </w:r>
          </w:p>
        </w:tc>
        <w:tc>
          <w:tcPr>
            <w:tcW w:w="1671" w:type="dxa"/>
          </w:tcPr>
          <w:p w14:paraId="6E8B6C29"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.111</w:t>
            </w:r>
          </w:p>
        </w:tc>
        <w:tc>
          <w:tcPr>
            <w:tcW w:w="1671" w:type="dxa"/>
          </w:tcPr>
          <w:p w14:paraId="75C14F1C"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.167</w:t>
            </w:r>
          </w:p>
        </w:tc>
        <w:tc>
          <w:tcPr>
            <w:tcW w:w="1671" w:type="dxa"/>
          </w:tcPr>
          <w:p w14:paraId="1404ECDF"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-.044</w:t>
            </w:r>
          </w:p>
        </w:tc>
        <w:tc>
          <w:tcPr>
            <w:tcW w:w="1671" w:type="dxa"/>
          </w:tcPr>
          <w:p w14:paraId="1BFFD8B1"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.053</w:t>
            </w:r>
          </w:p>
        </w:tc>
      </w:tr>
      <w:tr w:rsidR="009968E0" w:rsidRPr="009968E0" w14:paraId="3A0C19E4" w14:textId="77777777" w:rsidTr="009968E0">
        <w:trPr>
          <w:trHeight w:val="360"/>
        </w:trPr>
        <w:tc>
          <w:tcPr>
            <w:tcW w:w="1551" w:type="dxa"/>
          </w:tcPr>
          <w:p w14:paraId="53AE74A4" w14:textId="77777777" w:rsidR="009968E0" w:rsidRPr="009968E0" w:rsidRDefault="009968E0" w:rsidP="009968E0">
            <w:pPr>
              <w:spacing w:line="360" w:lineRule="auto"/>
              <w:rPr>
                <w:rFonts w:ascii="Calibri" w:eastAsia="Times New Roman" w:hAnsi="Calibri" w:cs="Calibri"/>
                <w:i/>
                <w:iCs/>
                <w:color w:val="000000"/>
                <w:sz w:val="22"/>
                <w:szCs w:val="22"/>
                <w:lang w:eastAsia="en-GB"/>
              </w:rPr>
            </w:pPr>
          </w:p>
        </w:tc>
        <w:tc>
          <w:tcPr>
            <w:tcW w:w="829" w:type="dxa"/>
          </w:tcPr>
          <w:p w14:paraId="66BDA32C" w14:textId="77777777" w:rsidR="009968E0" w:rsidRPr="009968E0" w:rsidRDefault="009968E0" w:rsidP="009968E0">
            <w:pPr>
              <w:spacing w:line="360" w:lineRule="auto"/>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sig</w:t>
            </w:r>
          </w:p>
        </w:tc>
        <w:tc>
          <w:tcPr>
            <w:tcW w:w="1671" w:type="dxa"/>
          </w:tcPr>
          <w:p w14:paraId="1429C8E5"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.354</w:t>
            </w:r>
          </w:p>
        </w:tc>
        <w:tc>
          <w:tcPr>
            <w:tcW w:w="1671" w:type="dxa"/>
          </w:tcPr>
          <w:p w14:paraId="220CC0FA"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.161</w:t>
            </w:r>
          </w:p>
        </w:tc>
        <w:tc>
          <w:tcPr>
            <w:tcW w:w="1671" w:type="dxa"/>
          </w:tcPr>
          <w:p w14:paraId="5E53EABE"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.716</w:t>
            </w:r>
          </w:p>
        </w:tc>
        <w:tc>
          <w:tcPr>
            <w:tcW w:w="1671" w:type="dxa"/>
          </w:tcPr>
          <w:p w14:paraId="54617681"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.656</w:t>
            </w:r>
          </w:p>
        </w:tc>
      </w:tr>
      <w:tr w:rsidR="009968E0" w:rsidRPr="009968E0" w14:paraId="24407E29"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1551" w:type="dxa"/>
          </w:tcPr>
          <w:p w14:paraId="7D4A104C" w14:textId="77777777" w:rsidR="009968E0" w:rsidRPr="009968E0" w:rsidRDefault="009968E0" w:rsidP="009968E0">
            <w:pPr>
              <w:spacing w:line="360" w:lineRule="auto"/>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lastRenderedPageBreak/>
              <w:t>Cho/Creatine</w:t>
            </w:r>
          </w:p>
        </w:tc>
        <w:tc>
          <w:tcPr>
            <w:tcW w:w="829" w:type="dxa"/>
          </w:tcPr>
          <w:p w14:paraId="1D6036F6" w14:textId="77777777" w:rsidR="009968E0" w:rsidRPr="009968E0" w:rsidRDefault="009968E0" w:rsidP="009968E0">
            <w:pPr>
              <w:spacing w:line="360" w:lineRule="auto"/>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R</w:t>
            </w:r>
          </w:p>
        </w:tc>
        <w:tc>
          <w:tcPr>
            <w:tcW w:w="1671" w:type="dxa"/>
          </w:tcPr>
          <w:p w14:paraId="0F293EE2"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.067</w:t>
            </w:r>
          </w:p>
        </w:tc>
        <w:tc>
          <w:tcPr>
            <w:tcW w:w="1671" w:type="dxa"/>
          </w:tcPr>
          <w:p w14:paraId="3C5E0A77"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.066</w:t>
            </w:r>
          </w:p>
        </w:tc>
        <w:tc>
          <w:tcPr>
            <w:tcW w:w="1671" w:type="dxa"/>
          </w:tcPr>
          <w:p w14:paraId="7EC45111"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.051</w:t>
            </w:r>
          </w:p>
        </w:tc>
        <w:tc>
          <w:tcPr>
            <w:tcW w:w="1671" w:type="dxa"/>
          </w:tcPr>
          <w:p w14:paraId="4C66F136"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-.035</w:t>
            </w:r>
          </w:p>
        </w:tc>
      </w:tr>
      <w:tr w:rsidR="009968E0" w:rsidRPr="009968E0" w14:paraId="0581F451" w14:textId="77777777" w:rsidTr="009968E0">
        <w:trPr>
          <w:trHeight w:val="360"/>
        </w:trPr>
        <w:tc>
          <w:tcPr>
            <w:tcW w:w="1551" w:type="dxa"/>
          </w:tcPr>
          <w:p w14:paraId="5934A0B1" w14:textId="77777777" w:rsidR="009968E0" w:rsidRPr="009968E0" w:rsidRDefault="009968E0" w:rsidP="009968E0">
            <w:pPr>
              <w:spacing w:line="360" w:lineRule="auto"/>
              <w:rPr>
                <w:rFonts w:ascii="Calibri" w:eastAsia="Times New Roman" w:hAnsi="Calibri" w:cs="Calibri"/>
                <w:i/>
                <w:iCs/>
                <w:color w:val="000000"/>
                <w:sz w:val="22"/>
                <w:szCs w:val="22"/>
                <w:lang w:eastAsia="en-GB"/>
              </w:rPr>
            </w:pPr>
          </w:p>
        </w:tc>
        <w:tc>
          <w:tcPr>
            <w:tcW w:w="829" w:type="dxa"/>
          </w:tcPr>
          <w:p w14:paraId="5305902C" w14:textId="77777777" w:rsidR="009968E0" w:rsidRPr="009968E0" w:rsidRDefault="009968E0" w:rsidP="009968E0">
            <w:pPr>
              <w:spacing w:line="360" w:lineRule="auto"/>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sig</w:t>
            </w:r>
          </w:p>
        </w:tc>
        <w:tc>
          <w:tcPr>
            <w:tcW w:w="1671" w:type="dxa"/>
          </w:tcPr>
          <w:p w14:paraId="1778DB14"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.578</w:t>
            </w:r>
          </w:p>
        </w:tc>
        <w:tc>
          <w:tcPr>
            <w:tcW w:w="1671" w:type="dxa"/>
          </w:tcPr>
          <w:p w14:paraId="127941BF"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.583</w:t>
            </w:r>
          </w:p>
        </w:tc>
        <w:tc>
          <w:tcPr>
            <w:tcW w:w="1671" w:type="dxa"/>
          </w:tcPr>
          <w:p w14:paraId="50DBE7B2"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.672</w:t>
            </w:r>
          </w:p>
        </w:tc>
        <w:tc>
          <w:tcPr>
            <w:tcW w:w="1671" w:type="dxa"/>
          </w:tcPr>
          <w:p w14:paraId="1F54710E"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.772</w:t>
            </w:r>
          </w:p>
        </w:tc>
      </w:tr>
      <w:tr w:rsidR="009968E0" w:rsidRPr="009968E0" w14:paraId="67E2EBF8"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1551" w:type="dxa"/>
          </w:tcPr>
          <w:p w14:paraId="65866CD0" w14:textId="77777777" w:rsidR="009968E0" w:rsidRPr="009968E0" w:rsidRDefault="009968E0" w:rsidP="009968E0">
            <w:pPr>
              <w:spacing w:line="360" w:lineRule="auto"/>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NAA/Choline</w:t>
            </w:r>
          </w:p>
        </w:tc>
        <w:tc>
          <w:tcPr>
            <w:tcW w:w="829" w:type="dxa"/>
          </w:tcPr>
          <w:p w14:paraId="710959E7" w14:textId="77777777" w:rsidR="009968E0" w:rsidRPr="009968E0" w:rsidRDefault="009968E0" w:rsidP="009968E0">
            <w:pPr>
              <w:spacing w:line="360" w:lineRule="auto"/>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R</w:t>
            </w:r>
          </w:p>
        </w:tc>
        <w:tc>
          <w:tcPr>
            <w:tcW w:w="1671" w:type="dxa"/>
          </w:tcPr>
          <w:p w14:paraId="0ECAD3CE"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.068</w:t>
            </w:r>
          </w:p>
        </w:tc>
        <w:tc>
          <w:tcPr>
            <w:tcW w:w="1671" w:type="dxa"/>
          </w:tcPr>
          <w:p w14:paraId="162C3412"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.096</w:t>
            </w:r>
          </w:p>
        </w:tc>
        <w:tc>
          <w:tcPr>
            <w:tcW w:w="1671" w:type="dxa"/>
          </w:tcPr>
          <w:p w14:paraId="38D64CCA"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-.092</w:t>
            </w:r>
          </w:p>
        </w:tc>
        <w:tc>
          <w:tcPr>
            <w:tcW w:w="1671" w:type="dxa"/>
          </w:tcPr>
          <w:p w14:paraId="104CA858"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.112</w:t>
            </w:r>
          </w:p>
        </w:tc>
      </w:tr>
      <w:tr w:rsidR="009968E0" w:rsidRPr="009968E0" w14:paraId="6EA36637" w14:textId="77777777" w:rsidTr="009968E0">
        <w:trPr>
          <w:trHeight w:val="360"/>
        </w:trPr>
        <w:tc>
          <w:tcPr>
            <w:tcW w:w="1551" w:type="dxa"/>
          </w:tcPr>
          <w:p w14:paraId="0783652F" w14:textId="77777777" w:rsidR="009968E0" w:rsidRPr="009968E0" w:rsidRDefault="009968E0" w:rsidP="009968E0">
            <w:pPr>
              <w:widowControl w:val="0"/>
              <w:pBdr>
                <w:top w:val="nil"/>
                <w:left w:val="nil"/>
                <w:bottom w:val="nil"/>
                <w:right w:val="nil"/>
                <w:between w:val="nil"/>
              </w:pBdr>
              <w:spacing w:line="360" w:lineRule="auto"/>
              <w:rPr>
                <w:rFonts w:ascii="Calibri" w:eastAsia="Times New Roman" w:hAnsi="Calibri" w:cs="Calibri"/>
                <w:i/>
                <w:iCs/>
                <w:color w:val="000000"/>
                <w:sz w:val="22"/>
                <w:szCs w:val="22"/>
                <w:lang w:eastAsia="en-GB"/>
              </w:rPr>
            </w:pPr>
          </w:p>
        </w:tc>
        <w:tc>
          <w:tcPr>
            <w:tcW w:w="829" w:type="dxa"/>
          </w:tcPr>
          <w:p w14:paraId="56CD789D" w14:textId="77777777" w:rsidR="009968E0" w:rsidRPr="009968E0" w:rsidRDefault="009968E0" w:rsidP="009968E0">
            <w:pPr>
              <w:spacing w:line="360" w:lineRule="auto"/>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sig</w:t>
            </w:r>
          </w:p>
        </w:tc>
        <w:tc>
          <w:tcPr>
            <w:tcW w:w="1671" w:type="dxa"/>
          </w:tcPr>
          <w:p w14:paraId="23991640"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.571</w:t>
            </w:r>
          </w:p>
        </w:tc>
        <w:tc>
          <w:tcPr>
            <w:tcW w:w="1671" w:type="dxa"/>
          </w:tcPr>
          <w:p w14:paraId="42F7485A"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.421</w:t>
            </w:r>
          </w:p>
        </w:tc>
        <w:tc>
          <w:tcPr>
            <w:tcW w:w="1671" w:type="dxa"/>
          </w:tcPr>
          <w:p w14:paraId="239F79E4"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.440</w:t>
            </w:r>
          </w:p>
        </w:tc>
        <w:tc>
          <w:tcPr>
            <w:tcW w:w="1671" w:type="dxa"/>
          </w:tcPr>
          <w:p w14:paraId="3813E776" w14:textId="77777777" w:rsidR="009968E0" w:rsidRPr="009968E0" w:rsidRDefault="009968E0" w:rsidP="009968E0">
            <w:pPr>
              <w:spacing w:line="360" w:lineRule="auto"/>
              <w:jc w:val="right"/>
              <w:rPr>
                <w:rFonts w:ascii="Calibri" w:eastAsia="Times New Roman" w:hAnsi="Calibri" w:cs="Calibri"/>
                <w:i/>
                <w:iCs/>
                <w:color w:val="000000"/>
                <w:sz w:val="22"/>
                <w:szCs w:val="22"/>
                <w:lang w:eastAsia="en-GB"/>
              </w:rPr>
            </w:pPr>
            <w:r w:rsidRPr="009968E0">
              <w:rPr>
                <w:rFonts w:ascii="Calibri" w:eastAsia="Times New Roman" w:hAnsi="Calibri" w:cs="Calibri"/>
                <w:i/>
                <w:iCs/>
                <w:color w:val="000000"/>
                <w:sz w:val="22"/>
                <w:szCs w:val="22"/>
                <w:lang w:eastAsia="en-GB"/>
              </w:rPr>
              <w:t>.351</w:t>
            </w:r>
          </w:p>
        </w:tc>
      </w:tr>
    </w:tbl>
    <w:p w14:paraId="4E23B99D" w14:textId="77777777" w:rsidR="007D16C6" w:rsidRDefault="007D16C6" w:rsidP="007D16C6">
      <w:pPr>
        <w:pStyle w:val="Subtitle"/>
        <w:rPr>
          <w:rFonts w:eastAsia="Times New Roman"/>
          <w:i w:val="0"/>
          <w:iCs w:val="0"/>
          <w:color w:val="auto"/>
          <w:bdr w:val="none" w:sz="0" w:space="0" w:color="auto"/>
          <w:lang w:val="en-GB"/>
        </w:rPr>
      </w:pPr>
      <w:bookmarkStart w:id="792" w:name="_Toc49273259"/>
    </w:p>
    <w:p w14:paraId="341F92D2" w14:textId="70BE4450" w:rsidR="009968E0" w:rsidRPr="007D16C6" w:rsidRDefault="009968E0" w:rsidP="007D16C6">
      <w:pPr>
        <w:pStyle w:val="Subtitle"/>
      </w:pPr>
      <w:bookmarkStart w:id="793" w:name="_Toc64724249"/>
      <w:r w:rsidRPr="007D16C6">
        <w:t>Figure E.</w:t>
      </w:r>
      <w:r w:rsidR="00244F2F">
        <w:t>1</w:t>
      </w:r>
      <w:r w:rsidRPr="007D16C6">
        <w:t xml:space="preserve">. </w:t>
      </w:r>
      <w:r w:rsidR="00CB2F95">
        <w:t>Scatter plot</w:t>
      </w:r>
      <w:r w:rsidRPr="007D16C6">
        <w:t xml:space="preserve"> of NAA/Creatine Ratio at the LThal vs RBF in the LThal at visit 2</w:t>
      </w:r>
      <w:bookmarkEnd w:id="792"/>
      <w:bookmarkEnd w:id="793"/>
    </w:p>
    <w:p w14:paraId="3A504161" w14:textId="77777777" w:rsidR="009968E0" w:rsidRPr="009968E0" w:rsidRDefault="009968E0" w:rsidP="009968E0">
      <w:pPr>
        <w:spacing w:line="360" w:lineRule="auto"/>
        <w:rPr>
          <w:rFonts w:eastAsia="Times New Roman" w:cs="Arial"/>
          <w:lang w:eastAsia="en-GB"/>
        </w:rPr>
      </w:pPr>
      <w:r w:rsidRPr="009968E0">
        <w:rPr>
          <w:rFonts w:eastAsia="Times New Roman" w:cs="Arial"/>
          <w:noProof/>
          <w:lang w:eastAsia="en-GB"/>
        </w:rPr>
        <w:drawing>
          <wp:inline distT="0" distB="0" distL="0" distR="0" wp14:anchorId="44C8D39E" wp14:editId="676B2D69">
            <wp:extent cx="5397500" cy="3467100"/>
            <wp:effectExtent l="12700" t="12700" r="12700" b="12700"/>
            <wp:docPr id="2049" name="Pictur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397500" cy="3467100"/>
                    </a:xfrm>
                    <a:prstGeom prst="rect">
                      <a:avLst/>
                    </a:prstGeom>
                    <a:ln>
                      <a:solidFill>
                        <a:srgbClr val="4F81BD"/>
                      </a:solidFill>
                    </a:ln>
                  </pic:spPr>
                </pic:pic>
              </a:graphicData>
            </a:graphic>
          </wp:inline>
        </w:drawing>
      </w:r>
    </w:p>
    <w:p w14:paraId="33E8FDD5" w14:textId="77777777" w:rsidR="009968E0" w:rsidRPr="009968E0" w:rsidRDefault="009968E0" w:rsidP="007D16C6">
      <w:pPr>
        <w:pStyle w:val="Quote"/>
      </w:pPr>
    </w:p>
    <w:p w14:paraId="0C5E94D2" w14:textId="4F649E27" w:rsidR="009968E0" w:rsidRPr="009968E0" w:rsidRDefault="009968E0" w:rsidP="007D16C6">
      <w:pPr>
        <w:pStyle w:val="Quote"/>
      </w:pPr>
      <w:bookmarkStart w:id="794" w:name="_Toc49273407"/>
      <w:bookmarkStart w:id="795" w:name="_Toc64724159"/>
      <w:r w:rsidRPr="009968E0">
        <w:t>Table E.9: Correlations for Spectroscopy ratios and psychophysical measurements of pain measured at the third visit</w:t>
      </w:r>
      <w:bookmarkEnd w:id="794"/>
      <w:bookmarkEnd w:id="795"/>
      <w:r w:rsidRPr="009968E0">
        <w:t xml:space="preserve"> </w:t>
      </w:r>
    </w:p>
    <w:tbl>
      <w:tblPr>
        <w:tblStyle w:val="GridTable2-Accent212"/>
        <w:tblW w:w="9064" w:type="dxa"/>
        <w:tblLayout w:type="fixed"/>
        <w:tblLook w:val="0400" w:firstRow="0" w:lastRow="0" w:firstColumn="0" w:lastColumn="0" w:noHBand="0" w:noVBand="1"/>
      </w:tblPr>
      <w:tblGrid>
        <w:gridCol w:w="2095"/>
        <w:gridCol w:w="1120"/>
        <w:gridCol w:w="1951"/>
        <w:gridCol w:w="2096"/>
        <w:gridCol w:w="1802"/>
      </w:tblGrid>
      <w:tr w:rsidR="009968E0" w:rsidRPr="009968E0" w14:paraId="6383813E"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2095" w:type="dxa"/>
          </w:tcPr>
          <w:p w14:paraId="237FF7DC" w14:textId="77777777" w:rsidR="009968E0" w:rsidRPr="009968E0" w:rsidRDefault="009968E0" w:rsidP="009968E0">
            <w:pPr>
              <w:rPr>
                <w:rFonts w:ascii="Calibri" w:eastAsia="Times New Roman" w:hAnsi="Calibri" w:cs="Calibri"/>
                <w:i/>
                <w:iCs/>
                <w:sz w:val="22"/>
                <w:szCs w:val="22"/>
                <w:lang w:eastAsia="en-GB"/>
              </w:rPr>
            </w:pPr>
          </w:p>
        </w:tc>
        <w:tc>
          <w:tcPr>
            <w:tcW w:w="1120" w:type="dxa"/>
          </w:tcPr>
          <w:p w14:paraId="7F5475E7" w14:textId="77777777" w:rsidR="009968E0" w:rsidRPr="009968E0" w:rsidRDefault="009968E0" w:rsidP="009968E0">
            <w:pPr>
              <w:rPr>
                <w:rFonts w:ascii="Calibri" w:eastAsia="Times New Roman" w:hAnsi="Calibri" w:cs="Calibri"/>
                <w:i/>
                <w:iCs/>
                <w:sz w:val="22"/>
                <w:szCs w:val="22"/>
                <w:lang w:eastAsia="en-GB"/>
              </w:rPr>
            </w:pPr>
          </w:p>
        </w:tc>
        <w:tc>
          <w:tcPr>
            <w:tcW w:w="1951" w:type="dxa"/>
          </w:tcPr>
          <w:p w14:paraId="663C2DF4"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LIKERT</w:t>
            </w:r>
          </w:p>
        </w:tc>
        <w:tc>
          <w:tcPr>
            <w:tcW w:w="2096" w:type="dxa"/>
          </w:tcPr>
          <w:p w14:paraId="2DBBE067"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HPT Thigh V3</w:t>
            </w:r>
          </w:p>
        </w:tc>
        <w:tc>
          <w:tcPr>
            <w:tcW w:w="1802" w:type="dxa"/>
          </w:tcPr>
          <w:p w14:paraId="1B9CA570"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HPT Hand V3</w:t>
            </w:r>
          </w:p>
        </w:tc>
      </w:tr>
      <w:tr w:rsidR="009968E0" w:rsidRPr="009968E0" w14:paraId="75D11F3D" w14:textId="77777777" w:rsidTr="009968E0">
        <w:trPr>
          <w:trHeight w:val="360"/>
        </w:trPr>
        <w:tc>
          <w:tcPr>
            <w:tcW w:w="2095" w:type="dxa"/>
            <w:vMerge w:val="restart"/>
          </w:tcPr>
          <w:p w14:paraId="47021345"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 xml:space="preserve">NAA/ </w:t>
            </w:r>
          </w:p>
          <w:p w14:paraId="35AA1F8D"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Creatine</w:t>
            </w:r>
          </w:p>
        </w:tc>
        <w:tc>
          <w:tcPr>
            <w:tcW w:w="1120" w:type="dxa"/>
          </w:tcPr>
          <w:p w14:paraId="5A8923C3"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 R</w:t>
            </w:r>
          </w:p>
        </w:tc>
        <w:tc>
          <w:tcPr>
            <w:tcW w:w="1951" w:type="dxa"/>
          </w:tcPr>
          <w:p w14:paraId="5A2DCAE0"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.120</w:t>
            </w:r>
          </w:p>
        </w:tc>
        <w:tc>
          <w:tcPr>
            <w:tcW w:w="2096" w:type="dxa"/>
          </w:tcPr>
          <w:p w14:paraId="29CCE7D1"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.007</w:t>
            </w:r>
          </w:p>
        </w:tc>
        <w:tc>
          <w:tcPr>
            <w:tcW w:w="1802" w:type="dxa"/>
          </w:tcPr>
          <w:p w14:paraId="34E5FABE"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-.137</w:t>
            </w:r>
          </w:p>
        </w:tc>
      </w:tr>
      <w:tr w:rsidR="009968E0" w:rsidRPr="009968E0" w14:paraId="58DD0DD0"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2095" w:type="dxa"/>
            <w:vMerge/>
          </w:tcPr>
          <w:p w14:paraId="72A86DA7" w14:textId="77777777" w:rsidR="009968E0" w:rsidRPr="009968E0" w:rsidRDefault="009968E0" w:rsidP="009968E0">
            <w:pPr>
              <w:rPr>
                <w:rFonts w:ascii="Calibri" w:eastAsia="Times New Roman" w:hAnsi="Calibri" w:cs="Calibri"/>
                <w:i/>
                <w:iCs/>
                <w:sz w:val="22"/>
                <w:szCs w:val="22"/>
                <w:lang w:eastAsia="en-GB"/>
              </w:rPr>
            </w:pPr>
          </w:p>
        </w:tc>
        <w:tc>
          <w:tcPr>
            <w:tcW w:w="1120" w:type="dxa"/>
          </w:tcPr>
          <w:p w14:paraId="4283A1AB"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 Sig.</w:t>
            </w:r>
          </w:p>
        </w:tc>
        <w:tc>
          <w:tcPr>
            <w:tcW w:w="1951" w:type="dxa"/>
          </w:tcPr>
          <w:p w14:paraId="4EDDFCA7"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.316</w:t>
            </w:r>
          </w:p>
        </w:tc>
        <w:tc>
          <w:tcPr>
            <w:tcW w:w="2096" w:type="dxa"/>
          </w:tcPr>
          <w:p w14:paraId="35328336"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.956</w:t>
            </w:r>
          </w:p>
        </w:tc>
        <w:tc>
          <w:tcPr>
            <w:tcW w:w="1802" w:type="dxa"/>
          </w:tcPr>
          <w:p w14:paraId="6DE081B6"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.252</w:t>
            </w:r>
          </w:p>
        </w:tc>
      </w:tr>
      <w:tr w:rsidR="009968E0" w:rsidRPr="009968E0" w14:paraId="3B74AF00" w14:textId="77777777" w:rsidTr="009968E0">
        <w:trPr>
          <w:trHeight w:val="360"/>
        </w:trPr>
        <w:tc>
          <w:tcPr>
            <w:tcW w:w="2095" w:type="dxa"/>
            <w:vMerge/>
          </w:tcPr>
          <w:p w14:paraId="3367D794" w14:textId="77777777" w:rsidR="009968E0" w:rsidRPr="009968E0" w:rsidRDefault="009968E0" w:rsidP="009968E0">
            <w:pPr>
              <w:rPr>
                <w:rFonts w:ascii="Calibri" w:eastAsia="Times New Roman" w:hAnsi="Calibri" w:cs="Calibri"/>
                <w:i/>
                <w:iCs/>
                <w:sz w:val="22"/>
                <w:szCs w:val="22"/>
                <w:lang w:eastAsia="en-GB"/>
              </w:rPr>
            </w:pPr>
          </w:p>
        </w:tc>
        <w:tc>
          <w:tcPr>
            <w:tcW w:w="1120" w:type="dxa"/>
          </w:tcPr>
          <w:p w14:paraId="31C61BA3"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 N</w:t>
            </w:r>
          </w:p>
        </w:tc>
        <w:tc>
          <w:tcPr>
            <w:tcW w:w="1951" w:type="dxa"/>
          </w:tcPr>
          <w:p w14:paraId="181F1203"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72</w:t>
            </w:r>
          </w:p>
        </w:tc>
        <w:tc>
          <w:tcPr>
            <w:tcW w:w="2096" w:type="dxa"/>
          </w:tcPr>
          <w:p w14:paraId="7B02AFBD"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72</w:t>
            </w:r>
          </w:p>
        </w:tc>
        <w:tc>
          <w:tcPr>
            <w:tcW w:w="1802" w:type="dxa"/>
          </w:tcPr>
          <w:p w14:paraId="311CDDC5"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72</w:t>
            </w:r>
          </w:p>
        </w:tc>
      </w:tr>
      <w:tr w:rsidR="009968E0" w:rsidRPr="009968E0" w14:paraId="7038E7DD"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2095" w:type="dxa"/>
            <w:vMerge w:val="restart"/>
          </w:tcPr>
          <w:p w14:paraId="066A6414"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Cho/Creatine</w:t>
            </w:r>
          </w:p>
        </w:tc>
        <w:tc>
          <w:tcPr>
            <w:tcW w:w="1120" w:type="dxa"/>
          </w:tcPr>
          <w:p w14:paraId="3A8DF4E9"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 R</w:t>
            </w:r>
          </w:p>
        </w:tc>
        <w:tc>
          <w:tcPr>
            <w:tcW w:w="1951" w:type="dxa"/>
          </w:tcPr>
          <w:p w14:paraId="72F95779"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.061</w:t>
            </w:r>
          </w:p>
        </w:tc>
        <w:tc>
          <w:tcPr>
            <w:tcW w:w="2096" w:type="dxa"/>
          </w:tcPr>
          <w:p w14:paraId="629DAC13"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-.030</w:t>
            </w:r>
          </w:p>
        </w:tc>
        <w:tc>
          <w:tcPr>
            <w:tcW w:w="1802" w:type="dxa"/>
          </w:tcPr>
          <w:p w14:paraId="55DF3D20"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-.098</w:t>
            </w:r>
          </w:p>
        </w:tc>
      </w:tr>
      <w:tr w:rsidR="009968E0" w:rsidRPr="009968E0" w14:paraId="640E2D99" w14:textId="77777777" w:rsidTr="009968E0">
        <w:trPr>
          <w:trHeight w:val="360"/>
        </w:trPr>
        <w:tc>
          <w:tcPr>
            <w:tcW w:w="2095" w:type="dxa"/>
            <w:vMerge/>
          </w:tcPr>
          <w:p w14:paraId="5223F10F" w14:textId="77777777" w:rsidR="009968E0" w:rsidRPr="009968E0" w:rsidRDefault="009968E0" w:rsidP="009968E0">
            <w:pPr>
              <w:rPr>
                <w:rFonts w:ascii="Calibri" w:eastAsia="Times New Roman" w:hAnsi="Calibri" w:cs="Calibri"/>
                <w:i/>
                <w:iCs/>
                <w:sz w:val="22"/>
                <w:szCs w:val="22"/>
                <w:lang w:eastAsia="en-GB"/>
              </w:rPr>
            </w:pPr>
          </w:p>
        </w:tc>
        <w:tc>
          <w:tcPr>
            <w:tcW w:w="1120" w:type="dxa"/>
          </w:tcPr>
          <w:p w14:paraId="47E3BC51"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 Sig.</w:t>
            </w:r>
          </w:p>
        </w:tc>
        <w:tc>
          <w:tcPr>
            <w:tcW w:w="1951" w:type="dxa"/>
          </w:tcPr>
          <w:p w14:paraId="06BC5089"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.611</w:t>
            </w:r>
          </w:p>
        </w:tc>
        <w:tc>
          <w:tcPr>
            <w:tcW w:w="2096" w:type="dxa"/>
          </w:tcPr>
          <w:p w14:paraId="016A5AD6"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.804</w:t>
            </w:r>
          </w:p>
        </w:tc>
        <w:tc>
          <w:tcPr>
            <w:tcW w:w="1802" w:type="dxa"/>
          </w:tcPr>
          <w:p w14:paraId="682B66A8"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.411</w:t>
            </w:r>
          </w:p>
        </w:tc>
      </w:tr>
      <w:tr w:rsidR="009968E0" w:rsidRPr="009968E0" w14:paraId="5BE0F1C1"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2095" w:type="dxa"/>
            <w:vMerge/>
          </w:tcPr>
          <w:p w14:paraId="0EF82179" w14:textId="77777777" w:rsidR="009968E0" w:rsidRPr="009968E0" w:rsidRDefault="009968E0" w:rsidP="009968E0">
            <w:pPr>
              <w:rPr>
                <w:rFonts w:ascii="Calibri" w:eastAsia="Times New Roman" w:hAnsi="Calibri" w:cs="Calibri"/>
                <w:i/>
                <w:iCs/>
                <w:sz w:val="22"/>
                <w:szCs w:val="22"/>
                <w:lang w:eastAsia="en-GB"/>
              </w:rPr>
            </w:pPr>
          </w:p>
        </w:tc>
        <w:tc>
          <w:tcPr>
            <w:tcW w:w="1120" w:type="dxa"/>
          </w:tcPr>
          <w:p w14:paraId="6028DF18"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 N</w:t>
            </w:r>
          </w:p>
        </w:tc>
        <w:tc>
          <w:tcPr>
            <w:tcW w:w="1951" w:type="dxa"/>
          </w:tcPr>
          <w:p w14:paraId="1B038824"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72</w:t>
            </w:r>
          </w:p>
        </w:tc>
        <w:tc>
          <w:tcPr>
            <w:tcW w:w="2096" w:type="dxa"/>
          </w:tcPr>
          <w:p w14:paraId="718AA08C"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72</w:t>
            </w:r>
          </w:p>
        </w:tc>
        <w:tc>
          <w:tcPr>
            <w:tcW w:w="1802" w:type="dxa"/>
          </w:tcPr>
          <w:p w14:paraId="6E3E0208"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72</w:t>
            </w:r>
          </w:p>
        </w:tc>
      </w:tr>
      <w:tr w:rsidR="009968E0" w:rsidRPr="009968E0" w14:paraId="7C69BC76" w14:textId="77777777" w:rsidTr="009968E0">
        <w:trPr>
          <w:trHeight w:val="360"/>
        </w:trPr>
        <w:tc>
          <w:tcPr>
            <w:tcW w:w="2095" w:type="dxa"/>
            <w:vMerge w:val="restart"/>
          </w:tcPr>
          <w:p w14:paraId="5FA754E6"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NAA/Choline</w:t>
            </w:r>
          </w:p>
        </w:tc>
        <w:tc>
          <w:tcPr>
            <w:tcW w:w="1120" w:type="dxa"/>
          </w:tcPr>
          <w:p w14:paraId="3170E8F4"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 R</w:t>
            </w:r>
          </w:p>
        </w:tc>
        <w:tc>
          <w:tcPr>
            <w:tcW w:w="1951" w:type="dxa"/>
          </w:tcPr>
          <w:p w14:paraId="53A5939C"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.001</w:t>
            </w:r>
          </w:p>
        </w:tc>
        <w:tc>
          <w:tcPr>
            <w:tcW w:w="2096" w:type="dxa"/>
          </w:tcPr>
          <w:p w14:paraId="121C9FA4"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.057</w:t>
            </w:r>
          </w:p>
        </w:tc>
        <w:tc>
          <w:tcPr>
            <w:tcW w:w="1802" w:type="dxa"/>
          </w:tcPr>
          <w:p w14:paraId="6F25137E"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-.052</w:t>
            </w:r>
          </w:p>
        </w:tc>
      </w:tr>
      <w:tr w:rsidR="009968E0" w:rsidRPr="009968E0" w14:paraId="2A2B0EBC" w14:textId="77777777" w:rsidTr="009968E0">
        <w:trPr>
          <w:cnfStyle w:val="000000100000" w:firstRow="0" w:lastRow="0" w:firstColumn="0" w:lastColumn="0" w:oddVBand="0" w:evenVBand="0" w:oddHBand="1" w:evenHBand="0" w:firstRowFirstColumn="0" w:firstRowLastColumn="0" w:lastRowFirstColumn="0" w:lastRowLastColumn="0"/>
          <w:trHeight w:val="360"/>
        </w:trPr>
        <w:tc>
          <w:tcPr>
            <w:tcW w:w="2095" w:type="dxa"/>
            <w:vMerge/>
          </w:tcPr>
          <w:p w14:paraId="7F6FE616" w14:textId="77777777" w:rsidR="009968E0" w:rsidRPr="009968E0" w:rsidRDefault="009968E0" w:rsidP="009968E0">
            <w:pPr>
              <w:rPr>
                <w:rFonts w:ascii="Calibri" w:eastAsia="Times New Roman" w:hAnsi="Calibri" w:cs="Calibri"/>
                <w:i/>
                <w:iCs/>
                <w:sz w:val="22"/>
                <w:szCs w:val="22"/>
                <w:lang w:eastAsia="en-GB"/>
              </w:rPr>
            </w:pPr>
          </w:p>
        </w:tc>
        <w:tc>
          <w:tcPr>
            <w:tcW w:w="1120" w:type="dxa"/>
          </w:tcPr>
          <w:p w14:paraId="02DAD780"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 Sig.</w:t>
            </w:r>
          </w:p>
        </w:tc>
        <w:tc>
          <w:tcPr>
            <w:tcW w:w="1951" w:type="dxa"/>
          </w:tcPr>
          <w:p w14:paraId="208A0692"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.991</w:t>
            </w:r>
          </w:p>
        </w:tc>
        <w:tc>
          <w:tcPr>
            <w:tcW w:w="2096" w:type="dxa"/>
          </w:tcPr>
          <w:p w14:paraId="6A2AC3F0"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.637</w:t>
            </w:r>
          </w:p>
        </w:tc>
        <w:tc>
          <w:tcPr>
            <w:tcW w:w="1802" w:type="dxa"/>
          </w:tcPr>
          <w:p w14:paraId="05ABC82D"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.662</w:t>
            </w:r>
          </w:p>
        </w:tc>
      </w:tr>
      <w:tr w:rsidR="009968E0" w:rsidRPr="009968E0" w14:paraId="35A3E724" w14:textId="77777777" w:rsidTr="009968E0">
        <w:trPr>
          <w:trHeight w:val="360"/>
        </w:trPr>
        <w:tc>
          <w:tcPr>
            <w:tcW w:w="2095" w:type="dxa"/>
            <w:vMerge/>
          </w:tcPr>
          <w:p w14:paraId="50E11877" w14:textId="77777777" w:rsidR="009968E0" w:rsidRPr="009968E0" w:rsidRDefault="009968E0" w:rsidP="009968E0">
            <w:pPr>
              <w:rPr>
                <w:rFonts w:ascii="Calibri" w:eastAsia="Times New Roman" w:hAnsi="Calibri" w:cs="Calibri"/>
                <w:i/>
                <w:iCs/>
                <w:sz w:val="22"/>
                <w:szCs w:val="22"/>
                <w:lang w:eastAsia="en-GB"/>
              </w:rPr>
            </w:pPr>
          </w:p>
        </w:tc>
        <w:tc>
          <w:tcPr>
            <w:tcW w:w="1120" w:type="dxa"/>
          </w:tcPr>
          <w:p w14:paraId="667462B9"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 N</w:t>
            </w:r>
          </w:p>
        </w:tc>
        <w:tc>
          <w:tcPr>
            <w:tcW w:w="1951" w:type="dxa"/>
          </w:tcPr>
          <w:p w14:paraId="19FC36B7"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72</w:t>
            </w:r>
          </w:p>
        </w:tc>
        <w:tc>
          <w:tcPr>
            <w:tcW w:w="2096" w:type="dxa"/>
          </w:tcPr>
          <w:p w14:paraId="7BCBC658"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72</w:t>
            </w:r>
          </w:p>
        </w:tc>
        <w:tc>
          <w:tcPr>
            <w:tcW w:w="1802" w:type="dxa"/>
          </w:tcPr>
          <w:p w14:paraId="53852331" w14:textId="77777777" w:rsidR="009968E0" w:rsidRPr="009968E0" w:rsidRDefault="009968E0" w:rsidP="009968E0">
            <w:pPr>
              <w:rPr>
                <w:rFonts w:ascii="Calibri" w:eastAsia="Times New Roman" w:hAnsi="Calibri" w:cs="Calibri"/>
                <w:i/>
                <w:iCs/>
                <w:sz w:val="22"/>
                <w:szCs w:val="22"/>
                <w:lang w:eastAsia="en-GB"/>
              </w:rPr>
            </w:pPr>
            <w:r w:rsidRPr="009968E0">
              <w:rPr>
                <w:rFonts w:ascii="Calibri" w:eastAsia="Times New Roman" w:hAnsi="Calibri" w:cs="Calibri"/>
                <w:i/>
                <w:iCs/>
                <w:sz w:val="22"/>
                <w:szCs w:val="22"/>
                <w:lang w:eastAsia="en-GB"/>
              </w:rPr>
              <w:t>72</w:t>
            </w:r>
          </w:p>
        </w:tc>
      </w:tr>
    </w:tbl>
    <w:p w14:paraId="6DCC66CF" w14:textId="77777777" w:rsidR="007D16C6" w:rsidRDefault="007D16C6">
      <w:pPr>
        <w:rPr>
          <w:rFonts w:eastAsia="MS Gothic" w:cs="Arial"/>
          <w:b/>
          <w:bCs/>
          <w:color w:val="345A8A"/>
          <w:sz w:val="32"/>
          <w:szCs w:val="32"/>
        </w:rPr>
      </w:pPr>
      <w:bookmarkStart w:id="796" w:name="_Toc48540087"/>
      <w:bookmarkStart w:id="797" w:name="_Toc49272030"/>
      <w:r>
        <w:rPr>
          <w:rFonts w:eastAsia="MS Gothic" w:cs="Arial"/>
          <w:b/>
          <w:bCs/>
          <w:color w:val="345A8A"/>
          <w:sz w:val="32"/>
          <w:szCs w:val="32"/>
        </w:rPr>
        <w:br w:type="page"/>
      </w:r>
    </w:p>
    <w:p w14:paraId="6BE72FD6" w14:textId="107B3CD0" w:rsidR="009968E0" w:rsidRPr="007D16C6" w:rsidRDefault="009968E0" w:rsidP="007D16C6">
      <w:pPr>
        <w:pStyle w:val="Heading1"/>
      </w:pPr>
      <w:bookmarkStart w:id="798" w:name="_Toc64723985"/>
      <w:r w:rsidRPr="007D16C6">
        <w:lastRenderedPageBreak/>
        <w:t>Appendix F: Moderation/</w:t>
      </w:r>
      <w:proofErr w:type="spellStart"/>
      <w:r w:rsidRPr="007D16C6">
        <w:t>Potthoff</w:t>
      </w:r>
      <w:proofErr w:type="spellEnd"/>
      <w:r w:rsidRPr="007D16C6">
        <w:t xml:space="preserve"> Analysis</w:t>
      </w:r>
      <w:bookmarkEnd w:id="796"/>
      <w:bookmarkEnd w:id="797"/>
      <w:bookmarkEnd w:id="798"/>
    </w:p>
    <w:p w14:paraId="1F2303D4" w14:textId="77777777" w:rsidR="009968E0" w:rsidRPr="009968E0" w:rsidRDefault="009968E0" w:rsidP="009968E0">
      <w:pPr>
        <w:rPr>
          <w:rFonts w:ascii="Times New Roman" w:eastAsia="Times New Roman" w:hAnsi="Times New Roman" w:cs="Arial"/>
          <w:lang w:eastAsia="en-GB"/>
        </w:rPr>
      </w:pPr>
    </w:p>
    <w:p w14:paraId="1D56A2D3" w14:textId="5CF71B53" w:rsidR="009968E0" w:rsidRPr="009968E0" w:rsidRDefault="009968E0" w:rsidP="009968E0">
      <w:pPr>
        <w:rPr>
          <w:rFonts w:ascii="Times New Roman" w:eastAsia="Times New Roman" w:hAnsi="Times New Roman" w:cs="Arial"/>
          <w:lang w:eastAsia="en-GB"/>
        </w:rPr>
      </w:pPr>
      <w:r w:rsidRPr="009968E0">
        <w:rPr>
          <w:rFonts w:ascii="Times New Roman" w:eastAsia="Times New Roman" w:hAnsi="Times New Roman" w:cs="Arial"/>
          <w:lang w:eastAsia="en-GB"/>
        </w:rPr>
        <w:t xml:space="preserve">The null hypothesis is that the regression lines of perfusion measures and Likert scale pain perception by groups are coincident. Syntax for SPSS: </w:t>
      </w:r>
    </w:p>
    <w:p w14:paraId="1FB14515" w14:textId="77777777" w:rsidR="009968E0" w:rsidRPr="009968E0" w:rsidRDefault="009968E0" w:rsidP="009968E0">
      <w:pPr>
        <w:rPr>
          <w:rFonts w:ascii="Times New Roman" w:eastAsia="Times New Roman" w:hAnsi="Times New Roman" w:cs="Arial"/>
          <w:lang w:eastAsia="en-GB"/>
        </w:rPr>
      </w:pPr>
    </w:p>
    <w:p w14:paraId="6EB3F498" w14:textId="77777777" w:rsidR="009968E0" w:rsidRPr="009968E0" w:rsidRDefault="009968E0" w:rsidP="009968E0">
      <w:pPr>
        <w:rPr>
          <w:rFonts w:ascii="Times New Roman" w:eastAsia="Times New Roman" w:hAnsi="Times New Roman" w:cs="Arial"/>
          <w:lang w:eastAsia="en-GB"/>
        </w:rPr>
      </w:pPr>
      <w:r w:rsidRPr="009968E0">
        <w:rPr>
          <w:rFonts w:ascii="Times New Roman" w:eastAsia="Times New Roman" w:hAnsi="Times New Roman" w:cs="Arial"/>
          <w:lang w:eastAsia="en-GB"/>
        </w:rPr>
        <w:t>COMPUTE G1xlikertcentre=</w:t>
      </w:r>
      <w:proofErr w:type="spellStart"/>
      <w:r w:rsidRPr="009968E0">
        <w:rPr>
          <w:rFonts w:ascii="Times New Roman" w:eastAsia="Times New Roman" w:hAnsi="Times New Roman" w:cs="Arial"/>
          <w:lang w:eastAsia="en-GB"/>
        </w:rPr>
        <w:t>Dum_Reg_DPN</w:t>
      </w:r>
      <w:proofErr w:type="spellEnd"/>
      <w:r w:rsidRPr="009968E0">
        <w:rPr>
          <w:rFonts w:ascii="Times New Roman" w:eastAsia="Times New Roman" w:hAnsi="Times New Roman" w:cs="Arial"/>
          <w:lang w:eastAsia="en-GB"/>
        </w:rPr>
        <w:t>*</w:t>
      </w:r>
      <w:proofErr w:type="spellStart"/>
      <w:r w:rsidRPr="009968E0">
        <w:rPr>
          <w:rFonts w:ascii="Times New Roman" w:eastAsia="Times New Roman" w:hAnsi="Times New Roman" w:cs="Arial"/>
          <w:lang w:eastAsia="en-GB"/>
        </w:rPr>
        <w:t>likert_centre</w:t>
      </w:r>
      <w:proofErr w:type="spellEnd"/>
      <w:r w:rsidRPr="009968E0">
        <w:rPr>
          <w:rFonts w:ascii="Times New Roman" w:eastAsia="Times New Roman" w:hAnsi="Times New Roman" w:cs="Arial"/>
          <w:lang w:eastAsia="en-GB"/>
        </w:rPr>
        <w:t>.</w:t>
      </w:r>
    </w:p>
    <w:p w14:paraId="08BB4D61" w14:textId="77777777" w:rsidR="009968E0" w:rsidRPr="009968E0" w:rsidRDefault="009968E0" w:rsidP="009968E0">
      <w:pPr>
        <w:rPr>
          <w:rFonts w:ascii="Times New Roman" w:eastAsia="Times New Roman" w:hAnsi="Times New Roman" w:cs="Arial"/>
          <w:lang w:eastAsia="en-GB"/>
        </w:rPr>
      </w:pPr>
      <w:r w:rsidRPr="009968E0">
        <w:rPr>
          <w:rFonts w:ascii="Times New Roman" w:eastAsia="Times New Roman" w:hAnsi="Times New Roman" w:cs="Arial"/>
          <w:lang w:eastAsia="en-GB"/>
        </w:rPr>
        <w:t>EXECUTE</w:t>
      </w:r>
    </w:p>
    <w:p w14:paraId="149433EB" w14:textId="77777777" w:rsidR="009968E0" w:rsidRPr="009968E0" w:rsidRDefault="009968E0" w:rsidP="009968E0">
      <w:pPr>
        <w:rPr>
          <w:rFonts w:ascii="Times New Roman" w:eastAsia="Times New Roman" w:hAnsi="Times New Roman" w:cs="Arial"/>
          <w:lang w:eastAsia="en-GB"/>
        </w:rPr>
      </w:pPr>
      <w:r w:rsidRPr="009968E0">
        <w:rPr>
          <w:rFonts w:ascii="Times New Roman" w:eastAsia="Times New Roman" w:hAnsi="Times New Roman" w:cs="Arial"/>
          <w:lang w:eastAsia="en-GB"/>
        </w:rPr>
        <w:t>COMPUTE G2xlikertcentre=</w:t>
      </w:r>
      <w:proofErr w:type="spellStart"/>
      <w:r w:rsidRPr="009968E0">
        <w:rPr>
          <w:rFonts w:ascii="Times New Roman" w:eastAsia="Times New Roman" w:hAnsi="Times New Roman" w:cs="Arial"/>
          <w:lang w:eastAsia="en-GB"/>
        </w:rPr>
        <w:t>Dum_Reg_DmNN</w:t>
      </w:r>
      <w:proofErr w:type="spellEnd"/>
      <w:r w:rsidRPr="009968E0">
        <w:rPr>
          <w:rFonts w:ascii="Times New Roman" w:eastAsia="Times New Roman" w:hAnsi="Times New Roman" w:cs="Arial"/>
          <w:lang w:eastAsia="en-GB"/>
        </w:rPr>
        <w:t>*</w:t>
      </w:r>
      <w:proofErr w:type="spellStart"/>
      <w:r w:rsidRPr="009968E0">
        <w:rPr>
          <w:rFonts w:ascii="Times New Roman" w:eastAsia="Times New Roman" w:hAnsi="Times New Roman" w:cs="Arial"/>
          <w:lang w:eastAsia="en-GB"/>
        </w:rPr>
        <w:t>likert_centre</w:t>
      </w:r>
      <w:proofErr w:type="spellEnd"/>
      <w:r w:rsidRPr="009968E0">
        <w:rPr>
          <w:rFonts w:ascii="Times New Roman" w:eastAsia="Times New Roman" w:hAnsi="Times New Roman" w:cs="Arial"/>
          <w:lang w:eastAsia="en-GB"/>
        </w:rPr>
        <w:t>.</w:t>
      </w:r>
    </w:p>
    <w:p w14:paraId="14988242" w14:textId="77777777" w:rsidR="009968E0" w:rsidRPr="009968E0" w:rsidRDefault="009968E0" w:rsidP="009968E0">
      <w:pPr>
        <w:rPr>
          <w:rFonts w:ascii="Times New Roman" w:eastAsia="Times New Roman" w:hAnsi="Times New Roman" w:cs="Arial"/>
          <w:lang w:eastAsia="en-GB"/>
        </w:rPr>
      </w:pPr>
      <w:r w:rsidRPr="009968E0">
        <w:rPr>
          <w:rFonts w:ascii="Times New Roman" w:eastAsia="Times New Roman" w:hAnsi="Times New Roman" w:cs="Arial"/>
          <w:lang w:eastAsia="en-GB"/>
        </w:rPr>
        <w:t>EXECUTE</w:t>
      </w:r>
    </w:p>
    <w:p w14:paraId="39C9E72F" w14:textId="77777777" w:rsidR="009968E0" w:rsidRPr="009968E0" w:rsidRDefault="009968E0" w:rsidP="009968E0">
      <w:pPr>
        <w:rPr>
          <w:rFonts w:ascii="Times New Roman" w:eastAsia="Times New Roman" w:hAnsi="Times New Roman" w:cs="Arial"/>
          <w:lang w:eastAsia="en-GB"/>
        </w:rPr>
      </w:pPr>
      <w:r w:rsidRPr="009968E0">
        <w:rPr>
          <w:rFonts w:ascii="Times New Roman" w:eastAsia="Times New Roman" w:hAnsi="Times New Roman" w:cs="Arial"/>
          <w:lang w:eastAsia="en-GB"/>
        </w:rPr>
        <w:t>COMPUTE G3xlikertcentre=</w:t>
      </w:r>
      <w:proofErr w:type="spellStart"/>
      <w:r w:rsidRPr="009968E0">
        <w:rPr>
          <w:rFonts w:ascii="Times New Roman" w:eastAsia="Times New Roman" w:hAnsi="Times New Roman" w:cs="Arial"/>
          <w:lang w:eastAsia="en-GB"/>
        </w:rPr>
        <w:t>Dum_Reg_HV</w:t>
      </w:r>
      <w:proofErr w:type="spellEnd"/>
      <w:r w:rsidRPr="009968E0">
        <w:rPr>
          <w:rFonts w:ascii="Times New Roman" w:eastAsia="Times New Roman" w:hAnsi="Times New Roman" w:cs="Arial"/>
          <w:lang w:eastAsia="en-GB"/>
        </w:rPr>
        <w:t>*</w:t>
      </w:r>
      <w:proofErr w:type="spellStart"/>
      <w:r w:rsidRPr="009968E0">
        <w:rPr>
          <w:rFonts w:ascii="Times New Roman" w:eastAsia="Times New Roman" w:hAnsi="Times New Roman" w:cs="Arial"/>
          <w:lang w:eastAsia="en-GB"/>
        </w:rPr>
        <w:t>likert_centre</w:t>
      </w:r>
      <w:proofErr w:type="spellEnd"/>
      <w:r w:rsidRPr="009968E0">
        <w:rPr>
          <w:rFonts w:ascii="Times New Roman" w:eastAsia="Times New Roman" w:hAnsi="Times New Roman" w:cs="Arial"/>
          <w:lang w:eastAsia="en-GB"/>
        </w:rPr>
        <w:t>.</w:t>
      </w:r>
    </w:p>
    <w:p w14:paraId="11B6BB50" w14:textId="77777777" w:rsidR="009968E0" w:rsidRPr="009968E0" w:rsidRDefault="009968E0" w:rsidP="009968E0">
      <w:pPr>
        <w:rPr>
          <w:rFonts w:ascii="Times New Roman" w:eastAsia="Times New Roman" w:hAnsi="Times New Roman" w:cs="Arial"/>
          <w:lang w:eastAsia="en-GB"/>
        </w:rPr>
      </w:pPr>
      <w:r w:rsidRPr="009968E0">
        <w:rPr>
          <w:rFonts w:ascii="Times New Roman" w:eastAsia="Times New Roman" w:hAnsi="Times New Roman" w:cs="Arial"/>
          <w:lang w:eastAsia="en-GB"/>
        </w:rPr>
        <w:t>EXECUTE</w:t>
      </w:r>
    </w:p>
    <w:p w14:paraId="2A3C993F" w14:textId="77777777" w:rsidR="009968E0" w:rsidRPr="009968E0" w:rsidRDefault="009968E0" w:rsidP="009968E0">
      <w:pPr>
        <w:rPr>
          <w:rFonts w:ascii="Times New Roman" w:eastAsia="Times New Roman" w:hAnsi="Times New Roman" w:cs="Arial"/>
          <w:lang w:eastAsia="en-GB"/>
        </w:rPr>
      </w:pPr>
      <w:r w:rsidRPr="009968E0">
        <w:rPr>
          <w:rFonts w:ascii="Times New Roman" w:eastAsia="Times New Roman" w:hAnsi="Times New Roman" w:cs="Arial"/>
          <w:lang w:eastAsia="en-GB"/>
        </w:rPr>
        <w:t>REGRESSION</w:t>
      </w:r>
    </w:p>
    <w:p w14:paraId="71CFCDAA" w14:textId="77777777" w:rsidR="009968E0" w:rsidRPr="009968E0" w:rsidRDefault="009968E0" w:rsidP="009968E0">
      <w:pPr>
        <w:rPr>
          <w:rFonts w:ascii="Times New Roman" w:eastAsia="Times New Roman" w:hAnsi="Times New Roman" w:cs="Arial"/>
          <w:lang w:eastAsia="en-GB"/>
        </w:rPr>
      </w:pPr>
      <w:r w:rsidRPr="009968E0">
        <w:rPr>
          <w:rFonts w:ascii="Times New Roman" w:eastAsia="Times New Roman" w:hAnsi="Times New Roman" w:cs="Arial"/>
          <w:lang w:eastAsia="en-GB"/>
        </w:rPr>
        <w:tab/>
        <w:t>/DESCRIPTIVES MEAN STDDEV CORR SIG N</w:t>
      </w:r>
    </w:p>
    <w:p w14:paraId="4C11F369" w14:textId="77777777" w:rsidR="009968E0" w:rsidRPr="009968E0" w:rsidRDefault="009968E0" w:rsidP="009968E0">
      <w:pPr>
        <w:rPr>
          <w:rFonts w:ascii="Times New Roman" w:eastAsia="Times New Roman" w:hAnsi="Times New Roman" w:cs="Arial"/>
          <w:lang w:eastAsia="en-GB"/>
        </w:rPr>
      </w:pPr>
      <w:r w:rsidRPr="009968E0">
        <w:rPr>
          <w:rFonts w:ascii="Times New Roman" w:eastAsia="Times New Roman" w:hAnsi="Times New Roman" w:cs="Arial"/>
          <w:lang w:eastAsia="en-GB"/>
        </w:rPr>
        <w:tab/>
        <w:t>/MISSING LISTWISE</w:t>
      </w:r>
    </w:p>
    <w:p w14:paraId="67B3D856" w14:textId="77777777" w:rsidR="009968E0" w:rsidRPr="009968E0" w:rsidRDefault="009968E0" w:rsidP="009968E0">
      <w:pPr>
        <w:rPr>
          <w:rFonts w:ascii="Times New Roman" w:eastAsia="Times New Roman" w:hAnsi="Times New Roman" w:cs="Arial"/>
          <w:lang w:eastAsia="en-GB"/>
        </w:rPr>
      </w:pPr>
      <w:r w:rsidRPr="009968E0">
        <w:rPr>
          <w:rFonts w:ascii="Times New Roman" w:eastAsia="Times New Roman" w:hAnsi="Times New Roman" w:cs="Arial"/>
          <w:lang w:eastAsia="en-GB"/>
        </w:rPr>
        <w:tab/>
        <w:t>/STATISTICS COEFF OUTS CHANGE</w:t>
      </w:r>
    </w:p>
    <w:p w14:paraId="797F493C" w14:textId="77777777" w:rsidR="009968E0" w:rsidRPr="009968E0" w:rsidRDefault="009968E0" w:rsidP="009968E0">
      <w:pPr>
        <w:rPr>
          <w:rFonts w:ascii="Times New Roman" w:eastAsia="Times New Roman" w:hAnsi="Times New Roman" w:cs="Arial"/>
          <w:lang w:eastAsia="en-GB"/>
        </w:rPr>
      </w:pPr>
      <w:r w:rsidRPr="009968E0">
        <w:rPr>
          <w:rFonts w:ascii="Times New Roman" w:eastAsia="Times New Roman" w:hAnsi="Times New Roman" w:cs="Arial"/>
          <w:lang w:eastAsia="en-GB"/>
        </w:rPr>
        <w:tab/>
        <w:t>/CRITERIA-PIN(.05) POUT(.10)</w:t>
      </w:r>
    </w:p>
    <w:p w14:paraId="23297584" w14:textId="77777777" w:rsidR="009968E0" w:rsidRPr="009968E0" w:rsidRDefault="009968E0" w:rsidP="009968E0">
      <w:pPr>
        <w:rPr>
          <w:rFonts w:ascii="Times New Roman" w:eastAsia="Times New Roman" w:hAnsi="Times New Roman" w:cs="Arial"/>
          <w:lang w:eastAsia="en-GB"/>
        </w:rPr>
      </w:pPr>
      <w:r w:rsidRPr="009968E0">
        <w:rPr>
          <w:rFonts w:ascii="Times New Roman" w:eastAsia="Times New Roman" w:hAnsi="Times New Roman" w:cs="Arial"/>
          <w:lang w:eastAsia="en-GB"/>
        </w:rPr>
        <w:tab/>
        <w:t>/NOORIGIN</w:t>
      </w:r>
    </w:p>
    <w:p w14:paraId="088E0007" w14:textId="32AAB403" w:rsidR="009968E0" w:rsidRPr="009968E0" w:rsidRDefault="009968E0" w:rsidP="009968E0">
      <w:pPr>
        <w:rPr>
          <w:rFonts w:ascii="Times New Roman" w:eastAsia="Times New Roman" w:hAnsi="Times New Roman" w:cs="Arial"/>
          <w:lang w:eastAsia="en-GB"/>
        </w:rPr>
      </w:pPr>
      <w:r w:rsidRPr="009968E0">
        <w:rPr>
          <w:rFonts w:ascii="Times New Roman" w:eastAsia="Times New Roman" w:hAnsi="Times New Roman" w:cs="Arial"/>
          <w:lang w:eastAsia="en-GB"/>
        </w:rPr>
        <w:tab/>
        <w:t xml:space="preserve">/DEPENDENT </w:t>
      </w:r>
      <w:proofErr w:type="spellStart"/>
      <w:r w:rsidRPr="009968E0">
        <w:rPr>
          <w:rFonts w:ascii="Times New Roman" w:eastAsia="Times New Roman" w:hAnsi="Times New Roman" w:cs="Arial"/>
          <w:lang w:eastAsia="en-GB"/>
        </w:rPr>
        <w:t>change_TTP_</w:t>
      </w:r>
      <w:r w:rsidR="0068219A">
        <w:rPr>
          <w:rFonts w:ascii="Times New Roman" w:eastAsia="Times New Roman" w:hAnsi="Times New Roman" w:cs="Arial"/>
          <w:lang w:eastAsia="en-GB"/>
        </w:rPr>
        <w:t>RPSC</w:t>
      </w:r>
      <w:proofErr w:type="spellEnd"/>
    </w:p>
    <w:p w14:paraId="4AA3D36D" w14:textId="77777777" w:rsidR="009968E0" w:rsidRPr="009968E0" w:rsidRDefault="009968E0" w:rsidP="009968E0">
      <w:pPr>
        <w:rPr>
          <w:rFonts w:ascii="Times New Roman" w:eastAsia="Times New Roman" w:hAnsi="Times New Roman" w:cs="Arial"/>
          <w:lang w:eastAsia="en-GB"/>
        </w:rPr>
      </w:pPr>
      <w:r w:rsidRPr="009968E0">
        <w:rPr>
          <w:rFonts w:ascii="Times New Roman" w:eastAsia="Times New Roman" w:hAnsi="Times New Roman" w:cs="Arial"/>
          <w:lang w:eastAsia="en-GB"/>
        </w:rPr>
        <w:tab/>
        <w:t xml:space="preserve">/METHOD=ENTER </w:t>
      </w:r>
      <w:proofErr w:type="spellStart"/>
      <w:r w:rsidRPr="009968E0">
        <w:rPr>
          <w:rFonts w:ascii="Times New Roman" w:eastAsia="Times New Roman" w:hAnsi="Times New Roman" w:cs="Arial"/>
          <w:lang w:eastAsia="en-GB"/>
        </w:rPr>
        <w:t>likert_centre</w:t>
      </w:r>
      <w:proofErr w:type="spellEnd"/>
    </w:p>
    <w:p w14:paraId="09F2CFFF" w14:textId="77777777" w:rsidR="009968E0" w:rsidRPr="009968E0" w:rsidRDefault="009968E0" w:rsidP="009968E0">
      <w:pPr>
        <w:rPr>
          <w:rFonts w:ascii="Times New Roman" w:eastAsia="Times New Roman" w:hAnsi="Times New Roman" w:cs="Arial"/>
          <w:lang w:eastAsia="en-GB"/>
        </w:rPr>
      </w:pPr>
      <w:r w:rsidRPr="009968E0">
        <w:rPr>
          <w:rFonts w:ascii="Times New Roman" w:eastAsia="Times New Roman" w:hAnsi="Times New Roman" w:cs="Arial"/>
          <w:lang w:eastAsia="en-GB"/>
        </w:rPr>
        <w:tab/>
        <w:t>/METHOD=TEST (</w:t>
      </w:r>
      <w:proofErr w:type="spellStart"/>
      <w:r w:rsidRPr="009968E0">
        <w:rPr>
          <w:rFonts w:ascii="Times New Roman" w:eastAsia="Times New Roman" w:hAnsi="Times New Roman" w:cs="Arial"/>
          <w:lang w:eastAsia="en-GB"/>
        </w:rPr>
        <w:t>likert_centre</w:t>
      </w:r>
      <w:proofErr w:type="spellEnd"/>
      <w:r w:rsidRPr="009968E0">
        <w:rPr>
          <w:rFonts w:ascii="Times New Roman" w:eastAsia="Times New Roman" w:hAnsi="Times New Roman" w:cs="Arial"/>
          <w:lang w:eastAsia="en-GB"/>
        </w:rPr>
        <w:t>) (</w:t>
      </w:r>
      <w:proofErr w:type="spellStart"/>
      <w:r w:rsidRPr="009968E0">
        <w:rPr>
          <w:rFonts w:ascii="Times New Roman" w:eastAsia="Times New Roman" w:hAnsi="Times New Roman" w:cs="Arial"/>
          <w:lang w:eastAsia="en-GB"/>
        </w:rPr>
        <w:t>Dum_Reg_DPN</w:t>
      </w:r>
      <w:proofErr w:type="spellEnd"/>
      <w:r w:rsidRPr="009968E0">
        <w:rPr>
          <w:rFonts w:ascii="Times New Roman" w:eastAsia="Times New Roman" w:hAnsi="Times New Roman" w:cs="Arial"/>
          <w:lang w:eastAsia="en-GB"/>
        </w:rPr>
        <w:t xml:space="preserve"> </w:t>
      </w:r>
      <w:proofErr w:type="spellStart"/>
      <w:r w:rsidRPr="009968E0">
        <w:rPr>
          <w:rFonts w:ascii="Times New Roman" w:eastAsia="Times New Roman" w:hAnsi="Times New Roman" w:cs="Arial"/>
          <w:lang w:eastAsia="en-GB"/>
        </w:rPr>
        <w:t>Dum_Reg_DMNN</w:t>
      </w:r>
      <w:proofErr w:type="spellEnd"/>
      <w:r w:rsidRPr="009968E0">
        <w:rPr>
          <w:rFonts w:ascii="Times New Roman" w:eastAsia="Times New Roman" w:hAnsi="Times New Roman" w:cs="Arial"/>
          <w:lang w:eastAsia="en-GB"/>
        </w:rPr>
        <w:t xml:space="preserve"> </w:t>
      </w:r>
      <w:proofErr w:type="spellStart"/>
      <w:r w:rsidRPr="009968E0">
        <w:rPr>
          <w:rFonts w:ascii="Times New Roman" w:eastAsia="Times New Roman" w:hAnsi="Times New Roman" w:cs="Arial"/>
          <w:lang w:eastAsia="en-GB"/>
        </w:rPr>
        <w:t>Dum_Reg_HV</w:t>
      </w:r>
      <w:proofErr w:type="spellEnd"/>
      <w:r w:rsidRPr="009968E0">
        <w:rPr>
          <w:rFonts w:ascii="Times New Roman" w:eastAsia="Times New Roman" w:hAnsi="Times New Roman" w:cs="Arial"/>
          <w:lang w:eastAsia="en-GB"/>
        </w:rPr>
        <w:t>) (G1xlikertcent G2xlikertcent G3xlikertcent)</w:t>
      </w:r>
    </w:p>
    <w:p w14:paraId="4322237B" w14:textId="77777777" w:rsidR="009968E0" w:rsidRPr="009968E0" w:rsidRDefault="009968E0" w:rsidP="009968E0">
      <w:pPr>
        <w:rPr>
          <w:rFonts w:ascii="Times New Roman" w:eastAsia="Times New Roman" w:hAnsi="Times New Roman" w:cs="Arial"/>
          <w:lang w:eastAsia="en-GB"/>
        </w:rPr>
      </w:pPr>
    </w:p>
    <w:p w14:paraId="0FB80838" w14:textId="1B7E60D7" w:rsidR="009968E0" w:rsidRPr="009968E0" w:rsidRDefault="009968E0" w:rsidP="009968E0">
      <w:pPr>
        <w:rPr>
          <w:rFonts w:ascii="Times New Roman" w:eastAsia="Times New Roman" w:hAnsi="Times New Roman" w:cs="Arial"/>
          <w:lang w:eastAsia="en-GB"/>
        </w:rPr>
      </w:pPr>
      <w:r w:rsidRPr="009968E0">
        <w:rPr>
          <w:rFonts w:ascii="Times New Roman" w:eastAsia="Times New Roman" w:hAnsi="Times New Roman" w:cs="Arial"/>
          <w:lang w:eastAsia="en-GB"/>
        </w:rPr>
        <w:t xml:space="preserve">This syntax allows a centred distribution for the interaction variable- in this case Likert pain perception by group which will reduce multicollinearity due to interaction effects.  Then a comparison of slope and intercept for significance by group.  </w:t>
      </w:r>
      <w:r w:rsidRPr="009968E0">
        <w:rPr>
          <w:rFonts w:ascii="Times New Roman" w:eastAsia="Times New Roman" w:hAnsi="Times New Roman" w:cs="Arial"/>
          <w:lang w:eastAsia="en-GB"/>
        </w:rPr>
        <w:tab/>
      </w:r>
    </w:p>
    <w:p w14:paraId="3FD41667" w14:textId="658B3DA7" w:rsidR="00840F20" w:rsidRDefault="00840F20">
      <w:pPr>
        <w:rPr>
          <w:rFonts w:ascii="Times New Roman" w:eastAsia="Times New Roman" w:hAnsi="Times New Roman" w:cs="Arial"/>
          <w:lang w:eastAsia="en-GB"/>
        </w:rPr>
      </w:pPr>
      <w:r>
        <w:rPr>
          <w:rFonts w:ascii="Times New Roman" w:eastAsia="Times New Roman" w:hAnsi="Times New Roman" w:cs="Arial"/>
          <w:lang w:eastAsia="en-GB"/>
        </w:rPr>
        <w:br w:type="page"/>
      </w:r>
    </w:p>
    <w:p w14:paraId="45D403B1" w14:textId="27C7E7DD" w:rsidR="00840F20" w:rsidRDefault="00840F20" w:rsidP="0031237D">
      <w:pPr>
        <w:pStyle w:val="Heading1"/>
      </w:pPr>
      <w:bookmarkStart w:id="799" w:name="_Toc64723986"/>
      <w:r>
        <w:lastRenderedPageBreak/>
        <w:t>Bibliography</w:t>
      </w:r>
      <w:bookmarkEnd w:id="799"/>
    </w:p>
    <w:p w14:paraId="2CB9A7DD" w14:textId="77777777" w:rsidR="00D06F2D" w:rsidRPr="00D06F2D" w:rsidRDefault="009968E0" w:rsidP="00D06F2D">
      <w:pPr>
        <w:pStyle w:val="EndNoteBibliography"/>
        <w:ind w:left="720" w:hanging="720"/>
        <w:rPr>
          <w:noProof/>
        </w:rPr>
      </w:pPr>
      <w:r>
        <w:fldChar w:fldCharType="begin"/>
      </w:r>
      <w:r>
        <w:instrText xml:space="preserve"> ADDIN EN.REFLIST </w:instrText>
      </w:r>
      <w:r>
        <w:fldChar w:fldCharType="separate"/>
      </w:r>
      <w:r w:rsidR="00D06F2D" w:rsidRPr="00D06F2D">
        <w:rPr>
          <w:noProof/>
        </w:rPr>
        <w:t xml:space="preserve">ABBOTT, C. A., CARRINGTON, A. L., ASHE, H., BATH, S., EVERY, L. C., GRIFFITHS, J., HANN, A. W., HUSSEIN, A., JACKSON, N., JOHNSON, K. E., RYDER, C. H., TORKINGTON, R., VAN ROSS, E. R., WHALLEY, A. M., WIDDOWS, P., WILLIAMSON, S., BOULTON, A. J. &amp; STUDY, N.-W. D. F. C. 2002. The North-West Diabetes Foot Care Study: incidence of, and risk factors for, new diabetic foot ulceration in a community-based patient cohort. </w:t>
      </w:r>
      <w:r w:rsidR="00D06F2D" w:rsidRPr="00D06F2D">
        <w:rPr>
          <w:i/>
          <w:noProof/>
        </w:rPr>
        <w:t>Diabet Med,</w:t>
      </w:r>
      <w:r w:rsidR="00D06F2D" w:rsidRPr="00D06F2D">
        <w:rPr>
          <w:noProof/>
        </w:rPr>
        <w:t xml:space="preserve"> 19</w:t>
      </w:r>
      <w:r w:rsidR="00D06F2D" w:rsidRPr="00D06F2D">
        <w:rPr>
          <w:b/>
          <w:noProof/>
        </w:rPr>
        <w:t>,</w:t>
      </w:r>
      <w:r w:rsidR="00D06F2D" w:rsidRPr="00D06F2D">
        <w:rPr>
          <w:noProof/>
        </w:rPr>
        <w:t xml:space="preserve"> 377-84.</w:t>
      </w:r>
    </w:p>
    <w:p w14:paraId="79C1D4C3" w14:textId="77777777" w:rsidR="00D06F2D" w:rsidRPr="00D06F2D" w:rsidRDefault="00D06F2D" w:rsidP="00D06F2D">
      <w:pPr>
        <w:pStyle w:val="EndNoteBibliography"/>
        <w:ind w:left="720" w:hanging="720"/>
        <w:rPr>
          <w:noProof/>
        </w:rPr>
      </w:pPr>
      <w:r w:rsidRPr="00D06F2D">
        <w:rPr>
          <w:noProof/>
        </w:rPr>
        <w:t xml:space="preserve">ABBOTT, C. A., MALIK, R. A., VAN ROSS, E. R., KULKARNI, J. &amp; BOULTON, A. J. 2011. Prevalence and characteristics of painful diabetic neuropathy in a large community-based diabetic population in the U.K. </w:t>
      </w:r>
      <w:r w:rsidRPr="00D06F2D">
        <w:rPr>
          <w:i/>
          <w:noProof/>
        </w:rPr>
        <w:t>Diabetes Care,</w:t>
      </w:r>
      <w:r w:rsidRPr="00D06F2D">
        <w:rPr>
          <w:noProof/>
        </w:rPr>
        <w:t xml:space="preserve"> 34</w:t>
      </w:r>
      <w:r w:rsidRPr="00D06F2D">
        <w:rPr>
          <w:b/>
          <w:noProof/>
        </w:rPr>
        <w:t>,</w:t>
      </w:r>
      <w:r w:rsidRPr="00D06F2D">
        <w:rPr>
          <w:noProof/>
        </w:rPr>
        <w:t xml:space="preserve"> 2220-4.</w:t>
      </w:r>
    </w:p>
    <w:p w14:paraId="267B3F2B" w14:textId="77777777" w:rsidR="00D06F2D" w:rsidRPr="00D06F2D" w:rsidRDefault="00D06F2D" w:rsidP="00D06F2D">
      <w:pPr>
        <w:pStyle w:val="EndNoteBibliography"/>
        <w:ind w:left="720" w:hanging="720"/>
        <w:rPr>
          <w:noProof/>
        </w:rPr>
      </w:pPr>
      <w:r w:rsidRPr="00D06F2D">
        <w:rPr>
          <w:noProof/>
        </w:rPr>
        <w:t xml:space="preserve">ABBOTT, C. A., VILEIKYTE, L., WILLIAMSON, S., CARRINGTON, A. L. &amp; BOULTON, A. J. M. 1998. Multicenter study of the incidence of and predictive risk factors for diabetic neuropathic foot ulceration. </w:t>
      </w:r>
      <w:r w:rsidRPr="00D06F2D">
        <w:rPr>
          <w:i/>
          <w:noProof/>
        </w:rPr>
        <w:t>Diabetes Care,</w:t>
      </w:r>
      <w:r w:rsidRPr="00D06F2D">
        <w:rPr>
          <w:noProof/>
        </w:rPr>
        <w:t xml:space="preserve"> 21</w:t>
      </w:r>
      <w:r w:rsidRPr="00D06F2D">
        <w:rPr>
          <w:b/>
          <w:noProof/>
        </w:rPr>
        <w:t>,</w:t>
      </w:r>
      <w:r w:rsidRPr="00D06F2D">
        <w:rPr>
          <w:noProof/>
        </w:rPr>
        <w:t xml:space="preserve"> 1071-1075.</w:t>
      </w:r>
    </w:p>
    <w:p w14:paraId="648D5D65" w14:textId="77777777" w:rsidR="00D06F2D" w:rsidRPr="00D06F2D" w:rsidRDefault="00D06F2D" w:rsidP="00D06F2D">
      <w:pPr>
        <w:pStyle w:val="EndNoteBibliography"/>
        <w:ind w:left="720" w:hanging="720"/>
        <w:rPr>
          <w:noProof/>
        </w:rPr>
      </w:pPr>
      <w:r w:rsidRPr="00D06F2D">
        <w:rPr>
          <w:noProof/>
        </w:rPr>
        <w:t xml:space="preserve">ADLER, A. I., BOYKO, E. J., AHRONI, J. H. &amp; SMITH, D. G. 1999. Lower-extremity amputation in diabetes - The independent effects of peripheral vascular disease, sensory neuropathy, and foot ulcers. </w:t>
      </w:r>
      <w:r w:rsidRPr="00D06F2D">
        <w:rPr>
          <w:i/>
          <w:noProof/>
        </w:rPr>
        <w:t>Diabetes Care,</w:t>
      </w:r>
      <w:r w:rsidRPr="00D06F2D">
        <w:rPr>
          <w:noProof/>
        </w:rPr>
        <w:t xml:space="preserve"> 22.</w:t>
      </w:r>
    </w:p>
    <w:p w14:paraId="4F523B78" w14:textId="77777777" w:rsidR="00D06F2D" w:rsidRPr="00D06F2D" w:rsidRDefault="00D06F2D" w:rsidP="00D06F2D">
      <w:pPr>
        <w:pStyle w:val="EndNoteBibliography"/>
        <w:ind w:left="720" w:hanging="720"/>
        <w:rPr>
          <w:noProof/>
        </w:rPr>
      </w:pPr>
      <w:r w:rsidRPr="00D06F2D">
        <w:rPr>
          <w:noProof/>
        </w:rPr>
        <w:t xml:space="preserve">AGUIRRE, G. K., DETRE, J. A., ZARAHN, E. &amp; ALSOP, D. C. 2002. Experimental design and the relative sensitivity of BOLD and perfusion fMRI. </w:t>
      </w:r>
      <w:r w:rsidRPr="00D06F2D">
        <w:rPr>
          <w:i/>
          <w:noProof/>
        </w:rPr>
        <w:t>Neuroimage,</w:t>
      </w:r>
      <w:r w:rsidRPr="00D06F2D">
        <w:rPr>
          <w:noProof/>
        </w:rPr>
        <w:t xml:space="preserve"> 15.</w:t>
      </w:r>
    </w:p>
    <w:p w14:paraId="48363179" w14:textId="77777777" w:rsidR="00D06F2D" w:rsidRPr="00D06F2D" w:rsidRDefault="00D06F2D" w:rsidP="00D06F2D">
      <w:pPr>
        <w:pStyle w:val="EndNoteBibliography"/>
        <w:ind w:left="720" w:hanging="720"/>
        <w:rPr>
          <w:noProof/>
        </w:rPr>
      </w:pPr>
      <w:r w:rsidRPr="00D06F2D">
        <w:rPr>
          <w:noProof/>
        </w:rPr>
        <w:t xml:space="preserve">ALARCON-MARTINEZ, L., YILMAZ-OZCAN, S., YEMISCI, M., SCHALLEK, J., KILIC, K., VILLAFRANCA-BAUGHMAN, D., CAN, A., DI POLO, A. &amp; DALKARA, T. 2019. Retinal ischemia induces alpha-SMA-mediated capillary pericyte contraction coincident with perivascular glycogen depletion. </w:t>
      </w:r>
      <w:r w:rsidRPr="00D06F2D">
        <w:rPr>
          <w:i/>
          <w:noProof/>
        </w:rPr>
        <w:t>Acta Neuropathol. Commun.,</w:t>
      </w:r>
      <w:r w:rsidRPr="00D06F2D">
        <w:rPr>
          <w:noProof/>
        </w:rPr>
        <w:t xml:space="preserve"> 7.</w:t>
      </w:r>
    </w:p>
    <w:p w14:paraId="533CC236" w14:textId="77777777" w:rsidR="00D06F2D" w:rsidRPr="00D06F2D" w:rsidRDefault="00D06F2D" w:rsidP="00D06F2D">
      <w:pPr>
        <w:pStyle w:val="EndNoteBibliography"/>
        <w:ind w:left="720" w:hanging="720"/>
        <w:rPr>
          <w:noProof/>
        </w:rPr>
      </w:pPr>
      <w:r w:rsidRPr="00D06F2D">
        <w:rPr>
          <w:noProof/>
        </w:rPr>
        <w:t>ALKHIMOVA, S. 2019. CUSUM Filter for Brain Segmentation on DSC Perfusion MR Head Scans with Abnormal Brain Anatomy.</w:t>
      </w:r>
    </w:p>
    <w:p w14:paraId="1A14928E" w14:textId="77777777" w:rsidR="00D06F2D" w:rsidRPr="00D06F2D" w:rsidRDefault="00D06F2D" w:rsidP="00D06F2D">
      <w:pPr>
        <w:pStyle w:val="EndNoteBibliography"/>
        <w:ind w:left="720" w:hanging="720"/>
        <w:rPr>
          <w:noProof/>
        </w:rPr>
      </w:pPr>
      <w:r w:rsidRPr="00D06F2D">
        <w:rPr>
          <w:noProof/>
        </w:rPr>
        <w:t xml:space="preserve">ALLAMAN, I., BÉLANGER, M. &amp; MAGISTRETTI, P. J. 2015. Methylglyoxal, the dark side of glycolysis. </w:t>
      </w:r>
      <w:r w:rsidRPr="00D06F2D">
        <w:rPr>
          <w:i/>
          <w:noProof/>
        </w:rPr>
        <w:t>Frontiers in neuroscience,</w:t>
      </w:r>
      <w:r w:rsidRPr="00D06F2D">
        <w:rPr>
          <w:noProof/>
        </w:rPr>
        <w:t xml:space="preserve"> 9</w:t>
      </w:r>
      <w:r w:rsidRPr="00D06F2D">
        <w:rPr>
          <w:b/>
          <w:noProof/>
        </w:rPr>
        <w:t>,</w:t>
      </w:r>
      <w:r w:rsidRPr="00D06F2D">
        <w:rPr>
          <w:noProof/>
        </w:rPr>
        <w:t xml:space="preserve"> 23-23.</w:t>
      </w:r>
    </w:p>
    <w:p w14:paraId="15DCD29A" w14:textId="77777777" w:rsidR="00D06F2D" w:rsidRPr="00D06F2D" w:rsidRDefault="00D06F2D" w:rsidP="00D06F2D">
      <w:pPr>
        <w:pStyle w:val="EndNoteBibliography"/>
        <w:ind w:left="720" w:hanging="720"/>
        <w:rPr>
          <w:noProof/>
        </w:rPr>
      </w:pPr>
      <w:r w:rsidRPr="00D06F2D">
        <w:rPr>
          <w:noProof/>
        </w:rPr>
        <w:t xml:space="preserve">ALLEN, R. D. M., ALHARBI, I. S., MORRIS, J. G. L., CLOUSTON, P. D., OCONNELL, P. J., CHAPMAN, J. R. &amp; NANKIVELL, B. J. 1997. Diabetic neuropathy after pancreas transplantation: Determinants of recovery. </w:t>
      </w:r>
      <w:r w:rsidRPr="00D06F2D">
        <w:rPr>
          <w:i/>
          <w:noProof/>
        </w:rPr>
        <w:t>Transplantation,</w:t>
      </w:r>
      <w:r w:rsidRPr="00D06F2D">
        <w:rPr>
          <w:noProof/>
        </w:rPr>
        <w:t xml:space="preserve"> 63</w:t>
      </w:r>
      <w:r w:rsidRPr="00D06F2D">
        <w:rPr>
          <w:b/>
          <w:noProof/>
        </w:rPr>
        <w:t>,</w:t>
      </w:r>
      <w:r w:rsidRPr="00D06F2D">
        <w:rPr>
          <w:noProof/>
        </w:rPr>
        <w:t xml:space="preserve"> 830-838.</w:t>
      </w:r>
    </w:p>
    <w:p w14:paraId="270CB298" w14:textId="77777777" w:rsidR="00D06F2D" w:rsidRPr="00D06F2D" w:rsidRDefault="00D06F2D" w:rsidP="00D06F2D">
      <w:pPr>
        <w:pStyle w:val="EndNoteBibliography"/>
        <w:ind w:left="720" w:hanging="720"/>
        <w:rPr>
          <w:noProof/>
        </w:rPr>
      </w:pPr>
      <w:r w:rsidRPr="00D06F2D">
        <w:rPr>
          <w:noProof/>
        </w:rPr>
        <w:t xml:space="preserve">ANAND, P. &amp; BLEY, K. 2011. Topical capsaicin for pain management: therapeutic potential and mechanisms of action of the new high-concentration capsaicin 8% patch. </w:t>
      </w:r>
      <w:r w:rsidRPr="00D06F2D">
        <w:rPr>
          <w:i/>
          <w:noProof/>
        </w:rPr>
        <w:t>British Journal of Anaesthesia,</w:t>
      </w:r>
      <w:r w:rsidRPr="00D06F2D">
        <w:rPr>
          <w:noProof/>
        </w:rPr>
        <w:t xml:space="preserve"> 107</w:t>
      </w:r>
      <w:r w:rsidRPr="00D06F2D">
        <w:rPr>
          <w:b/>
          <w:noProof/>
        </w:rPr>
        <w:t>,</w:t>
      </w:r>
      <w:r w:rsidRPr="00D06F2D">
        <w:rPr>
          <w:noProof/>
        </w:rPr>
        <w:t xml:space="preserve"> 490-502.</w:t>
      </w:r>
    </w:p>
    <w:p w14:paraId="21C363B7" w14:textId="77777777" w:rsidR="00D06F2D" w:rsidRPr="00D06F2D" w:rsidRDefault="00D06F2D" w:rsidP="00D06F2D">
      <w:pPr>
        <w:pStyle w:val="EndNoteBibliography"/>
        <w:ind w:left="720" w:hanging="720"/>
        <w:rPr>
          <w:noProof/>
        </w:rPr>
      </w:pPr>
      <w:r w:rsidRPr="00D06F2D">
        <w:rPr>
          <w:noProof/>
        </w:rPr>
        <w:t xml:space="preserve">APKARIAN, A. V. 1995. FUNCTIONAL IMAGING OF PAIN - NEW INSIGHTS REGARDING THE ROLE OF THE CEREBRAL-CORTEX IN HUMAN PAIN PERCEPTION. </w:t>
      </w:r>
      <w:r w:rsidRPr="00D06F2D">
        <w:rPr>
          <w:i/>
          <w:noProof/>
        </w:rPr>
        <w:t>Seminars in the Neurosciences,</w:t>
      </w:r>
      <w:r w:rsidRPr="00D06F2D">
        <w:rPr>
          <w:noProof/>
        </w:rPr>
        <w:t xml:space="preserve"> 7</w:t>
      </w:r>
      <w:r w:rsidRPr="00D06F2D">
        <w:rPr>
          <w:b/>
          <w:noProof/>
        </w:rPr>
        <w:t>,</w:t>
      </w:r>
      <w:r w:rsidRPr="00D06F2D">
        <w:rPr>
          <w:noProof/>
        </w:rPr>
        <w:t xml:space="preserve"> 279-293.</w:t>
      </w:r>
    </w:p>
    <w:p w14:paraId="77226895" w14:textId="77777777" w:rsidR="00D06F2D" w:rsidRPr="00D06F2D" w:rsidRDefault="00D06F2D" w:rsidP="00D06F2D">
      <w:pPr>
        <w:pStyle w:val="EndNoteBibliography"/>
        <w:ind w:left="720" w:hanging="720"/>
        <w:rPr>
          <w:noProof/>
        </w:rPr>
      </w:pPr>
      <w:r w:rsidRPr="00D06F2D">
        <w:rPr>
          <w:noProof/>
        </w:rPr>
        <w:t xml:space="preserve">ARGOFF, C. E., COLE, B. E., FISHBAIN, D. A. &amp; IRVING, G. A. 2006. Diabetic peripheral neuropathic pain: Clinical and quality-of-life issues. </w:t>
      </w:r>
      <w:r w:rsidRPr="00D06F2D">
        <w:rPr>
          <w:i/>
          <w:noProof/>
        </w:rPr>
        <w:t>Mayo Clinic Proceedings,</w:t>
      </w:r>
      <w:r w:rsidRPr="00D06F2D">
        <w:rPr>
          <w:noProof/>
        </w:rPr>
        <w:t xml:space="preserve"> 81.</w:t>
      </w:r>
    </w:p>
    <w:p w14:paraId="2E002D17" w14:textId="77777777" w:rsidR="00D06F2D" w:rsidRPr="00D06F2D" w:rsidRDefault="00D06F2D" w:rsidP="00D06F2D">
      <w:pPr>
        <w:pStyle w:val="EndNoteBibliography"/>
        <w:ind w:left="720" w:hanging="720"/>
        <w:rPr>
          <w:noProof/>
        </w:rPr>
      </w:pPr>
      <w:r w:rsidRPr="00D06F2D">
        <w:rPr>
          <w:noProof/>
        </w:rPr>
        <w:t xml:space="preserve">ARMITAGE, P. A., SKIPPER, N., CONNOLLY, D. J. A. &amp; GRIFFITHS, P. D. 2017. A qualitative comparison of arterial spin labelling and dynamic susceptibility contrast MRI in 52 children with a range of neurological conditions. </w:t>
      </w:r>
      <w:r w:rsidRPr="00D06F2D">
        <w:rPr>
          <w:i/>
          <w:noProof/>
        </w:rPr>
        <w:t>The British journal of radiology</w:t>
      </w:r>
      <w:r w:rsidRPr="00D06F2D">
        <w:rPr>
          <w:b/>
          <w:noProof/>
        </w:rPr>
        <w:t>,</w:t>
      </w:r>
      <w:r w:rsidRPr="00D06F2D">
        <w:rPr>
          <w:noProof/>
        </w:rPr>
        <w:t xml:space="preserve"> 20160495-20160495.</w:t>
      </w:r>
    </w:p>
    <w:p w14:paraId="2B28FD6B" w14:textId="77777777" w:rsidR="00D06F2D" w:rsidRPr="00D06F2D" w:rsidRDefault="00D06F2D" w:rsidP="00D06F2D">
      <w:pPr>
        <w:pStyle w:val="EndNoteBibliography"/>
        <w:ind w:left="720" w:hanging="720"/>
        <w:rPr>
          <w:noProof/>
        </w:rPr>
      </w:pPr>
      <w:r w:rsidRPr="00D06F2D">
        <w:rPr>
          <w:noProof/>
        </w:rPr>
        <w:t xml:space="preserve">ARMULIK, A., ABRAMSSON, A. &amp; BETSHOLTZ, C. 2005. Endothelial/pericyte interactions. </w:t>
      </w:r>
      <w:r w:rsidRPr="00D06F2D">
        <w:rPr>
          <w:i/>
          <w:noProof/>
        </w:rPr>
        <w:t>Circulation Research,</w:t>
      </w:r>
      <w:r w:rsidRPr="00D06F2D">
        <w:rPr>
          <w:noProof/>
        </w:rPr>
        <w:t xml:space="preserve"> 97</w:t>
      </w:r>
      <w:r w:rsidRPr="00D06F2D">
        <w:rPr>
          <w:b/>
          <w:noProof/>
        </w:rPr>
        <w:t>,</w:t>
      </w:r>
      <w:r w:rsidRPr="00D06F2D">
        <w:rPr>
          <w:noProof/>
        </w:rPr>
        <w:t xml:space="preserve"> 512-523.</w:t>
      </w:r>
    </w:p>
    <w:p w14:paraId="2AE65DF9" w14:textId="77777777" w:rsidR="00D06F2D" w:rsidRPr="00D06F2D" w:rsidRDefault="00D06F2D" w:rsidP="00D06F2D">
      <w:pPr>
        <w:pStyle w:val="EndNoteBibliography"/>
        <w:ind w:left="720" w:hanging="720"/>
        <w:rPr>
          <w:noProof/>
        </w:rPr>
      </w:pPr>
      <w:r w:rsidRPr="00D06F2D">
        <w:rPr>
          <w:noProof/>
        </w:rPr>
        <w:lastRenderedPageBreak/>
        <w:t xml:space="preserve">ASLAN, S., XU, F., WANG, P. L., UH, J., YEZHUVATH, U. S., VAN OSCH, M. &amp; LU, H. 2010. Estimation of Labeling Efficiency in Pseudocontinuous Arterial Spin Labeling. </w:t>
      </w:r>
      <w:r w:rsidRPr="00D06F2D">
        <w:rPr>
          <w:i/>
          <w:noProof/>
        </w:rPr>
        <w:t>Magnetic Resonance in Medicine,</w:t>
      </w:r>
      <w:r w:rsidRPr="00D06F2D">
        <w:rPr>
          <w:noProof/>
        </w:rPr>
        <w:t xml:space="preserve"> 63</w:t>
      </w:r>
      <w:r w:rsidRPr="00D06F2D">
        <w:rPr>
          <w:b/>
          <w:noProof/>
        </w:rPr>
        <w:t>,</w:t>
      </w:r>
      <w:r w:rsidRPr="00D06F2D">
        <w:rPr>
          <w:noProof/>
        </w:rPr>
        <w:t xml:space="preserve"> 765-771.</w:t>
      </w:r>
    </w:p>
    <w:p w14:paraId="2155E081" w14:textId="77777777" w:rsidR="00D06F2D" w:rsidRPr="00D06F2D" w:rsidRDefault="00D06F2D" w:rsidP="00D06F2D">
      <w:pPr>
        <w:pStyle w:val="EndNoteBibliography"/>
        <w:ind w:left="720" w:hanging="720"/>
        <w:rPr>
          <w:noProof/>
        </w:rPr>
      </w:pPr>
      <w:r w:rsidRPr="00D06F2D">
        <w:rPr>
          <w:noProof/>
        </w:rPr>
        <w:t xml:space="preserve">AUVRAY, M., MYIN, E. &amp; SPENCE, C. 2010. The sensory-discriminative and affective-motivational aspects of pain. </w:t>
      </w:r>
      <w:r w:rsidRPr="00D06F2D">
        <w:rPr>
          <w:i/>
          <w:noProof/>
        </w:rPr>
        <w:t>Neurosci Biobehav Rev,</w:t>
      </w:r>
      <w:r w:rsidRPr="00D06F2D">
        <w:rPr>
          <w:noProof/>
        </w:rPr>
        <w:t xml:space="preserve"> 34</w:t>
      </w:r>
      <w:r w:rsidRPr="00D06F2D">
        <w:rPr>
          <w:b/>
          <w:noProof/>
        </w:rPr>
        <w:t>,</w:t>
      </w:r>
      <w:r w:rsidRPr="00D06F2D">
        <w:rPr>
          <w:noProof/>
        </w:rPr>
        <w:t xml:space="preserve"> 214-23.</w:t>
      </w:r>
    </w:p>
    <w:p w14:paraId="6C012906" w14:textId="77777777" w:rsidR="00D06F2D" w:rsidRPr="00D06F2D" w:rsidRDefault="00D06F2D" w:rsidP="00D06F2D">
      <w:pPr>
        <w:pStyle w:val="EndNoteBibliography"/>
        <w:ind w:left="720" w:hanging="720"/>
        <w:rPr>
          <w:noProof/>
        </w:rPr>
      </w:pPr>
      <w:r w:rsidRPr="00D06F2D">
        <w:rPr>
          <w:noProof/>
        </w:rPr>
        <w:t xml:space="preserve">BANNISTER, K. 2019. Descending pain modulation: influence and impact. </w:t>
      </w:r>
      <w:r w:rsidRPr="00D06F2D">
        <w:rPr>
          <w:i/>
          <w:noProof/>
        </w:rPr>
        <w:t>Current Opinion in Physiology,</w:t>
      </w:r>
      <w:r w:rsidRPr="00D06F2D">
        <w:rPr>
          <w:noProof/>
        </w:rPr>
        <w:t xml:space="preserve"> 11</w:t>
      </w:r>
      <w:r w:rsidRPr="00D06F2D">
        <w:rPr>
          <w:b/>
          <w:noProof/>
        </w:rPr>
        <w:t>,</w:t>
      </w:r>
      <w:r w:rsidRPr="00D06F2D">
        <w:rPr>
          <w:noProof/>
        </w:rPr>
        <w:t xml:space="preserve"> 62-66.</w:t>
      </w:r>
    </w:p>
    <w:p w14:paraId="640A9064" w14:textId="77777777" w:rsidR="00D06F2D" w:rsidRPr="00D06F2D" w:rsidRDefault="00D06F2D" w:rsidP="00D06F2D">
      <w:pPr>
        <w:pStyle w:val="EndNoteBibliography"/>
        <w:ind w:left="720" w:hanging="720"/>
        <w:rPr>
          <w:noProof/>
        </w:rPr>
      </w:pPr>
      <w:r w:rsidRPr="00D06F2D">
        <w:rPr>
          <w:noProof/>
        </w:rPr>
        <w:t xml:space="preserve">BARBOSA, M., SAAVEDRA, A., OLIVEIRA, S., REIS, L., RODRIGUES, F., SEVERO, M., SITTL, R., MAIER, C. &amp; CARVALHO, D. M. 2019. Prevalence and Determinants of Painful and Painless Neuropathy in Type 1 Diabetes Mellitus. </w:t>
      </w:r>
      <w:r w:rsidRPr="00D06F2D">
        <w:rPr>
          <w:i/>
          <w:noProof/>
        </w:rPr>
        <w:t>Frontiers in Endocrinology,</w:t>
      </w:r>
      <w:r w:rsidRPr="00D06F2D">
        <w:rPr>
          <w:noProof/>
        </w:rPr>
        <w:t xml:space="preserve"> 10.</w:t>
      </w:r>
    </w:p>
    <w:p w14:paraId="617A6FAB" w14:textId="77777777" w:rsidR="00D06F2D" w:rsidRPr="00D06F2D" w:rsidRDefault="00D06F2D" w:rsidP="00D06F2D">
      <w:pPr>
        <w:pStyle w:val="EndNoteBibliography"/>
        <w:ind w:left="720" w:hanging="720"/>
        <w:rPr>
          <w:noProof/>
        </w:rPr>
      </w:pPr>
      <w:r w:rsidRPr="00D06F2D">
        <w:rPr>
          <w:noProof/>
        </w:rPr>
        <w:t xml:space="preserve">BARKER, P. 2001. N-acetyl aspartate - A neuronal marker? </w:t>
      </w:r>
      <w:r w:rsidRPr="00D06F2D">
        <w:rPr>
          <w:i/>
          <w:noProof/>
        </w:rPr>
        <w:t>Ann. Neurol.,</w:t>
      </w:r>
      <w:r w:rsidRPr="00D06F2D">
        <w:rPr>
          <w:noProof/>
        </w:rPr>
        <w:t xml:space="preserve"> 49</w:t>
      </w:r>
      <w:r w:rsidRPr="00D06F2D">
        <w:rPr>
          <w:b/>
          <w:noProof/>
        </w:rPr>
        <w:t>,</w:t>
      </w:r>
      <w:r w:rsidRPr="00D06F2D">
        <w:rPr>
          <w:noProof/>
        </w:rPr>
        <w:t xml:space="preserve"> 423-424.</w:t>
      </w:r>
    </w:p>
    <w:p w14:paraId="52FB80BE" w14:textId="77777777" w:rsidR="00D06F2D" w:rsidRPr="00D06F2D" w:rsidRDefault="00D06F2D" w:rsidP="00D06F2D">
      <w:pPr>
        <w:pStyle w:val="EndNoteBibliography"/>
        <w:ind w:left="720" w:hanging="720"/>
        <w:rPr>
          <w:noProof/>
        </w:rPr>
      </w:pPr>
      <w:r w:rsidRPr="00D06F2D">
        <w:rPr>
          <w:noProof/>
        </w:rPr>
        <w:t xml:space="preserve">BARKER, P. B. &amp; LIN, D. D. M. 2006. In vivo proton MR spectroscopy of the human brain. </w:t>
      </w:r>
      <w:r w:rsidRPr="00D06F2D">
        <w:rPr>
          <w:i/>
          <w:noProof/>
        </w:rPr>
        <w:t>Progress in Nuclear Magnetic Resonance Spectroscopy,</w:t>
      </w:r>
      <w:r w:rsidRPr="00D06F2D">
        <w:rPr>
          <w:noProof/>
        </w:rPr>
        <w:t xml:space="preserve"> 49</w:t>
      </w:r>
      <w:r w:rsidRPr="00D06F2D">
        <w:rPr>
          <w:b/>
          <w:noProof/>
        </w:rPr>
        <w:t>,</w:t>
      </w:r>
      <w:r w:rsidRPr="00D06F2D">
        <w:rPr>
          <w:noProof/>
        </w:rPr>
        <w:t xml:space="preserve"> 99-128.</w:t>
      </w:r>
    </w:p>
    <w:p w14:paraId="3181C12E" w14:textId="77777777" w:rsidR="00D06F2D" w:rsidRPr="00D06F2D" w:rsidRDefault="00D06F2D" w:rsidP="00D06F2D">
      <w:pPr>
        <w:pStyle w:val="EndNoteBibliography"/>
        <w:ind w:left="720" w:hanging="720"/>
        <w:rPr>
          <w:noProof/>
        </w:rPr>
      </w:pPr>
      <w:r w:rsidRPr="00D06F2D">
        <w:rPr>
          <w:noProof/>
        </w:rPr>
        <w:t xml:space="preserve">BARON, R., MAIER, C., ATTAL, N., BINDER, A., BOUHASSIRA, D., CRUCCU, G., FINNERUP, N. B., HAANPÄÄ, M., HANSSON, P., HÜLLEMANN, P., JENSEN, T. S., FREYNHAGEN, R., KENNEDY, J. D., MAGERL, W., MAINKA, T., REIMER, M., RICE, A. S., SEGERDAHL, M., SERRA, J., SINDRUP, S., SOMMER, C., TÖLLE, T., VOLLERT, J. &amp; TREEDE, R. D. 2017. Peripheral neuropathic pain: a mechanism-related organizing principle based on sensory profiles. </w:t>
      </w:r>
      <w:r w:rsidRPr="00D06F2D">
        <w:rPr>
          <w:i/>
          <w:noProof/>
        </w:rPr>
        <w:t>Pain,</w:t>
      </w:r>
      <w:r w:rsidRPr="00D06F2D">
        <w:rPr>
          <w:noProof/>
        </w:rPr>
        <w:t xml:space="preserve"> 158</w:t>
      </w:r>
      <w:r w:rsidRPr="00D06F2D">
        <w:rPr>
          <w:b/>
          <w:noProof/>
        </w:rPr>
        <w:t>,</w:t>
      </w:r>
      <w:r w:rsidRPr="00D06F2D">
        <w:rPr>
          <w:noProof/>
        </w:rPr>
        <w:t xml:space="preserve"> 261-272.</w:t>
      </w:r>
    </w:p>
    <w:p w14:paraId="09EAD5DF" w14:textId="77777777" w:rsidR="00D06F2D" w:rsidRPr="00D06F2D" w:rsidRDefault="00D06F2D" w:rsidP="00D06F2D">
      <w:pPr>
        <w:pStyle w:val="EndNoteBibliography"/>
        <w:ind w:left="720" w:hanging="720"/>
        <w:rPr>
          <w:noProof/>
        </w:rPr>
      </w:pPr>
      <w:r w:rsidRPr="00D06F2D">
        <w:rPr>
          <w:noProof/>
        </w:rPr>
        <w:t xml:space="preserve">BASLOW, M. 2003. N -Acetylaspartate in the Vertebrate Brain: Metabolism and Function. </w:t>
      </w:r>
      <w:r w:rsidRPr="00D06F2D">
        <w:rPr>
          <w:i/>
          <w:noProof/>
        </w:rPr>
        <w:t>Neurochemical Research,</w:t>
      </w:r>
      <w:r w:rsidRPr="00D06F2D">
        <w:rPr>
          <w:noProof/>
        </w:rPr>
        <w:t xml:space="preserve"> 28</w:t>
      </w:r>
      <w:r w:rsidRPr="00D06F2D">
        <w:rPr>
          <w:b/>
          <w:noProof/>
        </w:rPr>
        <w:t>,</w:t>
      </w:r>
      <w:r w:rsidRPr="00D06F2D">
        <w:rPr>
          <w:noProof/>
        </w:rPr>
        <w:t xml:space="preserve"> 941-953.</w:t>
      </w:r>
    </w:p>
    <w:p w14:paraId="32878521" w14:textId="77777777" w:rsidR="00D06F2D" w:rsidRPr="00D06F2D" w:rsidRDefault="00D06F2D" w:rsidP="00D06F2D">
      <w:pPr>
        <w:pStyle w:val="EndNoteBibliography"/>
        <w:ind w:left="720" w:hanging="720"/>
        <w:rPr>
          <w:noProof/>
        </w:rPr>
      </w:pPr>
      <w:r w:rsidRPr="00D06F2D">
        <w:rPr>
          <w:noProof/>
        </w:rPr>
        <w:t xml:space="preserve">BECERRA, L., MORRIS, S., BAZES, S., GOSTIC, R., SHERMAN, S., GOSTIC, J., PENDSE, G., MOULTON, E., SCRIVANI, S., KEITH, D., CHIZH, B. &amp; BORSOOK, D. 2006. Trigeminal neuropathic pain alters responses in CNS circuits to mechanical (brush) and thermal (cold and heat) stimuli. </w:t>
      </w:r>
      <w:r w:rsidRPr="00D06F2D">
        <w:rPr>
          <w:i/>
          <w:noProof/>
        </w:rPr>
        <w:t>Journal of Neuroscience,</w:t>
      </w:r>
      <w:r w:rsidRPr="00D06F2D">
        <w:rPr>
          <w:noProof/>
        </w:rPr>
        <w:t xml:space="preserve"> 26.</w:t>
      </w:r>
    </w:p>
    <w:p w14:paraId="010084D3" w14:textId="77777777" w:rsidR="00D06F2D" w:rsidRPr="00D06F2D" w:rsidRDefault="00D06F2D" w:rsidP="00D06F2D">
      <w:pPr>
        <w:pStyle w:val="EndNoteBibliography"/>
        <w:ind w:left="720" w:hanging="720"/>
        <w:rPr>
          <w:noProof/>
        </w:rPr>
      </w:pPr>
      <w:r w:rsidRPr="00D06F2D">
        <w:rPr>
          <w:noProof/>
        </w:rPr>
        <w:t xml:space="preserve">BECERRA, L. R., BREITER, H. C., STOJANOVIC, M., FISHMAN, S., EDWARDS, A., COMITE, A. R., GONZALEZ, R. G. &amp; BORSOOK, D. 1999. Human brain activation under controlled thermal stimulation and habituation to noxious heat: An fMRI study. </w:t>
      </w:r>
      <w:r w:rsidRPr="00D06F2D">
        <w:rPr>
          <w:i/>
          <w:noProof/>
        </w:rPr>
        <w:t>Magnetic Resonance in Medicine,</w:t>
      </w:r>
      <w:r w:rsidRPr="00D06F2D">
        <w:rPr>
          <w:noProof/>
        </w:rPr>
        <w:t xml:space="preserve"> 41</w:t>
      </w:r>
      <w:r w:rsidRPr="00D06F2D">
        <w:rPr>
          <w:b/>
          <w:noProof/>
        </w:rPr>
        <w:t>,</w:t>
      </w:r>
      <w:r w:rsidRPr="00D06F2D">
        <w:rPr>
          <w:noProof/>
        </w:rPr>
        <w:t xml:space="preserve"> 1044-1057.</w:t>
      </w:r>
    </w:p>
    <w:p w14:paraId="40FF8FBE" w14:textId="77777777" w:rsidR="00D06F2D" w:rsidRPr="00D06F2D" w:rsidRDefault="00D06F2D" w:rsidP="00D06F2D">
      <w:pPr>
        <w:pStyle w:val="EndNoteBibliography"/>
        <w:ind w:left="720" w:hanging="720"/>
        <w:rPr>
          <w:noProof/>
        </w:rPr>
      </w:pPr>
      <w:r w:rsidRPr="00D06F2D">
        <w:rPr>
          <w:noProof/>
        </w:rPr>
        <w:t xml:space="preserve">BECK, A. T., ERBAUGH, J., WARD, C. H., MOCK, J. &amp; MENDELSOHN, M. 1961. AN INVENTORY FOR MEASURING DEPRESSION. </w:t>
      </w:r>
      <w:r w:rsidRPr="00D06F2D">
        <w:rPr>
          <w:i/>
          <w:noProof/>
        </w:rPr>
        <w:t>Archives of General Psychiatry,</w:t>
      </w:r>
      <w:r w:rsidRPr="00D06F2D">
        <w:rPr>
          <w:noProof/>
        </w:rPr>
        <w:t xml:space="preserve"> 4</w:t>
      </w:r>
      <w:r w:rsidRPr="00D06F2D">
        <w:rPr>
          <w:b/>
          <w:noProof/>
        </w:rPr>
        <w:t>,</w:t>
      </w:r>
      <w:r w:rsidRPr="00D06F2D">
        <w:rPr>
          <w:noProof/>
        </w:rPr>
        <w:t xml:space="preserve"> 561-&amp;.</w:t>
      </w:r>
    </w:p>
    <w:p w14:paraId="641E0847" w14:textId="77777777" w:rsidR="00D06F2D" w:rsidRPr="00D06F2D" w:rsidRDefault="00D06F2D" w:rsidP="00D06F2D">
      <w:pPr>
        <w:pStyle w:val="EndNoteBibliography"/>
        <w:ind w:left="720" w:hanging="720"/>
        <w:rPr>
          <w:noProof/>
        </w:rPr>
      </w:pPr>
      <w:r w:rsidRPr="00D06F2D">
        <w:rPr>
          <w:noProof/>
        </w:rPr>
        <w:t xml:space="preserve">BENBOW, S. J., WALLYMAHMED, M. E. &amp; MACFARLANE, I. A. 1998. Diabetic peripheral neuropathy and quality of life. </w:t>
      </w:r>
      <w:r w:rsidRPr="00D06F2D">
        <w:rPr>
          <w:i/>
          <w:noProof/>
        </w:rPr>
        <w:t>Qjm-Monthly Journal of the Association of Physicians,</w:t>
      </w:r>
      <w:r w:rsidRPr="00D06F2D">
        <w:rPr>
          <w:noProof/>
        </w:rPr>
        <w:t xml:space="preserve"> 91.</w:t>
      </w:r>
    </w:p>
    <w:p w14:paraId="315879A6" w14:textId="77777777" w:rsidR="00D06F2D" w:rsidRPr="00D06F2D" w:rsidRDefault="00D06F2D" w:rsidP="00D06F2D">
      <w:pPr>
        <w:pStyle w:val="EndNoteBibliography"/>
        <w:ind w:left="720" w:hanging="720"/>
        <w:rPr>
          <w:noProof/>
        </w:rPr>
      </w:pPr>
      <w:r w:rsidRPr="00D06F2D">
        <w:rPr>
          <w:noProof/>
        </w:rPr>
        <w:t xml:space="preserve">BENNETT, C. M. &amp; MILLER, M. B. 2010. How reliable are the results from functional magnetic resonance imaging? </w:t>
      </w:r>
      <w:r w:rsidRPr="00D06F2D">
        <w:rPr>
          <w:i/>
          <w:noProof/>
        </w:rPr>
        <w:t>Ann N Y Acad Sci,</w:t>
      </w:r>
      <w:r w:rsidRPr="00D06F2D">
        <w:rPr>
          <w:noProof/>
        </w:rPr>
        <w:t xml:space="preserve"> 1191</w:t>
      </w:r>
      <w:r w:rsidRPr="00D06F2D">
        <w:rPr>
          <w:b/>
          <w:noProof/>
        </w:rPr>
        <w:t>,</w:t>
      </w:r>
      <w:r w:rsidRPr="00D06F2D">
        <w:rPr>
          <w:noProof/>
        </w:rPr>
        <w:t xml:space="preserve"> 133-55.</w:t>
      </w:r>
    </w:p>
    <w:p w14:paraId="1D3C793C" w14:textId="77777777" w:rsidR="00D06F2D" w:rsidRPr="00D06F2D" w:rsidRDefault="00D06F2D" w:rsidP="00D06F2D">
      <w:pPr>
        <w:pStyle w:val="EndNoteBibliography"/>
        <w:ind w:left="720" w:hanging="720"/>
        <w:rPr>
          <w:noProof/>
        </w:rPr>
      </w:pPr>
      <w:r w:rsidRPr="00D06F2D">
        <w:rPr>
          <w:noProof/>
        </w:rPr>
        <w:t xml:space="preserve">BENNETT, M. 2001. The LANSS Pain Scale: the Leeds assessment of neuropathic symptoms and signs. </w:t>
      </w:r>
      <w:r w:rsidRPr="00D06F2D">
        <w:rPr>
          <w:i/>
          <w:noProof/>
        </w:rPr>
        <w:t>Pain,</w:t>
      </w:r>
      <w:r w:rsidRPr="00D06F2D">
        <w:rPr>
          <w:noProof/>
        </w:rPr>
        <w:t xml:space="preserve"> 92</w:t>
      </w:r>
      <w:r w:rsidRPr="00D06F2D">
        <w:rPr>
          <w:b/>
          <w:noProof/>
        </w:rPr>
        <w:t>,</w:t>
      </w:r>
      <w:r w:rsidRPr="00D06F2D">
        <w:rPr>
          <w:noProof/>
        </w:rPr>
        <w:t xml:space="preserve"> 147-157.</w:t>
      </w:r>
    </w:p>
    <w:p w14:paraId="1729AF5C" w14:textId="77777777" w:rsidR="00D06F2D" w:rsidRPr="00D06F2D" w:rsidRDefault="00D06F2D" w:rsidP="00D06F2D">
      <w:pPr>
        <w:pStyle w:val="EndNoteBibliography"/>
        <w:ind w:left="720" w:hanging="720"/>
        <w:rPr>
          <w:noProof/>
        </w:rPr>
      </w:pPr>
      <w:r w:rsidRPr="00D06F2D">
        <w:rPr>
          <w:noProof/>
        </w:rPr>
        <w:t xml:space="preserve">BERTOLUCI, M. C., CE, G. V., DA SILVA, A. M. V., WAINSTEIN, M. V., BOFF, W. &amp; PUNALES, M. 2015. Endothelial dysfunction as a predictor of cardiovascular disease in type 1 diabetes. </w:t>
      </w:r>
      <w:r w:rsidRPr="00D06F2D">
        <w:rPr>
          <w:i/>
          <w:noProof/>
        </w:rPr>
        <w:t>World Journal of Diabetes,</w:t>
      </w:r>
      <w:r w:rsidRPr="00D06F2D">
        <w:rPr>
          <w:noProof/>
        </w:rPr>
        <w:t xml:space="preserve"> 6</w:t>
      </w:r>
      <w:r w:rsidRPr="00D06F2D">
        <w:rPr>
          <w:b/>
          <w:noProof/>
        </w:rPr>
        <w:t>,</w:t>
      </w:r>
      <w:r w:rsidRPr="00D06F2D">
        <w:rPr>
          <w:noProof/>
        </w:rPr>
        <w:t xml:space="preserve"> 679-692.</w:t>
      </w:r>
    </w:p>
    <w:p w14:paraId="2257FF43" w14:textId="77777777" w:rsidR="00D06F2D" w:rsidRPr="00D06F2D" w:rsidRDefault="00D06F2D" w:rsidP="00D06F2D">
      <w:pPr>
        <w:pStyle w:val="EndNoteBibliography"/>
        <w:ind w:left="720" w:hanging="720"/>
        <w:rPr>
          <w:noProof/>
        </w:rPr>
      </w:pPr>
      <w:r w:rsidRPr="00D06F2D">
        <w:rPr>
          <w:noProof/>
        </w:rPr>
        <w:t xml:space="preserve">BIERHAUS, A., FLEMING, T., STOYANOV, S., LEFFLER, A., BABES, A., NEACSU, C., SAUER, S. K., EBERHARDT, M., SCHNOELZER, M., LASISCHKA, F., NEUHUBER, W. L., KICHKO, T. I., KONRADE, I., ELVERT, R., MIER, W., PIRAGS, V., LUKIC, I. K., MORCOS, M., DEHMER, T., RABBANI, N., </w:t>
      </w:r>
      <w:r w:rsidRPr="00D06F2D">
        <w:rPr>
          <w:noProof/>
        </w:rPr>
        <w:lastRenderedPageBreak/>
        <w:t xml:space="preserve">THORNALLEY, P. J., EDELSTEIN, D., NAU, C., FORBES, J., HUMPERT, P. M., SCHWANINGER, M., ZIEGLER, D., STERN, D. M., COOPER, M. E., HABERKORN, U., BROWNLEE, M., REEH, P. W. &amp; NAWROTH, P. P. 2012. Methylglyoxal modification of Na(v)1.8 facilitates nociceptive neuron firing and causes hyperalgesia in diabetic neuropathy. </w:t>
      </w:r>
      <w:r w:rsidRPr="00D06F2D">
        <w:rPr>
          <w:i/>
          <w:noProof/>
        </w:rPr>
        <w:t>Nature Medicine,</w:t>
      </w:r>
      <w:r w:rsidRPr="00D06F2D">
        <w:rPr>
          <w:noProof/>
        </w:rPr>
        <w:t xml:space="preserve"> 18.</w:t>
      </w:r>
    </w:p>
    <w:p w14:paraId="5D886167" w14:textId="77777777" w:rsidR="00D06F2D" w:rsidRPr="00D06F2D" w:rsidRDefault="00D06F2D" w:rsidP="00D06F2D">
      <w:pPr>
        <w:pStyle w:val="EndNoteBibliography"/>
        <w:ind w:left="720" w:hanging="720"/>
        <w:rPr>
          <w:noProof/>
        </w:rPr>
      </w:pPr>
      <w:r w:rsidRPr="00D06F2D">
        <w:rPr>
          <w:noProof/>
        </w:rPr>
        <w:t xml:space="preserve">BJELLAND, I., DAHL, A. A., HAUG, T. T. &amp; NECKELMANN, D. 2002. The validity of the Hospital Anxiety and Depression Scale. An updated literature review. </w:t>
      </w:r>
      <w:r w:rsidRPr="00D06F2D">
        <w:rPr>
          <w:i/>
          <w:noProof/>
        </w:rPr>
        <w:t>J Psychosom Res.</w:t>
      </w:r>
      <w:r w:rsidRPr="00D06F2D">
        <w:rPr>
          <w:noProof/>
        </w:rPr>
        <w:t xml:space="preserve"> England.</w:t>
      </w:r>
    </w:p>
    <w:p w14:paraId="264BDEFF" w14:textId="77777777" w:rsidR="00D06F2D" w:rsidRPr="00D06F2D" w:rsidRDefault="00D06F2D" w:rsidP="00D06F2D">
      <w:pPr>
        <w:pStyle w:val="EndNoteBibliography"/>
        <w:ind w:left="720" w:hanging="720"/>
        <w:rPr>
          <w:noProof/>
        </w:rPr>
      </w:pPr>
      <w:r w:rsidRPr="00D06F2D">
        <w:rPr>
          <w:noProof/>
        </w:rPr>
        <w:t xml:space="preserve">BJORNERUD, A. &amp; EMBLEM, K. E. 2010. A fully automated method for quantitative cerebral hemodynamic analysis using DSC-MRI. </w:t>
      </w:r>
      <w:r w:rsidRPr="00D06F2D">
        <w:rPr>
          <w:i/>
          <w:noProof/>
        </w:rPr>
        <w:t>Journal of Cerebral Blood Flow and Metabolism,</w:t>
      </w:r>
      <w:r w:rsidRPr="00D06F2D">
        <w:rPr>
          <w:noProof/>
        </w:rPr>
        <w:t xml:space="preserve"> 30</w:t>
      </w:r>
      <w:r w:rsidRPr="00D06F2D">
        <w:rPr>
          <w:b/>
          <w:noProof/>
        </w:rPr>
        <w:t>,</w:t>
      </w:r>
      <w:r w:rsidRPr="00D06F2D">
        <w:rPr>
          <w:noProof/>
        </w:rPr>
        <w:t xml:space="preserve"> 1066-1078.</w:t>
      </w:r>
    </w:p>
    <w:p w14:paraId="3841C1DE" w14:textId="77777777" w:rsidR="00D06F2D" w:rsidRPr="00D06F2D" w:rsidRDefault="00D06F2D" w:rsidP="00D06F2D">
      <w:pPr>
        <w:pStyle w:val="EndNoteBibliography"/>
        <w:ind w:left="720" w:hanging="720"/>
        <w:rPr>
          <w:noProof/>
        </w:rPr>
      </w:pPr>
      <w:r w:rsidRPr="00D06F2D">
        <w:rPr>
          <w:noProof/>
        </w:rPr>
        <w:t xml:space="preserve">BJÖRKMAN, A. &amp; WEIBULL, A. 2018. Loss of inhibition in ipsilateral somatosensory areas following altered afferent nerve signaling from the hand. </w:t>
      </w:r>
      <w:r w:rsidRPr="00D06F2D">
        <w:rPr>
          <w:i/>
          <w:noProof/>
        </w:rPr>
        <w:t>Neurosci Res,</w:t>
      </w:r>
      <w:r w:rsidRPr="00D06F2D">
        <w:rPr>
          <w:noProof/>
        </w:rPr>
        <w:t xml:space="preserve"> 135</w:t>
      </w:r>
      <w:r w:rsidRPr="00D06F2D">
        <w:rPr>
          <w:b/>
          <w:noProof/>
        </w:rPr>
        <w:t>,</w:t>
      </w:r>
      <w:r w:rsidRPr="00D06F2D">
        <w:rPr>
          <w:noProof/>
        </w:rPr>
        <w:t xml:space="preserve"> 32-36.</w:t>
      </w:r>
    </w:p>
    <w:p w14:paraId="2CAEE00E" w14:textId="77777777" w:rsidR="00D06F2D" w:rsidRPr="00D06F2D" w:rsidRDefault="00D06F2D" w:rsidP="00D06F2D">
      <w:pPr>
        <w:pStyle w:val="EndNoteBibliography"/>
        <w:ind w:left="720" w:hanging="720"/>
        <w:rPr>
          <w:noProof/>
        </w:rPr>
      </w:pPr>
      <w:r w:rsidRPr="00D06F2D">
        <w:rPr>
          <w:noProof/>
        </w:rPr>
        <w:t xml:space="preserve">BLEEKER, E. J. W., WEBB, A. G., VAN WALDERVEEN, M. A. A., VAN BUCHEM, M. A. &amp; VAN OSCH, M. J. P. 2012. Evaluation of signal formation in local arterial input function measurements of dynamic susceptibility contrast MRI. </w:t>
      </w:r>
      <w:r w:rsidRPr="00D06F2D">
        <w:rPr>
          <w:i/>
          <w:noProof/>
        </w:rPr>
        <w:t>Magnetic Resonance in Medicine,</w:t>
      </w:r>
      <w:r w:rsidRPr="00D06F2D">
        <w:rPr>
          <w:noProof/>
        </w:rPr>
        <w:t xml:space="preserve"> 67</w:t>
      </w:r>
      <w:r w:rsidRPr="00D06F2D">
        <w:rPr>
          <w:b/>
          <w:noProof/>
        </w:rPr>
        <w:t>,</w:t>
      </w:r>
      <w:r w:rsidRPr="00D06F2D">
        <w:rPr>
          <w:noProof/>
        </w:rPr>
        <w:t xml:space="preserve"> 1324-1331.</w:t>
      </w:r>
    </w:p>
    <w:p w14:paraId="15088622" w14:textId="77777777" w:rsidR="00D06F2D" w:rsidRPr="00D06F2D" w:rsidRDefault="00D06F2D" w:rsidP="00D06F2D">
      <w:pPr>
        <w:pStyle w:val="EndNoteBibliography"/>
        <w:ind w:left="720" w:hanging="720"/>
        <w:rPr>
          <w:noProof/>
        </w:rPr>
      </w:pPr>
      <w:r w:rsidRPr="00D06F2D">
        <w:rPr>
          <w:noProof/>
        </w:rPr>
        <w:t xml:space="preserve">BOIVIE, J., LEIJON, G. &amp; JOHANSSON, I. 1989. CENTRAL POST-STROKE PAIN - A STUDY OF THE MECHANISMS THROUGH ANALYSES OF THE SENSORY ABNORMALITIES. </w:t>
      </w:r>
      <w:r w:rsidRPr="00D06F2D">
        <w:rPr>
          <w:i/>
          <w:noProof/>
        </w:rPr>
        <w:t>Pain,</w:t>
      </w:r>
      <w:r w:rsidRPr="00D06F2D">
        <w:rPr>
          <w:noProof/>
        </w:rPr>
        <w:t xml:space="preserve"> 37.</w:t>
      </w:r>
    </w:p>
    <w:p w14:paraId="5BFA5BFB" w14:textId="77777777" w:rsidR="00D06F2D" w:rsidRPr="00D06F2D" w:rsidRDefault="00D06F2D" w:rsidP="00D06F2D">
      <w:pPr>
        <w:pStyle w:val="EndNoteBibliography"/>
        <w:ind w:left="720" w:hanging="720"/>
        <w:rPr>
          <w:noProof/>
        </w:rPr>
      </w:pPr>
      <w:r w:rsidRPr="00D06F2D">
        <w:rPr>
          <w:noProof/>
        </w:rPr>
        <w:t xml:space="preserve">BORODINOVA, A. &amp; SALOZHIN, S. 2017. Differences in the Biological Functions of BDNF and proBDNF in the Central Nervous System. </w:t>
      </w:r>
      <w:r w:rsidRPr="00D06F2D">
        <w:rPr>
          <w:i/>
          <w:noProof/>
        </w:rPr>
        <w:t>Neuroscience and Behavioral Physiology,</w:t>
      </w:r>
      <w:r w:rsidRPr="00D06F2D">
        <w:rPr>
          <w:noProof/>
        </w:rPr>
        <w:t xml:space="preserve"> 47</w:t>
      </w:r>
      <w:r w:rsidRPr="00D06F2D">
        <w:rPr>
          <w:b/>
          <w:noProof/>
        </w:rPr>
        <w:t>,</w:t>
      </w:r>
      <w:r w:rsidRPr="00D06F2D">
        <w:rPr>
          <w:noProof/>
        </w:rPr>
        <w:t xml:space="preserve"> 251-265.</w:t>
      </w:r>
    </w:p>
    <w:p w14:paraId="116E7C7F" w14:textId="77777777" w:rsidR="00D06F2D" w:rsidRPr="00D06F2D" w:rsidRDefault="00D06F2D" w:rsidP="00D06F2D">
      <w:pPr>
        <w:pStyle w:val="EndNoteBibliography"/>
        <w:ind w:left="720" w:hanging="720"/>
        <w:rPr>
          <w:noProof/>
        </w:rPr>
      </w:pPr>
      <w:r w:rsidRPr="00D06F2D">
        <w:rPr>
          <w:noProof/>
        </w:rPr>
        <w:t xml:space="preserve">BOUHASSIRA, D., ATTAL, N., ALCHAAR, H., BOUREAU, F., BROCHET, B., BRUXELLE, J., CUNIN, G., FERMANIAN, J., GINIES, P., GRUN-OVERDYKING, A., JAFARI-SCHLUEP, H., LANTÉRI-MINET, M., LAURENT, B., MICK, G., SERRIE, A., VALADE, D. &amp; VICAUT, E. 2005. Comparison of pain syndromes associated with nervous or somatic lesions and development of a new neuropathic pain diagnostic questionnaire (DN4). </w:t>
      </w:r>
      <w:r w:rsidRPr="00D06F2D">
        <w:rPr>
          <w:i/>
          <w:noProof/>
        </w:rPr>
        <w:t>Pain,</w:t>
      </w:r>
      <w:r w:rsidRPr="00D06F2D">
        <w:rPr>
          <w:noProof/>
        </w:rPr>
        <w:t xml:space="preserve"> 114</w:t>
      </w:r>
      <w:r w:rsidRPr="00D06F2D">
        <w:rPr>
          <w:b/>
          <w:noProof/>
        </w:rPr>
        <w:t>,</w:t>
      </w:r>
      <w:r w:rsidRPr="00D06F2D">
        <w:rPr>
          <w:noProof/>
        </w:rPr>
        <w:t xml:space="preserve"> 29-36.</w:t>
      </w:r>
    </w:p>
    <w:p w14:paraId="6C8D6480" w14:textId="77777777" w:rsidR="00D06F2D" w:rsidRPr="00D06F2D" w:rsidRDefault="00D06F2D" w:rsidP="00D06F2D">
      <w:pPr>
        <w:pStyle w:val="EndNoteBibliography"/>
        <w:ind w:left="720" w:hanging="720"/>
        <w:rPr>
          <w:noProof/>
        </w:rPr>
      </w:pPr>
      <w:r w:rsidRPr="00D06F2D">
        <w:rPr>
          <w:noProof/>
        </w:rPr>
        <w:t xml:space="preserve">BOULTON, A. J. M., GRIES, F. A. &amp; JERVELL, J. A. 1998. Guidelines for the diagnosis and outpatient management of diabetic peripheral neuropathy. </w:t>
      </w:r>
      <w:r w:rsidRPr="00D06F2D">
        <w:rPr>
          <w:i/>
          <w:noProof/>
        </w:rPr>
        <w:t>Diabetic Medicine,</w:t>
      </w:r>
      <w:r w:rsidRPr="00D06F2D">
        <w:rPr>
          <w:noProof/>
        </w:rPr>
        <w:t xml:space="preserve"> 15</w:t>
      </w:r>
      <w:r w:rsidRPr="00D06F2D">
        <w:rPr>
          <w:b/>
          <w:noProof/>
        </w:rPr>
        <w:t>,</w:t>
      </w:r>
      <w:r w:rsidRPr="00D06F2D">
        <w:rPr>
          <w:noProof/>
        </w:rPr>
        <w:t xml:space="preserve"> 508-514.</w:t>
      </w:r>
    </w:p>
    <w:p w14:paraId="759E0F7B" w14:textId="77777777" w:rsidR="00D06F2D" w:rsidRPr="00D06F2D" w:rsidRDefault="00D06F2D" w:rsidP="00D06F2D">
      <w:pPr>
        <w:pStyle w:val="EndNoteBibliography"/>
        <w:ind w:left="720" w:hanging="720"/>
        <w:rPr>
          <w:noProof/>
        </w:rPr>
      </w:pPr>
      <w:r w:rsidRPr="00D06F2D">
        <w:rPr>
          <w:noProof/>
        </w:rPr>
        <w:t xml:space="preserve">BRIL, V. 2012. Treatments for diabetic neuropathy. </w:t>
      </w:r>
      <w:r w:rsidRPr="00D06F2D">
        <w:rPr>
          <w:i/>
          <w:noProof/>
        </w:rPr>
        <w:t>Journal of the Peripheral Nervous System,</w:t>
      </w:r>
      <w:r w:rsidRPr="00D06F2D">
        <w:rPr>
          <w:noProof/>
        </w:rPr>
        <w:t xml:space="preserve"> 17</w:t>
      </w:r>
      <w:r w:rsidRPr="00D06F2D">
        <w:rPr>
          <w:b/>
          <w:noProof/>
        </w:rPr>
        <w:t>,</w:t>
      </w:r>
      <w:r w:rsidRPr="00D06F2D">
        <w:rPr>
          <w:noProof/>
        </w:rPr>
        <w:t xml:space="preserve"> 22-27.</w:t>
      </w:r>
    </w:p>
    <w:p w14:paraId="06493214" w14:textId="77777777" w:rsidR="00D06F2D" w:rsidRPr="00D06F2D" w:rsidRDefault="00D06F2D" w:rsidP="00D06F2D">
      <w:pPr>
        <w:pStyle w:val="EndNoteBibliography"/>
        <w:ind w:left="720" w:hanging="720"/>
        <w:rPr>
          <w:noProof/>
        </w:rPr>
      </w:pPr>
      <w:r w:rsidRPr="00D06F2D">
        <w:rPr>
          <w:noProof/>
        </w:rPr>
        <w:t xml:space="preserve">BRINGS, S., FLEMING, T., FREICHEL, M., MUCKENTHALER, M., HERZIG, S. &amp; NAWROTH, P. 2017. Dicarbonyls and Advanced Glycation End-Products in the Development of Diabetic Complications and Targets for Intervention. </w:t>
      </w:r>
      <w:r w:rsidRPr="00D06F2D">
        <w:rPr>
          <w:i/>
          <w:noProof/>
        </w:rPr>
        <w:t>Int J Mol Sci,</w:t>
      </w:r>
      <w:r w:rsidRPr="00D06F2D">
        <w:rPr>
          <w:noProof/>
        </w:rPr>
        <w:t xml:space="preserve"> 18</w:t>
      </w:r>
      <w:r w:rsidRPr="00D06F2D">
        <w:rPr>
          <w:b/>
          <w:noProof/>
        </w:rPr>
        <w:t>,</w:t>
      </w:r>
      <w:r w:rsidRPr="00D06F2D">
        <w:rPr>
          <w:noProof/>
        </w:rPr>
        <w:t xml:space="preserve"> 984.</w:t>
      </w:r>
    </w:p>
    <w:p w14:paraId="18B9D738" w14:textId="77777777" w:rsidR="00D06F2D" w:rsidRPr="00D06F2D" w:rsidRDefault="00D06F2D" w:rsidP="00D06F2D">
      <w:pPr>
        <w:pStyle w:val="EndNoteBibliography"/>
        <w:ind w:left="720" w:hanging="720"/>
        <w:rPr>
          <w:noProof/>
        </w:rPr>
      </w:pPr>
      <w:r w:rsidRPr="00D06F2D">
        <w:rPr>
          <w:noProof/>
        </w:rPr>
        <w:t xml:space="preserve">BRITLAND, S. T., YOUNG, R. J., SHARMA, A. K. &amp; CLARKE, B. F. 1990. RELATIONSHIP OF ENDONEURIAL CAPILLARY ABNORMALITIES TO TYPE AND SEVERITY OF DIABETIC POLYNEUROPATHY. </w:t>
      </w:r>
      <w:r w:rsidRPr="00D06F2D">
        <w:rPr>
          <w:i/>
          <w:noProof/>
        </w:rPr>
        <w:t>Diabetes,</w:t>
      </w:r>
      <w:r w:rsidRPr="00D06F2D">
        <w:rPr>
          <w:noProof/>
        </w:rPr>
        <w:t xml:space="preserve"> 39</w:t>
      </w:r>
      <w:r w:rsidRPr="00D06F2D">
        <w:rPr>
          <w:b/>
          <w:noProof/>
        </w:rPr>
        <w:t>,</w:t>
      </w:r>
      <w:r w:rsidRPr="00D06F2D">
        <w:rPr>
          <w:noProof/>
        </w:rPr>
        <w:t xml:space="preserve"> 909-913.</w:t>
      </w:r>
    </w:p>
    <w:p w14:paraId="4A96187F" w14:textId="77777777" w:rsidR="00D06F2D" w:rsidRPr="00D06F2D" w:rsidRDefault="00D06F2D" w:rsidP="00D06F2D">
      <w:pPr>
        <w:pStyle w:val="EndNoteBibliography"/>
        <w:ind w:left="720" w:hanging="720"/>
        <w:rPr>
          <w:noProof/>
        </w:rPr>
      </w:pPr>
      <w:r w:rsidRPr="00D06F2D">
        <w:rPr>
          <w:noProof/>
        </w:rPr>
        <w:t xml:space="preserve">BRODERSEN, K. H., WIECH, K., LOMAKINA, E. I., LIN, C. S., BUHMANN, J. M., BINGEL, U., PLONER, M., STEPHAN, K. E. &amp; TRACEY, I. 2012. Decoding the perception of pain from fMRI using multivariate pattern analysis. </w:t>
      </w:r>
      <w:r w:rsidRPr="00D06F2D">
        <w:rPr>
          <w:i/>
          <w:noProof/>
        </w:rPr>
        <w:t>Neuroimage,</w:t>
      </w:r>
      <w:r w:rsidRPr="00D06F2D">
        <w:rPr>
          <w:noProof/>
        </w:rPr>
        <w:t xml:space="preserve"> 63</w:t>
      </w:r>
      <w:r w:rsidRPr="00D06F2D">
        <w:rPr>
          <w:b/>
          <w:noProof/>
        </w:rPr>
        <w:t>,</w:t>
      </w:r>
      <w:r w:rsidRPr="00D06F2D">
        <w:rPr>
          <w:noProof/>
        </w:rPr>
        <w:t xml:space="preserve"> 1162-1170.</w:t>
      </w:r>
    </w:p>
    <w:p w14:paraId="2D1824EF" w14:textId="77777777" w:rsidR="00D06F2D" w:rsidRPr="00D06F2D" w:rsidRDefault="00D06F2D" w:rsidP="00D06F2D">
      <w:pPr>
        <w:pStyle w:val="EndNoteBibliography"/>
        <w:ind w:left="720" w:hanging="720"/>
        <w:rPr>
          <w:noProof/>
        </w:rPr>
      </w:pPr>
      <w:r w:rsidRPr="00D06F2D">
        <w:rPr>
          <w:noProof/>
        </w:rPr>
        <w:t xml:space="preserve">BROWNRIGG, J. R. W., DAVEY, J., HOLT, P. J., DAVIS, W. A., THOMPSON, M. M., RAY, K. K. &amp; HINCHLIFFE, R. J. 2012. The association of ulceration of </w:t>
      </w:r>
      <w:r w:rsidRPr="00D06F2D">
        <w:rPr>
          <w:noProof/>
        </w:rPr>
        <w:lastRenderedPageBreak/>
        <w:t xml:space="preserve">the foot with cardiovascular and all-cause mortality in patients with diabetes: a meta-analysis. </w:t>
      </w:r>
      <w:r w:rsidRPr="00D06F2D">
        <w:rPr>
          <w:i/>
          <w:noProof/>
        </w:rPr>
        <w:t>Diabetologia,</w:t>
      </w:r>
      <w:r w:rsidRPr="00D06F2D">
        <w:rPr>
          <w:noProof/>
        </w:rPr>
        <w:t xml:space="preserve"> 55</w:t>
      </w:r>
      <w:r w:rsidRPr="00D06F2D">
        <w:rPr>
          <w:b/>
          <w:noProof/>
        </w:rPr>
        <w:t>,</w:t>
      </w:r>
      <w:r w:rsidRPr="00D06F2D">
        <w:rPr>
          <w:noProof/>
        </w:rPr>
        <w:t xml:space="preserve"> 2906-2912.</w:t>
      </w:r>
    </w:p>
    <w:p w14:paraId="220F69F8" w14:textId="77777777" w:rsidR="00D06F2D" w:rsidRPr="00D06F2D" w:rsidRDefault="00D06F2D" w:rsidP="00D06F2D">
      <w:pPr>
        <w:pStyle w:val="EndNoteBibliography"/>
        <w:ind w:left="720" w:hanging="720"/>
        <w:rPr>
          <w:noProof/>
        </w:rPr>
      </w:pPr>
      <w:r w:rsidRPr="00D06F2D">
        <w:rPr>
          <w:noProof/>
        </w:rPr>
        <w:t xml:space="preserve">BURGANSKY-ELIASH, Z., BARAK, A., BARASH, H., NELSON, D. A., PUPKO, O., LOWENSTEIN, A., GRINVALD, A. &amp; RUBINSTEIN, A. 2012. INCREASED RETINAL BLOOD FLOW VELOCITY IN PATIENTS WITH EARLY DIABETES MELLITUS. </w:t>
      </w:r>
      <w:r w:rsidRPr="00D06F2D">
        <w:rPr>
          <w:i/>
          <w:noProof/>
        </w:rPr>
        <w:t>Retina-the Journal of Retinal and Vitreous Diseases,</w:t>
      </w:r>
      <w:r w:rsidRPr="00D06F2D">
        <w:rPr>
          <w:noProof/>
        </w:rPr>
        <w:t xml:space="preserve"> 32</w:t>
      </w:r>
      <w:r w:rsidRPr="00D06F2D">
        <w:rPr>
          <w:b/>
          <w:noProof/>
        </w:rPr>
        <w:t>,</w:t>
      </w:r>
      <w:r w:rsidRPr="00D06F2D">
        <w:rPr>
          <w:noProof/>
        </w:rPr>
        <w:t xml:space="preserve"> 112-119.</w:t>
      </w:r>
    </w:p>
    <w:p w14:paraId="129DDC99" w14:textId="77777777" w:rsidR="00D06F2D" w:rsidRPr="00D06F2D" w:rsidRDefault="00D06F2D" w:rsidP="00D06F2D">
      <w:pPr>
        <w:pStyle w:val="EndNoteBibliography"/>
        <w:ind w:left="720" w:hanging="720"/>
        <w:rPr>
          <w:noProof/>
        </w:rPr>
      </w:pPr>
      <w:r w:rsidRPr="00D06F2D">
        <w:rPr>
          <w:noProof/>
        </w:rPr>
        <w:t xml:space="preserve">BUSTILLO, J. R. 2013. Use of proton magnetic resonance spectroscopy in the treatment of psychiatric disorders: a critical update. </w:t>
      </w:r>
      <w:r w:rsidRPr="00D06F2D">
        <w:rPr>
          <w:i/>
          <w:noProof/>
        </w:rPr>
        <w:t>Dialogues in clinical neuroscience,</w:t>
      </w:r>
      <w:r w:rsidRPr="00D06F2D">
        <w:rPr>
          <w:noProof/>
        </w:rPr>
        <w:t xml:space="preserve"> 15</w:t>
      </w:r>
      <w:r w:rsidRPr="00D06F2D">
        <w:rPr>
          <w:b/>
          <w:noProof/>
        </w:rPr>
        <w:t>,</w:t>
      </w:r>
      <w:r w:rsidRPr="00D06F2D">
        <w:rPr>
          <w:noProof/>
        </w:rPr>
        <w:t xml:space="preserve"> 329-337.</w:t>
      </w:r>
    </w:p>
    <w:p w14:paraId="11ED5FF7" w14:textId="77777777" w:rsidR="00D06F2D" w:rsidRPr="00D06F2D" w:rsidRDefault="00D06F2D" w:rsidP="00D06F2D">
      <w:pPr>
        <w:pStyle w:val="EndNoteBibliography"/>
        <w:ind w:left="720" w:hanging="720"/>
        <w:rPr>
          <w:noProof/>
        </w:rPr>
      </w:pPr>
      <w:r w:rsidRPr="00D06F2D">
        <w:rPr>
          <w:noProof/>
        </w:rPr>
        <w:t xml:space="preserve">BUXTON, R. B., FRANK, L. R., WONG, E. C., SIEWERT, B., WARACH, S. &amp; EDELMAN, R. R. 1998. A general kinetic model for quantitative perfusion imaging with arterial spin labeling. </w:t>
      </w:r>
      <w:r w:rsidRPr="00D06F2D">
        <w:rPr>
          <w:i/>
          <w:noProof/>
        </w:rPr>
        <w:t>Magnetic Resonance in Medicine,</w:t>
      </w:r>
      <w:r w:rsidRPr="00D06F2D">
        <w:rPr>
          <w:noProof/>
        </w:rPr>
        <w:t xml:space="preserve"> 40</w:t>
      </w:r>
      <w:r w:rsidRPr="00D06F2D">
        <w:rPr>
          <w:b/>
          <w:noProof/>
        </w:rPr>
        <w:t>,</w:t>
      </w:r>
      <w:r w:rsidRPr="00D06F2D">
        <w:rPr>
          <w:noProof/>
        </w:rPr>
        <w:t xml:space="preserve"> 383-396.</w:t>
      </w:r>
    </w:p>
    <w:p w14:paraId="521EC33C" w14:textId="77777777" w:rsidR="00D06F2D" w:rsidRPr="00D06F2D" w:rsidRDefault="00D06F2D" w:rsidP="00D06F2D">
      <w:pPr>
        <w:pStyle w:val="EndNoteBibliography"/>
        <w:ind w:left="720" w:hanging="720"/>
        <w:rPr>
          <w:noProof/>
        </w:rPr>
      </w:pPr>
      <w:r w:rsidRPr="00D06F2D">
        <w:rPr>
          <w:noProof/>
        </w:rPr>
        <w:t xml:space="preserve">CABEZAS-CERRATO, J. 1998. The prevalence of clinical diabetic polyneuropathy in Spain: a study in primary care and hospital clinic groups. Neuropathy Spanish Study Group of the Spanish Diabetes Society (SDS). </w:t>
      </w:r>
      <w:r w:rsidRPr="00D06F2D">
        <w:rPr>
          <w:i/>
          <w:noProof/>
        </w:rPr>
        <w:t>Diabetologia,</w:t>
      </w:r>
      <w:r w:rsidRPr="00D06F2D">
        <w:rPr>
          <w:noProof/>
        </w:rPr>
        <w:t xml:space="preserve"> 41</w:t>
      </w:r>
      <w:r w:rsidRPr="00D06F2D">
        <w:rPr>
          <w:b/>
          <w:noProof/>
        </w:rPr>
        <w:t>,</w:t>
      </w:r>
      <w:r w:rsidRPr="00D06F2D">
        <w:rPr>
          <w:noProof/>
        </w:rPr>
        <w:t xml:space="preserve"> 1263-9.</w:t>
      </w:r>
    </w:p>
    <w:p w14:paraId="79ED9591" w14:textId="77777777" w:rsidR="00D06F2D" w:rsidRPr="00D06F2D" w:rsidRDefault="00D06F2D" w:rsidP="00D06F2D">
      <w:pPr>
        <w:pStyle w:val="EndNoteBibliography"/>
        <w:ind w:left="720" w:hanging="720"/>
        <w:rPr>
          <w:noProof/>
        </w:rPr>
      </w:pPr>
      <w:r w:rsidRPr="00D06F2D">
        <w:rPr>
          <w:noProof/>
        </w:rPr>
        <w:t xml:space="preserve">CALAMANTE, F. 2013. Arterial input function in perfusion MRI: a comprehensive review. </w:t>
      </w:r>
      <w:r w:rsidRPr="00D06F2D">
        <w:rPr>
          <w:i/>
          <w:noProof/>
        </w:rPr>
        <w:t>Prog Nucl Magn Reson Spectrosc,</w:t>
      </w:r>
      <w:r w:rsidRPr="00D06F2D">
        <w:rPr>
          <w:noProof/>
        </w:rPr>
        <w:t xml:space="preserve"> 74</w:t>
      </w:r>
      <w:r w:rsidRPr="00D06F2D">
        <w:rPr>
          <w:b/>
          <w:noProof/>
        </w:rPr>
        <w:t>,</w:t>
      </w:r>
      <w:r w:rsidRPr="00D06F2D">
        <w:rPr>
          <w:noProof/>
        </w:rPr>
        <w:t xml:space="preserve"> 1-32.</w:t>
      </w:r>
    </w:p>
    <w:p w14:paraId="7FECC400" w14:textId="77777777" w:rsidR="00D06F2D" w:rsidRPr="00D06F2D" w:rsidRDefault="00D06F2D" w:rsidP="00D06F2D">
      <w:pPr>
        <w:pStyle w:val="EndNoteBibliography"/>
        <w:ind w:left="720" w:hanging="720"/>
        <w:rPr>
          <w:noProof/>
        </w:rPr>
      </w:pPr>
      <w:r w:rsidRPr="00D06F2D">
        <w:rPr>
          <w:noProof/>
        </w:rPr>
        <w:t xml:space="preserve">CALAMANTE, F., GADIAN, D. G. &amp; CONNELLY, A. 2002. Quantification of perfusion using bolus tracking magnetic resonance imaging in stroke - Assumptions, limitations, and potential implications for clinical use. </w:t>
      </w:r>
      <w:r w:rsidRPr="00D06F2D">
        <w:rPr>
          <w:i/>
          <w:noProof/>
        </w:rPr>
        <w:t>Stroke,</w:t>
      </w:r>
      <w:r w:rsidRPr="00D06F2D">
        <w:rPr>
          <w:noProof/>
        </w:rPr>
        <w:t xml:space="preserve"> 33</w:t>
      </w:r>
      <w:r w:rsidRPr="00D06F2D">
        <w:rPr>
          <w:b/>
          <w:noProof/>
        </w:rPr>
        <w:t>,</w:t>
      </w:r>
      <w:r w:rsidRPr="00D06F2D">
        <w:rPr>
          <w:noProof/>
        </w:rPr>
        <w:t xml:space="preserve"> 1146-1151.</w:t>
      </w:r>
    </w:p>
    <w:p w14:paraId="5656416A" w14:textId="77777777" w:rsidR="00D06F2D" w:rsidRPr="00D06F2D" w:rsidRDefault="00D06F2D" w:rsidP="00D06F2D">
      <w:pPr>
        <w:pStyle w:val="EndNoteBibliography"/>
        <w:ind w:left="720" w:hanging="720"/>
        <w:rPr>
          <w:noProof/>
        </w:rPr>
      </w:pPr>
      <w:r w:rsidRPr="00D06F2D">
        <w:rPr>
          <w:noProof/>
        </w:rPr>
        <w:t xml:space="preserve">CAMERON, N. E., COTTER, M. A. &amp; LOW, P. A. 1991. NERVE BLOOD-FLOW IN EARLY EXPERIMENTAL DIABETES IN RATS - RELATION TO CONDUCTION DEFICITS. </w:t>
      </w:r>
      <w:r w:rsidRPr="00D06F2D">
        <w:rPr>
          <w:i/>
          <w:noProof/>
        </w:rPr>
        <w:t>American Journal of Physiology,</w:t>
      </w:r>
      <w:r w:rsidRPr="00D06F2D">
        <w:rPr>
          <w:noProof/>
        </w:rPr>
        <w:t xml:space="preserve"> 261.</w:t>
      </w:r>
    </w:p>
    <w:p w14:paraId="532F1D24" w14:textId="77777777" w:rsidR="00D06F2D" w:rsidRPr="00D06F2D" w:rsidRDefault="00D06F2D" w:rsidP="00D06F2D">
      <w:pPr>
        <w:pStyle w:val="EndNoteBibliography"/>
        <w:ind w:left="720" w:hanging="720"/>
        <w:rPr>
          <w:noProof/>
        </w:rPr>
      </w:pPr>
      <w:r w:rsidRPr="00D06F2D">
        <w:rPr>
          <w:noProof/>
        </w:rPr>
        <w:t xml:space="preserve">CARVER, C. S. &amp; WHITE, T. L. 1994. BEHAVIORAL-INHIBITION, BEHAVIORAL ACTIVATION, AND AFFECTIVE RESPONSES TO IMPENDING REWARD AND PUNISHMENT - THE BIS BAS SCALES. </w:t>
      </w:r>
      <w:r w:rsidRPr="00D06F2D">
        <w:rPr>
          <w:i/>
          <w:noProof/>
        </w:rPr>
        <w:t>Journal of Personality and Social Psychology,</w:t>
      </w:r>
      <w:r w:rsidRPr="00D06F2D">
        <w:rPr>
          <w:noProof/>
        </w:rPr>
        <w:t xml:space="preserve"> 67</w:t>
      </w:r>
      <w:r w:rsidRPr="00D06F2D">
        <w:rPr>
          <w:b/>
          <w:noProof/>
        </w:rPr>
        <w:t>,</w:t>
      </w:r>
      <w:r w:rsidRPr="00D06F2D">
        <w:rPr>
          <w:noProof/>
        </w:rPr>
        <w:t xml:space="preserve"> 319-333.</w:t>
      </w:r>
    </w:p>
    <w:p w14:paraId="190F344A" w14:textId="77777777" w:rsidR="00D06F2D" w:rsidRPr="00D06F2D" w:rsidRDefault="00D06F2D" w:rsidP="00D06F2D">
      <w:pPr>
        <w:pStyle w:val="EndNoteBibliography"/>
        <w:ind w:left="720" w:hanging="720"/>
        <w:rPr>
          <w:noProof/>
        </w:rPr>
      </w:pPr>
      <w:r w:rsidRPr="00D06F2D">
        <w:rPr>
          <w:noProof/>
        </w:rPr>
        <w:t xml:space="preserve">CASEY, K. L., MINOSHIMA, S., BERGER, K. L., KOEPPE, R. A., MORROW, T. J. &amp; FREY, K. A. 1994. POSITRON EMISSION TOMOGRAPHIC ANALYSIS OF CEREBRAL STRUCTURES ACTIVATED SPECIFICALLY BY REPETITIVE NOXIOUS HEAT STIMULI. </w:t>
      </w:r>
      <w:r w:rsidRPr="00D06F2D">
        <w:rPr>
          <w:i/>
          <w:noProof/>
        </w:rPr>
        <w:t>Journal of Neurophysiology,</w:t>
      </w:r>
      <w:r w:rsidRPr="00D06F2D">
        <w:rPr>
          <w:noProof/>
        </w:rPr>
        <w:t xml:space="preserve"> 71</w:t>
      </w:r>
      <w:r w:rsidRPr="00D06F2D">
        <w:rPr>
          <w:b/>
          <w:noProof/>
        </w:rPr>
        <w:t>,</w:t>
      </w:r>
      <w:r w:rsidRPr="00D06F2D">
        <w:rPr>
          <w:noProof/>
        </w:rPr>
        <w:t xml:space="preserve"> 802-807.</w:t>
      </w:r>
    </w:p>
    <w:p w14:paraId="5B35C6AD" w14:textId="77777777" w:rsidR="00D06F2D" w:rsidRPr="00D06F2D" w:rsidRDefault="00D06F2D" w:rsidP="00D06F2D">
      <w:pPr>
        <w:pStyle w:val="EndNoteBibliography"/>
        <w:ind w:left="720" w:hanging="720"/>
        <w:rPr>
          <w:noProof/>
        </w:rPr>
      </w:pPr>
      <w:r w:rsidRPr="00D06F2D">
        <w:rPr>
          <w:noProof/>
        </w:rPr>
        <w:t xml:space="preserve">CAUDA, F., D'AGATA, F., SACCO, K., DUCA, S., COCITO, D., PAOLASSO, I., ISOARDO, G. &amp; GEMINIANI, G. 2010. Altered resting state attentional networks in diabetic neuropathic pain. </w:t>
      </w:r>
      <w:r w:rsidRPr="00D06F2D">
        <w:rPr>
          <w:i/>
          <w:noProof/>
        </w:rPr>
        <w:t>Journal of Neurology, Neurosurgery &amp; Psychiatry,</w:t>
      </w:r>
      <w:r w:rsidRPr="00D06F2D">
        <w:rPr>
          <w:noProof/>
        </w:rPr>
        <w:t xml:space="preserve"> 81</w:t>
      </w:r>
      <w:r w:rsidRPr="00D06F2D">
        <w:rPr>
          <w:b/>
          <w:noProof/>
        </w:rPr>
        <w:t>,</w:t>
      </w:r>
      <w:r w:rsidRPr="00D06F2D">
        <w:rPr>
          <w:noProof/>
        </w:rPr>
        <w:t xml:space="preserve"> 806-11.</w:t>
      </w:r>
    </w:p>
    <w:p w14:paraId="0D012B48" w14:textId="77777777" w:rsidR="00D06F2D" w:rsidRPr="00D06F2D" w:rsidRDefault="00D06F2D" w:rsidP="00D06F2D">
      <w:pPr>
        <w:pStyle w:val="EndNoteBibliography"/>
        <w:ind w:left="720" w:hanging="720"/>
        <w:rPr>
          <w:noProof/>
        </w:rPr>
      </w:pPr>
      <w:r w:rsidRPr="00D06F2D">
        <w:rPr>
          <w:noProof/>
        </w:rPr>
        <w:t xml:space="preserve">CAUDA, F., SACCO, K., D'AGATA, F., DUCA, S., COCITO, D., GEMINIANI, G., MIGLIORATI, F. &amp; ISOARDO, G. 2009a. Low-frequency BOLD fluctuations demonstrate altered thalamocortical connectivity in diabetic neuropathic pain. </w:t>
      </w:r>
      <w:r w:rsidRPr="00D06F2D">
        <w:rPr>
          <w:i/>
          <w:noProof/>
        </w:rPr>
        <w:t>BMC Neuroscience,</w:t>
      </w:r>
      <w:r w:rsidRPr="00D06F2D">
        <w:rPr>
          <w:noProof/>
        </w:rPr>
        <w:t xml:space="preserve"> 10</w:t>
      </w:r>
      <w:r w:rsidRPr="00D06F2D">
        <w:rPr>
          <w:b/>
          <w:noProof/>
        </w:rPr>
        <w:t>,</w:t>
      </w:r>
      <w:r w:rsidRPr="00D06F2D">
        <w:rPr>
          <w:noProof/>
        </w:rPr>
        <w:t xml:space="preserve"> 138.</w:t>
      </w:r>
    </w:p>
    <w:p w14:paraId="105A3E09" w14:textId="77777777" w:rsidR="00D06F2D" w:rsidRPr="00D06F2D" w:rsidRDefault="00D06F2D" w:rsidP="00D06F2D">
      <w:pPr>
        <w:pStyle w:val="EndNoteBibliography"/>
        <w:ind w:left="720" w:hanging="720"/>
        <w:rPr>
          <w:noProof/>
        </w:rPr>
      </w:pPr>
      <w:r w:rsidRPr="00D06F2D">
        <w:rPr>
          <w:noProof/>
        </w:rPr>
        <w:t xml:space="preserve">CAUDA, F., SACCO, K., DUCA, S., COCITO, D., D'AGATA, F., GEMINIANI, G. C. &amp; CANAVERO, S. 2009b. Altered Resting State in Diabetic Neuropathic Pain. </w:t>
      </w:r>
      <w:r w:rsidRPr="00D06F2D">
        <w:rPr>
          <w:i/>
          <w:noProof/>
        </w:rPr>
        <w:t>Plos One,</w:t>
      </w:r>
      <w:r w:rsidRPr="00D06F2D">
        <w:rPr>
          <w:noProof/>
        </w:rPr>
        <w:t xml:space="preserve"> 4.</w:t>
      </w:r>
    </w:p>
    <w:p w14:paraId="1C6DC4F9" w14:textId="77777777" w:rsidR="00D06F2D" w:rsidRPr="00D06F2D" w:rsidRDefault="00D06F2D" w:rsidP="00D06F2D">
      <w:pPr>
        <w:pStyle w:val="EndNoteBibliography"/>
        <w:ind w:left="720" w:hanging="720"/>
        <w:rPr>
          <w:noProof/>
        </w:rPr>
      </w:pPr>
      <w:r w:rsidRPr="00D06F2D">
        <w:rPr>
          <w:noProof/>
        </w:rPr>
        <w:t xml:space="preserve">CEREN, E., AGNIESZKA, K.-C., DAGMARA, M.-G., LUKASZ, M. &amp; MAREK, P. 2017. Antidiabetic Effect of Brain-Derived Neurotrophic Factor and Its Association with Inflammation in Type 2 Diabetes Mellitus. </w:t>
      </w:r>
      <w:r w:rsidRPr="00D06F2D">
        <w:rPr>
          <w:i/>
          <w:noProof/>
        </w:rPr>
        <w:t>Journal of Diabetes Research,</w:t>
      </w:r>
      <w:r w:rsidRPr="00D06F2D">
        <w:rPr>
          <w:noProof/>
        </w:rPr>
        <w:t xml:space="preserve"> 2017.</w:t>
      </w:r>
    </w:p>
    <w:p w14:paraId="0285FE45" w14:textId="77777777" w:rsidR="00D06F2D" w:rsidRPr="00D06F2D" w:rsidRDefault="00D06F2D" w:rsidP="00D06F2D">
      <w:pPr>
        <w:pStyle w:val="EndNoteBibliography"/>
        <w:ind w:left="720" w:hanging="720"/>
        <w:rPr>
          <w:noProof/>
        </w:rPr>
      </w:pPr>
      <w:r w:rsidRPr="00D06F2D">
        <w:rPr>
          <w:noProof/>
        </w:rPr>
        <w:lastRenderedPageBreak/>
        <w:t xml:space="preserve">CHAO, T., CHEN, J. &amp; YEN, C. 2018. Plasticity changes in forebrain activity and functional connectivity during neuropathic pain development in rats with sciatic spared nerve injury. </w:t>
      </w:r>
      <w:r w:rsidRPr="00D06F2D">
        <w:rPr>
          <w:i/>
          <w:noProof/>
        </w:rPr>
        <w:t>Mol Brain,</w:t>
      </w:r>
      <w:r w:rsidRPr="00D06F2D">
        <w:rPr>
          <w:noProof/>
        </w:rPr>
        <w:t xml:space="preserve"> 11</w:t>
      </w:r>
      <w:r w:rsidRPr="00D06F2D">
        <w:rPr>
          <w:b/>
          <w:noProof/>
        </w:rPr>
        <w:t>,</w:t>
      </w:r>
      <w:r w:rsidRPr="00D06F2D">
        <w:rPr>
          <w:noProof/>
        </w:rPr>
        <w:t xml:space="preserve"> 55-16.</w:t>
      </w:r>
    </w:p>
    <w:p w14:paraId="291F30EF" w14:textId="77777777" w:rsidR="00D06F2D" w:rsidRPr="00D06F2D" w:rsidRDefault="00D06F2D" w:rsidP="00D06F2D">
      <w:pPr>
        <w:pStyle w:val="EndNoteBibliography"/>
        <w:ind w:left="720" w:hanging="720"/>
        <w:rPr>
          <w:noProof/>
        </w:rPr>
      </w:pPr>
      <w:r w:rsidRPr="00D06F2D">
        <w:rPr>
          <w:noProof/>
        </w:rPr>
        <w:t xml:space="preserve">CHERNEY, D. Z. I., MILLER, J. A., SCHOLEY, J. W., NASRALLAH, R., HEBERT, R. L., DEKKER, M. G., SLORACH, C., SOCHETT, E. B. &amp; BRADLEY, T. J. 2010. Renal Hyperfiltration Is a Determinant of Endothelial Function Responses to Cyclooxygenase 2 Inhibition in Type 1 Diabetes. </w:t>
      </w:r>
      <w:r w:rsidRPr="00D06F2D">
        <w:rPr>
          <w:i/>
          <w:noProof/>
        </w:rPr>
        <w:t>Diabetes Care,</w:t>
      </w:r>
      <w:r w:rsidRPr="00D06F2D">
        <w:rPr>
          <w:noProof/>
        </w:rPr>
        <w:t xml:space="preserve"> 33</w:t>
      </w:r>
      <w:r w:rsidRPr="00D06F2D">
        <w:rPr>
          <w:b/>
          <w:noProof/>
        </w:rPr>
        <w:t>,</w:t>
      </w:r>
      <w:r w:rsidRPr="00D06F2D">
        <w:rPr>
          <w:noProof/>
        </w:rPr>
        <w:t xml:space="preserve"> 1344-1346.</w:t>
      </w:r>
    </w:p>
    <w:p w14:paraId="73546BC0" w14:textId="77777777" w:rsidR="00D06F2D" w:rsidRPr="00D06F2D" w:rsidRDefault="00D06F2D" w:rsidP="00D06F2D">
      <w:pPr>
        <w:pStyle w:val="EndNoteBibliography"/>
        <w:ind w:left="720" w:hanging="720"/>
        <w:rPr>
          <w:noProof/>
        </w:rPr>
      </w:pPr>
      <w:r w:rsidRPr="00D06F2D">
        <w:rPr>
          <w:noProof/>
        </w:rPr>
        <w:t xml:space="preserve">CHERNEY, D. Z. I., SCHOLEY, J. W., NASRALLAH, R., DEKKER, M. G., SLORACH, C., BRADLEY, T. J., HEBERT, R. L., SOCHETT, E. B. &amp; MILLER, J. A. 2008. Renal hemodynamic effect of cyclooxygenase 2 inhibition in young men and women with uncomplicated type 1 diabetes mellitus. </w:t>
      </w:r>
      <w:r w:rsidRPr="00D06F2D">
        <w:rPr>
          <w:i/>
          <w:noProof/>
        </w:rPr>
        <w:t>American Journal of Physiology-Renal Physiology,</w:t>
      </w:r>
      <w:r w:rsidRPr="00D06F2D">
        <w:rPr>
          <w:noProof/>
        </w:rPr>
        <w:t xml:space="preserve"> 294</w:t>
      </w:r>
      <w:r w:rsidRPr="00D06F2D">
        <w:rPr>
          <w:b/>
          <w:noProof/>
        </w:rPr>
        <w:t>,</w:t>
      </w:r>
      <w:r w:rsidRPr="00D06F2D">
        <w:rPr>
          <w:noProof/>
        </w:rPr>
        <w:t xml:space="preserve"> F1336-F1341.</w:t>
      </w:r>
    </w:p>
    <w:p w14:paraId="6901C22C" w14:textId="77777777" w:rsidR="00D06F2D" w:rsidRPr="00D06F2D" w:rsidRDefault="00D06F2D" w:rsidP="00D06F2D">
      <w:pPr>
        <w:pStyle w:val="EndNoteBibliography"/>
        <w:ind w:left="720" w:hanging="720"/>
        <w:rPr>
          <w:noProof/>
        </w:rPr>
      </w:pPr>
      <w:r w:rsidRPr="00D06F2D">
        <w:rPr>
          <w:noProof/>
        </w:rPr>
        <w:t xml:space="preserve">CHO, N. H., SHAW, J. E., KARURANGA, S., HUANG, Y., DA ROCHA FERNANDES, J. D., OHLROGGE, A. W. &amp; MALANDA, B. 2018. IDF Diabetes Atlas: Global estimates of diabetes prevalence for 2017 and projections for 2045. </w:t>
      </w:r>
      <w:r w:rsidRPr="00D06F2D">
        <w:rPr>
          <w:i/>
          <w:noProof/>
        </w:rPr>
        <w:t>Diabetes Research and Clinical Practice,</w:t>
      </w:r>
      <w:r w:rsidRPr="00D06F2D">
        <w:rPr>
          <w:noProof/>
        </w:rPr>
        <w:t xml:space="preserve"> 138</w:t>
      </w:r>
      <w:r w:rsidRPr="00D06F2D">
        <w:rPr>
          <w:b/>
          <w:noProof/>
        </w:rPr>
        <w:t>,</w:t>
      </w:r>
      <w:r w:rsidRPr="00D06F2D">
        <w:rPr>
          <w:noProof/>
        </w:rPr>
        <w:t xml:space="preserve"> 271-281.</w:t>
      </w:r>
    </w:p>
    <w:p w14:paraId="09867577" w14:textId="77777777" w:rsidR="00D06F2D" w:rsidRPr="00D06F2D" w:rsidRDefault="00D06F2D" w:rsidP="00D06F2D">
      <w:pPr>
        <w:pStyle w:val="EndNoteBibliography"/>
        <w:ind w:left="720" w:hanging="720"/>
        <w:rPr>
          <w:noProof/>
        </w:rPr>
      </w:pPr>
      <w:r w:rsidRPr="00D06F2D">
        <w:rPr>
          <w:noProof/>
        </w:rPr>
        <w:t xml:space="preserve">CHOI, J. C., KIM, J., KANG, E., LEE, J. M., CHA, J., KIM, Y. J., LEE, H. G., CHOI, J. H. &amp; YI, D. J. 2016. Brain mechanisms of pain relief by transcutaneous electrical nerve stimulation: A functional magnetic resonance imaging study. </w:t>
      </w:r>
      <w:r w:rsidRPr="00D06F2D">
        <w:rPr>
          <w:i/>
          <w:noProof/>
        </w:rPr>
        <w:t>European Journal of Pain,</w:t>
      </w:r>
      <w:r w:rsidRPr="00D06F2D">
        <w:rPr>
          <w:noProof/>
        </w:rPr>
        <w:t xml:space="preserve"> 20</w:t>
      </w:r>
      <w:r w:rsidRPr="00D06F2D">
        <w:rPr>
          <w:b/>
          <w:noProof/>
        </w:rPr>
        <w:t>,</w:t>
      </w:r>
      <w:r w:rsidRPr="00D06F2D">
        <w:rPr>
          <w:noProof/>
        </w:rPr>
        <w:t xml:space="preserve"> 92-105.</w:t>
      </w:r>
    </w:p>
    <w:p w14:paraId="0C8C347C" w14:textId="77777777" w:rsidR="00D06F2D" w:rsidRPr="00D06F2D" w:rsidRDefault="00D06F2D" w:rsidP="00D06F2D">
      <w:pPr>
        <w:pStyle w:val="EndNoteBibliography"/>
        <w:ind w:left="720" w:hanging="720"/>
        <w:rPr>
          <w:noProof/>
        </w:rPr>
      </w:pPr>
      <w:r w:rsidRPr="00D06F2D">
        <w:rPr>
          <w:noProof/>
        </w:rPr>
        <w:t xml:space="preserve">CHOONG-WAN, W., CHANG, L., LÓPEZ-SOLÀ, M., JACKSON, P., FAN, J. &amp; WAGER, T. 2016. Somatic and vicarious pain are represented by dissociable multivariate brain patterns. </w:t>
      </w:r>
      <w:r w:rsidRPr="00D06F2D">
        <w:rPr>
          <w:i/>
          <w:noProof/>
        </w:rPr>
        <w:t>eLife,</w:t>
      </w:r>
      <w:r w:rsidRPr="00D06F2D">
        <w:rPr>
          <w:noProof/>
        </w:rPr>
        <w:t xml:space="preserve"> 5.</w:t>
      </w:r>
    </w:p>
    <w:p w14:paraId="22AFC89F" w14:textId="77777777" w:rsidR="00D06F2D" w:rsidRPr="00D06F2D" w:rsidRDefault="00D06F2D" w:rsidP="00D06F2D">
      <w:pPr>
        <w:pStyle w:val="EndNoteBibliography"/>
        <w:ind w:left="720" w:hanging="720"/>
        <w:rPr>
          <w:noProof/>
        </w:rPr>
      </w:pPr>
      <w:r w:rsidRPr="00D06F2D">
        <w:rPr>
          <w:noProof/>
        </w:rPr>
        <w:t xml:space="preserve">CICCHETTI, D. 1994. Guidelines, criteria, and rules of thumb for evaluating normed and standardized assessment instruments in psychology. </w:t>
      </w:r>
      <w:r w:rsidRPr="00D06F2D">
        <w:rPr>
          <w:i/>
          <w:noProof/>
        </w:rPr>
        <w:t>Psychological Assessment,</w:t>
      </w:r>
      <w:r w:rsidRPr="00D06F2D">
        <w:rPr>
          <w:noProof/>
        </w:rPr>
        <w:t xml:space="preserve"> 6</w:t>
      </w:r>
      <w:r w:rsidRPr="00D06F2D">
        <w:rPr>
          <w:b/>
          <w:noProof/>
        </w:rPr>
        <w:t>,</w:t>
      </w:r>
      <w:r w:rsidRPr="00D06F2D">
        <w:rPr>
          <w:noProof/>
        </w:rPr>
        <w:t xml:space="preserve"> 284-290.</w:t>
      </w:r>
    </w:p>
    <w:p w14:paraId="1F0B1D95" w14:textId="77777777" w:rsidR="00D06F2D" w:rsidRPr="00D06F2D" w:rsidRDefault="00D06F2D" w:rsidP="00D06F2D">
      <w:pPr>
        <w:pStyle w:val="EndNoteBibliography"/>
        <w:ind w:left="720" w:hanging="720"/>
        <w:rPr>
          <w:noProof/>
        </w:rPr>
      </w:pPr>
      <w:r w:rsidRPr="00D06F2D">
        <w:rPr>
          <w:noProof/>
        </w:rPr>
        <w:t xml:space="preserve">CLARKE, B. F., EWING, D. J. &amp; CAMPBELL, I. W. 1979. DIABETIC AUTONOMIC NEUROPATHY. </w:t>
      </w:r>
      <w:r w:rsidRPr="00D06F2D">
        <w:rPr>
          <w:i/>
          <w:noProof/>
        </w:rPr>
        <w:t>Diabetologia,</w:t>
      </w:r>
      <w:r w:rsidRPr="00D06F2D">
        <w:rPr>
          <w:noProof/>
        </w:rPr>
        <w:t xml:space="preserve"> 17</w:t>
      </w:r>
      <w:r w:rsidRPr="00D06F2D">
        <w:rPr>
          <w:b/>
          <w:noProof/>
        </w:rPr>
        <w:t>,</w:t>
      </w:r>
      <w:r w:rsidRPr="00D06F2D">
        <w:rPr>
          <w:noProof/>
        </w:rPr>
        <w:t xml:space="preserve"> 195-212.</w:t>
      </w:r>
    </w:p>
    <w:p w14:paraId="1DF59B9B" w14:textId="77777777" w:rsidR="00D06F2D" w:rsidRPr="00D06F2D" w:rsidRDefault="00D06F2D" w:rsidP="00D06F2D">
      <w:pPr>
        <w:pStyle w:val="EndNoteBibliography"/>
        <w:ind w:left="720" w:hanging="720"/>
        <w:rPr>
          <w:noProof/>
        </w:rPr>
      </w:pPr>
      <w:r w:rsidRPr="00D06F2D">
        <w:rPr>
          <w:noProof/>
        </w:rPr>
        <w:t xml:space="preserve">COGHILL, R. C., TALBOT, J. D., EVANS, A. C., MEYER, E., GJEDDE, A., BUSHNELL, M. C. &amp; DUNCAN, G. H. 1994. DISTRIBUTED-PROCESSING OF PAIN AND VIBRATION BY THE HUMAN BRAIN. </w:t>
      </w:r>
      <w:r w:rsidRPr="00D06F2D">
        <w:rPr>
          <w:i/>
          <w:noProof/>
        </w:rPr>
        <w:t>Journal of Neuroscience,</w:t>
      </w:r>
      <w:r w:rsidRPr="00D06F2D">
        <w:rPr>
          <w:noProof/>
        </w:rPr>
        <w:t xml:space="preserve"> 14</w:t>
      </w:r>
      <w:r w:rsidRPr="00D06F2D">
        <w:rPr>
          <w:b/>
          <w:noProof/>
        </w:rPr>
        <w:t>,</w:t>
      </w:r>
      <w:r w:rsidRPr="00D06F2D">
        <w:rPr>
          <w:noProof/>
        </w:rPr>
        <w:t xml:space="preserve"> 4095-4108.</w:t>
      </w:r>
    </w:p>
    <w:p w14:paraId="4A2782A4" w14:textId="77777777" w:rsidR="00D06F2D" w:rsidRPr="00D06F2D" w:rsidRDefault="00D06F2D" w:rsidP="00D06F2D">
      <w:pPr>
        <w:pStyle w:val="EndNoteBibliography"/>
        <w:ind w:left="720" w:hanging="720"/>
        <w:rPr>
          <w:noProof/>
        </w:rPr>
      </w:pPr>
      <w:r w:rsidRPr="00D06F2D">
        <w:rPr>
          <w:noProof/>
        </w:rPr>
        <w:t xml:space="preserve">CONRAD, R., WEGENER, I., GEISER, F. &amp; KLEIMAN, A. 2013. Temperament, Character, and Personality Disorders in Chronic Pain. </w:t>
      </w:r>
      <w:r w:rsidRPr="00D06F2D">
        <w:rPr>
          <w:i/>
          <w:noProof/>
        </w:rPr>
        <w:t>Current Pain and Headache Reports,</w:t>
      </w:r>
      <w:r w:rsidRPr="00D06F2D">
        <w:rPr>
          <w:noProof/>
        </w:rPr>
        <w:t xml:space="preserve"> 17.</w:t>
      </w:r>
    </w:p>
    <w:p w14:paraId="0768D165" w14:textId="77777777" w:rsidR="00D06F2D" w:rsidRPr="00D06F2D" w:rsidRDefault="00D06F2D" w:rsidP="00D06F2D">
      <w:pPr>
        <w:pStyle w:val="EndNoteBibliography"/>
        <w:ind w:left="720" w:hanging="720"/>
        <w:rPr>
          <w:noProof/>
        </w:rPr>
      </w:pPr>
      <w:r w:rsidRPr="00D06F2D">
        <w:rPr>
          <w:noProof/>
        </w:rPr>
        <w:t xml:space="preserve">CONTE, G., CASTELLANO, A., ALTABELLA, L., IADANZA, A., CADIOLI, M., FALINI, A. &amp; ANZALONE, N. 2017. Reproducibility of dynamic contrast-enhanced MRI and dynamic susceptibility contrast MRI in the study of brain gliomas: a comparison of data obtained using different commercial software. </w:t>
      </w:r>
      <w:r w:rsidRPr="00D06F2D">
        <w:rPr>
          <w:i/>
          <w:noProof/>
        </w:rPr>
        <w:t>La Radiologia medica,</w:t>
      </w:r>
      <w:r w:rsidRPr="00D06F2D">
        <w:rPr>
          <w:noProof/>
        </w:rPr>
        <w:t xml:space="preserve"> 122</w:t>
      </w:r>
      <w:r w:rsidRPr="00D06F2D">
        <w:rPr>
          <w:b/>
          <w:noProof/>
        </w:rPr>
        <w:t>,</w:t>
      </w:r>
      <w:r w:rsidRPr="00D06F2D">
        <w:rPr>
          <w:noProof/>
        </w:rPr>
        <w:t xml:space="preserve"> 294-302.</w:t>
      </w:r>
    </w:p>
    <w:p w14:paraId="38311E6F" w14:textId="77777777" w:rsidR="00D06F2D" w:rsidRPr="00D06F2D" w:rsidRDefault="00D06F2D" w:rsidP="00D06F2D">
      <w:pPr>
        <w:pStyle w:val="EndNoteBibliography"/>
        <w:ind w:left="720" w:hanging="720"/>
        <w:rPr>
          <w:noProof/>
        </w:rPr>
      </w:pPr>
      <w:r w:rsidRPr="00D06F2D">
        <w:rPr>
          <w:noProof/>
        </w:rPr>
        <w:t xml:space="preserve">COPEN, W. A., SCHAEFER, P. W. &amp; WU, O. 2011. MR perfusion imaging in acute ischemic stroke. </w:t>
      </w:r>
      <w:r w:rsidRPr="00D06F2D">
        <w:rPr>
          <w:i/>
          <w:noProof/>
        </w:rPr>
        <w:t>Neuroimaging Clin N Am,</w:t>
      </w:r>
      <w:r w:rsidRPr="00D06F2D">
        <w:rPr>
          <w:noProof/>
        </w:rPr>
        <w:t xml:space="preserve"> 21</w:t>
      </w:r>
      <w:r w:rsidRPr="00D06F2D">
        <w:rPr>
          <w:b/>
          <w:noProof/>
        </w:rPr>
        <w:t>,</w:t>
      </w:r>
      <w:r w:rsidRPr="00D06F2D">
        <w:rPr>
          <w:noProof/>
        </w:rPr>
        <w:t xml:space="preserve"> 259-83, x.</w:t>
      </w:r>
    </w:p>
    <w:p w14:paraId="678405FE" w14:textId="77777777" w:rsidR="00D06F2D" w:rsidRPr="00D06F2D" w:rsidRDefault="00D06F2D" w:rsidP="00D06F2D">
      <w:pPr>
        <w:pStyle w:val="EndNoteBibliography"/>
        <w:ind w:left="720" w:hanging="720"/>
        <w:rPr>
          <w:noProof/>
        </w:rPr>
      </w:pPr>
      <w:r w:rsidRPr="00D06F2D">
        <w:rPr>
          <w:noProof/>
        </w:rPr>
        <w:t xml:space="preserve">CRUCCU, G., SOMMER, C., ANAND, P., ATTAL, N., BARON, R., GARCIA-LARREA, L., HAANPAA, M., JENSEN, T. S., SERRA, J. &amp; TREEDE, R. D. 2010. EFNS guidelines on neuropathic pain assessment: revised 2009. </w:t>
      </w:r>
      <w:r w:rsidRPr="00D06F2D">
        <w:rPr>
          <w:i/>
          <w:noProof/>
        </w:rPr>
        <w:t>European Journal of Neurology,</w:t>
      </w:r>
      <w:r w:rsidRPr="00D06F2D">
        <w:rPr>
          <w:noProof/>
        </w:rPr>
        <w:t xml:space="preserve"> 17</w:t>
      </w:r>
      <w:r w:rsidRPr="00D06F2D">
        <w:rPr>
          <w:b/>
          <w:noProof/>
        </w:rPr>
        <w:t>,</w:t>
      </w:r>
      <w:r w:rsidRPr="00D06F2D">
        <w:rPr>
          <w:noProof/>
        </w:rPr>
        <w:t xml:space="preserve"> 1010-1018.</w:t>
      </w:r>
    </w:p>
    <w:p w14:paraId="2ADD10F0" w14:textId="77777777" w:rsidR="00D06F2D" w:rsidRPr="00D06F2D" w:rsidRDefault="00D06F2D" w:rsidP="00D06F2D">
      <w:pPr>
        <w:pStyle w:val="EndNoteBibliography"/>
        <w:ind w:left="720" w:hanging="720"/>
        <w:rPr>
          <w:noProof/>
        </w:rPr>
      </w:pPr>
      <w:r w:rsidRPr="00D06F2D">
        <w:rPr>
          <w:noProof/>
        </w:rPr>
        <w:t xml:space="preserve">CURRIE, C. J., POOLE, C. D., WOEHL, A., MORGAN, C. L., CAWLEY, S., ROUSCULP, M. D., COVINGTON, M. T. &amp; PETERS, J. R. 2006. The health-related utility and health-related quality of life of hospital-treated subjects with </w:t>
      </w:r>
      <w:r w:rsidRPr="00D06F2D">
        <w:rPr>
          <w:noProof/>
        </w:rPr>
        <w:lastRenderedPageBreak/>
        <w:t xml:space="preserve">type 1 or type 2 diabetes with particular reference to differing severity of peripheral neuropathy. </w:t>
      </w:r>
      <w:r w:rsidRPr="00D06F2D">
        <w:rPr>
          <w:i/>
          <w:noProof/>
        </w:rPr>
        <w:t>Diabetologia,</w:t>
      </w:r>
      <w:r w:rsidRPr="00D06F2D">
        <w:rPr>
          <w:noProof/>
        </w:rPr>
        <w:t xml:space="preserve"> 49</w:t>
      </w:r>
      <w:r w:rsidRPr="00D06F2D">
        <w:rPr>
          <w:b/>
          <w:noProof/>
        </w:rPr>
        <w:t>,</w:t>
      </w:r>
      <w:r w:rsidRPr="00D06F2D">
        <w:rPr>
          <w:noProof/>
        </w:rPr>
        <w:t xml:space="preserve"> 2272-80.</w:t>
      </w:r>
    </w:p>
    <w:p w14:paraId="0D2FD7B7" w14:textId="77777777" w:rsidR="00D06F2D" w:rsidRPr="00D06F2D" w:rsidRDefault="00D06F2D" w:rsidP="00D06F2D">
      <w:pPr>
        <w:pStyle w:val="EndNoteBibliography"/>
        <w:ind w:left="720" w:hanging="720"/>
        <w:rPr>
          <w:noProof/>
        </w:rPr>
      </w:pPr>
      <w:r w:rsidRPr="00D06F2D">
        <w:rPr>
          <w:noProof/>
        </w:rPr>
        <w:t xml:space="preserve">CVORO, V., MARSHALL, I., ARMITAGE, P. A., BASTIN, M. E., CARPENTER, T., RIVERS, C. S., DENNIS, M. S. &amp; WARDLAW, J. M. 2010. MR diffusion and perfusion parameters: relationship to metabolites in acute ischaemic stroke. </w:t>
      </w:r>
      <w:r w:rsidRPr="00D06F2D">
        <w:rPr>
          <w:i/>
          <w:noProof/>
        </w:rPr>
        <w:t>Journal of Neurology, Neurosurgery &amp; Psychiatry,</w:t>
      </w:r>
      <w:r w:rsidRPr="00D06F2D">
        <w:rPr>
          <w:noProof/>
        </w:rPr>
        <w:t xml:space="preserve"> 81</w:t>
      </w:r>
      <w:r w:rsidRPr="00D06F2D">
        <w:rPr>
          <w:b/>
          <w:noProof/>
        </w:rPr>
        <w:t>,</w:t>
      </w:r>
      <w:r w:rsidRPr="00D06F2D">
        <w:rPr>
          <w:noProof/>
        </w:rPr>
        <w:t xml:space="preserve"> 185.</w:t>
      </w:r>
    </w:p>
    <w:p w14:paraId="3BF10D4B" w14:textId="77777777" w:rsidR="00D06F2D" w:rsidRPr="00D06F2D" w:rsidRDefault="00D06F2D" w:rsidP="00D06F2D">
      <w:pPr>
        <w:pStyle w:val="EndNoteBibliography"/>
        <w:ind w:left="720" w:hanging="720"/>
        <w:rPr>
          <w:noProof/>
        </w:rPr>
      </w:pPr>
      <w:r w:rsidRPr="00D06F2D">
        <w:rPr>
          <w:noProof/>
        </w:rPr>
        <w:t xml:space="preserve">DACOSTA DIBONAVENTURA, M., CAPPELLERI, J. C. &amp; JOSHI, A. V. 2011. A longitudinal assessment of painful diabetic peripheral neuropathy on health status, productivity, and health care utilization and cost. </w:t>
      </w:r>
      <w:r w:rsidRPr="00D06F2D">
        <w:rPr>
          <w:i/>
          <w:noProof/>
        </w:rPr>
        <w:t>Pain Med,</w:t>
      </w:r>
      <w:r w:rsidRPr="00D06F2D">
        <w:rPr>
          <w:noProof/>
        </w:rPr>
        <w:t xml:space="preserve"> 12</w:t>
      </w:r>
      <w:r w:rsidRPr="00D06F2D">
        <w:rPr>
          <w:b/>
          <w:noProof/>
        </w:rPr>
        <w:t>,</w:t>
      </w:r>
      <w:r w:rsidRPr="00D06F2D">
        <w:rPr>
          <w:noProof/>
        </w:rPr>
        <w:t xml:space="preserve"> 118-26.</w:t>
      </w:r>
    </w:p>
    <w:p w14:paraId="3D733785" w14:textId="77777777" w:rsidR="00D06F2D" w:rsidRPr="00D06F2D" w:rsidRDefault="00D06F2D" w:rsidP="00D06F2D">
      <w:pPr>
        <w:pStyle w:val="EndNoteBibliography"/>
        <w:ind w:left="720" w:hanging="720"/>
        <w:rPr>
          <w:noProof/>
        </w:rPr>
      </w:pPr>
      <w:r w:rsidRPr="00D06F2D">
        <w:rPr>
          <w:noProof/>
        </w:rPr>
        <w:t xml:space="preserve">DAI, W., ROBSON, P. M., SHANKARANARAYANAN, A. &amp; ALSOP, D. C. 2011. Sensitivity Calibration With a Uniform Magnetization Image to Improve Arterial Spin Labeling Perfusion Quantification. </w:t>
      </w:r>
      <w:r w:rsidRPr="00D06F2D">
        <w:rPr>
          <w:i/>
          <w:noProof/>
        </w:rPr>
        <w:t>Magnetic Resonance in Medicine,</w:t>
      </w:r>
      <w:r w:rsidRPr="00D06F2D">
        <w:rPr>
          <w:noProof/>
        </w:rPr>
        <w:t xml:space="preserve"> 66</w:t>
      </w:r>
      <w:r w:rsidRPr="00D06F2D">
        <w:rPr>
          <w:b/>
          <w:noProof/>
        </w:rPr>
        <w:t>,</w:t>
      </w:r>
      <w:r w:rsidRPr="00D06F2D">
        <w:rPr>
          <w:noProof/>
        </w:rPr>
        <w:t xml:space="preserve"> 1590-1600.</w:t>
      </w:r>
    </w:p>
    <w:p w14:paraId="2AB445F8" w14:textId="77777777" w:rsidR="00D06F2D" w:rsidRPr="00D06F2D" w:rsidRDefault="00D06F2D" w:rsidP="00D06F2D">
      <w:pPr>
        <w:pStyle w:val="EndNoteBibliography"/>
        <w:ind w:left="720" w:hanging="720"/>
        <w:rPr>
          <w:noProof/>
        </w:rPr>
      </w:pPr>
      <w:r w:rsidRPr="00D06F2D">
        <w:rPr>
          <w:noProof/>
        </w:rPr>
        <w:t xml:space="preserve">DAOUSI, C., BENBOW, S. J. &amp; MACFARLANE, I. A. 2005. Electrical spinal cord stimulation in the long-term treatment of chronic painful diabetic neuropathy. </w:t>
      </w:r>
      <w:r w:rsidRPr="00D06F2D">
        <w:rPr>
          <w:i/>
          <w:noProof/>
        </w:rPr>
        <w:t>Diabetic Medicine,</w:t>
      </w:r>
      <w:r w:rsidRPr="00D06F2D">
        <w:rPr>
          <w:noProof/>
        </w:rPr>
        <w:t xml:space="preserve"> 22</w:t>
      </w:r>
      <w:r w:rsidRPr="00D06F2D">
        <w:rPr>
          <w:b/>
          <w:noProof/>
        </w:rPr>
        <w:t>,</w:t>
      </w:r>
      <w:r w:rsidRPr="00D06F2D">
        <w:rPr>
          <w:noProof/>
        </w:rPr>
        <w:t xml:space="preserve"> 393-398.</w:t>
      </w:r>
    </w:p>
    <w:p w14:paraId="559E23EA" w14:textId="77777777" w:rsidR="00D06F2D" w:rsidRPr="00D06F2D" w:rsidRDefault="00D06F2D" w:rsidP="00D06F2D">
      <w:pPr>
        <w:pStyle w:val="EndNoteBibliography"/>
        <w:ind w:left="720" w:hanging="720"/>
        <w:rPr>
          <w:noProof/>
        </w:rPr>
      </w:pPr>
      <w:r w:rsidRPr="00D06F2D">
        <w:rPr>
          <w:noProof/>
        </w:rPr>
        <w:t xml:space="preserve">DAOUSI, C., BENBOW, S. J., WOODWARD, A. &amp; MACFARLANE, I. A. 2006. The natural history of chronic painful peripheral neuropathy in a community diabetes population. </w:t>
      </w:r>
      <w:r w:rsidRPr="00D06F2D">
        <w:rPr>
          <w:i/>
          <w:noProof/>
        </w:rPr>
        <w:t>Diabetic Medicine,</w:t>
      </w:r>
      <w:r w:rsidRPr="00D06F2D">
        <w:rPr>
          <w:noProof/>
        </w:rPr>
        <w:t xml:space="preserve"> 23.</w:t>
      </w:r>
    </w:p>
    <w:p w14:paraId="416ED25E" w14:textId="77777777" w:rsidR="00D06F2D" w:rsidRPr="00D06F2D" w:rsidRDefault="00D06F2D" w:rsidP="00D06F2D">
      <w:pPr>
        <w:pStyle w:val="EndNoteBibliography"/>
        <w:ind w:left="720" w:hanging="720"/>
        <w:rPr>
          <w:noProof/>
        </w:rPr>
      </w:pPr>
      <w:r w:rsidRPr="00D06F2D">
        <w:rPr>
          <w:noProof/>
        </w:rPr>
        <w:t xml:space="preserve">DAVIES, J., SELVARAJAH, D., SANKAR, A., CACHIA, E., TRACEY, I., WILKINSON, I. &amp; TESFAYE, S. 2011. A functional magnetic resonance imaging study of central pain processing of co-existing depression in painful diabetic neuropathy. </w:t>
      </w:r>
      <w:r w:rsidRPr="00D06F2D">
        <w:rPr>
          <w:i/>
          <w:noProof/>
        </w:rPr>
        <w:t>Diabetologia,</w:t>
      </w:r>
      <w:r w:rsidRPr="00D06F2D">
        <w:rPr>
          <w:noProof/>
        </w:rPr>
        <w:t xml:space="preserve"> 54</w:t>
      </w:r>
      <w:r w:rsidRPr="00D06F2D">
        <w:rPr>
          <w:b/>
          <w:noProof/>
        </w:rPr>
        <w:t>,</w:t>
      </w:r>
      <w:r w:rsidRPr="00D06F2D">
        <w:rPr>
          <w:noProof/>
        </w:rPr>
        <w:t xml:space="preserve"> S460-S460.</w:t>
      </w:r>
    </w:p>
    <w:p w14:paraId="108D0766" w14:textId="77777777" w:rsidR="00D06F2D" w:rsidRPr="00D06F2D" w:rsidRDefault="00D06F2D" w:rsidP="00D06F2D">
      <w:pPr>
        <w:pStyle w:val="EndNoteBibliography"/>
        <w:ind w:left="720" w:hanging="720"/>
        <w:rPr>
          <w:noProof/>
        </w:rPr>
      </w:pPr>
      <w:r w:rsidRPr="00D06F2D">
        <w:rPr>
          <w:noProof/>
        </w:rPr>
        <w:t xml:space="preserve">DAVIES, M., BROPHY, S., WILLIAMS, R. &amp; TAYLOR, A. 2006. The Prevalence, Severity, and Impact of Painful Diabetic Peripheral Neuropathy in Type 2 Diabetes. </w:t>
      </w:r>
      <w:r w:rsidRPr="00D06F2D">
        <w:rPr>
          <w:i/>
          <w:noProof/>
        </w:rPr>
        <w:t>Diabetes Care,</w:t>
      </w:r>
      <w:r w:rsidRPr="00D06F2D">
        <w:rPr>
          <w:noProof/>
        </w:rPr>
        <w:t xml:space="preserve"> 29</w:t>
      </w:r>
      <w:r w:rsidRPr="00D06F2D">
        <w:rPr>
          <w:b/>
          <w:noProof/>
        </w:rPr>
        <w:t>,</w:t>
      </w:r>
      <w:r w:rsidRPr="00D06F2D">
        <w:rPr>
          <w:noProof/>
        </w:rPr>
        <w:t xml:space="preserve"> 1518-1522.</w:t>
      </w:r>
    </w:p>
    <w:p w14:paraId="775112FC" w14:textId="77777777" w:rsidR="00D06F2D" w:rsidRPr="00D06F2D" w:rsidRDefault="00D06F2D" w:rsidP="00D06F2D">
      <w:pPr>
        <w:pStyle w:val="EndNoteBibliography"/>
        <w:ind w:left="720" w:hanging="720"/>
        <w:rPr>
          <w:noProof/>
        </w:rPr>
      </w:pPr>
      <w:r w:rsidRPr="00D06F2D">
        <w:rPr>
          <w:noProof/>
        </w:rPr>
        <w:t xml:space="preserve">DAVIS, K. D., KWAN, C. L., CRAWLEY, A. P. &amp; MIKULIS, D. J. 1998. Functional MRI study of thalamic and cortical activations evoked by cutaneous heat, cold, and tactile stimuli. </w:t>
      </w:r>
      <w:r w:rsidRPr="00D06F2D">
        <w:rPr>
          <w:i/>
          <w:noProof/>
        </w:rPr>
        <w:t>Journal of Neurophysiology,</w:t>
      </w:r>
      <w:r w:rsidRPr="00D06F2D">
        <w:rPr>
          <w:noProof/>
        </w:rPr>
        <w:t xml:space="preserve"> 80</w:t>
      </w:r>
      <w:r w:rsidRPr="00D06F2D">
        <w:rPr>
          <w:b/>
          <w:noProof/>
        </w:rPr>
        <w:t>,</w:t>
      </w:r>
      <w:r w:rsidRPr="00D06F2D">
        <w:rPr>
          <w:noProof/>
        </w:rPr>
        <w:t xml:space="preserve"> 1533-1546.</w:t>
      </w:r>
    </w:p>
    <w:p w14:paraId="7C0A95AB" w14:textId="77777777" w:rsidR="00D06F2D" w:rsidRPr="00D06F2D" w:rsidRDefault="00D06F2D" w:rsidP="00D06F2D">
      <w:pPr>
        <w:pStyle w:val="EndNoteBibliography"/>
        <w:ind w:left="720" w:hanging="720"/>
        <w:rPr>
          <w:noProof/>
        </w:rPr>
      </w:pPr>
      <w:r w:rsidRPr="00D06F2D">
        <w:rPr>
          <w:noProof/>
        </w:rPr>
        <w:t xml:space="preserve">DE VOS, C. C., RAJAN, V., STEENBERGEN, W., VAN DER AA, H. E. &amp; BUSCHMAN, H. P. J. 2009. Effect and safety of spinal cord stimulation for treatment of chronic pain caused by diabetic neuropathy. </w:t>
      </w:r>
      <w:r w:rsidRPr="00D06F2D">
        <w:rPr>
          <w:i/>
          <w:noProof/>
        </w:rPr>
        <w:t>Journal of Diabetes and Its Complications,</w:t>
      </w:r>
      <w:r w:rsidRPr="00D06F2D">
        <w:rPr>
          <w:noProof/>
        </w:rPr>
        <w:t xml:space="preserve"> 23</w:t>
      </w:r>
      <w:r w:rsidRPr="00D06F2D">
        <w:rPr>
          <w:b/>
          <w:noProof/>
        </w:rPr>
        <w:t>,</w:t>
      </w:r>
      <w:r w:rsidRPr="00D06F2D">
        <w:rPr>
          <w:noProof/>
        </w:rPr>
        <w:t xml:space="preserve"> 40-45.</w:t>
      </w:r>
    </w:p>
    <w:p w14:paraId="3D41FBA7" w14:textId="77777777" w:rsidR="00D06F2D" w:rsidRPr="00D06F2D" w:rsidRDefault="00D06F2D" w:rsidP="00D06F2D">
      <w:pPr>
        <w:pStyle w:val="EndNoteBibliography"/>
        <w:ind w:left="720" w:hanging="720"/>
        <w:rPr>
          <w:noProof/>
        </w:rPr>
      </w:pPr>
      <w:r w:rsidRPr="00D06F2D">
        <w:rPr>
          <w:noProof/>
        </w:rPr>
        <w:t xml:space="preserve">DEIBLER, A. R., POLLOCK, J. M., KRAFT, R. A., TAN, H., BURDETTE, J. H. &amp; MALDJIAN, J. A. 2008. Arterial spin-labeling in routine clinical practice, part 1: Technique and artifacts. </w:t>
      </w:r>
      <w:r w:rsidRPr="00D06F2D">
        <w:rPr>
          <w:i/>
          <w:noProof/>
        </w:rPr>
        <w:t>American Journal of Neuroradiology,</w:t>
      </w:r>
      <w:r w:rsidRPr="00D06F2D">
        <w:rPr>
          <w:noProof/>
        </w:rPr>
        <w:t xml:space="preserve"> 29</w:t>
      </w:r>
      <w:r w:rsidRPr="00D06F2D">
        <w:rPr>
          <w:b/>
          <w:noProof/>
        </w:rPr>
        <w:t>,</w:t>
      </w:r>
      <w:r w:rsidRPr="00D06F2D">
        <w:rPr>
          <w:noProof/>
        </w:rPr>
        <w:t xml:space="preserve"> 1228-1234.</w:t>
      </w:r>
    </w:p>
    <w:p w14:paraId="2257A3AA" w14:textId="77777777" w:rsidR="00D06F2D" w:rsidRPr="00D06F2D" w:rsidRDefault="00D06F2D" w:rsidP="00D06F2D">
      <w:pPr>
        <w:pStyle w:val="EndNoteBibliography"/>
        <w:ind w:left="720" w:hanging="720"/>
        <w:rPr>
          <w:noProof/>
        </w:rPr>
      </w:pPr>
      <w:r w:rsidRPr="00D06F2D">
        <w:rPr>
          <w:noProof/>
        </w:rPr>
        <w:t xml:space="preserve">DESCALZI, G., MITSI, V., PURUSHOTHAMAN, I., GASPARI, S., AVRAMPOU, K., LOH, Y.-H. E., SHEN, L. &amp; ZACHARIOU, V. 2017. Neuropathic pain promotes adaptive changes in gene expression in brain networks involved in stress and depression. </w:t>
      </w:r>
      <w:r w:rsidRPr="00D06F2D">
        <w:rPr>
          <w:i/>
          <w:noProof/>
        </w:rPr>
        <w:t>Science signaling,</w:t>
      </w:r>
      <w:r w:rsidRPr="00D06F2D">
        <w:rPr>
          <w:noProof/>
        </w:rPr>
        <w:t xml:space="preserve"> 10.</w:t>
      </w:r>
    </w:p>
    <w:p w14:paraId="4B74E589" w14:textId="77777777" w:rsidR="00D06F2D" w:rsidRPr="00D06F2D" w:rsidRDefault="00D06F2D" w:rsidP="00D06F2D">
      <w:pPr>
        <w:pStyle w:val="EndNoteBibliography"/>
        <w:ind w:left="720" w:hanging="720"/>
        <w:rPr>
          <w:noProof/>
        </w:rPr>
      </w:pPr>
      <w:r w:rsidRPr="00D06F2D">
        <w:rPr>
          <w:noProof/>
        </w:rPr>
        <w:t xml:space="preserve">DETRE, J. A., RAO, H., WANG, D. J., CHEN, Y. F. &amp; WANG, Z. 2012. Applications of arterial spin labeled MRI in the brain. </w:t>
      </w:r>
      <w:r w:rsidRPr="00D06F2D">
        <w:rPr>
          <w:i/>
          <w:noProof/>
        </w:rPr>
        <w:t>J Magn Reson Imaging.,</w:t>
      </w:r>
      <w:r w:rsidRPr="00D06F2D">
        <w:rPr>
          <w:noProof/>
        </w:rPr>
        <w:t xml:space="preserve"> 35</w:t>
      </w:r>
      <w:r w:rsidRPr="00D06F2D">
        <w:rPr>
          <w:b/>
          <w:noProof/>
        </w:rPr>
        <w:t>,</w:t>
      </w:r>
      <w:r w:rsidRPr="00D06F2D">
        <w:rPr>
          <w:noProof/>
        </w:rPr>
        <w:t xml:space="preserve"> 1026-37. doi: 10.1002/jmri.23581. Epub 2012 Jan 13.</w:t>
      </w:r>
    </w:p>
    <w:p w14:paraId="2465B00F" w14:textId="77777777" w:rsidR="00D06F2D" w:rsidRPr="00D06F2D" w:rsidRDefault="00D06F2D" w:rsidP="00D06F2D">
      <w:pPr>
        <w:pStyle w:val="EndNoteBibliography"/>
        <w:ind w:left="720" w:hanging="720"/>
        <w:rPr>
          <w:noProof/>
        </w:rPr>
      </w:pPr>
      <w:r w:rsidRPr="00D06F2D">
        <w:rPr>
          <w:noProof/>
        </w:rPr>
        <w:t xml:space="preserve">DEVITT, M. 2012. AAN, AANEM, and AAPMR Publish Guideline for Treatment of Painful Diabetic Neuropathy. </w:t>
      </w:r>
      <w:r w:rsidRPr="00D06F2D">
        <w:rPr>
          <w:i/>
          <w:noProof/>
        </w:rPr>
        <w:t>American Family Physician,</w:t>
      </w:r>
      <w:r w:rsidRPr="00D06F2D">
        <w:rPr>
          <w:noProof/>
        </w:rPr>
        <w:t xml:space="preserve"> 86.</w:t>
      </w:r>
    </w:p>
    <w:p w14:paraId="0F824A6E" w14:textId="77777777" w:rsidR="00D06F2D" w:rsidRPr="00D06F2D" w:rsidRDefault="00D06F2D" w:rsidP="00D06F2D">
      <w:pPr>
        <w:pStyle w:val="EndNoteBibliography"/>
        <w:ind w:left="720" w:hanging="720"/>
        <w:rPr>
          <w:noProof/>
        </w:rPr>
      </w:pPr>
      <w:r w:rsidRPr="00D06F2D">
        <w:rPr>
          <w:noProof/>
        </w:rPr>
        <w:t xml:space="preserve">DIJKSTRA, H., SIJENS, P. E., VAN DER HOORN, A. &amp; VAN LAAR, P. J. 2020. Inter-observer reproducibility of quantitative dynamic susceptibility contrast and diffusion MRI parameters in histogram analysis of gliomas. </w:t>
      </w:r>
      <w:r w:rsidRPr="00D06F2D">
        <w:rPr>
          <w:i/>
          <w:noProof/>
        </w:rPr>
        <w:t>Acta Radiologica,</w:t>
      </w:r>
      <w:r w:rsidRPr="00D06F2D">
        <w:rPr>
          <w:noProof/>
        </w:rPr>
        <w:t xml:space="preserve"> 61</w:t>
      </w:r>
      <w:r w:rsidRPr="00D06F2D">
        <w:rPr>
          <w:b/>
          <w:noProof/>
        </w:rPr>
        <w:t>,</w:t>
      </w:r>
      <w:r w:rsidRPr="00D06F2D">
        <w:rPr>
          <w:noProof/>
        </w:rPr>
        <w:t xml:space="preserve"> 76-84.</w:t>
      </w:r>
    </w:p>
    <w:p w14:paraId="6037C97C" w14:textId="77777777" w:rsidR="00D06F2D" w:rsidRPr="00D06F2D" w:rsidRDefault="00D06F2D" w:rsidP="00D06F2D">
      <w:pPr>
        <w:pStyle w:val="EndNoteBibliography"/>
        <w:ind w:left="720" w:hanging="720"/>
        <w:rPr>
          <w:noProof/>
        </w:rPr>
      </w:pPr>
      <w:r w:rsidRPr="00D06F2D">
        <w:rPr>
          <w:noProof/>
        </w:rPr>
        <w:lastRenderedPageBreak/>
        <w:t xml:space="preserve">DOTH, A. H., HANSSON, P. T., JENSEN, M. P. &amp; TAYLOR, R. S. 2010. The burden of neuropathic pain: a systematic review and meta-analysis of health utilities. </w:t>
      </w:r>
      <w:r w:rsidRPr="00D06F2D">
        <w:rPr>
          <w:i/>
          <w:noProof/>
        </w:rPr>
        <w:t>Pain,</w:t>
      </w:r>
      <w:r w:rsidRPr="00D06F2D">
        <w:rPr>
          <w:noProof/>
        </w:rPr>
        <w:t xml:space="preserve"> 149</w:t>
      </w:r>
      <w:r w:rsidRPr="00D06F2D">
        <w:rPr>
          <w:b/>
          <w:noProof/>
        </w:rPr>
        <w:t>,</w:t>
      </w:r>
      <w:r w:rsidRPr="00D06F2D">
        <w:rPr>
          <w:noProof/>
        </w:rPr>
        <w:t xml:space="preserve"> 338-44.</w:t>
      </w:r>
    </w:p>
    <w:p w14:paraId="7856F15F" w14:textId="77777777" w:rsidR="00D06F2D" w:rsidRPr="00D06F2D" w:rsidRDefault="00D06F2D" w:rsidP="00D06F2D">
      <w:pPr>
        <w:pStyle w:val="EndNoteBibliography"/>
        <w:ind w:left="720" w:hanging="720"/>
        <w:rPr>
          <w:noProof/>
        </w:rPr>
      </w:pPr>
      <w:r w:rsidRPr="00D06F2D">
        <w:rPr>
          <w:noProof/>
        </w:rPr>
        <w:t xml:space="preserve">DUARTE, J. M. N., LEI, H. X., MLYNARIK, V. &amp; GRUETTER, R. 2012. The neurochemical profile quantified by in vivo H-1 NMR spectroscopy. </w:t>
      </w:r>
      <w:r w:rsidRPr="00D06F2D">
        <w:rPr>
          <w:i/>
          <w:noProof/>
        </w:rPr>
        <w:t>Neuroimage,</w:t>
      </w:r>
      <w:r w:rsidRPr="00D06F2D">
        <w:rPr>
          <w:noProof/>
        </w:rPr>
        <w:t xml:space="preserve"> 61</w:t>
      </w:r>
      <w:r w:rsidRPr="00D06F2D">
        <w:rPr>
          <w:b/>
          <w:noProof/>
        </w:rPr>
        <w:t>,</w:t>
      </w:r>
      <w:r w:rsidRPr="00D06F2D">
        <w:rPr>
          <w:noProof/>
        </w:rPr>
        <w:t xml:space="preserve"> 342-362.</w:t>
      </w:r>
    </w:p>
    <w:p w14:paraId="618114B3" w14:textId="77777777" w:rsidR="00D06F2D" w:rsidRPr="00D06F2D" w:rsidRDefault="00D06F2D" w:rsidP="00D06F2D">
      <w:pPr>
        <w:pStyle w:val="EndNoteBibliography"/>
        <w:ind w:left="720" w:hanging="720"/>
        <w:rPr>
          <w:noProof/>
        </w:rPr>
      </w:pPr>
      <w:r w:rsidRPr="00D06F2D">
        <w:rPr>
          <w:noProof/>
        </w:rPr>
        <w:t xml:space="preserve">DUARTE, J. V., PEREIRA, J. M. S., QUENDERA, B., RAIMUNDO, M., MORENO, C., GOMES, L., CARRILHO, F. &amp; CASTELO-BRANCO, M. 2015. Early disrupted neurovascular coupling and changed event level hemodynamic response function in type 2 diabetes: an fMRI study. </w:t>
      </w:r>
      <w:r w:rsidRPr="00D06F2D">
        <w:rPr>
          <w:i/>
          <w:noProof/>
        </w:rPr>
        <w:t>Journal of Cerebral Blood Flow and Metabolism,</w:t>
      </w:r>
      <w:r w:rsidRPr="00D06F2D">
        <w:rPr>
          <w:noProof/>
        </w:rPr>
        <w:t xml:space="preserve"> 35</w:t>
      </w:r>
      <w:r w:rsidRPr="00D06F2D">
        <w:rPr>
          <w:b/>
          <w:noProof/>
        </w:rPr>
        <w:t>,</w:t>
      </w:r>
      <w:r w:rsidRPr="00D06F2D">
        <w:rPr>
          <w:noProof/>
        </w:rPr>
        <w:t xml:space="preserve"> 1671-1680.</w:t>
      </w:r>
    </w:p>
    <w:p w14:paraId="08CBE991" w14:textId="77777777" w:rsidR="00D06F2D" w:rsidRPr="00D06F2D" w:rsidRDefault="00D06F2D" w:rsidP="00D06F2D">
      <w:pPr>
        <w:pStyle w:val="EndNoteBibliography"/>
        <w:ind w:left="720" w:hanging="720"/>
        <w:rPr>
          <w:noProof/>
        </w:rPr>
      </w:pPr>
      <w:r w:rsidRPr="00D06F2D">
        <w:rPr>
          <w:noProof/>
        </w:rPr>
        <w:t xml:space="preserve">DUERDEN, E. G. &amp; ALBANESE, M. C. 2013. Localization of pain-related brain activation: A meta-analysis of neuroimaging data. </w:t>
      </w:r>
      <w:r w:rsidRPr="00D06F2D">
        <w:rPr>
          <w:i/>
          <w:noProof/>
        </w:rPr>
        <w:t>Human Brain Mapping,</w:t>
      </w:r>
      <w:r w:rsidRPr="00D06F2D">
        <w:rPr>
          <w:noProof/>
        </w:rPr>
        <w:t xml:space="preserve"> 34</w:t>
      </w:r>
      <w:r w:rsidRPr="00D06F2D">
        <w:rPr>
          <w:b/>
          <w:noProof/>
        </w:rPr>
        <w:t>,</w:t>
      </w:r>
      <w:r w:rsidRPr="00D06F2D">
        <w:rPr>
          <w:noProof/>
        </w:rPr>
        <w:t xml:space="preserve"> 109-149.</w:t>
      </w:r>
    </w:p>
    <w:p w14:paraId="61116E51" w14:textId="77777777" w:rsidR="00D06F2D" w:rsidRPr="00D06F2D" w:rsidRDefault="00D06F2D" w:rsidP="00D06F2D">
      <w:pPr>
        <w:pStyle w:val="EndNoteBibliography"/>
        <w:ind w:left="720" w:hanging="720"/>
        <w:rPr>
          <w:noProof/>
        </w:rPr>
      </w:pPr>
      <w:r w:rsidRPr="00D06F2D">
        <w:rPr>
          <w:noProof/>
        </w:rPr>
        <w:t xml:space="preserve">DURAN-JIMENEZ, B., DOBLER, D., MOFFATT, S., RABBANI, N., STREULI, C., THORNALLEY, P., TOMLINSON, D. &amp; GARDINER, N. 2009. Advanced Glycation End Products in Extracellular Matrix Proteins Contribute to the Failure of Sensory Nerve Regeneration in Diabetes. </w:t>
      </w:r>
      <w:r w:rsidRPr="00D06F2D">
        <w:rPr>
          <w:i/>
          <w:noProof/>
        </w:rPr>
        <w:t>Diabetes,</w:t>
      </w:r>
      <w:r w:rsidRPr="00D06F2D">
        <w:rPr>
          <w:noProof/>
        </w:rPr>
        <w:t xml:space="preserve"> 58</w:t>
      </w:r>
      <w:r w:rsidRPr="00D06F2D">
        <w:rPr>
          <w:b/>
          <w:noProof/>
        </w:rPr>
        <w:t>,</w:t>
      </w:r>
      <w:r w:rsidRPr="00D06F2D">
        <w:rPr>
          <w:noProof/>
        </w:rPr>
        <w:t xml:space="preserve"> 2893-2903.</w:t>
      </w:r>
    </w:p>
    <w:p w14:paraId="21507460" w14:textId="77777777" w:rsidR="00D06F2D" w:rsidRPr="00D06F2D" w:rsidRDefault="00D06F2D" w:rsidP="00D06F2D">
      <w:pPr>
        <w:pStyle w:val="EndNoteBibliography"/>
        <w:ind w:left="720" w:hanging="720"/>
        <w:rPr>
          <w:noProof/>
        </w:rPr>
      </w:pPr>
      <w:r w:rsidRPr="00D06F2D">
        <w:rPr>
          <w:noProof/>
        </w:rPr>
        <w:t xml:space="preserve">DWORKIN, R. H., HARTSTEIN, G., ROSNER, H. L., WALTHER, R. R., SWEENEY, E. W. &amp; BRAND, L. 1992. A High-Risk Method for Studying Psychosocial Antecedents of Chronic Pain: The Prospective Investigation of Herpes Zoster. </w:t>
      </w:r>
      <w:r w:rsidRPr="00D06F2D">
        <w:rPr>
          <w:i/>
          <w:noProof/>
        </w:rPr>
        <w:t>J Abnorm Psychol,</w:t>
      </w:r>
      <w:r w:rsidRPr="00D06F2D">
        <w:rPr>
          <w:noProof/>
        </w:rPr>
        <w:t xml:space="preserve"> 101</w:t>
      </w:r>
      <w:r w:rsidRPr="00D06F2D">
        <w:rPr>
          <w:b/>
          <w:noProof/>
        </w:rPr>
        <w:t>,</w:t>
      </w:r>
      <w:r w:rsidRPr="00D06F2D">
        <w:rPr>
          <w:noProof/>
        </w:rPr>
        <w:t xml:space="preserve"> 200-205.</w:t>
      </w:r>
    </w:p>
    <w:p w14:paraId="452DD9F7" w14:textId="77777777" w:rsidR="00D06F2D" w:rsidRPr="00D06F2D" w:rsidRDefault="00D06F2D" w:rsidP="00D06F2D">
      <w:pPr>
        <w:pStyle w:val="EndNoteBibliography"/>
        <w:ind w:left="720" w:hanging="720"/>
        <w:rPr>
          <w:noProof/>
        </w:rPr>
      </w:pPr>
      <w:r w:rsidRPr="00D06F2D">
        <w:rPr>
          <w:noProof/>
        </w:rPr>
        <w:t xml:space="preserve">DYCK, P. J., ALBERS, J. W., ANDERSEN, H., AREZZO, J. C., BIESSELS, G. J., BRIL, V., FELDMAN, E. L., LITCHY, W. J., O'BRIEN, P. C., RUSSELL, J. W. &amp; NEUROPATHY*, O. B. O. T. T. E. P. O. D. 2011a. Diabetic Polyneuropathies: Update on Research Definition, Diagnostic Criteria and Estimation of Severity. </w:t>
      </w:r>
      <w:r w:rsidRPr="00D06F2D">
        <w:rPr>
          <w:i/>
          <w:noProof/>
        </w:rPr>
        <w:t>Diabetes Metab Res Rev,</w:t>
      </w:r>
      <w:r w:rsidRPr="00D06F2D">
        <w:rPr>
          <w:noProof/>
        </w:rPr>
        <w:t xml:space="preserve"> 27</w:t>
      </w:r>
      <w:r w:rsidRPr="00D06F2D">
        <w:rPr>
          <w:b/>
          <w:noProof/>
        </w:rPr>
        <w:t>,</w:t>
      </w:r>
      <w:r w:rsidRPr="00D06F2D">
        <w:rPr>
          <w:noProof/>
        </w:rPr>
        <w:t xml:space="preserve"> 620-628.</w:t>
      </w:r>
    </w:p>
    <w:p w14:paraId="67A1DA93" w14:textId="77777777" w:rsidR="00D06F2D" w:rsidRPr="00D06F2D" w:rsidRDefault="00D06F2D" w:rsidP="00D06F2D">
      <w:pPr>
        <w:pStyle w:val="EndNoteBibliography"/>
        <w:ind w:left="720" w:hanging="720"/>
        <w:rPr>
          <w:noProof/>
        </w:rPr>
      </w:pPr>
      <w:r w:rsidRPr="00D06F2D">
        <w:rPr>
          <w:noProof/>
        </w:rPr>
        <w:t xml:space="preserve">DYCK, P. J., ALBERS, J. W., ANDERSEN, H., AREZZO, J. C., BIESSELS, G. J., BRIL, V., FELDMAN, E. L., LITCHY, W. J., O'BRIEN, P. C., RUSSELL, J. W. &amp; NEUROPATHY*, O. B. O. T. T. E. P. O. D. 2011b. Diabetic Polyneuropathies: Update on Research Definition, Diagnostic Criteria and Estimation of Severity. </w:t>
      </w:r>
      <w:r w:rsidRPr="00D06F2D">
        <w:rPr>
          <w:i/>
          <w:noProof/>
        </w:rPr>
        <w:t>Diabetes Metab Res Rev</w:t>
      </w:r>
      <w:r w:rsidRPr="00D06F2D">
        <w:rPr>
          <w:noProof/>
        </w:rPr>
        <w:t>.</w:t>
      </w:r>
    </w:p>
    <w:p w14:paraId="7C9D7EB9" w14:textId="77777777" w:rsidR="00D06F2D" w:rsidRPr="00D06F2D" w:rsidRDefault="00D06F2D" w:rsidP="00D06F2D">
      <w:pPr>
        <w:pStyle w:val="EndNoteBibliography"/>
        <w:ind w:left="720" w:hanging="720"/>
        <w:rPr>
          <w:noProof/>
        </w:rPr>
      </w:pPr>
      <w:r w:rsidRPr="00D06F2D">
        <w:rPr>
          <w:noProof/>
        </w:rPr>
        <w:t xml:space="preserve">DYCK, P. J., DAVIES, J. L., LITCHY, W. J. &amp; O'BRIEN, P. C. 1997. Longitudinal assessment of diabetic polyneuropathy using a composite score in the Rochester Diabetic Neuropathy Study cohort. </w:t>
      </w:r>
      <w:r w:rsidRPr="00D06F2D">
        <w:rPr>
          <w:i/>
          <w:noProof/>
        </w:rPr>
        <w:t>Neurology,</w:t>
      </w:r>
      <w:r w:rsidRPr="00D06F2D">
        <w:rPr>
          <w:noProof/>
        </w:rPr>
        <w:t xml:space="preserve"> 49</w:t>
      </w:r>
      <w:r w:rsidRPr="00D06F2D">
        <w:rPr>
          <w:b/>
          <w:noProof/>
        </w:rPr>
        <w:t>,</w:t>
      </w:r>
      <w:r w:rsidRPr="00D06F2D">
        <w:rPr>
          <w:noProof/>
        </w:rPr>
        <w:t xml:space="preserve"> 229-39.</w:t>
      </w:r>
    </w:p>
    <w:p w14:paraId="49F8E64B" w14:textId="77777777" w:rsidR="00D06F2D" w:rsidRPr="00D06F2D" w:rsidRDefault="00D06F2D" w:rsidP="00D06F2D">
      <w:pPr>
        <w:pStyle w:val="EndNoteBibliography"/>
        <w:ind w:left="720" w:hanging="720"/>
        <w:rPr>
          <w:noProof/>
        </w:rPr>
      </w:pPr>
      <w:r w:rsidRPr="00D06F2D">
        <w:rPr>
          <w:noProof/>
        </w:rPr>
        <w:t xml:space="preserve">DYCK, P. J., KRATZ, K. M., KARNES, J. L., LITCHY, W. J., KLEIN, R., PACH, J. M., WILSON, D. M., O'BRIEN, P. C., MELTON, L. J., 3RD &amp; SERVICE, F. J. 1993a. The prevalence by staged severity of various types of diabetic neuropathy, retinopathy, and nephropathy in a population-based cohort: the Rochester Diabetic Neuropathy Study. </w:t>
      </w:r>
      <w:r w:rsidRPr="00D06F2D">
        <w:rPr>
          <w:i/>
          <w:noProof/>
        </w:rPr>
        <w:t>Neurology,</w:t>
      </w:r>
      <w:r w:rsidRPr="00D06F2D">
        <w:rPr>
          <w:noProof/>
        </w:rPr>
        <w:t xml:space="preserve"> 43</w:t>
      </w:r>
      <w:r w:rsidRPr="00D06F2D">
        <w:rPr>
          <w:b/>
          <w:noProof/>
        </w:rPr>
        <w:t>,</w:t>
      </w:r>
      <w:r w:rsidRPr="00D06F2D">
        <w:rPr>
          <w:noProof/>
        </w:rPr>
        <w:t xml:space="preserve"> 817-24.</w:t>
      </w:r>
    </w:p>
    <w:p w14:paraId="1722A92F" w14:textId="77777777" w:rsidR="00D06F2D" w:rsidRPr="00D06F2D" w:rsidRDefault="00D06F2D" w:rsidP="00D06F2D">
      <w:pPr>
        <w:pStyle w:val="EndNoteBibliography"/>
        <w:ind w:left="720" w:hanging="720"/>
        <w:rPr>
          <w:noProof/>
        </w:rPr>
      </w:pPr>
      <w:r w:rsidRPr="00D06F2D">
        <w:rPr>
          <w:noProof/>
        </w:rPr>
        <w:t xml:space="preserve">DYCK, P. J., LITCHY, W. J., DAUBE, J. R., HARPER, C. M., DYCK, P. J. B., DAVIES, J., APOS &amp; BRIEN, P. C. 2003. Individual attributes versus composite scores of nerve conduction abnormality: Sensitivity, reproducibility, and concordance with impairment. </w:t>
      </w:r>
      <w:r w:rsidRPr="00D06F2D">
        <w:rPr>
          <w:i/>
          <w:noProof/>
        </w:rPr>
        <w:t>Muscle Nerve,</w:t>
      </w:r>
      <w:r w:rsidRPr="00D06F2D">
        <w:rPr>
          <w:noProof/>
        </w:rPr>
        <w:t xml:space="preserve"> 27</w:t>
      </w:r>
      <w:r w:rsidRPr="00D06F2D">
        <w:rPr>
          <w:b/>
          <w:noProof/>
        </w:rPr>
        <w:t>,</w:t>
      </w:r>
      <w:r w:rsidRPr="00D06F2D">
        <w:rPr>
          <w:noProof/>
        </w:rPr>
        <w:t xml:space="preserve"> 202-210.</w:t>
      </w:r>
    </w:p>
    <w:p w14:paraId="783BCC06" w14:textId="77777777" w:rsidR="00D06F2D" w:rsidRPr="00D06F2D" w:rsidRDefault="00D06F2D" w:rsidP="00D06F2D">
      <w:pPr>
        <w:pStyle w:val="EndNoteBibliography"/>
        <w:ind w:left="720" w:hanging="720"/>
        <w:rPr>
          <w:noProof/>
        </w:rPr>
      </w:pPr>
      <w:r w:rsidRPr="00D06F2D">
        <w:rPr>
          <w:noProof/>
        </w:rPr>
        <w:t xml:space="preserve">DYCK, P. J., LITCHY, W. J., LEHMAN, K. A., HOKANSON, J. L., LOW, P. A. &amp; O'BRIEN, P. C. 1995. Variables influencing neuropathic endpoints: the Rochester Diabetic Neuropathy Study of Healthy Subjects. </w:t>
      </w:r>
      <w:r w:rsidRPr="00D06F2D">
        <w:rPr>
          <w:i/>
          <w:noProof/>
        </w:rPr>
        <w:t>Neurology,</w:t>
      </w:r>
      <w:r w:rsidRPr="00D06F2D">
        <w:rPr>
          <w:noProof/>
        </w:rPr>
        <w:t xml:space="preserve"> 45</w:t>
      </w:r>
      <w:r w:rsidRPr="00D06F2D">
        <w:rPr>
          <w:b/>
          <w:noProof/>
        </w:rPr>
        <w:t>,</w:t>
      </w:r>
      <w:r w:rsidRPr="00D06F2D">
        <w:rPr>
          <w:noProof/>
        </w:rPr>
        <w:t xml:space="preserve"> 1115-21.</w:t>
      </w:r>
    </w:p>
    <w:p w14:paraId="40C410CC" w14:textId="77777777" w:rsidR="00D06F2D" w:rsidRPr="00D06F2D" w:rsidRDefault="00D06F2D" w:rsidP="00D06F2D">
      <w:pPr>
        <w:pStyle w:val="EndNoteBibliography"/>
        <w:ind w:left="720" w:hanging="720"/>
        <w:rPr>
          <w:noProof/>
        </w:rPr>
      </w:pPr>
      <w:r w:rsidRPr="00D06F2D">
        <w:rPr>
          <w:noProof/>
        </w:rPr>
        <w:lastRenderedPageBreak/>
        <w:t xml:space="preserve">DYCK, P. J., O'BRIEN, P. C., KOSANKE, J. L., GILLEN, D. A. &amp; KARNES, J. L. 1993b. A 4, 2, and 1 stepping algorithm for quick and accurate estimation of cutaneous sensation threshold. </w:t>
      </w:r>
      <w:r w:rsidRPr="00D06F2D">
        <w:rPr>
          <w:i/>
          <w:noProof/>
        </w:rPr>
        <w:t>Neurology,</w:t>
      </w:r>
      <w:r w:rsidRPr="00D06F2D">
        <w:rPr>
          <w:noProof/>
        </w:rPr>
        <w:t xml:space="preserve"> 43</w:t>
      </w:r>
      <w:r w:rsidRPr="00D06F2D">
        <w:rPr>
          <w:b/>
          <w:noProof/>
        </w:rPr>
        <w:t>,</w:t>
      </w:r>
      <w:r w:rsidRPr="00D06F2D">
        <w:rPr>
          <w:noProof/>
        </w:rPr>
        <w:t xml:space="preserve"> 1508-12.</w:t>
      </w:r>
    </w:p>
    <w:p w14:paraId="774037EF" w14:textId="77777777" w:rsidR="00D06F2D" w:rsidRPr="00D06F2D" w:rsidRDefault="00D06F2D" w:rsidP="00D06F2D">
      <w:pPr>
        <w:pStyle w:val="EndNoteBibliography"/>
        <w:ind w:left="720" w:hanging="720"/>
        <w:rPr>
          <w:noProof/>
        </w:rPr>
      </w:pPr>
      <w:r w:rsidRPr="00D06F2D">
        <w:rPr>
          <w:noProof/>
        </w:rPr>
        <w:t xml:space="preserve">DYCK, P. J., OBRIEN, P. C., KOSANKE, J. L., GILLEN, D. A. &amp; KARNES, J. L. 1993c. A 4, 2, AND 1 STEPPING ALGORITHM FOR QUICK AND ACCURATE ESTIMATION OF CUTANEOUS SENSATION THRESHOLD. </w:t>
      </w:r>
      <w:r w:rsidRPr="00D06F2D">
        <w:rPr>
          <w:i/>
          <w:noProof/>
        </w:rPr>
        <w:t>Neurology,</w:t>
      </w:r>
      <w:r w:rsidRPr="00D06F2D">
        <w:rPr>
          <w:noProof/>
        </w:rPr>
        <w:t xml:space="preserve"> 43</w:t>
      </w:r>
      <w:r w:rsidRPr="00D06F2D">
        <w:rPr>
          <w:b/>
          <w:noProof/>
        </w:rPr>
        <w:t>,</w:t>
      </w:r>
      <w:r w:rsidRPr="00D06F2D">
        <w:rPr>
          <w:noProof/>
        </w:rPr>
        <w:t xml:space="preserve"> 1508-1512.</w:t>
      </w:r>
    </w:p>
    <w:p w14:paraId="26B4B067" w14:textId="77777777" w:rsidR="00D06F2D" w:rsidRPr="00D06F2D" w:rsidRDefault="00D06F2D" w:rsidP="00D06F2D">
      <w:pPr>
        <w:pStyle w:val="EndNoteBibliography"/>
        <w:ind w:left="720" w:hanging="720"/>
        <w:rPr>
          <w:noProof/>
        </w:rPr>
      </w:pPr>
      <w:r w:rsidRPr="00D06F2D">
        <w:rPr>
          <w:noProof/>
        </w:rPr>
        <w:t xml:space="preserve">DYCK, P. J., ZIMMERMAN, I., GILLEN, D. A., JOHNSON, D., KARNES, J. L. &amp; OBRIEN, P. C. 1993d. COOL, WARM, AND HEAT-PAIN DETECTION THRESHOLDS - TESTING METHODS AND INFERENCES ABOUT ANATOMIC DISTRIBUTION OF RECEPTORS. </w:t>
      </w:r>
      <w:r w:rsidRPr="00D06F2D">
        <w:rPr>
          <w:i/>
          <w:noProof/>
        </w:rPr>
        <w:t>Neurology,</w:t>
      </w:r>
      <w:r w:rsidRPr="00D06F2D">
        <w:rPr>
          <w:noProof/>
        </w:rPr>
        <w:t xml:space="preserve"> 43</w:t>
      </w:r>
      <w:r w:rsidRPr="00D06F2D">
        <w:rPr>
          <w:b/>
          <w:noProof/>
        </w:rPr>
        <w:t>,</w:t>
      </w:r>
      <w:r w:rsidRPr="00D06F2D">
        <w:rPr>
          <w:noProof/>
        </w:rPr>
        <w:t xml:space="preserve"> 1500-1508.</w:t>
      </w:r>
    </w:p>
    <w:p w14:paraId="356AB150" w14:textId="77777777" w:rsidR="00D06F2D" w:rsidRPr="00D06F2D" w:rsidRDefault="00D06F2D" w:rsidP="00D06F2D">
      <w:pPr>
        <w:pStyle w:val="EndNoteBibliography"/>
        <w:ind w:left="720" w:hanging="720"/>
        <w:rPr>
          <w:noProof/>
        </w:rPr>
      </w:pPr>
      <w:r w:rsidRPr="00D06F2D">
        <w:rPr>
          <w:noProof/>
        </w:rPr>
        <w:t xml:space="preserve">D’AMATO, C., MORGANTI, R., GRECO, C., DI GENNARO, F., CACCIOTTI, L., LONGO, S., MATALUNI, G., LAURO, D., MARFIA, G. A. &amp; SPALLONE, V. 2016a. Diabetic peripheral neuropathic pain is a stronger predictor of depression than other diabetic complications and comorbidities. </w:t>
      </w:r>
      <w:r w:rsidRPr="00D06F2D">
        <w:rPr>
          <w:i/>
          <w:noProof/>
        </w:rPr>
        <w:t>Diabetes &amp; Vascular Disease Research</w:t>
      </w:r>
      <w:r w:rsidRPr="00D06F2D">
        <w:rPr>
          <w:b/>
          <w:noProof/>
        </w:rPr>
        <w:t>,</w:t>
      </w:r>
      <w:r w:rsidRPr="00D06F2D">
        <w:rPr>
          <w:noProof/>
        </w:rPr>
        <w:t xml:space="preserve"> 418-428.</w:t>
      </w:r>
    </w:p>
    <w:p w14:paraId="4F95B6C4" w14:textId="77777777" w:rsidR="00D06F2D" w:rsidRPr="00D06F2D" w:rsidRDefault="00D06F2D" w:rsidP="00D06F2D">
      <w:pPr>
        <w:pStyle w:val="EndNoteBibliography"/>
        <w:ind w:left="720" w:hanging="720"/>
        <w:rPr>
          <w:noProof/>
        </w:rPr>
      </w:pPr>
      <w:r w:rsidRPr="00D06F2D">
        <w:rPr>
          <w:noProof/>
        </w:rPr>
        <w:t xml:space="preserve">D’AMATO, C., MORGANTI, R., GRECO, C., DI GENNARO, F., CACCIOTTI, L., LONGO, S., MATALUNI, G., LAURO, D., MARFIA, G. A. &amp; SPALLONE, V. 2016b. Diabetic peripheral neuropathic pain is a stronger predictor of depression than other diabetic complications and comorbidities. </w:t>
      </w:r>
      <w:r w:rsidRPr="00D06F2D">
        <w:rPr>
          <w:i/>
          <w:noProof/>
        </w:rPr>
        <w:t>Diabetes &amp; Vascular Disease Research,</w:t>
      </w:r>
      <w:r w:rsidRPr="00D06F2D">
        <w:rPr>
          <w:noProof/>
        </w:rPr>
        <w:t xml:space="preserve"> 13</w:t>
      </w:r>
      <w:r w:rsidRPr="00D06F2D">
        <w:rPr>
          <w:b/>
          <w:noProof/>
        </w:rPr>
        <w:t>,</w:t>
      </w:r>
      <w:r w:rsidRPr="00D06F2D">
        <w:rPr>
          <w:noProof/>
        </w:rPr>
        <w:t xml:space="preserve"> 418-428.</w:t>
      </w:r>
    </w:p>
    <w:p w14:paraId="0A2CE509" w14:textId="77777777" w:rsidR="00D06F2D" w:rsidRPr="00D06F2D" w:rsidRDefault="00D06F2D" w:rsidP="00D06F2D">
      <w:pPr>
        <w:pStyle w:val="EndNoteBibliography"/>
        <w:ind w:left="720" w:hanging="720"/>
        <w:rPr>
          <w:noProof/>
        </w:rPr>
      </w:pPr>
      <w:r w:rsidRPr="00D06F2D">
        <w:rPr>
          <w:noProof/>
        </w:rPr>
        <w:t xml:space="preserve">EANES, A., BAIR, E., MARTIN, C., IYER, P. &amp; ZOLNOUN, D. 2011. Psychosexual correlates of persistent postsurgical pain in patients with vulvodynia. </w:t>
      </w:r>
      <w:r w:rsidRPr="00D06F2D">
        <w:rPr>
          <w:i/>
          <w:noProof/>
        </w:rPr>
        <w:t>Int J Gynaecol Obstet,</w:t>
      </w:r>
      <w:r w:rsidRPr="00D06F2D">
        <w:rPr>
          <w:noProof/>
        </w:rPr>
        <w:t xml:space="preserve"> 113</w:t>
      </w:r>
      <w:r w:rsidRPr="00D06F2D">
        <w:rPr>
          <w:b/>
          <w:noProof/>
        </w:rPr>
        <w:t>,</w:t>
      </w:r>
      <w:r w:rsidRPr="00D06F2D">
        <w:rPr>
          <w:noProof/>
        </w:rPr>
        <w:t xml:space="preserve"> 225-8.</w:t>
      </w:r>
    </w:p>
    <w:p w14:paraId="1FAA556F" w14:textId="77777777" w:rsidR="00D06F2D" w:rsidRPr="00D06F2D" w:rsidRDefault="00D06F2D" w:rsidP="00D06F2D">
      <w:pPr>
        <w:pStyle w:val="EndNoteBibliography"/>
        <w:ind w:left="720" w:hanging="720"/>
        <w:rPr>
          <w:noProof/>
        </w:rPr>
      </w:pPr>
      <w:r w:rsidRPr="00D06F2D">
        <w:rPr>
          <w:noProof/>
        </w:rPr>
        <w:t xml:space="preserve">EATON, S. E. M., HARRIS, N. D., IBRAHIM, S., PATEL, K. A., SELMI, F., RADATZ, M., WARD, J. D. &amp; TESFAYE, S. 2003. Increased sural nerve epineurial blood flow in human subjects with painful diabetic neuropathy. </w:t>
      </w:r>
      <w:r w:rsidRPr="00D06F2D">
        <w:rPr>
          <w:i/>
          <w:noProof/>
        </w:rPr>
        <w:t>Diabetologia,</w:t>
      </w:r>
      <w:r w:rsidRPr="00D06F2D">
        <w:rPr>
          <w:noProof/>
        </w:rPr>
        <w:t xml:space="preserve"> 46</w:t>
      </w:r>
      <w:r w:rsidRPr="00D06F2D">
        <w:rPr>
          <w:b/>
          <w:noProof/>
        </w:rPr>
        <w:t>,</w:t>
      </w:r>
      <w:r w:rsidRPr="00D06F2D">
        <w:rPr>
          <w:noProof/>
        </w:rPr>
        <w:t xml:space="preserve"> 934-939.</w:t>
      </w:r>
    </w:p>
    <w:p w14:paraId="6D1F6BA1" w14:textId="77777777" w:rsidR="00D06F2D" w:rsidRPr="00D06F2D" w:rsidRDefault="00D06F2D" w:rsidP="00D06F2D">
      <w:pPr>
        <w:pStyle w:val="EndNoteBibliography"/>
        <w:ind w:left="720" w:hanging="720"/>
        <w:rPr>
          <w:noProof/>
        </w:rPr>
      </w:pPr>
      <w:r w:rsidRPr="00D06F2D">
        <w:rPr>
          <w:noProof/>
        </w:rPr>
        <w:t xml:space="preserve">EDELMAN, R. R., MATTLE, H. P., ATKINSON, D. J., HILL, T., FINN, J. P., MAYMAN, C., RONTHAL, M., HOOGEWOUD, H. M. &amp; KLEEFIELD, J. 1990. CEREBRAL BLOOD-FLOW - ASSESSMENT WITH DYNAMIC CONTRAST-ENHANCED T2-STAR-WEIGHTED MR IMAGING AT 1.5-T. </w:t>
      </w:r>
      <w:r w:rsidRPr="00D06F2D">
        <w:rPr>
          <w:i/>
          <w:noProof/>
        </w:rPr>
        <w:t>Radiology,</w:t>
      </w:r>
      <w:r w:rsidRPr="00D06F2D">
        <w:rPr>
          <w:noProof/>
        </w:rPr>
        <w:t xml:space="preserve"> 176</w:t>
      </w:r>
      <w:r w:rsidRPr="00D06F2D">
        <w:rPr>
          <w:b/>
          <w:noProof/>
        </w:rPr>
        <w:t>,</w:t>
      </w:r>
      <w:r w:rsidRPr="00D06F2D">
        <w:rPr>
          <w:noProof/>
        </w:rPr>
        <w:t xml:space="preserve"> 211-220.</w:t>
      </w:r>
    </w:p>
    <w:p w14:paraId="4FF923BC" w14:textId="77777777" w:rsidR="00D06F2D" w:rsidRPr="00D06F2D" w:rsidRDefault="00D06F2D" w:rsidP="00D06F2D">
      <w:pPr>
        <w:pStyle w:val="EndNoteBibliography"/>
        <w:ind w:left="720" w:hanging="720"/>
        <w:rPr>
          <w:noProof/>
        </w:rPr>
      </w:pPr>
      <w:r w:rsidRPr="00D06F2D">
        <w:rPr>
          <w:noProof/>
        </w:rPr>
        <w:t xml:space="preserve">EDWARDS, R. R., DWORKIN, H. R., TURK, C. D., ANGST, S. M., DIONNE, B. R., FREEMAN, S. R., HANSSON, B. P., HAROUTOUNIAN, S. S., ARENDT-NIELSEN, P. L., ATTAL, A. N., BARON, D. R., BRELL, A. J., BUJANOVER, S. C. S., BURKE, M. L., CARR, S. D., CHAPPELL, M. A., COWAN, D. P., ETROPOLSKI, D. M., FILLINGIM, D. R., GEWANDTER, D. J., KATZ, D. N., KOPECKY, D. E., MARKMAN, D. J., NOMIKOS, D. G., PORTER, D. L., RAPPAPORT, D. B., RICE, D. A., SCAVONE, D. J., SCHOLZ, D. J., SIMON, D. L., SMITH, D. S., TOBIAS, D. J., TOCKARSHEWSKY, D. T., VEASLEY, D. C., VERSAVEL, D. M., WASAN, D. A., WEN, D. W. &amp; YARNITSKY, D. D. 2016. Patient phenotyping in clinical trials of chronic pain treatments: IMMPACT recommendations. </w:t>
      </w:r>
      <w:r w:rsidRPr="00D06F2D">
        <w:rPr>
          <w:i/>
          <w:noProof/>
        </w:rPr>
        <w:t>PAIN,</w:t>
      </w:r>
      <w:r w:rsidRPr="00D06F2D">
        <w:rPr>
          <w:noProof/>
        </w:rPr>
        <w:t xml:space="preserve"> 157</w:t>
      </w:r>
      <w:r w:rsidRPr="00D06F2D">
        <w:rPr>
          <w:b/>
          <w:noProof/>
        </w:rPr>
        <w:t>,</w:t>
      </w:r>
      <w:r w:rsidRPr="00D06F2D">
        <w:rPr>
          <w:noProof/>
        </w:rPr>
        <w:t xml:space="preserve"> 1851-1871.</w:t>
      </w:r>
    </w:p>
    <w:p w14:paraId="44DAE839" w14:textId="77777777" w:rsidR="00D06F2D" w:rsidRPr="00D06F2D" w:rsidRDefault="00D06F2D" w:rsidP="00D06F2D">
      <w:pPr>
        <w:pStyle w:val="EndNoteBibliography"/>
        <w:ind w:left="720" w:hanging="720"/>
        <w:rPr>
          <w:noProof/>
        </w:rPr>
      </w:pPr>
      <w:r w:rsidRPr="00D06F2D">
        <w:rPr>
          <w:noProof/>
        </w:rPr>
        <w:t xml:space="preserve">ELVEMO, N. A., LANDRO, N. I., BORCHGREVINK, P. C. &amp; HABERG, A. K. 2015. Reward responsiveness in patients with chronic pain. </w:t>
      </w:r>
      <w:r w:rsidRPr="00D06F2D">
        <w:rPr>
          <w:i/>
          <w:noProof/>
        </w:rPr>
        <w:t>European Journal of Pain,</w:t>
      </w:r>
      <w:r w:rsidRPr="00D06F2D">
        <w:rPr>
          <w:noProof/>
        </w:rPr>
        <w:t xml:space="preserve"> 19</w:t>
      </w:r>
      <w:r w:rsidRPr="00D06F2D">
        <w:rPr>
          <w:b/>
          <w:noProof/>
        </w:rPr>
        <w:t>,</w:t>
      </w:r>
      <w:r w:rsidRPr="00D06F2D">
        <w:rPr>
          <w:noProof/>
        </w:rPr>
        <w:t xml:space="preserve"> 1537-1543.</w:t>
      </w:r>
    </w:p>
    <w:p w14:paraId="00F2551B" w14:textId="77777777" w:rsidR="00D06F2D" w:rsidRPr="00D06F2D" w:rsidRDefault="00D06F2D" w:rsidP="00D06F2D">
      <w:pPr>
        <w:pStyle w:val="EndNoteBibliography"/>
        <w:ind w:left="720" w:hanging="720"/>
        <w:rPr>
          <w:noProof/>
        </w:rPr>
      </w:pPr>
      <w:r w:rsidRPr="00D06F2D">
        <w:rPr>
          <w:noProof/>
        </w:rPr>
        <w:t xml:space="preserve">ENGLAND, J. D., GRONSETH, G. S., FRANKLIN, G., MILLER, R. G., ASBURY, A. K., CARTER, G. T., COHEN, J. A., FISHER, M. A., HOWARD, J. F., KINSELLA, L. J., LATOV, N., LEWIS, R. A., LOW, P. A. &amp; SUMNER, A. J. </w:t>
      </w:r>
      <w:r w:rsidRPr="00D06F2D">
        <w:rPr>
          <w:noProof/>
        </w:rPr>
        <w:lastRenderedPageBreak/>
        <w:t xml:space="preserve">2005. Distal symmetric polyneuropathy: A definition for clinical research - Report of the American Academy of Neurology, the American Association of Electrodiagnostic Medicine, and the American Academy of Physical Medicine and Rehabilitation. </w:t>
      </w:r>
      <w:r w:rsidRPr="00D06F2D">
        <w:rPr>
          <w:i/>
          <w:noProof/>
        </w:rPr>
        <w:t>Neurology,</w:t>
      </w:r>
      <w:r w:rsidRPr="00D06F2D">
        <w:rPr>
          <w:noProof/>
        </w:rPr>
        <w:t xml:space="preserve"> 64.</w:t>
      </w:r>
    </w:p>
    <w:p w14:paraId="7BC40243" w14:textId="77777777" w:rsidR="00D06F2D" w:rsidRPr="00D06F2D" w:rsidRDefault="00D06F2D" w:rsidP="00D06F2D">
      <w:pPr>
        <w:pStyle w:val="EndNoteBibliography"/>
        <w:ind w:left="720" w:hanging="720"/>
        <w:rPr>
          <w:noProof/>
        </w:rPr>
      </w:pPr>
      <w:r w:rsidRPr="00D06F2D">
        <w:rPr>
          <w:noProof/>
        </w:rPr>
        <w:t xml:space="preserve">EWING, D. J. &amp; CLARKE, B. F. 1982. DIAGNOSIS AND MANAGEMENT OF DIABETIC AUTONOMIC NEUROPATHY. </w:t>
      </w:r>
      <w:r w:rsidRPr="00D06F2D">
        <w:rPr>
          <w:i/>
          <w:noProof/>
        </w:rPr>
        <w:t>British Medical Journal,</w:t>
      </w:r>
      <w:r w:rsidRPr="00D06F2D">
        <w:rPr>
          <w:noProof/>
        </w:rPr>
        <w:t xml:space="preserve"> 285</w:t>
      </w:r>
      <w:r w:rsidRPr="00D06F2D">
        <w:rPr>
          <w:b/>
          <w:noProof/>
        </w:rPr>
        <w:t>,</w:t>
      </w:r>
      <w:r w:rsidRPr="00D06F2D">
        <w:rPr>
          <w:noProof/>
        </w:rPr>
        <w:t xml:space="preserve"> 916-918.</w:t>
      </w:r>
    </w:p>
    <w:p w14:paraId="62E978D1" w14:textId="77777777" w:rsidR="00D06F2D" w:rsidRPr="00D06F2D" w:rsidRDefault="00D06F2D" w:rsidP="00D06F2D">
      <w:pPr>
        <w:pStyle w:val="EndNoteBibliography"/>
        <w:ind w:left="720" w:hanging="720"/>
        <w:rPr>
          <w:noProof/>
        </w:rPr>
      </w:pPr>
      <w:r w:rsidRPr="00D06F2D">
        <w:rPr>
          <w:noProof/>
        </w:rPr>
        <w:t xml:space="preserve">FAGHIHI, R., ZEINALI-RAFSANJANI, B., MOSLEH-SHIRAZI, M.-A., SAEEDI-MOGHADAM, M., LOTFI, M., JALLI, R. &amp; IRAVANI, V. 2017. Magnetic Resonance Spectroscopy and its Clinical Applications: A Review. </w:t>
      </w:r>
      <w:r w:rsidRPr="00D06F2D">
        <w:rPr>
          <w:i/>
          <w:noProof/>
        </w:rPr>
        <w:t>Journal of Medical Imaging and Radiation Sciences,</w:t>
      </w:r>
      <w:r w:rsidRPr="00D06F2D">
        <w:rPr>
          <w:noProof/>
        </w:rPr>
        <w:t xml:space="preserve"> 48</w:t>
      </w:r>
      <w:r w:rsidRPr="00D06F2D">
        <w:rPr>
          <w:b/>
          <w:noProof/>
        </w:rPr>
        <w:t>,</w:t>
      </w:r>
      <w:r w:rsidRPr="00D06F2D">
        <w:rPr>
          <w:noProof/>
        </w:rPr>
        <w:t xml:space="preserve"> 233-253.</w:t>
      </w:r>
    </w:p>
    <w:p w14:paraId="0CEC6C6E" w14:textId="77777777" w:rsidR="00D06F2D" w:rsidRPr="00D06F2D" w:rsidRDefault="00D06F2D" w:rsidP="00D06F2D">
      <w:pPr>
        <w:pStyle w:val="EndNoteBibliography"/>
        <w:ind w:left="720" w:hanging="720"/>
        <w:rPr>
          <w:noProof/>
        </w:rPr>
      </w:pPr>
      <w:r w:rsidRPr="00D06F2D">
        <w:rPr>
          <w:noProof/>
        </w:rPr>
        <w:t xml:space="preserve">FANELLI, C. G., DENCE, C. S., MARKHAM, J., VIDEEN, T. O., PARAMORE, D. S., CRYER, P. E. &amp; POWERS, W. J. 1998. Blood-to-brain glucose transport and cerebral glucose metabolism are not reduced in poorly controlled type 1 diabetes. </w:t>
      </w:r>
      <w:r w:rsidRPr="00D06F2D">
        <w:rPr>
          <w:i/>
          <w:noProof/>
        </w:rPr>
        <w:t>Diabetes,</w:t>
      </w:r>
      <w:r w:rsidRPr="00D06F2D">
        <w:rPr>
          <w:noProof/>
        </w:rPr>
        <w:t xml:space="preserve"> 47</w:t>
      </w:r>
      <w:r w:rsidRPr="00D06F2D">
        <w:rPr>
          <w:b/>
          <w:noProof/>
        </w:rPr>
        <w:t>,</w:t>
      </w:r>
      <w:r w:rsidRPr="00D06F2D">
        <w:rPr>
          <w:noProof/>
        </w:rPr>
        <w:t xml:space="preserve"> 1444-50.</w:t>
      </w:r>
    </w:p>
    <w:p w14:paraId="2BA5040C" w14:textId="77777777" w:rsidR="00D06F2D" w:rsidRPr="00D06F2D" w:rsidRDefault="00D06F2D" w:rsidP="00D06F2D">
      <w:pPr>
        <w:pStyle w:val="EndNoteBibliography"/>
        <w:ind w:left="720" w:hanging="720"/>
        <w:rPr>
          <w:noProof/>
        </w:rPr>
      </w:pPr>
      <w:r w:rsidRPr="00D06F2D">
        <w:rPr>
          <w:noProof/>
        </w:rPr>
        <w:t xml:space="preserve">FAUL, F., ERDFELDER, E., LANG, A.-G. &amp; BUCHNER, A. 2007. GPower 3: A flexible statistical power analysis program for the social, behavioral, and biomedical sciences. </w:t>
      </w:r>
      <w:r w:rsidRPr="00D06F2D">
        <w:rPr>
          <w:i/>
          <w:noProof/>
        </w:rPr>
        <w:t>Behav Res Methods,</w:t>
      </w:r>
      <w:r w:rsidRPr="00D06F2D">
        <w:rPr>
          <w:noProof/>
        </w:rPr>
        <w:t xml:space="preserve"> 39</w:t>
      </w:r>
      <w:r w:rsidRPr="00D06F2D">
        <w:rPr>
          <w:b/>
          <w:noProof/>
        </w:rPr>
        <w:t>,</w:t>
      </w:r>
      <w:r w:rsidRPr="00D06F2D">
        <w:rPr>
          <w:noProof/>
        </w:rPr>
        <w:t xml:space="preserve"> 175-191.</w:t>
      </w:r>
    </w:p>
    <w:p w14:paraId="6C68C62C" w14:textId="77777777" w:rsidR="00D06F2D" w:rsidRPr="00D06F2D" w:rsidRDefault="00D06F2D" w:rsidP="00D06F2D">
      <w:pPr>
        <w:pStyle w:val="EndNoteBibliography"/>
        <w:ind w:left="720" w:hanging="720"/>
        <w:rPr>
          <w:noProof/>
        </w:rPr>
      </w:pPr>
      <w:r w:rsidRPr="00D06F2D">
        <w:rPr>
          <w:noProof/>
        </w:rPr>
        <w:t xml:space="preserve">FELDMAN, E., CALLAGHAN, B., POP-BUSUI, R., ZOCHODNE, D., WRIGHT, D., BENNETT, D., BRIL, V., RUSSELL, J. &amp; VISWANATHAN, V. 2019. Diabetic neuropathy. </w:t>
      </w:r>
      <w:r w:rsidRPr="00D06F2D">
        <w:rPr>
          <w:i/>
          <w:noProof/>
        </w:rPr>
        <w:t>Nat Rev Dis Primers,</w:t>
      </w:r>
      <w:r w:rsidRPr="00D06F2D">
        <w:rPr>
          <w:noProof/>
        </w:rPr>
        <w:t xml:space="preserve"> 5</w:t>
      </w:r>
      <w:r w:rsidRPr="00D06F2D">
        <w:rPr>
          <w:b/>
          <w:noProof/>
        </w:rPr>
        <w:t>,</w:t>
      </w:r>
      <w:r w:rsidRPr="00D06F2D">
        <w:rPr>
          <w:noProof/>
        </w:rPr>
        <w:t xml:space="preserve"> 42-42.</w:t>
      </w:r>
    </w:p>
    <w:p w14:paraId="0AD7E0E9" w14:textId="77777777" w:rsidR="00D06F2D" w:rsidRPr="00D06F2D" w:rsidRDefault="00D06F2D" w:rsidP="00D06F2D">
      <w:pPr>
        <w:pStyle w:val="EndNoteBibliography"/>
        <w:ind w:left="720" w:hanging="720"/>
        <w:rPr>
          <w:noProof/>
        </w:rPr>
      </w:pPr>
      <w:r w:rsidRPr="00D06F2D">
        <w:rPr>
          <w:noProof/>
        </w:rPr>
        <w:t xml:space="preserve">FERNYHOUGH, P. &amp; CALCUTT, N. A. 2010. Abnormal calcium homeostasis in peripheral neuropathies. </w:t>
      </w:r>
      <w:r w:rsidRPr="00D06F2D">
        <w:rPr>
          <w:i/>
          <w:noProof/>
        </w:rPr>
        <w:t>Cell Calcium,</w:t>
      </w:r>
      <w:r w:rsidRPr="00D06F2D">
        <w:rPr>
          <w:noProof/>
        </w:rPr>
        <w:t xml:space="preserve"> 47</w:t>
      </w:r>
      <w:r w:rsidRPr="00D06F2D">
        <w:rPr>
          <w:b/>
          <w:noProof/>
        </w:rPr>
        <w:t>,</w:t>
      </w:r>
      <w:r w:rsidRPr="00D06F2D">
        <w:rPr>
          <w:noProof/>
        </w:rPr>
        <w:t xml:space="preserve"> 130-139.</w:t>
      </w:r>
    </w:p>
    <w:p w14:paraId="028900A5" w14:textId="77777777" w:rsidR="00D06F2D" w:rsidRPr="00D06F2D" w:rsidRDefault="00D06F2D" w:rsidP="00D06F2D">
      <w:pPr>
        <w:pStyle w:val="EndNoteBibliography"/>
        <w:ind w:left="720" w:hanging="720"/>
        <w:rPr>
          <w:noProof/>
        </w:rPr>
      </w:pPr>
      <w:r w:rsidRPr="00D06F2D">
        <w:rPr>
          <w:noProof/>
        </w:rPr>
        <w:t xml:space="preserve">FIELD, A. S., LAURIENTI, P. J., YEN, Y. F., BURDETTE, J. H. &amp; MOODY, D. M. 2003. Dietary caffeine consumption and withdrawal: Confounding variables in quantitative cerebral perfusion studies? </w:t>
      </w:r>
      <w:r w:rsidRPr="00D06F2D">
        <w:rPr>
          <w:i/>
          <w:noProof/>
        </w:rPr>
        <w:t>Radiology,</w:t>
      </w:r>
      <w:r w:rsidRPr="00D06F2D">
        <w:rPr>
          <w:noProof/>
        </w:rPr>
        <w:t xml:space="preserve"> 227</w:t>
      </w:r>
      <w:r w:rsidRPr="00D06F2D">
        <w:rPr>
          <w:b/>
          <w:noProof/>
        </w:rPr>
        <w:t>,</w:t>
      </w:r>
      <w:r w:rsidRPr="00D06F2D">
        <w:rPr>
          <w:noProof/>
        </w:rPr>
        <w:t xml:space="preserve"> 129-135.</w:t>
      </w:r>
    </w:p>
    <w:p w14:paraId="4D37DAF6" w14:textId="77777777" w:rsidR="00D06F2D" w:rsidRPr="00D06F2D" w:rsidRDefault="00D06F2D" w:rsidP="00D06F2D">
      <w:pPr>
        <w:pStyle w:val="EndNoteBibliography"/>
        <w:ind w:left="720" w:hanging="720"/>
        <w:rPr>
          <w:noProof/>
        </w:rPr>
      </w:pPr>
      <w:r w:rsidRPr="00D06F2D">
        <w:rPr>
          <w:noProof/>
        </w:rPr>
        <w:t xml:space="preserve">FILLINGIM, R. B., OHRBACH, R., GREENSPAN, J. D., KNOTT, C., DIATCHENKO, L., DUBNER, R., BAIR, E., BARAIAN, C., MACK, N., SLADE, G. D. &amp; MAIXNER, W. 2013. Psychological Factors Associated With Development of TMD: The OPPERA Prospective Cohort Study. </w:t>
      </w:r>
      <w:r w:rsidRPr="00D06F2D">
        <w:rPr>
          <w:i/>
          <w:noProof/>
        </w:rPr>
        <w:t>Journal of Pain,</w:t>
      </w:r>
      <w:r w:rsidRPr="00D06F2D">
        <w:rPr>
          <w:noProof/>
        </w:rPr>
        <w:t xml:space="preserve"> 14</w:t>
      </w:r>
      <w:r w:rsidRPr="00D06F2D">
        <w:rPr>
          <w:b/>
          <w:noProof/>
        </w:rPr>
        <w:t>,</w:t>
      </w:r>
      <w:r w:rsidRPr="00D06F2D">
        <w:rPr>
          <w:noProof/>
        </w:rPr>
        <w:t xml:space="preserve"> T75-T90.</w:t>
      </w:r>
    </w:p>
    <w:p w14:paraId="6598D0EF" w14:textId="77777777" w:rsidR="00D06F2D" w:rsidRPr="00D06F2D" w:rsidRDefault="00D06F2D" w:rsidP="00D06F2D">
      <w:pPr>
        <w:pStyle w:val="EndNoteBibliography"/>
        <w:ind w:left="720" w:hanging="720"/>
        <w:rPr>
          <w:noProof/>
        </w:rPr>
      </w:pPr>
      <w:r w:rsidRPr="00D06F2D">
        <w:rPr>
          <w:noProof/>
        </w:rPr>
        <w:t xml:space="preserve">FINNERUP, N. B., ATTAL, N., HAROUTOUNIAN, S., MCNICOL, E., BARON, R., DWORKIN, R. H., GILRON, I., HAANPÄÄ, M., HANSSON, P., JENSEN, T. S., KAMERMAN, P. R., LUND, K., MOORE, A., RAJA, S. N., RICE, A. S. C., ROWBOTHAM, M., SENA, E., SIDDALL, P., SMITH, B. H. &amp; WALLACE, M. 2015. Pharmacotherapy for neuropathic pain in adults: a systematic review and meta-analysis. </w:t>
      </w:r>
      <w:r w:rsidRPr="00D06F2D">
        <w:rPr>
          <w:i/>
          <w:noProof/>
        </w:rPr>
        <w:t>Lancet Neurology,</w:t>
      </w:r>
      <w:r w:rsidRPr="00D06F2D">
        <w:rPr>
          <w:noProof/>
        </w:rPr>
        <w:t xml:space="preserve"> 14</w:t>
      </w:r>
      <w:r w:rsidRPr="00D06F2D">
        <w:rPr>
          <w:b/>
          <w:noProof/>
        </w:rPr>
        <w:t>,</w:t>
      </w:r>
      <w:r w:rsidRPr="00D06F2D">
        <w:rPr>
          <w:noProof/>
        </w:rPr>
        <w:t xml:space="preserve"> 162-173.</w:t>
      </w:r>
    </w:p>
    <w:p w14:paraId="55367472" w14:textId="77777777" w:rsidR="00D06F2D" w:rsidRPr="00D06F2D" w:rsidRDefault="00D06F2D" w:rsidP="00D06F2D">
      <w:pPr>
        <w:pStyle w:val="EndNoteBibliography"/>
        <w:ind w:left="720" w:hanging="720"/>
        <w:rPr>
          <w:noProof/>
        </w:rPr>
      </w:pPr>
      <w:r w:rsidRPr="00D06F2D">
        <w:rPr>
          <w:noProof/>
        </w:rPr>
        <w:t xml:space="preserve">FINNERUP, N. B., HAROUTOUNIAN, S., KAMERMAN, P., BARON, R., BENNETT, D. L. H., BOUHASSIRA, D., CRUCCU, G., FREEMAN, R., HANSSON, P., NURMIKKO, T., RAJA, S. N., RICE, A. S. C., SERRA, J., SMITH, B. H., TREEDE, R.-D. &amp; JENSEN, T. S. 2016. Neuropathic pain: an updated grading system for research and clinical practice. </w:t>
      </w:r>
      <w:r w:rsidRPr="00D06F2D">
        <w:rPr>
          <w:i/>
          <w:noProof/>
        </w:rPr>
        <w:t>Pain,</w:t>
      </w:r>
      <w:r w:rsidRPr="00D06F2D">
        <w:rPr>
          <w:noProof/>
        </w:rPr>
        <w:t xml:space="preserve"> 157</w:t>
      </w:r>
      <w:r w:rsidRPr="00D06F2D">
        <w:rPr>
          <w:b/>
          <w:noProof/>
        </w:rPr>
        <w:t>,</w:t>
      </w:r>
      <w:r w:rsidRPr="00D06F2D">
        <w:rPr>
          <w:noProof/>
        </w:rPr>
        <w:t xml:space="preserve"> 1599-1606.</w:t>
      </w:r>
    </w:p>
    <w:p w14:paraId="490FA33A" w14:textId="77777777" w:rsidR="00D06F2D" w:rsidRPr="00D06F2D" w:rsidRDefault="00D06F2D" w:rsidP="00D06F2D">
      <w:pPr>
        <w:pStyle w:val="EndNoteBibliography"/>
        <w:ind w:left="720" w:hanging="720"/>
        <w:rPr>
          <w:noProof/>
        </w:rPr>
      </w:pPr>
      <w:r w:rsidRPr="00D06F2D">
        <w:rPr>
          <w:noProof/>
        </w:rPr>
        <w:t xml:space="preserve">FISCHER, T. Z., TAN, A. M. &amp; WAXMAN, S. G. 2009a. Thalamic neuron hyperexcitability and enlarged receptive fields in the STZ model of diabetic pain. </w:t>
      </w:r>
      <w:r w:rsidRPr="00D06F2D">
        <w:rPr>
          <w:i/>
          <w:noProof/>
        </w:rPr>
        <w:t>Brain Research,</w:t>
      </w:r>
      <w:r w:rsidRPr="00D06F2D">
        <w:rPr>
          <w:noProof/>
        </w:rPr>
        <w:t xml:space="preserve"> 1268.</w:t>
      </w:r>
    </w:p>
    <w:p w14:paraId="2922C492" w14:textId="77777777" w:rsidR="00D06F2D" w:rsidRPr="00D06F2D" w:rsidRDefault="00D06F2D" w:rsidP="00D06F2D">
      <w:pPr>
        <w:pStyle w:val="EndNoteBibliography"/>
        <w:ind w:left="720" w:hanging="720"/>
        <w:rPr>
          <w:noProof/>
        </w:rPr>
      </w:pPr>
      <w:r w:rsidRPr="00D06F2D">
        <w:rPr>
          <w:noProof/>
        </w:rPr>
        <w:t xml:space="preserve">FISCHER, T. Z., TAN, A. M. &amp; WAXMAN, S. G. 2009b. Thalamic neuron hyperexcitability and enlarged receptive fields in the STZ model of diabetic pain. </w:t>
      </w:r>
      <w:r w:rsidRPr="00D06F2D">
        <w:rPr>
          <w:i/>
          <w:noProof/>
        </w:rPr>
        <w:t>Brain Res,</w:t>
      </w:r>
      <w:r w:rsidRPr="00D06F2D">
        <w:rPr>
          <w:noProof/>
        </w:rPr>
        <w:t xml:space="preserve"> 1268</w:t>
      </w:r>
      <w:r w:rsidRPr="00D06F2D">
        <w:rPr>
          <w:b/>
          <w:noProof/>
        </w:rPr>
        <w:t>,</w:t>
      </w:r>
      <w:r w:rsidRPr="00D06F2D">
        <w:rPr>
          <w:noProof/>
        </w:rPr>
        <w:t xml:space="preserve"> 154-61.</w:t>
      </w:r>
    </w:p>
    <w:p w14:paraId="283995B6" w14:textId="77777777" w:rsidR="00D06F2D" w:rsidRPr="00D06F2D" w:rsidRDefault="00D06F2D" w:rsidP="00D06F2D">
      <w:pPr>
        <w:pStyle w:val="EndNoteBibliography"/>
        <w:ind w:left="720" w:hanging="720"/>
        <w:rPr>
          <w:noProof/>
        </w:rPr>
      </w:pPr>
      <w:r w:rsidRPr="00D06F2D">
        <w:rPr>
          <w:noProof/>
        </w:rPr>
        <w:t xml:space="preserve">FORST, T., WEBER, M. M., MITRY, M., MULLER, L., FORST, S., TANIS, M., PFUTZNER, A. &amp; MICHELSON, G. 2014. Retinal Microcirculation in Type 1 </w:t>
      </w:r>
      <w:r w:rsidRPr="00D06F2D">
        <w:rPr>
          <w:noProof/>
        </w:rPr>
        <w:lastRenderedPageBreak/>
        <w:t xml:space="preserve">Diabetic Patients With and Without Peripheral Sensory Neuropathy. </w:t>
      </w:r>
      <w:r w:rsidRPr="00D06F2D">
        <w:rPr>
          <w:i/>
          <w:noProof/>
        </w:rPr>
        <w:t>Journal of diabetes science and technology,</w:t>
      </w:r>
      <w:r w:rsidRPr="00D06F2D">
        <w:rPr>
          <w:noProof/>
        </w:rPr>
        <w:t xml:space="preserve"> 8</w:t>
      </w:r>
      <w:r w:rsidRPr="00D06F2D">
        <w:rPr>
          <w:b/>
          <w:noProof/>
        </w:rPr>
        <w:t>,</w:t>
      </w:r>
      <w:r w:rsidRPr="00D06F2D">
        <w:rPr>
          <w:noProof/>
        </w:rPr>
        <w:t xml:space="preserve"> 356-361.</w:t>
      </w:r>
    </w:p>
    <w:p w14:paraId="13827B1E" w14:textId="77777777" w:rsidR="00D06F2D" w:rsidRPr="00D06F2D" w:rsidRDefault="00D06F2D" w:rsidP="00D06F2D">
      <w:pPr>
        <w:pStyle w:val="EndNoteBibliography"/>
        <w:ind w:left="720" w:hanging="720"/>
        <w:rPr>
          <w:noProof/>
        </w:rPr>
      </w:pPr>
      <w:r w:rsidRPr="00D06F2D">
        <w:rPr>
          <w:noProof/>
        </w:rPr>
        <w:t xml:space="preserve">FREYNHAGEN, R., BARON, R., GOCKEL, U. &amp; TÖLLE, T. R. 2006. painDETECT: a new screening questionnaire to identify neuropathic components in patients with back pain. </w:t>
      </w:r>
      <w:r w:rsidRPr="00D06F2D">
        <w:rPr>
          <w:i/>
          <w:noProof/>
        </w:rPr>
        <w:t>Curr Med Res Opin,</w:t>
      </w:r>
      <w:r w:rsidRPr="00D06F2D">
        <w:rPr>
          <w:noProof/>
        </w:rPr>
        <w:t xml:space="preserve"> 22</w:t>
      </w:r>
      <w:r w:rsidRPr="00D06F2D">
        <w:rPr>
          <w:b/>
          <w:noProof/>
        </w:rPr>
        <w:t>,</w:t>
      </w:r>
      <w:r w:rsidRPr="00D06F2D">
        <w:rPr>
          <w:noProof/>
        </w:rPr>
        <w:t xml:space="preserve"> 1911-1920.</w:t>
      </w:r>
    </w:p>
    <w:p w14:paraId="4EC1A4AA" w14:textId="77777777" w:rsidR="00D06F2D" w:rsidRPr="00D06F2D" w:rsidRDefault="00D06F2D" w:rsidP="00D06F2D">
      <w:pPr>
        <w:pStyle w:val="EndNoteBibliography"/>
        <w:ind w:left="720" w:hanging="720"/>
        <w:rPr>
          <w:noProof/>
        </w:rPr>
      </w:pPr>
      <w:r w:rsidRPr="00D06F2D">
        <w:rPr>
          <w:noProof/>
        </w:rPr>
        <w:t xml:space="preserve">FRIEDLAND, R. P. &amp; IADECOLA, C. 1991. ROY AND SHERRINGTON (1890) - A CENTENNIAL REEXAMINATION OF ON THE REGULATION OF THE BLOOD-SUPPLY OF THE BRAIN. </w:t>
      </w:r>
      <w:r w:rsidRPr="00D06F2D">
        <w:rPr>
          <w:i/>
          <w:noProof/>
        </w:rPr>
        <w:t>Neurology,</w:t>
      </w:r>
      <w:r w:rsidRPr="00D06F2D">
        <w:rPr>
          <w:noProof/>
        </w:rPr>
        <w:t xml:space="preserve"> 41</w:t>
      </w:r>
      <w:r w:rsidRPr="00D06F2D">
        <w:rPr>
          <w:b/>
          <w:noProof/>
        </w:rPr>
        <w:t>,</w:t>
      </w:r>
      <w:r w:rsidRPr="00D06F2D">
        <w:rPr>
          <w:noProof/>
        </w:rPr>
        <w:t xml:space="preserve"> 10-14.</w:t>
      </w:r>
    </w:p>
    <w:p w14:paraId="3284670A" w14:textId="77777777" w:rsidR="00D06F2D" w:rsidRPr="00D06F2D" w:rsidRDefault="00D06F2D" w:rsidP="00D06F2D">
      <w:pPr>
        <w:pStyle w:val="EndNoteBibliography"/>
        <w:ind w:left="720" w:hanging="720"/>
        <w:rPr>
          <w:noProof/>
        </w:rPr>
      </w:pPr>
      <w:r w:rsidRPr="00D06F2D">
        <w:rPr>
          <w:noProof/>
        </w:rPr>
        <w:t xml:space="preserve">FRIEDMAN, S. N., BAMBROUGH, P. J., KOTSARINI, C., KHANDANPOUR, N. &amp; HOGGARD, N. 2012. Semi-automated and automated glioma grading using dynamic susceptibility-weighted contrast-enhanced perfusion MRI relative cerebral blood volume measurements. </w:t>
      </w:r>
      <w:r w:rsidRPr="00D06F2D">
        <w:rPr>
          <w:i/>
          <w:noProof/>
        </w:rPr>
        <w:t>British Journal of Radiology,</w:t>
      </w:r>
      <w:r w:rsidRPr="00D06F2D">
        <w:rPr>
          <w:noProof/>
        </w:rPr>
        <w:t xml:space="preserve"> 85</w:t>
      </w:r>
      <w:r w:rsidRPr="00D06F2D">
        <w:rPr>
          <w:b/>
          <w:noProof/>
        </w:rPr>
        <w:t>,</w:t>
      </w:r>
      <w:r w:rsidRPr="00D06F2D">
        <w:rPr>
          <w:noProof/>
        </w:rPr>
        <w:t xml:space="preserve"> E1204-E1211.</w:t>
      </w:r>
    </w:p>
    <w:p w14:paraId="54294084" w14:textId="77777777" w:rsidR="00D06F2D" w:rsidRPr="00D06F2D" w:rsidRDefault="00D06F2D" w:rsidP="00D06F2D">
      <w:pPr>
        <w:pStyle w:val="EndNoteBibliography"/>
        <w:ind w:left="720" w:hanging="720"/>
        <w:rPr>
          <w:noProof/>
        </w:rPr>
      </w:pPr>
      <w:r w:rsidRPr="00D06F2D">
        <w:rPr>
          <w:noProof/>
        </w:rPr>
        <w:t xml:space="preserve">GALEA, S. &amp; TRACY, M. 2007. Participation Rates in Epidemiologic Studies. </w:t>
      </w:r>
      <w:r w:rsidRPr="00D06F2D">
        <w:rPr>
          <w:i/>
          <w:noProof/>
        </w:rPr>
        <w:t>Ann Epidemiol,</w:t>
      </w:r>
      <w:r w:rsidRPr="00D06F2D">
        <w:rPr>
          <w:noProof/>
        </w:rPr>
        <w:t xml:space="preserve"> 17</w:t>
      </w:r>
      <w:r w:rsidRPr="00D06F2D">
        <w:rPr>
          <w:b/>
          <w:noProof/>
        </w:rPr>
        <w:t>,</w:t>
      </w:r>
      <w:r w:rsidRPr="00D06F2D">
        <w:rPr>
          <w:noProof/>
        </w:rPr>
        <w:t xml:space="preserve"> 643-653.</w:t>
      </w:r>
    </w:p>
    <w:p w14:paraId="2F70A9C7" w14:textId="77777777" w:rsidR="00D06F2D" w:rsidRPr="00D06F2D" w:rsidRDefault="00D06F2D" w:rsidP="00D06F2D">
      <w:pPr>
        <w:pStyle w:val="EndNoteBibliography"/>
        <w:ind w:left="720" w:hanging="720"/>
        <w:rPr>
          <w:noProof/>
        </w:rPr>
      </w:pPr>
      <w:r w:rsidRPr="00D06F2D">
        <w:rPr>
          <w:noProof/>
        </w:rPr>
        <w:t xml:space="preserve">GALER, B. S., GIANAS, A. &amp; JENSEN, M. P. 2000. Painful diabetic polyneuropathy: epidemiology, pain description, and quality of life. </w:t>
      </w:r>
      <w:r w:rsidRPr="00D06F2D">
        <w:rPr>
          <w:i/>
          <w:noProof/>
        </w:rPr>
        <w:t>Diabetes Res Clin Pract,</w:t>
      </w:r>
      <w:r w:rsidRPr="00D06F2D">
        <w:rPr>
          <w:noProof/>
        </w:rPr>
        <w:t xml:space="preserve"> 47</w:t>
      </w:r>
      <w:r w:rsidRPr="00D06F2D">
        <w:rPr>
          <w:b/>
          <w:noProof/>
        </w:rPr>
        <w:t>,</w:t>
      </w:r>
      <w:r w:rsidRPr="00D06F2D">
        <w:rPr>
          <w:noProof/>
        </w:rPr>
        <w:t xml:space="preserve"> 123-8.</w:t>
      </w:r>
    </w:p>
    <w:p w14:paraId="08C4C91B" w14:textId="77777777" w:rsidR="00D06F2D" w:rsidRPr="00D06F2D" w:rsidRDefault="00D06F2D" w:rsidP="00D06F2D">
      <w:pPr>
        <w:pStyle w:val="EndNoteBibliography"/>
        <w:ind w:left="720" w:hanging="720"/>
        <w:rPr>
          <w:noProof/>
        </w:rPr>
      </w:pPr>
      <w:r w:rsidRPr="00D06F2D">
        <w:rPr>
          <w:noProof/>
        </w:rPr>
        <w:t xml:space="preserve">GALINOVIC, I., OSTWALDT, A., SOEMMER, C., BROS, H., HOTTER, B., BRUNECKER, P. &amp; FIEBACH, J. 2012. Automated vs manual delineations of regions of interest- a comparison in commercially available perfusion MRI software. </w:t>
      </w:r>
      <w:r w:rsidRPr="00D06F2D">
        <w:rPr>
          <w:i/>
          <w:noProof/>
        </w:rPr>
        <w:t>BMC Med. Imag.,</w:t>
      </w:r>
      <w:r w:rsidRPr="00D06F2D">
        <w:rPr>
          <w:noProof/>
        </w:rPr>
        <w:t xml:space="preserve"> 12.</w:t>
      </w:r>
    </w:p>
    <w:p w14:paraId="17ABDACF" w14:textId="77777777" w:rsidR="00D06F2D" w:rsidRPr="00D06F2D" w:rsidRDefault="00D06F2D" w:rsidP="00D06F2D">
      <w:pPr>
        <w:pStyle w:val="EndNoteBibliography"/>
        <w:ind w:left="720" w:hanging="720"/>
        <w:rPr>
          <w:noProof/>
        </w:rPr>
      </w:pPr>
      <w:r w:rsidRPr="00D06F2D">
        <w:rPr>
          <w:noProof/>
        </w:rPr>
        <w:t>GANDHI, R. 2013. Insights into the Pathogenesis of Painful and Painless Diabetic Neuropathy. University of Sheffield;Biomedical Science (Sheffield); 2013.</w:t>
      </w:r>
    </w:p>
    <w:p w14:paraId="1338088E" w14:textId="77777777" w:rsidR="00D06F2D" w:rsidRPr="00D06F2D" w:rsidRDefault="00D06F2D" w:rsidP="00D06F2D">
      <w:pPr>
        <w:pStyle w:val="EndNoteBibliography"/>
        <w:ind w:left="720" w:hanging="720"/>
        <w:rPr>
          <w:noProof/>
        </w:rPr>
      </w:pPr>
      <w:r w:rsidRPr="00D06F2D">
        <w:rPr>
          <w:noProof/>
        </w:rPr>
        <w:t xml:space="preserve">GANDHI, R. A., MARQUES, J. L. B., SELVARAJAH, D., EMERY, C. J. &amp; TESFAYE, S. 2010. Painful Diabetic Neuropathy Is Associated With Greater Autonomic Dysfunction Than Painless Diabetic Neuropathy. </w:t>
      </w:r>
      <w:r w:rsidRPr="00D06F2D">
        <w:rPr>
          <w:i/>
          <w:noProof/>
        </w:rPr>
        <w:t>Diabetes Care,</w:t>
      </w:r>
      <w:r w:rsidRPr="00D06F2D">
        <w:rPr>
          <w:noProof/>
        </w:rPr>
        <w:t xml:space="preserve"> 33.</w:t>
      </w:r>
    </w:p>
    <w:p w14:paraId="2E8DE591" w14:textId="77777777" w:rsidR="00D06F2D" w:rsidRPr="00D06F2D" w:rsidRDefault="00D06F2D" w:rsidP="00D06F2D">
      <w:pPr>
        <w:pStyle w:val="EndNoteBibliography"/>
        <w:ind w:left="720" w:hanging="720"/>
        <w:rPr>
          <w:noProof/>
        </w:rPr>
      </w:pPr>
      <w:r w:rsidRPr="00D06F2D">
        <w:rPr>
          <w:noProof/>
        </w:rPr>
        <w:t xml:space="preserve">GARCIA, D. M., DUHAMEL, G. &amp; ALSOP, D. C. 2005. Efficiency of inversion pulses for background suppressed arterial spin labeling. </w:t>
      </w:r>
      <w:r w:rsidRPr="00D06F2D">
        <w:rPr>
          <w:i/>
          <w:noProof/>
        </w:rPr>
        <w:t>Magnetic Resonance in Medicine,</w:t>
      </w:r>
      <w:r w:rsidRPr="00D06F2D">
        <w:rPr>
          <w:noProof/>
        </w:rPr>
        <w:t xml:space="preserve"> 54</w:t>
      </w:r>
      <w:r w:rsidRPr="00D06F2D">
        <w:rPr>
          <w:b/>
          <w:noProof/>
        </w:rPr>
        <w:t>,</w:t>
      </w:r>
      <w:r w:rsidRPr="00D06F2D">
        <w:rPr>
          <w:noProof/>
        </w:rPr>
        <w:t xml:space="preserve"> 366-372.</w:t>
      </w:r>
    </w:p>
    <w:p w14:paraId="18A3DFFD" w14:textId="77777777" w:rsidR="00D06F2D" w:rsidRPr="00D06F2D" w:rsidRDefault="00D06F2D" w:rsidP="00D06F2D">
      <w:pPr>
        <w:pStyle w:val="EndNoteBibliography"/>
        <w:ind w:left="720" w:hanging="720"/>
        <w:rPr>
          <w:noProof/>
        </w:rPr>
      </w:pPr>
      <w:r w:rsidRPr="00D06F2D">
        <w:rPr>
          <w:noProof/>
        </w:rPr>
        <w:t xml:space="preserve">GEJL, M., GJEDDE, A., BROCK, B., MOLLER, A., VAN DUINKERKEN, E., HAAHR, H. L., HANSEN, C. T., CHU, P.-L., STENDER-PETERSEN, K. L. &amp; RUNGBY, J. 2018. Effects of hypoglycaemia on working memory and regional cerebral blood flow in type 1 diabetes: a randomised, crossover trial. </w:t>
      </w:r>
      <w:r w:rsidRPr="00D06F2D">
        <w:rPr>
          <w:i/>
          <w:noProof/>
        </w:rPr>
        <w:t>Diabetologia,</w:t>
      </w:r>
      <w:r w:rsidRPr="00D06F2D">
        <w:rPr>
          <w:noProof/>
        </w:rPr>
        <w:t xml:space="preserve"> 61</w:t>
      </w:r>
      <w:r w:rsidRPr="00D06F2D">
        <w:rPr>
          <w:b/>
          <w:noProof/>
        </w:rPr>
        <w:t>,</w:t>
      </w:r>
      <w:r w:rsidRPr="00D06F2D">
        <w:rPr>
          <w:noProof/>
        </w:rPr>
        <w:t xml:space="preserve"> 551-561.</w:t>
      </w:r>
    </w:p>
    <w:p w14:paraId="1BAB68E7" w14:textId="77777777" w:rsidR="00D06F2D" w:rsidRPr="00D06F2D" w:rsidRDefault="00D06F2D" w:rsidP="00D06F2D">
      <w:pPr>
        <w:pStyle w:val="EndNoteBibliography"/>
        <w:ind w:left="720" w:hanging="720"/>
        <w:rPr>
          <w:noProof/>
        </w:rPr>
      </w:pPr>
      <w:r w:rsidRPr="00D06F2D">
        <w:rPr>
          <w:noProof/>
        </w:rPr>
        <w:t xml:space="preserve">GENUTH, S., SUN, W., CLEARY, P., GAO, X., SELL, D. R., LACHIN, J. &amp; MONNIER, V. M. 2015. Skin advanced glycation end products glucosepane and methylglyoxal hydroimidazolone are independently associated with long-term microvascular complication progression of type 1 diabetes. </w:t>
      </w:r>
      <w:r w:rsidRPr="00D06F2D">
        <w:rPr>
          <w:i/>
          <w:noProof/>
        </w:rPr>
        <w:t>Diabetes</w:t>
      </w:r>
      <w:r w:rsidRPr="00D06F2D">
        <w:rPr>
          <w:b/>
          <w:noProof/>
        </w:rPr>
        <w:t>,</w:t>
      </w:r>
      <w:r w:rsidRPr="00D06F2D">
        <w:rPr>
          <w:noProof/>
        </w:rPr>
        <w:t xml:space="preserve"> 266-278.</w:t>
      </w:r>
    </w:p>
    <w:p w14:paraId="3152ED9C" w14:textId="77777777" w:rsidR="00D06F2D" w:rsidRPr="00D06F2D" w:rsidRDefault="00D06F2D" w:rsidP="00D06F2D">
      <w:pPr>
        <w:pStyle w:val="EndNoteBibliography"/>
        <w:ind w:left="720" w:hanging="720"/>
        <w:rPr>
          <w:noProof/>
        </w:rPr>
      </w:pPr>
      <w:r w:rsidRPr="00D06F2D">
        <w:rPr>
          <w:noProof/>
        </w:rPr>
        <w:t xml:space="preserve">GIANNINI, C. &amp; DYCK, P. J. 1995. BASEMENT-MEMBRANE REDUPLICATION AND PERICYTE DEGENERATION PRECEDE DEVELOPMENT OF DIABETIC POLYNEUROPATHY AND ARE ASSOCIATED WITH ITS SEVERITY. </w:t>
      </w:r>
      <w:r w:rsidRPr="00D06F2D">
        <w:rPr>
          <w:i/>
          <w:noProof/>
        </w:rPr>
        <w:t>Annals of Neurology,</w:t>
      </w:r>
      <w:r w:rsidRPr="00D06F2D">
        <w:rPr>
          <w:noProof/>
        </w:rPr>
        <w:t xml:space="preserve"> 37</w:t>
      </w:r>
      <w:r w:rsidRPr="00D06F2D">
        <w:rPr>
          <w:b/>
          <w:noProof/>
        </w:rPr>
        <w:t>,</w:t>
      </w:r>
      <w:r w:rsidRPr="00D06F2D">
        <w:rPr>
          <w:noProof/>
        </w:rPr>
        <w:t xml:space="preserve"> 498-504.</w:t>
      </w:r>
    </w:p>
    <w:p w14:paraId="04A9DDE0" w14:textId="77777777" w:rsidR="00D06F2D" w:rsidRPr="00D06F2D" w:rsidRDefault="00D06F2D" w:rsidP="00D06F2D">
      <w:pPr>
        <w:pStyle w:val="EndNoteBibliography"/>
        <w:ind w:left="720" w:hanging="720"/>
        <w:rPr>
          <w:noProof/>
        </w:rPr>
      </w:pPr>
      <w:r w:rsidRPr="00D06F2D">
        <w:rPr>
          <w:noProof/>
        </w:rPr>
        <w:t xml:space="preserve">GILLIES, M. C. &amp; SU, T. 1993. High glucose inhibits retinal capillary pericyte contractility in vitro. </w:t>
      </w:r>
      <w:r w:rsidRPr="00D06F2D">
        <w:rPr>
          <w:i/>
          <w:noProof/>
        </w:rPr>
        <w:t>Investigative ophthalmology &amp; visual science,</w:t>
      </w:r>
      <w:r w:rsidRPr="00D06F2D">
        <w:rPr>
          <w:noProof/>
        </w:rPr>
        <w:t xml:space="preserve"> 34</w:t>
      </w:r>
      <w:r w:rsidRPr="00D06F2D">
        <w:rPr>
          <w:b/>
          <w:noProof/>
        </w:rPr>
        <w:t>,</w:t>
      </w:r>
      <w:r w:rsidRPr="00D06F2D">
        <w:rPr>
          <w:noProof/>
        </w:rPr>
        <w:t xml:space="preserve"> 3396-3401.</w:t>
      </w:r>
    </w:p>
    <w:p w14:paraId="425BEAB1" w14:textId="77777777" w:rsidR="00D06F2D" w:rsidRPr="00D06F2D" w:rsidRDefault="00D06F2D" w:rsidP="00D06F2D">
      <w:pPr>
        <w:pStyle w:val="EndNoteBibliography"/>
        <w:ind w:left="720" w:hanging="720"/>
        <w:rPr>
          <w:noProof/>
        </w:rPr>
      </w:pPr>
      <w:r w:rsidRPr="00D06F2D">
        <w:rPr>
          <w:noProof/>
        </w:rPr>
        <w:t xml:space="preserve">GILRON, I., BAILEY, J. M., TU, D. S., HOLDEN, R. R., WEAVER, D. F. &amp; HOULDEN, R. L. 2005. Morphine, gabapentin, or their combination for neuropathic pain. </w:t>
      </w:r>
      <w:r w:rsidRPr="00D06F2D">
        <w:rPr>
          <w:i/>
          <w:noProof/>
        </w:rPr>
        <w:t>New England Journal of Medicine,</w:t>
      </w:r>
      <w:r w:rsidRPr="00D06F2D">
        <w:rPr>
          <w:noProof/>
        </w:rPr>
        <w:t xml:space="preserve"> 352</w:t>
      </w:r>
      <w:r w:rsidRPr="00D06F2D">
        <w:rPr>
          <w:b/>
          <w:noProof/>
        </w:rPr>
        <w:t>,</w:t>
      </w:r>
      <w:r w:rsidRPr="00D06F2D">
        <w:rPr>
          <w:noProof/>
        </w:rPr>
        <w:t xml:space="preserve"> 1324-1334.</w:t>
      </w:r>
    </w:p>
    <w:p w14:paraId="5CA0EFD8" w14:textId="77777777" w:rsidR="00D06F2D" w:rsidRPr="00D06F2D" w:rsidRDefault="00D06F2D" w:rsidP="00D06F2D">
      <w:pPr>
        <w:pStyle w:val="EndNoteBibliography"/>
        <w:ind w:left="720" w:hanging="720"/>
        <w:rPr>
          <w:noProof/>
        </w:rPr>
      </w:pPr>
      <w:r w:rsidRPr="00D06F2D">
        <w:rPr>
          <w:noProof/>
        </w:rPr>
        <w:lastRenderedPageBreak/>
        <w:t xml:space="preserve">GIMBEL, J. S., RICHARDS, P. &amp; PORTENOY, R. K. 2003. Controlled-release oxycodone for pain in diabetic neuropathy - A randomized controlled trial. </w:t>
      </w:r>
      <w:r w:rsidRPr="00D06F2D">
        <w:rPr>
          <w:i/>
          <w:noProof/>
        </w:rPr>
        <w:t>Neurology,</w:t>
      </w:r>
      <w:r w:rsidRPr="00D06F2D">
        <w:rPr>
          <w:noProof/>
        </w:rPr>
        <w:t xml:space="preserve"> 60</w:t>
      </w:r>
      <w:r w:rsidRPr="00D06F2D">
        <w:rPr>
          <w:b/>
          <w:noProof/>
        </w:rPr>
        <w:t>,</w:t>
      </w:r>
      <w:r w:rsidRPr="00D06F2D">
        <w:rPr>
          <w:noProof/>
        </w:rPr>
        <w:t xml:space="preserve"> 927-934.</w:t>
      </w:r>
    </w:p>
    <w:p w14:paraId="1DC814AE" w14:textId="77777777" w:rsidR="00D06F2D" w:rsidRPr="00D06F2D" w:rsidRDefault="00D06F2D" w:rsidP="00D06F2D">
      <w:pPr>
        <w:pStyle w:val="EndNoteBibliography"/>
        <w:ind w:left="720" w:hanging="720"/>
        <w:rPr>
          <w:noProof/>
        </w:rPr>
      </w:pPr>
      <w:r w:rsidRPr="00D06F2D">
        <w:rPr>
          <w:noProof/>
        </w:rPr>
        <w:t xml:space="preserve">GORE, M., BRANDENBURG, N. A., DUKES, E., HOFFMAN, D. L., TAI, K. S. &amp; STACEY, B. 2005. Pain severity in diabetic peripheral neuropathy is associated with patient functioning, symptom levels of anxiety and depression, and sleep. </w:t>
      </w:r>
      <w:r w:rsidRPr="00D06F2D">
        <w:rPr>
          <w:i/>
          <w:noProof/>
        </w:rPr>
        <w:t>Journal of Pain and Symptom Management,</w:t>
      </w:r>
      <w:r w:rsidRPr="00D06F2D">
        <w:rPr>
          <w:noProof/>
        </w:rPr>
        <w:t xml:space="preserve"> 30</w:t>
      </w:r>
      <w:r w:rsidRPr="00D06F2D">
        <w:rPr>
          <w:b/>
          <w:noProof/>
        </w:rPr>
        <w:t>,</w:t>
      </w:r>
      <w:r w:rsidRPr="00D06F2D">
        <w:rPr>
          <w:noProof/>
        </w:rPr>
        <w:t xml:space="preserve"> 374-385.</w:t>
      </w:r>
    </w:p>
    <w:p w14:paraId="418210D2" w14:textId="77777777" w:rsidR="00D06F2D" w:rsidRPr="00D06F2D" w:rsidRDefault="00D06F2D" w:rsidP="00D06F2D">
      <w:pPr>
        <w:pStyle w:val="EndNoteBibliography"/>
        <w:ind w:left="720" w:hanging="720"/>
        <w:rPr>
          <w:noProof/>
        </w:rPr>
      </w:pPr>
      <w:r w:rsidRPr="00D06F2D">
        <w:rPr>
          <w:noProof/>
        </w:rPr>
        <w:t xml:space="preserve">GRAAF, M. 2010. In vivo magnetic resonance spectroscopy: basic methodology and clinical applications. </w:t>
      </w:r>
      <w:r w:rsidRPr="00D06F2D">
        <w:rPr>
          <w:i/>
          <w:noProof/>
        </w:rPr>
        <w:t>with Biophysics Letters,</w:t>
      </w:r>
      <w:r w:rsidRPr="00D06F2D">
        <w:rPr>
          <w:noProof/>
        </w:rPr>
        <w:t xml:space="preserve"> 39</w:t>
      </w:r>
      <w:r w:rsidRPr="00D06F2D">
        <w:rPr>
          <w:b/>
          <w:noProof/>
        </w:rPr>
        <w:t>,</w:t>
      </w:r>
      <w:r w:rsidRPr="00D06F2D">
        <w:rPr>
          <w:noProof/>
        </w:rPr>
        <w:t xml:space="preserve"> 527-540.</w:t>
      </w:r>
    </w:p>
    <w:p w14:paraId="22DA26A6" w14:textId="77777777" w:rsidR="00D06F2D" w:rsidRPr="00D06F2D" w:rsidRDefault="00D06F2D" w:rsidP="00D06F2D">
      <w:pPr>
        <w:pStyle w:val="EndNoteBibliography"/>
        <w:ind w:left="720" w:hanging="720"/>
        <w:rPr>
          <w:noProof/>
        </w:rPr>
      </w:pPr>
      <w:r w:rsidRPr="00D06F2D">
        <w:rPr>
          <w:noProof/>
        </w:rPr>
        <w:t xml:space="preserve">GREIG, M., SELVARAJAH, D., SHILLO, P., RAO, G., WILKINSON, I. D. &amp; TESFAYE, S. 2015. Thalamic neuronal dysfunction and patterns of sensory loss in diabetic neuropathy: a proton magnetic resonance spectroscopy study. </w:t>
      </w:r>
      <w:r w:rsidRPr="00D06F2D">
        <w:rPr>
          <w:i/>
          <w:noProof/>
        </w:rPr>
        <w:t>Diabetologia,</w:t>
      </w:r>
      <w:r w:rsidRPr="00D06F2D">
        <w:rPr>
          <w:noProof/>
        </w:rPr>
        <w:t xml:space="preserve"> 58</w:t>
      </w:r>
      <w:r w:rsidRPr="00D06F2D">
        <w:rPr>
          <w:b/>
          <w:noProof/>
        </w:rPr>
        <w:t>,</w:t>
      </w:r>
      <w:r w:rsidRPr="00D06F2D">
        <w:rPr>
          <w:noProof/>
        </w:rPr>
        <w:t xml:space="preserve"> S107-S108.</w:t>
      </w:r>
    </w:p>
    <w:p w14:paraId="729C1228" w14:textId="77777777" w:rsidR="00D06F2D" w:rsidRPr="00D06F2D" w:rsidRDefault="00D06F2D" w:rsidP="00D06F2D">
      <w:pPr>
        <w:pStyle w:val="EndNoteBibliography"/>
        <w:ind w:left="720" w:hanging="720"/>
        <w:rPr>
          <w:noProof/>
        </w:rPr>
      </w:pPr>
      <w:r w:rsidRPr="00D06F2D">
        <w:rPr>
          <w:noProof/>
        </w:rPr>
        <w:t xml:space="preserve">GRIFFITHS, P. D., PANDYA, H., WILKINSON, I. D. &amp; HOGGARD, N. 2006. Sequential dynamic gadolinium magnetic resonance perfusion-weighted imaging: Effects on transit time and cerebral blood volume measurements. </w:t>
      </w:r>
      <w:r w:rsidRPr="00D06F2D">
        <w:rPr>
          <w:i/>
          <w:noProof/>
        </w:rPr>
        <w:t>Acta Radiologica,</w:t>
      </w:r>
      <w:r w:rsidRPr="00D06F2D">
        <w:rPr>
          <w:noProof/>
        </w:rPr>
        <w:t xml:space="preserve"> 47</w:t>
      </w:r>
      <w:r w:rsidRPr="00D06F2D">
        <w:rPr>
          <w:b/>
          <w:noProof/>
        </w:rPr>
        <w:t>,</w:t>
      </w:r>
      <w:r w:rsidRPr="00D06F2D">
        <w:rPr>
          <w:noProof/>
        </w:rPr>
        <w:t xml:space="preserve"> 1079-1084.</w:t>
      </w:r>
    </w:p>
    <w:p w14:paraId="55BF43AD" w14:textId="77777777" w:rsidR="00D06F2D" w:rsidRPr="00D06F2D" w:rsidRDefault="00D06F2D" w:rsidP="00D06F2D">
      <w:pPr>
        <w:pStyle w:val="EndNoteBibliography"/>
        <w:ind w:left="720" w:hanging="720"/>
        <w:rPr>
          <w:noProof/>
        </w:rPr>
      </w:pPr>
      <w:r w:rsidRPr="00D06F2D">
        <w:rPr>
          <w:noProof/>
        </w:rPr>
        <w:t xml:space="preserve">GRUNWALD, J. E., DUPONT, J. &amp; RIVA, C. E. 1996. Retinal haemodynamics in patients with early diabetes mellitus. </w:t>
      </w:r>
      <w:r w:rsidRPr="00D06F2D">
        <w:rPr>
          <w:i/>
          <w:noProof/>
        </w:rPr>
        <w:t>British Journal of Ophthalmology,</w:t>
      </w:r>
      <w:r w:rsidRPr="00D06F2D">
        <w:rPr>
          <w:noProof/>
        </w:rPr>
        <w:t xml:space="preserve"> 80</w:t>
      </w:r>
      <w:r w:rsidRPr="00D06F2D">
        <w:rPr>
          <w:b/>
          <w:noProof/>
        </w:rPr>
        <w:t>,</w:t>
      </w:r>
      <w:r w:rsidRPr="00D06F2D">
        <w:rPr>
          <w:noProof/>
        </w:rPr>
        <w:t xml:space="preserve"> 327-331.</w:t>
      </w:r>
    </w:p>
    <w:p w14:paraId="3EC7F4A9" w14:textId="77777777" w:rsidR="00D06F2D" w:rsidRPr="00D06F2D" w:rsidRDefault="00D06F2D" w:rsidP="00D06F2D">
      <w:pPr>
        <w:pStyle w:val="EndNoteBibliography"/>
        <w:ind w:left="720" w:hanging="720"/>
        <w:rPr>
          <w:noProof/>
        </w:rPr>
      </w:pPr>
      <w:r w:rsidRPr="00D06F2D">
        <w:rPr>
          <w:noProof/>
        </w:rPr>
        <w:t xml:space="preserve">GUSTIN, S. M., BURKE, L. A., PECK, C. C., MURRAY, G. M. &amp; HENDERSON, L. A. 2016. Pain and Personality: Do Individuals with Different Forms of Chronic Pain Exhibit a Mutual Personality? </w:t>
      </w:r>
      <w:r w:rsidRPr="00D06F2D">
        <w:rPr>
          <w:i/>
          <w:noProof/>
        </w:rPr>
        <w:t>Pain Practice,</w:t>
      </w:r>
      <w:r w:rsidRPr="00D06F2D">
        <w:rPr>
          <w:noProof/>
        </w:rPr>
        <w:t xml:space="preserve"> 16</w:t>
      </w:r>
      <w:r w:rsidRPr="00D06F2D">
        <w:rPr>
          <w:b/>
          <w:noProof/>
        </w:rPr>
        <w:t>,</w:t>
      </w:r>
      <w:r w:rsidRPr="00D06F2D">
        <w:rPr>
          <w:noProof/>
        </w:rPr>
        <w:t xml:space="preserve"> 486-494.</w:t>
      </w:r>
    </w:p>
    <w:p w14:paraId="25190E5C" w14:textId="77777777" w:rsidR="00D06F2D" w:rsidRPr="00D06F2D" w:rsidRDefault="00D06F2D" w:rsidP="00D06F2D">
      <w:pPr>
        <w:pStyle w:val="EndNoteBibliography"/>
        <w:ind w:left="720" w:hanging="720"/>
        <w:rPr>
          <w:noProof/>
        </w:rPr>
      </w:pPr>
      <w:r w:rsidRPr="00D06F2D">
        <w:rPr>
          <w:noProof/>
        </w:rPr>
        <w:t xml:space="preserve">HALL, C. N., REYNELL, C., GESSLEIN, B., HAMILTON, N. B., MISHRA, A., SUTHERLAND, B. A., O'FARRELL, F. M., BUCHAN, A. M., LAURITZEN, M. &amp; ATTWELL, D. 2014. Capillary pericytes regulate cerebral blood flow in health and disease. </w:t>
      </w:r>
      <w:r w:rsidRPr="00D06F2D">
        <w:rPr>
          <w:i/>
          <w:noProof/>
        </w:rPr>
        <w:t>Nature,</w:t>
      </w:r>
      <w:r w:rsidRPr="00D06F2D">
        <w:rPr>
          <w:noProof/>
        </w:rPr>
        <w:t xml:space="preserve"> 508</w:t>
      </w:r>
      <w:r w:rsidRPr="00D06F2D">
        <w:rPr>
          <w:b/>
          <w:noProof/>
        </w:rPr>
        <w:t>,</w:t>
      </w:r>
      <w:r w:rsidRPr="00D06F2D">
        <w:rPr>
          <w:noProof/>
        </w:rPr>
        <w:t xml:space="preserve"> 55-+.</w:t>
      </w:r>
    </w:p>
    <w:p w14:paraId="2910FF4F" w14:textId="77777777" w:rsidR="00D06F2D" w:rsidRPr="00D06F2D" w:rsidRDefault="00D06F2D" w:rsidP="00D06F2D">
      <w:pPr>
        <w:pStyle w:val="EndNoteBibliography"/>
        <w:ind w:left="720" w:hanging="720"/>
        <w:rPr>
          <w:noProof/>
        </w:rPr>
      </w:pPr>
      <w:r w:rsidRPr="00D06F2D">
        <w:rPr>
          <w:noProof/>
        </w:rPr>
        <w:t xml:space="preserve">HAMILTON, N. B., ATTWELL, D. &amp; HALL, C. N. 2010. Pericyte-mediated regulation of capillary diameter: a component of neurovascular coupling in health and disease. </w:t>
      </w:r>
      <w:r w:rsidRPr="00D06F2D">
        <w:rPr>
          <w:i/>
          <w:noProof/>
        </w:rPr>
        <w:t>Frontiers in neuroenergetics,</w:t>
      </w:r>
      <w:r w:rsidRPr="00D06F2D">
        <w:rPr>
          <w:noProof/>
        </w:rPr>
        <w:t xml:space="preserve"> 2.</w:t>
      </w:r>
    </w:p>
    <w:p w14:paraId="36D85A17" w14:textId="77777777" w:rsidR="00D06F2D" w:rsidRPr="00D06F2D" w:rsidRDefault="00D06F2D" w:rsidP="00D06F2D">
      <w:pPr>
        <w:pStyle w:val="EndNoteBibliography"/>
        <w:ind w:left="720" w:hanging="720"/>
        <w:rPr>
          <w:noProof/>
        </w:rPr>
      </w:pPr>
      <w:r w:rsidRPr="00D06F2D">
        <w:rPr>
          <w:noProof/>
        </w:rPr>
        <w:t xml:space="preserve">HANSEN, C. S., JENSEN, T. M., JENSEN, J. S., NAWROTH, P., FLEMING, T., WITTE, D. R., LAURITZEN, T., SANDBÆK, A., CHARLES, M., FLEISCHER, J., VISTISEN, D. &amp; JØRGENSEN, M. E. 2015. The role of serum methylglyoxal on diabetic peripheral and cardiovascular autonomic neuropathy: the ADDITION Denmark study. </w:t>
      </w:r>
      <w:r w:rsidRPr="00D06F2D">
        <w:rPr>
          <w:i/>
          <w:noProof/>
        </w:rPr>
        <w:t>Diabetic Medicine,</w:t>
      </w:r>
      <w:r w:rsidRPr="00D06F2D">
        <w:rPr>
          <w:noProof/>
        </w:rPr>
        <w:t xml:space="preserve"> 32</w:t>
      </w:r>
      <w:r w:rsidRPr="00D06F2D">
        <w:rPr>
          <w:b/>
          <w:noProof/>
        </w:rPr>
        <w:t>,</w:t>
      </w:r>
      <w:r w:rsidRPr="00D06F2D">
        <w:rPr>
          <w:noProof/>
        </w:rPr>
        <w:t xml:space="preserve"> 778-785.</w:t>
      </w:r>
    </w:p>
    <w:p w14:paraId="7ADE1E0F" w14:textId="77777777" w:rsidR="00D06F2D" w:rsidRPr="00D06F2D" w:rsidRDefault="00D06F2D" w:rsidP="00D06F2D">
      <w:pPr>
        <w:pStyle w:val="EndNoteBibliography"/>
        <w:ind w:left="720" w:hanging="720"/>
        <w:rPr>
          <w:noProof/>
        </w:rPr>
      </w:pPr>
      <w:r w:rsidRPr="00D06F2D">
        <w:rPr>
          <w:noProof/>
        </w:rPr>
        <w:t xml:space="preserve">HANSEN, T. M., BROCK, B., JUHL, A., DREWES, A. M., VORUM, H., ANDERSEN, C. U., JAKOBSEN, P. E., KARMISHOLT, J., FRØKJÆR, J. B. &amp; BROCK, C. 2019. Brain spectroscopy reveals that N-acetylaspartate is associated to peripheral sensorimotor neuropathy in type 1 diabetes. </w:t>
      </w:r>
      <w:r w:rsidRPr="00D06F2D">
        <w:rPr>
          <w:i/>
          <w:noProof/>
        </w:rPr>
        <w:t>Journal of Diabetes and Its Complications,</w:t>
      </w:r>
      <w:r w:rsidRPr="00D06F2D">
        <w:rPr>
          <w:noProof/>
        </w:rPr>
        <w:t xml:space="preserve"> 33</w:t>
      </w:r>
      <w:r w:rsidRPr="00D06F2D">
        <w:rPr>
          <w:b/>
          <w:noProof/>
        </w:rPr>
        <w:t>,</w:t>
      </w:r>
      <w:r w:rsidRPr="00D06F2D">
        <w:rPr>
          <w:noProof/>
        </w:rPr>
        <w:t xml:space="preserve"> 323-328.</w:t>
      </w:r>
    </w:p>
    <w:p w14:paraId="39D41320" w14:textId="77777777" w:rsidR="00D06F2D" w:rsidRPr="00D06F2D" w:rsidRDefault="00D06F2D" w:rsidP="00D06F2D">
      <w:pPr>
        <w:pStyle w:val="EndNoteBibliography"/>
        <w:ind w:left="720" w:hanging="720"/>
        <w:rPr>
          <w:noProof/>
        </w:rPr>
      </w:pPr>
      <w:r w:rsidRPr="00D06F2D">
        <w:rPr>
          <w:noProof/>
        </w:rPr>
        <w:t xml:space="preserve">HARADA, M. E., TOKUOKA, H. H., FUJIKOSHI, H. S., FUNAI, H. J., WOHLREICH, H. M., OSSIPOV, H. M. &amp; IWATA, H. N. 2016. Is duloxetineʼs effect on painful physical symptoms in depression an indirect result of improvement of depressive symptoms? Pooled analyses of three randomized controlled trials. </w:t>
      </w:r>
      <w:r w:rsidRPr="00D06F2D">
        <w:rPr>
          <w:i/>
          <w:noProof/>
        </w:rPr>
        <w:t>PAIN,</w:t>
      </w:r>
      <w:r w:rsidRPr="00D06F2D">
        <w:rPr>
          <w:noProof/>
        </w:rPr>
        <w:t xml:space="preserve"> 157</w:t>
      </w:r>
      <w:r w:rsidRPr="00D06F2D">
        <w:rPr>
          <w:b/>
          <w:noProof/>
        </w:rPr>
        <w:t>,</w:t>
      </w:r>
      <w:r w:rsidRPr="00D06F2D">
        <w:rPr>
          <w:noProof/>
        </w:rPr>
        <w:t xml:space="preserve"> 577-584.</w:t>
      </w:r>
    </w:p>
    <w:p w14:paraId="24C243F6" w14:textId="77777777" w:rsidR="00D06F2D" w:rsidRPr="00D06F2D" w:rsidRDefault="00D06F2D" w:rsidP="00D06F2D">
      <w:pPr>
        <w:pStyle w:val="EndNoteBibliography"/>
        <w:ind w:left="720" w:hanging="720"/>
        <w:rPr>
          <w:noProof/>
        </w:rPr>
      </w:pPr>
      <w:r w:rsidRPr="00D06F2D">
        <w:rPr>
          <w:noProof/>
        </w:rPr>
        <w:t xml:space="preserve">HARATI, Y., GOOCH, C., SWENSON, M., EDELMAN, S., GREENE, D., RASKIN, P., DONOFRIO, P., CORNBLATH, D., SACHDEO, R., SIU, C. O. &amp; KAMIN, M. 1998. Double-blind randomized trial of tramadol for the treatment of the pain of diabetic neuropathy. </w:t>
      </w:r>
      <w:r w:rsidRPr="00D06F2D">
        <w:rPr>
          <w:i/>
          <w:noProof/>
        </w:rPr>
        <w:t>Neurology,</w:t>
      </w:r>
      <w:r w:rsidRPr="00D06F2D">
        <w:rPr>
          <w:noProof/>
        </w:rPr>
        <w:t xml:space="preserve"> 50</w:t>
      </w:r>
      <w:r w:rsidRPr="00D06F2D">
        <w:rPr>
          <w:b/>
          <w:noProof/>
        </w:rPr>
        <w:t>,</w:t>
      </w:r>
      <w:r w:rsidRPr="00D06F2D">
        <w:rPr>
          <w:noProof/>
        </w:rPr>
        <w:t xml:space="preserve"> 1842-1846.</w:t>
      </w:r>
    </w:p>
    <w:p w14:paraId="7EB65DB5" w14:textId="77777777" w:rsidR="00D06F2D" w:rsidRPr="00D06F2D" w:rsidRDefault="00D06F2D" w:rsidP="00D06F2D">
      <w:pPr>
        <w:pStyle w:val="EndNoteBibliography"/>
        <w:ind w:left="720" w:hanging="720"/>
        <w:rPr>
          <w:noProof/>
        </w:rPr>
      </w:pPr>
      <w:r w:rsidRPr="00D06F2D">
        <w:rPr>
          <w:noProof/>
        </w:rPr>
        <w:lastRenderedPageBreak/>
        <w:t xml:space="preserve">HARTSFIELD, C. L., KORNER, E. J., ELLIS, J. L., RAEBEL, M. A., MERENICH, J. &amp; BRANDENBURG, N. 2008. Painful Diabetic Peripheral Neuropathy in a Managed Care Setting: Patient Identification, Prevalence Estimates, and Pharmacy Utilization Patterns. </w:t>
      </w:r>
      <w:r w:rsidRPr="00D06F2D">
        <w:rPr>
          <w:i/>
          <w:noProof/>
        </w:rPr>
        <w:t>Population Health Management,</w:t>
      </w:r>
      <w:r w:rsidRPr="00D06F2D">
        <w:rPr>
          <w:noProof/>
        </w:rPr>
        <w:t xml:space="preserve"> 11</w:t>
      </w:r>
      <w:r w:rsidRPr="00D06F2D">
        <w:rPr>
          <w:b/>
          <w:noProof/>
        </w:rPr>
        <w:t>,</w:t>
      </w:r>
      <w:r w:rsidRPr="00D06F2D">
        <w:rPr>
          <w:noProof/>
        </w:rPr>
        <w:t xml:space="preserve"> 317-28.</w:t>
      </w:r>
    </w:p>
    <w:p w14:paraId="3F571A3A" w14:textId="77777777" w:rsidR="00D06F2D" w:rsidRPr="00D06F2D" w:rsidRDefault="00D06F2D" w:rsidP="00D06F2D">
      <w:pPr>
        <w:pStyle w:val="EndNoteBibliography"/>
        <w:ind w:left="720" w:hanging="720"/>
        <w:rPr>
          <w:i/>
          <w:noProof/>
        </w:rPr>
      </w:pPr>
      <w:r w:rsidRPr="00D06F2D">
        <w:rPr>
          <w:noProof/>
        </w:rPr>
        <w:t xml:space="preserve">HAXBY, J. V., CONNOLLY, A. C. &amp; GUNTUPALLI, J. S. 2014. Decoding Neural Representational Spaces Using Multivariate Pattern Analysis. </w:t>
      </w:r>
      <w:r w:rsidRPr="00D06F2D">
        <w:rPr>
          <w:i/>
          <w:noProof/>
        </w:rPr>
        <w:t>Annu. Rev. Neurosci.</w:t>
      </w:r>
    </w:p>
    <w:p w14:paraId="1C8C2030" w14:textId="77777777" w:rsidR="00D06F2D" w:rsidRPr="00D06F2D" w:rsidRDefault="00D06F2D" w:rsidP="00D06F2D">
      <w:pPr>
        <w:pStyle w:val="EndNoteBibliography"/>
        <w:ind w:left="720" w:hanging="720"/>
        <w:rPr>
          <w:noProof/>
        </w:rPr>
      </w:pPr>
      <w:r w:rsidRPr="00D06F2D">
        <w:rPr>
          <w:noProof/>
        </w:rPr>
        <w:t xml:space="preserve">HELENIUS, J., PERKIO, J., SOINNE, L., OSTERGAARD, L., CARANO, R. A. D., SALONEN, O., SAVOLAINEN, S., KASTE, M., ARONEN, H. J. &amp; TATLISUMAK, T. 2003. Cerebral hemodynamics in a healthy population measured by dynamic susceptibility contrast MR imaging. </w:t>
      </w:r>
      <w:r w:rsidRPr="00D06F2D">
        <w:rPr>
          <w:i/>
          <w:noProof/>
        </w:rPr>
        <w:t>Acta Radiologica,</w:t>
      </w:r>
      <w:r w:rsidRPr="00D06F2D">
        <w:rPr>
          <w:noProof/>
        </w:rPr>
        <w:t xml:space="preserve"> 44</w:t>
      </w:r>
      <w:r w:rsidRPr="00D06F2D">
        <w:rPr>
          <w:b/>
          <w:noProof/>
        </w:rPr>
        <w:t>,</w:t>
      </w:r>
      <w:r w:rsidRPr="00D06F2D">
        <w:rPr>
          <w:noProof/>
        </w:rPr>
        <w:t xml:space="preserve"> 538-546.</w:t>
      </w:r>
    </w:p>
    <w:p w14:paraId="3B94FAF0" w14:textId="77777777" w:rsidR="00D06F2D" w:rsidRPr="00D06F2D" w:rsidRDefault="00D06F2D" w:rsidP="00D06F2D">
      <w:pPr>
        <w:pStyle w:val="EndNoteBibliography"/>
        <w:ind w:left="720" w:hanging="720"/>
        <w:rPr>
          <w:noProof/>
        </w:rPr>
      </w:pPr>
      <w:r w:rsidRPr="00D06F2D">
        <w:rPr>
          <w:noProof/>
        </w:rPr>
        <w:t xml:space="preserve">HENIGSBERG, N., SAVIĆ, A., RADOŠ, M., ŠARAC, H., OZRETIĆ, D., JANOVIĆ, M. B., TURK, V. E., ŠEČIĆ, A., KALEMBER, P. &amp; HRABAČ, P. 2018. Choline and N-acetyl aspartate levels in the dorsolateral prefrontal cortex at the beginning of the recovery phase as markers of increased risk for depressive episode recurrence under different duration of maintenance therapy and after it: A retrospective cohort study. </w:t>
      </w:r>
      <w:r w:rsidRPr="00D06F2D">
        <w:rPr>
          <w:i/>
          <w:noProof/>
        </w:rPr>
        <w:t>Croatian Medical Journal</w:t>
      </w:r>
      <w:r w:rsidRPr="00D06F2D">
        <w:rPr>
          <w:b/>
          <w:noProof/>
        </w:rPr>
        <w:t>,</w:t>
      </w:r>
      <w:r w:rsidRPr="00D06F2D">
        <w:rPr>
          <w:noProof/>
        </w:rPr>
        <w:t xml:space="preserve"> 244-252.</w:t>
      </w:r>
    </w:p>
    <w:p w14:paraId="40FD1901" w14:textId="77777777" w:rsidR="00D06F2D" w:rsidRPr="00D06F2D" w:rsidRDefault="00D06F2D" w:rsidP="00D06F2D">
      <w:pPr>
        <w:pStyle w:val="EndNoteBibliography"/>
        <w:ind w:left="720" w:hanging="720"/>
        <w:rPr>
          <w:noProof/>
        </w:rPr>
      </w:pPr>
      <w:r w:rsidRPr="00D06F2D">
        <w:rPr>
          <w:noProof/>
        </w:rPr>
        <w:t xml:space="preserve">HENRY, M. E., KAUFMAN, M. J., LANGE, N., SCHMIDT, M. E., PURCELL, S., COTE, J., PERRON-HENRY, D. M., STODDARD, E., COHEN, B. M. &amp; RENSHAW, P. F. 2001. Test–retest reliability of DSC MRI CBV mapping in healthy volunteers. </w:t>
      </w:r>
      <w:r w:rsidRPr="00D06F2D">
        <w:rPr>
          <w:i/>
          <w:noProof/>
        </w:rPr>
        <w:t>Neuroreport,</w:t>
      </w:r>
      <w:r w:rsidRPr="00D06F2D">
        <w:rPr>
          <w:noProof/>
        </w:rPr>
        <w:t xml:space="preserve"> 12</w:t>
      </w:r>
      <w:r w:rsidRPr="00D06F2D">
        <w:rPr>
          <w:b/>
          <w:noProof/>
        </w:rPr>
        <w:t>,</w:t>
      </w:r>
      <w:r w:rsidRPr="00D06F2D">
        <w:rPr>
          <w:noProof/>
        </w:rPr>
        <w:t xml:space="preserve"> 1567-1569.</w:t>
      </w:r>
    </w:p>
    <w:p w14:paraId="641E2A08" w14:textId="77777777" w:rsidR="00D06F2D" w:rsidRPr="00D06F2D" w:rsidRDefault="00D06F2D" w:rsidP="00D06F2D">
      <w:pPr>
        <w:pStyle w:val="EndNoteBibliography"/>
        <w:ind w:left="720" w:hanging="720"/>
        <w:rPr>
          <w:noProof/>
        </w:rPr>
      </w:pPr>
      <w:r w:rsidRPr="00D06F2D">
        <w:rPr>
          <w:noProof/>
        </w:rPr>
        <w:t xml:space="preserve">HERRERO, J. F., LAIRD, J. M. A. &amp; LOPEZ-GARCIA, J. A. 2000. Wind-up of spinal cord neurones and pain sensation: much ado about something? </w:t>
      </w:r>
      <w:r w:rsidRPr="00D06F2D">
        <w:rPr>
          <w:i/>
          <w:noProof/>
        </w:rPr>
        <w:t>Progress in Neurobiology,</w:t>
      </w:r>
      <w:r w:rsidRPr="00D06F2D">
        <w:rPr>
          <w:noProof/>
        </w:rPr>
        <w:t xml:space="preserve"> 61</w:t>
      </w:r>
      <w:r w:rsidRPr="00D06F2D">
        <w:rPr>
          <w:b/>
          <w:noProof/>
        </w:rPr>
        <w:t>,</w:t>
      </w:r>
      <w:r w:rsidRPr="00D06F2D">
        <w:rPr>
          <w:noProof/>
        </w:rPr>
        <w:t xml:space="preserve"> 169-203.</w:t>
      </w:r>
    </w:p>
    <w:p w14:paraId="206B1139" w14:textId="77777777" w:rsidR="00D06F2D" w:rsidRPr="00D06F2D" w:rsidRDefault="00D06F2D" w:rsidP="00D06F2D">
      <w:pPr>
        <w:pStyle w:val="EndNoteBibliography"/>
        <w:ind w:left="720" w:hanging="720"/>
        <w:rPr>
          <w:noProof/>
        </w:rPr>
      </w:pPr>
      <w:r w:rsidRPr="00D06F2D">
        <w:rPr>
          <w:noProof/>
        </w:rPr>
        <w:t xml:space="preserve">HOFFMAN, D. L., SADOSKY, A., DUKES, E. M. &amp; ALVIR, J. 2010. How do changes in pain severity levels correspond to changes in health status and function in patients with painful diabetic peripheral neuropathy? </w:t>
      </w:r>
      <w:r w:rsidRPr="00D06F2D">
        <w:rPr>
          <w:i/>
          <w:noProof/>
        </w:rPr>
        <w:t>Pain,</w:t>
      </w:r>
      <w:r w:rsidRPr="00D06F2D">
        <w:rPr>
          <w:noProof/>
        </w:rPr>
        <w:t xml:space="preserve"> 149</w:t>
      </w:r>
      <w:r w:rsidRPr="00D06F2D">
        <w:rPr>
          <w:b/>
          <w:noProof/>
        </w:rPr>
        <w:t>,</w:t>
      </w:r>
      <w:r w:rsidRPr="00D06F2D">
        <w:rPr>
          <w:noProof/>
        </w:rPr>
        <w:t xml:space="preserve"> 194-201.</w:t>
      </w:r>
    </w:p>
    <w:p w14:paraId="115A9510" w14:textId="77777777" w:rsidR="00D06F2D" w:rsidRPr="00D06F2D" w:rsidRDefault="00D06F2D" w:rsidP="00D06F2D">
      <w:pPr>
        <w:pStyle w:val="EndNoteBibliography"/>
        <w:ind w:left="720" w:hanging="720"/>
        <w:rPr>
          <w:noProof/>
        </w:rPr>
      </w:pPr>
      <w:r w:rsidRPr="00D06F2D">
        <w:rPr>
          <w:noProof/>
        </w:rPr>
        <w:t xml:space="preserve">HOLLINS, M. &amp; WALTERS, S. 2016. Experimental hypervigilance changes the intensity/unpleasantness ratio of pressure sensations: evidence for the generalized hypervigilance hypothesis. </w:t>
      </w:r>
      <w:r w:rsidRPr="00D06F2D">
        <w:rPr>
          <w:i/>
          <w:noProof/>
        </w:rPr>
        <w:t>Experimental Brain Research,</w:t>
      </w:r>
      <w:r w:rsidRPr="00D06F2D">
        <w:rPr>
          <w:noProof/>
        </w:rPr>
        <w:t xml:space="preserve"> 234</w:t>
      </w:r>
      <w:r w:rsidRPr="00D06F2D">
        <w:rPr>
          <w:b/>
          <w:noProof/>
        </w:rPr>
        <w:t>,</w:t>
      </w:r>
      <w:r w:rsidRPr="00D06F2D">
        <w:rPr>
          <w:noProof/>
        </w:rPr>
        <w:t xml:space="preserve"> 1377-1384.</w:t>
      </w:r>
    </w:p>
    <w:p w14:paraId="2D05AF03" w14:textId="77777777" w:rsidR="00D06F2D" w:rsidRPr="00D06F2D" w:rsidRDefault="00D06F2D" w:rsidP="00D06F2D">
      <w:pPr>
        <w:pStyle w:val="EndNoteBibliography"/>
        <w:ind w:left="720" w:hanging="720"/>
        <w:rPr>
          <w:noProof/>
        </w:rPr>
      </w:pPr>
      <w:r w:rsidRPr="00D06F2D">
        <w:rPr>
          <w:noProof/>
        </w:rPr>
        <w:t xml:space="preserve">HOTTA, N., AKANUMA, Y., KAWAMORI, R., MATSUOKA, K., OKA, Y., SHICHIRI, M., TOYOTA, T., NAKASHIMA, M., YOSHIMURA, I., SAKAMOTO, N., SHIGETA, Y. &amp; GRP, A. S. 2006. Long-term clinical effects of epalrestat, an aldose reductase inhibitor, on diabetic peripheral neuropathy - The 3-year, multicenter, comparative aldose reductase inhibitor-diabetes complications trial. </w:t>
      </w:r>
      <w:r w:rsidRPr="00D06F2D">
        <w:rPr>
          <w:i/>
          <w:noProof/>
        </w:rPr>
        <w:t>Diabetes Care,</w:t>
      </w:r>
      <w:r w:rsidRPr="00D06F2D">
        <w:rPr>
          <w:noProof/>
        </w:rPr>
        <w:t xml:space="preserve"> 29</w:t>
      </w:r>
      <w:r w:rsidRPr="00D06F2D">
        <w:rPr>
          <w:b/>
          <w:noProof/>
        </w:rPr>
        <w:t>,</w:t>
      </w:r>
      <w:r w:rsidRPr="00D06F2D">
        <w:rPr>
          <w:noProof/>
        </w:rPr>
        <w:t xml:space="preserve"> 1538-1544.</w:t>
      </w:r>
    </w:p>
    <w:p w14:paraId="19E54112" w14:textId="77777777" w:rsidR="00D06F2D" w:rsidRPr="00D06F2D" w:rsidRDefault="00D06F2D" w:rsidP="00D06F2D">
      <w:pPr>
        <w:pStyle w:val="EndNoteBibliography"/>
        <w:ind w:left="720" w:hanging="720"/>
        <w:rPr>
          <w:noProof/>
        </w:rPr>
      </w:pPr>
      <w:r w:rsidRPr="00D06F2D">
        <w:rPr>
          <w:noProof/>
        </w:rPr>
        <w:t xml:space="preserve">HOU, Q., ZUO, Z., MICHEL, P., ZHANG, Y., ESKANDARI, A., MAN, F., GAO, Q., JOHNSTON, K. C. &amp; WINTERMARK, M. 2013. Influence of Chronic Hyperglycemia on Cerebral Microvascular Remodeling An In Vivo Study Using Perfusion Computed Tomography in Acute Ischemic Stroke Patients. </w:t>
      </w:r>
      <w:r w:rsidRPr="00D06F2D">
        <w:rPr>
          <w:i/>
          <w:noProof/>
        </w:rPr>
        <w:t>Stroke,</w:t>
      </w:r>
      <w:r w:rsidRPr="00D06F2D">
        <w:rPr>
          <w:noProof/>
        </w:rPr>
        <w:t xml:space="preserve"> 44</w:t>
      </w:r>
      <w:r w:rsidRPr="00D06F2D">
        <w:rPr>
          <w:b/>
          <w:noProof/>
        </w:rPr>
        <w:t>,</w:t>
      </w:r>
      <w:r w:rsidRPr="00D06F2D">
        <w:rPr>
          <w:noProof/>
        </w:rPr>
        <w:t xml:space="preserve"> 3557-3560.</w:t>
      </w:r>
    </w:p>
    <w:p w14:paraId="4163F196" w14:textId="77777777" w:rsidR="00D06F2D" w:rsidRPr="00D06F2D" w:rsidRDefault="00D06F2D" w:rsidP="00D06F2D">
      <w:pPr>
        <w:pStyle w:val="EndNoteBibliography"/>
        <w:ind w:left="720" w:hanging="720"/>
        <w:rPr>
          <w:noProof/>
        </w:rPr>
      </w:pPr>
      <w:r w:rsidRPr="00D06F2D">
        <w:rPr>
          <w:noProof/>
        </w:rPr>
        <w:t xml:space="preserve">HSIEH, J. C., BELFRAGE, M., STONEELANDER, S., HANSSON, P. &amp; INGVAR, M. 1995. CENTRAL REPRESENTATION OF CHRONIC ONGOING NEUROPATHIC PAIN STUDIED POSITRON EMISSION TOMOGRAPHY. </w:t>
      </w:r>
      <w:r w:rsidRPr="00D06F2D">
        <w:rPr>
          <w:i/>
          <w:noProof/>
        </w:rPr>
        <w:t>Pain,</w:t>
      </w:r>
      <w:r w:rsidRPr="00D06F2D">
        <w:rPr>
          <w:noProof/>
        </w:rPr>
        <w:t xml:space="preserve"> 63</w:t>
      </w:r>
      <w:r w:rsidRPr="00D06F2D">
        <w:rPr>
          <w:b/>
          <w:noProof/>
        </w:rPr>
        <w:t>,</w:t>
      </w:r>
      <w:r w:rsidRPr="00D06F2D">
        <w:rPr>
          <w:noProof/>
        </w:rPr>
        <w:t xml:space="preserve"> 225-236.</w:t>
      </w:r>
    </w:p>
    <w:p w14:paraId="2290454A" w14:textId="77777777" w:rsidR="00D06F2D" w:rsidRPr="00D06F2D" w:rsidRDefault="00D06F2D" w:rsidP="00D06F2D">
      <w:pPr>
        <w:pStyle w:val="EndNoteBibliography"/>
        <w:ind w:left="720" w:hanging="720"/>
        <w:rPr>
          <w:noProof/>
        </w:rPr>
      </w:pPr>
      <w:r w:rsidRPr="00D06F2D">
        <w:rPr>
          <w:noProof/>
        </w:rPr>
        <w:t xml:space="preserve">HSU, C.-Y. &amp; BANSAL, N. 2011. Measured GFR as "Gold Standard"-All that Glitters Is Not Gold? </w:t>
      </w:r>
      <w:r w:rsidRPr="00D06F2D">
        <w:rPr>
          <w:i/>
          <w:noProof/>
        </w:rPr>
        <w:t>Clinical Journal of the American Society of Nephrology,</w:t>
      </w:r>
      <w:r w:rsidRPr="00D06F2D">
        <w:rPr>
          <w:noProof/>
        </w:rPr>
        <w:t xml:space="preserve"> 6</w:t>
      </w:r>
      <w:r w:rsidRPr="00D06F2D">
        <w:rPr>
          <w:b/>
          <w:noProof/>
        </w:rPr>
        <w:t>,</w:t>
      </w:r>
      <w:r w:rsidRPr="00D06F2D">
        <w:rPr>
          <w:noProof/>
        </w:rPr>
        <w:t xml:space="preserve"> 1813-1814.</w:t>
      </w:r>
    </w:p>
    <w:p w14:paraId="41B50DAA" w14:textId="77777777" w:rsidR="00D06F2D" w:rsidRPr="00D06F2D" w:rsidRDefault="00D06F2D" w:rsidP="00D06F2D">
      <w:pPr>
        <w:pStyle w:val="EndNoteBibliography"/>
        <w:ind w:left="720" w:hanging="720"/>
        <w:rPr>
          <w:noProof/>
        </w:rPr>
      </w:pPr>
      <w:r w:rsidRPr="00D06F2D">
        <w:rPr>
          <w:noProof/>
        </w:rPr>
        <w:lastRenderedPageBreak/>
        <w:t xml:space="preserve">HU, Y., CHEN, X., GU, H. &amp; YANG, Y. 2013. Resting-state glutamate and GABA concentrations predict task-induced deactivation in the default mode network. </w:t>
      </w:r>
      <w:r w:rsidRPr="00D06F2D">
        <w:rPr>
          <w:i/>
          <w:noProof/>
        </w:rPr>
        <w:t>J Neurosci,</w:t>
      </w:r>
      <w:r w:rsidRPr="00D06F2D">
        <w:rPr>
          <w:noProof/>
        </w:rPr>
        <w:t xml:space="preserve"> 33</w:t>
      </w:r>
      <w:r w:rsidRPr="00D06F2D">
        <w:rPr>
          <w:b/>
          <w:noProof/>
        </w:rPr>
        <w:t>,</w:t>
      </w:r>
      <w:r w:rsidRPr="00D06F2D">
        <w:rPr>
          <w:noProof/>
        </w:rPr>
        <w:t xml:space="preserve"> 18566-73.</w:t>
      </w:r>
    </w:p>
    <w:p w14:paraId="255F78AF" w14:textId="77777777" w:rsidR="00D06F2D" w:rsidRPr="00D06F2D" w:rsidRDefault="00D06F2D" w:rsidP="00D06F2D">
      <w:pPr>
        <w:pStyle w:val="EndNoteBibliography"/>
        <w:ind w:left="720" w:hanging="720"/>
        <w:rPr>
          <w:noProof/>
        </w:rPr>
      </w:pPr>
      <w:r w:rsidRPr="00D06F2D">
        <w:rPr>
          <w:noProof/>
        </w:rPr>
        <w:t xml:space="preserve">HUANG, Y., CHEN, W., LI, Y., WU, X., SHI, X. &amp; GENG, D. 2010. Effects of antidepressant treatment on N-acetyl aspartate and choline levels in the hippocampus and thalami of post-stroke depression patients: A study using 1H magnetic resonance spectroscopy. </w:t>
      </w:r>
      <w:r w:rsidRPr="00D06F2D">
        <w:rPr>
          <w:i/>
          <w:noProof/>
        </w:rPr>
        <w:t>Psychiatry Research: Neuroimaging,</w:t>
      </w:r>
      <w:r w:rsidRPr="00D06F2D">
        <w:rPr>
          <w:noProof/>
        </w:rPr>
        <w:t xml:space="preserve"> 182</w:t>
      </w:r>
      <w:r w:rsidRPr="00D06F2D">
        <w:rPr>
          <w:b/>
          <w:noProof/>
        </w:rPr>
        <w:t>,</w:t>
      </w:r>
      <w:r w:rsidRPr="00D06F2D">
        <w:rPr>
          <w:noProof/>
        </w:rPr>
        <w:t xml:space="preserve"> 48-52.</w:t>
      </w:r>
    </w:p>
    <w:p w14:paraId="1500357B" w14:textId="77777777" w:rsidR="00D06F2D" w:rsidRPr="00D06F2D" w:rsidRDefault="00D06F2D" w:rsidP="00D06F2D">
      <w:pPr>
        <w:pStyle w:val="EndNoteBibliography"/>
        <w:ind w:left="720" w:hanging="720"/>
        <w:rPr>
          <w:noProof/>
        </w:rPr>
      </w:pPr>
      <w:r w:rsidRPr="00D06F2D">
        <w:rPr>
          <w:noProof/>
        </w:rPr>
        <w:t xml:space="preserve">HUBER, L., HANDWERKER, D. A., JANGRAW, D. C., CHEN, G., HALL, A., STUBER, C., GONZALEZ-CASTILLO, J., IVANOV, D., MARRETT, S., GUIDI, M., GOENSE, J., POSER, B. A. &amp; BANDETTINI, P. A. 2017. High-Resolution CBV-fMRI Allows Mapping of Laminar Activity and Connectivity of Cortical Input and Output in Human M1. </w:t>
      </w:r>
      <w:r w:rsidRPr="00D06F2D">
        <w:rPr>
          <w:i/>
          <w:noProof/>
        </w:rPr>
        <w:t>Neuron,</w:t>
      </w:r>
      <w:r w:rsidRPr="00D06F2D">
        <w:rPr>
          <w:noProof/>
        </w:rPr>
        <w:t xml:space="preserve"> 96</w:t>
      </w:r>
      <w:r w:rsidRPr="00D06F2D">
        <w:rPr>
          <w:b/>
          <w:noProof/>
        </w:rPr>
        <w:t>,</w:t>
      </w:r>
      <w:r w:rsidRPr="00D06F2D">
        <w:rPr>
          <w:noProof/>
        </w:rPr>
        <w:t xml:space="preserve"> 1253-+.</w:t>
      </w:r>
    </w:p>
    <w:p w14:paraId="1A73C1FB" w14:textId="77777777" w:rsidR="00D06F2D" w:rsidRPr="00D06F2D" w:rsidRDefault="00D06F2D" w:rsidP="00D06F2D">
      <w:pPr>
        <w:pStyle w:val="EndNoteBibliography"/>
        <w:ind w:left="720" w:hanging="720"/>
        <w:rPr>
          <w:noProof/>
        </w:rPr>
      </w:pPr>
      <w:r w:rsidRPr="00D06F2D">
        <w:rPr>
          <w:noProof/>
        </w:rPr>
        <w:t xml:space="preserve">HUBER, L., IVANOV, D., HANDWERKER, D. A., MARRETT, S., GUIDI, M., ULUDAG, K., BANDETTINI, P. A. &amp; POSER, B. A. 2018. Techniques for blood volume fMRI with VASO: From low-resolution mapping towards sub-millimeter layer-dependent applications. </w:t>
      </w:r>
      <w:r w:rsidRPr="00D06F2D">
        <w:rPr>
          <w:i/>
          <w:noProof/>
        </w:rPr>
        <w:t>Neuroimage,</w:t>
      </w:r>
      <w:r w:rsidRPr="00D06F2D">
        <w:rPr>
          <w:noProof/>
        </w:rPr>
        <w:t xml:space="preserve"> 164</w:t>
      </w:r>
      <w:r w:rsidRPr="00D06F2D">
        <w:rPr>
          <w:b/>
          <w:noProof/>
        </w:rPr>
        <w:t>,</w:t>
      </w:r>
      <w:r w:rsidRPr="00D06F2D">
        <w:rPr>
          <w:noProof/>
        </w:rPr>
        <w:t xml:space="preserve"> 131-143.</w:t>
      </w:r>
    </w:p>
    <w:p w14:paraId="3F57EF0D" w14:textId="77777777" w:rsidR="00D06F2D" w:rsidRPr="00D06F2D" w:rsidRDefault="00D06F2D" w:rsidP="00D06F2D">
      <w:pPr>
        <w:pStyle w:val="EndNoteBibliography"/>
        <w:ind w:left="720" w:hanging="720"/>
        <w:rPr>
          <w:noProof/>
        </w:rPr>
      </w:pPr>
      <w:r w:rsidRPr="00D06F2D">
        <w:rPr>
          <w:noProof/>
        </w:rPr>
        <w:t xml:space="preserve">HUITEMA, B. 2011. </w:t>
      </w:r>
      <w:r w:rsidRPr="00D06F2D">
        <w:rPr>
          <w:i/>
          <w:noProof/>
        </w:rPr>
        <w:t xml:space="preserve">The analysis of covariance and alternatives: Statistical methods for experiments, quasi-experiments, and single-case studies, </w:t>
      </w:r>
      <w:r w:rsidRPr="00D06F2D">
        <w:rPr>
          <w:noProof/>
        </w:rPr>
        <w:t>New Jersey, Wiley.</w:t>
      </w:r>
    </w:p>
    <w:p w14:paraId="22589950" w14:textId="77777777" w:rsidR="00D06F2D" w:rsidRPr="00D06F2D" w:rsidRDefault="00D06F2D" w:rsidP="00D06F2D">
      <w:pPr>
        <w:pStyle w:val="EndNoteBibliography"/>
        <w:ind w:left="720" w:hanging="720"/>
        <w:rPr>
          <w:noProof/>
        </w:rPr>
      </w:pPr>
      <w:r w:rsidRPr="00D06F2D">
        <w:rPr>
          <w:noProof/>
        </w:rPr>
        <w:t xml:space="preserve">HULSE, R. P., LOBO, M. E. D. V. &amp; BATES, D. O. 2018. Pericyte mediated reduction in spinal cord blood flow in diabetic neuropathic pain. </w:t>
      </w:r>
      <w:r w:rsidRPr="00D06F2D">
        <w:rPr>
          <w:i/>
          <w:noProof/>
        </w:rPr>
        <w:t>Diabetologia,</w:t>
      </w:r>
      <w:r w:rsidRPr="00D06F2D">
        <w:rPr>
          <w:noProof/>
        </w:rPr>
        <w:t xml:space="preserve"> 61</w:t>
      </w:r>
      <w:r w:rsidRPr="00D06F2D">
        <w:rPr>
          <w:b/>
          <w:noProof/>
        </w:rPr>
        <w:t>,</w:t>
      </w:r>
      <w:r w:rsidRPr="00D06F2D">
        <w:rPr>
          <w:noProof/>
        </w:rPr>
        <w:t xml:space="preserve"> S33-S33.</w:t>
      </w:r>
    </w:p>
    <w:p w14:paraId="5EF4F90F" w14:textId="77777777" w:rsidR="00D06F2D" w:rsidRPr="00D06F2D" w:rsidRDefault="00D06F2D" w:rsidP="00D06F2D">
      <w:pPr>
        <w:pStyle w:val="EndNoteBibliography"/>
        <w:ind w:left="720" w:hanging="720"/>
        <w:rPr>
          <w:noProof/>
        </w:rPr>
      </w:pPr>
      <w:r w:rsidRPr="00D06F2D">
        <w:rPr>
          <w:noProof/>
        </w:rPr>
        <w:t xml:space="preserve">IADAROLA, M. J., MAX, M. B., BERMAN, K. F., BYASSMITH, M. G., COGHILL, R. C., GRACELY, R. H. &amp; BENNETT, G. J. 1995. UNILATERAL DECREASE IN THALAMIC ACTIVITY OBSERVED WITH POSITRON EMISSION TOMOGRAPHY IN PATIENTS WITH CHRONIC NEUROPATHIC PAIN. </w:t>
      </w:r>
      <w:r w:rsidRPr="00D06F2D">
        <w:rPr>
          <w:i/>
          <w:noProof/>
        </w:rPr>
        <w:t>Pain,</w:t>
      </w:r>
      <w:r w:rsidRPr="00D06F2D">
        <w:rPr>
          <w:noProof/>
        </w:rPr>
        <w:t xml:space="preserve"> 63.</w:t>
      </w:r>
    </w:p>
    <w:p w14:paraId="5FC9AF4B" w14:textId="77777777" w:rsidR="00D06F2D" w:rsidRPr="00D06F2D" w:rsidRDefault="00D06F2D" w:rsidP="00D06F2D">
      <w:pPr>
        <w:pStyle w:val="EndNoteBibliography"/>
        <w:ind w:left="720" w:hanging="720"/>
        <w:rPr>
          <w:noProof/>
        </w:rPr>
      </w:pPr>
      <w:r w:rsidRPr="00D06F2D">
        <w:rPr>
          <w:noProof/>
        </w:rPr>
        <w:t xml:space="preserve">IADECOLA, C. 2017. The Neurovascular Unit Coming of Age: A Journey through Neurovascular Coupling in Health and Disease. </w:t>
      </w:r>
      <w:r w:rsidRPr="00D06F2D">
        <w:rPr>
          <w:i/>
          <w:noProof/>
        </w:rPr>
        <w:t>Neuron,</w:t>
      </w:r>
      <w:r w:rsidRPr="00D06F2D">
        <w:rPr>
          <w:noProof/>
        </w:rPr>
        <w:t xml:space="preserve"> 96</w:t>
      </w:r>
      <w:r w:rsidRPr="00D06F2D">
        <w:rPr>
          <w:b/>
          <w:noProof/>
        </w:rPr>
        <w:t>,</w:t>
      </w:r>
      <w:r w:rsidRPr="00D06F2D">
        <w:rPr>
          <w:noProof/>
        </w:rPr>
        <w:t xml:space="preserve"> 17-42.</w:t>
      </w:r>
    </w:p>
    <w:p w14:paraId="24DE84A8" w14:textId="64269982" w:rsidR="00D06F2D" w:rsidRPr="00D06F2D" w:rsidRDefault="00D06F2D" w:rsidP="00D06F2D">
      <w:pPr>
        <w:pStyle w:val="EndNoteBibliography"/>
        <w:ind w:left="720" w:hanging="720"/>
        <w:rPr>
          <w:noProof/>
        </w:rPr>
      </w:pPr>
      <w:r w:rsidRPr="00D06F2D">
        <w:rPr>
          <w:noProof/>
        </w:rPr>
        <w:t xml:space="preserve">IASP. 2012. </w:t>
      </w:r>
      <w:r w:rsidRPr="00D06F2D">
        <w:rPr>
          <w:i/>
          <w:noProof/>
        </w:rPr>
        <w:t xml:space="preserve">IASP Terminology </w:t>
      </w:r>
      <w:r w:rsidRPr="00D06F2D">
        <w:rPr>
          <w:noProof/>
        </w:rPr>
        <w:t xml:space="preserve">[Online]. Available: </w:t>
      </w:r>
      <w:hyperlink r:id="rId99" w:history="1">
        <w:r w:rsidRPr="00D06F2D">
          <w:rPr>
            <w:rStyle w:val="Hyperlink"/>
            <w:noProof/>
          </w:rPr>
          <w:t>http://www.iasp-pain.org/Education/Content.aspx?ItemNumber=1698&amp;navItemNumber=576</w:t>
        </w:r>
      </w:hyperlink>
      <w:r w:rsidRPr="00D06F2D">
        <w:rPr>
          <w:noProof/>
        </w:rPr>
        <w:t xml:space="preserve"> [Accessed 9/11/2018 2018].</w:t>
      </w:r>
    </w:p>
    <w:p w14:paraId="4ECA9FB3" w14:textId="77D605E9" w:rsidR="00D06F2D" w:rsidRPr="00D06F2D" w:rsidRDefault="00D06F2D" w:rsidP="00D06F2D">
      <w:pPr>
        <w:pStyle w:val="EndNoteBibliography"/>
        <w:ind w:left="720" w:hanging="720"/>
        <w:rPr>
          <w:noProof/>
        </w:rPr>
      </w:pPr>
      <w:r w:rsidRPr="00D06F2D">
        <w:rPr>
          <w:noProof/>
        </w:rPr>
        <w:t xml:space="preserve">IASP. 2017. </w:t>
      </w:r>
      <w:r w:rsidRPr="00D06F2D">
        <w:rPr>
          <w:i/>
          <w:noProof/>
        </w:rPr>
        <w:t xml:space="preserve">IASP Terminology </w:t>
      </w:r>
      <w:r w:rsidRPr="00D06F2D">
        <w:rPr>
          <w:noProof/>
        </w:rPr>
        <w:t xml:space="preserve">[Online]. Available: </w:t>
      </w:r>
      <w:hyperlink r:id="rId100" w:anchor="Neuropathicpain" w:history="1">
        <w:r w:rsidRPr="00D06F2D">
          <w:rPr>
            <w:rStyle w:val="Hyperlink"/>
            <w:noProof/>
          </w:rPr>
          <w:t>https://www.iasp-pain.org/Education/Content.aspx?ItemNumber=1698#Neuropathicpain</w:t>
        </w:r>
      </w:hyperlink>
      <w:r w:rsidRPr="00D06F2D">
        <w:rPr>
          <w:noProof/>
        </w:rPr>
        <w:t xml:space="preserve"> [Accessed 9/11/2018 2020].</w:t>
      </w:r>
    </w:p>
    <w:p w14:paraId="3D54FEE8" w14:textId="77777777" w:rsidR="00D06F2D" w:rsidRPr="00D06F2D" w:rsidRDefault="00D06F2D" w:rsidP="00D06F2D">
      <w:pPr>
        <w:pStyle w:val="EndNoteBibliography"/>
        <w:ind w:left="720" w:hanging="720"/>
        <w:rPr>
          <w:noProof/>
        </w:rPr>
      </w:pPr>
      <w:r w:rsidRPr="00D06F2D">
        <w:rPr>
          <w:noProof/>
        </w:rPr>
        <w:t xml:space="preserve">JACK, M. &amp; WRIGHT, D. 2012. Role of advanced glycation endproducts and glyoxalase I in diabetic peripheral sensory neuropathy. </w:t>
      </w:r>
      <w:r w:rsidRPr="00D06F2D">
        <w:rPr>
          <w:i/>
          <w:noProof/>
        </w:rPr>
        <w:t>Translational Research,</w:t>
      </w:r>
      <w:r w:rsidRPr="00D06F2D">
        <w:rPr>
          <w:noProof/>
        </w:rPr>
        <w:t xml:space="preserve"> 159</w:t>
      </w:r>
      <w:r w:rsidRPr="00D06F2D">
        <w:rPr>
          <w:b/>
          <w:noProof/>
        </w:rPr>
        <w:t>,</w:t>
      </w:r>
      <w:r w:rsidRPr="00D06F2D">
        <w:rPr>
          <w:noProof/>
        </w:rPr>
        <w:t xml:space="preserve"> 355-365.</w:t>
      </w:r>
    </w:p>
    <w:p w14:paraId="29C990D8" w14:textId="77777777" w:rsidR="00D06F2D" w:rsidRPr="00D06F2D" w:rsidRDefault="00D06F2D" w:rsidP="00D06F2D">
      <w:pPr>
        <w:pStyle w:val="EndNoteBibliography"/>
        <w:ind w:left="720" w:hanging="720"/>
        <w:rPr>
          <w:noProof/>
        </w:rPr>
      </w:pPr>
      <w:r w:rsidRPr="00D06F2D">
        <w:rPr>
          <w:noProof/>
        </w:rPr>
        <w:t xml:space="preserve">JAIN, R., JAIN, S., RAISON, C. L. &amp; MALETIC, V. 2011. Painful Diabetic Neuropathy is More than Pain Alone: Examining the Role of Anxiety and Depression as Mediators and Complicators. </w:t>
      </w:r>
      <w:r w:rsidRPr="00D06F2D">
        <w:rPr>
          <w:i/>
          <w:noProof/>
        </w:rPr>
        <w:t>Current Diabetes Reports,</w:t>
      </w:r>
      <w:r w:rsidRPr="00D06F2D">
        <w:rPr>
          <w:noProof/>
        </w:rPr>
        <w:t xml:space="preserve"> 11</w:t>
      </w:r>
      <w:r w:rsidRPr="00D06F2D">
        <w:rPr>
          <w:b/>
          <w:noProof/>
        </w:rPr>
        <w:t>,</w:t>
      </w:r>
      <w:r w:rsidRPr="00D06F2D">
        <w:rPr>
          <w:noProof/>
        </w:rPr>
        <w:t xml:space="preserve"> 275-284.</w:t>
      </w:r>
    </w:p>
    <w:p w14:paraId="087C3508" w14:textId="77777777" w:rsidR="00D06F2D" w:rsidRPr="00D06F2D" w:rsidRDefault="00D06F2D" w:rsidP="00D06F2D">
      <w:pPr>
        <w:pStyle w:val="EndNoteBibliography"/>
        <w:ind w:left="720" w:hanging="720"/>
        <w:rPr>
          <w:noProof/>
        </w:rPr>
      </w:pPr>
      <w:r w:rsidRPr="00D06F2D">
        <w:rPr>
          <w:noProof/>
        </w:rPr>
        <w:t xml:space="preserve">JEFFCOATE, W. J., CHIPCHASE, S. Y., INCE, P. &amp; GAME, F. L. 2006. Assessing the outcome of the management of diabetic foot ulcers using ulcer-related and person-related measures. </w:t>
      </w:r>
      <w:r w:rsidRPr="00D06F2D">
        <w:rPr>
          <w:i/>
          <w:noProof/>
        </w:rPr>
        <w:t>Diabetes Care,</w:t>
      </w:r>
      <w:r w:rsidRPr="00D06F2D">
        <w:rPr>
          <w:noProof/>
        </w:rPr>
        <w:t xml:space="preserve"> 29</w:t>
      </w:r>
      <w:r w:rsidRPr="00D06F2D">
        <w:rPr>
          <w:b/>
          <w:noProof/>
        </w:rPr>
        <w:t>,</w:t>
      </w:r>
      <w:r w:rsidRPr="00D06F2D">
        <w:rPr>
          <w:noProof/>
        </w:rPr>
        <w:t xml:space="preserve"> 1784-1787.</w:t>
      </w:r>
    </w:p>
    <w:p w14:paraId="7D264164" w14:textId="77777777" w:rsidR="00D06F2D" w:rsidRPr="00D06F2D" w:rsidRDefault="00D06F2D" w:rsidP="00D06F2D">
      <w:pPr>
        <w:pStyle w:val="EndNoteBibliography"/>
        <w:ind w:left="720" w:hanging="720"/>
        <w:rPr>
          <w:noProof/>
        </w:rPr>
      </w:pPr>
      <w:r w:rsidRPr="00D06F2D">
        <w:rPr>
          <w:noProof/>
        </w:rPr>
        <w:t xml:space="preserve">JENSEN, K. B., REGENBOGEN, C., OHSE, M. C., FRASNELLI, J., FREIHERR, J. &amp; LUNDSTROM, J. N. 2016. Brain activations during pain: a neuroimaging meta-analysis of patients with pain and healthy controls. </w:t>
      </w:r>
      <w:r w:rsidRPr="00D06F2D">
        <w:rPr>
          <w:i/>
          <w:noProof/>
        </w:rPr>
        <w:t>Pain,</w:t>
      </w:r>
      <w:r w:rsidRPr="00D06F2D">
        <w:rPr>
          <w:noProof/>
        </w:rPr>
        <w:t xml:space="preserve"> 157</w:t>
      </w:r>
      <w:r w:rsidRPr="00D06F2D">
        <w:rPr>
          <w:b/>
          <w:noProof/>
        </w:rPr>
        <w:t>,</w:t>
      </w:r>
      <w:r w:rsidRPr="00D06F2D">
        <w:rPr>
          <w:noProof/>
        </w:rPr>
        <w:t xml:space="preserve"> 1279-1286.</w:t>
      </w:r>
    </w:p>
    <w:p w14:paraId="19472459" w14:textId="77777777" w:rsidR="00D06F2D" w:rsidRPr="00D06F2D" w:rsidRDefault="00D06F2D" w:rsidP="00D06F2D">
      <w:pPr>
        <w:pStyle w:val="EndNoteBibliography"/>
        <w:ind w:left="720" w:hanging="720"/>
        <w:rPr>
          <w:noProof/>
        </w:rPr>
      </w:pPr>
      <w:r w:rsidRPr="00D06F2D">
        <w:rPr>
          <w:noProof/>
        </w:rPr>
        <w:lastRenderedPageBreak/>
        <w:t xml:space="preserve">JENSEN, M. P., CHODROFF, M. J. &amp; DWORKIN, R. H. 2007. The impact of neuropathic pain on health-related quality of life - Review and implications. </w:t>
      </w:r>
      <w:r w:rsidRPr="00D06F2D">
        <w:rPr>
          <w:i/>
          <w:noProof/>
        </w:rPr>
        <w:t>Neurology,</w:t>
      </w:r>
      <w:r w:rsidRPr="00D06F2D">
        <w:rPr>
          <w:noProof/>
        </w:rPr>
        <w:t xml:space="preserve"> 68</w:t>
      </w:r>
      <w:r w:rsidRPr="00D06F2D">
        <w:rPr>
          <w:b/>
          <w:noProof/>
        </w:rPr>
        <w:t>,</w:t>
      </w:r>
      <w:r w:rsidRPr="00D06F2D">
        <w:rPr>
          <w:noProof/>
        </w:rPr>
        <w:t xml:space="preserve"> 1178-1182.</w:t>
      </w:r>
    </w:p>
    <w:p w14:paraId="1A43487E" w14:textId="77777777" w:rsidR="00D06F2D" w:rsidRPr="00D06F2D" w:rsidRDefault="00D06F2D" w:rsidP="00D06F2D">
      <w:pPr>
        <w:pStyle w:val="EndNoteBibliography"/>
        <w:ind w:left="720" w:hanging="720"/>
        <w:rPr>
          <w:noProof/>
        </w:rPr>
      </w:pPr>
      <w:r w:rsidRPr="00D06F2D">
        <w:rPr>
          <w:noProof/>
        </w:rPr>
        <w:t xml:space="preserve">JENSEN, T. S., GOTTRUP, H., SINDRUP, S. H. &amp; BACH, F. W. 2001. The clinical picture of neuropathic pain. </w:t>
      </w:r>
      <w:r w:rsidRPr="00D06F2D">
        <w:rPr>
          <w:i/>
          <w:noProof/>
        </w:rPr>
        <w:t>European Journal of Pharmacology,</w:t>
      </w:r>
      <w:r w:rsidRPr="00D06F2D">
        <w:rPr>
          <w:noProof/>
        </w:rPr>
        <w:t xml:space="preserve"> 429</w:t>
      </w:r>
      <w:r w:rsidRPr="00D06F2D">
        <w:rPr>
          <w:b/>
          <w:noProof/>
        </w:rPr>
        <w:t>,</w:t>
      </w:r>
      <w:r w:rsidRPr="00D06F2D">
        <w:rPr>
          <w:noProof/>
        </w:rPr>
        <w:t xml:space="preserve"> 1-11.</w:t>
      </w:r>
    </w:p>
    <w:p w14:paraId="66CC3C7A" w14:textId="77777777" w:rsidR="00D06F2D" w:rsidRPr="00D06F2D" w:rsidRDefault="00D06F2D" w:rsidP="00D06F2D">
      <w:pPr>
        <w:pStyle w:val="EndNoteBibliography"/>
        <w:ind w:left="720" w:hanging="720"/>
        <w:rPr>
          <w:noProof/>
        </w:rPr>
      </w:pPr>
      <w:r w:rsidRPr="00D06F2D">
        <w:rPr>
          <w:noProof/>
        </w:rPr>
        <w:t xml:space="preserve">JESPERSEN, S. N. &amp; OSTERGAARD, L. 2012. The roles of cerebral blood flow, capillary transit time heterogeneity, and oxygen tension in brain oxygenation and metabolism. </w:t>
      </w:r>
      <w:r w:rsidRPr="00D06F2D">
        <w:rPr>
          <w:i/>
          <w:noProof/>
        </w:rPr>
        <w:t>Journal of Cerebral Blood Flow and Metabolism,</w:t>
      </w:r>
      <w:r w:rsidRPr="00D06F2D">
        <w:rPr>
          <w:noProof/>
        </w:rPr>
        <w:t xml:space="preserve"> 32</w:t>
      </w:r>
      <w:r w:rsidRPr="00D06F2D">
        <w:rPr>
          <w:b/>
          <w:noProof/>
        </w:rPr>
        <w:t>,</w:t>
      </w:r>
      <w:r w:rsidRPr="00D06F2D">
        <w:rPr>
          <w:noProof/>
        </w:rPr>
        <w:t xml:space="preserve"> 264-277.</w:t>
      </w:r>
    </w:p>
    <w:p w14:paraId="5C25D23D" w14:textId="77777777" w:rsidR="00D06F2D" w:rsidRPr="00D06F2D" w:rsidRDefault="00D06F2D" w:rsidP="00D06F2D">
      <w:pPr>
        <w:pStyle w:val="EndNoteBibliography"/>
        <w:ind w:left="720" w:hanging="720"/>
        <w:rPr>
          <w:noProof/>
        </w:rPr>
      </w:pPr>
      <w:r w:rsidRPr="00D06F2D">
        <w:rPr>
          <w:noProof/>
        </w:rPr>
        <w:t xml:space="preserve">JOHNSON, P. C., BRENDEL, K. &amp; MEEZAN, E. 1982. THICKENED CEREBRAL CORTICAL CAPILLARY BASEMENT-MEMBRANES IN DIABETICS. </w:t>
      </w:r>
      <w:r w:rsidRPr="00D06F2D">
        <w:rPr>
          <w:i/>
          <w:noProof/>
        </w:rPr>
        <w:t>Archives of Pathology &amp;amp; Laboratory Medicine,</w:t>
      </w:r>
      <w:r w:rsidRPr="00D06F2D">
        <w:rPr>
          <w:noProof/>
        </w:rPr>
        <w:t xml:space="preserve"> 106.</w:t>
      </w:r>
    </w:p>
    <w:p w14:paraId="199CA897" w14:textId="77777777" w:rsidR="00D06F2D" w:rsidRPr="00D06F2D" w:rsidRDefault="00D06F2D" w:rsidP="00D06F2D">
      <w:pPr>
        <w:pStyle w:val="EndNoteBibliography"/>
        <w:ind w:left="720" w:hanging="720"/>
        <w:rPr>
          <w:noProof/>
        </w:rPr>
      </w:pPr>
      <w:r w:rsidRPr="00D06F2D">
        <w:rPr>
          <w:noProof/>
        </w:rPr>
        <w:t xml:space="preserve">JONES, B. F., BARNES, J., UYLINGS, H. B. M., FOX, N. C., FROST, C., WITTER, M. P. &amp; SCHEFTENS, P. 2006. Differential regional atrophy of the cingulate gyrus in Alzheimer disease: A volumetric MRI study. </w:t>
      </w:r>
      <w:r w:rsidRPr="00D06F2D">
        <w:rPr>
          <w:i/>
          <w:noProof/>
        </w:rPr>
        <w:t>Cerebral Cortex,</w:t>
      </w:r>
      <w:r w:rsidRPr="00D06F2D">
        <w:rPr>
          <w:noProof/>
        </w:rPr>
        <w:t xml:space="preserve"> 16</w:t>
      </w:r>
      <w:r w:rsidRPr="00D06F2D">
        <w:rPr>
          <w:b/>
          <w:noProof/>
        </w:rPr>
        <w:t>,</w:t>
      </w:r>
      <w:r w:rsidRPr="00D06F2D">
        <w:rPr>
          <w:noProof/>
        </w:rPr>
        <w:t xml:space="preserve"> 1701-1708.</w:t>
      </w:r>
    </w:p>
    <w:p w14:paraId="66380216" w14:textId="77777777" w:rsidR="00D06F2D" w:rsidRPr="00D06F2D" w:rsidRDefault="00D06F2D" w:rsidP="00D06F2D">
      <w:pPr>
        <w:pStyle w:val="EndNoteBibliography"/>
        <w:ind w:left="720" w:hanging="720"/>
        <w:rPr>
          <w:noProof/>
        </w:rPr>
      </w:pPr>
      <w:r w:rsidRPr="00D06F2D">
        <w:rPr>
          <w:noProof/>
        </w:rPr>
        <w:t xml:space="preserve">JUDE, E. B. &amp; BOULTON, A. J. M. 1999. End-stage complications of diabetic neuropathy. </w:t>
      </w:r>
      <w:r w:rsidRPr="00D06F2D">
        <w:rPr>
          <w:i/>
          <w:noProof/>
        </w:rPr>
        <w:t>Diabetes Reviews,</w:t>
      </w:r>
      <w:r w:rsidRPr="00D06F2D">
        <w:rPr>
          <w:noProof/>
        </w:rPr>
        <w:t xml:space="preserve"> 7.</w:t>
      </w:r>
    </w:p>
    <w:p w14:paraId="28DBB26D" w14:textId="77777777" w:rsidR="00D06F2D" w:rsidRPr="00D06F2D" w:rsidRDefault="00D06F2D" w:rsidP="00D06F2D">
      <w:pPr>
        <w:pStyle w:val="EndNoteBibliography"/>
        <w:ind w:left="720" w:hanging="720"/>
        <w:rPr>
          <w:noProof/>
        </w:rPr>
      </w:pPr>
      <w:r w:rsidRPr="00D06F2D">
        <w:rPr>
          <w:noProof/>
        </w:rPr>
        <w:t xml:space="preserve">JUNKER, U., JAGGI, C., BESTETTI, G. &amp; ROSSI, G. L. 1985. BASEMENT-MEMBRANE OF HYPOTHALAMUS AND CORTEX CAPILLARIES FROM NORMOTENSIVE AND SPONTANEOUSLY HYPERTENSIVE RATS WITH STREPTOZOTOCIN-INDUCED DIABETES. </w:t>
      </w:r>
      <w:r w:rsidRPr="00D06F2D">
        <w:rPr>
          <w:i/>
          <w:noProof/>
        </w:rPr>
        <w:t>Acta Neuropathologica,</w:t>
      </w:r>
      <w:r w:rsidRPr="00D06F2D">
        <w:rPr>
          <w:noProof/>
        </w:rPr>
        <w:t xml:space="preserve"> 65.</w:t>
      </w:r>
    </w:p>
    <w:p w14:paraId="42F6783C" w14:textId="77777777" w:rsidR="00D06F2D" w:rsidRPr="00D06F2D" w:rsidRDefault="00D06F2D" w:rsidP="00D06F2D">
      <w:pPr>
        <w:pStyle w:val="EndNoteBibliography"/>
        <w:ind w:left="720" w:hanging="720"/>
        <w:rPr>
          <w:noProof/>
        </w:rPr>
      </w:pPr>
      <w:r w:rsidRPr="00D06F2D">
        <w:rPr>
          <w:noProof/>
        </w:rPr>
        <w:t>JÄRNUM, H., ESKILDSEN, S. F., STEFFENSEN, E. G., LUNDBYE</w:t>
      </w:r>
      <w:r w:rsidRPr="00D06F2D">
        <w:rPr>
          <w:rFonts w:ascii="Cambria Math" w:hAnsi="Cambria Math" w:cs="Cambria Math"/>
          <w:noProof/>
        </w:rPr>
        <w:t>‐</w:t>
      </w:r>
      <w:r w:rsidRPr="00D06F2D">
        <w:rPr>
          <w:noProof/>
        </w:rPr>
        <w:t xml:space="preserve">CHRISTENSEN, S., SIMONSEN, C. W., THOMSEN, I. S., FRÜND, E. T., THÉBERGE, J. &amp; LARSSON, E. M. 2011. Longitudinal MRI study of cortical thickness, perfusion, and metabolite levels in major depressive disorder. </w:t>
      </w:r>
      <w:r w:rsidRPr="00D06F2D">
        <w:rPr>
          <w:i/>
          <w:noProof/>
        </w:rPr>
        <w:t>Acta Psychiatrica Scandinavica,</w:t>
      </w:r>
      <w:r w:rsidRPr="00D06F2D">
        <w:rPr>
          <w:noProof/>
        </w:rPr>
        <w:t xml:space="preserve"> 124</w:t>
      </w:r>
      <w:r w:rsidRPr="00D06F2D">
        <w:rPr>
          <w:b/>
          <w:noProof/>
        </w:rPr>
        <w:t>,</w:t>
      </w:r>
      <w:r w:rsidRPr="00D06F2D">
        <w:rPr>
          <w:noProof/>
        </w:rPr>
        <w:t xml:space="preserve"> 435-446.</w:t>
      </w:r>
    </w:p>
    <w:p w14:paraId="516E19FE" w14:textId="77777777" w:rsidR="00D06F2D" w:rsidRPr="00D06F2D" w:rsidRDefault="00D06F2D" w:rsidP="00D06F2D">
      <w:pPr>
        <w:pStyle w:val="EndNoteBibliography"/>
        <w:ind w:left="720" w:hanging="720"/>
        <w:rPr>
          <w:noProof/>
        </w:rPr>
      </w:pPr>
      <w:r w:rsidRPr="00D06F2D">
        <w:rPr>
          <w:noProof/>
        </w:rPr>
        <w:t xml:space="preserve">KAMEYAMA, M., MURAKAMI, K. &amp; JINZAKI, M. 2016. Comparison of [(15)O] H2O Positron Emission Tomography and Functional Magnetic Resonance Imaging in Activation Studies. </w:t>
      </w:r>
      <w:r w:rsidRPr="00D06F2D">
        <w:rPr>
          <w:i/>
          <w:noProof/>
        </w:rPr>
        <w:t>World J Nucl Med,</w:t>
      </w:r>
      <w:r w:rsidRPr="00D06F2D">
        <w:rPr>
          <w:noProof/>
        </w:rPr>
        <w:t xml:space="preserve"> 15</w:t>
      </w:r>
      <w:r w:rsidRPr="00D06F2D">
        <w:rPr>
          <w:b/>
          <w:noProof/>
        </w:rPr>
        <w:t>,</w:t>
      </w:r>
      <w:r w:rsidRPr="00D06F2D">
        <w:rPr>
          <w:noProof/>
        </w:rPr>
        <w:t xml:space="preserve"> 3-6.</w:t>
      </w:r>
    </w:p>
    <w:p w14:paraId="4785BA4E" w14:textId="77777777" w:rsidR="00D06F2D" w:rsidRPr="00D06F2D" w:rsidRDefault="00D06F2D" w:rsidP="00D06F2D">
      <w:pPr>
        <w:pStyle w:val="EndNoteBibliography"/>
        <w:ind w:left="720" w:hanging="720"/>
        <w:rPr>
          <w:noProof/>
        </w:rPr>
      </w:pPr>
      <w:r w:rsidRPr="00D06F2D">
        <w:rPr>
          <w:noProof/>
        </w:rPr>
        <w:t xml:space="preserve">KARA, M., OZCAKAR, L., GOKCAY, D., OZCELIK, E., YORUBULUT, M., GUNERI, S., KAYMAK, B., AKINCI, A. &amp; CETIN, A. 2010. Quantification of the Effects of Transcutaneous Electrical Nerve Stimulation With Functional Magnetic Resonance Imaging: A Double-Blind Randomized Placebo-Controlled Study. </w:t>
      </w:r>
      <w:r w:rsidRPr="00D06F2D">
        <w:rPr>
          <w:i/>
          <w:noProof/>
        </w:rPr>
        <w:t>Archives of Physical Medicine and Rehabilitation,</w:t>
      </w:r>
      <w:r w:rsidRPr="00D06F2D">
        <w:rPr>
          <w:noProof/>
        </w:rPr>
        <w:t xml:space="preserve"> 91</w:t>
      </w:r>
      <w:r w:rsidRPr="00D06F2D">
        <w:rPr>
          <w:b/>
          <w:noProof/>
        </w:rPr>
        <w:t>,</w:t>
      </w:r>
      <w:r w:rsidRPr="00D06F2D">
        <w:rPr>
          <w:noProof/>
        </w:rPr>
        <w:t xml:space="preserve"> 1160-1165.</w:t>
      </w:r>
    </w:p>
    <w:p w14:paraId="4034BB7B" w14:textId="77777777" w:rsidR="00D06F2D" w:rsidRPr="00D06F2D" w:rsidRDefault="00D06F2D" w:rsidP="00D06F2D">
      <w:pPr>
        <w:pStyle w:val="EndNoteBibliography"/>
        <w:ind w:left="720" w:hanging="720"/>
        <w:rPr>
          <w:noProof/>
        </w:rPr>
      </w:pPr>
      <w:r w:rsidRPr="00D06F2D">
        <w:rPr>
          <w:noProof/>
        </w:rPr>
        <w:t xml:space="preserve">KARAKULOVA, Y., KAIGORODOVA, N. &amp; BATUEVA, E. 2013. Diabetic peripheral neuropathy therapy-induced activation of humoral serotonin and endogenous neurotrophins. </w:t>
      </w:r>
      <w:r w:rsidRPr="00D06F2D">
        <w:rPr>
          <w:i/>
          <w:noProof/>
        </w:rPr>
        <w:t>Nevrologiâ, Nejropsihiatriâ, Psihosomatika,</w:t>
      </w:r>
      <w:r w:rsidRPr="00D06F2D">
        <w:rPr>
          <w:noProof/>
        </w:rPr>
        <w:t xml:space="preserve"> 5</w:t>
      </w:r>
      <w:r w:rsidRPr="00D06F2D">
        <w:rPr>
          <w:b/>
          <w:noProof/>
        </w:rPr>
        <w:t>,</w:t>
      </w:r>
      <w:r w:rsidRPr="00D06F2D">
        <w:rPr>
          <w:noProof/>
        </w:rPr>
        <w:t xml:space="preserve"> 13-17.</w:t>
      </w:r>
    </w:p>
    <w:p w14:paraId="458C144F" w14:textId="77777777" w:rsidR="00D06F2D" w:rsidRPr="00D06F2D" w:rsidRDefault="00D06F2D" w:rsidP="00D06F2D">
      <w:pPr>
        <w:pStyle w:val="EndNoteBibliography"/>
        <w:ind w:left="720" w:hanging="720"/>
        <w:rPr>
          <w:noProof/>
        </w:rPr>
      </w:pPr>
      <w:r w:rsidRPr="00D06F2D">
        <w:rPr>
          <w:noProof/>
        </w:rPr>
        <w:t xml:space="preserve">KASTRUP, A., BAUDEWIG, J., SCHNAUDIGEL, S., HUONKER, R., BECKER, L., SOHNS, J., DECHENT, P., KLINGNER, C. &amp; WITTE, O. 2008. Behavioral correlates of negative BOLD signal changes in the primary somatosensory cortex. </w:t>
      </w:r>
      <w:r w:rsidRPr="00D06F2D">
        <w:rPr>
          <w:i/>
          <w:noProof/>
        </w:rPr>
        <w:t>Neuroimage,</w:t>
      </w:r>
      <w:r w:rsidRPr="00D06F2D">
        <w:rPr>
          <w:noProof/>
        </w:rPr>
        <w:t xml:space="preserve"> 41</w:t>
      </w:r>
      <w:r w:rsidRPr="00D06F2D">
        <w:rPr>
          <w:b/>
          <w:noProof/>
        </w:rPr>
        <w:t>,</w:t>
      </w:r>
      <w:r w:rsidRPr="00D06F2D">
        <w:rPr>
          <w:noProof/>
        </w:rPr>
        <w:t xml:space="preserve"> 1364-1371.</w:t>
      </w:r>
    </w:p>
    <w:p w14:paraId="1C47B05C" w14:textId="77777777" w:rsidR="00D06F2D" w:rsidRPr="00D06F2D" w:rsidRDefault="00D06F2D" w:rsidP="00D06F2D">
      <w:pPr>
        <w:pStyle w:val="EndNoteBibliography"/>
        <w:ind w:left="720" w:hanging="720"/>
        <w:rPr>
          <w:noProof/>
        </w:rPr>
      </w:pPr>
      <w:r w:rsidRPr="00D06F2D">
        <w:rPr>
          <w:noProof/>
        </w:rPr>
        <w:t xml:space="preserve">KATZ, J., MCDERMOTT, M., WALTHER, R., SWEENEY, E. &amp; DWORKIN, R. 2005. Psychosocial Risk Factors for Postherpetic Neuralgia: A Prospective Study of Patients With Herpes Zoster. </w:t>
      </w:r>
      <w:r w:rsidRPr="00D06F2D">
        <w:rPr>
          <w:i/>
          <w:noProof/>
        </w:rPr>
        <w:t>The Journal of Pain,</w:t>
      </w:r>
      <w:r w:rsidRPr="00D06F2D">
        <w:rPr>
          <w:noProof/>
        </w:rPr>
        <w:t xml:space="preserve"> 6</w:t>
      </w:r>
      <w:r w:rsidRPr="00D06F2D">
        <w:rPr>
          <w:b/>
          <w:noProof/>
        </w:rPr>
        <w:t>,</w:t>
      </w:r>
      <w:r w:rsidRPr="00D06F2D">
        <w:rPr>
          <w:noProof/>
        </w:rPr>
        <w:t xml:space="preserve"> 782-790.</w:t>
      </w:r>
    </w:p>
    <w:p w14:paraId="11EA3C0B" w14:textId="77777777" w:rsidR="00D06F2D" w:rsidRPr="00D06F2D" w:rsidRDefault="00D06F2D" w:rsidP="00D06F2D">
      <w:pPr>
        <w:pStyle w:val="EndNoteBibliography"/>
        <w:ind w:left="720" w:hanging="720"/>
        <w:rPr>
          <w:noProof/>
        </w:rPr>
      </w:pPr>
      <w:r w:rsidRPr="00D06F2D">
        <w:rPr>
          <w:noProof/>
        </w:rPr>
        <w:t xml:space="preserve">KELM, Z., KORFIATIS, P., LINGINENI, R., DANIELS, J., BUCKNER, J., LACHANCE, D., PARNEY, I., CARTER, R. &amp; ERICKSON, B. 2015. Variability and accuracy of different software packages for dynamic susceptibility contrast magnetic resonance imaging for distinguishing glioblastoma </w:t>
      </w:r>
      <w:r w:rsidRPr="00D06F2D">
        <w:rPr>
          <w:noProof/>
        </w:rPr>
        <w:lastRenderedPageBreak/>
        <w:t xml:space="preserve">progression from pseudoprogression. </w:t>
      </w:r>
      <w:r w:rsidRPr="00D06F2D">
        <w:rPr>
          <w:i/>
          <w:noProof/>
        </w:rPr>
        <w:t>Journal of Medical Imaging,</w:t>
      </w:r>
      <w:r w:rsidRPr="00D06F2D">
        <w:rPr>
          <w:noProof/>
        </w:rPr>
        <w:t xml:space="preserve"> 2</w:t>
      </w:r>
      <w:r w:rsidRPr="00D06F2D">
        <w:rPr>
          <w:b/>
          <w:noProof/>
        </w:rPr>
        <w:t>,</w:t>
      </w:r>
      <w:r w:rsidRPr="00D06F2D">
        <w:rPr>
          <w:noProof/>
        </w:rPr>
        <w:t xml:space="preserve"> 026001-026001.</w:t>
      </w:r>
    </w:p>
    <w:p w14:paraId="522013B8" w14:textId="77777777" w:rsidR="00D06F2D" w:rsidRPr="00D06F2D" w:rsidRDefault="00D06F2D" w:rsidP="00D06F2D">
      <w:pPr>
        <w:pStyle w:val="EndNoteBibliography"/>
        <w:ind w:left="720" w:hanging="720"/>
        <w:rPr>
          <w:noProof/>
        </w:rPr>
      </w:pPr>
      <w:r w:rsidRPr="00D06F2D">
        <w:rPr>
          <w:noProof/>
        </w:rPr>
        <w:t xml:space="preserve">KIM, H. Y. 2015. Statistical notes for clinical researchers: post-hoc multiple comparisons. </w:t>
      </w:r>
      <w:r w:rsidRPr="00D06F2D">
        <w:rPr>
          <w:i/>
          <w:noProof/>
        </w:rPr>
        <w:t>Restor Dent Endod,</w:t>
      </w:r>
      <w:r w:rsidRPr="00D06F2D">
        <w:rPr>
          <w:noProof/>
        </w:rPr>
        <w:t xml:space="preserve"> 40</w:t>
      </w:r>
      <w:r w:rsidRPr="00D06F2D">
        <w:rPr>
          <w:b/>
          <w:noProof/>
        </w:rPr>
        <w:t>,</w:t>
      </w:r>
      <w:r w:rsidRPr="00D06F2D">
        <w:rPr>
          <w:noProof/>
        </w:rPr>
        <w:t xml:space="preserve"> 172-6.</w:t>
      </w:r>
    </w:p>
    <w:p w14:paraId="4543FC72" w14:textId="77777777" w:rsidR="00D06F2D" w:rsidRPr="00D06F2D" w:rsidRDefault="00D06F2D" w:rsidP="00D06F2D">
      <w:pPr>
        <w:pStyle w:val="EndNoteBibliography"/>
        <w:ind w:left="720" w:hanging="720"/>
        <w:rPr>
          <w:noProof/>
        </w:rPr>
      </w:pPr>
      <w:r w:rsidRPr="00D06F2D">
        <w:rPr>
          <w:noProof/>
        </w:rPr>
        <w:t xml:space="preserve">KISLER, K., NELSON, A. R., REGE, S. V., RAMANATHAN, A., WANG, Y. M., AHUJA, A., LAZIC, D., TSAI, P. S., ZHAO, Z., ZHOU, Y., BOAS, D. A., SAKADZIC, S. &amp; ZLOKOVIC, B. V. 2017. Pericyte degeneration leads to neurovascular uncoupling and limits oxygen supply to brain. </w:t>
      </w:r>
      <w:r w:rsidRPr="00D06F2D">
        <w:rPr>
          <w:i/>
          <w:noProof/>
        </w:rPr>
        <w:t>Nature Neuroscience,</w:t>
      </w:r>
      <w:r w:rsidRPr="00D06F2D">
        <w:rPr>
          <w:noProof/>
        </w:rPr>
        <w:t xml:space="preserve"> 20</w:t>
      </w:r>
      <w:r w:rsidRPr="00D06F2D">
        <w:rPr>
          <w:b/>
          <w:noProof/>
        </w:rPr>
        <w:t>,</w:t>
      </w:r>
      <w:r w:rsidRPr="00D06F2D">
        <w:rPr>
          <w:noProof/>
        </w:rPr>
        <w:t xml:space="preserve"> 406-416.</w:t>
      </w:r>
    </w:p>
    <w:p w14:paraId="25F6A3B8" w14:textId="77777777" w:rsidR="00D06F2D" w:rsidRPr="00D06F2D" w:rsidRDefault="00D06F2D" w:rsidP="00D06F2D">
      <w:pPr>
        <w:pStyle w:val="EndNoteBibliography"/>
        <w:ind w:left="720" w:hanging="720"/>
        <w:rPr>
          <w:noProof/>
        </w:rPr>
      </w:pPr>
      <w:r w:rsidRPr="00D06F2D">
        <w:rPr>
          <w:noProof/>
        </w:rPr>
        <w:t xml:space="preserve">KITAJIMA, K., MAEDA, T., WATANABE, S., UENO, Y. &amp; SUGIMURA, K. 2012. Recent topics related to nephrogenic systemic fibrosis associated with gadolinium-based contrast agents. </w:t>
      </w:r>
      <w:r w:rsidRPr="00D06F2D">
        <w:rPr>
          <w:i/>
          <w:noProof/>
        </w:rPr>
        <w:t>International Journal of Urology,</w:t>
      </w:r>
      <w:r w:rsidRPr="00D06F2D">
        <w:rPr>
          <w:noProof/>
        </w:rPr>
        <w:t xml:space="preserve"> 19</w:t>
      </w:r>
      <w:r w:rsidRPr="00D06F2D">
        <w:rPr>
          <w:b/>
          <w:noProof/>
        </w:rPr>
        <w:t>,</w:t>
      </w:r>
      <w:r w:rsidRPr="00D06F2D">
        <w:rPr>
          <w:noProof/>
        </w:rPr>
        <w:t xml:space="preserve"> 806-811.</w:t>
      </w:r>
    </w:p>
    <w:p w14:paraId="78D019C8" w14:textId="77777777" w:rsidR="00D06F2D" w:rsidRPr="00D06F2D" w:rsidRDefault="00D06F2D" w:rsidP="00D06F2D">
      <w:pPr>
        <w:pStyle w:val="EndNoteBibliography"/>
        <w:ind w:left="720" w:hanging="720"/>
        <w:rPr>
          <w:noProof/>
        </w:rPr>
      </w:pPr>
      <w:r w:rsidRPr="00D06F2D">
        <w:rPr>
          <w:noProof/>
        </w:rPr>
        <w:t xml:space="preserve">KLINGNER, C., HASLER, C., BRODOEHL, S. &amp; WITTE, O. 2010. Dependence of the negative BOLD response on somatosensory stimulus intensity. </w:t>
      </w:r>
      <w:r w:rsidRPr="00D06F2D">
        <w:rPr>
          <w:i/>
          <w:noProof/>
        </w:rPr>
        <w:t>Neuroimage,</w:t>
      </w:r>
      <w:r w:rsidRPr="00D06F2D">
        <w:rPr>
          <w:noProof/>
        </w:rPr>
        <w:t xml:space="preserve"> 53</w:t>
      </w:r>
      <w:r w:rsidRPr="00D06F2D">
        <w:rPr>
          <w:b/>
          <w:noProof/>
        </w:rPr>
        <w:t>,</w:t>
      </w:r>
      <w:r w:rsidRPr="00D06F2D">
        <w:rPr>
          <w:noProof/>
        </w:rPr>
        <w:t xml:space="preserve"> 189-195.</w:t>
      </w:r>
    </w:p>
    <w:p w14:paraId="4191B4B5" w14:textId="77777777" w:rsidR="00D06F2D" w:rsidRPr="00D06F2D" w:rsidRDefault="00D06F2D" w:rsidP="00D06F2D">
      <w:pPr>
        <w:pStyle w:val="EndNoteBibliography"/>
        <w:ind w:left="720" w:hanging="720"/>
        <w:rPr>
          <w:noProof/>
        </w:rPr>
      </w:pPr>
      <w:r w:rsidRPr="00D06F2D">
        <w:rPr>
          <w:noProof/>
        </w:rPr>
        <w:t xml:space="preserve">KNUTSSON, L., STAAHLBERG, F. &amp; WIRESTAM, R. 2004. Aspects on the accuracy of cerebral perfusion parameters obtained by dynamic susceptibility contrast MRI: a simulation study. </w:t>
      </w:r>
      <w:r w:rsidRPr="00D06F2D">
        <w:rPr>
          <w:i/>
          <w:noProof/>
        </w:rPr>
        <w:t>Magnetic Resonance Imaging,</w:t>
      </w:r>
      <w:r w:rsidRPr="00D06F2D">
        <w:rPr>
          <w:noProof/>
        </w:rPr>
        <w:t xml:space="preserve"> 22</w:t>
      </w:r>
      <w:r w:rsidRPr="00D06F2D">
        <w:rPr>
          <w:b/>
          <w:noProof/>
        </w:rPr>
        <w:t>,</w:t>
      </w:r>
      <w:r w:rsidRPr="00D06F2D">
        <w:rPr>
          <w:noProof/>
        </w:rPr>
        <w:t xml:space="preserve"> 789-798.</w:t>
      </w:r>
    </w:p>
    <w:p w14:paraId="26ACF20A" w14:textId="77777777" w:rsidR="00D06F2D" w:rsidRPr="00D06F2D" w:rsidRDefault="00D06F2D" w:rsidP="00D06F2D">
      <w:pPr>
        <w:pStyle w:val="EndNoteBibliography"/>
        <w:ind w:left="720" w:hanging="720"/>
        <w:rPr>
          <w:noProof/>
        </w:rPr>
      </w:pPr>
      <w:r w:rsidRPr="00D06F2D">
        <w:rPr>
          <w:noProof/>
        </w:rPr>
        <w:t xml:space="preserve">KNUTSSON, L., STAHLBERG, F. &amp; WIRESTAM, R. 2010a. Absolute quantification of perfusion using dynamic susceptibility contrast MRI: pitfalls and possibilities. </w:t>
      </w:r>
      <w:r w:rsidRPr="00D06F2D">
        <w:rPr>
          <w:i/>
          <w:noProof/>
        </w:rPr>
        <w:t>Magnetic Resonance Materials in Physics Biology and Medicine,</w:t>
      </w:r>
      <w:r w:rsidRPr="00D06F2D">
        <w:rPr>
          <w:noProof/>
        </w:rPr>
        <w:t xml:space="preserve"> 23</w:t>
      </w:r>
      <w:r w:rsidRPr="00D06F2D">
        <w:rPr>
          <w:b/>
          <w:noProof/>
        </w:rPr>
        <w:t>,</w:t>
      </w:r>
      <w:r w:rsidRPr="00D06F2D">
        <w:rPr>
          <w:noProof/>
        </w:rPr>
        <w:t xml:space="preserve"> 1-21.</w:t>
      </w:r>
    </w:p>
    <w:p w14:paraId="5C23A2E3" w14:textId="77777777" w:rsidR="00D06F2D" w:rsidRPr="00D06F2D" w:rsidRDefault="00D06F2D" w:rsidP="00D06F2D">
      <w:pPr>
        <w:pStyle w:val="EndNoteBibliography"/>
        <w:ind w:left="720" w:hanging="720"/>
        <w:rPr>
          <w:noProof/>
        </w:rPr>
      </w:pPr>
      <w:r w:rsidRPr="00D06F2D">
        <w:rPr>
          <w:noProof/>
        </w:rPr>
        <w:t xml:space="preserve">KNUTSSON, L., VAN WESTEN, D., PETERSEN, E. T., BLOCH, K. M., HOLTAS, S., STAHLBERG, F. &amp; WIRESTAM, R. 2010b. Absolute quantification of cerebral blood flow: correlation between dynamic susceptibility contrast MRI and model-free arterial spin labeling. </w:t>
      </w:r>
      <w:r w:rsidRPr="00D06F2D">
        <w:rPr>
          <w:i/>
          <w:noProof/>
        </w:rPr>
        <w:t>Magnetic Resonance Imaging,</w:t>
      </w:r>
      <w:r w:rsidRPr="00D06F2D">
        <w:rPr>
          <w:noProof/>
        </w:rPr>
        <w:t xml:space="preserve"> 28</w:t>
      </w:r>
      <w:r w:rsidRPr="00D06F2D">
        <w:rPr>
          <w:b/>
          <w:noProof/>
        </w:rPr>
        <w:t>,</w:t>
      </w:r>
      <w:r w:rsidRPr="00D06F2D">
        <w:rPr>
          <w:noProof/>
        </w:rPr>
        <w:t xml:space="preserve"> 1-7.</w:t>
      </w:r>
    </w:p>
    <w:p w14:paraId="5A922E28" w14:textId="77777777" w:rsidR="00D06F2D" w:rsidRPr="00D06F2D" w:rsidRDefault="00D06F2D" w:rsidP="00D06F2D">
      <w:pPr>
        <w:pStyle w:val="EndNoteBibliography"/>
        <w:ind w:left="720" w:hanging="720"/>
        <w:rPr>
          <w:noProof/>
        </w:rPr>
      </w:pPr>
      <w:r w:rsidRPr="00D06F2D">
        <w:rPr>
          <w:noProof/>
        </w:rPr>
        <w:t xml:space="preserve">KOLLER, A. &amp; TOTH, P. 2012. Contribution of Flow-Dependent Vasomotor Mechanisms to the Autoregulation of Cerebral Blood Flow. </w:t>
      </w:r>
      <w:r w:rsidRPr="00D06F2D">
        <w:rPr>
          <w:i/>
          <w:noProof/>
        </w:rPr>
        <w:t>J. Vasc. Res.,</w:t>
      </w:r>
      <w:r w:rsidRPr="00D06F2D">
        <w:rPr>
          <w:noProof/>
        </w:rPr>
        <w:t xml:space="preserve"> 49</w:t>
      </w:r>
      <w:r w:rsidRPr="00D06F2D">
        <w:rPr>
          <w:b/>
          <w:noProof/>
        </w:rPr>
        <w:t>,</w:t>
      </w:r>
      <w:r w:rsidRPr="00D06F2D">
        <w:rPr>
          <w:noProof/>
        </w:rPr>
        <w:t xml:space="preserve"> 375-389.</w:t>
      </w:r>
    </w:p>
    <w:p w14:paraId="19E78B5B" w14:textId="77777777" w:rsidR="00D06F2D" w:rsidRPr="00D06F2D" w:rsidRDefault="00D06F2D" w:rsidP="00D06F2D">
      <w:pPr>
        <w:pStyle w:val="EndNoteBibliography"/>
        <w:ind w:left="720" w:hanging="720"/>
        <w:rPr>
          <w:noProof/>
        </w:rPr>
      </w:pPr>
      <w:r w:rsidRPr="00D06F2D">
        <w:rPr>
          <w:noProof/>
        </w:rPr>
        <w:t xml:space="preserve">KRAUSE, S. J. &amp; BACKONJA, M.-M. 2003. Development of a Neuropathic Pain Questionnaire. </w:t>
      </w:r>
      <w:r w:rsidRPr="00D06F2D">
        <w:rPr>
          <w:i/>
          <w:noProof/>
        </w:rPr>
        <w:t>Clin J Pain,</w:t>
      </w:r>
      <w:r w:rsidRPr="00D06F2D">
        <w:rPr>
          <w:noProof/>
        </w:rPr>
        <w:t xml:space="preserve"> 19</w:t>
      </w:r>
      <w:r w:rsidRPr="00D06F2D">
        <w:rPr>
          <w:b/>
          <w:noProof/>
        </w:rPr>
        <w:t>,</w:t>
      </w:r>
      <w:r w:rsidRPr="00D06F2D">
        <w:rPr>
          <w:noProof/>
        </w:rPr>
        <w:t xml:space="preserve"> 306-314.</w:t>
      </w:r>
    </w:p>
    <w:p w14:paraId="62E34A1A" w14:textId="77777777" w:rsidR="00D06F2D" w:rsidRPr="00D06F2D" w:rsidRDefault="00D06F2D" w:rsidP="00D06F2D">
      <w:pPr>
        <w:pStyle w:val="EndNoteBibliography"/>
        <w:ind w:left="720" w:hanging="720"/>
        <w:rPr>
          <w:noProof/>
        </w:rPr>
      </w:pPr>
      <w:r w:rsidRPr="00D06F2D">
        <w:rPr>
          <w:noProof/>
        </w:rPr>
        <w:t xml:space="preserve">KRISHNAMURTHY, R., WANG, D., CERVANTES, B., MCALLISTER, A., NELSON, E., KARAMPINOS, D. &amp; HU, H. 2019. Recent Advances in Pediatric Brain, Spine, and Neuromuscular Magnetic Resonance Imaging Techniques. </w:t>
      </w:r>
      <w:r w:rsidRPr="00D06F2D">
        <w:rPr>
          <w:i/>
          <w:noProof/>
        </w:rPr>
        <w:t>Pediatr Neurol,</w:t>
      </w:r>
      <w:r w:rsidRPr="00D06F2D">
        <w:rPr>
          <w:noProof/>
        </w:rPr>
        <w:t xml:space="preserve"> 96</w:t>
      </w:r>
      <w:r w:rsidRPr="00D06F2D">
        <w:rPr>
          <w:b/>
          <w:noProof/>
        </w:rPr>
        <w:t>,</w:t>
      </w:r>
      <w:r w:rsidRPr="00D06F2D">
        <w:rPr>
          <w:noProof/>
        </w:rPr>
        <w:t xml:space="preserve"> 7-23.</w:t>
      </w:r>
    </w:p>
    <w:p w14:paraId="17923D2E" w14:textId="77777777" w:rsidR="00D06F2D" w:rsidRPr="00D06F2D" w:rsidRDefault="00D06F2D" w:rsidP="00D06F2D">
      <w:pPr>
        <w:pStyle w:val="EndNoteBibliography"/>
        <w:ind w:left="720" w:hanging="720"/>
        <w:rPr>
          <w:noProof/>
        </w:rPr>
      </w:pPr>
      <w:r w:rsidRPr="00D06F2D">
        <w:rPr>
          <w:noProof/>
        </w:rPr>
        <w:t xml:space="preserve">KUCYI, A. &amp; DAVIS, K. D. 2015. The dynamic pain connectome. </w:t>
      </w:r>
      <w:r w:rsidRPr="00D06F2D">
        <w:rPr>
          <w:i/>
          <w:noProof/>
        </w:rPr>
        <w:t>Trends in Neurosciences,</w:t>
      </w:r>
      <w:r w:rsidRPr="00D06F2D">
        <w:rPr>
          <w:noProof/>
        </w:rPr>
        <w:t xml:space="preserve"> 38</w:t>
      </w:r>
      <w:r w:rsidRPr="00D06F2D">
        <w:rPr>
          <w:b/>
          <w:noProof/>
        </w:rPr>
        <w:t>,</w:t>
      </w:r>
      <w:r w:rsidRPr="00D06F2D">
        <w:rPr>
          <w:noProof/>
        </w:rPr>
        <w:t xml:space="preserve"> 86-95.</w:t>
      </w:r>
    </w:p>
    <w:p w14:paraId="6D979C57" w14:textId="77777777" w:rsidR="00D06F2D" w:rsidRPr="00D06F2D" w:rsidRDefault="00D06F2D" w:rsidP="00D06F2D">
      <w:pPr>
        <w:pStyle w:val="EndNoteBibliography"/>
        <w:ind w:left="720" w:hanging="720"/>
        <w:rPr>
          <w:noProof/>
        </w:rPr>
      </w:pPr>
      <w:r w:rsidRPr="00D06F2D">
        <w:rPr>
          <w:noProof/>
        </w:rPr>
        <w:t>KUCYI, A. &amp; DAVIS, K. D. 2017. The Neural Code for Pain: From Single-Cell Electrophysiology to the Dynamic Pain Connectome. Los Angeles, CA.</w:t>
      </w:r>
    </w:p>
    <w:p w14:paraId="6156761D" w14:textId="77777777" w:rsidR="00D06F2D" w:rsidRPr="00D06F2D" w:rsidRDefault="00D06F2D" w:rsidP="00D06F2D">
      <w:pPr>
        <w:pStyle w:val="EndNoteBibliography"/>
        <w:ind w:left="720" w:hanging="720"/>
        <w:rPr>
          <w:noProof/>
        </w:rPr>
      </w:pPr>
      <w:r w:rsidRPr="00D06F2D">
        <w:rPr>
          <w:noProof/>
        </w:rPr>
        <w:t xml:space="preserve">KUPERS, R., DANIELSEN, E., KEHLET, H., CHRISTENSEN, R. &amp; THOMSEN, C. 2009a. Painful tonic heat stimulation induces GABA accumulation in the prefrontal cortex in man. </w:t>
      </w:r>
      <w:r w:rsidRPr="00D06F2D">
        <w:rPr>
          <w:i/>
          <w:noProof/>
        </w:rPr>
        <w:t>Pain,</w:t>
      </w:r>
      <w:r w:rsidRPr="00D06F2D">
        <w:rPr>
          <w:noProof/>
        </w:rPr>
        <w:t xml:space="preserve"> 142</w:t>
      </w:r>
      <w:r w:rsidRPr="00D06F2D">
        <w:rPr>
          <w:b/>
          <w:noProof/>
        </w:rPr>
        <w:t>,</w:t>
      </w:r>
      <w:r w:rsidRPr="00D06F2D">
        <w:rPr>
          <w:noProof/>
        </w:rPr>
        <w:t xml:space="preserve"> 89-93.</w:t>
      </w:r>
    </w:p>
    <w:p w14:paraId="4D9B3872" w14:textId="77777777" w:rsidR="00D06F2D" w:rsidRPr="00D06F2D" w:rsidRDefault="00D06F2D" w:rsidP="00D06F2D">
      <w:pPr>
        <w:pStyle w:val="EndNoteBibliography"/>
        <w:ind w:left="720" w:hanging="720"/>
        <w:rPr>
          <w:noProof/>
        </w:rPr>
      </w:pPr>
      <w:r w:rsidRPr="00D06F2D">
        <w:rPr>
          <w:noProof/>
        </w:rPr>
        <w:t xml:space="preserve">KUPERS, R., DANIELSEN, E. R., KEHLET, H., CHRISTENSEN, R. &amp; THOMSEN, C. 2009b. Painful tonic heat stimulation induces GABA accumulation in the prefrontal cortex in man. </w:t>
      </w:r>
      <w:r w:rsidRPr="00D06F2D">
        <w:rPr>
          <w:i/>
          <w:noProof/>
        </w:rPr>
        <w:t>Pain,</w:t>
      </w:r>
      <w:r w:rsidRPr="00D06F2D">
        <w:rPr>
          <w:noProof/>
        </w:rPr>
        <w:t xml:space="preserve"> 142</w:t>
      </w:r>
      <w:r w:rsidRPr="00D06F2D">
        <w:rPr>
          <w:b/>
          <w:noProof/>
        </w:rPr>
        <w:t>,</w:t>
      </w:r>
      <w:r w:rsidRPr="00D06F2D">
        <w:rPr>
          <w:noProof/>
        </w:rPr>
        <w:t xml:space="preserve"> 89-93.</w:t>
      </w:r>
    </w:p>
    <w:p w14:paraId="2A0EBCFA" w14:textId="77777777" w:rsidR="00D06F2D" w:rsidRPr="00D06F2D" w:rsidRDefault="00D06F2D" w:rsidP="00D06F2D">
      <w:pPr>
        <w:pStyle w:val="EndNoteBibliography"/>
        <w:ind w:left="720" w:hanging="720"/>
        <w:rPr>
          <w:noProof/>
        </w:rPr>
      </w:pPr>
      <w:r w:rsidRPr="00D06F2D">
        <w:rPr>
          <w:noProof/>
        </w:rPr>
        <w:t xml:space="preserve">LACHIN, J. M., BEBU, I., BERGENSTAL, R. M., POP-BUSUI, R., SERVICE, F. J., ZINMAN, B. &amp; NATHAN, D. M. 2017a. Association of Glycemic Variability in Type 1 Diabetes With Progression of Microvascular Outcomes in the Diabetes Control and Complications Trial. </w:t>
      </w:r>
      <w:r w:rsidRPr="00D06F2D">
        <w:rPr>
          <w:i/>
          <w:noProof/>
        </w:rPr>
        <w:t>Diabetes care,</w:t>
      </w:r>
      <w:r w:rsidRPr="00D06F2D">
        <w:rPr>
          <w:noProof/>
        </w:rPr>
        <w:t xml:space="preserve"> 40</w:t>
      </w:r>
      <w:r w:rsidRPr="00D06F2D">
        <w:rPr>
          <w:b/>
          <w:noProof/>
        </w:rPr>
        <w:t>,</w:t>
      </w:r>
      <w:r w:rsidRPr="00D06F2D">
        <w:rPr>
          <w:noProof/>
        </w:rPr>
        <w:t xml:space="preserve"> 777-783.</w:t>
      </w:r>
    </w:p>
    <w:p w14:paraId="7CC229DB" w14:textId="77777777" w:rsidR="00D06F2D" w:rsidRPr="00D06F2D" w:rsidRDefault="00D06F2D" w:rsidP="00D06F2D">
      <w:pPr>
        <w:pStyle w:val="EndNoteBibliography"/>
        <w:ind w:left="720" w:hanging="720"/>
        <w:rPr>
          <w:noProof/>
        </w:rPr>
      </w:pPr>
      <w:r w:rsidRPr="00D06F2D">
        <w:rPr>
          <w:noProof/>
        </w:rPr>
        <w:lastRenderedPageBreak/>
        <w:t xml:space="preserve">LACHIN, J. M., BEBU, I., BERGENSTAL, R. M., POP-BUSUI, R., SERVICE, F. J., ZINMAN, B. &amp; NATHAN, D. M. 2017b. Association of Glycemic Variability in Type 1 Diabetes With Progression of Microvascular Outcomes in the Diabetes Control and Complications Trial. </w:t>
      </w:r>
      <w:r w:rsidRPr="00D06F2D">
        <w:rPr>
          <w:i/>
          <w:noProof/>
        </w:rPr>
        <w:t>Diabetes care,</w:t>
      </w:r>
      <w:r w:rsidRPr="00D06F2D">
        <w:rPr>
          <w:noProof/>
        </w:rPr>
        <w:t xml:space="preserve"> 4</w:t>
      </w:r>
      <w:r w:rsidRPr="00D06F2D">
        <w:rPr>
          <w:b/>
          <w:noProof/>
        </w:rPr>
        <w:t>,</w:t>
      </w:r>
      <w:r w:rsidRPr="00D06F2D">
        <w:rPr>
          <w:noProof/>
        </w:rPr>
        <w:t xml:space="preserve"> 777-783.</w:t>
      </w:r>
    </w:p>
    <w:p w14:paraId="7049C248" w14:textId="77777777" w:rsidR="00D06F2D" w:rsidRPr="00D06F2D" w:rsidRDefault="00D06F2D" w:rsidP="00D06F2D">
      <w:pPr>
        <w:pStyle w:val="EndNoteBibliography"/>
        <w:ind w:left="720" w:hanging="720"/>
        <w:rPr>
          <w:noProof/>
        </w:rPr>
      </w:pPr>
      <w:r w:rsidRPr="00D06F2D">
        <w:rPr>
          <w:noProof/>
        </w:rPr>
        <w:t xml:space="preserve">LADD, M. E., BACHERT, P., MEYERSPEER, M., MOSER, E., NAGEL, A. M., NORRIS, D. G., SCHMITTER, S., SPECK, O., STRAUB, S. &amp; ZAISS, M. 2018. Pros and cons of ultra-high-field MRI/MRS for human application. </w:t>
      </w:r>
      <w:r w:rsidRPr="00D06F2D">
        <w:rPr>
          <w:i/>
          <w:noProof/>
        </w:rPr>
        <w:t>Progress in Nuclear Magnetic Resonance Spectroscopy,</w:t>
      </w:r>
      <w:r w:rsidRPr="00D06F2D">
        <w:rPr>
          <w:noProof/>
        </w:rPr>
        <w:t xml:space="preserve"> 109</w:t>
      </w:r>
      <w:r w:rsidRPr="00D06F2D">
        <w:rPr>
          <w:b/>
          <w:noProof/>
        </w:rPr>
        <w:t>,</w:t>
      </w:r>
      <w:r w:rsidRPr="00D06F2D">
        <w:rPr>
          <w:noProof/>
        </w:rPr>
        <w:t xml:space="preserve"> 1-50.</w:t>
      </w:r>
    </w:p>
    <w:p w14:paraId="56711415" w14:textId="77777777" w:rsidR="00D06F2D" w:rsidRPr="00D06F2D" w:rsidRDefault="00D06F2D" w:rsidP="00D06F2D">
      <w:pPr>
        <w:pStyle w:val="EndNoteBibliography"/>
        <w:ind w:left="720" w:hanging="720"/>
        <w:rPr>
          <w:noProof/>
        </w:rPr>
      </w:pPr>
      <w:r w:rsidRPr="00D06F2D">
        <w:rPr>
          <w:noProof/>
        </w:rPr>
        <w:t xml:space="preserve">LECRUX, C., BOUROUROU, M. &amp; HAMEL, E. 2019. How reliable is cerebral blood flow to map changes in neuronal activity? </w:t>
      </w:r>
      <w:r w:rsidRPr="00D06F2D">
        <w:rPr>
          <w:i/>
          <w:noProof/>
        </w:rPr>
        <w:t>Autonomic Neuroscience-Basic &amp; Clinical,</w:t>
      </w:r>
      <w:r w:rsidRPr="00D06F2D">
        <w:rPr>
          <w:noProof/>
        </w:rPr>
        <w:t xml:space="preserve"> 217</w:t>
      </w:r>
      <w:r w:rsidRPr="00D06F2D">
        <w:rPr>
          <w:b/>
          <w:noProof/>
        </w:rPr>
        <w:t>,</w:t>
      </w:r>
      <w:r w:rsidRPr="00D06F2D">
        <w:rPr>
          <w:noProof/>
        </w:rPr>
        <w:t xml:space="preserve"> 71-79.</w:t>
      </w:r>
    </w:p>
    <w:p w14:paraId="6CD879FC" w14:textId="77777777" w:rsidR="00D06F2D" w:rsidRPr="00D06F2D" w:rsidRDefault="00D06F2D" w:rsidP="00D06F2D">
      <w:pPr>
        <w:pStyle w:val="EndNoteBibliography"/>
        <w:ind w:left="720" w:hanging="720"/>
        <w:rPr>
          <w:noProof/>
        </w:rPr>
      </w:pPr>
      <w:r w:rsidRPr="00D06F2D">
        <w:rPr>
          <w:noProof/>
        </w:rPr>
        <w:t xml:space="preserve">LETZEN, J. E., SEVEL, L. S., GAY, C. W., O'SHEA, A. M., CRAGGS, J. G., PRICE, D. D. &amp; ROBINSON, M. E. 2014. Test-retest reliability of pain-related brain activity in healthy controls undergoing experimental thermal pain. </w:t>
      </w:r>
      <w:r w:rsidRPr="00D06F2D">
        <w:rPr>
          <w:i/>
          <w:noProof/>
        </w:rPr>
        <w:t>J Pain,</w:t>
      </w:r>
      <w:r w:rsidRPr="00D06F2D">
        <w:rPr>
          <w:noProof/>
        </w:rPr>
        <w:t xml:space="preserve"> 15</w:t>
      </w:r>
      <w:r w:rsidRPr="00D06F2D">
        <w:rPr>
          <w:b/>
          <w:noProof/>
        </w:rPr>
        <w:t>,</w:t>
      </w:r>
      <w:r w:rsidRPr="00D06F2D">
        <w:rPr>
          <w:noProof/>
        </w:rPr>
        <w:t xml:space="preserve"> 1008-14.</w:t>
      </w:r>
    </w:p>
    <w:p w14:paraId="772D21E6" w14:textId="77777777" w:rsidR="00D06F2D" w:rsidRPr="00D06F2D" w:rsidRDefault="00D06F2D" w:rsidP="00D06F2D">
      <w:pPr>
        <w:pStyle w:val="EndNoteBibliography"/>
        <w:ind w:left="720" w:hanging="720"/>
        <w:rPr>
          <w:noProof/>
        </w:rPr>
      </w:pPr>
      <w:r w:rsidRPr="00D06F2D">
        <w:rPr>
          <w:noProof/>
        </w:rPr>
        <w:t xml:space="preserve">LI, W., MALONEY, R. E. &amp; AW, T. Y. 2015. High glucose, glucose fluctuation and carbonyl stress enhance brain microvascular endothelial barrier dysfunction: Implications for diabetic cerebral microvasculature. </w:t>
      </w:r>
      <w:r w:rsidRPr="00D06F2D">
        <w:rPr>
          <w:i/>
          <w:noProof/>
        </w:rPr>
        <w:t>Redox Biol,</w:t>
      </w:r>
      <w:r w:rsidRPr="00D06F2D">
        <w:rPr>
          <w:noProof/>
        </w:rPr>
        <w:t xml:space="preserve"> 5</w:t>
      </w:r>
      <w:r w:rsidRPr="00D06F2D">
        <w:rPr>
          <w:b/>
          <w:noProof/>
        </w:rPr>
        <w:t>,</w:t>
      </w:r>
      <w:r w:rsidRPr="00D06F2D">
        <w:rPr>
          <w:noProof/>
        </w:rPr>
        <w:t xml:space="preserve"> 80-90.</w:t>
      </w:r>
    </w:p>
    <w:p w14:paraId="4DE9F60D" w14:textId="77777777" w:rsidR="00D06F2D" w:rsidRPr="00D06F2D" w:rsidRDefault="00D06F2D" w:rsidP="00D06F2D">
      <w:pPr>
        <w:pStyle w:val="EndNoteBibliography"/>
        <w:ind w:left="720" w:hanging="720"/>
        <w:rPr>
          <w:noProof/>
        </w:rPr>
      </w:pPr>
      <w:r w:rsidRPr="00D06F2D">
        <w:rPr>
          <w:noProof/>
        </w:rPr>
        <w:t xml:space="preserve">LONGE, S. E., WISE, R., BANTICK, S., LLOYD, D., JOHANSEN-BERG, H., MCGLONE, F. &amp; TRACEY, I. 2001. Counter-stimulatory effects on pain perception and processing are significantly altered by attention: an fMRI study. </w:t>
      </w:r>
      <w:r w:rsidRPr="00D06F2D">
        <w:rPr>
          <w:i/>
          <w:noProof/>
        </w:rPr>
        <w:t>Neuroreport,</w:t>
      </w:r>
      <w:r w:rsidRPr="00D06F2D">
        <w:rPr>
          <w:noProof/>
        </w:rPr>
        <w:t xml:space="preserve"> 12</w:t>
      </w:r>
      <w:r w:rsidRPr="00D06F2D">
        <w:rPr>
          <w:b/>
          <w:noProof/>
        </w:rPr>
        <w:t>,</w:t>
      </w:r>
      <w:r w:rsidRPr="00D06F2D">
        <w:rPr>
          <w:noProof/>
        </w:rPr>
        <w:t xml:space="preserve"> 2021-2025.</w:t>
      </w:r>
    </w:p>
    <w:p w14:paraId="0621B9EB" w14:textId="77777777" w:rsidR="00D06F2D" w:rsidRPr="00D06F2D" w:rsidRDefault="00D06F2D" w:rsidP="00D06F2D">
      <w:pPr>
        <w:pStyle w:val="EndNoteBibliography"/>
        <w:ind w:left="720" w:hanging="720"/>
        <w:rPr>
          <w:noProof/>
        </w:rPr>
      </w:pPr>
      <w:r w:rsidRPr="00D06F2D">
        <w:rPr>
          <w:noProof/>
        </w:rPr>
        <w:t xml:space="preserve">LU, H. &amp; YALCIN, I. 2019. The molecular neurobiology of chronic pain–induced depression. </w:t>
      </w:r>
      <w:r w:rsidRPr="00D06F2D">
        <w:rPr>
          <w:i/>
          <w:noProof/>
        </w:rPr>
        <w:t>Cell and Tissue Research,</w:t>
      </w:r>
      <w:r w:rsidRPr="00D06F2D">
        <w:rPr>
          <w:noProof/>
        </w:rPr>
        <w:t xml:space="preserve"> 377</w:t>
      </w:r>
      <w:r w:rsidRPr="00D06F2D">
        <w:rPr>
          <w:b/>
          <w:noProof/>
        </w:rPr>
        <w:t>,</w:t>
      </w:r>
      <w:r w:rsidRPr="00D06F2D">
        <w:rPr>
          <w:noProof/>
        </w:rPr>
        <w:t xml:space="preserve"> 21-43.</w:t>
      </w:r>
    </w:p>
    <w:p w14:paraId="32F4500D" w14:textId="77777777" w:rsidR="00D06F2D" w:rsidRPr="00D06F2D" w:rsidRDefault="00D06F2D" w:rsidP="00D06F2D">
      <w:pPr>
        <w:pStyle w:val="EndNoteBibliography"/>
        <w:ind w:left="720" w:hanging="720"/>
        <w:rPr>
          <w:noProof/>
        </w:rPr>
      </w:pPr>
      <w:r w:rsidRPr="00D06F2D">
        <w:rPr>
          <w:noProof/>
        </w:rPr>
        <w:t xml:space="preserve">MALIK, R. A., NEWRICK, P. G., SHARMA, A. K., JENNINGS, A., AHSEE, A. K., MAYHEW, T. M., JAKUBOWSKI, J., BOULTON, A. J. M. &amp; WARD, J. D. 1989. MICROANGIOPATHY IN HUMAN DIABETIC NEUROPATHY - RELATIONSHIP BETWEEN CAPILLARY ABNORMALITIES AND THE SEVERITY OF NEUROPATHY. </w:t>
      </w:r>
      <w:r w:rsidRPr="00D06F2D">
        <w:rPr>
          <w:i/>
          <w:noProof/>
        </w:rPr>
        <w:t>Diabetologia,</w:t>
      </w:r>
      <w:r w:rsidRPr="00D06F2D">
        <w:rPr>
          <w:noProof/>
        </w:rPr>
        <w:t xml:space="preserve"> 32</w:t>
      </w:r>
      <w:r w:rsidRPr="00D06F2D">
        <w:rPr>
          <w:b/>
          <w:noProof/>
        </w:rPr>
        <w:t>,</w:t>
      </w:r>
      <w:r w:rsidRPr="00D06F2D">
        <w:rPr>
          <w:noProof/>
        </w:rPr>
        <w:t xml:space="preserve"> 92-102.</w:t>
      </w:r>
    </w:p>
    <w:p w14:paraId="2AADACDF" w14:textId="77777777" w:rsidR="00D06F2D" w:rsidRPr="00D06F2D" w:rsidRDefault="00D06F2D" w:rsidP="00D06F2D">
      <w:pPr>
        <w:pStyle w:val="EndNoteBibliography"/>
        <w:ind w:left="720" w:hanging="720"/>
        <w:rPr>
          <w:noProof/>
        </w:rPr>
      </w:pPr>
      <w:r w:rsidRPr="00D06F2D">
        <w:rPr>
          <w:noProof/>
        </w:rPr>
        <w:t xml:space="preserve">MALIK, R. A., VEVES, A., TESFAYE, S., SMITH, G., CAMERON, N., ZOCHODNE, D., LAURIA, G. &amp; TORONTO CONSENSUS PANEL, D. 2011. Small fibre neuropathy: role in the diagnosis of diabetic sensorimotor polyneuropathy. </w:t>
      </w:r>
      <w:r w:rsidRPr="00D06F2D">
        <w:rPr>
          <w:i/>
          <w:noProof/>
        </w:rPr>
        <w:t>Diabetes-Metabolism Research and Reviews,</w:t>
      </w:r>
      <w:r w:rsidRPr="00D06F2D">
        <w:rPr>
          <w:noProof/>
        </w:rPr>
        <w:t xml:space="preserve"> 27</w:t>
      </w:r>
      <w:r w:rsidRPr="00D06F2D">
        <w:rPr>
          <w:b/>
          <w:noProof/>
        </w:rPr>
        <w:t>,</w:t>
      </w:r>
      <w:r w:rsidRPr="00D06F2D">
        <w:rPr>
          <w:noProof/>
        </w:rPr>
        <w:t xml:space="preserve"> 678-684.</w:t>
      </w:r>
    </w:p>
    <w:p w14:paraId="2512C3AD" w14:textId="77777777" w:rsidR="00D06F2D" w:rsidRPr="00D06F2D" w:rsidRDefault="00D06F2D" w:rsidP="00D06F2D">
      <w:pPr>
        <w:pStyle w:val="EndNoteBibliography"/>
        <w:ind w:left="720" w:hanging="720"/>
        <w:rPr>
          <w:noProof/>
        </w:rPr>
      </w:pPr>
      <w:r w:rsidRPr="00D06F2D">
        <w:rPr>
          <w:noProof/>
        </w:rPr>
        <w:t xml:space="preserve">MANGIA, S., KUMAR, A. F., MOHEET, A. A., ROBERTS, R. J., EBERLY, L. E., SEAQUIST, E. R. &amp; TKAC, I. 2013. Neurochemical profile of patients with type 1 diabetes measured by H-1-MRS at 4 T. </w:t>
      </w:r>
      <w:r w:rsidRPr="00D06F2D">
        <w:rPr>
          <w:i/>
          <w:noProof/>
        </w:rPr>
        <w:t>Journal of Cerebral Blood Flow and Metabolism,</w:t>
      </w:r>
      <w:r w:rsidRPr="00D06F2D">
        <w:rPr>
          <w:noProof/>
        </w:rPr>
        <w:t xml:space="preserve"> 33</w:t>
      </w:r>
      <w:r w:rsidRPr="00D06F2D">
        <w:rPr>
          <w:b/>
          <w:noProof/>
        </w:rPr>
        <w:t>,</w:t>
      </w:r>
      <w:r w:rsidRPr="00D06F2D">
        <w:rPr>
          <w:noProof/>
        </w:rPr>
        <w:t xml:space="preserve"> 754-759.</w:t>
      </w:r>
    </w:p>
    <w:p w14:paraId="59843734" w14:textId="76CFCD66" w:rsidR="00D06F2D" w:rsidRPr="00D06F2D" w:rsidRDefault="00D06F2D" w:rsidP="00D06F2D">
      <w:pPr>
        <w:pStyle w:val="EndNoteBibliography"/>
        <w:ind w:left="720" w:hanging="720"/>
        <w:rPr>
          <w:noProof/>
        </w:rPr>
      </w:pPr>
      <w:r w:rsidRPr="00D06F2D">
        <w:rPr>
          <w:noProof/>
        </w:rPr>
        <w:t xml:space="preserve">MARSHALL, I. 2020. </w:t>
      </w:r>
      <w:r w:rsidRPr="00D06F2D">
        <w:rPr>
          <w:i/>
          <w:noProof/>
        </w:rPr>
        <w:t xml:space="preserve">Perfusion Imaging </w:t>
      </w:r>
      <w:r w:rsidRPr="00D06F2D">
        <w:rPr>
          <w:noProof/>
        </w:rPr>
        <w:t xml:space="preserve">[Online]. Edinburgh: University of Edinburgh. Available: </w:t>
      </w:r>
      <w:hyperlink r:id="rId101" w:history="1">
        <w:r w:rsidRPr="00D06F2D">
          <w:rPr>
            <w:rStyle w:val="Hyperlink"/>
            <w:noProof/>
          </w:rPr>
          <w:t>https://www.ed.ac.uk/clinical-sciences/edinburgh-imaging/research/themes-and-topics/medical-physics/imaging-techniques/perfusion-imaging</w:t>
        </w:r>
      </w:hyperlink>
      <w:r w:rsidRPr="00D06F2D">
        <w:rPr>
          <w:noProof/>
        </w:rPr>
        <w:t xml:space="preserve"> [Accessed 30/8/2020 2020].</w:t>
      </w:r>
    </w:p>
    <w:p w14:paraId="7192AD48" w14:textId="77777777" w:rsidR="00D06F2D" w:rsidRPr="00D06F2D" w:rsidRDefault="00D06F2D" w:rsidP="00D06F2D">
      <w:pPr>
        <w:pStyle w:val="EndNoteBibliography"/>
        <w:ind w:left="720" w:hanging="720"/>
        <w:rPr>
          <w:noProof/>
        </w:rPr>
      </w:pPr>
      <w:r w:rsidRPr="00D06F2D">
        <w:rPr>
          <w:noProof/>
        </w:rPr>
        <w:t>MATHIAS, L. K., MONETTE, P. J., HARPER, D. G. &amp; FORESTER, B. P. 2017. Application of magnetic resonance spectroscopy in geriatric mood disorders.</w:t>
      </w:r>
    </w:p>
    <w:p w14:paraId="0BD79A60" w14:textId="77777777" w:rsidR="00D06F2D" w:rsidRPr="00D06F2D" w:rsidRDefault="00D06F2D" w:rsidP="00D06F2D">
      <w:pPr>
        <w:pStyle w:val="EndNoteBibliography"/>
        <w:ind w:left="720" w:hanging="720"/>
        <w:rPr>
          <w:noProof/>
        </w:rPr>
      </w:pPr>
      <w:r w:rsidRPr="00D06F2D">
        <w:rPr>
          <w:noProof/>
        </w:rPr>
        <w:t xml:space="preserve">MAYHEW, S., MULLINGER, K., OSTWALD, D., PORCARO, C., BOWTELL, R., BAGSHAW, A. &amp; FRANCIS, S. 2016. Global signal modulation of single-trial fMRI response variability: Effect on positive vs negative BOLD response relationship. </w:t>
      </w:r>
      <w:r w:rsidRPr="00D06F2D">
        <w:rPr>
          <w:i/>
          <w:noProof/>
        </w:rPr>
        <w:t>Neuroimage,</w:t>
      </w:r>
      <w:r w:rsidRPr="00D06F2D">
        <w:rPr>
          <w:noProof/>
        </w:rPr>
        <w:t xml:space="preserve"> 133</w:t>
      </w:r>
      <w:r w:rsidRPr="00D06F2D">
        <w:rPr>
          <w:b/>
          <w:noProof/>
        </w:rPr>
        <w:t>,</w:t>
      </w:r>
      <w:r w:rsidRPr="00D06F2D">
        <w:rPr>
          <w:noProof/>
        </w:rPr>
        <w:t xml:space="preserve"> 62-74.</w:t>
      </w:r>
    </w:p>
    <w:p w14:paraId="7246AC1C" w14:textId="77777777" w:rsidR="00D06F2D" w:rsidRPr="00D06F2D" w:rsidRDefault="00D06F2D" w:rsidP="00D06F2D">
      <w:pPr>
        <w:pStyle w:val="EndNoteBibliography"/>
        <w:ind w:left="720" w:hanging="720"/>
        <w:rPr>
          <w:noProof/>
        </w:rPr>
      </w:pPr>
      <w:r w:rsidRPr="00D06F2D">
        <w:rPr>
          <w:noProof/>
        </w:rPr>
        <w:t xml:space="preserve">MCDERMID, A. J., ROLLMAN, G. B. &amp; MCCAIN, G. A. 1996. Generalized hypervigilance in fibromyalgia: Evidence of perceptual amplification. </w:t>
      </w:r>
      <w:r w:rsidRPr="00D06F2D">
        <w:rPr>
          <w:i/>
          <w:noProof/>
        </w:rPr>
        <w:t>Pain,</w:t>
      </w:r>
      <w:r w:rsidRPr="00D06F2D">
        <w:rPr>
          <w:noProof/>
        </w:rPr>
        <w:t xml:space="preserve"> 66</w:t>
      </w:r>
      <w:r w:rsidRPr="00D06F2D">
        <w:rPr>
          <w:b/>
          <w:noProof/>
        </w:rPr>
        <w:t>,</w:t>
      </w:r>
      <w:r w:rsidRPr="00D06F2D">
        <w:rPr>
          <w:noProof/>
        </w:rPr>
        <w:t xml:space="preserve"> 133-144.</w:t>
      </w:r>
    </w:p>
    <w:p w14:paraId="2DBE8C53" w14:textId="77777777" w:rsidR="00D06F2D" w:rsidRPr="00D06F2D" w:rsidRDefault="00D06F2D" w:rsidP="00D06F2D">
      <w:pPr>
        <w:pStyle w:val="EndNoteBibliography"/>
        <w:ind w:left="720" w:hanging="720"/>
        <w:rPr>
          <w:noProof/>
        </w:rPr>
      </w:pPr>
      <w:r w:rsidRPr="00D06F2D">
        <w:rPr>
          <w:noProof/>
        </w:rPr>
        <w:lastRenderedPageBreak/>
        <w:t xml:space="preserve">MCGEHEE, B. E., POLLOCK, J. M. &amp; MALDJIAN, J. A. 2012. Brain perfusion imaging: How does it work and what should i use? </w:t>
      </w:r>
      <w:r w:rsidRPr="00D06F2D">
        <w:rPr>
          <w:i/>
          <w:noProof/>
        </w:rPr>
        <w:t>Journal of Magnetic Resonance Imaging,</w:t>
      </w:r>
      <w:r w:rsidRPr="00D06F2D">
        <w:rPr>
          <w:noProof/>
        </w:rPr>
        <w:t xml:space="preserve"> 36</w:t>
      </w:r>
      <w:r w:rsidRPr="00D06F2D">
        <w:rPr>
          <w:b/>
          <w:noProof/>
        </w:rPr>
        <w:t>,</w:t>
      </w:r>
      <w:r w:rsidRPr="00D06F2D">
        <w:rPr>
          <w:noProof/>
        </w:rPr>
        <w:t xml:space="preserve"> 1257-+.</w:t>
      </w:r>
    </w:p>
    <w:p w14:paraId="3F27DED8" w14:textId="77777777" w:rsidR="00D06F2D" w:rsidRPr="00D06F2D" w:rsidRDefault="00D06F2D" w:rsidP="00D06F2D">
      <w:pPr>
        <w:pStyle w:val="EndNoteBibliography"/>
        <w:ind w:left="720" w:hanging="720"/>
        <w:rPr>
          <w:noProof/>
        </w:rPr>
      </w:pPr>
      <w:r w:rsidRPr="00D06F2D">
        <w:rPr>
          <w:noProof/>
        </w:rPr>
        <w:t xml:space="preserve">MCGREGOR, C. E. &amp; ENGLISH, A. W. 2019. The Role of BDNF in Peripheral Nerve Regeneration: Activity-Dependent Treatments and Val66Met. </w:t>
      </w:r>
      <w:r w:rsidRPr="00D06F2D">
        <w:rPr>
          <w:i/>
          <w:noProof/>
        </w:rPr>
        <w:t>Frontiers in cellular neuroscience,</w:t>
      </w:r>
      <w:r w:rsidRPr="00D06F2D">
        <w:rPr>
          <w:noProof/>
        </w:rPr>
        <w:t xml:space="preserve"> 12</w:t>
      </w:r>
      <w:r w:rsidRPr="00D06F2D">
        <w:rPr>
          <w:b/>
          <w:noProof/>
        </w:rPr>
        <w:t>,</w:t>
      </w:r>
      <w:r w:rsidRPr="00D06F2D">
        <w:rPr>
          <w:noProof/>
        </w:rPr>
        <w:t xml:space="preserve"> 522-522.</w:t>
      </w:r>
    </w:p>
    <w:p w14:paraId="0D5B977E" w14:textId="77777777" w:rsidR="00D06F2D" w:rsidRPr="00D06F2D" w:rsidRDefault="00D06F2D" w:rsidP="00D06F2D">
      <w:pPr>
        <w:pStyle w:val="EndNoteBibliography"/>
        <w:ind w:left="720" w:hanging="720"/>
        <w:rPr>
          <w:noProof/>
        </w:rPr>
      </w:pPr>
      <w:r w:rsidRPr="00D06F2D">
        <w:rPr>
          <w:noProof/>
        </w:rPr>
        <w:t xml:space="preserve">MCGUIRE, B. E., TREACY, M., SARMA, K., DINNEEN, S., O'BRIEN, T. &amp; DUNNE, F. 2010. Pain self-efficacy and pain catastrophising predict depression in people with painful diabetic neuropathy. </w:t>
      </w:r>
      <w:r w:rsidRPr="00D06F2D">
        <w:rPr>
          <w:i/>
          <w:noProof/>
        </w:rPr>
        <w:t>Diabetologia,</w:t>
      </w:r>
      <w:r w:rsidRPr="00D06F2D">
        <w:rPr>
          <w:noProof/>
        </w:rPr>
        <w:t xml:space="preserve"> 53.</w:t>
      </w:r>
    </w:p>
    <w:p w14:paraId="415B1ECD" w14:textId="77777777" w:rsidR="00D06F2D" w:rsidRPr="00D06F2D" w:rsidRDefault="00D06F2D" w:rsidP="00D06F2D">
      <w:pPr>
        <w:pStyle w:val="EndNoteBibliography"/>
        <w:ind w:left="720" w:hanging="720"/>
        <w:rPr>
          <w:noProof/>
        </w:rPr>
      </w:pPr>
      <w:r w:rsidRPr="00D06F2D">
        <w:rPr>
          <w:noProof/>
        </w:rPr>
        <w:t xml:space="preserve">MCLELLAN, A. C., PHILLIPS, S. A. &amp; THORNALLEY, P. J. 1992. The assay of methylglyoxal in biological systems byderivatization with 1,2-diamino-4,5-dimethoxybenzene. </w:t>
      </w:r>
      <w:r w:rsidRPr="00D06F2D">
        <w:rPr>
          <w:i/>
          <w:noProof/>
        </w:rPr>
        <w:t>Analytical Biochemistry,</w:t>
      </w:r>
      <w:r w:rsidRPr="00D06F2D">
        <w:rPr>
          <w:noProof/>
        </w:rPr>
        <w:t xml:space="preserve"> 206</w:t>
      </w:r>
      <w:r w:rsidRPr="00D06F2D">
        <w:rPr>
          <w:b/>
          <w:noProof/>
        </w:rPr>
        <w:t>,</w:t>
      </w:r>
      <w:r w:rsidRPr="00D06F2D">
        <w:rPr>
          <w:noProof/>
        </w:rPr>
        <w:t xml:space="preserve"> 17-23.</w:t>
      </w:r>
    </w:p>
    <w:p w14:paraId="14AA1D00" w14:textId="77777777" w:rsidR="00D06F2D" w:rsidRPr="00D06F2D" w:rsidRDefault="00D06F2D" w:rsidP="00D06F2D">
      <w:pPr>
        <w:pStyle w:val="EndNoteBibliography"/>
        <w:ind w:left="720" w:hanging="720"/>
        <w:rPr>
          <w:noProof/>
        </w:rPr>
      </w:pPr>
      <w:r w:rsidRPr="00D06F2D">
        <w:rPr>
          <w:noProof/>
        </w:rPr>
        <w:t xml:space="preserve">MEACHAM, K., SHEPHERD, A., MOHAPATRA, D. P. &amp; HAROUTOUNIAN, S. 2017. Neuropathic Pain: Central vs. Peripheral Mechanisms. </w:t>
      </w:r>
      <w:r w:rsidRPr="00D06F2D">
        <w:rPr>
          <w:i/>
          <w:noProof/>
        </w:rPr>
        <w:t>Curr Pain Headache Rep,</w:t>
      </w:r>
      <w:r w:rsidRPr="00D06F2D">
        <w:rPr>
          <w:noProof/>
        </w:rPr>
        <w:t xml:space="preserve"> 21</w:t>
      </w:r>
      <w:r w:rsidRPr="00D06F2D">
        <w:rPr>
          <w:b/>
          <w:noProof/>
        </w:rPr>
        <w:t>,</w:t>
      </w:r>
      <w:r w:rsidRPr="00D06F2D">
        <w:rPr>
          <w:noProof/>
        </w:rPr>
        <w:t xml:space="preserve"> 28.</w:t>
      </w:r>
    </w:p>
    <w:p w14:paraId="61FFF430" w14:textId="77777777" w:rsidR="00D06F2D" w:rsidRPr="00D06F2D" w:rsidRDefault="00D06F2D" w:rsidP="00D06F2D">
      <w:pPr>
        <w:pStyle w:val="EndNoteBibliography"/>
        <w:ind w:left="720" w:hanging="720"/>
        <w:rPr>
          <w:noProof/>
        </w:rPr>
      </w:pPr>
      <w:r w:rsidRPr="00D06F2D">
        <w:rPr>
          <w:noProof/>
        </w:rPr>
        <w:t xml:space="preserve">MEDINA, F. J., CASTILLO, M. &amp; MARQUEZ, J. C. 2014. Dynamic Susceptibility Contrast-Enhanced MRI Perfusion: Basic Principles and Clinical Applications. </w:t>
      </w:r>
      <w:r w:rsidRPr="00D06F2D">
        <w:rPr>
          <w:i/>
          <w:noProof/>
        </w:rPr>
        <w:t>Vascular Imaging of the Central Nervous System: Physical Principles, Clinical Applications, and Emerging Techniques</w:t>
      </w:r>
      <w:r w:rsidRPr="00D06F2D">
        <w:rPr>
          <w:b/>
          <w:noProof/>
        </w:rPr>
        <w:t>,</w:t>
      </w:r>
      <w:r w:rsidRPr="00D06F2D">
        <w:rPr>
          <w:noProof/>
        </w:rPr>
        <w:t xml:space="preserve"> 275-293.</w:t>
      </w:r>
    </w:p>
    <w:p w14:paraId="638BA0E4" w14:textId="77777777" w:rsidR="00D06F2D" w:rsidRPr="00D06F2D" w:rsidRDefault="00D06F2D" w:rsidP="00D06F2D">
      <w:pPr>
        <w:pStyle w:val="EndNoteBibliography"/>
        <w:ind w:left="720" w:hanging="720"/>
        <w:rPr>
          <w:noProof/>
        </w:rPr>
      </w:pPr>
      <w:r w:rsidRPr="00D06F2D">
        <w:rPr>
          <w:noProof/>
        </w:rPr>
        <w:t xml:space="preserve">MEIER, P. &amp; ZIERLER, K. L. 1954. ON THE THEORY OF THE INDICATOR-DILUTION METHOD FOR MEASUREMENT OF BLOOD FLOW AND VOLUME. </w:t>
      </w:r>
      <w:r w:rsidRPr="00D06F2D">
        <w:rPr>
          <w:i/>
          <w:noProof/>
        </w:rPr>
        <w:t>Journal of Applied Physiology,</w:t>
      </w:r>
      <w:r w:rsidRPr="00D06F2D">
        <w:rPr>
          <w:noProof/>
        </w:rPr>
        <w:t xml:space="preserve"> 6</w:t>
      </w:r>
      <w:r w:rsidRPr="00D06F2D">
        <w:rPr>
          <w:b/>
          <w:noProof/>
        </w:rPr>
        <w:t>,</w:t>
      </w:r>
      <w:r w:rsidRPr="00D06F2D">
        <w:rPr>
          <w:noProof/>
        </w:rPr>
        <w:t xml:space="preserve"> 731-744.</w:t>
      </w:r>
    </w:p>
    <w:p w14:paraId="760167B9" w14:textId="77777777" w:rsidR="00D06F2D" w:rsidRPr="00D06F2D" w:rsidRDefault="00D06F2D" w:rsidP="00D06F2D">
      <w:pPr>
        <w:pStyle w:val="EndNoteBibliography"/>
        <w:ind w:left="720" w:hanging="720"/>
        <w:rPr>
          <w:noProof/>
        </w:rPr>
      </w:pPr>
      <w:r w:rsidRPr="00D06F2D">
        <w:rPr>
          <w:noProof/>
        </w:rPr>
        <w:t xml:space="preserve">MELSOM, T., MATHISEN, U. D., INGEBRETSEN, O. C., JENSSEN, T. G., NJOLSTAD, I., SOLBU, M. D., TOFT, I. &amp; ERIKSEN, B. O. 2011. Impaired Fasting Glucose Is Associated With Renal Hyperfiltration in the General Population. </w:t>
      </w:r>
      <w:r w:rsidRPr="00D06F2D">
        <w:rPr>
          <w:i/>
          <w:noProof/>
        </w:rPr>
        <w:t>Diabetes Care,</w:t>
      </w:r>
      <w:r w:rsidRPr="00D06F2D">
        <w:rPr>
          <w:noProof/>
        </w:rPr>
        <w:t xml:space="preserve"> 34</w:t>
      </w:r>
      <w:r w:rsidRPr="00D06F2D">
        <w:rPr>
          <w:b/>
          <w:noProof/>
        </w:rPr>
        <w:t>,</w:t>
      </w:r>
      <w:r w:rsidRPr="00D06F2D">
        <w:rPr>
          <w:noProof/>
        </w:rPr>
        <w:t xml:space="preserve"> 1546-1551.</w:t>
      </w:r>
    </w:p>
    <w:p w14:paraId="3B8C18BB" w14:textId="77777777" w:rsidR="00D06F2D" w:rsidRPr="00D06F2D" w:rsidRDefault="00D06F2D" w:rsidP="00D06F2D">
      <w:pPr>
        <w:pStyle w:val="EndNoteBibliography"/>
        <w:ind w:left="720" w:hanging="720"/>
        <w:rPr>
          <w:noProof/>
        </w:rPr>
      </w:pPr>
      <w:r w:rsidRPr="00D06F2D">
        <w:rPr>
          <w:noProof/>
        </w:rPr>
        <w:t xml:space="preserve">MELSOM, T., SCHEI, J., STEFANSSON, V. T. N., SOLBU, M. D., JENSSEN, T. G., MATHISEN, U. D., WILSGAARD, T. &amp; ERIKSEN, B. O. 2016. Prediabetes and Risk of Glomerular Hyperfiltration and Albuminuria in the General Nondiabetic Population: A Prospective Cohort Study. </w:t>
      </w:r>
      <w:r w:rsidRPr="00D06F2D">
        <w:rPr>
          <w:i/>
          <w:noProof/>
        </w:rPr>
        <w:t>American Journal of Kidney Diseases,</w:t>
      </w:r>
      <w:r w:rsidRPr="00D06F2D">
        <w:rPr>
          <w:noProof/>
        </w:rPr>
        <w:t xml:space="preserve"> 67</w:t>
      </w:r>
      <w:r w:rsidRPr="00D06F2D">
        <w:rPr>
          <w:b/>
          <w:noProof/>
        </w:rPr>
        <w:t>,</w:t>
      </w:r>
      <w:r w:rsidRPr="00D06F2D">
        <w:rPr>
          <w:noProof/>
        </w:rPr>
        <w:t xml:space="preserve"> 841-850.</w:t>
      </w:r>
    </w:p>
    <w:p w14:paraId="226106C2" w14:textId="77777777" w:rsidR="00D06F2D" w:rsidRPr="00D06F2D" w:rsidRDefault="00D06F2D" w:rsidP="00D06F2D">
      <w:pPr>
        <w:pStyle w:val="EndNoteBibliography"/>
        <w:ind w:left="720" w:hanging="720"/>
        <w:rPr>
          <w:noProof/>
        </w:rPr>
      </w:pPr>
      <w:r w:rsidRPr="00D06F2D">
        <w:rPr>
          <w:noProof/>
        </w:rPr>
        <w:t xml:space="preserve">MELZACK, R. 2001. Pain and the neuromatrix in the brain. </w:t>
      </w:r>
      <w:r w:rsidRPr="00D06F2D">
        <w:rPr>
          <w:i/>
          <w:noProof/>
        </w:rPr>
        <w:t>J Dent Educ.,</w:t>
      </w:r>
      <w:r w:rsidRPr="00D06F2D">
        <w:rPr>
          <w:noProof/>
        </w:rPr>
        <w:t xml:space="preserve"> 65</w:t>
      </w:r>
      <w:r w:rsidRPr="00D06F2D">
        <w:rPr>
          <w:b/>
          <w:noProof/>
        </w:rPr>
        <w:t>,</w:t>
      </w:r>
      <w:r w:rsidRPr="00D06F2D">
        <w:rPr>
          <w:noProof/>
        </w:rPr>
        <w:t xml:space="preserve"> 1378-82.</w:t>
      </w:r>
    </w:p>
    <w:p w14:paraId="0F81FA6C" w14:textId="77777777" w:rsidR="00D06F2D" w:rsidRPr="00D06F2D" w:rsidRDefault="00D06F2D" w:rsidP="00D06F2D">
      <w:pPr>
        <w:pStyle w:val="EndNoteBibliography"/>
        <w:ind w:left="720" w:hanging="720"/>
        <w:rPr>
          <w:noProof/>
        </w:rPr>
      </w:pPr>
      <w:r w:rsidRPr="00D06F2D">
        <w:rPr>
          <w:noProof/>
        </w:rPr>
        <w:t xml:space="preserve">MEYER, J. R., ROYCHOWDHURY, S., RUSSELL, E. J., CALLAHAN, C., GITELMAN, D. &amp; MESULAM, M. M. 1996. Location of the central sulcus via cortical thickness of the precentral and postcentral gyri on MR. </w:t>
      </w:r>
      <w:r w:rsidRPr="00D06F2D">
        <w:rPr>
          <w:i/>
          <w:noProof/>
        </w:rPr>
        <w:t>American Journal of Neuroradiology,</w:t>
      </w:r>
      <w:r w:rsidRPr="00D06F2D">
        <w:rPr>
          <w:noProof/>
        </w:rPr>
        <w:t xml:space="preserve"> 17</w:t>
      </w:r>
      <w:r w:rsidRPr="00D06F2D">
        <w:rPr>
          <w:b/>
          <w:noProof/>
        </w:rPr>
        <w:t>,</w:t>
      </w:r>
      <w:r w:rsidRPr="00D06F2D">
        <w:rPr>
          <w:noProof/>
        </w:rPr>
        <w:t xml:space="preserve"> 1699-1706.</w:t>
      </w:r>
    </w:p>
    <w:p w14:paraId="46BF9271" w14:textId="77777777" w:rsidR="00D06F2D" w:rsidRPr="00D06F2D" w:rsidRDefault="00D06F2D" w:rsidP="00D06F2D">
      <w:pPr>
        <w:pStyle w:val="EndNoteBibliography"/>
        <w:ind w:left="720" w:hanging="720"/>
        <w:rPr>
          <w:noProof/>
        </w:rPr>
      </w:pPr>
      <w:r w:rsidRPr="00D06F2D">
        <w:rPr>
          <w:noProof/>
        </w:rPr>
        <w:t xml:space="preserve">MOFFETT, J. R., ARUN, P., ARIYANNUR, P. S. &amp; NAMBOODIRI, A. M. A. 2013. N-Acetylaspartate reductions in brain injury: impact on post-injury neuroenergetics, lipid synthesis, and protein acetylation. </w:t>
      </w:r>
      <w:r w:rsidRPr="00D06F2D">
        <w:rPr>
          <w:i/>
          <w:noProof/>
        </w:rPr>
        <w:t>Frontiers in neuroenergetics,</w:t>
      </w:r>
      <w:r w:rsidRPr="00D06F2D">
        <w:rPr>
          <w:noProof/>
        </w:rPr>
        <w:t xml:space="preserve"> 5</w:t>
      </w:r>
      <w:r w:rsidRPr="00D06F2D">
        <w:rPr>
          <w:b/>
          <w:noProof/>
        </w:rPr>
        <w:t>,</w:t>
      </w:r>
      <w:r w:rsidRPr="00D06F2D">
        <w:rPr>
          <w:noProof/>
        </w:rPr>
        <w:t xml:space="preserve"> 11-11.</w:t>
      </w:r>
    </w:p>
    <w:p w14:paraId="2844C499" w14:textId="77777777" w:rsidR="00D06F2D" w:rsidRPr="00D06F2D" w:rsidRDefault="00D06F2D" w:rsidP="00D06F2D">
      <w:pPr>
        <w:pStyle w:val="EndNoteBibliography"/>
        <w:ind w:left="720" w:hanging="720"/>
        <w:rPr>
          <w:noProof/>
        </w:rPr>
      </w:pPr>
      <w:r w:rsidRPr="00D06F2D">
        <w:rPr>
          <w:noProof/>
        </w:rPr>
        <w:t xml:space="preserve">MOLITCH, M. E., GAO, X., BEBU, I., DE BOER, I. H., LACHIN, J., PATERSON, A., PERKINS, B., SAENGER, A. K., STEFFES, M., ZINMAN, B., DIABETES CONTROL AND COMPLICATIONS TRIAL/EPIDEMIOLOGY OF, D. &amp; INTERVENTIONS AND COMPLICATIONS RESEARCH, G. 2019. Early Glomerular Hyperfiltration and Long-Term Kidney Outcomes in Type 1 Diabetes: The DCCT/EDIC Experience. </w:t>
      </w:r>
      <w:r w:rsidRPr="00D06F2D">
        <w:rPr>
          <w:i/>
          <w:noProof/>
        </w:rPr>
        <w:t>Clinical journal of the American Society of Nephrology : CJASN,</w:t>
      </w:r>
      <w:r w:rsidRPr="00D06F2D">
        <w:rPr>
          <w:noProof/>
        </w:rPr>
        <w:t xml:space="preserve"> 14</w:t>
      </w:r>
      <w:r w:rsidRPr="00D06F2D">
        <w:rPr>
          <w:b/>
          <w:noProof/>
        </w:rPr>
        <w:t>,</w:t>
      </w:r>
      <w:r w:rsidRPr="00D06F2D">
        <w:rPr>
          <w:noProof/>
        </w:rPr>
        <w:t xml:space="preserve"> 854-861.</w:t>
      </w:r>
    </w:p>
    <w:p w14:paraId="64893937" w14:textId="77777777" w:rsidR="00D06F2D" w:rsidRPr="00D06F2D" w:rsidRDefault="00D06F2D" w:rsidP="00D06F2D">
      <w:pPr>
        <w:pStyle w:val="EndNoteBibliography"/>
        <w:ind w:left="720" w:hanging="720"/>
        <w:rPr>
          <w:noProof/>
        </w:rPr>
      </w:pPr>
      <w:r w:rsidRPr="00D06F2D">
        <w:rPr>
          <w:noProof/>
        </w:rPr>
        <w:t xml:space="preserve">MORASCHI, M., DINUZZO, M. &amp; GIOVE, F. 2012. On the origin of sustained negative BOLD response. </w:t>
      </w:r>
      <w:r w:rsidRPr="00D06F2D">
        <w:rPr>
          <w:i/>
          <w:noProof/>
        </w:rPr>
        <w:t>J Neurophysiol,</w:t>
      </w:r>
      <w:r w:rsidRPr="00D06F2D">
        <w:rPr>
          <w:noProof/>
        </w:rPr>
        <w:t xml:space="preserve"> 108</w:t>
      </w:r>
      <w:r w:rsidRPr="00D06F2D">
        <w:rPr>
          <w:b/>
          <w:noProof/>
        </w:rPr>
        <w:t>,</w:t>
      </w:r>
      <w:r w:rsidRPr="00D06F2D">
        <w:rPr>
          <w:noProof/>
        </w:rPr>
        <w:t xml:space="preserve"> 2339-2342.</w:t>
      </w:r>
    </w:p>
    <w:p w14:paraId="5D3FB5DA" w14:textId="77777777" w:rsidR="00D06F2D" w:rsidRPr="00D06F2D" w:rsidRDefault="00D06F2D" w:rsidP="00D06F2D">
      <w:pPr>
        <w:pStyle w:val="EndNoteBibliography"/>
        <w:ind w:left="720" w:hanging="720"/>
        <w:rPr>
          <w:noProof/>
        </w:rPr>
      </w:pPr>
      <w:r w:rsidRPr="00D06F2D">
        <w:rPr>
          <w:noProof/>
        </w:rPr>
        <w:lastRenderedPageBreak/>
        <w:t xml:space="preserve">MOURAUX, A. &amp; IANNETTI, G. D. 2018. The search for pain biomarkers in the human brain. </w:t>
      </w:r>
      <w:r w:rsidRPr="00D06F2D">
        <w:rPr>
          <w:i/>
          <w:noProof/>
        </w:rPr>
        <w:t>Brain,</w:t>
      </w:r>
      <w:r w:rsidRPr="00D06F2D">
        <w:rPr>
          <w:noProof/>
        </w:rPr>
        <w:t xml:space="preserve"> 141</w:t>
      </w:r>
      <w:r w:rsidRPr="00D06F2D">
        <w:rPr>
          <w:b/>
          <w:noProof/>
        </w:rPr>
        <w:t>,</w:t>
      </w:r>
      <w:r w:rsidRPr="00D06F2D">
        <w:rPr>
          <w:noProof/>
        </w:rPr>
        <w:t xml:space="preserve"> 3290-3307.</w:t>
      </w:r>
    </w:p>
    <w:p w14:paraId="618DCD57" w14:textId="77777777" w:rsidR="00D06F2D" w:rsidRPr="00D06F2D" w:rsidRDefault="00D06F2D" w:rsidP="00D06F2D">
      <w:pPr>
        <w:pStyle w:val="EndNoteBibliography"/>
        <w:ind w:left="720" w:hanging="720"/>
        <w:rPr>
          <w:noProof/>
        </w:rPr>
      </w:pPr>
      <w:r w:rsidRPr="00D06F2D">
        <w:rPr>
          <w:noProof/>
        </w:rPr>
        <w:t xml:space="preserve">MOURIDSEN, K., CHRISTENSEN, S., GYDENSTED, L. &amp; OSTERGAARD, L. 2006. Automatic selection of arterial input function using cluster analysis. </w:t>
      </w:r>
      <w:r w:rsidRPr="00D06F2D">
        <w:rPr>
          <w:i/>
          <w:noProof/>
        </w:rPr>
        <w:t>Magnetic Resonance in Medicine,</w:t>
      </w:r>
      <w:r w:rsidRPr="00D06F2D">
        <w:rPr>
          <w:noProof/>
        </w:rPr>
        <w:t xml:space="preserve"> 55</w:t>
      </w:r>
      <w:r w:rsidRPr="00D06F2D">
        <w:rPr>
          <w:b/>
          <w:noProof/>
        </w:rPr>
        <w:t>,</w:t>
      </w:r>
      <w:r w:rsidRPr="00D06F2D">
        <w:rPr>
          <w:noProof/>
        </w:rPr>
        <w:t xml:space="preserve"> 524-531.</w:t>
      </w:r>
    </w:p>
    <w:p w14:paraId="1D96363F" w14:textId="77777777" w:rsidR="00D06F2D" w:rsidRPr="00D06F2D" w:rsidRDefault="00D06F2D" w:rsidP="00D06F2D">
      <w:pPr>
        <w:pStyle w:val="EndNoteBibliography"/>
        <w:ind w:left="720" w:hanging="720"/>
        <w:rPr>
          <w:noProof/>
        </w:rPr>
      </w:pPr>
      <w:r w:rsidRPr="00D06F2D">
        <w:rPr>
          <w:noProof/>
        </w:rPr>
        <w:t xml:space="preserve">MU, J., XIE, P., YANG, Z.-S., YANG, D.-L., LV, F.-J., LUO, T.-Y. &amp; LI, Y. 2007. 1H magnetic resonance spectroscopy study of thalamus in treatment resistant depressive patients. </w:t>
      </w:r>
      <w:r w:rsidRPr="00D06F2D">
        <w:rPr>
          <w:i/>
          <w:noProof/>
        </w:rPr>
        <w:t>Neuroscience Letters,</w:t>
      </w:r>
      <w:r w:rsidRPr="00D06F2D">
        <w:rPr>
          <w:noProof/>
        </w:rPr>
        <w:t xml:space="preserve"> 425</w:t>
      </w:r>
      <w:r w:rsidRPr="00D06F2D">
        <w:rPr>
          <w:b/>
          <w:noProof/>
        </w:rPr>
        <w:t>,</w:t>
      </w:r>
      <w:r w:rsidRPr="00D06F2D">
        <w:rPr>
          <w:noProof/>
        </w:rPr>
        <w:t xml:space="preserve"> 49-52.</w:t>
      </w:r>
    </w:p>
    <w:p w14:paraId="23974529" w14:textId="77777777" w:rsidR="00D06F2D" w:rsidRPr="00D06F2D" w:rsidRDefault="00D06F2D" w:rsidP="00D06F2D">
      <w:pPr>
        <w:pStyle w:val="EndNoteBibliography"/>
        <w:ind w:left="720" w:hanging="720"/>
        <w:rPr>
          <w:noProof/>
        </w:rPr>
      </w:pPr>
      <w:r w:rsidRPr="00D06F2D">
        <w:rPr>
          <w:noProof/>
        </w:rPr>
        <w:t xml:space="preserve">MUKAI, N. &amp; HORI, S. 1979. CEREBRAL VASCULAR-LESIONS OF STREPTOZOTOCIN-INDUCED DIABETIC RATS. </w:t>
      </w:r>
      <w:r w:rsidRPr="00D06F2D">
        <w:rPr>
          <w:i/>
          <w:noProof/>
        </w:rPr>
        <w:t>Journal of Neuropathology and Experimental Neurology,</w:t>
      </w:r>
      <w:r w:rsidRPr="00D06F2D">
        <w:rPr>
          <w:noProof/>
        </w:rPr>
        <w:t xml:space="preserve"> 38</w:t>
      </w:r>
      <w:r w:rsidRPr="00D06F2D">
        <w:rPr>
          <w:b/>
          <w:noProof/>
        </w:rPr>
        <w:t>,</w:t>
      </w:r>
      <w:r w:rsidRPr="00D06F2D">
        <w:rPr>
          <w:noProof/>
        </w:rPr>
        <w:t xml:space="preserve"> 333-333.</w:t>
      </w:r>
    </w:p>
    <w:p w14:paraId="2519BBC1" w14:textId="77777777" w:rsidR="00D06F2D" w:rsidRPr="00D06F2D" w:rsidRDefault="00D06F2D" w:rsidP="00D06F2D">
      <w:pPr>
        <w:pStyle w:val="EndNoteBibliography"/>
        <w:ind w:left="720" w:hanging="720"/>
        <w:rPr>
          <w:noProof/>
        </w:rPr>
      </w:pPr>
      <w:r w:rsidRPr="00D06F2D">
        <w:rPr>
          <w:noProof/>
        </w:rPr>
        <w:t xml:space="preserve">NAIDICH, T. P., KANG, E., FATTERPEKAR, G. M., DELMAN, B. N., GULTEKIN, S. H., WOLFE, D., ORTIZ, O., YOUSRY, I., WEISMANN, M. &amp; YOUSRY, T. A. 2004. The insula: Anatomic study and MR Imaging display at 1.5 T. </w:t>
      </w:r>
      <w:r w:rsidRPr="00D06F2D">
        <w:rPr>
          <w:i/>
          <w:noProof/>
        </w:rPr>
        <w:t>American Journal of Neuroradiology,</w:t>
      </w:r>
      <w:r w:rsidRPr="00D06F2D">
        <w:rPr>
          <w:noProof/>
        </w:rPr>
        <w:t xml:space="preserve"> 25</w:t>
      </w:r>
      <w:r w:rsidRPr="00D06F2D">
        <w:rPr>
          <w:b/>
          <w:noProof/>
        </w:rPr>
        <w:t>,</w:t>
      </w:r>
      <w:r w:rsidRPr="00D06F2D">
        <w:rPr>
          <w:noProof/>
        </w:rPr>
        <w:t xml:space="preserve"> 222-232.</w:t>
      </w:r>
    </w:p>
    <w:p w14:paraId="15D6D840" w14:textId="77777777" w:rsidR="00D06F2D" w:rsidRPr="00D06F2D" w:rsidRDefault="00D06F2D" w:rsidP="00D06F2D">
      <w:pPr>
        <w:pStyle w:val="EndNoteBibliography"/>
        <w:ind w:left="720" w:hanging="720"/>
        <w:rPr>
          <w:noProof/>
        </w:rPr>
      </w:pPr>
      <w:r w:rsidRPr="00D06F2D">
        <w:rPr>
          <w:noProof/>
        </w:rPr>
        <w:t xml:space="preserve">NASE, S., KÖHLER, S., JENNEBACH, J., ECKERT, A., SCHWEINFURTH, N., GALLINAT, J., LANG, U. E. &amp; KÜHN, S. 2018. Role of Serum Brain Derived Neurotrophic Factor and Central N-Acetylaspartate for Clinical Response under Antidepressive Pharmacotherapy. </w:t>
      </w:r>
      <w:r w:rsidRPr="00D06F2D">
        <w:rPr>
          <w:i/>
          <w:noProof/>
        </w:rPr>
        <w:t>Neurosignals,</w:t>
      </w:r>
      <w:r w:rsidRPr="00D06F2D">
        <w:rPr>
          <w:noProof/>
        </w:rPr>
        <w:t xml:space="preserve"> 24</w:t>
      </w:r>
      <w:r w:rsidRPr="00D06F2D">
        <w:rPr>
          <w:b/>
          <w:noProof/>
        </w:rPr>
        <w:t>,</w:t>
      </w:r>
      <w:r w:rsidRPr="00D06F2D">
        <w:rPr>
          <w:noProof/>
        </w:rPr>
        <w:t xml:space="preserve"> 1-14.</w:t>
      </w:r>
    </w:p>
    <w:p w14:paraId="6186D101" w14:textId="77777777" w:rsidR="00D06F2D" w:rsidRPr="00D06F2D" w:rsidRDefault="00D06F2D" w:rsidP="00D06F2D">
      <w:pPr>
        <w:pStyle w:val="EndNoteBibliography"/>
        <w:ind w:left="720" w:hanging="720"/>
        <w:rPr>
          <w:noProof/>
        </w:rPr>
      </w:pPr>
      <w:r w:rsidRPr="00D06F2D">
        <w:rPr>
          <w:noProof/>
        </w:rPr>
        <w:t xml:space="preserve">NASR, N., CZOSNYKA, M., AREVALO, F., HANAIRE, H., GUIDOLIN, B. &amp; LARRUE, V. 2011. Autonomic neuropathy is associated with impairment of dynamic cerebral autoregulation in type 1 diabetes. </w:t>
      </w:r>
      <w:r w:rsidRPr="00D06F2D">
        <w:rPr>
          <w:i/>
          <w:noProof/>
        </w:rPr>
        <w:t>Autonomic Neuroscience: Basic and Clinical,</w:t>
      </w:r>
      <w:r w:rsidRPr="00D06F2D">
        <w:rPr>
          <w:noProof/>
        </w:rPr>
        <w:t xml:space="preserve"> 160</w:t>
      </w:r>
      <w:r w:rsidRPr="00D06F2D">
        <w:rPr>
          <w:b/>
          <w:noProof/>
        </w:rPr>
        <w:t>,</w:t>
      </w:r>
      <w:r w:rsidRPr="00D06F2D">
        <w:rPr>
          <w:noProof/>
        </w:rPr>
        <w:t xml:space="preserve"> 59-63.</w:t>
      </w:r>
    </w:p>
    <w:p w14:paraId="66B85847" w14:textId="77777777" w:rsidR="00D06F2D" w:rsidRPr="00D06F2D" w:rsidRDefault="00D06F2D" w:rsidP="00D06F2D">
      <w:pPr>
        <w:pStyle w:val="EndNoteBibliography"/>
        <w:ind w:left="720" w:hanging="720"/>
        <w:rPr>
          <w:noProof/>
        </w:rPr>
      </w:pPr>
      <w:r w:rsidRPr="00D06F2D">
        <w:rPr>
          <w:noProof/>
        </w:rPr>
        <w:t xml:space="preserve">NATHAN, D. M. 1993. LONG-TERM COMPLICATIONS OF DIABETES-MELLITUS. </w:t>
      </w:r>
      <w:r w:rsidRPr="00D06F2D">
        <w:rPr>
          <w:i/>
          <w:noProof/>
        </w:rPr>
        <w:t>New England Journal of Medicine,</w:t>
      </w:r>
      <w:r w:rsidRPr="00D06F2D">
        <w:rPr>
          <w:noProof/>
        </w:rPr>
        <w:t xml:space="preserve"> 328</w:t>
      </w:r>
      <w:r w:rsidRPr="00D06F2D">
        <w:rPr>
          <w:b/>
          <w:noProof/>
        </w:rPr>
        <w:t>,</w:t>
      </w:r>
      <w:r w:rsidRPr="00D06F2D">
        <w:rPr>
          <w:noProof/>
        </w:rPr>
        <w:t xml:space="preserve"> 1676-1685.</w:t>
      </w:r>
    </w:p>
    <w:p w14:paraId="3FA03767" w14:textId="77777777" w:rsidR="00D06F2D" w:rsidRPr="00D06F2D" w:rsidRDefault="00D06F2D" w:rsidP="00D06F2D">
      <w:pPr>
        <w:pStyle w:val="EndNoteBibliography"/>
        <w:ind w:left="720" w:hanging="720"/>
        <w:rPr>
          <w:noProof/>
        </w:rPr>
      </w:pPr>
      <w:r w:rsidRPr="00D06F2D">
        <w:rPr>
          <w:noProof/>
        </w:rPr>
        <w:t xml:space="preserve">NATHAN, D. M., CLEARY, P. A., BACKLUND, J. Y. C., GENUTH, S. M., LACHIN, J. M., ORCHARD, T. J., RASKIN, P., ZINMAN, B. &amp; GRP, D. E. S. R. 2005. Intensive diabetes treatment and cardiovascular disease in patients with type 1 diabetes. </w:t>
      </w:r>
      <w:r w:rsidRPr="00D06F2D">
        <w:rPr>
          <w:i/>
          <w:noProof/>
        </w:rPr>
        <w:t>New England Journal of Medicine,</w:t>
      </w:r>
      <w:r w:rsidRPr="00D06F2D">
        <w:rPr>
          <w:noProof/>
        </w:rPr>
        <w:t xml:space="preserve"> 353.</w:t>
      </w:r>
    </w:p>
    <w:p w14:paraId="19E97F4A" w14:textId="77777777" w:rsidR="00D06F2D" w:rsidRPr="00D06F2D" w:rsidRDefault="00D06F2D" w:rsidP="00D06F2D">
      <w:pPr>
        <w:pStyle w:val="EndNoteBibliography"/>
        <w:ind w:left="720" w:hanging="720"/>
        <w:rPr>
          <w:noProof/>
        </w:rPr>
      </w:pPr>
      <w:r w:rsidRPr="00D06F2D">
        <w:rPr>
          <w:noProof/>
        </w:rPr>
        <w:t xml:space="preserve">NATHAN, D. M., GENUTH, S., LACHIN, J., CLEARY, P., CROFFORD, O., DAVIS, M., RAND, L., SIEBERT, C. &amp; GROUP, D. C. A. C. T. R. 1993. The effect of intensive treatment of diabetes on the development and progression of long-term complications in insulin-dependent diabetes mellitus. </w:t>
      </w:r>
      <w:r w:rsidRPr="00D06F2D">
        <w:rPr>
          <w:i/>
          <w:noProof/>
        </w:rPr>
        <w:t>N Engl J Med,</w:t>
      </w:r>
      <w:r w:rsidRPr="00D06F2D">
        <w:rPr>
          <w:noProof/>
        </w:rPr>
        <w:t xml:space="preserve"> 329</w:t>
      </w:r>
      <w:r w:rsidRPr="00D06F2D">
        <w:rPr>
          <w:b/>
          <w:noProof/>
        </w:rPr>
        <w:t>,</w:t>
      </w:r>
      <w:r w:rsidRPr="00D06F2D">
        <w:rPr>
          <w:noProof/>
        </w:rPr>
        <w:t xml:space="preserve"> 977-86.</w:t>
      </w:r>
    </w:p>
    <w:p w14:paraId="2364C117" w14:textId="77777777" w:rsidR="00D06F2D" w:rsidRPr="00D06F2D" w:rsidRDefault="00D06F2D" w:rsidP="00D06F2D">
      <w:pPr>
        <w:pStyle w:val="EndNoteBibliography"/>
        <w:ind w:left="720" w:hanging="720"/>
        <w:rPr>
          <w:noProof/>
        </w:rPr>
      </w:pPr>
      <w:r w:rsidRPr="00D06F2D">
        <w:rPr>
          <w:noProof/>
        </w:rPr>
        <w:t xml:space="preserve">NAVARRO, A., SALDAÑA, M. T., PÉREZ, C., TORRADES, S. &amp; REJAS, J. 2010. Patient-reported outcomes in subjects with neuropathic pain receiving pregabalin: evidence from medical practice in primary care settings. </w:t>
      </w:r>
      <w:r w:rsidRPr="00D06F2D">
        <w:rPr>
          <w:i/>
          <w:noProof/>
        </w:rPr>
        <w:t>Pain Med,</w:t>
      </w:r>
      <w:r w:rsidRPr="00D06F2D">
        <w:rPr>
          <w:noProof/>
        </w:rPr>
        <w:t xml:space="preserve"> 11</w:t>
      </w:r>
      <w:r w:rsidRPr="00D06F2D">
        <w:rPr>
          <w:b/>
          <w:noProof/>
        </w:rPr>
        <w:t>,</w:t>
      </w:r>
      <w:r w:rsidRPr="00D06F2D">
        <w:rPr>
          <w:noProof/>
        </w:rPr>
        <w:t xml:space="preserve"> 719-31.</w:t>
      </w:r>
    </w:p>
    <w:p w14:paraId="626C9AF6" w14:textId="77777777" w:rsidR="00D06F2D" w:rsidRPr="00D06F2D" w:rsidRDefault="00D06F2D" w:rsidP="00D06F2D">
      <w:pPr>
        <w:pStyle w:val="EndNoteBibliography"/>
        <w:ind w:left="720" w:hanging="720"/>
        <w:rPr>
          <w:noProof/>
        </w:rPr>
      </w:pPr>
      <w:r w:rsidRPr="00D06F2D">
        <w:rPr>
          <w:noProof/>
        </w:rPr>
        <w:t xml:space="preserve">NEFS, G., POP, V. J. M., DENOLLET, J. &amp; POUWER, F. 2016. Depressive symptoms and all-cause mortality in people with type 2 diabetes: a focus on potential mechanisms. </w:t>
      </w:r>
      <w:r w:rsidRPr="00D06F2D">
        <w:rPr>
          <w:i/>
          <w:noProof/>
        </w:rPr>
        <w:t>British Journal of Psychiatry,</w:t>
      </w:r>
      <w:r w:rsidRPr="00D06F2D">
        <w:rPr>
          <w:noProof/>
        </w:rPr>
        <w:t xml:space="preserve"> 209</w:t>
      </w:r>
      <w:r w:rsidRPr="00D06F2D">
        <w:rPr>
          <w:b/>
          <w:noProof/>
        </w:rPr>
        <w:t>,</w:t>
      </w:r>
      <w:r w:rsidRPr="00D06F2D">
        <w:rPr>
          <w:noProof/>
        </w:rPr>
        <w:t xml:space="preserve"> 142-149.</w:t>
      </w:r>
    </w:p>
    <w:p w14:paraId="14BBA59E" w14:textId="77777777" w:rsidR="00D06F2D" w:rsidRPr="00D06F2D" w:rsidRDefault="00D06F2D" w:rsidP="00D06F2D">
      <w:pPr>
        <w:pStyle w:val="EndNoteBibliography"/>
        <w:ind w:left="720" w:hanging="720"/>
        <w:rPr>
          <w:noProof/>
        </w:rPr>
      </w:pPr>
      <w:r w:rsidRPr="00D06F2D">
        <w:rPr>
          <w:noProof/>
        </w:rPr>
        <w:t xml:space="preserve">NEIL, H. A. W., GALE, E. A. M., HAMILTON, S. J. C., LOPEZESPINOZA, I., KAURA, R. &amp; MCCARTHY, S. T. 1987. CEREBRAL BLOOD-FLOW INCREASES DURING INSULIN-INDUCED HYPOGLYCEMIA IN TYPE-1 (INSULIN-DEPENDENT) DIABETIC-PATIENTS AND CONTROL SUBJECTS. </w:t>
      </w:r>
      <w:r w:rsidRPr="00D06F2D">
        <w:rPr>
          <w:i/>
          <w:noProof/>
        </w:rPr>
        <w:t>Diabetologia,</w:t>
      </w:r>
      <w:r w:rsidRPr="00D06F2D">
        <w:rPr>
          <w:noProof/>
        </w:rPr>
        <w:t xml:space="preserve"> 30</w:t>
      </w:r>
      <w:r w:rsidRPr="00D06F2D">
        <w:rPr>
          <w:b/>
          <w:noProof/>
        </w:rPr>
        <w:t>,</w:t>
      </w:r>
      <w:r w:rsidRPr="00D06F2D">
        <w:rPr>
          <w:noProof/>
        </w:rPr>
        <w:t xml:space="preserve"> 305-309.</w:t>
      </w:r>
    </w:p>
    <w:p w14:paraId="3CE559D9" w14:textId="77777777" w:rsidR="00D06F2D" w:rsidRPr="00D06F2D" w:rsidRDefault="00D06F2D" w:rsidP="00D06F2D">
      <w:pPr>
        <w:pStyle w:val="EndNoteBibliography"/>
        <w:ind w:left="720" w:hanging="720"/>
        <w:rPr>
          <w:noProof/>
        </w:rPr>
      </w:pPr>
      <w:r w:rsidRPr="00D06F2D">
        <w:rPr>
          <w:noProof/>
        </w:rPr>
        <w:t xml:space="preserve">NELSON, P. T., SMITH, C. D., ABNER, E. A., SCHMITT, F. A., SCHEFF, S. W., DAVIS, G. J., KELLER, J. N., JICHA, G. A., DAVIS, D., WANG-XIA, W., HARTMAN, A., KATZ, D. G. &amp; MARKESBERY, W. R. 2009. Human cerebral </w:t>
      </w:r>
      <w:r w:rsidRPr="00D06F2D">
        <w:rPr>
          <w:noProof/>
        </w:rPr>
        <w:lastRenderedPageBreak/>
        <w:t xml:space="preserve">neuropathology of Type 2 diabetes mellitus. </w:t>
      </w:r>
      <w:r w:rsidRPr="00D06F2D">
        <w:rPr>
          <w:i/>
          <w:noProof/>
        </w:rPr>
        <w:t>Biochimica Et Biophysica Acta-Molecular Basis of Disease,</w:t>
      </w:r>
      <w:r w:rsidRPr="00D06F2D">
        <w:rPr>
          <w:noProof/>
        </w:rPr>
        <w:t xml:space="preserve"> 1792</w:t>
      </w:r>
      <w:r w:rsidRPr="00D06F2D">
        <w:rPr>
          <w:b/>
          <w:noProof/>
        </w:rPr>
        <w:t>,</w:t>
      </w:r>
      <w:r w:rsidRPr="00D06F2D">
        <w:rPr>
          <w:noProof/>
        </w:rPr>
        <w:t xml:space="preserve"> 454-469.</w:t>
      </w:r>
    </w:p>
    <w:p w14:paraId="7E6819C6" w14:textId="77777777" w:rsidR="00D06F2D" w:rsidRPr="00D06F2D" w:rsidRDefault="00D06F2D" w:rsidP="00D06F2D">
      <w:pPr>
        <w:pStyle w:val="EndNoteBibliography"/>
        <w:ind w:left="720" w:hanging="720"/>
        <w:rPr>
          <w:noProof/>
        </w:rPr>
      </w:pPr>
      <w:r w:rsidRPr="00D06F2D">
        <w:rPr>
          <w:noProof/>
        </w:rPr>
        <w:t xml:space="preserve">NEWMAN, E. A. 2013. Functional hyperemia and mechanisms of neurovascular coupling in the retinal vasculature. </w:t>
      </w:r>
      <w:r w:rsidRPr="00D06F2D">
        <w:rPr>
          <w:i/>
          <w:noProof/>
        </w:rPr>
        <w:t>Journal of Cerebral Blood Flow and Metabolism,</w:t>
      </w:r>
      <w:r w:rsidRPr="00D06F2D">
        <w:rPr>
          <w:noProof/>
        </w:rPr>
        <w:t xml:space="preserve"> 33</w:t>
      </w:r>
      <w:r w:rsidRPr="00D06F2D">
        <w:rPr>
          <w:b/>
          <w:noProof/>
        </w:rPr>
        <w:t>,</w:t>
      </w:r>
      <w:r w:rsidRPr="00D06F2D">
        <w:rPr>
          <w:noProof/>
        </w:rPr>
        <w:t xml:space="preserve"> 1685-1695.</w:t>
      </w:r>
    </w:p>
    <w:p w14:paraId="7C284FC2" w14:textId="77777777" w:rsidR="00D06F2D" w:rsidRPr="00D06F2D" w:rsidRDefault="00D06F2D" w:rsidP="00D06F2D">
      <w:pPr>
        <w:pStyle w:val="EndNoteBibliography"/>
        <w:ind w:left="720" w:hanging="720"/>
        <w:rPr>
          <w:noProof/>
        </w:rPr>
      </w:pPr>
      <w:r w:rsidRPr="00D06F2D">
        <w:rPr>
          <w:noProof/>
        </w:rPr>
        <w:t xml:space="preserve">NGUYEN, H. T., VAN DUINKERKEN, E., VERBRAAK, F. D., POLAK, B. C. P., RINGENS, P. J., DIAMANT, M. &amp; MOLL, A. C. 2016. Retinal blood flow is increased in type 1 diabetes mellitus patients with advanced stages of retinopathy. </w:t>
      </w:r>
      <w:r w:rsidRPr="00D06F2D">
        <w:rPr>
          <w:i/>
          <w:noProof/>
        </w:rPr>
        <w:t>Bmc Endocrine Disorders,</w:t>
      </w:r>
      <w:r w:rsidRPr="00D06F2D">
        <w:rPr>
          <w:noProof/>
        </w:rPr>
        <w:t xml:space="preserve"> 16.</w:t>
      </w:r>
    </w:p>
    <w:p w14:paraId="5BA31549" w14:textId="77777777" w:rsidR="00D06F2D" w:rsidRPr="00D06F2D" w:rsidRDefault="00D06F2D" w:rsidP="00D06F2D">
      <w:pPr>
        <w:pStyle w:val="EndNoteBibliography"/>
        <w:ind w:left="720" w:hanging="720"/>
        <w:rPr>
          <w:noProof/>
        </w:rPr>
      </w:pPr>
      <w:r w:rsidRPr="00D06F2D">
        <w:rPr>
          <w:noProof/>
        </w:rPr>
        <w:t xml:space="preserve">O'BRIEN, E. M., ATCHISON, J. W., GREMILLION, H. A., WAXENBERG, L. B. &amp; ROBINSON, M. E. 2008. Somatic focus/awareness: Relationship to negative affect and pain in chronic pain patients. </w:t>
      </w:r>
      <w:r w:rsidRPr="00D06F2D">
        <w:rPr>
          <w:i/>
          <w:noProof/>
        </w:rPr>
        <w:t>European Journal of Pain,</w:t>
      </w:r>
      <w:r w:rsidRPr="00D06F2D">
        <w:rPr>
          <w:noProof/>
        </w:rPr>
        <w:t xml:space="preserve"> 12</w:t>
      </w:r>
      <w:r w:rsidRPr="00D06F2D">
        <w:rPr>
          <w:b/>
          <w:noProof/>
        </w:rPr>
        <w:t>,</w:t>
      </w:r>
      <w:r w:rsidRPr="00D06F2D">
        <w:rPr>
          <w:noProof/>
        </w:rPr>
        <w:t xml:space="preserve"> 104-115.</w:t>
      </w:r>
    </w:p>
    <w:p w14:paraId="1796F054" w14:textId="77777777" w:rsidR="00D06F2D" w:rsidRPr="00D06F2D" w:rsidRDefault="00D06F2D" w:rsidP="00D06F2D">
      <w:pPr>
        <w:pStyle w:val="EndNoteBibliography"/>
        <w:ind w:left="720" w:hanging="720"/>
        <w:rPr>
          <w:noProof/>
        </w:rPr>
      </w:pPr>
      <w:r w:rsidRPr="00D06F2D">
        <w:rPr>
          <w:noProof/>
        </w:rPr>
        <w:t xml:space="preserve">O'BRIEN, I. A. D., O'HARE, P. &amp; CORRALL, R. J. M. 1986. HEART-RATE-VARIABILITY IN HEALTHY-SUBJECTS - EFFECT OF AGE AND THE DERIVATION OF NORMAL RANGES FOR TESTS OF AUTONOMIC FUNCTION. </w:t>
      </w:r>
      <w:r w:rsidRPr="00D06F2D">
        <w:rPr>
          <w:i/>
          <w:noProof/>
        </w:rPr>
        <w:t>British Heart Journal,</w:t>
      </w:r>
      <w:r w:rsidRPr="00D06F2D">
        <w:rPr>
          <w:noProof/>
        </w:rPr>
        <w:t xml:space="preserve"> 55</w:t>
      </w:r>
      <w:r w:rsidRPr="00D06F2D">
        <w:rPr>
          <w:b/>
          <w:noProof/>
        </w:rPr>
        <w:t>,</w:t>
      </w:r>
      <w:r w:rsidRPr="00D06F2D">
        <w:rPr>
          <w:noProof/>
        </w:rPr>
        <w:t xml:space="preserve"> 348-354.</w:t>
      </w:r>
    </w:p>
    <w:p w14:paraId="3CD329F1" w14:textId="77777777" w:rsidR="00D06F2D" w:rsidRPr="00D06F2D" w:rsidRDefault="00D06F2D" w:rsidP="00D06F2D">
      <w:pPr>
        <w:pStyle w:val="EndNoteBibliography"/>
        <w:ind w:left="720" w:hanging="720"/>
        <w:rPr>
          <w:noProof/>
        </w:rPr>
      </w:pPr>
      <w:r w:rsidRPr="00D06F2D">
        <w:rPr>
          <w:noProof/>
        </w:rPr>
        <w:t xml:space="preserve">O'CONNOR, A. B. 2009. Neuropathic pain: quality-of-life impact, costs and cost effectiveness of therapy. </w:t>
      </w:r>
      <w:r w:rsidRPr="00D06F2D">
        <w:rPr>
          <w:i/>
          <w:noProof/>
        </w:rPr>
        <w:t>Pharmacoeconomics,</w:t>
      </w:r>
      <w:r w:rsidRPr="00D06F2D">
        <w:rPr>
          <w:noProof/>
        </w:rPr>
        <w:t xml:space="preserve"> 27</w:t>
      </w:r>
      <w:r w:rsidRPr="00D06F2D">
        <w:rPr>
          <w:b/>
          <w:noProof/>
        </w:rPr>
        <w:t>,</w:t>
      </w:r>
      <w:r w:rsidRPr="00D06F2D">
        <w:rPr>
          <w:noProof/>
        </w:rPr>
        <w:t xml:space="preserve"> 95-112.</w:t>
      </w:r>
    </w:p>
    <w:p w14:paraId="4D1FDD7A" w14:textId="77777777" w:rsidR="00D06F2D" w:rsidRPr="00D06F2D" w:rsidRDefault="00D06F2D" w:rsidP="00D06F2D">
      <w:pPr>
        <w:pStyle w:val="EndNoteBibliography"/>
        <w:ind w:left="720" w:hanging="720"/>
        <w:rPr>
          <w:noProof/>
        </w:rPr>
      </w:pPr>
      <w:r w:rsidRPr="00D06F2D">
        <w:rPr>
          <w:noProof/>
        </w:rPr>
        <w:t xml:space="preserve">ODRCICH, M. M., BAILEY, M. J., CAHILL, M. C. &amp; GILRON, M. I. 2006. Chronobiological characteristics of painful diabetic neuropathy and postherpetic neuralgia: Diurnal pain variation and effects of analgesic therapy. </w:t>
      </w:r>
      <w:r w:rsidRPr="00D06F2D">
        <w:rPr>
          <w:i/>
          <w:noProof/>
        </w:rPr>
        <w:t>Pain,</w:t>
      </w:r>
      <w:r w:rsidRPr="00D06F2D">
        <w:rPr>
          <w:noProof/>
        </w:rPr>
        <w:t xml:space="preserve"> 120</w:t>
      </w:r>
      <w:r w:rsidRPr="00D06F2D">
        <w:rPr>
          <w:b/>
          <w:noProof/>
        </w:rPr>
        <w:t>,</w:t>
      </w:r>
      <w:r w:rsidRPr="00D06F2D">
        <w:rPr>
          <w:noProof/>
        </w:rPr>
        <w:t xml:space="preserve"> 207-212.</w:t>
      </w:r>
    </w:p>
    <w:p w14:paraId="25DB0C60" w14:textId="77777777" w:rsidR="00D06F2D" w:rsidRPr="00D06F2D" w:rsidRDefault="00D06F2D" w:rsidP="00D06F2D">
      <w:pPr>
        <w:pStyle w:val="EndNoteBibliography"/>
        <w:ind w:left="720" w:hanging="720"/>
        <w:rPr>
          <w:noProof/>
        </w:rPr>
      </w:pPr>
      <w:r w:rsidRPr="00D06F2D">
        <w:rPr>
          <w:noProof/>
        </w:rPr>
        <w:t xml:space="preserve">OEI, M., MEIJER, F., MORDANG, J.-J., SMIT, E., IDEMA, A., GORAJ, B., LAUE, H., PROKOP, M. &amp; MANNIESING, R. 2018. Observer variability of reference tissue selection for relativecerebral blood volume measurements in glioma patients. </w:t>
      </w:r>
      <w:r w:rsidRPr="00D06F2D">
        <w:rPr>
          <w:i/>
          <w:noProof/>
        </w:rPr>
        <w:t>European Radiology,</w:t>
      </w:r>
      <w:r w:rsidRPr="00D06F2D">
        <w:rPr>
          <w:noProof/>
        </w:rPr>
        <w:t xml:space="preserve"> 28</w:t>
      </w:r>
      <w:r w:rsidRPr="00D06F2D">
        <w:rPr>
          <w:b/>
          <w:noProof/>
        </w:rPr>
        <w:t>,</w:t>
      </w:r>
      <w:r w:rsidRPr="00D06F2D">
        <w:rPr>
          <w:noProof/>
        </w:rPr>
        <w:t xml:space="preserve"> 3902-3911.</w:t>
      </w:r>
    </w:p>
    <w:p w14:paraId="1BE2AF10" w14:textId="77777777" w:rsidR="00D06F2D" w:rsidRPr="00D06F2D" w:rsidRDefault="00D06F2D" w:rsidP="00D06F2D">
      <w:pPr>
        <w:pStyle w:val="EndNoteBibliography"/>
        <w:ind w:left="720" w:hanging="720"/>
        <w:rPr>
          <w:noProof/>
        </w:rPr>
      </w:pPr>
      <w:r w:rsidRPr="00D06F2D">
        <w:rPr>
          <w:noProof/>
        </w:rPr>
        <w:t xml:space="preserve">OLESEN, A. E., ANDRESEN, T., STAAHL, C. &amp; DREWES, A. M. 2012. Human experimental pain models for assessing the therapeutic efficacy of analgesic drugs. </w:t>
      </w:r>
      <w:r w:rsidRPr="00D06F2D">
        <w:rPr>
          <w:i/>
          <w:noProof/>
        </w:rPr>
        <w:t>Pharmacol Rev,</w:t>
      </w:r>
      <w:r w:rsidRPr="00D06F2D">
        <w:rPr>
          <w:noProof/>
        </w:rPr>
        <w:t xml:space="preserve"> 64</w:t>
      </w:r>
      <w:r w:rsidRPr="00D06F2D">
        <w:rPr>
          <w:b/>
          <w:noProof/>
        </w:rPr>
        <w:t>,</w:t>
      </w:r>
      <w:r w:rsidRPr="00D06F2D">
        <w:rPr>
          <w:noProof/>
        </w:rPr>
        <w:t xml:space="preserve"> 722-79.</w:t>
      </w:r>
    </w:p>
    <w:p w14:paraId="18AC1584" w14:textId="77777777" w:rsidR="00D06F2D" w:rsidRPr="00D06F2D" w:rsidRDefault="00D06F2D" w:rsidP="00D06F2D">
      <w:pPr>
        <w:pStyle w:val="EndNoteBibliography"/>
        <w:ind w:left="720" w:hanging="720"/>
        <w:rPr>
          <w:noProof/>
        </w:rPr>
      </w:pPr>
      <w:r w:rsidRPr="00D06F2D">
        <w:rPr>
          <w:noProof/>
        </w:rPr>
        <w:t xml:space="preserve">ORSINGHER, L., PICCININI, S. &amp; CRISI, G. 2014. Differences in Dynamic Susceptibility Contrast MR Perfusion Maps Generated by Different Methods Implemented in Commercial Software. </w:t>
      </w:r>
      <w:r w:rsidRPr="00D06F2D">
        <w:rPr>
          <w:i/>
          <w:noProof/>
        </w:rPr>
        <w:t>Journal of Computer Assisted Tomography,</w:t>
      </w:r>
      <w:r w:rsidRPr="00D06F2D">
        <w:rPr>
          <w:noProof/>
        </w:rPr>
        <w:t xml:space="preserve"> 38</w:t>
      </w:r>
      <w:r w:rsidRPr="00D06F2D">
        <w:rPr>
          <w:b/>
          <w:noProof/>
        </w:rPr>
        <w:t>,</w:t>
      </w:r>
      <w:r w:rsidRPr="00D06F2D">
        <w:rPr>
          <w:noProof/>
        </w:rPr>
        <w:t xml:space="preserve"> 647-654.</w:t>
      </w:r>
    </w:p>
    <w:p w14:paraId="265B8F02" w14:textId="77777777" w:rsidR="00D06F2D" w:rsidRPr="00D06F2D" w:rsidRDefault="00D06F2D" w:rsidP="00D06F2D">
      <w:pPr>
        <w:pStyle w:val="EndNoteBibliography"/>
        <w:ind w:left="720" w:hanging="720"/>
        <w:rPr>
          <w:noProof/>
        </w:rPr>
      </w:pPr>
      <w:r w:rsidRPr="00D06F2D">
        <w:rPr>
          <w:noProof/>
        </w:rPr>
        <w:t xml:space="preserve">OSTERGAARD, L., FINNERUP, N. B., TERKELSEN, A. J., OLESEN, R. A., DRASBEK, K. R., KNUDSEN, L., JESPERSEN, S. N., FRYSTYK, J., CHARLES, M., THOMSEN, R. W., CHRISTIANSEN, J. S., BECK-NIELSEN, H., JENSEN, T. S. &amp; ANDERSEN, H. 2015. The effects of capillary dysfunction on oxygen and glucose extraction in diabetic neuropathy. </w:t>
      </w:r>
      <w:r w:rsidRPr="00D06F2D">
        <w:rPr>
          <w:i/>
          <w:noProof/>
        </w:rPr>
        <w:t>Diabetologia,</w:t>
      </w:r>
      <w:r w:rsidRPr="00D06F2D">
        <w:rPr>
          <w:noProof/>
        </w:rPr>
        <w:t xml:space="preserve"> 58</w:t>
      </w:r>
      <w:r w:rsidRPr="00D06F2D">
        <w:rPr>
          <w:b/>
          <w:noProof/>
        </w:rPr>
        <w:t>,</w:t>
      </w:r>
      <w:r w:rsidRPr="00D06F2D">
        <w:rPr>
          <w:noProof/>
        </w:rPr>
        <w:t xml:space="preserve"> 666-677.</w:t>
      </w:r>
    </w:p>
    <w:p w14:paraId="1E17452D" w14:textId="77777777" w:rsidR="00D06F2D" w:rsidRPr="00D06F2D" w:rsidRDefault="00D06F2D" w:rsidP="00D06F2D">
      <w:pPr>
        <w:pStyle w:val="EndNoteBibliography"/>
        <w:ind w:left="720" w:hanging="720"/>
        <w:rPr>
          <w:noProof/>
        </w:rPr>
      </w:pPr>
      <w:r w:rsidRPr="00D06F2D">
        <w:rPr>
          <w:noProof/>
        </w:rPr>
        <w:t xml:space="preserve">OSTERGAARD, L., SORENSEN, A. G., KWONG, K. K., WEISSKOFF, R. M., GYLDENSTED, C. &amp; ROSEN, B. R. 1996a. High resolution measurement of cerebral blood flow using intravascular tracer bolus passages .2. Experimental comparison and preliminary results. </w:t>
      </w:r>
      <w:r w:rsidRPr="00D06F2D">
        <w:rPr>
          <w:i/>
          <w:noProof/>
        </w:rPr>
        <w:t>Magnetic Resonance in Medicine,</w:t>
      </w:r>
      <w:r w:rsidRPr="00D06F2D">
        <w:rPr>
          <w:noProof/>
        </w:rPr>
        <w:t xml:space="preserve"> 36</w:t>
      </w:r>
      <w:r w:rsidRPr="00D06F2D">
        <w:rPr>
          <w:b/>
          <w:noProof/>
        </w:rPr>
        <w:t>,</w:t>
      </w:r>
      <w:r w:rsidRPr="00D06F2D">
        <w:rPr>
          <w:noProof/>
        </w:rPr>
        <w:t xml:space="preserve"> 726-736.</w:t>
      </w:r>
    </w:p>
    <w:p w14:paraId="1DA20E4C" w14:textId="77777777" w:rsidR="00D06F2D" w:rsidRPr="00D06F2D" w:rsidRDefault="00D06F2D" w:rsidP="00D06F2D">
      <w:pPr>
        <w:pStyle w:val="EndNoteBibliography"/>
        <w:ind w:left="720" w:hanging="720"/>
        <w:rPr>
          <w:noProof/>
        </w:rPr>
      </w:pPr>
      <w:r w:rsidRPr="00D06F2D">
        <w:rPr>
          <w:noProof/>
        </w:rPr>
        <w:t xml:space="preserve">OSTERGAARD, L., WEISSKOFF, R. M., CHESLER, D. A., GYLDENSTED, C. &amp; ROSEN, B. R. 1996b. High resolution measurement of cerebral blood flow using intravascular tracer bolus passages .1. Mathematical approach and statistical analysis. </w:t>
      </w:r>
      <w:r w:rsidRPr="00D06F2D">
        <w:rPr>
          <w:i/>
          <w:noProof/>
        </w:rPr>
        <w:t>Magnetic Resonance in Medicine,</w:t>
      </w:r>
      <w:r w:rsidRPr="00D06F2D">
        <w:rPr>
          <w:noProof/>
        </w:rPr>
        <w:t xml:space="preserve"> 36</w:t>
      </w:r>
      <w:r w:rsidRPr="00D06F2D">
        <w:rPr>
          <w:b/>
          <w:noProof/>
        </w:rPr>
        <w:t>,</w:t>
      </w:r>
      <w:r w:rsidRPr="00D06F2D">
        <w:rPr>
          <w:noProof/>
        </w:rPr>
        <w:t xml:space="preserve"> 715-725.</w:t>
      </w:r>
    </w:p>
    <w:p w14:paraId="60773A8B" w14:textId="77777777" w:rsidR="00D06F2D" w:rsidRPr="00D06F2D" w:rsidRDefault="00D06F2D" w:rsidP="00D06F2D">
      <w:pPr>
        <w:pStyle w:val="EndNoteBibliography"/>
        <w:ind w:left="720" w:hanging="720"/>
        <w:rPr>
          <w:noProof/>
        </w:rPr>
      </w:pPr>
      <w:r w:rsidRPr="00D06F2D">
        <w:rPr>
          <w:noProof/>
        </w:rPr>
        <w:lastRenderedPageBreak/>
        <w:t xml:space="preserve">OWEN, D. G., BUREAU, Y., THOMAS, A. W., PRATO, F. S. &amp; ST LAWRENCE, K. S. 2008. Quantification of pain-induced changes in cerebral blood flow by perfusion MRI. </w:t>
      </w:r>
      <w:r w:rsidRPr="00D06F2D">
        <w:rPr>
          <w:i/>
          <w:noProof/>
        </w:rPr>
        <w:t>Pain.,</w:t>
      </w:r>
      <w:r w:rsidRPr="00D06F2D">
        <w:rPr>
          <w:noProof/>
        </w:rPr>
        <w:t xml:space="preserve"> 136</w:t>
      </w:r>
      <w:r w:rsidRPr="00D06F2D">
        <w:rPr>
          <w:b/>
          <w:noProof/>
        </w:rPr>
        <w:t>,</w:t>
      </w:r>
      <w:r w:rsidRPr="00D06F2D">
        <w:rPr>
          <w:noProof/>
        </w:rPr>
        <w:t xml:space="preserve"> 85-96.</w:t>
      </w:r>
    </w:p>
    <w:p w14:paraId="6E8BD642" w14:textId="77777777" w:rsidR="00D06F2D" w:rsidRPr="00D06F2D" w:rsidRDefault="00D06F2D" w:rsidP="00D06F2D">
      <w:pPr>
        <w:pStyle w:val="EndNoteBibliography"/>
        <w:ind w:left="720" w:hanging="720"/>
        <w:rPr>
          <w:noProof/>
        </w:rPr>
      </w:pPr>
      <w:r w:rsidRPr="00D06F2D">
        <w:rPr>
          <w:noProof/>
        </w:rPr>
        <w:t xml:space="preserve">OZ, G., ALGER, J. R., BARKER, P. B., BARTHA, R., BIZZI, A., BOESCH, C., BOLAN, P. J., BRINDLE, K. M., CUDALBU, C., DINÇER, A., DYDAK, U., EMIR, U. E., FRAHM, J., GONZÁLEZ, R. G., GRUBER, S., GRUETTER, R., GUPTA, R. K., HEERSCHAP, A., HENNING, A., HETHERINGTON, H. P., HOWE, F. A., HÜPPI, P. S., HURD, R. E., KANTARCI, K., KLOMP, D. W. J., KREIS, R., KRUISKAMP, M. J., LEACH, M. O., LIN, A. P., LUIJTEN, P. R., MARJAŃSKA, M., MAUDSLEY, A. A., MEYERHOFF, D. J., MOUNTFORD, C. E., NELSON, S. J., PAMIR, M. N., PAN, J. W., PEET, A. C., POPTANI, H., POSSE, S., POUWELS, P. J. W., RATAI, E.-M., ROSS, B. D., SCHEENEN, T. W., SCHUSTER, C., SMITH, I. C. P., SOHER, B. J., TKÁČ, I., VIGNERON, D. B. &amp; KAUPPINEN, R. A. 2014. Clinical proton MR spectroscopy in central nervous system disorders. </w:t>
      </w:r>
      <w:r w:rsidRPr="00D06F2D">
        <w:rPr>
          <w:i/>
          <w:noProof/>
        </w:rPr>
        <w:t>Radiology,</w:t>
      </w:r>
      <w:r w:rsidRPr="00D06F2D">
        <w:rPr>
          <w:noProof/>
        </w:rPr>
        <w:t xml:space="preserve"> 270</w:t>
      </w:r>
      <w:r w:rsidRPr="00D06F2D">
        <w:rPr>
          <w:b/>
          <w:noProof/>
        </w:rPr>
        <w:t>,</w:t>
      </w:r>
      <w:r w:rsidRPr="00D06F2D">
        <w:rPr>
          <w:noProof/>
        </w:rPr>
        <w:t xml:space="preserve"> 658-679.</w:t>
      </w:r>
    </w:p>
    <w:p w14:paraId="73737DF7" w14:textId="77777777" w:rsidR="00D06F2D" w:rsidRPr="00D06F2D" w:rsidRDefault="00D06F2D" w:rsidP="00D06F2D">
      <w:pPr>
        <w:pStyle w:val="EndNoteBibliography"/>
        <w:ind w:left="720" w:hanging="720"/>
        <w:rPr>
          <w:noProof/>
        </w:rPr>
      </w:pPr>
      <w:r w:rsidRPr="00D06F2D">
        <w:rPr>
          <w:noProof/>
        </w:rPr>
        <w:t xml:space="preserve">PAIN, I. A. F. T. S. O. 1994. </w:t>
      </w:r>
      <w:r w:rsidRPr="00D06F2D">
        <w:rPr>
          <w:i/>
          <w:noProof/>
        </w:rPr>
        <w:t xml:space="preserve">Part III: Pain Terms, A Current List with Definitions and Notes on Usage, </w:t>
      </w:r>
      <w:r w:rsidRPr="00D06F2D">
        <w:rPr>
          <w:noProof/>
        </w:rPr>
        <w:t>Seattle, IASP Press.</w:t>
      </w:r>
    </w:p>
    <w:p w14:paraId="25FB448C" w14:textId="77777777" w:rsidR="00D06F2D" w:rsidRPr="00D06F2D" w:rsidRDefault="00D06F2D" w:rsidP="00D06F2D">
      <w:pPr>
        <w:pStyle w:val="EndNoteBibliography"/>
        <w:ind w:left="720" w:hanging="720"/>
        <w:rPr>
          <w:noProof/>
        </w:rPr>
      </w:pPr>
      <w:r w:rsidRPr="00D06F2D">
        <w:rPr>
          <w:noProof/>
        </w:rPr>
        <w:t xml:space="preserve">PALOCHAK, C. M. A., LEE, H. E., SONG, J., GENG, A., LINSENMEIER, R. A., BURNS, S. A. &amp; FAWZI, A. A. 2019. Retinal Blood Velocity and Flow in Early Diabetes and Diabetic Retinopathy Using Adaptive Optics Scanning Laser Ophthalmoscopy. </w:t>
      </w:r>
      <w:r w:rsidRPr="00D06F2D">
        <w:rPr>
          <w:i/>
          <w:noProof/>
        </w:rPr>
        <w:t>J Clin Med,</w:t>
      </w:r>
      <w:r w:rsidRPr="00D06F2D">
        <w:rPr>
          <w:noProof/>
        </w:rPr>
        <w:t xml:space="preserve"> 8.</w:t>
      </w:r>
    </w:p>
    <w:p w14:paraId="28970D28" w14:textId="77777777" w:rsidR="00D06F2D" w:rsidRPr="00D06F2D" w:rsidRDefault="00D06F2D" w:rsidP="00D06F2D">
      <w:pPr>
        <w:pStyle w:val="EndNoteBibliography"/>
        <w:ind w:left="720" w:hanging="720"/>
        <w:rPr>
          <w:noProof/>
        </w:rPr>
      </w:pPr>
      <w:r w:rsidRPr="00D06F2D">
        <w:rPr>
          <w:noProof/>
        </w:rPr>
        <w:t xml:space="preserve">PAMBIANCO, G., COSTACOU, T., ELLIS, D., BECKER, D. J., KLEIN, R. &amp; ORCHARD, T. J. 2006. The 30-year natural history of type 1 diabetes complications - The Pittsburgh epidemiology of diabetes complications study experience. </w:t>
      </w:r>
      <w:r w:rsidRPr="00D06F2D">
        <w:rPr>
          <w:i/>
          <w:noProof/>
        </w:rPr>
        <w:t>Diabetes,</w:t>
      </w:r>
      <w:r w:rsidRPr="00D06F2D">
        <w:rPr>
          <w:noProof/>
        </w:rPr>
        <w:t xml:space="preserve"> 55</w:t>
      </w:r>
      <w:r w:rsidRPr="00D06F2D">
        <w:rPr>
          <w:b/>
          <w:noProof/>
        </w:rPr>
        <w:t>,</w:t>
      </w:r>
      <w:r w:rsidRPr="00D06F2D">
        <w:rPr>
          <w:noProof/>
        </w:rPr>
        <w:t xml:space="preserve"> 1463-1469.</w:t>
      </w:r>
    </w:p>
    <w:p w14:paraId="031D2629" w14:textId="77777777" w:rsidR="00D06F2D" w:rsidRPr="00D06F2D" w:rsidRDefault="00D06F2D" w:rsidP="00D06F2D">
      <w:pPr>
        <w:pStyle w:val="EndNoteBibliography"/>
        <w:ind w:left="720" w:hanging="720"/>
        <w:rPr>
          <w:noProof/>
        </w:rPr>
      </w:pPr>
      <w:r w:rsidRPr="00D06F2D">
        <w:rPr>
          <w:noProof/>
        </w:rPr>
        <w:t xml:space="preserve">PASLAKIS, G., TRÄBER, F., ROBERZ, J., BLOCK, W. &amp; JESSEN, F. 2014. N-acetyl-aspartate (NAA) as a correlate of pharmacological treatment in psychiatric disorders: A systematic review. </w:t>
      </w:r>
      <w:r w:rsidRPr="00D06F2D">
        <w:rPr>
          <w:i/>
          <w:noProof/>
        </w:rPr>
        <w:t>European Neuropsychopharmacology,</w:t>
      </w:r>
      <w:r w:rsidRPr="00D06F2D">
        <w:rPr>
          <w:noProof/>
        </w:rPr>
        <w:t xml:space="preserve"> 24</w:t>
      </w:r>
      <w:r w:rsidRPr="00D06F2D">
        <w:rPr>
          <w:b/>
          <w:noProof/>
        </w:rPr>
        <w:t>,</w:t>
      </w:r>
      <w:r w:rsidRPr="00D06F2D">
        <w:rPr>
          <w:noProof/>
        </w:rPr>
        <w:t xml:space="preserve"> 1659-1675.</w:t>
      </w:r>
    </w:p>
    <w:p w14:paraId="57263FEE" w14:textId="77777777" w:rsidR="00D06F2D" w:rsidRPr="00D06F2D" w:rsidRDefault="00D06F2D" w:rsidP="00D06F2D">
      <w:pPr>
        <w:pStyle w:val="EndNoteBibliography"/>
        <w:ind w:left="720" w:hanging="720"/>
        <w:rPr>
          <w:noProof/>
        </w:rPr>
      </w:pPr>
      <w:r w:rsidRPr="00D06F2D">
        <w:rPr>
          <w:noProof/>
        </w:rPr>
        <w:t xml:space="preserve">PAULSON, P. E., WILEY, J. W. &amp; MORROW, T. J. 2007. Concurrent activation of the somatosensory forebrain and deactivation of periaqueductal gray associated with diabetes-induced neuropathic pain. </w:t>
      </w:r>
      <w:r w:rsidRPr="00D06F2D">
        <w:rPr>
          <w:i/>
          <w:noProof/>
        </w:rPr>
        <w:t>Exp Neurol,</w:t>
      </w:r>
      <w:r w:rsidRPr="00D06F2D">
        <w:rPr>
          <w:noProof/>
        </w:rPr>
        <w:t xml:space="preserve"> 208</w:t>
      </w:r>
      <w:r w:rsidRPr="00D06F2D">
        <w:rPr>
          <w:b/>
          <w:noProof/>
        </w:rPr>
        <w:t>,</w:t>
      </w:r>
      <w:r w:rsidRPr="00D06F2D">
        <w:rPr>
          <w:noProof/>
        </w:rPr>
        <w:t xml:space="preserve"> 305-13.</w:t>
      </w:r>
    </w:p>
    <w:p w14:paraId="65F921DE" w14:textId="77777777" w:rsidR="00D06F2D" w:rsidRPr="00D06F2D" w:rsidRDefault="00D06F2D" w:rsidP="00D06F2D">
      <w:pPr>
        <w:pStyle w:val="EndNoteBibliography"/>
        <w:ind w:left="720" w:hanging="720"/>
        <w:rPr>
          <w:noProof/>
        </w:rPr>
      </w:pPr>
      <w:r w:rsidRPr="00D06F2D">
        <w:rPr>
          <w:noProof/>
        </w:rPr>
        <w:t xml:space="preserve">PEMP, B., POLSKA, E., GARHOFER, G., BAYERLE-EDER, M., KAUTZKY-WILLER, A. &amp; SCHMETTERER, L. 2010. Retinal Blood Flow in Type 1 Diabetic Patients With No or Mild Diabetic Retinopathy During Euglycemic Clamp. </w:t>
      </w:r>
      <w:r w:rsidRPr="00D06F2D">
        <w:rPr>
          <w:i/>
          <w:noProof/>
        </w:rPr>
        <w:t>Diabetes Care,</w:t>
      </w:r>
      <w:r w:rsidRPr="00D06F2D">
        <w:rPr>
          <w:noProof/>
        </w:rPr>
        <w:t xml:space="preserve"> 33</w:t>
      </w:r>
      <w:r w:rsidRPr="00D06F2D">
        <w:rPr>
          <w:b/>
          <w:noProof/>
        </w:rPr>
        <w:t>,</w:t>
      </w:r>
      <w:r w:rsidRPr="00D06F2D">
        <w:rPr>
          <w:noProof/>
        </w:rPr>
        <w:t xml:space="preserve"> 2038-2042.</w:t>
      </w:r>
    </w:p>
    <w:p w14:paraId="72CD5F3D" w14:textId="77777777" w:rsidR="00D06F2D" w:rsidRPr="00D06F2D" w:rsidRDefault="00D06F2D" w:rsidP="00D06F2D">
      <w:pPr>
        <w:pStyle w:val="EndNoteBibliography"/>
        <w:ind w:left="720" w:hanging="720"/>
        <w:rPr>
          <w:noProof/>
        </w:rPr>
      </w:pPr>
      <w:r w:rsidRPr="00D06F2D">
        <w:rPr>
          <w:noProof/>
        </w:rPr>
        <w:t xml:space="preserve">PENNEBAKER, J. W. 1982. </w:t>
      </w:r>
      <w:r w:rsidRPr="00D06F2D">
        <w:rPr>
          <w:i/>
          <w:noProof/>
        </w:rPr>
        <w:t xml:space="preserve">The psychology of physical symptoms, </w:t>
      </w:r>
      <w:r w:rsidRPr="00D06F2D">
        <w:rPr>
          <w:noProof/>
        </w:rPr>
        <w:t>New York, Springer-Verlag.</w:t>
      </w:r>
    </w:p>
    <w:p w14:paraId="5F114A42" w14:textId="77777777" w:rsidR="00D06F2D" w:rsidRPr="00D06F2D" w:rsidRDefault="00D06F2D" w:rsidP="00D06F2D">
      <w:pPr>
        <w:pStyle w:val="EndNoteBibliography"/>
        <w:ind w:left="720" w:hanging="720"/>
        <w:rPr>
          <w:noProof/>
        </w:rPr>
      </w:pPr>
      <w:r w:rsidRPr="00D06F2D">
        <w:rPr>
          <w:noProof/>
        </w:rPr>
        <w:t xml:space="preserve">PEPPIATT, C. M., HOWARTH, C., MOBBS, P. &amp; ATTWELL, D. 2006. Bidirectional control of CNS capillary diameter by pericytes. </w:t>
      </w:r>
      <w:r w:rsidRPr="00D06F2D">
        <w:rPr>
          <w:i/>
          <w:noProof/>
        </w:rPr>
        <w:t>Nature,</w:t>
      </w:r>
      <w:r w:rsidRPr="00D06F2D">
        <w:rPr>
          <w:noProof/>
        </w:rPr>
        <w:t xml:space="preserve"> 443</w:t>
      </w:r>
      <w:r w:rsidRPr="00D06F2D">
        <w:rPr>
          <w:b/>
          <w:noProof/>
        </w:rPr>
        <w:t>,</w:t>
      </w:r>
      <w:r w:rsidRPr="00D06F2D">
        <w:rPr>
          <w:noProof/>
        </w:rPr>
        <w:t xml:space="preserve"> 700-704.</w:t>
      </w:r>
    </w:p>
    <w:p w14:paraId="34BCA9E6" w14:textId="77777777" w:rsidR="00D06F2D" w:rsidRPr="00D06F2D" w:rsidRDefault="00D06F2D" w:rsidP="00D06F2D">
      <w:pPr>
        <w:pStyle w:val="EndNoteBibliography"/>
        <w:ind w:left="720" w:hanging="720"/>
        <w:rPr>
          <w:noProof/>
        </w:rPr>
      </w:pPr>
      <w:r w:rsidRPr="00D06F2D">
        <w:rPr>
          <w:noProof/>
        </w:rPr>
        <w:t xml:space="preserve">PERKINS, B. A., DHOLASANIA, A., BUCHANAN, R. A. &amp; BRIL, V. 2010. Short-term metabolic change is associated with improvement in measures of diabetic neuropathy: a 1-year placebo cohort analysis. </w:t>
      </w:r>
      <w:r w:rsidRPr="00D06F2D">
        <w:rPr>
          <w:i/>
          <w:noProof/>
        </w:rPr>
        <w:t>Diabetic Medicine,</w:t>
      </w:r>
      <w:r w:rsidRPr="00D06F2D">
        <w:rPr>
          <w:noProof/>
        </w:rPr>
        <w:t xml:space="preserve"> 27</w:t>
      </w:r>
      <w:r w:rsidRPr="00D06F2D">
        <w:rPr>
          <w:b/>
          <w:noProof/>
        </w:rPr>
        <w:t>,</w:t>
      </w:r>
      <w:r w:rsidRPr="00D06F2D">
        <w:rPr>
          <w:noProof/>
        </w:rPr>
        <w:t xml:space="preserve"> 1271-1279.</w:t>
      </w:r>
    </w:p>
    <w:p w14:paraId="79D516B9" w14:textId="77777777" w:rsidR="00D06F2D" w:rsidRPr="00D06F2D" w:rsidRDefault="00D06F2D" w:rsidP="00D06F2D">
      <w:pPr>
        <w:pStyle w:val="EndNoteBibliography"/>
        <w:ind w:left="720" w:hanging="720"/>
        <w:rPr>
          <w:noProof/>
        </w:rPr>
      </w:pPr>
      <w:r w:rsidRPr="00D06F2D">
        <w:rPr>
          <w:noProof/>
        </w:rPr>
        <w:t xml:space="preserve">PERTHEN, J. E., CALAMANTE, F., GADIAN, D. G. &amp; CONNELLY, A. 2002. Is quantification of bolus tracking MRI reliable without deconvolution? </w:t>
      </w:r>
      <w:r w:rsidRPr="00D06F2D">
        <w:rPr>
          <w:i/>
          <w:noProof/>
        </w:rPr>
        <w:t>Magnetic Resonance in Medicine,</w:t>
      </w:r>
      <w:r w:rsidRPr="00D06F2D">
        <w:rPr>
          <w:noProof/>
        </w:rPr>
        <w:t xml:space="preserve"> 47</w:t>
      </w:r>
      <w:r w:rsidRPr="00D06F2D">
        <w:rPr>
          <w:b/>
          <w:noProof/>
        </w:rPr>
        <w:t>,</w:t>
      </w:r>
      <w:r w:rsidRPr="00D06F2D">
        <w:rPr>
          <w:noProof/>
        </w:rPr>
        <w:t xml:space="preserve"> 61-67.</w:t>
      </w:r>
    </w:p>
    <w:p w14:paraId="37A92029" w14:textId="77777777" w:rsidR="00D06F2D" w:rsidRPr="00D06F2D" w:rsidRDefault="00D06F2D" w:rsidP="00D06F2D">
      <w:pPr>
        <w:pStyle w:val="EndNoteBibliography"/>
        <w:ind w:left="720" w:hanging="720"/>
        <w:rPr>
          <w:noProof/>
        </w:rPr>
      </w:pPr>
      <w:r w:rsidRPr="00D06F2D">
        <w:rPr>
          <w:noProof/>
        </w:rPr>
        <w:t xml:space="preserve">PETERSEN, E. T., ZIMINE, I., HO, Y. C. L. &amp; GOLAY, X. 2006. Non-invasive measurement of perfusion: a critical review of arterial spin labelling techniques. </w:t>
      </w:r>
      <w:r w:rsidRPr="00D06F2D">
        <w:rPr>
          <w:i/>
          <w:noProof/>
        </w:rPr>
        <w:t>British Journal of Radiology,</w:t>
      </w:r>
      <w:r w:rsidRPr="00D06F2D">
        <w:rPr>
          <w:noProof/>
        </w:rPr>
        <w:t xml:space="preserve"> 79</w:t>
      </w:r>
      <w:r w:rsidRPr="00D06F2D">
        <w:rPr>
          <w:b/>
          <w:noProof/>
        </w:rPr>
        <w:t>,</w:t>
      </w:r>
      <w:r w:rsidRPr="00D06F2D">
        <w:rPr>
          <w:noProof/>
        </w:rPr>
        <w:t xml:space="preserve"> 688-701.</w:t>
      </w:r>
    </w:p>
    <w:p w14:paraId="49E7CD2B" w14:textId="77777777" w:rsidR="00D06F2D" w:rsidRPr="00D06F2D" w:rsidRDefault="00D06F2D" w:rsidP="00D06F2D">
      <w:pPr>
        <w:pStyle w:val="EndNoteBibliography"/>
        <w:ind w:left="720" w:hanging="720"/>
        <w:rPr>
          <w:noProof/>
        </w:rPr>
      </w:pPr>
      <w:r w:rsidRPr="00D06F2D">
        <w:rPr>
          <w:noProof/>
        </w:rPr>
        <w:lastRenderedPageBreak/>
        <w:t xml:space="preserve">PETROVIC, P., INGVAR, M., STONE-ELANDER, S., PETERSSON, K. M. &amp; HANSSON, P. 1999. A PET activation study of dynamic mechanical allodynia in patients with mononeuropathy. </w:t>
      </w:r>
      <w:r w:rsidRPr="00D06F2D">
        <w:rPr>
          <w:i/>
          <w:noProof/>
        </w:rPr>
        <w:t>Pain,</w:t>
      </w:r>
      <w:r w:rsidRPr="00D06F2D">
        <w:rPr>
          <w:noProof/>
        </w:rPr>
        <w:t xml:space="preserve"> 83</w:t>
      </w:r>
      <w:r w:rsidRPr="00D06F2D">
        <w:rPr>
          <w:b/>
          <w:noProof/>
        </w:rPr>
        <w:t>,</w:t>
      </w:r>
      <w:r w:rsidRPr="00D06F2D">
        <w:rPr>
          <w:noProof/>
        </w:rPr>
        <w:t xml:space="preserve"> 459-470.</w:t>
      </w:r>
    </w:p>
    <w:p w14:paraId="01FE635C" w14:textId="77777777" w:rsidR="00D06F2D" w:rsidRPr="00D06F2D" w:rsidRDefault="00D06F2D" w:rsidP="00D06F2D">
      <w:pPr>
        <w:pStyle w:val="EndNoteBibliography"/>
        <w:ind w:left="720" w:hanging="720"/>
        <w:rPr>
          <w:noProof/>
        </w:rPr>
      </w:pPr>
      <w:r w:rsidRPr="00D06F2D">
        <w:rPr>
          <w:noProof/>
        </w:rPr>
        <w:t xml:space="preserve">PEYRON, R., GARCIA-LARREA, L., GREGOIRE, M. C., CONVERS, P., LAVENNE, F., VEYRE, L., FROMENT, J. C., MAUGUIERE, F., MICHEL, D. &amp; LAURENT, B. 1998. Allodynia after lateral-medullary (Wallenberg) infarct - A PET study. </w:t>
      </w:r>
      <w:r w:rsidRPr="00D06F2D">
        <w:rPr>
          <w:i/>
          <w:noProof/>
        </w:rPr>
        <w:t>Brain,</w:t>
      </w:r>
      <w:r w:rsidRPr="00D06F2D">
        <w:rPr>
          <w:noProof/>
        </w:rPr>
        <w:t xml:space="preserve"> 121</w:t>
      </w:r>
      <w:r w:rsidRPr="00D06F2D">
        <w:rPr>
          <w:b/>
          <w:noProof/>
        </w:rPr>
        <w:t>,</w:t>
      </w:r>
      <w:r w:rsidRPr="00D06F2D">
        <w:rPr>
          <w:noProof/>
        </w:rPr>
        <w:t xml:space="preserve"> 345-356.</w:t>
      </w:r>
    </w:p>
    <w:p w14:paraId="1CCA2A19" w14:textId="77777777" w:rsidR="00D06F2D" w:rsidRPr="00D06F2D" w:rsidRDefault="00D06F2D" w:rsidP="00D06F2D">
      <w:pPr>
        <w:pStyle w:val="EndNoteBibliography"/>
        <w:ind w:left="720" w:hanging="720"/>
        <w:rPr>
          <w:noProof/>
        </w:rPr>
      </w:pPr>
      <w:r w:rsidRPr="00D06F2D">
        <w:rPr>
          <w:noProof/>
        </w:rPr>
        <w:t xml:space="preserve">PIRART, J. 1977. [Diabetes mellitus and its degenerative complications: a prospective study of 4,400 patients observed between 1947 and 1973 (author's transl)]. </w:t>
      </w:r>
      <w:r w:rsidRPr="00D06F2D">
        <w:rPr>
          <w:i/>
          <w:noProof/>
        </w:rPr>
        <w:t>Diabete Metab,</w:t>
      </w:r>
      <w:r w:rsidRPr="00D06F2D">
        <w:rPr>
          <w:noProof/>
        </w:rPr>
        <w:t xml:space="preserve"> 3</w:t>
      </w:r>
      <w:r w:rsidRPr="00D06F2D">
        <w:rPr>
          <w:b/>
          <w:noProof/>
        </w:rPr>
        <w:t>,</w:t>
      </w:r>
      <w:r w:rsidRPr="00D06F2D">
        <w:rPr>
          <w:noProof/>
        </w:rPr>
        <w:t xml:space="preserve"> 97-107.</w:t>
      </w:r>
    </w:p>
    <w:p w14:paraId="68D611E5" w14:textId="77777777" w:rsidR="00D06F2D" w:rsidRPr="00D06F2D" w:rsidRDefault="00D06F2D" w:rsidP="00D06F2D">
      <w:pPr>
        <w:pStyle w:val="EndNoteBibliography"/>
        <w:ind w:left="720" w:hanging="720"/>
        <w:rPr>
          <w:noProof/>
        </w:rPr>
      </w:pPr>
      <w:r w:rsidRPr="00D06F2D">
        <w:rPr>
          <w:noProof/>
        </w:rPr>
        <w:t xml:space="preserve">POP-BUSUI, R., HERMAN, W. H., FELDMAN, E. L., LOW, P. A., MARTIN, C. L., CLEARY, P. A., WABERSKI, B. H., LACHIN, J. M., ALBERS, J. W. &amp; GRP, D. E. R. 2010. DCCT and EDIC Studies in Type 1 Diabetes: Lessons for Diabetic Neuropathy Regarding Metabolic Memory and Natural History. </w:t>
      </w:r>
      <w:r w:rsidRPr="00D06F2D">
        <w:rPr>
          <w:i/>
          <w:noProof/>
        </w:rPr>
        <w:t>Current Diabetes Reports,</w:t>
      </w:r>
      <w:r w:rsidRPr="00D06F2D">
        <w:rPr>
          <w:noProof/>
        </w:rPr>
        <w:t xml:space="preserve"> 10</w:t>
      </w:r>
      <w:r w:rsidRPr="00D06F2D">
        <w:rPr>
          <w:b/>
          <w:noProof/>
        </w:rPr>
        <w:t>,</w:t>
      </w:r>
      <w:r w:rsidRPr="00D06F2D">
        <w:rPr>
          <w:noProof/>
        </w:rPr>
        <w:t xml:space="preserve"> 276-282.</w:t>
      </w:r>
    </w:p>
    <w:p w14:paraId="068ECCEF" w14:textId="77777777" w:rsidR="00D06F2D" w:rsidRPr="00D06F2D" w:rsidRDefault="00D06F2D" w:rsidP="00D06F2D">
      <w:pPr>
        <w:pStyle w:val="EndNoteBibliography"/>
        <w:ind w:left="720" w:hanging="720"/>
        <w:rPr>
          <w:noProof/>
        </w:rPr>
      </w:pPr>
      <w:r w:rsidRPr="00D06F2D">
        <w:rPr>
          <w:noProof/>
        </w:rPr>
        <w:t xml:space="preserve">PORTENOY, R. 2006. Development and testing of a neuropathic pain screening questionnaire: ID Pain. </w:t>
      </w:r>
      <w:r w:rsidRPr="00D06F2D">
        <w:rPr>
          <w:i/>
          <w:noProof/>
        </w:rPr>
        <w:t>Curr Med Res Opin,</w:t>
      </w:r>
      <w:r w:rsidRPr="00D06F2D">
        <w:rPr>
          <w:noProof/>
        </w:rPr>
        <w:t xml:space="preserve"> 22</w:t>
      </w:r>
      <w:r w:rsidRPr="00D06F2D">
        <w:rPr>
          <w:b/>
          <w:noProof/>
        </w:rPr>
        <w:t>,</w:t>
      </w:r>
      <w:r w:rsidRPr="00D06F2D">
        <w:rPr>
          <w:noProof/>
        </w:rPr>
        <w:t xml:space="preserve"> 1555-1565.</w:t>
      </w:r>
    </w:p>
    <w:p w14:paraId="521C9AC4" w14:textId="77777777" w:rsidR="00D06F2D" w:rsidRPr="00D06F2D" w:rsidRDefault="00D06F2D" w:rsidP="00D06F2D">
      <w:pPr>
        <w:pStyle w:val="EndNoteBibliography"/>
        <w:ind w:left="720" w:hanging="720"/>
        <w:rPr>
          <w:noProof/>
        </w:rPr>
      </w:pPr>
      <w:r w:rsidRPr="00D06F2D">
        <w:rPr>
          <w:noProof/>
        </w:rPr>
        <w:t xml:space="preserve">PRICE, R. C., GANDHI, W., NADEAU, C., TARNAVSKIY, R., QU, A., FAHEY, E., STONE, L. &amp; SCHWEINHARDT, P. 2018. Characterization of a novel capsaicin/heat ongoing pain model. </w:t>
      </w:r>
      <w:r w:rsidRPr="00D06F2D">
        <w:rPr>
          <w:i/>
          <w:noProof/>
        </w:rPr>
        <w:t>Eur J Pain,</w:t>
      </w:r>
      <w:r w:rsidRPr="00D06F2D">
        <w:rPr>
          <w:noProof/>
        </w:rPr>
        <w:t xml:space="preserve"> 22</w:t>
      </w:r>
      <w:r w:rsidRPr="00D06F2D">
        <w:rPr>
          <w:b/>
          <w:noProof/>
        </w:rPr>
        <w:t>,</w:t>
      </w:r>
      <w:r w:rsidRPr="00D06F2D">
        <w:rPr>
          <w:noProof/>
        </w:rPr>
        <w:t xml:space="preserve"> 370-384.</w:t>
      </w:r>
    </w:p>
    <w:p w14:paraId="1624468F" w14:textId="77777777" w:rsidR="00D06F2D" w:rsidRPr="00D06F2D" w:rsidRDefault="00D06F2D" w:rsidP="00D06F2D">
      <w:pPr>
        <w:pStyle w:val="EndNoteBibliography"/>
        <w:ind w:left="720" w:hanging="720"/>
        <w:rPr>
          <w:noProof/>
        </w:rPr>
      </w:pPr>
      <w:r w:rsidRPr="00D06F2D">
        <w:rPr>
          <w:noProof/>
        </w:rPr>
        <w:t xml:space="preserve">PUGLIESE, G., TILTON, R. G., SPEEDY, A., CHANG, K., SANTARELLI, E., PROVINCE, M. A., EADES, D., SHERMAN, W. R. &amp; WILLIAMSON, J. R. 1989. EFFECTS OF VERY MILD VERSUS OVERT DIABETES ON VASCULAR HEMODYNAMICS AND BARRIER FUNCTION IN RATS. </w:t>
      </w:r>
      <w:r w:rsidRPr="00D06F2D">
        <w:rPr>
          <w:i/>
          <w:noProof/>
        </w:rPr>
        <w:t>Diabetologia,</w:t>
      </w:r>
      <w:r w:rsidRPr="00D06F2D">
        <w:rPr>
          <w:noProof/>
        </w:rPr>
        <w:t xml:space="preserve"> 32</w:t>
      </w:r>
      <w:r w:rsidRPr="00D06F2D">
        <w:rPr>
          <w:b/>
          <w:noProof/>
        </w:rPr>
        <w:t>,</w:t>
      </w:r>
      <w:r w:rsidRPr="00D06F2D">
        <w:rPr>
          <w:noProof/>
        </w:rPr>
        <w:t xml:space="preserve"> 845-857.</w:t>
      </w:r>
    </w:p>
    <w:p w14:paraId="70C03890" w14:textId="77777777" w:rsidR="00D06F2D" w:rsidRPr="00D06F2D" w:rsidRDefault="00D06F2D" w:rsidP="00D06F2D">
      <w:pPr>
        <w:pStyle w:val="EndNoteBibliography"/>
        <w:ind w:left="720" w:hanging="720"/>
        <w:rPr>
          <w:noProof/>
        </w:rPr>
      </w:pPr>
      <w:r w:rsidRPr="00D06F2D">
        <w:rPr>
          <w:noProof/>
        </w:rPr>
        <w:t xml:space="preserve">QIAO, P., CHENG, X., ZUO, Z., HAN, C., YANG, Z. &amp; LI, G. 2019. Blood Oxygen Level–Dependent Response Changes in the Ipsilateral Primary Somatosensory Cortex and Thalamus of Patients With Moyamoya Disease During Median Nerve Electrical Stimulation. </w:t>
      </w:r>
      <w:r w:rsidRPr="00D06F2D">
        <w:rPr>
          <w:i/>
          <w:noProof/>
        </w:rPr>
        <w:t>Journal of Computer Assisted Tomography,</w:t>
      </w:r>
      <w:r w:rsidRPr="00D06F2D">
        <w:rPr>
          <w:noProof/>
        </w:rPr>
        <w:t xml:space="preserve"> 43</w:t>
      </w:r>
      <w:r w:rsidRPr="00D06F2D">
        <w:rPr>
          <w:b/>
          <w:noProof/>
        </w:rPr>
        <w:t>,</w:t>
      </w:r>
      <w:r w:rsidRPr="00D06F2D">
        <w:rPr>
          <w:noProof/>
        </w:rPr>
        <w:t xml:space="preserve"> 539-546.</w:t>
      </w:r>
    </w:p>
    <w:p w14:paraId="299E65E1" w14:textId="77777777" w:rsidR="00D06F2D" w:rsidRPr="00D06F2D" w:rsidRDefault="00D06F2D" w:rsidP="00D06F2D">
      <w:pPr>
        <w:pStyle w:val="EndNoteBibliography"/>
        <w:ind w:left="720" w:hanging="720"/>
        <w:rPr>
          <w:noProof/>
        </w:rPr>
      </w:pPr>
      <w:r w:rsidRPr="00D06F2D">
        <w:rPr>
          <w:noProof/>
        </w:rPr>
        <w:t xml:space="preserve">QUARLES, C., BELL, L. &amp; STOKES, A. 2019. Imaging vascular and hemodynamic features of the brain using dynamic susceptibility contrast and dynamic contrast enhanced MRI. </w:t>
      </w:r>
      <w:r w:rsidRPr="00D06F2D">
        <w:rPr>
          <w:i/>
          <w:noProof/>
        </w:rPr>
        <w:t>NeuroImage,</w:t>
      </w:r>
      <w:r w:rsidRPr="00D06F2D">
        <w:rPr>
          <w:noProof/>
        </w:rPr>
        <w:t xml:space="preserve"> 187</w:t>
      </w:r>
      <w:r w:rsidRPr="00D06F2D">
        <w:rPr>
          <w:b/>
          <w:noProof/>
        </w:rPr>
        <w:t>,</w:t>
      </w:r>
      <w:r w:rsidRPr="00D06F2D">
        <w:rPr>
          <w:noProof/>
        </w:rPr>
        <w:t xml:space="preserve"> 32-55.</w:t>
      </w:r>
    </w:p>
    <w:p w14:paraId="5DAA37A0" w14:textId="77777777" w:rsidR="00D06F2D" w:rsidRPr="00D06F2D" w:rsidRDefault="00D06F2D" w:rsidP="00D06F2D">
      <w:pPr>
        <w:pStyle w:val="EndNoteBibliography"/>
        <w:ind w:left="720" w:hanging="720"/>
        <w:rPr>
          <w:noProof/>
        </w:rPr>
      </w:pPr>
      <w:r w:rsidRPr="00D06F2D">
        <w:rPr>
          <w:noProof/>
        </w:rPr>
        <w:t xml:space="preserve">QUATTRINI, C. &amp; TESFAYE, S. 2003. Understanding the impact of painful diabetic neuropathy. </w:t>
      </w:r>
      <w:r w:rsidRPr="00D06F2D">
        <w:rPr>
          <w:i/>
          <w:noProof/>
        </w:rPr>
        <w:t>Diabetes-Metabolism Research and Reviews,</w:t>
      </w:r>
      <w:r w:rsidRPr="00D06F2D">
        <w:rPr>
          <w:noProof/>
        </w:rPr>
        <w:t xml:space="preserve"> 19</w:t>
      </w:r>
      <w:r w:rsidRPr="00D06F2D">
        <w:rPr>
          <w:b/>
          <w:noProof/>
        </w:rPr>
        <w:t>,</w:t>
      </w:r>
      <w:r w:rsidRPr="00D06F2D">
        <w:rPr>
          <w:noProof/>
        </w:rPr>
        <w:t xml:space="preserve"> S2-S8.</w:t>
      </w:r>
    </w:p>
    <w:p w14:paraId="4706FCB1" w14:textId="77777777" w:rsidR="00D06F2D" w:rsidRPr="00D06F2D" w:rsidRDefault="00D06F2D" w:rsidP="00D06F2D">
      <w:pPr>
        <w:pStyle w:val="EndNoteBibliography"/>
        <w:ind w:left="720" w:hanging="720"/>
        <w:rPr>
          <w:noProof/>
        </w:rPr>
      </w:pPr>
      <w:r w:rsidRPr="00D06F2D">
        <w:rPr>
          <w:noProof/>
        </w:rPr>
        <w:t xml:space="preserve">QUITON, R. L., KEASER, M. L., ZHUO, J., GULLAPALLI, R. P. &amp; GREENSPAN, J. D. 2014. Intersession reliability of fMRI activation for heat pain and motor tasks. </w:t>
      </w:r>
      <w:r w:rsidRPr="00D06F2D">
        <w:rPr>
          <w:i/>
          <w:noProof/>
        </w:rPr>
        <w:t>Neuroimage Clin,</w:t>
      </w:r>
      <w:r w:rsidRPr="00D06F2D">
        <w:rPr>
          <w:noProof/>
        </w:rPr>
        <w:t xml:space="preserve"> 5</w:t>
      </w:r>
      <w:r w:rsidRPr="00D06F2D">
        <w:rPr>
          <w:b/>
          <w:noProof/>
        </w:rPr>
        <w:t>,</w:t>
      </w:r>
      <w:r w:rsidRPr="00D06F2D">
        <w:rPr>
          <w:noProof/>
        </w:rPr>
        <w:t xml:space="preserve"> 309-321.</w:t>
      </w:r>
    </w:p>
    <w:p w14:paraId="7B5FC48B" w14:textId="77777777" w:rsidR="00D06F2D" w:rsidRPr="00D06F2D" w:rsidRDefault="00D06F2D" w:rsidP="00D06F2D">
      <w:pPr>
        <w:pStyle w:val="EndNoteBibliography"/>
        <w:ind w:left="720" w:hanging="720"/>
        <w:rPr>
          <w:noProof/>
        </w:rPr>
      </w:pPr>
      <w:r w:rsidRPr="00D06F2D">
        <w:rPr>
          <w:noProof/>
        </w:rPr>
        <w:t xml:space="preserve">RABBANI, N. &amp; THORNALLEY, P. J. 2014. Measurement of methylglyoxal by stable isotopic dilution analysis LC-MS/MS with corroborative prediction in physiological samples. </w:t>
      </w:r>
      <w:r w:rsidRPr="00D06F2D">
        <w:rPr>
          <w:i/>
          <w:noProof/>
        </w:rPr>
        <w:t>Nat Protoc,</w:t>
      </w:r>
      <w:r w:rsidRPr="00D06F2D">
        <w:rPr>
          <w:noProof/>
        </w:rPr>
        <w:t xml:space="preserve"> 9</w:t>
      </w:r>
      <w:r w:rsidRPr="00D06F2D">
        <w:rPr>
          <w:b/>
          <w:noProof/>
        </w:rPr>
        <w:t>,</w:t>
      </w:r>
      <w:r w:rsidRPr="00D06F2D">
        <w:rPr>
          <w:noProof/>
        </w:rPr>
        <w:t xml:space="preserve"> 1969-79.</w:t>
      </w:r>
    </w:p>
    <w:p w14:paraId="34010392" w14:textId="77777777" w:rsidR="00D06F2D" w:rsidRPr="00D06F2D" w:rsidRDefault="00D06F2D" w:rsidP="00D06F2D">
      <w:pPr>
        <w:pStyle w:val="EndNoteBibliography"/>
        <w:ind w:left="720" w:hanging="720"/>
        <w:rPr>
          <w:noProof/>
        </w:rPr>
      </w:pPr>
      <w:r w:rsidRPr="00D06F2D">
        <w:rPr>
          <w:noProof/>
        </w:rPr>
        <w:t xml:space="preserve">RAMSEY, S. D., SANDHU, N., NEWTON, K., REIBER, G. E., BLOUGH, D., WAGNER, E. H. &amp; MCCULLOUGH, D. K. 1999. Incidence, outcomes, and cost of foot ulcers in patients with diabetes. </w:t>
      </w:r>
      <w:r w:rsidRPr="00D06F2D">
        <w:rPr>
          <w:i/>
          <w:noProof/>
        </w:rPr>
        <w:t>Diabetes Care,</w:t>
      </w:r>
      <w:r w:rsidRPr="00D06F2D">
        <w:rPr>
          <w:noProof/>
        </w:rPr>
        <w:t xml:space="preserve"> 22</w:t>
      </w:r>
      <w:r w:rsidRPr="00D06F2D">
        <w:rPr>
          <w:b/>
          <w:noProof/>
        </w:rPr>
        <w:t>,</w:t>
      </w:r>
      <w:r w:rsidRPr="00D06F2D">
        <w:rPr>
          <w:noProof/>
        </w:rPr>
        <w:t xml:space="preserve"> 382-387.</w:t>
      </w:r>
    </w:p>
    <w:p w14:paraId="01F2D7A1" w14:textId="77777777" w:rsidR="00D06F2D" w:rsidRPr="00D06F2D" w:rsidRDefault="00D06F2D" w:rsidP="00D06F2D">
      <w:pPr>
        <w:pStyle w:val="EndNoteBibliography"/>
        <w:ind w:left="720" w:hanging="720"/>
        <w:rPr>
          <w:noProof/>
        </w:rPr>
      </w:pPr>
      <w:r w:rsidRPr="00D06F2D">
        <w:rPr>
          <w:noProof/>
        </w:rPr>
        <w:t xml:space="preserve">RAPUTOVA, J., SROTOVA, I., VLCKOVA, E., SOMMER, C., UECEYLER, N., BIRKLEIN, F., RITTNER, H. L., REBHORN, C., ADAMOVA, B., KOVALOVA, I., NEKVAPILOVA, E. K., FORER, L., BELOBRADKOVA, J., OLSOVSKY, J., WEBER, P., DUSEK, L., JARKOVSKY, J. &amp; BEDNARIK, J. 2017a. Sensory phenotype and risk factors for painful diabetic neuropathy: a cross-sectional observational study. </w:t>
      </w:r>
      <w:r w:rsidRPr="00D06F2D">
        <w:rPr>
          <w:i/>
          <w:noProof/>
        </w:rPr>
        <w:t>Pain,</w:t>
      </w:r>
      <w:r w:rsidRPr="00D06F2D">
        <w:rPr>
          <w:noProof/>
        </w:rPr>
        <w:t xml:space="preserve"> 158</w:t>
      </w:r>
      <w:r w:rsidRPr="00D06F2D">
        <w:rPr>
          <w:b/>
          <w:noProof/>
        </w:rPr>
        <w:t>,</w:t>
      </w:r>
      <w:r w:rsidRPr="00D06F2D">
        <w:rPr>
          <w:noProof/>
        </w:rPr>
        <w:t xml:space="preserve"> 2340-2353.</w:t>
      </w:r>
    </w:p>
    <w:p w14:paraId="73B49449" w14:textId="77777777" w:rsidR="00D06F2D" w:rsidRPr="00D06F2D" w:rsidRDefault="00D06F2D" w:rsidP="00D06F2D">
      <w:pPr>
        <w:pStyle w:val="EndNoteBibliography"/>
        <w:ind w:left="720" w:hanging="720"/>
        <w:rPr>
          <w:noProof/>
        </w:rPr>
      </w:pPr>
      <w:r w:rsidRPr="00D06F2D">
        <w:rPr>
          <w:noProof/>
        </w:rPr>
        <w:lastRenderedPageBreak/>
        <w:t xml:space="preserve">RAPUTOVA, J., SROTOVA, I., VLCKOVA, E., SOMMER, C., UECEYLER, N., BIRKLEIN, F., RITTNER, H. L., REBHORN, C., ADAMOVA, B., KOVALOVA, I., NEKVAPILOVA, E. K., FORER, L., BELOBRADKOVA, J., OLSOVSKY, J., WEBER, P., DUSEK, L., JARKOVSKY, J. &amp; BEDNARIK, J. 2017b. Sensory phenotype and risk factors for painful diabetic neuropathy: a cross-sectional observational study. </w:t>
      </w:r>
      <w:r w:rsidRPr="00D06F2D">
        <w:rPr>
          <w:i/>
          <w:noProof/>
        </w:rPr>
        <w:t>Pain</w:t>
      </w:r>
      <w:r w:rsidRPr="00D06F2D">
        <w:rPr>
          <w:b/>
          <w:noProof/>
        </w:rPr>
        <w:t>,</w:t>
      </w:r>
      <w:r w:rsidRPr="00D06F2D">
        <w:rPr>
          <w:noProof/>
        </w:rPr>
        <w:t xml:space="preserve"> 2340-2353.</w:t>
      </w:r>
    </w:p>
    <w:p w14:paraId="151F9F33" w14:textId="77777777" w:rsidR="00D06F2D" w:rsidRPr="00D06F2D" w:rsidRDefault="00D06F2D" w:rsidP="00D06F2D">
      <w:pPr>
        <w:pStyle w:val="EndNoteBibliography"/>
        <w:ind w:left="720" w:hanging="720"/>
        <w:rPr>
          <w:noProof/>
        </w:rPr>
      </w:pPr>
      <w:r w:rsidRPr="00D06F2D">
        <w:rPr>
          <w:noProof/>
        </w:rPr>
        <w:t xml:space="preserve">REDDAN, M. &amp; WAGER, T. 2018. Modeling Pain Using fMRI: From Regions to Biomarkers. </w:t>
      </w:r>
      <w:r w:rsidRPr="00D06F2D">
        <w:rPr>
          <w:i/>
          <w:noProof/>
        </w:rPr>
        <w:t>Neuroscience Bulletin,</w:t>
      </w:r>
      <w:r w:rsidRPr="00D06F2D">
        <w:rPr>
          <w:noProof/>
        </w:rPr>
        <w:t xml:space="preserve"> 34</w:t>
      </w:r>
      <w:r w:rsidRPr="00D06F2D">
        <w:rPr>
          <w:b/>
          <w:noProof/>
        </w:rPr>
        <w:t>,</w:t>
      </w:r>
      <w:r w:rsidRPr="00D06F2D">
        <w:rPr>
          <w:noProof/>
        </w:rPr>
        <w:t xml:space="preserve"> 208-215.</w:t>
      </w:r>
    </w:p>
    <w:p w14:paraId="378D2A0E" w14:textId="77777777" w:rsidR="00D06F2D" w:rsidRPr="00D06F2D" w:rsidRDefault="00D06F2D" w:rsidP="00D06F2D">
      <w:pPr>
        <w:pStyle w:val="EndNoteBibliography"/>
        <w:ind w:left="720" w:hanging="720"/>
        <w:rPr>
          <w:noProof/>
        </w:rPr>
      </w:pPr>
      <w:r w:rsidRPr="00D06F2D">
        <w:rPr>
          <w:noProof/>
        </w:rPr>
        <w:t xml:space="preserve">REMPP, K. A., BRIX, G., WENZ, F., BECKER, C. R., GUCKEL, F. &amp; LORENZ, W. J. 1994. QUANTIFICATION OF REGIONAL CEREBRAL BLOOD-FLOW AND VOLUME WITH DYNAMIC SUSCEPTIBILITY CONTRAST-ENHANCED MR-IMAGING. </w:t>
      </w:r>
      <w:r w:rsidRPr="00D06F2D">
        <w:rPr>
          <w:i/>
          <w:noProof/>
        </w:rPr>
        <w:t>Radiology,</w:t>
      </w:r>
      <w:r w:rsidRPr="00D06F2D">
        <w:rPr>
          <w:noProof/>
        </w:rPr>
        <w:t xml:space="preserve"> 193</w:t>
      </w:r>
      <w:r w:rsidRPr="00D06F2D">
        <w:rPr>
          <w:b/>
          <w:noProof/>
        </w:rPr>
        <w:t>,</w:t>
      </w:r>
      <w:r w:rsidRPr="00D06F2D">
        <w:rPr>
          <w:noProof/>
        </w:rPr>
        <w:t xml:space="preserve"> 637-641.</w:t>
      </w:r>
    </w:p>
    <w:p w14:paraId="27A20BD1" w14:textId="77777777" w:rsidR="00D06F2D" w:rsidRPr="00D06F2D" w:rsidRDefault="00D06F2D" w:rsidP="00D06F2D">
      <w:pPr>
        <w:pStyle w:val="EndNoteBibliography"/>
        <w:ind w:left="720" w:hanging="720"/>
        <w:rPr>
          <w:noProof/>
        </w:rPr>
      </w:pPr>
      <w:r w:rsidRPr="00D06F2D">
        <w:rPr>
          <w:noProof/>
        </w:rPr>
        <w:t xml:space="preserve">RESKE-NIELSEN, E. &amp; LUNDBAEK, K. 1963. DIABETIC ENCEPHALOPATHY. DIFFUSE AND FOCAL LESIONS OF THE BRAIN IN LONG-TERM DIABETES. </w:t>
      </w:r>
      <w:r w:rsidRPr="00D06F2D">
        <w:rPr>
          <w:i/>
          <w:noProof/>
        </w:rPr>
        <w:t>Acta neurologica Scandinavica. Supplementum,</w:t>
      </w:r>
      <w:r w:rsidRPr="00D06F2D">
        <w:rPr>
          <w:noProof/>
        </w:rPr>
        <w:t xml:space="preserve"> 39.</w:t>
      </w:r>
    </w:p>
    <w:p w14:paraId="7B3F91E9" w14:textId="77777777" w:rsidR="00D06F2D" w:rsidRPr="00D06F2D" w:rsidRDefault="00D06F2D" w:rsidP="00D06F2D">
      <w:pPr>
        <w:pStyle w:val="EndNoteBibliography"/>
        <w:ind w:left="720" w:hanging="720"/>
        <w:rPr>
          <w:noProof/>
        </w:rPr>
      </w:pPr>
      <w:r w:rsidRPr="00D06F2D">
        <w:rPr>
          <w:noProof/>
        </w:rPr>
        <w:t xml:space="preserve">RESKE-NIELSEN, E. &amp; LUNDBAEK, K. 1968. Pathological changes in the central and peripheral nervous system of young long-term diabetics. II. The spinal cord and peripheral nerves. </w:t>
      </w:r>
      <w:r w:rsidRPr="00D06F2D">
        <w:rPr>
          <w:i/>
          <w:noProof/>
        </w:rPr>
        <w:t>Diabetologia,</w:t>
      </w:r>
      <w:r w:rsidRPr="00D06F2D">
        <w:rPr>
          <w:noProof/>
        </w:rPr>
        <w:t xml:space="preserve"> 4.</w:t>
      </w:r>
    </w:p>
    <w:p w14:paraId="43D10C06" w14:textId="77777777" w:rsidR="00D06F2D" w:rsidRPr="00D06F2D" w:rsidRDefault="00D06F2D" w:rsidP="00D06F2D">
      <w:pPr>
        <w:pStyle w:val="EndNoteBibliography"/>
        <w:ind w:left="720" w:hanging="720"/>
        <w:rPr>
          <w:noProof/>
        </w:rPr>
      </w:pPr>
      <w:r w:rsidRPr="00D06F2D">
        <w:rPr>
          <w:noProof/>
        </w:rPr>
        <w:t xml:space="preserve">ROBERTS, K., SHENOY, R. &amp; ANAND, P. 2011. A novel human volunteer pain model using contact heat evoked potentials (CHEP) following topical skin application of transient receptor potential agonists capsaicin, menthol and cinnamaldehyde. </w:t>
      </w:r>
      <w:r w:rsidRPr="00D06F2D">
        <w:rPr>
          <w:i/>
          <w:noProof/>
        </w:rPr>
        <w:t>J Clin Neurosci,</w:t>
      </w:r>
      <w:r w:rsidRPr="00D06F2D">
        <w:rPr>
          <w:noProof/>
        </w:rPr>
        <w:t xml:space="preserve"> 18</w:t>
      </w:r>
      <w:r w:rsidRPr="00D06F2D">
        <w:rPr>
          <w:b/>
          <w:noProof/>
        </w:rPr>
        <w:t>,</w:t>
      </w:r>
      <w:r w:rsidRPr="00D06F2D">
        <w:rPr>
          <w:noProof/>
        </w:rPr>
        <w:t xml:space="preserve"> 926-32.</w:t>
      </w:r>
    </w:p>
    <w:p w14:paraId="77D9DD1D" w14:textId="77777777" w:rsidR="00D06F2D" w:rsidRPr="00D06F2D" w:rsidRDefault="00D06F2D" w:rsidP="00D06F2D">
      <w:pPr>
        <w:pStyle w:val="EndNoteBibliography"/>
        <w:ind w:left="720" w:hanging="720"/>
        <w:rPr>
          <w:noProof/>
        </w:rPr>
      </w:pPr>
      <w:r w:rsidRPr="00D06F2D">
        <w:rPr>
          <w:noProof/>
        </w:rPr>
        <w:t xml:space="preserve">ROGERS, L. C., FRYKBERG, R. G., ARMSTRONG, D. G., BOULTON, A. J. M., EDMONDS, M., HA VAN, G., HARTEMANN, A., GAME, F., JEFECOATE, W., JIRKOVSKA, A., JUDE, E., MORBACH, S., MORRISON, W. B., PINZUR, M., PITOCCO, D., SANDERS, L., WUKICH, D. K. &amp; UCCIOLI, L. 2011. The Charcot Foot in Diabetes. </w:t>
      </w:r>
      <w:r w:rsidRPr="00D06F2D">
        <w:rPr>
          <w:i/>
          <w:noProof/>
        </w:rPr>
        <w:t>Diabetes Care,</w:t>
      </w:r>
      <w:r w:rsidRPr="00D06F2D">
        <w:rPr>
          <w:noProof/>
        </w:rPr>
        <w:t xml:space="preserve"> 34.</w:t>
      </w:r>
    </w:p>
    <w:p w14:paraId="59251CC0" w14:textId="77777777" w:rsidR="00D06F2D" w:rsidRPr="00D06F2D" w:rsidRDefault="00D06F2D" w:rsidP="00D06F2D">
      <w:pPr>
        <w:pStyle w:val="EndNoteBibliography"/>
        <w:ind w:left="720" w:hanging="720"/>
        <w:rPr>
          <w:noProof/>
        </w:rPr>
      </w:pPr>
      <w:r w:rsidRPr="00D06F2D">
        <w:rPr>
          <w:noProof/>
        </w:rPr>
        <w:t xml:space="preserve">ROGOSNITZKY, M. &amp; BRANCH, S. 2016. Gadolinium-based contrast agent toxicity: a review of known and proposed mechanisms. </w:t>
      </w:r>
      <w:r w:rsidRPr="00D06F2D">
        <w:rPr>
          <w:i/>
          <w:noProof/>
        </w:rPr>
        <w:t>Biometals,</w:t>
      </w:r>
      <w:r w:rsidRPr="00D06F2D">
        <w:rPr>
          <w:noProof/>
        </w:rPr>
        <w:t xml:space="preserve"> 29</w:t>
      </w:r>
      <w:r w:rsidRPr="00D06F2D">
        <w:rPr>
          <w:b/>
          <w:noProof/>
        </w:rPr>
        <w:t>,</w:t>
      </w:r>
      <w:r w:rsidRPr="00D06F2D">
        <w:rPr>
          <w:noProof/>
        </w:rPr>
        <w:t xml:space="preserve"> 365-76.</w:t>
      </w:r>
    </w:p>
    <w:p w14:paraId="3836CCFF" w14:textId="77777777" w:rsidR="00D06F2D" w:rsidRPr="00D06F2D" w:rsidRDefault="00D06F2D" w:rsidP="00D06F2D">
      <w:pPr>
        <w:pStyle w:val="EndNoteBibliography"/>
        <w:ind w:left="720" w:hanging="720"/>
        <w:rPr>
          <w:noProof/>
        </w:rPr>
      </w:pPr>
      <w:r w:rsidRPr="00D06F2D">
        <w:rPr>
          <w:noProof/>
        </w:rPr>
        <w:t xml:space="preserve">ROLKE, R., BARON, R., MAIER, C., TOLLE, T. R., TREEDE, R. D., BEYER, A., BINDER, A., BIRBAUMER, N., BIRKLEIN, F., BOTEFUR, I. C., BRAUNE, S., FLOR, H., HUGE, V., KLUG, R., LANDWEHRMEYER, G. B., MAGERL, W., MAIHOFNER, C., ROLKO, C., SCHAUB, C., SCHERENS, A., SPRENGER, T., VALET, M. &amp; WASSERKA, B. 2006a. Quantitative sensory testing in the German Research Network on Neuropathic Pain (DFNS): Standardized protocol and reference values. </w:t>
      </w:r>
      <w:r w:rsidRPr="00D06F2D">
        <w:rPr>
          <w:i/>
          <w:noProof/>
        </w:rPr>
        <w:t>Pain,</w:t>
      </w:r>
      <w:r w:rsidRPr="00D06F2D">
        <w:rPr>
          <w:noProof/>
        </w:rPr>
        <w:t xml:space="preserve"> 123</w:t>
      </w:r>
      <w:r w:rsidRPr="00D06F2D">
        <w:rPr>
          <w:b/>
          <w:noProof/>
        </w:rPr>
        <w:t>,</w:t>
      </w:r>
      <w:r w:rsidRPr="00D06F2D">
        <w:rPr>
          <w:noProof/>
        </w:rPr>
        <w:t xml:space="preserve"> 231-243.</w:t>
      </w:r>
    </w:p>
    <w:p w14:paraId="252A1AEC" w14:textId="77777777" w:rsidR="00D06F2D" w:rsidRPr="00D06F2D" w:rsidRDefault="00D06F2D" w:rsidP="00D06F2D">
      <w:pPr>
        <w:pStyle w:val="EndNoteBibliography"/>
        <w:ind w:left="720" w:hanging="720"/>
        <w:rPr>
          <w:noProof/>
        </w:rPr>
      </w:pPr>
      <w:r w:rsidRPr="00D06F2D">
        <w:rPr>
          <w:noProof/>
        </w:rPr>
        <w:t xml:space="preserve">ROLKE, R., MAGERL, W., CAMPBELL, K. A., SCHALBER, C., CASPARI, S., BIRKLEIN, F. &amp; TREEDE, R. D. 2006b. Quantitative sensory testing: a comprehensive protocol for clinical trials. </w:t>
      </w:r>
      <w:r w:rsidRPr="00D06F2D">
        <w:rPr>
          <w:i/>
          <w:noProof/>
        </w:rPr>
        <w:t>European Journal of Pain,</w:t>
      </w:r>
      <w:r w:rsidRPr="00D06F2D">
        <w:rPr>
          <w:noProof/>
        </w:rPr>
        <w:t xml:space="preserve"> 10</w:t>
      </w:r>
      <w:r w:rsidRPr="00D06F2D">
        <w:rPr>
          <w:b/>
          <w:noProof/>
        </w:rPr>
        <w:t>,</w:t>
      </w:r>
      <w:r w:rsidRPr="00D06F2D">
        <w:rPr>
          <w:noProof/>
        </w:rPr>
        <w:t xml:space="preserve"> 77-88.</w:t>
      </w:r>
    </w:p>
    <w:p w14:paraId="59B39666" w14:textId="77777777" w:rsidR="00D06F2D" w:rsidRPr="00D06F2D" w:rsidRDefault="00D06F2D" w:rsidP="00D06F2D">
      <w:pPr>
        <w:pStyle w:val="EndNoteBibliography"/>
        <w:ind w:left="720" w:hanging="720"/>
        <w:rPr>
          <w:noProof/>
        </w:rPr>
      </w:pPr>
      <w:r w:rsidRPr="00D06F2D">
        <w:rPr>
          <w:noProof/>
        </w:rPr>
        <w:t xml:space="preserve">ROLKE, R. R., BARON, D. R. R., MAIER, C. C., TÖLLE, B. T., TREEDE, B., BEYER, B. A., BINDER, B. A., BIRBAUMER, B. N., BIRKLEIN, B. F., BÖTEFÜR, B. I., BRAUNE, B. S., FLOR, B. H., HUGE, B. V., KLUG, B. R., LANDWEHRMEYER, B. G., MAGERL, B. W., MAIHÖFNER, B. C., ROLKO, B. C., SCHAUB, B. C., SCHERENS, B. A., SPRENGER, B. T., VALET, B. M. &amp; WASSERKA, B. B. 2006c. Quantitative sensory testing in the German Research Network on Neuropathic Pain (DFNS): Standardized protocol and reference values. </w:t>
      </w:r>
      <w:r w:rsidRPr="00D06F2D">
        <w:rPr>
          <w:i/>
          <w:noProof/>
        </w:rPr>
        <w:t>Pain,</w:t>
      </w:r>
      <w:r w:rsidRPr="00D06F2D">
        <w:rPr>
          <w:noProof/>
        </w:rPr>
        <w:t xml:space="preserve"> 123</w:t>
      </w:r>
      <w:r w:rsidRPr="00D06F2D">
        <w:rPr>
          <w:b/>
          <w:noProof/>
        </w:rPr>
        <w:t>,</w:t>
      </w:r>
      <w:r w:rsidRPr="00D06F2D">
        <w:rPr>
          <w:noProof/>
        </w:rPr>
        <w:t xml:space="preserve"> 231-243.</w:t>
      </w:r>
    </w:p>
    <w:p w14:paraId="139ECFE9" w14:textId="77777777" w:rsidR="00D06F2D" w:rsidRPr="00D06F2D" w:rsidRDefault="00D06F2D" w:rsidP="00D06F2D">
      <w:pPr>
        <w:pStyle w:val="EndNoteBibliography"/>
        <w:ind w:left="720" w:hanging="720"/>
        <w:rPr>
          <w:noProof/>
        </w:rPr>
      </w:pPr>
      <w:r w:rsidRPr="00D06F2D">
        <w:rPr>
          <w:noProof/>
        </w:rPr>
        <w:t xml:space="preserve">ROY, C. S. &amp; SHERRINGTON, C. S. 1890. On the Regulation of the Blood-supply of the Brain. </w:t>
      </w:r>
      <w:r w:rsidRPr="00D06F2D">
        <w:rPr>
          <w:i/>
          <w:noProof/>
        </w:rPr>
        <w:t>The Journal of physiology,</w:t>
      </w:r>
      <w:r w:rsidRPr="00D06F2D">
        <w:rPr>
          <w:noProof/>
        </w:rPr>
        <w:t xml:space="preserve"> 11</w:t>
      </w:r>
      <w:r w:rsidRPr="00D06F2D">
        <w:rPr>
          <w:b/>
          <w:noProof/>
        </w:rPr>
        <w:t>,</w:t>
      </w:r>
      <w:r w:rsidRPr="00D06F2D">
        <w:rPr>
          <w:noProof/>
        </w:rPr>
        <w:t xml:space="preserve"> 85-158.17.</w:t>
      </w:r>
    </w:p>
    <w:p w14:paraId="706C4409" w14:textId="77777777" w:rsidR="00D06F2D" w:rsidRPr="00D06F2D" w:rsidRDefault="00D06F2D" w:rsidP="00D06F2D">
      <w:pPr>
        <w:pStyle w:val="EndNoteBibliography"/>
        <w:ind w:left="720" w:hanging="720"/>
        <w:rPr>
          <w:noProof/>
        </w:rPr>
      </w:pPr>
      <w:r w:rsidRPr="00D06F2D">
        <w:rPr>
          <w:noProof/>
        </w:rPr>
        <w:lastRenderedPageBreak/>
        <w:t xml:space="preserve">RULE, A. D., LARSON, T. S., BERGSTRALH, E. J., SLEZAK, J. M., JACOBSEN, S. J. &amp; COSIO, F. G. 2004. Using serum creatinine to estimate glomerular filtration rate: Accuracy in good health and in chronic kidney disease. </w:t>
      </w:r>
      <w:r w:rsidRPr="00D06F2D">
        <w:rPr>
          <w:i/>
          <w:noProof/>
        </w:rPr>
        <w:t>Annals of Internal Medicine,</w:t>
      </w:r>
      <w:r w:rsidRPr="00D06F2D">
        <w:rPr>
          <w:noProof/>
        </w:rPr>
        <w:t xml:space="preserve"> 141</w:t>
      </w:r>
      <w:r w:rsidRPr="00D06F2D">
        <w:rPr>
          <w:b/>
          <w:noProof/>
        </w:rPr>
        <w:t>,</w:t>
      </w:r>
      <w:r w:rsidRPr="00D06F2D">
        <w:rPr>
          <w:noProof/>
        </w:rPr>
        <w:t xml:space="preserve"> 929-937.</w:t>
      </w:r>
    </w:p>
    <w:p w14:paraId="7E252EE4" w14:textId="77777777" w:rsidR="00D06F2D" w:rsidRPr="00D06F2D" w:rsidRDefault="00D06F2D" w:rsidP="00D06F2D">
      <w:pPr>
        <w:pStyle w:val="EndNoteBibliography"/>
        <w:ind w:left="720" w:hanging="720"/>
        <w:rPr>
          <w:noProof/>
        </w:rPr>
      </w:pPr>
      <w:r w:rsidRPr="00D06F2D">
        <w:rPr>
          <w:noProof/>
        </w:rPr>
        <w:t xml:space="preserve">SARAC, K., AKINCI, A., ALKAN, A., ASLAN, M., BAYSAL, T. &amp; OZCAN, C. 2005. Brain metabolite changes on proton magnetic resonance spectroscopy in children with poorly controlled type 1 diabetes mellitus. </w:t>
      </w:r>
      <w:r w:rsidRPr="00D06F2D">
        <w:rPr>
          <w:i/>
          <w:noProof/>
        </w:rPr>
        <w:t>Neuroradiology,</w:t>
      </w:r>
      <w:r w:rsidRPr="00D06F2D">
        <w:rPr>
          <w:noProof/>
        </w:rPr>
        <w:t xml:space="preserve"> 47.</w:t>
      </w:r>
    </w:p>
    <w:p w14:paraId="4B43549E" w14:textId="77777777" w:rsidR="00D06F2D" w:rsidRPr="00D06F2D" w:rsidRDefault="00D06F2D" w:rsidP="00D06F2D">
      <w:pPr>
        <w:pStyle w:val="EndNoteBibliography"/>
        <w:ind w:left="720" w:hanging="720"/>
        <w:rPr>
          <w:noProof/>
        </w:rPr>
      </w:pPr>
      <w:r w:rsidRPr="00D06F2D">
        <w:rPr>
          <w:noProof/>
        </w:rPr>
        <w:t xml:space="preserve">SCHWARTZ, S., ETROPOLSKI, M., SHAPIRO, D. Y., OKAMOTO, A., LANGE, R., HAEUSSLER, J. &amp; RAUSCHKOLB, C. 2011. Safety and efficacy of tapentadol ER in patients with painful diabetic peripheral neuropathy: results of a randomized-withdrawal, placebo-controlled trial. </w:t>
      </w:r>
      <w:r w:rsidRPr="00D06F2D">
        <w:rPr>
          <w:i/>
          <w:noProof/>
        </w:rPr>
        <w:t>Current Medical Research and Opinion,</w:t>
      </w:r>
      <w:r w:rsidRPr="00D06F2D">
        <w:rPr>
          <w:noProof/>
        </w:rPr>
        <w:t xml:space="preserve"> 27</w:t>
      </w:r>
      <w:r w:rsidRPr="00D06F2D">
        <w:rPr>
          <w:b/>
          <w:noProof/>
        </w:rPr>
        <w:t>,</w:t>
      </w:r>
      <w:r w:rsidRPr="00D06F2D">
        <w:rPr>
          <w:noProof/>
        </w:rPr>
        <w:t xml:space="preserve"> 151-162.</w:t>
      </w:r>
    </w:p>
    <w:p w14:paraId="5EDB1716" w14:textId="77777777" w:rsidR="00D06F2D" w:rsidRPr="00D06F2D" w:rsidRDefault="00D06F2D" w:rsidP="00D06F2D">
      <w:pPr>
        <w:pStyle w:val="EndNoteBibliography"/>
        <w:ind w:left="720" w:hanging="720"/>
        <w:rPr>
          <w:noProof/>
        </w:rPr>
      </w:pPr>
      <w:r w:rsidRPr="00D06F2D">
        <w:rPr>
          <w:noProof/>
        </w:rPr>
        <w:t xml:space="preserve">SECREST, A. M., PRINCE, C. T., COSTACOU, T., MILLER, R. G. &amp; ORCHARD, T. J. 2013. Predictors of and survival after incident stroke in type I diabetes. </w:t>
      </w:r>
      <w:r w:rsidRPr="00D06F2D">
        <w:rPr>
          <w:i/>
          <w:noProof/>
        </w:rPr>
        <w:t>Diabetes &amp; Vascular Disease Research,</w:t>
      </w:r>
      <w:r w:rsidRPr="00D06F2D">
        <w:rPr>
          <w:noProof/>
        </w:rPr>
        <w:t xml:space="preserve"> 10</w:t>
      </w:r>
      <w:r w:rsidRPr="00D06F2D">
        <w:rPr>
          <w:b/>
          <w:noProof/>
        </w:rPr>
        <w:t>,</w:t>
      </w:r>
      <w:r w:rsidRPr="00D06F2D">
        <w:rPr>
          <w:noProof/>
        </w:rPr>
        <w:t xml:space="preserve"> 3-10.</w:t>
      </w:r>
    </w:p>
    <w:p w14:paraId="6536855E" w14:textId="77777777" w:rsidR="00D06F2D" w:rsidRPr="00D06F2D" w:rsidRDefault="00D06F2D" w:rsidP="00D06F2D">
      <w:pPr>
        <w:pStyle w:val="EndNoteBibliography"/>
        <w:ind w:left="720" w:hanging="720"/>
        <w:rPr>
          <w:noProof/>
        </w:rPr>
      </w:pPr>
      <w:r w:rsidRPr="00D06F2D">
        <w:rPr>
          <w:noProof/>
        </w:rPr>
        <w:t xml:space="preserve">SEGERDAHL, A. R., XIE, J., PATERSON, K., RAMIREZ, J. D., TRACEY, I. &amp; BENNETT, D. L. H. 2012. Imaging the neural correlates of neuropathic pain and pleasurable relief associated with inherited erythromelalgia in a single subject with quantitative arterial spin labelling. </w:t>
      </w:r>
      <w:r w:rsidRPr="00D06F2D">
        <w:rPr>
          <w:i/>
          <w:noProof/>
        </w:rPr>
        <w:t>Pain,</w:t>
      </w:r>
      <w:r w:rsidRPr="00D06F2D">
        <w:rPr>
          <w:noProof/>
        </w:rPr>
        <w:t xml:space="preserve"> 153</w:t>
      </w:r>
      <w:r w:rsidRPr="00D06F2D">
        <w:rPr>
          <w:b/>
          <w:noProof/>
        </w:rPr>
        <w:t>,</w:t>
      </w:r>
      <w:r w:rsidRPr="00D06F2D">
        <w:rPr>
          <w:noProof/>
        </w:rPr>
        <w:t xml:space="preserve"> 1122-1127.</w:t>
      </w:r>
    </w:p>
    <w:p w14:paraId="057848CD" w14:textId="77777777" w:rsidR="00D06F2D" w:rsidRPr="00D06F2D" w:rsidRDefault="00D06F2D" w:rsidP="00D06F2D">
      <w:pPr>
        <w:pStyle w:val="EndNoteBibliography"/>
        <w:ind w:left="720" w:hanging="720"/>
        <w:rPr>
          <w:noProof/>
        </w:rPr>
      </w:pPr>
      <w:r w:rsidRPr="00D06F2D">
        <w:rPr>
          <w:noProof/>
        </w:rPr>
        <w:t xml:space="preserve">SEIFERT, F. &amp; MAIHOEFNER, C. 2009. Central mechanisms of experimental and chronic neuropathic pain: Findings from functional imaging studies. </w:t>
      </w:r>
      <w:r w:rsidRPr="00D06F2D">
        <w:rPr>
          <w:i/>
          <w:noProof/>
        </w:rPr>
        <w:t>Cellular and Molecular Life Sciences,</w:t>
      </w:r>
      <w:r w:rsidRPr="00D06F2D">
        <w:rPr>
          <w:noProof/>
        </w:rPr>
        <w:t xml:space="preserve"> 66</w:t>
      </w:r>
      <w:r w:rsidRPr="00D06F2D">
        <w:rPr>
          <w:b/>
          <w:noProof/>
        </w:rPr>
        <w:t>,</w:t>
      </w:r>
      <w:r w:rsidRPr="00D06F2D">
        <w:rPr>
          <w:noProof/>
        </w:rPr>
        <w:t xml:space="preserve"> 375-390.</w:t>
      </w:r>
    </w:p>
    <w:p w14:paraId="605B158B" w14:textId="77777777" w:rsidR="00D06F2D" w:rsidRPr="00D06F2D" w:rsidRDefault="00D06F2D" w:rsidP="00D06F2D">
      <w:pPr>
        <w:pStyle w:val="EndNoteBibliography"/>
        <w:ind w:left="720" w:hanging="720"/>
        <w:rPr>
          <w:noProof/>
        </w:rPr>
      </w:pPr>
      <w:r w:rsidRPr="00D06F2D">
        <w:rPr>
          <w:noProof/>
        </w:rPr>
        <w:t xml:space="preserve">SEIFERT, F. &amp; MAIHOFNER, C. 2011. Functional and structural imaging of pain-induced neuroplasticity. </w:t>
      </w:r>
      <w:r w:rsidRPr="00D06F2D">
        <w:rPr>
          <w:i/>
          <w:noProof/>
        </w:rPr>
        <w:t>Current Opinion in Anesthesiology,</w:t>
      </w:r>
      <w:r w:rsidRPr="00D06F2D">
        <w:rPr>
          <w:noProof/>
        </w:rPr>
        <w:t xml:space="preserve"> 24</w:t>
      </w:r>
      <w:r w:rsidRPr="00D06F2D">
        <w:rPr>
          <w:b/>
          <w:noProof/>
        </w:rPr>
        <w:t>,</w:t>
      </w:r>
      <w:r w:rsidRPr="00D06F2D">
        <w:rPr>
          <w:noProof/>
        </w:rPr>
        <w:t xml:space="preserve"> 515-523.</w:t>
      </w:r>
    </w:p>
    <w:p w14:paraId="11A1BF2F" w14:textId="77777777" w:rsidR="00D06F2D" w:rsidRPr="00D06F2D" w:rsidRDefault="00D06F2D" w:rsidP="00D06F2D">
      <w:pPr>
        <w:pStyle w:val="EndNoteBibliography"/>
        <w:ind w:left="720" w:hanging="720"/>
        <w:rPr>
          <w:noProof/>
        </w:rPr>
      </w:pPr>
      <w:r w:rsidRPr="00D06F2D">
        <w:rPr>
          <w:noProof/>
        </w:rPr>
        <w:t xml:space="preserve">SELVARAJAH, D., CASH, T., SANKAR, A., THOMAS, L., DAVIES, J., CACHIA, E., GANDHI, R., WILKINSON, I. D., WILKINSON, N., EMERY, C. J. &amp; TESFAYE, S. 2014. The contributors of emotional distress in painful diabetic neuropathy. </w:t>
      </w:r>
      <w:r w:rsidRPr="00D06F2D">
        <w:rPr>
          <w:i/>
          <w:noProof/>
        </w:rPr>
        <w:t>Diabetes &amp; Vascular Disease Research,</w:t>
      </w:r>
      <w:r w:rsidRPr="00D06F2D">
        <w:rPr>
          <w:noProof/>
        </w:rPr>
        <w:t xml:space="preserve"> 11</w:t>
      </w:r>
      <w:r w:rsidRPr="00D06F2D">
        <w:rPr>
          <w:b/>
          <w:noProof/>
        </w:rPr>
        <w:t>,</w:t>
      </w:r>
      <w:r w:rsidRPr="00D06F2D">
        <w:rPr>
          <w:noProof/>
        </w:rPr>
        <w:t xml:space="preserve"> 218-225.</w:t>
      </w:r>
    </w:p>
    <w:p w14:paraId="1723D15D" w14:textId="77777777" w:rsidR="00D06F2D" w:rsidRPr="00D06F2D" w:rsidRDefault="00D06F2D" w:rsidP="00D06F2D">
      <w:pPr>
        <w:pStyle w:val="EndNoteBibliography"/>
        <w:ind w:left="720" w:hanging="720"/>
        <w:rPr>
          <w:i/>
          <w:noProof/>
        </w:rPr>
      </w:pPr>
      <w:r w:rsidRPr="00D06F2D">
        <w:rPr>
          <w:noProof/>
        </w:rPr>
        <w:t xml:space="preserve">SELVARAJAH, D., GANDHI, R., EMERY, C. J., BOWLER, H. &amp; TESFAYE, S. 2008a. Depression is a major confounder to outcomes of clinical trials in painful diabetic neuropathy. </w:t>
      </w:r>
      <w:r w:rsidRPr="00D06F2D">
        <w:rPr>
          <w:i/>
          <w:noProof/>
        </w:rPr>
        <w:t>Diabetes.</w:t>
      </w:r>
    </w:p>
    <w:p w14:paraId="2F31165B" w14:textId="77777777" w:rsidR="00D06F2D" w:rsidRPr="00D06F2D" w:rsidRDefault="00D06F2D" w:rsidP="00D06F2D">
      <w:pPr>
        <w:pStyle w:val="EndNoteBibliography"/>
        <w:ind w:left="720" w:hanging="720"/>
        <w:rPr>
          <w:noProof/>
        </w:rPr>
      </w:pPr>
      <w:r w:rsidRPr="00D06F2D">
        <w:rPr>
          <w:noProof/>
        </w:rPr>
        <w:t xml:space="preserve">SELVARAJAH, D., GANDHI, R., EMERY, C. J. &amp; TESFAYE, S. 2010. Randomized Placebo-Controlled Double-Blind Clinical Trial of Cannabis-Based Medicinal Product (Sativex) in Painful Diabetic Neuropathy Depression is a major confounding factor. </w:t>
      </w:r>
      <w:r w:rsidRPr="00D06F2D">
        <w:rPr>
          <w:i/>
          <w:noProof/>
        </w:rPr>
        <w:t>Diabetes Care,</w:t>
      </w:r>
      <w:r w:rsidRPr="00D06F2D">
        <w:rPr>
          <w:noProof/>
        </w:rPr>
        <w:t xml:space="preserve"> 33</w:t>
      </w:r>
      <w:r w:rsidRPr="00D06F2D">
        <w:rPr>
          <w:b/>
          <w:noProof/>
        </w:rPr>
        <w:t>,</w:t>
      </w:r>
      <w:r w:rsidRPr="00D06F2D">
        <w:rPr>
          <w:noProof/>
        </w:rPr>
        <w:t xml:space="preserve"> 128-130.</w:t>
      </w:r>
    </w:p>
    <w:p w14:paraId="3B5DA1B2" w14:textId="77777777" w:rsidR="00D06F2D" w:rsidRPr="00D06F2D" w:rsidRDefault="00D06F2D" w:rsidP="00D06F2D">
      <w:pPr>
        <w:pStyle w:val="EndNoteBibliography"/>
        <w:ind w:left="720" w:hanging="720"/>
        <w:rPr>
          <w:noProof/>
        </w:rPr>
      </w:pPr>
      <w:r w:rsidRPr="00D06F2D">
        <w:rPr>
          <w:noProof/>
        </w:rPr>
        <w:t xml:space="preserve">SELVARAJAH, D., GANDHI, R. A., HUNTER, M. D., EMERY, C. J., GRIFFITHS, P. D., TESFAYE, S. &amp; WILKINSON, I. D. 2007. A functional magnetic resonance imaging study demonstrating alterations in brain responses to acute pain stimulation in diabetic neuropathy. </w:t>
      </w:r>
      <w:r w:rsidRPr="00D06F2D">
        <w:rPr>
          <w:i/>
          <w:noProof/>
        </w:rPr>
        <w:t>Diabetologia,</w:t>
      </w:r>
      <w:r w:rsidRPr="00D06F2D">
        <w:rPr>
          <w:noProof/>
        </w:rPr>
        <w:t xml:space="preserve"> 50</w:t>
      </w:r>
      <w:r w:rsidRPr="00D06F2D">
        <w:rPr>
          <w:b/>
          <w:noProof/>
        </w:rPr>
        <w:t>,</w:t>
      </w:r>
      <w:r w:rsidRPr="00D06F2D">
        <w:rPr>
          <w:noProof/>
        </w:rPr>
        <w:t xml:space="preserve"> S448-S449.</w:t>
      </w:r>
    </w:p>
    <w:p w14:paraId="0B99765E" w14:textId="77777777" w:rsidR="00D06F2D" w:rsidRPr="00D06F2D" w:rsidRDefault="00D06F2D" w:rsidP="00D06F2D">
      <w:pPr>
        <w:pStyle w:val="EndNoteBibliography"/>
        <w:ind w:left="720" w:hanging="720"/>
        <w:rPr>
          <w:noProof/>
        </w:rPr>
      </w:pPr>
      <w:r w:rsidRPr="00D06F2D">
        <w:rPr>
          <w:noProof/>
        </w:rPr>
        <w:t>SELVARAJAH, D., HUGHES, T., REEVES, J., BOLAND, E., MARQUES, J., GANDHI, R., GRIFFITHS, P. D., TESFAYE, S. &amp; WILKINSON, I. D. 2016. A preliminary study of brain macrovascular reactivity in impaired glucose tolerance and type-2 diabetes: Quantitative internal carotid artery blood flow using magnetic resonance phase contrast angiography.</w:t>
      </w:r>
    </w:p>
    <w:p w14:paraId="3588C979" w14:textId="77777777" w:rsidR="00D06F2D" w:rsidRPr="00D06F2D" w:rsidRDefault="00D06F2D" w:rsidP="00D06F2D">
      <w:pPr>
        <w:pStyle w:val="EndNoteBibliography"/>
        <w:ind w:left="720" w:hanging="720"/>
        <w:rPr>
          <w:noProof/>
        </w:rPr>
      </w:pPr>
      <w:r w:rsidRPr="00D06F2D">
        <w:rPr>
          <w:noProof/>
        </w:rPr>
        <w:t xml:space="preserve">SELVARAJAH, D., MAXWELL, M., DAVIES, J., SANKAR, A., CACHIA, E., GANDHI, R., WILKINSON, I. &amp; TESFAYE, S. 2012. Evidence of grey matter atrophy in diabetic neuropathy: a magnetic resonance imaging brainvolumetric study. </w:t>
      </w:r>
      <w:r w:rsidRPr="00D06F2D">
        <w:rPr>
          <w:i/>
          <w:noProof/>
        </w:rPr>
        <w:t>EASD 2012.</w:t>
      </w:r>
      <w:r w:rsidRPr="00D06F2D">
        <w:rPr>
          <w:noProof/>
        </w:rPr>
        <w:t xml:space="preserve"> Berlin: Diabetologia.</w:t>
      </w:r>
    </w:p>
    <w:p w14:paraId="07C763D8" w14:textId="77777777" w:rsidR="00D06F2D" w:rsidRPr="00D06F2D" w:rsidRDefault="00D06F2D" w:rsidP="00D06F2D">
      <w:pPr>
        <w:pStyle w:val="EndNoteBibliography"/>
        <w:ind w:left="720" w:hanging="720"/>
        <w:rPr>
          <w:noProof/>
        </w:rPr>
      </w:pPr>
      <w:r w:rsidRPr="00D06F2D">
        <w:rPr>
          <w:noProof/>
        </w:rPr>
        <w:lastRenderedPageBreak/>
        <w:t xml:space="preserve">SELVARAJAH, D., WILKINSON, I. D., AWADH, M., TEH, K., PALLAI, S. &amp; TESFAYE, S. 2018. Pain network functional connectivity in painful diabetic neuropathy: Resting State Functional MRI study. </w:t>
      </w:r>
      <w:r w:rsidRPr="00D06F2D">
        <w:rPr>
          <w:i/>
          <w:noProof/>
        </w:rPr>
        <w:t>Diabetologia,</w:t>
      </w:r>
      <w:r w:rsidRPr="00D06F2D">
        <w:rPr>
          <w:noProof/>
        </w:rPr>
        <w:t xml:space="preserve"> 61</w:t>
      </w:r>
      <w:r w:rsidRPr="00D06F2D">
        <w:rPr>
          <w:b/>
          <w:noProof/>
        </w:rPr>
        <w:t>,</w:t>
      </w:r>
      <w:r w:rsidRPr="00D06F2D">
        <w:rPr>
          <w:noProof/>
        </w:rPr>
        <w:t xml:space="preserve"> S32-S33.</w:t>
      </w:r>
    </w:p>
    <w:p w14:paraId="5E8BEDCF" w14:textId="77777777" w:rsidR="00D06F2D" w:rsidRPr="00D06F2D" w:rsidRDefault="00D06F2D" w:rsidP="00D06F2D">
      <w:pPr>
        <w:pStyle w:val="EndNoteBibliography"/>
        <w:ind w:left="720" w:hanging="720"/>
        <w:rPr>
          <w:noProof/>
        </w:rPr>
      </w:pPr>
      <w:r w:rsidRPr="00D06F2D">
        <w:rPr>
          <w:noProof/>
        </w:rPr>
        <w:t xml:space="preserve">SELVARAJAH, D., WILKINSON, I. D., EMERY, C. J., D HARRIS, N., SHAW, P. J., WITTE, D. R., GRIFFITHS, P. D. &amp; TESFAYE, S. 2006. Early involvement of the spinal cord in diabetic peripheral neuropathy. </w:t>
      </w:r>
      <w:r w:rsidRPr="00D06F2D">
        <w:rPr>
          <w:i/>
          <w:noProof/>
        </w:rPr>
        <w:t>Diabetes Care,</w:t>
      </w:r>
      <w:r w:rsidRPr="00D06F2D">
        <w:rPr>
          <w:noProof/>
        </w:rPr>
        <w:t xml:space="preserve"> 29</w:t>
      </w:r>
      <w:r w:rsidRPr="00D06F2D">
        <w:rPr>
          <w:b/>
          <w:noProof/>
        </w:rPr>
        <w:t>,</w:t>
      </w:r>
      <w:r w:rsidRPr="00D06F2D">
        <w:rPr>
          <w:noProof/>
        </w:rPr>
        <w:t xml:space="preserve"> 2664-2669.</w:t>
      </w:r>
    </w:p>
    <w:p w14:paraId="7A945E5F" w14:textId="77777777" w:rsidR="00D06F2D" w:rsidRPr="00D06F2D" w:rsidRDefault="00D06F2D" w:rsidP="00D06F2D">
      <w:pPr>
        <w:pStyle w:val="EndNoteBibliography"/>
        <w:ind w:left="720" w:hanging="720"/>
        <w:rPr>
          <w:noProof/>
        </w:rPr>
      </w:pPr>
      <w:r w:rsidRPr="00D06F2D">
        <w:rPr>
          <w:noProof/>
        </w:rPr>
        <w:t xml:space="preserve">SELVARAJAH, D., WILKINSON, I. D., EMERY, C. J., SHAW, P. J., GRIFFITHS, P. D., GANDHI, R. &amp; TESFAYE, S. 2008b. Thalamic neuronal dysfunction and chronic sensorimotor distal symmetrical polyneuropathy in patients with type 1 diabetes mellitus. </w:t>
      </w:r>
      <w:r w:rsidRPr="00D06F2D">
        <w:rPr>
          <w:i/>
          <w:noProof/>
        </w:rPr>
        <w:t>Diabetologia,</w:t>
      </w:r>
      <w:r w:rsidRPr="00D06F2D">
        <w:rPr>
          <w:noProof/>
        </w:rPr>
        <w:t xml:space="preserve"> 51</w:t>
      </w:r>
      <w:r w:rsidRPr="00D06F2D">
        <w:rPr>
          <w:b/>
          <w:noProof/>
        </w:rPr>
        <w:t>,</w:t>
      </w:r>
      <w:r w:rsidRPr="00D06F2D">
        <w:rPr>
          <w:noProof/>
        </w:rPr>
        <w:t xml:space="preserve"> 2088-92.</w:t>
      </w:r>
    </w:p>
    <w:p w14:paraId="1512CA97" w14:textId="77777777" w:rsidR="00D06F2D" w:rsidRPr="00D06F2D" w:rsidRDefault="00D06F2D" w:rsidP="00D06F2D">
      <w:pPr>
        <w:pStyle w:val="EndNoteBibliography"/>
        <w:ind w:left="720" w:hanging="720"/>
        <w:rPr>
          <w:noProof/>
        </w:rPr>
      </w:pPr>
      <w:r w:rsidRPr="00D06F2D">
        <w:rPr>
          <w:noProof/>
        </w:rPr>
        <w:t xml:space="preserve">SELVARAJAH, D., WILKINSON, I. D., GANDHI, R., GRIFFITHS, P. D. &amp; TESFAYE, S. 2011a. Microvascular Perfusion Abnormalities of the Thalamus in Painful but Not Painless Diabetic Polyneuropathy A clue to the pathogenesis of pain in type 1 diabetes. </w:t>
      </w:r>
      <w:r w:rsidRPr="00D06F2D">
        <w:rPr>
          <w:i/>
          <w:noProof/>
        </w:rPr>
        <w:t>Diabetes Care,</w:t>
      </w:r>
      <w:r w:rsidRPr="00D06F2D">
        <w:rPr>
          <w:noProof/>
        </w:rPr>
        <w:t xml:space="preserve"> 34.</w:t>
      </w:r>
    </w:p>
    <w:p w14:paraId="6D6C5F5B" w14:textId="77777777" w:rsidR="00D06F2D" w:rsidRPr="00D06F2D" w:rsidRDefault="00D06F2D" w:rsidP="00D06F2D">
      <w:pPr>
        <w:pStyle w:val="EndNoteBibliography"/>
        <w:ind w:left="720" w:hanging="720"/>
        <w:rPr>
          <w:noProof/>
        </w:rPr>
      </w:pPr>
      <w:r w:rsidRPr="00D06F2D">
        <w:rPr>
          <w:noProof/>
        </w:rPr>
        <w:t xml:space="preserve">SELVARAJAH, D., WILKINSON, I. D., GANDHI, R., GRIFFITHS, P. D. &amp; TESFAYE, S. 2011b. Microvascular perfusion abnormalities of the Thalamus in painful but not painless diabetic polyneuropathy: a clue to the pathogenesis of pain in type 1 diabetes. </w:t>
      </w:r>
      <w:r w:rsidRPr="00D06F2D">
        <w:rPr>
          <w:i/>
          <w:noProof/>
        </w:rPr>
        <w:t>Diabetes Care,</w:t>
      </w:r>
      <w:r w:rsidRPr="00D06F2D">
        <w:rPr>
          <w:noProof/>
        </w:rPr>
        <w:t xml:space="preserve"> 34</w:t>
      </w:r>
      <w:r w:rsidRPr="00D06F2D">
        <w:rPr>
          <w:b/>
          <w:noProof/>
        </w:rPr>
        <w:t>,</w:t>
      </w:r>
      <w:r w:rsidRPr="00D06F2D">
        <w:rPr>
          <w:noProof/>
        </w:rPr>
        <w:t xml:space="preserve"> 718-20.</w:t>
      </w:r>
    </w:p>
    <w:p w14:paraId="7AC64541" w14:textId="77777777" w:rsidR="00D06F2D" w:rsidRPr="00D06F2D" w:rsidRDefault="00D06F2D" w:rsidP="00D06F2D">
      <w:pPr>
        <w:pStyle w:val="EndNoteBibliography"/>
        <w:ind w:left="720" w:hanging="720"/>
        <w:rPr>
          <w:noProof/>
        </w:rPr>
      </w:pPr>
      <w:r w:rsidRPr="00D06F2D">
        <w:rPr>
          <w:noProof/>
        </w:rPr>
        <w:t xml:space="preserve">SHABBIR, S. 2015. Psychiatric Underpinnings of Chronic Diabetic Neuropathic Pain. </w:t>
      </w:r>
      <w:r w:rsidRPr="00D06F2D">
        <w:rPr>
          <w:i/>
          <w:noProof/>
        </w:rPr>
        <w:t>Einstein Journal of Biology and Medicine,</w:t>
      </w:r>
      <w:r w:rsidRPr="00D06F2D">
        <w:rPr>
          <w:noProof/>
        </w:rPr>
        <w:t xml:space="preserve"> 30</w:t>
      </w:r>
      <w:r w:rsidRPr="00D06F2D">
        <w:rPr>
          <w:b/>
          <w:noProof/>
        </w:rPr>
        <w:t>,</w:t>
      </w:r>
      <w:r w:rsidRPr="00D06F2D">
        <w:rPr>
          <w:noProof/>
        </w:rPr>
        <w:t xml:space="preserve"> 37-40.</w:t>
      </w:r>
    </w:p>
    <w:p w14:paraId="715E67FF" w14:textId="77777777" w:rsidR="00D06F2D" w:rsidRPr="00D06F2D" w:rsidRDefault="00D06F2D" w:rsidP="00D06F2D">
      <w:pPr>
        <w:pStyle w:val="EndNoteBibliography"/>
        <w:ind w:left="720" w:hanging="720"/>
        <w:rPr>
          <w:noProof/>
        </w:rPr>
      </w:pPr>
      <w:r w:rsidRPr="00D06F2D">
        <w:rPr>
          <w:noProof/>
        </w:rPr>
        <w:t xml:space="preserve">SHAMOON, H., DUFFY, H., FLEISCHER, N., ENGEL, S., SAENGER, P., STRELZYN, M. &amp; ET AL 1993. THE EFFECT OF INTENSIVE TREATMENT OF DIABETES ON THE DEVELOPMENT AND PROGRESSION OF LONG-TERM COMPLICATIONS IN INSULIN-DEPENDENT DIABETES-MELLITUS. </w:t>
      </w:r>
      <w:r w:rsidRPr="00D06F2D">
        <w:rPr>
          <w:i/>
          <w:noProof/>
        </w:rPr>
        <w:t>New England Journal of Medicine,</w:t>
      </w:r>
      <w:r w:rsidRPr="00D06F2D">
        <w:rPr>
          <w:noProof/>
        </w:rPr>
        <w:t xml:space="preserve"> 329.</w:t>
      </w:r>
    </w:p>
    <w:p w14:paraId="23ADD599" w14:textId="77777777" w:rsidR="00D06F2D" w:rsidRPr="00D06F2D" w:rsidRDefault="00D06F2D" w:rsidP="00D06F2D">
      <w:pPr>
        <w:pStyle w:val="EndNoteBibliography"/>
        <w:ind w:left="720" w:hanging="720"/>
        <w:rPr>
          <w:noProof/>
        </w:rPr>
      </w:pPr>
      <w:r w:rsidRPr="00D06F2D">
        <w:rPr>
          <w:noProof/>
        </w:rPr>
        <w:t xml:space="preserve">SHILLO, P. 2019. </w:t>
      </w:r>
      <w:r w:rsidRPr="00D06F2D">
        <w:rPr>
          <w:i/>
          <w:noProof/>
        </w:rPr>
        <w:t>Peripheral and central biomarkers in painful diabetic peripheral neuropathy.</w:t>
      </w:r>
      <w:r w:rsidRPr="00D06F2D">
        <w:rPr>
          <w:noProof/>
        </w:rPr>
        <w:t xml:space="preserve"> Doctoral (M.D.), University of Sheffield.</w:t>
      </w:r>
    </w:p>
    <w:p w14:paraId="384A585D" w14:textId="77777777" w:rsidR="00D06F2D" w:rsidRPr="00D06F2D" w:rsidRDefault="00D06F2D" w:rsidP="00D06F2D">
      <w:pPr>
        <w:pStyle w:val="EndNoteBibliography"/>
        <w:ind w:left="720" w:hanging="720"/>
        <w:rPr>
          <w:noProof/>
        </w:rPr>
      </w:pPr>
      <w:r w:rsidRPr="00D06F2D">
        <w:rPr>
          <w:noProof/>
        </w:rPr>
        <w:t xml:space="preserve">SHILLO, P., SLOAN, G., GREIG, M., HUNT, L., SELVARAJAH, D., ELLIOTT, J., GANDHI, R., WILKINSON, I. D. &amp; TESFAYE, S. 2019. Painful and Painless Diabetic Neuropathies: What Is the Difference? </w:t>
      </w:r>
      <w:r w:rsidRPr="00D06F2D">
        <w:rPr>
          <w:i/>
          <w:noProof/>
        </w:rPr>
        <w:t>Curr Diab Rep,</w:t>
      </w:r>
      <w:r w:rsidRPr="00D06F2D">
        <w:rPr>
          <w:noProof/>
        </w:rPr>
        <w:t xml:space="preserve"> 19</w:t>
      </w:r>
      <w:r w:rsidRPr="00D06F2D">
        <w:rPr>
          <w:b/>
          <w:noProof/>
        </w:rPr>
        <w:t>,</w:t>
      </w:r>
      <w:r w:rsidRPr="00D06F2D">
        <w:rPr>
          <w:noProof/>
        </w:rPr>
        <w:t xml:space="preserve"> 32.</w:t>
      </w:r>
    </w:p>
    <w:p w14:paraId="0DF08BF7" w14:textId="77777777" w:rsidR="00D06F2D" w:rsidRPr="00D06F2D" w:rsidRDefault="00D06F2D" w:rsidP="00D06F2D">
      <w:pPr>
        <w:pStyle w:val="EndNoteBibliography"/>
        <w:ind w:left="720" w:hanging="720"/>
        <w:rPr>
          <w:noProof/>
        </w:rPr>
      </w:pPr>
      <w:r w:rsidRPr="00D06F2D">
        <w:rPr>
          <w:noProof/>
        </w:rPr>
        <w:t xml:space="preserve">SHILLO, P. R., SELVARAJAH, D., GREIG, M., RAO, G. D., EDDEN, R. A. E., WILKINSON, I. D. &amp; TESFAYE, S. 2016. Painless diabetic peripheral neuropathy is characterised by reduced thalamic gamma-aminobutyric acid (GABA). </w:t>
      </w:r>
      <w:r w:rsidRPr="00D06F2D">
        <w:rPr>
          <w:i/>
          <w:noProof/>
        </w:rPr>
        <w:t>Diabetic Medicine,</w:t>
      </w:r>
      <w:r w:rsidRPr="00D06F2D">
        <w:rPr>
          <w:noProof/>
        </w:rPr>
        <w:t xml:space="preserve"> 33</w:t>
      </w:r>
      <w:r w:rsidRPr="00D06F2D">
        <w:rPr>
          <w:b/>
          <w:noProof/>
        </w:rPr>
        <w:t>,</w:t>
      </w:r>
      <w:r w:rsidRPr="00D06F2D">
        <w:rPr>
          <w:noProof/>
        </w:rPr>
        <w:t xml:space="preserve"> 15-16.</w:t>
      </w:r>
    </w:p>
    <w:p w14:paraId="2D32EACC" w14:textId="77777777" w:rsidR="00D06F2D" w:rsidRPr="00D06F2D" w:rsidRDefault="00D06F2D" w:rsidP="00D06F2D">
      <w:pPr>
        <w:pStyle w:val="EndNoteBibliography"/>
        <w:ind w:left="720" w:hanging="720"/>
        <w:rPr>
          <w:noProof/>
        </w:rPr>
      </w:pPr>
      <w:r w:rsidRPr="00D06F2D">
        <w:rPr>
          <w:noProof/>
        </w:rPr>
        <w:t>SHIN, W., HOROWITZ, S., RAGIN, A., CHEN, Y., WALKER, M. &amp; CARROLL, T. J. 2007. Quantitative cerebral perfusion using dynamic susceptibility contrast MRI: Evaluation of reproducibility and age</w:t>
      </w:r>
      <w:r w:rsidRPr="00D06F2D">
        <w:rPr>
          <w:rFonts w:ascii="Cambria Math" w:hAnsi="Cambria Math" w:cs="Cambria Math"/>
          <w:noProof/>
        </w:rPr>
        <w:t>‐</w:t>
      </w:r>
      <w:r w:rsidRPr="00D06F2D">
        <w:rPr>
          <w:noProof/>
        </w:rPr>
        <w:t xml:space="preserve"> and gender</w:t>
      </w:r>
      <w:r w:rsidRPr="00D06F2D">
        <w:rPr>
          <w:rFonts w:ascii="Cambria Math" w:hAnsi="Cambria Math" w:cs="Cambria Math"/>
          <w:noProof/>
        </w:rPr>
        <w:t>‐</w:t>
      </w:r>
      <w:r w:rsidRPr="00D06F2D">
        <w:rPr>
          <w:noProof/>
        </w:rPr>
        <w:t xml:space="preserve">dependence with fully automatic image postprocessing algorithm. </w:t>
      </w:r>
      <w:r w:rsidRPr="00D06F2D">
        <w:rPr>
          <w:i/>
          <w:noProof/>
        </w:rPr>
        <w:t>Magn Reson Med,</w:t>
      </w:r>
      <w:r w:rsidRPr="00D06F2D">
        <w:rPr>
          <w:noProof/>
        </w:rPr>
        <w:t xml:space="preserve"> 58</w:t>
      </w:r>
      <w:r w:rsidRPr="00D06F2D">
        <w:rPr>
          <w:b/>
          <w:noProof/>
        </w:rPr>
        <w:t>,</w:t>
      </w:r>
      <w:r w:rsidRPr="00D06F2D">
        <w:rPr>
          <w:noProof/>
        </w:rPr>
        <w:t xml:space="preserve"> 1232-1241.</w:t>
      </w:r>
    </w:p>
    <w:p w14:paraId="1BD13519" w14:textId="77777777" w:rsidR="00D06F2D" w:rsidRPr="00D06F2D" w:rsidRDefault="00D06F2D" w:rsidP="00D06F2D">
      <w:pPr>
        <w:pStyle w:val="EndNoteBibliography"/>
        <w:ind w:left="720" w:hanging="720"/>
        <w:rPr>
          <w:noProof/>
        </w:rPr>
      </w:pPr>
      <w:r w:rsidRPr="00D06F2D">
        <w:rPr>
          <w:noProof/>
        </w:rPr>
        <w:t xml:space="preserve">SINCLAIR, S. H. 1991. MACULAR RETINAL CAPILLARY HEMODYNAMICS IN DIABETIC-PATIENTS. </w:t>
      </w:r>
      <w:r w:rsidRPr="00D06F2D">
        <w:rPr>
          <w:i/>
          <w:noProof/>
        </w:rPr>
        <w:t>Ophthalmology,</w:t>
      </w:r>
      <w:r w:rsidRPr="00D06F2D">
        <w:rPr>
          <w:noProof/>
        </w:rPr>
        <w:t xml:space="preserve"> 98</w:t>
      </w:r>
      <w:r w:rsidRPr="00D06F2D">
        <w:rPr>
          <w:b/>
          <w:noProof/>
        </w:rPr>
        <w:t>,</w:t>
      </w:r>
      <w:r w:rsidRPr="00D06F2D">
        <w:rPr>
          <w:noProof/>
        </w:rPr>
        <w:t xml:space="preserve"> 1580-1586.</w:t>
      </w:r>
    </w:p>
    <w:p w14:paraId="3BEBF2C3" w14:textId="77777777" w:rsidR="00D06F2D" w:rsidRPr="00D06F2D" w:rsidRDefault="00D06F2D" w:rsidP="00D06F2D">
      <w:pPr>
        <w:pStyle w:val="EndNoteBibliography"/>
        <w:ind w:left="720" w:hanging="720"/>
        <w:rPr>
          <w:noProof/>
        </w:rPr>
      </w:pPr>
      <w:r w:rsidRPr="00D06F2D">
        <w:rPr>
          <w:noProof/>
        </w:rPr>
        <w:t>SIRÓ, P., MOLNÁR, C., KATONA, É., ANTEK, C., KOLLÁR, J., SETTAKIS, G. &amp; FÜLESDI, B. 2009. Carotid intima</w:t>
      </w:r>
      <w:r w:rsidRPr="00D06F2D">
        <w:rPr>
          <w:rFonts w:ascii="Cambria Math" w:hAnsi="Cambria Math" w:cs="Cambria Math"/>
          <w:noProof/>
        </w:rPr>
        <w:t>‐</w:t>
      </w:r>
      <w:r w:rsidRPr="00D06F2D">
        <w:rPr>
          <w:noProof/>
        </w:rPr>
        <w:t>media thickness and cerebrovascular reactivity in long</w:t>
      </w:r>
      <w:r w:rsidRPr="00D06F2D">
        <w:rPr>
          <w:rFonts w:ascii="Cambria Math" w:hAnsi="Cambria Math" w:cs="Cambria Math"/>
          <w:noProof/>
        </w:rPr>
        <w:t>‐</w:t>
      </w:r>
      <w:r w:rsidRPr="00D06F2D">
        <w:rPr>
          <w:noProof/>
        </w:rPr>
        <w:t xml:space="preserve">term type 1 diabetes mellitus. </w:t>
      </w:r>
      <w:r w:rsidRPr="00D06F2D">
        <w:rPr>
          <w:i/>
          <w:noProof/>
        </w:rPr>
        <w:t>Journal of Clinical Ultrasound,</w:t>
      </w:r>
      <w:r w:rsidRPr="00D06F2D">
        <w:rPr>
          <w:noProof/>
        </w:rPr>
        <w:t xml:space="preserve"> 37</w:t>
      </w:r>
      <w:r w:rsidRPr="00D06F2D">
        <w:rPr>
          <w:b/>
          <w:noProof/>
        </w:rPr>
        <w:t>,</w:t>
      </w:r>
      <w:r w:rsidRPr="00D06F2D">
        <w:rPr>
          <w:noProof/>
        </w:rPr>
        <w:t xml:space="preserve"> 451-456.</w:t>
      </w:r>
    </w:p>
    <w:p w14:paraId="23C4CA6A" w14:textId="77777777" w:rsidR="00D06F2D" w:rsidRPr="00D06F2D" w:rsidRDefault="00D06F2D" w:rsidP="00D06F2D">
      <w:pPr>
        <w:pStyle w:val="EndNoteBibliography"/>
        <w:ind w:left="720" w:hanging="720"/>
        <w:rPr>
          <w:noProof/>
        </w:rPr>
      </w:pPr>
      <w:r w:rsidRPr="00D06F2D">
        <w:rPr>
          <w:noProof/>
        </w:rPr>
        <w:t xml:space="preserve">SLOAN, G., SHILLO, P., SELVARAJAH, D., WU, J., WILKINSON, I. D., TRACEY, I., ANAND, P. &amp; TESFAYE, S. 2018. A new look at painful diabetic neuropathy. </w:t>
      </w:r>
      <w:r w:rsidRPr="00D06F2D">
        <w:rPr>
          <w:i/>
          <w:noProof/>
        </w:rPr>
        <w:t>Diabetes Res Clin Pract,</w:t>
      </w:r>
      <w:r w:rsidRPr="00D06F2D">
        <w:rPr>
          <w:noProof/>
        </w:rPr>
        <w:t xml:space="preserve"> 144</w:t>
      </w:r>
      <w:r w:rsidRPr="00D06F2D">
        <w:rPr>
          <w:b/>
          <w:noProof/>
        </w:rPr>
        <w:t>,</w:t>
      </w:r>
      <w:r w:rsidRPr="00D06F2D">
        <w:rPr>
          <w:noProof/>
        </w:rPr>
        <w:t xml:space="preserve"> 177-191.</w:t>
      </w:r>
    </w:p>
    <w:p w14:paraId="57FBE74D" w14:textId="77777777" w:rsidR="00D06F2D" w:rsidRPr="00D06F2D" w:rsidRDefault="00D06F2D" w:rsidP="00D06F2D">
      <w:pPr>
        <w:pStyle w:val="EndNoteBibliography"/>
        <w:ind w:left="720" w:hanging="720"/>
        <w:rPr>
          <w:noProof/>
        </w:rPr>
      </w:pPr>
      <w:r w:rsidRPr="00D06F2D">
        <w:rPr>
          <w:noProof/>
        </w:rPr>
        <w:t xml:space="preserve">SMITH, B. H. &amp; TORRANCE, N. 2012. Epidemiology of Neuropathic Pain and Its Impact on Quality of Life. </w:t>
      </w:r>
      <w:r w:rsidRPr="00D06F2D">
        <w:rPr>
          <w:i/>
          <w:noProof/>
        </w:rPr>
        <w:t>Current Pain and Headache Reports,</w:t>
      </w:r>
      <w:r w:rsidRPr="00D06F2D">
        <w:rPr>
          <w:noProof/>
        </w:rPr>
        <w:t xml:space="preserve"> 16.</w:t>
      </w:r>
    </w:p>
    <w:p w14:paraId="0B521908" w14:textId="77777777" w:rsidR="00D06F2D" w:rsidRPr="00D06F2D" w:rsidRDefault="00D06F2D" w:rsidP="00D06F2D">
      <w:pPr>
        <w:pStyle w:val="EndNoteBibliography"/>
        <w:ind w:left="720" w:hanging="720"/>
        <w:rPr>
          <w:noProof/>
        </w:rPr>
      </w:pPr>
      <w:r w:rsidRPr="00D06F2D">
        <w:rPr>
          <w:noProof/>
        </w:rPr>
        <w:lastRenderedPageBreak/>
        <w:t>SMITH, M. R., LU, H. &amp; FRAYNE, R. 2003. Signal</w:t>
      </w:r>
      <w:r w:rsidRPr="00D06F2D">
        <w:rPr>
          <w:rFonts w:ascii="Cambria Math" w:hAnsi="Cambria Math" w:cs="Cambria Math"/>
          <w:noProof/>
        </w:rPr>
        <w:t>‐</w:t>
      </w:r>
      <w:r w:rsidRPr="00D06F2D">
        <w:rPr>
          <w:noProof/>
        </w:rPr>
        <w:t>to</w:t>
      </w:r>
      <w:r w:rsidRPr="00D06F2D">
        <w:rPr>
          <w:rFonts w:ascii="Cambria Math" w:hAnsi="Cambria Math" w:cs="Cambria Math"/>
          <w:noProof/>
        </w:rPr>
        <w:t>‐</w:t>
      </w:r>
      <w:r w:rsidRPr="00D06F2D">
        <w:rPr>
          <w:noProof/>
        </w:rPr>
        <w:t xml:space="preserve">noise ratio effects in quantitative cerebral perfusion using dynamic susceptibility contrast agents. </w:t>
      </w:r>
      <w:r w:rsidRPr="00D06F2D">
        <w:rPr>
          <w:i/>
          <w:noProof/>
        </w:rPr>
        <w:t>Magnetic Resonance in Medicine,</w:t>
      </w:r>
      <w:r w:rsidRPr="00D06F2D">
        <w:rPr>
          <w:noProof/>
        </w:rPr>
        <w:t xml:space="preserve"> 49</w:t>
      </w:r>
      <w:r w:rsidRPr="00D06F2D">
        <w:rPr>
          <w:b/>
          <w:noProof/>
        </w:rPr>
        <w:t>,</w:t>
      </w:r>
      <w:r w:rsidRPr="00D06F2D">
        <w:rPr>
          <w:noProof/>
        </w:rPr>
        <w:t xml:space="preserve"> 122-128.</w:t>
      </w:r>
    </w:p>
    <w:p w14:paraId="2522BCB1" w14:textId="77777777" w:rsidR="00D06F2D" w:rsidRPr="00D06F2D" w:rsidRDefault="00D06F2D" w:rsidP="00D06F2D">
      <w:pPr>
        <w:pStyle w:val="EndNoteBibliography"/>
        <w:ind w:left="720" w:hanging="720"/>
        <w:rPr>
          <w:noProof/>
        </w:rPr>
      </w:pPr>
      <w:r w:rsidRPr="00D06F2D">
        <w:rPr>
          <w:noProof/>
        </w:rPr>
        <w:t xml:space="preserve">SMITH, S. C., LAMPING, D. L. &amp; MACLAINE, G. D. H. 2012. Measuring health-related quality of life in diabetic peripheral neuropathy: A systematic review. </w:t>
      </w:r>
      <w:r w:rsidRPr="00D06F2D">
        <w:rPr>
          <w:i/>
          <w:noProof/>
        </w:rPr>
        <w:t>Diabetes Research and Clinical Practice,</w:t>
      </w:r>
      <w:r w:rsidRPr="00D06F2D">
        <w:rPr>
          <w:noProof/>
        </w:rPr>
        <w:t xml:space="preserve"> 96</w:t>
      </w:r>
      <w:r w:rsidRPr="00D06F2D">
        <w:rPr>
          <w:b/>
          <w:noProof/>
        </w:rPr>
        <w:t>,</w:t>
      </w:r>
      <w:r w:rsidRPr="00D06F2D">
        <w:rPr>
          <w:noProof/>
        </w:rPr>
        <w:t xml:space="preserve"> 261-270.</w:t>
      </w:r>
    </w:p>
    <w:p w14:paraId="7FF325FC" w14:textId="77777777" w:rsidR="00D06F2D" w:rsidRPr="00D06F2D" w:rsidRDefault="00D06F2D" w:rsidP="00D06F2D">
      <w:pPr>
        <w:pStyle w:val="EndNoteBibliography"/>
        <w:ind w:left="720" w:hanging="720"/>
        <w:rPr>
          <w:noProof/>
        </w:rPr>
      </w:pPr>
      <w:r w:rsidRPr="00D06F2D">
        <w:rPr>
          <w:noProof/>
        </w:rPr>
        <w:t xml:space="preserve">SMITH, S. M., DWORKIN, R. H., TURK, D. C., BARON, R., POLYDEFKIS, M., TRACEY, I., BORSOOK, D., EDWARDS, R. R., HARRIS, R. E., WAGER, T. D., ARENDT-NIELSEN, L., BURKE, L. B., CARR, D. B., CHAPPELL, A., FARRAR, J. T., FREEMAN, R., GILRON, I., GOLI, V., HAEUSSLER, J., JENSEN, T., KATZ, N. P., KENT, J., KOPECKY, E. A., LEE, D. A., MAIXNER, W., MARKMAN, J. D., MCARTHUR, J. C., MCDERMOTT, M. P., PARVATHENANI, L., RAJA, S. N., RAPPAPORT, B. A., RICE, A. S. C., ROWBOTHAM, M. C., TOBIAS, J. K., WASAN, A. D. &amp; WITTER, J. 2017. The Potential Role of Sensory Testing, Skin Biopsy, and Functional Brain Imaging as Biomarkers in Chronic Pain Clinical Trials: IMMPACT Considerations. </w:t>
      </w:r>
      <w:r w:rsidRPr="00D06F2D">
        <w:rPr>
          <w:i/>
          <w:noProof/>
        </w:rPr>
        <w:t>Journal of Pain,</w:t>
      </w:r>
      <w:r w:rsidRPr="00D06F2D">
        <w:rPr>
          <w:noProof/>
        </w:rPr>
        <w:t xml:space="preserve"> 18</w:t>
      </w:r>
      <w:r w:rsidRPr="00D06F2D">
        <w:rPr>
          <w:b/>
          <w:noProof/>
        </w:rPr>
        <w:t>,</w:t>
      </w:r>
      <w:r w:rsidRPr="00D06F2D">
        <w:rPr>
          <w:noProof/>
        </w:rPr>
        <w:t xml:space="preserve"> 757-777.</w:t>
      </w:r>
    </w:p>
    <w:p w14:paraId="1E6295E4" w14:textId="77777777" w:rsidR="00D06F2D" w:rsidRPr="00D06F2D" w:rsidRDefault="00D06F2D" w:rsidP="00D06F2D">
      <w:pPr>
        <w:pStyle w:val="EndNoteBibliography"/>
        <w:ind w:left="720" w:hanging="720"/>
        <w:rPr>
          <w:noProof/>
        </w:rPr>
      </w:pPr>
      <w:r w:rsidRPr="00D06F2D">
        <w:rPr>
          <w:noProof/>
        </w:rPr>
        <w:t xml:space="preserve">SOCHETT, E., NOONE, D., GRATTAN, M., SLORACH, C., MOINEDDIN, R., ELIA, Y., MAHMUD, F. H., DUNGER, D. B., DALTON, N., CHERNEY, D., SCHOLEY, J., REICH, H. &amp; DEANFIELD, J. 2017. Relationship between serum inflammatory markers and vascular function in a cohort of adolescents with type 1 diabetes. </w:t>
      </w:r>
      <w:r w:rsidRPr="00D06F2D">
        <w:rPr>
          <w:i/>
          <w:noProof/>
        </w:rPr>
        <w:t>Cytokine,</w:t>
      </w:r>
      <w:r w:rsidRPr="00D06F2D">
        <w:rPr>
          <w:noProof/>
        </w:rPr>
        <w:t xml:space="preserve"> 99</w:t>
      </w:r>
      <w:r w:rsidRPr="00D06F2D">
        <w:rPr>
          <w:b/>
          <w:noProof/>
        </w:rPr>
        <w:t>,</w:t>
      </w:r>
      <w:r w:rsidRPr="00D06F2D">
        <w:rPr>
          <w:noProof/>
        </w:rPr>
        <w:t xml:space="preserve"> 233-239.</w:t>
      </w:r>
    </w:p>
    <w:p w14:paraId="5DD69967" w14:textId="77777777" w:rsidR="00D06F2D" w:rsidRPr="00D06F2D" w:rsidRDefault="00D06F2D" w:rsidP="00D06F2D">
      <w:pPr>
        <w:pStyle w:val="EndNoteBibliography"/>
        <w:ind w:left="720" w:hanging="720"/>
        <w:rPr>
          <w:noProof/>
        </w:rPr>
      </w:pPr>
      <w:r w:rsidRPr="00D06F2D">
        <w:rPr>
          <w:noProof/>
        </w:rPr>
        <w:t xml:space="preserve">SORENSEN, L., SIDDALL, P. J., STANWELL, P., NATFAJI, A. &amp; YUE, D. K. 2004. Magnetic resonance spectroscopy of three pain processing brain regions in patients with painful diabetic peripheral neuropathy. </w:t>
      </w:r>
      <w:r w:rsidRPr="00D06F2D">
        <w:rPr>
          <w:i/>
          <w:noProof/>
        </w:rPr>
        <w:t>Diabetes,</w:t>
      </w:r>
      <w:r w:rsidRPr="00D06F2D">
        <w:rPr>
          <w:noProof/>
        </w:rPr>
        <w:t xml:space="preserve"> 53.</w:t>
      </w:r>
    </w:p>
    <w:p w14:paraId="246BEF10" w14:textId="77777777" w:rsidR="00D06F2D" w:rsidRPr="00D06F2D" w:rsidRDefault="00D06F2D" w:rsidP="00D06F2D">
      <w:pPr>
        <w:pStyle w:val="EndNoteBibliography"/>
        <w:ind w:left="720" w:hanging="720"/>
        <w:rPr>
          <w:noProof/>
        </w:rPr>
      </w:pPr>
      <w:r w:rsidRPr="00D06F2D">
        <w:rPr>
          <w:noProof/>
        </w:rPr>
        <w:t xml:space="preserve">SORENSEN, L., SIDDALL, P. J., TRENELL, M. I. &amp; YUE, D. K. 2008. Differences in metabolites in pain-processing brain regions in patients with diabetes and painful neuropathy. </w:t>
      </w:r>
      <w:r w:rsidRPr="00D06F2D">
        <w:rPr>
          <w:i/>
          <w:noProof/>
        </w:rPr>
        <w:t>Diabetes Care,</w:t>
      </w:r>
      <w:r w:rsidRPr="00D06F2D">
        <w:rPr>
          <w:noProof/>
        </w:rPr>
        <w:t xml:space="preserve"> 31</w:t>
      </w:r>
      <w:r w:rsidRPr="00D06F2D">
        <w:rPr>
          <w:b/>
          <w:noProof/>
        </w:rPr>
        <w:t>,</w:t>
      </w:r>
      <w:r w:rsidRPr="00D06F2D">
        <w:rPr>
          <w:noProof/>
        </w:rPr>
        <w:t xml:space="preserve"> 980-981.</w:t>
      </w:r>
    </w:p>
    <w:p w14:paraId="3D988FBA" w14:textId="77777777" w:rsidR="00D06F2D" w:rsidRPr="00D06F2D" w:rsidRDefault="00D06F2D" w:rsidP="00D06F2D">
      <w:pPr>
        <w:pStyle w:val="EndNoteBibliography"/>
        <w:ind w:left="720" w:hanging="720"/>
        <w:rPr>
          <w:noProof/>
        </w:rPr>
      </w:pPr>
      <w:r w:rsidRPr="00D06F2D">
        <w:rPr>
          <w:noProof/>
        </w:rPr>
        <w:t xml:space="preserve">SPIELBERGER, C. D., GORSSUCH, R. L., LUSHENE, P. R., VAGG, P. R. &amp; JACOBS, G. A. 1983. </w:t>
      </w:r>
      <w:r w:rsidRPr="00D06F2D">
        <w:rPr>
          <w:i/>
          <w:noProof/>
        </w:rPr>
        <w:t>Manual for the State-Trait Anxiety Inventory.</w:t>
      </w:r>
      <w:r w:rsidRPr="00D06F2D">
        <w:rPr>
          <w:noProof/>
        </w:rPr>
        <w:t>, Consulting Psychologists Press, Inc.</w:t>
      </w:r>
    </w:p>
    <w:p w14:paraId="34AD5ED3" w14:textId="77777777" w:rsidR="00D06F2D" w:rsidRPr="00D06F2D" w:rsidRDefault="00D06F2D" w:rsidP="00D06F2D">
      <w:pPr>
        <w:pStyle w:val="EndNoteBibliography"/>
        <w:ind w:left="720" w:hanging="720"/>
        <w:rPr>
          <w:noProof/>
        </w:rPr>
      </w:pPr>
      <w:r w:rsidRPr="00D06F2D">
        <w:rPr>
          <w:noProof/>
        </w:rPr>
        <w:t xml:space="preserve">STEFANO, N. D., MATTHEWS, P. M. &amp; ARNOLD, D. L. 1995. Reversible decreases in N </w:t>
      </w:r>
      <w:r w:rsidRPr="00D06F2D">
        <w:rPr>
          <w:rFonts w:ascii="Cambria Math" w:hAnsi="Cambria Math" w:cs="Cambria Math"/>
          <w:noProof/>
        </w:rPr>
        <w:t>‐</w:t>
      </w:r>
      <w:r w:rsidRPr="00D06F2D">
        <w:rPr>
          <w:noProof/>
        </w:rPr>
        <w:t xml:space="preserve">acetylaspartate after acute brain injury. </w:t>
      </w:r>
      <w:r w:rsidRPr="00D06F2D">
        <w:rPr>
          <w:i/>
          <w:noProof/>
        </w:rPr>
        <w:t>Magnetic Resonance in Medicine,</w:t>
      </w:r>
      <w:r w:rsidRPr="00D06F2D">
        <w:rPr>
          <w:noProof/>
        </w:rPr>
        <w:t xml:space="preserve"> 34</w:t>
      </w:r>
      <w:r w:rsidRPr="00D06F2D">
        <w:rPr>
          <w:b/>
          <w:noProof/>
        </w:rPr>
        <w:t>,</w:t>
      </w:r>
      <w:r w:rsidRPr="00D06F2D">
        <w:rPr>
          <w:noProof/>
        </w:rPr>
        <w:t xml:space="preserve"> 721-727.</w:t>
      </w:r>
    </w:p>
    <w:p w14:paraId="5D74D1DC" w14:textId="77777777" w:rsidR="00D06F2D" w:rsidRPr="00D06F2D" w:rsidRDefault="00D06F2D" w:rsidP="00D06F2D">
      <w:pPr>
        <w:pStyle w:val="EndNoteBibliography"/>
        <w:ind w:left="720" w:hanging="720"/>
        <w:rPr>
          <w:noProof/>
        </w:rPr>
      </w:pPr>
      <w:r w:rsidRPr="00D06F2D">
        <w:rPr>
          <w:noProof/>
        </w:rPr>
        <w:t xml:space="preserve">STEHOUWER, C. D. A. 2018. Microvascular Dysfunction and Hyperglycemia: A Vicious Cycle With Widespread Consequences. </w:t>
      </w:r>
      <w:r w:rsidRPr="00D06F2D">
        <w:rPr>
          <w:i/>
          <w:noProof/>
        </w:rPr>
        <w:t>Diabetes,</w:t>
      </w:r>
      <w:r w:rsidRPr="00D06F2D">
        <w:rPr>
          <w:noProof/>
        </w:rPr>
        <w:t xml:space="preserve"> 67</w:t>
      </w:r>
      <w:r w:rsidRPr="00D06F2D">
        <w:rPr>
          <w:b/>
          <w:noProof/>
        </w:rPr>
        <w:t>,</w:t>
      </w:r>
      <w:r w:rsidRPr="00D06F2D">
        <w:rPr>
          <w:noProof/>
        </w:rPr>
        <w:t xml:space="preserve"> 1729-1741.</w:t>
      </w:r>
    </w:p>
    <w:p w14:paraId="471973B0" w14:textId="77777777" w:rsidR="00D06F2D" w:rsidRPr="00D06F2D" w:rsidRDefault="00D06F2D" w:rsidP="00D06F2D">
      <w:pPr>
        <w:pStyle w:val="EndNoteBibliography"/>
        <w:ind w:left="720" w:hanging="720"/>
        <w:rPr>
          <w:noProof/>
        </w:rPr>
      </w:pPr>
      <w:r w:rsidRPr="00D06F2D">
        <w:rPr>
          <w:noProof/>
        </w:rPr>
        <w:t xml:space="preserve">STOIMENOVA-POPOVA, M., VALKOVA, M., VELEVA, I., TUMBEV, L., CHUMPALOVA, P. &amp; TODOROV, A. 2017. Diabetes mellitus type 2 personality and relations with diabetic chronic complications-Pilot study. </w:t>
      </w:r>
      <w:r w:rsidRPr="00D06F2D">
        <w:rPr>
          <w:i/>
          <w:noProof/>
        </w:rPr>
        <w:t>European Psychiatry,</w:t>
      </w:r>
      <w:r w:rsidRPr="00D06F2D">
        <w:rPr>
          <w:noProof/>
        </w:rPr>
        <w:t xml:space="preserve"> 41</w:t>
      </w:r>
      <w:r w:rsidRPr="00D06F2D">
        <w:rPr>
          <w:b/>
          <w:noProof/>
        </w:rPr>
        <w:t>,</w:t>
      </w:r>
      <w:r w:rsidRPr="00D06F2D">
        <w:rPr>
          <w:noProof/>
        </w:rPr>
        <w:t xml:space="preserve"> S507-S507.</w:t>
      </w:r>
    </w:p>
    <w:p w14:paraId="320B0343" w14:textId="77777777" w:rsidR="00D06F2D" w:rsidRPr="00D06F2D" w:rsidRDefault="00D06F2D" w:rsidP="00D06F2D">
      <w:pPr>
        <w:pStyle w:val="EndNoteBibliography"/>
        <w:ind w:left="720" w:hanging="720"/>
        <w:rPr>
          <w:noProof/>
        </w:rPr>
      </w:pPr>
      <w:r w:rsidRPr="00D06F2D">
        <w:rPr>
          <w:noProof/>
        </w:rPr>
        <w:t xml:space="preserve">SULLIVAN, M. J. L., BISHOP, S. R. &amp; PIVIK, J. 1995. The Pain Catastrophizing Scale: Development and validation. </w:t>
      </w:r>
      <w:r w:rsidRPr="00D06F2D">
        <w:rPr>
          <w:i/>
          <w:noProof/>
        </w:rPr>
        <w:t>Psychological Assessment,</w:t>
      </w:r>
      <w:r w:rsidRPr="00D06F2D">
        <w:rPr>
          <w:noProof/>
        </w:rPr>
        <w:t xml:space="preserve"> 7</w:t>
      </w:r>
      <w:r w:rsidRPr="00D06F2D">
        <w:rPr>
          <w:b/>
          <w:noProof/>
        </w:rPr>
        <w:t>,</w:t>
      </w:r>
      <w:r w:rsidRPr="00D06F2D">
        <w:rPr>
          <w:noProof/>
        </w:rPr>
        <w:t xml:space="preserve"> 524-532.</w:t>
      </w:r>
    </w:p>
    <w:p w14:paraId="40F16B04" w14:textId="77777777" w:rsidR="00D06F2D" w:rsidRPr="00D06F2D" w:rsidRDefault="00D06F2D" w:rsidP="00D06F2D">
      <w:pPr>
        <w:pStyle w:val="EndNoteBibliography"/>
        <w:ind w:left="720" w:hanging="720"/>
        <w:rPr>
          <w:noProof/>
        </w:rPr>
      </w:pPr>
      <w:r w:rsidRPr="00D06F2D">
        <w:rPr>
          <w:noProof/>
        </w:rPr>
        <w:t xml:space="preserve">SULLIVAN, M. J. L., LYNCH, M. E. &amp; CLARK, A. J. 2005. Dimensions of catastrophic thinking associated with pain experience and disability in patients with neuropathic pain conditions. </w:t>
      </w:r>
      <w:r w:rsidRPr="00D06F2D">
        <w:rPr>
          <w:i/>
          <w:noProof/>
        </w:rPr>
        <w:t>Pain,</w:t>
      </w:r>
      <w:r w:rsidRPr="00D06F2D">
        <w:rPr>
          <w:noProof/>
        </w:rPr>
        <w:t xml:space="preserve"> 113</w:t>
      </w:r>
      <w:r w:rsidRPr="00D06F2D">
        <w:rPr>
          <w:b/>
          <w:noProof/>
        </w:rPr>
        <w:t>,</w:t>
      </w:r>
      <w:r w:rsidRPr="00D06F2D">
        <w:rPr>
          <w:noProof/>
        </w:rPr>
        <w:t xml:space="preserve"> 310-315.</w:t>
      </w:r>
    </w:p>
    <w:p w14:paraId="30049BF6" w14:textId="77777777" w:rsidR="00D06F2D" w:rsidRPr="00D06F2D" w:rsidRDefault="00D06F2D" w:rsidP="00D06F2D">
      <w:pPr>
        <w:pStyle w:val="EndNoteBibliography"/>
        <w:ind w:left="720" w:hanging="720"/>
        <w:rPr>
          <w:noProof/>
        </w:rPr>
      </w:pPr>
      <w:r w:rsidRPr="00D06F2D">
        <w:rPr>
          <w:noProof/>
        </w:rPr>
        <w:t xml:space="preserve">SUNDQUIST, K. &amp; LI, X. 2006. Type 1 diabetes as a risk factor for stroke in men and women aged 15-49: a nationwide study from Sweden. </w:t>
      </w:r>
      <w:r w:rsidRPr="00D06F2D">
        <w:rPr>
          <w:i/>
          <w:noProof/>
        </w:rPr>
        <w:t>Diabetic Medicine,</w:t>
      </w:r>
      <w:r w:rsidRPr="00D06F2D">
        <w:rPr>
          <w:noProof/>
        </w:rPr>
        <w:t xml:space="preserve"> 23</w:t>
      </w:r>
      <w:r w:rsidRPr="00D06F2D">
        <w:rPr>
          <w:b/>
          <w:noProof/>
        </w:rPr>
        <w:t>,</w:t>
      </w:r>
      <w:r w:rsidRPr="00D06F2D">
        <w:rPr>
          <w:noProof/>
        </w:rPr>
        <w:t xml:space="preserve"> 1261-1267.</w:t>
      </w:r>
    </w:p>
    <w:p w14:paraId="1FC6FFA1" w14:textId="77777777" w:rsidR="00D06F2D" w:rsidRPr="00D06F2D" w:rsidRDefault="00D06F2D" w:rsidP="00D06F2D">
      <w:pPr>
        <w:pStyle w:val="EndNoteBibliography"/>
        <w:ind w:left="720" w:hanging="720"/>
        <w:rPr>
          <w:noProof/>
        </w:rPr>
      </w:pPr>
      <w:r w:rsidRPr="00D06F2D">
        <w:rPr>
          <w:noProof/>
        </w:rPr>
        <w:t xml:space="preserve">SVEEN, K. A., KARIMÉ, B., JØRUM, E., MELLGREN, S. I., FAGERLAND, M. W., MONNIER, V. M., DAHL-JØRGENSEN, K. &amp; HANSSEN, K. F. 2013. Small- </w:t>
      </w:r>
      <w:r w:rsidRPr="00D06F2D">
        <w:rPr>
          <w:noProof/>
        </w:rPr>
        <w:lastRenderedPageBreak/>
        <w:t xml:space="preserve">and large-fiber neuropathy after 40 years of type 1 diabetes: Associations with glycem ic control andadvanced protein glycation: The Oslo Study. </w:t>
      </w:r>
      <w:r w:rsidRPr="00D06F2D">
        <w:rPr>
          <w:i/>
          <w:noProof/>
        </w:rPr>
        <w:t>Diabetes Care,</w:t>
      </w:r>
      <w:r w:rsidRPr="00D06F2D">
        <w:rPr>
          <w:noProof/>
        </w:rPr>
        <w:t xml:space="preserve"> 36</w:t>
      </w:r>
      <w:r w:rsidRPr="00D06F2D">
        <w:rPr>
          <w:b/>
          <w:noProof/>
        </w:rPr>
        <w:t>,</w:t>
      </w:r>
      <w:r w:rsidRPr="00D06F2D">
        <w:rPr>
          <w:noProof/>
        </w:rPr>
        <w:t xml:space="preserve"> 3712-3717.</w:t>
      </w:r>
    </w:p>
    <w:p w14:paraId="24C4558E" w14:textId="77777777" w:rsidR="00D06F2D" w:rsidRPr="00D06F2D" w:rsidRDefault="00D06F2D" w:rsidP="00D06F2D">
      <w:pPr>
        <w:pStyle w:val="EndNoteBibliography"/>
        <w:ind w:left="720" w:hanging="720"/>
        <w:rPr>
          <w:noProof/>
        </w:rPr>
      </w:pPr>
      <w:r w:rsidRPr="00D06F2D">
        <w:rPr>
          <w:noProof/>
        </w:rPr>
        <w:t xml:space="preserve">SZUCS, D. &amp; IOANNIDIS, J. P. A. 2020. Sample size evolution in neuroimaging research: An evaluation of highly-cited studies (1990–2012) and of latest practices (2017–2018) in high-impact journals. </w:t>
      </w:r>
      <w:r w:rsidRPr="00D06F2D">
        <w:rPr>
          <w:i/>
          <w:noProof/>
        </w:rPr>
        <w:t>NeuroImage (Orlando, Fla.),</w:t>
      </w:r>
      <w:r w:rsidRPr="00D06F2D">
        <w:rPr>
          <w:noProof/>
        </w:rPr>
        <w:t xml:space="preserve"> 221</w:t>
      </w:r>
      <w:r w:rsidRPr="00D06F2D">
        <w:rPr>
          <w:b/>
          <w:noProof/>
        </w:rPr>
        <w:t>,</w:t>
      </w:r>
      <w:r w:rsidRPr="00D06F2D">
        <w:rPr>
          <w:noProof/>
        </w:rPr>
        <w:t xml:space="preserve"> 117164.</w:t>
      </w:r>
    </w:p>
    <w:p w14:paraId="05759514" w14:textId="77777777" w:rsidR="00D06F2D" w:rsidRPr="00D06F2D" w:rsidRDefault="00D06F2D" w:rsidP="00D06F2D">
      <w:pPr>
        <w:pStyle w:val="EndNoteBibliography"/>
        <w:ind w:left="720" w:hanging="720"/>
        <w:rPr>
          <w:noProof/>
        </w:rPr>
      </w:pPr>
      <w:r w:rsidRPr="00D06F2D">
        <w:rPr>
          <w:noProof/>
        </w:rPr>
        <w:t xml:space="preserve">TANASESCU, R., COTTAM, W. J., CONDON, L., TENCH, C. R. &amp; AUER, D. P. 2016. Functional reorganisation in chronic pain and neural correlates of pain sensitisation: A coordinate based meta-analysis of 266 cutaneous pain fMRI studies. </w:t>
      </w:r>
      <w:r w:rsidRPr="00D06F2D">
        <w:rPr>
          <w:i/>
          <w:noProof/>
        </w:rPr>
        <w:t>Neurosci Biobehav Rev,</w:t>
      </w:r>
      <w:r w:rsidRPr="00D06F2D">
        <w:rPr>
          <w:noProof/>
        </w:rPr>
        <w:t xml:space="preserve"> 68</w:t>
      </w:r>
      <w:r w:rsidRPr="00D06F2D">
        <w:rPr>
          <w:b/>
          <w:noProof/>
        </w:rPr>
        <w:t>,</w:t>
      </w:r>
      <w:r w:rsidRPr="00D06F2D">
        <w:rPr>
          <w:noProof/>
        </w:rPr>
        <w:t xml:space="preserve"> 120-33.</w:t>
      </w:r>
    </w:p>
    <w:p w14:paraId="208ACC20" w14:textId="77777777" w:rsidR="00D06F2D" w:rsidRPr="00D06F2D" w:rsidRDefault="00D06F2D" w:rsidP="00D06F2D">
      <w:pPr>
        <w:pStyle w:val="EndNoteBibliography"/>
        <w:ind w:left="720" w:hanging="720"/>
        <w:rPr>
          <w:noProof/>
        </w:rPr>
      </w:pPr>
      <w:r w:rsidRPr="00D06F2D">
        <w:rPr>
          <w:noProof/>
        </w:rPr>
        <w:t xml:space="preserve">TEGELER, C., STROTHER, S. C., ANDERSON, J. R. &amp; KIM, S. G. 1999. Reproducibility of BOLD-based functional MRI obtained at 4 T. </w:t>
      </w:r>
      <w:r w:rsidRPr="00D06F2D">
        <w:rPr>
          <w:i/>
          <w:noProof/>
        </w:rPr>
        <w:t>Human brain mapping,</w:t>
      </w:r>
      <w:r w:rsidRPr="00D06F2D">
        <w:rPr>
          <w:noProof/>
        </w:rPr>
        <w:t xml:space="preserve"> 7</w:t>
      </w:r>
      <w:r w:rsidRPr="00D06F2D">
        <w:rPr>
          <w:b/>
          <w:noProof/>
        </w:rPr>
        <w:t>,</w:t>
      </w:r>
      <w:r w:rsidRPr="00D06F2D">
        <w:rPr>
          <w:noProof/>
        </w:rPr>
        <w:t xml:space="preserve"> 267-283.</w:t>
      </w:r>
    </w:p>
    <w:p w14:paraId="46851BF5" w14:textId="77777777" w:rsidR="00D06F2D" w:rsidRPr="00D06F2D" w:rsidRDefault="00D06F2D" w:rsidP="00D06F2D">
      <w:pPr>
        <w:pStyle w:val="EndNoteBibliography"/>
        <w:ind w:left="720" w:hanging="720"/>
        <w:rPr>
          <w:noProof/>
        </w:rPr>
      </w:pPr>
      <w:r w:rsidRPr="00D06F2D">
        <w:rPr>
          <w:noProof/>
        </w:rPr>
        <w:t xml:space="preserve">TESFAYE, S. 2015. Neuropathy in diabetes. </w:t>
      </w:r>
      <w:r w:rsidRPr="00D06F2D">
        <w:rPr>
          <w:i/>
          <w:noProof/>
        </w:rPr>
        <w:t>Medicine,</w:t>
      </w:r>
      <w:r w:rsidRPr="00D06F2D">
        <w:rPr>
          <w:noProof/>
        </w:rPr>
        <w:t xml:space="preserve"> 43</w:t>
      </w:r>
      <w:r w:rsidRPr="00D06F2D">
        <w:rPr>
          <w:b/>
          <w:noProof/>
        </w:rPr>
        <w:t>,</w:t>
      </w:r>
      <w:r w:rsidRPr="00D06F2D">
        <w:rPr>
          <w:noProof/>
        </w:rPr>
        <w:t xml:space="preserve"> 26-32.</w:t>
      </w:r>
    </w:p>
    <w:p w14:paraId="4B21A75E" w14:textId="77777777" w:rsidR="00D06F2D" w:rsidRPr="00D06F2D" w:rsidRDefault="00D06F2D" w:rsidP="00D06F2D">
      <w:pPr>
        <w:pStyle w:val="EndNoteBibliography"/>
        <w:ind w:left="720" w:hanging="720"/>
        <w:rPr>
          <w:noProof/>
        </w:rPr>
      </w:pPr>
      <w:r w:rsidRPr="00D06F2D">
        <w:rPr>
          <w:noProof/>
        </w:rPr>
        <w:t xml:space="preserve">TESFAYE, S., BOULTON, A. J. M., DYCK, P. J., FREEMAN, R., HOROWITZ, M., KEMPLER, P., LAURIA, G., MALIK, R. A., SPALLONE, V., VINIK, A., BERNARDI, L., VALENSI, P., FRONTONI, S. &amp; TORONTO DIABET NEUROPATHY EXPERT, G. 2010a. Diabetic Neuropathies: Update on Definitions, Diagnostic Criteria, Estimation of Severity, and Treatments. </w:t>
      </w:r>
      <w:r w:rsidRPr="00D06F2D">
        <w:rPr>
          <w:i/>
          <w:noProof/>
        </w:rPr>
        <w:t>Diabetes Care,</w:t>
      </w:r>
      <w:r w:rsidRPr="00D06F2D">
        <w:rPr>
          <w:noProof/>
        </w:rPr>
        <w:t xml:space="preserve"> 33</w:t>
      </w:r>
      <w:r w:rsidRPr="00D06F2D">
        <w:rPr>
          <w:b/>
          <w:noProof/>
        </w:rPr>
        <w:t>,</w:t>
      </w:r>
      <w:r w:rsidRPr="00D06F2D">
        <w:rPr>
          <w:noProof/>
        </w:rPr>
        <w:t xml:space="preserve"> 2285-2293.</w:t>
      </w:r>
    </w:p>
    <w:p w14:paraId="31C7909B" w14:textId="77777777" w:rsidR="00D06F2D" w:rsidRPr="00D06F2D" w:rsidRDefault="00D06F2D" w:rsidP="00D06F2D">
      <w:pPr>
        <w:pStyle w:val="EndNoteBibliography"/>
        <w:ind w:left="720" w:hanging="720"/>
        <w:rPr>
          <w:noProof/>
        </w:rPr>
      </w:pPr>
      <w:r w:rsidRPr="00D06F2D">
        <w:rPr>
          <w:noProof/>
        </w:rPr>
        <w:t xml:space="preserve">TESFAYE, S., BOULTON, A. J. M., DYCK, P. J., FREEMAN, R., HOROWITZ, M., KEMPLER, P., LAURIA, G., MALIK, R. A., SPALLONE, V., VINIK, A., BERNARDI, L., VALENSI, P. &amp; TORONTO DIABET NEUROPATHY EXPERT, G. 2010b. Diabetic Neuropathies: Update on Definitions, Diagnostic Criteria, Estimation of Severity, and Treatments. </w:t>
      </w:r>
      <w:r w:rsidRPr="00D06F2D">
        <w:rPr>
          <w:i/>
          <w:noProof/>
        </w:rPr>
        <w:t>Diabetes Care,</w:t>
      </w:r>
      <w:r w:rsidRPr="00D06F2D">
        <w:rPr>
          <w:noProof/>
        </w:rPr>
        <w:t xml:space="preserve"> 33.</w:t>
      </w:r>
    </w:p>
    <w:p w14:paraId="7C35F361" w14:textId="77777777" w:rsidR="00D06F2D" w:rsidRPr="00D06F2D" w:rsidRDefault="00D06F2D" w:rsidP="00D06F2D">
      <w:pPr>
        <w:pStyle w:val="EndNoteBibliography"/>
        <w:ind w:left="720" w:hanging="720"/>
        <w:rPr>
          <w:noProof/>
        </w:rPr>
      </w:pPr>
      <w:r w:rsidRPr="00D06F2D">
        <w:rPr>
          <w:noProof/>
        </w:rPr>
        <w:t xml:space="preserve">TESFAYE, S., CHATURVEDI, N., EATON, S. E. M., WARD, J. D., MANES, C., IONESCU-TIRGOVISTE, C., WITTE, D. R., FULLER, J. H. &amp; COMPLICATIONS, E. P. 2005. Vascular risk factors and diabetic neuropathy. </w:t>
      </w:r>
      <w:r w:rsidRPr="00D06F2D">
        <w:rPr>
          <w:i/>
          <w:noProof/>
        </w:rPr>
        <w:t>New England Journal of Medicine,</w:t>
      </w:r>
      <w:r w:rsidRPr="00D06F2D">
        <w:rPr>
          <w:noProof/>
        </w:rPr>
        <w:t xml:space="preserve"> 352.</w:t>
      </w:r>
    </w:p>
    <w:p w14:paraId="343CB985" w14:textId="77777777" w:rsidR="00D06F2D" w:rsidRPr="00D06F2D" w:rsidRDefault="00D06F2D" w:rsidP="00D06F2D">
      <w:pPr>
        <w:pStyle w:val="EndNoteBibliography"/>
        <w:ind w:left="720" w:hanging="720"/>
        <w:rPr>
          <w:noProof/>
        </w:rPr>
      </w:pPr>
      <w:r w:rsidRPr="00D06F2D">
        <w:rPr>
          <w:noProof/>
        </w:rPr>
        <w:t xml:space="preserve">TESFAYE, S., GANDHI, R. A., EMERY, C. J., BOWLER, H. &amp; SELVARAJAH, D. 2007. Depression is a major confounder of outcomes in clinical intervention trials of therapeutic compounds in painful diabetic neuropathy. </w:t>
      </w:r>
      <w:r w:rsidRPr="00D06F2D">
        <w:rPr>
          <w:i/>
          <w:noProof/>
        </w:rPr>
        <w:t>Diabetologia,</w:t>
      </w:r>
      <w:r w:rsidRPr="00D06F2D">
        <w:rPr>
          <w:noProof/>
        </w:rPr>
        <w:t xml:space="preserve"> 50</w:t>
      </w:r>
      <w:r w:rsidRPr="00D06F2D">
        <w:rPr>
          <w:b/>
          <w:noProof/>
        </w:rPr>
        <w:t>,</w:t>
      </w:r>
      <w:r w:rsidRPr="00D06F2D">
        <w:rPr>
          <w:noProof/>
        </w:rPr>
        <w:t xml:space="preserve"> S471-S471.</w:t>
      </w:r>
    </w:p>
    <w:p w14:paraId="6ED3CC25" w14:textId="77777777" w:rsidR="00D06F2D" w:rsidRPr="00D06F2D" w:rsidRDefault="00D06F2D" w:rsidP="00D06F2D">
      <w:pPr>
        <w:pStyle w:val="EndNoteBibliography"/>
        <w:ind w:left="720" w:hanging="720"/>
        <w:rPr>
          <w:noProof/>
        </w:rPr>
      </w:pPr>
      <w:r w:rsidRPr="00D06F2D">
        <w:rPr>
          <w:noProof/>
        </w:rPr>
        <w:t xml:space="preserve">TESFAYE, S., HARRIS, N., JAKUBOWSKI, J. J., MODY, C., WILSON, R. M., RENNIE, I. G. &amp; WARD, J. D. 1993. IMPAIRED BLOOD-FLOW AND ARTERIOVENOUS SHUNTING IN HUMAN DIABETIC NEUROPATHY - A NOVEL TECHNIQUE OF NERVE PHOTOGRAPHY AND FLUORESCEIN ANGIOGRAPHY. </w:t>
      </w:r>
      <w:r w:rsidRPr="00D06F2D">
        <w:rPr>
          <w:i/>
          <w:noProof/>
        </w:rPr>
        <w:t>Diabetologia,</w:t>
      </w:r>
      <w:r w:rsidRPr="00D06F2D">
        <w:rPr>
          <w:noProof/>
        </w:rPr>
        <w:t xml:space="preserve"> 36</w:t>
      </w:r>
      <w:r w:rsidRPr="00D06F2D">
        <w:rPr>
          <w:b/>
          <w:noProof/>
        </w:rPr>
        <w:t>,</w:t>
      </w:r>
      <w:r w:rsidRPr="00D06F2D">
        <w:rPr>
          <w:noProof/>
        </w:rPr>
        <w:t xml:space="preserve"> 1266-1274.</w:t>
      </w:r>
    </w:p>
    <w:p w14:paraId="79A333C3" w14:textId="77777777" w:rsidR="00D06F2D" w:rsidRPr="00D06F2D" w:rsidRDefault="00D06F2D" w:rsidP="00D06F2D">
      <w:pPr>
        <w:pStyle w:val="EndNoteBibliography"/>
        <w:ind w:left="720" w:hanging="720"/>
        <w:rPr>
          <w:noProof/>
        </w:rPr>
      </w:pPr>
      <w:r w:rsidRPr="00D06F2D">
        <w:rPr>
          <w:noProof/>
        </w:rPr>
        <w:t xml:space="preserve">TESFAYE, S., MALIK, R., HARRIS, N., JAKUBOWSKI, J. J., MODY, C., RENNIE, I. G. &amp; WARD, J. D. 1996a. Arterio-venous shunting and proliferating new vessels in acute painful neuropathy of rapid glycaemic control (insulin neuritis). </w:t>
      </w:r>
      <w:r w:rsidRPr="00D06F2D">
        <w:rPr>
          <w:i/>
          <w:noProof/>
        </w:rPr>
        <w:t>Diabetologia,</w:t>
      </w:r>
      <w:r w:rsidRPr="00D06F2D">
        <w:rPr>
          <w:noProof/>
        </w:rPr>
        <w:t xml:space="preserve"> 39.</w:t>
      </w:r>
    </w:p>
    <w:p w14:paraId="46B10E3F" w14:textId="77777777" w:rsidR="00D06F2D" w:rsidRPr="00D06F2D" w:rsidRDefault="00D06F2D" w:rsidP="00D06F2D">
      <w:pPr>
        <w:pStyle w:val="EndNoteBibliography"/>
        <w:ind w:left="720" w:hanging="720"/>
        <w:rPr>
          <w:noProof/>
        </w:rPr>
      </w:pPr>
      <w:r w:rsidRPr="00D06F2D">
        <w:rPr>
          <w:noProof/>
        </w:rPr>
        <w:t xml:space="preserve">TESFAYE, S., MALIK, R. &amp; WARD, J. D. 1994. VASCULAR FACTORS IN DIABETIC NEUROPATHY. </w:t>
      </w:r>
      <w:r w:rsidRPr="00D06F2D">
        <w:rPr>
          <w:i/>
          <w:noProof/>
        </w:rPr>
        <w:t>Diabetologia,</w:t>
      </w:r>
      <w:r w:rsidRPr="00D06F2D">
        <w:rPr>
          <w:noProof/>
        </w:rPr>
        <w:t xml:space="preserve"> 37</w:t>
      </w:r>
      <w:r w:rsidRPr="00D06F2D">
        <w:rPr>
          <w:b/>
          <w:noProof/>
        </w:rPr>
        <w:t>,</w:t>
      </w:r>
      <w:r w:rsidRPr="00D06F2D">
        <w:rPr>
          <w:noProof/>
        </w:rPr>
        <w:t xml:space="preserve"> 847-854.</w:t>
      </w:r>
    </w:p>
    <w:p w14:paraId="1B2472AE" w14:textId="77777777" w:rsidR="00D06F2D" w:rsidRPr="00D06F2D" w:rsidRDefault="00D06F2D" w:rsidP="00D06F2D">
      <w:pPr>
        <w:pStyle w:val="EndNoteBibliography"/>
        <w:ind w:left="720" w:hanging="720"/>
        <w:rPr>
          <w:noProof/>
        </w:rPr>
      </w:pPr>
      <w:r w:rsidRPr="00D06F2D">
        <w:rPr>
          <w:noProof/>
        </w:rPr>
        <w:t xml:space="preserve">TESFAYE, S. &amp; SELVARAJAH, D. 2012. Advances in the epidemiology, pathogenesis and management of diabetic peripheral neuropathy. </w:t>
      </w:r>
      <w:r w:rsidRPr="00D06F2D">
        <w:rPr>
          <w:i/>
          <w:noProof/>
        </w:rPr>
        <w:t>Diabetes Metab Res Rev,</w:t>
      </w:r>
      <w:r w:rsidRPr="00D06F2D">
        <w:rPr>
          <w:noProof/>
        </w:rPr>
        <w:t xml:space="preserve"> 28 Suppl 1</w:t>
      </w:r>
      <w:r w:rsidRPr="00D06F2D">
        <w:rPr>
          <w:b/>
          <w:noProof/>
        </w:rPr>
        <w:t>,</w:t>
      </w:r>
      <w:r w:rsidRPr="00D06F2D">
        <w:rPr>
          <w:noProof/>
        </w:rPr>
        <w:t xml:space="preserve"> 8-14.</w:t>
      </w:r>
    </w:p>
    <w:p w14:paraId="25265EA0" w14:textId="77777777" w:rsidR="00D06F2D" w:rsidRPr="00D06F2D" w:rsidRDefault="00D06F2D" w:rsidP="00D06F2D">
      <w:pPr>
        <w:pStyle w:val="EndNoteBibliography"/>
        <w:ind w:left="720" w:hanging="720"/>
        <w:rPr>
          <w:noProof/>
        </w:rPr>
      </w:pPr>
      <w:r w:rsidRPr="00D06F2D">
        <w:rPr>
          <w:noProof/>
        </w:rPr>
        <w:t xml:space="preserve">TESFAYE, S., SELVARAJAH, D., GANDHI, R., GREIG, M., SHILLO, P., FANG, F. &amp; WILKINSON, I. D. 2016. Diabetic peripheral neuropathy may not be as its </w:t>
      </w:r>
      <w:r w:rsidRPr="00D06F2D">
        <w:rPr>
          <w:noProof/>
        </w:rPr>
        <w:lastRenderedPageBreak/>
        <w:t xml:space="preserve">name suggests: evidence from magnetic resonance imaging. </w:t>
      </w:r>
      <w:r w:rsidRPr="00D06F2D">
        <w:rPr>
          <w:i/>
          <w:noProof/>
        </w:rPr>
        <w:t>Pain,</w:t>
      </w:r>
      <w:r w:rsidRPr="00D06F2D">
        <w:rPr>
          <w:noProof/>
        </w:rPr>
        <w:t xml:space="preserve"> 157 Suppl 1</w:t>
      </w:r>
      <w:r w:rsidRPr="00D06F2D">
        <w:rPr>
          <w:b/>
          <w:noProof/>
        </w:rPr>
        <w:t>,</w:t>
      </w:r>
      <w:r w:rsidRPr="00D06F2D">
        <w:rPr>
          <w:noProof/>
        </w:rPr>
        <w:t xml:space="preserve"> S72-80.</w:t>
      </w:r>
    </w:p>
    <w:p w14:paraId="42D9BD75" w14:textId="77777777" w:rsidR="00D06F2D" w:rsidRPr="00D06F2D" w:rsidRDefault="00D06F2D" w:rsidP="00D06F2D">
      <w:pPr>
        <w:pStyle w:val="EndNoteBibliography"/>
        <w:ind w:left="720" w:hanging="720"/>
        <w:rPr>
          <w:noProof/>
        </w:rPr>
      </w:pPr>
      <w:r w:rsidRPr="00D06F2D">
        <w:rPr>
          <w:noProof/>
        </w:rPr>
        <w:t xml:space="preserve">TESFAYE, S., STEVENS, L. K., STEPHENSON, J. M., FULLER, J. H., PLATER, M., IONESCUTIRGOVISTE, C., NUBER, A., POZZA, G. &amp; WARD, J. D. 1996b. Prevalence of diabetic peripheral neuropathy and its relation to glycaemic control and potential risk factors: The EURODIAB IDDM Complications Study. </w:t>
      </w:r>
      <w:r w:rsidRPr="00D06F2D">
        <w:rPr>
          <w:i/>
          <w:noProof/>
        </w:rPr>
        <w:t>Diabetologia,</w:t>
      </w:r>
      <w:r w:rsidRPr="00D06F2D">
        <w:rPr>
          <w:noProof/>
        </w:rPr>
        <w:t xml:space="preserve"> 39</w:t>
      </w:r>
      <w:r w:rsidRPr="00D06F2D">
        <w:rPr>
          <w:b/>
          <w:noProof/>
        </w:rPr>
        <w:t>,</w:t>
      </w:r>
      <w:r w:rsidRPr="00D06F2D">
        <w:rPr>
          <w:noProof/>
        </w:rPr>
        <w:t xml:space="preserve"> 1377-1384.</w:t>
      </w:r>
    </w:p>
    <w:p w14:paraId="1097BD36" w14:textId="77777777" w:rsidR="00D06F2D" w:rsidRPr="00D06F2D" w:rsidRDefault="00D06F2D" w:rsidP="00D06F2D">
      <w:pPr>
        <w:pStyle w:val="EndNoteBibliography"/>
        <w:ind w:left="720" w:hanging="720"/>
        <w:rPr>
          <w:noProof/>
        </w:rPr>
      </w:pPr>
      <w:r w:rsidRPr="00D06F2D">
        <w:rPr>
          <w:noProof/>
        </w:rPr>
        <w:t xml:space="preserve">TESFAYE, S., VILEIKYTE, L., RAYMAN, G., SINDRUP, S. H., PERKINS, B. A., BACONJA, M., VINIK, A. I., BOULTON, A. J. M. &amp; TORONTO EXPERT PANEL, D. 2011. Painful diabetic peripheral neuropathy: consensus recommendations on diagnosis, assessment and management. </w:t>
      </w:r>
      <w:r w:rsidRPr="00D06F2D">
        <w:rPr>
          <w:i/>
          <w:noProof/>
        </w:rPr>
        <w:t>Diabetes-Metabolism Research and Reviews,</w:t>
      </w:r>
      <w:r w:rsidRPr="00D06F2D">
        <w:rPr>
          <w:noProof/>
        </w:rPr>
        <w:t xml:space="preserve"> 27</w:t>
      </w:r>
      <w:r w:rsidRPr="00D06F2D">
        <w:rPr>
          <w:b/>
          <w:noProof/>
        </w:rPr>
        <w:t>,</w:t>
      </w:r>
      <w:r w:rsidRPr="00D06F2D">
        <w:rPr>
          <w:noProof/>
        </w:rPr>
        <w:t xml:space="preserve"> 629-638.</w:t>
      </w:r>
    </w:p>
    <w:p w14:paraId="61D717DA" w14:textId="77777777" w:rsidR="00D06F2D" w:rsidRPr="00D06F2D" w:rsidRDefault="00D06F2D" w:rsidP="00D06F2D">
      <w:pPr>
        <w:pStyle w:val="EndNoteBibliography"/>
        <w:ind w:left="720" w:hanging="720"/>
        <w:rPr>
          <w:noProof/>
        </w:rPr>
      </w:pPr>
      <w:r w:rsidRPr="00D06F2D">
        <w:rPr>
          <w:noProof/>
        </w:rPr>
        <w:t xml:space="preserve">TESFAYE, S., WATT, J., BENBOW, S. J., PANG, K. A., MILES, J. &amp; MACFARLANE, I. A. 1996c. Electrical spinal-cord stimulation for painful diabetic peripheral neuropathy. </w:t>
      </w:r>
      <w:r w:rsidRPr="00D06F2D">
        <w:rPr>
          <w:i/>
          <w:noProof/>
        </w:rPr>
        <w:t>Lancet,</w:t>
      </w:r>
      <w:r w:rsidRPr="00D06F2D">
        <w:rPr>
          <w:noProof/>
        </w:rPr>
        <w:t xml:space="preserve"> 348.</w:t>
      </w:r>
    </w:p>
    <w:p w14:paraId="3378C889" w14:textId="77777777" w:rsidR="00D06F2D" w:rsidRPr="00D06F2D" w:rsidRDefault="00D06F2D" w:rsidP="00D06F2D">
      <w:pPr>
        <w:pStyle w:val="EndNoteBibliography"/>
        <w:ind w:left="720" w:hanging="720"/>
        <w:rPr>
          <w:noProof/>
        </w:rPr>
      </w:pPr>
      <w:r w:rsidRPr="00D06F2D">
        <w:rPr>
          <w:noProof/>
        </w:rPr>
        <w:t xml:space="preserve">THEMISTOCLEOUS, A. C., RAMIREZ, J. D., SHILLO, P. R., LEES, J. G., SELVARAJAH, D., ORENGO, C., TESFAYE, S., RICE, A. S. C. &amp; BENNETT, D. L. H. 2016. The Pain in Neuropathy Study (PiNS): a cross-sectional observational study determining the somatosensory phenotype of painful and painless diabetic neuropathy. </w:t>
      </w:r>
      <w:r w:rsidRPr="00D06F2D">
        <w:rPr>
          <w:i/>
          <w:noProof/>
        </w:rPr>
        <w:t>Pain,</w:t>
      </w:r>
      <w:r w:rsidRPr="00D06F2D">
        <w:rPr>
          <w:noProof/>
        </w:rPr>
        <w:t xml:space="preserve"> 157</w:t>
      </w:r>
      <w:r w:rsidRPr="00D06F2D">
        <w:rPr>
          <w:b/>
          <w:noProof/>
        </w:rPr>
        <w:t>,</w:t>
      </w:r>
      <w:r w:rsidRPr="00D06F2D">
        <w:rPr>
          <w:noProof/>
        </w:rPr>
        <w:t xml:space="preserve"> 1132-1145.</w:t>
      </w:r>
    </w:p>
    <w:p w14:paraId="4D287535" w14:textId="77777777" w:rsidR="00D06F2D" w:rsidRPr="00D06F2D" w:rsidRDefault="00D06F2D" w:rsidP="00D06F2D">
      <w:pPr>
        <w:pStyle w:val="EndNoteBibliography"/>
        <w:ind w:left="720" w:hanging="720"/>
        <w:rPr>
          <w:noProof/>
        </w:rPr>
      </w:pPr>
      <w:r w:rsidRPr="00D06F2D">
        <w:rPr>
          <w:noProof/>
        </w:rPr>
        <w:t xml:space="preserve">THORNALLEY, P. 1990. The glyoxalase system: New developments towards functional characterization of a metabolic pathway fundamental to biological life. </w:t>
      </w:r>
      <w:r w:rsidRPr="00D06F2D">
        <w:rPr>
          <w:i/>
          <w:noProof/>
        </w:rPr>
        <w:t>Biochemical Journal,</w:t>
      </w:r>
      <w:r w:rsidRPr="00D06F2D">
        <w:rPr>
          <w:noProof/>
        </w:rPr>
        <w:t xml:space="preserve"> 269</w:t>
      </w:r>
      <w:r w:rsidRPr="00D06F2D">
        <w:rPr>
          <w:b/>
          <w:noProof/>
        </w:rPr>
        <w:t>,</w:t>
      </w:r>
      <w:r w:rsidRPr="00D06F2D">
        <w:rPr>
          <w:noProof/>
        </w:rPr>
        <w:t xml:space="preserve"> 1-11.</w:t>
      </w:r>
    </w:p>
    <w:p w14:paraId="5D0412E2" w14:textId="77777777" w:rsidR="00D06F2D" w:rsidRPr="00D06F2D" w:rsidRDefault="00D06F2D" w:rsidP="00D06F2D">
      <w:pPr>
        <w:pStyle w:val="EndNoteBibliography"/>
        <w:ind w:left="720" w:hanging="720"/>
        <w:rPr>
          <w:noProof/>
        </w:rPr>
      </w:pPr>
      <w:r w:rsidRPr="00D06F2D">
        <w:rPr>
          <w:noProof/>
        </w:rPr>
        <w:t xml:space="preserve">THRAINSDOTTIR, S., MALIK, R. A., DAHLIN, L. B., WIKSELL, P., ERIKSSON, K. F., ROSEN, I., PETERSSON, J., GREENE, D. A. &amp; SUNDKVIST, G. 2003. Endoneurial capillary abnormalities presage deterioration of glucose tolerance and accompany peripheral neuropathy in man. </w:t>
      </w:r>
      <w:r w:rsidRPr="00D06F2D">
        <w:rPr>
          <w:i/>
          <w:noProof/>
        </w:rPr>
        <w:t>Diabetes,</w:t>
      </w:r>
      <w:r w:rsidRPr="00D06F2D">
        <w:rPr>
          <w:noProof/>
        </w:rPr>
        <w:t xml:space="preserve"> 52</w:t>
      </w:r>
      <w:r w:rsidRPr="00D06F2D">
        <w:rPr>
          <w:b/>
          <w:noProof/>
        </w:rPr>
        <w:t>,</w:t>
      </w:r>
      <w:r w:rsidRPr="00D06F2D">
        <w:rPr>
          <w:noProof/>
        </w:rPr>
        <w:t xml:space="preserve"> 2615-2622.</w:t>
      </w:r>
    </w:p>
    <w:p w14:paraId="215DFEEA" w14:textId="77777777" w:rsidR="00D06F2D" w:rsidRPr="00D06F2D" w:rsidRDefault="00D06F2D" w:rsidP="00D06F2D">
      <w:pPr>
        <w:pStyle w:val="EndNoteBibliography"/>
        <w:ind w:left="720" w:hanging="720"/>
        <w:rPr>
          <w:noProof/>
        </w:rPr>
      </w:pPr>
      <w:r w:rsidRPr="00D06F2D">
        <w:rPr>
          <w:noProof/>
        </w:rPr>
        <w:t xml:space="preserve">TILTON, R. G., CHANG, K., HASAN, K. S., SMITH, S. R., PETRASH, J. M., MISKO, T. P., MOORE, W. M., CURRIE, M. G., CORBETT, J. A., MCDANIEL, M. L. &amp; WILLIAMSON, J. R. 1993. PREVENTION OF DIABETIC VASCULAR DYSFUNCTION BY GUANIDINES - INHIBITION OF NITRIC-OXIDE SYNTHASE VERSUS ADVANCED GLYCATION END-PRODUCT FORMATION. </w:t>
      </w:r>
      <w:r w:rsidRPr="00D06F2D">
        <w:rPr>
          <w:i/>
          <w:noProof/>
        </w:rPr>
        <w:t>Diabetes,</w:t>
      </w:r>
      <w:r w:rsidRPr="00D06F2D">
        <w:rPr>
          <w:noProof/>
        </w:rPr>
        <w:t xml:space="preserve"> 42</w:t>
      </w:r>
      <w:r w:rsidRPr="00D06F2D">
        <w:rPr>
          <w:b/>
          <w:noProof/>
        </w:rPr>
        <w:t>,</w:t>
      </w:r>
      <w:r w:rsidRPr="00D06F2D">
        <w:rPr>
          <w:noProof/>
        </w:rPr>
        <w:t xml:space="preserve"> 221-232.</w:t>
      </w:r>
    </w:p>
    <w:p w14:paraId="41E25C44" w14:textId="77777777" w:rsidR="00D06F2D" w:rsidRPr="00D06F2D" w:rsidRDefault="00D06F2D" w:rsidP="00D06F2D">
      <w:pPr>
        <w:pStyle w:val="EndNoteBibliography"/>
        <w:ind w:left="720" w:hanging="720"/>
        <w:rPr>
          <w:noProof/>
        </w:rPr>
      </w:pPr>
      <w:r w:rsidRPr="00D06F2D">
        <w:rPr>
          <w:noProof/>
        </w:rPr>
        <w:t xml:space="preserve">TOGNARELLI, J. M., DAWOOD, M., SHARIFF, M. I. F., GROVER, V. P. B., CROSSEY, M. M. E., COX, I. J., TAYLOR-ROBINSON, S. D. &amp; MCPHAIL, M. J. W. 2015. Magnetic Resonance Spectroscopy: Principles and Techniques: Lessons for Clinicians. </w:t>
      </w:r>
      <w:r w:rsidRPr="00D06F2D">
        <w:rPr>
          <w:i/>
          <w:noProof/>
        </w:rPr>
        <w:t>Journal of Clinical and Experimental Hepatology,</w:t>
      </w:r>
      <w:r w:rsidRPr="00D06F2D">
        <w:rPr>
          <w:noProof/>
        </w:rPr>
        <w:t xml:space="preserve"> 5</w:t>
      </w:r>
      <w:r w:rsidRPr="00D06F2D">
        <w:rPr>
          <w:b/>
          <w:noProof/>
        </w:rPr>
        <w:t>,</w:t>
      </w:r>
      <w:r w:rsidRPr="00D06F2D">
        <w:rPr>
          <w:noProof/>
        </w:rPr>
        <w:t xml:space="preserve"> 320-328.</w:t>
      </w:r>
    </w:p>
    <w:p w14:paraId="7A432A0B" w14:textId="77777777" w:rsidR="00D06F2D" w:rsidRPr="00D06F2D" w:rsidRDefault="00D06F2D" w:rsidP="00D06F2D">
      <w:pPr>
        <w:pStyle w:val="EndNoteBibliography"/>
        <w:ind w:left="720" w:hanging="720"/>
        <w:rPr>
          <w:noProof/>
        </w:rPr>
      </w:pPr>
      <w:r w:rsidRPr="00D06F2D">
        <w:rPr>
          <w:noProof/>
        </w:rPr>
        <w:t xml:space="preserve">TOLLE, T., XU, X. &amp; SADOSKY, A. B. 2006. Painful diabetic neuropathy: a cross-sectional survey of health state impairment and treatment patterns. </w:t>
      </w:r>
      <w:r w:rsidRPr="00D06F2D">
        <w:rPr>
          <w:i/>
          <w:noProof/>
        </w:rPr>
        <w:t>Journal of Diabetes and Its Complications,</w:t>
      </w:r>
      <w:r w:rsidRPr="00D06F2D">
        <w:rPr>
          <w:noProof/>
        </w:rPr>
        <w:t xml:space="preserve"> 20.</w:t>
      </w:r>
    </w:p>
    <w:p w14:paraId="298AF5D6" w14:textId="77777777" w:rsidR="00D06F2D" w:rsidRPr="00D06F2D" w:rsidRDefault="00D06F2D" w:rsidP="00D06F2D">
      <w:pPr>
        <w:pStyle w:val="EndNoteBibliography"/>
        <w:ind w:left="720" w:hanging="720"/>
        <w:rPr>
          <w:noProof/>
        </w:rPr>
      </w:pPr>
      <w:r w:rsidRPr="00D06F2D">
        <w:rPr>
          <w:noProof/>
        </w:rPr>
        <w:t xml:space="preserve">TOMANDL, B. F., KLOTZ, E., HANDSCHU, R., STEMPER, B., REINHARDT, F., HUK, W. J., EBERHARDT, K. E. &amp; FATEH-MOGHADAM, S. 2003. Comprehensive imaging of ischemic stroke with multisection CT. </w:t>
      </w:r>
      <w:r w:rsidRPr="00D06F2D">
        <w:rPr>
          <w:i/>
          <w:noProof/>
        </w:rPr>
        <w:t>Radiographics,</w:t>
      </w:r>
      <w:r w:rsidRPr="00D06F2D">
        <w:rPr>
          <w:noProof/>
        </w:rPr>
        <w:t xml:space="preserve"> 23</w:t>
      </w:r>
      <w:r w:rsidRPr="00D06F2D">
        <w:rPr>
          <w:b/>
          <w:noProof/>
        </w:rPr>
        <w:t>,</w:t>
      </w:r>
      <w:r w:rsidRPr="00D06F2D">
        <w:rPr>
          <w:noProof/>
        </w:rPr>
        <w:t xml:space="preserve"> 565-92.</w:t>
      </w:r>
    </w:p>
    <w:p w14:paraId="4C373434" w14:textId="77777777" w:rsidR="00D06F2D" w:rsidRPr="00D06F2D" w:rsidRDefault="00D06F2D" w:rsidP="00D06F2D">
      <w:pPr>
        <w:pStyle w:val="EndNoteBibliography"/>
        <w:ind w:left="720" w:hanging="720"/>
        <w:rPr>
          <w:noProof/>
        </w:rPr>
      </w:pPr>
      <w:r w:rsidRPr="00D06F2D">
        <w:rPr>
          <w:noProof/>
        </w:rPr>
        <w:t xml:space="preserve">TONNEIJCK, L., MUSKIET, M. H. A., SMITS, M. M., VAN BOMMEL, E. J., HEERSPINK, H. J. L., VAN RAALTE, D. H. &amp; JOLES, J. A. 2017. Glomerular Hyperfiltration in Diabetes: Mechanisms, Clinical Significance, and Treatment. </w:t>
      </w:r>
      <w:r w:rsidRPr="00D06F2D">
        <w:rPr>
          <w:i/>
          <w:noProof/>
        </w:rPr>
        <w:t>Journal of the American Society of Nephrology,</w:t>
      </w:r>
      <w:r w:rsidRPr="00D06F2D">
        <w:rPr>
          <w:noProof/>
        </w:rPr>
        <w:t xml:space="preserve"> 28</w:t>
      </w:r>
      <w:r w:rsidRPr="00D06F2D">
        <w:rPr>
          <w:b/>
          <w:noProof/>
        </w:rPr>
        <w:t>,</w:t>
      </w:r>
      <w:r w:rsidRPr="00D06F2D">
        <w:rPr>
          <w:noProof/>
        </w:rPr>
        <w:t xml:space="preserve"> 1023-1039.</w:t>
      </w:r>
    </w:p>
    <w:p w14:paraId="40E43C9B" w14:textId="77777777" w:rsidR="00D06F2D" w:rsidRPr="00D06F2D" w:rsidRDefault="00D06F2D" w:rsidP="00D06F2D">
      <w:pPr>
        <w:pStyle w:val="EndNoteBibliography"/>
        <w:ind w:left="720" w:hanging="720"/>
        <w:rPr>
          <w:noProof/>
        </w:rPr>
      </w:pPr>
      <w:r w:rsidRPr="00D06F2D">
        <w:rPr>
          <w:noProof/>
        </w:rPr>
        <w:lastRenderedPageBreak/>
        <w:t xml:space="preserve">TOTH, C., MARTINEZ, J. &amp; ZOCHODNE, D. W. 2007. RAGE, diabetes, and the nervous system. </w:t>
      </w:r>
      <w:r w:rsidRPr="00D06F2D">
        <w:rPr>
          <w:i/>
          <w:noProof/>
        </w:rPr>
        <w:t>Current Molecular Medicine,</w:t>
      </w:r>
      <w:r w:rsidRPr="00D06F2D">
        <w:rPr>
          <w:noProof/>
        </w:rPr>
        <w:t xml:space="preserve"> 7.</w:t>
      </w:r>
    </w:p>
    <w:p w14:paraId="40A73814" w14:textId="77777777" w:rsidR="00D06F2D" w:rsidRPr="00D06F2D" w:rsidRDefault="00D06F2D" w:rsidP="00D06F2D">
      <w:pPr>
        <w:pStyle w:val="EndNoteBibliography"/>
        <w:ind w:left="720" w:hanging="720"/>
        <w:rPr>
          <w:noProof/>
        </w:rPr>
      </w:pPr>
      <w:r w:rsidRPr="00D06F2D">
        <w:rPr>
          <w:noProof/>
        </w:rPr>
        <w:t xml:space="preserve">TOTH, P., TARANTINI, S., CSISZAR, A. &amp; UNGVARI, Z. 2017. Functional vascular contributions to cognitive impairment and dementia: mechanisms and consequences of cerebral autoregulatory dysfunction, endothelial impairment, and neurovascular uncoupling in aging. </w:t>
      </w:r>
      <w:r w:rsidRPr="00D06F2D">
        <w:rPr>
          <w:i/>
          <w:noProof/>
        </w:rPr>
        <w:t>Am. J. Physiol.-Heart Circul. Physiol.,</w:t>
      </w:r>
      <w:r w:rsidRPr="00D06F2D">
        <w:rPr>
          <w:noProof/>
        </w:rPr>
        <w:t xml:space="preserve"> 312</w:t>
      </w:r>
      <w:r w:rsidRPr="00D06F2D">
        <w:rPr>
          <w:b/>
          <w:noProof/>
        </w:rPr>
        <w:t>,</w:t>
      </w:r>
      <w:r w:rsidRPr="00D06F2D">
        <w:rPr>
          <w:noProof/>
        </w:rPr>
        <w:t xml:space="preserve"> H1-H20.</w:t>
      </w:r>
    </w:p>
    <w:p w14:paraId="480DBD1A" w14:textId="77777777" w:rsidR="00D06F2D" w:rsidRPr="00D06F2D" w:rsidRDefault="00D06F2D" w:rsidP="00D06F2D">
      <w:pPr>
        <w:pStyle w:val="EndNoteBibliography"/>
        <w:ind w:left="720" w:hanging="720"/>
        <w:rPr>
          <w:noProof/>
        </w:rPr>
      </w:pPr>
      <w:r w:rsidRPr="00D06F2D">
        <w:rPr>
          <w:noProof/>
        </w:rPr>
        <w:t xml:space="preserve">TRACEY, I. &amp; JOHNS, E. 2010. The pain matrix: Reloaded or reborn as we image tonic pain using arterial spin labelling. </w:t>
      </w:r>
      <w:r w:rsidRPr="00D06F2D">
        <w:rPr>
          <w:i/>
          <w:noProof/>
        </w:rPr>
        <w:t>Pain,</w:t>
      </w:r>
      <w:r w:rsidRPr="00D06F2D">
        <w:rPr>
          <w:noProof/>
        </w:rPr>
        <w:t xml:space="preserve"> 148.</w:t>
      </w:r>
    </w:p>
    <w:p w14:paraId="4EF41D9B" w14:textId="77777777" w:rsidR="00D06F2D" w:rsidRPr="00D06F2D" w:rsidRDefault="00D06F2D" w:rsidP="00D06F2D">
      <w:pPr>
        <w:pStyle w:val="EndNoteBibliography"/>
        <w:ind w:left="720" w:hanging="720"/>
        <w:rPr>
          <w:noProof/>
        </w:rPr>
      </w:pPr>
      <w:r w:rsidRPr="00D06F2D">
        <w:rPr>
          <w:noProof/>
        </w:rPr>
        <w:t xml:space="preserve">TRACEY, I. &amp; MANTYH, P. W. 2007. The cerebral signature and its modulation for pain perception. </w:t>
      </w:r>
      <w:r w:rsidRPr="00D06F2D">
        <w:rPr>
          <w:i/>
          <w:noProof/>
        </w:rPr>
        <w:t>Neuron,</w:t>
      </w:r>
      <w:r w:rsidRPr="00D06F2D">
        <w:rPr>
          <w:noProof/>
        </w:rPr>
        <w:t xml:space="preserve"> 55.</w:t>
      </w:r>
    </w:p>
    <w:p w14:paraId="2C1FADA4" w14:textId="77777777" w:rsidR="00D06F2D" w:rsidRPr="00D06F2D" w:rsidRDefault="00D06F2D" w:rsidP="00D06F2D">
      <w:pPr>
        <w:pStyle w:val="EndNoteBibliography"/>
        <w:ind w:left="720" w:hanging="720"/>
        <w:rPr>
          <w:noProof/>
        </w:rPr>
      </w:pPr>
      <w:r w:rsidRPr="00D06F2D">
        <w:rPr>
          <w:noProof/>
        </w:rPr>
        <w:t xml:space="preserve">TSENG, M. T., CHIANG, M. C., CHAO, C. C., TSENG, W. Y. &amp; HSIEH, S. T. 2012. fMRI evidence of degeneration-induced neuropathic pain in diabetes: Enhanced limbic and striatal activations. </w:t>
      </w:r>
      <w:r w:rsidRPr="00D06F2D">
        <w:rPr>
          <w:i/>
          <w:noProof/>
        </w:rPr>
        <w:t>Hum Brain Mapp</w:t>
      </w:r>
      <w:r w:rsidRPr="00D06F2D">
        <w:rPr>
          <w:noProof/>
        </w:rPr>
        <w:t>.</w:t>
      </w:r>
    </w:p>
    <w:p w14:paraId="4C475266" w14:textId="77777777" w:rsidR="00D06F2D" w:rsidRPr="00D06F2D" w:rsidRDefault="00D06F2D" w:rsidP="00D06F2D">
      <w:pPr>
        <w:pStyle w:val="EndNoteBibliography"/>
        <w:ind w:left="720" w:hanging="720"/>
        <w:rPr>
          <w:noProof/>
        </w:rPr>
      </w:pPr>
      <w:r w:rsidRPr="00D06F2D">
        <w:rPr>
          <w:noProof/>
        </w:rPr>
        <w:t xml:space="preserve">TUCK, R. R., SCHMELZER, J. D. &amp; LOW, P. A. 1984. ENDONEURIAL BLOOD-FLOW AND OXYGEN-TENSION IN THE SCIATIC-NERVES OF RATS WITH EXPERIMENTAL DIABETIC NEUROPATHY. </w:t>
      </w:r>
      <w:r w:rsidRPr="00D06F2D">
        <w:rPr>
          <w:i/>
          <w:noProof/>
        </w:rPr>
        <w:t>Brain,</w:t>
      </w:r>
      <w:r w:rsidRPr="00D06F2D">
        <w:rPr>
          <w:noProof/>
        </w:rPr>
        <w:t xml:space="preserve"> 107.</w:t>
      </w:r>
    </w:p>
    <w:p w14:paraId="708EB736" w14:textId="77777777" w:rsidR="00D06F2D" w:rsidRPr="00D06F2D" w:rsidRDefault="00D06F2D" w:rsidP="00D06F2D">
      <w:pPr>
        <w:pStyle w:val="EndNoteBibliography"/>
        <w:ind w:left="720" w:hanging="720"/>
        <w:rPr>
          <w:noProof/>
        </w:rPr>
      </w:pPr>
      <w:r w:rsidRPr="00D06F2D">
        <w:rPr>
          <w:noProof/>
        </w:rPr>
        <w:t xml:space="preserve">VAN ACKER, K., BOUHASSIRA, D., DE BACQUER, D., WEISS, S., MATTHYS, K., RAEMEN, H., MATHIEU, C. &amp; COLIN, I. M. 2009. Prevalence and impact on quality of life of peripheral neuropathy with or without neuropathic pain in type 1 and type 2 diabetic patients attending hospital outpatients clinics. </w:t>
      </w:r>
      <w:r w:rsidRPr="00D06F2D">
        <w:rPr>
          <w:i/>
          <w:noProof/>
        </w:rPr>
        <w:t>Diabetes &amp; Metabolism,</w:t>
      </w:r>
      <w:r w:rsidRPr="00D06F2D">
        <w:rPr>
          <w:noProof/>
        </w:rPr>
        <w:t xml:space="preserve"> 35</w:t>
      </w:r>
      <w:r w:rsidRPr="00D06F2D">
        <w:rPr>
          <w:b/>
          <w:noProof/>
        </w:rPr>
        <w:t>,</w:t>
      </w:r>
      <w:r w:rsidRPr="00D06F2D">
        <w:rPr>
          <w:noProof/>
        </w:rPr>
        <w:t xml:space="preserve"> 206-213.</w:t>
      </w:r>
    </w:p>
    <w:p w14:paraId="4537B3C5" w14:textId="77777777" w:rsidR="00D06F2D" w:rsidRPr="00D06F2D" w:rsidRDefault="00D06F2D" w:rsidP="00D06F2D">
      <w:pPr>
        <w:pStyle w:val="EndNoteBibliography"/>
        <w:ind w:left="720" w:hanging="720"/>
        <w:rPr>
          <w:noProof/>
        </w:rPr>
      </w:pPr>
      <w:r w:rsidRPr="00D06F2D">
        <w:rPr>
          <w:noProof/>
        </w:rPr>
        <w:t xml:space="preserve">VAN GOLEN, L. W., HUISMAN, M. C., IJZERMAN, R. G., HOETJES, N. J., SCHWARTE, L. A., LAMMERTSMA, A. A. &amp; DIAMANT, M. 2013. Cerebral Blood Flow and Glucose Metabolism Measured With Positron Emission Tomography Are Decreased in Human Type 1 Diabetes. </w:t>
      </w:r>
      <w:r w:rsidRPr="00D06F2D">
        <w:rPr>
          <w:i/>
          <w:noProof/>
        </w:rPr>
        <w:t>Diabetes,</w:t>
      </w:r>
      <w:r w:rsidRPr="00D06F2D">
        <w:rPr>
          <w:noProof/>
        </w:rPr>
        <w:t xml:space="preserve"> 62</w:t>
      </w:r>
      <w:r w:rsidRPr="00D06F2D">
        <w:rPr>
          <w:b/>
          <w:noProof/>
        </w:rPr>
        <w:t>,</w:t>
      </w:r>
      <w:r w:rsidRPr="00D06F2D">
        <w:rPr>
          <w:noProof/>
        </w:rPr>
        <w:t xml:space="preserve"> 2898-2904.</w:t>
      </w:r>
    </w:p>
    <w:p w14:paraId="591B333E" w14:textId="77777777" w:rsidR="00D06F2D" w:rsidRPr="00D06F2D" w:rsidRDefault="00D06F2D" w:rsidP="00D06F2D">
      <w:pPr>
        <w:pStyle w:val="EndNoteBibliography"/>
        <w:ind w:left="720" w:hanging="720"/>
        <w:rPr>
          <w:noProof/>
        </w:rPr>
      </w:pPr>
      <w:r w:rsidRPr="00D06F2D">
        <w:rPr>
          <w:noProof/>
        </w:rPr>
        <w:t xml:space="preserve">VED, N., LOBO, M. E. D. V., BESTALL, S. M., VIDUEIRA, C. L., BEAZLEY-LONG, N., BALLMER-HOFER, K., HIRASHIMA, M., BATES, D. O., DONALDSON, L. F. &amp; HULSE, R. P. 2018. Diabetes-induced microvascular complications at the level of the spinal cord: a contributing factor in diabetic neuropathic pain. </w:t>
      </w:r>
      <w:r w:rsidRPr="00D06F2D">
        <w:rPr>
          <w:i/>
          <w:noProof/>
        </w:rPr>
        <w:t>Journal of Physiology-London,</w:t>
      </w:r>
      <w:r w:rsidRPr="00D06F2D">
        <w:rPr>
          <w:noProof/>
        </w:rPr>
        <w:t xml:space="preserve"> 596</w:t>
      </w:r>
      <w:r w:rsidRPr="00D06F2D">
        <w:rPr>
          <w:b/>
          <w:noProof/>
        </w:rPr>
        <w:t>,</w:t>
      </w:r>
      <w:r w:rsidRPr="00D06F2D">
        <w:rPr>
          <w:noProof/>
        </w:rPr>
        <w:t xml:space="preserve"> 3675-3693.</w:t>
      </w:r>
    </w:p>
    <w:p w14:paraId="2E118675" w14:textId="77777777" w:rsidR="00D06F2D" w:rsidRPr="00D06F2D" w:rsidRDefault="00D06F2D" w:rsidP="00D06F2D">
      <w:pPr>
        <w:pStyle w:val="EndNoteBibliography"/>
        <w:ind w:left="720" w:hanging="720"/>
        <w:rPr>
          <w:noProof/>
        </w:rPr>
      </w:pPr>
      <w:r w:rsidRPr="00D06F2D">
        <w:rPr>
          <w:noProof/>
        </w:rPr>
        <w:t xml:space="preserve">VIALA-DANTEN, M., MARTIN, S., GUILLEMIN, I. &amp; HAYS, R. D. 2008. Evaluation of the reliability and validity of the Medical Outcomes Study sleep scale in patients with painful diabetic peripheral neuropathy during an international clinical trial. </w:t>
      </w:r>
      <w:r w:rsidRPr="00D06F2D">
        <w:rPr>
          <w:i/>
          <w:noProof/>
        </w:rPr>
        <w:t>Health Qual Life Outcomes,</w:t>
      </w:r>
      <w:r w:rsidRPr="00D06F2D">
        <w:rPr>
          <w:noProof/>
        </w:rPr>
        <w:t xml:space="preserve"> 6</w:t>
      </w:r>
      <w:r w:rsidRPr="00D06F2D">
        <w:rPr>
          <w:b/>
          <w:noProof/>
        </w:rPr>
        <w:t>,</w:t>
      </w:r>
      <w:r w:rsidRPr="00D06F2D">
        <w:rPr>
          <w:noProof/>
        </w:rPr>
        <w:t xml:space="preserve"> 113.</w:t>
      </w:r>
    </w:p>
    <w:p w14:paraId="0342F3CC" w14:textId="77777777" w:rsidR="00D06F2D" w:rsidRPr="00D06F2D" w:rsidRDefault="00D06F2D" w:rsidP="00D06F2D">
      <w:pPr>
        <w:pStyle w:val="EndNoteBibliography"/>
        <w:ind w:left="720" w:hanging="720"/>
        <w:rPr>
          <w:noProof/>
        </w:rPr>
      </w:pPr>
      <w:r w:rsidRPr="00D06F2D">
        <w:rPr>
          <w:noProof/>
        </w:rPr>
        <w:t xml:space="preserve">VILEIKYTE, L., LEVENTHAL, H., GONZALEZ, J. S., PEYROT, M., RUBIN, R. R., ULBRECHT, J. S., GARROW, A., WATERMAN, C., CAVANAGH, P. R. &amp; BOULTON, A. J. M. 2005a. Diabetic peripheral neuropathy and depressive symptoms. </w:t>
      </w:r>
      <w:r w:rsidRPr="00D06F2D">
        <w:rPr>
          <w:i/>
          <w:noProof/>
        </w:rPr>
        <w:t>Diabetes Care,</w:t>
      </w:r>
      <w:r w:rsidRPr="00D06F2D">
        <w:rPr>
          <w:noProof/>
        </w:rPr>
        <w:t xml:space="preserve"> 28</w:t>
      </w:r>
      <w:r w:rsidRPr="00D06F2D">
        <w:rPr>
          <w:b/>
          <w:noProof/>
        </w:rPr>
        <w:t>,</w:t>
      </w:r>
      <w:r w:rsidRPr="00D06F2D">
        <w:rPr>
          <w:noProof/>
        </w:rPr>
        <w:t xml:space="preserve"> 2378-2383.</w:t>
      </w:r>
    </w:p>
    <w:p w14:paraId="3EABEEB3" w14:textId="77777777" w:rsidR="00D06F2D" w:rsidRPr="00D06F2D" w:rsidRDefault="00D06F2D" w:rsidP="00D06F2D">
      <w:pPr>
        <w:pStyle w:val="EndNoteBibliography"/>
        <w:ind w:left="720" w:hanging="720"/>
        <w:rPr>
          <w:noProof/>
        </w:rPr>
      </w:pPr>
      <w:r w:rsidRPr="00D06F2D">
        <w:rPr>
          <w:noProof/>
        </w:rPr>
        <w:t xml:space="preserve">VILEIKYTE, L., LEVENTHAL, H., GONZALEZ, J. S., PEYROT, M., RUBIN, R. R., ULBRECHT, J. S., GARROW, A., WATERMAN, C., CAVANAGH, P. R. &amp; BOULTON, A. J. M. 2005b. Diabetic peripheral neuropathy and depressive symptoms: the association revisited. </w:t>
      </w:r>
      <w:r w:rsidRPr="00D06F2D">
        <w:rPr>
          <w:i/>
          <w:noProof/>
        </w:rPr>
        <w:t>Diabetes care,</w:t>
      </w:r>
      <w:r w:rsidRPr="00D06F2D">
        <w:rPr>
          <w:noProof/>
        </w:rPr>
        <w:t xml:space="preserve"> 28</w:t>
      </w:r>
      <w:r w:rsidRPr="00D06F2D">
        <w:rPr>
          <w:b/>
          <w:noProof/>
        </w:rPr>
        <w:t>,</w:t>
      </w:r>
      <w:r w:rsidRPr="00D06F2D">
        <w:rPr>
          <w:noProof/>
        </w:rPr>
        <w:t xml:space="preserve"> 2378-2383.</w:t>
      </w:r>
    </w:p>
    <w:p w14:paraId="3AC08098" w14:textId="77777777" w:rsidR="00D06F2D" w:rsidRPr="00D06F2D" w:rsidRDefault="00D06F2D" w:rsidP="00D06F2D">
      <w:pPr>
        <w:pStyle w:val="EndNoteBibliography"/>
        <w:ind w:left="720" w:hanging="720"/>
        <w:rPr>
          <w:noProof/>
        </w:rPr>
      </w:pPr>
      <w:r w:rsidRPr="00D06F2D">
        <w:rPr>
          <w:noProof/>
        </w:rPr>
        <w:t xml:space="preserve">VILEIKYTE, L., PEYROT, M., GONZALEZ, J. S., RUBIN, R. R., GARROW, A. P., STICKINGS, D., WATERMAN, C., ULBRECHT, J. S., CAVANAGH, P. R. &amp; BOULTON, A. J. M. 2009. Predictors of depressive symptoms in persons with diabetic peripheral neuropathy: a longitudinal study. </w:t>
      </w:r>
      <w:r w:rsidRPr="00D06F2D">
        <w:rPr>
          <w:i/>
          <w:noProof/>
        </w:rPr>
        <w:t>Diabetologia,</w:t>
      </w:r>
      <w:r w:rsidRPr="00D06F2D">
        <w:rPr>
          <w:noProof/>
        </w:rPr>
        <w:t xml:space="preserve"> 52</w:t>
      </w:r>
      <w:r w:rsidRPr="00D06F2D">
        <w:rPr>
          <w:b/>
          <w:noProof/>
        </w:rPr>
        <w:t>,</w:t>
      </w:r>
      <w:r w:rsidRPr="00D06F2D">
        <w:rPr>
          <w:noProof/>
        </w:rPr>
        <w:t xml:space="preserve"> 1265-1273.</w:t>
      </w:r>
    </w:p>
    <w:p w14:paraId="2E9BFA27" w14:textId="77777777" w:rsidR="00D06F2D" w:rsidRPr="00D06F2D" w:rsidRDefault="00D06F2D" w:rsidP="00D06F2D">
      <w:pPr>
        <w:pStyle w:val="EndNoteBibliography"/>
        <w:ind w:left="720" w:hanging="720"/>
        <w:rPr>
          <w:noProof/>
        </w:rPr>
      </w:pPr>
      <w:r w:rsidRPr="00D06F2D">
        <w:rPr>
          <w:noProof/>
        </w:rPr>
        <w:lastRenderedPageBreak/>
        <w:t>VOLLERT, J., MAIER, C., ATTAL, N., BENNETT, D. L. H., BOUHASSIRA, D., ENAX-KRUMOVA, E. K., FINNERUP, N. B., FREYNHAGEN, R., GIERTHMÜHLEN, J., HAANPÄÄ, M., HANSSON, P., HÜLLEMANN, P., JENSEN, T. S., MAGERL, W., RAMIREZ, J. D., RICE, A. S. C., SCHUH-HOFER, S., SEGERDAHL, M., SERRA, J., SHILLO, P. R., SINDRUP, S., TESFAYE, S., THEMISTOCLEOUS, A. C., TÖLLE, T. R., TREEDE, R. D. &amp; BARON, R. 2017. Stratifying patients with peripheral neuropathic pain based on sensory profiles: algorithm and sample size recommendations.</w:t>
      </w:r>
    </w:p>
    <w:p w14:paraId="36FB887A" w14:textId="77777777" w:rsidR="00D06F2D" w:rsidRPr="00D06F2D" w:rsidRDefault="00D06F2D" w:rsidP="00D06F2D">
      <w:pPr>
        <w:pStyle w:val="EndNoteBibliography"/>
        <w:ind w:left="720" w:hanging="720"/>
        <w:rPr>
          <w:noProof/>
        </w:rPr>
      </w:pPr>
      <w:r w:rsidRPr="00D06F2D">
        <w:rPr>
          <w:noProof/>
        </w:rPr>
        <w:t xml:space="preserve">WAGER, T. D., ATLAS, L. Y., LINDQUIST, M. A., ROY, M., WOO, C.-W. &amp; KROSS, E. 2013a. An fMRI- Based Neurologic Signature of Physical Pain. </w:t>
      </w:r>
      <w:r w:rsidRPr="00D06F2D">
        <w:rPr>
          <w:i/>
          <w:noProof/>
        </w:rPr>
        <w:t>The New England Journal of Medicine</w:t>
      </w:r>
      <w:r w:rsidRPr="00D06F2D">
        <w:rPr>
          <w:b/>
          <w:noProof/>
        </w:rPr>
        <w:t>,</w:t>
      </w:r>
      <w:r w:rsidRPr="00D06F2D">
        <w:rPr>
          <w:noProof/>
        </w:rPr>
        <w:t xml:space="preserve"> 1388-1397.</w:t>
      </w:r>
    </w:p>
    <w:p w14:paraId="41EF9B3F" w14:textId="77777777" w:rsidR="00D06F2D" w:rsidRPr="00D06F2D" w:rsidRDefault="00D06F2D" w:rsidP="00D06F2D">
      <w:pPr>
        <w:pStyle w:val="EndNoteBibliography"/>
        <w:ind w:left="720" w:hanging="720"/>
        <w:rPr>
          <w:noProof/>
        </w:rPr>
      </w:pPr>
      <w:r w:rsidRPr="00D06F2D">
        <w:rPr>
          <w:noProof/>
        </w:rPr>
        <w:t xml:space="preserve">WAGER, T. D., ATLAS, L. Y., LINDQUIST, M. A., ROY, M., WOO, C.-W. &amp; KROSS, E. 2013b. An fMRI- Based Neurologic Signature of Physical Pain. </w:t>
      </w:r>
      <w:r w:rsidRPr="00D06F2D">
        <w:rPr>
          <w:i/>
          <w:noProof/>
        </w:rPr>
        <w:t>The New England Journal of Medicine,</w:t>
      </w:r>
      <w:r w:rsidRPr="00D06F2D">
        <w:rPr>
          <w:noProof/>
        </w:rPr>
        <w:t xml:space="preserve"> 368</w:t>
      </w:r>
      <w:r w:rsidRPr="00D06F2D">
        <w:rPr>
          <w:b/>
          <w:noProof/>
        </w:rPr>
        <w:t>,</w:t>
      </w:r>
      <w:r w:rsidRPr="00D06F2D">
        <w:rPr>
          <w:noProof/>
        </w:rPr>
        <w:t xml:space="preserve"> 1388-1397.</w:t>
      </w:r>
    </w:p>
    <w:p w14:paraId="678390CB" w14:textId="77777777" w:rsidR="00D06F2D" w:rsidRPr="00D06F2D" w:rsidRDefault="00D06F2D" w:rsidP="00D06F2D">
      <w:pPr>
        <w:pStyle w:val="EndNoteBibliography"/>
        <w:ind w:left="720" w:hanging="720"/>
        <w:rPr>
          <w:noProof/>
        </w:rPr>
      </w:pPr>
      <w:r w:rsidRPr="00D06F2D">
        <w:rPr>
          <w:noProof/>
        </w:rPr>
        <w:t xml:space="preserve">WAGNER, M., JURCOANE, A., HILDEBRAND, C., GÜRESIR, E., VATTER, H., ZANELLA, F. E., BERKEFELD, J., PILATUS, U. &amp; HATTINGEN, E. 2013. Metabolic changes in patients with aneurysmal subarachnoid hemorrhage apart from perfusion deficits: neuronal mitochondrial injury? </w:t>
      </w:r>
      <w:r w:rsidRPr="00D06F2D">
        <w:rPr>
          <w:i/>
          <w:noProof/>
        </w:rPr>
        <w:t>AJNR. American journal of neuroradiology</w:t>
      </w:r>
      <w:r w:rsidRPr="00D06F2D">
        <w:rPr>
          <w:b/>
          <w:noProof/>
        </w:rPr>
        <w:t>,</w:t>
      </w:r>
      <w:r w:rsidRPr="00D06F2D">
        <w:rPr>
          <w:noProof/>
        </w:rPr>
        <w:t xml:space="preserve"> 1535-1541.</w:t>
      </w:r>
    </w:p>
    <w:p w14:paraId="7555F311" w14:textId="77777777" w:rsidR="00D06F2D" w:rsidRPr="00D06F2D" w:rsidRDefault="00D06F2D" w:rsidP="00D06F2D">
      <w:pPr>
        <w:pStyle w:val="EndNoteBibliography"/>
        <w:ind w:left="720" w:hanging="720"/>
        <w:rPr>
          <w:noProof/>
        </w:rPr>
      </w:pPr>
      <w:r w:rsidRPr="00D06F2D">
        <w:rPr>
          <w:noProof/>
        </w:rPr>
        <w:t xml:space="preserve">WALTER, S. A., FORSGREN, M., LUNDENGARD, K., SIMON, R., NILSSON, M. T., SÖDERFELDT, B., LUNDBERG, P. &amp; ENGSTRÖM, M. 2016. Positive allosteric modulator of GABA lowers BOLD responses in the cingulate cortex. </w:t>
      </w:r>
      <w:r w:rsidRPr="00D06F2D">
        <w:rPr>
          <w:i/>
          <w:noProof/>
        </w:rPr>
        <w:t>PLoS One,</w:t>
      </w:r>
      <w:r w:rsidRPr="00D06F2D">
        <w:rPr>
          <w:noProof/>
        </w:rPr>
        <w:t xml:space="preserve"> 11</w:t>
      </w:r>
      <w:r w:rsidRPr="00D06F2D">
        <w:rPr>
          <w:b/>
          <w:noProof/>
        </w:rPr>
        <w:t>,</w:t>
      </w:r>
      <w:r w:rsidRPr="00D06F2D">
        <w:rPr>
          <w:noProof/>
        </w:rPr>
        <w:t xml:space="preserve"> e0148737.</w:t>
      </w:r>
    </w:p>
    <w:p w14:paraId="1F9A2B81" w14:textId="77777777" w:rsidR="00D06F2D" w:rsidRPr="00D06F2D" w:rsidRDefault="00D06F2D" w:rsidP="00D06F2D">
      <w:pPr>
        <w:pStyle w:val="EndNoteBibliography"/>
        <w:ind w:left="720" w:hanging="720"/>
        <w:rPr>
          <w:noProof/>
        </w:rPr>
      </w:pPr>
      <w:r w:rsidRPr="00D06F2D">
        <w:rPr>
          <w:noProof/>
        </w:rPr>
        <w:t xml:space="preserve">WASNER, G. &amp; BROCK, J. 2008. Determinants of thermal pain thresholds in normal subjects. </w:t>
      </w:r>
      <w:r w:rsidRPr="00D06F2D">
        <w:rPr>
          <w:i/>
          <w:noProof/>
        </w:rPr>
        <w:t>Clin Neurophysiol,</w:t>
      </w:r>
      <w:r w:rsidRPr="00D06F2D">
        <w:rPr>
          <w:noProof/>
        </w:rPr>
        <w:t xml:space="preserve"> 119</w:t>
      </w:r>
      <w:r w:rsidRPr="00D06F2D">
        <w:rPr>
          <w:b/>
          <w:noProof/>
        </w:rPr>
        <w:t>,</w:t>
      </w:r>
      <w:r w:rsidRPr="00D06F2D">
        <w:rPr>
          <w:noProof/>
        </w:rPr>
        <w:t xml:space="preserve"> 2389-2395.</w:t>
      </w:r>
    </w:p>
    <w:p w14:paraId="48288866" w14:textId="77777777" w:rsidR="00D06F2D" w:rsidRPr="00D06F2D" w:rsidRDefault="00D06F2D" w:rsidP="00D06F2D">
      <w:pPr>
        <w:pStyle w:val="EndNoteBibliography"/>
        <w:ind w:left="720" w:hanging="720"/>
        <w:rPr>
          <w:noProof/>
        </w:rPr>
      </w:pPr>
      <w:r w:rsidRPr="00D06F2D">
        <w:rPr>
          <w:noProof/>
        </w:rPr>
        <w:t xml:space="preserve">WILKINSON, I. &amp; PALEY, M. 2008. Grainger and Allison's diagnostic radiology : a textbook of medical imaging. Vol.1. </w:t>
      </w:r>
      <w:r w:rsidRPr="00D06F2D">
        <w:rPr>
          <w:i/>
          <w:noProof/>
        </w:rPr>
        <w:t>In:</w:t>
      </w:r>
      <w:r w:rsidRPr="00D06F2D">
        <w:rPr>
          <w:noProof/>
        </w:rPr>
        <w:t xml:space="preserve"> ADAM, A., DIXON, A. K., GRAINGER, R. G. &amp; ALLISON, D. J. (eds.) </w:t>
      </w:r>
      <w:r w:rsidRPr="00D06F2D">
        <w:rPr>
          <w:i/>
          <w:noProof/>
        </w:rPr>
        <w:t xml:space="preserve">Diagnostic radiology. </w:t>
      </w:r>
      <w:r w:rsidRPr="00D06F2D">
        <w:rPr>
          <w:noProof/>
        </w:rPr>
        <w:t>5th Edition ed. Philadelphia, Pa.: Philadelphia, Pa. : Churchill Livingstone Elsevier, c2008.</w:t>
      </w:r>
    </w:p>
    <w:p w14:paraId="2F14F17D" w14:textId="77777777" w:rsidR="00D06F2D" w:rsidRPr="00D06F2D" w:rsidRDefault="00D06F2D" w:rsidP="00D06F2D">
      <w:pPr>
        <w:pStyle w:val="EndNoteBibliography"/>
        <w:ind w:left="720" w:hanging="720"/>
        <w:rPr>
          <w:noProof/>
        </w:rPr>
      </w:pPr>
      <w:r w:rsidRPr="00D06F2D">
        <w:rPr>
          <w:noProof/>
        </w:rPr>
        <w:t xml:space="preserve">WILKINSON, I. D., GRIFFITHS, P. D., HOGGARD, N., CLEVELAND, T. J., GAINES, P. A., MACDONALD, S., MCKEVITT, F. &amp; VENABLES, G. S. 2003. Short-term changes in cerebral microhemodynamics after carotid stenting. </w:t>
      </w:r>
      <w:r w:rsidRPr="00D06F2D">
        <w:rPr>
          <w:i/>
          <w:noProof/>
        </w:rPr>
        <w:t>American Journal of Neuroradiology,</w:t>
      </w:r>
      <w:r w:rsidRPr="00D06F2D">
        <w:rPr>
          <w:noProof/>
        </w:rPr>
        <w:t xml:space="preserve"> 24</w:t>
      </w:r>
      <w:r w:rsidRPr="00D06F2D">
        <w:rPr>
          <w:b/>
          <w:noProof/>
        </w:rPr>
        <w:t>,</w:t>
      </w:r>
      <w:r w:rsidRPr="00D06F2D">
        <w:rPr>
          <w:noProof/>
        </w:rPr>
        <w:t xml:space="preserve"> 1501-1507.</w:t>
      </w:r>
    </w:p>
    <w:p w14:paraId="4720F123" w14:textId="77777777" w:rsidR="00D06F2D" w:rsidRPr="00D06F2D" w:rsidRDefault="00D06F2D" w:rsidP="00D06F2D">
      <w:pPr>
        <w:pStyle w:val="EndNoteBibliography"/>
        <w:ind w:left="720" w:hanging="720"/>
        <w:rPr>
          <w:noProof/>
        </w:rPr>
      </w:pPr>
      <w:r w:rsidRPr="00D06F2D">
        <w:rPr>
          <w:noProof/>
        </w:rPr>
        <w:t xml:space="preserve">WILLATS, L. &amp; CALAMANTE, F. 2013a. The 39 steps: evading error and deciphering the secrets for accurate dynamic susceptibility contrast MRI. </w:t>
      </w:r>
      <w:r w:rsidRPr="00D06F2D">
        <w:rPr>
          <w:i/>
          <w:noProof/>
        </w:rPr>
        <w:t>Nmr in Biomedicine,</w:t>
      </w:r>
      <w:r w:rsidRPr="00D06F2D">
        <w:rPr>
          <w:noProof/>
        </w:rPr>
        <w:t xml:space="preserve"> 26</w:t>
      </w:r>
      <w:r w:rsidRPr="00D06F2D">
        <w:rPr>
          <w:b/>
          <w:noProof/>
        </w:rPr>
        <w:t>,</w:t>
      </w:r>
      <w:r w:rsidRPr="00D06F2D">
        <w:rPr>
          <w:noProof/>
        </w:rPr>
        <w:t xml:space="preserve"> 913-931.</w:t>
      </w:r>
    </w:p>
    <w:p w14:paraId="20974A67" w14:textId="77777777" w:rsidR="00D06F2D" w:rsidRPr="00D06F2D" w:rsidRDefault="00D06F2D" w:rsidP="00D06F2D">
      <w:pPr>
        <w:pStyle w:val="EndNoteBibliography"/>
        <w:ind w:left="720" w:hanging="720"/>
        <w:rPr>
          <w:noProof/>
        </w:rPr>
      </w:pPr>
      <w:r w:rsidRPr="00D06F2D">
        <w:rPr>
          <w:noProof/>
        </w:rPr>
        <w:t xml:space="preserve">WILLATS, L. &amp; CALAMANTE, F. 2013b. The 39 steps: evading error and deciphering the secrets for accurate dynamic susceptibility contrast MRI: THE 39 STEPS: TOWARDS ACCURATE DSC-MRI. </w:t>
      </w:r>
      <w:r w:rsidRPr="00D06F2D">
        <w:rPr>
          <w:i/>
          <w:noProof/>
        </w:rPr>
        <w:t>NMR in biomedicine,</w:t>
      </w:r>
      <w:r w:rsidRPr="00D06F2D">
        <w:rPr>
          <w:noProof/>
        </w:rPr>
        <w:t xml:space="preserve"> 26</w:t>
      </w:r>
      <w:r w:rsidRPr="00D06F2D">
        <w:rPr>
          <w:b/>
          <w:noProof/>
        </w:rPr>
        <w:t>,</w:t>
      </w:r>
      <w:r w:rsidRPr="00D06F2D">
        <w:rPr>
          <w:noProof/>
        </w:rPr>
        <w:t xml:space="preserve"> 913-931.</w:t>
      </w:r>
    </w:p>
    <w:p w14:paraId="1171EFCC" w14:textId="77777777" w:rsidR="00D06F2D" w:rsidRPr="00D06F2D" w:rsidRDefault="00D06F2D" w:rsidP="00D06F2D">
      <w:pPr>
        <w:pStyle w:val="EndNoteBibliography"/>
        <w:ind w:left="720" w:hanging="720"/>
        <w:rPr>
          <w:noProof/>
        </w:rPr>
      </w:pPr>
      <w:r w:rsidRPr="00D06F2D">
        <w:rPr>
          <w:noProof/>
        </w:rPr>
        <w:t xml:space="preserve">WILLATS, L., CONNELLY, A., CHRISTENSEN, S., DONNAN, G. A., DAVIS, S. M. &amp; CALAMANTE, F. 2012. The Role of Bolus Delay and Dispersion in Predictor Models for Stroke. </w:t>
      </w:r>
      <w:r w:rsidRPr="00D06F2D">
        <w:rPr>
          <w:i/>
          <w:noProof/>
        </w:rPr>
        <w:t>Stroke,</w:t>
      </w:r>
      <w:r w:rsidRPr="00D06F2D">
        <w:rPr>
          <w:noProof/>
        </w:rPr>
        <w:t xml:space="preserve"> 43</w:t>
      </w:r>
      <w:r w:rsidRPr="00D06F2D">
        <w:rPr>
          <w:b/>
          <w:noProof/>
        </w:rPr>
        <w:t>,</w:t>
      </w:r>
      <w:r w:rsidRPr="00D06F2D">
        <w:rPr>
          <w:noProof/>
        </w:rPr>
        <w:t xml:space="preserve"> 1025-1031.</w:t>
      </w:r>
    </w:p>
    <w:p w14:paraId="27714E27" w14:textId="77777777" w:rsidR="00D06F2D" w:rsidRPr="00D06F2D" w:rsidRDefault="00D06F2D" w:rsidP="00D06F2D">
      <w:pPr>
        <w:pStyle w:val="EndNoteBibliography"/>
        <w:ind w:left="720" w:hanging="720"/>
        <w:rPr>
          <w:noProof/>
        </w:rPr>
      </w:pPr>
      <w:r w:rsidRPr="00D06F2D">
        <w:rPr>
          <w:noProof/>
        </w:rPr>
        <w:t xml:space="preserve">WILLIAMS, D. S., DETRE, J. A., LEIGH, J. S. &amp; KORETSKY, A. P. 1992. MAGNETIC-RESONANCE-IMAGING OF PERFUSION USING SPIN INVERSION OF ARTERIAL WATER. </w:t>
      </w:r>
      <w:r w:rsidRPr="00D06F2D">
        <w:rPr>
          <w:i/>
          <w:noProof/>
        </w:rPr>
        <w:t>Proceedings of the National Academy of Sciences of the United States of America,</w:t>
      </w:r>
      <w:r w:rsidRPr="00D06F2D">
        <w:rPr>
          <w:noProof/>
        </w:rPr>
        <w:t xml:space="preserve"> 89.</w:t>
      </w:r>
    </w:p>
    <w:p w14:paraId="05B67E96" w14:textId="77777777" w:rsidR="00D06F2D" w:rsidRPr="00D06F2D" w:rsidRDefault="00D06F2D" w:rsidP="00D06F2D">
      <w:pPr>
        <w:pStyle w:val="EndNoteBibliography"/>
        <w:ind w:left="720" w:hanging="720"/>
        <w:rPr>
          <w:noProof/>
        </w:rPr>
      </w:pPr>
      <w:r w:rsidRPr="00D06F2D">
        <w:rPr>
          <w:noProof/>
        </w:rPr>
        <w:t xml:space="preserve">WILLIAMS, E., TIMPERLEY, W. R., WARD, J. D. &amp; DUCKWORTH, T. 1980. ELECTRON MICROSCOPICAL STUDIES OF VESSELS IN DIABETIC PERIPHERAL NEUROPATHY. </w:t>
      </w:r>
      <w:r w:rsidRPr="00D06F2D">
        <w:rPr>
          <w:i/>
          <w:noProof/>
        </w:rPr>
        <w:t>Journal of Clinical Pathology,</w:t>
      </w:r>
      <w:r w:rsidRPr="00D06F2D">
        <w:rPr>
          <w:noProof/>
        </w:rPr>
        <w:t xml:space="preserve"> 33</w:t>
      </w:r>
      <w:r w:rsidRPr="00D06F2D">
        <w:rPr>
          <w:b/>
          <w:noProof/>
        </w:rPr>
        <w:t>,</w:t>
      </w:r>
      <w:r w:rsidRPr="00D06F2D">
        <w:rPr>
          <w:noProof/>
        </w:rPr>
        <w:t xml:space="preserve"> 462-470.</w:t>
      </w:r>
    </w:p>
    <w:p w14:paraId="17265455" w14:textId="77777777" w:rsidR="00D06F2D" w:rsidRPr="00D06F2D" w:rsidRDefault="00D06F2D" w:rsidP="00D06F2D">
      <w:pPr>
        <w:pStyle w:val="EndNoteBibliography"/>
        <w:ind w:left="720" w:hanging="720"/>
        <w:rPr>
          <w:noProof/>
        </w:rPr>
      </w:pPr>
      <w:r w:rsidRPr="00D06F2D">
        <w:rPr>
          <w:noProof/>
        </w:rPr>
        <w:lastRenderedPageBreak/>
        <w:t>WILLIE, C. K., TZENG, Y., FISHER, J. &amp; AINSLIE, P. 2014. Integrative regulation of human brain blood flow.</w:t>
      </w:r>
    </w:p>
    <w:p w14:paraId="5F87138E" w14:textId="77777777" w:rsidR="00D06F2D" w:rsidRPr="00D06F2D" w:rsidRDefault="00D06F2D" w:rsidP="00D06F2D">
      <w:pPr>
        <w:pStyle w:val="EndNoteBibliography"/>
        <w:ind w:left="720" w:hanging="720"/>
        <w:rPr>
          <w:noProof/>
        </w:rPr>
      </w:pPr>
      <w:r w:rsidRPr="00D06F2D">
        <w:rPr>
          <w:noProof/>
        </w:rPr>
        <w:t xml:space="preserve">WIRESTAM, R. 2012. Using contrast agents to obtain maps of regional perfusion and capillary wall permeability. </w:t>
      </w:r>
      <w:r w:rsidRPr="00D06F2D">
        <w:rPr>
          <w:i/>
          <w:noProof/>
        </w:rPr>
        <w:t>Imaging in Medicine,</w:t>
      </w:r>
      <w:r w:rsidRPr="00D06F2D">
        <w:rPr>
          <w:noProof/>
        </w:rPr>
        <w:t xml:space="preserve"> 4</w:t>
      </w:r>
      <w:r w:rsidRPr="00D06F2D">
        <w:rPr>
          <w:b/>
          <w:noProof/>
        </w:rPr>
        <w:t>,</w:t>
      </w:r>
      <w:r w:rsidRPr="00D06F2D">
        <w:rPr>
          <w:noProof/>
        </w:rPr>
        <w:t xml:space="preserve"> 423-442.</w:t>
      </w:r>
    </w:p>
    <w:p w14:paraId="727B10BF" w14:textId="77777777" w:rsidR="00D06F2D" w:rsidRPr="00D06F2D" w:rsidRDefault="00D06F2D" w:rsidP="00D06F2D">
      <w:pPr>
        <w:pStyle w:val="EndNoteBibliography"/>
        <w:ind w:left="720" w:hanging="720"/>
        <w:rPr>
          <w:noProof/>
        </w:rPr>
      </w:pPr>
      <w:r w:rsidRPr="00D06F2D">
        <w:rPr>
          <w:noProof/>
        </w:rPr>
        <w:t xml:space="preserve">WITTING, N., KUPERS, R. C., SVENSSON, P. &amp; JENSEN, T. S. 2006. A PET activation study of brush-evoked allodynia in patients with nerve injury pain. </w:t>
      </w:r>
      <w:r w:rsidRPr="00D06F2D">
        <w:rPr>
          <w:i/>
          <w:noProof/>
        </w:rPr>
        <w:t>Pain,</w:t>
      </w:r>
      <w:r w:rsidRPr="00D06F2D">
        <w:rPr>
          <w:noProof/>
        </w:rPr>
        <w:t xml:space="preserve"> 120</w:t>
      </w:r>
      <w:r w:rsidRPr="00D06F2D">
        <w:rPr>
          <w:b/>
          <w:noProof/>
        </w:rPr>
        <w:t>,</w:t>
      </w:r>
      <w:r w:rsidRPr="00D06F2D">
        <w:rPr>
          <w:noProof/>
        </w:rPr>
        <w:t xml:space="preserve"> 145-154.</w:t>
      </w:r>
    </w:p>
    <w:p w14:paraId="6FE99CA1" w14:textId="77777777" w:rsidR="00D06F2D" w:rsidRPr="00D06F2D" w:rsidRDefault="00D06F2D" w:rsidP="00D06F2D">
      <w:pPr>
        <w:pStyle w:val="EndNoteBibliography"/>
        <w:ind w:left="720" w:hanging="720"/>
        <w:rPr>
          <w:noProof/>
        </w:rPr>
      </w:pPr>
      <w:r w:rsidRPr="00D06F2D">
        <w:rPr>
          <w:noProof/>
        </w:rPr>
        <w:t xml:space="preserve">YAMADA, K., AKAZAWA, K., YUEN, S., GOTO, M., MATSUSHIMA, S., TAKAHATA, A., NAKAGAWA, M., MINEURA, K. &amp; NISHIMURA, T. 2010. MR Imaging of Ventral Thalamic Nuclei. </w:t>
      </w:r>
      <w:r w:rsidRPr="00D06F2D">
        <w:rPr>
          <w:i/>
          <w:noProof/>
        </w:rPr>
        <w:t>American Journal of Neuroradiology,</w:t>
      </w:r>
      <w:r w:rsidRPr="00D06F2D">
        <w:rPr>
          <w:noProof/>
        </w:rPr>
        <w:t xml:space="preserve"> 31</w:t>
      </w:r>
      <w:r w:rsidRPr="00D06F2D">
        <w:rPr>
          <w:b/>
          <w:noProof/>
        </w:rPr>
        <w:t>,</w:t>
      </w:r>
      <w:r w:rsidRPr="00D06F2D">
        <w:rPr>
          <w:noProof/>
        </w:rPr>
        <w:t xml:space="preserve"> 732-735.</w:t>
      </w:r>
    </w:p>
    <w:p w14:paraId="08A5F7B4" w14:textId="77777777" w:rsidR="00D06F2D" w:rsidRPr="00D06F2D" w:rsidRDefault="00D06F2D" w:rsidP="00D06F2D">
      <w:pPr>
        <w:pStyle w:val="EndNoteBibliography"/>
        <w:ind w:left="720" w:hanging="720"/>
        <w:rPr>
          <w:noProof/>
        </w:rPr>
      </w:pPr>
      <w:r w:rsidRPr="00D06F2D">
        <w:rPr>
          <w:noProof/>
        </w:rPr>
        <w:t xml:space="preserve">YEMISCI, M., GURSOY-OZDEMIR, Y., VURAL, A., CAN, A., TOPALKARA, K. &amp; DALKARA, T. 2009. Pericyte contraction induced by oxidative-nitrative stress impairs capillary reflow despite successful opening of an occluded cerebral artery. </w:t>
      </w:r>
      <w:r w:rsidRPr="00D06F2D">
        <w:rPr>
          <w:i/>
          <w:noProof/>
        </w:rPr>
        <w:t>Nature Medicine,</w:t>
      </w:r>
      <w:r w:rsidRPr="00D06F2D">
        <w:rPr>
          <w:noProof/>
        </w:rPr>
        <w:t xml:space="preserve"> 15</w:t>
      </w:r>
      <w:r w:rsidRPr="00D06F2D">
        <w:rPr>
          <w:b/>
          <w:noProof/>
        </w:rPr>
        <w:t>,</w:t>
      </w:r>
      <w:r w:rsidRPr="00D06F2D">
        <w:rPr>
          <w:noProof/>
        </w:rPr>
        <w:t xml:space="preserve"> 1031.</w:t>
      </w:r>
    </w:p>
    <w:p w14:paraId="01AF963D" w14:textId="77777777" w:rsidR="00D06F2D" w:rsidRPr="00D06F2D" w:rsidRDefault="00D06F2D" w:rsidP="00D06F2D">
      <w:pPr>
        <w:pStyle w:val="EndNoteBibliography"/>
        <w:ind w:left="720" w:hanging="720"/>
        <w:rPr>
          <w:noProof/>
        </w:rPr>
      </w:pPr>
      <w:r w:rsidRPr="00D06F2D">
        <w:rPr>
          <w:noProof/>
        </w:rPr>
        <w:t xml:space="preserve">YIN, J., SUN, H., YANG, J. &amp; GUO, Q. 2014. Comparison of K-Means and Fuzzy c-Means Algorithm Performance for Automated Determination of the Arterial Input Function. </w:t>
      </w:r>
      <w:r w:rsidRPr="00D06F2D">
        <w:rPr>
          <w:i/>
          <w:noProof/>
        </w:rPr>
        <w:t>Plos One,</w:t>
      </w:r>
      <w:r w:rsidRPr="00D06F2D">
        <w:rPr>
          <w:noProof/>
        </w:rPr>
        <w:t xml:space="preserve"> 9.</w:t>
      </w:r>
    </w:p>
    <w:p w14:paraId="744E790A" w14:textId="77777777" w:rsidR="00D06F2D" w:rsidRPr="00D06F2D" w:rsidRDefault="00D06F2D" w:rsidP="00D06F2D">
      <w:pPr>
        <w:pStyle w:val="EndNoteBibliography"/>
        <w:ind w:left="720" w:hanging="720"/>
        <w:rPr>
          <w:noProof/>
        </w:rPr>
      </w:pPr>
      <w:r w:rsidRPr="00D06F2D">
        <w:rPr>
          <w:noProof/>
        </w:rPr>
        <w:t xml:space="preserve">YIN, J., YANG, J. &amp; GUO, Q. 2015. Automatic determination of the arterial input function in dynamic susceptibility contrast MRI: comparison of different reproducible clustering algorithms. </w:t>
      </w:r>
      <w:r w:rsidRPr="00D06F2D">
        <w:rPr>
          <w:i/>
          <w:noProof/>
        </w:rPr>
        <w:t>A Journal Dedicated to Neuroimaging and Interventional Neuroradiology,</w:t>
      </w:r>
      <w:r w:rsidRPr="00D06F2D">
        <w:rPr>
          <w:noProof/>
        </w:rPr>
        <w:t xml:space="preserve"> 57</w:t>
      </w:r>
      <w:r w:rsidRPr="00D06F2D">
        <w:rPr>
          <w:b/>
          <w:noProof/>
        </w:rPr>
        <w:t>,</w:t>
      </w:r>
      <w:r w:rsidRPr="00D06F2D">
        <w:rPr>
          <w:noProof/>
        </w:rPr>
        <w:t xml:space="preserve"> 535-543.</w:t>
      </w:r>
    </w:p>
    <w:p w14:paraId="63B90AE3" w14:textId="77777777" w:rsidR="00D06F2D" w:rsidRPr="00D06F2D" w:rsidRDefault="00D06F2D" w:rsidP="00D06F2D">
      <w:pPr>
        <w:pStyle w:val="EndNoteBibliography"/>
        <w:ind w:left="720" w:hanging="720"/>
        <w:rPr>
          <w:noProof/>
        </w:rPr>
      </w:pPr>
      <w:r w:rsidRPr="00D06F2D">
        <w:rPr>
          <w:noProof/>
        </w:rPr>
        <w:t>YOSHIDA, S., HIRAI, M., SUZUKI, S., AWATA, S. &amp; OKA, Y. 2009. Neuropathy is associated with depression independently of health</w:t>
      </w:r>
      <w:r w:rsidRPr="00D06F2D">
        <w:rPr>
          <w:rFonts w:ascii="Cambria Math" w:hAnsi="Cambria Math" w:cs="Cambria Math"/>
          <w:noProof/>
        </w:rPr>
        <w:t>‐</w:t>
      </w:r>
      <w:r w:rsidRPr="00D06F2D">
        <w:rPr>
          <w:noProof/>
        </w:rPr>
        <w:t xml:space="preserve"> related quality of life in Japanese patients with diabetes. </w:t>
      </w:r>
      <w:r w:rsidRPr="00D06F2D">
        <w:rPr>
          <w:i/>
          <w:noProof/>
        </w:rPr>
        <w:t>Psychiatry and Clinical Neurosciences,</w:t>
      </w:r>
      <w:r w:rsidRPr="00D06F2D">
        <w:rPr>
          <w:noProof/>
        </w:rPr>
        <w:t xml:space="preserve"> 63</w:t>
      </w:r>
      <w:r w:rsidRPr="00D06F2D">
        <w:rPr>
          <w:b/>
          <w:noProof/>
        </w:rPr>
        <w:t>,</w:t>
      </w:r>
      <w:r w:rsidRPr="00D06F2D">
        <w:rPr>
          <w:noProof/>
        </w:rPr>
        <w:t xml:space="preserve"> 65-72.</w:t>
      </w:r>
    </w:p>
    <w:p w14:paraId="4F468BE7" w14:textId="77777777" w:rsidR="00D06F2D" w:rsidRPr="00D06F2D" w:rsidRDefault="00D06F2D" w:rsidP="00D06F2D">
      <w:pPr>
        <w:pStyle w:val="EndNoteBibliography"/>
        <w:ind w:left="720" w:hanging="720"/>
        <w:rPr>
          <w:noProof/>
        </w:rPr>
      </w:pPr>
      <w:r w:rsidRPr="00D06F2D">
        <w:rPr>
          <w:noProof/>
        </w:rPr>
        <w:t xml:space="preserve">ZELMAN, D. C., BRANDENBURG, N. A. &amp; GORE, M. 2006. Sleep impairment in patients with painful diabetic peripheral neuropathy. </w:t>
      </w:r>
      <w:r w:rsidRPr="00D06F2D">
        <w:rPr>
          <w:i/>
          <w:noProof/>
        </w:rPr>
        <w:t>Clinical Journal of Pain,</w:t>
      </w:r>
      <w:r w:rsidRPr="00D06F2D">
        <w:rPr>
          <w:noProof/>
        </w:rPr>
        <w:t xml:space="preserve"> 22.</w:t>
      </w:r>
    </w:p>
    <w:p w14:paraId="6BED8E81" w14:textId="77777777" w:rsidR="00D06F2D" w:rsidRPr="00D06F2D" w:rsidRDefault="00D06F2D" w:rsidP="00D06F2D">
      <w:pPr>
        <w:pStyle w:val="EndNoteBibliography"/>
        <w:ind w:left="720" w:hanging="720"/>
        <w:rPr>
          <w:noProof/>
        </w:rPr>
      </w:pPr>
      <w:r w:rsidRPr="00D06F2D">
        <w:rPr>
          <w:noProof/>
        </w:rPr>
        <w:t xml:space="preserve">ZENKER, J., POIROT, O., DE PREUX CHARLES, A.-S., ARNAUD, E., MÉDARD, J.-J., LACROIX, C., KUNTZER, T. &amp; CHRAST, R. 2012. Altered distribution of juxtaparanodal kv1.2 subunits mediates peripheral nerve hyperexcitability in type 2 diabetes mellitus. </w:t>
      </w:r>
      <w:r w:rsidRPr="00D06F2D">
        <w:rPr>
          <w:i/>
          <w:noProof/>
        </w:rPr>
        <w:t>J Neurosci,</w:t>
      </w:r>
      <w:r w:rsidRPr="00D06F2D">
        <w:rPr>
          <w:noProof/>
        </w:rPr>
        <w:t xml:space="preserve"> 32</w:t>
      </w:r>
      <w:r w:rsidRPr="00D06F2D">
        <w:rPr>
          <w:b/>
          <w:noProof/>
        </w:rPr>
        <w:t>,</w:t>
      </w:r>
      <w:r w:rsidRPr="00D06F2D">
        <w:rPr>
          <w:noProof/>
        </w:rPr>
        <w:t xml:space="preserve"> 7493-7498.</w:t>
      </w:r>
    </w:p>
    <w:p w14:paraId="6D24BBBA" w14:textId="77777777" w:rsidR="00D06F2D" w:rsidRPr="00D06F2D" w:rsidRDefault="00D06F2D" w:rsidP="00D06F2D">
      <w:pPr>
        <w:pStyle w:val="EndNoteBibliography"/>
        <w:ind w:left="720" w:hanging="720"/>
        <w:rPr>
          <w:noProof/>
        </w:rPr>
      </w:pPr>
      <w:r w:rsidRPr="00D06F2D">
        <w:rPr>
          <w:noProof/>
        </w:rPr>
        <w:t xml:space="preserve">ZHAO, R., ZHOU, H., HUANG, L., XIE, Z., WANG, J., GAN, W.-B. &amp; YANG, G. 2018a. Neuropathic Pain Causes Pyramidal Neuronal Hyperactivity in the Anterior Cingulate Cortex. </w:t>
      </w:r>
      <w:r w:rsidRPr="00D06F2D">
        <w:rPr>
          <w:i/>
          <w:noProof/>
        </w:rPr>
        <w:t>Frontiers in Cellular Neuroscience,</w:t>
      </w:r>
      <w:r w:rsidRPr="00D06F2D">
        <w:rPr>
          <w:noProof/>
        </w:rPr>
        <w:t xml:space="preserve"> 12.</w:t>
      </w:r>
    </w:p>
    <w:p w14:paraId="6104BEBA" w14:textId="77777777" w:rsidR="00D06F2D" w:rsidRPr="00D06F2D" w:rsidRDefault="00D06F2D" w:rsidP="00D06F2D">
      <w:pPr>
        <w:pStyle w:val="EndNoteBibliography"/>
        <w:ind w:left="720" w:hanging="720"/>
        <w:rPr>
          <w:noProof/>
        </w:rPr>
      </w:pPr>
      <w:r w:rsidRPr="00D06F2D">
        <w:rPr>
          <w:noProof/>
        </w:rPr>
        <w:t xml:space="preserve">ZHAO, X., HAN, Q., GANG, X. &amp; WANG, G. 2018b. Altered brain metabolites in patients with diabetes mellitus and related complications – evidence from  </w:t>
      </w:r>
      <w:r w:rsidRPr="00D06F2D">
        <w:rPr>
          <w:noProof/>
          <w:vertAlign w:val="superscript"/>
        </w:rPr>
        <w:t>1</w:t>
      </w:r>
      <w:r w:rsidRPr="00D06F2D">
        <w:rPr>
          <w:noProof/>
        </w:rPr>
        <w:t xml:space="preserve">H MRS study. </w:t>
      </w:r>
      <w:r w:rsidRPr="00D06F2D">
        <w:rPr>
          <w:i/>
          <w:noProof/>
        </w:rPr>
        <w:t>Bioscience Reports,</w:t>
      </w:r>
      <w:r w:rsidRPr="00D06F2D">
        <w:rPr>
          <w:noProof/>
        </w:rPr>
        <w:t xml:space="preserve"> 38.</w:t>
      </w:r>
    </w:p>
    <w:p w14:paraId="76AFCA88" w14:textId="77777777" w:rsidR="00D06F2D" w:rsidRPr="00D06F2D" w:rsidRDefault="00D06F2D" w:rsidP="00D06F2D">
      <w:pPr>
        <w:pStyle w:val="EndNoteBibliography"/>
        <w:ind w:left="720" w:hanging="720"/>
        <w:rPr>
          <w:noProof/>
        </w:rPr>
      </w:pPr>
      <w:r w:rsidRPr="00D06F2D">
        <w:rPr>
          <w:noProof/>
        </w:rPr>
        <w:t xml:space="preserve">ZHUO, J. &amp; GULLAPALLI, R. P. 2006. MR Artifacts, Safety, and Quality Control1. </w:t>
      </w:r>
      <w:r w:rsidRPr="00D06F2D">
        <w:rPr>
          <w:i/>
          <w:noProof/>
        </w:rPr>
        <w:t>Radiographics,</w:t>
      </w:r>
      <w:r w:rsidRPr="00D06F2D">
        <w:rPr>
          <w:noProof/>
        </w:rPr>
        <w:t xml:space="preserve"> 26</w:t>
      </w:r>
      <w:r w:rsidRPr="00D06F2D">
        <w:rPr>
          <w:b/>
          <w:noProof/>
        </w:rPr>
        <w:t>,</w:t>
      </w:r>
      <w:r w:rsidRPr="00D06F2D">
        <w:rPr>
          <w:noProof/>
        </w:rPr>
        <w:t xml:space="preserve"> 275-297.</w:t>
      </w:r>
    </w:p>
    <w:p w14:paraId="03B4B785" w14:textId="77777777" w:rsidR="00D06F2D" w:rsidRPr="00D06F2D" w:rsidRDefault="00D06F2D" w:rsidP="00D06F2D">
      <w:pPr>
        <w:pStyle w:val="EndNoteBibliography"/>
        <w:ind w:left="720" w:hanging="720"/>
        <w:rPr>
          <w:noProof/>
        </w:rPr>
      </w:pPr>
      <w:r w:rsidRPr="00D06F2D">
        <w:rPr>
          <w:noProof/>
        </w:rPr>
        <w:t xml:space="preserve">ZIEGLER, D. 2011. Current concepts in the management of diabetic polyneuropathy. </w:t>
      </w:r>
      <w:r w:rsidRPr="00D06F2D">
        <w:rPr>
          <w:i/>
          <w:noProof/>
        </w:rPr>
        <w:t>Curr Diabetes Rev,</w:t>
      </w:r>
      <w:r w:rsidRPr="00D06F2D">
        <w:rPr>
          <w:noProof/>
        </w:rPr>
        <w:t xml:space="preserve"> 7</w:t>
      </w:r>
      <w:r w:rsidRPr="00D06F2D">
        <w:rPr>
          <w:b/>
          <w:noProof/>
        </w:rPr>
        <w:t>,</w:t>
      </w:r>
      <w:r w:rsidRPr="00D06F2D">
        <w:rPr>
          <w:noProof/>
        </w:rPr>
        <w:t xml:space="preserve"> 208-20.</w:t>
      </w:r>
    </w:p>
    <w:p w14:paraId="0E0B10A1" w14:textId="77777777" w:rsidR="00D06F2D" w:rsidRPr="00D06F2D" w:rsidRDefault="00D06F2D" w:rsidP="00D06F2D">
      <w:pPr>
        <w:pStyle w:val="EndNoteBibliography"/>
        <w:ind w:left="720" w:hanging="720"/>
        <w:rPr>
          <w:noProof/>
        </w:rPr>
      </w:pPr>
      <w:r w:rsidRPr="00D06F2D">
        <w:rPr>
          <w:noProof/>
        </w:rPr>
        <w:t xml:space="preserve">ZIEGLER, D., AMETOV, A., BARINOV, A., DYCK, P. J., GURIEVA, I., LOW, P. A., MUNZEL, U., YAKHNO, N., RAZ, I., NOVOSADOVA, M., MAUS, J. &amp; SAMIGULLIN, R. 2006. Oral treatment with alpha-lipoic acid improves symptomatic diabetic polyneuropathy - The SYDNEY 2 trial. </w:t>
      </w:r>
      <w:r w:rsidRPr="00D06F2D">
        <w:rPr>
          <w:i/>
          <w:noProof/>
        </w:rPr>
        <w:t>Diabetes Care,</w:t>
      </w:r>
      <w:r w:rsidRPr="00D06F2D">
        <w:rPr>
          <w:noProof/>
        </w:rPr>
        <w:t xml:space="preserve"> 29</w:t>
      </w:r>
      <w:r w:rsidRPr="00D06F2D">
        <w:rPr>
          <w:b/>
          <w:noProof/>
        </w:rPr>
        <w:t>,</w:t>
      </w:r>
      <w:r w:rsidRPr="00D06F2D">
        <w:rPr>
          <w:noProof/>
        </w:rPr>
        <w:t xml:space="preserve"> 2365-2370.</w:t>
      </w:r>
    </w:p>
    <w:p w14:paraId="1C060EA6" w14:textId="77777777" w:rsidR="00D06F2D" w:rsidRPr="00D06F2D" w:rsidRDefault="00D06F2D" w:rsidP="00D06F2D">
      <w:pPr>
        <w:pStyle w:val="EndNoteBibliography"/>
        <w:ind w:left="720" w:hanging="720"/>
        <w:rPr>
          <w:noProof/>
        </w:rPr>
      </w:pPr>
      <w:r w:rsidRPr="00D06F2D">
        <w:rPr>
          <w:noProof/>
        </w:rPr>
        <w:t xml:space="preserve">ZIEGLER, D., LANGEN, K. J., HERZOG, H., KUWERT, T., MUHLEN, H., FEINENDEGEN, L. E. &amp; GRIES, F. A. 1994. Cerebral glucose metabolism in type 1 diabetic patients. </w:t>
      </w:r>
      <w:r w:rsidRPr="00D06F2D">
        <w:rPr>
          <w:i/>
          <w:noProof/>
        </w:rPr>
        <w:t>Diabet Med,</w:t>
      </w:r>
      <w:r w:rsidRPr="00D06F2D">
        <w:rPr>
          <w:noProof/>
        </w:rPr>
        <w:t xml:space="preserve"> 11</w:t>
      </w:r>
      <w:r w:rsidRPr="00D06F2D">
        <w:rPr>
          <w:b/>
          <w:noProof/>
        </w:rPr>
        <w:t>,</w:t>
      </w:r>
      <w:r w:rsidRPr="00D06F2D">
        <w:rPr>
          <w:noProof/>
        </w:rPr>
        <w:t xml:space="preserve"> 205-9.</w:t>
      </w:r>
    </w:p>
    <w:p w14:paraId="75E578E5" w14:textId="77777777" w:rsidR="00D06F2D" w:rsidRPr="00D06F2D" w:rsidRDefault="00D06F2D" w:rsidP="00D06F2D">
      <w:pPr>
        <w:pStyle w:val="EndNoteBibliography"/>
        <w:ind w:left="720" w:hanging="720"/>
        <w:rPr>
          <w:noProof/>
        </w:rPr>
      </w:pPr>
      <w:r w:rsidRPr="00D06F2D">
        <w:rPr>
          <w:noProof/>
        </w:rPr>
        <w:lastRenderedPageBreak/>
        <w:t xml:space="preserve">ZIEGLER, D., RATHMANN, W., DICKHAUS, T., MEISINGER, C., MIELCK, A. &amp; GRP, K. S. 2009a. Neuropathic Pain in Diabetes, Prediabetes and Normal Glucose Tolerance: The MONICA/KORA Augsburg Surveys S2 and S3. </w:t>
      </w:r>
      <w:r w:rsidRPr="00D06F2D">
        <w:rPr>
          <w:i/>
          <w:noProof/>
        </w:rPr>
        <w:t>Pain Medicine,</w:t>
      </w:r>
      <w:r w:rsidRPr="00D06F2D">
        <w:rPr>
          <w:noProof/>
        </w:rPr>
        <w:t xml:space="preserve"> 10.</w:t>
      </w:r>
    </w:p>
    <w:p w14:paraId="02DF01A0" w14:textId="77777777" w:rsidR="00D06F2D" w:rsidRPr="00D06F2D" w:rsidRDefault="00D06F2D" w:rsidP="00D06F2D">
      <w:pPr>
        <w:pStyle w:val="EndNoteBibliography"/>
        <w:ind w:left="720" w:hanging="720"/>
        <w:rPr>
          <w:noProof/>
        </w:rPr>
      </w:pPr>
      <w:r w:rsidRPr="00D06F2D">
        <w:rPr>
          <w:noProof/>
        </w:rPr>
        <w:t xml:space="preserve">ZIEGLER, D., RATHMANN, W., DICKHAUS, T., MEISINGER, C., MIELCK, A. &amp; GRP, K. S. 2009b. Neuropathic Pain in Diabetes, Prediabetes and Normal Glucose Tolerance: The MONICA/KORA Augsburg Surveys S2 and S3. </w:t>
      </w:r>
      <w:r w:rsidRPr="00D06F2D">
        <w:rPr>
          <w:i/>
          <w:noProof/>
        </w:rPr>
        <w:t>Pain Medicine,</w:t>
      </w:r>
      <w:r w:rsidRPr="00D06F2D">
        <w:rPr>
          <w:noProof/>
        </w:rPr>
        <w:t xml:space="preserve"> 10</w:t>
      </w:r>
      <w:r w:rsidRPr="00D06F2D">
        <w:rPr>
          <w:b/>
          <w:noProof/>
        </w:rPr>
        <w:t>,</w:t>
      </w:r>
      <w:r w:rsidRPr="00D06F2D">
        <w:rPr>
          <w:noProof/>
        </w:rPr>
        <w:t xml:space="preserve"> 393-400.</w:t>
      </w:r>
    </w:p>
    <w:p w14:paraId="76C970BC" w14:textId="77777777" w:rsidR="00D06F2D" w:rsidRPr="00D06F2D" w:rsidRDefault="00D06F2D" w:rsidP="00D06F2D">
      <w:pPr>
        <w:pStyle w:val="EndNoteBibliography"/>
        <w:ind w:left="720" w:hanging="720"/>
        <w:rPr>
          <w:noProof/>
        </w:rPr>
      </w:pPr>
      <w:r w:rsidRPr="00D06F2D">
        <w:rPr>
          <w:noProof/>
        </w:rPr>
        <w:t xml:space="preserve">ØSTERGAARD, L., JESPERSEN, S., MOURIDSEN, K., MIKKELSEN, I., JONSDOTTÍR, K., TIETZE, A., BLICHER, J., AAMAND, R., HJORT, N., IVERSEN, N., CAI, C., HOUGAARD, K., SIMONSEN, C., VON WEITZEL-MUDERSBACH, P., MODRAU, B., NAGENTHIRAJA, K., RIBE, L., HANSEN, M., BEKKE, S., DAHLMAN, M., PUIG, J., PEDRAZA, S., SERENA, J., CHO, T., SIEMONSEN, S., THOMALLA, G., FIEHLER, J., NIGHOGHOSSIAN, N. &amp; ANDERSEN, G. 2013a. The Role of the Cerebral Capillaries in Acute Ischemic Stroke: The Extended Penumbra Model. </w:t>
      </w:r>
      <w:r w:rsidRPr="00D06F2D">
        <w:rPr>
          <w:i/>
          <w:noProof/>
        </w:rPr>
        <w:t>J Cereb Blood Flow Metab,</w:t>
      </w:r>
      <w:r w:rsidRPr="00D06F2D">
        <w:rPr>
          <w:noProof/>
        </w:rPr>
        <w:t xml:space="preserve"> 33</w:t>
      </w:r>
      <w:r w:rsidRPr="00D06F2D">
        <w:rPr>
          <w:b/>
          <w:noProof/>
        </w:rPr>
        <w:t>,</w:t>
      </w:r>
      <w:r w:rsidRPr="00D06F2D">
        <w:rPr>
          <w:noProof/>
        </w:rPr>
        <w:t xml:space="preserve"> 635-648.</w:t>
      </w:r>
    </w:p>
    <w:p w14:paraId="4E4578E6" w14:textId="77777777" w:rsidR="00D06F2D" w:rsidRPr="00D06F2D" w:rsidRDefault="00D06F2D" w:rsidP="00D06F2D">
      <w:pPr>
        <w:pStyle w:val="EndNoteBibliography"/>
        <w:ind w:left="720" w:hanging="720"/>
        <w:rPr>
          <w:noProof/>
        </w:rPr>
      </w:pPr>
      <w:r w:rsidRPr="00D06F2D">
        <w:rPr>
          <w:noProof/>
        </w:rPr>
        <w:t xml:space="preserve">ØSTERGAARD, L., JESPERSEN, S. N., MOURIDSEN, K., MIKKELSEN, I. K., JONSDOTTÍR, K., TIETZE, A., BLICHER, J. U., AAMAND, R., HJORT, N., IVERSEN, N. K., CAI, C., HOUGAARD, K. D., SIMONSEN, C. Z., VON WEITZEL-MUDERSBACH, P., MODRAU, B., NAGENTHIRAJA, K., RIISGAARD RIBE, L., HANSEN, M. B., BEKKE, S. L., DAHLMAN, M. G., PUIG, J., PEDRAZA, S., SERENA, J., CHO, T. H., SIEMONSEN, S., THOMALLA, G., FIEHLER, J., NIGHOGHOSSIAN, N. &amp; ANDERSEN, G. 2013b. The role of the cerebral capillaries in acute ischemic stroke: the extended penumbra model. </w:t>
      </w:r>
      <w:r w:rsidRPr="00D06F2D">
        <w:rPr>
          <w:i/>
          <w:noProof/>
        </w:rPr>
        <w:t>J Cereb Blood Flow Metab,</w:t>
      </w:r>
      <w:r w:rsidRPr="00D06F2D">
        <w:rPr>
          <w:noProof/>
        </w:rPr>
        <w:t xml:space="preserve"> 33</w:t>
      </w:r>
      <w:r w:rsidRPr="00D06F2D">
        <w:rPr>
          <w:b/>
          <w:noProof/>
        </w:rPr>
        <w:t>,</w:t>
      </w:r>
      <w:r w:rsidRPr="00D06F2D">
        <w:rPr>
          <w:noProof/>
        </w:rPr>
        <w:t xml:space="preserve"> 635-48.</w:t>
      </w:r>
    </w:p>
    <w:p w14:paraId="31F29B82" w14:textId="358F1C82" w:rsidR="00C62606" w:rsidRDefault="009968E0" w:rsidP="000D0695">
      <w:r>
        <w:fldChar w:fldCharType="end"/>
      </w:r>
    </w:p>
    <w:sectPr w:rsidR="00C62606" w:rsidSect="000C4457">
      <w:pgSz w:w="11900" w:h="16840"/>
      <w:pgMar w:top="1440" w:right="1440" w:bottom="1440" w:left="1440"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445" w:author="Tesfaye, Solomon (Diabetes)" w:date="2020-08-12T11:42:00Z" w:initials="ST">
    <w:p w14:paraId="764E2519" w14:textId="77777777" w:rsidR="00D17A43" w:rsidRDefault="00D17A43" w:rsidP="006416A2">
      <w:pPr>
        <w:pStyle w:val="CommentText"/>
      </w:pPr>
      <w:r>
        <w:rPr>
          <w:rStyle w:val="CommentReference"/>
        </w:rPr>
        <w:annotationRef/>
      </w:r>
      <w:r>
        <w:t>To appendix</w:t>
      </w:r>
    </w:p>
  </w:comment>
  <w:comment w:id="555" w:author="Microsoft Office User" w:date="2020-08-21T22:20:00Z" w:initials="MOU">
    <w:p w14:paraId="15BA0D42" w14:textId="77777777" w:rsidR="00D17A43" w:rsidRPr="00E6696D" w:rsidRDefault="00D17A43" w:rsidP="009968E0">
      <w:pPr>
        <w:spacing w:line="360" w:lineRule="auto"/>
        <w:rPr>
          <w:rFonts w:cs="Arial"/>
        </w:rPr>
      </w:pPr>
      <w:r>
        <w:rPr>
          <w:rStyle w:val="CommentReference"/>
        </w:rPr>
        <w:annotationRef/>
      </w:r>
      <w:r>
        <w:rPr>
          <w:rFonts w:cs="Arial"/>
        </w:rPr>
        <w:t>). Appendix for the Figures apart from novel and reinstate the Descriptive  stats</w:t>
      </w:r>
    </w:p>
    <w:p w14:paraId="1D9B56F9" w14:textId="77777777" w:rsidR="00D17A43" w:rsidRDefault="00D17A43" w:rsidP="009968E0">
      <w:pPr>
        <w:pStyle w:val="CommentText"/>
      </w:pPr>
    </w:p>
  </w:comment>
  <w:comment w:id="674" w:author="Tesfaye, Solomon (Diabetes)" w:date="2020-08-12T11:54:00Z" w:initials="ST">
    <w:p w14:paraId="6B64588F" w14:textId="77777777" w:rsidR="00D17A43" w:rsidRDefault="00D17A43" w:rsidP="009968E0">
      <w:pPr>
        <w:pStyle w:val="CommentText"/>
      </w:pPr>
      <w:r>
        <w:rPr>
          <w:rStyle w:val="CommentReference"/>
        </w:rPr>
        <w:annotationRef/>
      </w:r>
      <w:r>
        <w:t>Send to the appendix</w:t>
      </w:r>
    </w:p>
  </w:comment>
  <w:comment w:id="683" w:author="Tesfaye, Solomon (Diabetes)" w:date="2020-08-12T11:55:00Z" w:initials="ST">
    <w:p w14:paraId="03A65872" w14:textId="77777777" w:rsidR="00D17A43" w:rsidRDefault="00D17A43" w:rsidP="009968E0">
      <w:pPr>
        <w:pStyle w:val="CommentText"/>
      </w:pPr>
      <w:r>
        <w:rPr>
          <w:rStyle w:val="CommentReference"/>
        </w:rPr>
        <w:annotationRef/>
      </w:r>
      <w:r>
        <w:t>To the appendix</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764E2519" w15:done="0"/>
  <w15:commentEx w15:paraId="1D9B56F9" w15:done="0"/>
  <w15:commentEx w15:paraId="6B64588F" w15:done="0"/>
  <w15:commentEx w15:paraId="03A65872"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EAC718" w16cex:dateUtc="2020-08-21T21:2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764E2519" w16cid:durableId="22DED2B1"/>
  <w16cid:commentId w16cid:paraId="1D9B56F9" w16cid:durableId="22EAC718"/>
  <w16cid:commentId w16cid:paraId="6B64588F" w16cid:durableId="22DECBB7"/>
  <w16cid:commentId w16cid:paraId="03A65872" w16cid:durableId="22DECBB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AFF4ED4" w14:textId="77777777" w:rsidR="006D3518" w:rsidRDefault="006D3518" w:rsidP="00AF0E0B">
      <w:r>
        <w:separator/>
      </w:r>
    </w:p>
    <w:p w14:paraId="5F80032A" w14:textId="77777777" w:rsidR="006D3518" w:rsidRDefault="006D3518"/>
    <w:p w14:paraId="4D064EAE" w14:textId="77777777" w:rsidR="006D3518" w:rsidRDefault="006D3518" w:rsidP="001E1775"/>
  </w:endnote>
  <w:endnote w:type="continuationSeparator" w:id="0">
    <w:p w14:paraId="11F5C664" w14:textId="77777777" w:rsidR="006D3518" w:rsidRDefault="006D3518" w:rsidP="00AF0E0B">
      <w:r>
        <w:continuationSeparator/>
      </w:r>
    </w:p>
    <w:p w14:paraId="1CC8A261" w14:textId="77777777" w:rsidR="006D3518" w:rsidRDefault="006D3518"/>
    <w:p w14:paraId="580A119E" w14:textId="77777777" w:rsidR="006D3518" w:rsidRDefault="006D3518" w:rsidP="001E177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Helvetica">
    <w:panose1 w:val="00000000000000000000"/>
    <w:charset w:val="00"/>
    <w:family w:val="auto"/>
    <w:pitch w:val="variable"/>
    <w:sig w:usb0="E00002FF" w:usb1="5000785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Times New Roman">
    <w:panose1 w:val="02020603050405020304"/>
    <w:charset w:val="00"/>
    <w:family w:val="roman"/>
    <w:pitch w:val="variable"/>
    <w:sig w:usb0="E0002EFF" w:usb1="C000785B" w:usb2="00000009" w:usb3="00000000" w:csb0="000001FF" w:csb1="00000000"/>
  </w:font>
  <w:font w:name="Noto Sans Symbols">
    <w:altName w:val="Times New Roman"/>
    <w:panose1 w:val="020B0604020202020204"/>
    <w:charset w:val="00"/>
    <w:family w:val="auto"/>
    <w:pitch w:val="default"/>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Helvetica Neue">
    <w:altName w:val="﷽﷽﷽﷽﷽﷽﷽﷽a Neue"/>
    <w:panose1 w:val="02000503000000020004"/>
    <w:charset w:val="00"/>
    <w:family w:val="auto"/>
    <w:pitch w:val="variable"/>
    <w:sig w:usb0="E50002FF" w:usb1="500079DB" w:usb2="00000010" w:usb3="00000000" w:csb0="00000001" w:csb1="00000000"/>
  </w:font>
  <w:font w:name="PMingLiU">
    <w:altName w:val="新細明體"/>
    <w:panose1 w:val="02020500000000000000"/>
    <w:charset w:val="88"/>
    <w:family w:val="roman"/>
    <w:pitch w:val="variable"/>
    <w:sig w:usb0="A00002FF" w:usb1="28CFFCFA" w:usb2="00000016" w:usb3="00000000" w:csb0="00100001" w:csb1="00000000"/>
  </w:font>
  <w:font w:name="MS ??">
    <w:panose1 w:val="020B0604020202020204"/>
    <w:charset w:val="80"/>
    <w:family w:val="auto"/>
    <w:notTrueType/>
    <w:pitch w:val="variable"/>
    <w:sig w:usb0="00000001" w:usb1="08070000" w:usb2="00000010" w:usb3="00000000" w:csb0="00020000" w:csb1="00000000"/>
  </w:font>
  <w:font w:name="MS Mincho">
    <w:altName w:val="ＭＳ 明朝"/>
    <w:panose1 w:val="02020609040205080304"/>
    <w:charset w:val="80"/>
    <w:family w:val="modern"/>
    <w:pitch w:val="fixed"/>
    <w:sig w:usb0="E00002FF" w:usb1="6AC7FDFB" w:usb2="08000012" w:usb3="00000000" w:csb0="0002009F" w:csb1="00000000"/>
  </w:font>
  <w:font w:name="Lucida Grande">
    <w:altName w:val="﷽﷽﷽﷽﷽﷽﷽﷽rande"/>
    <w:panose1 w:val="020B0600040502020204"/>
    <w:charset w:val="00"/>
    <w:family w:val="swiss"/>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TUOS Blake">
    <w:altName w:val="Times New Roman"/>
    <w:panose1 w:val="020B0604020202020204"/>
    <w:charset w:val="00"/>
    <w:family w:val="roman"/>
    <w:pitch w:val="default"/>
  </w:font>
  <w:font w:name="Symbol">
    <w:panose1 w:val="05050102010706020507"/>
    <w:charset w:val="02"/>
    <w:family w:val="decorative"/>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 w:name="Cardo">
    <w:altName w:val="Times New Roman"/>
    <w:panose1 w:val="020B06040202020202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747022297"/>
      <w:docPartObj>
        <w:docPartGallery w:val="Page Numbers (Bottom of Page)"/>
        <w:docPartUnique/>
      </w:docPartObj>
    </w:sdtPr>
    <w:sdtEndPr>
      <w:rPr>
        <w:rStyle w:val="PageNumber"/>
      </w:rPr>
    </w:sdtEndPr>
    <w:sdtContent>
      <w:p w14:paraId="20BBB8C3" w14:textId="493D338E" w:rsidR="00D17A43" w:rsidRDefault="00D17A43" w:rsidP="00840F2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B326645" w14:textId="77777777" w:rsidR="00D17A43" w:rsidRDefault="00D17A43" w:rsidP="0063374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981044520"/>
      <w:docPartObj>
        <w:docPartGallery w:val="Page Numbers (Bottom of Page)"/>
        <w:docPartUnique/>
      </w:docPartObj>
    </w:sdtPr>
    <w:sdtEndPr>
      <w:rPr>
        <w:rStyle w:val="PageNumber"/>
      </w:rPr>
    </w:sdtEndPr>
    <w:sdtContent>
      <w:p w14:paraId="5DBEC419" w14:textId="5AC6F05E" w:rsidR="00D17A43" w:rsidRDefault="00D17A43" w:rsidP="00840F2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2F11CB24" w14:textId="77777777" w:rsidR="00D17A43" w:rsidRDefault="00D17A43" w:rsidP="00633742">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A1732A7" w14:textId="77777777" w:rsidR="006D3518" w:rsidRDefault="006D3518" w:rsidP="00AF0E0B">
      <w:r>
        <w:separator/>
      </w:r>
    </w:p>
    <w:p w14:paraId="56FEEF75" w14:textId="77777777" w:rsidR="006D3518" w:rsidRDefault="006D3518"/>
    <w:p w14:paraId="0D353D97" w14:textId="77777777" w:rsidR="006D3518" w:rsidRDefault="006D3518" w:rsidP="001E1775"/>
  </w:footnote>
  <w:footnote w:type="continuationSeparator" w:id="0">
    <w:p w14:paraId="63E6E6F0" w14:textId="77777777" w:rsidR="006D3518" w:rsidRDefault="006D3518" w:rsidP="00AF0E0B">
      <w:r>
        <w:continuationSeparator/>
      </w:r>
    </w:p>
    <w:p w14:paraId="2C367CA0" w14:textId="77777777" w:rsidR="006D3518" w:rsidRDefault="006D3518"/>
    <w:p w14:paraId="4157CE22" w14:textId="77777777" w:rsidR="006D3518" w:rsidRDefault="006D3518" w:rsidP="001E1775"/>
  </w:footnote>
  <w:footnote w:id="1">
    <w:p w14:paraId="62B303D4" w14:textId="77777777" w:rsidR="00D17A43" w:rsidRDefault="00D17A43" w:rsidP="00AF0E0B">
      <w:pPr>
        <w:pStyle w:val="FootnoteText"/>
      </w:pPr>
      <w:r>
        <w:rPr>
          <w:rStyle w:val="FootnoteReference"/>
        </w:rPr>
        <w:footnoteRef/>
      </w:r>
      <w:r>
        <w:rPr>
          <w:rFonts w:eastAsia="Arial Unicode MS" w:cs="Arial Unicode MS"/>
        </w:rPr>
        <w:t xml:space="preserve"> Regional can be used in preference to the term cerebral to describe volume or flow in specific areas of the brain</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F46E0F"/>
    <w:multiLevelType w:val="hybridMultilevel"/>
    <w:tmpl w:val="1D22F354"/>
    <w:lvl w:ilvl="0" w:tplc="859E69F8">
      <w:start w:val="1"/>
      <w:numFmt w:val="bullet"/>
      <w:lvlText w:val="●"/>
      <w:lvlJc w:val="left"/>
      <w:pPr>
        <w:ind w:left="252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1" w:tplc="E9D64410">
      <w:start w:val="1"/>
      <w:numFmt w:val="bullet"/>
      <w:lvlText w:val="o"/>
      <w:lvlJc w:val="left"/>
      <w:pPr>
        <w:ind w:left="324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2" w:tplc="7696D9E2">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5544F7A">
      <w:start w:val="1"/>
      <w:numFmt w:val="bullet"/>
      <w:lvlText w:val="●"/>
      <w:lvlJc w:val="left"/>
      <w:pPr>
        <w:ind w:left="468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4" w:tplc="5A54A8F8">
      <w:start w:val="1"/>
      <w:numFmt w:val="bullet"/>
      <w:lvlText w:val="o"/>
      <w:lvlJc w:val="left"/>
      <w:pPr>
        <w:ind w:left="540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5" w:tplc="B2E20FAE">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D6279BC">
      <w:start w:val="1"/>
      <w:numFmt w:val="bullet"/>
      <w:lvlText w:val="●"/>
      <w:lvlJc w:val="left"/>
      <w:pPr>
        <w:ind w:left="684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7" w:tplc="A39E7496">
      <w:start w:val="1"/>
      <w:numFmt w:val="bullet"/>
      <w:lvlText w:val="o"/>
      <w:lvlJc w:val="left"/>
      <w:pPr>
        <w:ind w:left="756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8" w:tplc="FCF03634">
      <w:start w:val="1"/>
      <w:numFmt w:val="bullet"/>
      <w:lvlText w:val="▪"/>
      <w:lvlJc w:val="left"/>
      <w:pPr>
        <w:ind w:left="82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053629C5"/>
    <w:multiLevelType w:val="hybridMultilevel"/>
    <w:tmpl w:val="6A48EB12"/>
    <w:lvl w:ilvl="0" w:tplc="C7D281A6">
      <w:start w:val="1"/>
      <w:numFmt w:val="lowerLetter"/>
      <w:lvlText w:val="%1."/>
      <w:lvlJc w:val="left"/>
      <w:pPr>
        <w:ind w:left="720" w:hanging="360"/>
      </w:pPr>
      <w:rPr>
        <w:rFonts w:hAnsi="Arial Unicode MS"/>
        <w:i/>
        <w:iCs/>
        <w:caps w:val="0"/>
        <w:smallCaps w:val="0"/>
        <w:strike w:val="0"/>
        <w:dstrike w:val="0"/>
        <w:outline w:val="0"/>
        <w:emboss w:val="0"/>
        <w:imprint w:val="0"/>
        <w:spacing w:val="0"/>
        <w:w w:val="100"/>
        <w:kern w:val="0"/>
        <w:position w:val="0"/>
        <w:highlight w:val="none"/>
        <w:vertAlign w:val="baseline"/>
      </w:rPr>
    </w:lvl>
    <w:lvl w:ilvl="1" w:tplc="2E54B88C">
      <w:start w:val="1"/>
      <w:numFmt w:val="lowerLetter"/>
      <w:lvlText w:val="%2."/>
      <w:lvlJc w:val="left"/>
      <w:pPr>
        <w:ind w:left="1440" w:hanging="360"/>
      </w:pPr>
      <w:rPr>
        <w:rFonts w:hAnsi="Arial Unicode MS"/>
        <w:i/>
        <w:iCs/>
        <w:caps w:val="0"/>
        <w:smallCaps w:val="0"/>
        <w:strike w:val="0"/>
        <w:dstrike w:val="0"/>
        <w:outline w:val="0"/>
        <w:emboss w:val="0"/>
        <w:imprint w:val="0"/>
        <w:spacing w:val="0"/>
        <w:w w:val="100"/>
        <w:kern w:val="0"/>
        <w:position w:val="0"/>
        <w:highlight w:val="none"/>
        <w:vertAlign w:val="baseline"/>
      </w:rPr>
    </w:lvl>
    <w:lvl w:ilvl="2" w:tplc="5AE4374C">
      <w:start w:val="1"/>
      <w:numFmt w:val="lowerRoman"/>
      <w:lvlText w:val="%3."/>
      <w:lvlJc w:val="left"/>
      <w:pPr>
        <w:ind w:left="2160" w:hanging="302"/>
      </w:pPr>
      <w:rPr>
        <w:rFonts w:hAnsi="Arial Unicode MS"/>
        <w:i/>
        <w:iCs/>
        <w:caps w:val="0"/>
        <w:smallCaps w:val="0"/>
        <w:strike w:val="0"/>
        <w:dstrike w:val="0"/>
        <w:outline w:val="0"/>
        <w:emboss w:val="0"/>
        <w:imprint w:val="0"/>
        <w:spacing w:val="0"/>
        <w:w w:val="100"/>
        <w:kern w:val="0"/>
        <w:position w:val="0"/>
        <w:highlight w:val="none"/>
        <w:vertAlign w:val="baseline"/>
      </w:rPr>
    </w:lvl>
    <w:lvl w:ilvl="3" w:tplc="ED740644">
      <w:start w:val="1"/>
      <w:numFmt w:val="decimal"/>
      <w:lvlText w:val="%4."/>
      <w:lvlJc w:val="left"/>
      <w:pPr>
        <w:ind w:left="2880" w:hanging="360"/>
      </w:pPr>
      <w:rPr>
        <w:rFonts w:hAnsi="Arial Unicode MS"/>
        <w:i/>
        <w:iCs/>
        <w:caps w:val="0"/>
        <w:smallCaps w:val="0"/>
        <w:strike w:val="0"/>
        <w:dstrike w:val="0"/>
        <w:outline w:val="0"/>
        <w:emboss w:val="0"/>
        <w:imprint w:val="0"/>
        <w:spacing w:val="0"/>
        <w:w w:val="100"/>
        <w:kern w:val="0"/>
        <w:position w:val="0"/>
        <w:highlight w:val="none"/>
        <w:vertAlign w:val="baseline"/>
      </w:rPr>
    </w:lvl>
    <w:lvl w:ilvl="4" w:tplc="CDE8C594">
      <w:start w:val="1"/>
      <w:numFmt w:val="lowerLetter"/>
      <w:lvlText w:val="%5."/>
      <w:lvlJc w:val="left"/>
      <w:pPr>
        <w:ind w:left="3600" w:hanging="360"/>
      </w:pPr>
      <w:rPr>
        <w:rFonts w:hAnsi="Arial Unicode MS"/>
        <w:i/>
        <w:iCs/>
        <w:caps w:val="0"/>
        <w:smallCaps w:val="0"/>
        <w:strike w:val="0"/>
        <w:dstrike w:val="0"/>
        <w:outline w:val="0"/>
        <w:emboss w:val="0"/>
        <w:imprint w:val="0"/>
        <w:spacing w:val="0"/>
        <w:w w:val="100"/>
        <w:kern w:val="0"/>
        <w:position w:val="0"/>
        <w:highlight w:val="none"/>
        <w:vertAlign w:val="baseline"/>
      </w:rPr>
    </w:lvl>
    <w:lvl w:ilvl="5" w:tplc="785AB7F8">
      <w:start w:val="1"/>
      <w:numFmt w:val="lowerRoman"/>
      <w:lvlText w:val="%6."/>
      <w:lvlJc w:val="left"/>
      <w:pPr>
        <w:ind w:left="4320" w:hanging="302"/>
      </w:pPr>
      <w:rPr>
        <w:rFonts w:hAnsi="Arial Unicode MS"/>
        <w:i/>
        <w:iCs/>
        <w:caps w:val="0"/>
        <w:smallCaps w:val="0"/>
        <w:strike w:val="0"/>
        <w:dstrike w:val="0"/>
        <w:outline w:val="0"/>
        <w:emboss w:val="0"/>
        <w:imprint w:val="0"/>
        <w:spacing w:val="0"/>
        <w:w w:val="100"/>
        <w:kern w:val="0"/>
        <w:position w:val="0"/>
        <w:highlight w:val="none"/>
        <w:vertAlign w:val="baseline"/>
      </w:rPr>
    </w:lvl>
    <w:lvl w:ilvl="6" w:tplc="3D72C872">
      <w:start w:val="1"/>
      <w:numFmt w:val="decimal"/>
      <w:lvlText w:val="%7."/>
      <w:lvlJc w:val="left"/>
      <w:pPr>
        <w:ind w:left="5040" w:hanging="360"/>
      </w:pPr>
      <w:rPr>
        <w:rFonts w:hAnsi="Arial Unicode MS"/>
        <w:i/>
        <w:iCs/>
        <w:caps w:val="0"/>
        <w:smallCaps w:val="0"/>
        <w:strike w:val="0"/>
        <w:dstrike w:val="0"/>
        <w:outline w:val="0"/>
        <w:emboss w:val="0"/>
        <w:imprint w:val="0"/>
        <w:spacing w:val="0"/>
        <w:w w:val="100"/>
        <w:kern w:val="0"/>
        <w:position w:val="0"/>
        <w:highlight w:val="none"/>
        <w:vertAlign w:val="baseline"/>
      </w:rPr>
    </w:lvl>
    <w:lvl w:ilvl="7" w:tplc="3EE68428">
      <w:start w:val="1"/>
      <w:numFmt w:val="lowerLetter"/>
      <w:lvlText w:val="%8."/>
      <w:lvlJc w:val="left"/>
      <w:pPr>
        <w:ind w:left="5760" w:hanging="360"/>
      </w:pPr>
      <w:rPr>
        <w:rFonts w:hAnsi="Arial Unicode MS"/>
        <w:i/>
        <w:iCs/>
        <w:caps w:val="0"/>
        <w:smallCaps w:val="0"/>
        <w:strike w:val="0"/>
        <w:dstrike w:val="0"/>
        <w:outline w:val="0"/>
        <w:emboss w:val="0"/>
        <w:imprint w:val="0"/>
        <w:spacing w:val="0"/>
        <w:w w:val="100"/>
        <w:kern w:val="0"/>
        <w:position w:val="0"/>
        <w:highlight w:val="none"/>
        <w:vertAlign w:val="baseline"/>
      </w:rPr>
    </w:lvl>
    <w:lvl w:ilvl="8" w:tplc="65DC1EAE">
      <w:start w:val="1"/>
      <w:numFmt w:val="lowerRoman"/>
      <w:lvlText w:val="%9."/>
      <w:lvlJc w:val="left"/>
      <w:pPr>
        <w:ind w:left="6480" w:hanging="302"/>
      </w:pPr>
      <w:rPr>
        <w:rFonts w:hAnsi="Arial Unicode MS"/>
        <w:i/>
        <w:iCs/>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08E277AA"/>
    <w:multiLevelType w:val="hybridMultilevel"/>
    <w:tmpl w:val="F4D401B2"/>
    <w:lvl w:ilvl="0" w:tplc="46AA5EFE">
      <w:start w:val="1"/>
      <w:numFmt w:val="bullet"/>
      <w:lvlText w:val="●"/>
      <w:lvlJc w:val="left"/>
      <w:pPr>
        <w:ind w:left="252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1" w:tplc="99EC7FEC">
      <w:start w:val="1"/>
      <w:numFmt w:val="bullet"/>
      <w:lvlText w:val="o"/>
      <w:lvlJc w:val="left"/>
      <w:pPr>
        <w:ind w:left="324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2" w:tplc="E9BC8C86">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DBE73EE">
      <w:start w:val="1"/>
      <w:numFmt w:val="bullet"/>
      <w:lvlText w:val="●"/>
      <w:lvlJc w:val="left"/>
      <w:pPr>
        <w:ind w:left="468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4" w:tplc="CD70D4FA">
      <w:start w:val="1"/>
      <w:numFmt w:val="bullet"/>
      <w:lvlText w:val="o"/>
      <w:lvlJc w:val="left"/>
      <w:pPr>
        <w:ind w:left="540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5" w:tplc="2ED4D632">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994C4EA">
      <w:start w:val="1"/>
      <w:numFmt w:val="bullet"/>
      <w:lvlText w:val="●"/>
      <w:lvlJc w:val="left"/>
      <w:pPr>
        <w:ind w:left="684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7" w:tplc="CD1AD51A">
      <w:start w:val="1"/>
      <w:numFmt w:val="bullet"/>
      <w:lvlText w:val="o"/>
      <w:lvlJc w:val="left"/>
      <w:pPr>
        <w:ind w:left="756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8" w:tplc="D9BC8D1A">
      <w:start w:val="1"/>
      <w:numFmt w:val="bullet"/>
      <w:lvlText w:val="▪"/>
      <w:lvlJc w:val="left"/>
      <w:pPr>
        <w:ind w:left="82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 w15:restartNumberingAfterBreak="0">
    <w:nsid w:val="14DA344B"/>
    <w:multiLevelType w:val="hybridMultilevel"/>
    <w:tmpl w:val="C2CC81E2"/>
    <w:lvl w:ilvl="0" w:tplc="2EBAFB00">
      <w:start w:val="1"/>
      <w:numFmt w:val="bullet"/>
      <w:lvlText w:val="●"/>
      <w:lvlJc w:val="left"/>
      <w:pPr>
        <w:ind w:left="252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1" w:tplc="C1EC1FB4">
      <w:start w:val="1"/>
      <w:numFmt w:val="bullet"/>
      <w:lvlText w:val="o"/>
      <w:lvlJc w:val="left"/>
      <w:pPr>
        <w:ind w:left="324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2" w:tplc="8160D060">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A180152">
      <w:start w:val="1"/>
      <w:numFmt w:val="bullet"/>
      <w:lvlText w:val="●"/>
      <w:lvlJc w:val="left"/>
      <w:pPr>
        <w:ind w:left="468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4" w:tplc="FE105798">
      <w:start w:val="1"/>
      <w:numFmt w:val="bullet"/>
      <w:lvlText w:val="o"/>
      <w:lvlJc w:val="left"/>
      <w:pPr>
        <w:ind w:left="540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5" w:tplc="E6247522">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07C826E">
      <w:start w:val="1"/>
      <w:numFmt w:val="bullet"/>
      <w:lvlText w:val="●"/>
      <w:lvlJc w:val="left"/>
      <w:pPr>
        <w:ind w:left="684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7" w:tplc="1DBC1C6E">
      <w:start w:val="1"/>
      <w:numFmt w:val="bullet"/>
      <w:lvlText w:val="o"/>
      <w:lvlJc w:val="left"/>
      <w:pPr>
        <w:ind w:left="756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8" w:tplc="21B20F50">
      <w:start w:val="1"/>
      <w:numFmt w:val="bullet"/>
      <w:lvlText w:val="▪"/>
      <w:lvlJc w:val="left"/>
      <w:pPr>
        <w:ind w:left="82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1E4F6206"/>
    <w:multiLevelType w:val="hybridMultilevel"/>
    <w:tmpl w:val="B7B6377A"/>
    <w:lvl w:ilvl="0" w:tplc="9A16B2BA">
      <w:start w:val="1"/>
      <w:numFmt w:val="bullet"/>
      <w:lvlText w:val="●"/>
      <w:lvlJc w:val="left"/>
      <w:pPr>
        <w:ind w:left="252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1" w:tplc="41826C10">
      <w:start w:val="1"/>
      <w:numFmt w:val="bullet"/>
      <w:lvlText w:val="o"/>
      <w:lvlJc w:val="left"/>
      <w:pPr>
        <w:ind w:left="324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2" w:tplc="38047916">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BAA3D90">
      <w:start w:val="1"/>
      <w:numFmt w:val="bullet"/>
      <w:lvlText w:val="●"/>
      <w:lvlJc w:val="left"/>
      <w:pPr>
        <w:ind w:left="468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4" w:tplc="420C3540">
      <w:start w:val="1"/>
      <w:numFmt w:val="bullet"/>
      <w:lvlText w:val="o"/>
      <w:lvlJc w:val="left"/>
      <w:pPr>
        <w:ind w:left="540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5" w:tplc="603E87CC">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44444EE6">
      <w:start w:val="1"/>
      <w:numFmt w:val="bullet"/>
      <w:lvlText w:val="●"/>
      <w:lvlJc w:val="left"/>
      <w:pPr>
        <w:ind w:left="684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7" w:tplc="4B98671C">
      <w:start w:val="1"/>
      <w:numFmt w:val="bullet"/>
      <w:lvlText w:val="o"/>
      <w:lvlJc w:val="left"/>
      <w:pPr>
        <w:ind w:left="756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8" w:tplc="117286EE">
      <w:start w:val="1"/>
      <w:numFmt w:val="bullet"/>
      <w:lvlText w:val="▪"/>
      <w:lvlJc w:val="left"/>
      <w:pPr>
        <w:ind w:left="82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 w15:restartNumberingAfterBreak="0">
    <w:nsid w:val="1E76552D"/>
    <w:multiLevelType w:val="hybridMultilevel"/>
    <w:tmpl w:val="D9566F70"/>
    <w:lvl w:ilvl="0" w:tplc="94EA751C">
      <w:start w:val="1"/>
      <w:numFmt w:val="bullet"/>
      <w:lvlText w:val="●"/>
      <w:lvlJc w:val="left"/>
      <w:pPr>
        <w:ind w:left="252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1" w:tplc="343084EE">
      <w:start w:val="1"/>
      <w:numFmt w:val="bullet"/>
      <w:lvlText w:val="o"/>
      <w:lvlJc w:val="left"/>
      <w:pPr>
        <w:ind w:left="324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2" w:tplc="217CF5DA">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05E911E">
      <w:start w:val="1"/>
      <w:numFmt w:val="bullet"/>
      <w:lvlText w:val="●"/>
      <w:lvlJc w:val="left"/>
      <w:pPr>
        <w:ind w:left="468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4" w:tplc="9202D76E">
      <w:start w:val="1"/>
      <w:numFmt w:val="bullet"/>
      <w:lvlText w:val="o"/>
      <w:lvlJc w:val="left"/>
      <w:pPr>
        <w:ind w:left="540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5" w:tplc="4562139E">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378DB14">
      <w:start w:val="1"/>
      <w:numFmt w:val="bullet"/>
      <w:lvlText w:val="●"/>
      <w:lvlJc w:val="left"/>
      <w:pPr>
        <w:ind w:left="684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7" w:tplc="302A3C7A">
      <w:start w:val="1"/>
      <w:numFmt w:val="bullet"/>
      <w:lvlText w:val="o"/>
      <w:lvlJc w:val="left"/>
      <w:pPr>
        <w:ind w:left="756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8" w:tplc="68561A7E">
      <w:start w:val="1"/>
      <w:numFmt w:val="bullet"/>
      <w:lvlText w:val="▪"/>
      <w:lvlJc w:val="left"/>
      <w:pPr>
        <w:ind w:left="82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 w15:restartNumberingAfterBreak="0">
    <w:nsid w:val="1F1638F2"/>
    <w:multiLevelType w:val="hybridMultilevel"/>
    <w:tmpl w:val="BC86171A"/>
    <w:lvl w:ilvl="0" w:tplc="9080F26C">
      <w:start w:val="1"/>
      <w:numFmt w:val="bullet"/>
      <w:lvlText w:val="●"/>
      <w:lvlJc w:val="left"/>
      <w:pPr>
        <w:ind w:left="252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1" w:tplc="B62EABC0">
      <w:start w:val="1"/>
      <w:numFmt w:val="bullet"/>
      <w:lvlText w:val="o"/>
      <w:lvlJc w:val="left"/>
      <w:pPr>
        <w:ind w:left="324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2" w:tplc="9976E704">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5005E90">
      <w:start w:val="1"/>
      <w:numFmt w:val="bullet"/>
      <w:lvlText w:val="●"/>
      <w:lvlJc w:val="left"/>
      <w:pPr>
        <w:ind w:left="468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4" w:tplc="1E38A08C">
      <w:start w:val="1"/>
      <w:numFmt w:val="bullet"/>
      <w:lvlText w:val="o"/>
      <w:lvlJc w:val="left"/>
      <w:pPr>
        <w:ind w:left="540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5" w:tplc="9E107608">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F823C96">
      <w:start w:val="1"/>
      <w:numFmt w:val="bullet"/>
      <w:lvlText w:val="●"/>
      <w:lvlJc w:val="left"/>
      <w:pPr>
        <w:ind w:left="684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7" w:tplc="C298E266">
      <w:start w:val="1"/>
      <w:numFmt w:val="bullet"/>
      <w:lvlText w:val="o"/>
      <w:lvlJc w:val="left"/>
      <w:pPr>
        <w:ind w:left="756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8" w:tplc="F238DA2C">
      <w:start w:val="1"/>
      <w:numFmt w:val="bullet"/>
      <w:lvlText w:val="▪"/>
      <w:lvlJc w:val="left"/>
      <w:pPr>
        <w:ind w:left="82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 w15:restartNumberingAfterBreak="0">
    <w:nsid w:val="20C27068"/>
    <w:multiLevelType w:val="hybridMultilevel"/>
    <w:tmpl w:val="48C4DCDE"/>
    <w:lvl w:ilvl="0" w:tplc="BE429C98">
      <w:start w:val="1"/>
      <w:numFmt w:val="bullet"/>
      <w:lvlText w:val="●"/>
      <w:lvlJc w:val="left"/>
      <w:pPr>
        <w:ind w:left="252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1" w:tplc="214A7066">
      <w:start w:val="1"/>
      <w:numFmt w:val="bullet"/>
      <w:lvlText w:val="o"/>
      <w:lvlJc w:val="left"/>
      <w:pPr>
        <w:ind w:left="324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2" w:tplc="54B663DE">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C2045EA">
      <w:start w:val="1"/>
      <w:numFmt w:val="bullet"/>
      <w:lvlText w:val="●"/>
      <w:lvlJc w:val="left"/>
      <w:pPr>
        <w:ind w:left="468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4" w:tplc="ACA019AE">
      <w:start w:val="1"/>
      <w:numFmt w:val="bullet"/>
      <w:lvlText w:val="o"/>
      <w:lvlJc w:val="left"/>
      <w:pPr>
        <w:ind w:left="540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5" w:tplc="8B0E30EA">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66A2E76">
      <w:start w:val="1"/>
      <w:numFmt w:val="bullet"/>
      <w:lvlText w:val="●"/>
      <w:lvlJc w:val="left"/>
      <w:pPr>
        <w:ind w:left="684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7" w:tplc="BA0CDDCE">
      <w:start w:val="1"/>
      <w:numFmt w:val="bullet"/>
      <w:lvlText w:val="o"/>
      <w:lvlJc w:val="left"/>
      <w:pPr>
        <w:ind w:left="756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8" w:tplc="CD70F16A">
      <w:start w:val="1"/>
      <w:numFmt w:val="bullet"/>
      <w:lvlText w:val="▪"/>
      <w:lvlJc w:val="left"/>
      <w:pPr>
        <w:ind w:left="82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 w15:restartNumberingAfterBreak="0">
    <w:nsid w:val="24627205"/>
    <w:multiLevelType w:val="hybridMultilevel"/>
    <w:tmpl w:val="E95E7F4E"/>
    <w:lvl w:ilvl="0" w:tplc="307A11DE">
      <w:start w:val="1"/>
      <w:numFmt w:val="bullet"/>
      <w:lvlText w:val="●"/>
      <w:lvlJc w:val="left"/>
      <w:pPr>
        <w:ind w:left="252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1" w:tplc="F5C07AD8">
      <w:start w:val="1"/>
      <w:numFmt w:val="bullet"/>
      <w:lvlText w:val="o"/>
      <w:lvlJc w:val="left"/>
      <w:pPr>
        <w:ind w:left="324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2" w:tplc="41F6EE42">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F10F08A">
      <w:start w:val="1"/>
      <w:numFmt w:val="bullet"/>
      <w:lvlText w:val="●"/>
      <w:lvlJc w:val="left"/>
      <w:pPr>
        <w:ind w:left="468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4" w:tplc="716244AE">
      <w:start w:val="1"/>
      <w:numFmt w:val="bullet"/>
      <w:lvlText w:val="o"/>
      <w:lvlJc w:val="left"/>
      <w:pPr>
        <w:ind w:left="540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5" w:tplc="4840335A">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AB28D4C">
      <w:start w:val="1"/>
      <w:numFmt w:val="bullet"/>
      <w:lvlText w:val="●"/>
      <w:lvlJc w:val="left"/>
      <w:pPr>
        <w:ind w:left="684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7" w:tplc="1800070E">
      <w:start w:val="1"/>
      <w:numFmt w:val="bullet"/>
      <w:lvlText w:val="o"/>
      <w:lvlJc w:val="left"/>
      <w:pPr>
        <w:ind w:left="756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8" w:tplc="DFDCB012">
      <w:start w:val="1"/>
      <w:numFmt w:val="bullet"/>
      <w:lvlText w:val="▪"/>
      <w:lvlJc w:val="left"/>
      <w:pPr>
        <w:ind w:left="82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 w15:restartNumberingAfterBreak="0">
    <w:nsid w:val="24FE69AC"/>
    <w:multiLevelType w:val="hybridMultilevel"/>
    <w:tmpl w:val="8188BF82"/>
    <w:lvl w:ilvl="0" w:tplc="92044B1E">
      <w:start w:val="1"/>
      <w:numFmt w:val="bullet"/>
      <w:lvlText w:val="●"/>
      <w:lvlJc w:val="left"/>
      <w:pPr>
        <w:ind w:left="252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1" w:tplc="49F6C75A">
      <w:start w:val="1"/>
      <w:numFmt w:val="bullet"/>
      <w:lvlText w:val="o"/>
      <w:lvlJc w:val="left"/>
      <w:pPr>
        <w:ind w:left="324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2" w:tplc="4EDCC490">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9D09AE8">
      <w:start w:val="1"/>
      <w:numFmt w:val="bullet"/>
      <w:lvlText w:val="●"/>
      <w:lvlJc w:val="left"/>
      <w:pPr>
        <w:ind w:left="468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4" w:tplc="4148BAB4">
      <w:start w:val="1"/>
      <w:numFmt w:val="bullet"/>
      <w:lvlText w:val="o"/>
      <w:lvlJc w:val="left"/>
      <w:pPr>
        <w:ind w:left="540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5" w:tplc="2F869FDA">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43C6296">
      <w:start w:val="1"/>
      <w:numFmt w:val="bullet"/>
      <w:lvlText w:val="●"/>
      <w:lvlJc w:val="left"/>
      <w:pPr>
        <w:ind w:left="684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7" w:tplc="6970758A">
      <w:start w:val="1"/>
      <w:numFmt w:val="bullet"/>
      <w:lvlText w:val="o"/>
      <w:lvlJc w:val="left"/>
      <w:pPr>
        <w:ind w:left="756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8" w:tplc="8EFC0178">
      <w:start w:val="1"/>
      <w:numFmt w:val="bullet"/>
      <w:lvlText w:val="▪"/>
      <w:lvlJc w:val="left"/>
      <w:pPr>
        <w:ind w:left="82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 w15:restartNumberingAfterBreak="0">
    <w:nsid w:val="25D4669B"/>
    <w:multiLevelType w:val="hybridMultilevel"/>
    <w:tmpl w:val="6652B3F0"/>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4A8C174A"/>
    <w:multiLevelType w:val="hybridMultilevel"/>
    <w:tmpl w:val="6F161D9A"/>
    <w:lvl w:ilvl="0" w:tplc="1BEA2A24">
      <w:start w:val="1"/>
      <w:numFmt w:val="bullet"/>
      <w:lvlText w:val="●"/>
      <w:lvlJc w:val="left"/>
      <w:pPr>
        <w:ind w:left="252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1" w:tplc="114292F8">
      <w:start w:val="1"/>
      <w:numFmt w:val="bullet"/>
      <w:lvlText w:val="o"/>
      <w:lvlJc w:val="left"/>
      <w:pPr>
        <w:ind w:left="324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2" w:tplc="BA6C566E">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E4EE032">
      <w:start w:val="1"/>
      <w:numFmt w:val="bullet"/>
      <w:lvlText w:val="●"/>
      <w:lvlJc w:val="left"/>
      <w:pPr>
        <w:ind w:left="468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4" w:tplc="6ABADAD8">
      <w:start w:val="1"/>
      <w:numFmt w:val="bullet"/>
      <w:lvlText w:val="o"/>
      <w:lvlJc w:val="left"/>
      <w:pPr>
        <w:ind w:left="540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5" w:tplc="30F0F29C">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1FC39F0">
      <w:start w:val="1"/>
      <w:numFmt w:val="bullet"/>
      <w:lvlText w:val="●"/>
      <w:lvlJc w:val="left"/>
      <w:pPr>
        <w:ind w:left="684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7" w:tplc="F3E42CFC">
      <w:start w:val="1"/>
      <w:numFmt w:val="bullet"/>
      <w:lvlText w:val="o"/>
      <w:lvlJc w:val="left"/>
      <w:pPr>
        <w:ind w:left="756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8" w:tplc="21EE25BC">
      <w:start w:val="1"/>
      <w:numFmt w:val="bullet"/>
      <w:lvlText w:val="▪"/>
      <w:lvlJc w:val="left"/>
      <w:pPr>
        <w:ind w:left="82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 w15:restartNumberingAfterBreak="0">
    <w:nsid w:val="4B967EC2"/>
    <w:multiLevelType w:val="hybridMultilevel"/>
    <w:tmpl w:val="53042E64"/>
    <w:lvl w:ilvl="0" w:tplc="0194DC5E">
      <w:start w:val="1"/>
      <w:numFmt w:val="bullet"/>
      <w:lvlText w:val="●"/>
      <w:lvlJc w:val="left"/>
      <w:pPr>
        <w:ind w:left="252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1" w:tplc="B614A248">
      <w:start w:val="1"/>
      <w:numFmt w:val="bullet"/>
      <w:lvlText w:val="o"/>
      <w:lvlJc w:val="left"/>
      <w:pPr>
        <w:ind w:left="324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2" w:tplc="43E6614E">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968AB6C">
      <w:start w:val="1"/>
      <w:numFmt w:val="bullet"/>
      <w:lvlText w:val="●"/>
      <w:lvlJc w:val="left"/>
      <w:pPr>
        <w:ind w:left="468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4" w:tplc="C69A9CBA">
      <w:start w:val="1"/>
      <w:numFmt w:val="bullet"/>
      <w:lvlText w:val="o"/>
      <w:lvlJc w:val="left"/>
      <w:pPr>
        <w:ind w:left="540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5" w:tplc="016617D0">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F568668">
      <w:start w:val="1"/>
      <w:numFmt w:val="bullet"/>
      <w:lvlText w:val="●"/>
      <w:lvlJc w:val="left"/>
      <w:pPr>
        <w:ind w:left="684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7" w:tplc="D45ED8A2">
      <w:start w:val="1"/>
      <w:numFmt w:val="bullet"/>
      <w:lvlText w:val="o"/>
      <w:lvlJc w:val="left"/>
      <w:pPr>
        <w:ind w:left="756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8" w:tplc="46D00512">
      <w:start w:val="1"/>
      <w:numFmt w:val="bullet"/>
      <w:lvlText w:val="▪"/>
      <w:lvlJc w:val="left"/>
      <w:pPr>
        <w:ind w:left="82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3" w15:restartNumberingAfterBreak="0">
    <w:nsid w:val="52FB3511"/>
    <w:multiLevelType w:val="hybridMultilevel"/>
    <w:tmpl w:val="1CFE86A0"/>
    <w:lvl w:ilvl="0" w:tplc="2794C340">
      <w:start w:val="1"/>
      <w:numFmt w:val="bullet"/>
      <w:lvlText w:val="●"/>
      <w:lvlJc w:val="left"/>
      <w:pPr>
        <w:ind w:left="252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1" w:tplc="FF98EDEC">
      <w:start w:val="1"/>
      <w:numFmt w:val="bullet"/>
      <w:lvlText w:val="o"/>
      <w:lvlJc w:val="left"/>
      <w:pPr>
        <w:ind w:left="324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2" w:tplc="3A346906">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470CA28">
      <w:start w:val="1"/>
      <w:numFmt w:val="bullet"/>
      <w:lvlText w:val="●"/>
      <w:lvlJc w:val="left"/>
      <w:pPr>
        <w:ind w:left="468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4" w:tplc="15F6D0D4">
      <w:start w:val="1"/>
      <w:numFmt w:val="bullet"/>
      <w:lvlText w:val="o"/>
      <w:lvlJc w:val="left"/>
      <w:pPr>
        <w:ind w:left="540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5" w:tplc="DDD48854">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84EB358">
      <w:start w:val="1"/>
      <w:numFmt w:val="bullet"/>
      <w:lvlText w:val="●"/>
      <w:lvlJc w:val="left"/>
      <w:pPr>
        <w:ind w:left="684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7" w:tplc="CB82B5FA">
      <w:start w:val="1"/>
      <w:numFmt w:val="bullet"/>
      <w:lvlText w:val="o"/>
      <w:lvlJc w:val="left"/>
      <w:pPr>
        <w:ind w:left="756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8" w:tplc="A4BEA380">
      <w:start w:val="1"/>
      <w:numFmt w:val="bullet"/>
      <w:lvlText w:val="▪"/>
      <w:lvlJc w:val="left"/>
      <w:pPr>
        <w:ind w:left="82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 w15:restartNumberingAfterBreak="0">
    <w:nsid w:val="54AF7399"/>
    <w:multiLevelType w:val="hybridMultilevel"/>
    <w:tmpl w:val="F220687A"/>
    <w:lvl w:ilvl="0" w:tplc="8B802608">
      <w:start w:val="1"/>
      <w:numFmt w:val="bullet"/>
      <w:lvlText w:val="●"/>
      <w:lvlJc w:val="left"/>
      <w:pPr>
        <w:ind w:left="252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1" w:tplc="7996D3C4">
      <w:start w:val="1"/>
      <w:numFmt w:val="bullet"/>
      <w:lvlText w:val="o"/>
      <w:lvlJc w:val="left"/>
      <w:pPr>
        <w:ind w:left="324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2" w:tplc="A718C2F2">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44A7BD6">
      <w:start w:val="1"/>
      <w:numFmt w:val="bullet"/>
      <w:lvlText w:val="●"/>
      <w:lvlJc w:val="left"/>
      <w:pPr>
        <w:ind w:left="468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4" w:tplc="636E0B90">
      <w:start w:val="1"/>
      <w:numFmt w:val="bullet"/>
      <w:lvlText w:val="o"/>
      <w:lvlJc w:val="left"/>
      <w:pPr>
        <w:ind w:left="540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5" w:tplc="05E0C10A">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D583752">
      <w:start w:val="1"/>
      <w:numFmt w:val="bullet"/>
      <w:lvlText w:val="●"/>
      <w:lvlJc w:val="left"/>
      <w:pPr>
        <w:ind w:left="684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7" w:tplc="939AEE96">
      <w:start w:val="1"/>
      <w:numFmt w:val="bullet"/>
      <w:lvlText w:val="o"/>
      <w:lvlJc w:val="left"/>
      <w:pPr>
        <w:ind w:left="756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8" w:tplc="88CEDBF0">
      <w:start w:val="1"/>
      <w:numFmt w:val="bullet"/>
      <w:lvlText w:val="▪"/>
      <w:lvlJc w:val="left"/>
      <w:pPr>
        <w:ind w:left="82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 w15:restartNumberingAfterBreak="0">
    <w:nsid w:val="55EA2919"/>
    <w:multiLevelType w:val="hybridMultilevel"/>
    <w:tmpl w:val="E0943D38"/>
    <w:lvl w:ilvl="0" w:tplc="E692F6AE">
      <w:start w:val="1"/>
      <w:numFmt w:val="bullet"/>
      <w:lvlText w:val="●"/>
      <w:lvlJc w:val="left"/>
      <w:pPr>
        <w:ind w:left="252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1" w:tplc="2A00CB5C">
      <w:start w:val="1"/>
      <w:numFmt w:val="bullet"/>
      <w:lvlText w:val="o"/>
      <w:lvlJc w:val="left"/>
      <w:pPr>
        <w:ind w:left="324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2" w:tplc="47E20C86">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E1BEE214">
      <w:start w:val="1"/>
      <w:numFmt w:val="bullet"/>
      <w:lvlText w:val="●"/>
      <w:lvlJc w:val="left"/>
      <w:pPr>
        <w:ind w:left="468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4" w:tplc="AF1658CC">
      <w:start w:val="1"/>
      <w:numFmt w:val="bullet"/>
      <w:lvlText w:val="o"/>
      <w:lvlJc w:val="left"/>
      <w:pPr>
        <w:ind w:left="540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5" w:tplc="1BEC8EE4">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9B857B4">
      <w:start w:val="1"/>
      <w:numFmt w:val="bullet"/>
      <w:lvlText w:val="●"/>
      <w:lvlJc w:val="left"/>
      <w:pPr>
        <w:ind w:left="684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7" w:tplc="158036DC">
      <w:start w:val="1"/>
      <w:numFmt w:val="bullet"/>
      <w:lvlText w:val="o"/>
      <w:lvlJc w:val="left"/>
      <w:pPr>
        <w:ind w:left="756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8" w:tplc="0D222DA2">
      <w:start w:val="1"/>
      <w:numFmt w:val="bullet"/>
      <w:lvlText w:val="▪"/>
      <w:lvlJc w:val="left"/>
      <w:pPr>
        <w:ind w:left="82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 w15:restartNumberingAfterBreak="0">
    <w:nsid w:val="598B784E"/>
    <w:multiLevelType w:val="hybridMultilevel"/>
    <w:tmpl w:val="E0FA668A"/>
    <w:lvl w:ilvl="0" w:tplc="08090019">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599577C9"/>
    <w:multiLevelType w:val="hybridMultilevel"/>
    <w:tmpl w:val="72023DF0"/>
    <w:lvl w:ilvl="0" w:tplc="9020B3CC">
      <w:start w:val="1"/>
      <w:numFmt w:val="bullet"/>
      <w:lvlText w:val="●"/>
      <w:lvlJc w:val="left"/>
      <w:pPr>
        <w:ind w:left="252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1" w:tplc="07DAB2D4">
      <w:start w:val="1"/>
      <w:numFmt w:val="bullet"/>
      <w:lvlText w:val="o"/>
      <w:lvlJc w:val="left"/>
      <w:pPr>
        <w:ind w:left="324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2" w:tplc="000AB82C">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E36AED66">
      <w:start w:val="1"/>
      <w:numFmt w:val="bullet"/>
      <w:lvlText w:val="●"/>
      <w:lvlJc w:val="left"/>
      <w:pPr>
        <w:ind w:left="468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4" w:tplc="145A133E">
      <w:start w:val="1"/>
      <w:numFmt w:val="bullet"/>
      <w:lvlText w:val="o"/>
      <w:lvlJc w:val="left"/>
      <w:pPr>
        <w:ind w:left="540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5" w:tplc="A6F6C832">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8522340">
      <w:start w:val="1"/>
      <w:numFmt w:val="bullet"/>
      <w:lvlText w:val="●"/>
      <w:lvlJc w:val="left"/>
      <w:pPr>
        <w:ind w:left="684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7" w:tplc="9EF24A6A">
      <w:start w:val="1"/>
      <w:numFmt w:val="bullet"/>
      <w:lvlText w:val="o"/>
      <w:lvlJc w:val="left"/>
      <w:pPr>
        <w:ind w:left="756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8" w:tplc="2548C38A">
      <w:start w:val="1"/>
      <w:numFmt w:val="bullet"/>
      <w:lvlText w:val="▪"/>
      <w:lvlJc w:val="left"/>
      <w:pPr>
        <w:ind w:left="82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8" w15:restartNumberingAfterBreak="0">
    <w:nsid w:val="5BA51BFF"/>
    <w:multiLevelType w:val="multilevel"/>
    <w:tmpl w:val="915883C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5ED56A53"/>
    <w:multiLevelType w:val="multilevel"/>
    <w:tmpl w:val="61D6E3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61DB4E46"/>
    <w:multiLevelType w:val="hybridMultilevel"/>
    <w:tmpl w:val="0E3A01F8"/>
    <w:lvl w:ilvl="0" w:tplc="F6FEF50A">
      <w:start w:val="1"/>
      <w:numFmt w:val="bullet"/>
      <w:lvlText w:val="●"/>
      <w:lvlJc w:val="left"/>
      <w:pPr>
        <w:ind w:left="252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1" w:tplc="0436D5F2">
      <w:start w:val="1"/>
      <w:numFmt w:val="bullet"/>
      <w:lvlText w:val="o"/>
      <w:lvlJc w:val="left"/>
      <w:pPr>
        <w:ind w:left="324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2" w:tplc="24DC5CDC">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952D1FA">
      <w:start w:val="1"/>
      <w:numFmt w:val="bullet"/>
      <w:lvlText w:val="●"/>
      <w:lvlJc w:val="left"/>
      <w:pPr>
        <w:ind w:left="468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4" w:tplc="12FCA984">
      <w:start w:val="1"/>
      <w:numFmt w:val="bullet"/>
      <w:lvlText w:val="o"/>
      <w:lvlJc w:val="left"/>
      <w:pPr>
        <w:ind w:left="540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5" w:tplc="CB947830">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4A808666">
      <w:start w:val="1"/>
      <w:numFmt w:val="bullet"/>
      <w:lvlText w:val="●"/>
      <w:lvlJc w:val="left"/>
      <w:pPr>
        <w:ind w:left="684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7" w:tplc="96D61328">
      <w:start w:val="1"/>
      <w:numFmt w:val="bullet"/>
      <w:lvlText w:val="o"/>
      <w:lvlJc w:val="left"/>
      <w:pPr>
        <w:ind w:left="756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8" w:tplc="2BBE8B8E">
      <w:start w:val="1"/>
      <w:numFmt w:val="bullet"/>
      <w:lvlText w:val="▪"/>
      <w:lvlJc w:val="left"/>
      <w:pPr>
        <w:ind w:left="82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1" w15:restartNumberingAfterBreak="0">
    <w:nsid w:val="63D4161C"/>
    <w:multiLevelType w:val="hybridMultilevel"/>
    <w:tmpl w:val="A700538C"/>
    <w:lvl w:ilvl="0" w:tplc="9D5414AE">
      <w:start w:val="1"/>
      <w:numFmt w:val="bullet"/>
      <w:lvlText w:val="●"/>
      <w:lvlJc w:val="left"/>
      <w:pPr>
        <w:ind w:left="252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1" w:tplc="939659C2">
      <w:start w:val="1"/>
      <w:numFmt w:val="bullet"/>
      <w:lvlText w:val="o"/>
      <w:lvlJc w:val="left"/>
      <w:pPr>
        <w:ind w:left="324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2" w:tplc="E2A2E222">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FF0B916">
      <w:start w:val="1"/>
      <w:numFmt w:val="bullet"/>
      <w:lvlText w:val="●"/>
      <w:lvlJc w:val="left"/>
      <w:pPr>
        <w:ind w:left="468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4" w:tplc="0A12B766">
      <w:start w:val="1"/>
      <w:numFmt w:val="bullet"/>
      <w:lvlText w:val="o"/>
      <w:lvlJc w:val="left"/>
      <w:pPr>
        <w:ind w:left="540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5" w:tplc="41DC197A">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CB04122">
      <w:start w:val="1"/>
      <w:numFmt w:val="bullet"/>
      <w:lvlText w:val="●"/>
      <w:lvlJc w:val="left"/>
      <w:pPr>
        <w:ind w:left="684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7" w:tplc="097A065A">
      <w:start w:val="1"/>
      <w:numFmt w:val="bullet"/>
      <w:lvlText w:val="o"/>
      <w:lvlJc w:val="left"/>
      <w:pPr>
        <w:ind w:left="756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8" w:tplc="05CA808E">
      <w:start w:val="1"/>
      <w:numFmt w:val="bullet"/>
      <w:lvlText w:val="▪"/>
      <w:lvlJc w:val="left"/>
      <w:pPr>
        <w:ind w:left="82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 w15:restartNumberingAfterBreak="0">
    <w:nsid w:val="6A2906AF"/>
    <w:multiLevelType w:val="hybridMultilevel"/>
    <w:tmpl w:val="0C2669BA"/>
    <w:lvl w:ilvl="0" w:tplc="975AE2EA">
      <w:start w:val="1"/>
      <w:numFmt w:val="bullet"/>
      <w:lvlText w:val="●"/>
      <w:lvlJc w:val="left"/>
      <w:pPr>
        <w:ind w:left="252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1" w:tplc="D18A3056">
      <w:start w:val="1"/>
      <w:numFmt w:val="bullet"/>
      <w:lvlText w:val="o"/>
      <w:lvlJc w:val="left"/>
      <w:pPr>
        <w:ind w:left="324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2" w:tplc="BD226360">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4B005B4">
      <w:start w:val="1"/>
      <w:numFmt w:val="bullet"/>
      <w:lvlText w:val="●"/>
      <w:lvlJc w:val="left"/>
      <w:pPr>
        <w:ind w:left="468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4" w:tplc="421A4C10">
      <w:start w:val="1"/>
      <w:numFmt w:val="bullet"/>
      <w:lvlText w:val="o"/>
      <w:lvlJc w:val="left"/>
      <w:pPr>
        <w:ind w:left="540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5" w:tplc="8C840492">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C961192">
      <w:start w:val="1"/>
      <w:numFmt w:val="bullet"/>
      <w:lvlText w:val="●"/>
      <w:lvlJc w:val="left"/>
      <w:pPr>
        <w:ind w:left="684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7" w:tplc="4F864B2E">
      <w:start w:val="1"/>
      <w:numFmt w:val="bullet"/>
      <w:lvlText w:val="o"/>
      <w:lvlJc w:val="left"/>
      <w:pPr>
        <w:ind w:left="756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8" w:tplc="B784DE42">
      <w:start w:val="1"/>
      <w:numFmt w:val="bullet"/>
      <w:lvlText w:val="▪"/>
      <w:lvlJc w:val="left"/>
      <w:pPr>
        <w:ind w:left="82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3" w15:restartNumberingAfterBreak="0">
    <w:nsid w:val="751F7075"/>
    <w:multiLevelType w:val="hybridMultilevel"/>
    <w:tmpl w:val="281ABA7E"/>
    <w:lvl w:ilvl="0" w:tplc="2B64F406">
      <w:start w:val="1"/>
      <w:numFmt w:val="bullet"/>
      <w:lvlText w:val="●"/>
      <w:lvlJc w:val="left"/>
      <w:pPr>
        <w:ind w:left="252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1" w:tplc="52C0E184">
      <w:start w:val="1"/>
      <w:numFmt w:val="bullet"/>
      <w:lvlText w:val="o"/>
      <w:lvlJc w:val="left"/>
      <w:pPr>
        <w:ind w:left="324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2" w:tplc="26DC4400">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F3EB836">
      <w:start w:val="1"/>
      <w:numFmt w:val="bullet"/>
      <w:lvlText w:val="●"/>
      <w:lvlJc w:val="left"/>
      <w:pPr>
        <w:ind w:left="468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4" w:tplc="9408A260">
      <w:start w:val="1"/>
      <w:numFmt w:val="bullet"/>
      <w:lvlText w:val="o"/>
      <w:lvlJc w:val="left"/>
      <w:pPr>
        <w:ind w:left="540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5" w:tplc="D638B88A">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CB6F120">
      <w:start w:val="1"/>
      <w:numFmt w:val="bullet"/>
      <w:lvlText w:val="●"/>
      <w:lvlJc w:val="left"/>
      <w:pPr>
        <w:ind w:left="684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7" w:tplc="FAA07AD8">
      <w:start w:val="1"/>
      <w:numFmt w:val="bullet"/>
      <w:lvlText w:val="o"/>
      <w:lvlJc w:val="left"/>
      <w:pPr>
        <w:ind w:left="756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8" w:tplc="1A9E92EA">
      <w:start w:val="1"/>
      <w:numFmt w:val="bullet"/>
      <w:lvlText w:val="▪"/>
      <w:lvlJc w:val="left"/>
      <w:pPr>
        <w:ind w:left="82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num w:numId="1">
    <w:abstractNumId w:val="19"/>
  </w:num>
  <w:num w:numId="2">
    <w:abstractNumId w:val="12"/>
  </w:num>
  <w:num w:numId="3">
    <w:abstractNumId w:val="21"/>
  </w:num>
  <w:num w:numId="4">
    <w:abstractNumId w:val="8"/>
  </w:num>
  <w:num w:numId="5">
    <w:abstractNumId w:val="5"/>
  </w:num>
  <w:num w:numId="6">
    <w:abstractNumId w:val="13"/>
  </w:num>
  <w:num w:numId="7">
    <w:abstractNumId w:val="0"/>
  </w:num>
  <w:num w:numId="8">
    <w:abstractNumId w:val="17"/>
  </w:num>
  <w:num w:numId="9">
    <w:abstractNumId w:val="7"/>
  </w:num>
  <w:num w:numId="10">
    <w:abstractNumId w:val="3"/>
  </w:num>
  <w:num w:numId="11">
    <w:abstractNumId w:val="22"/>
  </w:num>
  <w:num w:numId="12">
    <w:abstractNumId w:val="4"/>
  </w:num>
  <w:num w:numId="13">
    <w:abstractNumId w:val="20"/>
  </w:num>
  <w:num w:numId="14">
    <w:abstractNumId w:val="6"/>
  </w:num>
  <w:num w:numId="15">
    <w:abstractNumId w:val="9"/>
  </w:num>
  <w:num w:numId="16">
    <w:abstractNumId w:val="11"/>
  </w:num>
  <w:num w:numId="17">
    <w:abstractNumId w:val="23"/>
  </w:num>
  <w:num w:numId="18">
    <w:abstractNumId w:val="14"/>
  </w:num>
  <w:num w:numId="19">
    <w:abstractNumId w:val="2"/>
  </w:num>
  <w:num w:numId="20">
    <w:abstractNumId w:val="15"/>
  </w:num>
  <w:num w:numId="21">
    <w:abstractNumId w:val="1"/>
  </w:num>
  <w:num w:numId="22">
    <w:abstractNumId w:val="18"/>
  </w:num>
  <w:num w:numId="23">
    <w:abstractNumId w:val="10"/>
  </w:num>
  <w:num w:numId="24">
    <w:abstractNumId w:val="16"/>
  </w:num>
  <w:numIdMacAtCleanup w:val="2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Microsoft Office User">
    <w15:presenceInfo w15:providerId="None" w15:userId="Microsoft Office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val="bestFit" w:percent="186"/>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Harvard&lt;/Style&gt;&lt;LeftDelim&gt;{&lt;/LeftDelim&gt;&lt;RightDelim&gt;}&lt;/RightDelim&gt;&lt;FontName&gt;Arial&lt;/FontName&gt;&lt;FontSize&gt;12&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5510E5"/>
    <w:rsid w:val="0000101B"/>
    <w:rsid w:val="000029C3"/>
    <w:rsid w:val="000072F6"/>
    <w:rsid w:val="0001430B"/>
    <w:rsid w:val="00017A21"/>
    <w:rsid w:val="00020C6F"/>
    <w:rsid w:val="0002605E"/>
    <w:rsid w:val="00034A83"/>
    <w:rsid w:val="00040348"/>
    <w:rsid w:val="000416C0"/>
    <w:rsid w:val="0004450D"/>
    <w:rsid w:val="00045933"/>
    <w:rsid w:val="000465DF"/>
    <w:rsid w:val="00052BEA"/>
    <w:rsid w:val="000538D0"/>
    <w:rsid w:val="00055EE6"/>
    <w:rsid w:val="00075E38"/>
    <w:rsid w:val="00081A69"/>
    <w:rsid w:val="000862FE"/>
    <w:rsid w:val="00087AE1"/>
    <w:rsid w:val="00091F01"/>
    <w:rsid w:val="000A120B"/>
    <w:rsid w:val="000A1D1E"/>
    <w:rsid w:val="000A4E8A"/>
    <w:rsid w:val="000C4457"/>
    <w:rsid w:val="000D0695"/>
    <w:rsid w:val="000D2A51"/>
    <w:rsid w:val="000E054D"/>
    <w:rsid w:val="000E107F"/>
    <w:rsid w:val="000E4394"/>
    <w:rsid w:val="000F67B3"/>
    <w:rsid w:val="000F67E7"/>
    <w:rsid w:val="00104C5A"/>
    <w:rsid w:val="00105AE3"/>
    <w:rsid w:val="001233DE"/>
    <w:rsid w:val="00136C6C"/>
    <w:rsid w:val="001441F9"/>
    <w:rsid w:val="001461AE"/>
    <w:rsid w:val="001508CE"/>
    <w:rsid w:val="00162D34"/>
    <w:rsid w:val="00163D01"/>
    <w:rsid w:val="001756C0"/>
    <w:rsid w:val="0017711E"/>
    <w:rsid w:val="001825BD"/>
    <w:rsid w:val="00186C6A"/>
    <w:rsid w:val="00187FE0"/>
    <w:rsid w:val="001908A6"/>
    <w:rsid w:val="001913C2"/>
    <w:rsid w:val="0019510E"/>
    <w:rsid w:val="00196E9F"/>
    <w:rsid w:val="001A2AE5"/>
    <w:rsid w:val="001A49FC"/>
    <w:rsid w:val="001B3953"/>
    <w:rsid w:val="001B7A31"/>
    <w:rsid w:val="001C02A2"/>
    <w:rsid w:val="001C41BA"/>
    <w:rsid w:val="001C4903"/>
    <w:rsid w:val="001D00DA"/>
    <w:rsid w:val="001D10AA"/>
    <w:rsid w:val="001D27D3"/>
    <w:rsid w:val="001E1775"/>
    <w:rsid w:val="001E7EDB"/>
    <w:rsid w:val="001F3F46"/>
    <w:rsid w:val="001F5DB7"/>
    <w:rsid w:val="002129F7"/>
    <w:rsid w:val="00215576"/>
    <w:rsid w:val="00216D82"/>
    <w:rsid w:val="00233478"/>
    <w:rsid w:val="00234C1B"/>
    <w:rsid w:val="002365A2"/>
    <w:rsid w:val="00237255"/>
    <w:rsid w:val="00240834"/>
    <w:rsid w:val="00243F3D"/>
    <w:rsid w:val="00244F2F"/>
    <w:rsid w:val="00254CBD"/>
    <w:rsid w:val="00255FD8"/>
    <w:rsid w:val="00256299"/>
    <w:rsid w:val="00257A24"/>
    <w:rsid w:val="00264184"/>
    <w:rsid w:val="00267AB6"/>
    <w:rsid w:val="00270D9A"/>
    <w:rsid w:val="00272EB4"/>
    <w:rsid w:val="00273966"/>
    <w:rsid w:val="00281FAB"/>
    <w:rsid w:val="002842BF"/>
    <w:rsid w:val="00285FA5"/>
    <w:rsid w:val="002979EE"/>
    <w:rsid w:val="002A4C27"/>
    <w:rsid w:val="002A4CEB"/>
    <w:rsid w:val="002B4479"/>
    <w:rsid w:val="002D28CD"/>
    <w:rsid w:val="002D7FCE"/>
    <w:rsid w:val="002E1062"/>
    <w:rsid w:val="002E426D"/>
    <w:rsid w:val="002E5A5D"/>
    <w:rsid w:val="002F0A92"/>
    <w:rsid w:val="002F15F5"/>
    <w:rsid w:val="00302583"/>
    <w:rsid w:val="0030513D"/>
    <w:rsid w:val="0031237D"/>
    <w:rsid w:val="003213EF"/>
    <w:rsid w:val="00332A23"/>
    <w:rsid w:val="00337DE9"/>
    <w:rsid w:val="00347C8D"/>
    <w:rsid w:val="003537D7"/>
    <w:rsid w:val="003556DE"/>
    <w:rsid w:val="00355D1C"/>
    <w:rsid w:val="00367E16"/>
    <w:rsid w:val="00371319"/>
    <w:rsid w:val="00374917"/>
    <w:rsid w:val="0037553C"/>
    <w:rsid w:val="00375E68"/>
    <w:rsid w:val="0038330E"/>
    <w:rsid w:val="00390188"/>
    <w:rsid w:val="003917BC"/>
    <w:rsid w:val="003A08CE"/>
    <w:rsid w:val="003A4934"/>
    <w:rsid w:val="003B3693"/>
    <w:rsid w:val="003B4689"/>
    <w:rsid w:val="003B5B62"/>
    <w:rsid w:val="003C2257"/>
    <w:rsid w:val="003D36B6"/>
    <w:rsid w:val="003D632C"/>
    <w:rsid w:val="003D70AA"/>
    <w:rsid w:val="003E5B22"/>
    <w:rsid w:val="003E76C3"/>
    <w:rsid w:val="003F134C"/>
    <w:rsid w:val="003F46B5"/>
    <w:rsid w:val="003F600B"/>
    <w:rsid w:val="004018DD"/>
    <w:rsid w:val="00407CD6"/>
    <w:rsid w:val="00423962"/>
    <w:rsid w:val="00427FEA"/>
    <w:rsid w:val="0043216F"/>
    <w:rsid w:val="00440057"/>
    <w:rsid w:val="0044653E"/>
    <w:rsid w:val="00455CF2"/>
    <w:rsid w:val="00457903"/>
    <w:rsid w:val="00457DE9"/>
    <w:rsid w:val="004602B3"/>
    <w:rsid w:val="0046031F"/>
    <w:rsid w:val="0046396D"/>
    <w:rsid w:val="00466286"/>
    <w:rsid w:val="00475C8B"/>
    <w:rsid w:val="00476DAF"/>
    <w:rsid w:val="004777BF"/>
    <w:rsid w:val="0047781F"/>
    <w:rsid w:val="00482436"/>
    <w:rsid w:val="00484C21"/>
    <w:rsid w:val="0049216B"/>
    <w:rsid w:val="00494269"/>
    <w:rsid w:val="004A1176"/>
    <w:rsid w:val="004A6921"/>
    <w:rsid w:val="004B23B2"/>
    <w:rsid w:val="004C0BD4"/>
    <w:rsid w:val="004C1E3A"/>
    <w:rsid w:val="004C471F"/>
    <w:rsid w:val="004D6000"/>
    <w:rsid w:val="004E31BE"/>
    <w:rsid w:val="004E3328"/>
    <w:rsid w:val="004E43FC"/>
    <w:rsid w:val="004E59F7"/>
    <w:rsid w:val="004E6428"/>
    <w:rsid w:val="004F4E0F"/>
    <w:rsid w:val="004F6C96"/>
    <w:rsid w:val="004F6EC3"/>
    <w:rsid w:val="00506BBD"/>
    <w:rsid w:val="00511785"/>
    <w:rsid w:val="00514CB8"/>
    <w:rsid w:val="00522CA9"/>
    <w:rsid w:val="00526902"/>
    <w:rsid w:val="0052733F"/>
    <w:rsid w:val="00530A9F"/>
    <w:rsid w:val="005356A6"/>
    <w:rsid w:val="0054354E"/>
    <w:rsid w:val="005510E5"/>
    <w:rsid w:val="00553026"/>
    <w:rsid w:val="00554020"/>
    <w:rsid w:val="00554AB1"/>
    <w:rsid w:val="005628BA"/>
    <w:rsid w:val="0056434E"/>
    <w:rsid w:val="0056458E"/>
    <w:rsid w:val="005868A5"/>
    <w:rsid w:val="0059223E"/>
    <w:rsid w:val="005A6A0C"/>
    <w:rsid w:val="005B4979"/>
    <w:rsid w:val="005C47E3"/>
    <w:rsid w:val="005C555A"/>
    <w:rsid w:val="005D030A"/>
    <w:rsid w:val="005D1BC5"/>
    <w:rsid w:val="005D44B5"/>
    <w:rsid w:val="005E4340"/>
    <w:rsid w:val="005E618B"/>
    <w:rsid w:val="005F0088"/>
    <w:rsid w:val="005F24CE"/>
    <w:rsid w:val="005F4DCA"/>
    <w:rsid w:val="005F5A86"/>
    <w:rsid w:val="00605083"/>
    <w:rsid w:val="006061A9"/>
    <w:rsid w:val="00617AB7"/>
    <w:rsid w:val="00623A05"/>
    <w:rsid w:val="00631533"/>
    <w:rsid w:val="00633742"/>
    <w:rsid w:val="00640C5C"/>
    <w:rsid w:val="006416A2"/>
    <w:rsid w:val="00644D23"/>
    <w:rsid w:val="00650427"/>
    <w:rsid w:val="006549E4"/>
    <w:rsid w:val="00671500"/>
    <w:rsid w:val="00676E65"/>
    <w:rsid w:val="0068219A"/>
    <w:rsid w:val="0068734B"/>
    <w:rsid w:val="00690213"/>
    <w:rsid w:val="006C0CFD"/>
    <w:rsid w:val="006C2F77"/>
    <w:rsid w:val="006C36ED"/>
    <w:rsid w:val="006D3518"/>
    <w:rsid w:val="006E28EB"/>
    <w:rsid w:val="006F35B2"/>
    <w:rsid w:val="007109C0"/>
    <w:rsid w:val="007159EE"/>
    <w:rsid w:val="0071661D"/>
    <w:rsid w:val="00717274"/>
    <w:rsid w:val="007225B0"/>
    <w:rsid w:val="0074278E"/>
    <w:rsid w:val="0075202A"/>
    <w:rsid w:val="007545A2"/>
    <w:rsid w:val="00764063"/>
    <w:rsid w:val="0077005D"/>
    <w:rsid w:val="00771C2B"/>
    <w:rsid w:val="00772E7E"/>
    <w:rsid w:val="007800A1"/>
    <w:rsid w:val="007825A9"/>
    <w:rsid w:val="007906E5"/>
    <w:rsid w:val="007918E8"/>
    <w:rsid w:val="00792E3B"/>
    <w:rsid w:val="007931F5"/>
    <w:rsid w:val="007934A4"/>
    <w:rsid w:val="00794E56"/>
    <w:rsid w:val="007A2ECE"/>
    <w:rsid w:val="007A5260"/>
    <w:rsid w:val="007B1B49"/>
    <w:rsid w:val="007D04FB"/>
    <w:rsid w:val="007D16C6"/>
    <w:rsid w:val="007D1E26"/>
    <w:rsid w:val="007D42FC"/>
    <w:rsid w:val="007D65CA"/>
    <w:rsid w:val="007D7DEA"/>
    <w:rsid w:val="007F013F"/>
    <w:rsid w:val="007F2475"/>
    <w:rsid w:val="007F741E"/>
    <w:rsid w:val="00810941"/>
    <w:rsid w:val="008161E9"/>
    <w:rsid w:val="00817833"/>
    <w:rsid w:val="00821061"/>
    <w:rsid w:val="00827164"/>
    <w:rsid w:val="008271BA"/>
    <w:rsid w:val="0083145B"/>
    <w:rsid w:val="00836416"/>
    <w:rsid w:val="00840F20"/>
    <w:rsid w:val="00843CA0"/>
    <w:rsid w:val="00854371"/>
    <w:rsid w:val="0085509F"/>
    <w:rsid w:val="0085536E"/>
    <w:rsid w:val="00857B58"/>
    <w:rsid w:val="0086799F"/>
    <w:rsid w:val="008705D2"/>
    <w:rsid w:val="00881239"/>
    <w:rsid w:val="00881BC5"/>
    <w:rsid w:val="00896C3B"/>
    <w:rsid w:val="008A4F82"/>
    <w:rsid w:val="008A71C4"/>
    <w:rsid w:val="008B4A45"/>
    <w:rsid w:val="008B6FF0"/>
    <w:rsid w:val="008B75A3"/>
    <w:rsid w:val="008C21F7"/>
    <w:rsid w:val="008C39D9"/>
    <w:rsid w:val="008C50B6"/>
    <w:rsid w:val="008D3049"/>
    <w:rsid w:val="008D3C32"/>
    <w:rsid w:val="008D70B5"/>
    <w:rsid w:val="008E15BC"/>
    <w:rsid w:val="008E3830"/>
    <w:rsid w:val="008E7150"/>
    <w:rsid w:val="008F3EA7"/>
    <w:rsid w:val="008F7E91"/>
    <w:rsid w:val="009105E0"/>
    <w:rsid w:val="00915BFE"/>
    <w:rsid w:val="009201F6"/>
    <w:rsid w:val="009234B6"/>
    <w:rsid w:val="00932092"/>
    <w:rsid w:val="00934729"/>
    <w:rsid w:val="00936B81"/>
    <w:rsid w:val="0094098F"/>
    <w:rsid w:val="00951C04"/>
    <w:rsid w:val="00961804"/>
    <w:rsid w:val="009648B3"/>
    <w:rsid w:val="0096662E"/>
    <w:rsid w:val="00975685"/>
    <w:rsid w:val="009803FB"/>
    <w:rsid w:val="00982E15"/>
    <w:rsid w:val="00992CEC"/>
    <w:rsid w:val="00993E64"/>
    <w:rsid w:val="009968E0"/>
    <w:rsid w:val="009A5E87"/>
    <w:rsid w:val="009A6F89"/>
    <w:rsid w:val="009B3424"/>
    <w:rsid w:val="009B3B4F"/>
    <w:rsid w:val="009C12AF"/>
    <w:rsid w:val="009C6067"/>
    <w:rsid w:val="009E0130"/>
    <w:rsid w:val="009E0961"/>
    <w:rsid w:val="009E106D"/>
    <w:rsid w:val="009E4815"/>
    <w:rsid w:val="009E50B3"/>
    <w:rsid w:val="009F2173"/>
    <w:rsid w:val="009F58A0"/>
    <w:rsid w:val="009F6A85"/>
    <w:rsid w:val="00A014BE"/>
    <w:rsid w:val="00A106A0"/>
    <w:rsid w:val="00A134AB"/>
    <w:rsid w:val="00A15ED2"/>
    <w:rsid w:val="00A3121C"/>
    <w:rsid w:val="00A33050"/>
    <w:rsid w:val="00A36421"/>
    <w:rsid w:val="00A401A6"/>
    <w:rsid w:val="00A460BB"/>
    <w:rsid w:val="00A4756A"/>
    <w:rsid w:val="00A47BE5"/>
    <w:rsid w:val="00A54D05"/>
    <w:rsid w:val="00A5674E"/>
    <w:rsid w:val="00A62B25"/>
    <w:rsid w:val="00A702A5"/>
    <w:rsid w:val="00A92399"/>
    <w:rsid w:val="00AA1E25"/>
    <w:rsid w:val="00AA6C99"/>
    <w:rsid w:val="00AB4128"/>
    <w:rsid w:val="00AB50AC"/>
    <w:rsid w:val="00AB58D1"/>
    <w:rsid w:val="00AB685F"/>
    <w:rsid w:val="00AC0434"/>
    <w:rsid w:val="00AC2038"/>
    <w:rsid w:val="00AC68F7"/>
    <w:rsid w:val="00AE338D"/>
    <w:rsid w:val="00AF0E0B"/>
    <w:rsid w:val="00AF361E"/>
    <w:rsid w:val="00B134E7"/>
    <w:rsid w:val="00B13EA5"/>
    <w:rsid w:val="00B145C8"/>
    <w:rsid w:val="00B234DB"/>
    <w:rsid w:val="00B30219"/>
    <w:rsid w:val="00B307EE"/>
    <w:rsid w:val="00B35F7A"/>
    <w:rsid w:val="00B37180"/>
    <w:rsid w:val="00B37FEA"/>
    <w:rsid w:val="00B4093D"/>
    <w:rsid w:val="00B41BC8"/>
    <w:rsid w:val="00B4740C"/>
    <w:rsid w:val="00B6034F"/>
    <w:rsid w:val="00B65763"/>
    <w:rsid w:val="00B667FD"/>
    <w:rsid w:val="00B67708"/>
    <w:rsid w:val="00B7211C"/>
    <w:rsid w:val="00B76993"/>
    <w:rsid w:val="00B77F1F"/>
    <w:rsid w:val="00B861CA"/>
    <w:rsid w:val="00B92E6E"/>
    <w:rsid w:val="00B938E3"/>
    <w:rsid w:val="00BA6CDD"/>
    <w:rsid w:val="00BA7112"/>
    <w:rsid w:val="00BA7EAB"/>
    <w:rsid w:val="00BB23D0"/>
    <w:rsid w:val="00BB7724"/>
    <w:rsid w:val="00BD3B0B"/>
    <w:rsid w:val="00BD4E15"/>
    <w:rsid w:val="00BD69F6"/>
    <w:rsid w:val="00BE7445"/>
    <w:rsid w:val="00BF7B41"/>
    <w:rsid w:val="00C02BBA"/>
    <w:rsid w:val="00C13E7C"/>
    <w:rsid w:val="00C166B1"/>
    <w:rsid w:val="00C37471"/>
    <w:rsid w:val="00C46505"/>
    <w:rsid w:val="00C55ADC"/>
    <w:rsid w:val="00C55C9B"/>
    <w:rsid w:val="00C5638D"/>
    <w:rsid w:val="00C603B7"/>
    <w:rsid w:val="00C6119C"/>
    <w:rsid w:val="00C6171A"/>
    <w:rsid w:val="00C619EF"/>
    <w:rsid w:val="00C62606"/>
    <w:rsid w:val="00C75E32"/>
    <w:rsid w:val="00C8005D"/>
    <w:rsid w:val="00C8594E"/>
    <w:rsid w:val="00C85E81"/>
    <w:rsid w:val="00C90FD4"/>
    <w:rsid w:val="00C93F48"/>
    <w:rsid w:val="00C961C6"/>
    <w:rsid w:val="00CA04EB"/>
    <w:rsid w:val="00CA5198"/>
    <w:rsid w:val="00CB0F9A"/>
    <w:rsid w:val="00CB2F95"/>
    <w:rsid w:val="00CB4F2D"/>
    <w:rsid w:val="00CB7721"/>
    <w:rsid w:val="00CC16DE"/>
    <w:rsid w:val="00CC3DE1"/>
    <w:rsid w:val="00CC5F2B"/>
    <w:rsid w:val="00CE2BC9"/>
    <w:rsid w:val="00CE430A"/>
    <w:rsid w:val="00CE7BE0"/>
    <w:rsid w:val="00CF4CE6"/>
    <w:rsid w:val="00D06F2D"/>
    <w:rsid w:val="00D130F6"/>
    <w:rsid w:val="00D138D9"/>
    <w:rsid w:val="00D142CF"/>
    <w:rsid w:val="00D16370"/>
    <w:rsid w:val="00D17A43"/>
    <w:rsid w:val="00D20A0E"/>
    <w:rsid w:val="00D24C18"/>
    <w:rsid w:val="00D251FC"/>
    <w:rsid w:val="00D25B4E"/>
    <w:rsid w:val="00D30824"/>
    <w:rsid w:val="00D41A08"/>
    <w:rsid w:val="00D41FC4"/>
    <w:rsid w:val="00D4372F"/>
    <w:rsid w:val="00D46266"/>
    <w:rsid w:val="00D56549"/>
    <w:rsid w:val="00D63F69"/>
    <w:rsid w:val="00D65D67"/>
    <w:rsid w:val="00D713F6"/>
    <w:rsid w:val="00D7216F"/>
    <w:rsid w:val="00D84C5C"/>
    <w:rsid w:val="00D87BE1"/>
    <w:rsid w:val="00D91A4E"/>
    <w:rsid w:val="00D943BA"/>
    <w:rsid w:val="00D945E9"/>
    <w:rsid w:val="00D95840"/>
    <w:rsid w:val="00DA197B"/>
    <w:rsid w:val="00DA52A7"/>
    <w:rsid w:val="00DA5D56"/>
    <w:rsid w:val="00DB75BB"/>
    <w:rsid w:val="00DC17F9"/>
    <w:rsid w:val="00DD1ED0"/>
    <w:rsid w:val="00DD217A"/>
    <w:rsid w:val="00DF2AEA"/>
    <w:rsid w:val="00DF53F6"/>
    <w:rsid w:val="00DF79A1"/>
    <w:rsid w:val="00DF7B5F"/>
    <w:rsid w:val="00E05E71"/>
    <w:rsid w:val="00E16A0F"/>
    <w:rsid w:val="00E56718"/>
    <w:rsid w:val="00E575FD"/>
    <w:rsid w:val="00E62856"/>
    <w:rsid w:val="00E635C0"/>
    <w:rsid w:val="00E66E4C"/>
    <w:rsid w:val="00E745CE"/>
    <w:rsid w:val="00EA11DC"/>
    <w:rsid w:val="00EB1DE1"/>
    <w:rsid w:val="00EB3091"/>
    <w:rsid w:val="00EB5F42"/>
    <w:rsid w:val="00EC59CB"/>
    <w:rsid w:val="00ED11D2"/>
    <w:rsid w:val="00ED1722"/>
    <w:rsid w:val="00ED36E0"/>
    <w:rsid w:val="00EE3E91"/>
    <w:rsid w:val="00EE7633"/>
    <w:rsid w:val="00EF2078"/>
    <w:rsid w:val="00EF5EF3"/>
    <w:rsid w:val="00F0172A"/>
    <w:rsid w:val="00F0733F"/>
    <w:rsid w:val="00F07B5C"/>
    <w:rsid w:val="00F103A7"/>
    <w:rsid w:val="00F1250E"/>
    <w:rsid w:val="00F146D5"/>
    <w:rsid w:val="00F263A4"/>
    <w:rsid w:val="00F307CB"/>
    <w:rsid w:val="00F3265A"/>
    <w:rsid w:val="00F3418F"/>
    <w:rsid w:val="00F34C65"/>
    <w:rsid w:val="00F35564"/>
    <w:rsid w:val="00F35AC2"/>
    <w:rsid w:val="00F4363E"/>
    <w:rsid w:val="00F46B66"/>
    <w:rsid w:val="00F471C2"/>
    <w:rsid w:val="00F63BD4"/>
    <w:rsid w:val="00F66CC4"/>
    <w:rsid w:val="00F747E7"/>
    <w:rsid w:val="00F7770E"/>
    <w:rsid w:val="00F84B8B"/>
    <w:rsid w:val="00F90127"/>
    <w:rsid w:val="00FA6171"/>
    <w:rsid w:val="00FB3597"/>
    <w:rsid w:val="00FB35C4"/>
    <w:rsid w:val="00FB3BF7"/>
    <w:rsid w:val="00FC720B"/>
    <w:rsid w:val="00FD0E63"/>
    <w:rsid w:val="00FE3E5C"/>
    <w:rsid w:val="00FF1D46"/>
    <w:rsid w:val="00FF1F4F"/>
    <w:rsid w:val="00FF4C5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4F62010"/>
  <w15:chartTrackingRefBased/>
  <w15:docId w15:val="{5F223C49-970D-E94A-B47A-B8213B685D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510E5"/>
    <w:rPr>
      <w:rFonts w:ascii="Arial" w:eastAsiaTheme="minorEastAsia" w:hAnsi="Arial"/>
    </w:rPr>
  </w:style>
  <w:style w:type="paragraph" w:styleId="Heading1">
    <w:name w:val="heading 1"/>
    <w:basedOn w:val="Normal"/>
    <w:next w:val="Normal"/>
    <w:link w:val="Heading1Char"/>
    <w:uiPriority w:val="9"/>
    <w:qFormat/>
    <w:rsid w:val="0031237D"/>
    <w:pPr>
      <w:keepNext/>
      <w:keepLines/>
      <w:spacing w:before="480" w:line="360" w:lineRule="auto"/>
      <w:outlineLvl w:val="0"/>
    </w:pPr>
    <w:rPr>
      <w:rFonts w:eastAsiaTheme="majorEastAsia" w:cstheme="majorBidi"/>
      <w:b/>
      <w:bCs/>
      <w:color w:val="2D4F8E" w:themeColor="accent1" w:themeShade="B5"/>
      <w:sz w:val="32"/>
      <w:szCs w:val="32"/>
    </w:rPr>
  </w:style>
  <w:style w:type="paragraph" w:styleId="Heading2">
    <w:name w:val="heading 2"/>
    <w:basedOn w:val="Heading2Marni"/>
    <w:next w:val="Normal"/>
    <w:link w:val="Heading2Char"/>
    <w:uiPriority w:val="9"/>
    <w:unhideWhenUsed/>
    <w:qFormat/>
    <w:rsid w:val="00E745CE"/>
  </w:style>
  <w:style w:type="paragraph" w:styleId="Heading3">
    <w:name w:val="heading 3"/>
    <w:basedOn w:val="Normal"/>
    <w:next w:val="Normal"/>
    <w:link w:val="Heading3Char"/>
    <w:uiPriority w:val="9"/>
    <w:unhideWhenUsed/>
    <w:qFormat/>
    <w:rsid w:val="00C8005D"/>
    <w:pPr>
      <w:keepNext/>
      <w:keepLines/>
      <w:pBdr>
        <w:top w:val="nil"/>
        <w:left w:val="nil"/>
        <w:bottom w:val="nil"/>
        <w:right w:val="nil"/>
        <w:between w:val="nil"/>
        <w:bar w:val="nil"/>
      </w:pBdr>
      <w:spacing w:before="200" w:line="360" w:lineRule="auto"/>
      <w:outlineLvl w:val="2"/>
    </w:pPr>
    <w:rPr>
      <w:rFonts w:eastAsia="Arial Unicode MS" w:cs="Arial Unicode MS"/>
      <w:b/>
      <w:bCs/>
      <w:color w:val="4472C4"/>
      <w:u w:color="4472C4"/>
      <w:bdr w:val="nil"/>
      <w:lang w:val="en-US" w:eastAsia="en-GB"/>
    </w:rPr>
  </w:style>
  <w:style w:type="paragraph" w:styleId="Heading4">
    <w:name w:val="heading 4"/>
    <w:basedOn w:val="Normal"/>
    <w:next w:val="Normal"/>
    <w:link w:val="Heading4Char"/>
    <w:uiPriority w:val="9"/>
    <w:unhideWhenUsed/>
    <w:qFormat/>
    <w:rsid w:val="007A5260"/>
    <w:pPr>
      <w:keepNext/>
      <w:keepLines/>
      <w:spacing w:before="40" w:line="360" w:lineRule="auto"/>
      <w:outlineLvl w:val="3"/>
    </w:pPr>
    <w:rPr>
      <w:rFonts w:eastAsiaTheme="majorEastAsia" w:cs="Arial"/>
      <w:i/>
      <w:iCs/>
      <w:color w:val="2F5496" w:themeColor="accent1" w:themeShade="BF"/>
    </w:rPr>
  </w:style>
  <w:style w:type="paragraph" w:styleId="Heading5">
    <w:name w:val="heading 5"/>
    <w:basedOn w:val="Normal"/>
    <w:next w:val="Normal"/>
    <w:link w:val="Heading5Char"/>
    <w:uiPriority w:val="9"/>
    <w:unhideWhenUsed/>
    <w:qFormat/>
    <w:rsid w:val="00AF0E0B"/>
    <w:pPr>
      <w:keepNext/>
      <w:keepLines/>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unhideWhenUsed/>
    <w:qFormat/>
    <w:rsid w:val="00052BEA"/>
    <w:pPr>
      <w:keepNext/>
      <w:keepLines/>
      <w:spacing w:before="200"/>
      <w:outlineLvl w:val="5"/>
    </w:pPr>
    <w:rPr>
      <w:rFonts w:eastAsiaTheme="majorEastAsia" w:cstheme="majorBidi"/>
      <w:i/>
      <w:iCs/>
      <w:color w:val="1F3763" w:themeColor="accent1" w:themeShade="7F"/>
    </w:rPr>
  </w:style>
  <w:style w:type="paragraph" w:styleId="Heading7">
    <w:name w:val="heading 7"/>
    <w:basedOn w:val="Normal"/>
    <w:next w:val="Normal"/>
    <w:link w:val="Heading7Char"/>
    <w:uiPriority w:val="9"/>
    <w:unhideWhenUsed/>
    <w:qFormat/>
    <w:rsid w:val="00052BEA"/>
    <w:pPr>
      <w:keepNext/>
      <w:keepLines/>
      <w:spacing w:before="200"/>
      <w:outlineLvl w:val="6"/>
    </w:pPr>
    <w:rPr>
      <w:rFonts w:eastAsiaTheme="majorEastAsia" w:cstheme="majorBidi"/>
      <w:i/>
      <w:iCs/>
      <w:color w:val="404040" w:themeColor="text1" w:themeTint="BF"/>
    </w:rPr>
  </w:style>
  <w:style w:type="paragraph" w:styleId="Heading8">
    <w:name w:val="heading 8"/>
    <w:basedOn w:val="Normal"/>
    <w:next w:val="Normal"/>
    <w:link w:val="Heading8Char"/>
    <w:uiPriority w:val="9"/>
    <w:semiHidden/>
    <w:unhideWhenUsed/>
    <w:qFormat/>
    <w:rsid w:val="00052BEA"/>
    <w:pPr>
      <w:keepNext/>
      <w:keepLines/>
      <w:spacing w:before="40"/>
      <w:outlineLvl w:val="7"/>
    </w:pPr>
    <w:rPr>
      <w:rFonts w:eastAsiaTheme="majorEastAsia" w:cstheme="majorBidi"/>
      <w:color w:val="272727"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6434E"/>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56434E"/>
    <w:rPr>
      <w:rFonts w:ascii="Times New Roman" w:hAnsi="Times New Roman" w:cs="Times New Roman"/>
      <w:sz w:val="18"/>
      <w:szCs w:val="18"/>
    </w:rPr>
  </w:style>
  <w:style w:type="character" w:customStyle="1" w:styleId="Heading1Char">
    <w:name w:val="Heading 1 Char"/>
    <w:basedOn w:val="DefaultParagraphFont"/>
    <w:link w:val="Heading1"/>
    <w:uiPriority w:val="9"/>
    <w:rsid w:val="0031237D"/>
    <w:rPr>
      <w:rFonts w:ascii="Arial" w:eastAsiaTheme="majorEastAsia" w:hAnsi="Arial" w:cstheme="majorBidi"/>
      <w:b/>
      <w:bCs/>
      <w:color w:val="2D4F8E" w:themeColor="accent1" w:themeShade="B5"/>
      <w:sz w:val="32"/>
      <w:szCs w:val="32"/>
    </w:rPr>
  </w:style>
  <w:style w:type="table" w:styleId="GridTable7Colourful">
    <w:name w:val="Grid Table 7 Colorful"/>
    <w:basedOn w:val="TableNormal"/>
    <w:uiPriority w:val="52"/>
    <w:rsid w:val="005510E5"/>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character" w:customStyle="1" w:styleId="Heading2Char">
    <w:name w:val="Heading 2 Char"/>
    <w:basedOn w:val="DefaultParagraphFont"/>
    <w:link w:val="Heading2"/>
    <w:uiPriority w:val="9"/>
    <w:rsid w:val="00E745CE"/>
    <w:rPr>
      <w:rFonts w:ascii="Arial" w:eastAsia="Arial" w:hAnsi="Arial" w:cs="Arial"/>
      <w:b/>
      <w:bCs/>
      <w:color w:val="4472C4"/>
      <w:sz w:val="26"/>
      <w:szCs w:val="26"/>
      <w:u w:color="4472C4"/>
      <w:bdr w:val="nil"/>
      <w:lang w:val="en-US" w:eastAsia="en-GB"/>
    </w:rPr>
  </w:style>
  <w:style w:type="character" w:customStyle="1" w:styleId="Heading3Char">
    <w:name w:val="Heading 3 Char"/>
    <w:basedOn w:val="DefaultParagraphFont"/>
    <w:link w:val="Heading3"/>
    <w:uiPriority w:val="9"/>
    <w:rsid w:val="00C8005D"/>
    <w:rPr>
      <w:rFonts w:ascii="Arial" w:eastAsia="Arial Unicode MS" w:hAnsi="Arial" w:cs="Arial Unicode MS"/>
      <w:b/>
      <w:bCs/>
      <w:color w:val="4472C4"/>
      <w:u w:color="4472C4"/>
      <w:bdr w:val="nil"/>
      <w:lang w:val="en-US" w:eastAsia="en-GB"/>
    </w:rPr>
  </w:style>
  <w:style w:type="paragraph" w:styleId="FootnoteText">
    <w:name w:val="footnote text"/>
    <w:basedOn w:val="Normal"/>
    <w:link w:val="FootnoteTextChar"/>
    <w:uiPriority w:val="99"/>
    <w:semiHidden/>
    <w:unhideWhenUsed/>
    <w:rsid w:val="00AF0E0B"/>
    <w:rPr>
      <w:sz w:val="20"/>
      <w:szCs w:val="20"/>
    </w:rPr>
  </w:style>
  <w:style w:type="character" w:customStyle="1" w:styleId="FootnoteTextChar">
    <w:name w:val="Footnote Text Char"/>
    <w:basedOn w:val="DefaultParagraphFont"/>
    <w:link w:val="FootnoteText"/>
    <w:uiPriority w:val="99"/>
    <w:semiHidden/>
    <w:rsid w:val="00AF0E0B"/>
    <w:rPr>
      <w:rFonts w:ascii="Arial" w:eastAsiaTheme="minorEastAsia" w:hAnsi="Arial"/>
      <w:sz w:val="20"/>
      <w:szCs w:val="20"/>
    </w:rPr>
  </w:style>
  <w:style w:type="paragraph" w:customStyle="1" w:styleId="Default">
    <w:name w:val="Default"/>
    <w:rsid w:val="00AF0E0B"/>
    <w:pPr>
      <w:pBdr>
        <w:top w:val="nil"/>
        <w:left w:val="nil"/>
        <w:bottom w:val="nil"/>
        <w:right w:val="nil"/>
        <w:between w:val="nil"/>
        <w:bar w:val="nil"/>
      </w:pBdr>
    </w:pPr>
    <w:rPr>
      <w:rFonts w:ascii="Helvetica Neue" w:eastAsia="Helvetica Neue" w:hAnsi="Helvetica Neue" w:cs="Helvetica Neue"/>
      <w:color w:val="000000"/>
      <w:sz w:val="22"/>
      <w:szCs w:val="22"/>
      <w:u w:color="000000"/>
      <w:bdr w:val="nil"/>
      <w:lang w:eastAsia="en-GB"/>
    </w:rPr>
  </w:style>
  <w:style w:type="character" w:styleId="FootnoteReference">
    <w:name w:val="footnote reference"/>
    <w:rsid w:val="00AF0E0B"/>
    <w:rPr>
      <w:vertAlign w:val="superscript"/>
    </w:rPr>
  </w:style>
  <w:style w:type="character" w:customStyle="1" w:styleId="Heading4Char">
    <w:name w:val="Heading 4 Char"/>
    <w:basedOn w:val="DefaultParagraphFont"/>
    <w:link w:val="Heading4"/>
    <w:uiPriority w:val="9"/>
    <w:rsid w:val="007A5260"/>
    <w:rPr>
      <w:rFonts w:ascii="Arial" w:eastAsiaTheme="majorEastAsia" w:hAnsi="Arial" w:cs="Arial"/>
      <w:i/>
      <w:iCs/>
      <w:color w:val="2F5496" w:themeColor="accent1" w:themeShade="BF"/>
    </w:rPr>
  </w:style>
  <w:style w:type="character" w:customStyle="1" w:styleId="Heading5Char">
    <w:name w:val="Heading 5 Char"/>
    <w:basedOn w:val="DefaultParagraphFont"/>
    <w:link w:val="Heading5"/>
    <w:uiPriority w:val="9"/>
    <w:rsid w:val="00AF0E0B"/>
    <w:rPr>
      <w:rFonts w:asciiTheme="majorHAnsi" w:eastAsiaTheme="majorEastAsia" w:hAnsiTheme="majorHAnsi" w:cstheme="majorBidi"/>
      <w:color w:val="2F5496" w:themeColor="accent1" w:themeShade="BF"/>
    </w:rPr>
  </w:style>
  <w:style w:type="numbering" w:customStyle="1" w:styleId="NoList1">
    <w:name w:val="No List1"/>
    <w:next w:val="NoList"/>
    <w:uiPriority w:val="99"/>
    <w:semiHidden/>
    <w:unhideWhenUsed/>
    <w:rsid w:val="00AF0E0B"/>
  </w:style>
  <w:style w:type="character" w:styleId="Hyperlink">
    <w:name w:val="Hyperlink"/>
    <w:uiPriority w:val="99"/>
    <w:rsid w:val="00AF0E0B"/>
    <w:rPr>
      <w:u w:val="single"/>
    </w:rPr>
  </w:style>
  <w:style w:type="paragraph" w:customStyle="1" w:styleId="HeaderFooter">
    <w:name w:val="Header &amp; Footer"/>
    <w:rsid w:val="00AF0E0B"/>
    <w:pPr>
      <w:pBdr>
        <w:top w:val="nil"/>
        <w:left w:val="nil"/>
        <w:bottom w:val="nil"/>
        <w:right w:val="nil"/>
        <w:between w:val="nil"/>
        <w:bar w:val="nil"/>
      </w:pBdr>
      <w:tabs>
        <w:tab w:val="right" w:pos="9020"/>
      </w:tabs>
    </w:pPr>
    <w:rPr>
      <w:rFonts w:ascii="Helvetica Neue" w:eastAsia="Arial Unicode MS" w:hAnsi="Helvetica Neue" w:cs="Arial Unicode MS"/>
      <w:color w:val="000000"/>
      <w:bdr w:val="nil"/>
      <w:lang w:eastAsia="en-GB"/>
    </w:rPr>
  </w:style>
  <w:style w:type="paragraph" w:styleId="TOCHeading">
    <w:name w:val="TOC Heading"/>
    <w:next w:val="Body"/>
    <w:uiPriority w:val="39"/>
    <w:qFormat/>
    <w:rsid w:val="00AF0E0B"/>
    <w:pPr>
      <w:keepNext/>
      <w:keepLines/>
      <w:pBdr>
        <w:top w:val="nil"/>
        <w:left w:val="nil"/>
        <w:bottom w:val="nil"/>
        <w:right w:val="nil"/>
        <w:between w:val="nil"/>
        <w:bar w:val="nil"/>
      </w:pBdr>
      <w:spacing w:before="480" w:line="276" w:lineRule="auto"/>
    </w:pPr>
    <w:rPr>
      <w:rFonts w:ascii="Arial" w:eastAsia="Arial Unicode MS" w:hAnsi="Arial" w:cs="Arial Unicode MS"/>
      <w:b/>
      <w:bCs/>
      <w:color w:val="2F5496"/>
      <w:sz w:val="28"/>
      <w:szCs w:val="28"/>
      <w:u w:color="2F5496"/>
      <w:bdr w:val="nil"/>
      <w:lang w:val="en-US" w:eastAsia="en-GB"/>
    </w:rPr>
  </w:style>
  <w:style w:type="paragraph" w:customStyle="1" w:styleId="Body">
    <w:name w:val="Body"/>
    <w:link w:val="BodyChar"/>
    <w:rsid w:val="00AF0E0B"/>
    <w:pPr>
      <w:pBdr>
        <w:top w:val="nil"/>
        <w:left w:val="nil"/>
        <w:bottom w:val="nil"/>
        <w:right w:val="nil"/>
        <w:between w:val="nil"/>
        <w:bar w:val="nil"/>
      </w:pBdr>
    </w:pPr>
    <w:rPr>
      <w:rFonts w:ascii="Times New Roman" w:eastAsia="Arial Unicode MS" w:hAnsi="Times New Roman" w:cs="Arial Unicode MS"/>
      <w:color w:val="000000"/>
      <w:u w:color="000000"/>
      <w:bdr w:val="nil"/>
      <w:lang w:eastAsia="en-GB"/>
    </w:rPr>
  </w:style>
  <w:style w:type="paragraph" w:customStyle="1" w:styleId="TOC21">
    <w:name w:val="TOC 21"/>
    <w:next w:val="TOC2"/>
    <w:uiPriority w:val="39"/>
    <w:rsid w:val="00AF0E0B"/>
    <w:pPr>
      <w:pBdr>
        <w:top w:val="nil"/>
        <w:left w:val="nil"/>
        <w:bottom w:val="nil"/>
        <w:right w:val="nil"/>
        <w:between w:val="nil"/>
        <w:bar w:val="nil"/>
      </w:pBdr>
      <w:spacing w:before="120"/>
      <w:ind w:left="240"/>
    </w:pPr>
    <w:rPr>
      <w:rFonts w:eastAsia="Arial Unicode MS" w:cs="Arial"/>
      <w:i/>
      <w:iCs/>
      <w:sz w:val="20"/>
      <w:szCs w:val="20"/>
      <w:bdr w:val="nil"/>
      <w:lang w:val="en-US"/>
    </w:rPr>
  </w:style>
  <w:style w:type="paragraph" w:customStyle="1" w:styleId="TOC31">
    <w:name w:val="TOC 31"/>
    <w:next w:val="TOC3"/>
    <w:uiPriority w:val="39"/>
    <w:rsid w:val="00AF0E0B"/>
    <w:pPr>
      <w:pBdr>
        <w:top w:val="nil"/>
        <w:left w:val="nil"/>
        <w:bottom w:val="nil"/>
        <w:right w:val="nil"/>
        <w:between w:val="nil"/>
        <w:bar w:val="nil"/>
      </w:pBdr>
      <w:ind w:left="480"/>
    </w:pPr>
    <w:rPr>
      <w:rFonts w:eastAsia="Arial Unicode MS" w:cs="Arial"/>
      <w:sz w:val="20"/>
      <w:szCs w:val="20"/>
      <w:bdr w:val="nil"/>
      <w:lang w:val="en-US"/>
    </w:rPr>
  </w:style>
  <w:style w:type="paragraph" w:customStyle="1" w:styleId="TOC41">
    <w:name w:val="TOC 41"/>
    <w:next w:val="TOC4"/>
    <w:uiPriority w:val="39"/>
    <w:rsid w:val="00AF0E0B"/>
    <w:pPr>
      <w:pBdr>
        <w:top w:val="nil"/>
        <w:left w:val="nil"/>
        <w:bottom w:val="nil"/>
        <w:right w:val="nil"/>
        <w:between w:val="nil"/>
        <w:bar w:val="nil"/>
      </w:pBdr>
      <w:ind w:left="720"/>
    </w:pPr>
    <w:rPr>
      <w:rFonts w:eastAsia="Arial Unicode MS" w:cs="Arial"/>
      <w:sz w:val="20"/>
      <w:szCs w:val="20"/>
      <w:bdr w:val="nil"/>
      <w:lang w:val="en-US"/>
    </w:rPr>
  </w:style>
  <w:style w:type="paragraph" w:customStyle="1" w:styleId="Heading">
    <w:name w:val="Heading"/>
    <w:next w:val="Body"/>
    <w:rsid w:val="00AF0E0B"/>
    <w:pPr>
      <w:keepNext/>
      <w:keepLines/>
      <w:pBdr>
        <w:top w:val="nil"/>
        <w:left w:val="nil"/>
        <w:bottom w:val="nil"/>
        <w:right w:val="nil"/>
        <w:between w:val="nil"/>
        <w:bar w:val="nil"/>
      </w:pBdr>
      <w:spacing w:before="480"/>
      <w:outlineLvl w:val="3"/>
    </w:pPr>
    <w:rPr>
      <w:rFonts w:ascii="Arial" w:eastAsia="Arial" w:hAnsi="Arial" w:cs="Arial"/>
      <w:b/>
      <w:bCs/>
      <w:color w:val="2D4F8E"/>
      <w:sz w:val="32"/>
      <w:szCs w:val="32"/>
      <w:u w:color="2D4F8E"/>
      <w:bdr w:val="nil"/>
      <w:lang w:eastAsia="en-GB"/>
    </w:rPr>
  </w:style>
  <w:style w:type="paragraph" w:customStyle="1" w:styleId="TOC51">
    <w:name w:val="TOC 51"/>
    <w:next w:val="TOC5"/>
    <w:uiPriority w:val="39"/>
    <w:rsid w:val="00AF0E0B"/>
    <w:pPr>
      <w:pBdr>
        <w:top w:val="nil"/>
        <w:left w:val="nil"/>
        <w:bottom w:val="nil"/>
        <w:right w:val="nil"/>
        <w:between w:val="nil"/>
        <w:bar w:val="nil"/>
      </w:pBdr>
      <w:ind w:left="960"/>
    </w:pPr>
    <w:rPr>
      <w:rFonts w:eastAsia="Arial Unicode MS" w:cs="Arial"/>
      <w:sz w:val="20"/>
      <w:szCs w:val="20"/>
      <w:bdr w:val="nil"/>
      <w:lang w:val="en-US"/>
    </w:rPr>
  </w:style>
  <w:style w:type="paragraph" w:customStyle="1" w:styleId="TOC61">
    <w:name w:val="TOC 61"/>
    <w:next w:val="TOC6"/>
    <w:uiPriority w:val="39"/>
    <w:rsid w:val="00AF0E0B"/>
    <w:pPr>
      <w:pBdr>
        <w:top w:val="nil"/>
        <w:left w:val="nil"/>
        <w:bottom w:val="nil"/>
        <w:right w:val="nil"/>
        <w:between w:val="nil"/>
        <w:bar w:val="nil"/>
      </w:pBdr>
      <w:ind w:left="1200"/>
    </w:pPr>
    <w:rPr>
      <w:rFonts w:eastAsia="Arial Unicode MS" w:cs="Arial"/>
      <w:sz w:val="20"/>
      <w:szCs w:val="20"/>
      <w:bdr w:val="nil"/>
      <w:lang w:val="en-US"/>
    </w:rPr>
  </w:style>
  <w:style w:type="paragraph" w:customStyle="1" w:styleId="TOC71">
    <w:name w:val="TOC 71"/>
    <w:next w:val="TOC7"/>
    <w:uiPriority w:val="39"/>
    <w:rsid w:val="00AF0E0B"/>
    <w:pPr>
      <w:pBdr>
        <w:top w:val="nil"/>
        <w:left w:val="nil"/>
        <w:bottom w:val="nil"/>
        <w:right w:val="nil"/>
        <w:between w:val="nil"/>
        <w:bar w:val="nil"/>
      </w:pBdr>
      <w:ind w:left="1440"/>
    </w:pPr>
    <w:rPr>
      <w:rFonts w:eastAsia="Arial Unicode MS" w:cs="Arial"/>
      <w:sz w:val="20"/>
      <w:szCs w:val="20"/>
      <w:bdr w:val="nil"/>
      <w:lang w:val="en-US"/>
    </w:rPr>
  </w:style>
  <w:style w:type="paragraph" w:styleId="Subtitle">
    <w:name w:val="Subtitle"/>
    <w:next w:val="Body"/>
    <w:link w:val="SubtitleChar"/>
    <w:qFormat/>
    <w:rsid w:val="009F58A0"/>
    <w:pPr>
      <w:pBdr>
        <w:top w:val="nil"/>
        <w:left w:val="nil"/>
        <w:bottom w:val="nil"/>
        <w:right w:val="nil"/>
        <w:between w:val="nil"/>
        <w:bar w:val="nil"/>
      </w:pBdr>
      <w:spacing w:line="360" w:lineRule="auto"/>
      <w:outlineLvl w:val="6"/>
    </w:pPr>
    <w:rPr>
      <w:rFonts w:ascii="Arial" w:eastAsia="Arial" w:hAnsi="Arial" w:cs="Arial"/>
      <w:i/>
      <w:iCs/>
      <w:color w:val="4F81BD"/>
      <w:u w:color="4F81BD"/>
      <w:bdr w:val="nil"/>
      <w:lang w:val="en-US" w:eastAsia="en-GB"/>
    </w:rPr>
  </w:style>
  <w:style w:type="character" w:customStyle="1" w:styleId="SubtitleChar">
    <w:name w:val="Subtitle Char"/>
    <w:basedOn w:val="DefaultParagraphFont"/>
    <w:link w:val="Subtitle"/>
    <w:rsid w:val="009F58A0"/>
    <w:rPr>
      <w:rFonts w:ascii="Arial" w:eastAsia="Arial" w:hAnsi="Arial" w:cs="Arial"/>
      <w:i/>
      <w:iCs/>
      <w:color w:val="4F81BD"/>
      <w:u w:color="4F81BD"/>
      <w:bdr w:val="nil"/>
      <w:lang w:val="en-US" w:eastAsia="en-GB"/>
    </w:rPr>
  </w:style>
  <w:style w:type="paragraph" w:customStyle="1" w:styleId="TableofFigures1">
    <w:name w:val="Table of Figures1"/>
    <w:next w:val="Body"/>
    <w:uiPriority w:val="99"/>
    <w:rsid w:val="00AF0E0B"/>
    <w:pPr>
      <w:pBdr>
        <w:top w:val="nil"/>
        <w:left w:val="nil"/>
        <w:bottom w:val="nil"/>
        <w:right w:val="nil"/>
        <w:between w:val="nil"/>
        <w:bar w:val="nil"/>
      </w:pBdr>
      <w:ind w:left="480" w:hanging="480"/>
    </w:pPr>
    <w:rPr>
      <w:rFonts w:eastAsia="Arial Unicode MS" w:cs="Arial"/>
      <w:b/>
      <w:bCs/>
      <w:sz w:val="20"/>
      <w:szCs w:val="20"/>
      <w:bdr w:val="nil"/>
      <w:lang w:val="en-US"/>
    </w:rPr>
  </w:style>
  <w:style w:type="paragraph" w:styleId="Quote">
    <w:name w:val="Quote"/>
    <w:next w:val="Body"/>
    <w:link w:val="QuoteChar"/>
    <w:uiPriority w:val="29"/>
    <w:qFormat/>
    <w:rsid w:val="00455CF2"/>
    <w:pPr>
      <w:pBdr>
        <w:top w:val="nil"/>
        <w:left w:val="nil"/>
        <w:bottom w:val="nil"/>
        <w:right w:val="nil"/>
        <w:between w:val="nil"/>
        <w:bar w:val="nil"/>
      </w:pBdr>
      <w:spacing w:line="360" w:lineRule="auto"/>
      <w:outlineLvl w:val="6"/>
    </w:pPr>
    <w:rPr>
      <w:rFonts w:ascii="Arial" w:eastAsia="Arial" w:hAnsi="Arial" w:cs="Arial"/>
      <w:i/>
      <w:iCs/>
      <w:color w:val="44546A"/>
      <w:u w:color="44546A"/>
      <w:bdr w:val="nil"/>
      <w:lang w:val="en-US" w:eastAsia="en-GB"/>
    </w:rPr>
  </w:style>
  <w:style w:type="character" w:customStyle="1" w:styleId="QuoteChar">
    <w:name w:val="Quote Char"/>
    <w:basedOn w:val="DefaultParagraphFont"/>
    <w:link w:val="Quote"/>
    <w:uiPriority w:val="29"/>
    <w:rsid w:val="00455CF2"/>
    <w:rPr>
      <w:rFonts w:ascii="Arial" w:eastAsia="Arial" w:hAnsi="Arial" w:cs="Arial"/>
      <w:i/>
      <w:iCs/>
      <w:color w:val="44546A"/>
      <w:u w:color="44546A"/>
      <w:bdr w:val="nil"/>
      <w:lang w:val="en-US" w:eastAsia="en-GB"/>
    </w:rPr>
  </w:style>
  <w:style w:type="paragraph" w:styleId="ListParagraph">
    <w:name w:val="List Paragraph"/>
    <w:uiPriority w:val="34"/>
    <w:qFormat/>
    <w:rsid w:val="00AF0E0B"/>
    <w:pPr>
      <w:pBdr>
        <w:top w:val="nil"/>
        <w:left w:val="nil"/>
        <w:bottom w:val="nil"/>
        <w:right w:val="nil"/>
        <w:between w:val="nil"/>
        <w:bar w:val="nil"/>
      </w:pBdr>
      <w:spacing w:after="200" w:line="276" w:lineRule="auto"/>
      <w:ind w:left="720"/>
    </w:pPr>
    <w:rPr>
      <w:rFonts w:ascii="Arial" w:eastAsia="Arial Unicode MS" w:hAnsi="Arial" w:cs="Arial Unicode MS"/>
      <w:color w:val="000000"/>
      <w:sz w:val="22"/>
      <w:szCs w:val="22"/>
      <w:u w:color="000000"/>
      <w:bdr w:val="nil"/>
      <w:lang w:val="en-US" w:eastAsia="en-GB"/>
    </w:rPr>
  </w:style>
  <w:style w:type="paragraph" w:customStyle="1" w:styleId="EndNoteBibliography">
    <w:name w:val="EndNote Bibliography"/>
    <w:link w:val="EndNoteBibliographyChar"/>
    <w:rsid w:val="00AF0E0B"/>
    <w:pPr>
      <w:pBdr>
        <w:top w:val="nil"/>
        <w:left w:val="nil"/>
        <w:bottom w:val="nil"/>
        <w:right w:val="nil"/>
        <w:between w:val="nil"/>
        <w:bar w:val="nil"/>
      </w:pBdr>
    </w:pPr>
    <w:rPr>
      <w:rFonts w:ascii="Arial" w:eastAsia="Arial" w:hAnsi="Arial" w:cs="Arial"/>
      <w:color w:val="000000"/>
      <w:u w:color="000000"/>
      <w:bdr w:val="nil"/>
      <w:lang w:val="en-US" w:eastAsia="en-GB"/>
    </w:rPr>
  </w:style>
  <w:style w:type="character" w:customStyle="1" w:styleId="Link">
    <w:name w:val="Link"/>
    <w:rsid w:val="00AF0E0B"/>
    <w:rPr>
      <w:color w:val="0563C1"/>
      <w:u w:val="single" w:color="0563C1"/>
      <w:lang w:val="en-US"/>
    </w:rPr>
  </w:style>
  <w:style w:type="paragraph" w:styleId="CommentText">
    <w:name w:val="annotation text"/>
    <w:basedOn w:val="Normal"/>
    <w:link w:val="CommentTextChar"/>
    <w:uiPriority w:val="99"/>
    <w:semiHidden/>
    <w:unhideWhenUsed/>
    <w:rsid w:val="00AF0E0B"/>
    <w:pPr>
      <w:pBdr>
        <w:top w:val="nil"/>
        <w:left w:val="nil"/>
        <w:bottom w:val="nil"/>
        <w:right w:val="nil"/>
        <w:between w:val="nil"/>
        <w:bar w:val="nil"/>
      </w:pBdr>
    </w:pPr>
    <w:rPr>
      <w:rFonts w:ascii="Times New Roman" w:eastAsia="Arial Unicode MS" w:hAnsi="Times New Roman" w:cs="Times New Roman"/>
      <w:sz w:val="20"/>
      <w:szCs w:val="20"/>
      <w:bdr w:val="nil"/>
      <w:lang w:val="en-US"/>
    </w:rPr>
  </w:style>
  <w:style w:type="character" w:customStyle="1" w:styleId="CommentTextChar">
    <w:name w:val="Comment Text Char"/>
    <w:basedOn w:val="DefaultParagraphFont"/>
    <w:link w:val="CommentText"/>
    <w:uiPriority w:val="99"/>
    <w:semiHidden/>
    <w:rsid w:val="00AF0E0B"/>
    <w:rPr>
      <w:rFonts w:ascii="Times New Roman" w:eastAsia="Arial Unicode MS" w:hAnsi="Times New Roman" w:cs="Times New Roman"/>
      <w:sz w:val="20"/>
      <w:szCs w:val="20"/>
      <w:bdr w:val="nil"/>
      <w:lang w:val="en-US"/>
    </w:rPr>
  </w:style>
  <w:style w:type="character" w:styleId="CommentReference">
    <w:name w:val="annotation reference"/>
    <w:basedOn w:val="DefaultParagraphFont"/>
    <w:uiPriority w:val="99"/>
    <w:semiHidden/>
    <w:unhideWhenUsed/>
    <w:rsid w:val="00AF0E0B"/>
    <w:rPr>
      <w:sz w:val="16"/>
      <w:szCs w:val="16"/>
    </w:rPr>
  </w:style>
  <w:style w:type="paragraph" w:customStyle="1" w:styleId="TOC11">
    <w:name w:val="TOC 11"/>
    <w:basedOn w:val="Normal"/>
    <w:next w:val="Normal"/>
    <w:autoRedefine/>
    <w:uiPriority w:val="39"/>
    <w:unhideWhenUsed/>
    <w:rsid w:val="00AF0E0B"/>
    <w:pPr>
      <w:pBdr>
        <w:top w:val="nil"/>
        <w:left w:val="nil"/>
        <w:bottom w:val="nil"/>
        <w:right w:val="nil"/>
        <w:between w:val="nil"/>
        <w:bar w:val="nil"/>
      </w:pBdr>
      <w:spacing w:before="240" w:after="120"/>
    </w:pPr>
    <w:rPr>
      <w:rFonts w:eastAsia="Arial Unicode MS" w:cs="Arial"/>
      <w:b/>
      <w:bCs/>
      <w:sz w:val="20"/>
      <w:szCs w:val="20"/>
      <w:bdr w:val="nil"/>
      <w:lang w:val="en-US"/>
    </w:rPr>
  </w:style>
  <w:style w:type="paragraph" w:customStyle="1" w:styleId="TOC81">
    <w:name w:val="TOC 81"/>
    <w:basedOn w:val="Normal"/>
    <w:next w:val="Normal"/>
    <w:autoRedefine/>
    <w:uiPriority w:val="39"/>
    <w:unhideWhenUsed/>
    <w:rsid w:val="00AF0E0B"/>
    <w:pPr>
      <w:pBdr>
        <w:top w:val="nil"/>
        <w:left w:val="nil"/>
        <w:bottom w:val="nil"/>
        <w:right w:val="nil"/>
        <w:between w:val="nil"/>
        <w:bar w:val="nil"/>
      </w:pBdr>
      <w:ind w:left="1680"/>
    </w:pPr>
    <w:rPr>
      <w:rFonts w:eastAsia="Arial Unicode MS" w:cs="Arial"/>
      <w:sz w:val="20"/>
      <w:szCs w:val="20"/>
      <w:bdr w:val="nil"/>
      <w:lang w:val="en-US"/>
    </w:rPr>
  </w:style>
  <w:style w:type="paragraph" w:customStyle="1" w:styleId="TOC91">
    <w:name w:val="TOC 91"/>
    <w:basedOn w:val="Normal"/>
    <w:next w:val="Normal"/>
    <w:autoRedefine/>
    <w:uiPriority w:val="39"/>
    <w:unhideWhenUsed/>
    <w:rsid w:val="00AF0E0B"/>
    <w:pPr>
      <w:pBdr>
        <w:top w:val="nil"/>
        <w:left w:val="nil"/>
        <w:bottom w:val="nil"/>
        <w:right w:val="nil"/>
        <w:between w:val="nil"/>
        <w:bar w:val="nil"/>
      </w:pBdr>
      <w:ind w:left="1920"/>
    </w:pPr>
    <w:rPr>
      <w:rFonts w:eastAsia="Arial Unicode MS" w:cs="Arial"/>
      <w:sz w:val="20"/>
      <w:szCs w:val="20"/>
      <w:bdr w:val="nil"/>
      <w:lang w:val="en-US"/>
    </w:rPr>
  </w:style>
  <w:style w:type="paragraph" w:styleId="CommentSubject">
    <w:name w:val="annotation subject"/>
    <w:basedOn w:val="CommentText"/>
    <w:next w:val="CommentText"/>
    <w:link w:val="CommentSubjectChar"/>
    <w:uiPriority w:val="99"/>
    <w:semiHidden/>
    <w:unhideWhenUsed/>
    <w:rsid w:val="00AF0E0B"/>
    <w:rPr>
      <w:b/>
      <w:bCs/>
    </w:rPr>
  </w:style>
  <w:style w:type="character" w:customStyle="1" w:styleId="CommentSubjectChar">
    <w:name w:val="Comment Subject Char"/>
    <w:basedOn w:val="CommentTextChar"/>
    <w:link w:val="CommentSubject"/>
    <w:uiPriority w:val="99"/>
    <w:semiHidden/>
    <w:rsid w:val="00AF0E0B"/>
    <w:rPr>
      <w:rFonts w:ascii="Times New Roman" w:eastAsia="Arial Unicode MS" w:hAnsi="Times New Roman" w:cs="Times New Roman"/>
      <w:b/>
      <w:bCs/>
      <w:sz w:val="20"/>
      <w:szCs w:val="20"/>
      <w:bdr w:val="nil"/>
      <w:lang w:val="en-US"/>
    </w:rPr>
  </w:style>
  <w:style w:type="paragraph" w:customStyle="1" w:styleId="EndNoteBibliographyTitle">
    <w:name w:val="EndNote Bibliography Title"/>
    <w:basedOn w:val="Normal"/>
    <w:link w:val="EndNoteBibliographyTitleChar"/>
    <w:rsid w:val="00AF0E0B"/>
    <w:pPr>
      <w:pBdr>
        <w:top w:val="nil"/>
        <w:left w:val="nil"/>
        <w:bottom w:val="nil"/>
        <w:right w:val="nil"/>
        <w:between w:val="nil"/>
        <w:bar w:val="nil"/>
      </w:pBdr>
      <w:jc w:val="center"/>
    </w:pPr>
    <w:rPr>
      <w:rFonts w:eastAsia="Arial Unicode MS" w:cs="Arial"/>
      <w:color w:val="000000"/>
      <w:u w:color="000000"/>
      <w:bdr w:val="nil"/>
      <w:lang w:val="en-US" w:eastAsia="en-GB"/>
    </w:rPr>
  </w:style>
  <w:style w:type="character" w:customStyle="1" w:styleId="BodyChar">
    <w:name w:val="Body Char"/>
    <w:basedOn w:val="DefaultParagraphFont"/>
    <w:link w:val="Body"/>
    <w:rsid w:val="00AF0E0B"/>
    <w:rPr>
      <w:rFonts w:ascii="Times New Roman" w:eastAsia="Arial Unicode MS" w:hAnsi="Times New Roman" w:cs="Arial Unicode MS"/>
      <w:color w:val="000000"/>
      <w:u w:color="000000"/>
      <w:bdr w:val="nil"/>
      <w:lang w:eastAsia="en-GB"/>
    </w:rPr>
  </w:style>
  <w:style w:type="character" w:customStyle="1" w:styleId="EndNoteBibliographyTitleChar">
    <w:name w:val="EndNote Bibliography Title Char"/>
    <w:basedOn w:val="BodyChar"/>
    <w:link w:val="EndNoteBibliographyTitle"/>
    <w:rsid w:val="00AF0E0B"/>
    <w:rPr>
      <w:rFonts w:ascii="Arial" w:eastAsia="Arial Unicode MS" w:hAnsi="Arial" w:cs="Arial"/>
      <w:color w:val="000000"/>
      <w:u w:color="000000"/>
      <w:bdr w:val="nil"/>
      <w:lang w:val="en-US" w:eastAsia="en-GB"/>
    </w:rPr>
  </w:style>
  <w:style w:type="character" w:styleId="UnresolvedMention">
    <w:name w:val="Unresolved Mention"/>
    <w:basedOn w:val="DefaultParagraphFont"/>
    <w:uiPriority w:val="99"/>
    <w:semiHidden/>
    <w:unhideWhenUsed/>
    <w:rsid w:val="00AF0E0B"/>
    <w:rPr>
      <w:color w:val="605E5C"/>
      <w:shd w:val="clear" w:color="auto" w:fill="E1DFDD"/>
    </w:rPr>
  </w:style>
  <w:style w:type="paragraph" w:styleId="TOC2">
    <w:name w:val="toc 2"/>
    <w:basedOn w:val="Normal"/>
    <w:next w:val="Normal"/>
    <w:autoRedefine/>
    <w:uiPriority w:val="39"/>
    <w:unhideWhenUsed/>
    <w:rsid w:val="00936B81"/>
    <w:pPr>
      <w:tabs>
        <w:tab w:val="right" w:leader="dot" w:pos="9350"/>
      </w:tabs>
      <w:spacing w:before="120"/>
      <w:ind w:left="240"/>
    </w:pPr>
    <w:rPr>
      <w:rFonts w:cstheme="minorHAnsi"/>
      <w:iCs/>
      <w:sz w:val="20"/>
      <w:szCs w:val="20"/>
    </w:rPr>
  </w:style>
  <w:style w:type="paragraph" w:styleId="TOC3">
    <w:name w:val="toc 3"/>
    <w:basedOn w:val="Normal"/>
    <w:next w:val="Normal"/>
    <w:autoRedefine/>
    <w:uiPriority w:val="39"/>
    <w:unhideWhenUsed/>
    <w:rsid w:val="00840F20"/>
    <w:pPr>
      <w:ind w:left="480"/>
    </w:pPr>
    <w:rPr>
      <w:rFonts w:cstheme="minorHAnsi"/>
      <w:sz w:val="20"/>
      <w:szCs w:val="20"/>
    </w:rPr>
  </w:style>
  <w:style w:type="paragraph" w:styleId="TOC4">
    <w:name w:val="toc 4"/>
    <w:basedOn w:val="Normal"/>
    <w:next w:val="Normal"/>
    <w:autoRedefine/>
    <w:uiPriority w:val="39"/>
    <w:unhideWhenUsed/>
    <w:rsid w:val="00840F20"/>
    <w:pPr>
      <w:ind w:left="720"/>
    </w:pPr>
    <w:rPr>
      <w:rFonts w:cstheme="minorHAnsi"/>
      <w:sz w:val="20"/>
      <w:szCs w:val="20"/>
    </w:rPr>
  </w:style>
  <w:style w:type="paragraph" w:styleId="TOC5">
    <w:name w:val="toc 5"/>
    <w:basedOn w:val="Normal"/>
    <w:next w:val="Normal"/>
    <w:autoRedefine/>
    <w:uiPriority w:val="39"/>
    <w:unhideWhenUsed/>
    <w:rsid w:val="00AF0E0B"/>
    <w:pPr>
      <w:ind w:left="960"/>
    </w:pPr>
    <w:rPr>
      <w:rFonts w:asciiTheme="minorHAnsi" w:hAnsiTheme="minorHAnsi" w:cstheme="minorHAnsi"/>
      <w:sz w:val="20"/>
      <w:szCs w:val="20"/>
    </w:rPr>
  </w:style>
  <w:style w:type="paragraph" w:styleId="TOC6">
    <w:name w:val="toc 6"/>
    <w:basedOn w:val="Normal"/>
    <w:next w:val="Normal"/>
    <w:autoRedefine/>
    <w:uiPriority w:val="39"/>
    <w:unhideWhenUsed/>
    <w:rsid w:val="00AF0E0B"/>
    <w:pPr>
      <w:ind w:left="1200"/>
    </w:pPr>
    <w:rPr>
      <w:rFonts w:asciiTheme="minorHAnsi" w:hAnsiTheme="minorHAnsi" w:cstheme="minorHAnsi"/>
      <w:sz w:val="20"/>
      <w:szCs w:val="20"/>
    </w:rPr>
  </w:style>
  <w:style w:type="paragraph" w:styleId="TOC7">
    <w:name w:val="toc 7"/>
    <w:basedOn w:val="Normal"/>
    <w:next w:val="Normal"/>
    <w:autoRedefine/>
    <w:uiPriority w:val="39"/>
    <w:unhideWhenUsed/>
    <w:rsid w:val="00AF0E0B"/>
    <w:pPr>
      <w:ind w:left="1440"/>
    </w:pPr>
    <w:rPr>
      <w:rFonts w:asciiTheme="minorHAnsi" w:hAnsiTheme="minorHAnsi" w:cstheme="minorHAnsi"/>
      <w:sz w:val="20"/>
      <w:szCs w:val="20"/>
    </w:rPr>
  </w:style>
  <w:style w:type="numbering" w:customStyle="1" w:styleId="NoList2">
    <w:name w:val="No List2"/>
    <w:next w:val="NoList"/>
    <w:uiPriority w:val="99"/>
    <w:semiHidden/>
    <w:unhideWhenUsed/>
    <w:rsid w:val="00DA5D56"/>
  </w:style>
  <w:style w:type="character" w:styleId="SubtleEmphasis">
    <w:name w:val="Subtle Emphasis"/>
    <w:basedOn w:val="DefaultParagraphFont"/>
    <w:autoRedefine/>
    <w:uiPriority w:val="19"/>
    <w:qFormat/>
    <w:rsid w:val="008D3C32"/>
    <w:rPr>
      <w:rFonts w:asciiTheme="minorHAnsi" w:hAnsiTheme="minorHAnsi" w:cstheme="minorHAnsi"/>
      <w:i/>
      <w:iCs/>
      <w:color w:val="808080" w:themeColor="text1" w:themeTint="7F"/>
      <w:sz w:val="21"/>
      <w:szCs w:val="21"/>
    </w:rPr>
  </w:style>
  <w:style w:type="table" w:customStyle="1" w:styleId="GridTable2-Accent21">
    <w:name w:val="Grid Table 2 - Accent 21"/>
    <w:basedOn w:val="TableNormal"/>
    <w:uiPriority w:val="47"/>
    <w:rsid w:val="00DA5D56"/>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customStyle="1" w:styleId="EndNoteBibliographyChar">
    <w:name w:val="EndNote Bibliography Char"/>
    <w:basedOn w:val="DefaultParagraphFont"/>
    <w:link w:val="EndNoteBibliography"/>
    <w:rsid w:val="00DA5D56"/>
    <w:rPr>
      <w:rFonts w:ascii="Arial" w:eastAsia="Arial" w:hAnsi="Arial" w:cs="Arial"/>
      <w:color w:val="000000"/>
      <w:u w:color="000000"/>
      <w:bdr w:val="nil"/>
      <w:lang w:val="en-US" w:eastAsia="en-GB"/>
    </w:rPr>
  </w:style>
  <w:style w:type="paragraph" w:styleId="TOC1">
    <w:name w:val="toc 1"/>
    <w:basedOn w:val="Normal"/>
    <w:next w:val="Normal"/>
    <w:autoRedefine/>
    <w:uiPriority w:val="39"/>
    <w:unhideWhenUsed/>
    <w:rsid w:val="00840F20"/>
    <w:pPr>
      <w:spacing w:before="240" w:after="120"/>
    </w:pPr>
    <w:rPr>
      <w:rFonts w:cstheme="minorHAnsi"/>
      <w:b/>
      <w:bCs/>
      <w:sz w:val="20"/>
      <w:szCs w:val="20"/>
    </w:rPr>
  </w:style>
  <w:style w:type="paragraph" w:styleId="TOC8">
    <w:name w:val="toc 8"/>
    <w:basedOn w:val="Normal"/>
    <w:next w:val="Normal"/>
    <w:autoRedefine/>
    <w:uiPriority w:val="39"/>
    <w:unhideWhenUsed/>
    <w:rsid w:val="00DA5D56"/>
    <w:pPr>
      <w:ind w:left="1680"/>
    </w:pPr>
    <w:rPr>
      <w:rFonts w:asciiTheme="minorHAnsi" w:hAnsiTheme="minorHAnsi" w:cstheme="minorHAnsi"/>
      <w:sz w:val="20"/>
      <w:szCs w:val="20"/>
    </w:rPr>
  </w:style>
  <w:style w:type="paragraph" w:styleId="TOC9">
    <w:name w:val="toc 9"/>
    <w:basedOn w:val="Normal"/>
    <w:next w:val="Normal"/>
    <w:autoRedefine/>
    <w:uiPriority w:val="39"/>
    <w:unhideWhenUsed/>
    <w:rsid w:val="00DA5D56"/>
    <w:pPr>
      <w:ind w:left="1920"/>
    </w:pPr>
    <w:rPr>
      <w:rFonts w:asciiTheme="minorHAnsi" w:hAnsiTheme="minorHAnsi" w:cstheme="minorHAnsi"/>
      <w:sz w:val="20"/>
      <w:szCs w:val="20"/>
    </w:rPr>
  </w:style>
  <w:style w:type="paragraph" w:styleId="TableofFigures">
    <w:name w:val="table of figures"/>
    <w:basedOn w:val="Normal"/>
    <w:next w:val="Normal"/>
    <w:uiPriority w:val="99"/>
    <w:unhideWhenUsed/>
    <w:rsid w:val="00196E9F"/>
    <w:pPr>
      <w:ind w:left="480" w:hanging="480"/>
    </w:pPr>
    <w:rPr>
      <w:rFonts w:asciiTheme="minorHAnsi" w:hAnsiTheme="minorHAnsi" w:cstheme="minorHAnsi"/>
      <w:b/>
      <w:bCs/>
      <w:sz w:val="20"/>
      <w:szCs w:val="20"/>
    </w:rPr>
  </w:style>
  <w:style w:type="character" w:customStyle="1" w:styleId="Heading6Char">
    <w:name w:val="Heading 6 Char"/>
    <w:basedOn w:val="DefaultParagraphFont"/>
    <w:link w:val="Heading6"/>
    <w:uiPriority w:val="9"/>
    <w:rsid w:val="00052BEA"/>
    <w:rPr>
      <w:rFonts w:ascii="Arial" w:eastAsiaTheme="majorEastAsia" w:hAnsi="Arial" w:cstheme="majorBidi"/>
      <w:i/>
      <w:iCs/>
      <w:color w:val="1F3763" w:themeColor="accent1" w:themeShade="7F"/>
    </w:rPr>
  </w:style>
  <w:style w:type="character" w:customStyle="1" w:styleId="Heading7Char">
    <w:name w:val="Heading 7 Char"/>
    <w:basedOn w:val="DefaultParagraphFont"/>
    <w:link w:val="Heading7"/>
    <w:uiPriority w:val="9"/>
    <w:rsid w:val="00052BEA"/>
    <w:rPr>
      <w:rFonts w:ascii="Arial" w:eastAsiaTheme="majorEastAsia" w:hAnsi="Arial" w:cstheme="majorBidi"/>
      <w:i/>
      <w:iCs/>
      <w:color w:val="404040" w:themeColor="text1" w:themeTint="BF"/>
    </w:rPr>
  </w:style>
  <w:style w:type="character" w:customStyle="1" w:styleId="Heading8Char">
    <w:name w:val="Heading 8 Char"/>
    <w:basedOn w:val="DefaultParagraphFont"/>
    <w:link w:val="Heading8"/>
    <w:uiPriority w:val="9"/>
    <w:semiHidden/>
    <w:rsid w:val="00052BEA"/>
    <w:rPr>
      <w:rFonts w:ascii="Arial" w:eastAsiaTheme="majorEastAsia" w:hAnsi="Arial" w:cstheme="majorBidi"/>
      <w:color w:val="272727" w:themeColor="text1" w:themeTint="D8"/>
      <w:sz w:val="21"/>
      <w:szCs w:val="21"/>
    </w:rPr>
  </w:style>
  <w:style w:type="numbering" w:customStyle="1" w:styleId="NoList3">
    <w:name w:val="No List3"/>
    <w:next w:val="NoList"/>
    <w:uiPriority w:val="99"/>
    <w:semiHidden/>
    <w:unhideWhenUsed/>
    <w:rsid w:val="00052BEA"/>
  </w:style>
  <w:style w:type="paragraph" w:styleId="Title">
    <w:name w:val="Title"/>
    <w:basedOn w:val="Normal"/>
    <w:next w:val="Normal"/>
    <w:link w:val="TitleChar"/>
    <w:uiPriority w:val="10"/>
    <w:qFormat/>
    <w:rsid w:val="00052BEA"/>
    <w:pPr>
      <w:pBdr>
        <w:bottom w:val="single" w:sz="8" w:space="4" w:color="4472C4"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uiPriority w:val="10"/>
    <w:rsid w:val="00052BEA"/>
    <w:rPr>
      <w:rFonts w:asciiTheme="majorHAnsi" w:eastAsiaTheme="majorEastAsia" w:hAnsiTheme="majorHAnsi" w:cstheme="majorBidi"/>
      <w:color w:val="323E4F" w:themeColor="text2" w:themeShade="BF"/>
      <w:spacing w:val="5"/>
      <w:kern w:val="28"/>
      <w:sz w:val="52"/>
      <w:szCs w:val="52"/>
    </w:rPr>
  </w:style>
  <w:style w:type="character" w:styleId="PlaceholderText">
    <w:name w:val="Placeholder Text"/>
    <w:basedOn w:val="DefaultParagraphFont"/>
    <w:uiPriority w:val="99"/>
    <w:semiHidden/>
    <w:rsid w:val="00052BEA"/>
    <w:rPr>
      <w:color w:val="808080"/>
    </w:rPr>
  </w:style>
  <w:style w:type="paragraph" w:styleId="NoSpacing">
    <w:name w:val="No Spacing"/>
    <w:link w:val="NoSpacingChar"/>
    <w:uiPriority w:val="1"/>
    <w:qFormat/>
    <w:rsid w:val="00052BEA"/>
    <w:rPr>
      <w:rFonts w:ascii="PMingLiU" w:eastAsia="MS ??" w:hAnsi="PMingLiU" w:cs="Times New Roman"/>
      <w:sz w:val="22"/>
      <w:szCs w:val="22"/>
      <w:lang w:val="en-US"/>
    </w:rPr>
  </w:style>
  <w:style w:type="character" w:customStyle="1" w:styleId="NoSpacingChar">
    <w:name w:val="No Spacing Char"/>
    <w:basedOn w:val="DefaultParagraphFont"/>
    <w:link w:val="NoSpacing"/>
    <w:uiPriority w:val="1"/>
    <w:locked/>
    <w:rsid w:val="00052BEA"/>
    <w:rPr>
      <w:rFonts w:ascii="PMingLiU" w:eastAsia="MS ??" w:hAnsi="PMingLiU" w:cs="Times New Roman"/>
      <w:sz w:val="22"/>
      <w:szCs w:val="22"/>
      <w:lang w:val="en-US"/>
    </w:rPr>
  </w:style>
  <w:style w:type="paragraph" w:styleId="NormalWeb">
    <w:name w:val="Normal (Web)"/>
    <w:basedOn w:val="Normal"/>
    <w:uiPriority w:val="99"/>
    <w:rsid w:val="00052BEA"/>
    <w:pPr>
      <w:spacing w:before="100" w:beforeAutospacing="1" w:after="60"/>
    </w:pPr>
    <w:rPr>
      <w:rFonts w:ascii="Times New Roman" w:eastAsia="MS Mincho" w:hAnsi="Times New Roman" w:cs="Times New Roman"/>
      <w:color w:val="000000"/>
      <w:lang w:eastAsia="ja-JP"/>
    </w:rPr>
  </w:style>
  <w:style w:type="table" w:styleId="LightList">
    <w:name w:val="Light List"/>
    <w:basedOn w:val="TableNormal"/>
    <w:uiPriority w:val="61"/>
    <w:rsid w:val="00052BEA"/>
    <w:rPr>
      <w:rFonts w:eastAsiaTheme="minorEastAsia"/>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TableGrid">
    <w:name w:val="Table Grid"/>
    <w:basedOn w:val="TableNormal"/>
    <w:uiPriority w:val="59"/>
    <w:rsid w:val="00052BEA"/>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List-Accent6">
    <w:name w:val="Light List Accent 6"/>
    <w:basedOn w:val="TableNormal"/>
    <w:uiPriority w:val="61"/>
    <w:rsid w:val="00052BEA"/>
    <w:rPr>
      <w:rFonts w:eastAsiaTheme="minorEastAsia"/>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LightShading-Accent5">
    <w:name w:val="Light Shading Accent 5"/>
    <w:basedOn w:val="TableNormal"/>
    <w:uiPriority w:val="60"/>
    <w:rsid w:val="00052BEA"/>
    <w:rPr>
      <w:rFonts w:eastAsiaTheme="minorEastAsia"/>
      <w:color w:val="2E74B5" w:themeColor="accent5" w:themeShade="BF"/>
    </w:rPr>
    <w:tblPr>
      <w:tblStyleRowBandSize w:val="1"/>
      <w:tblStyleColBandSize w:val="1"/>
      <w:tblBorders>
        <w:top w:val="single" w:sz="8" w:space="0" w:color="5B9BD5" w:themeColor="accent5"/>
        <w:bottom w:val="single" w:sz="8" w:space="0" w:color="5B9BD5" w:themeColor="accent5"/>
      </w:tblBorders>
    </w:tblPr>
    <w:tblStylePr w:type="fir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la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left w:val="nil"/>
          <w:right w:val="nil"/>
          <w:insideH w:val="nil"/>
          <w:insideV w:val="nil"/>
        </w:tcBorders>
        <w:shd w:val="clear" w:color="auto" w:fill="D6E6F4" w:themeFill="accent5" w:themeFillTint="3F"/>
      </w:tcPr>
    </w:tblStylePr>
  </w:style>
  <w:style w:type="table" w:styleId="LightShading-Accent3">
    <w:name w:val="Light Shading Accent 3"/>
    <w:basedOn w:val="TableNormal"/>
    <w:uiPriority w:val="60"/>
    <w:rsid w:val="00052BEA"/>
    <w:rPr>
      <w:rFonts w:eastAsiaTheme="minorEastAsia"/>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LightList-Accent1">
    <w:name w:val="Light List Accent 1"/>
    <w:basedOn w:val="TableNormal"/>
    <w:uiPriority w:val="61"/>
    <w:rsid w:val="00052BEA"/>
    <w:rPr>
      <w:rFonts w:eastAsiaTheme="minorEastAsia"/>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styleId="MediumShading2-Accent1">
    <w:name w:val="Medium Shading 2 Accent 1"/>
    <w:basedOn w:val="TableNormal"/>
    <w:uiPriority w:val="64"/>
    <w:rsid w:val="00052BEA"/>
    <w:rPr>
      <w:rFonts w:eastAsiaTheme="minorEastAsia"/>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1"/>
      </w:tcPr>
    </w:tblStylePr>
    <w:tblStylePr w:type="lastCol">
      <w:rPr>
        <w:b/>
        <w:bCs/>
        <w:color w:val="FFFFFF" w:themeColor="background1"/>
      </w:rPr>
      <w:tblPr/>
      <w:tcPr>
        <w:tcBorders>
          <w:left w:val="nil"/>
          <w:right w:val="nil"/>
          <w:insideH w:val="nil"/>
          <w:insideV w:val="nil"/>
        </w:tcBorders>
        <w:shd w:val="clear" w:color="auto" w:fill="4472C4"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Shading-Accent6">
    <w:name w:val="Light Shading Accent 6"/>
    <w:basedOn w:val="TableNormal"/>
    <w:uiPriority w:val="60"/>
    <w:rsid w:val="00052BEA"/>
    <w:rPr>
      <w:rFonts w:eastAsiaTheme="minorEastAsia"/>
      <w:color w:val="538135" w:themeColor="accent6" w:themeShade="BF"/>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table" w:styleId="MediumShading2-Accent3">
    <w:name w:val="Medium Shading 2 Accent 3"/>
    <w:basedOn w:val="TableNormal"/>
    <w:uiPriority w:val="64"/>
    <w:rsid w:val="00052BEA"/>
    <w:rPr>
      <w:rFonts w:eastAsiaTheme="minorEastAsia"/>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DocumentMap">
    <w:name w:val="Document Map"/>
    <w:basedOn w:val="Normal"/>
    <w:link w:val="DocumentMapChar"/>
    <w:uiPriority w:val="99"/>
    <w:semiHidden/>
    <w:unhideWhenUsed/>
    <w:rsid w:val="00052BEA"/>
    <w:rPr>
      <w:rFonts w:ascii="Lucida Grande" w:hAnsi="Lucida Grande" w:cs="Lucida Grande"/>
    </w:rPr>
  </w:style>
  <w:style w:type="character" w:customStyle="1" w:styleId="DocumentMapChar">
    <w:name w:val="Document Map Char"/>
    <w:basedOn w:val="DefaultParagraphFont"/>
    <w:link w:val="DocumentMap"/>
    <w:uiPriority w:val="99"/>
    <w:semiHidden/>
    <w:rsid w:val="00052BEA"/>
    <w:rPr>
      <w:rFonts w:ascii="Lucida Grande" w:eastAsiaTheme="minorEastAsia" w:hAnsi="Lucida Grande" w:cs="Lucida Grande"/>
    </w:rPr>
  </w:style>
  <w:style w:type="paragraph" w:styleId="Index1">
    <w:name w:val="index 1"/>
    <w:basedOn w:val="Normal"/>
    <w:next w:val="Normal"/>
    <w:autoRedefine/>
    <w:uiPriority w:val="99"/>
    <w:unhideWhenUsed/>
    <w:rsid w:val="00052BEA"/>
    <w:pPr>
      <w:ind w:left="240" w:hanging="240"/>
    </w:pPr>
  </w:style>
  <w:style w:type="paragraph" w:styleId="Index2">
    <w:name w:val="index 2"/>
    <w:basedOn w:val="Normal"/>
    <w:next w:val="Normal"/>
    <w:autoRedefine/>
    <w:uiPriority w:val="99"/>
    <w:unhideWhenUsed/>
    <w:rsid w:val="00052BEA"/>
    <w:pPr>
      <w:ind w:left="480" w:hanging="240"/>
    </w:pPr>
  </w:style>
  <w:style w:type="paragraph" w:styleId="Index3">
    <w:name w:val="index 3"/>
    <w:basedOn w:val="Normal"/>
    <w:next w:val="Normal"/>
    <w:autoRedefine/>
    <w:uiPriority w:val="99"/>
    <w:unhideWhenUsed/>
    <w:rsid w:val="00052BEA"/>
    <w:pPr>
      <w:ind w:left="720" w:hanging="240"/>
    </w:pPr>
  </w:style>
  <w:style w:type="paragraph" w:styleId="Index4">
    <w:name w:val="index 4"/>
    <w:basedOn w:val="Normal"/>
    <w:next w:val="Normal"/>
    <w:autoRedefine/>
    <w:uiPriority w:val="99"/>
    <w:unhideWhenUsed/>
    <w:rsid w:val="00052BEA"/>
    <w:pPr>
      <w:ind w:left="960" w:hanging="240"/>
    </w:pPr>
  </w:style>
  <w:style w:type="paragraph" w:styleId="Index5">
    <w:name w:val="index 5"/>
    <w:basedOn w:val="Normal"/>
    <w:next w:val="Normal"/>
    <w:autoRedefine/>
    <w:uiPriority w:val="99"/>
    <w:unhideWhenUsed/>
    <w:rsid w:val="00052BEA"/>
    <w:pPr>
      <w:ind w:left="1200" w:hanging="240"/>
    </w:pPr>
  </w:style>
  <w:style w:type="paragraph" w:styleId="Index6">
    <w:name w:val="index 6"/>
    <w:basedOn w:val="Normal"/>
    <w:next w:val="Normal"/>
    <w:autoRedefine/>
    <w:uiPriority w:val="99"/>
    <w:unhideWhenUsed/>
    <w:rsid w:val="00052BEA"/>
    <w:pPr>
      <w:ind w:left="1440" w:hanging="240"/>
    </w:pPr>
  </w:style>
  <w:style w:type="paragraph" w:styleId="Index7">
    <w:name w:val="index 7"/>
    <w:basedOn w:val="Normal"/>
    <w:next w:val="Normal"/>
    <w:autoRedefine/>
    <w:uiPriority w:val="99"/>
    <w:unhideWhenUsed/>
    <w:rsid w:val="00052BEA"/>
    <w:pPr>
      <w:ind w:left="1680" w:hanging="240"/>
    </w:pPr>
  </w:style>
  <w:style w:type="paragraph" w:styleId="Index8">
    <w:name w:val="index 8"/>
    <w:basedOn w:val="Normal"/>
    <w:next w:val="Normal"/>
    <w:autoRedefine/>
    <w:uiPriority w:val="99"/>
    <w:unhideWhenUsed/>
    <w:rsid w:val="00052BEA"/>
    <w:pPr>
      <w:ind w:left="1920" w:hanging="240"/>
    </w:pPr>
  </w:style>
  <w:style w:type="paragraph" w:styleId="Index9">
    <w:name w:val="index 9"/>
    <w:basedOn w:val="Normal"/>
    <w:next w:val="Normal"/>
    <w:autoRedefine/>
    <w:uiPriority w:val="99"/>
    <w:unhideWhenUsed/>
    <w:rsid w:val="00052BEA"/>
    <w:pPr>
      <w:ind w:left="2160" w:hanging="240"/>
    </w:pPr>
  </w:style>
  <w:style w:type="paragraph" w:styleId="IndexHeading">
    <w:name w:val="index heading"/>
    <w:basedOn w:val="Normal"/>
    <w:next w:val="Index1"/>
    <w:uiPriority w:val="99"/>
    <w:unhideWhenUsed/>
    <w:rsid w:val="00052BEA"/>
  </w:style>
  <w:style w:type="table" w:styleId="MediumShading2-Accent4">
    <w:name w:val="Medium Shading 2 Accent 4"/>
    <w:basedOn w:val="TableNormal"/>
    <w:uiPriority w:val="64"/>
    <w:rsid w:val="00052BEA"/>
    <w:rPr>
      <w:rFonts w:eastAsiaTheme="minorEastAsia"/>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IntenseQuote">
    <w:name w:val="Intense Quote"/>
    <w:basedOn w:val="Normal"/>
    <w:next w:val="Normal"/>
    <w:link w:val="IntenseQuoteChar"/>
    <w:uiPriority w:val="30"/>
    <w:qFormat/>
    <w:rsid w:val="00052BEA"/>
    <w:pPr>
      <w:pBdr>
        <w:bottom w:val="single" w:sz="4" w:space="4" w:color="4472C4" w:themeColor="accent1"/>
      </w:pBdr>
      <w:spacing w:before="200" w:after="280"/>
      <w:ind w:right="936"/>
    </w:pPr>
    <w:rPr>
      <w:bCs/>
      <w:i/>
      <w:iCs/>
      <w:color w:val="4472C4" w:themeColor="accent1"/>
    </w:rPr>
  </w:style>
  <w:style w:type="character" w:customStyle="1" w:styleId="IntenseQuoteChar">
    <w:name w:val="Intense Quote Char"/>
    <w:basedOn w:val="DefaultParagraphFont"/>
    <w:link w:val="IntenseQuote"/>
    <w:uiPriority w:val="30"/>
    <w:rsid w:val="00052BEA"/>
    <w:rPr>
      <w:rFonts w:ascii="Arial" w:eastAsiaTheme="minorEastAsia" w:hAnsi="Arial"/>
      <w:bCs/>
      <w:i/>
      <w:iCs/>
      <w:color w:val="4472C4" w:themeColor="accent1"/>
    </w:rPr>
  </w:style>
  <w:style w:type="character" w:styleId="Strong">
    <w:name w:val="Strong"/>
    <w:basedOn w:val="DefaultParagraphFont"/>
    <w:uiPriority w:val="22"/>
    <w:qFormat/>
    <w:rsid w:val="00052BEA"/>
    <w:rPr>
      <w:b/>
      <w:bCs/>
    </w:rPr>
  </w:style>
  <w:style w:type="character" w:styleId="IntenseEmphasis">
    <w:name w:val="Intense Emphasis"/>
    <w:basedOn w:val="DefaultParagraphFont"/>
    <w:uiPriority w:val="21"/>
    <w:qFormat/>
    <w:rsid w:val="00052BEA"/>
    <w:rPr>
      <w:b/>
      <w:bCs/>
      <w:i/>
      <w:iCs/>
      <w:color w:val="4472C4" w:themeColor="accent1"/>
    </w:rPr>
  </w:style>
  <w:style w:type="character" w:styleId="Emphasis">
    <w:name w:val="Emphasis"/>
    <w:basedOn w:val="DefaultParagraphFont"/>
    <w:uiPriority w:val="20"/>
    <w:qFormat/>
    <w:rsid w:val="00052BEA"/>
    <w:rPr>
      <w:i/>
      <w:iCs/>
    </w:rPr>
  </w:style>
  <w:style w:type="paragraph" w:styleId="Revision">
    <w:name w:val="Revision"/>
    <w:hidden/>
    <w:uiPriority w:val="99"/>
    <w:semiHidden/>
    <w:rsid w:val="00052BEA"/>
    <w:rPr>
      <w:rFonts w:eastAsiaTheme="minorEastAsia"/>
    </w:rPr>
  </w:style>
  <w:style w:type="paragraph" w:styleId="Header">
    <w:name w:val="header"/>
    <w:basedOn w:val="Normal"/>
    <w:link w:val="HeaderChar"/>
    <w:uiPriority w:val="99"/>
    <w:unhideWhenUsed/>
    <w:rsid w:val="00052BEA"/>
    <w:pPr>
      <w:tabs>
        <w:tab w:val="center" w:pos="4320"/>
        <w:tab w:val="right" w:pos="8640"/>
      </w:tabs>
    </w:pPr>
  </w:style>
  <w:style w:type="character" w:customStyle="1" w:styleId="HeaderChar">
    <w:name w:val="Header Char"/>
    <w:basedOn w:val="DefaultParagraphFont"/>
    <w:link w:val="Header"/>
    <w:uiPriority w:val="99"/>
    <w:rsid w:val="00052BEA"/>
    <w:rPr>
      <w:rFonts w:ascii="Arial" w:eastAsiaTheme="minorEastAsia" w:hAnsi="Arial"/>
    </w:rPr>
  </w:style>
  <w:style w:type="paragraph" w:styleId="Footer">
    <w:name w:val="footer"/>
    <w:basedOn w:val="Normal"/>
    <w:link w:val="FooterChar"/>
    <w:uiPriority w:val="99"/>
    <w:unhideWhenUsed/>
    <w:rsid w:val="00052BEA"/>
    <w:pPr>
      <w:tabs>
        <w:tab w:val="center" w:pos="4320"/>
        <w:tab w:val="right" w:pos="8640"/>
      </w:tabs>
    </w:pPr>
  </w:style>
  <w:style w:type="character" w:customStyle="1" w:styleId="FooterChar">
    <w:name w:val="Footer Char"/>
    <w:basedOn w:val="DefaultParagraphFont"/>
    <w:link w:val="Footer"/>
    <w:uiPriority w:val="99"/>
    <w:rsid w:val="00052BEA"/>
    <w:rPr>
      <w:rFonts w:ascii="Arial" w:eastAsiaTheme="minorEastAsia" w:hAnsi="Arial"/>
    </w:rPr>
  </w:style>
  <w:style w:type="character" w:styleId="FollowedHyperlink">
    <w:name w:val="FollowedHyperlink"/>
    <w:basedOn w:val="DefaultParagraphFont"/>
    <w:uiPriority w:val="99"/>
    <w:semiHidden/>
    <w:unhideWhenUsed/>
    <w:rsid w:val="00052BEA"/>
    <w:rPr>
      <w:color w:val="954F72" w:themeColor="followedHyperlink"/>
      <w:u w:val="single"/>
    </w:rPr>
  </w:style>
  <w:style w:type="character" w:customStyle="1" w:styleId="UnresolvedMention1">
    <w:name w:val="Unresolved Mention1"/>
    <w:basedOn w:val="DefaultParagraphFont"/>
    <w:uiPriority w:val="99"/>
    <w:semiHidden/>
    <w:unhideWhenUsed/>
    <w:rsid w:val="00052BEA"/>
    <w:rPr>
      <w:color w:val="605E5C"/>
      <w:shd w:val="clear" w:color="auto" w:fill="E1DFDD"/>
    </w:rPr>
  </w:style>
  <w:style w:type="character" w:customStyle="1" w:styleId="UnresolvedMention2">
    <w:name w:val="Unresolved Mention2"/>
    <w:basedOn w:val="DefaultParagraphFont"/>
    <w:uiPriority w:val="99"/>
    <w:semiHidden/>
    <w:unhideWhenUsed/>
    <w:rsid w:val="00052BEA"/>
    <w:rPr>
      <w:color w:val="605E5C"/>
      <w:shd w:val="clear" w:color="auto" w:fill="E1DFDD"/>
    </w:rPr>
  </w:style>
  <w:style w:type="character" w:styleId="IntenseReference">
    <w:name w:val="Intense Reference"/>
    <w:basedOn w:val="DefaultParagraphFont"/>
    <w:uiPriority w:val="32"/>
    <w:qFormat/>
    <w:rsid w:val="00052BEA"/>
    <w:rPr>
      <w:b/>
      <w:bCs/>
      <w:smallCaps/>
      <w:color w:val="4472C4" w:themeColor="accent1"/>
      <w:spacing w:val="5"/>
    </w:rPr>
  </w:style>
  <w:style w:type="table" w:customStyle="1" w:styleId="GridTable7Colourful1">
    <w:name w:val="Grid Table 7 Colourful1"/>
    <w:basedOn w:val="TableNormal"/>
    <w:uiPriority w:val="52"/>
    <w:rsid w:val="00052BEA"/>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2-Accent2">
    <w:name w:val="Grid Table 2 Accent 2"/>
    <w:basedOn w:val="TableNormal"/>
    <w:uiPriority w:val="47"/>
    <w:rsid w:val="00052BEA"/>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2-Accent61">
    <w:name w:val="Grid Table 2 - Accent 61"/>
    <w:basedOn w:val="TableNormal"/>
    <w:uiPriority w:val="47"/>
    <w:rsid w:val="006416A2"/>
    <w:rPr>
      <w:rFonts w:eastAsiaTheme="minorEastAsia"/>
    </w:r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1Light1">
    <w:name w:val="Grid Table 1 Light1"/>
    <w:basedOn w:val="TableNormal"/>
    <w:uiPriority w:val="46"/>
    <w:rsid w:val="006416A2"/>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Light1">
    <w:name w:val="Table Grid Light1"/>
    <w:basedOn w:val="TableNormal"/>
    <w:uiPriority w:val="40"/>
    <w:rsid w:val="006416A2"/>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3-Accent41">
    <w:name w:val="Grid Table 3 - Accent 41"/>
    <w:basedOn w:val="TableNormal"/>
    <w:uiPriority w:val="48"/>
    <w:rsid w:val="006416A2"/>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GridTable1Light-Accent61">
    <w:name w:val="Grid Table 1 Light - Accent 61"/>
    <w:basedOn w:val="TableNormal"/>
    <w:uiPriority w:val="46"/>
    <w:rsid w:val="006416A2"/>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numbering" w:customStyle="1" w:styleId="NoList4">
    <w:name w:val="No List4"/>
    <w:next w:val="NoList"/>
    <w:uiPriority w:val="99"/>
    <w:semiHidden/>
    <w:unhideWhenUsed/>
    <w:rsid w:val="009968E0"/>
  </w:style>
  <w:style w:type="table" w:customStyle="1" w:styleId="GridTable2-Accent611">
    <w:name w:val="Grid Table 2 - Accent 611"/>
    <w:basedOn w:val="TableNormal"/>
    <w:next w:val="GridTable2-Accent6"/>
    <w:uiPriority w:val="47"/>
    <w:rsid w:val="009968E0"/>
    <w:rPr>
      <w:rFonts w:eastAsia="MS Mincho"/>
    </w:rPr>
    <w:tblPr>
      <w:tblStyleRowBandSize w:val="1"/>
      <w:tblStyleColBandSize w:val="1"/>
      <w:tblBorders>
        <w:top w:val="single" w:sz="2" w:space="0" w:color="FABF8F"/>
        <w:bottom w:val="single" w:sz="2" w:space="0" w:color="FABF8F"/>
        <w:insideH w:val="single" w:sz="2" w:space="0" w:color="FABF8F"/>
        <w:insideV w:val="single" w:sz="2" w:space="0" w:color="FABF8F"/>
      </w:tblBorders>
    </w:tblPr>
    <w:tblStylePr w:type="firstRow">
      <w:rPr>
        <w:b/>
        <w:bCs/>
      </w:rPr>
      <w:tblPr/>
      <w:tcPr>
        <w:tcBorders>
          <w:top w:val="nil"/>
          <w:bottom w:val="single" w:sz="12" w:space="0" w:color="FABF8F"/>
          <w:insideH w:val="nil"/>
          <w:insideV w:val="nil"/>
        </w:tcBorders>
        <w:shd w:val="clear" w:color="auto" w:fill="FFFFFF"/>
      </w:tcPr>
    </w:tblStylePr>
    <w:tblStylePr w:type="lastRow">
      <w:rPr>
        <w:b/>
        <w:bCs/>
      </w:rPr>
      <w:tblPr/>
      <w:tcPr>
        <w:tcBorders>
          <w:top w:val="double" w:sz="2" w:space="0" w:color="FABF8F"/>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styleId="GridTable2-Accent6">
    <w:name w:val="Grid Table 2 Accent 6"/>
    <w:basedOn w:val="TableNormal"/>
    <w:uiPriority w:val="47"/>
    <w:rsid w:val="009968E0"/>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Heading11">
    <w:name w:val="Heading 11"/>
    <w:basedOn w:val="Normal"/>
    <w:next w:val="Normal"/>
    <w:uiPriority w:val="9"/>
    <w:qFormat/>
    <w:rsid w:val="009968E0"/>
    <w:pPr>
      <w:keepNext/>
      <w:keepLines/>
      <w:spacing w:before="480"/>
      <w:outlineLvl w:val="0"/>
    </w:pPr>
    <w:rPr>
      <w:rFonts w:eastAsia="MS Gothic" w:cs="Times New Roman"/>
      <w:b/>
      <w:bCs/>
      <w:color w:val="345A8A"/>
      <w:sz w:val="32"/>
      <w:szCs w:val="32"/>
    </w:rPr>
  </w:style>
  <w:style w:type="paragraph" w:customStyle="1" w:styleId="Heading21">
    <w:name w:val="Heading 21"/>
    <w:basedOn w:val="Normal"/>
    <w:next w:val="Normal"/>
    <w:uiPriority w:val="9"/>
    <w:unhideWhenUsed/>
    <w:qFormat/>
    <w:rsid w:val="009968E0"/>
    <w:pPr>
      <w:keepNext/>
      <w:keepLines/>
      <w:spacing w:before="200"/>
      <w:outlineLvl w:val="1"/>
    </w:pPr>
    <w:rPr>
      <w:rFonts w:eastAsia="MS Gothic" w:cs="Times New Roman"/>
      <w:b/>
      <w:bCs/>
      <w:color w:val="4F81BD"/>
      <w:sz w:val="26"/>
      <w:szCs w:val="26"/>
    </w:rPr>
  </w:style>
  <w:style w:type="paragraph" w:customStyle="1" w:styleId="Heading31">
    <w:name w:val="Heading 31"/>
    <w:basedOn w:val="Normal"/>
    <w:next w:val="Normal"/>
    <w:uiPriority w:val="9"/>
    <w:unhideWhenUsed/>
    <w:qFormat/>
    <w:rsid w:val="009968E0"/>
    <w:pPr>
      <w:keepNext/>
      <w:keepLines/>
      <w:spacing w:before="200"/>
      <w:outlineLvl w:val="2"/>
    </w:pPr>
    <w:rPr>
      <w:rFonts w:eastAsia="MS Gothic" w:cs="Times New Roman"/>
      <w:b/>
      <w:bCs/>
      <w:color w:val="4F81BD"/>
    </w:rPr>
  </w:style>
  <w:style w:type="paragraph" w:customStyle="1" w:styleId="Heading41">
    <w:name w:val="Heading 41"/>
    <w:basedOn w:val="Normal"/>
    <w:next w:val="Normal"/>
    <w:uiPriority w:val="9"/>
    <w:unhideWhenUsed/>
    <w:qFormat/>
    <w:rsid w:val="009968E0"/>
    <w:pPr>
      <w:keepNext/>
      <w:keepLines/>
      <w:spacing w:before="200"/>
      <w:outlineLvl w:val="3"/>
    </w:pPr>
    <w:rPr>
      <w:rFonts w:eastAsia="MS Gothic" w:cs="Times New Roman"/>
      <w:b/>
      <w:bCs/>
      <w:i/>
      <w:iCs/>
      <w:color w:val="4F81BD"/>
    </w:rPr>
  </w:style>
  <w:style w:type="paragraph" w:customStyle="1" w:styleId="Heading51">
    <w:name w:val="Heading 51"/>
    <w:basedOn w:val="Normal"/>
    <w:next w:val="Normal"/>
    <w:uiPriority w:val="9"/>
    <w:unhideWhenUsed/>
    <w:qFormat/>
    <w:rsid w:val="009968E0"/>
    <w:pPr>
      <w:keepNext/>
      <w:keepLines/>
      <w:spacing w:before="200" w:after="120"/>
      <w:outlineLvl w:val="4"/>
    </w:pPr>
    <w:rPr>
      <w:rFonts w:eastAsia="MS Gothic" w:cs="Times New Roman"/>
      <w:color w:val="243F60"/>
    </w:rPr>
  </w:style>
  <w:style w:type="paragraph" w:customStyle="1" w:styleId="Heading61">
    <w:name w:val="Heading 61"/>
    <w:basedOn w:val="Normal"/>
    <w:next w:val="Normal"/>
    <w:uiPriority w:val="9"/>
    <w:unhideWhenUsed/>
    <w:qFormat/>
    <w:rsid w:val="009968E0"/>
    <w:pPr>
      <w:keepNext/>
      <w:keepLines/>
      <w:spacing w:before="200"/>
      <w:outlineLvl w:val="5"/>
    </w:pPr>
    <w:rPr>
      <w:rFonts w:eastAsia="MS Gothic" w:cs="Times New Roman"/>
      <w:i/>
      <w:iCs/>
      <w:color w:val="243F60"/>
    </w:rPr>
  </w:style>
  <w:style w:type="paragraph" w:customStyle="1" w:styleId="Heading71">
    <w:name w:val="Heading 71"/>
    <w:basedOn w:val="Normal"/>
    <w:next w:val="Normal"/>
    <w:uiPriority w:val="9"/>
    <w:unhideWhenUsed/>
    <w:qFormat/>
    <w:rsid w:val="009968E0"/>
    <w:pPr>
      <w:keepNext/>
      <w:keepLines/>
      <w:spacing w:before="200"/>
      <w:outlineLvl w:val="6"/>
    </w:pPr>
    <w:rPr>
      <w:rFonts w:eastAsia="MS Gothic" w:cs="Times New Roman"/>
      <w:i/>
      <w:iCs/>
      <w:color w:val="404040"/>
    </w:rPr>
  </w:style>
  <w:style w:type="paragraph" w:customStyle="1" w:styleId="Heading81">
    <w:name w:val="Heading 81"/>
    <w:basedOn w:val="Normal"/>
    <w:next w:val="Normal"/>
    <w:uiPriority w:val="9"/>
    <w:semiHidden/>
    <w:unhideWhenUsed/>
    <w:qFormat/>
    <w:rsid w:val="009968E0"/>
    <w:pPr>
      <w:keepNext/>
      <w:keepLines/>
      <w:spacing w:before="40"/>
      <w:outlineLvl w:val="7"/>
    </w:pPr>
    <w:rPr>
      <w:rFonts w:eastAsia="MS Gothic" w:cs="Times New Roman"/>
      <w:color w:val="272727"/>
      <w:sz w:val="21"/>
      <w:szCs w:val="21"/>
    </w:rPr>
  </w:style>
  <w:style w:type="numbering" w:customStyle="1" w:styleId="NoList11">
    <w:name w:val="No List11"/>
    <w:next w:val="NoList"/>
    <w:uiPriority w:val="99"/>
    <w:semiHidden/>
    <w:unhideWhenUsed/>
    <w:rsid w:val="009968E0"/>
  </w:style>
  <w:style w:type="paragraph" w:customStyle="1" w:styleId="TOCHeading1">
    <w:name w:val="TOC Heading1"/>
    <w:basedOn w:val="Heading1"/>
    <w:next w:val="Normal"/>
    <w:uiPriority w:val="39"/>
    <w:unhideWhenUsed/>
    <w:qFormat/>
    <w:rsid w:val="009968E0"/>
    <w:pPr>
      <w:spacing w:before="240"/>
    </w:pPr>
    <w:rPr>
      <w:rFonts w:eastAsia="MS Gothic" w:cs="Times New Roman"/>
      <w:color w:val="345A8A"/>
    </w:rPr>
  </w:style>
  <w:style w:type="paragraph" w:customStyle="1" w:styleId="Title1">
    <w:name w:val="Title1"/>
    <w:basedOn w:val="Normal"/>
    <w:next w:val="Normal"/>
    <w:uiPriority w:val="10"/>
    <w:qFormat/>
    <w:rsid w:val="009968E0"/>
    <w:pPr>
      <w:pBdr>
        <w:bottom w:val="single" w:sz="8" w:space="4" w:color="4F81BD"/>
      </w:pBdr>
      <w:spacing w:after="300"/>
      <w:contextualSpacing/>
    </w:pPr>
    <w:rPr>
      <w:rFonts w:ascii="Calibri" w:eastAsia="MS Gothic" w:hAnsi="Calibri" w:cs="Times New Roman"/>
      <w:color w:val="17365D"/>
      <w:spacing w:val="5"/>
      <w:kern w:val="28"/>
      <w:sz w:val="52"/>
      <w:szCs w:val="52"/>
    </w:rPr>
  </w:style>
  <w:style w:type="paragraph" w:customStyle="1" w:styleId="ListParagraph1">
    <w:name w:val="List Paragraph1"/>
    <w:basedOn w:val="Normal"/>
    <w:next w:val="ListParagraph"/>
    <w:uiPriority w:val="34"/>
    <w:qFormat/>
    <w:rsid w:val="009968E0"/>
    <w:pPr>
      <w:spacing w:after="200" w:line="276" w:lineRule="auto"/>
      <w:ind w:left="720"/>
      <w:contextualSpacing/>
    </w:pPr>
    <w:rPr>
      <w:rFonts w:eastAsiaTheme="minorHAnsi"/>
      <w:sz w:val="22"/>
      <w:szCs w:val="22"/>
    </w:rPr>
  </w:style>
  <w:style w:type="table" w:customStyle="1" w:styleId="LightList1">
    <w:name w:val="Light List1"/>
    <w:basedOn w:val="TableNormal"/>
    <w:next w:val="LightList"/>
    <w:uiPriority w:val="61"/>
    <w:rsid w:val="009968E0"/>
    <w:rPr>
      <w:rFonts w:eastAsia="MS Minch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
    <w:name w:val="Table Grid1"/>
    <w:basedOn w:val="TableNormal"/>
    <w:next w:val="TableGrid"/>
    <w:uiPriority w:val="59"/>
    <w:rsid w:val="009968E0"/>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61">
    <w:name w:val="Light List - Accent 61"/>
    <w:basedOn w:val="TableNormal"/>
    <w:next w:val="LightList-Accent6"/>
    <w:uiPriority w:val="61"/>
    <w:rsid w:val="009968E0"/>
    <w:rPr>
      <w:rFonts w:eastAsia="MS Mincho"/>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LightShading-Accent51">
    <w:name w:val="Light Shading - Accent 51"/>
    <w:basedOn w:val="TableNormal"/>
    <w:next w:val="LightShading-Accent5"/>
    <w:uiPriority w:val="60"/>
    <w:rsid w:val="009968E0"/>
    <w:rPr>
      <w:rFonts w:eastAsia="MS Mincho"/>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Shading-Accent31">
    <w:name w:val="Light Shading - Accent 31"/>
    <w:basedOn w:val="TableNormal"/>
    <w:next w:val="LightShading-Accent3"/>
    <w:uiPriority w:val="60"/>
    <w:rsid w:val="009968E0"/>
    <w:rPr>
      <w:rFonts w:eastAsia="MS Mincho"/>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List-Accent11">
    <w:name w:val="Light List - Accent 11"/>
    <w:basedOn w:val="TableNormal"/>
    <w:next w:val="LightList-Accent1"/>
    <w:uiPriority w:val="61"/>
    <w:rsid w:val="009968E0"/>
    <w:rPr>
      <w:rFonts w:eastAsia="MS Minch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Shading2-Accent11">
    <w:name w:val="Medium Shading 2 - Accent 11"/>
    <w:basedOn w:val="TableNormal"/>
    <w:next w:val="MediumShading2-Accent1"/>
    <w:uiPriority w:val="64"/>
    <w:rsid w:val="009968E0"/>
    <w:rPr>
      <w:rFonts w:eastAsia="MS Mincho"/>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Accent61">
    <w:name w:val="Light Shading - Accent 61"/>
    <w:basedOn w:val="TableNormal"/>
    <w:next w:val="LightShading-Accent6"/>
    <w:uiPriority w:val="60"/>
    <w:rsid w:val="009968E0"/>
    <w:rPr>
      <w:rFonts w:eastAsia="MS Mincho"/>
      <w:color w:val="E36C0A"/>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MediumShading2-Accent31">
    <w:name w:val="Medium Shading 2 - Accent 31"/>
    <w:basedOn w:val="TableNormal"/>
    <w:next w:val="MediumShading2-Accent3"/>
    <w:uiPriority w:val="64"/>
    <w:rsid w:val="009968E0"/>
    <w:rPr>
      <w:rFonts w:eastAsia="MS Mincho"/>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customStyle="1" w:styleId="DocumentMap1">
    <w:name w:val="Document Map1"/>
    <w:basedOn w:val="Normal"/>
    <w:next w:val="DocumentMap"/>
    <w:uiPriority w:val="99"/>
    <w:semiHidden/>
    <w:unhideWhenUsed/>
    <w:rsid w:val="009968E0"/>
    <w:rPr>
      <w:rFonts w:ascii="Lucida Grande" w:eastAsiaTheme="minorHAnsi" w:hAnsi="Lucida Grande" w:cs="Lucida Grande"/>
    </w:rPr>
  </w:style>
  <w:style w:type="paragraph" w:customStyle="1" w:styleId="Index11">
    <w:name w:val="Index 11"/>
    <w:basedOn w:val="Normal"/>
    <w:next w:val="Normal"/>
    <w:autoRedefine/>
    <w:uiPriority w:val="99"/>
    <w:unhideWhenUsed/>
    <w:rsid w:val="009968E0"/>
    <w:pPr>
      <w:ind w:left="240" w:hanging="240"/>
    </w:pPr>
    <w:rPr>
      <w:rFonts w:eastAsia="MS Mincho"/>
    </w:rPr>
  </w:style>
  <w:style w:type="paragraph" w:customStyle="1" w:styleId="Index21">
    <w:name w:val="Index 21"/>
    <w:basedOn w:val="Normal"/>
    <w:next w:val="Normal"/>
    <w:autoRedefine/>
    <w:uiPriority w:val="99"/>
    <w:unhideWhenUsed/>
    <w:rsid w:val="009968E0"/>
    <w:pPr>
      <w:ind w:left="480" w:hanging="240"/>
    </w:pPr>
    <w:rPr>
      <w:rFonts w:eastAsia="MS Mincho"/>
    </w:rPr>
  </w:style>
  <w:style w:type="paragraph" w:customStyle="1" w:styleId="Index31">
    <w:name w:val="Index 31"/>
    <w:basedOn w:val="Normal"/>
    <w:next w:val="Normal"/>
    <w:autoRedefine/>
    <w:uiPriority w:val="99"/>
    <w:unhideWhenUsed/>
    <w:rsid w:val="009968E0"/>
    <w:pPr>
      <w:ind w:left="720" w:hanging="240"/>
    </w:pPr>
    <w:rPr>
      <w:rFonts w:eastAsia="MS Mincho"/>
    </w:rPr>
  </w:style>
  <w:style w:type="paragraph" w:customStyle="1" w:styleId="Index41">
    <w:name w:val="Index 41"/>
    <w:basedOn w:val="Normal"/>
    <w:next w:val="Normal"/>
    <w:autoRedefine/>
    <w:uiPriority w:val="99"/>
    <w:unhideWhenUsed/>
    <w:rsid w:val="009968E0"/>
    <w:pPr>
      <w:ind w:left="960" w:hanging="240"/>
    </w:pPr>
    <w:rPr>
      <w:rFonts w:eastAsia="MS Mincho"/>
    </w:rPr>
  </w:style>
  <w:style w:type="paragraph" w:customStyle="1" w:styleId="Index51">
    <w:name w:val="Index 51"/>
    <w:basedOn w:val="Normal"/>
    <w:next w:val="Normal"/>
    <w:autoRedefine/>
    <w:uiPriority w:val="99"/>
    <w:unhideWhenUsed/>
    <w:rsid w:val="009968E0"/>
    <w:pPr>
      <w:ind w:left="1200" w:hanging="240"/>
    </w:pPr>
    <w:rPr>
      <w:rFonts w:eastAsia="MS Mincho"/>
    </w:rPr>
  </w:style>
  <w:style w:type="paragraph" w:customStyle="1" w:styleId="Index61">
    <w:name w:val="Index 61"/>
    <w:basedOn w:val="Normal"/>
    <w:next w:val="Normal"/>
    <w:autoRedefine/>
    <w:uiPriority w:val="99"/>
    <w:unhideWhenUsed/>
    <w:rsid w:val="009968E0"/>
    <w:pPr>
      <w:ind w:left="1440" w:hanging="240"/>
    </w:pPr>
    <w:rPr>
      <w:rFonts w:eastAsia="MS Mincho"/>
    </w:rPr>
  </w:style>
  <w:style w:type="paragraph" w:customStyle="1" w:styleId="Index71">
    <w:name w:val="Index 71"/>
    <w:basedOn w:val="Normal"/>
    <w:next w:val="Normal"/>
    <w:autoRedefine/>
    <w:uiPriority w:val="99"/>
    <w:unhideWhenUsed/>
    <w:rsid w:val="009968E0"/>
    <w:pPr>
      <w:ind w:left="1680" w:hanging="240"/>
    </w:pPr>
    <w:rPr>
      <w:rFonts w:eastAsia="MS Mincho"/>
    </w:rPr>
  </w:style>
  <w:style w:type="paragraph" w:customStyle="1" w:styleId="Index81">
    <w:name w:val="Index 81"/>
    <w:basedOn w:val="Normal"/>
    <w:next w:val="Normal"/>
    <w:autoRedefine/>
    <w:uiPriority w:val="99"/>
    <w:unhideWhenUsed/>
    <w:rsid w:val="009968E0"/>
    <w:pPr>
      <w:ind w:left="1920" w:hanging="240"/>
    </w:pPr>
    <w:rPr>
      <w:rFonts w:eastAsia="MS Mincho"/>
    </w:rPr>
  </w:style>
  <w:style w:type="paragraph" w:customStyle="1" w:styleId="Index91">
    <w:name w:val="Index 91"/>
    <w:basedOn w:val="Normal"/>
    <w:next w:val="Normal"/>
    <w:autoRedefine/>
    <w:uiPriority w:val="99"/>
    <w:unhideWhenUsed/>
    <w:rsid w:val="009968E0"/>
    <w:pPr>
      <w:ind w:left="2160" w:hanging="240"/>
    </w:pPr>
    <w:rPr>
      <w:rFonts w:eastAsia="MS Mincho"/>
    </w:rPr>
  </w:style>
  <w:style w:type="paragraph" w:customStyle="1" w:styleId="IndexHeading1">
    <w:name w:val="Index Heading1"/>
    <w:basedOn w:val="Normal"/>
    <w:next w:val="Index1"/>
    <w:uiPriority w:val="99"/>
    <w:unhideWhenUsed/>
    <w:rsid w:val="009968E0"/>
    <w:rPr>
      <w:rFonts w:eastAsia="MS Mincho"/>
    </w:rPr>
  </w:style>
  <w:style w:type="paragraph" w:customStyle="1" w:styleId="Quote1">
    <w:name w:val="Quote1"/>
    <w:basedOn w:val="Normal"/>
    <w:next w:val="Normal"/>
    <w:uiPriority w:val="29"/>
    <w:qFormat/>
    <w:rsid w:val="009968E0"/>
    <w:rPr>
      <w:rFonts w:eastAsia="MS Mincho"/>
      <w:i/>
      <w:iCs/>
      <w:color w:val="1F497D"/>
    </w:rPr>
  </w:style>
  <w:style w:type="paragraph" w:customStyle="1" w:styleId="CommentText1">
    <w:name w:val="Comment Text1"/>
    <w:basedOn w:val="Normal"/>
    <w:next w:val="CommentText"/>
    <w:uiPriority w:val="99"/>
    <w:semiHidden/>
    <w:unhideWhenUsed/>
    <w:rsid w:val="009968E0"/>
    <w:rPr>
      <w:rFonts w:asciiTheme="minorHAnsi" w:eastAsiaTheme="minorHAnsi" w:hAnsiTheme="minorHAnsi"/>
    </w:rPr>
  </w:style>
  <w:style w:type="character" w:customStyle="1" w:styleId="CommentTextChar1">
    <w:name w:val="Comment Text Char1"/>
    <w:basedOn w:val="DefaultParagraphFont"/>
    <w:uiPriority w:val="99"/>
    <w:semiHidden/>
    <w:rsid w:val="009968E0"/>
    <w:rPr>
      <w:sz w:val="20"/>
      <w:szCs w:val="20"/>
    </w:rPr>
  </w:style>
  <w:style w:type="table" w:customStyle="1" w:styleId="MediumShading2-Accent41">
    <w:name w:val="Medium Shading 2 - Accent 41"/>
    <w:basedOn w:val="TableNormal"/>
    <w:next w:val="MediumShading2-Accent4"/>
    <w:uiPriority w:val="64"/>
    <w:rsid w:val="009968E0"/>
    <w:rPr>
      <w:rFonts w:eastAsia="MS Mincho"/>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Hyperlink1">
    <w:name w:val="Hyperlink1"/>
    <w:basedOn w:val="DefaultParagraphFont"/>
    <w:uiPriority w:val="99"/>
    <w:unhideWhenUsed/>
    <w:rsid w:val="009968E0"/>
    <w:rPr>
      <w:color w:val="0000FF"/>
      <w:u w:val="single"/>
    </w:rPr>
  </w:style>
  <w:style w:type="paragraph" w:customStyle="1" w:styleId="IntenseQuote1">
    <w:name w:val="Intense Quote1"/>
    <w:basedOn w:val="Normal"/>
    <w:next w:val="Normal"/>
    <w:uiPriority w:val="30"/>
    <w:qFormat/>
    <w:rsid w:val="009968E0"/>
    <w:pPr>
      <w:pBdr>
        <w:bottom w:val="single" w:sz="4" w:space="4" w:color="4F81BD"/>
      </w:pBdr>
      <w:spacing w:before="200" w:after="280"/>
      <w:ind w:right="936"/>
    </w:pPr>
    <w:rPr>
      <w:rFonts w:eastAsia="MS Mincho"/>
      <w:bCs/>
      <w:i/>
      <w:iCs/>
      <w:color w:val="4F81BD"/>
    </w:rPr>
  </w:style>
  <w:style w:type="character" w:customStyle="1" w:styleId="IntenseEmphasis1">
    <w:name w:val="Intense Emphasis1"/>
    <w:basedOn w:val="DefaultParagraphFont"/>
    <w:uiPriority w:val="21"/>
    <w:qFormat/>
    <w:rsid w:val="009968E0"/>
    <w:rPr>
      <w:b/>
      <w:bCs/>
      <w:i/>
      <w:iCs/>
      <w:color w:val="4F81BD"/>
    </w:rPr>
  </w:style>
  <w:style w:type="character" w:customStyle="1" w:styleId="SubtleEmphasis1">
    <w:name w:val="Subtle Emphasis1"/>
    <w:basedOn w:val="DefaultParagraphFont"/>
    <w:autoRedefine/>
    <w:uiPriority w:val="19"/>
    <w:qFormat/>
    <w:rsid w:val="009968E0"/>
    <w:rPr>
      <w:iCs/>
      <w:color w:val="808080"/>
      <w:sz w:val="21"/>
    </w:rPr>
  </w:style>
  <w:style w:type="paragraph" w:customStyle="1" w:styleId="Header1">
    <w:name w:val="Header1"/>
    <w:basedOn w:val="Normal"/>
    <w:next w:val="Header"/>
    <w:uiPriority w:val="99"/>
    <w:unhideWhenUsed/>
    <w:rsid w:val="009968E0"/>
    <w:pPr>
      <w:tabs>
        <w:tab w:val="center" w:pos="4320"/>
        <w:tab w:val="right" w:pos="8640"/>
      </w:tabs>
    </w:pPr>
    <w:rPr>
      <w:rFonts w:asciiTheme="minorHAnsi" w:eastAsiaTheme="minorHAnsi" w:hAnsiTheme="minorHAnsi"/>
    </w:rPr>
  </w:style>
  <w:style w:type="paragraph" w:customStyle="1" w:styleId="Footer1">
    <w:name w:val="Footer1"/>
    <w:basedOn w:val="Normal"/>
    <w:next w:val="Footer"/>
    <w:uiPriority w:val="99"/>
    <w:unhideWhenUsed/>
    <w:rsid w:val="009968E0"/>
    <w:pPr>
      <w:tabs>
        <w:tab w:val="center" w:pos="4320"/>
        <w:tab w:val="right" w:pos="8640"/>
      </w:tabs>
    </w:pPr>
    <w:rPr>
      <w:rFonts w:asciiTheme="minorHAnsi" w:eastAsiaTheme="minorHAnsi" w:hAnsiTheme="minorHAnsi"/>
    </w:rPr>
  </w:style>
  <w:style w:type="character" w:customStyle="1" w:styleId="FollowedHyperlink1">
    <w:name w:val="FollowedHyperlink1"/>
    <w:basedOn w:val="DefaultParagraphFont"/>
    <w:uiPriority w:val="99"/>
    <w:semiHidden/>
    <w:unhideWhenUsed/>
    <w:rsid w:val="009968E0"/>
    <w:rPr>
      <w:color w:val="800080"/>
      <w:u w:val="single"/>
    </w:rPr>
  </w:style>
  <w:style w:type="character" w:customStyle="1" w:styleId="IntenseReference1">
    <w:name w:val="Intense Reference1"/>
    <w:basedOn w:val="DefaultParagraphFont"/>
    <w:uiPriority w:val="32"/>
    <w:qFormat/>
    <w:rsid w:val="009968E0"/>
    <w:rPr>
      <w:b/>
      <w:bCs/>
      <w:smallCaps/>
      <w:color w:val="4F81BD"/>
      <w:spacing w:val="5"/>
    </w:rPr>
  </w:style>
  <w:style w:type="table" w:customStyle="1" w:styleId="GridTable7Colourful11">
    <w:name w:val="Grid Table 7 Colourful11"/>
    <w:basedOn w:val="TableNormal"/>
    <w:next w:val="GridTable7Colourful"/>
    <w:uiPriority w:val="52"/>
    <w:rsid w:val="009968E0"/>
    <w:rPr>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GridTable2-Accent211">
    <w:name w:val="Grid Table 2 - Accent 211"/>
    <w:basedOn w:val="TableNormal"/>
    <w:next w:val="GridTable2-Accent2"/>
    <w:uiPriority w:val="47"/>
    <w:rsid w:val="009968E0"/>
    <w:tblPr>
      <w:tblStyleRowBandSize w:val="1"/>
      <w:tblStyleColBandSize w:val="1"/>
      <w:tblBorders>
        <w:top w:val="single" w:sz="2" w:space="0" w:color="D99594"/>
        <w:bottom w:val="single" w:sz="2" w:space="0" w:color="D99594"/>
        <w:insideH w:val="single" w:sz="2" w:space="0" w:color="D99594"/>
        <w:insideV w:val="single" w:sz="2" w:space="0" w:color="D99594"/>
      </w:tblBorders>
    </w:tblPr>
    <w:tblStylePr w:type="firstRow">
      <w:rPr>
        <w:b/>
        <w:bCs/>
      </w:rPr>
      <w:tblPr/>
      <w:tcPr>
        <w:tcBorders>
          <w:top w:val="nil"/>
          <w:bottom w:val="single" w:sz="12" w:space="0" w:color="D99594"/>
          <w:insideH w:val="nil"/>
          <w:insideV w:val="nil"/>
        </w:tcBorders>
        <w:shd w:val="clear" w:color="auto" w:fill="FFFFFF"/>
      </w:tcPr>
    </w:tblStylePr>
    <w:tblStylePr w:type="lastRow">
      <w:rPr>
        <w:b/>
        <w:bCs/>
      </w:rPr>
      <w:tblPr/>
      <w:tcPr>
        <w:tcBorders>
          <w:top w:val="double" w:sz="2" w:space="0" w:color="D99594"/>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GridTable2-Accent62">
    <w:name w:val="Grid Table 2 - Accent 62"/>
    <w:basedOn w:val="TableNormal"/>
    <w:next w:val="GridTable2-Accent6"/>
    <w:uiPriority w:val="47"/>
    <w:rsid w:val="009968E0"/>
    <w:rPr>
      <w:rFonts w:eastAsia="MS Mincho"/>
    </w:rPr>
    <w:tblPr>
      <w:tblStyleRowBandSize w:val="1"/>
      <w:tblStyleColBandSize w:val="1"/>
      <w:tblBorders>
        <w:top w:val="single" w:sz="2" w:space="0" w:color="FABF8F"/>
        <w:bottom w:val="single" w:sz="2" w:space="0" w:color="FABF8F"/>
        <w:insideH w:val="single" w:sz="2" w:space="0" w:color="FABF8F"/>
        <w:insideV w:val="single" w:sz="2" w:space="0" w:color="FABF8F"/>
      </w:tblBorders>
    </w:tblPr>
    <w:tblStylePr w:type="firstRow">
      <w:rPr>
        <w:b/>
        <w:bCs/>
      </w:rPr>
      <w:tblPr/>
      <w:tcPr>
        <w:tcBorders>
          <w:top w:val="nil"/>
          <w:bottom w:val="single" w:sz="12" w:space="0" w:color="FABF8F"/>
          <w:insideH w:val="nil"/>
          <w:insideV w:val="nil"/>
        </w:tcBorders>
        <w:shd w:val="clear" w:color="auto" w:fill="FFFFFF"/>
      </w:tcPr>
    </w:tblStylePr>
    <w:tblStylePr w:type="lastRow">
      <w:rPr>
        <w:b/>
        <w:bCs/>
      </w:rPr>
      <w:tblPr/>
      <w:tcPr>
        <w:tcBorders>
          <w:top w:val="double" w:sz="2" w:space="0" w:color="FABF8F"/>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GridTable3-Accent61">
    <w:name w:val="Grid Table 3 - Accent 61"/>
    <w:basedOn w:val="TableNormal"/>
    <w:next w:val="GridTable3-Accent6"/>
    <w:uiPriority w:val="48"/>
    <w:rsid w:val="009968E0"/>
    <w:rPr>
      <w:rFonts w:eastAsia="MS Mincho"/>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DE9D9"/>
      </w:tcPr>
    </w:tblStylePr>
    <w:tblStylePr w:type="band1Horz">
      <w:tblPr/>
      <w:tcPr>
        <w:shd w:val="clear" w:color="auto" w:fill="FDE9D9"/>
      </w:tcPr>
    </w:tblStylePr>
    <w:tblStylePr w:type="neCell">
      <w:tblPr/>
      <w:tcPr>
        <w:tcBorders>
          <w:bottom w:val="single" w:sz="4" w:space="0" w:color="FABF8F"/>
        </w:tcBorders>
      </w:tcPr>
    </w:tblStylePr>
    <w:tblStylePr w:type="nwCell">
      <w:tblPr/>
      <w:tcPr>
        <w:tcBorders>
          <w:bottom w:val="single" w:sz="4" w:space="0" w:color="FABF8F"/>
        </w:tcBorders>
      </w:tcPr>
    </w:tblStylePr>
    <w:tblStylePr w:type="seCell">
      <w:tblPr/>
      <w:tcPr>
        <w:tcBorders>
          <w:top w:val="single" w:sz="4" w:space="0" w:color="FABF8F"/>
        </w:tcBorders>
      </w:tcPr>
    </w:tblStylePr>
    <w:tblStylePr w:type="swCell">
      <w:tblPr/>
      <w:tcPr>
        <w:tcBorders>
          <w:top w:val="single" w:sz="4" w:space="0" w:color="FABF8F"/>
        </w:tcBorders>
      </w:tcPr>
    </w:tblStylePr>
  </w:style>
  <w:style w:type="table" w:customStyle="1" w:styleId="GridTable4-Accent61">
    <w:name w:val="Grid Table 4 - Accent 61"/>
    <w:basedOn w:val="TableNormal"/>
    <w:next w:val="GridTable4-Accent6"/>
    <w:uiPriority w:val="49"/>
    <w:rsid w:val="009968E0"/>
    <w:rPr>
      <w:rFonts w:eastAsia="MS Mincho"/>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TableGridLight11">
    <w:name w:val="Table Grid Light11"/>
    <w:basedOn w:val="TableNormal"/>
    <w:next w:val="TableGridLight"/>
    <w:uiPriority w:val="99"/>
    <w:rsid w:val="009968E0"/>
    <w:rPr>
      <w:rFonts w:eastAsia="MS Mincho"/>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PlainTable51">
    <w:name w:val="Plain Table 51"/>
    <w:basedOn w:val="TableNormal"/>
    <w:next w:val="PlainTable5"/>
    <w:uiPriority w:val="99"/>
    <w:rsid w:val="009968E0"/>
    <w:rPr>
      <w:rFonts w:eastAsia="MS Mincho"/>
    </w:rPr>
    <w:tblPr>
      <w:tblStyleRowBandSize w:val="1"/>
      <w:tblStyleColBandSize w:val="1"/>
    </w:tblPr>
    <w:tblStylePr w:type="firstRow">
      <w:rPr>
        <w:rFonts w:ascii="Calibri" w:eastAsia="MS Gothic" w:hAnsi="Calibri" w:cs="Times New Roman"/>
        <w:i/>
        <w:iCs/>
        <w:sz w:val="26"/>
      </w:rPr>
      <w:tblPr/>
      <w:tcPr>
        <w:tcBorders>
          <w:bottom w:val="single" w:sz="4" w:space="0" w:color="7F7F7F"/>
        </w:tcBorders>
        <w:shd w:val="clear" w:color="auto" w:fill="FFFFFF"/>
      </w:tcPr>
    </w:tblStylePr>
    <w:tblStylePr w:type="lastRow">
      <w:rPr>
        <w:rFonts w:ascii="Calibri" w:eastAsia="MS Gothic" w:hAnsi="Calibri" w:cs="Times New Roman"/>
        <w:i/>
        <w:iCs/>
        <w:sz w:val="26"/>
      </w:rPr>
      <w:tblPr/>
      <w:tcPr>
        <w:tcBorders>
          <w:top w:val="single" w:sz="4" w:space="0" w:color="7F7F7F"/>
        </w:tcBorders>
        <w:shd w:val="clear" w:color="auto" w:fill="FFFFFF"/>
      </w:tcPr>
    </w:tblStylePr>
    <w:tblStylePr w:type="firstCol">
      <w:pPr>
        <w:jc w:val="right"/>
      </w:pPr>
      <w:rPr>
        <w:rFonts w:ascii="Calibri" w:eastAsia="MS Gothic" w:hAnsi="Calibri" w:cs="Times New Roman"/>
        <w:i/>
        <w:iCs/>
        <w:sz w:val="26"/>
      </w:rPr>
      <w:tblPr/>
      <w:tcPr>
        <w:tcBorders>
          <w:right w:val="single" w:sz="4" w:space="0" w:color="7F7F7F"/>
        </w:tcBorders>
        <w:shd w:val="clear" w:color="auto" w:fill="FFFFFF"/>
      </w:tcPr>
    </w:tblStylePr>
    <w:tblStylePr w:type="lastCol">
      <w:rPr>
        <w:rFonts w:ascii="Calibri" w:eastAsia="MS Gothic" w:hAnsi="Calibri"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41">
    <w:name w:val="Plain Table 41"/>
    <w:basedOn w:val="TableNormal"/>
    <w:next w:val="PlainTable4"/>
    <w:uiPriority w:val="99"/>
    <w:rsid w:val="009968E0"/>
    <w:rPr>
      <w:rFonts w:eastAsia="MS Mincho"/>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21">
    <w:name w:val="Plain Table 21"/>
    <w:basedOn w:val="TableNormal"/>
    <w:next w:val="PlainTable2"/>
    <w:uiPriority w:val="99"/>
    <w:rsid w:val="009968E0"/>
    <w:rPr>
      <w:rFonts w:eastAsia="MS Mincho"/>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11">
    <w:name w:val="Plain Table 11"/>
    <w:basedOn w:val="TableNormal"/>
    <w:next w:val="PlainTable1"/>
    <w:uiPriority w:val="99"/>
    <w:rsid w:val="009968E0"/>
    <w:rPr>
      <w:rFonts w:eastAsia="MS Mincho"/>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1Light-Accent611">
    <w:name w:val="Grid Table 1 Light - Accent 611"/>
    <w:basedOn w:val="TableNormal"/>
    <w:next w:val="GridTable1Light-Accent6"/>
    <w:uiPriority w:val="46"/>
    <w:rsid w:val="009968E0"/>
    <w:rPr>
      <w:rFonts w:eastAsia="MS Mincho"/>
    </w:rPr>
    <w:tblPr>
      <w:tblStyleRowBandSize w:val="1"/>
      <w:tblStyleColBandSize w:val="1"/>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Pr>
    <w:tblStylePr w:type="firstRow">
      <w:rPr>
        <w:b/>
        <w:bCs/>
      </w:rPr>
      <w:tblPr/>
      <w:tcPr>
        <w:tcBorders>
          <w:bottom w:val="single" w:sz="12" w:space="0" w:color="FABF8F"/>
        </w:tcBorders>
      </w:tcPr>
    </w:tblStylePr>
    <w:tblStylePr w:type="lastRow">
      <w:rPr>
        <w:b/>
        <w:bCs/>
      </w:rPr>
      <w:tblPr/>
      <w:tcPr>
        <w:tcBorders>
          <w:top w:val="double" w:sz="2" w:space="0" w:color="FABF8F"/>
        </w:tcBorders>
      </w:tcPr>
    </w:tblStylePr>
    <w:tblStylePr w:type="firstCol">
      <w:rPr>
        <w:b/>
        <w:bCs/>
      </w:rPr>
    </w:tblStylePr>
    <w:tblStylePr w:type="lastCol">
      <w:rPr>
        <w:b/>
        <w:bCs/>
      </w:rPr>
    </w:tblStylePr>
  </w:style>
  <w:style w:type="table" w:customStyle="1" w:styleId="GridTable1Light11">
    <w:name w:val="Grid Table 1 Light11"/>
    <w:basedOn w:val="TableNormal"/>
    <w:next w:val="GridTable1Light"/>
    <w:uiPriority w:val="46"/>
    <w:rsid w:val="009968E0"/>
    <w:rPr>
      <w:rFonts w:eastAsia="Calibri"/>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leNormal"/>
    <w:next w:val="GridTable1Light"/>
    <w:uiPriority w:val="99"/>
    <w:rsid w:val="009968E0"/>
    <w:rPr>
      <w:rFonts w:eastAsia="MS Minch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Accent21">
    <w:name w:val="Grid Table 1 Light – Accent 21"/>
    <w:basedOn w:val="TableNormal"/>
    <w:next w:val="GridTable1LightAccent2"/>
    <w:uiPriority w:val="46"/>
    <w:rsid w:val="009968E0"/>
    <w:rPr>
      <w:rFonts w:eastAsia="MS Mincho"/>
    </w:rPr>
    <w:tblPr>
      <w:tblStyleRowBandSize w:val="1"/>
      <w:tblStyleColBandSize w:val="1"/>
      <w:tblBorders>
        <w:top w:val="single" w:sz="4" w:space="0" w:color="E5B8B7"/>
        <w:left w:val="single" w:sz="4" w:space="0" w:color="E5B8B7"/>
        <w:bottom w:val="single" w:sz="4" w:space="0" w:color="E5B8B7"/>
        <w:right w:val="single" w:sz="4" w:space="0" w:color="E5B8B7"/>
        <w:insideH w:val="single" w:sz="4" w:space="0" w:color="E5B8B7"/>
        <w:insideV w:val="single" w:sz="4" w:space="0" w:color="E5B8B7"/>
      </w:tblBorders>
    </w:tblPr>
    <w:tblStylePr w:type="firstRow">
      <w:rPr>
        <w:b/>
        <w:bCs/>
      </w:rPr>
      <w:tblPr/>
      <w:tcPr>
        <w:tcBorders>
          <w:bottom w:val="single" w:sz="12" w:space="0" w:color="D99594"/>
        </w:tcBorders>
      </w:tcPr>
    </w:tblStylePr>
    <w:tblStylePr w:type="lastRow">
      <w:rPr>
        <w:b/>
        <w:bCs/>
      </w:rPr>
      <w:tblPr/>
      <w:tcPr>
        <w:tcBorders>
          <w:top w:val="double" w:sz="2" w:space="0" w:color="D99594"/>
        </w:tcBorders>
      </w:tcPr>
    </w:tblStylePr>
    <w:tblStylePr w:type="firstCol">
      <w:rPr>
        <w:b/>
        <w:bCs/>
      </w:rPr>
    </w:tblStylePr>
    <w:tblStylePr w:type="lastCol">
      <w:rPr>
        <w:b/>
        <w:bCs/>
      </w:rPr>
    </w:tblStylePr>
  </w:style>
  <w:style w:type="table" w:customStyle="1" w:styleId="GridTable2-Accent2111">
    <w:name w:val="Grid Table 2 - Accent 2111"/>
    <w:basedOn w:val="TableNormal"/>
    <w:next w:val="GridTable2-Accent2"/>
    <w:uiPriority w:val="47"/>
    <w:rsid w:val="009968E0"/>
    <w:rPr>
      <w:rFonts w:eastAsia="Calibri"/>
    </w:rPr>
    <w:tblPr>
      <w:tblStyleRowBandSize w:val="1"/>
      <w:tblStyleColBandSize w:val="1"/>
      <w:tblBorders>
        <w:top w:val="single" w:sz="2" w:space="0" w:color="F4B083"/>
        <w:bottom w:val="single" w:sz="2" w:space="0" w:color="F4B083"/>
        <w:insideH w:val="single" w:sz="2" w:space="0" w:color="F4B083"/>
        <w:insideV w:val="single" w:sz="2" w:space="0" w:color="F4B083"/>
      </w:tblBorders>
    </w:tblPr>
    <w:tblStylePr w:type="firstRow">
      <w:rPr>
        <w:b/>
        <w:bCs/>
      </w:rPr>
      <w:tblPr/>
      <w:tcPr>
        <w:tcBorders>
          <w:top w:val="nil"/>
          <w:bottom w:val="single" w:sz="12" w:space="0" w:color="F4B083"/>
          <w:insideH w:val="nil"/>
          <w:insideV w:val="nil"/>
        </w:tcBorders>
        <w:shd w:val="clear" w:color="auto" w:fill="FFFFFF"/>
      </w:tcPr>
    </w:tblStylePr>
    <w:tblStylePr w:type="lastRow">
      <w:rPr>
        <w:b/>
        <w:bCs/>
      </w:rPr>
      <w:tblPr/>
      <w:tcPr>
        <w:tcBorders>
          <w:top w:val="double" w:sz="2" w:space="0" w:color="F4B083"/>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character" w:customStyle="1" w:styleId="Heading1Char1">
    <w:name w:val="Heading 1 Char1"/>
    <w:basedOn w:val="DefaultParagraphFont"/>
    <w:uiPriority w:val="9"/>
    <w:rsid w:val="009968E0"/>
    <w:rPr>
      <w:rFonts w:asciiTheme="majorHAnsi" w:eastAsiaTheme="majorEastAsia" w:hAnsiTheme="majorHAnsi" w:cstheme="majorBidi"/>
      <w:color w:val="2F5496" w:themeColor="accent1" w:themeShade="BF"/>
      <w:sz w:val="32"/>
      <w:szCs w:val="32"/>
    </w:rPr>
  </w:style>
  <w:style w:type="character" w:customStyle="1" w:styleId="Heading2Char1">
    <w:name w:val="Heading 2 Char1"/>
    <w:basedOn w:val="DefaultParagraphFont"/>
    <w:uiPriority w:val="9"/>
    <w:semiHidden/>
    <w:rsid w:val="009968E0"/>
    <w:rPr>
      <w:rFonts w:asciiTheme="majorHAnsi" w:eastAsiaTheme="majorEastAsia" w:hAnsiTheme="majorHAnsi" w:cstheme="majorBidi"/>
      <w:color w:val="2F5496" w:themeColor="accent1" w:themeShade="BF"/>
      <w:sz w:val="26"/>
      <w:szCs w:val="26"/>
    </w:rPr>
  </w:style>
  <w:style w:type="character" w:customStyle="1" w:styleId="Heading3Char1">
    <w:name w:val="Heading 3 Char1"/>
    <w:basedOn w:val="DefaultParagraphFont"/>
    <w:uiPriority w:val="9"/>
    <w:semiHidden/>
    <w:rsid w:val="009968E0"/>
    <w:rPr>
      <w:rFonts w:asciiTheme="majorHAnsi" w:eastAsiaTheme="majorEastAsia" w:hAnsiTheme="majorHAnsi" w:cstheme="majorBidi"/>
      <w:color w:val="1F3763" w:themeColor="accent1" w:themeShade="7F"/>
    </w:rPr>
  </w:style>
  <w:style w:type="character" w:customStyle="1" w:styleId="Heading4Char1">
    <w:name w:val="Heading 4 Char1"/>
    <w:basedOn w:val="DefaultParagraphFont"/>
    <w:uiPriority w:val="9"/>
    <w:semiHidden/>
    <w:rsid w:val="009968E0"/>
    <w:rPr>
      <w:rFonts w:asciiTheme="majorHAnsi" w:eastAsiaTheme="majorEastAsia" w:hAnsiTheme="majorHAnsi" w:cstheme="majorBidi"/>
      <w:i/>
      <w:iCs/>
      <w:color w:val="2F5496" w:themeColor="accent1" w:themeShade="BF"/>
    </w:rPr>
  </w:style>
  <w:style w:type="character" w:customStyle="1" w:styleId="TitleChar1">
    <w:name w:val="Title Char1"/>
    <w:basedOn w:val="DefaultParagraphFont"/>
    <w:uiPriority w:val="10"/>
    <w:rsid w:val="009968E0"/>
    <w:rPr>
      <w:rFonts w:asciiTheme="majorHAnsi" w:eastAsiaTheme="majorEastAsia" w:hAnsiTheme="majorHAnsi" w:cstheme="majorBidi"/>
      <w:spacing w:val="-10"/>
      <w:kern w:val="28"/>
      <w:sz w:val="56"/>
      <w:szCs w:val="56"/>
    </w:rPr>
  </w:style>
  <w:style w:type="table" w:customStyle="1" w:styleId="LightList2">
    <w:name w:val="Light List2"/>
    <w:basedOn w:val="TableNormal"/>
    <w:next w:val="LightList"/>
    <w:uiPriority w:val="61"/>
    <w:semiHidden/>
    <w:unhideWhenUsed/>
    <w:rsid w:val="009968E0"/>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List-Accent62">
    <w:name w:val="Light List - Accent 62"/>
    <w:basedOn w:val="TableNormal"/>
    <w:next w:val="LightList-Accent6"/>
    <w:uiPriority w:val="61"/>
    <w:semiHidden/>
    <w:unhideWhenUsed/>
    <w:rsid w:val="009968E0"/>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customStyle="1" w:styleId="LightShading-Accent52">
    <w:name w:val="Light Shading - Accent 52"/>
    <w:basedOn w:val="TableNormal"/>
    <w:next w:val="LightShading-Accent5"/>
    <w:uiPriority w:val="60"/>
    <w:semiHidden/>
    <w:unhideWhenUsed/>
    <w:rsid w:val="009968E0"/>
    <w:rPr>
      <w:color w:val="2E74B5" w:themeColor="accent5" w:themeShade="BF"/>
    </w:rPr>
    <w:tblPr>
      <w:tblStyleRowBandSize w:val="1"/>
      <w:tblStyleColBandSize w:val="1"/>
      <w:tblBorders>
        <w:top w:val="single" w:sz="8" w:space="0" w:color="5B9BD5" w:themeColor="accent5"/>
        <w:bottom w:val="single" w:sz="8" w:space="0" w:color="5B9BD5" w:themeColor="accent5"/>
      </w:tblBorders>
    </w:tblPr>
    <w:tblStylePr w:type="fir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la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left w:val="nil"/>
          <w:right w:val="nil"/>
          <w:insideH w:val="nil"/>
          <w:insideV w:val="nil"/>
        </w:tcBorders>
        <w:shd w:val="clear" w:color="auto" w:fill="D6E6F4" w:themeFill="accent5" w:themeFillTint="3F"/>
      </w:tcPr>
    </w:tblStylePr>
  </w:style>
  <w:style w:type="table" w:customStyle="1" w:styleId="LightShading-Accent32">
    <w:name w:val="Light Shading - Accent 32"/>
    <w:basedOn w:val="TableNormal"/>
    <w:next w:val="LightShading-Accent3"/>
    <w:uiPriority w:val="60"/>
    <w:semiHidden/>
    <w:unhideWhenUsed/>
    <w:rsid w:val="009968E0"/>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customStyle="1" w:styleId="LightList-Accent12">
    <w:name w:val="Light List - Accent 12"/>
    <w:basedOn w:val="TableNormal"/>
    <w:next w:val="LightList-Accent1"/>
    <w:uiPriority w:val="61"/>
    <w:semiHidden/>
    <w:unhideWhenUsed/>
    <w:rsid w:val="009968E0"/>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customStyle="1" w:styleId="MediumShading2-Accent12">
    <w:name w:val="Medium Shading 2 - Accent 12"/>
    <w:basedOn w:val="TableNormal"/>
    <w:next w:val="MediumShading2-Accent1"/>
    <w:uiPriority w:val="64"/>
    <w:semiHidden/>
    <w:unhideWhenUsed/>
    <w:rsid w:val="009968E0"/>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4472C4" w:themeFill="accent1"/>
      </w:tcPr>
    </w:tblStylePr>
    <w:tblStylePr w:type="lastCol">
      <w:rPr>
        <w:b/>
        <w:bCs/>
        <w:color w:val="FFFFFF" w:themeColor="background1"/>
      </w:rPr>
      <w:tblPr/>
      <w:tcPr>
        <w:tcBorders>
          <w:left w:val="nil"/>
          <w:right w:val="nil"/>
          <w:insideH w:val="nil"/>
          <w:insideV w:val="nil"/>
        </w:tcBorders>
        <w:shd w:val="clear" w:color="auto" w:fill="4472C4"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customStyle="1" w:styleId="LightShading-Accent62">
    <w:name w:val="Light Shading - Accent 62"/>
    <w:basedOn w:val="TableNormal"/>
    <w:next w:val="LightShading-Accent6"/>
    <w:uiPriority w:val="60"/>
    <w:semiHidden/>
    <w:unhideWhenUsed/>
    <w:rsid w:val="009968E0"/>
    <w:rPr>
      <w:color w:val="538135" w:themeColor="accent6" w:themeShade="BF"/>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table" w:customStyle="1" w:styleId="MediumShading2-Accent32">
    <w:name w:val="Medium Shading 2 - Accent 32"/>
    <w:basedOn w:val="TableNormal"/>
    <w:next w:val="MediumShading2-Accent3"/>
    <w:uiPriority w:val="64"/>
    <w:semiHidden/>
    <w:unhideWhenUsed/>
    <w:rsid w:val="009968E0"/>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character" w:customStyle="1" w:styleId="DocumentMapChar1">
    <w:name w:val="Document Map Char1"/>
    <w:basedOn w:val="DefaultParagraphFont"/>
    <w:uiPriority w:val="99"/>
    <w:semiHidden/>
    <w:rsid w:val="009968E0"/>
    <w:rPr>
      <w:rFonts w:ascii="Helvetica" w:hAnsi="Helvetica"/>
      <w:sz w:val="26"/>
      <w:szCs w:val="26"/>
    </w:rPr>
  </w:style>
  <w:style w:type="character" w:customStyle="1" w:styleId="QuoteChar1">
    <w:name w:val="Quote Char1"/>
    <w:basedOn w:val="DefaultParagraphFont"/>
    <w:uiPriority w:val="29"/>
    <w:rsid w:val="009968E0"/>
    <w:rPr>
      <w:i/>
      <w:iCs/>
      <w:color w:val="404040" w:themeColor="text1" w:themeTint="BF"/>
    </w:rPr>
  </w:style>
  <w:style w:type="table" w:customStyle="1" w:styleId="MediumShading2-Accent42">
    <w:name w:val="Medium Shading 2 - Accent 42"/>
    <w:basedOn w:val="TableNormal"/>
    <w:next w:val="MediumShading2-Accent4"/>
    <w:uiPriority w:val="64"/>
    <w:semiHidden/>
    <w:unhideWhenUsed/>
    <w:rsid w:val="009968E0"/>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character" w:customStyle="1" w:styleId="Heading5Char1">
    <w:name w:val="Heading 5 Char1"/>
    <w:basedOn w:val="DefaultParagraphFont"/>
    <w:uiPriority w:val="9"/>
    <w:semiHidden/>
    <w:rsid w:val="009968E0"/>
    <w:rPr>
      <w:rFonts w:asciiTheme="majorHAnsi" w:eastAsiaTheme="majorEastAsia" w:hAnsiTheme="majorHAnsi" w:cstheme="majorBidi"/>
      <w:color w:val="2F5496" w:themeColor="accent1" w:themeShade="BF"/>
    </w:rPr>
  </w:style>
  <w:style w:type="character" w:customStyle="1" w:styleId="IntenseQuoteChar1">
    <w:name w:val="Intense Quote Char1"/>
    <w:basedOn w:val="DefaultParagraphFont"/>
    <w:uiPriority w:val="30"/>
    <w:rsid w:val="009968E0"/>
    <w:rPr>
      <w:i/>
      <w:iCs/>
      <w:color w:val="4472C4" w:themeColor="accent1"/>
    </w:rPr>
  </w:style>
  <w:style w:type="character" w:customStyle="1" w:styleId="Heading6Char1">
    <w:name w:val="Heading 6 Char1"/>
    <w:basedOn w:val="DefaultParagraphFont"/>
    <w:uiPriority w:val="9"/>
    <w:semiHidden/>
    <w:rsid w:val="009968E0"/>
    <w:rPr>
      <w:rFonts w:asciiTheme="majorHAnsi" w:eastAsiaTheme="majorEastAsia" w:hAnsiTheme="majorHAnsi" w:cstheme="majorBidi"/>
      <w:color w:val="1F3763" w:themeColor="accent1" w:themeShade="7F"/>
    </w:rPr>
  </w:style>
  <w:style w:type="character" w:customStyle="1" w:styleId="Heading7Char1">
    <w:name w:val="Heading 7 Char1"/>
    <w:basedOn w:val="DefaultParagraphFont"/>
    <w:uiPriority w:val="9"/>
    <w:semiHidden/>
    <w:rsid w:val="009968E0"/>
    <w:rPr>
      <w:rFonts w:asciiTheme="majorHAnsi" w:eastAsiaTheme="majorEastAsia" w:hAnsiTheme="majorHAnsi" w:cstheme="majorBidi"/>
      <w:i/>
      <w:iCs/>
      <w:color w:val="1F3763" w:themeColor="accent1" w:themeShade="7F"/>
    </w:rPr>
  </w:style>
  <w:style w:type="character" w:customStyle="1" w:styleId="HeaderChar1">
    <w:name w:val="Header Char1"/>
    <w:basedOn w:val="DefaultParagraphFont"/>
    <w:uiPriority w:val="99"/>
    <w:semiHidden/>
    <w:rsid w:val="009968E0"/>
  </w:style>
  <w:style w:type="character" w:customStyle="1" w:styleId="FooterChar1">
    <w:name w:val="Footer Char1"/>
    <w:basedOn w:val="DefaultParagraphFont"/>
    <w:uiPriority w:val="99"/>
    <w:semiHidden/>
    <w:rsid w:val="009968E0"/>
  </w:style>
  <w:style w:type="character" w:customStyle="1" w:styleId="Heading8Char1">
    <w:name w:val="Heading 8 Char1"/>
    <w:basedOn w:val="DefaultParagraphFont"/>
    <w:uiPriority w:val="9"/>
    <w:semiHidden/>
    <w:rsid w:val="009968E0"/>
    <w:rPr>
      <w:rFonts w:asciiTheme="majorHAnsi" w:eastAsiaTheme="majorEastAsia" w:hAnsiTheme="majorHAnsi" w:cstheme="majorBidi"/>
      <w:color w:val="272727" w:themeColor="text1" w:themeTint="D8"/>
      <w:sz w:val="21"/>
      <w:szCs w:val="21"/>
    </w:rPr>
  </w:style>
  <w:style w:type="table" w:customStyle="1" w:styleId="GridTable7Colourful2">
    <w:name w:val="Grid Table 7 Colourful2"/>
    <w:basedOn w:val="TableNormal"/>
    <w:next w:val="GridTable7Colourful"/>
    <w:uiPriority w:val="52"/>
    <w:rsid w:val="009968E0"/>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GridTable2-Accent22">
    <w:name w:val="Grid Table 2 - Accent 22"/>
    <w:basedOn w:val="TableNormal"/>
    <w:next w:val="GridTable2-Accent2"/>
    <w:uiPriority w:val="47"/>
    <w:rsid w:val="009968E0"/>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3-Accent6">
    <w:name w:val="Grid Table 3 Accent 6"/>
    <w:basedOn w:val="TableNormal"/>
    <w:uiPriority w:val="48"/>
    <w:rsid w:val="009968E0"/>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GridTable4-Accent6">
    <w:name w:val="Grid Table 4 Accent 6"/>
    <w:basedOn w:val="TableNormal"/>
    <w:uiPriority w:val="49"/>
    <w:rsid w:val="009968E0"/>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eGridLight">
    <w:name w:val="Grid Table Light"/>
    <w:basedOn w:val="TableNormal"/>
    <w:uiPriority w:val="40"/>
    <w:rsid w:val="009968E0"/>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5">
    <w:name w:val="Plain Table 5"/>
    <w:basedOn w:val="TableNormal"/>
    <w:uiPriority w:val="45"/>
    <w:rsid w:val="009968E0"/>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4">
    <w:name w:val="Plain Table 4"/>
    <w:basedOn w:val="TableNormal"/>
    <w:uiPriority w:val="44"/>
    <w:rsid w:val="009968E0"/>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9968E0"/>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1">
    <w:name w:val="Plain Table 1"/>
    <w:basedOn w:val="TableNormal"/>
    <w:uiPriority w:val="41"/>
    <w:rsid w:val="009968E0"/>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1Light-Accent6">
    <w:name w:val="Grid Table 1 Light Accent 6"/>
    <w:basedOn w:val="TableNormal"/>
    <w:uiPriority w:val="46"/>
    <w:rsid w:val="009968E0"/>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ridTable1Light">
    <w:name w:val="Grid Table 1 Light"/>
    <w:basedOn w:val="TableNormal"/>
    <w:uiPriority w:val="46"/>
    <w:rsid w:val="009968E0"/>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9968E0"/>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numbering" w:customStyle="1" w:styleId="NoList21">
    <w:name w:val="No List21"/>
    <w:next w:val="NoList"/>
    <w:uiPriority w:val="99"/>
    <w:semiHidden/>
    <w:unhideWhenUsed/>
    <w:rsid w:val="009968E0"/>
  </w:style>
  <w:style w:type="paragraph" w:customStyle="1" w:styleId="TOCHeading2">
    <w:name w:val="TOC Heading2"/>
    <w:basedOn w:val="Heading1"/>
    <w:next w:val="Normal"/>
    <w:uiPriority w:val="39"/>
    <w:unhideWhenUsed/>
    <w:qFormat/>
    <w:rsid w:val="009968E0"/>
    <w:pPr>
      <w:spacing w:line="276" w:lineRule="auto"/>
      <w:outlineLvl w:val="9"/>
    </w:pPr>
    <w:rPr>
      <w:rFonts w:eastAsia="MS Gothic" w:cs="Times New Roman"/>
      <w:color w:val="365F91"/>
      <w:sz w:val="28"/>
      <w:szCs w:val="28"/>
      <w:lang w:val="en-US"/>
    </w:rPr>
  </w:style>
  <w:style w:type="paragraph" w:customStyle="1" w:styleId="TOC12">
    <w:name w:val="TOC 12"/>
    <w:basedOn w:val="Normal"/>
    <w:next w:val="Normal"/>
    <w:autoRedefine/>
    <w:uiPriority w:val="39"/>
    <w:unhideWhenUsed/>
    <w:rsid w:val="009968E0"/>
    <w:pPr>
      <w:spacing w:before="120"/>
    </w:pPr>
    <w:rPr>
      <w:rFonts w:asciiTheme="minorHAnsi" w:eastAsia="MS Mincho" w:hAnsiTheme="minorHAnsi"/>
      <w:b/>
      <w:bCs/>
      <w:i/>
      <w:iCs/>
    </w:rPr>
  </w:style>
  <w:style w:type="paragraph" w:customStyle="1" w:styleId="TOC22">
    <w:name w:val="TOC 22"/>
    <w:basedOn w:val="Normal"/>
    <w:next w:val="Normal"/>
    <w:autoRedefine/>
    <w:uiPriority w:val="39"/>
    <w:unhideWhenUsed/>
    <w:rsid w:val="009968E0"/>
    <w:pPr>
      <w:spacing w:before="120"/>
      <w:ind w:left="240"/>
    </w:pPr>
    <w:rPr>
      <w:rFonts w:asciiTheme="minorHAnsi" w:eastAsia="MS Mincho" w:hAnsiTheme="minorHAnsi"/>
      <w:b/>
      <w:bCs/>
      <w:sz w:val="22"/>
      <w:szCs w:val="22"/>
    </w:rPr>
  </w:style>
  <w:style w:type="paragraph" w:customStyle="1" w:styleId="TOC32">
    <w:name w:val="TOC 32"/>
    <w:basedOn w:val="Normal"/>
    <w:next w:val="Normal"/>
    <w:autoRedefine/>
    <w:uiPriority w:val="39"/>
    <w:unhideWhenUsed/>
    <w:rsid w:val="009968E0"/>
    <w:pPr>
      <w:ind w:left="480"/>
    </w:pPr>
    <w:rPr>
      <w:rFonts w:asciiTheme="minorHAnsi" w:eastAsia="MS Mincho" w:hAnsiTheme="minorHAnsi"/>
      <w:sz w:val="20"/>
      <w:szCs w:val="20"/>
    </w:rPr>
  </w:style>
  <w:style w:type="paragraph" w:customStyle="1" w:styleId="TOC42">
    <w:name w:val="TOC 42"/>
    <w:basedOn w:val="Normal"/>
    <w:next w:val="Normal"/>
    <w:autoRedefine/>
    <w:uiPriority w:val="39"/>
    <w:unhideWhenUsed/>
    <w:rsid w:val="009968E0"/>
    <w:pPr>
      <w:ind w:left="720"/>
    </w:pPr>
    <w:rPr>
      <w:rFonts w:asciiTheme="minorHAnsi" w:eastAsia="MS Mincho" w:hAnsiTheme="minorHAnsi"/>
      <w:sz w:val="20"/>
      <w:szCs w:val="20"/>
    </w:rPr>
  </w:style>
  <w:style w:type="paragraph" w:customStyle="1" w:styleId="TOC52">
    <w:name w:val="TOC 52"/>
    <w:basedOn w:val="Normal"/>
    <w:next w:val="Normal"/>
    <w:autoRedefine/>
    <w:uiPriority w:val="39"/>
    <w:unhideWhenUsed/>
    <w:rsid w:val="009968E0"/>
    <w:pPr>
      <w:ind w:left="960"/>
    </w:pPr>
    <w:rPr>
      <w:rFonts w:asciiTheme="minorHAnsi" w:eastAsia="MS Mincho" w:hAnsiTheme="minorHAnsi"/>
      <w:sz w:val="20"/>
      <w:szCs w:val="20"/>
    </w:rPr>
  </w:style>
  <w:style w:type="paragraph" w:customStyle="1" w:styleId="TOC62">
    <w:name w:val="TOC 62"/>
    <w:basedOn w:val="Normal"/>
    <w:next w:val="Normal"/>
    <w:autoRedefine/>
    <w:uiPriority w:val="39"/>
    <w:unhideWhenUsed/>
    <w:rsid w:val="009968E0"/>
    <w:pPr>
      <w:ind w:left="1200"/>
    </w:pPr>
    <w:rPr>
      <w:rFonts w:asciiTheme="minorHAnsi" w:eastAsia="MS Mincho" w:hAnsiTheme="minorHAnsi"/>
      <w:sz w:val="20"/>
      <w:szCs w:val="20"/>
    </w:rPr>
  </w:style>
  <w:style w:type="paragraph" w:customStyle="1" w:styleId="TOC72">
    <w:name w:val="TOC 72"/>
    <w:basedOn w:val="Normal"/>
    <w:next w:val="Normal"/>
    <w:autoRedefine/>
    <w:uiPriority w:val="39"/>
    <w:unhideWhenUsed/>
    <w:rsid w:val="009968E0"/>
    <w:pPr>
      <w:ind w:left="1440"/>
    </w:pPr>
    <w:rPr>
      <w:rFonts w:asciiTheme="minorHAnsi" w:eastAsia="MS Mincho" w:hAnsiTheme="minorHAnsi"/>
      <w:sz w:val="20"/>
      <w:szCs w:val="20"/>
    </w:rPr>
  </w:style>
  <w:style w:type="paragraph" w:customStyle="1" w:styleId="TOC82">
    <w:name w:val="TOC 82"/>
    <w:basedOn w:val="Normal"/>
    <w:next w:val="Normal"/>
    <w:autoRedefine/>
    <w:uiPriority w:val="39"/>
    <w:unhideWhenUsed/>
    <w:rsid w:val="009968E0"/>
    <w:pPr>
      <w:ind w:left="1680"/>
    </w:pPr>
    <w:rPr>
      <w:rFonts w:asciiTheme="minorHAnsi" w:eastAsia="MS Mincho" w:hAnsiTheme="minorHAnsi"/>
      <w:sz w:val="20"/>
      <w:szCs w:val="20"/>
    </w:rPr>
  </w:style>
  <w:style w:type="paragraph" w:customStyle="1" w:styleId="TOC92">
    <w:name w:val="TOC 92"/>
    <w:basedOn w:val="Normal"/>
    <w:next w:val="Normal"/>
    <w:autoRedefine/>
    <w:uiPriority w:val="39"/>
    <w:unhideWhenUsed/>
    <w:rsid w:val="009968E0"/>
    <w:pPr>
      <w:ind w:left="1920"/>
    </w:pPr>
    <w:rPr>
      <w:rFonts w:asciiTheme="minorHAnsi" w:eastAsia="MS Mincho" w:hAnsiTheme="minorHAnsi"/>
      <w:sz w:val="20"/>
      <w:szCs w:val="20"/>
    </w:rPr>
  </w:style>
  <w:style w:type="table" w:customStyle="1" w:styleId="LightList21">
    <w:name w:val="Light List21"/>
    <w:basedOn w:val="TableNormal"/>
    <w:next w:val="LightList"/>
    <w:uiPriority w:val="61"/>
    <w:rsid w:val="009968E0"/>
    <w:rPr>
      <w:rFonts w:eastAsia="MS Minch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Accent621">
    <w:name w:val="Light List - Accent 621"/>
    <w:basedOn w:val="TableNormal"/>
    <w:next w:val="LightList-Accent6"/>
    <w:uiPriority w:val="61"/>
    <w:rsid w:val="009968E0"/>
    <w:rPr>
      <w:rFonts w:eastAsia="MS Mincho"/>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LightShading-Accent521">
    <w:name w:val="Light Shading - Accent 521"/>
    <w:basedOn w:val="TableNormal"/>
    <w:next w:val="LightShading-Accent5"/>
    <w:uiPriority w:val="60"/>
    <w:rsid w:val="009968E0"/>
    <w:rPr>
      <w:rFonts w:eastAsia="MS Mincho"/>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Shading-Accent321">
    <w:name w:val="Light Shading - Accent 321"/>
    <w:basedOn w:val="TableNormal"/>
    <w:next w:val="LightShading-Accent3"/>
    <w:uiPriority w:val="60"/>
    <w:rsid w:val="009968E0"/>
    <w:rPr>
      <w:rFonts w:eastAsia="MS Mincho"/>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List-Accent121">
    <w:name w:val="Light List - Accent 121"/>
    <w:basedOn w:val="TableNormal"/>
    <w:next w:val="LightList-Accent1"/>
    <w:uiPriority w:val="61"/>
    <w:rsid w:val="009968E0"/>
    <w:rPr>
      <w:rFonts w:eastAsia="MS Minch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Shading2-Accent121">
    <w:name w:val="Medium Shading 2 - Accent 121"/>
    <w:basedOn w:val="TableNormal"/>
    <w:next w:val="MediumShading2-Accent1"/>
    <w:uiPriority w:val="64"/>
    <w:rsid w:val="009968E0"/>
    <w:rPr>
      <w:rFonts w:eastAsia="MS Mincho"/>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Accent621">
    <w:name w:val="Light Shading - Accent 621"/>
    <w:basedOn w:val="TableNormal"/>
    <w:next w:val="LightShading-Accent6"/>
    <w:uiPriority w:val="60"/>
    <w:rsid w:val="009968E0"/>
    <w:rPr>
      <w:rFonts w:eastAsia="MS Mincho"/>
      <w:color w:val="E36C0A"/>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MediumShading2-Accent321">
    <w:name w:val="Medium Shading 2 - Accent 321"/>
    <w:basedOn w:val="TableNormal"/>
    <w:next w:val="MediumShading2-Accent3"/>
    <w:uiPriority w:val="64"/>
    <w:rsid w:val="009968E0"/>
    <w:rPr>
      <w:rFonts w:eastAsia="MS Mincho"/>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customStyle="1" w:styleId="TableofFigures2">
    <w:name w:val="Table of Figures2"/>
    <w:basedOn w:val="Normal"/>
    <w:next w:val="Normal"/>
    <w:uiPriority w:val="99"/>
    <w:unhideWhenUsed/>
    <w:rsid w:val="009968E0"/>
    <w:pPr>
      <w:ind w:left="480" w:hanging="480"/>
    </w:pPr>
    <w:rPr>
      <w:rFonts w:eastAsia="MS Mincho"/>
    </w:rPr>
  </w:style>
  <w:style w:type="paragraph" w:customStyle="1" w:styleId="Index22">
    <w:name w:val="Index 22"/>
    <w:basedOn w:val="Normal"/>
    <w:next w:val="Normal"/>
    <w:autoRedefine/>
    <w:uiPriority w:val="99"/>
    <w:unhideWhenUsed/>
    <w:rsid w:val="009968E0"/>
    <w:pPr>
      <w:ind w:left="480" w:hanging="240"/>
    </w:pPr>
    <w:rPr>
      <w:rFonts w:eastAsia="MS Mincho"/>
    </w:rPr>
  </w:style>
  <w:style w:type="paragraph" w:customStyle="1" w:styleId="Index32">
    <w:name w:val="Index 32"/>
    <w:basedOn w:val="Normal"/>
    <w:next w:val="Normal"/>
    <w:autoRedefine/>
    <w:uiPriority w:val="99"/>
    <w:unhideWhenUsed/>
    <w:rsid w:val="009968E0"/>
    <w:pPr>
      <w:ind w:left="720" w:hanging="240"/>
    </w:pPr>
    <w:rPr>
      <w:rFonts w:eastAsia="MS Mincho"/>
    </w:rPr>
  </w:style>
  <w:style w:type="paragraph" w:customStyle="1" w:styleId="Index42">
    <w:name w:val="Index 42"/>
    <w:basedOn w:val="Normal"/>
    <w:next w:val="Normal"/>
    <w:autoRedefine/>
    <w:uiPriority w:val="99"/>
    <w:unhideWhenUsed/>
    <w:rsid w:val="009968E0"/>
    <w:pPr>
      <w:ind w:left="960" w:hanging="240"/>
    </w:pPr>
    <w:rPr>
      <w:rFonts w:eastAsia="MS Mincho"/>
    </w:rPr>
  </w:style>
  <w:style w:type="paragraph" w:customStyle="1" w:styleId="Index52">
    <w:name w:val="Index 52"/>
    <w:basedOn w:val="Normal"/>
    <w:next w:val="Normal"/>
    <w:autoRedefine/>
    <w:uiPriority w:val="99"/>
    <w:unhideWhenUsed/>
    <w:rsid w:val="009968E0"/>
    <w:pPr>
      <w:ind w:left="1200" w:hanging="240"/>
    </w:pPr>
    <w:rPr>
      <w:rFonts w:eastAsia="MS Mincho"/>
    </w:rPr>
  </w:style>
  <w:style w:type="paragraph" w:customStyle="1" w:styleId="Index62">
    <w:name w:val="Index 62"/>
    <w:basedOn w:val="Normal"/>
    <w:next w:val="Normal"/>
    <w:autoRedefine/>
    <w:uiPriority w:val="99"/>
    <w:unhideWhenUsed/>
    <w:rsid w:val="009968E0"/>
    <w:pPr>
      <w:ind w:left="1440" w:hanging="240"/>
    </w:pPr>
    <w:rPr>
      <w:rFonts w:eastAsia="MS Mincho"/>
    </w:rPr>
  </w:style>
  <w:style w:type="paragraph" w:customStyle="1" w:styleId="Index72">
    <w:name w:val="Index 72"/>
    <w:basedOn w:val="Normal"/>
    <w:next w:val="Normal"/>
    <w:autoRedefine/>
    <w:uiPriority w:val="99"/>
    <w:unhideWhenUsed/>
    <w:rsid w:val="009968E0"/>
    <w:pPr>
      <w:ind w:left="1680" w:hanging="240"/>
    </w:pPr>
    <w:rPr>
      <w:rFonts w:eastAsia="MS Mincho"/>
    </w:rPr>
  </w:style>
  <w:style w:type="paragraph" w:customStyle="1" w:styleId="Index82">
    <w:name w:val="Index 82"/>
    <w:basedOn w:val="Normal"/>
    <w:next w:val="Normal"/>
    <w:autoRedefine/>
    <w:uiPriority w:val="99"/>
    <w:unhideWhenUsed/>
    <w:rsid w:val="009968E0"/>
    <w:pPr>
      <w:ind w:left="1920" w:hanging="240"/>
    </w:pPr>
    <w:rPr>
      <w:rFonts w:eastAsia="MS Mincho"/>
    </w:rPr>
  </w:style>
  <w:style w:type="paragraph" w:customStyle="1" w:styleId="Index92">
    <w:name w:val="Index 92"/>
    <w:basedOn w:val="Normal"/>
    <w:next w:val="Normal"/>
    <w:autoRedefine/>
    <w:uiPriority w:val="99"/>
    <w:unhideWhenUsed/>
    <w:rsid w:val="009968E0"/>
    <w:pPr>
      <w:ind w:left="2160" w:hanging="240"/>
    </w:pPr>
    <w:rPr>
      <w:rFonts w:eastAsia="MS Mincho"/>
    </w:rPr>
  </w:style>
  <w:style w:type="paragraph" w:customStyle="1" w:styleId="IndexHeading2">
    <w:name w:val="Index Heading2"/>
    <w:basedOn w:val="Normal"/>
    <w:next w:val="Index1"/>
    <w:uiPriority w:val="99"/>
    <w:unhideWhenUsed/>
    <w:rsid w:val="009968E0"/>
    <w:rPr>
      <w:rFonts w:eastAsia="MS Mincho"/>
    </w:rPr>
  </w:style>
  <w:style w:type="table" w:customStyle="1" w:styleId="MediumShading2-Accent421">
    <w:name w:val="Medium Shading 2 - Accent 421"/>
    <w:basedOn w:val="TableNormal"/>
    <w:next w:val="MediumShading2-Accent4"/>
    <w:uiPriority w:val="64"/>
    <w:rsid w:val="009968E0"/>
    <w:rPr>
      <w:rFonts w:eastAsia="MS Mincho"/>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GridTable7Colourful21">
    <w:name w:val="Grid Table 7 Colourful21"/>
    <w:basedOn w:val="TableNormal"/>
    <w:next w:val="GridTable7Colourful"/>
    <w:uiPriority w:val="52"/>
    <w:rsid w:val="009968E0"/>
    <w:rPr>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GridTable2-Accent221">
    <w:name w:val="Grid Table 2 - Accent 221"/>
    <w:basedOn w:val="TableNormal"/>
    <w:next w:val="GridTable2-Accent2"/>
    <w:uiPriority w:val="47"/>
    <w:rsid w:val="009968E0"/>
    <w:tblPr>
      <w:tblStyleRowBandSize w:val="1"/>
      <w:tblStyleColBandSize w:val="1"/>
      <w:tblBorders>
        <w:top w:val="single" w:sz="2" w:space="0" w:color="D99594"/>
        <w:bottom w:val="single" w:sz="2" w:space="0" w:color="D99594"/>
        <w:insideH w:val="single" w:sz="2" w:space="0" w:color="D99594"/>
        <w:insideV w:val="single" w:sz="2" w:space="0" w:color="D99594"/>
      </w:tblBorders>
    </w:tblPr>
    <w:tblStylePr w:type="firstRow">
      <w:rPr>
        <w:b/>
        <w:bCs/>
      </w:rPr>
      <w:tblPr/>
      <w:tcPr>
        <w:tcBorders>
          <w:top w:val="nil"/>
          <w:bottom w:val="single" w:sz="12" w:space="0" w:color="D99594"/>
          <w:insideH w:val="nil"/>
          <w:insideV w:val="nil"/>
        </w:tcBorders>
        <w:shd w:val="clear" w:color="auto" w:fill="FFFFFF"/>
      </w:tcPr>
    </w:tblStylePr>
    <w:tblStylePr w:type="lastRow">
      <w:rPr>
        <w:b/>
        <w:bCs/>
      </w:rPr>
      <w:tblPr/>
      <w:tcPr>
        <w:tcBorders>
          <w:top w:val="double" w:sz="2" w:space="0" w:color="D99594"/>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GridTable2-Accent63">
    <w:name w:val="Grid Table 2 - Accent 63"/>
    <w:basedOn w:val="TableNormal"/>
    <w:next w:val="GridTable2-Accent6"/>
    <w:uiPriority w:val="47"/>
    <w:rsid w:val="009968E0"/>
    <w:rPr>
      <w:rFonts w:eastAsia="MS Mincho"/>
    </w:rPr>
    <w:tblPr>
      <w:tblStyleRowBandSize w:val="1"/>
      <w:tblStyleColBandSize w:val="1"/>
      <w:tblBorders>
        <w:top w:val="single" w:sz="2" w:space="0" w:color="FABF8F"/>
        <w:bottom w:val="single" w:sz="2" w:space="0" w:color="FABF8F"/>
        <w:insideH w:val="single" w:sz="2" w:space="0" w:color="FABF8F"/>
        <w:insideV w:val="single" w:sz="2" w:space="0" w:color="FABF8F"/>
      </w:tblBorders>
    </w:tblPr>
    <w:tblStylePr w:type="firstRow">
      <w:rPr>
        <w:b/>
        <w:bCs/>
      </w:rPr>
      <w:tblPr/>
      <w:tcPr>
        <w:tcBorders>
          <w:top w:val="nil"/>
          <w:bottom w:val="single" w:sz="12" w:space="0" w:color="FABF8F"/>
          <w:insideH w:val="nil"/>
          <w:insideV w:val="nil"/>
        </w:tcBorders>
        <w:shd w:val="clear" w:color="auto" w:fill="FFFFFF"/>
      </w:tcPr>
    </w:tblStylePr>
    <w:tblStylePr w:type="lastRow">
      <w:rPr>
        <w:b/>
        <w:bCs/>
      </w:rPr>
      <w:tblPr/>
      <w:tcPr>
        <w:tcBorders>
          <w:top w:val="double" w:sz="2" w:space="0" w:color="FABF8F"/>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GridTable3-Accent62">
    <w:name w:val="Grid Table 3 - Accent 62"/>
    <w:basedOn w:val="TableNormal"/>
    <w:next w:val="GridTable3-Accent6"/>
    <w:uiPriority w:val="48"/>
    <w:rsid w:val="009968E0"/>
    <w:rPr>
      <w:rFonts w:eastAsia="MS Mincho"/>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DE9D9"/>
      </w:tcPr>
    </w:tblStylePr>
    <w:tblStylePr w:type="band1Horz">
      <w:tblPr/>
      <w:tcPr>
        <w:shd w:val="clear" w:color="auto" w:fill="FDE9D9"/>
      </w:tcPr>
    </w:tblStylePr>
    <w:tblStylePr w:type="neCell">
      <w:tblPr/>
      <w:tcPr>
        <w:tcBorders>
          <w:bottom w:val="single" w:sz="4" w:space="0" w:color="FABF8F"/>
        </w:tcBorders>
      </w:tcPr>
    </w:tblStylePr>
    <w:tblStylePr w:type="nwCell">
      <w:tblPr/>
      <w:tcPr>
        <w:tcBorders>
          <w:bottom w:val="single" w:sz="4" w:space="0" w:color="FABF8F"/>
        </w:tcBorders>
      </w:tcPr>
    </w:tblStylePr>
    <w:tblStylePr w:type="seCell">
      <w:tblPr/>
      <w:tcPr>
        <w:tcBorders>
          <w:top w:val="single" w:sz="4" w:space="0" w:color="FABF8F"/>
        </w:tcBorders>
      </w:tcPr>
    </w:tblStylePr>
    <w:tblStylePr w:type="swCell">
      <w:tblPr/>
      <w:tcPr>
        <w:tcBorders>
          <w:top w:val="single" w:sz="4" w:space="0" w:color="FABF8F"/>
        </w:tcBorders>
      </w:tcPr>
    </w:tblStylePr>
  </w:style>
  <w:style w:type="table" w:customStyle="1" w:styleId="GridTable4-Accent62">
    <w:name w:val="Grid Table 4 - Accent 62"/>
    <w:basedOn w:val="TableNormal"/>
    <w:next w:val="GridTable4-Accent6"/>
    <w:uiPriority w:val="49"/>
    <w:rsid w:val="009968E0"/>
    <w:rPr>
      <w:rFonts w:eastAsia="MS Mincho"/>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TableGridLight2">
    <w:name w:val="Table Grid Light2"/>
    <w:basedOn w:val="TableNormal"/>
    <w:next w:val="TableGridLight"/>
    <w:uiPriority w:val="99"/>
    <w:rsid w:val="009968E0"/>
    <w:rPr>
      <w:rFonts w:eastAsia="MS Mincho"/>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PlainTable52">
    <w:name w:val="Plain Table 52"/>
    <w:basedOn w:val="TableNormal"/>
    <w:next w:val="PlainTable5"/>
    <w:uiPriority w:val="99"/>
    <w:rsid w:val="009968E0"/>
    <w:rPr>
      <w:rFonts w:eastAsia="MS Mincho"/>
    </w:rPr>
    <w:tblPr>
      <w:tblStyleRowBandSize w:val="1"/>
      <w:tblStyleColBandSize w:val="1"/>
    </w:tblPr>
    <w:tblStylePr w:type="firstRow">
      <w:rPr>
        <w:rFonts w:ascii="Calibri" w:eastAsia="MS Gothic" w:hAnsi="Calibri" w:cs="Times New Roman"/>
        <w:i/>
        <w:iCs/>
        <w:sz w:val="26"/>
      </w:rPr>
      <w:tblPr/>
      <w:tcPr>
        <w:tcBorders>
          <w:bottom w:val="single" w:sz="4" w:space="0" w:color="7F7F7F"/>
        </w:tcBorders>
        <w:shd w:val="clear" w:color="auto" w:fill="FFFFFF"/>
      </w:tcPr>
    </w:tblStylePr>
    <w:tblStylePr w:type="lastRow">
      <w:rPr>
        <w:rFonts w:ascii="Calibri" w:eastAsia="MS Gothic" w:hAnsi="Calibri" w:cs="Times New Roman"/>
        <w:i/>
        <w:iCs/>
        <w:sz w:val="26"/>
      </w:rPr>
      <w:tblPr/>
      <w:tcPr>
        <w:tcBorders>
          <w:top w:val="single" w:sz="4" w:space="0" w:color="7F7F7F"/>
        </w:tcBorders>
        <w:shd w:val="clear" w:color="auto" w:fill="FFFFFF"/>
      </w:tcPr>
    </w:tblStylePr>
    <w:tblStylePr w:type="firstCol">
      <w:pPr>
        <w:jc w:val="right"/>
      </w:pPr>
      <w:rPr>
        <w:rFonts w:ascii="Calibri" w:eastAsia="MS Gothic" w:hAnsi="Calibri" w:cs="Times New Roman"/>
        <w:i/>
        <w:iCs/>
        <w:sz w:val="26"/>
      </w:rPr>
      <w:tblPr/>
      <w:tcPr>
        <w:tcBorders>
          <w:right w:val="single" w:sz="4" w:space="0" w:color="7F7F7F"/>
        </w:tcBorders>
        <w:shd w:val="clear" w:color="auto" w:fill="FFFFFF"/>
      </w:tcPr>
    </w:tblStylePr>
    <w:tblStylePr w:type="lastCol">
      <w:rPr>
        <w:rFonts w:ascii="Calibri" w:eastAsia="MS Gothic" w:hAnsi="Calibri"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42">
    <w:name w:val="Plain Table 42"/>
    <w:basedOn w:val="TableNormal"/>
    <w:next w:val="PlainTable4"/>
    <w:uiPriority w:val="99"/>
    <w:rsid w:val="009968E0"/>
    <w:rPr>
      <w:rFonts w:eastAsia="MS Mincho"/>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22">
    <w:name w:val="Plain Table 22"/>
    <w:basedOn w:val="TableNormal"/>
    <w:next w:val="PlainTable2"/>
    <w:uiPriority w:val="99"/>
    <w:rsid w:val="009968E0"/>
    <w:rPr>
      <w:rFonts w:eastAsia="MS Mincho"/>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12">
    <w:name w:val="Plain Table 12"/>
    <w:basedOn w:val="TableNormal"/>
    <w:next w:val="PlainTable1"/>
    <w:uiPriority w:val="99"/>
    <w:rsid w:val="009968E0"/>
    <w:rPr>
      <w:rFonts w:eastAsia="MS Mincho"/>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1Light-Accent62">
    <w:name w:val="Grid Table 1 Light - Accent 62"/>
    <w:basedOn w:val="TableNormal"/>
    <w:next w:val="GridTable1Light-Accent6"/>
    <w:uiPriority w:val="46"/>
    <w:rsid w:val="009968E0"/>
    <w:rPr>
      <w:rFonts w:eastAsia="MS Mincho"/>
    </w:rPr>
    <w:tblPr>
      <w:tblStyleRowBandSize w:val="1"/>
      <w:tblStyleColBandSize w:val="1"/>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Pr>
    <w:tblStylePr w:type="firstRow">
      <w:rPr>
        <w:b/>
        <w:bCs/>
      </w:rPr>
      <w:tblPr/>
      <w:tcPr>
        <w:tcBorders>
          <w:bottom w:val="single" w:sz="12" w:space="0" w:color="FABF8F"/>
        </w:tcBorders>
      </w:tcPr>
    </w:tblStylePr>
    <w:tblStylePr w:type="lastRow">
      <w:rPr>
        <w:b/>
        <w:bCs/>
      </w:rPr>
      <w:tblPr/>
      <w:tcPr>
        <w:tcBorders>
          <w:top w:val="double" w:sz="2" w:space="0" w:color="FABF8F"/>
        </w:tcBorders>
      </w:tcPr>
    </w:tblStylePr>
    <w:tblStylePr w:type="firstCol">
      <w:rPr>
        <w:b/>
        <w:bCs/>
      </w:rPr>
    </w:tblStylePr>
    <w:tblStylePr w:type="lastCol">
      <w:rPr>
        <w:b/>
        <w:bCs/>
      </w:rPr>
    </w:tblStylePr>
  </w:style>
  <w:style w:type="table" w:customStyle="1" w:styleId="GridTable1Light3">
    <w:name w:val="Grid Table 1 Light3"/>
    <w:basedOn w:val="TableNormal"/>
    <w:next w:val="GridTable1Light"/>
    <w:uiPriority w:val="99"/>
    <w:rsid w:val="009968E0"/>
    <w:rPr>
      <w:rFonts w:eastAsia="MS Minch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Accent22">
    <w:name w:val="Grid Table 1 Light – Accent 22"/>
    <w:basedOn w:val="TableNormal"/>
    <w:next w:val="GridTable1LightAccent2"/>
    <w:uiPriority w:val="46"/>
    <w:rsid w:val="009968E0"/>
    <w:rPr>
      <w:rFonts w:eastAsia="MS Mincho"/>
    </w:rPr>
    <w:tblPr>
      <w:tblStyleRowBandSize w:val="1"/>
      <w:tblStyleColBandSize w:val="1"/>
      <w:tblBorders>
        <w:top w:val="single" w:sz="4" w:space="0" w:color="E5B8B7"/>
        <w:left w:val="single" w:sz="4" w:space="0" w:color="E5B8B7"/>
        <w:bottom w:val="single" w:sz="4" w:space="0" w:color="E5B8B7"/>
        <w:right w:val="single" w:sz="4" w:space="0" w:color="E5B8B7"/>
        <w:insideH w:val="single" w:sz="4" w:space="0" w:color="E5B8B7"/>
        <w:insideV w:val="single" w:sz="4" w:space="0" w:color="E5B8B7"/>
      </w:tblBorders>
    </w:tblPr>
    <w:tblStylePr w:type="firstRow">
      <w:rPr>
        <w:b/>
        <w:bCs/>
      </w:rPr>
      <w:tblPr/>
      <w:tcPr>
        <w:tcBorders>
          <w:bottom w:val="single" w:sz="12" w:space="0" w:color="D99594"/>
        </w:tcBorders>
      </w:tcPr>
    </w:tblStylePr>
    <w:tblStylePr w:type="lastRow">
      <w:rPr>
        <w:b/>
        <w:bCs/>
      </w:rPr>
      <w:tblPr/>
      <w:tcPr>
        <w:tcBorders>
          <w:top w:val="double" w:sz="2" w:space="0" w:color="D99594"/>
        </w:tcBorders>
      </w:tcPr>
    </w:tblStylePr>
    <w:tblStylePr w:type="firstCol">
      <w:rPr>
        <w:b/>
        <w:bCs/>
      </w:rPr>
    </w:tblStylePr>
    <w:tblStylePr w:type="lastCol">
      <w:rPr>
        <w:b/>
        <w:bCs/>
      </w:rPr>
    </w:tblStylePr>
  </w:style>
  <w:style w:type="table" w:customStyle="1" w:styleId="GridTable2-Accent212">
    <w:name w:val="Grid Table 2 - Accent 212"/>
    <w:basedOn w:val="TableNormal"/>
    <w:next w:val="GridTable2-Accent2"/>
    <w:uiPriority w:val="47"/>
    <w:rsid w:val="009968E0"/>
    <w:rPr>
      <w:rFonts w:eastAsia="Calibri"/>
    </w:rPr>
    <w:tblPr>
      <w:tblStyleRowBandSize w:val="1"/>
      <w:tblStyleColBandSize w:val="1"/>
      <w:tblBorders>
        <w:top w:val="single" w:sz="2" w:space="0" w:color="F4B083"/>
        <w:bottom w:val="single" w:sz="2" w:space="0" w:color="F4B083"/>
        <w:insideH w:val="single" w:sz="2" w:space="0" w:color="F4B083"/>
        <w:insideV w:val="single" w:sz="2" w:space="0" w:color="F4B083"/>
      </w:tblBorders>
    </w:tblPr>
    <w:tblStylePr w:type="firstRow">
      <w:rPr>
        <w:b/>
        <w:bCs/>
      </w:rPr>
      <w:tblPr/>
      <w:tcPr>
        <w:tcBorders>
          <w:top w:val="nil"/>
          <w:bottom w:val="single" w:sz="12" w:space="0" w:color="F4B083"/>
          <w:insideH w:val="nil"/>
          <w:insideV w:val="nil"/>
        </w:tcBorders>
        <w:shd w:val="clear" w:color="auto" w:fill="FFFFFF"/>
      </w:tcPr>
    </w:tblStylePr>
    <w:tblStylePr w:type="lastRow">
      <w:rPr>
        <w:b/>
        <w:bCs/>
      </w:rPr>
      <w:tblPr/>
      <w:tcPr>
        <w:tcBorders>
          <w:top w:val="double" w:sz="2" w:space="0" w:color="F4B083"/>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character" w:styleId="PageNumber">
    <w:name w:val="page number"/>
    <w:basedOn w:val="DefaultParagraphFont"/>
    <w:uiPriority w:val="99"/>
    <w:semiHidden/>
    <w:unhideWhenUsed/>
    <w:rsid w:val="00633742"/>
  </w:style>
  <w:style w:type="paragraph" w:customStyle="1" w:styleId="Heading1Marni">
    <w:name w:val="Heading1Marni"/>
    <w:basedOn w:val="Normal"/>
    <w:qFormat/>
    <w:rsid w:val="007F741E"/>
    <w:pPr>
      <w:keepNext/>
      <w:keepLines/>
      <w:pBdr>
        <w:top w:val="nil"/>
        <w:left w:val="nil"/>
        <w:bottom w:val="nil"/>
        <w:right w:val="nil"/>
        <w:between w:val="nil"/>
        <w:bar w:val="nil"/>
      </w:pBdr>
      <w:suppressAutoHyphens/>
      <w:spacing w:before="480" w:line="360" w:lineRule="auto"/>
      <w:outlineLvl w:val="3"/>
    </w:pPr>
    <w:rPr>
      <w:rFonts w:eastAsia="Arial Unicode MS" w:cs="Arial Unicode MS"/>
      <w:b/>
      <w:bCs/>
      <w:color w:val="2D4F8E"/>
      <w:sz w:val="32"/>
      <w:szCs w:val="32"/>
      <w:u w:color="2D4F8E"/>
      <w:bdr w:val="nil"/>
      <w:lang w:val="en-US" w:eastAsia="en-GB"/>
    </w:rPr>
  </w:style>
  <w:style w:type="paragraph" w:customStyle="1" w:styleId="Heading2Marni">
    <w:name w:val="Heading2Marni"/>
    <w:basedOn w:val="Normal"/>
    <w:qFormat/>
    <w:rsid w:val="007F741E"/>
    <w:pPr>
      <w:keepNext/>
      <w:keepLines/>
      <w:pBdr>
        <w:top w:val="nil"/>
        <w:left w:val="nil"/>
        <w:bottom w:val="nil"/>
        <w:right w:val="nil"/>
        <w:between w:val="nil"/>
        <w:bar w:val="nil"/>
      </w:pBdr>
      <w:suppressAutoHyphens/>
      <w:spacing w:before="200" w:line="360" w:lineRule="auto"/>
      <w:outlineLvl w:val="1"/>
    </w:pPr>
    <w:rPr>
      <w:rFonts w:eastAsia="Arial" w:cs="Arial"/>
      <w:b/>
      <w:bCs/>
      <w:color w:val="4472C4"/>
      <w:sz w:val="26"/>
      <w:szCs w:val="26"/>
      <w:u w:color="4472C4"/>
      <w:bdr w:val="nil"/>
      <w:lang w:val="en-US" w:eastAsia="en-GB"/>
    </w:rPr>
  </w:style>
  <w:style w:type="paragraph" w:customStyle="1" w:styleId="Heading3Marni">
    <w:name w:val="Heading3Marni"/>
    <w:basedOn w:val="Normal"/>
    <w:qFormat/>
    <w:rsid w:val="007F741E"/>
    <w:pPr>
      <w:keepNext/>
      <w:keepLines/>
      <w:pBdr>
        <w:top w:val="nil"/>
        <w:left w:val="nil"/>
        <w:bottom w:val="nil"/>
        <w:right w:val="nil"/>
        <w:between w:val="nil"/>
        <w:bar w:val="nil"/>
      </w:pBdr>
      <w:suppressAutoHyphens/>
      <w:spacing w:before="200" w:line="360" w:lineRule="auto"/>
      <w:outlineLvl w:val="2"/>
    </w:pPr>
    <w:rPr>
      <w:rFonts w:eastAsia="Arial" w:cs="Arial"/>
      <w:b/>
      <w:bCs/>
      <w:color w:val="4472C4"/>
      <w:u w:color="4472C4"/>
      <w:bdr w:val="nil"/>
      <w:lang w:val="fr-FR" w:eastAsia="en-GB"/>
    </w:rPr>
  </w:style>
  <w:style w:type="table" w:styleId="GridTable3-Accent2">
    <w:name w:val="Grid Table 3 Accent 2"/>
    <w:basedOn w:val="TableNormal"/>
    <w:uiPriority w:val="48"/>
    <w:rsid w:val="007159EE"/>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4741489">
      <w:bodyDiv w:val="1"/>
      <w:marLeft w:val="0"/>
      <w:marRight w:val="0"/>
      <w:marTop w:val="0"/>
      <w:marBottom w:val="0"/>
      <w:divBdr>
        <w:top w:val="none" w:sz="0" w:space="0" w:color="auto"/>
        <w:left w:val="none" w:sz="0" w:space="0" w:color="auto"/>
        <w:bottom w:val="none" w:sz="0" w:space="0" w:color="auto"/>
        <w:right w:val="none" w:sz="0" w:space="0" w:color="auto"/>
      </w:divBdr>
    </w:div>
    <w:div w:id="165637115">
      <w:bodyDiv w:val="1"/>
      <w:marLeft w:val="0"/>
      <w:marRight w:val="0"/>
      <w:marTop w:val="0"/>
      <w:marBottom w:val="0"/>
      <w:divBdr>
        <w:top w:val="none" w:sz="0" w:space="0" w:color="auto"/>
        <w:left w:val="none" w:sz="0" w:space="0" w:color="auto"/>
        <w:bottom w:val="none" w:sz="0" w:space="0" w:color="auto"/>
        <w:right w:val="none" w:sz="0" w:space="0" w:color="auto"/>
      </w:divBdr>
    </w:div>
    <w:div w:id="519702555">
      <w:bodyDiv w:val="1"/>
      <w:marLeft w:val="0"/>
      <w:marRight w:val="0"/>
      <w:marTop w:val="0"/>
      <w:marBottom w:val="0"/>
      <w:divBdr>
        <w:top w:val="none" w:sz="0" w:space="0" w:color="auto"/>
        <w:left w:val="none" w:sz="0" w:space="0" w:color="auto"/>
        <w:bottom w:val="none" w:sz="0" w:space="0" w:color="auto"/>
        <w:right w:val="none" w:sz="0" w:space="0" w:color="auto"/>
      </w:divBdr>
    </w:div>
    <w:div w:id="756050856">
      <w:bodyDiv w:val="1"/>
      <w:marLeft w:val="0"/>
      <w:marRight w:val="0"/>
      <w:marTop w:val="0"/>
      <w:marBottom w:val="0"/>
      <w:divBdr>
        <w:top w:val="none" w:sz="0" w:space="0" w:color="auto"/>
        <w:left w:val="none" w:sz="0" w:space="0" w:color="auto"/>
        <w:bottom w:val="none" w:sz="0" w:space="0" w:color="auto"/>
        <w:right w:val="none" w:sz="0" w:space="0" w:color="auto"/>
      </w:divBdr>
    </w:div>
    <w:div w:id="851840772">
      <w:bodyDiv w:val="1"/>
      <w:marLeft w:val="0"/>
      <w:marRight w:val="0"/>
      <w:marTop w:val="0"/>
      <w:marBottom w:val="0"/>
      <w:divBdr>
        <w:top w:val="none" w:sz="0" w:space="0" w:color="auto"/>
        <w:left w:val="none" w:sz="0" w:space="0" w:color="auto"/>
        <w:bottom w:val="none" w:sz="0" w:space="0" w:color="auto"/>
        <w:right w:val="none" w:sz="0" w:space="0" w:color="auto"/>
      </w:divBdr>
    </w:div>
    <w:div w:id="920525634">
      <w:bodyDiv w:val="1"/>
      <w:marLeft w:val="0"/>
      <w:marRight w:val="0"/>
      <w:marTop w:val="0"/>
      <w:marBottom w:val="0"/>
      <w:divBdr>
        <w:top w:val="none" w:sz="0" w:space="0" w:color="auto"/>
        <w:left w:val="none" w:sz="0" w:space="0" w:color="auto"/>
        <w:bottom w:val="none" w:sz="0" w:space="0" w:color="auto"/>
        <w:right w:val="none" w:sz="0" w:space="0" w:color="auto"/>
      </w:divBdr>
    </w:div>
    <w:div w:id="921836271">
      <w:bodyDiv w:val="1"/>
      <w:marLeft w:val="0"/>
      <w:marRight w:val="0"/>
      <w:marTop w:val="0"/>
      <w:marBottom w:val="0"/>
      <w:divBdr>
        <w:top w:val="none" w:sz="0" w:space="0" w:color="auto"/>
        <w:left w:val="none" w:sz="0" w:space="0" w:color="auto"/>
        <w:bottom w:val="none" w:sz="0" w:space="0" w:color="auto"/>
        <w:right w:val="none" w:sz="0" w:space="0" w:color="auto"/>
      </w:divBdr>
    </w:div>
    <w:div w:id="1020476006">
      <w:bodyDiv w:val="1"/>
      <w:marLeft w:val="0"/>
      <w:marRight w:val="0"/>
      <w:marTop w:val="0"/>
      <w:marBottom w:val="0"/>
      <w:divBdr>
        <w:top w:val="none" w:sz="0" w:space="0" w:color="auto"/>
        <w:left w:val="none" w:sz="0" w:space="0" w:color="auto"/>
        <w:bottom w:val="none" w:sz="0" w:space="0" w:color="auto"/>
        <w:right w:val="none" w:sz="0" w:space="0" w:color="auto"/>
      </w:divBdr>
    </w:div>
    <w:div w:id="1316177238">
      <w:bodyDiv w:val="1"/>
      <w:marLeft w:val="0"/>
      <w:marRight w:val="0"/>
      <w:marTop w:val="0"/>
      <w:marBottom w:val="0"/>
      <w:divBdr>
        <w:top w:val="none" w:sz="0" w:space="0" w:color="auto"/>
        <w:left w:val="none" w:sz="0" w:space="0" w:color="auto"/>
        <w:bottom w:val="none" w:sz="0" w:space="0" w:color="auto"/>
        <w:right w:val="none" w:sz="0" w:space="0" w:color="auto"/>
      </w:divBdr>
    </w:div>
    <w:div w:id="1559315562">
      <w:bodyDiv w:val="1"/>
      <w:marLeft w:val="0"/>
      <w:marRight w:val="0"/>
      <w:marTop w:val="0"/>
      <w:marBottom w:val="0"/>
      <w:divBdr>
        <w:top w:val="none" w:sz="0" w:space="0" w:color="auto"/>
        <w:left w:val="none" w:sz="0" w:space="0" w:color="auto"/>
        <w:bottom w:val="none" w:sz="0" w:space="0" w:color="auto"/>
        <w:right w:val="none" w:sz="0" w:space="0" w:color="auto"/>
      </w:divBdr>
    </w:div>
    <w:div w:id="1589194397">
      <w:bodyDiv w:val="1"/>
      <w:marLeft w:val="0"/>
      <w:marRight w:val="0"/>
      <w:marTop w:val="0"/>
      <w:marBottom w:val="0"/>
      <w:divBdr>
        <w:top w:val="none" w:sz="0" w:space="0" w:color="auto"/>
        <w:left w:val="none" w:sz="0" w:space="0" w:color="auto"/>
        <w:bottom w:val="none" w:sz="0" w:space="0" w:color="auto"/>
        <w:right w:val="none" w:sz="0" w:space="0" w:color="auto"/>
      </w:divBdr>
    </w:div>
    <w:div w:id="20861487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tiff"/><Relationship Id="rId21" Type="http://schemas.openxmlformats.org/officeDocument/2006/relationships/image" Target="media/image12.tif"/><Relationship Id="rId42" Type="http://schemas.openxmlformats.org/officeDocument/2006/relationships/image" Target="media/image33.emf"/><Relationship Id="rId47" Type="http://schemas.openxmlformats.org/officeDocument/2006/relationships/image" Target="media/image38.emf"/><Relationship Id="rId63" Type="http://schemas.openxmlformats.org/officeDocument/2006/relationships/image" Target="media/image51.tiff"/><Relationship Id="rId68" Type="http://schemas.openxmlformats.org/officeDocument/2006/relationships/image" Target="media/image56.tiff"/><Relationship Id="rId84" Type="http://schemas.openxmlformats.org/officeDocument/2006/relationships/image" Target="media/image71.tiff"/><Relationship Id="rId89" Type="http://schemas.openxmlformats.org/officeDocument/2006/relationships/image" Target="media/image76.png"/><Relationship Id="rId16" Type="http://schemas.openxmlformats.org/officeDocument/2006/relationships/image" Target="media/image7.png"/><Relationship Id="rId11" Type="http://schemas.openxmlformats.org/officeDocument/2006/relationships/image" Target="media/image2.jpeg"/><Relationship Id="rId32" Type="http://schemas.openxmlformats.org/officeDocument/2006/relationships/image" Target="media/image23.png"/><Relationship Id="rId37" Type="http://schemas.openxmlformats.org/officeDocument/2006/relationships/image" Target="media/image28.emf"/><Relationship Id="rId53" Type="http://schemas.openxmlformats.org/officeDocument/2006/relationships/image" Target="media/image44.jpeg"/><Relationship Id="rId58" Type="http://schemas.openxmlformats.org/officeDocument/2006/relationships/image" Target="media/image49.emf"/><Relationship Id="rId74" Type="http://schemas.openxmlformats.org/officeDocument/2006/relationships/image" Target="media/image62.emf"/><Relationship Id="rId79" Type="http://schemas.openxmlformats.org/officeDocument/2006/relationships/image" Target="media/image67.emf"/><Relationship Id="rId102"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77.emf"/><Relationship Id="rId95" Type="http://schemas.openxmlformats.org/officeDocument/2006/relationships/image" Target="media/image82.tiff"/><Relationship Id="rId22" Type="http://schemas.openxmlformats.org/officeDocument/2006/relationships/image" Target="media/image13.tif"/><Relationship Id="rId27" Type="http://schemas.openxmlformats.org/officeDocument/2006/relationships/image" Target="media/image18.tif"/><Relationship Id="rId43" Type="http://schemas.openxmlformats.org/officeDocument/2006/relationships/image" Target="media/image34.jpg"/><Relationship Id="rId48" Type="http://schemas.openxmlformats.org/officeDocument/2006/relationships/image" Target="media/image39.emf"/><Relationship Id="rId64" Type="http://schemas.openxmlformats.org/officeDocument/2006/relationships/image" Target="media/image52.emf"/><Relationship Id="rId69" Type="http://schemas.openxmlformats.org/officeDocument/2006/relationships/image" Target="media/image57.tiff"/><Relationship Id="rId80" Type="http://schemas.openxmlformats.org/officeDocument/2006/relationships/image" Target="media/image68.tiff"/><Relationship Id="rId85" Type="http://schemas.openxmlformats.org/officeDocument/2006/relationships/image" Target="media/image72.tiff"/><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tif"/><Relationship Id="rId33" Type="http://schemas.openxmlformats.org/officeDocument/2006/relationships/image" Target="media/image24.emf"/><Relationship Id="rId38" Type="http://schemas.openxmlformats.org/officeDocument/2006/relationships/image" Target="media/image29.emf"/><Relationship Id="rId46" Type="http://schemas.openxmlformats.org/officeDocument/2006/relationships/image" Target="media/image37.emf"/><Relationship Id="rId59" Type="http://schemas.openxmlformats.org/officeDocument/2006/relationships/comments" Target="comments.xml"/><Relationship Id="rId67" Type="http://schemas.openxmlformats.org/officeDocument/2006/relationships/image" Target="media/image55.tiff"/><Relationship Id="rId103" Type="http://schemas.microsoft.com/office/2011/relationships/people" Target="people.xml"/><Relationship Id="rId20" Type="http://schemas.openxmlformats.org/officeDocument/2006/relationships/image" Target="media/image11.tif"/><Relationship Id="rId41" Type="http://schemas.openxmlformats.org/officeDocument/2006/relationships/image" Target="media/image32.emf"/><Relationship Id="rId54" Type="http://schemas.openxmlformats.org/officeDocument/2006/relationships/image" Target="media/image45.emf"/><Relationship Id="rId62" Type="http://schemas.openxmlformats.org/officeDocument/2006/relationships/image" Target="media/image50.tiff"/><Relationship Id="rId70" Type="http://schemas.openxmlformats.org/officeDocument/2006/relationships/image" Target="media/image58.tiff"/><Relationship Id="rId75" Type="http://schemas.openxmlformats.org/officeDocument/2006/relationships/image" Target="media/image63.jpg"/><Relationship Id="rId83" Type="http://schemas.openxmlformats.org/officeDocument/2006/relationships/image" Target="media/image70.tiff"/><Relationship Id="rId88" Type="http://schemas.openxmlformats.org/officeDocument/2006/relationships/image" Target="media/image75.emf"/><Relationship Id="rId91" Type="http://schemas.openxmlformats.org/officeDocument/2006/relationships/image" Target="media/image78.emf"/><Relationship Id="rId96" Type="http://schemas.openxmlformats.org/officeDocument/2006/relationships/image" Target="media/image83.tif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tif"/><Relationship Id="rId28" Type="http://schemas.openxmlformats.org/officeDocument/2006/relationships/image" Target="media/image19.png"/><Relationship Id="rId36" Type="http://schemas.openxmlformats.org/officeDocument/2006/relationships/image" Target="media/image27.emf"/><Relationship Id="rId49" Type="http://schemas.openxmlformats.org/officeDocument/2006/relationships/image" Target="media/image40.emf"/><Relationship Id="rId57" Type="http://schemas.openxmlformats.org/officeDocument/2006/relationships/image" Target="media/image48.emf"/><Relationship Id="rId10" Type="http://schemas.openxmlformats.org/officeDocument/2006/relationships/footer" Target="footer2.xml"/><Relationship Id="rId31" Type="http://schemas.openxmlformats.org/officeDocument/2006/relationships/image" Target="media/image22.png"/><Relationship Id="rId44" Type="http://schemas.openxmlformats.org/officeDocument/2006/relationships/image" Target="media/image35.tiff"/><Relationship Id="rId52" Type="http://schemas.openxmlformats.org/officeDocument/2006/relationships/image" Target="media/image43.emf"/><Relationship Id="rId60" Type="http://schemas.microsoft.com/office/2011/relationships/commentsExtended" Target="commentsExtended.xml"/><Relationship Id="rId65" Type="http://schemas.openxmlformats.org/officeDocument/2006/relationships/image" Target="media/image53.tiff"/><Relationship Id="rId73" Type="http://schemas.openxmlformats.org/officeDocument/2006/relationships/image" Target="media/image61.emf"/><Relationship Id="rId78" Type="http://schemas.openxmlformats.org/officeDocument/2006/relationships/image" Target="media/image66.emf"/><Relationship Id="rId81" Type="http://schemas.microsoft.com/office/2018/08/relationships/commentsExtensible" Target="commentsExtensible.xml"/><Relationship Id="rId86" Type="http://schemas.openxmlformats.org/officeDocument/2006/relationships/image" Target="media/image73.tiff"/><Relationship Id="rId94" Type="http://schemas.openxmlformats.org/officeDocument/2006/relationships/image" Target="media/image81.tiff"/><Relationship Id="rId99" Type="http://schemas.openxmlformats.org/officeDocument/2006/relationships/hyperlink" Target="http://www.iasp-pain.org/Education/Content.aspx?ItemNumber=1698&amp;navItemNumber=576" TargetMode="External"/><Relationship Id="rId101" Type="http://schemas.openxmlformats.org/officeDocument/2006/relationships/hyperlink" Target="https://www.ed.ac.uk/clinical-sciences/edinburgh-imaging/research/themes-and-topics/medical-physics/imaging-techniques/perfusion-imaging" TargetMode="Externa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image" Target="media/image30.emf"/><Relationship Id="rId34" Type="http://schemas.openxmlformats.org/officeDocument/2006/relationships/image" Target="media/image25.emf"/><Relationship Id="rId50" Type="http://schemas.openxmlformats.org/officeDocument/2006/relationships/image" Target="media/image41.emf"/><Relationship Id="rId55" Type="http://schemas.openxmlformats.org/officeDocument/2006/relationships/image" Target="media/image46.emf"/><Relationship Id="rId76" Type="http://schemas.openxmlformats.org/officeDocument/2006/relationships/image" Target="media/image64.png"/><Relationship Id="rId97" Type="http://schemas.openxmlformats.org/officeDocument/2006/relationships/image" Target="media/image84.tiff"/><Relationship Id="rId10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9.tiff"/><Relationship Id="rId92" Type="http://schemas.openxmlformats.org/officeDocument/2006/relationships/image" Target="media/image79.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tif"/><Relationship Id="rId40" Type="http://schemas.openxmlformats.org/officeDocument/2006/relationships/image" Target="media/image31.emf"/><Relationship Id="rId45" Type="http://schemas.openxmlformats.org/officeDocument/2006/relationships/image" Target="media/image36.emf"/><Relationship Id="rId66" Type="http://schemas.openxmlformats.org/officeDocument/2006/relationships/image" Target="media/image54.tiff"/><Relationship Id="rId87" Type="http://schemas.openxmlformats.org/officeDocument/2006/relationships/image" Target="media/image74.tiff"/><Relationship Id="rId61" Type="http://schemas.microsoft.com/office/2016/09/relationships/commentsIds" Target="commentsIds.xml"/><Relationship Id="rId82" Type="http://schemas.openxmlformats.org/officeDocument/2006/relationships/image" Target="media/image69.tiff"/><Relationship Id="rId19" Type="http://schemas.openxmlformats.org/officeDocument/2006/relationships/image" Target="media/image10.jpe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emf"/><Relationship Id="rId56" Type="http://schemas.openxmlformats.org/officeDocument/2006/relationships/image" Target="media/image47.emf"/><Relationship Id="rId77" Type="http://schemas.openxmlformats.org/officeDocument/2006/relationships/image" Target="media/image65.png"/><Relationship Id="rId100" Type="http://schemas.openxmlformats.org/officeDocument/2006/relationships/hyperlink" Target="https://www.iasp-pain.org/Education/Content.aspx?ItemNumber=1698" TargetMode="External"/><Relationship Id="rId8" Type="http://schemas.openxmlformats.org/officeDocument/2006/relationships/image" Target="media/image1.jpg"/><Relationship Id="rId51" Type="http://schemas.openxmlformats.org/officeDocument/2006/relationships/image" Target="media/image42.emf"/><Relationship Id="rId72" Type="http://schemas.openxmlformats.org/officeDocument/2006/relationships/image" Target="media/image60.tiff"/><Relationship Id="rId93" Type="http://schemas.openxmlformats.org/officeDocument/2006/relationships/image" Target="media/image80.png"/><Relationship Id="rId98" Type="http://schemas.openxmlformats.org/officeDocument/2006/relationships/image" Target="media/image85.tiff"/><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F65FB9E-F9AD-9C48-BB4E-72BF6895DC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TotalTime>
  <Pages>270</Pages>
  <Words>158727</Words>
  <Characters>904746</Characters>
  <Application>Microsoft Office Word</Application>
  <DocSecurity>0</DocSecurity>
  <Lines>7539</Lines>
  <Paragraphs>2122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1061351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11</cp:revision>
  <cp:lastPrinted>2020-09-06T14:13:00Z</cp:lastPrinted>
  <dcterms:created xsi:type="dcterms:W3CDTF">2021-04-17T06:57:00Z</dcterms:created>
  <dcterms:modified xsi:type="dcterms:W3CDTF">2021-05-22T13:59:00Z</dcterms:modified>
</cp:coreProperties>
</file>